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4FE2" w14:textId="1D035B2B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 w:rsidRPr="00422E2C">
        <w:rPr>
          <w:rFonts w:ascii="Arial" w:hAnsi="Arial" w:cs="Arial"/>
          <w:sz w:val="20"/>
          <w:szCs w:val="20"/>
        </w:rPr>
        <w:t>1</w:t>
      </w:r>
      <w:r w:rsidR="00EB7FA2" w:rsidRPr="00422E2C">
        <w:rPr>
          <w:rFonts w:ascii="Arial" w:hAnsi="Arial" w:cs="Arial"/>
          <w:sz w:val="20"/>
          <w:szCs w:val="20"/>
        </w:rPr>
        <w:t>6</w:t>
      </w:r>
      <w:r w:rsidRPr="00422E2C">
        <w:rPr>
          <w:rFonts w:ascii="Arial" w:hAnsi="Arial" w:cs="Arial"/>
          <w:sz w:val="20"/>
          <w:szCs w:val="20"/>
        </w:rPr>
        <w:t>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r w:rsidR="00F91884">
        <w:rPr>
          <w:rFonts w:ascii="Arial" w:hAnsi="Arial" w:cs="Arial"/>
          <w:sz w:val="20"/>
          <w:szCs w:val="20"/>
        </w:rPr>
        <w:t>z 53</w:t>
      </w:r>
      <w:bookmarkStart w:id="0" w:name="_Hlk57015144"/>
      <w:r w:rsidR="004E6A1C">
        <w:rPr>
          <w:rFonts w:ascii="Arial" w:hAnsi="Arial" w:cs="Arial"/>
          <w:sz w:val="20"/>
          <w:szCs w:val="20"/>
        </w:rPr>
        <w:t>/202</w:t>
      </w:r>
      <w:r w:rsidR="004557F7">
        <w:rPr>
          <w:rFonts w:ascii="Arial" w:hAnsi="Arial" w:cs="Arial"/>
          <w:sz w:val="20"/>
          <w:szCs w:val="20"/>
        </w:rPr>
        <w:t>2</w:t>
      </w:r>
      <w:r w:rsidR="004E6A1C">
        <w:rPr>
          <w:rFonts w:ascii="Arial" w:hAnsi="Arial" w:cs="Arial"/>
          <w:sz w:val="20"/>
          <w:szCs w:val="20"/>
        </w:rPr>
        <w:t>. (</w:t>
      </w:r>
      <w:r w:rsidR="00F91884">
        <w:rPr>
          <w:rFonts w:ascii="Arial" w:hAnsi="Arial" w:cs="Arial"/>
          <w:sz w:val="20"/>
          <w:szCs w:val="20"/>
        </w:rPr>
        <w:t>XII. 2.</w:t>
      </w:r>
      <w:r w:rsidR="004E6A1C">
        <w:rPr>
          <w:rFonts w:ascii="Arial" w:hAnsi="Arial" w:cs="Arial"/>
          <w:sz w:val="20"/>
          <w:szCs w:val="20"/>
        </w:rPr>
        <w:t>) MNB rendelethez</w:t>
      </w:r>
      <w:bookmarkEnd w:id="0"/>
    </w:p>
    <w:p w14:paraId="529D8491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7FF38511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3C44C793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35A9298B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35AB9CD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13AD2B7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6A4182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601609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693A09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7298949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28A0926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648DE6F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2E2B513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4972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22C7934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5D68BC5D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160F2BE1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F132663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7CB48106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33C6B3F3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68F232FD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2E9AF937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0A577CA3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595541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36CDCF60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0995FE8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010C70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4717A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78624763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D59A13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228BA02A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8C4099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C972983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biztosítástechnikai tartalékai</w:t>
      </w:r>
    </w:p>
    <w:p w14:paraId="2E20711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9E50ED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2D934CF8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06FC9AC4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23CA0E6C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9980813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87A7546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tartalékai fedezetét képező eszközök </w:t>
      </w:r>
    </w:p>
    <w:p w14:paraId="0CF1FD5D" w14:textId="77777777" w:rsidR="00A4712D" w:rsidRDefault="00A4712D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9180DF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7B09CBAA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1D74519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A82B229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02F9C62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334B325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43TF14 Befektetési jegyek soron a Kbftv.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57C96384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FB9DF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E7CC7F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459CEDB7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0586D8F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4B6FC5E3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A07857C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Ezekben a táblákban az adatszolgáltató a Kártalanítási Alap tárgyévi káralakulását mutatja be gépjármű kategóriánként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2D98AEBB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573F6C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CCE1424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8E79499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173CA486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C80749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370552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22948A2" w14:textId="77777777" w:rsidR="006B558F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64D46A7B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405E5A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147D98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C713A82" w14:textId="77777777" w:rsidR="00B13040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0EDE499F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0BB1BAD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2521773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FE66740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1513B611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303C61A9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177B6A6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4AE812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659D4AB5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E47F751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9E7B8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98C3AC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B73098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5D00453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6842941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D38B33D" w14:textId="77777777" w:rsidR="00B13040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341066C" w14:textId="77777777" w:rsidR="00A4712D" w:rsidRPr="005351C2" w:rsidRDefault="00A4712D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0A04037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2ECC55C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00448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F5C5FB5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45D08D6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CCC87FE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D8A1F9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6EB0208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70B9B177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EDA03C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lastRenderedPageBreak/>
        <w:t>A tábla sorai</w:t>
      </w:r>
    </w:p>
    <w:p w14:paraId="2CD0230B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DD1B7C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0874509F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459EC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16EA23C6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F6B1BCD" w14:textId="77777777" w:rsidR="00E96EB9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B165C24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63D9B4A8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31F47A3B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B02042D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6766E48C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5AC38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420BBE67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7943D46" w14:textId="77777777" w:rsidR="00721D2D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6CFF87AF" w14:textId="77777777" w:rsidR="00A4712D" w:rsidRPr="005351C2" w:rsidRDefault="00A471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053BF0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DD9274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EC588E4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0B217D74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ED690D4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287EC5A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71205D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68F345F5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7CFAE5B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5560B78B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A6E2B35" w14:textId="77777777" w:rsidR="002F71DE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F7C76AE" w14:textId="77777777" w:rsidR="00A4712D" w:rsidRPr="005351C2" w:rsidRDefault="00A4712D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4E1D6B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36F7EF4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0A3F9E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DB6A461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32CCDD14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784A18CF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DA6C784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240F8C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6194E4B9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81785C5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9739402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5201E8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E4011F8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AFE30C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4A252C1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524D97B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5C347D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FA8BC15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774440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0697F4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3A44983E" w14:textId="57A879B1" w:rsidR="006B558F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lastRenderedPageBreak/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</w:t>
      </w:r>
      <w:r w:rsidR="00F23024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illetve járadékmegváltásait jelenti.</w:t>
      </w:r>
    </w:p>
    <w:p w14:paraId="74914701" w14:textId="77777777" w:rsidR="00A4712D" w:rsidRPr="005351C2" w:rsidRDefault="00A4712D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45DF252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325D822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E1477F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4680C75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56C970B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1EB688C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F169DBE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21AE8EE4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0AC86E3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35BF85F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F820901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AA0236A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C6 IBNR tartalék megbontása a kár keletkezésének éve szerint</w:t>
      </w:r>
    </w:p>
    <w:p w14:paraId="3C7B47E4" w14:textId="77777777" w:rsidR="00A4712D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081BA03" w14:textId="77777777" w:rsidR="006B558F" w:rsidRDefault="00C97022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6BC9EA2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C294EBC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IBNR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r w:rsidR="00EF0972">
        <w:rPr>
          <w:rFonts w:ascii="Arial" w:hAnsi="Arial" w:cs="Arial"/>
          <w:sz w:val="20"/>
          <w:szCs w:val="20"/>
          <w:lang w:eastAsia="hu-HU"/>
        </w:rPr>
        <w:t xml:space="preserve">IBNR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17BE5758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C2984A9" w14:textId="77777777" w:rsidR="006F79AA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FD3425A" w14:textId="77777777" w:rsidR="00A4712D" w:rsidRPr="005351C2" w:rsidRDefault="00A4712D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6A55362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4F7CA487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8F6E" w14:textId="77777777" w:rsidR="00BC5D78" w:rsidRDefault="00BC5D78" w:rsidP="00BC5D78">
      <w:pPr>
        <w:spacing w:after="0"/>
      </w:pPr>
      <w:r>
        <w:separator/>
      </w:r>
    </w:p>
  </w:endnote>
  <w:endnote w:type="continuationSeparator" w:id="0">
    <w:p w14:paraId="7632814A" w14:textId="77777777" w:rsidR="00BC5D78" w:rsidRDefault="00BC5D78" w:rsidP="00BC5D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A548" w14:textId="77777777" w:rsidR="00BC5D78" w:rsidRDefault="00BC5D78" w:rsidP="00BC5D78">
      <w:pPr>
        <w:spacing w:after="0"/>
      </w:pPr>
      <w:r>
        <w:separator/>
      </w:r>
    </w:p>
  </w:footnote>
  <w:footnote w:type="continuationSeparator" w:id="0">
    <w:p w14:paraId="7A3225B7" w14:textId="77777777" w:rsidR="00BC5D78" w:rsidRDefault="00BC5D78" w:rsidP="00BC5D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5447">
    <w:abstractNumId w:val="5"/>
  </w:num>
  <w:num w:numId="2" w16cid:durableId="1199396959">
    <w:abstractNumId w:val="2"/>
  </w:num>
  <w:num w:numId="3" w16cid:durableId="1174610937">
    <w:abstractNumId w:val="0"/>
  </w:num>
  <w:num w:numId="4" w16cid:durableId="1631938576">
    <w:abstractNumId w:val="3"/>
  </w:num>
  <w:num w:numId="5" w16cid:durableId="246113547">
    <w:abstractNumId w:val="1"/>
  </w:num>
  <w:num w:numId="6" w16cid:durableId="1948998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22E2C"/>
    <w:rsid w:val="004466E4"/>
    <w:rsid w:val="004557F7"/>
    <w:rsid w:val="00464130"/>
    <w:rsid w:val="004649A6"/>
    <w:rsid w:val="004679A1"/>
    <w:rsid w:val="00477897"/>
    <w:rsid w:val="004D22B7"/>
    <w:rsid w:val="004D459D"/>
    <w:rsid w:val="004E5BBD"/>
    <w:rsid w:val="004E6A1C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17C1"/>
    <w:rsid w:val="006108E8"/>
    <w:rsid w:val="00625749"/>
    <w:rsid w:val="0063512C"/>
    <w:rsid w:val="00637D22"/>
    <w:rsid w:val="0064501A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6EB4"/>
    <w:rsid w:val="009057E6"/>
    <w:rsid w:val="00913A88"/>
    <w:rsid w:val="00920533"/>
    <w:rsid w:val="00920D63"/>
    <w:rsid w:val="009328BB"/>
    <w:rsid w:val="0093487B"/>
    <w:rsid w:val="00952F01"/>
    <w:rsid w:val="009757FB"/>
    <w:rsid w:val="009918A1"/>
    <w:rsid w:val="009A33FB"/>
    <w:rsid w:val="009B3C0A"/>
    <w:rsid w:val="009D2475"/>
    <w:rsid w:val="009D4CA5"/>
    <w:rsid w:val="009E7D4F"/>
    <w:rsid w:val="00A06E7A"/>
    <w:rsid w:val="00A33894"/>
    <w:rsid w:val="00A37695"/>
    <w:rsid w:val="00A44080"/>
    <w:rsid w:val="00A4712D"/>
    <w:rsid w:val="00A6484D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64123"/>
    <w:rsid w:val="00D72B20"/>
    <w:rsid w:val="00DA226A"/>
    <w:rsid w:val="00DA361D"/>
    <w:rsid w:val="00DB10C2"/>
    <w:rsid w:val="00DB58AE"/>
    <w:rsid w:val="00DC1D4B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B7FA2"/>
    <w:rsid w:val="00EC1886"/>
    <w:rsid w:val="00EC3462"/>
    <w:rsid w:val="00EC6C02"/>
    <w:rsid w:val="00ED3D61"/>
    <w:rsid w:val="00ED3F11"/>
    <w:rsid w:val="00ED732E"/>
    <w:rsid w:val="00EF0972"/>
    <w:rsid w:val="00EF73E7"/>
    <w:rsid w:val="00F23024"/>
    <w:rsid w:val="00F4027D"/>
    <w:rsid w:val="00F46AED"/>
    <w:rsid w:val="00F64B9E"/>
    <w:rsid w:val="00F86B4F"/>
    <w:rsid w:val="00F87AAA"/>
    <w:rsid w:val="00F91884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165DF0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  <w:style w:type="paragraph" w:styleId="Vltozat">
    <w:name w:val="Revision"/>
    <w:hidden/>
    <w:uiPriority w:val="99"/>
    <w:semiHidden/>
    <w:rsid w:val="00EB7FA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FBA9-E0D0-40D7-8BDC-7E422B1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936</Words>
  <Characters>6465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5</cp:revision>
  <dcterms:created xsi:type="dcterms:W3CDTF">2022-10-18T08:58:00Z</dcterms:created>
  <dcterms:modified xsi:type="dcterms:W3CDTF">2022-12-05T09:48:00Z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2030-10-19T09:42:43Z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2020-10-19T09:42:43Z</vt:filetime>
  </property>
</Properties>
</file>