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5828" w14:textId="77777777" w:rsidR="00D52870" w:rsidRDefault="00D52870" w:rsidP="003C0157">
      <w:pPr>
        <w:spacing w:after="0" w:line="240" w:lineRule="auto"/>
        <w:jc w:val="left"/>
        <w:rPr>
          <w:rFonts w:ascii="Arial" w:eastAsia="Times New Roman" w:hAnsi="Arial" w:cs="Arial"/>
        </w:rPr>
      </w:pPr>
    </w:p>
    <w:p w14:paraId="32138F0F" w14:textId="76894D9D" w:rsidR="003C0157" w:rsidRPr="00E93DDD" w:rsidRDefault="006D4D7E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</w:t>
      </w:r>
      <w:r w:rsidR="003C0157">
        <w:rPr>
          <w:rFonts w:ascii="Arial" w:eastAsia="Times New Roman" w:hAnsi="Arial" w:cs="Arial"/>
        </w:rPr>
        <w:t>. melléklet a</w:t>
      </w:r>
      <w:r w:rsidR="00431A24">
        <w:rPr>
          <w:rFonts w:ascii="Arial" w:eastAsia="Times New Roman" w:hAnsi="Arial" w:cs="Arial"/>
        </w:rPr>
        <w:t>z 53</w:t>
      </w:r>
      <w:r w:rsidR="003C0157">
        <w:rPr>
          <w:rFonts w:ascii="Arial" w:hAnsi="Arial" w:cs="Arial"/>
        </w:rPr>
        <w:t>/202</w:t>
      </w:r>
      <w:r>
        <w:rPr>
          <w:rFonts w:ascii="Arial" w:hAnsi="Arial" w:cs="Arial"/>
        </w:rPr>
        <w:t>2</w:t>
      </w:r>
      <w:r w:rsidR="003C0157">
        <w:rPr>
          <w:rFonts w:ascii="Arial" w:hAnsi="Arial" w:cs="Arial"/>
        </w:rPr>
        <w:t>. (</w:t>
      </w:r>
      <w:r w:rsidR="00431A24">
        <w:rPr>
          <w:rFonts w:ascii="Arial" w:hAnsi="Arial" w:cs="Arial"/>
        </w:rPr>
        <w:t>XII. 2.</w:t>
      </w:r>
      <w:r w:rsidR="003C0157">
        <w:rPr>
          <w:rFonts w:ascii="Arial" w:hAnsi="Arial" w:cs="Arial"/>
        </w:rPr>
        <w:t>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6F02BD8B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kisbiztosítónak nem minősülő biztosító </w:t>
      </w:r>
      <w:r w:rsidR="0037194C">
        <w:rPr>
          <w:rFonts w:ascii="Arial" w:eastAsia="Times New Roman" w:hAnsi="Arial" w:cs="Arial"/>
          <w:b/>
        </w:rPr>
        <w:t xml:space="preserve">PEPP </w:t>
      </w:r>
      <w:r w:rsidRPr="006249CC">
        <w:rPr>
          <w:rFonts w:ascii="Arial" w:eastAsia="Times New Roman" w:hAnsi="Arial" w:cs="Arial"/>
          <w:b/>
        </w:rPr>
        <w:t>szöveges jelentés</w:t>
      </w:r>
      <w:r w:rsidR="0037194C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290A0248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37194C">
        <w:rPr>
          <w:rFonts w:ascii="Arial" w:hAnsi="Arial" w:cs="Arial"/>
          <w:b/>
        </w:rPr>
        <w:t>PEPP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61AD4340" w14:textId="77777777" w:rsidR="00B95EC3" w:rsidRDefault="00B95EC3" w:rsidP="003C0157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0B79FB60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5BD83566" w14:textId="000655AF" w:rsidR="003C0157" w:rsidRDefault="003C0157" w:rsidP="003C0157">
      <w:pPr>
        <w:spacing w:after="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37194C">
        <w:rPr>
          <w:rFonts w:ascii="Arial" w:eastAsia="Times New Roman" w:hAnsi="Arial" w:cs="Arial"/>
        </w:rPr>
        <w:t>PEPP szöveges</w:t>
      </w:r>
      <w:r w:rsidRPr="00E93DDD">
        <w:rPr>
          <w:rFonts w:ascii="Arial" w:eastAsia="Times New Roman" w:hAnsi="Arial" w:cs="Arial"/>
        </w:rPr>
        <w:t xml:space="preserve"> jelentés teljesítése során alkalmazandó jogszabályok körét az 1. melléklet 1. pontja, a táblákban és a kitöltési előírásokban használt rövidítések értelmezésére vonatkozó rendelkezést az 1. melléklet 2. pontja határozza meg.</w:t>
      </w:r>
    </w:p>
    <w:p w14:paraId="1085658C" w14:textId="0E11BFAB" w:rsidR="003C0157" w:rsidRPr="00E93DDD" w:rsidRDefault="003C0157" w:rsidP="003C015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r w:rsidR="00D040AD">
        <w:rPr>
          <w:rFonts w:ascii="Arial" w:eastAsia="Times New Roman" w:hAnsi="Arial" w:cs="Arial"/>
          <w:b/>
        </w:rPr>
        <w:t>PEPP szöveges</w:t>
      </w:r>
      <w:r w:rsidRPr="00E93DDD">
        <w:rPr>
          <w:rFonts w:ascii="Arial" w:eastAsia="Times New Roman" w:hAnsi="Arial" w:cs="Arial"/>
          <w:b/>
        </w:rPr>
        <w:t xml:space="preserve"> jelentés formai követelményei</w:t>
      </w:r>
    </w:p>
    <w:p w14:paraId="68955704" w14:textId="7359D8CE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r w:rsidR="009D2C59">
        <w:rPr>
          <w:rFonts w:ascii="Arial" w:eastAsia="Times New Roman" w:hAnsi="Arial" w:cs="Arial"/>
          <w:snapToGrid w:val="0"/>
        </w:rPr>
        <w:t>PEPP szöveges</w:t>
      </w:r>
      <w:r w:rsidRPr="00E93DDD">
        <w:rPr>
          <w:rFonts w:ascii="Arial" w:eastAsia="Times New Roman" w:hAnsi="Arial" w:cs="Arial"/>
          <w:snapToGrid w:val="0"/>
        </w:rPr>
        <w:t xml:space="preserve"> jelentés formai követelményeit az 1. melléklet </w:t>
      </w:r>
      <w:r>
        <w:rPr>
          <w:rFonts w:ascii="Arial" w:eastAsia="Times New Roman" w:hAnsi="Arial" w:cs="Arial"/>
          <w:snapToGrid w:val="0"/>
        </w:rPr>
        <w:t>3.</w:t>
      </w:r>
      <w:r w:rsidR="00705525">
        <w:rPr>
          <w:rFonts w:ascii="Arial" w:eastAsia="Times New Roman" w:hAnsi="Arial" w:cs="Arial"/>
          <w:snapToGrid w:val="0"/>
        </w:rPr>
        <w:t>1.</w:t>
      </w:r>
      <w:r>
        <w:rPr>
          <w:rFonts w:ascii="Arial" w:eastAsia="Times New Roman" w:hAnsi="Arial" w:cs="Arial"/>
          <w:snapToGrid w:val="0"/>
        </w:rPr>
        <w:t xml:space="preserve"> </w:t>
      </w:r>
      <w:r w:rsidRPr="00E93DDD">
        <w:rPr>
          <w:rFonts w:ascii="Arial" w:eastAsia="Times New Roman" w:hAnsi="Arial" w:cs="Arial"/>
          <w:snapToGrid w:val="0"/>
        </w:rPr>
        <w:t>pontja határozz</w:t>
      </w:r>
      <w:r>
        <w:rPr>
          <w:rFonts w:ascii="Arial" w:eastAsia="Times New Roman" w:hAnsi="Arial" w:cs="Arial"/>
          <w:snapToGrid w:val="0"/>
        </w:rPr>
        <w:t>a</w:t>
      </w:r>
      <w:r w:rsidRPr="00E93DDD">
        <w:rPr>
          <w:rFonts w:ascii="Arial" w:eastAsia="Times New Roman" w:hAnsi="Arial" w:cs="Arial"/>
          <w:snapToGrid w:val="0"/>
        </w:rPr>
        <w:t xml:space="preserve"> meg.</w:t>
      </w:r>
    </w:p>
    <w:p w14:paraId="44382645" w14:textId="58DF5217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r w:rsidR="00705525">
        <w:rPr>
          <w:rFonts w:ascii="Arial" w:eastAsia="Times New Roman" w:hAnsi="Arial" w:cs="Arial"/>
          <w:b/>
        </w:rPr>
        <w:t>PEPP szöveges</w:t>
      </w:r>
      <w:r w:rsidRPr="00E93DDD">
        <w:rPr>
          <w:rFonts w:ascii="Arial" w:eastAsia="Times New Roman" w:hAnsi="Arial" w:cs="Arial"/>
          <w:b/>
        </w:rPr>
        <w:t xml:space="preserve"> jelentés tartalmi követelményei</w:t>
      </w:r>
    </w:p>
    <w:p w14:paraId="3920FB89" w14:textId="0A5D34EB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705525">
        <w:rPr>
          <w:rFonts w:ascii="Arial" w:eastAsia="Times New Roman" w:hAnsi="Arial" w:cs="Arial"/>
        </w:rPr>
        <w:t>PEPP szöveges</w:t>
      </w:r>
      <w:r w:rsidRPr="00E93DDD">
        <w:rPr>
          <w:rFonts w:ascii="Arial" w:eastAsia="Times New Roman" w:hAnsi="Arial" w:cs="Arial"/>
        </w:rPr>
        <w:t xml:space="preserve"> jelentés tartalmi követelményeit az 1. melléklet 4. pontja határozza meg.</w:t>
      </w:r>
    </w:p>
    <w:p w14:paraId="502BD788" w14:textId="77777777" w:rsidR="00EB73CB" w:rsidRPr="006249CC" w:rsidRDefault="00EB73CB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15E81C6" w14:textId="77777777" w:rsidR="003C0157" w:rsidRDefault="003C0157" w:rsidP="003C0157">
      <w:pPr>
        <w:spacing w:before="240"/>
        <w:jc w:val="center"/>
        <w:rPr>
          <w:rFonts w:ascii="Arial" w:hAnsi="Arial" w:cs="Arial"/>
          <w:b/>
        </w:rPr>
      </w:pPr>
      <w:bookmarkStart w:id="0" w:name="_Hlk76739897"/>
      <w:r>
        <w:rPr>
          <w:rFonts w:ascii="Arial" w:hAnsi="Arial" w:cs="Arial"/>
          <w:b/>
        </w:rPr>
        <w:t>II.</w:t>
      </w:r>
    </w:p>
    <w:p w14:paraId="61A55BF3" w14:textId="2BD05AA9" w:rsidR="003C0157" w:rsidRDefault="003C0157" w:rsidP="00B95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r w:rsidR="00D85918">
        <w:rPr>
          <w:rFonts w:ascii="Arial" w:hAnsi="Arial" w:cs="Arial"/>
          <w:b/>
        </w:rPr>
        <w:t xml:space="preserve">PEPP szöveges </w:t>
      </w:r>
      <w:r>
        <w:rPr>
          <w:rFonts w:ascii="Arial" w:hAnsi="Arial" w:cs="Arial"/>
          <w:b/>
        </w:rPr>
        <w:t xml:space="preserve">jelentés </w:t>
      </w:r>
      <w:r w:rsidR="00672EA1">
        <w:rPr>
          <w:rFonts w:ascii="Arial" w:hAnsi="Arial" w:cs="Arial"/>
          <w:b/>
        </w:rPr>
        <w:t>tartalma</w:t>
      </w:r>
    </w:p>
    <w:p w14:paraId="2AFCEFC4" w14:textId="77777777" w:rsidR="00B95EC3" w:rsidRDefault="00B95EC3" w:rsidP="00B95EC3">
      <w:pPr>
        <w:spacing w:after="0" w:line="240" w:lineRule="auto"/>
        <w:rPr>
          <w:rFonts w:ascii="Arial" w:hAnsi="Arial" w:cs="Arial"/>
          <w:b/>
          <w:bCs/>
        </w:rPr>
      </w:pPr>
    </w:p>
    <w:p w14:paraId="0A756D10" w14:textId="37FA8748" w:rsidR="002761B4" w:rsidRPr="00D05176" w:rsidRDefault="00D05176" w:rsidP="00D051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761B4" w:rsidRPr="00D05176">
        <w:rPr>
          <w:rFonts w:ascii="Arial" w:hAnsi="Arial" w:cs="Arial"/>
        </w:rPr>
        <w:t>PEPP-üzletág</w:t>
      </w:r>
    </w:p>
    <w:p w14:paraId="55E5BC2E" w14:textId="0553D91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706ED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PEPP-üzletág jellegé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a befektetési lehetőségek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valamint a referencia-időszakban történt minden jelentős változást kiváltó esemény</w:t>
      </w:r>
      <w:r w:rsidR="002B1EB4">
        <w:rPr>
          <w:rFonts w:ascii="Arial" w:hAnsi="Arial" w:cs="Arial"/>
        </w:rPr>
        <w:t>nek az ismertetése</w:t>
      </w:r>
      <w:r w:rsidR="002761B4" w:rsidRPr="00D40906">
        <w:rPr>
          <w:rFonts w:ascii="Arial" w:hAnsi="Arial" w:cs="Arial"/>
        </w:rPr>
        <w:t>, a következőkre kiterjedően:</w:t>
      </w:r>
    </w:p>
    <w:p w14:paraId="6971017B" w14:textId="13E7528C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</w:t>
      </w:r>
      <w:r w:rsidR="00AE4DE2" w:rsidRPr="000130A1">
        <w:rPr>
          <w:rFonts w:ascii="Arial" w:hAnsi="Arial" w:cs="Arial"/>
        </w:rPr>
        <w:t>páneurópai</w:t>
      </w:r>
      <w:r w:rsidR="007840CC" w:rsidRPr="000130A1">
        <w:rPr>
          <w:rFonts w:ascii="Arial" w:hAnsi="Arial" w:cs="Arial"/>
        </w:rPr>
        <w:t xml:space="preserve"> egyéni nyugdíjtermék</w:t>
      </w:r>
      <w:r w:rsidR="00AE4DE2" w:rsidRPr="000130A1">
        <w:rPr>
          <w:rFonts w:ascii="Arial" w:hAnsi="Arial" w:cs="Arial"/>
        </w:rPr>
        <w:t xml:space="preserve"> (a továbbiakban: </w:t>
      </w:r>
      <w:r w:rsidR="002761B4" w:rsidRPr="000130A1">
        <w:rPr>
          <w:rFonts w:ascii="Arial" w:hAnsi="Arial" w:cs="Arial"/>
        </w:rPr>
        <w:t>PEPP</w:t>
      </w:r>
      <w:r w:rsidR="00AE4DE2" w:rsidRPr="000130A1">
        <w:rPr>
          <w:rFonts w:ascii="Arial" w:hAnsi="Arial" w:cs="Arial"/>
        </w:rPr>
        <w:t>)</w:t>
      </w:r>
      <w:r w:rsidR="002761B4" w:rsidRPr="000130A1">
        <w:rPr>
          <w:rFonts w:ascii="Arial" w:hAnsi="Arial" w:cs="Arial"/>
        </w:rPr>
        <w:t xml:space="preserve"> regisztrációs száma;</w:t>
      </w:r>
    </w:p>
    <w:p w14:paraId="2F52C48B" w14:textId="25D57ED5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könyvvizsgáló</w:t>
      </w:r>
      <w:r w:rsidR="002B1EB4" w:rsidRPr="000130A1">
        <w:rPr>
          <w:rFonts w:ascii="Arial" w:hAnsi="Arial" w:cs="Arial"/>
        </w:rPr>
        <w:t>jának</w:t>
      </w:r>
      <w:r w:rsidR="002761B4" w:rsidRPr="000130A1">
        <w:rPr>
          <w:rFonts w:ascii="Arial" w:hAnsi="Arial" w:cs="Arial"/>
        </w:rPr>
        <w:t xml:space="preserve"> neve és címe;</w:t>
      </w:r>
    </w:p>
    <w:p w14:paraId="154AE1D0" w14:textId="5AF6D7AC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</w:t>
      </w:r>
      <w:r w:rsidR="002B1EB4" w:rsidRPr="00491B14">
        <w:rPr>
          <w:rFonts w:ascii="Arial" w:hAnsi="Arial" w:cs="Arial"/>
        </w:rPr>
        <w:t>z adat</w:t>
      </w:r>
      <w:r w:rsidR="002761B4" w:rsidRPr="00491B14">
        <w:rPr>
          <w:rFonts w:ascii="Arial" w:hAnsi="Arial" w:cs="Arial"/>
        </w:rPr>
        <w:t>szolgáltató által nyújtott befektetési lehetőségek, a nyújtott garanciák – beleér</w:t>
      </w:r>
      <w:r w:rsidR="006D4D7E">
        <w:rPr>
          <w:rFonts w:ascii="Arial" w:hAnsi="Arial" w:cs="Arial"/>
        </w:rPr>
        <w:t>t</w:t>
      </w:r>
      <w:r w:rsidR="002761B4" w:rsidRPr="00491B14">
        <w:rPr>
          <w:rFonts w:ascii="Arial" w:hAnsi="Arial" w:cs="Arial"/>
        </w:rPr>
        <w:t>ve a garanciák árazásának ismertetését – és az érintett országok köre, ahol ezek a befektetési lehetőségek elérhetők, kiemelve a tárgyidőszak alatt történt változásokat;</w:t>
      </w:r>
    </w:p>
    <w:p w14:paraId="74C5AFD1" w14:textId="476A3D61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célpiac és a tényleges PEPP-megtakarítók bemutatása, ennek keretében a potenciális PEPP-megtakarítók életkor szerinti összetétel</w:t>
      </w:r>
      <w:r w:rsidR="00AE4DE2" w:rsidRPr="00491B14">
        <w:rPr>
          <w:rFonts w:ascii="Arial" w:hAnsi="Arial" w:cs="Arial"/>
        </w:rPr>
        <w:t>én</w:t>
      </w:r>
      <w:r w:rsidR="002B1EB4" w:rsidRPr="00491B14">
        <w:rPr>
          <w:rFonts w:ascii="Arial" w:hAnsi="Arial" w:cs="Arial"/>
        </w:rPr>
        <w:t>e</w:t>
      </w:r>
      <w:r w:rsidR="00AE4DE2" w:rsidRPr="00491B14">
        <w:rPr>
          <w:rFonts w:ascii="Arial" w:hAnsi="Arial" w:cs="Arial"/>
        </w:rPr>
        <w:t>k</w:t>
      </w:r>
      <w:r w:rsidR="002761B4" w:rsidRPr="00491B14">
        <w:rPr>
          <w:rFonts w:ascii="Arial" w:hAnsi="Arial" w:cs="Arial"/>
        </w:rPr>
        <w:t>, valamint a</w:t>
      </w:r>
      <w:r w:rsidR="00AE4DE2" w:rsidRPr="00491B14">
        <w:rPr>
          <w:rFonts w:ascii="Arial" w:hAnsi="Arial" w:cs="Arial"/>
        </w:rPr>
        <w:t>nnak ismer</w:t>
      </w:r>
      <w:r w:rsidR="008018C8">
        <w:rPr>
          <w:rFonts w:ascii="Arial" w:hAnsi="Arial" w:cs="Arial"/>
        </w:rPr>
        <w:t>t</w:t>
      </w:r>
      <w:r w:rsidR="00AE4DE2" w:rsidRPr="00491B14">
        <w:rPr>
          <w:rFonts w:ascii="Arial" w:hAnsi="Arial" w:cs="Arial"/>
        </w:rPr>
        <w:t>etés</w:t>
      </w:r>
      <w:r w:rsidR="008018C8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 xml:space="preserve">, hogy a PEPP-megtakarítók pénzügyi helyzetét, pénzügyi ismereteit és veszteségviselő képességét </w:t>
      </w:r>
      <w:r w:rsidR="00187A84" w:rsidRPr="00491B14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miként veszi figyelembe a befektetési profil kialakítása szempontjából;</w:t>
      </w:r>
    </w:p>
    <w:p w14:paraId="5EF6DB29" w14:textId="4ABCB5EE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minden olyan</w:t>
      </w:r>
      <w:r w:rsidR="00DA4FC6">
        <w:rPr>
          <w:rFonts w:ascii="Arial" w:hAnsi="Arial" w:cs="Arial"/>
        </w:rPr>
        <w:t xml:space="preserve">, </w:t>
      </w:r>
      <w:r w:rsidR="00B05874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>tárgyidőszakban történt, a PEPP-megtakarító célkitűzéseire, a</w:t>
      </w:r>
      <w:r w:rsidR="00187A84" w:rsidRPr="00491B14">
        <w:rPr>
          <w:rFonts w:ascii="Arial" w:hAnsi="Arial" w:cs="Arial"/>
        </w:rPr>
        <w:t>z adatszolgál</w:t>
      </w:r>
      <w:r w:rsidR="006D4D7E">
        <w:rPr>
          <w:rFonts w:ascii="Arial" w:hAnsi="Arial" w:cs="Arial"/>
        </w:rPr>
        <w:t>t</w:t>
      </w:r>
      <w:r w:rsidR="00187A84" w:rsidRPr="00491B14">
        <w:rPr>
          <w:rFonts w:ascii="Arial" w:hAnsi="Arial" w:cs="Arial"/>
        </w:rPr>
        <w:t>atóra</w:t>
      </w:r>
      <w:r w:rsidR="002761B4" w:rsidRPr="00491B14">
        <w:rPr>
          <w:rFonts w:ascii="Arial" w:hAnsi="Arial" w:cs="Arial"/>
        </w:rPr>
        <w:t xml:space="preserve"> vagy annak PEPP-üzletági modelljeire és PEPP-stratégiájára lényeges hatást gyakorló bármely jelentős esemény, amennyiben erről </w:t>
      </w:r>
      <w:r w:rsidR="00DA4FC6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korábban nem számolt be;</w:t>
      </w:r>
    </w:p>
    <w:p w14:paraId="3F42A603" w14:textId="268A343A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>a tárgyidőszakban a PEPP fejlődésére, teljesítményére és pozíciójára pozitív vagy negatív hatást gyakorló főbb trendek és tényezők;</w:t>
      </w:r>
    </w:p>
    <w:p w14:paraId="7AE78D10" w14:textId="0B891186" w:rsidR="002761B4" w:rsidRPr="00491B14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g)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 forgalmazásához használt értékesítési csatornák és a megfelelő értékesítést biztosító ellenőrzések bemutatása;</w:t>
      </w:r>
    </w:p>
    <w:p w14:paraId="201BA60F" w14:textId="0B008408" w:rsidR="002761B4" w:rsidRPr="00491B14" w:rsidRDefault="003D5BBB" w:rsidP="00C5005D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>h)</w:t>
      </w:r>
      <w:r w:rsidR="008018C8">
        <w:rPr>
          <w:rFonts w:ascii="Arial" w:hAnsi="Arial" w:cs="Arial"/>
        </w:rPr>
        <w:t xml:space="preserve"> </w:t>
      </w:r>
      <w:r w:rsidR="00A63ABF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>PEPP-üzletágban a tárgyidőszak alatt végrehajtott, váltásra irányuló eljárások;</w:t>
      </w:r>
    </w:p>
    <w:p w14:paraId="5FBE620B" w14:textId="2471FD66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="002761B4" w:rsidRPr="000130A1">
        <w:rPr>
          <w:rFonts w:ascii="Arial" w:hAnsi="Arial" w:cs="Arial"/>
        </w:rPr>
        <w:t>beérkezett panaszok ismertetése, beleértve a panaszkezelés eredményét</w:t>
      </w:r>
      <w:r w:rsidR="009260BF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panaszokkal érintett szerződések átlagos futamidejét</w:t>
      </w:r>
      <w:r w:rsidR="00331E53" w:rsidRPr="000130A1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 témáját, továbbá </w:t>
      </w:r>
      <w:r w:rsidR="00331E53" w:rsidRPr="000130A1">
        <w:rPr>
          <w:rFonts w:ascii="Arial" w:hAnsi="Arial" w:cs="Arial"/>
        </w:rPr>
        <w:t xml:space="preserve">arra vonatkozó információkat, hogy az adatszolgáltató </w:t>
      </w:r>
      <w:r w:rsidR="002761B4" w:rsidRPr="000130A1">
        <w:rPr>
          <w:rFonts w:ascii="Arial" w:hAnsi="Arial" w:cs="Arial"/>
        </w:rPr>
        <w:t xml:space="preserve">milyen lépéseket tett a konkrét panaszok kezelésére, illetve milyen általánosabb </w:t>
      </w:r>
      <w:r w:rsidR="002761B4" w:rsidRPr="000130A1">
        <w:rPr>
          <w:rFonts w:ascii="Arial" w:hAnsi="Arial" w:cs="Arial"/>
        </w:rPr>
        <w:lastRenderedPageBreak/>
        <w:t>intézkedéseket hozott a PEPP kialakításával és forgalmazásával kapcsolatos esetleges kérdések kezelésére.</w:t>
      </w:r>
    </w:p>
    <w:p w14:paraId="290286AC" w14:textId="77777777" w:rsidR="00331E53" w:rsidRPr="000130A1" w:rsidRDefault="00331E53" w:rsidP="000130A1">
      <w:pPr>
        <w:ind w:left="567"/>
        <w:rPr>
          <w:rFonts w:ascii="Arial" w:hAnsi="Arial" w:cs="Arial"/>
        </w:rPr>
      </w:pPr>
    </w:p>
    <w:p w14:paraId="25C41C9C" w14:textId="7CBCC85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C7EB6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PEPP-üzletágra vonatkozó irányítási struktúr</w:t>
      </w:r>
      <w:r w:rsidR="004D0587">
        <w:rPr>
          <w:rFonts w:ascii="Arial" w:hAnsi="Arial" w:cs="Arial"/>
        </w:rPr>
        <w:t>a bemutatása</w:t>
      </w:r>
      <w:r w:rsidR="002761B4" w:rsidRPr="00D40906">
        <w:rPr>
          <w:rFonts w:ascii="Arial" w:hAnsi="Arial" w:cs="Arial"/>
        </w:rPr>
        <w:t>, legalább az alábbiakra kitérve:</w:t>
      </w:r>
    </w:p>
    <w:p w14:paraId="6F8A53A0" w14:textId="74720FBF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meglévő igazgatási és elszámolási eljárások, amelyek a PEPP-pel kapcsolatos befektetésekről és kötelezettségekről megbízható és valós képet adó jelentések elkészítését teszik lehetővé, és megfelelnek az összes alkalmazandó számviteli standardnak;</w:t>
      </w:r>
    </w:p>
    <w:p w14:paraId="28B721DB" w14:textId="25086E06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PEPP-üzletág tekintetében bevezetett megfelelés funkció főbb feladataira vonatkozó információ;</w:t>
      </w:r>
    </w:p>
    <w:p w14:paraId="149A846F" w14:textId="4F7192CD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06D760CF" w14:textId="7074AD65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annak bemutatása, hogy az aktuáriusi feladatkör főbb feladatait miként végzik el a PEPP-üzletág esetében;</w:t>
      </w:r>
    </w:p>
    <w:p w14:paraId="0FA98772" w14:textId="441302FA" w:rsidR="002761B4" w:rsidRPr="000130A1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PEPP-pel kapcsolatosan külső partnerekkel kötött együttműködések és szerződések, ezen együttműködések és szerződések működése, feltételei és teljesítménye az érintett PEPP-szerződések vonatkozásában</w:t>
      </w:r>
      <w:r w:rsidR="002761B4" w:rsidRPr="000130A1">
        <w:rPr>
          <w:rFonts w:ascii="Arial" w:hAnsi="Arial" w:cs="Arial"/>
        </w:rPr>
        <w:t>.</w:t>
      </w:r>
    </w:p>
    <w:p w14:paraId="02AE8E60" w14:textId="77777777" w:rsidR="00F5765A" w:rsidRPr="000130A1" w:rsidRDefault="00F5765A" w:rsidP="000130A1">
      <w:pPr>
        <w:ind w:left="567"/>
        <w:rPr>
          <w:rFonts w:ascii="Arial" w:hAnsi="Arial" w:cs="Arial"/>
        </w:rPr>
      </w:pPr>
    </w:p>
    <w:p w14:paraId="75BDD443" w14:textId="014A1435" w:rsidR="002761B4" w:rsidRPr="000130A1" w:rsidRDefault="00965AD1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761B4" w:rsidRPr="000130A1">
        <w:rPr>
          <w:rFonts w:ascii="Arial" w:hAnsi="Arial" w:cs="Arial"/>
        </w:rPr>
        <w:t>Befektetési stratégia és teljesítmény</w:t>
      </w:r>
    </w:p>
    <w:p w14:paraId="0E8502DB" w14:textId="715F634D" w:rsidR="002761B4" w:rsidRPr="00491B14" w:rsidRDefault="00965AD1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DF02EA">
        <w:rPr>
          <w:rFonts w:ascii="Arial" w:hAnsi="Arial" w:cs="Arial"/>
        </w:rPr>
        <w:t>.</w:t>
      </w:r>
      <w:r w:rsidR="002761B4" w:rsidRPr="00491B14">
        <w:rPr>
          <w:rFonts w:ascii="Arial" w:hAnsi="Arial" w:cs="Arial"/>
        </w:rPr>
        <w:t xml:space="preserve"> </w:t>
      </w:r>
      <w:r w:rsidR="00EE7734" w:rsidRPr="00491B14">
        <w:rPr>
          <w:rFonts w:ascii="Arial" w:hAnsi="Arial" w:cs="Arial"/>
        </w:rPr>
        <w:t xml:space="preserve">Az alkalmazott befektetési stratégia ismertetése a </w:t>
      </w:r>
      <w:r w:rsidR="002761B4" w:rsidRPr="00491B14">
        <w:rPr>
          <w:rFonts w:ascii="Arial" w:hAnsi="Arial" w:cs="Arial"/>
        </w:rPr>
        <w:t>PEPP valamennyi befektetési lehetősége vonatkozásába</w:t>
      </w:r>
      <w:r w:rsidR="00EE7734" w:rsidRPr="00491B14">
        <w:rPr>
          <w:rFonts w:ascii="Arial" w:hAnsi="Arial" w:cs="Arial"/>
        </w:rPr>
        <w:t>n,</w:t>
      </w:r>
      <w:r w:rsidR="002761B4" w:rsidRPr="00491B14">
        <w:rPr>
          <w:rFonts w:ascii="Arial" w:hAnsi="Arial" w:cs="Arial"/>
        </w:rPr>
        <w:t xml:space="preserve"> legalább a következőkre kiterjed</w:t>
      </w:r>
      <w:r w:rsidR="00EE7734" w:rsidRPr="00491B14">
        <w:rPr>
          <w:rFonts w:ascii="Arial" w:hAnsi="Arial" w:cs="Arial"/>
        </w:rPr>
        <w:t>ően</w:t>
      </w:r>
      <w:r w:rsidR="002761B4" w:rsidRPr="00491B14">
        <w:rPr>
          <w:rFonts w:ascii="Arial" w:hAnsi="Arial" w:cs="Arial"/>
        </w:rPr>
        <w:t>:</w:t>
      </w:r>
    </w:p>
    <w:p w14:paraId="1FCB506C" w14:textId="1CB147F5" w:rsidR="002761B4" w:rsidRPr="00C5005D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2761B4" w:rsidRPr="00C5005D">
        <w:rPr>
          <w:rFonts w:ascii="Arial" w:hAnsi="Arial" w:cs="Arial"/>
        </w:rPr>
        <w:t xml:space="preserve"> a</w:t>
      </w:r>
      <w:r w:rsidR="00DA210C" w:rsidRPr="00C5005D">
        <w:rPr>
          <w:rFonts w:ascii="Arial" w:hAnsi="Arial" w:cs="Arial"/>
        </w:rPr>
        <w:t>z (EU) 2019/1238 európai parlamenti és tanácsi</w:t>
      </w:r>
      <w:r w:rsidR="002761B4" w:rsidRPr="00C5005D">
        <w:rPr>
          <w:rFonts w:ascii="Arial" w:hAnsi="Arial" w:cs="Arial"/>
        </w:rPr>
        <w:t xml:space="preserve"> rendelet 41. cikkének való megfelelés érdekében létrehozott rendszerek bemutatása;</w:t>
      </w:r>
    </w:p>
    <w:p w14:paraId="55D8EFF0" w14:textId="2446CC40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befektetési stratégia kockázati tényezőinek és hozamforrásainak beazonosítása;</w:t>
      </w:r>
    </w:p>
    <w:p w14:paraId="7E79A692" w14:textId="4B1677BC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(ESG) tényezőket;</w:t>
      </w:r>
    </w:p>
    <w:p w14:paraId="1BF82DD2" w14:textId="1DE43FDB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1B0291A8" w14:textId="37FC41E3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adott esetben a likviditáskezelési terv és azon lépések bemutatása, amelyeket ilyen esemény bekövetkezése esetén a</w:t>
      </w:r>
      <w:r w:rsidR="007C7EB6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megtehet.</w:t>
      </w:r>
    </w:p>
    <w:p w14:paraId="4C9A8EA1" w14:textId="737175A2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PEPP-pel kapcsolatos befektetések pénzügyi teljesítményével kapcsolatos részletes információk bemutat</w:t>
      </w:r>
      <w:r w:rsidR="007C7EB6" w:rsidRPr="00491B14">
        <w:rPr>
          <w:rFonts w:ascii="Arial" w:hAnsi="Arial" w:cs="Arial"/>
        </w:rPr>
        <w:t>ása</w:t>
      </w:r>
      <w:r w:rsidR="002761B4" w:rsidRPr="00491B14">
        <w:rPr>
          <w:rFonts w:ascii="Arial" w:hAnsi="Arial" w:cs="Arial"/>
        </w:rPr>
        <w:t>, beleértve az alábbiakat:</w:t>
      </w:r>
    </w:p>
    <w:p w14:paraId="605EA3F5" w14:textId="63786C17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az igazgatási vagy irányítótestület elemzése a PEPP-pel kapcsolatos befektetések általános teljesítményéről;</w:t>
      </w:r>
    </w:p>
    <w:p w14:paraId="29C4D64E" w14:textId="28661141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PEPP-pel kapcsolatos befektetések nyeresége és vesztesége és </w:t>
      </w:r>
      <w:r w:rsidR="002761B4" w:rsidRPr="000130A1">
        <w:rPr>
          <w:rFonts w:ascii="Arial" w:hAnsi="Arial" w:cs="Arial"/>
        </w:rPr>
        <w:t xml:space="preserve">az </w:t>
      </w:r>
      <w:r w:rsidR="00DD3D58" w:rsidRPr="000130A1">
        <w:rPr>
          <w:rFonts w:ascii="Arial" w:hAnsi="Arial" w:cs="Arial"/>
        </w:rPr>
        <w:t>ezen</w:t>
      </w:r>
      <w:r w:rsidR="002761B4" w:rsidRPr="000130A1">
        <w:rPr>
          <w:rFonts w:ascii="Arial" w:hAnsi="Arial" w:cs="Arial"/>
        </w:rPr>
        <w:t xml:space="preserve"> bevételek összetétele a befektetési kategóriák megfelelő alcsoportjai szerint;</w:t>
      </w:r>
    </w:p>
    <w:p w14:paraId="7F5E422D" w14:textId="0239BD1C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2761B4" w:rsidRPr="00491B14">
        <w:rPr>
          <w:rFonts w:ascii="Arial" w:hAnsi="Arial" w:cs="Arial"/>
        </w:rPr>
        <w:t>a származtatott termékek hatása a PEPP befektetési teljesítményére;</w:t>
      </w:r>
    </w:p>
    <w:p w14:paraId="5E1DC25D" w14:textId="6EB0BBAF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tárgyidőszak alatti PEPP befektetési kiadások és a korábbi évekhez viszonyított lényeg</w:t>
      </w:r>
      <w:r w:rsidR="008018C8">
        <w:rPr>
          <w:rFonts w:ascii="Arial" w:hAnsi="Arial" w:cs="Arial"/>
        </w:rPr>
        <w:t xml:space="preserve">es </w:t>
      </w:r>
      <w:r w:rsidR="002761B4" w:rsidRPr="00491B14">
        <w:rPr>
          <w:rFonts w:ascii="Arial" w:hAnsi="Arial" w:cs="Arial"/>
        </w:rPr>
        <w:t>változások okai.</w:t>
      </w:r>
    </w:p>
    <w:p w14:paraId="36B65A1B" w14:textId="0D1D16F2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2761B4" w:rsidRPr="000130A1">
        <w:rPr>
          <w:rFonts w:ascii="Arial" w:hAnsi="Arial" w:cs="Arial"/>
        </w:rPr>
        <w:t>Kockázatkezelés és kockázatcsökkentési technikák</w:t>
      </w:r>
    </w:p>
    <w:p w14:paraId="0CAB7C01" w14:textId="55873F48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3.1</w:t>
      </w:r>
      <w:r w:rsidR="007C30B9">
        <w:rPr>
          <w:rFonts w:ascii="Arial" w:hAnsi="Arial" w:cs="Arial"/>
        </w:rPr>
        <w:t>.</w:t>
      </w:r>
      <w:r w:rsidR="008018C8">
        <w:rPr>
          <w:rFonts w:ascii="Arial" w:hAnsi="Arial" w:cs="Arial"/>
        </w:rPr>
        <w:t xml:space="preserve"> </w:t>
      </w:r>
      <w:r w:rsidR="00883DCA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 xml:space="preserve">PEPP-szolgáltatással kapcsolatos </w:t>
      </w:r>
      <w:r w:rsidR="002761B4" w:rsidRPr="00491B14">
        <w:rPr>
          <w:rFonts w:ascii="Arial" w:hAnsi="Arial" w:cs="Arial"/>
        </w:rPr>
        <w:t>kockázatok, a PEPP-szolgáltatással kapcsolatos kockázatkezelési rendszer</w:t>
      </w:r>
      <w:r w:rsidR="00883DCA" w:rsidRPr="00491B14">
        <w:rPr>
          <w:rFonts w:ascii="Arial" w:hAnsi="Arial" w:cs="Arial"/>
        </w:rPr>
        <w:t xml:space="preserve"> ismertetése</w:t>
      </w:r>
      <w:r w:rsidR="002761B4" w:rsidRPr="00491B14">
        <w:rPr>
          <w:rFonts w:ascii="Arial" w:hAnsi="Arial" w:cs="Arial"/>
        </w:rPr>
        <w:t>, beleértve a</w:t>
      </w:r>
      <w:r w:rsidR="006D4197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kockázatkezelési stratégiáját és a stratégiának való megfelelés biztosítására szolgáló szabályzatokat.</w:t>
      </w:r>
    </w:p>
    <w:p w14:paraId="29C0DCB3" w14:textId="40938F9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7C30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>Annak bemutatása</w:t>
      </w:r>
      <w:r w:rsidR="002761B4" w:rsidRPr="00491B14">
        <w:rPr>
          <w:rFonts w:ascii="Arial" w:hAnsi="Arial" w:cs="Arial"/>
        </w:rPr>
        <w:t xml:space="preserve">, hogy a kockázatkezelési rendszer hogyan képes folyamatosan beazonosítani, mérni, ellenőrizni, kezelni és jelenteni azokat a kockázatokat és kockázati kölcsönhatásokat, amelyeknek a PEPP-megtakarítók ki vannak vagy ki lehetnek téve. </w:t>
      </w:r>
      <w:r w:rsidR="006D4197" w:rsidRPr="00491B14">
        <w:rPr>
          <w:rFonts w:ascii="Arial" w:hAnsi="Arial" w:cs="Arial"/>
        </w:rPr>
        <w:t>E körben</w:t>
      </w:r>
      <w:r w:rsidR="002761B4" w:rsidRPr="00491B14">
        <w:rPr>
          <w:rFonts w:ascii="Arial" w:hAnsi="Arial" w:cs="Arial"/>
        </w:rPr>
        <w:t xml:space="preserve"> </w:t>
      </w:r>
      <w:r w:rsidR="001237AA" w:rsidRPr="00491B14">
        <w:rPr>
          <w:rFonts w:ascii="Arial" w:hAnsi="Arial" w:cs="Arial"/>
        </w:rPr>
        <w:t xml:space="preserve">a PEPP szöveges jelentésnek </w:t>
      </w:r>
      <w:r w:rsidR="002761B4" w:rsidRPr="00491B14">
        <w:rPr>
          <w:rFonts w:ascii="Arial" w:hAnsi="Arial" w:cs="Arial"/>
        </w:rPr>
        <w:t>a következőkre kell kiterjednie:</w:t>
      </w:r>
    </w:p>
    <w:p w14:paraId="66DF8A8E" w14:textId="072BA5E5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761B4" w:rsidRPr="00491B14">
        <w:rPr>
          <w:rFonts w:ascii="Arial" w:hAnsi="Arial" w:cs="Arial"/>
        </w:rPr>
        <w:t>a PEPP-üzletág kockázatkezelési keretrendszer</w:t>
      </w:r>
      <w:r w:rsidR="007053D3" w:rsidRPr="00491B14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>, a kockázatok kezelésére vonatkozó szabályzatok alapján, az ajánlott PEPP jellegére, volumenére és összetettségére tekintettel;</w:t>
      </w:r>
    </w:p>
    <w:p w14:paraId="28D34706" w14:textId="6B2A8FD1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761B4" w:rsidRPr="00491B14">
        <w:rPr>
          <w:rFonts w:ascii="Arial" w:hAnsi="Arial" w:cs="Arial"/>
        </w:rPr>
        <w:t>a</w:t>
      </w:r>
      <w:r w:rsidR="007053D3" w:rsidRPr="00491B14">
        <w:rPr>
          <w:rFonts w:ascii="Arial" w:hAnsi="Arial" w:cs="Arial"/>
        </w:rPr>
        <w:t>z</w:t>
      </w:r>
      <w:r w:rsidR="002761B4" w:rsidRPr="00491B14">
        <w:rPr>
          <w:rFonts w:ascii="Arial" w:hAnsi="Arial" w:cs="Arial"/>
        </w:rPr>
        <w:t xml:space="preserve"> </w:t>
      </w:r>
      <w:r w:rsidR="007053D3" w:rsidRPr="00491B14">
        <w:rPr>
          <w:rFonts w:ascii="Arial" w:hAnsi="Arial" w:cs="Arial"/>
        </w:rPr>
        <w:t xml:space="preserve">(EU) 2019/1238 európai parlamenti és tanácsi </w:t>
      </w:r>
      <w:r w:rsidR="002761B4" w:rsidRPr="00491B14">
        <w:rPr>
          <w:rFonts w:ascii="Arial" w:hAnsi="Arial" w:cs="Arial"/>
        </w:rPr>
        <w:t>rendelet követelményeinek való megfelelés érdekében létrehozott rendszerek;</w:t>
      </w:r>
    </w:p>
    <w:p w14:paraId="4C587810" w14:textId="5ADC329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2761B4" w:rsidRPr="00491B14">
        <w:rPr>
          <w:rFonts w:ascii="Arial" w:hAnsi="Arial" w:cs="Arial"/>
        </w:rPr>
        <w:t xml:space="preserve">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</w:t>
      </w:r>
      <w:r w:rsidR="00475ED4">
        <w:rPr>
          <w:rFonts w:ascii="Arial" w:hAnsi="Arial" w:cs="Arial"/>
        </w:rPr>
        <w:t xml:space="preserve">hogy a PEPP adatszolgáltató </w:t>
      </w:r>
      <w:r w:rsidR="002761B4" w:rsidRPr="00491B14">
        <w:rPr>
          <w:rFonts w:ascii="Arial" w:hAnsi="Arial" w:cs="Arial"/>
        </w:rPr>
        <w:t xml:space="preserve">hogyan közelíti meg </w:t>
      </w:r>
      <w:r w:rsidR="002761B4"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(ESG) kockázatok kezelését;</w:t>
      </w:r>
    </w:p>
    <w:p w14:paraId="7902D134" w14:textId="4C8ED49A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>a kockázatkezelési és belső ellenőrzési rendszerek hatékonysága, tekintettel a PEPP-pel kapcsolatos kockázatokra, amelyeket ellenőrizni hivatottak;</w:t>
      </w:r>
    </w:p>
    <w:p w14:paraId="7C20BE75" w14:textId="1E7F05CB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="002761B4" w:rsidRPr="00491B14">
        <w:rPr>
          <w:rFonts w:ascii="Arial" w:hAnsi="Arial" w:cs="Arial"/>
        </w:rPr>
        <w:t>az igazgatási vagy irányítótestület elé benyújtott, PEPP-pel kapcsolatos vezetői információk körének, gyakoriságának és követelményeinek részletes felülvizsgálata;</w:t>
      </w:r>
    </w:p>
    <w:p w14:paraId="0F379767" w14:textId="6161224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62B7F87F" w14:textId="770D732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11467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A3DC5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>z alkalmazott kockázatcsökkentési technikákr</w:t>
      </w:r>
      <w:r w:rsidR="003A3DC5" w:rsidRPr="00491B14">
        <w:rPr>
          <w:rFonts w:ascii="Arial" w:hAnsi="Arial" w:cs="Arial"/>
        </w:rPr>
        <w:t>a vonatkozó részletes információk</w:t>
      </w:r>
      <w:r w:rsidR="002761B4" w:rsidRPr="00491B14">
        <w:rPr>
          <w:rFonts w:ascii="Arial" w:hAnsi="Arial" w:cs="Arial"/>
        </w:rPr>
        <w:t>, legalább az alábbiakra kiterjedően:</w:t>
      </w:r>
    </w:p>
    <w:p w14:paraId="46C5152D" w14:textId="53BD8D9E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1CA2E8D" w14:textId="29EEBEE4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4688A7A" w14:textId="72BD5E30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2761B4" w:rsidRPr="000130A1">
        <w:rPr>
          <w:rFonts w:ascii="Arial" w:hAnsi="Arial" w:cs="Arial"/>
        </w:rPr>
        <w:t>A</w:t>
      </w:r>
      <w:r w:rsidR="003A3DC5" w:rsidRPr="000130A1">
        <w:rPr>
          <w:rFonts w:ascii="Arial" w:hAnsi="Arial" w:cs="Arial"/>
        </w:rPr>
        <w:t>z adatszolgáltató</w:t>
      </w:r>
      <w:r w:rsidR="002761B4" w:rsidRPr="000130A1">
        <w:rPr>
          <w:rFonts w:ascii="Arial" w:hAnsi="Arial" w:cs="Arial"/>
        </w:rPr>
        <w:t xml:space="preserve"> prudenciális keretrendszerével kapcsolatos szempontok</w:t>
      </w:r>
      <w:r w:rsidR="0010550E" w:rsidRPr="000130A1">
        <w:rPr>
          <w:rFonts w:ascii="Arial" w:hAnsi="Arial" w:cs="Arial"/>
        </w:rPr>
        <w:t xml:space="preserve"> bemutatása</w:t>
      </w:r>
    </w:p>
    <w:p w14:paraId="3A095CBF" w14:textId="05BCED71" w:rsidR="002761B4" w:rsidRDefault="002761B4" w:rsidP="00491B1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C89DB6C" w14:textId="3D1D1619" w:rsidR="00575313" w:rsidRPr="002761B4" w:rsidRDefault="002761B4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</w:t>
      </w:r>
      <w:r w:rsidR="001055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tőkehányadosok és a tőkeáttétel szintj</w:t>
      </w:r>
      <w:r w:rsidR="0010550E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  <w:bookmarkEnd w:id="0"/>
    </w:p>
    <w:sectPr w:rsidR="00575313" w:rsidRPr="002761B4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797A0" w14:textId="77777777" w:rsidR="00D64E70" w:rsidRDefault="00D64E70">
      <w:r>
        <w:separator/>
      </w:r>
    </w:p>
  </w:endnote>
  <w:endnote w:type="continuationSeparator" w:id="0">
    <w:p w14:paraId="78917DA3" w14:textId="77777777" w:rsidR="00D64E70" w:rsidRDefault="00D6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C71FE" w14:textId="77777777" w:rsidR="00D64E70" w:rsidRDefault="00D64E70">
      <w:r>
        <w:separator/>
      </w:r>
    </w:p>
  </w:footnote>
  <w:footnote w:type="continuationSeparator" w:id="0">
    <w:p w14:paraId="361CE64D" w14:textId="77777777" w:rsidR="00D64E70" w:rsidRDefault="00D64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0098304">
    <w:abstractNumId w:val="9"/>
  </w:num>
  <w:num w:numId="2" w16cid:durableId="1055662272">
    <w:abstractNumId w:val="5"/>
  </w:num>
  <w:num w:numId="3" w16cid:durableId="1754207343">
    <w:abstractNumId w:val="10"/>
  </w:num>
  <w:num w:numId="4" w16cid:durableId="1456482269">
    <w:abstractNumId w:val="2"/>
  </w:num>
  <w:num w:numId="5" w16cid:durableId="119149526">
    <w:abstractNumId w:val="4"/>
  </w:num>
  <w:num w:numId="6" w16cid:durableId="1816290975">
    <w:abstractNumId w:val="18"/>
  </w:num>
  <w:num w:numId="7" w16cid:durableId="1167936191">
    <w:abstractNumId w:val="7"/>
  </w:num>
  <w:num w:numId="8" w16cid:durableId="2081631710">
    <w:abstractNumId w:val="30"/>
  </w:num>
  <w:num w:numId="9" w16cid:durableId="853691805">
    <w:abstractNumId w:val="13"/>
  </w:num>
  <w:num w:numId="10" w16cid:durableId="25108646">
    <w:abstractNumId w:val="18"/>
    <w:lvlOverride w:ilvl="0">
      <w:startOverride w:val="1"/>
    </w:lvlOverride>
  </w:num>
  <w:num w:numId="11" w16cid:durableId="436798632">
    <w:abstractNumId w:val="6"/>
  </w:num>
  <w:num w:numId="12" w16cid:durableId="491679233">
    <w:abstractNumId w:val="27"/>
  </w:num>
  <w:num w:numId="13" w16cid:durableId="737703951">
    <w:abstractNumId w:val="32"/>
  </w:num>
  <w:num w:numId="14" w16cid:durableId="788938813">
    <w:abstractNumId w:val="14"/>
  </w:num>
  <w:num w:numId="15" w16cid:durableId="650867551">
    <w:abstractNumId w:val="19"/>
  </w:num>
  <w:num w:numId="16" w16cid:durableId="1017543512">
    <w:abstractNumId w:val="28"/>
  </w:num>
  <w:num w:numId="17" w16cid:durableId="1049500312">
    <w:abstractNumId w:val="1"/>
  </w:num>
  <w:num w:numId="18" w16cid:durableId="108357976">
    <w:abstractNumId w:val="31"/>
  </w:num>
  <w:num w:numId="19" w16cid:durableId="715279234">
    <w:abstractNumId w:val="21"/>
  </w:num>
  <w:num w:numId="20" w16cid:durableId="373963391">
    <w:abstractNumId w:val="12"/>
  </w:num>
  <w:num w:numId="21" w16cid:durableId="1115519143">
    <w:abstractNumId w:val="8"/>
  </w:num>
  <w:num w:numId="22" w16cid:durableId="653530168">
    <w:abstractNumId w:val="15"/>
  </w:num>
  <w:num w:numId="23" w16cid:durableId="1380126935">
    <w:abstractNumId w:val="17"/>
  </w:num>
  <w:num w:numId="24" w16cid:durableId="881597234">
    <w:abstractNumId w:val="0"/>
  </w:num>
  <w:num w:numId="25" w16cid:durableId="857161918">
    <w:abstractNumId w:val="24"/>
  </w:num>
  <w:num w:numId="26" w16cid:durableId="1790778765">
    <w:abstractNumId w:val="18"/>
    <w:lvlOverride w:ilvl="0">
      <w:startOverride w:val="1"/>
    </w:lvlOverride>
  </w:num>
  <w:num w:numId="27" w16cid:durableId="256790423">
    <w:abstractNumId w:val="16"/>
  </w:num>
  <w:num w:numId="28" w16cid:durableId="1846632513">
    <w:abstractNumId w:val="26"/>
  </w:num>
  <w:num w:numId="29" w16cid:durableId="1482965109">
    <w:abstractNumId w:val="22"/>
  </w:num>
  <w:num w:numId="30" w16cid:durableId="1873834781">
    <w:abstractNumId w:val="18"/>
    <w:lvlOverride w:ilvl="0">
      <w:startOverride w:val="1"/>
    </w:lvlOverride>
  </w:num>
  <w:num w:numId="31" w16cid:durableId="2062973287">
    <w:abstractNumId w:val="25"/>
  </w:num>
  <w:num w:numId="32" w16cid:durableId="105775208">
    <w:abstractNumId w:val="18"/>
    <w:lvlOverride w:ilvl="0">
      <w:startOverride w:val="1"/>
    </w:lvlOverride>
  </w:num>
  <w:num w:numId="33" w16cid:durableId="2120296617">
    <w:abstractNumId w:val="18"/>
    <w:lvlOverride w:ilvl="0">
      <w:startOverride w:val="1"/>
    </w:lvlOverride>
  </w:num>
  <w:num w:numId="34" w16cid:durableId="105933347">
    <w:abstractNumId w:val="18"/>
    <w:lvlOverride w:ilvl="0">
      <w:startOverride w:val="1"/>
    </w:lvlOverride>
  </w:num>
  <w:num w:numId="35" w16cid:durableId="1524978807">
    <w:abstractNumId w:val="18"/>
    <w:lvlOverride w:ilvl="0">
      <w:startOverride w:val="1"/>
    </w:lvlOverride>
  </w:num>
  <w:num w:numId="36" w16cid:durableId="1697654066">
    <w:abstractNumId w:val="20"/>
  </w:num>
  <w:num w:numId="37" w16cid:durableId="154030168">
    <w:abstractNumId w:val="18"/>
    <w:lvlOverride w:ilvl="0">
      <w:startOverride w:val="1"/>
    </w:lvlOverride>
  </w:num>
  <w:num w:numId="38" w16cid:durableId="1214266777">
    <w:abstractNumId w:val="18"/>
    <w:lvlOverride w:ilvl="0">
      <w:startOverride w:val="1"/>
    </w:lvlOverride>
  </w:num>
  <w:num w:numId="39" w16cid:durableId="1818299550">
    <w:abstractNumId w:val="18"/>
    <w:lvlOverride w:ilvl="0">
      <w:startOverride w:val="1"/>
    </w:lvlOverride>
  </w:num>
  <w:num w:numId="40" w16cid:durableId="26416264">
    <w:abstractNumId w:val="18"/>
    <w:lvlOverride w:ilvl="0">
      <w:startOverride w:val="1"/>
    </w:lvlOverride>
  </w:num>
  <w:num w:numId="41" w16cid:durableId="1306817784">
    <w:abstractNumId w:val="11"/>
  </w:num>
  <w:num w:numId="42" w16cid:durableId="1741974193">
    <w:abstractNumId w:val="18"/>
    <w:lvlOverride w:ilvl="0">
      <w:startOverride w:val="1"/>
    </w:lvlOverride>
  </w:num>
  <w:num w:numId="43" w16cid:durableId="1746490636">
    <w:abstractNumId w:val="33"/>
  </w:num>
  <w:num w:numId="44" w16cid:durableId="639773700">
    <w:abstractNumId w:val="18"/>
    <w:lvlOverride w:ilvl="0">
      <w:startOverride w:val="1"/>
    </w:lvlOverride>
  </w:num>
  <w:num w:numId="45" w16cid:durableId="1865367432">
    <w:abstractNumId w:val="18"/>
    <w:lvlOverride w:ilvl="0">
      <w:startOverride w:val="1"/>
    </w:lvlOverride>
  </w:num>
  <w:num w:numId="46" w16cid:durableId="1854998628">
    <w:abstractNumId w:val="3"/>
  </w:num>
  <w:num w:numId="47" w16cid:durableId="1248199262">
    <w:abstractNumId w:val="23"/>
  </w:num>
  <w:num w:numId="48" w16cid:durableId="1533347175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0A1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550E"/>
    <w:rsid w:val="00106833"/>
    <w:rsid w:val="00107A71"/>
    <w:rsid w:val="00107ACF"/>
    <w:rsid w:val="00110868"/>
    <w:rsid w:val="001109D2"/>
    <w:rsid w:val="00111683"/>
    <w:rsid w:val="00113C88"/>
    <w:rsid w:val="001142FA"/>
    <w:rsid w:val="00114670"/>
    <w:rsid w:val="00114732"/>
    <w:rsid w:val="0011708E"/>
    <w:rsid w:val="001170E1"/>
    <w:rsid w:val="00121384"/>
    <w:rsid w:val="00121624"/>
    <w:rsid w:val="001226B6"/>
    <w:rsid w:val="00122FCC"/>
    <w:rsid w:val="001237AA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063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52C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87A84"/>
    <w:rsid w:val="00192D20"/>
    <w:rsid w:val="001931C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6EF0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270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1B4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1EB4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0D66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E53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4C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3DC5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5BBB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2EDF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12FA"/>
    <w:rsid w:val="00431A24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6ED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5ED4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1B14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0587"/>
    <w:rsid w:val="004D160E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1D9A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5644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3644D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345"/>
    <w:rsid w:val="00662E09"/>
    <w:rsid w:val="00663283"/>
    <w:rsid w:val="00665894"/>
    <w:rsid w:val="006659A5"/>
    <w:rsid w:val="00672282"/>
    <w:rsid w:val="006722D9"/>
    <w:rsid w:val="00672EA1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4197"/>
    <w:rsid w:val="006D4D7E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53D3"/>
    <w:rsid w:val="00705525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0362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0CC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30B9"/>
    <w:rsid w:val="007C5364"/>
    <w:rsid w:val="007C7371"/>
    <w:rsid w:val="007C7EB6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18C8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3FF5"/>
    <w:rsid w:val="0085441E"/>
    <w:rsid w:val="0085455F"/>
    <w:rsid w:val="00856AFC"/>
    <w:rsid w:val="00856C7E"/>
    <w:rsid w:val="00860131"/>
    <w:rsid w:val="008604DD"/>
    <w:rsid w:val="00860860"/>
    <w:rsid w:val="00861AD6"/>
    <w:rsid w:val="0086269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3DCA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1FE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0BF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AD1"/>
    <w:rsid w:val="00965EB8"/>
    <w:rsid w:val="009665AC"/>
    <w:rsid w:val="0096660E"/>
    <w:rsid w:val="00966885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126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C5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802"/>
    <w:rsid w:val="009F5E88"/>
    <w:rsid w:val="00A00A0D"/>
    <w:rsid w:val="00A00F2A"/>
    <w:rsid w:val="00A012C4"/>
    <w:rsid w:val="00A018BD"/>
    <w:rsid w:val="00A0264D"/>
    <w:rsid w:val="00A02DDF"/>
    <w:rsid w:val="00A03212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3ABF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4DE2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874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5EC3"/>
    <w:rsid w:val="00B97C5C"/>
    <w:rsid w:val="00BA259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05D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140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2F22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40AD"/>
    <w:rsid w:val="00D05176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2870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E70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918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210C"/>
    <w:rsid w:val="00DA2679"/>
    <w:rsid w:val="00DA2F2F"/>
    <w:rsid w:val="00DA3039"/>
    <w:rsid w:val="00DA35BF"/>
    <w:rsid w:val="00DA4FC6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4A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3D58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02EA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B73CB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734"/>
    <w:rsid w:val="00EE7D60"/>
    <w:rsid w:val="00EF19F6"/>
    <w:rsid w:val="00EF212D"/>
    <w:rsid w:val="00EF3FA3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65A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1C50"/>
    <w:rsid w:val="00F82928"/>
    <w:rsid w:val="00F82A56"/>
    <w:rsid w:val="00F83726"/>
    <w:rsid w:val="00F8481F"/>
    <w:rsid w:val="00F856E3"/>
    <w:rsid w:val="00F8666B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A7E05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1A24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431A2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31A24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431A24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31A24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31A24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31A24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431A2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31A2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31A2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31A2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31A24"/>
  </w:style>
  <w:style w:type="table" w:customStyle="1" w:styleId="tblzat-mtrix">
    <w:name w:val="táblázat - mátrix"/>
    <w:basedOn w:val="Normltblzat"/>
    <w:uiPriority w:val="2"/>
    <w:qFormat/>
    <w:rsid w:val="00431A2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31A2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31A24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431A2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31A2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31A2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1A2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31A24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1A24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31A2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31A24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431A2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31A24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431A2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31A24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31A24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31A24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31A24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431A24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31A24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31A24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31A24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31A24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431A24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31A24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31A24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31A2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31A24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31A24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31A24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31A24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31A24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31A24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31A2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31A24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31A2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31A24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31A24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31A24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31A2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31A24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31A24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31A24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431A24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431A2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31A2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31A2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31A24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31A24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31A24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431A2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31A24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31A2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31A24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431A24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31A24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431A24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31A24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431A24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31A2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31A24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31A24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31A2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31A2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31A2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31A2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31A2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31A24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431A24"/>
    <w:rPr>
      <w:b/>
      <w:bCs/>
    </w:rPr>
  </w:style>
  <w:style w:type="character" w:styleId="Kiemels">
    <w:name w:val="Emphasis"/>
    <w:basedOn w:val="Bekezdsalapbettpusa"/>
    <w:uiPriority w:val="6"/>
    <w:qFormat/>
    <w:rsid w:val="00431A24"/>
    <w:rPr>
      <w:i/>
      <w:iCs/>
    </w:rPr>
  </w:style>
  <w:style w:type="paragraph" w:styleId="Nincstrkz">
    <w:name w:val="No Spacing"/>
    <w:basedOn w:val="Norml"/>
    <w:uiPriority w:val="1"/>
    <w:rsid w:val="00431A2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31A2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31A24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31A24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31A24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431A24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31A2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31A24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31A24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431A2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31A2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31A2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31A2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31A2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31A24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431A24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31A24"/>
  </w:style>
  <w:style w:type="paragraph" w:customStyle="1" w:styleId="ENNormalBox">
    <w:name w:val="EN_Normal_Box"/>
    <w:basedOn w:val="Norml"/>
    <w:uiPriority w:val="1"/>
    <w:qFormat/>
    <w:rsid w:val="00431A24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31A2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31A24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31A24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31A2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31A2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31A2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31A2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31A24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31A2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31A2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31A24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31A24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31A24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431A24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31A24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31A2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31A24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31A24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31A24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31A24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31A24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31A24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31A24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431A24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9D2C59"/>
    <w:rPr>
      <w:b/>
      <w:i/>
    </w:rPr>
  </w:style>
  <w:style w:type="paragraph" w:customStyle="1" w:styleId="Erskiemels8">
    <w:name w:val="Erős kiemelés8"/>
    <w:basedOn w:val="Norml"/>
    <w:uiPriority w:val="5"/>
    <w:qFormat/>
    <w:rsid w:val="009260B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891</Words>
  <Characters>6801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7677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5</cp:revision>
  <cp:lastPrinted>2019-09-11T12:40:00Z</cp:lastPrinted>
  <dcterms:created xsi:type="dcterms:W3CDTF">2022-01-10T09:31:00Z</dcterms:created>
  <dcterms:modified xsi:type="dcterms:W3CDTF">2022-12-05T09:41:00Z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