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311FE" w14:textId="23B57589"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melléklet </w:t>
      </w:r>
      <w:r w:rsidR="0025388A">
        <w:rPr>
          <w:rFonts w:cs="Arial"/>
          <w:szCs w:val="20"/>
        </w:rPr>
        <w:t>a</w:t>
      </w:r>
      <w:r w:rsidR="005B1780">
        <w:rPr>
          <w:rFonts w:cs="Arial"/>
          <w:szCs w:val="20"/>
        </w:rPr>
        <w:t>z 58</w:t>
      </w:r>
      <w:r w:rsidR="001748F3">
        <w:rPr>
          <w:rFonts w:cs="Arial"/>
          <w:szCs w:val="20"/>
        </w:rPr>
        <w:t>/202</w:t>
      </w:r>
      <w:r w:rsidR="00B23B71">
        <w:rPr>
          <w:rFonts w:cs="Arial"/>
          <w:szCs w:val="20"/>
        </w:rPr>
        <w:t>3</w:t>
      </w:r>
      <w:r w:rsidR="0025388A">
        <w:rPr>
          <w:rFonts w:cs="Arial"/>
          <w:bCs/>
          <w:szCs w:val="20"/>
        </w:rPr>
        <w:t>. (</w:t>
      </w:r>
      <w:r w:rsidR="005B1780">
        <w:rPr>
          <w:rFonts w:cs="Arial"/>
          <w:bCs/>
          <w:szCs w:val="20"/>
        </w:rPr>
        <w:t>XI. 24</w:t>
      </w:r>
      <w:r w:rsidR="001748F3">
        <w:rPr>
          <w:rFonts w:cs="Arial"/>
          <w:bCs/>
          <w:szCs w:val="20"/>
        </w:rPr>
        <w:t>.</w:t>
      </w:r>
      <w:r w:rsidR="0025388A">
        <w:rPr>
          <w:rFonts w:cs="Arial"/>
          <w:bCs/>
          <w:szCs w:val="20"/>
        </w:rPr>
        <w:t>)</w:t>
      </w:r>
      <w:r w:rsidR="0025388A">
        <w:rPr>
          <w:rFonts w:cs="Arial"/>
          <w:iCs/>
          <w:szCs w:val="20"/>
        </w:rPr>
        <w:t xml:space="preserve"> MNB rendelethez</w:t>
      </w:r>
    </w:p>
    <w:p w14:paraId="57B616E3" w14:textId="77777777" w:rsidR="000830A4" w:rsidRDefault="008619CD" w:rsidP="00976E14">
      <w:pPr>
        <w:pStyle w:val="Cm"/>
      </w:pPr>
      <w:r w:rsidRPr="00034107">
        <w:t>A befektetési alap és a befektetési alapkezelő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DB29C7">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DB29C7">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proofErr w:type="spellStart"/>
      <w:r w:rsidR="00462E9F">
        <w:rPr>
          <w:rFonts w:cs="Arial"/>
          <w:snapToGrid w:val="0"/>
          <w:szCs w:val="20"/>
        </w:rPr>
        <w:t>Kbftv</w:t>
      </w:r>
      <w:proofErr w:type="spellEnd"/>
      <w:r w:rsidR="00462E9F">
        <w:rPr>
          <w:rFonts w:cs="Arial"/>
          <w:snapToGrid w:val="0"/>
          <w:szCs w:val="20"/>
        </w:rPr>
        <w:t>.</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ERA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E-ügyintézés – Tőkepiac / Bejelentések / Befektetési alapkezelő működése</w:t>
      </w:r>
    </w:p>
    <w:p w14:paraId="6EE78A16" w14:textId="1CE0A509"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w:t>
      </w:r>
      <w:proofErr w:type="spellStart"/>
      <w:r w:rsidRPr="00521C78">
        <w:rPr>
          <w:rFonts w:cs="Arial"/>
          <w:szCs w:val="20"/>
          <w:lang w:eastAsia="hu-HU"/>
        </w:rPr>
        <w:t>Kbftv</w:t>
      </w:r>
      <w:proofErr w:type="spellEnd"/>
      <w:r w:rsidRPr="00521C78">
        <w:rPr>
          <w:rFonts w:cs="Arial"/>
          <w:szCs w:val="20"/>
          <w:lang w:eastAsia="hu-HU"/>
        </w:rPr>
        <w:t xml:space="preserve">. 167. § (1) bekezdés i) pontján alapuló -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7777777" w:rsidR="00E37982" w:rsidRPr="00521C78" w:rsidRDefault="00E37982" w:rsidP="00520296">
      <w:pPr>
        <w:spacing w:before="100" w:beforeAutospacing="1"/>
        <w:rPr>
          <w:rFonts w:cs="Arial"/>
          <w:szCs w:val="20"/>
          <w:lang w:eastAsia="hu-HU"/>
        </w:rPr>
      </w:pPr>
      <w:r w:rsidRPr="00521C78">
        <w:rPr>
          <w:rFonts w:cs="Arial"/>
          <w:b/>
          <w:bCs/>
          <w:szCs w:val="20"/>
          <w:lang w:eastAsia="hu-HU"/>
        </w:rPr>
        <w:t>E-ügyintézés - Tőkepiac / Bejelentések / Befektetési alap működése</w:t>
      </w:r>
    </w:p>
    <w:p w14:paraId="3561FE25" w14:textId="174E543B"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w:t>
      </w:r>
      <w:proofErr w:type="spellStart"/>
      <w:r w:rsidRPr="00521C78">
        <w:rPr>
          <w:rFonts w:cs="Arial"/>
          <w:szCs w:val="20"/>
          <w:lang w:eastAsia="hu-HU"/>
        </w:rPr>
        <w:t>Kbftv</w:t>
      </w:r>
      <w:proofErr w:type="spellEnd"/>
      <w:r w:rsidRPr="00521C78">
        <w:rPr>
          <w:rFonts w:cs="Arial"/>
          <w:szCs w:val="20"/>
          <w:lang w:eastAsia="hu-HU"/>
        </w:rPr>
        <w:t xml:space="preserve">. hatálya alá tartozó befektetési alapok jóváhagyott, független könyvvizsgálói jelentéssel ellátott számviteli beszámolójának megküldésére vonatkozó </w:t>
      </w:r>
      <w:r w:rsidR="00F64466" w:rsidRPr="00521C78">
        <w:rPr>
          <w:rFonts w:cs="Arial"/>
          <w:szCs w:val="20"/>
          <w:lang w:eastAsia="hu-HU"/>
        </w:rPr>
        <w:t>–</w:t>
      </w:r>
      <w:r w:rsidRPr="00521C78">
        <w:rPr>
          <w:rFonts w:cs="Arial"/>
          <w:szCs w:val="20"/>
          <w:lang w:eastAsia="hu-HU"/>
        </w:rPr>
        <w:t xml:space="preserve">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ZPTN jelentés) </w:t>
      </w:r>
      <w:r w:rsidRPr="007E1840">
        <w:rPr>
          <w:rFonts w:cs="Arial"/>
          <w:snapToGrid w:val="0"/>
          <w:szCs w:val="20"/>
        </w:rPr>
        <w:t xml:space="preserve">formai és technikai követelményeit az ERA rendszer Felhasználói kézikönyve, </w:t>
      </w:r>
      <w:r w:rsidR="00D11103">
        <w:rPr>
          <w:rFonts w:cs="Arial"/>
          <w:snapToGrid w:val="0"/>
          <w:szCs w:val="20"/>
        </w:rPr>
        <w:t>valamint</w:t>
      </w:r>
      <w:r w:rsidRPr="007E1840">
        <w:rPr>
          <w:rFonts w:cs="Arial"/>
          <w:snapToGrid w:val="0"/>
          <w:szCs w:val="20"/>
        </w:rPr>
        <w:t xml:space="preserve"> az ERA – </w:t>
      </w:r>
      <w:proofErr w:type="spellStart"/>
      <w:r w:rsidRPr="007E1840">
        <w:rPr>
          <w:rFonts w:cs="Arial"/>
          <w:snapToGrid w:val="0"/>
          <w:szCs w:val="20"/>
        </w:rPr>
        <w:t>ZPT</w:t>
      </w:r>
      <w:proofErr w:type="spellEnd"/>
      <w:r w:rsidRPr="007E1840">
        <w:rPr>
          <w:rFonts w:cs="Arial"/>
          <w:snapToGrid w:val="0"/>
          <w:szCs w:val="20"/>
        </w:rPr>
        <w:t xml:space="preserve">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DB29C7">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04D2040A" w14:textId="3AA4BD3B" w:rsidR="000830A4" w:rsidRPr="0080264C" w:rsidRDefault="0004466C" w:rsidP="00DB29C7">
      <w:pPr>
        <w:pStyle w:val="Cmsor2"/>
      </w:pPr>
      <w:r w:rsidRPr="0080264C">
        <w:rPr>
          <w:rStyle w:val="Cmsor2Char"/>
          <w:b/>
        </w:rPr>
        <w:t>1.</w:t>
      </w:r>
      <w:r w:rsidRPr="0080264C">
        <w:rPr>
          <w:rStyle w:val="Cmsor2Char"/>
          <w:b/>
          <w:bCs/>
        </w:rPr>
        <w:t xml:space="preserve"> </w:t>
      </w:r>
      <w:r w:rsidR="00F4123E" w:rsidRPr="0080264C">
        <w:rPr>
          <w:rStyle w:val="Cmsor2Char"/>
          <w:b/>
        </w:rPr>
        <w:t xml:space="preserve">Az 50A </w:t>
      </w:r>
      <w:r w:rsidR="00D033EA" w:rsidRPr="0080264C">
        <w:rPr>
          <w:rStyle w:val="Cmsor2Char"/>
          <w:b/>
        </w:rPr>
        <w:t xml:space="preserve">és az </w:t>
      </w:r>
      <w:r w:rsidR="00F4123E" w:rsidRPr="0080264C">
        <w:rPr>
          <w:rStyle w:val="Cmsor2Char"/>
          <w:b/>
        </w:rPr>
        <w:t xml:space="preserve">50W </w:t>
      </w:r>
      <w:r w:rsidR="00E1405D" w:rsidRPr="0080264C">
        <w:rPr>
          <w:rStyle w:val="Cmsor2Char"/>
          <w:b/>
        </w:rPr>
        <w:t xml:space="preserve">kódú </w:t>
      </w:r>
      <w:r w:rsidR="00F4123E" w:rsidRPr="0080264C">
        <w:rPr>
          <w:rStyle w:val="Cmsor2Char"/>
          <w:b/>
        </w:rPr>
        <w:t>táblát</w:t>
      </w:r>
      <w:r w:rsidR="00F4123E" w:rsidRPr="0080264C">
        <w:t xml:space="preserve"> </w:t>
      </w:r>
      <w:r w:rsidR="00F4123E" w:rsidRPr="00B07887">
        <w:t>a nyilvánosan létrehozott befektetési alapok</w:t>
      </w:r>
      <w:r w:rsidR="00593490" w:rsidRPr="00B07887">
        <w:t xml:space="preserve"> esetében naponta vagy hetente</w:t>
      </w:r>
      <w:r w:rsidR="00F4123E" w:rsidRPr="00B07887">
        <w:t xml:space="preserve"> kell jelenteni. A nettó eszközértéket hetente vagy annál ritkábban megállapító</w:t>
      </w:r>
      <w:r w:rsidR="00237934" w:rsidRPr="00B07887">
        <w:t>, nyilvánosan létrehozott</w:t>
      </w:r>
      <w:r w:rsidR="00F4123E" w:rsidRPr="00B07887">
        <w:t xml:space="preserve"> alapoknál </w:t>
      </w:r>
      <w:r w:rsidR="008E50AE" w:rsidRPr="00B07887">
        <w:t xml:space="preserve">a nettó eszközértéket </w:t>
      </w:r>
      <w:r w:rsidR="00F4123E" w:rsidRPr="00B07887">
        <w:t>az adatszolgáltatást megelőző hét utolsó munkanapjára kell megállapítani</w:t>
      </w:r>
      <w:r w:rsidR="00661911" w:rsidRPr="00B07887">
        <w:t>,</w:t>
      </w:r>
      <w:r w:rsidR="007F5FCD" w:rsidRPr="00B07887">
        <w:t xml:space="preserve"> amely a nettó eszközérték vonatkozási napja is egyben</w:t>
      </w:r>
      <w:r w:rsidR="00567DC8" w:rsidRPr="00B07887">
        <w:t>.</w:t>
      </w:r>
    </w:p>
    <w:p w14:paraId="07F19B6C" w14:textId="77777777" w:rsidR="00F4123E" w:rsidRPr="00034107" w:rsidRDefault="00237934" w:rsidP="00F4123E">
      <w:pPr>
        <w:rPr>
          <w:rFonts w:cs="Arial"/>
          <w:szCs w:val="20"/>
          <w:lang w:eastAsia="hu-HU"/>
        </w:rPr>
      </w:pPr>
      <w:r w:rsidRPr="00034107">
        <w:rPr>
          <w:rFonts w:cs="Arial"/>
          <w:bCs/>
          <w:szCs w:val="20"/>
        </w:rPr>
        <w:t>A zártkörűen létrehozott alapok havonta jelentenek.</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3BF8383B" w14:textId="77777777" w:rsidR="0080264C" w:rsidRDefault="0080264C" w:rsidP="00614BF8">
      <w:pPr>
        <w:rPr>
          <w:rFonts w:cs="Arial"/>
          <w:szCs w:val="20"/>
          <w:lang w:eastAsia="hu-HU"/>
        </w:rPr>
      </w:pPr>
    </w:p>
    <w:p w14:paraId="47E54656" w14:textId="77777777" w:rsidR="0080264C" w:rsidRPr="00034107" w:rsidRDefault="0080264C" w:rsidP="00614BF8">
      <w:pPr>
        <w:rPr>
          <w:rFonts w:cs="Arial"/>
          <w:szCs w:val="20"/>
          <w:lang w:eastAsia="hu-HU"/>
        </w:rPr>
      </w:pPr>
    </w:p>
    <w:p w14:paraId="01EBE6EB" w14:textId="108DB930" w:rsidR="00107EA6" w:rsidRPr="008B0F55" w:rsidRDefault="008A093C" w:rsidP="008B0F55">
      <w:pPr>
        <w:pStyle w:val="Cmsor3"/>
        <w:spacing w:after="0"/>
        <w:rPr>
          <w:rFonts w:cs="Arial"/>
          <w:szCs w:val="20"/>
        </w:rPr>
      </w:pPr>
      <w:r w:rsidRPr="00034107">
        <w:rPr>
          <w:rFonts w:cs="Arial"/>
          <w:szCs w:val="20"/>
        </w:rPr>
        <w:lastRenderedPageBreak/>
        <w:t xml:space="preserve">50A </w:t>
      </w:r>
      <w:r w:rsidR="00895C13" w:rsidRPr="00034107">
        <w:rPr>
          <w:rFonts w:cs="Arial"/>
          <w:szCs w:val="20"/>
        </w:rPr>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39E65589" w:rsidR="00614BF8" w:rsidRPr="00034107" w:rsidRDefault="008A093C" w:rsidP="001023B4">
      <w:pPr>
        <w:rPr>
          <w:b/>
          <w:bCs/>
        </w:rPr>
      </w:pPr>
      <w:r w:rsidRPr="00034107">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0F047C">
        <w:t xml:space="preserve">(az </w:t>
      </w:r>
      <w:r w:rsidR="00614BF8">
        <w:t>50W kódú tábla 9</w:t>
      </w:r>
      <w:r w:rsidR="000F047C">
        <w:t>.</w:t>
      </w:r>
      <w:r w:rsidR="00614BF8">
        <w:t xml:space="preserve"> oszlopában jelentett </w:t>
      </w:r>
      <w:r w:rsidR="000F047C">
        <w:t>záró darabszám)</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 xml:space="preserve">Az </w:t>
      </w:r>
      <w:proofErr w:type="spellStart"/>
      <w:r w:rsidRPr="00034107">
        <w:t>illikvid</w:t>
      </w:r>
      <w:proofErr w:type="spellEnd"/>
      <w:r w:rsidRPr="00034107">
        <w:t xml:space="preserve">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6537B8DF"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50A3-50A623 sorkód</w:t>
      </w:r>
      <w:r w:rsidR="00F61B2B">
        <w:t>ú sorok</w:t>
      </w:r>
      <w:r w:rsidR="003F5380">
        <w:t xml:space="preserve"> esetében</w:t>
      </w:r>
      <w:r w:rsidRPr="00034107">
        <w:t xml:space="preserve"> az alap egészére vonatkozó adatokat kell jelenteni. </w:t>
      </w:r>
    </w:p>
    <w:p w14:paraId="1A9ED289" w14:textId="4AABB03D" w:rsidR="000830A4" w:rsidRPr="00034107" w:rsidRDefault="008A093C" w:rsidP="001023B4">
      <w:pPr>
        <w:rPr>
          <w:b/>
          <w:bCs/>
        </w:rPr>
      </w:pPr>
      <w:r w:rsidRPr="0072630F">
        <w:t>Az 50A2</w:t>
      </w:r>
      <w:r w:rsidR="003F5380" w:rsidRPr="0072630F">
        <w:t>0</w:t>
      </w:r>
      <w:r w:rsidRPr="0072630F">
        <w:t>1-50A2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proofErr w:type="spellStart"/>
      <w:r w:rsidRPr="0072630F">
        <w:t>sorozatonkénti</w:t>
      </w:r>
      <w:proofErr w:type="spellEnd"/>
      <w:r w:rsidRPr="0072630F">
        <w:t xml:space="preserve"> adat</w:t>
      </w:r>
      <w:r w:rsidR="00205973" w:rsidRPr="0072630F">
        <w:t>ait</w:t>
      </w:r>
      <w:r w:rsidRPr="0072630F">
        <w:t xml:space="preserve"> tartalmazzák.</w:t>
      </w:r>
      <w:r w:rsidR="00FF5FF1" w:rsidRPr="0072630F">
        <w:t xml:space="preserve"> </w:t>
      </w:r>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32AC18" w:rsidR="000830A4" w:rsidRPr="00034107" w:rsidRDefault="008A093C" w:rsidP="001023B4">
      <w:pPr>
        <w:rPr>
          <w:b/>
          <w:bCs/>
        </w:rPr>
      </w:pPr>
      <w:r w:rsidRPr="00034107">
        <w:t xml:space="preserve">A tábla tartalmazza mindazon eszközöket, amelyekbe az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7ABE9E7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ÉÉÉÉHHNN (pl.: </w:t>
      </w:r>
      <w:proofErr w:type="spellStart"/>
      <w:r w:rsidR="009D1CA6" w:rsidRPr="00034107">
        <w:rPr>
          <w:color w:val="000000"/>
        </w:rPr>
        <w:t>XYZ</w:t>
      </w:r>
      <w:proofErr w:type="spellEnd"/>
      <w:r w:rsidR="009D1CA6" w:rsidRPr="00034107">
        <w:rPr>
          <w:color w:val="000000"/>
        </w:rPr>
        <w:t xml:space="preserve">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9C2884">
        <w:rPr>
          <w:color w:val="000000"/>
        </w:rPr>
        <w:t>1</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50A1563 kezdetű soroknál a kölcsönnyújtó megnevezése</w:t>
      </w:r>
      <w:r w:rsidRPr="00034107">
        <w:t xml:space="preserve">. </w:t>
      </w:r>
    </w:p>
    <w:p w14:paraId="53ABDE4A" w14:textId="56F8C1D3"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proofErr w:type="spellStart"/>
      <w:r w:rsidR="00F40AC8" w:rsidRPr="004B411B">
        <w:t>Identifier</w:t>
      </w:r>
      <w:proofErr w:type="spellEnd"/>
      <w:r w:rsidR="00F40AC8" w:rsidRPr="00034107">
        <w:t xml:space="preserve"> </w:t>
      </w:r>
      <w:proofErr w:type="spellStart"/>
      <w:r w:rsidR="00F40AC8" w:rsidRPr="00034107">
        <w:t>Code</w:t>
      </w:r>
      <w:proofErr w:type="spellEnd"/>
      <w:r w:rsidR="00F40AC8" w:rsidRPr="00034107">
        <w:t xml:space="preserve"> (1</w:t>
      </w:r>
      <w:r w:rsidR="003F6101" w:rsidRPr="00034107">
        <w:t>1 karakter)]; az 50A13 kezdetű soroknál az ingatlan helyrajzi száma.</w:t>
      </w:r>
      <w:r w:rsidR="0023698A" w:rsidRPr="00034107">
        <w:t xml:space="preserve"> Ha a kölcsönnyújtónak nincs BIC</w:t>
      </w:r>
      <w:r w:rsidR="00C85AA3" w:rsidRPr="00034107">
        <w:t xml:space="preserve"> </w:t>
      </w:r>
      <w:r w:rsidR="0023698A" w:rsidRPr="00034107">
        <w:t xml:space="preserve">kódja (Bank </w:t>
      </w:r>
      <w:proofErr w:type="spellStart"/>
      <w:r w:rsidR="0023698A" w:rsidRPr="00034107">
        <w:t>Identifier</w:t>
      </w:r>
      <w:proofErr w:type="spellEnd"/>
      <w:r w:rsidR="0023698A" w:rsidRPr="00034107">
        <w:t xml:space="preserve"> </w:t>
      </w:r>
      <w:proofErr w:type="spellStart"/>
      <w:r w:rsidR="0023698A" w:rsidRPr="00034107">
        <w:t>Code</w:t>
      </w:r>
      <w:proofErr w:type="spellEnd"/>
      <w:r w:rsidR="0023698A" w:rsidRPr="00034107">
        <w:t xml:space="preserve">), akkor </w:t>
      </w:r>
      <w:r w:rsidR="00DB6691" w:rsidRPr="00034107">
        <w:t>alkalmazható</w:t>
      </w:r>
      <w:r w:rsidR="0023698A" w:rsidRPr="00034107">
        <w:t xml:space="preserve"> a LEI-kód (</w:t>
      </w:r>
      <w:proofErr w:type="spellStart"/>
      <w:r w:rsidR="0023698A" w:rsidRPr="00034107">
        <w:t>Legal</w:t>
      </w:r>
      <w:proofErr w:type="spellEnd"/>
      <w:r w:rsidR="0023698A" w:rsidRPr="00034107">
        <w:t xml:space="preserve"> </w:t>
      </w:r>
      <w:proofErr w:type="spellStart"/>
      <w:r w:rsidR="0023698A" w:rsidRPr="00034107">
        <w:t>Entity</w:t>
      </w:r>
      <w:proofErr w:type="spellEnd"/>
      <w:r w:rsidR="0023698A" w:rsidRPr="00034107">
        <w:t xml:space="preserve"> </w:t>
      </w:r>
      <w:proofErr w:type="spellStart"/>
      <w:r w:rsidR="0023698A" w:rsidRPr="00034107">
        <w:t>Identifier</w:t>
      </w:r>
      <w:proofErr w:type="spellEnd"/>
      <w:r w:rsidR="0023698A" w:rsidRPr="00034107">
        <w:t>)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77777777" w:rsidR="000830A4" w:rsidRPr="00034107" w:rsidRDefault="008A093C" w:rsidP="001023B4">
      <w:pPr>
        <w:rPr>
          <w:b/>
          <w:bCs/>
        </w:rPr>
      </w:pPr>
      <w:r w:rsidRPr="001023B4">
        <w:rPr>
          <w:b/>
          <w:bCs/>
        </w:rPr>
        <w:t>3. oszlop:</w:t>
      </w:r>
      <w:r w:rsidRPr="00034107">
        <w:t xml:space="preserve"> </w:t>
      </w:r>
      <w:r w:rsidR="000D4341" w:rsidRPr="00034107">
        <w:t>a</w:t>
      </w:r>
      <w:r w:rsidRPr="00034107">
        <w:t xml:space="preserve">z alapban található eszközök darabszáma. </w:t>
      </w:r>
    </w:p>
    <w:p w14:paraId="3729CAB1" w14:textId="77777777"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az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lastRenderedPageBreak/>
        <w:t>6. oszlop:</w:t>
      </w:r>
      <w:r w:rsidRPr="00034107">
        <w:t xml:space="preserve"> </w:t>
      </w:r>
      <w:r w:rsidR="009D529B" w:rsidRPr="00034107">
        <w:t>A</w:t>
      </w:r>
      <w:r w:rsidRPr="00034107">
        <w:t xml:space="preserve">nnak a devizának az </w:t>
      </w:r>
      <w:r w:rsidR="00DB1A33" w:rsidRPr="00034107">
        <w:t>ISO kód</w:t>
      </w:r>
      <w:r w:rsidRPr="00034107">
        <w:t xml:space="preserve">ja, amelyikben az adott sorban szereplő eszköz denominált. Ha ugyanazon eszközre különböző devizákban is van az alapnak pozíciója, akkor </w:t>
      </w:r>
      <w:proofErr w:type="spellStart"/>
      <w:r w:rsidRPr="00034107">
        <w:t>devizánként</w:t>
      </w:r>
      <w:proofErr w:type="spellEnd"/>
      <w:r w:rsidRPr="00034107">
        <w:t xml:space="preserve">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proofErr w:type="spellStart"/>
      <w:r w:rsidR="00B2053C" w:rsidRPr="00034107">
        <w:t>Kbftv</w:t>
      </w:r>
      <w:proofErr w:type="spellEnd"/>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w:t>
      </w:r>
      <w:proofErr w:type="spellStart"/>
      <w:r w:rsidRPr="00034107">
        <w:t>tulajdonolt</w:t>
      </w:r>
      <w:proofErr w:type="spellEnd"/>
      <w:r w:rsidRPr="00034107">
        <w:t xml:space="preserve"> ingatlanokat kell szerepeltetni.</w:t>
      </w:r>
    </w:p>
    <w:p w14:paraId="0946A362" w14:textId="77777777" w:rsidR="000830A4" w:rsidRPr="00034107" w:rsidRDefault="008A093C" w:rsidP="0054171D">
      <w:pPr>
        <w:rPr>
          <w:b/>
          <w:bCs/>
        </w:rPr>
      </w:pPr>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75F6A191" w14:textId="77777777" w:rsidR="00B43E69" w:rsidRPr="00034107" w:rsidRDefault="00B43E69" w:rsidP="0054171D">
      <w:pPr>
        <w:rPr>
          <w:lang w:eastAsia="hu-HU"/>
        </w:rPr>
      </w:pPr>
      <w:r w:rsidRPr="00034107">
        <w:rPr>
          <w:b/>
          <w:lang w:eastAsia="hu-HU"/>
        </w:rPr>
        <w:t xml:space="preserve">50A143 sor: </w:t>
      </w:r>
      <w:r w:rsidR="000D4341" w:rsidRPr="00034107">
        <w:rPr>
          <w:lang w:eastAsia="hu-HU"/>
        </w:rPr>
        <w:t>a</w:t>
      </w:r>
      <w:r w:rsidRPr="00034107">
        <w:rPr>
          <w:lang w:eastAsia="hu-HU"/>
        </w:rPr>
        <w:t xml:space="preserve">z óvadéki repó ügyletek azonnali lábából származó követelések és az óvadéki </w:t>
      </w:r>
      <w:proofErr w:type="spellStart"/>
      <w:r w:rsidRPr="00034107">
        <w:rPr>
          <w:lang w:eastAsia="hu-HU"/>
        </w:rPr>
        <w:t>repóba</w:t>
      </w:r>
      <w:proofErr w:type="spellEnd"/>
      <w:r w:rsidRPr="00034107">
        <w:rPr>
          <w:lang w:eastAsia="hu-HU"/>
        </w:rPr>
        <w:t xml:space="preserve"> vétel után járó kamat időarányos része. </w:t>
      </w:r>
    </w:p>
    <w:p w14:paraId="11A13602" w14:textId="77777777" w:rsidR="00B43E69" w:rsidRPr="00034107" w:rsidRDefault="00B43E69" w:rsidP="0054171D">
      <w:pPr>
        <w:rPr>
          <w:lang w:eastAsia="hu-HU"/>
        </w:rPr>
      </w:pPr>
      <w:r w:rsidRPr="00034107">
        <w:rPr>
          <w:b/>
          <w:lang w:eastAsia="hu-HU"/>
        </w:rPr>
        <w:t xml:space="preserve">50A144 sor: </w:t>
      </w:r>
      <w:r w:rsidR="000D4341" w:rsidRPr="00034107">
        <w:rPr>
          <w:lang w:eastAsia="hu-HU"/>
        </w:rPr>
        <w:t>a</w:t>
      </w:r>
      <w:r w:rsidRPr="00034107">
        <w:rPr>
          <w:lang w:eastAsia="hu-HU"/>
        </w:rPr>
        <w:t xml:space="preserve"> szállításos repó ügyletek határidős lábából származó követelések.</w:t>
      </w:r>
    </w:p>
    <w:p w14:paraId="20A42070" w14:textId="77777777" w:rsidR="00E95A6F" w:rsidRDefault="00B43E69" w:rsidP="0054171D">
      <w:pPr>
        <w:rPr>
          <w:lang w:eastAsia="hu-HU"/>
        </w:rPr>
      </w:pPr>
      <w:r w:rsidRPr="00034107">
        <w:rPr>
          <w:b/>
          <w:lang w:eastAsia="hu-HU"/>
        </w:rPr>
        <w:t xml:space="preserve">50A145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546C41A2" w:rsidR="00B43E69" w:rsidRPr="00034107" w:rsidRDefault="00E95A6F" w:rsidP="0054171D">
      <w:pPr>
        <w:rPr>
          <w:lang w:eastAsia="hu-HU"/>
        </w:rPr>
      </w:pPr>
      <w:r w:rsidRPr="00992F27">
        <w:rPr>
          <w:b/>
          <w:bCs/>
          <w:lang w:eastAsia="hu-HU"/>
        </w:rPr>
        <w:t>50A1461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34107" w:rsidRDefault="008A093C" w:rsidP="0054171D">
      <w:pPr>
        <w:rPr>
          <w:b/>
          <w:bCs/>
        </w:rPr>
      </w:pPr>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468719DB" w14:textId="77777777" w:rsidR="00B43E69" w:rsidRPr="00034107" w:rsidRDefault="00B43E69" w:rsidP="0054171D">
      <w:pPr>
        <w:rPr>
          <w:lang w:eastAsia="hu-HU"/>
        </w:rPr>
      </w:pPr>
      <w:r w:rsidRPr="00034107">
        <w:rPr>
          <w:b/>
          <w:lang w:eastAsia="hu-HU"/>
        </w:rPr>
        <w:t xml:space="preserve">50A153 sor: </w:t>
      </w:r>
      <w:r w:rsidR="000D4341" w:rsidRPr="00034107">
        <w:rPr>
          <w:lang w:eastAsia="hu-HU"/>
        </w:rPr>
        <w:t>a</w:t>
      </w:r>
      <w:r w:rsidRPr="00034107">
        <w:rPr>
          <w:lang w:eastAsia="hu-HU"/>
        </w:rPr>
        <w:t xml:space="preserve">z óvadéki repó ügyletek azonnali lábából származó kötelezettségek és az óvadéki </w:t>
      </w:r>
      <w:proofErr w:type="spellStart"/>
      <w:r w:rsidRPr="00034107">
        <w:rPr>
          <w:lang w:eastAsia="hu-HU"/>
        </w:rPr>
        <w:t>repóba</w:t>
      </w:r>
      <w:proofErr w:type="spellEnd"/>
      <w:r w:rsidRPr="00034107">
        <w:rPr>
          <w:lang w:eastAsia="hu-HU"/>
        </w:rPr>
        <w:t xml:space="preserve"> adás után fizetendő kamat időarányos része. </w:t>
      </w:r>
    </w:p>
    <w:p w14:paraId="47F7CC50" w14:textId="77777777" w:rsidR="00B43E69" w:rsidRPr="00034107" w:rsidRDefault="00B43E69" w:rsidP="0054171D">
      <w:pPr>
        <w:rPr>
          <w:lang w:eastAsia="hu-HU"/>
        </w:rPr>
      </w:pPr>
      <w:r w:rsidRPr="00034107">
        <w:rPr>
          <w:b/>
          <w:lang w:eastAsia="hu-HU"/>
        </w:rPr>
        <w:t xml:space="preserve">50A154 sor: </w:t>
      </w:r>
      <w:r w:rsidR="000D4341" w:rsidRPr="00034107">
        <w:rPr>
          <w:lang w:eastAsia="hu-HU"/>
        </w:rPr>
        <w:t>a</w:t>
      </w:r>
      <w:r w:rsidRPr="00034107">
        <w:rPr>
          <w:lang w:eastAsia="hu-HU"/>
        </w:rPr>
        <w:t xml:space="preserve"> szállításos repó ügyletek határidős lábából származó kötelezettségek.</w:t>
      </w:r>
    </w:p>
    <w:p w14:paraId="0865E62B" w14:textId="77777777" w:rsidR="00B43E69" w:rsidRPr="00034107" w:rsidRDefault="00B43E69" w:rsidP="0054171D">
      <w:pPr>
        <w:rPr>
          <w:lang w:eastAsia="hu-HU"/>
        </w:rPr>
      </w:pPr>
      <w:r w:rsidRPr="00034107">
        <w:rPr>
          <w:b/>
          <w:lang w:eastAsia="hu-HU"/>
        </w:rPr>
        <w:t xml:space="preserve">50A155 sor: </w:t>
      </w:r>
      <w:r w:rsidR="000D4341" w:rsidRPr="00034107">
        <w:rPr>
          <w:lang w:eastAsia="hu-HU"/>
        </w:rPr>
        <w:t>a</w:t>
      </w:r>
      <w:r w:rsidRPr="00034107">
        <w:rPr>
          <w:lang w:eastAsia="hu-HU"/>
        </w:rPr>
        <w:t>z értékpapír-kölcsön ügyletek határidős lábából származó kötelezettségek.</w:t>
      </w:r>
    </w:p>
    <w:p w14:paraId="483BAF93" w14:textId="77777777" w:rsidR="00E97FE8" w:rsidRPr="00034107" w:rsidRDefault="00E97FE8" w:rsidP="0054171D">
      <w:pPr>
        <w:rPr>
          <w:b/>
          <w:bCs/>
        </w:rPr>
      </w:pPr>
      <w:r w:rsidRPr="0054171D">
        <w:rPr>
          <w:b/>
          <w:bCs/>
        </w:rPr>
        <w:t>50A1561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77777777" w:rsidR="00E97FE8" w:rsidRPr="00034107" w:rsidRDefault="00E97FE8" w:rsidP="0054171D">
      <w:pPr>
        <w:rPr>
          <w:b/>
          <w:bCs/>
        </w:rPr>
      </w:pPr>
      <w:r w:rsidRPr="0054171D">
        <w:rPr>
          <w:b/>
          <w:bCs/>
        </w:rPr>
        <w:t>50A1562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77777777" w:rsidR="00E97FE8" w:rsidRPr="00034107" w:rsidRDefault="00E97FE8" w:rsidP="0054171D">
      <w:pPr>
        <w:rPr>
          <w:b/>
          <w:bCs/>
        </w:rPr>
      </w:pPr>
      <w:r w:rsidRPr="0054171D">
        <w:rPr>
          <w:b/>
          <w:bCs/>
        </w:rPr>
        <w:t>50A1563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0F5785" w:rsidRDefault="000608BC" w:rsidP="0054171D">
      <w:pPr>
        <w:rPr>
          <w:b/>
        </w:rPr>
      </w:pPr>
      <w:r w:rsidRPr="0054171D">
        <w:rPr>
          <w:b/>
          <w:bCs/>
        </w:rPr>
        <w:lastRenderedPageBreak/>
        <w:t>50A61 sor:</w:t>
      </w:r>
      <w:r w:rsidRPr="000F5785">
        <w:t xml:space="preserve"> </w:t>
      </w:r>
      <w:bookmarkStart w:id="0" w:name="_Hlk52974860"/>
      <w:r w:rsidRPr="000F5785">
        <w:t>kapott/adott óvadék nettó értéken, a nettó eszközértékben kimutatott értékkel ellentétes előjellel.</w:t>
      </w:r>
      <w:bookmarkEnd w:id="0"/>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7C062645" w14:textId="77777777" w:rsidR="000830A4" w:rsidRPr="00034107" w:rsidRDefault="00B20250" w:rsidP="008B0F55">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77777777" w:rsidR="005C4964" w:rsidRPr="005C5C15" w:rsidRDefault="004206B2" w:rsidP="005C5C15">
      <w:pPr>
        <w:rPr>
          <w:rFonts w:cs="Arial"/>
          <w:bCs/>
          <w:szCs w:val="20"/>
        </w:rPr>
      </w:pPr>
      <w:r w:rsidRPr="00034107">
        <w:rPr>
          <w:rFonts w:cs="Arial"/>
          <w:bCs/>
          <w:szCs w:val="20"/>
        </w:rPr>
        <w:t>A nettó eszközértéket naponta megállapító alapok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Pr="00034107">
        <w:rPr>
          <w:rFonts w:cs="Arial"/>
          <w:bCs/>
          <w:szCs w:val="20"/>
        </w:rPr>
        <w:t>alapok heti gyakorisággal teljesítik a jelentést.</w:t>
      </w:r>
      <w:r w:rsidR="00593490" w:rsidRPr="00034107">
        <w:rPr>
          <w:rFonts w:cs="Arial"/>
          <w:bCs/>
          <w:szCs w:val="20"/>
        </w:rPr>
        <w:t xml:space="preserve"> A zártkörűen létrehozott alapok havonta jelentenek</w:t>
      </w:r>
      <w:r w:rsidR="00593490" w:rsidRPr="005C5C15">
        <w:rPr>
          <w:rFonts w:cs="Arial"/>
          <w:bCs/>
          <w:szCs w:val="20"/>
        </w:rPr>
        <w:t>.</w:t>
      </w:r>
      <w:r w:rsidR="005C4964" w:rsidRPr="005C5C15">
        <w:rPr>
          <w:rFonts w:cs="Arial"/>
          <w:bCs/>
          <w:szCs w:val="20"/>
        </w:rPr>
        <w:t xml:space="preserve"> Az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3F8B130E"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2C631E1" w14:textId="2F3D7F50" w:rsidR="000B32FC" w:rsidRPr="00827EFE" w:rsidRDefault="0004466C" w:rsidP="00DB29C7">
      <w:pPr>
        <w:pStyle w:val="Cmsor2"/>
      </w:pPr>
      <w:r w:rsidRPr="00034107">
        <w:t xml:space="preserve">2. </w:t>
      </w:r>
      <w:r w:rsidR="008A093C" w:rsidRPr="00034107">
        <w:t xml:space="preserve">50C </w:t>
      </w:r>
      <w:r w:rsidR="00895C13" w:rsidRPr="00034107">
        <w:t>Portfóliók hozama, költsége, az alapkezelő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pPr>
        <w:rPr>
          <w:ins w:id="1" w:author="STA" w:date="2024-05-09T15:25:00Z"/>
        </w:rPr>
      </w:pPr>
      <w:r w:rsidRPr="00034107">
        <w:t>A táblában a már nyilvántartásba vett, de eszközökkel még nem rendelkező alapok sorozatait is jelenteni kell.</w:t>
      </w:r>
    </w:p>
    <w:p w14:paraId="746C2C63" w14:textId="77777777" w:rsidR="001C60E3" w:rsidRPr="00546698" w:rsidRDefault="001C60E3" w:rsidP="001C60E3">
      <w:pPr>
        <w:rPr>
          <w:ins w:id="2" w:author="STA" w:date="2024-05-23T20:37:00Z"/>
          <w:rFonts w:cs="Arial"/>
        </w:rPr>
      </w:pPr>
      <w:ins w:id="3" w:author="STA" w:date="2024-05-23T20:37:00Z">
        <w:r w:rsidRPr="00546698">
          <w:rPr>
            <w:rFonts w:cs="Arial"/>
          </w:rPr>
          <w:t>Minden egyes sorozat kizárólag egy besorolás alatt szerepelhet.</w:t>
        </w:r>
      </w:ins>
    </w:p>
    <w:p w14:paraId="74EFD05E" w14:textId="77777777" w:rsidR="001C60E3" w:rsidRPr="00C65E95" w:rsidRDefault="001C60E3" w:rsidP="001C60E3">
      <w:pPr>
        <w:rPr>
          <w:ins w:id="4" w:author="STA" w:date="2024-05-23T20:37:00Z"/>
          <w:rFonts w:cs="Arial"/>
        </w:rPr>
      </w:pPr>
      <w:ins w:id="5" w:author="STA" w:date="2024-05-23T20:37:00Z">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 §-</w:t>
        </w:r>
        <w:r>
          <w:rPr>
            <w:rFonts w:cs="Arial"/>
          </w:rPr>
          <w:t>á</w:t>
        </w:r>
        <w:r w:rsidRPr="00546698">
          <w:rPr>
            <w:rFonts w:cs="Arial"/>
          </w:rPr>
          <w:t>ban</w:t>
        </w:r>
        <w:r>
          <w:rPr>
            <w:rFonts w:cs="Arial"/>
          </w:rPr>
          <w:t>, illetve 1/L. §-ában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ins>
    </w:p>
    <w:p w14:paraId="261DFB4C" w14:textId="7E03D76B" w:rsidR="00443FA6" w:rsidRPr="00034107" w:rsidDel="001C60E3" w:rsidRDefault="00443FA6" w:rsidP="00827EFE">
      <w:pPr>
        <w:rPr>
          <w:del w:id="6" w:author="STA" w:date="2024-05-23T20:37:00Z"/>
        </w:rPr>
      </w:pPr>
    </w:p>
    <w:p w14:paraId="2AC4CE06" w14:textId="5FABAF0F" w:rsidR="00D130E6" w:rsidRDefault="003A2A49" w:rsidP="00747C38">
      <w:pPr>
        <w:rPr>
          <w:rPrChange w:id="7" w:author="STA" w:date="2024-04-29T11:56:00Z">
            <w:rPr>
              <w:b/>
            </w:rPr>
          </w:rPrChange>
        </w:rPr>
      </w:pPr>
      <w:del w:id="8" w:author="STA" w:date="2024-04-29T11:56:00Z">
        <w:r w:rsidRPr="003A2A49">
          <w:rPr>
            <w:rFonts w:cs="Arial"/>
            <w:bCs/>
            <w:szCs w:val="20"/>
          </w:rPr>
          <w:delText>A</w:delText>
        </w:r>
      </w:del>
      <w:ins w:id="9" w:author="STA" w:date="2024-04-29T11:56:00Z">
        <w:r w:rsidR="0067125D" w:rsidRPr="00AE75FD">
          <w:rPr>
            <w:rFonts w:cs="Arial"/>
            <w:szCs w:val="20"/>
          </w:rPr>
          <w:t>A</w:t>
        </w:r>
        <w:r w:rsidR="0067125D"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ins>
      <w:ins w:id="10" w:author="STA" w:date="2024-05-23T20:37:00Z">
        <w:r w:rsidR="001C60E3">
          <w:rPr>
            <w:rFonts w:cs="Arial"/>
            <w:bCs/>
            <w:szCs w:val="20"/>
          </w:rPr>
          <w:t xml:space="preserve">hatálya </w:t>
        </w:r>
      </w:ins>
      <w:ins w:id="11" w:author="STA" w:date="2024-04-29T11:56:00Z">
        <w:r w:rsidR="00D130E6">
          <w:rPr>
            <w:rFonts w:cs="Arial"/>
            <w:bCs/>
            <w:szCs w:val="20"/>
          </w:rPr>
          <w:t>alá nem tartozó</w:t>
        </w:r>
      </w:ins>
      <w:r w:rsidR="00D130E6">
        <w:rPr>
          <w:rFonts w:cs="Arial"/>
          <w:bCs/>
          <w:szCs w:val="20"/>
        </w:rPr>
        <w:t xml:space="preserve">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ins w:id="12" w:author="STA" w:date="2024-04-29T11:56:00Z">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ins>
      <w:ins w:id="13" w:author="STA" w:date="2024-05-23T20:37:00Z">
        <w:r w:rsidR="001C60E3">
          <w:rPr>
            <w:rFonts w:cs="Arial"/>
            <w:bCs/>
            <w:szCs w:val="20"/>
          </w:rPr>
          <w:t xml:space="preserve">hatálya </w:t>
        </w:r>
      </w:ins>
      <w:ins w:id="14" w:author="STA" w:date="2024-04-29T11:56:00Z">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ins>
      <w:r w:rsidR="00D130E6" w:rsidRPr="00C42BBB">
        <w:rPr>
          <w:rFonts w:cs="Arial"/>
          <w:bCs/>
          <w:szCs w:val="20"/>
        </w:rPr>
        <w:t xml:space="preserve"> </w:t>
      </w:r>
      <w:r w:rsidR="00D130E6" w:rsidRPr="00AE75FD">
        <w:rPr>
          <w:rFonts w:cs="Arial"/>
          <w:bCs/>
          <w:szCs w:val="20"/>
        </w:rPr>
        <w:t>kell elvégezni</w:t>
      </w:r>
      <w:del w:id="15" w:author="STA" w:date="2024-04-29T11:56:00Z">
        <w:r w:rsidR="00590071">
          <w:rPr>
            <w:rFonts w:cs="Arial"/>
            <w:bCs/>
            <w:szCs w:val="20"/>
          </w:rPr>
          <w:delText>, az alábbiak figyelembevételével</w:delText>
        </w:r>
        <w:r w:rsidRPr="003A2A49">
          <w:rPr>
            <w:rFonts w:cs="Arial"/>
            <w:bCs/>
            <w:szCs w:val="20"/>
          </w:rPr>
          <w:delText xml:space="preserve">. </w:delText>
        </w:r>
      </w:del>
      <w:ins w:id="16" w:author="STA" w:date="2024-04-29T11:56:00Z">
        <w:r w:rsidR="00D130E6">
          <w:rPr>
            <w:rFonts w:cs="Arial"/>
            <w:bCs/>
            <w:szCs w:val="20"/>
          </w:rPr>
          <w:t>.</w:t>
        </w:r>
      </w:ins>
    </w:p>
    <w:p w14:paraId="42C2B35A" w14:textId="1406FB78" w:rsidR="00D130E6" w:rsidRPr="00335DA8" w:rsidRDefault="00747C38" w:rsidP="00747C38">
      <w:pPr>
        <w:rPr>
          <w:ins w:id="17" w:author="STA" w:date="2024-04-29T11:56:00Z"/>
          <w:rFonts w:cs="Arial"/>
          <w:bCs/>
          <w:szCs w:val="20"/>
        </w:rPr>
      </w:pPr>
      <w:del w:id="18" w:author="STA" w:date="2024-04-29T11:56:00Z">
        <w:r w:rsidRPr="004B411B">
          <w:rPr>
            <w:rFonts w:cs="Arial"/>
            <w:bCs/>
            <w:szCs w:val="20"/>
          </w:rPr>
          <w:delText>Az egyes</w:delText>
        </w:r>
      </w:del>
    </w:p>
    <w:p w14:paraId="2195924E" w14:textId="64384E56" w:rsidR="00747C38" w:rsidRPr="004B411B" w:rsidRDefault="00747C38" w:rsidP="00747C38">
      <w:pPr>
        <w:rPr>
          <w:rFonts w:cs="Arial"/>
          <w:bCs/>
          <w:szCs w:val="20"/>
        </w:rPr>
      </w:pPr>
      <w:ins w:id="19" w:author="STA" w:date="2024-04-29T11:56:00Z">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ins>
      <w:ins w:id="20" w:author="STA" w:date="2024-05-23T20:37:00Z">
        <w:r w:rsidR="001C60E3">
          <w:rPr>
            <w:rFonts w:cs="Arial"/>
            <w:bCs/>
            <w:szCs w:val="20"/>
          </w:rPr>
          <w:t xml:space="preserve">hatálya </w:t>
        </w:r>
      </w:ins>
      <w:ins w:id="21" w:author="STA" w:date="2024-04-29T11:56:00Z">
        <w:r w:rsidR="00D130E6">
          <w:rPr>
            <w:rFonts w:cs="Arial"/>
            <w:bCs/>
            <w:szCs w:val="20"/>
          </w:rPr>
          <w:t>alá nem tartozó</w:t>
        </w:r>
      </w:ins>
      <w:r w:rsidR="00D130E6">
        <w:rPr>
          <w:rFonts w:cs="Arial"/>
          <w:bCs/>
          <w:szCs w:val="20"/>
        </w:rPr>
        <w:t xml:space="preserve">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lastRenderedPageBreak/>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idejével</w:t>
      </w:r>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ins w:id="22" w:author="STA" w:date="2024-04-29T11:56:00Z"/>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77777777" w:rsidR="000830A4" w:rsidRPr="00034107" w:rsidRDefault="008A093C" w:rsidP="00827EFE">
      <w:r w:rsidRPr="00034107">
        <w:rPr>
          <w:b/>
        </w:rPr>
        <w:t>1. oszlop:</w:t>
      </w:r>
      <w:r w:rsidRPr="00034107">
        <w:t xml:space="preserve"> </w:t>
      </w:r>
      <w:r w:rsidR="000650A2" w:rsidRPr="00034107">
        <w:t>a</w:t>
      </w:r>
      <w:r w:rsidR="00DE08BC" w:rsidRPr="00034107">
        <w:t xml:space="preserve">z </w:t>
      </w:r>
      <w:r w:rsidRPr="00034107">
        <w:t xml:space="preserve">alapkezelő által kezelt egyes </w:t>
      </w:r>
      <w:r w:rsidR="00311AF1">
        <w:t>portfólió</w:t>
      </w:r>
      <w:r w:rsidRPr="00034107">
        <w:t>k neve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egyéb esetben az alapkezelő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7777777"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(utolsó forgalmazási nap)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negyedév utolsó napjára vonatkozik ez az oszlop). A tábla többi oszlopát (amelyek nem egy időpontra, hanem egy időszakra vonatkoznak)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r w:rsidRPr="00034107">
        <w:t xml:space="preserve">alapkezelő által megadott, az alap, a pénztári, biztosítói vagy egyéb </w:t>
      </w:r>
      <w:r w:rsidR="00311AF1">
        <w:t>portfólió</w:t>
      </w:r>
      <w:r w:rsidRPr="00034107">
        <w:t xml:space="preserve"> teljesítményének összehasonlító értékelésére szolgáló, előre kiválasztott mutató (referenciaindex, 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77777777"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(vagyis mindenfajta költség levonása utáni)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593F7DF6"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9478BA" w:rsidRPr="003C41C0">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56D450DC" w:rsidR="000830A4" w:rsidRDefault="005C0D9B" w:rsidP="00CF65A4">
      <w:r w:rsidRPr="00034107">
        <w:rPr>
          <w:b/>
        </w:rPr>
        <w:t>8</w:t>
      </w:r>
      <w:r w:rsidR="008A093C" w:rsidRPr="00034107">
        <w:rPr>
          <w:b/>
        </w:rPr>
        <w:t>. oszlop:</w:t>
      </w:r>
      <w:r w:rsidR="008A093C" w:rsidRPr="00034107">
        <w:t xml:space="preserve"> </w:t>
      </w:r>
      <w:r w:rsidR="001E28EA" w:rsidRPr="003C41C0">
        <w:t>a) az I</w:t>
      </w:r>
      <w:r w:rsidR="000D0EB9" w:rsidRPr="003C41C0">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23" w:name="_Hlk147913560"/>
      <w:r w:rsidR="001944A0" w:rsidRPr="00034107">
        <w:t xml:space="preserve">Azokat a költségeket, amelyek a </w:t>
      </w:r>
      <w:r w:rsidR="001944A0" w:rsidRPr="00034107">
        <w:lastRenderedPageBreak/>
        <w:t>befektetési alap szintjén jelentkeznek és nem rendelhetők hozzá egyértelműen egy sorozathoz, becslés alkalmazásával (pl. a piaci értékek arányában) kell szétosztani a sorozatok között.</w:t>
      </w:r>
      <w:bookmarkEnd w:id="23"/>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24" w:name="_Hlk83285054"/>
      <w:r w:rsidR="001E28EA" w:rsidRPr="003C41C0">
        <w:t>sikerdíjaknak az alapra költségként elszámolt</w:t>
      </w:r>
      <w:r w:rsidR="00283EF9" w:rsidRPr="003C41C0">
        <w:t>,</w:t>
      </w:r>
      <w:r w:rsidR="001E28EA" w:rsidRPr="003C41C0">
        <w:t xml:space="preserve"> </w:t>
      </w:r>
      <w:r w:rsidR="001E28EA" w:rsidRPr="00335DA8">
        <w:rPr>
          <w:rPrChange w:id="25" w:author="STA" w:date="2024-04-29T11:56:00Z">
            <w:rPr>
              <w:u w:val="single"/>
            </w:rPr>
          </w:rPrChange>
        </w:rPr>
        <w:t>adott évre vonatkozó</w:t>
      </w:r>
      <w:r w:rsidR="001E28EA" w:rsidRPr="003C41C0">
        <w:t xml:space="preserve"> összegével</w:t>
      </w:r>
      <w:bookmarkEnd w:id="24"/>
      <w:r w:rsidR="001E28EA" w:rsidRPr="003C41C0">
        <w:t>.</w:t>
      </w:r>
    </w:p>
    <w:p w14:paraId="372CDEC0" w14:textId="42C0406C" w:rsidR="001416D4" w:rsidRDefault="001416D4" w:rsidP="00335DA8">
      <w:pPr>
        <w:spacing w:before="0"/>
        <w:rPr>
          <w:ins w:id="26" w:author="STA" w:date="2024-04-29T11:56:00Z"/>
        </w:rPr>
      </w:pPr>
      <w:ins w:id="27" w:author="STA" w:date="2024-04-29T11:56:00Z">
        <w:r w:rsidRPr="001416D4">
          <w:t>A meghatározás alapján a 7. és 8. oszlopba</w:t>
        </w:r>
        <w:r>
          <w:t>n</w:t>
        </w:r>
        <w:r w:rsidRPr="001416D4">
          <w:t xml:space="preserve"> </w:t>
        </w:r>
        <w:r>
          <w:t>is felsorolt</w:t>
        </w:r>
        <w:r w:rsidRPr="001416D4">
          <w:t xml:space="preserve"> költségeket mindkét oszlopban szerepeltetni szükséges.</w:t>
        </w:r>
      </w:ins>
    </w:p>
    <w:p w14:paraId="4830E55D" w14:textId="232BCD8A" w:rsidR="00B23B71" w:rsidRPr="00E658C2" w:rsidRDefault="00B23B71" w:rsidP="00CF65A4">
      <w:pPr>
        <w:rPr>
          <w:b/>
          <w:bCs/>
        </w:rPr>
      </w:pPr>
      <w:r w:rsidRPr="0095461F">
        <w:rPr>
          <w:b/>
          <w:bCs/>
        </w:rPr>
        <w:t>9. oszlop:</w:t>
      </w:r>
      <w:r w:rsidRPr="00E658C2">
        <w:t xml:space="preserve"> </w:t>
      </w:r>
      <w:r w:rsidR="008A130F">
        <w:t xml:space="preserve">kódtár („Működési </w:t>
      </w:r>
      <w:r w:rsidR="006C61CC">
        <w:t>forma</w:t>
      </w:r>
      <w:r w:rsidR="008A130F">
        <w:t>”) szerint.</w:t>
      </w:r>
    </w:p>
    <w:p w14:paraId="1A174060" w14:textId="77777777" w:rsidR="00B23B71" w:rsidRPr="00034107" w:rsidRDefault="00B23B71" w:rsidP="003C41C0">
      <w:pPr>
        <w:autoSpaceDE w:val="0"/>
        <w:autoSpaceDN w:val="0"/>
        <w:rPr>
          <w:rFonts w:cs="Arial"/>
          <w:szCs w:val="20"/>
        </w:rPr>
      </w:pPr>
    </w:p>
    <w:p w14:paraId="4F1067EC" w14:textId="77777777"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2721646A"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 pénztári, biztosítói, egyéb </w:t>
      </w:r>
      <w:r w:rsidR="00311AF1">
        <w:t>portfólió</w:t>
      </w:r>
      <w:r w:rsidRPr="00034107">
        <w:t>kban lévő saját befektetési alapok befektetési jegyei)</w:t>
      </w:r>
    </w:p>
    <w:p w14:paraId="2C2459EE" w14:textId="552325B5"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24B0316C" w:rsidR="000830A4" w:rsidRPr="00034107" w:rsidRDefault="008A093C" w:rsidP="00CF65A4">
      <w:r w:rsidRPr="00034107">
        <w:rPr>
          <w:b/>
        </w:rPr>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 (az alapokban és a pénztári, biztosítói, egyéb </w:t>
      </w:r>
      <w:r w:rsidR="00311AF1">
        <w:t>portfólió</w:t>
      </w:r>
      <w:r w:rsidRPr="00034107">
        <w:t>kban lévő hazai befektetési alapok befektetési jegyei)</w:t>
      </w:r>
    </w:p>
    <w:p w14:paraId="14E4906B" w14:textId="0C4DEE01" w:rsidR="000830A4" w:rsidRPr="00034107" w:rsidRDefault="00A071D3" w:rsidP="00DB29C7">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80264C">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77777777" w:rsidR="00C01965" w:rsidRPr="00034107" w:rsidRDefault="00C01965" w:rsidP="00CF65A4">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694CE7E8" w14:textId="77777777" w:rsidR="000830A4" w:rsidRPr="00034107" w:rsidRDefault="000830A4" w:rsidP="00CF65A4"/>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lastRenderedPageBreak/>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 (ideértve annak teljesítését, tartalmát, késedelmes teljesítését vagy teljesítésének hiányát)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77777777"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 xml:space="preserve">A </w:t>
      </w:r>
      <w:proofErr w:type="spellStart"/>
      <w:r w:rsidRPr="00034107">
        <w:rPr>
          <w:rFonts w:ascii="Arial" w:hAnsi="Arial" w:cs="Arial"/>
          <w:sz w:val="20"/>
          <w:szCs w:val="20"/>
        </w:rPr>
        <w:t>Bszt</w:t>
      </w:r>
      <w:proofErr w:type="spellEnd"/>
      <w:r w:rsidRPr="00034107">
        <w:rPr>
          <w:rFonts w:ascii="Arial" w:hAnsi="Arial" w:cs="Arial"/>
          <w:sz w:val="20"/>
          <w:szCs w:val="20"/>
        </w:rPr>
        <w: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 xml:space="preserve">30.) </w:t>
      </w:r>
      <w:proofErr w:type="spellStart"/>
      <w:r w:rsidRPr="00034107">
        <w:rPr>
          <w:rFonts w:ascii="Arial" w:hAnsi="Arial" w:cs="Arial"/>
          <w:sz w:val="20"/>
          <w:szCs w:val="20"/>
        </w:rPr>
        <w:t>NGM</w:t>
      </w:r>
      <w:proofErr w:type="spellEnd"/>
      <w:r w:rsidRPr="00034107">
        <w:rPr>
          <w:rFonts w:ascii="Arial" w:hAnsi="Arial" w:cs="Arial"/>
          <w:sz w:val="20"/>
          <w:szCs w:val="20"/>
        </w:rPr>
        <w:t xml:space="preserve"> rendelet értelmében a befektetési alapkezelő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lastRenderedPageBreak/>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 ügyféllel kötött szerződés kamatának,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77777777"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t xml:space="preserve">A jogszabály által védeni rendelt tény, információ, adat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77777777"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ok:</w:t>
      </w:r>
      <w:r w:rsidR="00933739" w:rsidRPr="00034107">
        <w:t xml:space="preserve"> a </w:t>
      </w:r>
      <w:proofErr w:type="spellStart"/>
      <w:r w:rsidRPr="00034107">
        <w:rPr>
          <w:snapToGrid w:val="0"/>
        </w:rPr>
        <w:t>Kbftv</w:t>
      </w:r>
      <w:proofErr w:type="spellEnd"/>
      <w:r w:rsidRPr="00034107">
        <w:rPr>
          <w:snapToGrid w:val="0"/>
        </w:rPr>
        <w:t xml:space="preserve">. 6. § (1) és (2) bekezdésében, illetve a </w:t>
      </w:r>
      <w:proofErr w:type="spellStart"/>
      <w:r w:rsidRPr="00034107">
        <w:rPr>
          <w:snapToGrid w:val="0"/>
        </w:rPr>
        <w:t>Kbftv</w:t>
      </w:r>
      <w:proofErr w:type="spellEnd"/>
      <w:r w:rsidRPr="00034107">
        <w:rPr>
          <w:snapToGrid w:val="0"/>
        </w:rPr>
        <w:t xml:space="preserve">. 7. § (1)-(3)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80264C">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28"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28"/>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7777777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 xml:space="preserve">teljes munkaidőben foglalkoznak az intézmény érdekében a panaszügyekkel, panaszkezeléssel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lastRenderedPageBreak/>
        <w:t>50GB34 Fogyasztók száma az időszak végén (fő)</w:t>
      </w:r>
    </w:p>
    <w:p w14:paraId="0F54BA0D" w14:textId="77777777"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w:t>
      </w:r>
      <w:proofErr w:type="spellStart"/>
      <w:r w:rsidRPr="00034107">
        <w:rPr>
          <w:rFonts w:cs="Arial"/>
          <w:iCs/>
          <w:szCs w:val="20"/>
        </w:rPr>
        <w:t>Kbftv</w:t>
      </w:r>
      <w:proofErr w:type="spellEnd"/>
      <w:r w:rsidRPr="00034107">
        <w:rPr>
          <w:rFonts w:cs="Arial"/>
          <w:iCs/>
          <w:szCs w:val="20"/>
        </w:rPr>
        <w:t>.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(1)-(</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w:t>
      </w:r>
      <w:proofErr w:type="spellStart"/>
      <w:r w:rsidRPr="00034107">
        <w:rPr>
          <w:rFonts w:cs="Arial"/>
          <w:iCs/>
          <w:szCs w:val="20"/>
        </w:rPr>
        <w:t>Kbftv</w:t>
      </w:r>
      <w:proofErr w:type="spellEnd"/>
      <w:r w:rsidRPr="00034107">
        <w:rPr>
          <w:rFonts w:cs="Arial"/>
          <w:iCs/>
          <w:szCs w:val="20"/>
        </w:rPr>
        <w:t>.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DB29C7">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A befektetési alapkezelő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w:t>
      </w:r>
      <w:proofErr w:type="spellStart"/>
      <w:r w:rsidRPr="00034107">
        <w:t>letétkezelőnként</w:t>
      </w:r>
      <w:proofErr w:type="spellEnd"/>
      <w:r w:rsidRPr="00034107">
        <w:t xml:space="preserve"> külön-külön sorban kimutatva a velük szemben fennálló kitettség értékét.</w:t>
      </w:r>
    </w:p>
    <w:p w14:paraId="0413D55B" w14:textId="77777777"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6-10</w:t>
      </w:r>
      <w:r w:rsidR="00AF3603" w:rsidRPr="00034107">
        <w:t>.</w:t>
      </w:r>
      <w:r w:rsidRPr="00034107">
        <w:t xml:space="preserve"> oszlop mindegyikébe nulla kerülne.</w:t>
      </w:r>
    </w:p>
    <w:p w14:paraId="07ECBDD5" w14:textId="77777777" w:rsidR="00372268" w:rsidRPr="00034107" w:rsidRDefault="00372268" w:rsidP="005F4213">
      <w:r w:rsidRPr="00034107">
        <w:t>A külföldi pénznemben fennálló számlaegyenlegek értékét és a külföldi devizában denominált értékpapírokat forintban kell szerepeltetni. Az átváltási árfolyam a számviteli politikában, kezelési szabályzatban, egyéb dokumentumokban (szerződés) meghatározott árfolyam, illetve</w:t>
      </w:r>
      <w:r w:rsidR="003B4086">
        <w:t>,</w:t>
      </w:r>
      <w:r w:rsidRPr="00034107">
        <w:t xml:space="preserve"> ha ilyen nincs, akkor a negyedév végén érvényes, MNB által közzétett hivatalos árfolyam.</w:t>
      </w:r>
    </w:p>
    <w:p w14:paraId="203B4995" w14:textId="77777777" w:rsidR="00372268" w:rsidRPr="00034107" w:rsidRDefault="00372268" w:rsidP="005F4213">
      <w:r w:rsidRPr="00034107">
        <w:t>Az értékpapírok piaci értékének meghatározásához (a 9. és 10. oszlopnál) az alapkezelő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77777777"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alapkezelő igénybe veszi a befektetéskezelési tevékenységéhez kapcsolódóan. </w:t>
      </w:r>
      <w:r w:rsidR="002B2415" w:rsidRPr="00034107">
        <w:rPr>
          <w:rFonts w:cs="Arial"/>
          <w:szCs w:val="20"/>
        </w:rPr>
        <w:t>Az intézmény neve előtt külön jelölni kell, hogy az adott szolgáltató kereskedési partnernek („</w:t>
      </w:r>
      <w:proofErr w:type="spellStart"/>
      <w:r w:rsidR="002B2415" w:rsidRPr="00034107">
        <w:rPr>
          <w:rFonts w:cs="Arial"/>
          <w:szCs w:val="20"/>
        </w:rPr>
        <w:t>ker</w:t>
      </w:r>
      <w:proofErr w:type="spellEnd"/>
      <w:r w:rsidR="002B2415" w:rsidRPr="00034107">
        <w:rPr>
          <w:rFonts w:cs="Arial"/>
          <w:szCs w:val="20"/>
        </w:rPr>
        <w:t>”) vagy letétkezelőnek („</w:t>
      </w:r>
      <w:proofErr w:type="spellStart"/>
      <w:r w:rsidR="002B2415" w:rsidRPr="00034107">
        <w:rPr>
          <w:rFonts w:cs="Arial"/>
          <w:szCs w:val="20"/>
        </w:rPr>
        <w:t>letétkez</w:t>
      </w:r>
      <w:proofErr w:type="spellEnd"/>
      <w:r w:rsidR="002B2415" w:rsidRPr="00034107">
        <w:rPr>
          <w:rFonts w:cs="Arial"/>
          <w:szCs w:val="20"/>
        </w:rPr>
        <w:t>”)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462E52" w:rsidRPr="00034107">
        <w:rPr>
          <w:rFonts w:cs="Arial"/>
          <w:szCs w:val="20"/>
        </w:rPr>
        <w:t xml:space="preserve">(és nem letétkezelőnek)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proofErr w:type="spellStart"/>
      <w:r w:rsidR="00693D48" w:rsidRPr="000335A9">
        <w:rPr>
          <w:rFonts w:cs="Arial"/>
          <w:szCs w:val="20"/>
        </w:rPr>
        <w:t>Legal</w:t>
      </w:r>
      <w:proofErr w:type="spellEnd"/>
      <w:r w:rsidR="00693D48" w:rsidRPr="000335A9">
        <w:rPr>
          <w:rFonts w:cs="Arial"/>
          <w:szCs w:val="20"/>
        </w:rPr>
        <w:t xml:space="preserve"> </w:t>
      </w:r>
      <w:proofErr w:type="spellStart"/>
      <w:r w:rsidR="00693D48" w:rsidRPr="000335A9">
        <w:rPr>
          <w:rFonts w:cs="Arial"/>
          <w:szCs w:val="20"/>
        </w:rPr>
        <w:t>Entity</w:t>
      </w:r>
      <w:proofErr w:type="spellEnd"/>
      <w:r w:rsidR="00693D48" w:rsidRPr="000335A9">
        <w:rPr>
          <w:rFonts w:cs="Arial"/>
          <w:szCs w:val="20"/>
        </w:rPr>
        <w:t xml:space="preserve"> </w:t>
      </w:r>
      <w:proofErr w:type="spellStart"/>
      <w:r w:rsidR="00693D48" w:rsidRPr="000335A9">
        <w:rPr>
          <w:rFonts w:cs="Arial"/>
          <w:szCs w:val="20"/>
        </w:rPr>
        <w:t>Identifier</w:t>
      </w:r>
      <w:proofErr w:type="spellEnd"/>
      <w:r w:rsidR="00693D48" w:rsidRPr="000335A9">
        <w:rPr>
          <w:rFonts w:cs="Arial"/>
          <w:szCs w:val="20"/>
        </w:rPr>
        <w:t xml:space="preserve">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 xml:space="preserve">ISO 9362 nemzetközi szabvány szerint meghatározott kódja [SWIFT/Bank </w:t>
      </w:r>
      <w:proofErr w:type="spellStart"/>
      <w:r w:rsidR="00372268" w:rsidRPr="00034107">
        <w:rPr>
          <w:rFonts w:cs="Arial"/>
          <w:szCs w:val="20"/>
        </w:rPr>
        <w:t>Identifier</w:t>
      </w:r>
      <w:proofErr w:type="spellEnd"/>
      <w:r w:rsidR="00372268" w:rsidRPr="00034107">
        <w:rPr>
          <w:rFonts w:cs="Arial"/>
          <w:szCs w:val="20"/>
        </w:rPr>
        <w:t xml:space="preserve"> </w:t>
      </w:r>
      <w:proofErr w:type="spellStart"/>
      <w:r w:rsidR="00372268" w:rsidRPr="00034107">
        <w:rPr>
          <w:rFonts w:cs="Arial"/>
          <w:szCs w:val="20"/>
        </w:rPr>
        <w:t>Code</w:t>
      </w:r>
      <w:proofErr w:type="spellEnd"/>
      <w:r w:rsidR="00372268" w:rsidRPr="00034107">
        <w:rPr>
          <w:rFonts w:cs="Arial"/>
          <w:szCs w:val="20"/>
        </w:rPr>
        <w:t xml:space="preserv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lastRenderedPageBreak/>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4930BF0B" w14:textId="77777777" w:rsidR="001219FD" w:rsidRPr="00034107" w:rsidRDefault="001219FD" w:rsidP="00A45C65">
      <w:pPr>
        <w:rPr>
          <w:rFonts w:cs="Arial"/>
          <w:b/>
          <w:szCs w:val="20"/>
        </w:rPr>
      </w:pPr>
    </w:p>
    <w:p w14:paraId="7258120C" w14:textId="6AE9D513" w:rsidR="00DB29C7" w:rsidRDefault="00DB29C7" w:rsidP="00DB29C7">
      <w:pPr>
        <w:pStyle w:val="Cmsor2"/>
      </w:pPr>
      <w:r>
        <w:t>5</w:t>
      </w:r>
      <w:r w:rsidRPr="00034107">
        <w:t xml:space="preserve">. </w:t>
      </w:r>
      <w:del w:id="29" w:author="STA" w:date="2024-04-29T11:56:00Z">
        <w:r w:rsidR="008B7849" w:rsidRPr="00034107">
          <w:delText>50I1 Az alternatív</w:delText>
        </w:r>
      </w:del>
      <w:ins w:id="30" w:author="STA" w:date="2024-04-29T11:56:00Z">
        <w:r w:rsidRPr="00034107">
          <w:t>50I</w:t>
        </w:r>
        <w:r>
          <w:t>3</w:t>
        </w:r>
        <w:r w:rsidRPr="00034107">
          <w:t xml:space="preserve"> </w:t>
        </w:r>
        <w:r w:rsidRPr="00020CC7">
          <w:t>A</w:t>
        </w:r>
      </w:ins>
      <w:r w:rsidRPr="00020CC7">
        <w:t xml:space="preserve"> befektetési alapok nettó eszközértéke és száma</w:t>
      </w:r>
      <w:ins w:id="31" w:author="STA" w:date="2024-04-29T11:56:00Z">
        <w:r w:rsidRPr="00020CC7">
          <w:t xml:space="preserve"> a harmonizáció típusa, illetve azon belül különféle szempontok szerinti bontásban,</w:t>
        </w:r>
      </w:ins>
      <w:r w:rsidRPr="00020CC7">
        <w:t xml:space="preserve"> a negyedév végén</w:t>
      </w:r>
    </w:p>
    <w:p w14:paraId="37B94614" w14:textId="77777777" w:rsidR="00DB29C7" w:rsidRPr="00034107" w:rsidRDefault="00DB29C7" w:rsidP="00DB29C7">
      <w:pPr>
        <w:rPr>
          <w:rFonts w:cs="Arial"/>
          <w:b/>
          <w:szCs w:val="20"/>
        </w:rPr>
      </w:pPr>
      <w:r w:rsidRPr="00034107">
        <w:rPr>
          <w:rFonts w:cs="Arial"/>
          <w:b/>
          <w:szCs w:val="20"/>
        </w:rPr>
        <w:t>A tábla kitöltése</w:t>
      </w:r>
    </w:p>
    <w:p w14:paraId="59C24082" w14:textId="220BC9BB" w:rsidR="00DB29C7" w:rsidRPr="00020CC7" w:rsidRDefault="00DB29C7" w:rsidP="00DB29C7">
      <w:r w:rsidRPr="00034107">
        <w:rPr>
          <w:rFonts w:cs="Arial"/>
          <w:szCs w:val="20"/>
        </w:rPr>
        <w:t xml:space="preserve">A </w:t>
      </w:r>
      <w:proofErr w:type="spellStart"/>
      <w:r w:rsidRPr="00034107">
        <w:rPr>
          <w:rFonts w:cs="Arial"/>
          <w:szCs w:val="20"/>
        </w:rPr>
        <w:t>Kbftv</w:t>
      </w:r>
      <w:proofErr w:type="spellEnd"/>
      <w:r w:rsidRPr="00034107">
        <w:rPr>
          <w:rFonts w:cs="Arial"/>
          <w:szCs w:val="20"/>
        </w:rPr>
        <w:t xml:space="preserve">. 67. § (1) bekezdésében szereplő bontásban kell megadni </w:t>
      </w:r>
      <w:del w:id="32" w:author="STA" w:date="2024-04-29T11:56:00Z">
        <w:r w:rsidR="008B7849" w:rsidRPr="00034107">
          <w:rPr>
            <w:rFonts w:cs="Arial"/>
            <w:szCs w:val="20"/>
          </w:rPr>
          <w:delText>az alternatív</w:delText>
        </w:r>
      </w:del>
      <w:ins w:id="33" w:author="STA" w:date="2024-04-29T11:56:00Z">
        <w:r>
          <w:rPr>
            <w:rFonts w:cs="Arial"/>
            <w:szCs w:val="20"/>
          </w:rPr>
          <w:t>a</w:t>
        </w:r>
      </w:ins>
      <w:r w:rsidRPr="00034107">
        <w:rPr>
          <w:rFonts w:cs="Arial"/>
          <w:szCs w:val="20"/>
        </w:rPr>
        <w:t xml:space="preserve"> befektetési alapok </w:t>
      </w:r>
      <w:r w:rsidRPr="001C60E3">
        <w:rPr>
          <w:rFonts w:cs="Arial"/>
          <w:szCs w:val="20"/>
        </w:rPr>
        <w:t>nettó eszközértékét és</w:t>
      </w:r>
      <w:ins w:id="34" w:author="STA" w:date="2024-05-09T15:25:00Z">
        <w:r w:rsidR="00443FA6" w:rsidRPr="001C60E3">
          <w:rPr>
            <w:rFonts w:cs="Arial"/>
            <w:szCs w:val="20"/>
          </w:rPr>
          <w:t xml:space="preserve"> az alapok (nem pedig a so</w:t>
        </w:r>
      </w:ins>
      <w:ins w:id="35" w:author="STA" w:date="2024-05-09T15:26:00Z">
        <w:r w:rsidR="00443FA6" w:rsidRPr="001C60E3">
          <w:rPr>
            <w:rFonts w:cs="Arial"/>
            <w:szCs w:val="20"/>
          </w:rPr>
          <w:t>rozatok)</w:t>
        </w:r>
      </w:ins>
      <w:r w:rsidRPr="001C60E3">
        <w:rPr>
          <w:rFonts w:cs="Arial"/>
          <w:szCs w:val="20"/>
        </w:rPr>
        <w:t xml:space="preserve"> számát. A külföldön kibocsátott, de az</w:t>
      </w:r>
      <w:r w:rsidRPr="00034107">
        <w:rPr>
          <w:rFonts w:cs="Arial"/>
          <w:szCs w:val="20"/>
        </w:rPr>
        <w:t xml:space="preserve"> adatszolgáltató által kezelt alapokról is jelenteni kell a táblában.</w:t>
      </w:r>
    </w:p>
    <w:p w14:paraId="48D39047" w14:textId="77777777" w:rsidR="00250A4B" w:rsidRPr="00034107" w:rsidRDefault="00250A4B" w:rsidP="00250A4B">
      <w:pPr>
        <w:rPr>
          <w:del w:id="36" w:author="STA" w:date="2024-04-29T11:56:00Z"/>
          <w:rFonts w:cs="Arial"/>
          <w:b/>
          <w:szCs w:val="20"/>
        </w:rPr>
      </w:pPr>
    </w:p>
    <w:p w14:paraId="0C31B3DD" w14:textId="77777777" w:rsidR="00DB29C7" w:rsidRDefault="00DB29C7" w:rsidP="00DB29C7">
      <w:pPr>
        <w:rPr>
          <w:rFonts w:cs="Arial"/>
          <w:b/>
          <w:szCs w:val="20"/>
        </w:rPr>
      </w:pPr>
      <w:r w:rsidRPr="00034107">
        <w:rPr>
          <w:rFonts w:cs="Arial"/>
          <w:b/>
          <w:szCs w:val="20"/>
        </w:rPr>
        <w:t>A tábla sorai:</w:t>
      </w:r>
    </w:p>
    <w:p w14:paraId="69CDE9B1" w14:textId="7752C95C" w:rsidR="00DB29C7" w:rsidRDefault="004A3C98" w:rsidP="00DB29C7">
      <w:pPr>
        <w:rPr>
          <w:rFonts w:cs="Arial"/>
          <w:b/>
          <w:szCs w:val="20"/>
        </w:rPr>
      </w:pPr>
      <w:del w:id="37" w:author="STA" w:date="2024-04-29T11:56:00Z">
        <w:r>
          <w:rPr>
            <w:rFonts w:cs="Arial"/>
            <w:b/>
            <w:szCs w:val="20"/>
          </w:rPr>
          <w:delText>50I11</w:delText>
        </w:r>
      </w:del>
      <w:ins w:id="38" w:author="STA" w:date="2024-04-29T11:56:00Z">
        <w:r w:rsidR="00DB29C7">
          <w:rPr>
            <w:rFonts w:cs="Arial"/>
            <w:b/>
            <w:szCs w:val="20"/>
          </w:rPr>
          <w:t>50I31</w:t>
        </w:r>
      </w:ins>
      <w:r w:rsidR="00DB29C7">
        <w:rPr>
          <w:rFonts w:cs="Arial"/>
          <w:b/>
          <w:szCs w:val="20"/>
        </w:rPr>
        <w:t xml:space="preserve"> </w:t>
      </w:r>
      <w:r w:rsidR="00DB29C7" w:rsidRPr="00034107">
        <w:rPr>
          <w:rFonts w:cs="Arial"/>
          <w:b/>
          <w:szCs w:val="20"/>
        </w:rPr>
        <w:t>A befektetési alap</w:t>
      </w:r>
      <w:r w:rsidR="00DB29C7">
        <w:rPr>
          <w:rFonts w:cs="Arial"/>
          <w:b/>
          <w:szCs w:val="20"/>
        </w:rPr>
        <w:t xml:space="preserve"> működési formája: </w:t>
      </w:r>
      <w:r w:rsidR="00DB29C7">
        <w:rPr>
          <w:rFonts w:cs="Arial"/>
          <w:szCs w:val="20"/>
        </w:rPr>
        <w:t>a</w:t>
      </w:r>
      <w:r w:rsidR="00DB29C7" w:rsidRPr="00034107">
        <w:rPr>
          <w:rFonts w:cs="Arial"/>
          <w:szCs w:val="20"/>
        </w:rPr>
        <w:t xml:space="preserve"> </w:t>
      </w:r>
      <w:proofErr w:type="spellStart"/>
      <w:r w:rsidR="00DB29C7" w:rsidRPr="00034107">
        <w:rPr>
          <w:rFonts w:cs="Arial"/>
          <w:szCs w:val="20"/>
        </w:rPr>
        <w:t>Kbftv</w:t>
      </w:r>
      <w:proofErr w:type="spellEnd"/>
      <w:r w:rsidR="00DB29C7" w:rsidRPr="00034107">
        <w:rPr>
          <w:rFonts w:cs="Arial"/>
          <w:szCs w:val="20"/>
        </w:rPr>
        <w:t>. 67. § (</w:t>
      </w:r>
      <w:r w:rsidR="00DB29C7">
        <w:rPr>
          <w:rFonts w:cs="Arial"/>
          <w:szCs w:val="20"/>
        </w:rPr>
        <w:t>2</w:t>
      </w:r>
      <w:r w:rsidR="00DB29C7" w:rsidRPr="00034107">
        <w:rPr>
          <w:rFonts w:cs="Arial"/>
          <w:szCs w:val="20"/>
        </w:rPr>
        <w:t>) bekezdés</w:t>
      </w:r>
      <w:r w:rsidR="00DB29C7">
        <w:rPr>
          <w:rFonts w:cs="Arial"/>
          <w:szCs w:val="20"/>
        </w:rPr>
        <w:t>e szerint</w:t>
      </w:r>
      <w:ins w:id="39" w:author="STA" w:date="2024-04-29T11:56:00Z">
        <w:r w:rsidR="00DB29C7">
          <w:rPr>
            <w:rFonts w:cs="Arial"/>
            <w:szCs w:val="20"/>
          </w:rPr>
          <w:t>,</w:t>
        </w:r>
      </w:ins>
      <w:r w:rsidR="00DB29C7">
        <w:rPr>
          <w:rFonts w:cs="Arial"/>
          <w:szCs w:val="20"/>
        </w:rPr>
        <w:t xml:space="preserve"> n</w:t>
      </w:r>
      <w:r w:rsidR="00DB29C7" w:rsidRPr="004A3C98">
        <w:rPr>
          <w:rFonts w:cs="Arial"/>
          <w:szCs w:val="20"/>
        </w:rPr>
        <w:t>yilvános befektetési alapként működik az a befektetési alap, amelynek legalább egy befektetési jegy sorozatát nyilvános forgalomba hozatal útján hozták forgalomba.</w:t>
      </w:r>
    </w:p>
    <w:p w14:paraId="1B8B2549" w14:textId="4CC01D2A" w:rsidR="00DB29C7" w:rsidRDefault="00250A4B" w:rsidP="00DB29C7">
      <w:pPr>
        <w:rPr>
          <w:ins w:id="40" w:author="STA" w:date="2024-04-29T11:56:00Z"/>
          <w:rFonts w:cs="Arial"/>
          <w:b/>
          <w:szCs w:val="20"/>
        </w:rPr>
      </w:pPr>
      <w:del w:id="41" w:author="STA" w:date="2024-04-29T11:56:00Z">
        <w:r w:rsidRPr="00034107">
          <w:rPr>
            <w:rFonts w:cs="Arial"/>
            <w:b/>
            <w:szCs w:val="20"/>
          </w:rPr>
          <w:delText>50I15</w:delText>
        </w:r>
      </w:del>
      <w:ins w:id="42" w:author="STA" w:date="2024-04-29T11:56:00Z">
        <w:r w:rsidR="00DB29C7">
          <w:rPr>
            <w:rFonts w:cs="Arial"/>
            <w:b/>
            <w:szCs w:val="20"/>
          </w:rPr>
          <w:t xml:space="preserve">50I32 </w:t>
        </w:r>
        <w:r w:rsidR="00DB29C7" w:rsidRPr="00547334">
          <w:rPr>
            <w:rFonts w:cs="Arial"/>
            <w:b/>
            <w:szCs w:val="20"/>
          </w:rPr>
          <w:t>Az elsődleges eszközkategória</w:t>
        </w:r>
        <w:r w:rsidR="00DB29C7">
          <w:rPr>
            <w:rFonts w:cs="Arial"/>
            <w:b/>
            <w:szCs w:val="20"/>
          </w:rPr>
          <w:t xml:space="preserve">: </w:t>
        </w:r>
        <w:r w:rsidR="00DB29C7" w:rsidRPr="00FC1A3A">
          <w:rPr>
            <w:rFonts w:cs="Arial"/>
            <w:bCs/>
            <w:szCs w:val="20"/>
          </w:rPr>
          <w:t>a besorolás</w:t>
        </w:r>
        <w:r w:rsidR="00F378EA">
          <w:rPr>
            <w:rFonts w:cs="Arial"/>
            <w:bCs/>
            <w:szCs w:val="20"/>
          </w:rPr>
          <w:t>t</w:t>
        </w:r>
        <w:r w:rsidR="00DB29C7" w:rsidRPr="00FC1A3A">
          <w:rPr>
            <w:rFonts w:cs="Arial"/>
            <w:bCs/>
            <w:szCs w:val="20"/>
          </w:rPr>
          <w:t xml:space="preserve"> a</w:t>
        </w:r>
        <w:r w:rsidR="00DB29C7">
          <w:rPr>
            <w:rFonts w:cs="Arial"/>
            <w:b/>
            <w:szCs w:val="20"/>
          </w:rPr>
          <w:t xml:space="preserve"> </w:t>
        </w:r>
        <w:r w:rsidR="00DB29C7" w:rsidRPr="007C55EE">
          <w:rPr>
            <w:rFonts w:cs="Arial"/>
          </w:rPr>
          <w:t>78/2014. (III. 14.) Korm. rendelet 1/B. § (1) bekezdésében szereplő kategóriák</w:t>
        </w:r>
      </w:ins>
      <w:ins w:id="43" w:author="STA" w:date="2024-05-23T20:41:00Z">
        <w:r w:rsidR="001C60E3">
          <w:rPr>
            <w:rFonts w:cs="Arial"/>
          </w:rPr>
          <w:t xml:space="preserve"> </w:t>
        </w:r>
      </w:ins>
      <w:ins w:id="44" w:author="STA" w:date="2024-04-29T11:56:00Z">
        <w:r w:rsidR="00F378EA">
          <w:rPr>
            <w:rFonts w:cs="Arial"/>
          </w:rPr>
          <w:t>szerint kell elvégezni</w:t>
        </w:r>
        <w:r w:rsidR="00DB29C7" w:rsidRPr="007C55EE">
          <w:rPr>
            <w:rFonts w:cs="Arial"/>
          </w:rPr>
          <w:t xml:space="preserve">. Ebben a táblában az értékpapíralapok közé kell besorolni a 78/2014. (III. 14.) Korm. rendelet 1/B. § (2) bekezdés </w:t>
        </w:r>
        <w:r w:rsidR="00DB29C7">
          <w:rPr>
            <w:rFonts w:cs="Arial"/>
          </w:rPr>
          <w:t>1</w:t>
        </w:r>
      </w:ins>
      <w:bookmarkStart w:id="45" w:name="_Hlk164843533"/>
      <w:ins w:id="46" w:author="STA" w:date="2024-05-23T20:42:00Z">
        <w:r w:rsidR="001C60E3" w:rsidRPr="00C65E95">
          <w:rPr>
            <w:rFonts w:cs="Arial"/>
          </w:rPr>
          <w:t>–</w:t>
        </w:r>
      </w:ins>
      <w:bookmarkEnd w:id="45"/>
      <w:ins w:id="47" w:author="STA" w:date="2024-04-29T11:56:00Z">
        <w:r w:rsidR="00DB29C7">
          <w:rPr>
            <w:rFonts w:cs="Arial"/>
          </w:rPr>
          <w:t xml:space="preserve">9. pontjában meghatározott befektetési alapokon kívül a </w:t>
        </w:r>
        <w:r w:rsidR="00F378EA" w:rsidRPr="00C65E95">
          <w:rPr>
            <w:rFonts w:cs="Arial"/>
          </w:rPr>
          <w:t xml:space="preserve">78/2014. (III. 14.) Korm. rendelet 1/B. § (2) bekezdés </w:t>
        </w:r>
        <w:r w:rsidR="00DB29C7" w:rsidRPr="007C55EE">
          <w:rPr>
            <w:rFonts w:cs="Arial"/>
          </w:rPr>
          <w:t>12. pont</w:t>
        </w:r>
        <w:r w:rsidR="00F378EA">
          <w:rPr>
            <w:rFonts w:cs="Arial"/>
          </w:rPr>
          <w:t>já</w:t>
        </w:r>
        <w:r w:rsidR="00DB29C7" w:rsidRPr="007C55EE">
          <w:rPr>
            <w:rFonts w:cs="Arial"/>
          </w:rPr>
          <w:t xml:space="preserve">ban </w:t>
        </w:r>
        <w:r w:rsidR="00F378EA">
          <w:rPr>
            <w:rFonts w:cs="Arial"/>
          </w:rPr>
          <w:t>meghatározott</w:t>
        </w:r>
        <w:r w:rsidR="00DB29C7" w:rsidRPr="007C55EE">
          <w:rPr>
            <w:rFonts w:cs="Arial"/>
          </w:rPr>
          <w:t xml:space="preserve"> származtatott alapot, valamint a</w:t>
        </w:r>
      </w:ins>
      <w:ins w:id="48" w:author="STA" w:date="2024-05-23T20:39:00Z">
        <w:r w:rsidR="001C60E3">
          <w:rPr>
            <w:rFonts w:cs="Arial"/>
          </w:rPr>
          <w:t xml:space="preserve">z </w:t>
        </w:r>
      </w:ins>
      <w:ins w:id="49" w:author="STA" w:date="2024-04-29T11:56:00Z">
        <w:r w:rsidR="00DB29C7" w:rsidRPr="007C55EE">
          <w:rPr>
            <w:rFonts w:cs="Arial"/>
          </w:rPr>
          <w:t>(EU) 2017/1131 európai parlamenti és tanácsi rendelet által szabályozott pénzpiaci alapot</w:t>
        </w:r>
        <w:r w:rsidR="00DB29C7">
          <w:rPr>
            <w:rFonts w:cs="Arial"/>
          </w:rPr>
          <w:t xml:space="preserve"> is</w:t>
        </w:r>
        <w:r w:rsidR="00DB29C7" w:rsidRPr="007C55EE">
          <w:rPr>
            <w:rFonts w:cs="Arial"/>
          </w:rPr>
          <w:t>.</w:t>
        </w:r>
      </w:ins>
    </w:p>
    <w:p w14:paraId="44223045" w14:textId="0560D3D1" w:rsidR="00DB29C7" w:rsidRPr="00034107" w:rsidRDefault="00DB29C7" w:rsidP="00DB29C7">
      <w:pPr>
        <w:rPr>
          <w:rFonts w:cs="Arial"/>
          <w:szCs w:val="20"/>
        </w:rPr>
      </w:pPr>
      <w:ins w:id="50" w:author="STA" w:date="2024-04-29T11:56:00Z">
        <w:r w:rsidRPr="00034107">
          <w:rPr>
            <w:rFonts w:cs="Arial"/>
            <w:b/>
            <w:szCs w:val="20"/>
          </w:rPr>
          <w:t>50I</w:t>
        </w:r>
        <w:r>
          <w:rPr>
            <w:rFonts w:cs="Arial"/>
            <w:b/>
            <w:szCs w:val="20"/>
          </w:rPr>
          <w:t>3</w:t>
        </w:r>
        <w:r w:rsidRPr="00034107">
          <w:rPr>
            <w:rFonts w:cs="Arial"/>
            <w:b/>
            <w:szCs w:val="20"/>
          </w:rPr>
          <w:t>5</w:t>
        </w:r>
      </w:ins>
      <w:r w:rsidRPr="00034107">
        <w:rPr>
          <w:rFonts w:cs="Arial"/>
          <w:b/>
          <w:szCs w:val="20"/>
        </w:rPr>
        <w:t xml:space="preserve"> A befektetési alap forgalmazási köre</w:t>
      </w:r>
      <w:r w:rsidRPr="00034107">
        <w:rPr>
          <w:rFonts w:cs="Arial"/>
          <w:szCs w:val="20"/>
        </w:rPr>
        <w:t xml:space="preserve">: ha az alap jegyeit lakossági befektetők is vásárolhatják, akkor </w:t>
      </w:r>
      <w:del w:id="51" w:author="STA" w:date="2024-04-29T11:56:00Z">
        <w:r w:rsidR="00250A4B" w:rsidRPr="00034107">
          <w:rPr>
            <w:rFonts w:cs="Arial"/>
            <w:szCs w:val="20"/>
          </w:rPr>
          <w:delText>alapesetben</w:delText>
        </w:r>
      </w:del>
      <w:ins w:id="52" w:author="STA" w:date="2024-04-29T11:56:00Z">
        <w:r w:rsidR="00F378EA">
          <w:rPr>
            <w:rFonts w:cs="Arial"/>
            <w:szCs w:val="20"/>
          </w:rPr>
          <w:t>főszabály szerint</w:t>
        </w:r>
      </w:ins>
      <w:r w:rsidRPr="00034107">
        <w:rPr>
          <w:rFonts w:cs="Arial"/>
          <w:szCs w:val="20"/>
        </w:rPr>
        <w:t xml:space="preserve"> a lakossági befektetőknek forgalmazott alapok közé kell besorolni. Ha azonban </w:t>
      </w:r>
      <w:del w:id="53" w:author="STA" w:date="2024-04-29T11:56:00Z">
        <w:r w:rsidR="00250A4B" w:rsidRPr="00034107">
          <w:rPr>
            <w:rFonts w:cs="Arial"/>
            <w:szCs w:val="20"/>
          </w:rPr>
          <w:delText>biztosan lehet tudni, hogy</w:delText>
        </w:r>
      </w:del>
      <w:ins w:id="54" w:author="STA" w:date="2024-04-29T11:56:00Z">
        <w:r w:rsidR="00F378EA" w:rsidRPr="00C65E95">
          <w:rPr>
            <w:rFonts w:cs="Arial"/>
          </w:rPr>
          <w:t>az adatszolgáltató rendelkezésére álló információk szerint</w:t>
        </w:r>
      </w:ins>
      <w:r w:rsidR="00F378EA">
        <w:rPr>
          <w:rFonts w:cs="Arial"/>
        </w:rPr>
        <w:t xml:space="preserve"> </w:t>
      </w:r>
      <w:r w:rsidRPr="00034107">
        <w:rPr>
          <w:rFonts w:cs="Arial"/>
          <w:szCs w:val="20"/>
        </w:rPr>
        <w:t>csak szakmai befektetők vásárolják egy adott alap befektetési jegyeit, akkor az alapot</w:t>
      </w:r>
      <w:del w:id="55" w:author="STA" w:date="2024-04-29T11:56:00Z">
        <w:r w:rsidR="00250A4B" w:rsidRPr="00034107">
          <w:rPr>
            <w:rFonts w:cs="Arial"/>
            <w:szCs w:val="20"/>
          </w:rPr>
          <w:delText xml:space="preserve"> az 50I1, illetve 50I2 </w:delText>
        </w:r>
        <w:r w:rsidR="00665C03" w:rsidRPr="00034107">
          <w:rPr>
            <w:rFonts w:cs="Arial"/>
            <w:szCs w:val="20"/>
          </w:rPr>
          <w:delText xml:space="preserve">kódú </w:delText>
        </w:r>
        <w:r w:rsidR="00250A4B" w:rsidRPr="00034107">
          <w:rPr>
            <w:rFonts w:cs="Arial"/>
            <w:szCs w:val="20"/>
          </w:rPr>
          <w:delText>táblában</w:delText>
        </w:r>
      </w:del>
      <w:r w:rsidRPr="00034107">
        <w:rPr>
          <w:rFonts w:cs="Arial"/>
          <w:szCs w:val="20"/>
        </w:rPr>
        <w:t xml:space="preserve"> a „szakmai befektetőknek forgalmazott” alapok között kell szerepeltetni, függetlenül attól, hogy a tájékoztató alapján magánszemélyek is vásárolhatnák a befektetési jegyeket.</w:t>
      </w:r>
    </w:p>
    <w:p w14:paraId="6EAAB684" w14:textId="77777777" w:rsidR="009C7B59" w:rsidRPr="00034107" w:rsidRDefault="009C7B59" w:rsidP="00A45C65">
      <w:pPr>
        <w:rPr>
          <w:del w:id="56" w:author="STA" w:date="2024-04-29T11:56:00Z"/>
          <w:rFonts w:cs="Arial"/>
          <w:b/>
          <w:szCs w:val="20"/>
        </w:rPr>
      </w:pPr>
    </w:p>
    <w:p w14:paraId="2628CBA2" w14:textId="77777777" w:rsidR="008B7849" w:rsidRPr="00034107" w:rsidRDefault="00A071D3" w:rsidP="006929C5">
      <w:pPr>
        <w:pStyle w:val="Cmsor2"/>
        <w:rPr>
          <w:del w:id="57" w:author="STA" w:date="2024-04-29T11:56:00Z"/>
        </w:rPr>
      </w:pPr>
      <w:del w:id="58" w:author="STA" w:date="2024-04-29T11:56:00Z">
        <w:r w:rsidRPr="00034107">
          <w:delText>6</w:delText>
        </w:r>
        <w:r w:rsidR="003A6EBA" w:rsidRPr="00034107">
          <w:delText xml:space="preserve">. </w:delText>
        </w:r>
        <w:r w:rsidR="008B7849" w:rsidRPr="00034107">
          <w:delText>50I2 Az ÁÉKBV-k nettó eszközértéke és száma a negyedév végén</w:delText>
        </w:r>
      </w:del>
    </w:p>
    <w:p w14:paraId="0618CC10" w14:textId="77777777" w:rsidR="00250A4B" w:rsidRPr="00034107" w:rsidRDefault="00250A4B" w:rsidP="00250A4B">
      <w:pPr>
        <w:rPr>
          <w:del w:id="59" w:author="STA" w:date="2024-04-29T11:56:00Z"/>
          <w:rFonts w:cs="Arial"/>
          <w:b/>
          <w:szCs w:val="20"/>
        </w:rPr>
      </w:pPr>
      <w:del w:id="60" w:author="STA" w:date="2024-04-29T11:56:00Z">
        <w:r w:rsidRPr="00034107">
          <w:rPr>
            <w:rFonts w:cs="Arial"/>
            <w:b/>
            <w:szCs w:val="20"/>
          </w:rPr>
          <w:delText>A tábla kitöltése</w:delText>
        </w:r>
      </w:del>
    </w:p>
    <w:p w14:paraId="00593CDC" w14:textId="77777777" w:rsidR="008B7849" w:rsidRPr="00034107" w:rsidRDefault="008B7849" w:rsidP="004107AF">
      <w:pPr>
        <w:rPr>
          <w:del w:id="61" w:author="STA" w:date="2024-04-29T11:56:00Z"/>
          <w:rFonts w:cs="Arial"/>
          <w:b/>
          <w:szCs w:val="20"/>
        </w:rPr>
      </w:pPr>
      <w:del w:id="62" w:author="STA" w:date="2024-04-29T11:56:00Z">
        <w:r w:rsidRPr="00034107">
          <w:rPr>
            <w:rFonts w:cs="Arial"/>
            <w:szCs w:val="20"/>
          </w:rPr>
          <w:delText>A Kbftv. 67. § (1) bekezdésében szereplő bontásban kell megadni az ÁÉKBV-k nettó eszközértékét és számát.</w:delText>
        </w:r>
        <w:r w:rsidR="00513512" w:rsidRPr="00034107">
          <w:rPr>
            <w:rFonts w:cs="Arial"/>
            <w:szCs w:val="20"/>
          </w:rPr>
          <w:delText xml:space="preserve"> A külföldön kibocsátott, de az adatszolgáltató által kezelt alapokról is jelenteni kell a táblában.</w:delText>
        </w:r>
      </w:del>
    </w:p>
    <w:p w14:paraId="7A807C7D" w14:textId="77777777" w:rsidR="00250A4B" w:rsidRPr="00034107" w:rsidRDefault="00250A4B" w:rsidP="00250A4B">
      <w:pPr>
        <w:rPr>
          <w:del w:id="63" w:author="STA" w:date="2024-04-29T11:56:00Z"/>
          <w:rFonts w:cs="Arial"/>
          <w:b/>
          <w:szCs w:val="20"/>
        </w:rPr>
      </w:pPr>
      <w:del w:id="64" w:author="STA" w:date="2024-04-29T11:56:00Z">
        <w:r w:rsidRPr="00034107">
          <w:rPr>
            <w:rFonts w:cs="Arial"/>
            <w:b/>
            <w:szCs w:val="20"/>
          </w:rPr>
          <w:delText>A tábla sorai:</w:delText>
        </w:r>
      </w:del>
    </w:p>
    <w:p w14:paraId="2E34CCEF" w14:textId="77777777" w:rsidR="00250A4B" w:rsidRPr="00034107" w:rsidRDefault="00250A4B" w:rsidP="001A2974">
      <w:pPr>
        <w:rPr>
          <w:del w:id="65" w:author="STA" w:date="2024-04-29T11:56:00Z"/>
          <w:rFonts w:cs="Arial"/>
          <w:b/>
          <w:szCs w:val="20"/>
        </w:rPr>
      </w:pPr>
      <w:del w:id="66" w:author="STA" w:date="2024-04-29T11:56:00Z">
        <w:r w:rsidRPr="00034107">
          <w:rPr>
            <w:rFonts w:cs="Arial"/>
            <w:b/>
            <w:szCs w:val="20"/>
          </w:rPr>
          <w:delText>50I22 Az ÁÉKBV forgalmazási köre</w:delText>
        </w:r>
        <w:r w:rsidRPr="00034107">
          <w:rPr>
            <w:rFonts w:cs="Arial"/>
            <w:szCs w:val="20"/>
          </w:rPr>
          <w:delText xml:space="preserve">: </w:delText>
        </w:r>
        <w:r w:rsidR="00D257DC" w:rsidRPr="00034107">
          <w:rPr>
            <w:rFonts w:cs="Arial"/>
            <w:szCs w:val="20"/>
          </w:rPr>
          <w:delText>a</w:delText>
        </w:r>
        <w:r w:rsidR="00C64B62" w:rsidRPr="00034107">
          <w:rPr>
            <w:rFonts w:cs="Arial"/>
            <w:szCs w:val="20"/>
          </w:rPr>
          <w:delText>z</w:delText>
        </w:r>
        <w:r w:rsidR="00EE56F3" w:rsidRPr="00034107">
          <w:rPr>
            <w:rFonts w:cs="Arial"/>
            <w:szCs w:val="20"/>
          </w:rPr>
          <w:delText xml:space="preserve"> </w:delText>
        </w:r>
        <w:r w:rsidR="006B28F2">
          <w:rPr>
            <w:rFonts w:cs="Arial"/>
            <w:szCs w:val="20"/>
          </w:rPr>
          <w:delText>50</w:delText>
        </w:r>
        <w:r w:rsidR="00744455">
          <w:rPr>
            <w:rFonts w:cs="Arial"/>
            <w:szCs w:val="20"/>
          </w:rPr>
          <w:delText xml:space="preserve">I1 kódú tábla </w:delText>
        </w:r>
        <w:r w:rsidR="00EE56F3" w:rsidRPr="00034107">
          <w:rPr>
            <w:rFonts w:cs="Arial"/>
            <w:szCs w:val="20"/>
          </w:rPr>
          <w:delText>50I15 sor</w:delText>
        </w:r>
        <w:r w:rsidR="00744455">
          <w:rPr>
            <w:rFonts w:cs="Arial"/>
            <w:szCs w:val="20"/>
          </w:rPr>
          <w:delText>á</w:delText>
        </w:r>
        <w:r w:rsidR="00EE56F3" w:rsidRPr="00034107">
          <w:rPr>
            <w:rFonts w:cs="Arial"/>
            <w:szCs w:val="20"/>
          </w:rPr>
          <w:delText xml:space="preserve">nál leírtak szerint </w:delText>
        </w:r>
        <w:r w:rsidR="00F20F8D" w:rsidRPr="00034107">
          <w:rPr>
            <w:rFonts w:cs="Arial"/>
            <w:szCs w:val="20"/>
          </w:rPr>
          <w:delText>kell kitölte</w:delText>
        </w:r>
        <w:r w:rsidR="00EE56F3" w:rsidRPr="00034107">
          <w:rPr>
            <w:rFonts w:cs="Arial"/>
            <w:szCs w:val="20"/>
          </w:rPr>
          <w:delText>ni.</w:delText>
        </w:r>
      </w:del>
    </w:p>
    <w:p w14:paraId="5B3754D2" w14:textId="77777777" w:rsidR="00A649F5" w:rsidRPr="00034107" w:rsidRDefault="00A649F5" w:rsidP="004107AF">
      <w:pPr>
        <w:rPr>
          <w:rFonts w:cs="Arial"/>
          <w:b/>
          <w:szCs w:val="20"/>
        </w:rPr>
      </w:pPr>
    </w:p>
    <w:p w14:paraId="5F3A8451" w14:textId="77777777" w:rsidR="000830A4" w:rsidRPr="00034107" w:rsidRDefault="00A071D3" w:rsidP="00DB29C7">
      <w:pPr>
        <w:pStyle w:val="Cmsor2"/>
      </w:pPr>
      <w:r w:rsidRPr="00034107">
        <w:t>7</w:t>
      </w:r>
      <w:r w:rsidR="003A6EBA" w:rsidRPr="00034107">
        <w:t xml:space="preserve">. </w:t>
      </w:r>
      <w:r w:rsidR="004107AF" w:rsidRPr="00034107">
        <w:t>50J Az ügyfél pénzügyi eszközének és pénzeszközének kezelésére jogosult alapkezelők -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lastRenderedPageBreak/>
        <w:t xml:space="preserve">A táblát tárgynapra kell kitölteni, a saját pénzeszközöket és az ügyfelet megillető pénzeszközöket elkülönítetten, devizanemenként megbontva. </w:t>
      </w:r>
    </w:p>
    <w:p w14:paraId="327C48DC" w14:textId="77777777" w:rsidR="008E1B21" w:rsidRPr="00034107" w:rsidRDefault="008E1B21" w:rsidP="006A16C9">
      <w:pPr>
        <w:rPr>
          <w:rFonts w:cs="Arial"/>
          <w:szCs w:val="20"/>
        </w:rPr>
      </w:pPr>
      <w:r w:rsidRPr="00034107">
        <w:rPr>
          <w:rFonts w:cs="Arial"/>
          <w:szCs w:val="20"/>
        </w:rPr>
        <w:t>Az egyes devizákra vonatkozó adatok (2-5. oszlop) az adott deviza egységében szerepelnek. Ahol több deviza összesítéséről van szó (vagyis az 1. és a 6. oszlopban), az adatokat forintban kell megadni.</w:t>
      </w:r>
    </w:p>
    <w:p w14:paraId="6503F663" w14:textId="77777777" w:rsidR="008E1B21" w:rsidRPr="00034107" w:rsidRDefault="008E1B21" w:rsidP="006A16C9">
      <w:pPr>
        <w:rPr>
          <w:rFonts w:cs="Arial"/>
          <w:szCs w:val="20"/>
        </w:rPr>
      </w:pPr>
      <w:r w:rsidRPr="00034107">
        <w:rPr>
          <w:rFonts w:cs="Arial"/>
          <w:szCs w:val="20"/>
        </w:rPr>
        <w:t>A negatív számlaegyenlegeket − abszolút értéken − hitelként kell jelenteni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034107">
              <w:rPr>
                <w:rFonts w:cs="Arial"/>
                <w:szCs w:val="20"/>
              </w:rPr>
              <w:t>nettósíthatók</w:t>
            </w:r>
            <w:proofErr w:type="spellEnd"/>
            <w:r w:rsidRPr="00034107">
              <w:rPr>
                <w:rFonts w:cs="Arial"/>
                <w:szCs w:val="20"/>
              </w:rPr>
              <w:t>,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4D304712" w14:textId="77777777" w:rsidR="008E1B21" w:rsidRPr="00034107" w:rsidRDefault="00990EA3" w:rsidP="00DE7BEC">
            <w:pPr>
              <w:rPr>
                <w:rFonts w:cs="Arial"/>
                <w:szCs w:val="20"/>
              </w:rPr>
            </w:pPr>
            <w:r w:rsidRPr="00034107">
              <w:rPr>
                <w:rFonts w:cs="Arial"/>
                <w:szCs w:val="20"/>
              </w:rPr>
              <w:t>A KELER Központi Értéktár Zrt.-nél, más központi értéktárban, elszámolási szolgáltatást nyújtó intézményeknél lévő összes pénzeszköz. A befektetési vállalkozás ügyfeleinek pénzeszközeit a „megbízói pénzeszköz” sorokon kell jelenteni.</w:t>
            </w:r>
          </w:p>
          <w:p w14:paraId="50234CD0" w14:textId="77777777" w:rsidR="0097424B" w:rsidRPr="00034107" w:rsidRDefault="0097424B" w:rsidP="00DE7BEC">
            <w:pPr>
              <w:rPr>
                <w:rFonts w:cs="Arial"/>
                <w:szCs w:val="20"/>
              </w:rPr>
            </w:pP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szolgáltató(k)nál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77777777"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KELER </w:t>
            </w:r>
            <w:proofErr w:type="spellStart"/>
            <w:r w:rsidRPr="00034107">
              <w:rPr>
                <w:rFonts w:cs="Arial"/>
                <w:szCs w:val="20"/>
              </w:rPr>
              <w:t>KSZF</w:t>
            </w:r>
            <w:proofErr w:type="spellEnd"/>
            <w:r w:rsidRPr="00034107">
              <w:rPr>
                <w:rFonts w:cs="Arial"/>
                <w:szCs w:val="20"/>
              </w:rPr>
              <w:t xml:space="preserve">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3233491B" w14:textId="77777777" w:rsidR="007B27F9" w:rsidRDefault="007B27F9" w:rsidP="00AC595D">
            <w:pPr>
              <w:rPr>
                <w:rFonts w:eastAsia="Times New Roman" w:cs="Arial"/>
                <w:b/>
                <w:color w:val="000000"/>
                <w:szCs w:val="20"/>
                <w:lang w:eastAsia="hu-HU"/>
              </w:rPr>
            </w:pPr>
          </w:p>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2D739661" w14:textId="77777777" w:rsidR="007B27F9" w:rsidRDefault="007B27F9" w:rsidP="00AC595D">
            <w:pPr>
              <w:rPr>
                <w:rFonts w:cs="Arial"/>
                <w:b/>
                <w:szCs w:val="20"/>
              </w:rPr>
            </w:pPr>
          </w:p>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t xml:space="preserve">Azon összeg, amivel az adatszolgáltató belső és külső letéti helyein (számláin) található ügyféltulajdonú pénzeszközök túl- vagy </w:t>
            </w:r>
            <w:proofErr w:type="spellStart"/>
            <w:r w:rsidRPr="00034107">
              <w:rPr>
                <w:rFonts w:cs="Arial"/>
                <w:szCs w:val="20"/>
              </w:rPr>
              <w:t>alulfedezik</w:t>
            </w:r>
            <w:proofErr w:type="spellEnd"/>
            <w:r w:rsidRPr="00034107">
              <w:rPr>
                <w:rFonts w:cs="Arial"/>
                <w:szCs w:val="20"/>
              </w:rPr>
              <w:t xml:space="preserve">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77777777"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központi értéktárnál vezetett saját számlákon elhelyezett, valamint más befektetési vállalkozásnál lévő saját pénzeszközöket, továbbá az úton lévő saját tulajdonú (az adatszolgáltató tulajdonában lévő) pénzeszközöket is figyelembe veszi.</w:t>
            </w:r>
            <w:r w:rsidRPr="00034107">
              <w:rPr>
                <w:rFonts w:cs="Arial"/>
                <w:szCs w:val="20"/>
              </w:rPr>
              <w:t xml:space="preserve"> </w:t>
            </w:r>
          </w:p>
          <w:p w14:paraId="2093DAB2" w14:textId="77777777"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7777777"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77777777" w:rsidR="008E1B21" w:rsidRPr="00034107" w:rsidRDefault="00A071D3" w:rsidP="00DB29C7">
      <w:pPr>
        <w:pStyle w:val="Cmsor2"/>
      </w:pPr>
      <w:r w:rsidRPr="00034107">
        <w:t>8</w:t>
      </w:r>
      <w:r w:rsidR="003A6EBA" w:rsidRPr="00034107">
        <w:t xml:space="preserve">. </w:t>
      </w:r>
      <w:r w:rsidR="00E8199F" w:rsidRPr="00034107">
        <w:t>50K Az ügyfél pénzügyi eszközének és pénzeszközének kezelésére jogosult alapkezelők -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A saját tulajdonú papírokra és az ügyfelek papírjaira vonatkozó adatokat teljeskörűen kell szolgáltatni.</w:t>
      </w:r>
    </w:p>
    <w:p w14:paraId="7D7BD51D" w14:textId="000DA058" w:rsidR="008E1B21" w:rsidRPr="00034107" w:rsidRDefault="008E1B21" w:rsidP="00563E43">
      <w:pPr>
        <w:rPr>
          <w:rFonts w:cs="Arial"/>
          <w:szCs w:val="20"/>
        </w:rPr>
      </w:pPr>
      <w:r w:rsidRPr="00034107">
        <w:rPr>
          <w:rFonts w:cs="Arial"/>
          <w:szCs w:val="20"/>
        </w:rPr>
        <w:t xml:space="preserve">Az értékpapírokat </w:t>
      </w:r>
      <w:proofErr w:type="spellStart"/>
      <w:r w:rsidRPr="00034107">
        <w:rPr>
          <w:rFonts w:cs="Arial"/>
          <w:szCs w:val="20"/>
        </w:rPr>
        <w:t>akkortól</w:t>
      </w:r>
      <w:proofErr w:type="spellEnd"/>
      <w:r w:rsidRPr="00034107">
        <w:rPr>
          <w:rFonts w:cs="Arial"/>
          <w:szCs w:val="20"/>
        </w:rPr>
        <w:t xml:space="preserve"> kell jelenteni, amikor azok megjeleníthetők a 3-</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lastRenderedPageBreak/>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A KELER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034982B3"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581838" w:rsidRPr="00581838">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az adatszolgáltató ügyfeleinek azon értékpapírjait is, amelyeket óvadékként, biztosítékként más befektetési 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KELER megbízói alszámláról a KELER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77777777" w:rsidR="008E1B21" w:rsidRPr="00034107" w:rsidRDefault="008E1B21" w:rsidP="003F58F5">
            <w:pPr>
              <w:rPr>
                <w:rFonts w:cs="Arial"/>
                <w:szCs w:val="20"/>
              </w:rPr>
            </w:pPr>
            <w:r w:rsidRPr="00034107">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15</w:t>
            </w:r>
            <w:r w:rsidR="008E1B21" w:rsidRPr="00034107">
              <w:rPr>
                <w:rFonts w:eastAsia="Times New Roman" w:cs="Arial"/>
                <w:b/>
                <w:color w:val="000000"/>
                <w:szCs w:val="20"/>
                <w:lang w:eastAsia="hu-HU"/>
              </w:rPr>
              <w:t>. oszlop</w:t>
            </w:r>
          </w:p>
        </w:tc>
        <w:tc>
          <w:tcPr>
            <w:tcW w:w="7513" w:type="dxa"/>
          </w:tcPr>
          <w:p w14:paraId="4DD3CD8E" w14:textId="77777777"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1897C06C" w14:textId="77777777" w:rsidR="00A326A7" w:rsidRDefault="00A326A7" w:rsidP="00B26A8A">
            <w:pPr>
              <w:rPr>
                <w:rFonts w:cs="Arial"/>
                <w:b/>
                <w:color w:val="000000"/>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3F58F5">
            <w:pPr>
              <w:rPr>
                <w:rFonts w:eastAsia="Times New Roman" w:cs="Arial"/>
                <w:b/>
                <w:color w:val="000000"/>
                <w:szCs w:val="20"/>
                <w:lang w:eastAsia="hu-HU"/>
              </w:rPr>
            </w:pPr>
          </w:p>
        </w:tc>
        <w:tc>
          <w:tcPr>
            <w:tcW w:w="7513" w:type="dxa"/>
          </w:tcPr>
          <w:p w14:paraId="59BB08AA" w14:textId="77777777" w:rsidR="008E1B21" w:rsidRDefault="008E1B21" w:rsidP="001565C6">
            <w:pPr>
              <w:rPr>
                <w:rFonts w:cs="Arial"/>
                <w:szCs w:val="20"/>
              </w:rPr>
            </w:pPr>
            <w:r w:rsidRPr="00034107">
              <w:rPr>
                <w:rFonts w:cs="Arial"/>
                <w:szCs w:val="20"/>
              </w:rPr>
              <w:t xml:space="preserve">Az értékpapír mennyiségi egységében fennálló, ügyfelekkel szembeni bruttó követelés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70CBEAFE" w14:textId="77777777" w:rsidR="00B26A8A" w:rsidRDefault="00B26A8A" w:rsidP="001565C6">
            <w:pPr>
              <w:rPr>
                <w:rFonts w:cs="Arial"/>
                <w:szCs w:val="20"/>
              </w:rPr>
            </w:pPr>
          </w:p>
          <w:p w14:paraId="4ADD42A0" w14:textId="0EE7A4C2" w:rsidR="00B26A8A" w:rsidRDefault="00A326A7" w:rsidP="001565C6">
            <w:pPr>
              <w:rPr>
                <w:rFonts w:cs="Arial"/>
                <w:szCs w:val="20"/>
              </w:rPr>
            </w:pPr>
            <w:r>
              <w:rPr>
                <w:rFonts w:cs="Arial"/>
                <w:szCs w:val="20"/>
              </w:rPr>
              <w:t xml:space="preserve">Kódtár („Eszközosztályok kódtára”) szerint. </w:t>
            </w:r>
          </w:p>
          <w:p w14:paraId="53673438" w14:textId="77777777" w:rsidR="00B26A8A" w:rsidRDefault="00B26A8A" w:rsidP="001565C6">
            <w:pPr>
              <w:rPr>
                <w:rFonts w:cs="Arial"/>
                <w:szCs w:val="20"/>
              </w:rPr>
            </w:pPr>
          </w:p>
          <w:p w14:paraId="1CA17D47" w14:textId="37585950" w:rsidR="00B26A8A" w:rsidRPr="00034107" w:rsidRDefault="00B26A8A" w:rsidP="001565C6">
            <w:pPr>
              <w:rPr>
                <w:rFonts w:cs="Arial"/>
                <w:szCs w:val="20"/>
              </w:rPr>
            </w:pPr>
          </w:p>
        </w:tc>
      </w:tr>
    </w:tbl>
    <w:p w14:paraId="6C3B0FF5" w14:textId="77777777" w:rsidR="00D67070" w:rsidRPr="00034107" w:rsidRDefault="00A071D3" w:rsidP="00DB29C7">
      <w:pPr>
        <w:pStyle w:val="Cmsor2"/>
      </w:pPr>
      <w:r w:rsidRPr="00034107">
        <w:t>9</w:t>
      </w:r>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A táblát az alapkezelő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alapkezelő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alapkezelő által kezelt befektetési alap kibocsátási módja szerint lehet saját, vagyis az alapkezelő által kibocsátott alap, illetve idegen kibocsátású alap. Minden olyan </w:t>
      </w:r>
      <w:r w:rsidR="00CC6B18" w:rsidRPr="00034107">
        <w:t xml:space="preserve">sorozat </w:t>
      </w:r>
      <w:r w:rsidRPr="00034107">
        <w:t>sajátnak minősül, amelynek regisztrációját, kibocsátását az alapkezelő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lastRenderedPageBreak/>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az alapkezelő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5F4213"/>
    <w:p w14:paraId="386D8764" w14:textId="77777777" w:rsidR="00DA584B" w:rsidRPr="00034107" w:rsidRDefault="00A071D3" w:rsidP="00DB29C7">
      <w:pPr>
        <w:pStyle w:val="Cmsor2"/>
      </w:pPr>
      <w:r w:rsidRPr="00034107">
        <w:t>10</w:t>
      </w:r>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alapkezelő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alapkezelő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67"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és nem rendelhetők hozzá egyértelműen egy sorozathoz, becslés alkalmazásával (pl. a piaci értékek arányában) kell szétosztani a sorozatok között.</w:t>
      </w:r>
    </w:p>
    <w:bookmarkEnd w:id="67"/>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04BD6A1E" w:rsidR="003E14EC" w:rsidRDefault="003E14EC" w:rsidP="005F4213">
      <w:r>
        <w:t>A „</w:t>
      </w:r>
      <w:proofErr w:type="gramStart"/>
      <w:r>
        <w:t>0”-</w:t>
      </w:r>
      <w:proofErr w:type="gramEnd"/>
      <w:r>
        <w:t>át (null</w:t>
      </w:r>
      <w:r w:rsidR="00D0361F">
        <w:t>át</w:t>
      </w:r>
      <w:r>
        <w:t>) mint számjegyet</w:t>
      </w:r>
      <w:r w:rsidR="00D0361F">
        <w:t>,</w:t>
      </w:r>
      <w:r>
        <w:t xml:space="preserve"> más karakterekkel nem lehet </w:t>
      </w:r>
      <w:r w:rsidR="00D0361F">
        <w:t>helyettesíteni</w:t>
      </w:r>
      <w:r>
        <w:t xml:space="preserve"> </w:t>
      </w:r>
      <w:r w:rsidR="00D0361F">
        <w:t>(</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77777777" w:rsidR="00DA584B" w:rsidRPr="00034107" w:rsidRDefault="00DA584B" w:rsidP="005F4213">
      <w:r w:rsidRPr="00034107">
        <w:t xml:space="preserve">A sorozatokat (alapokat) az év végi állapotnak megfelelően kell szerepeltetni. Ha az 1-6.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alapkezelő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alapkezelő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z 50L táblának megfelelően, a befektetési jegy sorozat ISIN kódja. Amennyiben nem rendelkezik ISIN kóddal, akkor az alapkezelő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82D0F62" w:rsidR="00DA584B" w:rsidRPr="00D43A6C" w:rsidRDefault="00DA584B" w:rsidP="00672CC4">
      <w:r w:rsidRPr="005F4213">
        <w:rPr>
          <w:b/>
          <w:bCs/>
        </w:rPr>
        <w:t>6. oszlop:</w:t>
      </w:r>
      <w:r w:rsidRPr="00F30161">
        <w:t xml:space="preserve"> </w:t>
      </w:r>
      <w:r w:rsidR="00672CC4" w:rsidRPr="00865EBE">
        <w:t>kódtár („</w:t>
      </w:r>
      <w:r w:rsidR="00672CC4" w:rsidRPr="00CE6F9C">
        <w:t xml:space="preserve">Alap </w:t>
      </w:r>
      <w:r w:rsidR="00672CC4">
        <w:t>típus</w:t>
      </w:r>
      <w:r w:rsidR="00E47800">
        <w:t>a</w:t>
      </w:r>
      <w:r w:rsidR="00672CC4" w:rsidRPr="00865EBE">
        <w:t>”) szerint</w:t>
      </w:r>
      <w:r w:rsidR="00803FA3">
        <w:t xml:space="preserve"> azzal, hogy a</w:t>
      </w:r>
      <w:r w:rsidR="00672CC4">
        <w:t xml:space="preserve"> kódtár „kockázati tőkealap” és „magántőkealap” értékei a táblában nem értelmezhetők.</w:t>
      </w:r>
    </w:p>
    <w:p w14:paraId="07F451E3" w14:textId="005CE7FD" w:rsidR="00DA584B" w:rsidRDefault="00DA584B" w:rsidP="000E33CD">
      <w:r w:rsidRPr="005F4213">
        <w:rPr>
          <w:b/>
          <w:bCs/>
        </w:rPr>
        <w:t>7. oszlop:</w:t>
      </w:r>
      <w:r w:rsidRPr="00F30161">
        <w:t xml:space="preserve"> </w:t>
      </w:r>
      <w:r w:rsidR="002A0AC2" w:rsidRPr="00865EBE">
        <w:t>kódtár („</w:t>
      </w:r>
      <w:r w:rsidR="002A0AC2">
        <w:t>Befektetési politika</w:t>
      </w:r>
      <w:r w:rsidR="002A0AC2" w:rsidRPr="00865EBE">
        <w:t>”) szerint</w:t>
      </w:r>
      <w:r w:rsidR="00803FA3">
        <w:t xml:space="preserve"> azzal, hogy a</w:t>
      </w:r>
      <w:r w:rsidR="002A0AC2">
        <w:t xml:space="preserve"> kódtár „kockázati tőkealap” és „magántőkealap” értékei a táblában nem értelmezhetők.</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05F35501"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w:t>
      </w:r>
      <w:proofErr w:type="gramStart"/>
      <w:r w:rsidRPr="00A96E16">
        <w:rPr>
          <w:rFonts w:cs="Arial"/>
          <w:szCs w:val="20"/>
        </w:rPr>
        <w:t xml:space="preserve">meghatározni </w:t>
      </w:r>
      <w:r w:rsidR="00E36E26" w:rsidRPr="00A96E16">
        <w:rPr>
          <w:rFonts w:cs="Arial"/>
          <w:szCs w:val="20"/>
        </w:rPr>
        <w:t xml:space="preserve"> a</w:t>
      </w:r>
      <w:proofErr w:type="gramEnd"/>
      <w:r w:rsidR="00E36E26" w:rsidRPr="00A96E16">
        <w:rPr>
          <w:rFonts w:cs="Arial"/>
          <w:szCs w:val="20"/>
        </w:rPr>
        <w:t xml:space="preserve">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lastRenderedPageBreak/>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AA6E676" w:rsidR="00DA584B" w:rsidRPr="00034107" w:rsidRDefault="00DA584B" w:rsidP="000E33CD">
      <w:r w:rsidRPr="00034107">
        <w:t xml:space="preserve">A </w:t>
      </w:r>
      <w:r w:rsidRPr="00034107">
        <w:rPr>
          <w:b/>
        </w:rPr>
        <w:t>15-19. és 21-23.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13B0E16B" w:rsidR="009A7F4C" w:rsidRDefault="009A7F4C" w:rsidP="000E33CD">
      <w:r>
        <w:t xml:space="preserve">A </w:t>
      </w:r>
      <w:r w:rsidRPr="009A7F4C">
        <w:rPr>
          <w:b/>
          <w:bCs/>
        </w:rPr>
        <w:t>24. és 25.oszlopban</w:t>
      </w:r>
      <w:r>
        <w:t xml:space="preserve"> a dátumokat </w:t>
      </w:r>
      <w:proofErr w:type="spellStart"/>
      <w:proofErr w:type="gramStart"/>
      <w:r>
        <w:t>ÉÉÉÉ.HH.NN</w:t>
      </w:r>
      <w:proofErr w:type="spellEnd"/>
      <w:proofErr w:type="gramEnd"/>
      <w:r>
        <w:t xml:space="preserve"> dátumformátumban kell megadni </w:t>
      </w:r>
      <w:r w:rsidR="000F115B">
        <w:t>(</w:t>
      </w:r>
      <w:r>
        <w:t>például: 2023.03.11).</w:t>
      </w:r>
    </w:p>
    <w:p w14:paraId="3A3D54F2" w14:textId="4A5BD3F6" w:rsidR="001E3AD2" w:rsidRDefault="00DA584B" w:rsidP="000E33CD">
      <w:r w:rsidRPr="00034107">
        <w:t xml:space="preserve">A </w:t>
      </w:r>
      <w:r w:rsidRPr="00034107">
        <w:rPr>
          <w:b/>
        </w:rPr>
        <w:t xml:space="preserve">26-42.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0A5E9BE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2C577C">
        <w:t>-</w:t>
      </w:r>
      <w:r w:rsidR="00B15DBA">
        <w:t>35. oszlopban, valamint a 37</w:t>
      </w:r>
      <w:r w:rsidR="002C577C">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76423387" w:rsidR="00DA584B" w:rsidRPr="00034107" w:rsidRDefault="00DA584B" w:rsidP="000E33CD">
      <w:r w:rsidRPr="00034107">
        <w:t xml:space="preserve">Ha a 29-35. oszlopban szerepeltetendő költségeket az alapkezelési díj tartalmazza, azt az adott oszlopban </w:t>
      </w:r>
      <w:r w:rsidR="001E3AD2">
        <w:t>kizárólag „</w:t>
      </w:r>
      <w:proofErr w:type="gramStart"/>
      <w:r w:rsidR="001E3AD2">
        <w:t>0”-</w:t>
      </w:r>
      <w:proofErr w:type="gramEnd"/>
      <w:r w:rsidR="001E3AD2">
        <w:t xml:space="preserve">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00256744" w:rsidR="004D0F44" w:rsidRPr="00D36435" w:rsidRDefault="00D36435" w:rsidP="000E33CD">
      <w:pPr>
        <w:rPr>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w:t>
      </w:r>
      <w:proofErr w:type="spellStart"/>
      <w:r w:rsidRPr="00D36435">
        <w:rPr>
          <w:rFonts w:cs="Arial"/>
          <w:szCs w:val="20"/>
        </w:rPr>
        <w:t>S&amp;P</w:t>
      </w:r>
      <w:proofErr w:type="spellEnd"/>
      <w:r w:rsidRPr="00D36435">
        <w:rPr>
          <w:rFonts w:cs="Arial"/>
          <w:szCs w:val="20"/>
        </w:rPr>
        <w:t xml:space="preserve"> 500 + 20% MAX. </w:t>
      </w:r>
      <w:r>
        <w:rPr>
          <w:rFonts w:cs="Arial"/>
          <w:szCs w:val="20"/>
        </w:rPr>
        <w:t>Ha</w:t>
      </w:r>
      <w:r w:rsidRPr="00D36435">
        <w:rPr>
          <w:rFonts w:cs="Arial"/>
          <w:szCs w:val="20"/>
        </w:rPr>
        <w:t xml:space="preserve"> az adott sorozat nem alkalmaz referencia mutatót, de sikerdíjat felszámíthat, </w:t>
      </w:r>
      <w:r>
        <w:rPr>
          <w:rFonts w:cs="Arial"/>
          <w:szCs w:val="20"/>
        </w:rPr>
        <w:t>akkor</w:t>
      </w:r>
      <w:r w:rsidRPr="00D36435">
        <w:rPr>
          <w:rFonts w:cs="Arial"/>
          <w:szCs w:val="20"/>
        </w:rPr>
        <w:t xml:space="preserve"> a sikerdíjmodell tájékoztatóban szereplő rövid változatát </w:t>
      </w:r>
      <w:r>
        <w:rPr>
          <w:rFonts w:cs="Arial"/>
          <w:szCs w:val="20"/>
        </w:rPr>
        <w:t>kell szerepeltetni</w:t>
      </w:r>
      <w:r w:rsidR="008154DB">
        <w:rPr>
          <w:rFonts w:cs="Arial"/>
          <w:szCs w:val="20"/>
        </w:rPr>
        <w:t>,</w:t>
      </w:r>
      <w:r w:rsidR="00CC6930">
        <w:rPr>
          <w:rFonts w:cs="Arial"/>
          <w:szCs w:val="20"/>
        </w:rPr>
        <w:t xml:space="preserve"> </w:t>
      </w:r>
      <w:r w:rsidR="001F5D45">
        <w:rPr>
          <w:rFonts w:cs="Arial"/>
          <w:szCs w:val="20"/>
        </w:rPr>
        <w:t xml:space="preserve">szöveges </w:t>
      </w:r>
      <w:r w:rsidR="00CC6930">
        <w:rPr>
          <w:rFonts w:cs="Arial"/>
          <w:szCs w:val="20"/>
        </w:rPr>
        <w:t>formában</w:t>
      </w:r>
      <w:r w:rsidR="008154DB">
        <w:rPr>
          <w:rFonts w:cs="Arial"/>
          <w:szCs w:val="20"/>
        </w:rPr>
        <w:t>, százalékos érték esetén</w:t>
      </w:r>
      <w:r w:rsidR="001F5D45">
        <w:rPr>
          <w:rFonts w:cs="Arial"/>
          <w:szCs w:val="20"/>
        </w:rPr>
        <w:t xml:space="preserve"> tizedespont alkalmaz</w:t>
      </w:r>
      <w:r w:rsidR="008154DB">
        <w:rPr>
          <w:rFonts w:cs="Arial"/>
          <w:szCs w:val="20"/>
        </w:rPr>
        <w:t>ásával (például</w:t>
      </w:r>
      <w:r w:rsidR="008154DB" w:rsidRPr="00D36435">
        <w:rPr>
          <w:rFonts w:cs="Arial"/>
          <w:szCs w:val="20"/>
        </w:rPr>
        <w:t xml:space="preserve"> </w:t>
      </w:r>
      <w:proofErr w:type="spellStart"/>
      <w:r w:rsidR="008154DB" w:rsidRPr="00D36435">
        <w:rPr>
          <w:rFonts w:cs="Arial"/>
          <w:szCs w:val="20"/>
        </w:rPr>
        <w:t>HWM</w:t>
      </w:r>
      <w:proofErr w:type="spellEnd"/>
      <w:r w:rsidR="008154DB" w:rsidRPr="00D36435">
        <w:rPr>
          <w:rFonts w:cs="Arial"/>
          <w:szCs w:val="20"/>
        </w:rPr>
        <w:t xml:space="preserve"> + 3% küszöbhozam, vagy </w:t>
      </w:r>
      <w:proofErr w:type="spellStart"/>
      <w:r w:rsidR="008154DB" w:rsidRPr="00D36435">
        <w:rPr>
          <w:rFonts w:cs="Arial"/>
          <w:szCs w:val="20"/>
        </w:rPr>
        <w:t>HoH</w:t>
      </w:r>
      <w:proofErr w:type="spellEnd"/>
      <w:r w:rsidR="008154DB" w:rsidRPr="00D36435">
        <w:rPr>
          <w:rFonts w:cs="Arial"/>
          <w:szCs w:val="20"/>
        </w:rPr>
        <w:t xml:space="preserve"> + 2</w:t>
      </w:r>
      <w:r w:rsidR="008154DB">
        <w:rPr>
          <w:rFonts w:cs="Arial"/>
          <w:szCs w:val="20"/>
        </w:rPr>
        <w:t>.</w:t>
      </w:r>
      <w:r w:rsidR="008154DB" w:rsidRPr="00D36435">
        <w:rPr>
          <w:rFonts w:cs="Arial"/>
          <w:szCs w:val="20"/>
        </w:rPr>
        <w:t>5% hozamkorlát</w:t>
      </w:r>
      <w:r w:rsidR="008154DB">
        <w:rPr>
          <w:rFonts w:cs="Arial"/>
          <w:szCs w:val="20"/>
        </w:rPr>
        <w:t>)</w:t>
      </w:r>
      <w:r w:rsidR="001F5D45">
        <w:rPr>
          <w:rFonts w:cs="Arial"/>
          <w:szCs w:val="20"/>
        </w:rPr>
        <w:t>.</w:t>
      </w:r>
    </w:p>
    <w:p w14:paraId="7C830D36" w14:textId="77777777" w:rsidR="00D36435" w:rsidRDefault="00D36435" w:rsidP="000E33CD">
      <w:pPr>
        <w:rPr>
          <w:rFonts w:cs="Arial"/>
          <w:szCs w:val="20"/>
        </w:rPr>
      </w:pPr>
    </w:p>
    <w:p w14:paraId="022F05BF" w14:textId="543B283A" w:rsidR="00DA584B" w:rsidRPr="00034107" w:rsidRDefault="00A071D3" w:rsidP="00DB29C7">
      <w:pPr>
        <w:pStyle w:val="Cmsor2"/>
      </w:pPr>
      <w:r w:rsidRPr="00034107">
        <w:t>11</w:t>
      </w:r>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77777777" w:rsidR="00DA584B" w:rsidRPr="00034107" w:rsidRDefault="00DA584B" w:rsidP="000E33CD">
      <w:r w:rsidRPr="00034107">
        <w:t xml:space="preserve">A táblában azokat a sorozatokat (alapokat)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 xml:space="preserve">Az adatokat sorozatonként, és azon belül a 4. oszlopban feltüntetett </w:t>
      </w:r>
      <w:proofErr w:type="spellStart"/>
      <w:r w:rsidRPr="00034107">
        <w:t>költségfajtánként</w:t>
      </w:r>
      <w:proofErr w:type="spellEnd"/>
      <w:r w:rsidRPr="00034107">
        <w:t xml:space="preserve">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lastRenderedPageBreak/>
        <w:t xml:space="preserve">3. oszlop: </w:t>
      </w:r>
      <w:r w:rsidR="00691127"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77777777" w:rsidR="00DA584B" w:rsidRPr="00034107" w:rsidRDefault="00A071D3" w:rsidP="00DB29C7">
      <w:pPr>
        <w:pStyle w:val="Cmsor2"/>
      </w:pPr>
      <w:r w:rsidRPr="00034107">
        <w:t>12</w:t>
      </w:r>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táblában a sorozat nettó eszközértékének 10%-</w:t>
      </w:r>
      <w:proofErr w:type="spellStart"/>
      <w:r w:rsidRPr="00034107">
        <w:t>ánál</w:t>
      </w:r>
      <w:proofErr w:type="spellEnd"/>
      <w:r w:rsidRPr="00034107">
        <w:t xml:space="preserve">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w:t>
      </w:r>
      <w:proofErr w:type="spellStart"/>
      <w:r w:rsidRPr="00034107">
        <w:t>ánál</w:t>
      </w:r>
      <w:proofErr w:type="spellEnd"/>
      <w:r w:rsidRPr="00034107">
        <w:t xml:space="preserve">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77777777" w:rsidR="00DA584B" w:rsidRPr="00034107" w:rsidRDefault="00DA584B" w:rsidP="000E33CD">
      <w:r w:rsidRPr="00034107">
        <w:t>A</w:t>
      </w:r>
      <w:r w:rsidRPr="00034107">
        <w:rPr>
          <w:b/>
        </w:rPr>
        <w:t xml:space="preserve"> 6. oszlopban </w:t>
      </w:r>
      <w:r w:rsidRPr="00034107">
        <w:t xml:space="preserve">a 10%-nál nagyobb arányt képviselő kollektív értékpapírokba történő befektetéshez kapcsolódó arányosított folyó díjterhelési mutatót kell szerepeltetni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7777777"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 xml:space="preserve">PSZÁF ajánlás II. 8. pont </w:t>
      </w:r>
      <w:proofErr w:type="gramStart"/>
      <w:r w:rsidRPr="00034107">
        <w:t>a)-</w:t>
      </w:r>
      <w:proofErr w:type="gramEnd"/>
      <w:r w:rsidRPr="00034107">
        <w:t>e) alpont</w:t>
      </w:r>
      <w:r w:rsidR="00C753DC" w:rsidRPr="00034107">
        <w:t>já</w:t>
      </w:r>
      <w:r w:rsidRPr="00034107">
        <w:t>ban meghatározott módszertan alapján kell kitölteni</w:t>
      </w:r>
      <w:r w:rsidR="00E91C84" w:rsidRPr="00034107">
        <w:t>,</w:t>
      </w:r>
      <w:r w:rsidRPr="00034107">
        <w:t xml:space="preserve"> az oszlopban az alkalmazott módszert (alpontot)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alapkezelő vagy a Tpt. szerinti kapcsolt vállalkozása kezeli,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feltüntetni. </w:t>
      </w:r>
    </w:p>
    <w:p w14:paraId="6FB9F12A" w14:textId="77777777" w:rsidR="00DA584B" w:rsidRPr="00034107" w:rsidRDefault="00DA584B" w:rsidP="000E33CD">
      <w:r w:rsidRPr="00034107">
        <w:rPr>
          <w:b/>
        </w:rPr>
        <w:t>10. oszlop:</w:t>
      </w:r>
      <w:r w:rsidRPr="00034107">
        <w:t xml:space="preserve"> </w:t>
      </w:r>
      <w:r w:rsidR="00C80DEC" w:rsidRPr="00034107">
        <w:t>a</w:t>
      </w:r>
      <w:r w:rsidRPr="00034107">
        <w:t xml:space="preserve"> mögöttes alap (kollektív értékpapír) kezelési díja, %-ban kifejezve.</w:t>
      </w:r>
    </w:p>
    <w:p w14:paraId="4B65DADC" w14:textId="77777777" w:rsidR="00DA584B" w:rsidRPr="00034107" w:rsidRDefault="00DA584B" w:rsidP="000E33CD"/>
    <w:p w14:paraId="1D89F47A" w14:textId="77777777" w:rsidR="00DA584B" w:rsidRPr="00034107" w:rsidRDefault="00A071D3" w:rsidP="00DB29C7">
      <w:pPr>
        <w:pStyle w:val="Cmsor2"/>
      </w:pPr>
      <w:r w:rsidRPr="00034107">
        <w:t>13</w:t>
      </w:r>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w:t>
      </w:r>
      <w:proofErr w:type="spellStart"/>
      <w:r w:rsidRPr="00034107">
        <w:t>forgalmazónként</w:t>
      </w:r>
      <w:proofErr w:type="spellEnd"/>
      <w:r w:rsidRPr="00034107">
        <w:t xml:space="preserve">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z 50L táblának megfelelően, a befektetési jegy sorozat ISIN kódja, amennyiben nem rendelkezik ISIN kóddal, akkor az alapkezelő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77777777" w:rsidR="00380FCE" w:rsidRPr="00034107" w:rsidRDefault="00A071D3" w:rsidP="00DB29C7">
      <w:pPr>
        <w:pStyle w:val="Cmsor2"/>
      </w:pPr>
      <w:r w:rsidRPr="00034107">
        <w:t>14</w:t>
      </w:r>
      <w:r w:rsidR="000016CE" w:rsidRPr="00034107">
        <w:t xml:space="preserve">. </w:t>
      </w:r>
      <w:r w:rsidR="00380FCE" w:rsidRPr="00034107">
        <w:t>50T A befektetési alapkezelő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77777777" w:rsidR="00380FCE" w:rsidRPr="00034107" w:rsidRDefault="00380FCE" w:rsidP="000E33CD">
      <w:r w:rsidRPr="00034107">
        <w:t>A tábla kitöltésé</w:t>
      </w:r>
      <w:r w:rsidR="00804088" w:rsidRPr="00034107">
        <w:t>r</w:t>
      </w:r>
      <w:r w:rsidRPr="00034107">
        <w:t xml:space="preserve">e a </w:t>
      </w:r>
      <w:proofErr w:type="spellStart"/>
      <w:r w:rsidRPr="00034107">
        <w:t>Kbftv</w:t>
      </w:r>
      <w:proofErr w:type="spellEnd"/>
      <w:r w:rsidRPr="00034107">
        <w:t>. 4.</w:t>
      </w:r>
      <w:r w:rsidR="00804088" w:rsidRPr="00034107">
        <w:t xml:space="preserve"> </w:t>
      </w:r>
      <w:r w:rsidRPr="00034107">
        <w:t>§ (1) bekezdés 91. pontja és a 16. §</w:t>
      </w:r>
      <w:r w:rsidR="00C80DEC" w:rsidRPr="00034107">
        <w:t>-a</w:t>
      </w:r>
      <w:r w:rsidRPr="00034107">
        <w:t xml:space="preserve"> az irányadó.</w:t>
      </w:r>
    </w:p>
    <w:p w14:paraId="296DDD2A" w14:textId="77777777" w:rsidR="00380FCE" w:rsidRPr="00034107" w:rsidRDefault="00380FCE" w:rsidP="000E33CD">
      <w:r w:rsidRPr="00034107">
        <w:t xml:space="preserve">A </w:t>
      </w:r>
      <w:proofErr w:type="spellStart"/>
      <w:r w:rsidRPr="00034107">
        <w:t>Kbftv</w:t>
      </w:r>
      <w:proofErr w:type="spellEnd"/>
      <w:r w:rsidRPr="00034107">
        <w:t>. 16. §-ában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lastRenderedPageBreak/>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w:t>
      </w:r>
      <w:proofErr w:type="spellStart"/>
      <w:r w:rsidRPr="00034107">
        <w:t>Kbftv</w:t>
      </w:r>
      <w:proofErr w:type="spellEnd"/>
      <w:r w:rsidRPr="00034107">
        <w:t xml:space="preserve">. 16. §-a alapján számolt tőkekövetelmény. </w:t>
      </w:r>
    </w:p>
    <w:p w14:paraId="39A44816" w14:textId="4498CFE8" w:rsidR="00D736FF" w:rsidRPr="00034107" w:rsidRDefault="00AC6558" w:rsidP="000E33CD">
      <w:r w:rsidRPr="00034107">
        <w:t xml:space="preserve">Számítása: 50T1 = </w:t>
      </w:r>
      <w:proofErr w:type="spellStart"/>
      <w:proofErr w:type="gramStart"/>
      <w:r w:rsidRPr="00034107">
        <w:t>max</w:t>
      </w:r>
      <w:proofErr w:type="spellEnd"/>
      <w:r w:rsidR="00380FCE" w:rsidRPr="00034107">
        <w:t>{</w:t>
      </w:r>
      <w:proofErr w:type="gramEnd"/>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6E6E4FB4" w14:textId="77777777" w:rsidR="00A83054" w:rsidRPr="00034107" w:rsidRDefault="00A83054" w:rsidP="000E33CD"/>
    <w:p w14:paraId="18F492D2" w14:textId="77777777" w:rsidR="00D736FF" w:rsidRPr="00034107" w:rsidRDefault="00A83054" w:rsidP="000E33CD">
      <w:pPr>
        <w:rPr>
          <w:rFonts w:cs="Arial"/>
          <w:b/>
          <w:color w:val="000000"/>
          <w:szCs w:val="20"/>
        </w:rPr>
      </w:pPr>
      <w:r w:rsidRPr="00034107">
        <w:rPr>
          <w:rFonts w:cs="Arial"/>
          <w:b/>
          <w:color w:val="000000"/>
          <w:szCs w:val="20"/>
        </w:rPr>
        <w:t xml:space="preserve">50T12 A </w:t>
      </w:r>
      <w:proofErr w:type="spellStart"/>
      <w:r w:rsidRPr="00034107">
        <w:rPr>
          <w:rFonts w:cs="Arial"/>
          <w:b/>
          <w:color w:val="000000"/>
          <w:szCs w:val="20"/>
        </w:rPr>
        <w:t>Kbftv</w:t>
      </w:r>
      <w:proofErr w:type="spellEnd"/>
      <w:r w:rsidRPr="00034107">
        <w:rPr>
          <w:rFonts w:cs="Arial"/>
          <w:b/>
          <w:color w:val="000000"/>
          <w:szCs w:val="20"/>
        </w:rPr>
        <w:t>.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w:t>
      </w:r>
      <w:proofErr w:type="spellStart"/>
      <w:r w:rsidRPr="00034107">
        <w:rPr>
          <w:rFonts w:cs="Arial"/>
          <w:b/>
          <w:color w:val="000000"/>
          <w:szCs w:val="20"/>
        </w:rPr>
        <w:t>ának</w:t>
      </w:r>
      <w:proofErr w:type="spellEnd"/>
      <w:r w:rsidRPr="00034107">
        <w:rPr>
          <w:rFonts w:cs="Arial"/>
          <w:b/>
          <w:color w:val="000000"/>
          <w:szCs w:val="20"/>
        </w:rPr>
        <w:t xml:space="preserve">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proofErr w:type="spellStart"/>
      <w:r w:rsidR="00211576" w:rsidRPr="00034107">
        <w:rPr>
          <w:rFonts w:cs="Arial"/>
          <w:color w:val="000000"/>
          <w:szCs w:val="20"/>
        </w:rPr>
        <w:t>Va</w:t>
      </w:r>
      <w:proofErr w:type="spellEnd"/>
      <w:r w:rsidR="00211576" w:rsidRPr="00034107">
        <w:rPr>
          <w:rFonts w:cs="Arial"/>
          <w:color w:val="000000"/>
          <w:szCs w:val="20"/>
        </w:rPr>
        <w:t>.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w:t>
      </w:r>
      <w:proofErr w:type="spellStart"/>
      <w:r w:rsidRPr="00034107">
        <w:rPr>
          <w:rFonts w:cs="Arial"/>
          <w:b/>
          <w:szCs w:val="20"/>
        </w:rPr>
        <w:t>Kbftv</w:t>
      </w:r>
      <w:proofErr w:type="spellEnd"/>
      <w:r w:rsidRPr="00034107">
        <w:rPr>
          <w:rFonts w:cs="Arial"/>
          <w:b/>
          <w:szCs w:val="20"/>
        </w:rPr>
        <w:t>. 4. § (1) bekezdés 91. pont):</w:t>
      </w:r>
      <w:r w:rsidRPr="00034107">
        <w:rPr>
          <w:rFonts w:cs="Arial"/>
          <w:szCs w:val="20"/>
        </w:rPr>
        <w:t xml:space="preserve"> </w:t>
      </w:r>
      <w:r w:rsidR="00ED7D8A" w:rsidRPr="00034107">
        <w:rPr>
          <w:rFonts w:cs="Arial"/>
          <w:szCs w:val="20"/>
        </w:rPr>
        <w:t xml:space="preserve">a </w:t>
      </w:r>
      <w:proofErr w:type="spellStart"/>
      <w:r w:rsidR="00ED7D8A" w:rsidRPr="00034107">
        <w:rPr>
          <w:rFonts w:cs="Arial"/>
          <w:szCs w:val="20"/>
        </w:rPr>
        <w:t>CRR</w:t>
      </w:r>
      <w:proofErr w:type="spellEnd"/>
      <w:r w:rsidR="00ED7D8A" w:rsidRPr="00034107">
        <w:rPr>
          <w:rFonts w:cs="Arial"/>
          <w:szCs w:val="20"/>
        </w:rPr>
        <w:t xml:space="preserve">-ben </w:t>
      </w:r>
      <w:r w:rsidRPr="00034107">
        <w:rPr>
          <w:rFonts w:cs="Arial"/>
          <w:szCs w:val="20"/>
        </w:rPr>
        <w:t>meghatározott fogalom.</w:t>
      </w:r>
    </w:p>
    <w:p w14:paraId="5ACDFEDB" w14:textId="77777777" w:rsidR="001F546C" w:rsidRPr="00034107" w:rsidRDefault="001F546C" w:rsidP="000E33CD">
      <w:pPr>
        <w:rPr>
          <w:rFonts w:cs="Arial"/>
          <w:b/>
          <w:color w:val="000000"/>
          <w:szCs w:val="20"/>
        </w:rPr>
      </w:pP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t xml:space="preserve">Likvid eszközként a </w:t>
      </w:r>
      <w:proofErr w:type="spellStart"/>
      <w:r w:rsidRPr="00034107">
        <w:rPr>
          <w:rFonts w:cs="Arial"/>
          <w:szCs w:val="20"/>
        </w:rPr>
        <w:t>Kbftv</w:t>
      </w:r>
      <w:proofErr w:type="spellEnd"/>
      <w:r w:rsidRPr="00034107">
        <w:rPr>
          <w:rFonts w:cs="Arial"/>
          <w:szCs w:val="20"/>
        </w:rPr>
        <w:t>.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44A4440F" w:rsidR="00C64B62" w:rsidRPr="00034107" w:rsidRDefault="00A071D3" w:rsidP="00DB29C7">
      <w:pPr>
        <w:pStyle w:val="Cmsor2"/>
      </w:pPr>
      <w:r w:rsidRPr="00034107">
        <w:t>15</w:t>
      </w:r>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Pr="00034107" w:rsidRDefault="00C64B62" w:rsidP="000E33CD">
      <w:r w:rsidRPr="00034107">
        <w:t>Az 50U01</w:t>
      </w:r>
      <w:r w:rsidR="00B016EA" w:rsidRPr="00034107">
        <w:t xml:space="preserve"> kezdetű</w:t>
      </w:r>
      <w:r w:rsidRPr="00034107">
        <w:t xml:space="preserve"> sorok a negyedév végi létszámadatokat tartalmazzák.</w:t>
      </w:r>
    </w:p>
    <w:p w14:paraId="79591482" w14:textId="77777777" w:rsidR="00C64B62" w:rsidRPr="00034107" w:rsidRDefault="000B479B" w:rsidP="000E33CD">
      <w:r w:rsidRPr="00034107">
        <w:rPr>
          <w:b/>
        </w:rPr>
        <w:t>50U061 Az intézménynél k</w:t>
      </w:r>
      <w:r w:rsidR="00C64B62" w:rsidRPr="00034107">
        <w:rPr>
          <w:b/>
        </w:rPr>
        <w:t xml:space="preserve">ülső auditor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77777777"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p>
    <w:p w14:paraId="58108030" w14:textId="77777777" w:rsidR="00BA60F6" w:rsidRPr="00034107" w:rsidRDefault="00BA60F6" w:rsidP="000E33CD">
      <w:pPr>
        <w:rPr>
          <w:b/>
        </w:rPr>
      </w:pP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68" w:name="_Hlk40355581"/>
      <w:r>
        <w:rPr>
          <w:b/>
        </w:rPr>
        <w:t>50U</w:t>
      </w:r>
      <w:r w:rsidRPr="000617FC">
        <w:rPr>
          <w:b/>
        </w:rPr>
        <w:t xml:space="preserve">0901 A legfontosabb rendszerek üzemeltetése saját gépteremben vagy külső adatközpont(ok)ban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6188F693" w14:textId="77777777" w:rsidR="001D2423" w:rsidRDefault="001D2423" w:rsidP="000E33CD">
      <w:pPr>
        <w:rPr>
          <w:bCs/>
        </w:rPr>
      </w:pPr>
    </w:p>
    <w:p w14:paraId="5E685CE9" w14:textId="27A7F839" w:rsidR="001D2423" w:rsidRPr="001968FC" w:rsidRDefault="00735D65" w:rsidP="000E33CD">
      <w:r>
        <w:rPr>
          <w:b/>
        </w:rPr>
        <w:lastRenderedPageBreak/>
        <w:t>50U</w:t>
      </w:r>
      <w:r w:rsidR="001D2423" w:rsidRPr="000617FC">
        <w:rPr>
          <w:b/>
        </w:rPr>
        <w:t>0913-</w:t>
      </w:r>
      <w:r>
        <w:rPr>
          <w:b/>
        </w:rPr>
        <w:t>50U</w:t>
      </w:r>
      <w:r w:rsidR="001D2423" w:rsidRPr="000617FC">
        <w:rPr>
          <w:b/>
        </w:rPr>
        <w:t>0918 sorok</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bookmarkEnd w:id="68"/>
    <w:p w14:paraId="06A790EC" w14:textId="77777777" w:rsidR="001D2423" w:rsidRDefault="001D2423" w:rsidP="000E33CD">
      <w:pPr>
        <w:rPr>
          <w:b/>
        </w:rPr>
      </w:pPr>
    </w:p>
    <w:p w14:paraId="3F0F9A47" w14:textId="04A9F1A2" w:rsidR="001B0129" w:rsidRPr="001B0129" w:rsidRDefault="001B0129" w:rsidP="000E33CD">
      <w:pPr>
        <w:rPr>
          <w:b/>
        </w:rPr>
      </w:pPr>
      <w:r w:rsidRPr="001B0129">
        <w:rPr>
          <w:b/>
        </w:rPr>
        <w:t>50U10 Felhőszolgáltatás</w:t>
      </w:r>
    </w:p>
    <w:p w14:paraId="549E7075" w14:textId="77777777" w:rsidR="00AC7336" w:rsidRPr="00034107" w:rsidRDefault="001B0129" w:rsidP="000E33CD">
      <w:r w:rsidRPr="001B0129">
        <w:t xml:space="preserve">A felhőszolgáltatás fogalmát, valamint a </w:t>
      </w:r>
      <w:r w:rsidR="00D2749D" w:rsidRPr="00D2749D">
        <w:t>50U10</w:t>
      </w:r>
      <w:r w:rsidR="004659A1">
        <w:t xml:space="preserve"> sor alábontó </w:t>
      </w:r>
      <w:r w:rsidRPr="001B0129">
        <w:t>sor</w:t>
      </w:r>
      <w:r w:rsidR="004659A1">
        <w:t>ai</w:t>
      </w:r>
      <w:r w:rsidRPr="001B0129">
        <w:t>ban kért információk magyarázatát a közösségi és publikus felhőszolgáltatások igénybevételéről</w:t>
      </w:r>
      <w:r w:rsidR="004659A1" w:rsidRPr="004659A1">
        <w:t xml:space="preserve"> </w:t>
      </w:r>
      <w:r w:rsidR="004659A1">
        <w:t xml:space="preserve">szóló </w:t>
      </w:r>
      <w:r w:rsidR="004659A1" w:rsidRPr="001B0129">
        <w:t>4/2019. (IV.</w:t>
      </w:r>
      <w:r w:rsidR="009013DC">
        <w:t xml:space="preserve"> </w:t>
      </w:r>
      <w:r w:rsidR="004659A1" w:rsidRPr="001B0129">
        <w:t>1.) MNB ajánlás</w:t>
      </w:r>
      <w:r w:rsidRPr="001B0129">
        <w:t>, valamint az Európai Bankhatóság 2017. december 20-i, a felhőszolgáltatóknak történő kiszervezésről szóló ajánlásai (EBA/</w:t>
      </w:r>
      <w:proofErr w:type="spellStart"/>
      <w:r w:rsidRPr="001B0129">
        <w:t>REC</w:t>
      </w:r>
      <w:proofErr w:type="spellEnd"/>
      <w:r w:rsidRPr="001B0129">
        <w:t>/2017/03) tartalmazz</w:t>
      </w:r>
      <w:r w:rsidR="004659A1">
        <w:t>a</w:t>
      </w:r>
      <w:r w:rsidRPr="001B0129">
        <w:t xml:space="preserve">. </w:t>
      </w:r>
      <w:r w:rsidR="00D2749D" w:rsidRPr="00D2749D">
        <w:t xml:space="preserve">Amennyiben az </w:t>
      </w:r>
      <w:r w:rsidR="004659A1">
        <w:t>adatszolgáltató</w:t>
      </w:r>
      <w:r w:rsidR="00D2749D" w:rsidRPr="00D2749D">
        <w:t xml:space="preserve"> több felhőszolgáltatást vesz igénybe, akkor a válaszokat több blokk kitöltésével kell megadni. </w:t>
      </w:r>
      <w:r w:rsidR="004659A1">
        <w:t>E</w:t>
      </w:r>
      <w:r w:rsidR="00D2749D" w:rsidRPr="00D2749D">
        <w:t xml:space="preserve">gy </w:t>
      </w:r>
      <w:r w:rsidR="00742364">
        <w:t>mezőn</w:t>
      </w:r>
      <w:r w:rsidR="004659A1">
        <w:t xml:space="preserve"> belüli</w:t>
      </w:r>
      <w:r w:rsidR="00D2749D" w:rsidRPr="00D2749D">
        <w:t xml:space="preserve"> felsorolás </w:t>
      </w:r>
      <w:r w:rsidR="004659A1">
        <w:t>esetén</w:t>
      </w:r>
      <w:r w:rsidR="00D2749D" w:rsidRPr="00D2749D">
        <w:t xml:space="preserve"> az adatokat pontosvesszővel (;) kell elválasztani.</w:t>
      </w:r>
    </w:p>
    <w:p w14:paraId="3EBB70FB" w14:textId="77777777" w:rsidR="00735D65" w:rsidRDefault="00735D65" w:rsidP="000E33CD">
      <w:pPr>
        <w:rPr>
          <w:b/>
        </w:rPr>
      </w:pPr>
      <w:bookmarkStart w:id="69" w:name="_Hlk40355687"/>
      <w:r>
        <w:rPr>
          <w:b/>
        </w:rPr>
        <w:t>50U11</w:t>
      </w:r>
      <w:r w:rsidRPr="000617FC">
        <w:rPr>
          <w:b/>
        </w:rPr>
        <w:t xml:space="preserve"> Elektronikus csatornák</w:t>
      </w:r>
    </w:p>
    <w:p w14:paraId="3E810F2A" w14:textId="385ABFA3" w:rsidR="00735D65" w:rsidRPr="007F4863" w:rsidRDefault="00735D65" w:rsidP="000E33CD">
      <w:r>
        <w:t xml:space="preserve">Az 50U11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1329CFAD" w14:textId="3AA6C8E9" w:rsidR="00695423" w:rsidRPr="00695423" w:rsidRDefault="00453FF3" w:rsidP="00DB29C7">
      <w:pPr>
        <w:pStyle w:val="Cmsor2"/>
      </w:pPr>
      <w:r w:rsidRPr="00695423">
        <w:t>16.</w:t>
      </w:r>
      <w:r w:rsidR="00B45129" w:rsidRPr="00695423">
        <w:t xml:space="preserve"> </w:t>
      </w:r>
      <w:del w:id="70" w:author="STA" w:date="2024-04-29T11:56:00Z">
        <w:r w:rsidR="00B45129" w:rsidRPr="00695423">
          <w:delText>50SFDR</w:delText>
        </w:r>
      </w:del>
      <w:ins w:id="71" w:author="STA" w:date="2024-04-29T11:56:00Z">
        <w:r w:rsidR="00B45129" w:rsidRPr="00695423">
          <w:t>50</w:t>
        </w:r>
        <w:r w:rsidR="00B33AB0">
          <w:t>_</w:t>
        </w:r>
        <w:r w:rsidR="00B45129" w:rsidRPr="00695423">
          <w:t>SFDR</w:t>
        </w:r>
      </w:ins>
      <w:r w:rsidR="00B45129" w:rsidRPr="00695423">
        <w:t xml:space="preserve"> </w:t>
      </w:r>
      <w:r w:rsidR="00AE37CF" w:rsidRPr="00695423">
        <w:t xml:space="preserve">– </w:t>
      </w:r>
      <w:r w:rsidR="00695423" w:rsidRPr="00695423">
        <w:t>Intézményszintű SFDR adatok</w:t>
      </w:r>
    </w:p>
    <w:p w14:paraId="5C3EDAB9" w14:textId="77777777" w:rsidR="00695423" w:rsidRPr="00335DA8" w:rsidRDefault="00695423" w:rsidP="000E33CD">
      <w:pPr>
        <w:rPr>
          <w:b/>
          <w:rPrChange w:id="72" w:author="STA" w:date="2024-04-29T11:56:00Z">
            <w:rPr/>
          </w:rPrChange>
        </w:rPr>
      </w:pPr>
      <w:r w:rsidRPr="00335DA8">
        <w:rPr>
          <w:b/>
          <w:rPrChange w:id="73" w:author="STA" w:date="2024-04-29T11:56:00Z">
            <w:rPr/>
          </w:rPrChange>
        </w:rPr>
        <w:t>A tábla kitöltése</w:t>
      </w:r>
    </w:p>
    <w:p w14:paraId="6B397CEC" w14:textId="431D75D9" w:rsidR="00695423" w:rsidRPr="00695423" w:rsidRDefault="00695423" w:rsidP="000E33CD">
      <w:r w:rsidRPr="002C1F13">
        <w:t>A</w:t>
      </w:r>
      <w:r>
        <w:t>z intézményszintű adatok az</w:t>
      </w:r>
      <w:r w:rsidRPr="002C1F13">
        <w:t xml:space="preserve"> SFDR és </w:t>
      </w:r>
      <w:r>
        <w:t>az SFDR RTS</w:t>
      </w:r>
      <w:r w:rsidRPr="002C1F13">
        <w:t xml:space="preserve"> alapján </w:t>
      </w:r>
      <w:r>
        <w:t xml:space="preserve">számolandók és </w:t>
      </w:r>
      <w:r w:rsidRPr="002C1F13">
        <w:t>jelentendő</w:t>
      </w:r>
      <w:r>
        <w:t>k</w:t>
      </w:r>
      <w:r w:rsidRPr="002C1F13">
        <w:t>.</w:t>
      </w:r>
    </w:p>
    <w:p w14:paraId="1BFD3DD6" w14:textId="7D8422B4" w:rsidR="00B45129" w:rsidRPr="0092506E" w:rsidRDefault="00DD690B" w:rsidP="000E33CD">
      <w:r w:rsidRPr="0092506E">
        <w:t>A</w:t>
      </w:r>
      <w:r>
        <w:t>z</w:t>
      </w:r>
      <w:r w:rsidRPr="0092506E">
        <w:t xml:space="preserve"> </w:t>
      </w:r>
      <w:del w:id="74" w:author="STA" w:date="2024-04-29T11:56:00Z">
        <w:r w:rsidRPr="0092506E">
          <w:delText>50SFDR1</w:delText>
        </w:r>
        <w:r w:rsidR="004F76FD">
          <w:delText>–</w:delText>
        </w:r>
        <w:r w:rsidRPr="0092506E">
          <w:delText>50SFDR4</w:delText>
        </w:r>
      </w:del>
      <w:ins w:id="75" w:author="STA" w:date="2024-04-29T11:56:00Z">
        <w:r w:rsidRPr="0092506E">
          <w:t>50</w:t>
        </w:r>
        <w:r w:rsidR="00B33AB0">
          <w:t>_</w:t>
        </w:r>
        <w:r w:rsidRPr="0092506E">
          <w:t>SFDR1</w:t>
        </w:r>
        <w:r w:rsidR="004F76FD">
          <w:t>–</w:t>
        </w:r>
        <w:r w:rsidRPr="0092506E">
          <w:t>50</w:t>
        </w:r>
        <w:r w:rsidR="00B33AB0">
          <w:t>_</w:t>
        </w:r>
        <w:r w:rsidRPr="0092506E">
          <w:t>SFDR4</w:t>
        </w:r>
      </w:ins>
      <w:r w:rsidRPr="0092506E">
        <w:t xml:space="preserve"> sor töltése kötelező minden </w:t>
      </w:r>
      <w:proofErr w:type="spellStart"/>
      <w:r>
        <w:t>ÁÉKBV</w:t>
      </w:r>
      <w:proofErr w:type="spellEnd"/>
      <w:r>
        <w:t xml:space="preserve">-alapkezelő és alternatív befektetési alapkezelő </w:t>
      </w:r>
      <w:r w:rsidRPr="0092506E">
        <w:t xml:space="preserve">számára, </w:t>
      </w:r>
      <w:r>
        <w:t>a kockázati tőkealap-kezelő kivételével. A</w:t>
      </w:r>
      <w:r w:rsidRPr="0092506E">
        <w:t xml:space="preserve">z </w:t>
      </w:r>
      <w:del w:id="76" w:author="STA" w:date="2024-04-29T11:56:00Z">
        <w:r w:rsidRPr="0092506E">
          <w:delText>50SFDR51–50SFDR83</w:delText>
        </w:r>
      </w:del>
      <w:ins w:id="77" w:author="STA" w:date="2024-04-29T11:56:00Z">
        <w:r w:rsidRPr="0092506E">
          <w:t>50</w:t>
        </w:r>
        <w:r w:rsidR="00B33AB0">
          <w:t>_</w:t>
        </w:r>
        <w:r w:rsidRPr="0092506E">
          <w:t>SFDR51–50</w:t>
        </w:r>
        <w:r w:rsidR="00B33AB0">
          <w:t>_</w:t>
        </w:r>
        <w:r w:rsidRPr="0092506E">
          <w:t>SFDR83</w:t>
        </w:r>
      </w:ins>
      <w:r w:rsidRPr="0092506E">
        <w:t xml:space="preserve"> sor abban az esetben töltendő</w:t>
      </w:r>
      <w:r w:rsidR="004F76FD">
        <w:t xml:space="preserve"> ki</w:t>
      </w:r>
      <w:r w:rsidR="00A04967" w:rsidRPr="00A04967">
        <w:t>,</w:t>
      </w:r>
      <w:r w:rsidR="00B45129" w:rsidRPr="0092506E">
        <w:t xml:space="preserve"> </w:t>
      </w:r>
      <w:r w:rsidR="00A04967" w:rsidRPr="00A04967">
        <w:t xml:space="preserve">ha </w:t>
      </w:r>
      <w:r w:rsidR="00B45129" w:rsidRPr="0092506E">
        <w:t xml:space="preserve">az </w:t>
      </w:r>
      <w:del w:id="78" w:author="STA" w:date="2024-04-29T11:56:00Z">
        <w:r w:rsidR="00B45129" w:rsidRPr="0092506E">
          <w:delText>50SFDR1</w:delText>
        </w:r>
      </w:del>
      <w:ins w:id="79" w:author="STA" w:date="2024-04-29T11:56:00Z">
        <w:r w:rsidR="00B45129" w:rsidRPr="0092506E">
          <w:t>50</w:t>
        </w:r>
        <w:r w:rsidR="00B33AB0">
          <w:t>_</w:t>
        </w:r>
        <w:r w:rsidR="00B45129" w:rsidRPr="0092506E">
          <w:t>SFDR1</w:t>
        </w:r>
      </w:ins>
      <w:r w:rsidR="00B45129" w:rsidRPr="0092506E">
        <w:t xml:space="preserve"> sor értéke „Igen”. Az </w:t>
      </w:r>
      <w:del w:id="80" w:author="STA" w:date="2024-04-29T11:56:00Z">
        <w:r w:rsidR="00B45129" w:rsidRPr="0092506E">
          <w:delText>50SFDR51</w:delText>
        </w:r>
        <w:r w:rsidR="004F76FD">
          <w:delText>–</w:delText>
        </w:r>
        <w:r w:rsidR="00B45129" w:rsidRPr="0092506E">
          <w:delText>50SFDR83</w:delText>
        </w:r>
      </w:del>
      <w:ins w:id="81" w:author="STA" w:date="2024-04-29T11:56:00Z">
        <w:r w:rsidR="00B45129" w:rsidRPr="0092506E">
          <w:t>50</w:t>
        </w:r>
        <w:r w:rsidR="00B33AB0">
          <w:t>_</w:t>
        </w:r>
        <w:r w:rsidR="00B45129" w:rsidRPr="0092506E">
          <w:t>SFDR51</w:t>
        </w:r>
        <w:r w:rsidR="004F76FD">
          <w:t>–</w:t>
        </w:r>
        <w:r w:rsidR="00B45129" w:rsidRPr="0092506E">
          <w:t>50</w:t>
        </w:r>
        <w:r w:rsidR="00B33AB0">
          <w:t>_</w:t>
        </w:r>
        <w:r w:rsidR="00B45129" w:rsidRPr="0092506E">
          <w:t>SFDR83</w:t>
        </w:r>
      </w:ins>
      <w:r w:rsidR="00B45129" w:rsidRPr="0092506E">
        <w:t xml:space="preserve"> sort az SFDR RTS 6. cikk</w:t>
      </w:r>
      <w:r w:rsidR="004F76FD">
        <w:t xml:space="preserve"> (1) bekezdés</w:t>
      </w:r>
      <w:r w:rsidR="00B45129" w:rsidRPr="0092506E">
        <w:t xml:space="preserve"> a) és b) </w:t>
      </w:r>
      <w:r w:rsidR="004F76FD">
        <w:t>pontja</w:t>
      </w:r>
      <w:r w:rsidR="00B45129" w:rsidRPr="0092506E">
        <w:t xml:space="preserve"> alapján kell kitölteni. </w:t>
      </w:r>
    </w:p>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proofErr w:type="spellStart"/>
      <w:r w:rsidRPr="000E33CD">
        <w:rPr>
          <w:rFonts w:ascii="Arial" w:hAnsi="Arial" w:cs="Arial"/>
          <w:i/>
          <w:iCs/>
          <w:sz w:val="20"/>
          <w:szCs w:val="20"/>
          <w:lang w:val="x-none" w:eastAsia="x-none"/>
        </w:rPr>
        <w:t>osszilis</w:t>
      </w:r>
      <w:proofErr w:type="spellEnd"/>
      <w:r w:rsidRPr="000E33CD">
        <w:rPr>
          <w:rFonts w:ascii="Arial" w:hAnsi="Arial" w:cs="Arial"/>
          <w:i/>
          <w:iCs/>
          <w:sz w:val="20"/>
          <w:szCs w:val="20"/>
          <w:lang w:val="x-none" w:eastAsia="x-none"/>
        </w:rPr>
        <w:t xml:space="preserve"> tüzelőanyagok ágazatában tevékenykedő vállalkozás</w:t>
      </w:r>
      <w:r w:rsidRPr="000E33CD">
        <w:rPr>
          <w:rFonts w:ascii="Arial" w:hAnsi="Arial" w:cs="Arial"/>
          <w:sz w:val="20"/>
          <w:szCs w:val="20"/>
        </w:rPr>
        <w:t>: az SFDR RTS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proofErr w:type="spellStart"/>
      <w:r w:rsidRPr="000E33CD">
        <w:rPr>
          <w:rFonts w:ascii="Arial" w:eastAsia="Meiryo" w:hAnsi="Arial" w:cs="Arial"/>
          <w:i/>
          <w:iCs/>
          <w:sz w:val="20"/>
          <w:szCs w:val="20"/>
          <w:lang w:eastAsia="ja-JP"/>
        </w:rPr>
        <w:t>PAI</w:t>
      </w:r>
      <w:proofErr w:type="spellEnd"/>
      <w:r w:rsidRPr="000E33CD">
        <w:rPr>
          <w:rFonts w:ascii="Arial" w:eastAsia="Meiryo" w:hAnsi="Arial" w:cs="Arial"/>
          <w:i/>
          <w:iCs/>
          <w:sz w:val="20"/>
          <w:szCs w:val="20"/>
          <w:lang w:eastAsia="ja-JP"/>
        </w:rPr>
        <w:t>:</w:t>
      </w:r>
      <w:r w:rsidRPr="000E33CD">
        <w:rPr>
          <w:rFonts w:ascii="Arial" w:eastAsia="Meiryo" w:hAnsi="Arial" w:cs="Arial"/>
          <w:sz w:val="20"/>
          <w:szCs w:val="20"/>
          <w:lang w:eastAsia="ja-JP"/>
        </w:rPr>
        <w:t xml:space="preserve"> a fenntarthatósági tényezőkre gyakorolt főbb káros hatások (</w:t>
      </w:r>
      <w:proofErr w:type="spellStart"/>
      <w:r w:rsidRPr="000E33CD">
        <w:rPr>
          <w:rFonts w:ascii="Arial" w:eastAsia="Meiryo" w:hAnsi="Arial" w:cs="Arial"/>
          <w:sz w:val="20"/>
          <w:szCs w:val="20"/>
          <w:lang w:eastAsia="ja-JP"/>
        </w:rPr>
        <w:t>Principal</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Adverse</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Impact</w:t>
      </w:r>
      <w:proofErr w:type="spellEnd"/>
      <w:r w:rsidRPr="000E33CD">
        <w:rPr>
          <w:rFonts w:ascii="Arial" w:eastAsia="Meiryo" w:hAnsi="Arial" w:cs="Arial"/>
          <w:sz w:val="20"/>
          <w:szCs w:val="20"/>
          <w:lang w:eastAsia="ja-JP"/>
        </w:rPr>
        <w: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proofErr w:type="spellStart"/>
      <w:r w:rsidRPr="000E33CD">
        <w:rPr>
          <w:rFonts w:ascii="Arial" w:hAnsi="Arial" w:cs="Arial"/>
          <w:i/>
          <w:sz w:val="20"/>
          <w:szCs w:val="20"/>
        </w:rPr>
        <w:t>ÜHG</w:t>
      </w:r>
      <w:proofErr w:type="spellEnd"/>
      <w:r w:rsidRPr="000E33CD">
        <w:rPr>
          <w:rFonts w:ascii="Arial" w:hAnsi="Arial" w:cs="Arial"/>
          <w:i/>
          <w:sz w:val="20"/>
          <w:szCs w:val="20"/>
        </w:rPr>
        <w:t xml:space="preserve">: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Pr="0092506E" w:rsidRDefault="00B45129" w:rsidP="000E33CD">
      <w:pPr>
        <w:rPr>
          <w:b/>
          <w:bCs/>
        </w:rPr>
      </w:pPr>
      <w:r w:rsidRPr="0092506E">
        <w:rPr>
          <w:b/>
          <w:bCs/>
        </w:rPr>
        <w:t>A tábla sorai:</w:t>
      </w:r>
    </w:p>
    <w:p w14:paraId="57EC7820" w14:textId="51344F52" w:rsidR="00B45129" w:rsidRPr="0092506E" w:rsidRDefault="00B45129" w:rsidP="000E33CD">
      <w:pPr>
        <w:rPr>
          <w:b/>
          <w:bCs/>
        </w:rPr>
      </w:pPr>
      <w:del w:id="82" w:author="STA" w:date="2024-04-29T11:56:00Z">
        <w:r w:rsidRPr="0092506E">
          <w:rPr>
            <w:b/>
            <w:bCs/>
          </w:rPr>
          <w:delText>50SFDR1</w:delText>
        </w:r>
      </w:del>
      <w:ins w:id="83" w:author="STA" w:date="2024-04-29T11:56:00Z">
        <w:r w:rsidRPr="0092506E">
          <w:rPr>
            <w:b/>
            <w:bCs/>
          </w:rPr>
          <w:t>50</w:t>
        </w:r>
        <w:r w:rsidR="000B70BC">
          <w:rPr>
            <w:b/>
            <w:bCs/>
          </w:rPr>
          <w:t>_</w:t>
        </w:r>
        <w:r w:rsidRPr="0092506E">
          <w:rPr>
            <w:b/>
            <w:bCs/>
          </w:rPr>
          <w:t>SFDR1</w:t>
        </w:r>
      </w:ins>
      <w:r w:rsidRPr="0092506E">
        <w:rPr>
          <w:b/>
          <w:bCs/>
        </w:rPr>
        <w:t xml:space="preserve"> Figyelembe vesz szervezeti szinten fenntarthatósági káros hatásokat (</w:t>
      </w:r>
      <w:proofErr w:type="spellStart"/>
      <w:r w:rsidRPr="0092506E">
        <w:rPr>
          <w:b/>
          <w:bCs/>
        </w:rPr>
        <w:t>PAI</w:t>
      </w:r>
      <w:proofErr w:type="spellEnd"/>
      <w:r w:rsidRPr="0092506E">
        <w:rPr>
          <w:b/>
          <w:bCs/>
        </w:rPr>
        <w:t>)?</w:t>
      </w:r>
    </w:p>
    <w:p w14:paraId="25C95691" w14:textId="77777777" w:rsidR="00B45129" w:rsidRPr="0092506E" w:rsidRDefault="00B45129" w:rsidP="000E33CD">
      <w:r w:rsidRPr="0092506E">
        <w:t>A lehetséges értékek: „Igen” vagy „Nem”. A mezőt az SFDR 4. cikke alapján kell kitölteni.</w:t>
      </w:r>
    </w:p>
    <w:p w14:paraId="380AC494" w14:textId="5ED3E769" w:rsidR="00B45129" w:rsidRPr="0092506E" w:rsidRDefault="00B45129" w:rsidP="000E33CD">
      <w:pPr>
        <w:rPr>
          <w:b/>
          <w:bCs/>
        </w:rPr>
      </w:pPr>
      <w:del w:id="84" w:author="STA" w:date="2024-04-29T11:56:00Z">
        <w:r w:rsidRPr="0092506E">
          <w:rPr>
            <w:b/>
            <w:bCs/>
          </w:rPr>
          <w:delText>50SFDR2</w:delText>
        </w:r>
      </w:del>
      <w:ins w:id="85" w:author="STA" w:date="2024-04-29T11:56:00Z">
        <w:r w:rsidRPr="0092506E">
          <w:rPr>
            <w:b/>
            <w:bCs/>
          </w:rPr>
          <w:t>50</w:t>
        </w:r>
        <w:r w:rsidR="000B70BC">
          <w:rPr>
            <w:b/>
            <w:bCs/>
          </w:rPr>
          <w:t>_</w:t>
        </w:r>
        <w:r w:rsidRPr="0092506E">
          <w:rPr>
            <w:b/>
            <w:bCs/>
          </w:rPr>
          <w:t>SFDR2</w:t>
        </w:r>
      </w:ins>
      <w:r w:rsidRPr="0092506E">
        <w:rPr>
          <w:b/>
          <w:bCs/>
        </w:rPr>
        <w:t xml:space="preserve"> Hol található az SFDR 4. cikk</w:t>
      </w:r>
      <w:r w:rsidR="00751EDE">
        <w:rPr>
          <w:b/>
          <w:bCs/>
        </w:rPr>
        <w:t>e</w:t>
      </w:r>
      <w:r w:rsidRPr="0092506E">
        <w:rPr>
          <w:b/>
          <w:bCs/>
        </w:rPr>
        <w:t xml:space="preserve"> szerinti közzététel? (URL)</w:t>
      </w:r>
    </w:p>
    <w:p w14:paraId="7406D769" w14:textId="20E78C3E" w:rsidR="00364C57" w:rsidRDefault="00B45129" w:rsidP="000E33CD">
      <w:r w:rsidRPr="0092506E">
        <w:t xml:space="preserve">Az </w:t>
      </w:r>
      <w:r w:rsidR="00751EDE">
        <w:t>adatszolgáltató</w:t>
      </w:r>
      <w:r w:rsidRPr="0092506E">
        <w:t xml:space="preserve"> által az SFDR 4. cikk</w:t>
      </w:r>
      <w:r w:rsidR="00751EDE">
        <w:t>e</w:t>
      </w:r>
      <w:r w:rsidRPr="0092506E">
        <w:t xml:space="preserve"> alapján közzétett adatokat tartalmazó weboldal vagy dokumentum elérési útja (URL cím). „0” értéket </w:t>
      </w:r>
      <w:r w:rsidR="00751EDE">
        <w:t>kell jelenteni</w:t>
      </w:r>
      <w:r w:rsidRPr="0092506E">
        <w:t xml:space="preserve"> abban az esetben, ha </w:t>
      </w:r>
      <w:r w:rsidR="00751EDE">
        <w:t xml:space="preserve">az adatszolgáltató az SFDR 4. cikke szerinti adatokat nem tette </w:t>
      </w:r>
      <w:r w:rsidR="00751EDE" w:rsidRPr="002C1F13">
        <w:t>közzé.</w:t>
      </w:r>
    </w:p>
    <w:p w14:paraId="10243BAF" w14:textId="02619332" w:rsidR="00B45129" w:rsidRPr="0092506E" w:rsidRDefault="00B45129" w:rsidP="000E33CD">
      <w:pPr>
        <w:rPr>
          <w:b/>
          <w:bCs/>
        </w:rPr>
      </w:pPr>
      <w:del w:id="86" w:author="STA" w:date="2024-04-29T11:56:00Z">
        <w:r w:rsidRPr="0092506E">
          <w:rPr>
            <w:b/>
            <w:bCs/>
          </w:rPr>
          <w:delText>50SFDR51</w:delText>
        </w:r>
      </w:del>
      <w:ins w:id="87" w:author="STA" w:date="2024-04-29T11:56:00Z">
        <w:r w:rsidRPr="0092506E">
          <w:rPr>
            <w:b/>
            <w:bCs/>
          </w:rPr>
          <w:t>50</w:t>
        </w:r>
        <w:r w:rsidR="000B70BC">
          <w:rPr>
            <w:b/>
            <w:bCs/>
          </w:rPr>
          <w:t>_</w:t>
        </w:r>
        <w:r w:rsidRPr="0092506E">
          <w:rPr>
            <w:b/>
            <w:bCs/>
          </w:rPr>
          <w:t>SFDR51</w:t>
        </w:r>
      </w:ins>
      <w:r w:rsidRPr="0092506E">
        <w:rPr>
          <w:b/>
          <w:bCs/>
        </w:rPr>
        <w:t xml:space="preserve"> </w:t>
      </w:r>
      <w:r w:rsidR="00751EDE" w:rsidRPr="003E2077">
        <w:rPr>
          <w:rFonts w:eastAsia="Meiryo"/>
          <w:b/>
          <w:bCs/>
          <w:lang w:eastAsia="ja-JP"/>
        </w:rPr>
        <w:t xml:space="preserve">1.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9125ADA" w14:textId="4060614D"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30343277" w14:textId="745895CA" w:rsidR="00B45129" w:rsidRPr="0092506E" w:rsidRDefault="00B45129" w:rsidP="000E33CD">
      <w:del w:id="88" w:author="STA" w:date="2024-04-29T11:56:00Z">
        <w:r w:rsidRPr="0092506E">
          <w:rPr>
            <w:b/>
            <w:bCs/>
          </w:rPr>
          <w:delText>50SFDR52</w:delText>
        </w:r>
      </w:del>
      <w:ins w:id="89" w:author="STA" w:date="2024-04-29T11:56:00Z">
        <w:r w:rsidRPr="0092506E">
          <w:rPr>
            <w:b/>
            <w:bCs/>
          </w:rPr>
          <w:t>50</w:t>
        </w:r>
        <w:r w:rsidR="000B70BC">
          <w:rPr>
            <w:b/>
            <w:bCs/>
          </w:rPr>
          <w:t>_</w:t>
        </w:r>
        <w:r w:rsidRPr="0092506E">
          <w:rPr>
            <w:b/>
            <w:bCs/>
          </w:rPr>
          <w:t>SFDR52</w:t>
        </w:r>
      </w:ins>
      <w:r w:rsidRPr="0092506E">
        <w:rPr>
          <w:b/>
          <w:bCs/>
        </w:rPr>
        <w:t xml:space="preserve"> </w:t>
      </w:r>
      <w:r w:rsidR="00751EDE">
        <w:rPr>
          <w:rFonts w:eastAsia="Meiryo"/>
          <w:b/>
          <w:bCs/>
          <w:lang w:eastAsia="ja-JP"/>
        </w:rPr>
        <w:t>2</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5D80CDD4" w14:textId="382C7923"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6ABB1579" w14:textId="0577622C" w:rsidR="00751EDE" w:rsidRPr="002E7D9D" w:rsidRDefault="00B45129" w:rsidP="000E33CD">
      <w:del w:id="90" w:author="STA" w:date="2024-04-29T11:56:00Z">
        <w:r w:rsidRPr="0092506E">
          <w:rPr>
            <w:b/>
            <w:bCs/>
          </w:rPr>
          <w:delText>50SFDR53</w:delText>
        </w:r>
      </w:del>
      <w:ins w:id="91" w:author="STA" w:date="2024-04-29T11:56:00Z">
        <w:r w:rsidRPr="0092506E">
          <w:rPr>
            <w:b/>
            <w:bCs/>
          </w:rPr>
          <w:t>50</w:t>
        </w:r>
        <w:r w:rsidR="000B70BC">
          <w:rPr>
            <w:b/>
            <w:bCs/>
          </w:rPr>
          <w:t>_</w:t>
        </w:r>
        <w:r w:rsidRPr="0092506E">
          <w:rPr>
            <w:b/>
            <w:bCs/>
          </w:rPr>
          <w:t>SFDR53</w:t>
        </w:r>
      </w:ins>
      <w:r w:rsidRPr="0092506E">
        <w:rPr>
          <w:b/>
          <w:bCs/>
        </w:rPr>
        <w:t xml:space="preserve"> </w:t>
      </w:r>
      <w:r w:rsidR="002E7D9D">
        <w:rPr>
          <w:rFonts w:eastAsia="Meiryo"/>
          <w:b/>
          <w:bCs/>
          <w:lang w:eastAsia="ja-JP"/>
        </w:rPr>
        <w:t>3</w:t>
      </w:r>
      <w:r w:rsidR="00751EDE" w:rsidRPr="003E2077">
        <w:rPr>
          <w:rFonts w:eastAsia="Meiryo"/>
          <w:b/>
          <w:bCs/>
          <w:lang w:eastAsia="ja-JP"/>
        </w:rPr>
        <w:t xml:space="preserve">. körbe tartozó </w:t>
      </w:r>
      <w:proofErr w:type="spellStart"/>
      <w:r w:rsidR="00751EDE" w:rsidRPr="003E2077">
        <w:rPr>
          <w:rFonts w:eastAsia="Meiryo"/>
          <w:b/>
          <w:bCs/>
          <w:lang w:eastAsia="ja-JP"/>
        </w:rPr>
        <w:t>ÜHG</w:t>
      </w:r>
      <w:proofErr w:type="spellEnd"/>
      <w:r w:rsidR="00751EDE" w:rsidRPr="003E2077">
        <w:rPr>
          <w:rFonts w:eastAsia="Meiryo"/>
          <w:b/>
          <w:bCs/>
          <w:lang w:eastAsia="ja-JP"/>
        </w:rPr>
        <w:t>-kibocsátások</w:t>
      </w:r>
    </w:p>
    <w:p w14:paraId="116D3A69" w14:textId="1BC8A57E" w:rsidR="00B45129" w:rsidRPr="0092506E" w:rsidRDefault="00B45129" w:rsidP="000E33CD">
      <w:r w:rsidRPr="0092506E">
        <w:t xml:space="preserve">A mutatószám </w:t>
      </w:r>
      <w:r w:rsidR="00751EDE">
        <w:t xml:space="preserve">fogalmát </w:t>
      </w:r>
      <w:r w:rsidRPr="0092506E">
        <w:t xml:space="preserve">és a számítás </w:t>
      </w:r>
      <w:r w:rsidR="002E7D9D">
        <w:t xml:space="preserve">módját </w:t>
      </w:r>
      <w:r w:rsidRPr="0092506E">
        <w:t xml:space="preserve">az SFDR RTS I. melléklete tartalmazza. </w:t>
      </w:r>
    </w:p>
    <w:p w14:paraId="26668A8A" w14:textId="4FFDD8DF" w:rsidR="00B45129" w:rsidRPr="0092506E" w:rsidRDefault="00B45129" w:rsidP="000E33CD">
      <w:del w:id="92" w:author="STA" w:date="2024-04-29T11:56:00Z">
        <w:r w:rsidRPr="0092506E">
          <w:rPr>
            <w:b/>
            <w:bCs/>
          </w:rPr>
          <w:delText>50SFDR54</w:delText>
        </w:r>
      </w:del>
      <w:ins w:id="93" w:author="STA" w:date="2024-04-29T11:56:00Z">
        <w:r w:rsidRPr="0092506E">
          <w:rPr>
            <w:b/>
            <w:bCs/>
          </w:rPr>
          <w:t>50</w:t>
        </w:r>
        <w:r w:rsidR="000B70BC">
          <w:rPr>
            <w:b/>
            <w:bCs/>
          </w:rPr>
          <w:t>_</w:t>
        </w:r>
        <w:r w:rsidRPr="0092506E">
          <w:rPr>
            <w:b/>
            <w:bCs/>
          </w:rPr>
          <w:t>SFDR54</w:t>
        </w:r>
      </w:ins>
      <w:r w:rsidRPr="0092506E">
        <w:rPr>
          <w:b/>
          <w:bCs/>
        </w:rPr>
        <w:t xml:space="preserve"> </w:t>
      </w:r>
      <w:proofErr w:type="spellStart"/>
      <w:r w:rsidRPr="0092506E">
        <w:rPr>
          <w:b/>
          <w:bCs/>
        </w:rPr>
        <w:t>ÜHG</w:t>
      </w:r>
      <w:proofErr w:type="spellEnd"/>
      <w:r w:rsidR="002E7D9D">
        <w:rPr>
          <w:b/>
          <w:bCs/>
        </w:rPr>
        <w:t>-</w:t>
      </w:r>
      <w:r w:rsidRPr="0092506E">
        <w:rPr>
          <w:b/>
          <w:bCs/>
        </w:rPr>
        <w:t>intenzitás</w:t>
      </w:r>
    </w:p>
    <w:p w14:paraId="46DD930B" w14:textId="4E917DDB" w:rsidR="00B45129" w:rsidRPr="0092506E" w:rsidRDefault="00B45129" w:rsidP="000E33CD">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D5EEEB4" w14:textId="5875C744" w:rsidR="00B45129" w:rsidRPr="0092506E" w:rsidRDefault="00B45129" w:rsidP="000E33CD">
      <w:del w:id="94" w:author="STA" w:date="2024-04-29T11:56:00Z">
        <w:r w:rsidRPr="0092506E">
          <w:rPr>
            <w:b/>
            <w:bCs/>
          </w:rPr>
          <w:delText>50SFDR55</w:delText>
        </w:r>
      </w:del>
      <w:ins w:id="95" w:author="STA" w:date="2024-04-29T11:56:00Z">
        <w:r w:rsidRPr="0092506E">
          <w:rPr>
            <w:b/>
            <w:bCs/>
          </w:rPr>
          <w:t>50</w:t>
        </w:r>
        <w:r w:rsidR="000B70BC">
          <w:rPr>
            <w:b/>
            <w:bCs/>
          </w:rPr>
          <w:t>_</w:t>
        </w:r>
        <w:r w:rsidRPr="0092506E">
          <w:rPr>
            <w:b/>
            <w:bCs/>
          </w:rPr>
          <w:t>SFDR55</w:t>
        </w:r>
      </w:ins>
      <w:r w:rsidRPr="0092506E">
        <w:rPr>
          <w:b/>
          <w:bCs/>
        </w:rPr>
        <w:t xml:space="preserve"> Karbonlábnyom</w:t>
      </w:r>
    </w:p>
    <w:p w14:paraId="7DF843D5" w14:textId="2C78E8B0" w:rsidR="00B45129" w:rsidRPr="0092506E" w:rsidRDefault="00B45129" w:rsidP="000E33CD">
      <w:pPr>
        <w:rPr>
          <w:b/>
          <w:bCs/>
        </w:rPr>
      </w:pPr>
      <w:r w:rsidRPr="0092506E">
        <w:lastRenderedPageBreak/>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384F376B" w14:textId="396A56E4" w:rsidR="00B45129" w:rsidRPr="0092506E" w:rsidRDefault="00B45129" w:rsidP="000E33CD">
      <w:pPr>
        <w:rPr>
          <w:b/>
          <w:bCs/>
        </w:rPr>
      </w:pPr>
      <w:del w:id="96" w:author="STA" w:date="2024-04-29T11:56:00Z">
        <w:r w:rsidRPr="0092506E">
          <w:rPr>
            <w:b/>
            <w:bCs/>
          </w:rPr>
          <w:delText>50SFDR61</w:delText>
        </w:r>
      </w:del>
      <w:ins w:id="97" w:author="STA" w:date="2024-04-29T11:56:00Z">
        <w:r w:rsidRPr="0092506E">
          <w:rPr>
            <w:b/>
            <w:bCs/>
          </w:rPr>
          <w:t>50</w:t>
        </w:r>
        <w:r w:rsidR="000B70BC">
          <w:rPr>
            <w:b/>
            <w:bCs/>
          </w:rPr>
          <w:t>_</w:t>
        </w:r>
        <w:r w:rsidRPr="0092506E">
          <w:rPr>
            <w:b/>
            <w:bCs/>
          </w:rPr>
          <w:t>SFDR61</w:t>
        </w:r>
      </w:ins>
      <w:r w:rsidRPr="0092506E">
        <w:rPr>
          <w:b/>
          <w:bCs/>
        </w:rPr>
        <w:t xml:space="preserve"> </w:t>
      </w:r>
      <w:proofErr w:type="spellStart"/>
      <w:r w:rsidRPr="0092506E">
        <w:rPr>
          <w:b/>
          <w:bCs/>
        </w:rPr>
        <w:t>ÜHG</w:t>
      </w:r>
      <w:proofErr w:type="spellEnd"/>
      <w:r w:rsidRPr="0092506E">
        <w:rPr>
          <w:b/>
          <w:bCs/>
        </w:rPr>
        <w:t>-intenzitás</w:t>
      </w:r>
    </w:p>
    <w:p w14:paraId="520DD338" w14:textId="436D6460"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776CF2E4" w14:textId="3F9444D7" w:rsidR="00B45129" w:rsidRPr="0092506E" w:rsidRDefault="00B45129" w:rsidP="000E33CD">
      <w:pPr>
        <w:rPr>
          <w:b/>
          <w:bCs/>
        </w:rPr>
      </w:pPr>
      <w:del w:id="98" w:author="STA" w:date="2024-04-29T11:56:00Z">
        <w:r w:rsidRPr="0092506E">
          <w:rPr>
            <w:b/>
            <w:bCs/>
          </w:rPr>
          <w:delText>50SFDR71</w:delText>
        </w:r>
      </w:del>
      <w:ins w:id="99" w:author="STA" w:date="2024-04-29T11:56:00Z">
        <w:r w:rsidRPr="0092506E">
          <w:rPr>
            <w:b/>
            <w:bCs/>
          </w:rPr>
          <w:t>50</w:t>
        </w:r>
        <w:r w:rsidR="000B70BC">
          <w:rPr>
            <w:b/>
            <w:bCs/>
          </w:rPr>
          <w:t>_</w:t>
        </w:r>
        <w:r w:rsidRPr="0092506E">
          <w:rPr>
            <w:b/>
            <w:bCs/>
          </w:rPr>
          <w:t>SFDR71</w:t>
        </w:r>
      </w:ins>
      <w:r w:rsidRPr="0092506E">
        <w:rPr>
          <w:b/>
          <w:bCs/>
        </w:rPr>
        <w:t xml:space="preserve"> Fosszilis tüzelőanyagoknak való kitettség ingatlaneszközökön keresztül</w:t>
      </w:r>
    </w:p>
    <w:p w14:paraId="29AF1615" w14:textId="2343316C" w:rsidR="00B45129" w:rsidRPr="0092506E" w:rsidRDefault="00B45129" w:rsidP="000E33CD">
      <w:r w:rsidRPr="0092506E">
        <w:t xml:space="preserve">A fosszilis tüzelőanyagok ágazatában </w:t>
      </w:r>
      <w:r w:rsidR="00537796">
        <w:t>tevékenykedő</w:t>
      </w:r>
      <w:r w:rsidRPr="0092506E">
        <w:t xml:space="preserve"> vállalkozásokba eszközölt befektetések aránya. </w:t>
      </w:r>
    </w:p>
    <w:p w14:paraId="3CEEE3D8" w14:textId="3621C80B" w:rsidR="00B45129" w:rsidRPr="0092506E" w:rsidRDefault="00B45129" w:rsidP="000E33CD">
      <w:pPr>
        <w:rPr>
          <w:b/>
          <w:bCs/>
        </w:rPr>
      </w:pPr>
      <w:del w:id="100" w:author="STA" w:date="2024-04-29T11:56:00Z">
        <w:r w:rsidRPr="0092506E">
          <w:rPr>
            <w:b/>
            <w:bCs/>
          </w:rPr>
          <w:delText>50SFDR72</w:delText>
        </w:r>
      </w:del>
      <w:ins w:id="101" w:author="STA" w:date="2024-04-29T11:56:00Z">
        <w:r w:rsidRPr="0092506E">
          <w:rPr>
            <w:b/>
            <w:bCs/>
          </w:rPr>
          <w:t>50</w:t>
        </w:r>
        <w:r w:rsidR="000B70BC">
          <w:rPr>
            <w:b/>
            <w:bCs/>
          </w:rPr>
          <w:t>_</w:t>
        </w:r>
        <w:r w:rsidRPr="0092506E">
          <w:rPr>
            <w:b/>
            <w:bCs/>
          </w:rPr>
          <w:t>SFDR72</w:t>
        </w:r>
      </w:ins>
      <w:r w:rsidRPr="0092506E">
        <w:rPr>
          <w:b/>
          <w:bCs/>
        </w:rPr>
        <w:t xml:space="preserve"> Nem energiahatékony ingatlaneszközöknek való kitettség</w:t>
      </w:r>
    </w:p>
    <w:p w14:paraId="33A7A27F" w14:textId="5EB551AD" w:rsidR="00B45129" w:rsidRPr="0092506E" w:rsidRDefault="00B45129" w:rsidP="000E33CD">
      <w:pPr>
        <w:rPr>
          <w:b/>
          <w:bCs/>
        </w:rPr>
      </w:pPr>
      <w:r w:rsidRPr="0092506E">
        <w:t xml:space="preserve">A mutatószám </w:t>
      </w:r>
      <w:r w:rsidR="002E7D9D">
        <w:t xml:space="preserve">fogalmát </w:t>
      </w:r>
      <w:r w:rsidRPr="0092506E">
        <w:t xml:space="preserve">és a számítás </w:t>
      </w:r>
      <w:r w:rsidR="002E7D9D">
        <w:t xml:space="preserve">módját </w:t>
      </w:r>
      <w:r w:rsidRPr="0092506E">
        <w:t xml:space="preserve">az SFDR RTS I. melléklete tartalmazza. </w:t>
      </w:r>
    </w:p>
    <w:p w14:paraId="4111B17C" w14:textId="490422F7" w:rsidR="00B45129" w:rsidRPr="0092506E" w:rsidRDefault="00B45129" w:rsidP="000E33CD">
      <w:pPr>
        <w:rPr>
          <w:b/>
          <w:bCs/>
        </w:rPr>
      </w:pPr>
      <w:del w:id="102" w:author="STA" w:date="2024-04-29T11:56:00Z">
        <w:r w:rsidRPr="0092506E">
          <w:rPr>
            <w:b/>
            <w:bCs/>
          </w:rPr>
          <w:delText>50SFDR81</w:delText>
        </w:r>
        <w:r w:rsidR="00537796">
          <w:rPr>
            <w:b/>
            <w:bCs/>
          </w:rPr>
          <w:delText>–</w:delText>
        </w:r>
        <w:r w:rsidR="002E7D9D" w:rsidRPr="0092506E">
          <w:rPr>
            <w:b/>
            <w:bCs/>
          </w:rPr>
          <w:delText>50SFDR8</w:delText>
        </w:r>
        <w:r w:rsidR="002E7D9D">
          <w:rPr>
            <w:b/>
            <w:bCs/>
          </w:rPr>
          <w:delText>3</w:delText>
        </w:r>
      </w:del>
      <w:ins w:id="103" w:author="STA" w:date="2024-04-29T11:56:00Z">
        <w:r w:rsidRPr="0092506E">
          <w:rPr>
            <w:b/>
            <w:bCs/>
          </w:rPr>
          <w:t>50</w:t>
        </w:r>
        <w:r w:rsidR="000B70BC">
          <w:rPr>
            <w:b/>
            <w:bCs/>
          </w:rPr>
          <w:t>_</w:t>
        </w:r>
        <w:r w:rsidRPr="0092506E">
          <w:rPr>
            <w:b/>
            <w:bCs/>
          </w:rPr>
          <w:t>SFDR81</w:t>
        </w:r>
        <w:r w:rsidR="00537796">
          <w:rPr>
            <w:b/>
            <w:bCs/>
          </w:rPr>
          <w:t>–</w:t>
        </w:r>
        <w:r w:rsidR="002E7D9D" w:rsidRPr="0092506E">
          <w:rPr>
            <w:b/>
            <w:bCs/>
          </w:rPr>
          <w:t>50</w:t>
        </w:r>
        <w:r w:rsidR="000B70BC">
          <w:rPr>
            <w:b/>
            <w:bCs/>
          </w:rPr>
          <w:t>_</w:t>
        </w:r>
        <w:r w:rsidR="002E7D9D" w:rsidRPr="0092506E">
          <w:rPr>
            <w:b/>
            <w:bCs/>
          </w:rPr>
          <w:t>SFDR8</w:t>
        </w:r>
        <w:r w:rsidR="002E7D9D">
          <w:rPr>
            <w:b/>
            <w:bCs/>
          </w:rPr>
          <w:t>3</w:t>
        </w:r>
      </w:ins>
      <w:r w:rsidR="002E7D9D">
        <w:rPr>
          <w:b/>
          <w:bCs/>
        </w:rPr>
        <w:t xml:space="preserve"> </w:t>
      </w:r>
      <w:r w:rsidRPr="0092506E">
        <w:rPr>
          <w:b/>
          <w:bCs/>
        </w:rPr>
        <w:t>Szabadon választott mutatószám 1</w:t>
      </w:r>
      <w:r w:rsidR="002E7D9D">
        <w:rPr>
          <w:b/>
          <w:bCs/>
        </w:rPr>
        <w:t>, 2, 3</w:t>
      </w:r>
    </w:p>
    <w:p w14:paraId="5ED2C999" w14:textId="4024D7E0" w:rsidR="00B45129" w:rsidRPr="0092506E" w:rsidRDefault="00B45129" w:rsidP="000E33CD">
      <w:r w:rsidRPr="0092506E">
        <w:t xml:space="preserve">Az </w:t>
      </w:r>
      <w:r w:rsidR="00DF4791">
        <w:t xml:space="preserve">adatszolgáltató </w:t>
      </w:r>
      <w:r w:rsidRPr="0092506E">
        <w:t>által alkalmazott</w:t>
      </w:r>
      <w:r w:rsidR="00DF4791">
        <w:t>,</w:t>
      </w:r>
      <w:r w:rsidRPr="0092506E">
        <w:t xml:space="preserve"> materiálisnak ítélt</w:t>
      </w:r>
      <w:r w:rsidR="00DF4791">
        <w:t>,</w:t>
      </w:r>
      <w:r w:rsidRPr="0092506E">
        <w:t xml:space="preserve"> szabadon választható mutató</w:t>
      </w:r>
      <w:r w:rsidR="00537796">
        <w:t>k</w:t>
      </w:r>
      <w:r w:rsidRPr="0092506E">
        <w:t xml:space="preserve"> megnevezését, értékét és mértékegységét kell megadni. A mutatószámo</w:t>
      </w:r>
      <w:r w:rsidR="00537796">
        <w:t>ka</w:t>
      </w:r>
      <w:r w:rsidRPr="0092506E">
        <w:t>t az SFDR RTS I. mellékletének 1., 2. és 3. számú táblázatából kell kiválasztani.</w:t>
      </w:r>
    </w:p>
    <w:p w14:paraId="330E81C3" w14:textId="77777777" w:rsidR="00B45129" w:rsidRPr="0092506E" w:rsidRDefault="00B45129" w:rsidP="000E33CD"/>
    <w:p w14:paraId="5D4D0A19" w14:textId="3EBE36D2" w:rsidR="00226048" w:rsidRPr="006415A5" w:rsidRDefault="00453FF3" w:rsidP="00DB29C7">
      <w:pPr>
        <w:pStyle w:val="Cmsor2"/>
      </w:pPr>
      <w:r w:rsidRPr="006415A5">
        <w:t>17.</w:t>
      </w:r>
      <w:r w:rsidR="00B45129" w:rsidRPr="006415A5">
        <w:t xml:space="preserve"> </w:t>
      </w:r>
      <w:bookmarkStart w:id="104" w:name="_Hlk140506153"/>
      <w:del w:id="105" w:author="STA" w:date="2024-04-29T11:56:00Z">
        <w:r w:rsidR="00B45129" w:rsidRPr="006415A5">
          <w:delText>50TAX</w:delText>
        </w:r>
      </w:del>
      <w:ins w:id="106" w:author="STA" w:date="2024-04-29T11:56:00Z">
        <w:r w:rsidR="00B45129" w:rsidRPr="006415A5">
          <w:t>50</w:t>
        </w:r>
        <w:r w:rsidR="002C6BCE">
          <w:t>_</w:t>
        </w:r>
        <w:r w:rsidR="00B45129" w:rsidRPr="006415A5">
          <w:t>TAX</w:t>
        </w:r>
      </w:ins>
      <w:r w:rsidR="00B45129" w:rsidRPr="006415A5">
        <w:t xml:space="preserve">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r w:rsidR="00B45129" w:rsidRPr="006415A5">
        <w:t>KPI-k</w:t>
      </w:r>
      <w:r w:rsidR="007C5F1F" w:rsidRPr="006415A5">
        <w:t>)</w:t>
      </w:r>
      <w:r w:rsidR="00B45129" w:rsidRPr="006415A5">
        <w:t xml:space="preserve"> összefoglalása</w:t>
      </w:r>
      <w:bookmarkEnd w:id="69"/>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KPI által lefedett összes eszköz értékéhez viszonyítva.</w:t>
      </w:r>
    </w:p>
    <w:p w14:paraId="6EE54B69" w14:textId="1E68EAC4" w:rsidR="00B45129" w:rsidRDefault="00B45129" w:rsidP="000E33CD">
      <w:r w:rsidRPr="0092506E">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104"/>
    <w:p w14:paraId="51A69A2A" w14:textId="3A031F52" w:rsidR="00B45129" w:rsidRPr="00A04967"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3496C00" w14:textId="63B10CA9" w:rsidR="0054573B" w:rsidRPr="00976E14" w:rsidRDefault="00A071D3" w:rsidP="00DB29C7">
      <w:pPr>
        <w:pStyle w:val="Cmsor2"/>
      </w:pPr>
      <w:r w:rsidRPr="00034107">
        <w:t>1</w:t>
      </w:r>
      <w:r w:rsidR="00453FF3">
        <w:t>8</w:t>
      </w:r>
      <w:r w:rsidR="00984A86" w:rsidRPr="00034107">
        <w:t xml:space="preserve">. </w:t>
      </w:r>
      <w:r w:rsidR="0054573B" w:rsidRPr="00034107">
        <w:t>51M Ingatlanalapok ingatlankitettségének állományváltozása a negyedév folyamán</w:t>
      </w:r>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77777777" w:rsidR="0054573B" w:rsidRPr="00034107" w:rsidRDefault="0054573B" w:rsidP="000E33CD">
      <w:pPr>
        <w:rPr>
          <w:rFonts w:cs="Arial"/>
          <w:b/>
          <w:bCs/>
          <w:szCs w:val="20"/>
        </w:rPr>
      </w:pPr>
      <w:r w:rsidRPr="00034107">
        <w:rPr>
          <w:rFonts w:cs="Arial"/>
          <w:szCs w:val="20"/>
        </w:rPr>
        <w:t xml:space="preserve">A tábla az ingatlanalapok ingatlankitettségének állományváltozását tartalmazza </w:t>
      </w:r>
      <w:proofErr w:type="spellStart"/>
      <w:r w:rsidRPr="00034107">
        <w:rPr>
          <w:rFonts w:cs="Arial"/>
          <w:szCs w:val="20"/>
        </w:rPr>
        <w:t>ingatlanonkénti</w:t>
      </w:r>
      <w:proofErr w:type="spellEnd"/>
      <w:r w:rsidRPr="00034107">
        <w:rPr>
          <w:rFonts w:cs="Arial"/>
          <w:szCs w:val="20"/>
        </w:rPr>
        <w:t xml:space="preserve"> részletezettségben. </w:t>
      </w:r>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77777777"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negyedév végi értéke (</w:t>
      </w:r>
      <w:r w:rsidR="00C80DEC" w:rsidRPr="00034107">
        <w:rPr>
          <w:rFonts w:cs="Arial"/>
          <w:szCs w:val="20"/>
        </w:rPr>
        <w:t>m</w:t>
      </w:r>
      <w:r w:rsidRPr="00034107">
        <w:rPr>
          <w:rFonts w:cs="Arial"/>
          <w:szCs w:val="20"/>
        </w:rPr>
        <w:t xml:space="preserve">egegyezik az előző negyedév 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77777777"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negyedév folyamán az ingatlan felértékelésre került, akkor az értékelési különbözetet (növekményt) itt kell szerepeltetni. </w:t>
      </w:r>
    </w:p>
    <w:p w14:paraId="17381DAE" w14:textId="77777777"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tárgynegyedévben 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77777777"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tárgynegyedévben az ingatlanon elszámolt értékvesztés, leértékelés. </w:t>
      </w:r>
    </w:p>
    <w:p w14:paraId="69E16428" w14:textId="77777777"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tárgynegyedévbe</w:t>
      </w:r>
      <w:r w:rsidR="00895EBD" w:rsidRPr="00034107">
        <w:rPr>
          <w:rFonts w:cs="Arial"/>
          <w:szCs w:val="20"/>
        </w:rPr>
        <w:t>n 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77777777"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tárgynegyedév végi értéke (</w:t>
      </w:r>
      <w:r w:rsidR="00C80DEC" w:rsidRPr="00034107">
        <w:rPr>
          <w:rFonts w:cs="Arial"/>
          <w:szCs w:val="20"/>
        </w:rPr>
        <w:t>m</w:t>
      </w:r>
      <w:r w:rsidRPr="00034107">
        <w:rPr>
          <w:rFonts w:cs="Arial"/>
          <w:szCs w:val="20"/>
        </w:rPr>
        <w:t>egegyezik a tárgynegyedév 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686817E3" w14:textId="77777777" w:rsidR="0054573B" w:rsidRPr="00034107" w:rsidRDefault="0054573B" w:rsidP="000E33CD">
      <w:pPr>
        <w:rPr>
          <w:rFonts w:cs="Arial"/>
          <w:b/>
          <w:bCs/>
          <w:szCs w:val="20"/>
        </w:rPr>
      </w:pPr>
      <w:r w:rsidRPr="00034107">
        <w:rPr>
          <w:rFonts w:cs="Arial"/>
          <w:szCs w:val="20"/>
        </w:rPr>
        <w:t xml:space="preserve">A </w:t>
      </w:r>
      <w:r w:rsidRPr="000E33CD">
        <w:rPr>
          <w:rFonts w:cs="Arial"/>
          <w:b/>
          <w:bCs/>
          <w:szCs w:val="20"/>
        </w:rPr>
        <w:t>12-24. oszlopot</w:t>
      </w:r>
      <w:r w:rsidRPr="00034107">
        <w:rPr>
          <w:rFonts w:cs="Arial"/>
          <w:szCs w:val="20"/>
        </w:rPr>
        <w:t xml:space="preserve"> a </w:t>
      </w:r>
      <w:proofErr w:type="spellStart"/>
      <w:r w:rsidRPr="00034107">
        <w:rPr>
          <w:rFonts w:cs="Arial"/>
          <w:szCs w:val="20"/>
        </w:rPr>
        <w:t>Kbftv</w:t>
      </w:r>
      <w:proofErr w:type="spellEnd"/>
      <w:r w:rsidRPr="00034107">
        <w:rPr>
          <w:rFonts w:cs="Arial"/>
          <w:szCs w:val="20"/>
        </w:rPr>
        <w:t>. 7. mellékletének figyelembevételével kell kitölteni.</w:t>
      </w:r>
    </w:p>
    <w:p w14:paraId="7C6958C5" w14:textId="77777777" w:rsidR="0054573B" w:rsidRPr="00034107" w:rsidRDefault="0054573B" w:rsidP="000E33CD">
      <w:pPr>
        <w:rPr>
          <w:bCs/>
        </w:rPr>
      </w:pPr>
      <w:r w:rsidRPr="000E33CD">
        <w:rPr>
          <w:b/>
          <w:bCs/>
        </w:rPr>
        <w:t>12. oszlop</w:t>
      </w:r>
      <w:r w:rsidRPr="00034107">
        <w:t xml:space="preserve">: a </w:t>
      </w:r>
      <w:proofErr w:type="spellStart"/>
      <w:r w:rsidRPr="00034107">
        <w:t>Kbftv</w:t>
      </w:r>
      <w:proofErr w:type="spellEnd"/>
      <w:r w:rsidRPr="00034107">
        <w:t xml:space="preserve">. 7. melléklet 2. pontjának megfelelően kell megadni. </w:t>
      </w:r>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lastRenderedPageBreak/>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77777777" w:rsidR="0054573B" w:rsidRPr="00034107" w:rsidRDefault="0054573B" w:rsidP="000E33CD">
      <w:r w:rsidRPr="00034107">
        <w:t>51M</w:t>
      </w:r>
      <w:proofErr w:type="gramStart"/>
      <w:r w:rsidRPr="00034107">
        <w:t>1,c</w:t>
      </w:r>
      <w:proofErr w:type="gramEnd"/>
      <w:r w:rsidRPr="00034107">
        <w:t xml:space="preserve"> = az előző negyedév 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77777777" w:rsidR="0054573B" w:rsidRPr="00034107" w:rsidRDefault="0054573B" w:rsidP="000E33CD">
      <w:r w:rsidRPr="00034107">
        <w:t>51M</w:t>
      </w:r>
      <w:proofErr w:type="gramStart"/>
      <w:r w:rsidRPr="00034107">
        <w:t>1,j</w:t>
      </w:r>
      <w:proofErr w:type="gramEnd"/>
      <w:r w:rsidRPr="00034107">
        <w:t xml:space="preserve"> = a tárgynegyedév 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77777777" w:rsidR="0054573B" w:rsidRPr="00034107" w:rsidRDefault="0054573B" w:rsidP="000E33CD">
      <w:r w:rsidRPr="00034107">
        <w:t>51M</w:t>
      </w:r>
      <w:proofErr w:type="gramStart"/>
      <w:r w:rsidRPr="00034107">
        <w:t>2,c</w:t>
      </w:r>
      <w:proofErr w:type="gramEnd"/>
      <w:r w:rsidRPr="00034107">
        <w:t xml:space="preserve"> + 51M3,c = az előző negyedév 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77777777" w:rsidR="000B32FC" w:rsidRPr="00034107" w:rsidRDefault="0054573B" w:rsidP="000E33CD">
      <w:pPr>
        <w:rPr>
          <w:b/>
        </w:rPr>
      </w:pPr>
      <w:r w:rsidRPr="00034107">
        <w:t>51M</w:t>
      </w:r>
      <w:proofErr w:type="gramStart"/>
      <w:r w:rsidRPr="00034107">
        <w:t>2,j</w:t>
      </w:r>
      <w:proofErr w:type="gramEnd"/>
      <w:r w:rsidRPr="00034107">
        <w:t xml:space="preserve"> + 51M3,j = a tárgynegyedév 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772250EF" w:rsidR="00015359" w:rsidRPr="00034107" w:rsidRDefault="00453FF3" w:rsidP="00DB29C7">
      <w:pPr>
        <w:pStyle w:val="Cmsor2"/>
      </w:pPr>
      <w:r w:rsidRPr="00034107">
        <w:t>1</w:t>
      </w:r>
      <w:r>
        <w:t>9</w:t>
      </w:r>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295E0EF6"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50P10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68E88DEA" w:rsidR="00591378" w:rsidRPr="00034107" w:rsidRDefault="00453FF3" w:rsidP="00DB29C7">
      <w:pPr>
        <w:pStyle w:val="Cmsor2"/>
      </w:pPr>
      <w:r>
        <w:t>20</w:t>
      </w:r>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77777777"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lastRenderedPageBreak/>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07" w:name="_Hlk34917125"/>
    </w:p>
    <w:p w14:paraId="03E5EA2F" w14:textId="6C8D4409" w:rsidR="00610194" w:rsidRDefault="00453FF3" w:rsidP="00DB29C7">
      <w:pPr>
        <w:pStyle w:val="Cmsor2"/>
      </w:pPr>
      <w:r>
        <w:t>21</w:t>
      </w:r>
      <w:r w:rsidR="00610194">
        <w:t xml:space="preserve">. 51R </w:t>
      </w:r>
      <w:r w:rsidR="00610194" w:rsidRPr="00610194">
        <w:t>Befektetési alap jellemzői</w:t>
      </w:r>
    </w:p>
    <w:p w14:paraId="3908B800" w14:textId="77777777" w:rsidR="00050014" w:rsidRPr="00452B2C" w:rsidRDefault="00050014" w:rsidP="00452B2C">
      <w:pPr>
        <w:rPr>
          <w:b/>
          <w:bCs/>
          <w:snapToGrid w:val="0"/>
        </w:rPr>
      </w:pPr>
      <w:r w:rsidRPr="00452B2C">
        <w:rPr>
          <w:b/>
          <w:bCs/>
          <w:snapToGrid w:val="0"/>
        </w:rPr>
        <w:t>A tábla sorai</w:t>
      </w:r>
    </w:p>
    <w:p w14:paraId="0E82FFD4" w14:textId="77777777" w:rsidR="00525D89" w:rsidRDefault="00525D89" w:rsidP="00452B2C"/>
    <w:p w14:paraId="184942FC" w14:textId="429FFA37" w:rsidR="00BF12C7" w:rsidRPr="00CF7EB8" w:rsidRDefault="00BF12C7" w:rsidP="00452B2C">
      <w:pPr>
        <w:rPr>
          <w:bCs/>
        </w:rPr>
      </w:pPr>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4E228444" w14:textId="11AADF8F" w:rsidR="00CF7EB8" w:rsidRPr="0075385E" w:rsidRDefault="0075385E" w:rsidP="00050014">
      <w:pPr>
        <w:rPr>
          <w:rFonts w:cs="Arial"/>
          <w:b/>
          <w:bCs/>
          <w:szCs w:val="20"/>
        </w:rPr>
      </w:pPr>
      <w:r w:rsidRPr="0075385E">
        <w:rPr>
          <w:rFonts w:cs="Arial"/>
          <w:b/>
          <w:bCs/>
          <w:szCs w:val="20"/>
        </w:rPr>
        <w:t xml:space="preserve">51R03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3713633E" w:rsidR="00081A37" w:rsidRDefault="00050014" w:rsidP="00452B2C">
      <w:r w:rsidRPr="00034107">
        <w:t>A</w:t>
      </w:r>
      <w:r w:rsidR="00B744CC">
        <w:t xml:space="preserve">z </w:t>
      </w:r>
      <w:r w:rsidR="00B744CC" w:rsidRPr="00E40E28">
        <w:rPr>
          <w:b/>
          <w:bCs/>
        </w:rPr>
        <w:t>51R1-51R5</w:t>
      </w:r>
      <w:r w:rsidR="00B744CC">
        <w:t xml:space="preserve"> sor kitöltésé</w:t>
      </w:r>
      <w:r w:rsidR="00081562">
        <w:t>re</w:t>
      </w:r>
      <w:r w:rsidR="00B744CC">
        <w:t xml:space="preserve"> a</w:t>
      </w:r>
      <w:r w:rsidRPr="00034107">
        <w:t xml:space="preserve"> </w:t>
      </w:r>
      <w:proofErr w:type="spellStart"/>
      <w:r w:rsidRPr="00034107">
        <w:t>Kbftv</w:t>
      </w:r>
      <w:proofErr w:type="spellEnd"/>
      <w:r w:rsidRPr="00034107">
        <w:t>. 67. § (1) bekezdés</w:t>
      </w:r>
      <w:r w:rsidR="00081A37">
        <w:t>e az irányadó.</w:t>
      </w:r>
    </w:p>
    <w:p w14:paraId="4D96FDA0" w14:textId="7E3DE4EC"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7269BE11" w:rsidR="005025A7" w:rsidRPr="007806B3" w:rsidRDefault="00D240D3" w:rsidP="005025A7">
      <w:r w:rsidRPr="00E658C2">
        <w:rPr>
          <w:b/>
          <w:bCs/>
        </w:rPr>
        <w:t>51R2 Az elsődleges eszközkategória</w:t>
      </w:r>
      <w:del w:id="108" w:author="STA" w:date="2024-04-29T11:56:00Z">
        <w:r w:rsidRPr="00E658C2">
          <w:rPr>
            <w:b/>
            <w:bCs/>
          </w:rPr>
          <w:delText xml:space="preserve"> típusa</w:delText>
        </w:r>
      </w:del>
      <w:r w:rsidR="00E13EAD">
        <w:rPr>
          <w:b/>
          <w:bCs/>
        </w:rPr>
        <w:t xml:space="preserve">: </w:t>
      </w:r>
      <w:r w:rsidR="005025A7" w:rsidRPr="00865EBE">
        <w:t>kódtár („</w:t>
      </w:r>
      <w:r w:rsidR="005025A7" w:rsidRPr="00CE6F9C">
        <w:t xml:space="preserve">Alap </w:t>
      </w:r>
      <w:r w:rsidR="005025A7">
        <w:t>típusa</w:t>
      </w:r>
      <w:ins w:id="109" w:author="STA" w:date="2024-05-23T20:47:00Z">
        <w:r w:rsidR="00C52FE5">
          <w:t xml:space="preserve">”, </w:t>
        </w:r>
      </w:ins>
      <w:ins w:id="110" w:author="STA" w:date="2024-04-29T11:56:00Z">
        <w:r w:rsidR="004A0E65">
          <w:t>2024.</w:t>
        </w:r>
        <w:r w:rsidR="00F378EA">
          <w:t xml:space="preserve"> szeptember </w:t>
        </w:r>
        <w:r w:rsidR="004A0E65">
          <w:t>1. vonatkozási naptól kezdődően</w:t>
        </w:r>
        <w:r w:rsidR="005029E9">
          <w:t xml:space="preserve"> </w:t>
        </w:r>
        <w:r w:rsidR="005029E9" w:rsidRPr="00865EBE">
          <w:t>„</w:t>
        </w:r>
        <w:r w:rsidR="005029E9" w:rsidRPr="00690ACB">
          <w:t>Elsődleges eszközkategória</w:t>
        </w:r>
      </w:ins>
      <w:r w:rsidR="005029E9">
        <w:t>”</w:t>
      </w:r>
      <w:r w:rsidR="00F378EA">
        <w:t xml:space="preserve">) </w:t>
      </w:r>
      <w:r w:rsidR="005029E9">
        <w:t>szerint.</w:t>
      </w:r>
      <w:del w:id="111" w:author="STA" w:date="2024-04-29T11:56:00Z">
        <w:r w:rsidR="005025A7">
          <w:delText xml:space="preserve"> </w:delText>
        </w:r>
      </w:del>
    </w:p>
    <w:p w14:paraId="66AE9869" w14:textId="5A428528"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5F88E152"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275A2531" w14:textId="79131B13" w:rsidR="00050014" w:rsidRDefault="00E658C2" w:rsidP="00452B2C">
      <w:r w:rsidRPr="00E658C2">
        <w:rPr>
          <w:b/>
          <w:bCs/>
        </w:rPr>
        <w:t>51R5 A befektetési alap forgalmazási köre</w:t>
      </w:r>
      <w:r w:rsidR="00E13EAD">
        <w:rPr>
          <w:b/>
          <w:bCs/>
        </w:rPr>
        <w:t>:</w:t>
      </w:r>
      <w:r w:rsidR="005025A7" w:rsidRPr="005025A7">
        <w:t xml:space="preserve"> </w:t>
      </w:r>
      <w:r w:rsidR="005025A7" w:rsidRPr="00865EBE">
        <w:t>kódtár („</w:t>
      </w:r>
      <w:r w:rsidR="005025A7">
        <w:t>Forgalmazási kör</w:t>
      </w:r>
      <w:r w:rsidR="005025A7" w:rsidRPr="00865EBE">
        <w:t>”) szerint</w:t>
      </w:r>
      <w:r w:rsidR="00C90D96">
        <w:t>.</w:t>
      </w:r>
    </w:p>
    <w:p w14:paraId="0BB06409" w14:textId="39FA3ED9" w:rsidR="00050014" w:rsidRDefault="00E658C2" w:rsidP="00452B2C">
      <w:r w:rsidRPr="000049E8">
        <w:t>H</w:t>
      </w:r>
      <w:r w:rsidR="00050014" w:rsidRPr="00034107">
        <w:t xml:space="preserve">a az alap jegyeit lakossági befektetők is vásárolhatják, akkor alapesetben a lakossági befektetőknek forgalmazott alapok közé kell besorolni. Ha azonban biztosan lehet tudni, hogy csak szakmai befektetők vásárolják </w:t>
      </w:r>
      <w:r w:rsidR="00525D89">
        <w:t>az</w:t>
      </w:r>
      <w:r w:rsidR="00050014" w:rsidRPr="00034107">
        <w:t xml:space="preserve"> alap befektetési jegyeit, akkor az alapot a „szakmai befektetőknek forgalmazott” alap</w:t>
      </w:r>
      <w:r>
        <w:t xml:space="preserve">ként kell </w:t>
      </w:r>
      <w:r w:rsidR="00050014" w:rsidRPr="00034107">
        <w:t>szerepeltetni, függetlenül attól, hogy a tájékoztató alapján magánszemélyek is vásárolhatnák a befektetési jegyeket.</w:t>
      </w:r>
    </w:p>
    <w:p w14:paraId="57B70AC4" w14:textId="7A8A6D02" w:rsidR="00C52FE5" w:rsidRPr="00C65E95" w:rsidRDefault="00E13EAD" w:rsidP="00C52FE5">
      <w:pPr>
        <w:rPr>
          <w:ins w:id="112" w:author="STA" w:date="2024-05-23T20:51:00Z"/>
          <w:rFonts w:cs="Arial"/>
        </w:rPr>
      </w:pPr>
      <w:r w:rsidRPr="00E13EAD">
        <w:rPr>
          <w:b/>
          <w:bCs/>
        </w:rPr>
        <w:t xml:space="preserve">51R6 A befektetési alap befektetési politikája: </w:t>
      </w:r>
      <w:r w:rsidR="00FA349E" w:rsidRPr="00865EBE">
        <w:t>kódtár</w:t>
      </w:r>
      <w:del w:id="113" w:author="STA" w:date="2024-04-29T11:56:00Z">
        <w:r w:rsidR="005025A7" w:rsidRPr="00865EBE">
          <w:delText xml:space="preserve"> („</w:delText>
        </w:r>
        <w:r w:rsidR="005025A7">
          <w:delText>Befektetési politika</w:delText>
        </w:r>
        <w:r w:rsidR="005025A7" w:rsidRPr="00865EBE">
          <w:delText>”)</w:delText>
        </w:r>
      </w:del>
      <w:ins w:id="114" w:author="STA" w:date="2024-05-23T20:53:00Z">
        <w:r w:rsidR="00C52FE5">
          <w:t xml:space="preserve"> </w:t>
        </w:r>
      </w:ins>
      <w:ins w:id="115" w:author="STA" w:date="2024-04-29T11:56:00Z">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ins>
      <w:ins w:id="116" w:author="STA" w:date="2024-05-23T20:49:00Z">
        <w:r w:rsidR="00C52FE5">
          <w:rPr>
            <w:rFonts w:cs="Arial"/>
            <w:bCs/>
            <w:szCs w:val="20"/>
          </w:rPr>
          <w:t xml:space="preserve">hatálya </w:t>
        </w:r>
      </w:ins>
      <w:ins w:id="117" w:author="STA" w:date="2024-04-29T11:56:00Z">
        <w:r w:rsidR="00FA349E">
          <w:rPr>
            <w:rFonts w:cs="Arial"/>
            <w:bCs/>
            <w:szCs w:val="20"/>
          </w:rPr>
          <w:t xml:space="preserve">alá nem tartozó alap esetén </w:t>
        </w:r>
        <w:r w:rsidR="00FA349E" w:rsidRPr="00865EBE">
          <w:t>„</w:t>
        </w:r>
        <w:r w:rsidR="00FA349E">
          <w:t>Befektetési politika</w:t>
        </w:r>
        <w:r w:rsidR="00FA349E" w:rsidRPr="00865EBE">
          <w:t>”</w:t>
        </w:r>
      </w:ins>
      <w:ins w:id="118" w:author="STA" w:date="2024-05-23T20:49:00Z">
        <w:r w:rsidR="00C52FE5">
          <w:t xml:space="preserve"> </w:t>
        </w:r>
      </w:ins>
      <w:ins w:id="119" w:author="STA" w:date="2024-04-29T11:56:00Z">
        <w:r w:rsidR="00F378EA">
          <w:t xml:space="preserve">a </w:t>
        </w:r>
        <w:r w:rsidR="00FA349E" w:rsidRPr="00C42BBB">
          <w:rPr>
            <w:rFonts w:cs="Arial"/>
            <w:bCs/>
            <w:szCs w:val="20"/>
          </w:rPr>
          <w:t xml:space="preserve">78/2014 </w:t>
        </w:r>
        <w:r w:rsidR="0031266D" w:rsidRPr="008E62C8">
          <w:rPr>
            <w:rFonts w:cs="Arial"/>
            <w:bCs/>
            <w:szCs w:val="20"/>
          </w:rPr>
          <w:t xml:space="preserve">(III. 14.) </w:t>
        </w:r>
        <w:r w:rsidR="00FA349E" w:rsidRPr="00C42BBB">
          <w:rPr>
            <w:rFonts w:cs="Arial"/>
            <w:bCs/>
            <w:szCs w:val="20"/>
          </w:rPr>
          <w:t xml:space="preserve">Korm. rendelet </w:t>
        </w:r>
      </w:ins>
      <w:ins w:id="120" w:author="STA" w:date="2024-05-23T20:50:00Z">
        <w:r w:rsidR="00C52FE5">
          <w:rPr>
            <w:rFonts w:cs="Arial"/>
            <w:bCs/>
            <w:szCs w:val="20"/>
          </w:rPr>
          <w:t xml:space="preserve">hatálya alá </w:t>
        </w:r>
      </w:ins>
      <w:ins w:id="121" w:author="STA" w:date="2024-04-29T11:56:00Z">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ins>
      <w:r w:rsidR="00FA349E">
        <w:t xml:space="preserve"> </w:t>
      </w:r>
      <w:r w:rsidR="00F378EA">
        <w:t>szerint</w:t>
      </w:r>
      <w:ins w:id="122" w:author="STA" w:date="2024-05-23T20:51:00Z">
        <w:r w:rsidR="00C52FE5">
          <w:t xml:space="preserve"> azzal, hogy</w:t>
        </w:r>
      </w:ins>
      <w:ins w:id="123" w:author="STA" w:date="2024-05-23T20:54:00Z">
        <w:r w:rsidR="00C52FE5">
          <w:t xml:space="preserve"> </w:t>
        </w:r>
      </w:ins>
      <w:del w:id="124" w:author="STA" w:date="2024-05-23T20:54:00Z">
        <w:r w:rsidR="00FA349E" w:rsidDel="00C52FE5">
          <w:delText>.</w:delText>
        </w:r>
      </w:del>
      <w:ins w:id="125" w:author="STA" w:date="2024-05-23T20:51:00Z">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 §-</w:t>
        </w:r>
        <w:r w:rsidR="00C52FE5">
          <w:rPr>
            <w:rFonts w:cs="Arial"/>
          </w:rPr>
          <w:t>á</w:t>
        </w:r>
        <w:r w:rsidR="00C52FE5" w:rsidRPr="00546698">
          <w:rPr>
            <w:rFonts w:cs="Arial"/>
          </w:rPr>
          <w:t>ban</w:t>
        </w:r>
        <w:r w:rsidR="00C52FE5">
          <w:rPr>
            <w:rFonts w:cs="Arial"/>
          </w:rPr>
          <w:t>, illetve 1/L. §-ában nevesített,</w:t>
        </w:r>
        <w:r w:rsidR="00C52FE5" w:rsidRPr="00546698">
          <w:rPr>
            <w:rFonts w:cs="Arial"/>
          </w:rPr>
          <w:t xml:space="preserve">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ins>
    </w:p>
    <w:p w14:paraId="0D442655" w14:textId="5296F47F" w:rsidR="00443FA6" w:rsidRPr="00B63D2D" w:rsidDel="00443FA6" w:rsidRDefault="00443FA6" w:rsidP="00FA349E">
      <w:pPr>
        <w:rPr>
          <w:del w:id="126" w:author="STA" w:date="2024-05-09T15:26:00Z"/>
        </w:rPr>
      </w:pPr>
    </w:p>
    <w:p w14:paraId="5A8ADB22" w14:textId="2620D889" w:rsidR="004D5A85" w:rsidRDefault="00CF7EB8" w:rsidP="00452B2C">
      <w:pPr>
        <w:rPr>
          <w:b/>
        </w:rPr>
      </w:pPr>
      <w:r w:rsidRPr="00CF7EB8">
        <w:rPr>
          <w:b/>
          <w:bCs/>
        </w:rPr>
        <w:t>51R72 Az alapkezelő LEI-kódja</w:t>
      </w:r>
      <w:r w:rsidR="004D5A85" w:rsidRPr="00CF7EB8">
        <w:rPr>
          <w:b/>
          <w:bCs/>
        </w:rPr>
        <w:t>.</w:t>
      </w:r>
      <w:r w:rsidR="004D5A85" w:rsidRPr="005C4C9B">
        <w:t xml:space="preserve"> </w:t>
      </w:r>
      <w:r w:rsidR="004D5A85">
        <w:t>H</w:t>
      </w:r>
      <w:r w:rsidR="004D5A85" w:rsidRPr="005C4C9B">
        <w:t xml:space="preserve">a </w:t>
      </w:r>
      <w:r w:rsidR="0084166B">
        <w:t xml:space="preserve">az alapkezelő </w:t>
      </w:r>
      <w:r w:rsidR="004D5A85" w:rsidRPr="005C4C9B">
        <w:t>nem rendelkezik LEI-kóddal, akkor a KSH-törzsszáma</w:t>
      </w:r>
      <w:r w:rsidR="004D5A85" w:rsidRPr="005A47CF">
        <w:t>.</w:t>
      </w:r>
    </w:p>
    <w:p w14:paraId="50DE200C" w14:textId="77777777" w:rsidR="00610194" w:rsidRDefault="00610194" w:rsidP="00B2326D">
      <w:pPr>
        <w:rPr>
          <w:rFonts w:cs="Arial"/>
          <w:b/>
          <w:szCs w:val="20"/>
        </w:rPr>
      </w:pPr>
    </w:p>
    <w:p w14:paraId="4C6D6733" w14:textId="44622E9F" w:rsidR="00B2326D" w:rsidRPr="00B2326D" w:rsidRDefault="00610194" w:rsidP="00DB29C7">
      <w:pPr>
        <w:pStyle w:val="Cmsor2"/>
      </w:pPr>
      <w:r>
        <w:t>2</w:t>
      </w:r>
      <w:r w:rsidR="00453FF3">
        <w:t>2</w:t>
      </w:r>
      <w:r w:rsidR="00EC4FDA">
        <w:t>.</w:t>
      </w:r>
      <w:r w:rsidR="00B2326D" w:rsidRPr="00B2326D">
        <w:t xml:space="preserve"> 59NF Nyilatkozat a </w:t>
      </w:r>
      <w:proofErr w:type="spellStart"/>
      <w:r w:rsidR="00B2326D" w:rsidRPr="00B2326D">
        <w:t>Kbftv</w:t>
      </w:r>
      <w:proofErr w:type="spellEnd"/>
      <w:r w:rsidR="00B2326D" w:rsidRPr="00B2326D">
        <w:t>.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 xml:space="preserve">A táblát az a kockázati tőkealap-kezelő, </w:t>
      </w:r>
      <w:proofErr w:type="spellStart"/>
      <w:r w:rsidRPr="00B2326D">
        <w:t>ABAK</w:t>
      </w:r>
      <w:proofErr w:type="spellEnd"/>
      <w:r w:rsidRPr="00B2326D">
        <w:t xml:space="preserve"> és az ezen típusú fióktelepek jelentik, amelyekre a </w:t>
      </w:r>
      <w:proofErr w:type="spellStart"/>
      <w:r w:rsidRPr="00B2326D">
        <w:t>Kbftv</w:t>
      </w:r>
      <w:proofErr w:type="spellEnd"/>
      <w:r w:rsidRPr="00B2326D">
        <w:t>.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w:t>
      </w:r>
      <w:proofErr w:type="spellStart"/>
      <w:r w:rsidRPr="00675A6C">
        <w:rPr>
          <w:color w:val="000000"/>
        </w:rPr>
        <w:t>Kbftv</w:t>
      </w:r>
      <w:proofErr w:type="spellEnd"/>
      <w:r w:rsidRPr="00675A6C">
        <w:rPr>
          <w:color w:val="000000"/>
        </w:rPr>
        <w:t>. 2. § (2) bekezdésében euróban meghatározott küszöbértékek átlépésének vizsgálatához az ABA-</w:t>
      </w:r>
      <w:proofErr w:type="spellStart"/>
      <w:r w:rsidRPr="00675A6C">
        <w:rPr>
          <w:color w:val="000000"/>
        </w:rPr>
        <w:t>kban</w:t>
      </w:r>
      <w:proofErr w:type="spellEnd"/>
      <w:r w:rsidRPr="00675A6C">
        <w:rPr>
          <w:color w:val="000000"/>
        </w:rPr>
        <w:t xml:space="preserve">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EKB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lastRenderedPageBreak/>
        <w:t xml:space="preserve">Az érintett kockázati tőkealap-kezelő a teljes táblát, az érintett </w:t>
      </w:r>
      <w:proofErr w:type="spellStart"/>
      <w:r w:rsidRPr="00B2326D">
        <w:rPr>
          <w:rFonts w:cs="Arial"/>
          <w:szCs w:val="20"/>
        </w:rPr>
        <w:t>ABAK</w:t>
      </w:r>
      <w:proofErr w:type="spellEnd"/>
      <w:r w:rsidRPr="00B2326D">
        <w:rPr>
          <w:rFonts w:cs="Arial"/>
          <w:szCs w:val="20"/>
        </w:rPr>
        <w:t xml:space="preserve">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 xml:space="preserve">59NF2 Az </w:t>
      </w:r>
      <w:proofErr w:type="spellStart"/>
      <w:r w:rsidRPr="00452B2C">
        <w:rPr>
          <w:b/>
          <w:bCs/>
        </w:rPr>
        <w:t>ABAK</w:t>
      </w:r>
      <w:proofErr w:type="spellEnd"/>
      <w:r w:rsidRPr="00452B2C">
        <w:rPr>
          <w:b/>
          <w:bCs/>
        </w:rPr>
        <w:t xml:space="preserve"> nyilatkozata arról, hogy a </w:t>
      </w:r>
      <w:proofErr w:type="spellStart"/>
      <w:r w:rsidRPr="00452B2C">
        <w:rPr>
          <w:b/>
          <w:bCs/>
        </w:rPr>
        <w:t>Kbftv</w:t>
      </w:r>
      <w:proofErr w:type="spellEnd"/>
      <w:r w:rsidRPr="00452B2C">
        <w:rPr>
          <w:b/>
          <w:bCs/>
        </w:rPr>
        <w:t>.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 xml:space="preserve">ezt az értéket a táblát kitöltő egyéb, kockázati tőkealap-kezelőnek nem minősülő </w:t>
      </w:r>
      <w:proofErr w:type="spellStart"/>
      <w:r w:rsidRPr="00B2326D">
        <w:t>ABAK</w:t>
      </w:r>
      <w:proofErr w:type="spellEnd"/>
      <w:r w:rsidRPr="00B2326D">
        <w:t>-nak kell beírnia.</w:t>
      </w:r>
    </w:p>
    <w:p w14:paraId="2936917A" w14:textId="77777777" w:rsidR="00B2326D" w:rsidRPr="00452B2C" w:rsidRDefault="00B2326D" w:rsidP="00452B2C">
      <w:pPr>
        <w:rPr>
          <w:b/>
          <w:bCs/>
        </w:rPr>
      </w:pPr>
      <w:r w:rsidRPr="00452B2C">
        <w:rPr>
          <w:b/>
          <w:bCs/>
        </w:rPr>
        <w:t xml:space="preserve">59NF3 Az </w:t>
      </w:r>
      <w:proofErr w:type="spellStart"/>
      <w:r w:rsidRPr="00452B2C">
        <w:rPr>
          <w:b/>
          <w:bCs/>
        </w:rPr>
        <w:t>ABAK</w:t>
      </w:r>
      <w:proofErr w:type="spellEnd"/>
      <w:r w:rsidRPr="00452B2C">
        <w:rPr>
          <w:b/>
          <w:bCs/>
        </w:rPr>
        <w:t xml:space="preserve"> nyilatkozata arról, hogy olyan </w:t>
      </w:r>
      <w:proofErr w:type="spellStart"/>
      <w:r w:rsidRPr="00452B2C">
        <w:rPr>
          <w:b/>
          <w:bCs/>
        </w:rPr>
        <w:t>ABAK</w:t>
      </w:r>
      <w:proofErr w:type="spellEnd"/>
      <w:r w:rsidRPr="00452B2C">
        <w:rPr>
          <w:b/>
          <w:bCs/>
        </w:rPr>
        <w:t xml:space="preserve">-e, amely egy vagy több, de kizárólag zártkörű ABA-t kezel, amelyeknek ugyanezen </w:t>
      </w:r>
      <w:proofErr w:type="spellStart"/>
      <w:r w:rsidRPr="00452B2C">
        <w:rPr>
          <w:b/>
          <w:bCs/>
        </w:rPr>
        <w:t>ABAK</w:t>
      </w:r>
      <w:proofErr w:type="spellEnd"/>
      <w:r w:rsidRPr="00452B2C">
        <w:rPr>
          <w:b/>
          <w:bCs/>
        </w:rPr>
        <w:t xml:space="preserve">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 xml:space="preserve">A lehetséges értékek: „0” – a kivételszabály nem alkalmazható az </w:t>
      </w:r>
      <w:proofErr w:type="spellStart"/>
      <w:r w:rsidRPr="00B2326D">
        <w:t>ABAK-ra</w:t>
      </w:r>
      <w:proofErr w:type="spellEnd"/>
      <w:r w:rsidRPr="00B2326D">
        <w:t xml:space="preserve">; „1” – a kivételszabály alkalmazható az </w:t>
      </w:r>
      <w:proofErr w:type="spellStart"/>
      <w:r w:rsidRPr="00B2326D">
        <w:t>ABAK-ra</w:t>
      </w:r>
      <w:proofErr w:type="spellEnd"/>
      <w:r w:rsidRPr="00B2326D">
        <w:t>.</w:t>
      </w:r>
      <w:bookmarkEnd w:id="107"/>
    </w:p>
    <w:p w14:paraId="30A07860" w14:textId="77777777" w:rsidR="00034107" w:rsidRPr="00034107" w:rsidRDefault="00034107" w:rsidP="00452B2C"/>
    <w:p w14:paraId="1736CE7F" w14:textId="567BC046" w:rsidR="00A7797E" w:rsidRPr="00034107" w:rsidRDefault="00610194" w:rsidP="00DB29C7">
      <w:pPr>
        <w:pStyle w:val="Cmsor2"/>
      </w:pPr>
      <w:r>
        <w:t>2</w:t>
      </w:r>
      <w:r w:rsidR="00453FF3">
        <w:t>3</w:t>
      </w:r>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17E7C57A" w14:textId="648C1B3D" w:rsidR="00A7797E" w:rsidRPr="00034107" w:rsidRDefault="00610194" w:rsidP="00DB29C7">
      <w:pPr>
        <w:pStyle w:val="Cmsor2"/>
      </w:pPr>
      <w:r>
        <w:t>2</w:t>
      </w:r>
      <w:r w:rsidR="00453FF3">
        <w:t>4</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77777777" w:rsidR="00A7797E" w:rsidRPr="00034107" w:rsidRDefault="00470B2A" w:rsidP="00452B2C">
      <w:r w:rsidRPr="00034107">
        <w:t>A tábla kitöltését az adásvétel pénzügyi lebonyolításának módja nem befolyásolja. Ha pl. egy üzletrész eladása esetén az ár megfizetése részletekben történik, az eladást arra a negyedévre vonatkozó jelentésben (a 60D3 kezdetű sorokban) kell szerepeltetni, amikor az eladásra sor került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77777777"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a kockázati tőkealap, illetve a magántőkealap (tulajdoni, illetve szavazati hányad vagy egyéb szerződés alapján) 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w:t>
      </w:r>
      <w:proofErr w:type="spellStart"/>
      <w:r w:rsidR="00583435" w:rsidRPr="00034107">
        <w:rPr>
          <w:bCs/>
        </w:rPr>
        <w:t>CF</w:t>
      </w:r>
      <w:proofErr w:type="spellEnd"/>
      <w:r w:rsidR="00583435" w:rsidRPr="00034107">
        <w:rPr>
          <w:bCs/>
        </w:rPr>
        <w:t>-</w:t>
      </w:r>
      <w:proofErr w:type="spellStart"/>
      <w:r w:rsidR="00583435" w:rsidRPr="00034107">
        <w:rPr>
          <w:bCs/>
        </w:rPr>
        <w:t>NNNNNN</w:t>
      </w:r>
      <w:proofErr w:type="spellEnd"/>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lastRenderedPageBreak/>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w:t>
      </w:r>
      <w:proofErr w:type="spellStart"/>
      <w:r w:rsidR="00A7797E" w:rsidRPr="00034107">
        <w:rPr>
          <w:rFonts w:cs="Arial"/>
          <w:szCs w:val="20"/>
        </w:rPr>
        <w:t>KBT</w:t>
      </w:r>
      <w:proofErr w:type="spellEnd"/>
      <w:r w:rsidR="00A7797E" w:rsidRPr="00034107">
        <w:rPr>
          <w:rFonts w:cs="Arial"/>
          <w:szCs w:val="20"/>
        </w:rPr>
        <w: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xml:space="preserve">. oszlopban K, illetve </w:t>
      </w:r>
      <w:proofErr w:type="spellStart"/>
      <w:r w:rsidRPr="00034107">
        <w:rPr>
          <w:rFonts w:cs="Arial"/>
          <w:snapToGrid w:val="0"/>
          <w:szCs w:val="20"/>
        </w:rPr>
        <w:t>KBT</w:t>
      </w:r>
      <w:proofErr w:type="spellEnd"/>
      <w:r w:rsidRPr="00034107">
        <w:rPr>
          <w:rFonts w:cs="Arial"/>
          <w:snapToGrid w:val="0"/>
          <w:szCs w:val="20"/>
        </w:rPr>
        <w:t xml:space="preserve">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w:t>
      </w:r>
      <w:proofErr w:type="spellStart"/>
      <w:r w:rsidRPr="00034107">
        <w:rPr>
          <w:rFonts w:cs="Arial"/>
          <w:szCs w:val="20"/>
        </w:rPr>
        <w:t>KBT</w:t>
      </w:r>
      <w:proofErr w:type="spellEnd"/>
      <w:r w:rsidRPr="00034107">
        <w:rPr>
          <w:rFonts w:cs="Arial"/>
          <w:szCs w:val="20"/>
        </w:rPr>
        <w:t>-vel jelölt sorok.</w:t>
      </w:r>
    </w:p>
    <w:p w14:paraId="0077B8F4" w14:textId="77777777" w:rsidR="00E92709" w:rsidRPr="00034107" w:rsidRDefault="00E92709" w:rsidP="00A7797E">
      <w:pPr>
        <w:rPr>
          <w:rFonts w:cs="Arial"/>
          <w:b/>
          <w:szCs w:val="20"/>
        </w:rPr>
      </w:pPr>
    </w:p>
    <w:p w14:paraId="5708A400" w14:textId="0C8B6730" w:rsidR="00A32A9D" w:rsidRPr="00B07887" w:rsidRDefault="00610194" w:rsidP="00DB29C7">
      <w:pPr>
        <w:pStyle w:val="Cmsor2"/>
      </w:pPr>
      <w:r>
        <w:t>2</w:t>
      </w:r>
      <w:r w:rsidR="00453FF3">
        <w:t>5</w:t>
      </w:r>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 xml:space="preserve">(pl. </w:t>
      </w:r>
      <w:proofErr w:type="spellStart"/>
      <w:r w:rsidRPr="00034107">
        <w:rPr>
          <w:rFonts w:eastAsia="Times New Roman" w:cs="Arial"/>
          <w:szCs w:val="20"/>
        </w:rPr>
        <w:t>BUBOR</w:t>
      </w:r>
      <w:proofErr w:type="spellEnd"/>
      <w:r w:rsidRPr="00034107">
        <w:rPr>
          <w:rFonts w:eastAsia="Times New Roman" w:cs="Arial"/>
          <w:szCs w:val="20"/>
        </w:rPr>
        <w:t xml:space="preserve">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(pl. félévente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77777777"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azaz a könyvekből (a számviteli nyilvántartásból)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38892A46" w14:textId="0B8073FA" w:rsidR="000830A4" w:rsidRPr="00452B2C" w:rsidRDefault="00610194" w:rsidP="00DB29C7">
      <w:pPr>
        <w:pStyle w:val="Cmsor2"/>
      </w:pPr>
      <w:r w:rsidRPr="00452B2C">
        <w:t>2</w:t>
      </w:r>
      <w:r w:rsidR="00453FF3" w:rsidRPr="00452B2C">
        <w:t>6</w:t>
      </w:r>
      <w:r w:rsidR="00084842" w:rsidRPr="00452B2C">
        <w:t xml:space="preserve">. </w:t>
      </w:r>
      <w:r w:rsidR="008A093C" w:rsidRPr="00452B2C">
        <w:t xml:space="preserve">50EE </w:t>
      </w:r>
      <w:r w:rsidR="00895C13" w:rsidRPr="00452B2C">
        <w:t xml:space="preserve">Befektetési alapkezelő </w:t>
      </w:r>
      <w:r w:rsidR="00A86156" w:rsidRPr="00452B2C">
        <w:t>–</w:t>
      </w:r>
      <w:r w:rsidR="00895C13" w:rsidRPr="00452B2C">
        <w:t xml:space="preserve"> mérleg / eszközök</w:t>
      </w:r>
    </w:p>
    <w:p w14:paraId="63B4A5D4" w14:textId="3A53B1E7" w:rsidR="000B32FC" w:rsidRPr="00034107" w:rsidRDefault="00794372" w:rsidP="00452B2C">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244A9AF2" w14:textId="12C93BBA" w:rsidR="000830A4" w:rsidRPr="00034107" w:rsidRDefault="00610194" w:rsidP="00DB29C7">
      <w:pPr>
        <w:pStyle w:val="Cmsor2"/>
      </w:pPr>
      <w:r>
        <w:t>2</w:t>
      </w:r>
      <w:r w:rsidR="00453FF3">
        <w:t>7</w:t>
      </w:r>
      <w:r w:rsidR="00084842" w:rsidRPr="00034107">
        <w:t xml:space="preserve">. </w:t>
      </w:r>
      <w:r w:rsidR="008A093C" w:rsidRPr="00034107">
        <w:t xml:space="preserve">50EF </w:t>
      </w:r>
      <w:r w:rsidR="00895C13" w:rsidRPr="00034107">
        <w:t xml:space="preserve">Befektetési alapkezelő </w:t>
      </w:r>
      <w:r w:rsidR="00A86156">
        <w:t>–</w:t>
      </w:r>
      <w:r w:rsidR="00895C13" w:rsidRPr="00034107">
        <w:t xml:space="preserve"> mérleg / források</w:t>
      </w:r>
    </w:p>
    <w:p w14:paraId="3E6632DB" w14:textId="37DCB758" w:rsidR="000B32FC" w:rsidRPr="00034107" w:rsidRDefault="00794372" w:rsidP="00452B2C">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71B9CA28" w14:textId="5965004C" w:rsidR="000830A4" w:rsidRPr="00034107" w:rsidRDefault="00453FF3" w:rsidP="00DB29C7">
      <w:pPr>
        <w:pStyle w:val="Cmsor2"/>
      </w:pPr>
      <w:r>
        <w:lastRenderedPageBreak/>
        <w:t>28</w:t>
      </w:r>
      <w:r w:rsidR="00084842" w:rsidRPr="00034107">
        <w:t xml:space="preserve">. </w:t>
      </w:r>
      <w:r w:rsidR="008A093C" w:rsidRPr="00034107">
        <w:t xml:space="preserve">50ER </w:t>
      </w:r>
      <w:r w:rsidR="00895C13" w:rsidRPr="00034107">
        <w:t xml:space="preserve">Befektetési alapkezelő </w:t>
      </w:r>
      <w:r w:rsidR="00A86156">
        <w:t>–</w:t>
      </w:r>
      <w:r w:rsidR="00895C13" w:rsidRPr="00034107">
        <w:t xml:space="preserve"> eredménykimutatás</w:t>
      </w:r>
    </w:p>
    <w:p w14:paraId="7F8D4F1F" w14:textId="77777777" w:rsidR="000830A4" w:rsidRPr="00034107" w:rsidRDefault="00794372" w:rsidP="001565C6">
      <w:pPr>
        <w:rPr>
          <w:rFonts w:cs="Arial"/>
          <w:szCs w:val="20"/>
        </w:rPr>
      </w:pPr>
      <w:r w:rsidRPr="00034107">
        <w:rPr>
          <w:rFonts w:cs="Arial"/>
          <w:szCs w:val="20"/>
        </w:rPr>
        <w:t>A Számv.tv.</w:t>
      </w:r>
      <w:r w:rsidR="008A093C" w:rsidRPr="00034107">
        <w:rPr>
          <w:rFonts w:cs="Arial"/>
          <w:szCs w:val="20"/>
        </w:rPr>
        <w:t xml:space="preserve"> vonatkozó előírásainak megfelelően kell kitölteni.</w:t>
      </w:r>
    </w:p>
    <w:p w14:paraId="6B215C5C" w14:textId="77777777" w:rsidR="00112698" w:rsidRPr="00034107" w:rsidRDefault="00112698" w:rsidP="001565C6">
      <w:pPr>
        <w:rPr>
          <w:rFonts w:cs="Arial"/>
          <w:b/>
          <w:szCs w:val="20"/>
        </w:rPr>
      </w:pPr>
    </w:p>
    <w:p w14:paraId="79E11840" w14:textId="2A0B122F" w:rsidR="00112698" w:rsidRPr="00034107" w:rsidRDefault="00453FF3" w:rsidP="00DB29C7">
      <w:pPr>
        <w:pStyle w:val="Cmsor2"/>
      </w:pPr>
      <w:r>
        <w:t>29</w:t>
      </w:r>
      <w:r w:rsidR="00A32A9D" w:rsidRPr="00034107">
        <w:t xml:space="preserve">. </w:t>
      </w:r>
      <w:r w:rsidR="00112698" w:rsidRPr="00034107">
        <w:t>50EI IFRS-eket alkalmazó befektetési alapkezelő kiemelt pénzügyi információi</w:t>
      </w:r>
    </w:p>
    <w:p w14:paraId="4B6C3F91" w14:textId="77777777" w:rsidR="00112698" w:rsidRPr="00034107" w:rsidRDefault="00112698" w:rsidP="00112698">
      <w:pPr>
        <w:rPr>
          <w:rFonts w:cs="Arial"/>
          <w:b/>
          <w:szCs w:val="20"/>
        </w:rPr>
      </w:pPr>
      <w:r w:rsidRPr="00034107">
        <w:rPr>
          <w:rFonts w:cs="Arial"/>
          <w:snapToGrid w:val="0"/>
          <w:szCs w:val="20"/>
        </w:rPr>
        <w:t xml:space="preserve">A táblában meghatározott pénzügyi információkat az IFRS-ek megjelenítésre, beszámításra és értékelésre vonatkozó szabályaival összhangban kell előállítani.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77777777" w:rsidR="008E72A2" w:rsidRPr="00034107" w:rsidRDefault="008E72A2" w:rsidP="008E72A2">
      <w:pPr>
        <w:rPr>
          <w:rFonts w:cs="Arial"/>
          <w:szCs w:val="20"/>
        </w:rPr>
      </w:pPr>
      <w:r w:rsidRPr="00034107">
        <w:rPr>
          <w:rFonts w:cs="Arial"/>
          <w:szCs w:val="20"/>
        </w:rPr>
        <w:t xml:space="preserve">Ez a sor tartalmazza a készpénzt, a látra szóló betéteket, valamint az IAS7 szerinti pénzeszköz-egyenértékeseket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 xml:space="preserve">Az IFRS-ek előírásai értelmében a tőkeinstrumentumok azok a pénzügyi instrumentumok, amelyeket az </w:t>
      </w:r>
      <w:proofErr w:type="spellStart"/>
      <w:r w:rsidRPr="00034107">
        <w:rPr>
          <w:rFonts w:ascii="Arial" w:hAnsi="Arial" w:cs="Arial"/>
          <w:sz w:val="20"/>
          <w:szCs w:val="20"/>
          <w:lang w:val="hu-HU"/>
        </w:rPr>
        <w:t>IAS</w:t>
      </w:r>
      <w:proofErr w:type="spellEnd"/>
      <w:r w:rsidRPr="00034107">
        <w:rPr>
          <w:rFonts w:ascii="Arial" w:hAnsi="Arial" w:cs="Arial"/>
          <w:sz w:val="20"/>
          <w:szCs w:val="20"/>
          <w:lang w:val="hu-HU"/>
        </w:rPr>
        <w:t xml:space="preserve">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 xml:space="preserve">eányvállalatokba, közös vállalkozásokba, valamint társult vállalkozásokba történt befektetések </w:t>
      </w:r>
      <w:proofErr w:type="spellStart"/>
      <w:r w:rsidR="006476C9" w:rsidRPr="00034107">
        <w:rPr>
          <w:rFonts w:cs="Arial"/>
          <w:szCs w:val="20"/>
        </w:rPr>
        <w:t>tartalékai</w:t>
      </w:r>
      <w:proofErr w:type="spellEnd"/>
      <w:r w:rsidR="006476C9" w:rsidRPr="00034107">
        <w:rPr>
          <w:rFonts w:cs="Arial"/>
          <w:szCs w:val="20"/>
        </w:rPr>
        <w:t xml:space="preserve"> vagy halmozott veszteségei</w:t>
      </w:r>
      <w:r w:rsidR="00F01B27" w:rsidRPr="00034107">
        <w:rPr>
          <w:rFonts w:cs="Arial"/>
          <w:szCs w:val="20"/>
        </w:rPr>
        <w:t>; a saját részvények (negatív előjellel); az évközi osztalék (negatív előjellel); az átértékelési tartalék (az IFRS-</w:t>
      </w:r>
      <w:proofErr w:type="spellStart"/>
      <w:r w:rsidR="00F01B27" w:rsidRPr="00034107">
        <w:rPr>
          <w:rFonts w:cs="Arial"/>
          <w:szCs w:val="20"/>
        </w:rPr>
        <w:t>ekre</w:t>
      </w:r>
      <w:proofErr w:type="spellEnd"/>
      <w:r w:rsidR="00F01B27" w:rsidRPr="00034107">
        <w:rPr>
          <w:rFonts w:cs="Arial"/>
          <w:szCs w:val="20"/>
        </w:rPr>
        <w:t xml:space="preserve"> való áttéréskor).</w:t>
      </w:r>
    </w:p>
    <w:p w14:paraId="35088EC4" w14:textId="77777777" w:rsidR="00112698" w:rsidRPr="00034107" w:rsidRDefault="00112698" w:rsidP="00295414">
      <w:pPr>
        <w:rPr>
          <w:rFonts w:cs="Arial"/>
          <w:b/>
          <w:szCs w:val="20"/>
        </w:rPr>
      </w:pPr>
    </w:p>
    <w:p w14:paraId="221B652F" w14:textId="513193F7" w:rsidR="00A66589" w:rsidRPr="00B07887" w:rsidRDefault="00453FF3" w:rsidP="00DB29C7">
      <w:pPr>
        <w:pStyle w:val="Cmsor2"/>
        <w:rPr>
          <w:rFonts w:eastAsia="Times New Roman"/>
          <w:lang w:eastAsia="hu-HU"/>
        </w:rPr>
      </w:pPr>
      <w:r>
        <w:rPr>
          <w:rFonts w:eastAsia="Times New Roman"/>
          <w:lang w:eastAsia="hu-HU"/>
        </w:rPr>
        <w:t>30</w:t>
      </w:r>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IFRS-eket alkalmazó befektetési alapkezelő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7777777"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lastRenderedPageBreak/>
        <w:t>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 xml:space="preserve">sor elemei olyan bevételi és ráfordítási tételek, amelyek nem minősülnek az </w:t>
      </w:r>
      <w:proofErr w:type="spellStart"/>
      <w:r w:rsidR="00A66589" w:rsidRPr="00034107">
        <w:rPr>
          <w:rFonts w:ascii="Arial" w:hAnsi="Arial" w:cs="Arial"/>
          <w:color w:val="000000"/>
          <w:sz w:val="20"/>
          <w:szCs w:val="20"/>
          <w:lang w:val="hu-HU"/>
        </w:rPr>
        <w:t>IAS</w:t>
      </w:r>
      <w:proofErr w:type="spellEnd"/>
      <w:r w:rsidR="00ED7D8A" w:rsidRPr="00034107">
        <w:rPr>
          <w:rFonts w:ascii="Arial" w:hAnsi="Arial" w:cs="Arial"/>
          <w:color w:val="000000"/>
          <w:sz w:val="20"/>
          <w:szCs w:val="20"/>
          <w:lang w:val="hu-HU"/>
        </w:rPr>
        <w:t xml:space="preserve">, illetve az </w:t>
      </w:r>
      <w:r w:rsidR="00A66589" w:rsidRPr="00034107">
        <w:rPr>
          <w:rFonts w:ascii="Arial" w:hAnsi="Arial" w:cs="Arial"/>
          <w:color w:val="000000"/>
          <w:sz w:val="20"/>
          <w:szCs w:val="20"/>
          <w:lang w:val="hu-HU"/>
        </w:rPr>
        <w:t>IFRS-ek szerint eredménytételnek.</w:t>
      </w:r>
    </w:p>
    <w:p w14:paraId="75EA50A7" w14:textId="79B491C4" w:rsidR="00112698" w:rsidRPr="00521C78" w:rsidRDefault="00112698" w:rsidP="00973964">
      <w:pPr>
        <w:rPr>
          <w:rFonts w:cs="Arial"/>
          <w:b/>
          <w:szCs w:val="20"/>
        </w:rPr>
      </w:pPr>
    </w:p>
    <w:p w14:paraId="1DA8AB82" w14:textId="7606555A" w:rsidR="003C41C0" w:rsidRPr="00B07887" w:rsidRDefault="00453FF3" w:rsidP="00DB29C7">
      <w:pPr>
        <w:pStyle w:val="Cmsor2"/>
      </w:pPr>
      <w:r>
        <w:t>31</w:t>
      </w:r>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0195259C"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1.5-1.7. és II.1.9. pontjában foglaltakat kell alkalmazni.</w:t>
      </w:r>
    </w:p>
    <w:p w14:paraId="3D137264" w14:textId="535D5267" w:rsidR="00D33661" w:rsidRPr="00D33661" w:rsidRDefault="00D33661" w:rsidP="00973964">
      <w:pPr>
        <w:rPr>
          <w:rFonts w:cs="Arial"/>
          <w:b/>
          <w:bCs/>
          <w:szCs w:val="20"/>
        </w:rPr>
      </w:pPr>
    </w:p>
    <w:p w14:paraId="3FB069E7" w14:textId="778875FB" w:rsidR="007A2BEF" w:rsidRPr="005A032D" w:rsidRDefault="00A86156" w:rsidP="00DB29C7">
      <w:pPr>
        <w:pStyle w:val="Cmsor2"/>
      </w:pPr>
      <w:r>
        <w:t>32. ZPTN Z</w:t>
      </w:r>
      <w:r w:rsidR="007A2BEF">
        <w:t xml:space="preserve">öld pénzügyi termékek </w:t>
      </w:r>
      <w:r>
        <w:t>esetében szolgáltatandó adattartalom</w:t>
      </w:r>
    </w:p>
    <w:p w14:paraId="62F642D1" w14:textId="1887D2FC" w:rsidR="007A2BEF" w:rsidRPr="007A2BEF" w:rsidRDefault="007A2BEF" w:rsidP="007A2BEF">
      <w:pPr>
        <w:keepNext/>
        <w:spacing w:line="264" w:lineRule="auto"/>
        <w:rPr>
          <w:rFonts w:cs="Arial"/>
          <w:b/>
          <w:szCs w:val="20"/>
        </w:rPr>
      </w:pPr>
      <w:r w:rsidRPr="00E840AE">
        <w:rPr>
          <w:rFonts w:cs="Arial"/>
          <w:b/>
          <w:szCs w:val="20"/>
        </w:rPr>
        <w:t>A</w:t>
      </w:r>
      <w:r>
        <w:rPr>
          <w:rFonts w:cs="Arial"/>
          <w:b/>
          <w:szCs w:val="20"/>
        </w:rPr>
        <w:t>z űrlapban</w:t>
      </w:r>
      <w:r w:rsidRPr="00E840AE">
        <w:rPr>
          <w:rFonts w:cs="Arial"/>
          <w:b/>
          <w:szCs w:val="20"/>
        </w:rPr>
        <w:t xml:space="preserve"> használt fogalmak</w:t>
      </w:r>
      <w:r>
        <w:rPr>
          <w:rFonts w:cs="Arial"/>
          <w:b/>
          <w:szCs w:val="20"/>
        </w:rPr>
        <w:t>, rövidítések</w:t>
      </w:r>
    </w:p>
    <w:p w14:paraId="1C6E373A" w14:textId="77777777" w:rsidR="007A2BEF" w:rsidRPr="00E35CA0"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4B4963BE"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Best-in-</w:t>
      </w:r>
      <w:proofErr w:type="spellStart"/>
      <w:r w:rsidRPr="0005609A">
        <w:rPr>
          <w:rFonts w:ascii="Arial" w:hAnsi="Arial" w:cs="Arial"/>
          <w:bCs/>
          <w:i/>
          <w:iCs/>
          <w:sz w:val="20"/>
          <w:szCs w:val="20"/>
        </w:rPr>
        <w:t>class</w:t>
      </w:r>
      <w:proofErr w:type="spellEnd"/>
      <w:r w:rsidRPr="0005609A">
        <w:rPr>
          <w:rFonts w:ascii="Arial" w:hAnsi="Arial" w:cs="Arial"/>
          <w:bCs/>
          <w:i/>
          <w:iCs/>
          <w:sz w:val="20"/>
          <w:szCs w:val="20"/>
        </w:rPr>
        <w:t xml:space="preserve">/Pozitív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w:t>
      </w:r>
      <w:r>
        <w:rPr>
          <w:rFonts w:ascii="Arial" w:hAnsi="Arial" w:cs="Arial"/>
          <w:bCs/>
          <w:sz w:val="20"/>
          <w:szCs w:val="20"/>
        </w:rPr>
        <w:t xml:space="preserve"> </w:t>
      </w:r>
      <w:r w:rsidRPr="00F667B2">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sidRPr="0005609A">
        <w:rPr>
          <w:rFonts w:ascii="Arial" w:hAnsi="Arial" w:cs="Arial"/>
          <w:bCs/>
          <w:sz w:val="20"/>
          <w:szCs w:val="20"/>
        </w:rPr>
        <w:t>ESG</w:t>
      </w:r>
      <w:proofErr w:type="spellEnd"/>
      <w:r w:rsidRPr="0005609A">
        <w:rPr>
          <w:rFonts w:ascii="Arial" w:hAnsi="Arial" w:cs="Arial"/>
          <w:bCs/>
          <w:sz w:val="20"/>
          <w:szCs w:val="20"/>
        </w:rPr>
        <w:t xml:space="preserve">-pontszámok alapján rangsorolt vállalatok közül a legrosszabb </w:t>
      </w:r>
      <w:proofErr w:type="spellStart"/>
      <w:r w:rsidRPr="0005609A">
        <w:rPr>
          <w:rFonts w:ascii="Arial" w:hAnsi="Arial" w:cs="Arial"/>
          <w:bCs/>
          <w:sz w:val="20"/>
          <w:szCs w:val="20"/>
        </w:rPr>
        <w:t>ESG</w:t>
      </w:r>
      <w:proofErr w:type="spellEnd"/>
      <w:r w:rsidRPr="0005609A">
        <w:rPr>
          <w:rFonts w:ascii="Arial" w:hAnsi="Arial" w:cs="Arial"/>
          <w:bCs/>
          <w:sz w:val="20"/>
          <w:szCs w:val="20"/>
        </w:rPr>
        <w:t>-pontszámmal rendelkező vállalatok eszközei kizárásra kerülnek, am</w:t>
      </w:r>
      <w:r>
        <w:rPr>
          <w:rFonts w:ascii="Arial" w:hAnsi="Arial" w:cs="Arial"/>
          <w:bCs/>
          <w:sz w:val="20"/>
          <w:szCs w:val="20"/>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rPr>
        <w:t>(</w:t>
      </w:r>
      <w:r w:rsidRPr="0005609A">
        <w:rPr>
          <w:rFonts w:ascii="Arial" w:hAnsi="Arial" w:cs="Arial"/>
          <w:bCs/>
          <w:sz w:val="20"/>
          <w:szCs w:val="20"/>
        </w:rPr>
        <w:t>Best-in-</w:t>
      </w:r>
      <w:proofErr w:type="spellStart"/>
      <w:r w:rsidRPr="0005609A">
        <w:rPr>
          <w:rFonts w:ascii="Arial" w:hAnsi="Arial" w:cs="Arial"/>
          <w:bCs/>
          <w:sz w:val="20"/>
          <w:szCs w:val="20"/>
        </w:rPr>
        <w:t>Class</w:t>
      </w:r>
      <w:proofErr w:type="spellEnd"/>
      <w:r>
        <w:rPr>
          <w:rFonts w:ascii="Arial" w:hAnsi="Arial" w:cs="Arial"/>
          <w:bCs/>
          <w:sz w:val="20"/>
          <w:szCs w:val="20"/>
        </w:rPr>
        <w:t>)</w:t>
      </w:r>
      <w:r w:rsidRPr="0005609A">
        <w:rPr>
          <w:rFonts w:ascii="Arial" w:hAnsi="Arial" w:cs="Arial"/>
          <w:bCs/>
          <w:sz w:val="20"/>
          <w:szCs w:val="20"/>
        </w:rPr>
        <w:t xml:space="preserve"> alapon.</w:t>
      </w:r>
    </w:p>
    <w:p w14:paraId="5984484A"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proofErr w:type="spellStart"/>
      <w:r w:rsidRPr="0005609A">
        <w:rPr>
          <w:rFonts w:ascii="Arial" w:hAnsi="Arial" w:cs="Arial"/>
          <w:bCs/>
          <w:i/>
          <w:sz w:val="20"/>
          <w:szCs w:val="20"/>
        </w:rPr>
        <w:t>ESG</w:t>
      </w:r>
      <w:proofErr w:type="spellEnd"/>
      <w:r w:rsidRPr="0005609A">
        <w:rPr>
          <w:rFonts w:ascii="Arial" w:hAnsi="Arial" w:cs="Arial"/>
          <w:bCs/>
          <w:i/>
          <w:sz w:val="20"/>
          <w:szCs w:val="20"/>
        </w:rPr>
        <w:t xml:space="preserve">: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rPr>
        <w:t>e (</w:t>
      </w:r>
      <w:proofErr w:type="spellStart"/>
      <w:r w:rsidRPr="0005609A">
        <w:rPr>
          <w:rFonts w:ascii="Arial" w:hAnsi="Arial" w:cs="Arial"/>
          <w:bCs/>
          <w:iCs/>
          <w:sz w:val="20"/>
          <w:szCs w:val="20"/>
        </w:rPr>
        <w:t>environmental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social</w:t>
      </w:r>
      <w:proofErr w:type="spellEnd"/>
      <w:r w:rsidRPr="0005609A">
        <w:rPr>
          <w:rFonts w:ascii="Arial" w:hAnsi="Arial" w:cs="Arial"/>
          <w:bCs/>
          <w:iCs/>
          <w:sz w:val="20"/>
          <w:szCs w:val="20"/>
        </w:rPr>
        <w:t xml:space="preserve">, </w:t>
      </w:r>
      <w:proofErr w:type="spellStart"/>
      <w:r w:rsidRPr="0005609A">
        <w:rPr>
          <w:rFonts w:ascii="Arial" w:hAnsi="Arial" w:cs="Arial"/>
          <w:bCs/>
          <w:iCs/>
          <w:sz w:val="20"/>
          <w:szCs w:val="20"/>
        </w:rPr>
        <w:t>governance</w:t>
      </w:r>
      <w:proofErr w:type="spellEnd"/>
      <w:r w:rsidRPr="0005609A">
        <w:rPr>
          <w:rFonts w:ascii="Arial" w:hAnsi="Arial" w:cs="Arial"/>
          <w:bCs/>
          <w:iCs/>
          <w:sz w:val="20"/>
          <w:szCs w:val="20"/>
        </w:rPr>
        <w:t xml:space="preserve"> szavak kezdőbetűiből képzett mozaikszó</w:t>
      </w:r>
      <w:r>
        <w:rPr>
          <w:rFonts w:ascii="Arial" w:hAnsi="Arial" w:cs="Arial"/>
          <w:bCs/>
          <w:iCs/>
          <w:sz w:val="20"/>
          <w:szCs w:val="20"/>
        </w:rPr>
        <w:t>)</w:t>
      </w:r>
      <w:r w:rsidRPr="0005609A">
        <w:rPr>
          <w:rFonts w:ascii="Arial" w:hAnsi="Arial" w:cs="Arial"/>
          <w:bCs/>
          <w:iCs/>
          <w:sz w:val="20"/>
          <w:szCs w:val="20"/>
        </w:rPr>
        <w:t>.</w:t>
      </w:r>
    </w:p>
    <w:p w14:paraId="42D617AC"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iCs/>
          <w:sz w:val="20"/>
          <w:szCs w:val="20"/>
        </w:rPr>
        <w:t xml:space="preserve">EU </w:t>
      </w:r>
      <w:proofErr w:type="spellStart"/>
      <w:r w:rsidRPr="0005609A">
        <w:rPr>
          <w:rFonts w:ascii="Arial" w:hAnsi="Arial" w:cs="Arial"/>
          <w:bCs/>
          <w:i/>
          <w:iCs/>
          <w:sz w:val="20"/>
          <w:szCs w:val="20"/>
        </w:rPr>
        <w:t>EcoLabel</w:t>
      </w:r>
      <w:proofErr w:type="spellEnd"/>
      <w:r w:rsidRPr="0005609A">
        <w:rPr>
          <w:rFonts w:ascii="Arial" w:hAnsi="Arial" w:cs="Arial"/>
          <w:bCs/>
          <w:sz w:val="20"/>
          <w:szCs w:val="20"/>
        </w:rPr>
        <w:t xml:space="preserve">: kidolgozás alatt álló, a pénzügyi termékekre vonatkozó </w:t>
      </w:r>
      <w:r>
        <w:rPr>
          <w:rFonts w:ascii="Arial" w:hAnsi="Arial" w:cs="Arial"/>
          <w:bCs/>
          <w:sz w:val="20"/>
          <w:szCs w:val="20"/>
        </w:rPr>
        <w:t>e</w:t>
      </w:r>
      <w:r w:rsidRPr="0005609A">
        <w:rPr>
          <w:rFonts w:ascii="Arial" w:hAnsi="Arial" w:cs="Arial"/>
          <w:bCs/>
          <w:sz w:val="20"/>
          <w:szCs w:val="20"/>
        </w:rPr>
        <w:t xml:space="preserve">urópai </w:t>
      </w:r>
      <w:r>
        <w:rPr>
          <w:rFonts w:ascii="Arial" w:hAnsi="Arial" w:cs="Arial"/>
          <w:bCs/>
          <w:sz w:val="20"/>
          <w:szCs w:val="20"/>
        </w:rPr>
        <w:t>u</w:t>
      </w:r>
      <w:r w:rsidRPr="0005609A">
        <w:rPr>
          <w:rFonts w:ascii="Arial" w:hAnsi="Arial" w:cs="Arial"/>
          <w:bCs/>
          <w:sz w:val="20"/>
          <w:szCs w:val="20"/>
        </w:rPr>
        <w:t xml:space="preserve">niós </w:t>
      </w:r>
      <w:proofErr w:type="spellStart"/>
      <w:r w:rsidRPr="0005609A">
        <w:rPr>
          <w:rFonts w:ascii="Arial" w:hAnsi="Arial" w:cs="Arial"/>
          <w:bCs/>
          <w:sz w:val="20"/>
          <w:szCs w:val="20"/>
        </w:rPr>
        <w:t>ökocímke</w:t>
      </w:r>
      <w:proofErr w:type="spellEnd"/>
      <w:r w:rsidRPr="0005609A">
        <w:rPr>
          <w:rFonts w:ascii="Arial" w:hAnsi="Arial" w:cs="Arial"/>
          <w:bCs/>
          <w:sz w:val="20"/>
          <w:szCs w:val="20"/>
        </w:rPr>
        <w:t>.</w:t>
      </w:r>
    </w:p>
    <w:p w14:paraId="2A5704B1"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Fenntartható/</w:t>
      </w:r>
      <w:proofErr w:type="spellStart"/>
      <w:r w:rsidRPr="0005609A">
        <w:rPr>
          <w:rFonts w:ascii="Arial" w:hAnsi="Arial" w:cs="Arial"/>
          <w:bCs/>
          <w:i/>
          <w:iCs/>
          <w:sz w:val="20"/>
          <w:szCs w:val="20"/>
        </w:rPr>
        <w:t>ESG</w:t>
      </w:r>
      <w:proofErr w:type="spellEnd"/>
      <w:r w:rsidRPr="0005609A">
        <w:rPr>
          <w:rFonts w:ascii="Arial" w:hAnsi="Arial" w:cs="Arial"/>
          <w:bCs/>
          <w:i/>
          <w:iCs/>
          <w:sz w:val="20"/>
          <w:szCs w:val="20"/>
        </w:rPr>
        <w:t xml:space="preserve"> Index követés: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az </w:t>
      </w:r>
      <w:proofErr w:type="spellStart"/>
      <w:r>
        <w:rPr>
          <w:rFonts w:ascii="Arial" w:hAnsi="Arial" w:cs="Arial"/>
          <w:bCs/>
          <w:sz w:val="20"/>
          <w:szCs w:val="20"/>
        </w:rPr>
        <w:t>ESG</w:t>
      </w:r>
      <w:proofErr w:type="spellEnd"/>
      <w:r>
        <w:rPr>
          <w:rFonts w:ascii="Arial" w:hAnsi="Arial" w:cs="Arial"/>
          <w:bCs/>
          <w:sz w:val="20"/>
          <w:szCs w:val="20"/>
        </w:rPr>
        <w:t xml:space="preserve"> </w:t>
      </w:r>
      <w:r w:rsidRPr="0005609A">
        <w:rPr>
          <w:rFonts w:ascii="Arial" w:hAnsi="Arial" w:cs="Arial"/>
          <w:bCs/>
          <w:sz w:val="20"/>
          <w:szCs w:val="20"/>
        </w:rPr>
        <w:t>index kosarának részbeni vagy teljes lekövetése.</w:t>
      </w:r>
    </w:p>
    <w:p w14:paraId="675BC0A8"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 xml:space="preserve">befektetési stratégia egy típusa, olyan vállalatokba történő befektetés, amelyek tevékenységük révén pozitív hatást gyakorolnak a környezetre, társadalomra (például megújuló energia, </w:t>
      </w:r>
      <w:proofErr w:type="spellStart"/>
      <w:r w:rsidRPr="0005609A">
        <w:rPr>
          <w:rFonts w:ascii="Arial" w:hAnsi="Arial" w:cs="Arial"/>
          <w:bCs/>
          <w:sz w:val="20"/>
          <w:szCs w:val="20"/>
        </w:rPr>
        <w:t>elektromobilitás</w:t>
      </w:r>
      <w:proofErr w:type="spellEnd"/>
      <w:r w:rsidRPr="0005609A">
        <w:rPr>
          <w:rFonts w:ascii="Arial" w:hAnsi="Arial" w:cs="Arial"/>
          <w:bCs/>
          <w:sz w:val="20"/>
          <w:szCs w:val="20"/>
        </w:rPr>
        <w:t>, fenntartható agrárium).</w:t>
      </w:r>
    </w:p>
    <w:p w14:paraId="45FADC60" w14:textId="77777777"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iCs/>
          <w:sz w:val="20"/>
          <w:szCs w:val="20"/>
        </w:rPr>
        <w:t xml:space="preserve">Kizárási politika/negatív </w:t>
      </w:r>
      <w:proofErr w:type="spellStart"/>
      <w:r w:rsidRPr="0005609A">
        <w:rPr>
          <w:rFonts w:ascii="Arial" w:hAnsi="Arial" w:cs="Arial"/>
          <w:bCs/>
          <w:i/>
          <w:iCs/>
          <w:sz w:val="20"/>
          <w:szCs w:val="20"/>
        </w:rPr>
        <w:t>screening</w:t>
      </w:r>
      <w:proofErr w:type="spellEnd"/>
      <w:r w:rsidRPr="0005609A">
        <w:rPr>
          <w:rFonts w:ascii="Arial" w:hAnsi="Arial" w:cs="Arial"/>
          <w:bCs/>
          <w:sz w:val="20"/>
          <w:szCs w:val="20"/>
        </w:rPr>
        <w:t xml:space="preserve">: </w:t>
      </w:r>
      <w:r>
        <w:rPr>
          <w:rFonts w:ascii="Arial" w:hAnsi="Arial" w:cs="Arial"/>
          <w:bCs/>
          <w:sz w:val="20"/>
          <w:szCs w:val="20"/>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3E52591"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rPr>
        <w:t>a</w:t>
      </w:r>
      <w:r>
        <w:rPr>
          <w:rFonts w:ascii="Arial" w:hAnsi="Arial" w:cs="Arial"/>
          <w:bCs/>
          <w:i/>
          <w:sz w:val="20"/>
          <w:szCs w:val="20"/>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8DF0B95"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2FCC4027" w14:textId="77777777" w:rsidR="007A2BEF" w:rsidRPr="0005609A" w:rsidRDefault="007A2BEF" w:rsidP="007A2BEF">
      <w:pPr>
        <w:pStyle w:val="Listaszerbekezds"/>
        <w:numPr>
          <w:ilvl w:val="0"/>
          <w:numId w:val="12"/>
        </w:numPr>
        <w:spacing w:after="200" w:line="276" w:lineRule="auto"/>
        <w:contextualSpacing/>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(például fenntartható vízgazdálkodáshoz köthető különböző tevékenységet ellátó szervezetek).</w:t>
      </w:r>
    </w:p>
    <w:p w14:paraId="49C5D6A8" w14:textId="77777777" w:rsidR="007A2BEF" w:rsidRPr="0005609A" w:rsidRDefault="007A2BEF" w:rsidP="007A2BEF">
      <w:pPr>
        <w:pStyle w:val="Listaszerbekezds"/>
        <w:numPr>
          <w:ilvl w:val="0"/>
          <w:numId w:val="12"/>
        </w:numPr>
        <w:spacing w:after="200" w:line="276" w:lineRule="auto"/>
        <w:contextualSpacing/>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45C8D79A" w14:textId="32A94646" w:rsidR="007A2BEF" w:rsidRPr="0005609A" w:rsidRDefault="007A2BEF" w:rsidP="007A2BEF">
      <w:pPr>
        <w:pStyle w:val="Listaszerbekezds"/>
        <w:numPr>
          <w:ilvl w:val="0"/>
          <w:numId w:val="12"/>
        </w:numPr>
        <w:spacing w:after="200" w:line="276" w:lineRule="auto"/>
        <w:contextualSpacing/>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(portfólió), amely közvetve vagy közvetlenül támogatja a környezetvédelmet.</w:t>
      </w:r>
    </w:p>
    <w:p w14:paraId="7D3A9EA5" w14:textId="7913ADB4" w:rsidR="007A2BEF" w:rsidRDefault="007A2BEF" w:rsidP="007A2BEF">
      <w:pPr>
        <w:keepNext/>
        <w:rPr>
          <w:rFonts w:cs="Arial"/>
          <w:b/>
          <w:bCs/>
          <w:szCs w:val="20"/>
        </w:rPr>
      </w:pPr>
      <w:r w:rsidRPr="00DF71CF">
        <w:rPr>
          <w:rFonts w:cs="Arial"/>
          <w:b/>
          <w:bCs/>
          <w:szCs w:val="20"/>
        </w:rPr>
        <w:t>Az űrlap egyes mezői</w:t>
      </w:r>
    </w:p>
    <w:p w14:paraId="4CE51401" w14:textId="04CEFDA0" w:rsidR="007A2BEF" w:rsidRPr="00CE24AD" w:rsidRDefault="007A2BEF" w:rsidP="007A2BEF">
      <w:pPr>
        <w:keepNext/>
        <w:rPr>
          <w:rFonts w:cs="Arial"/>
          <w:i/>
          <w:szCs w:val="20"/>
        </w:rPr>
      </w:pPr>
      <w:r w:rsidRPr="00CE24AD">
        <w:rPr>
          <w:rFonts w:cs="Arial"/>
          <w:i/>
          <w:szCs w:val="20"/>
        </w:rPr>
        <w:t>3</w:t>
      </w:r>
      <w:r>
        <w:rPr>
          <w:rFonts w:cs="Arial"/>
          <w:i/>
          <w:szCs w:val="20"/>
        </w:rPr>
        <w:t>8</w:t>
      </w:r>
      <w:r w:rsidRPr="00CE24AD">
        <w:rPr>
          <w:rFonts w:cs="Arial"/>
          <w:i/>
          <w:szCs w:val="20"/>
        </w:rPr>
        <w:t xml:space="preserve">. </w:t>
      </w:r>
      <w:r>
        <w:rPr>
          <w:rFonts w:cs="Arial"/>
          <w:i/>
          <w:szCs w:val="20"/>
        </w:rPr>
        <w:t xml:space="preserve">mező: </w:t>
      </w:r>
      <w:r w:rsidRPr="00CE24AD">
        <w:rPr>
          <w:rFonts w:cs="Arial"/>
          <w:i/>
          <w:szCs w:val="20"/>
        </w:rPr>
        <w:t>Top befektetések</w:t>
      </w:r>
    </w:p>
    <w:p w14:paraId="4A84F882" w14:textId="49230878" w:rsidR="007A2BEF" w:rsidRDefault="007A2BEF" w:rsidP="007A2BEF">
      <w:pPr>
        <w:keepNext/>
        <w:rPr>
          <w:rFonts w:cs="Arial"/>
          <w:iCs/>
          <w:szCs w:val="20"/>
        </w:rPr>
      </w:pPr>
      <w:r>
        <w:rPr>
          <w:rFonts w:cs="Arial"/>
          <w:iCs/>
          <w:szCs w:val="20"/>
        </w:rPr>
        <w:t>A</w:t>
      </w:r>
      <w:r w:rsidRPr="00CE24AD">
        <w:rPr>
          <w:rFonts w:cs="Arial"/>
          <w:iCs/>
          <w:szCs w:val="20"/>
        </w:rPr>
        <w:t xml:space="preserve"> pénzügyi termék </w:t>
      </w:r>
      <w:r>
        <w:rPr>
          <w:rFonts w:cs="Arial"/>
          <w:iCs/>
          <w:szCs w:val="20"/>
        </w:rPr>
        <w:t>öt legnagyobb</w:t>
      </w:r>
      <w:r w:rsidRPr="00CE24AD">
        <w:rPr>
          <w:rFonts w:cs="Arial"/>
          <w:iCs/>
          <w:szCs w:val="20"/>
        </w:rPr>
        <w:t xml:space="preserve"> befektetés</w:t>
      </w:r>
      <w:r>
        <w:rPr>
          <w:rFonts w:cs="Arial"/>
          <w:iCs/>
          <w:szCs w:val="20"/>
        </w:rPr>
        <w:t>é</w:t>
      </w:r>
      <w:r w:rsidRPr="00CE24AD">
        <w:rPr>
          <w:rFonts w:cs="Arial"/>
          <w:iCs/>
          <w:szCs w:val="20"/>
        </w:rPr>
        <w:t xml:space="preserve">t, valamint azok arányát </w:t>
      </w:r>
      <w:r>
        <w:rPr>
          <w:rFonts w:cs="Arial"/>
          <w:iCs/>
          <w:szCs w:val="20"/>
        </w:rPr>
        <w:t>kell megadni. A</w:t>
      </w:r>
      <w:r w:rsidRPr="00CE24AD">
        <w:rPr>
          <w:rFonts w:cs="Arial"/>
          <w:iCs/>
          <w:szCs w:val="20"/>
        </w:rPr>
        <w:t>z egyes</w:t>
      </w:r>
      <w:r>
        <w:rPr>
          <w:rFonts w:cs="Arial"/>
          <w:iCs/>
          <w:szCs w:val="20"/>
        </w:rPr>
        <w:t xml:space="preserve"> befektetéseket pontosvesszővel kell elválasztani (p</w:t>
      </w:r>
      <w:r w:rsidRPr="00CE24AD">
        <w:rPr>
          <w:rFonts w:cs="Arial"/>
          <w:iCs/>
          <w:szCs w:val="20"/>
        </w:rPr>
        <w:t xml:space="preserve">éldául: </w:t>
      </w:r>
      <w:proofErr w:type="spellStart"/>
      <w:r w:rsidRPr="00CE24AD">
        <w:rPr>
          <w:rFonts w:cs="Arial"/>
          <w:iCs/>
          <w:szCs w:val="20"/>
        </w:rPr>
        <w:t>Iberdrola</w:t>
      </w:r>
      <w:proofErr w:type="spellEnd"/>
      <w:r w:rsidRPr="00CE24AD">
        <w:rPr>
          <w:rFonts w:cs="Arial"/>
          <w:iCs/>
          <w:szCs w:val="20"/>
        </w:rPr>
        <w:t xml:space="preserve"> 30%; Tesla 20%</w:t>
      </w:r>
      <w:r>
        <w:rPr>
          <w:rFonts w:cs="Arial"/>
          <w:iCs/>
          <w:szCs w:val="20"/>
        </w:rPr>
        <w:t>)</w:t>
      </w:r>
      <w:r w:rsidRPr="00CE24AD">
        <w:rPr>
          <w:rFonts w:cs="Arial"/>
          <w:iCs/>
          <w:szCs w:val="20"/>
        </w:rPr>
        <w:t xml:space="preserve">. Amennyiben a befektetések mögöttes alapok, úgy a mezőt a mögöttes alapok 5 </w:t>
      </w:r>
      <w:r>
        <w:rPr>
          <w:rFonts w:cs="Arial"/>
          <w:iCs/>
          <w:szCs w:val="20"/>
        </w:rPr>
        <w:t xml:space="preserve">legnagyobb </w:t>
      </w:r>
      <w:r w:rsidRPr="00CE24AD">
        <w:rPr>
          <w:rFonts w:cs="Arial"/>
          <w:iCs/>
          <w:szCs w:val="20"/>
        </w:rPr>
        <w:t xml:space="preserve">befektetése alapján, </w:t>
      </w:r>
      <w:r w:rsidRPr="00CE24AD">
        <w:rPr>
          <w:rFonts w:cs="Arial"/>
          <w:iCs/>
          <w:szCs w:val="20"/>
        </w:rPr>
        <w:lastRenderedPageBreak/>
        <w:t>arányosítva</w:t>
      </w:r>
      <w:r>
        <w:rPr>
          <w:rFonts w:cs="Arial"/>
          <w:iCs/>
          <w:szCs w:val="20"/>
        </w:rPr>
        <w:t>,</w:t>
      </w:r>
      <w:r w:rsidRPr="00CE24AD">
        <w:rPr>
          <w:rFonts w:cs="Arial"/>
          <w:iCs/>
          <w:szCs w:val="20"/>
        </w:rPr>
        <w:t xml:space="preserve"> az azokba befektetett értékkel</w:t>
      </w:r>
      <w:r>
        <w:rPr>
          <w:rFonts w:cs="Arial"/>
          <w:iCs/>
          <w:szCs w:val="20"/>
        </w:rPr>
        <w:t xml:space="preserve"> kell</w:t>
      </w:r>
      <w:r w:rsidRPr="00CE24AD">
        <w:rPr>
          <w:rFonts w:cs="Arial"/>
          <w:iCs/>
          <w:szCs w:val="20"/>
        </w:rPr>
        <w:t xml:space="preserve"> kitölteni</w:t>
      </w:r>
      <w:r>
        <w:rPr>
          <w:rFonts w:cs="Arial"/>
          <w:iCs/>
          <w:szCs w:val="20"/>
        </w:rPr>
        <w:t>.</w:t>
      </w:r>
      <w:r w:rsidRPr="00CE24AD">
        <w:rPr>
          <w:rFonts w:cs="Arial"/>
          <w:iCs/>
          <w:szCs w:val="20"/>
        </w:rPr>
        <w:t xml:space="preserve"> </w:t>
      </w:r>
      <w:r>
        <w:rPr>
          <w:rFonts w:cs="Arial"/>
          <w:iCs/>
          <w:szCs w:val="20"/>
        </w:rPr>
        <w:t>A</w:t>
      </w:r>
      <w:r w:rsidRPr="00CE24AD">
        <w:rPr>
          <w:rFonts w:cs="Arial"/>
          <w:iCs/>
          <w:szCs w:val="20"/>
        </w:rPr>
        <w:t xml:space="preserve"> legkésőbbi időszakos jelentés által lefedett időszakra vonatkozó információk alapján</w:t>
      </w:r>
      <w:r>
        <w:rPr>
          <w:rFonts w:cs="Arial"/>
          <w:iCs/>
          <w:szCs w:val="20"/>
        </w:rPr>
        <w:t>,</w:t>
      </w:r>
      <w:r w:rsidRPr="00CE24AD">
        <w:rPr>
          <w:rFonts w:cs="Arial"/>
          <w:iCs/>
          <w:szCs w:val="20"/>
        </w:rPr>
        <w:t xml:space="preserve"> egy hónapon belül </w:t>
      </w:r>
      <w:r>
        <w:rPr>
          <w:rFonts w:cs="Arial"/>
          <w:iCs/>
          <w:szCs w:val="20"/>
        </w:rPr>
        <w:t xml:space="preserve">kell </w:t>
      </w:r>
      <w:r w:rsidRPr="00CE24AD">
        <w:rPr>
          <w:rFonts w:cs="Arial"/>
          <w:iCs/>
          <w:szCs w:val="20"/>
        </w:rPr>
        <w:t>aktualizálni</w:t>
      </w:r>
      <w:r>
        <w:rPr>
          <w:rFonts w:cs="Arial"/>
          <w:iCs/>
          <w:szCs w:val="20"/>
        </w:rPr>
        <w:t xml:space="preserve"> a mezőt.</w:t>
      </w:r>
    </w:p>
    <w:p w14:paraId="6A3E6D5D" w14:textId="3482A9A5" w:rsidR="007A2BEF" w:rsidRPr="00AF3BD0" w:rsidRDefault="007A2BEF" w:rsidP="007A2BEF">
      <w:pPr>
        <w:keepNext/>
        <w:rPr>
          <w:rFonts w:cs="Arial"/>
          <w:i/>
          <w:szCs w:val="20"/>
        </w:rPr>
      </w:pPr>
      <w:r>
        <w:rPr>
          <w:rFonts w:cs="Arial"/>
          <w:i/>
          <w:szCs w:val="20"/>
        </w:rPr>
        <w:t>41</w:t>
      </w:r>
      <w:r w:rsidRPr="00AF3BD0">
        <w:rPr>
          <w:rFonts w:cs="Arial"/>
          <w:i/>
          <w:szCs w:val="20"/>
        </w:rPr>
        <w:t>.</w:t>
      </w:r>
      <w:r>
        <w:rPr>
          <w:rFonts w:cs="Arial"/>
          <w:i/>
          <w:szCs w:val="20"/>
        </w:rPr>
        <w:t xml:space="preserve"> mező:</w:t>
      </w:r>
      <w:r w:rsidRPr="00AF3BD0">
        <w:rPr>
          <w:rFonts w:cs="Arial"/>
          <w:i/>
          <w:szCs w:val="20"/>
        </w:rPr>
        <w:t xml:space="preserve"> Taxonómia rendeletnek való tervezett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452663C9" w14:textId="34EB9B7B" w:rsidR="007A2BEF" w:rsidRDefault="007A2BEF" w:rsidP="007A2BEF">
      <w:pPr>
        <w:keepNext/>
        <w:rPr>
          <w:rFonts w:cs="Arial"/>
          <w:iCs/>
          <w:szCs w:val="20"/>
        </w:rPr>
      </w:pPr>
      <w:r w:rsidRPr="002256E5">
        <w:rPr>
          <w:rFonts w:cs="Arial"/>
          <w:iCs/>
          <w:szCs w:val="20"/>
        </w:rPr>
        <w:t>A</w:t>
      </w:r>
      <w:r>
        <w:rPr>
          <w:rFonts w:cs="Arial"/>
          <w:iCs/>
          <w:szCs w:val="20"/>
        </w:rPr>
        <w:t>z</w:t>
      </w:r>
      <w:r w:rsidRPr="002256E5">
        <w:rPr>
          <w:rFonts w:cs="Arial"/>
          <w:iCs/>
          <w:szCs w:val="20"/>
        </w:rPr>
        <w:t xml:space="preserve"> SFDR RTS 15., 19. cikke, valamint II. és III. melléklete alapján</w:t>
      </w:r>
      <w:r>
        <w:rPr>
          <w:rFonts w:cs="Arial"/>
          <w:iCs/>
          <w:szCs w:val="20"/>
        </w:rPr>
        <w:t xml:space="preserve"> kell megadni</w:t>
      </w:r>
      <w:r w:rsidRPr="002256E5">
        <w:rPr>
          <w:rFonts w:cs="Arial"/>
          <w:iCs/>
          <w:szCs w:val="20"/>
        </w:rPr>
        <w:t xml:space="preserve"> a Taxonómia rendelet szerinti környezetileg fenntartható befektetéseket megvalósító eszközök minimum arányát</w:t>
      </w:r>
      <w:r>
        <w:rPr>
          <w:rFonts w:cs="Arial"/>
          <w:iCs/>
          <w:szCs w:val="20"/>
        </w:rPr>
        <w:t>.</w:t>
      </w:r>
      <w:r w:rsidRPr="002256E5">
        <w:rPr>
          <w:rFonts w:cs="Arial"/>
          <w:iCs/>
          <w:szCs w:val="20"/>
        </w:rPr>
        <w:t xml:space="preserve"> A terv adat módosítása esetén</w:t>
      </w:r>
      <w:r>
        <w:rPr>
          <w:rFonts w:cs="Arial"/>
          <w:iCs/>
          <w:szCs w:val="20"/>
        </w:rPr>
        <w:t xml:space="preserve"> </w:t>
      </w:r>
      <w:r w:rsidRPr="00AF3BD0">
        <w:rPr>
          <w:rFonts w:cs="Arial"/>
          <w:iCs/>
          <w:szCs w:val="20"/>
        </w:rPr>
        <w:t>egy hónapon belül kell aktualizálni a mezőt</w:t>
      </w:r>
      <w:r w:rsidRPr="002256E5">
        <w:rPr>
          <w:rFonts w:cs="Arial"/>
          <w:iCs/>
          <w:szCs w:val="20"/>
        </w:rPr>
        <w:t xml:space="preserve">. A mezőt </w:t>
      </w:r>
      <w:r>
        <w:rPr>
          <w:rFonts w:cs="Arial"/>
          <w:iCs/>
          <w:szCs w:val="20"/>
        </w:rPr>
        <w:t>százalékjel (%)</w:t>
      </w:r>
      <w:r w:rsidRPr="002256E5">
        <w:rPr>
          <w:rFonts w:cs="Arial"/>
          <w:iCs/>
          <w:szCs w:val="20"/>
        </w:rPr>
        <w:t xml:space="preserve"> nélkül kell kitölteni</w:t>
      </w:r>
      <w:r>
        <w:rPr>
          <w:rFonts w:cs="Arial"/>
          <w:iCs/>
          <w:szCs w:val="20"/>
        </w:rPr>
        <w:t>.</w:t>
      </w:r>
    </w:p>
    <w:p w14:paraId="6CCEE5D1" w14:textId="1FEE86B0" w:rsidR="007A2BEF" w:rsidRPr="00AF3BD0" w:rsidRDefault="007A2BEF" w:rsidP="007A2BEF">
      <w:pPr>
        <w:keepNext/>
        <w:rPr>
          <w:rFonts w:cs="Arial"/>
          <w:i/>
          <w:szCs w:val="20"/>
        </w:rPr>
      </w:pPr>
      <w:r>
        <w:rPr>
          <w:rFonts w:cs="Arial"/>
          <w:i/>
          <w:szCs w:val="20"/>
        </w:rPr>
        <w:t>42</w:t>
      </w:r>
      <w:r w:rsidRPr="00AF3BD0">
        <w:rPr>
          <w:rFonts w:cs="Arial"/>
          <w:i/>
          <w:szCs w:val="20"/>
        </w:rPr>
        <w:t xml:space="preserve">. </w:t>
      </w:r>
      <w:r>
        <w:rPr>
          <w:rFonts w:cs="Arial"/>
          <w:i/>
          <w:szCs w:val="20"/>
        </w:rPr>
        <w:t xml:space="preserve">mező: </w:t>
      </w:r>
      <w:r w:rsidRPr="00AF3BD0">
        <w:rPr>
          <w:rFonts w:cs="Arial"/>
          <w:i/>
          <w:szCs w:val="20"/>
        </w:rPr>
        <w:t xml:space="preserve">Taxonómia rendeletnek való </w:t>
      </w:r>
      <w:r>
        <w:rPr>
          <w:rFonts w:cs="Arial"/>
          <w:i/>
          <w:szCs w:val="20"/>
        </w:rPr>
        <w:t>aktuális</w:t>
      </w:r>
      <w:r w:rsidRPr="00AF3BD0">
        <w:rPr>
          <w:rFonts w:cs="Arial"/>
          <w:i/>
          <w:szCs w:val="20"/>
        </w:rPr>
        <w:t xml:space="preserve"> megfelelés </w:t>
      </w:r>
      <w:r>
        <w:rPr>
          <w:rFonts w:cs="Arial"/>
          <w:i/>
          <w:szCs w:val="20"/>
        </w:rPr>
        <w:t>százalék</w:t>
      </w:r>
      <w:r w:rsidRPr="00AF3BD0">
        <w:rPr>
          <w:rFonts w:cs="Arial"/>
          <w:i/>
          <w:szCs w:val="20"/>
        </w:rPr>
        <w:t>os arányban</w:t>
      </w:r>
      <w:r>
        <w:rPr>
          <w:rFonts w:cs="Arial"/>
          <w:i/>
          <w:szCs w:val="20"/>
        </w:rPr>
        <w:t xml:space="preserve"> </w:t>
      </w:r>
      <w:r w:rsidRPr="007A2BEF">
        <w:rPr>
          <w:rFonts w:cs="Arial"/>
          <w:i/>
          <w:szCs w:val="20"/>
        </w:rPr>
        <w:t>(földgáz és nukleáris energia kitettség nélkül)</w:t>
      </w:r>
    </w:p>
    <w:p w14:paraId="13ACDF43" w14:textId="65B061FB" w:rsidR="007A2BEF" w:rsidRDefault="007A2BEF" w:rsidP="007A2BEF">
      <w:pPr>
        <w:keepNext/>
        <w:rPr>
          <w:rFonts w:cs="Arial"/>
          <w:iCs/>
          <w:szCs w:val="20"/>
        </w:rPr>
      </w:pPr>
      <w:r w:rsidRPr="00055A62">
        <w:rPr>
          <w:rFonts w:cs="Arial"/>
          <w:iCs/>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cs="Arial"/>
          <w:iCs/>
          <w:szCs w:val="20"/>
        </w:rPr>
        <w:t>A mezőt százalékjel (%) nélkül kell kitölteni.</w:t>
      </w:r>
    </w:p>
    <w:p w14:paraId="69FDCFB9" w14:textId="5974E5A8" w:rsidR="007A2BEF" w:rsidRPr="00AF3BD0" w:rsidRDefault="007A2BEF" w:rsidP="007A2BEF">
      <w:pPr>
        <w:keepNext/>
        <w:rPr>
          <w:rFonts w:cs="Arial"/>
          <w:i/>
          <w:szCs w:val="20"/>
        </w:rPr>
      </w:pPr>
      <w:r>
        <w:rPr>
          <w:rFonts w:cs="Arial"/>
          <w:i/>
          <w:szCs w:val="20"/>
        </w:rPr>
        <w:t>4</w:t>
      </w:r>
      <w:r w:rsidR="000B307A">
        <w:rPr>
          <w:rFonts w:cs="Arial"/>
          <w:i/>
          <w:szCs w:val="20"/>
        </w:rPr>
        <w:t>6</w:t>
      </w:r>
      <w:r w:rsidRPr="00AF3BD0">
        <w:rPr>
          <w:rFonts w:cs="Arial"/>
          <w:i/>
          <w:szCs w:val="20"/>
        </w:rPr>
        <w:t xml:space="preserve">. </w:t>
      </w:r>
      <w:r>
        <w:rPr>
          <w:rFonts w:cs="Arial"/>
          <w:i/>
          <w:szCs w:val="20"/>
        </w:rPr>
        <w:t>mező: Árfolyam alakulására</w:t>
      </w:r>
      <w:r w:rsidRPr="006C5994">
        <w:rPr>
          <w:rFonts w:cs="Arial"/>
          <w:i/>
          <w:szCs w:val="20"/>
        </w:rPr>
        <w:t xml:space="preserve"> mutató URL</w:t>
      </w:r>
    </w:p>
    <w:p w14:paraId="4916E9DD" w14:textId="77777777" w:rsidR="007A2BEF" w:rsidRPr="00CE24AD" w:rsidRDefault="007A2BEF" w:rsidP="007A2BEF">
      <w:pPr>
        <w:keepNext/>
        <w:rPr>
          <w:rFonts w:cs="Arial"/>
          <w:iCs/>
          <w:szCs w:val="20"/>
        </w:rPr>
      </w:pPr>
      <w:r w:rsidRPr="00907D5D">
        <w:rPr>
          <w:rFonts w:cs="Arial"/>
          <w:iCs/>
          <w:szCs w:val="20"/>
        </w:rPr>
        <w:t xml:space="preserve">A portfólió árfolyamának alakulását bemutató grafikon </w:t>
      </w:r>
      <w:r>
        <w:rPr>
          <w:rFonts w:cs="Arial"/>
          <w:iCs/>
          <w:szCs w:val="20"/>
        </w:rPr>
        <w:t>webcím</w:t>
      </w:r>
      <w:r w:rsidRPr="00907D5D">
        <w:rPr>
          <w:rFonts w:cs="Arial"/>
          <w:iCs/>
          <w:szCs w:val="20"/>
        </w:rPr>
        <w:t>e.</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F8D32" w14:textId="77777777" w:rsidR="00335DA8" w:rsidRDefault="00335DA8">
      <w:r>
        <w:separator/>
      </w:r>
    </w:p>
  </w:endnote>
  <w:endnote w:type="continuationSeparator" w:id="0">
    <w:p w14:paraId="4830C6CF" w14:textId="77777777" w:rsidR="00335DA8" w:rsidRDefault="00335DA8">
      <w:r>
        <w:continuationSeparator/>
      </w:r>
    </w:p>
  </w:endnote>
  <w:endnote w:type="continuationNotice" w:id="1">
    <w:p w14:paraId="6513A703" w14:textId="77777777" w:rsidR="00335DA8" w:rsidRDefault="00335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EE0EA" w14:textId="77777777" w:rsidR="00335DA8" w:rsidRDefault="00335DA8">
      <w:r>
        <w:separator/>
      </w:r>
    </w:p>
  </w:footnote>
  <w:footnote w:type="continuationSeparator" w:id="0">
    <w:p w14:paraId="585E909D" w14:textId="77777777" w:rsidR="00335DA8" w:rsidRDefault="00335DA8">
      <w:r>
        <w:continuationSeparator/>
      </w:r>
    </w:p>
  </w:footnote>
  <w:footnote w:type="continuationNotice" w:id="1">
    <w:p w14:paraId="02B55636" w14:textId="77777777" w:rsidR="00335DA8" w:rsidRDefault="00335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8"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5"/>
  </w:num>
  <w:num w:numId="2" w16cid:durableId="1564608305">
    <w:abstractNumId w:val="0"/>
  </w:num>
  <w:num w:numId="3" w16cid:durableId="1831601272">
    <w:abstractNumId w:val="7"/>
  </w:num>
  <w:num w:numId="4" w16cid:durableId="1485706410">
    <w:abstractNumId w:val="3"/>
  </w:num>
  <w:num w:numId="5" w16cid:durableId="1719747225">
    <w:abstractNumId w:val="10"/>
  </w:num>
  <w:num w:numId="6" w16cid:durableId="881013651">
    <w:abstractNumId w:val="6"/>
  </w:num>
  <w:num w:numId="7" w16cid:durableId="1288050425">
    <w:abstractNumId w:val="2"/>
  </w:num>
  <w:num w:numId="8" w16cid:durableId="630088740">
    <w:abstractNumId w:val="9"/>
  </w:num>
  <w:num w:numId="9" w16cid:durableId="686718513">
    <w:abstractNumId w:val="11"/>
  </w:num>
  <w:num w:numId="10" w16cid:durableId="564413233">
    <w:abstractNumId w:val="2"/>
  </w:num>
  <w:num w:numId="11" w16cid:durableId="2030141399">
    <w:abstractNumId w:val="8"/>
  </w:num>
  <w:num w:numId="12" w16cid:durableId="966395639">
    <w:abstractNumId w:val="1"/>
  </w:num>
  <w:num w:numId="13" w16cid:durableId="1172179567">
    <w:abstractNumId w:val="12"/>
  </w:num>
  <w:num w:numId="14" w16cid:durableId="20472934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3002"/>
    <w:rsid w:val="00023BD9"/>
    <w:rsid w:val="0002636C"/>
    <w:rsid w:val="000263E1"/>
    <w:rsid w:val="00027A3E"/>
    <w:rsid w:val="0003155D"/>
    <w:rsid w:val="00032273"/>
    <w:rsid w:val="00032A41"/>
    <w:rsid w:val="000335A9"/>
    <w:rsid w:val="00034107"/>
    <w:rsid w:val="00034519"/>
    <w:rsid w:val="000420E3"/>
    <w:rsid w:val="00042492"/>
    <w:rsid w:val="0004291C"/>
    <w:rsid w:val="00043923"/>
    <w:rsid w:val="0004466C"/>
    <w:rsid w:val="00044BAA"/>
    <w:rsid w:val="00045C67"/>
    <w:rsid w:val="00050014"/>
    <w:rsid w:val="000516D5"/>
    <w:rsid w:val="00052977"/>
    <w:rsid w:val="00054855"/>
    <w:rsid w:val="00056DCB"/>
    <w:rsid w:val="000608BC"/>
    <w:rsid w:val="00062D6D"/>
    <w:rsid w:val="00063172"/>
    <w:rsid w:val="000650A2"/>
    <w:rsid w:val="00065834"/>
    <w:rsid w:val="00066197"/>
    <w:rsid w:val="000665F5"/>
    <w:rsid w:val="00066D7A"/>
    <w:rsid w:val="00066EF1"/>
    <w:rsid w:val="00067002"/>
    <w:rsid w:val="00071D52"/>
    <w:rsid w:val="0007258B"/>
    <w:rsid w:val="0007293E"/>
    <w:rsid w:val="000801AB"/>
    <w:rsid w:val="00081562"/>
    <w:rsid w:val="00081A37"/>
    <w:rsid w:val="00082E48"/>
    <w:rsid w:val="000830A4"/>
    <w:rsid w:val="0008399C"/>
    <w:rsid w:val="00084842"/>
    <w:rsid w:val="00084880"/>
    <w:rsid w:val="00085CC4"/>
    <w:rsid w:val="00092495"/>
    <w:rsid w:val="000934FD"/>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C0601"/>
    <w:rsid w:val="000C1A50"/>
    <w:rsid w:val="000C3835"/>
    <w:rsid w:val="000C502F"/>
    <w:rsid w:val="000C5EA5"/>
    <w:rsid w:val="000C6425"/>
    <w:rsid w:val="000C76ED"/>
    <w:rsid w:val="000D0EB9"/>
    <w:rsid w:val="000D4341"/>
    <w:rsid w:val="000D54FD"/>
    <w:rsid w:val="000D7517"/>
    <w:rsid w:val="000D7698"/>
    <w:rsid w:val="000E11BA"/>
    <w:rsid w:val="000E33CD"/>
    <w:rsid w:val="000E4B68"/>
    <w:rsid w:val="000E4FA3"/>
    <w:rsid w:val="000E54DC"/>
    <w:rsid w:val="000E729B"/>
    <w:rsid w:val="000E74A5"/>
    <w:rsid w:val="000F047C"/>
    <w:rsid w:val="000F115B"/>
    <w:rsid w:val="000F3078"/>
    <w:rsid w:val="000F345A"/>
    <w:rsid w:val="00100E3E"/>
    <w:rsid w:val="001023B4"/>
    <w:rsid w:val="0010252A"/>
    <w:rsid w:val="00104ED3"/>
    <w:rsid w:val="0010505D"/>
    <w:rsid w:val="001056AE"/>
    <w:rsid w:val="00106028"/>
    <w:rsid w:val="0010616C"/>
    <w:rsid w:val="00107D10"/>
    <w:rsid w:val="00107EA6"/>
    <w:rsid w:val="00110AC9"/>
    <w:rsid w:val="00112698"/>
    <w:rsid w:val="0011331D"/>
    <w:rsid w:val="0011799C"/>
    <w:rsid w:val="001219FD"/>
    <w:rsid w:val="00122EEA"/>
    <w:rsid w:val="00124ED1"/>
    <w:rsid w:val="00130240"/>
    <w:rsid w:val="001333F7"/>
    <w:rsid w:val="00136C75"/>
    <w:rsid w:val="00137DF2"/>
    <w:rsid w:val="001416D4"/>
    <w:rsid w:val="001463A8"/>
    <w:rsid w:val="0015047D"/>
    <w:rsid w:val="001534F2"/>
    <w:rsid w:val="00155CBB"/>
    <w:rsid w:val="001565C6"/>
    <w:rsid w:val="001569D4"/>
    <w:rsid w:val="00156D66"/>
    <w:rsid w:val="001634E0"/>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FF7"/>
    <w:rsid w:val="001B0129"/>
    <w:rsid w:val="001B0D64"/>
    <w:rsid w:val="001B18D2"/>
    <w:rsid w:val="001B2797"/>
    <w:rsid w:val="001B4D6E"/>
    <w:rsid w:val="001C4785"/>
    <w:rsid w:val="001C60E3"/>
    <w:rsid w:val="001C6ABF"/>
    <w:rsid w:val="001D0193"/>
    <w:rsid w:val="001D2423"/>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620"/>
    <w:rsid w:val="0023698A"/>
    <w:rsid w:val="0023705D"/>
    <w:rsid w:val="00237934"/>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804EE"/>
    <w:rsid w:val="002817E0"/>
    <w:rsid w:val="00283382"/>
    <w:rsid w:val="00283E30"/>
    <w:rsid w:val="00283EF9"/>
    <w:rsid w:val="00285E32"/>
    <w:rsid w:val="002870A8"/>
    <w:rsid w:val="0029130E"/>
    <w:rsid w:val="002914DF"/>
    <w:rsid w:val="00291FAE"/>
    <w:rsid w:val="002927B3"/>
    <w:rsid w:val="00294670"/>
    <w:rsid w:val="00295414"/>
    <w:rsid w:val="00295C3E"/>
    <w:rsid w:val="00295DD1"/>
    <w:rsid w:val="00296B22"/>
    <w:rsid w:val="00297E19"/>
    <w:rsid w:val="002A013C"/>
    <w:rsid w:val="002A0AC2"/>
    <w:rsid w:val="002A384D"/>
    <w:rsid w:val="002A693D"/>
    <w:rsid w:val="002B0ABC"/>
    <w:rsid w:val="002B10B6"/>
    <w:rsid w:val="002B150D"/>
    <w:rsid w:val="002B2415"/>
    <w:rsid w:val="002B4106"/>
    <w:rsid w:val="002B634C"/>
    <w:rsid w:val="002C135E"/>
    <w:rsid w:val="002C2D93"/>
    <w:rsid w:val="002C577C"/>
    <w:rsid w:val="002C6BCE"/>
    <w:rsid w:val="002D225E"/>
    <w:rsid w:val="002D44C4"/>
    <w:rsid w:val="002D57A7"/>
    <w:rsid w:val="002D79A7"/>
    <w:rsid w:val="002E038C"/>
    <w:rsid w:val="002E2F12"/>
    <w:rsid w:val="002E3ED7"/>
    <w:rsid w:val="002E5B9F"/>
    <w:rsid w:val="002E5C6A"/>
    <w:rsid w:val="002E681F"/>
    <w:rsid w:val="002E79B5"/>
    <w:rsid w:val="002E7D9D"/>
    <w:rsid w:val="002F13CA"/>
    <w:rsid w:val="002F60D4"/>
    <w:rsid w:val="002F6595"/>
    <w:rsid w:val="002F6A24"/>
    <w:rsid w:val="0030044C"/>
    <w:rsid w:val="00302093"/>
    <w:rsid w:val="0030227C"/>
    <w:rsid w:val="0030369D"/>
    <w:rsid w:val="003046D0"/>
    <w:rsid w:val="00304F5E"/>
    <w:rsid w:val="003052BB"/>
    <w:rsid w:val="00306C0D"/>
    <w:rsid w:val="003106E9"/>
    <w:rsid w:val="00311AF1"/>
    <w:rsid w:val="0031266D"/>
    <w:rsid w:val="003136FE"/>
    <w:rsid w:val="00314A1F"/>
    <w:rsid w:val="00322DB9"/>
    <w:rsid w:val="0032681D"/>
    <w:rsid w:val="003268DA"/>
    <w:rsid w:val="00326A63"/>
    <w:rsid w:val="00326B2A"/>
    <w:rsid w:val="00326DBB"/>
    <w:rsid w:val="00331C61"/>
    <w:rsid w:val="00332B18"/>
    <w:rsid w:val="00335DA8"/>
    <w:rsid w:val="00337678"/>
    <w:rsid w:val="00337701"/>
    <w:rsid w:val="00337A3B"/>
    <w:rsid w:val="003400A5"/>
    <w:rsid w:val="003404F0"/>
    <w:rsid w:val="00340DEE"/>
    <w:rsid w:val="003422E7"/>
    <w:rsid w:val="00344571"/>
    <w:rsid w:val="0034495F"/>
    <w:rsid w:val="003458E0"/>
    <w:rsid w:val="00347043"/>
    <w:rsid w:val="003475F2"/>
    <w:rsid w:val="00350069"/>
    <w:rsid w:val="00351FCA"/>
    <w:rsid w:val="003547ED"/>
    <w:rsid w:val="00360B81"/>
    <w:rsid w:val="00364C57"/>
    <w:rsid w:val="00366F12"/>
    <w:rsid w:val="0037151C"/>
    <w:rsid w:val="00372268"/>
    <w:rsid w:val="00380E17"/>
    <w:rsid w:val="00380FCE"/>
    <w:rsid w:val="003832E4"/>
    <w:rsid w:val="00383817"/>
    <w:rsid w:val="00384492"/>
    <w:rsid w:val="00386E16"/>
    <w:rsid w:val="00386F0F"/>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6066"/>
    <w:rsid w:val="003A6EBA"/>
    <w:rsid w:val="003B15C0"/>
    <w:rsid w:val="003B3663"/>
    <w:rsid w:val="003B3A8B"/>
    <w:rsid w:val="003B402C"/>
    <w:rsid w:val="003B4086"/>
    <w:rsid w:val="003B47B3"/>
    <w:rsid w:val="003B5FB9"/>
    <w:rsid w:val="003C0C48"/>
    <w:rsid w:val="003C2F3C"/>
    <w:rsid w:val="003C32E4"/>
    <w:rsid w:val="003C3957"/>
    <w:rsid w:val="003C41C0"/>
    <w:rsid w:val="003C4C9D"/>
    <w:rsid w:val="003C5AA5"/>
    <w:rsid w:val="003D0964"/>
    <w:rsid w:val="003D2564"/>
    <w:rsid w:val="003D2A89"/>
    <w:rsid w:val="003D67A8"/>
    <w:rsid w:val="003E14EC"/>
    <w:rsid w:val="003E1B35"/>
    <w:rsid w:val="003E26D8"/>
    <w:rsid w:val="003E2B93"/>
    <w:rsid w:val="003E30A4"/>
    <w:rsid w:val="003E4E47"/>
    <w:rsid w:val="003E787A"/>
    <w:rsid w:val="003E7CD4"/>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3E17"/>
    <w:rsid w:val="00424A92"/>
    <w:rsid w:val="0042523E"/>
    <w:rsid w:val="004260F3"/>
    <w:rsid w:val="00432F17"/>
    <w:rsid w:val="00432FD8"/>
    <w:rsid w:val="004330B2"/>
    <w:rsid w:val="00434A1A"/>
    <w:rsid w:val="004356F0"/>
    <w:rsid w:val="00435785"/>
    <w:rsid w:val="004376FF"/>
    <w:rsid w:val="00437FF2"/>
    <w:rsid w:val="00440854"/>
    <w:rsid w:val="00442A5B"/>
    <w:rsid w:val="00443FA6"/>
    <w:rsid w:val="00445256"/>
    <w:rsid w:val="00451D62"/>
    <w:rsid w:val="00452B2C"/>
    <w:rsid w:val="00453FF3"/>
    <w:rsid w:val="0045403E"/>
    <w:rsid w:val="00454812"/>
    <w:rsid w:val="00456255"/>
    <w:rsid w:val="00460D9D"/>
    <w:rsid w:val="00462E52"/>
    <w:rsid w:val="00462E9F"/>
    <w:rsid w:val="00464278"/>
    <w:rsid w:val="0046508F"/>
    <w:rsid w:val="004659A1"/>
    <w:rsid w:val="00470B2A"/>
    <w:rsid w:val="004732B0"/>
    <w:rsid w:val="00473C66"/>
    <w:rsid w:val="00474729"/>
    <w:rsid w:val="00477C47"/>
    <w:rsid w:val="0048125A"/>
    <w:rsid w:val="00482BC7"/>
    <w:rsid w:val="004843CC"/>
    <w:rsid w:val="0048592D"/>
    <w:rsid w:val="00491B82"/>
    <w:rsid w:val="0049605B"/>
    <w:rsid w:val="00496429"/>
    <w:rsid w:val="00497433"/>
    <w:rsid w:val="004A0A25"/>
    <w:rsid w:val="004A0E65"/>
    <w:rsid w:val="004A1375"/>
    <w:rsid w:val="004A3C98"/>
    <w:rsid w:val="004A6364"/>
    <w:rsid w:val="004A76C7"/>
    <w:rsid w:val="004B411B"/>
    <w:rsid w:val="004B42B8"/>
    <w:rsid w:val="004C3DFB"/>
    <w:rsid w:val="004D0F44"/>
    <w:rsid w:val="004D213D"/>
    <w:rsid w:val="004D5A85"/>
    <w:rsid w:val="004E00C8"/>
    <w:rsid w:val="004E03CE"/>
    <w:rsid w:val="004E4582"/>
    <w:rsid w:val="004E4D01"/>
    <w:rsid w:val="004E541D"/>
    <w:rsid w:val="004E59AE"/>
    <w:rsid w:val="004F0D4B"/>
    <w:rsid w:val="004F2723"/>
    <w:rsid w:val="004F2BF7"/>
    <w:rsid w:val="004F5E56"/>
    <w:rsid w:val="004F6BFE"/>
    <w:rsid w:val="004F72F9"/>
    <w:rsid w:val="004F76FD"/>
    <w:rsid w:val="004F7E09"/>
    <w:rsid w:val="005025A7"/>
    <w:rsid w:val="005029AB"/>
    <w:rsid w:val="005029E9"/>
    <w:rsid w:val="00502C65"/>
    <w:rsid w:val="00503D39"/>
    <w:rsid w:val="00504921"/>
    <w:rsid w:val="0050561C"/>
    <w:rsid w:val="00506CC0"/>
    <w:rsid w:val="00513512"/>
    <w:rsid w:val="005138F1"/>
    <w:rsid w:val="0051541E"/>
    <w:rsid w:val="00516066"/>
    <w:rsid w:val="00520296"/>
    <w:rsid w:val="005213D2"/>
    <w:rsid w:val="00521C78"/>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11B8"/>
    <w:rsid w:val="00551A5C"/>
    <w:rsid w:val="00551D31"/>
    <w:rsid w:val="00552B63"/>
    <w:rsid w:val="00560421"/>
    <w:rsid w:val="00561622"/>
    <w:rsid w:val="00563E43"/>
    <w:rsid w:val="00565185"/>
    <w:rsid w:val="005656C7"/>
    <w:rsid w:val="0056606B"/>
    <w:rsid w:val="0056609B"/>
    <w:rsid w:val="00566F28"/>
    <w:rsid w:val="00567DC8"/>
    <w:rsid w:val="0057378A"/>
    <w:rsid w:val="00574985"/>
    <w:rsid w:val="00575D4B"/>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5F07"/>
    <w:rsid w:val="005A030F"/>
    <w:rsid w:val="005A1B1E"/>
    <w:rsid w:val="005A4065"/>
    <w:rsid w:val="005A482C"/>
    <w:rsid w:val="005A6408"/>
    <w:rsid w:val="005B0CEB"/>
    <w:rsid w:val="005B12A6"/>
    <w:rsid w:val="005B1780"/>
    <w:rsid w:val="005B2F83"/>
    <w:rsid w:val="005B5351"/>
    <w:rsid w:val="005B5907"/>
    <w:rsid w:val="005B5CAA"/>
    <w:rsid w:val="005C0D9B"/>
    <w:rsid w:val="005C1FBC"/>
    <w:rsid w:val="005C3C90"/>
    <w:rsid w:val="005C4964"/>
    <w:rsid w:val="005C5300"/>
    <w:rsid w:val="005C5C15"/>
    <w:rsid w:val="005C7122"/>
    <w:rsid w:val="005D05D3"/>
    <w:rsid w:val="005D0F2A"/>
    <w:rsid w:val="005D1609"/>
    <w:rsid w:val="005D16ED"/>
    <w:rsid w:val="005D78E9"/>
    <w:rsid w:val="005E03C5"/>
    <w:rsid w:val="005E396B"/>
    <w:rsid w:val="005E6C44"/>
    <w:rsid w:val="005E7C30"/>
    <w:rsid w:val="005F09C7"/>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6CD5"/>
    <w:rsid w:val="006378EB"/>
    <w:rsid w:val="00641574"/>
    <w:rsid w:val="006415A5"/>
    <w:rsid w:val="00645022"/>
    <w:rsid w:val="006476C9"/>
    <w:rsid w:val="00647CE1"/>
    <w:rsid w:val="00651D77"/>
    <w:rsid w:val="006534DB"/>
    <w:rsid w:val="00653A45"/>
    <w:rsid w:val="006566E9"/>
    <w:rsid w:val="00656914"/>
    <w:rsid w:val="00660EB9"/>
    <w:rsid w:val="00661911"/>
    <w:rsid w:val="00665C03"/>
    <w:rsid w:val="0066657C"/>
    <w:rsid w:val="0067125D"/>
    <w:rsid w:val="0067178A"/>
    <w:rsid w:val="00671FB0"/>
    <w:rsid w:val="006729F4"/>
    <w:rsid w:val="00672CC4"/>
    <w:rsid w:val="006730E0"/>
    <w:rsid w:val="00673827"/>
    <w:rsid w:val="0067653A"/>
    <w:rsid w:val="00680248"/>
    <w:rsid w:val="00681E92"/>
    <w:rsid w:val="00682476"/>
    <w:rsid w:val="00682BA8"/>
    <w:rsid w:val="006832F4"/>
    <w:rsid w:val="006839EE"/>
    <w:rsid w:val="00683AC8"/>
    <w:rsid w:val="006840AC"/>
    <w:rsid w:val="00686408"/>
    <w:rsid w:val="00686C3D"/>
    <w:rsid w:val="006904C1"/>
    <w:rsid w:val="00690ACB"/>
    <w:rsid w:val="00691127"/>
    <w:rsid w:val="0069235A"/>
    <w:rsid w:val="006923A5"/>
    <w:rsid w:val="006929C5"/>
    <w:rsid w:val="00693D48"/>
    <w:rsid w:val="00695423"/>
    <w:rsid w:val="0069687F"/>
    <w:rsid w:val="0069759E"/>
    <w:rsid w:val="00697BC9"/>
    <w:rsid w:val="006A0E8A"/>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61CC"/>
    <w:rsid w:val="006C7468"/>
    <w:rsid w:val="006D159C"/>
    <w:rsid w:val="006D1F2F"/>
    <w:rsid w:val="006D3D65"/>
    <w:rsid w:val="006E11B6"/>
    <w:rsid w:val="006E1334"/>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515E"/>
    <w:rsid w:val="007358C1"/>
    <w:rsid w:val="00735D65"/>
    <w:rsid w:val="00737703"/>
    <w:rsid w:val="0074184B"/>
    <w:rsid w:val="00741CA5"/>
    <w:rsid w:val="00742364"/>
    <w:rsid w:val="007430F8"/>
    <w:rsid w:val="00744455"/>
    <w:rsid w:val="0074577B"/>
    <w:rsid w:val="00747C38"/>
    <w:rsid w:val="00750B93"/>
    <w:rsid w:val="0075102D"/>
    <w:rsid w:val="00751EDE"/>
    <w:rsid w:val="0075249A"/>
    <w:rsid w:val="0075385E"/>
    <w:rsid w:val="007540BD"/>
    <w:rsid w:val="007569BD"/>
    <w:rsid w:val="00757ED3"/>
    <w:rsid w:val="00760E01"/>
    <w:rsid w:val="007628B9"/>
    <w:rsid w:val="007654A9"/>
    <w:rsid w:val="00767043"/>
    <w:rsid w:val="00782BF2"/>
    <w:rsid w:val="007834AF"/>
    <w:rsid w:val="00787E3F"/>
    <w:rsid w:val="007905B3"/>
    <w:rsid w:val="00790AEA"/>
    <w:rsid w:val="00792B9D"/>
    <w:rsid w:val="00793EA6"/>
    <w:rsid w:val="00794372"/>
    <w:rsid w:val="007A290F"/>
    <w:rsid w:val="007A2BEF"/>
    <w:rsid w:val="007A4FCD"/>
    <w:rsid w:val="007B24B5"/>
    <w:rsid w:val="007B27F9"/>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7C13"/>
    <w:rsid w:val="007F1815"/>
    <w:rsid w:val="007F2045"/>
    <w:rsid w:val="007F4863"/>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40899"/>
    <w:rsid w:val="0084166B"/>
    <w:rsid w:val="0084366B"/>
    <w:rsid w:val="008446CC"/>
    <w:rsid w:val="0085200D"/>
    <w:rsid w:val="00856171"/>
    <w:rsid w:val="008578F5"/>
    <w:rsid w:val="0086080D"/>
    <w:rsid w:val="008619CD"/>
    <w:rsid w:val="00861DE1"/>
    <w:rsid w:val="00861ED5"/>
    <w:rsid w:val="008627B4"/>
    <w:rsid w:val="00862C2E"/>
    <w:rsid w:val="008662BC"/>
    <w:rsid w:val="008706E0"/>
    <w:rsid w:val="008733EB"/>
    <w:rsid w:val="00873717"/>
    <w:rsid w:val="008738A9"/>
    <w:rsid w:val="00874482"/>
    <w:rsid w:val="00875B5F"/>
    <w:rsid w:val="0087697C"/>
    <w:rsid w:val="00877D58"/>
    <w:rsid w:val="00880755"/>
    <w:rsid w:val="00884BE7"/>
    <w:rsid w:val="00887C04"/>
    <w:rsid w:val="00887F0E"/>
    <w:rsid w:val="0089068C"/>
    <w:rsid w:val="00892781"/>
    <w:rsid w:val="00892BF0"/>
    <w:rsid w:val="008930B2"/>
    <w:rsid w:val="00893A55"/>
    <w:rsid w:val="00895C13"/>
    <w:rsid w:val="00895EBD"/>
    <w:rsid w:val="008A046B"/>
    <w:rsid w:val="008A093C"/>
    <w:rsid w:val="008A130F"/>
    <w:rsid w:val="008A2617"/>
    <w:rsid w:val="008A6052"/>
    <w:rsid w:val="008A67A4"/>
    <w:rsid w:val="008A6FD1"/>
    <w:rsid w:val="008B0F55"/>
    <w:rsid w:val="008B4B0C"/>
    <w:rsid w:val="008B5060"/>
    <w:rsid w:val="008B695B"/>
    <w:rsid w:val="008B7849"/>
    <w:rsid w:val="008C4FD9"/>
    <w:rsid w:val="008C584E"/>
    <w:rsid w:val="008C6C08"/>
    <w:rsid w:val="008C7D7A"/>
    <w:rsid w:val="008D09FE"/>
    <w:rsid w:val="008D1E6E"/>
    <w:rsid w:val="008D3CA9"/>
    <w:rsid w:val="008D4BB7"/>
    <w:rsid w:val="008E0C32"/>
    <w:rsid w:val="008E1B21"/>
    <w:rsid w:val="008E2AFB"/>
    <w:rsid w:val="008E42AE"/>
    <w:rsid w:val="008E50AE"/>
    <w:rsid w:val="008E6873"/>
    <w:rsid w:val="008E690E"/>
    <w:rsid w:val="008E72A2"/>
    <w:rsid w:val="008F53D8"/>
    <w:rsid w:val="008F6EDC"/>
    <w:rsid w:val="00900626"/>
    <w:rsid w:val="009013DC"/>
    <w:rsid w:val="009028B5"/>
    <w:rsid w:val="00902D2C"/>
    <w:rsid w:val="00905B95"/>
    <w:rsid w:val="00906236"/>
    <w:rsid w:val="00912486"/>
    <w:rsid w:val="00915767"/>
    <w:rsid w:val="009159FC"/>
    <w:rsid w:val="009176B1"/>
    <w:rsid w:val="00923EA8"/>
    <w:rsid w:val="0092506E"/>
    <w:rsid w:val="00925819"/>
    <w:rsid w:val="00933739"/>
    <w:rsid w:val="00934655"/>
    <w:rsid w:val="00935E84"/>
    <w:rsid w:val="00936EC5"/>
    <w:rsid w:val="00940A25"/>
    <w:rsid w:val="00943B58"/>
    <w:rsid w:val="009472ED"/>
    <w:rsid w:val="009478BA"/>
    <w:rsid w:val="00953EE7"/>
    <w:rsid w:val="00954E51"/>
    <w:rsid w:val="0095566B"/>
    <w:rsid w:val="00955DB1"/>
    <w:rsid w:val="00955EB9"/>
    <w:rsid w:val="009569E2"/>
    <w:rsid w:val="00957152"/>
    <w:rsid w:val="00962EAB"/>
    <w:rsid w:val="00965134"/>
    <w:rsid w:val="00965139"/>
    <w:rsid w:val="00967540"/>
    <w:rsid w:val="00971AC4"/>
    <w:rsid w:val="00973964"/>
    <w:rsid w:val="00973CF7"/>
    <w:rsid w:val="0097424B"/>
    <w:rsid w:val="00976E14"/>
    <w:rsid w:val="00977466"/>
    <w:rsid w:val="00981ACC"/>
    <w:rsid w:val="0098296B"/>
    <w:rsid w:val="0098428A"/>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2884"/>
    <w:rsid w:val="009C29CC"/>
    <w:rsid w:val="009C2D83"/>
    <w:rsid w:val="009C7B59"/>
    <w:rsid w:val="009D1595"/>
    <w:rsid w:val="009D1CA6"/>
    <w:rsid w:val="009D2451"/>
    <w:rsid w:val="009D24CA"/>
    <w:rsid w:val="009D2697"/>
    <w:rsid w:val="009D3157"/>
    <w:rsid w:val="009D3645"/>
    <w:rsid w:val="009D3821"/>
    <w:rsid w:val="009D494C"/>
    <w:rsid w:val="009D529B"/>
    <w:rsid w:val="009D6152"/>
    <w:rsid w:val="009D73E1"/>
    <w:rsid w:val="009E0368"/>
    <w:rsid w:val="009E049F"/>
    <w:rsid w:val="009E176E"/>
    <w:rsid w:val="009E2297"/>
    <w:rsid w:val="009E284D"/>
    <w:rsid w:val="009E3AC4"/>
    <w:rsid w:val="009E40FC"/>
    <w:rsid w:val="009E684A"/>
    <w:rsid w:val="009E6C8A"/>
    <w:rsid w:val="009F1F6D"/>
    <w:rsid w:val="009F2C03"/>
    <w:rsid w:val="009F3369"/>
    <w:rsid w:val="009F3BFC"/>
    <w:rsid w:val="009F45E7"/>
    <w:rsid w:val="009F5383"/>
    <w:rsid w:val="009F6672"/>
    <w:rsid w:val="009F6C55"/>
    <w:rsid w:val="009F7B8D"/>
    <w:rsid w:val="00A04967"/>
    <w:rsid w:val="00A071D3"/>
    <w:rsid w:val="00A17506"/>
    <w:rsid w:val="00A21483"/>
    <w:rsid w:val="00A21EF2"/>
    <w:rsid w:val="00A220DD"/>
    <w:rsid w:val="00A22E8C"/>
    <w:rsid w:val="00A3056D"/>
    <w:rsid w:val="00A326A7"/>
    <w:rsid w:val="00A32A9D"/>
    <w:rsid w:val="00A32D57"/>
    <w:rsid w:val="00A3643A"/>
    <w:rsid w:val="00A4354F"/>
    <w:rsid w:val="00A445A1"/>
    <w:rsid w:val="00A45169"/>
    <w:rsid w:val="00A458BD"/>
    <w:rsid w:val="00A45C65"/>
    <w:rsid w:val="00A4619C"/>
    <w:rsid w:val="00A5114A"/>
    <w:rsid w:val="00A56857"/>
    <w:rsid w:val="00A60CC1"/>
    <w:rsid w:val="00A63A1C"/>
    <w:rsid w:val="00A649F5"/>
    <w:rsid w:val="00A662CB"/>
    <w:rsid w:val="00A66589"/>
    <w:rsid w:val="00A67905"/>
    <w:rsid w:val="00A7028A"/>
    <w:rsid w:val="00A70DBE"/>
    <w:rsid w:val="00A73D24"/>
    <w:rsid w:val="00A7438E"/>
    <w:rsid w:val="00A7797E"/>
    <w:rsid w:val="00A77F4C"/>
    <w:rsid w:val="00A809F5"/>
    <w:rsid w:val="00A818BB"/>
    <w:rsid w:val="00A81987"/>
    <w:rsid w:val="00A828D1"/>
    <w:rsid w:val="00A83054"/>
    <w:rsid w:val="00A83631"/>
    <w:rsid w:val="00A849A5"/>
    <w:rsid w:val="00A86156"/>
    <w:rsid w:val="00A879AA"/>
    <w:rsid w:val="00A907F2"/>
    <w:rsid w:val="00A9230E"/>
    <w:rsid w:val="00A9297E"/>
    <w:rsid w:val="00A934F9"/>
    <w:rsid w:val="00A94D30"/>
    <w:rsid w:val="00A96E16"/>
    <w:rsid w:val="00AA1746"/>
    <w:rsid w:val="00AA2605"/>
    <w:rsid w:val="00AA43CD"/>
    <w:rsid w:val="00AB1021"/>
    <w:rsid w:val="00AB4A42"/>
    <w:rsid w:val="00AB5D07"/>
    <w:rsid w:val="00AB715F"/>
    <w:rsid w:val="00AC0DBF"/>
    <w:rsid w:val="00AC3EE5"/>
    <w:rsid w:val="00AC4192"/>
    <w:rsid w:val="00AC4C45"/>
    <w:rsid w:val="00AC595D"/>
    <w:rsid w:val="00AC6558"/>
    <w:rsid w:val="00AC656D"/>
    <w:rsid w:val="00AC7336"/>
    <w:rsid w:val="00AC7AEF"/>
    <w:rsid w:val="00AD1466"/>
    <w:rsid w:val="00AD1EED"/>
    <w:rsid w:val="00AD3187"/>
    <w:rsid w:val="00AD33CE"/>
    <w:rsid w:val="00AE2F70"/>
    <w:rsid w:val="00AE37CF"/>
    <w:rsid w:val="00AE6D29"/>
    <w:rsid w:val="00AF025A"/>
    <w:rsid w:val="00AF25E2"/>
    <w:rsid w:val="00AF3603"/>
    <w:rsid w:val="00AF59D1"/>
    <w:rsid w:val="00AF5A9E"/>
    <w:rsid w:val="00B0091B"/>
    <w:rsid w:val="00B016EA"/>
    <w:rsid w:val="00B019BD"/>
    <w:rsid w:val="00B01AAE"/>
    <w:rsid w:val="00B01DF2"/>
    <w:rsid w:val="00B04E58"/>
    <w:rsid w:val="00B071AE"/>
    <w:rsid w:val="00B07327"/>
    <w:rsid w:val="00B07887"/>
    <w:rsid w:val="00B078BA"/>
    <w:rsid w:val="00B15A7D"/>
    <w:rsid w:val="00B15DBA"/>
    <w:rsid w:val="00B16993"/>
    <w:rsid w:val="00B16B4E"/>
    <w:rsid w:val="00B179F6"/>
    <w:rsid w:val="00B20250"/>
    <w:rsid w:val="00B2053C"/>
    <w:rsid w:val="00B20D30"/>
    <w:rsid w:val="00B21C35"/>
    <w:rsid w:val="00B21D53"/>
    <w:rsid w:val="00B2326D"/>
    <w:rsid w:val="00B23B71"/>
    <w:rsid w:val="00B2618A"/>
    <w:rsid w:val="00B26A8A"/>
    <w:rsid w:val="00B27232"/>
    <w:rsid w:val="00B27480"/>
    <w:rsid w:val="00B27CC6"/>
    <w:rsid w:val="00B33AB0"/>
    <w:rsid w:val="00B346E2"/>
    <w:rsid w:val="00B34C90"/>
    <w:rsid w:val="00B35F90"/>
    <w:rsid w:val="00B361D0"/>
    <w:rsid w:val="00B40B02"/>
    <w:rsid w:val="00B41609"/>
    <w:rsid w:val="00B43637"/>
    <w:rsid w:val="00B438A3"/>
    <w:rsid w:val="00B43E69"/>
    <w:rsid w:val="00B45129"/>
    <w:rsid w:val="00B45453"/>
    <w:rsid w:val="00B45D76"/>
    <w:rsid w:val="00B46810"/>
    <w:rsid w:val="00B50BE7"/>
    <w:rsid w:val="00B52B42"/>
    <w:rsid w:val="00B626B6"/>
    <w:rsid w:val="00B63937"/>
    <w:rsid w:val="00B63D2D"/>
    <w:rsid w:val="00B70360"/>
    <w:rsid w:val="00B71D90"/>
    <w:rsid w:val="00B744CC"/>
    <w:rsid w:val="00B74598"/>
    <w:rsid w:val="00B760CB"/>
    <w:rsid w:val="00B775BE"/>
    <w:rsid w:val="00B84DD0"/>
    <w:rsid w:val="00B962C2"/>
    <w:rsid w:val="00B971E7"/>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A31"/>
    <w:rsid w:val="00C12203"/>
    <w:rsid w:val="00C1236B"/>
    <w:rsid w:val="00C140C3"/>
    <w:rsid w:val="00C15997"/>
    <w:rsid w:val="00C20E3A"/>
    <w:rsid w:val="00C2103C"/>
    <w:rsid w:val="00C2308B"/>
    <w:rsid w:val="00C23F09"/>
    <w:rsid w:val="00C24CF7"/>
    <w:rsid w:val="00C251FB"/>
    <w:rsid w:val="00C3089B"/>
    <w:rsid w:val="00C31305"/>
    <w:rsid w:val="00C32CE0"/>
    <w:rsid w:val="00C345CB"/>
    <w:rsid w:val="00C3606E"/>
    <w:rsid w:val="00C376C5"/>
    <w:rsid w:val="00C43B5E"/>
    <w:rsid w:val="00C46836"/>
    <w:rsid w:val="00C5024A"/>
    <w:rsid w:val="00C515EB"/>
    <w:rsid w:val="00C52FE5"/>
    <w:rsid w:val="00C53438"/>
    <w:rsid w:val="00C53A9E"/>
    <w:rsid w:val="00C53C81"/>
    <w:rsid w:val="00C55007"/>
    <w:rsid w:val="00C55487"/>
    <w:rsid w:val="00C57F66"/>
    <w:rsid w:val="00C60568"/>
    <w:rsid w:val="00C61ED9"/>
    <w:rsid w:val="00C64B62"/>
    <w:rsid w:val="00C65768"/>
    <w:rsid w:val="00C65802"/>
    <w:rsid w:val="00C67E74"/>
    <w:rsid w:val="00C73B73"/>
    <w:rsid w:val="00C753DC"/>
    <w:rsid w:val="00C75A73"/>
    <w:rsid w:val="00C766B8"/>
    <w:rsid w:val="00C76921"/>
    <w:rsid w:val="00C80DEC"/>
    <w:rsid w:val="00C85499"/>
    <w:rsid w:val="00C85AA3"/>
    <w:rsid w:val="00C85EAD"/>
    <w:rsid w:val="00C85F9C"/>
    <w:rsid w:val="00C86A58"/>
    <w:rsid w:val="00C874A3"/>
    <w:rsid w:val="00C87D4D"/>
    <w:rsid w:val="00C90D96"/>
    <w:rsid w:val="00C92CB2"/>
    <w:rsid w:val="00C93293"/>
    <w:rsid w:val="00C96336"/>
    <w:rsid w:val="00C96CB9"/>
    <w:rsid w:val="00C9734C"/>
    <w:rsid w:val="00C97D16"/>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482"/>
    <w:rsid w:val="00CC48E5"/>
    <w:rsid w:val="00CC6930"/>
    <w:rsid w:val="00CC694A"/>
    <w:rsid w:val="00CC6B18"/>
    <w:rsid w:val="00CD099A"/>
    <w:rsid w:val="00CD0A15"/>
    <w:rsid w:val="00CD20E0"/>
    <w:rsid w:val="00CD2242"/>
    <w:rsid w:val="00CD27E1"/>
    <w:rsid w:val="00CD289F"/>
    <w:rsid w:val="00CD3512"/>
    <w:rsid w:val="00CD4515"/>
    <w:rsid w:val="00CD4C2B"/>
    <w:rsid w:val="00CD5133"/>
    <w:rsid w:val="00CD6D5E"/>
    <w:rsid w:val="00CD7409"/>
    <w:rsid w:val="00CE2778"/>
    <w:rsid w:val="00CE7C84"/>
    <w:rsid w:val="00CF2632"/>
    <w:rsid w:val="00CF2DC6"/>
    <w:rsid w:val="00CF493D"/>
    <w:rsid w:val="00CF516F"/>
    <w:rsid w:val="00CF65A4"/>
    <w:rsid w:val="00CF7EB8"/>
    <w:rsid w:val="00D00B75"/>
    <w:rsid w:val="00D0238B"/>
    <w:rsid w:val="00D033EA"/>
    <w:rsid w:val="00D0361F"/>
    <w:rsid w:val="00D04297"/>
    <w:rsid w:val="00D0577C"/>
    <w:rsid w:val="00D10624"/>
    <w:rsid w:val="00D11103"/>
    <w:rsid w:val="00D11147"/>
    <w:rsid w:val="00D11288"/>
    <w:rsid w:val="00D12112"/>
    <w:rsid w:val="00D130E6"/>
    <w:rsid w:val="00D13F0D"/>
    <w:rsid w:val="00D17356"/>
    <w:rsid w:val="00D240D3"/>
    <w:rsid w:val="00D257DC"/>
    <w:rsid w:val="00D26150"/>
    <w:rsid w:val="00D2749D"/>
    <w:rsid w:val="00D27961"/>
    <w:rsid w:val="00D30DC8"/>
    <w:rsid w:val="00D33661"/>
    <w:rsid w:val="00D33B38"/>
    <w:rsid w:val="00D348E9"/>
    <w:rsid w:val="00D36435"/>
    <w:rsid w:val="00D369FD"/>
    <w:rsid w:val="00D41617"/>
    <w:rsid w:val="00D42E3A"/>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DB1"/>
    <w:rsid w:val="00D94B5E"/>
    <w:rsid w:val="00DA0BB6"/>
    <w:rsid w:val="00DA415F"/>
    <w:rsid w:val="00DA4AB2"/>
    <w:rsid w:val="00DA584B"/>
    <w:rsid w:val="00DA5E4D"/>
    <w:rsid w:val="00DA6F58"/>
    <w:rsid w:val="00DA795F"/>
    <w:rsid w:val="00DA7FE1"/>
    <w:rsid w:val="00DB1A33"/>
    <w:rsid w:val="00DB29C7"/>
    <w:rsid w:val="00DB3A45"/>
    <w:rsid w:val="00DB5062"/>
    <w:rsid w:val="00DB6040"/>
    <w:rsid w:val="00DB6691"/>
    <w:rsid w:val="00DB6F58"/>
    <w:rsid w:val="00DC0EAC"/>
    <w:rsid w:val="00DC49D4"/>
    <w:rsid w:val="00DC5072"/>
    <w:rsid w:val="00DD06A0"/>
    <w:rsid w:val="00DD2166"/>
    <w:rsid w:val="00DD271D"/>
    <w:rsid w:val="00DD33FB"/>
    <w:rsid w:val="00DD690B"/>
    <w:rsid w:val="00DD7B1D"/>
    <w:rsid w:val="00DE08BC"/>
    <w:rsid w:val="00DE329A"/>
    <w:rsid w:val="00DE5E76"/>
    <w:rsid w:val="00DE6AE3"/>
    <w:rsid w:val="00DE7BEC"/>
    <w:rsid w:val="00DF0CFB"/>
    <w:rsid w:val="00DF2E1C"/>
    <w:rsid w:val="00DF4791"/>
    <w:rsid w:val="00DF49C5"/>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347B3"/>
    <w:rsid w:val="00E36E26"/>
    <w:rsid w:val="00E37982"/>
    <w:rsid w:val="00E40E28"/>
    <w:rsid w:val="00E453DF"/>
    <w:rsid w:val="00E47800"/>
    <w:rsid w:val="00E50994"/>
    <w:rsid w:val="00E51FEC"/>
    <w:rsid w:val="00E5282A"/>
    <w:rsid w:val="00E547F8"/>
    <w:rsid w:val="00E60789"/>
    <w:rsid w:val="00E6138C"/>
    <w:rsid w:val="00E63D9B"/>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E70"/>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414C"/>
    <w:rsid w:val="00EE437F"/>
    <w:rsid w:val="00EE4FEE"/>
    <w:rsid w:val="00EE56F3"/>
    <w:rsid w:val="00EE6213"/>
    <w:rsid w:val="00EF02A6"/>
    <w:rsid w:val="00EF0AB1"/>
    <w:rsid w:val="00EF7F59"/>
    <w:rsid w:val="00F00B42"/>
    <w:rsid w:val="00F016FF"/>
    <w:rsid w:val="00F01B27"/>
    <w:rsid w:val="00F020DF"/>
    <w:rsid w:val="00F03179"/>
    <w:rsid w:val="00F0329E"/>
    <w:rsid w:val="00F046E2"/>
    <w:rsid w:val="00F073A6"/>
    <w:rsid w:val="00F07AB6"/>
    <w:rsid w:val="00F12434"/>
    <w:rsid w:val="00F12A83"/>
    <w:rsid w:val="00F1468A"/>
    <w:rsid w:val="00F14F11"/>
    <w:rsid w:val="00F20F8D"/>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A7C"/>
    <w:rsid w:val="00F5433A"/>
    <w:rsid w:val="00F54431"/>
    <w:rsid w:val="00F550E1"/>
    <w:rsid w:val="00F55473"/>
    <w:rsid w:val="00F576EA"/>
    <w:rsid w:val="00F57CF6"/>
    <w:rsid w:val="00F57ECC"/>
    <w:rsid w:val="00F60468"/>
    <w:rsid w:val="00F61B2B"/>
    <w:rsid w:val="00F62C93"/>
    <w:rsid w:val="00F64466"/>
    <w:rsid w:val="00F66C9B"/>
    <w:rsid w:val="00F73D00"/>
    <w:rsid w:val="00F7444E"/>
    <w:rsid w:val="00F824D9"/>
    <w:rsid w:val="00F831D6"/>
    <w:rsid w:val="00F837D5"/>
    <w:rsid w:val="00F85601"/>
    <w:rsid w:val="00F86C98"/>
    <w:rsid w:val="00F872C1"/>
    <w:rsid w:val="00F933A0"/>
    <w:rsid w:val="00FA27A9"/>
    <w:rsid w:val="00FA349E"/>
    <w:rsid w:val="00FA44CE"/>
    <w:rsid w:val="00FA6625"/>
    <w:rsid w:val="00FB1CD5"/>
    <w:rsid w:val="00FB2875"/>
    <w:rsid w:val="00FB2D63"/>
    <w:rsid w:val="00FB30ED"/>
    <w:rsid w:val="00FB45A4"/>
    <w:rsid w:val="00FB522C"/>
    <w:rsid w:val="00FB6797"/>
    <w:rsid w:val="00FB6B76"/>
    <w:rsid w:val="00FC1A3A"/>
    <w:rsid w:val="00FC3198"/>
    <w:rsid w:val="00FC3C6F"/>
    <w:rsid w:val="00FC3DF4"/>
    <w:rsid w:val="00FC6178"/>
    <w:rsid w:val="00FC6F47"/>
    <w:rsid w:val="00FD3E56"/>
    <w:rsid w:val="00FD5249"/>
    <w:rsid w:val="00FE051B"/>
    <w:rsid w:val="00FE0CB9"/>
    <w:rsid w:val="00FE0EAB"/>
    <w:rsid w:val="00FE2904"/>
    <w:rsid w:val="00FE327A"/>
    <w:rsid w:val="00FE4057"/>
    <w:rsid w:val="00FE6F4A"/>
    <w:rsid w:val="00FF055C"/>
    <w:rsid w:val="00FF1061"/>
    <w:rsid w:val="00FF13F6"/>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DB29C7"/>
    <w:pPr>
      <w:keepNext/>
      <w:keepLines/>
      <w:tabs>
        <w:tab w:val="left" w:pos="2835"/>
      </w:tabs>
      <w:spacing w:before="240" w:after="240"/>
      <w:outlineLvl w:val="1"/>
    </w:pPr>
    <w:rPr>
      <w:rFonts w:eastAsiaTheme="majorEastAsia" w:cstheme="majorBidi"/>
      <w:b/>
      <w:bCs/>
      <w:szCs w:val="26"/>
    </w:rPr>
  </w:style>
  <w:style w:type="paragraph" w:styleId="Cmsor3">
    <w:name w:val="heading 3"/>
    <w:basedOn w:val="Norml"/>
    <w:next w:val="Norml"/>
    <w:link w:val="Cmsor3Char"/>
    <w:autoRedefine/>
    <w:qFormat/>
    <w:rsid w:val="008B0F55"/>
    <w:pPr>
      <w:keepNext/>
      <w:spacing w:after="60"/>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8B0F55"/>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unhideWhenUsed/>
    <w:rsid w:val="00331C61"/>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DB29C7"/>
    <w:rPr>
      <w:rFonts w:ascii="Arial" w:eastAsiaTheme="majorEastAsia" w:hAnsi="Arial" w:cstheme="majorBidi"/>
      <w:b/>
      <w:bCs/>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customXml/itemProps2.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26</Pages>
  <Words>9924</Words>
  <Characters>68480</Characters>
  <Application>Microsoft Office Word</Application>
  <DocSecurity>0</DocSecurity>
  <Lines>570</Lines>
  <Paragraphs>156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78248</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STA</cp:lastModifiedBy>
  <cp:revision>3</cp:revision>
  <cp:lastPrinted>2019-07-10T07:01:00Z</cp:lastPrinted>
  <dcterms:created xsi:type="dcterms:W3CDTF">2024-04-18T10:25:00Z</dcterms:created>
  <dcterms:modified xsi:type="dcterms:W3CDTF">2024-05-23T18:55:00Z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