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26B1A0B1"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melléklet </w:t>
      </w:r>
      <w:r w:rsidR="00D87C43">
        <w:rPr>
          <w:rFonts w:cs="Arial"/>
          <w:szCs w:val="20"/>
        </w:rPr>
        <w:t>a</w:t>
      </w:r>
      <w:r w:rsidR="00332AE5">
        <w:rPr>
          <w:rFonts w:cs="Arial"/>
          <w:szCs w:val="20"/>
        </w:rPr>
        <w:t>z 58</w:t>
      </w:r>
      <w:r w:rsidR="00EC792D">
        <w:rPr>
          <w:rFonts w:cs="Arial"/>
          <w:szCs w:val="20"/>
        </w:rPr>
        <w:t>/2</w:t>
      </w:r>
      <w:r w:rsidR="00E55576">
        <w:rPr>
          <w:rFonts w:cs="Arial"/>
          <w:bCs/>
          <w:szCs w:val="20"/>
        </w:rPr>
        <w:t>02</w:t>
      </w:r>
      <w:r w:rsidR="00F937EA">
        <w:rPr>
          <w:rFonts w:cs="Arial"/>
          <w:bCs/>
          <w:szCs w:val="20"/>
        </w:rPr>
        <w:t>3</w:t>
      </w:r>
      <w:r w:rsidR="00D87C43">
        <w:rPr>
          <w:rFonts w:cs="Arial"/>
          <w:bCs/>
          <w:szCs w:val="20"/>
        </w:rPr>
        <w:t>. (</w:t>
      </w:r>
      <w:r w:rsidR="00332AE5">
        <w:rPr>
          <w:rFonts w:cs="Arial"/>
          <w:bCs/>
          <w:szCs w:val="20"/>
        </w:rPr>
        <w:t>XI. 24</w:t>
      </w:r>
      <w:r w:rsidR="00EC792D">
        <w:rPr>
          <w:rFonts w:cs="Arial"/>
          <w:bCs/>
          <w:szCs w:val="20"/>
        </w:rPr>
        <w:t>.</w:t>
      </w:r>
      <w:r w:rsidR="00D87C43">
        <w:rPr>
          <w:rFonts w:cs="Arial"/>
          <w:bCs/>
          <w:szCs w:val="20"/>
        </w:rPr>
        <w:t>)</w:t>
      </w:r>
      <w:r w:rsidR="00D87C43">
        <w:rPr>
          <w:rFonts w:cs="Arial"/>
          <w:iCs/>
          <w:szCs w:val="20"/>
        </w:rPr>
        <w:t xml:space="preserve"> MNB rendelethez</w:t>
      </w:r>
    </w:p>
    <w:p w14:paraId="7B93D2EB" w14:textId="77777777" w:rsidR="00710D29" w:rsidRPr="0066505D" w:rsidRDefault="0020526B" w:rsidP="0066505D">
      <w:pPr>
        <w:pStyle w:val="Cm"/>
        <w:rPr>
          <w:bCs/>
        </w:rPr>
      </w:pPr>
      <w:r w:rsidRPr="005A47CF">
        <w:t xml:space="preserve">A </w:t>
      </w:r>
      <w:proofErr w:type="spellStart"/>
      <w:r w:rsidRPr="005A47CF">
        <w:t>Bszt</w:t>
      </w:r>
      <w:proofErr w:type="spellEnd"/>
      <w:r w:rsidRPr="005A47CF">
        <w:t xml:space="preserve">.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350B3AD"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 és a külföldi befektetési vállalkozás</w:t>
      </w:r>
      <w:r w:rsidRPr="00034107">
        <w:rPr>
          <w:rFonts w:cs="Arial"/>
          <w:snapToGrid w:val="0"/>
          <w:szCs w:val="20"/>
        </w:rPr>
        <w:t xml:space="preserve"> </w:t>
      </w:r>
      <w:r w:rsidR="00084F5A">
        <w:rPr>
          <w:rFonts w:cs="Arial"/>
          <w:snapToGrid w:val="0"/>
          <w:szCs w:val="20"/>
        </w:rPr>
        <w:t xml:space="preserve">magyarországi fióktelepe </w:t>
      </w:r>
      <w:r w:rsidRPr="00034107">
        <w:rPr>
          <w:rFonts w:cs="Arial"/>
          <w:snapToGrid w:val="0"/>
          <w:szCs w:val="20"/>
        </w:rPr>
        <w:t xml:space="preserve">éves beszámolóját tartalmazó pdf formátumú fájlokat </w:t>
      </w:r>
      <w:r w:rsidRPr="008C4FD9">
        <w:rPr>
          <w:rFonts w:cs="Arial"/>
          <w:iCs/>
          <w:szCs w:val="20"/>
        </w:rPr>
        <w:t xml:space="preserve">az ERA rendszeren belül </w:t>
      </w:r>
      <w:r>
        <w:rPr>
          <w:rFonts w:cs="Arial"/>
          <w:iCs/>
          <w:szCs w:val="20"/>
        </w:rPr>
        <w:t>elérhető, alábbi űrlaphoz történő csatolás útján kell beküldeni:</w:t>
      </w:r>
    </w:p>
    <w:p w14:paraId="5A99111A" w14:textId="36317A03" w:rsidR="003666A2" w:rsidRPr="007A33C7" w:rsidRDefault="003666A2" w:rsidP="00C76892">
      <w:pPr>
        <w:rPr>
          <w:rFonts w:cs="Arial"/>
          <w:snapToGrid w:val="0"/>
          <w:szCs w:val="20"/>
        </w:rPr>
      </w:pPr>
      <w:r w:rsidRPr="007A33C7">
        <w:rPr>
          <w:rFonts w:cs="Arial"/>
          <w:snapToGrid w:val="0"/>
          <w:szCs w:val="20"/>
        </w:rPr>
        <w:t>ERA - E-ügyintézés -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4. Az IFRS</w:t>
      </w:r>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04B89F0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Az IFRS</w:t>
      </w:r>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lastRenderedPageBreak/>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A táblákban meghatározott pénzügyi információkat az IFRS</w:t>
      </w:r>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w:t>
      </w:r>
      <w:proofErr w:type="spellStart"/>
      <w:r w:rsidRPr="005A47CF">
        <w:rPr>
          <w:rFonts w:cs="Arial"/>
          <w:snapToGrid w:val="0"/>
          <w:szCs w:val="20"/>
        </w:rPr>
        <w:t>IAS</w:t>
      </w:r>
      <w:proofErr w:type="spellEnd"/>
      <w:r w:rsidR="008107EA" w:rsidRPr="005A47CF">
        <w:rPr>
          <w:rFonts w:cs="Arial"/>
          <w:snapToGrid w:val="0"/>
          <w:szCs w:val="20"/>
        </w:rPr>
        <w:t>-</w:t>
      </w:r>
      <w:r w:rsidRPr="005A47CF">
        <w:rPr>
          <w:rFonts w:cs="Arial"/>
          <w:snapToGrid w:val="0"/>
          <w:szCs w:val="20"/>
        </w:rPr>
        <w:t xml:space="preserve"> és IFRS</w:t>
      </w:r>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E666C9">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7777777"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0" w:name="_Hlk483473364"/>
      <w:r w:rsidR="001E7362" w:rsidRPr="005A47CF">
        <w:rPr>
          <w:rFonts w:cs="Arial"/>
          <w:szCs w:val="20"/>
        </w:rPr>
        <w:t>A hitelintézet (</w:t>
      </w:r>
      <w:proofErr w:type="spellStart"/>
      <w:r w:rsidR="001E7362" w:rsidRPr="005A47CF">
        <w:rPr>
          <w:rFonts w:cs="Arial"/>
          <w:szCs w:val="20"/>
        </w:rPr>
        <w:t>HB</w:t>
      </w:r>
      <w:proofErr w:type="spellEnd"/>
      <w:r w:rsidR="001E7362" w:rsidRPr="005A47CF">
        <w:rPr>
          <w:rFonts w:cs="Arial"/>
          <w:szCs w:val="20"/>
        </w:rPr>
        <w:t>), valamint a hitelintézeti fióktelep (</w:t>
      </w:r>
      <w:proofErr w:type="spellStart"/>
      <w:r w:rsidR="001E7362" w:rsidRPr="005A47CF">
        <w:rPr>
          <w:rFonts w:cs="Arial"/>
          <w:szCs w:val="20"/>
        </w:rPr>
        <w:t>HBF</w:t>
      </w:r>
      <w:proofErr w:type="spellEnd"/>
      <w:r w:rsidR="001E7362" w:rsidRPr="005A47CF">
        <w:rPr>
          <w:rFonts w:cs="Arial"/>
          <w:szCs w:val="20"/>
        </w:rPr>
        <w:t>) csak a befektetési szolgáltatási tevékenységéhez köthető</w:t>
      </w:r>
      <w:r w:rsidR="00E83B76" w:rsidRPr="005A47CF">
        <w:rPr>
          <w:rFonts w:cs="Arial"/>
          <w:szCs w:val="20"/>
        </w:rPr>
        <w:t xml:space="preserve"> műveleteket jelenti.</w:t>
      </w:r>
      <w:bookmarkEnd w:id="0"/>
      <w:r w:rsidR="00AB1482" w:rsidRPr="005A47CF">
        <w:rPr>
          <w:rFonts w:cs="Arial"/>
          <w:szCs w:val="20"/>
        </w:rPr>
        <w:t xml:space="preserve"> A befektetési szolgáltatási tevékenységhez köthető műveletek körébe tartoznak – egyebek mellett – például az értékpapírszámlákon </w:t>
      </w:r>
      <w:r w:rsidR="008668E9" w:rsidRPr="005A47CF">
        <w:rPr>
          <w:rFonts w:cs="Arial"/>
          <w:szCs w:val="20"/>
        </w:rPr>
        <w:t>[</w:t>
      </w:r>
      <w:r w:rsidR="00AB1482" w:rsidRPr="005A47CF">
        <w:rPr>
          <w:rFonts w:cs="Arial"/>
          <w:szCs w:val="20"/>
        </w:rPr>
        <w:t xml:space="preserve">ideértve a </w:t>
      </w:r>
      <w:r w:rsidR="0062790E" w:rsidRPr="005A47CF">
        <w:rPr>
          <w:rFonts w:cs="Arial"/>
          <w:szCs w:val="20"/>
        </w:rPr>
        <w:t xml:space="preserve">tartós befektetési számlának (a továbbiakban: </w:t>
      </w:r>
      <w:proofErr w:type="spellStart"/>
      <w:r w:rsidR="00AB1482" w:rsidRPr="005A47CF">
        <w:rPr>
          <w:rFonts w:cs="Arial"/>
          <w:szCs w:val="20"/>
        </w:rPr>
        <w:t>TBSZ</w:t>
      </w:r>
      <w:proofErr w:type="spellEnd"/>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proofErr w:type="spellStart"/>
      <w:r w:rsidR="00276898" w:rsidRPr="005A47CF">
        <w:rPr>
          <w:rFonts w:cs="Arial"/>
          <w:szCs w:val="20"/>
        </w:rPr>
        <w:lastRenderedPageBreak/>
        <w:t>NYESZ</w:t>
      </w:r>
      <w:proofErr w:type="spellEnd"/>
      <w:r w:rsidR="00276898" w:rsidRPr="005A47CF">
        <w:rPr>
          <w:rFonts w:cs="Arial"/>
          <w:szCs w:val="20"/>
        </w:rPr>
        <w:t xml:space="preserve">) minősülő </w:t>
      </w:r>
      <w:r w:rsidR="00AB1482" w:rsidRPr="005A47CF">
        <w:rPr>
          <w:rFonts w:cs="Arial"/>
          <w:szCs w:val="20"/>
        </w:rPr>
        <w:t>értékpapírszámlákat is</w:t>
      </w:r>
      <w:r w:rsidR="00533DAC" w:rsidRPr="005A47CF">
        <w:rPr>
          <w:rFonts w:cs="Arial"/>
          <w:szCs w:val="20"/>
        </w:rPr>
        <w:t>]</w:t>
      </w:r>
      <w:r w:rsidR="00AB1482" w:rsidRPr="005A47CF">
        <w:rPr>
          <w:rFonts w:cs="Arial"/>
          <w:szCs w:val="20"/>
        </w:rPr>
        <w:t xml:space="preserve"> végzett műveletek, a </w:t>
      </w:r>
      <w:proofErr w:type="spellStart"/>
      <w:r w:rsidR="00AB1482" w:rsidRPr="005A47CF">
        <w:rPr>
          <w:rFonts w:cs="Arial"/>
          <w:szCs w:val="20"/>
        </w:rPr>
        <w:t>NYESZ</w:t>
      </w:r>
      <w:proofErr w:type="spellEnd"/>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proofErr w:type="spellStart"/>
      <w:r w:rsidR="00AB1482" w:rsidRPr="005A47CF">
        <w:rPr>
          <w:rFonts w:cs="Arial"/>
          <w:szCs w:val="20"/>
        </w:rPr>
        <w:t>TBSZ</w:t>
      </w:r>
      <w:proofErr w:type="spellEnd"/>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77777777"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 (ideértve a saját számlákat is), az ügyfél ügyfélszámlája (az értékpapírszámla pénzszámla része) és az ügyfél folyószámlája közötti műveletet csak az ügyfélszámla oldaláról kell jelenteni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77777777" w:rsidR="002B2142" w:rsidRPr="005A47CF" w:rsidRDefault="002B2142" w:rsidP="00647536">
      <w:pPr>
        <w:spacing w:before="240"/>
        <w:rPr>
          <w:rFonts w:cs="Arial"/>
          <w:szCs w:val="20"/>
        </w:rPr>
      </w:pPr>
      <w:r w:rsidRPr="005A47CF">
        <w:rPr>
          <w:rFonts w:cs="Arial"/>
          <w:szCs w:val="20"/>
        </w:rPr>
        <w:t>A jelentés vonatkozási napja csak munkanap lehet. Egy adott vonatkozási napra készített jelentés csak az adott napon végrehajtott műveleteket tartalmazhatja, kivétel ez alól a Magyarországon munkaszüneti napnak számító napokon 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5731B4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xml:space="preserve">: a műveletet végrehajtó vállalkozás (vagyis az adatszolgáltató) azonosítására szolgáló egyedi kód, az ISO 9362 szabvány szerinti (11 karakter hosszúságú)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(BIC).</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ÉÉÉÉHHNN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w:t>
      </w:r>
      <w:proofErr w:type="spellStart"/>
      <w:proofErr w:type="gramStart"/>
      <w:r w:rsidRPr="005A47CF">
        <w:rPr>
          <w:rFonts w:cs="Arial"/>
          <w:szCs w:val="20"/>
        </w:rPr>
        <w:t>ÓÓ:PP</w:t>
      </w:r>
      <w:proofErr w:type="gramEnd"/>
      <w:r w:rsidRPr="005A47CF">
        <w:rPr>
          <w:rFonts w:cs="Arial"/>
          <w:szCs w:val="20"/>
        </w:rPr>
        <w:t>:MM</w:t>
      </w:r>
      <w:proofErr w:type="spellEnd"/>
      <w:r w:rsidRPr="005A47CF">
        <w:rPr>
          <w:rFonts w:cs="Arial"/>
          <w:szCs w:val="20"/>
        </w:rPr>
        <w:t>+/-</w:t>
      </w:r>
      <w:proofErr w:type="spellStart"/>
      <w:r w:rsidRPr="005A47CF">
        <w:rPr>
          <w:rFonts w:cs="Arial"/>
          <w:szCs w:val="20"/>
        </w:rPr>
        <w:t>ÓÓ</w:t>
      </w:r>
      <w:proofErr w:type="spellEnd"/>
      <w:r w:rsidRPr="005A47CF">
        <w:rPr>
          <w:rFonts w:cs="Arial"/>
          <w:szCs w:val="20"/>
        </w:rPr>
        <w:t>, 11 karakter).</w:t>
      </w:r>
    </w:p>
    <w:p w14:paraId="6FEB8353" w14:textId="2B6B80E8"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annak meghatározása, hogy a művelet az ügyfél (saját számlára vonatkozó művelet esetén a jelentő adatszolgáltató) szempontjából jóváírás vagy terhelés-e. A lehetséges értékek: „J” = Jóváírás, „T” = Terhelés.</w:t>
      </w:r>
    </w:p>
    <w:p w14:paraId="3919F659" w14:textId="1BD20D10"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 (saját részére, illetve egy vagy több ügyfél megbízásából)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proofErr w:type="gramStart"/>
      <w:r w:rsidR="00A20E84" w:rsidRPr="005A47CF">
        <w:rPr>
          <w:rFonts w:cs="Arial"/>
          <w:szCs w:val="20"/>
        </w:rPr>
        <w:t>szerep”-</w:t>
      </w:r>
      <w:proofErr w:type="gramEnd"/>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(vagyis 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 (ami ennél a táblánál pénzátvezetésnek minősül)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 xml:space="preserve">jóváírás).  Az ügyfél szempontjából jelentett sorban a „kereskedési </w:t>
      </w:r>
      <w:proofErr w:type="gramStart"/>
      <w:r w:rsidR="002B4533" w:rsidRPr="005A47CF">
        <w:rPr>
          <w:rFonts w:cs="Arial"/>
          <w:szCs w:val="20"/>
        </w:rPr>
        <w:t>szerep”-</w:t>
      </w:r>
      <w:proofErr w:type="gramEnd"/>
      <w:r w:rsidR="002B4533" w:rsidRPr="005A47CF">
        <w:rPr>
          <w:rFonts w:cs="Arial"/>
          <w:szCs w:val="20"/>
        </w:rPr>
        <w:t>nél „A” (vagyis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17D27A76"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él (adott esetben az adatszolgáltató)</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w:t>
      </w:r>
      <w:proofErr w:type="spellStart"/>
      <w:r w:rsidRPr="005A47CF">
        <w:rPr>
          <w:rFonts w:cs="Arial"/>
          <w:szCs w:val="20"/>
        </w:rPr>
        <w:t>max</w:t>
      </w:r>
      <w:proofErr w:type="spellEnd"/>
      <w:r w:rsidRPr="005A47CF">
        <w:rPr>
          <w:rFonts w:cs="Arial"/>
          <w:szCs w:val="20"/>
        </w:rPr>
        <w:t>.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w:t>
      </w:r>
      <w:proofErr w:type="gramStart"/>
      <w:r w:rsidR="0082202E" w:rsidRPr="005A47CF">
        <w:rPr>
          <w:rFonts w:cs="Arial"/>
          <w:szCs w:val="20"/>
        </w:rPr>
        <w:t>pl</w:t>
      </w:r>
      <w:r w:rsidR="005F6989" w:rsidRPr="005A47CF">
        <w:rPr>
          <w:rFonts w:cs="Arial"/>
          <w:szCs w:val="20"/>
        </w:rPr>
        <w:t>.</w:t>
      </w:r>
      <w:proofErr w:type="gramEnd"/>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w:t>
      </w:r>
      <w:proofErr w:type="spellStart"/>
      <w:r w:rsidRPr="005A47CF">
        <w:rPr>
          <w:rFonts w:cs="Arial"/>
          <w:szCs w:val="20"/>
        </w:rPr>
        <w:t>max</w:t>
      </w:r>
      <w:proofErr w:type="spellEnd"/>
      <w:r w:rsidRPr="005A47CF">
        <w:rPr>
          <w:rFonts w:cs="Arial"/>
          <w:szCs w:val="20"/>
        </w:rPr>
        <w:t>.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75B4AA9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(beleértve az adatszolgáltatót)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belső kódját (</w:t>
      </w:r>
      <w:proofErr w:type="spellStart"/>
      <w:r w:rsidRPr="005A47CF">
        <w:rPr>
          <w:rFonts w:cs="Arial"/>
          <w:szCs w:val="20"/>
        </w:rPr>
        <w:t>max</w:t>
      </w:r>
      <w:proofErr w:type="spellEnd"/>
      <w:r w:rsidRPr="005A47CF">
        <w:rPr>
          <w:rFonts w:cs="Arial"/>
          <w:szCs w:val="20"/>
        </w:rPr>
        <w:t xml:space="preserve">. 40 karakter) kell megadni. </w:t>
      </w:r>
      <w:r w:rsidR="00A75758" w:rsidRPr="005A47CF">
        <w:rPr>
          <w:rFonts w:cs="Arial"/>
          <w:szCs w:val="20"/>
        </w:rPr>
        <w:t>A táblában és</w:t>
      </w:r>
      <w:r w:rsidR="00E923C1" w:rsidRPr="005A47CF">
        <w:rPr>
          <w:rFonts w:cs="Arial"/>
          <w:szCs w:val="20"/>
        </w:rPr>
        <w:t xml:space="preserve"> a </w:t>
      </w:r>
      <w:proofErr w:type="spellStart"/>
      <w:r w:rsidR="00CE47DF" w:rsidRPr="005A47CF">
        <w:rPr>
          <w:rFonts w:cs="Arial"/>
          <w:szCs w:val="20"/>
        </w:rPr>
        <w:t>MiFIR</w:t>
      </w:r>
      <w:proofErr w:type="spellEnd"/>
      <w:r w:rsidR="00CE47DF" w:rsidRPr="005A47CF">
        <w:rPr>
          <w:rFonts w:cs="Arial"/>
          <w:szCs w:val="20"/>
        </w:rPr>
        <w:t xml:space="preserve">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w:t>
      </w:r>
      <w:proofErr w:type="spellStart"/>
      <w:r w:rsidR="004E13D6" w:rsidRPr="005A47CF">
        <w:rPr>
          <w:rFonts w:cs="Arial"/>
          <w:szCs w:val="20"/>
        </w:rPr>
        <w:t>CONCAT</w:t>
      </w:r>
      <w:proofErr w:type="spellEnd"/>
      <w:r w:rsidR="004E13D6" w:rsidRPr="005A47CF">
        <w:rPr>
          <w:rFonts w:cs="Arial"/>
          <w:szCs w:val="20"/>
        </w:rPr>
        <w: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a partner BIC kódja. Ha a partnernek nincs BIC kódja, akkor az adott intézmény rövid (vagy rövidített), beszédes nevét kell megadni, pontosan 11 karakter hosszan. Ha a rövid név 11 karakternél rövidebb lenne, akkor „</w:t>
      </w:r>
      <w:proofErr w:type="gramStart"/>
      <w:r w:rsidRPr="005A47CF">
        <w:rPr>
          <w:rFonts w:cs="Arial"/>
          <w:szCs w:val="20"/>
        </w:rPr>
        <w:t>X”-</w:t>
      </w:r>
      <w:proofErr w:type="spellStart"/>
      <w:proofErr w:type="gramEnd"/>
      <w:r w:rsidRPr="005A47CF">
        <w:rPr>
          <w:rFonts w:cs="Arial"/>
          <w:szCs w:val="20"/>
        </w:rPr>
        <w:t>ekkel</w:t>
      </w:r>
      <w:proofErr w:type="spellEnd"/>
      <w:r w:rsidRPr="005A47CF">
        <w:rPr>
          <w:rFonts w:cs="Arial"/>
          <w:szCs w:val="20"/>
        </w:rPr>
        <w:t xml:space="preserve">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BIC</w:t>
      </w:r>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ek: „B” = BIC,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ak dátuma ÉÉÉÉHHNN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E666C9">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77777777" w:rsidR="00024F09" w:rsidRPr="005A47CF" w:rsidRDefault="00024F09" w:rsidP="00004E66">
      <w:pPr>
        <w:rPr>
          <w:rFonts w:cs="Arial"/>
          <w:szCs w:val="20"/>
        </w:rPr>
      </w:pPr>
      <w:r w:rsidRPr="005A47CF">
        <w:rPr>
          <w:rFonts w:cs="Arial"/>
          <w:szCs w:val="20"/>
        </w:rPr>
        <w:t xml:space="preserve">Az egyes devizákra vonatkozó adatok (2-5. oszlop) az adott deviza egységében szerepelnek. Ahol több deviza összesítéséről van szó (vagyis az 1. és a 6. oszlopban),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581" w:type="dxa"/>
        <w:tblInd w:w="58" w:type="dxa"/>
        <w:tblCellMar>
          <w:left w:w="70" w:type="dxa"/>
          <w:right w:w="70" w:type="dxa"/>
        </w:tblCellMar>
        <w:tblLook w:val="04A0" w:firstRow="1" w:lastRow="0" w:firstColumn="1" w:lastColumn="0" w:noHBand="0" w:noVBand="1"/>
      </w:tblPr>
      <w:tblGrid>
        <w:gridCol w:w="901"/>
        <w:gridCol w:w="8680"/>
      </w:tblGrid>
      <w:tr w:rsidR="00FA6D36" w:rsidRPr="005A47CF" w14:paraId="16C19AB3" w14:textId="77777777" w:rsidTr="0066505D">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680"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66505D">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680"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 xml:space="preserve">A tárgynapra vonatkozóan az ügyfélszámlák követel egyenlegeit tartalmazza. Az összesítésnél bruttó elvet kell követni, a tartozások és követelések ügyfelek között nem </w:t>
            </w:r>
            <w:proofErr w:type="spellStart"/>
            <w:r w:rsidRPr="005A47CF">
              <w:rPr>
                <w:rFonts w:cs="Arial"/>
                <w:szCs w:val="20"/>
              </w:rPr>
              <w:t>nettósíthatók</w:t>
            </w:r>
            <w:proofErr w:type="spellEnd"/>
            <w:r w:rsidRPr="005A47CF">
              <w:rPr>
                <w:rFonts w:cs="Arial"/>
                <w:szCs w:val="20"/>
              </w:rPr>
              <w:t>,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66505D">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680"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66505D">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680"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KELER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66505D">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680"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77777777"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w:t>
            </w:r>
            <w:proofErr w:type="spellStart"/>
            <w:r w:rsidRPr="005A47CF">
              <w:rPr>
                <w:rFonts w:cs="Arial"/>
                <w:szCs w:val="20"/>
              </w:rPr>
              <w:t>ek</w:t>
            </w:r>
            <w:proofErr w:type="spellEnd"/>
            <w:r w:rsidRPr="005A47CF">
              <w:rPr>
                <w:rFonts w:cs="Arial"/>
                <w:szCs w:val="20"/>
              </w:rPr>
              <w:t>)</w:t>
            </w:r>
            <w:proofErr w:type="spellStart"/>
            <w:r w:rsidRPr="005A47CF">
              <w:rPr>
                <w:rFonts w:cs="Arial"/>
                <w:szCs w:val="20"/>
              </w:rPr>
              <w:t>nél</w:t>
            </w:r>
            <w:proofErr w:type="spellEnd"/>
            <w:r w:rsidRPr="005A47CF">
              <w:rPr>
                <w:rFonts w:cs="Arial"/>
                <w:szCs w:val="20"/>
              </w:rPr>
              <w:t xml:space="preserve">,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66505D">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680"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66505D">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680" w:type="dxa"/>
          </w:tcPr>
          <w:p w14:paraId="30A0FBF7" w14:textId="77777777" w:rsidR="00B3024F" w:rsidRPr="005A47CF" w:rsidRDefault="00B3024F" w:rsidP="00A4038A">
            <w:pPr>
              <w:rPr>
                <w:rFonts w:cs="Arial"/>
                <w:szCs w:val="20"/>
              </w:rPr>
            </w:pPr>
            <w:r w:rsidRPr="005A47CF">
              <w:rPr>
                <w:rFonts w:cs="Arial"/>
                <w:szCs w:val="20"/>
              </w:rPr>
              <w:t>Más befektetési szolgáltató(k)nál lévő pénzeszköz</w:t>
            </w:r>
          </w:p>
          <w:p w14:paraId="2AEEF1AC" w14:textId="77777777"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nál (így a klíringtagoknál) elhelyezett pénzeszközök.</w:t>
            </w:r>
          </w:p>
        </w:tc>
      </w:tr>
      <w:tr w:rsidR="00FA6D36" w:rsidRPr="005A47CF" w14:paraId="3FB9FCC2" w14:textId="77777777" w:rsidTr="0066505D">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680"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66505D">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680"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77777777"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FA6D36" w:rsidRPr="005A47CF" w14:paraId="605ADB0E" w14:textId="77777777" w:rsidTr="0066505D">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680"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66505D">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680"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66505D">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680"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66505D">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680"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66505D">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680"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KELER </w:t>
            </w:r>
            <w:proofErr w:type="spellStart"/>
            <w:r w:rsidR="003E38A8" w:rsidRPr="005A47CF">
              <w:rPr>
                <w:rFonts w:cs="Arial"/>
                <w:szCs w:val="20"/>
              </w:rPr>
              <w:t>KSZF</w:t>
            </w:r>
            <w:proofErr w:type="spellEnd"/>
            <w:r w:rsidR="003E38A8" w:rsidRPr="005A47CF">
              <w:rPr>
                <w:rFonts w:cs="Arial"/>
                <w:szCs w:val="20"/>
              </w:rPr>
              <w:t xml:space="preserve"> Központi Szerződő Fél </w:t>
            </w:r>
            <w:r w:rsidRPr="005A47CF">
              <w:rPr>
                <w:rFonts w:cs="Arial"/>
                <w:szCs w:val="20"/>
              </w:rPr>
              <w:t>Zrt. által visszaigazolt összeget kell szerepeltetni.</w:t>
            </w:r>
          </w:p>
        </w:tc>
      </w:tr>
      <w:tr w:rsidR="00FA6D36" w:rsidRPr="005A47CF" w14:paraId="2170D0DF" w14:textId="77777777" w:rsidTr="0066505D">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680"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w:t>
            </w:r>
            <w:proofErr w:type="spellStart"/>
            <w:r w:rsidRPr="005A47CF">
              <w:rPr>
                <w:rFonts w:cs="Arial"/>
                <w:szCs w:val="20"/>
              </w:rPr>
              <w:t>alulfedezik</w:t>
            </w:r>
            <w:proofErr w:type="spellEnd"/>
            <w:r w:rsidRPr="005A47CF">
              <w:rPr>
                <w:rFonts w:cs="Arial"/>
                <w:szCs w:val="20"/>
              </w:rPr>
              <w:t xml:space="preserve">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66505D">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680"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77777777"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vezetett saját számlákon elhelyezett, valamint más befektetési vállalkozásnál lévő saját pénzeszközöket, továbbá az úton lévő saját tulajdonú (</w:t>
            </w:r>
            <w:r w:rsidR="006F5801" w:rsidRPr="005A47CF">
              <w:rPr>
                <w:rFonts w:cs="Arial"/>
                <w:szCs w:val="20"/>
              </w:rPr>
              <w:t>az adatszolgáltató</w:t>
            </w:r>
            <w:r w:rsidRPr="005A47CF">
              <w:rPr>
                <w:rFonts w:cs="Arial"/>
                <w:szCs w:val="20"/>
              </w:rPr>
              <w:t xml:space="preserve"> tulajdonában lévő)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66505D">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680"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77777777"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66505D">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680"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66505D">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680"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E666C9">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1"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teljeskörűen kell szolgáltatni.</w:t>
      </w:r>
    </w:p>
    <w:bookmarkEnd w:id="1"/>
    <w:p w14:paraId="45A3C8C9" w14:textId="77777777" w:rsidR="00996A2B" w:rsidRPr="005A47CF" w:rsidRDefault="00996A2B" w:rsidP="000C6C3D">
      <w:r w:rsidRPr="005A47CF">
        <w:t xml:space="preserve">Az értékpapírokat </w:t>
      </w:r>
      <w:proofErr w:type="spellStart"/>
      <w:r w:rsidRPr="005A47CF">
        <w:t>akkortól</w:t>
      </w:r>
      <w:proofErr w:type="spellEnd"/>
      <w:r w:rsidRPr="005A47CF">
        <w:t xml:space="preserve">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Pr="005A47CF">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77777777" w:rsidR="00912CE6" w:rsidRPr="005A47CF" w:rsidRDefault="00912CE6" w:rsidP="000C6C3D">
      <w:r w:rsidRPr="005A47CF">
        <w:t xml:space="preserve">A befektetési jegyek esetében akkor kell </w:t>
      </w:r>
      <w:r w:rsidR="00FB79D3" w:rsidRPr="005A47CF">
        <w:t>az adatokat megadni, ha a vételek (illetve eladások) d</w:t>
      </w:r>
      <w:r w:rsidR="003F1253" w:rsidRPr="005A47CF">
        <w:t>ara</w:t>
      </w:r>
      <w:r w:rsidR="00FB79D3" w:rsidRPr="005A47CF">
        <w:t>bszáma már ismert. (Adott esetben pl. a T+2-dik napon.)</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864" w:type="dxa"/>
        <w:tblInd w:w="58" w:type="dxa"/>
        <w:tblCellMar>
          <w:left w:w="70" w:type="dxa"/>
          <w:right w:w="70" w:type="dxa"/>
        </w:tblCellMar>
        <w:tblLook w:val="04A0" w:firstRow="1" w:lastRow="0" w:firstColumn="1" w:lastColumn="0" w:noHBand="0" w:noVBand="1"/>
      </w:tblPr>
      <w:tblGrid>
        <w:gridCol w:w="1725"/>
        <w:gridCol w:w="8068"/>
        <w:gridCol w:w="71"/>
      </w:tblGrid>
      <w:tr w:rsidR="00FE3007" w:rsidRPr="005A47CF" w14:paraId="3294EE02" w14:textId="77777777" w:rsidTr="008036FD">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8139" w:type="dxa"/>
            <w:gridSpan w:val="2"/>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KELER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626A14">
        <w:trPr>
          <w:gridAfter w:val="1"/>
          <w:wAfter w:w="71" w:type="dxa"/>
          <w:trHeight w:val="20"/>
        </w:trPr>
        <w:tc>
          <w:tcPr>
            <w:tcW w:w="1713"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677DDB" w:rsidRPr="005A47CF">
              <w:rPr>
                <w:rFonts w:eastAsia="Times New Roman" w:cs="Arial"/>
                <w:b/>
                <w:color w:val="000000"/>
                <w:szCs w:val="20"/>
                <w:lang w:eastAsia="hu-HU"/>
              </w:rPr>
              <w:t>-</w:t>
            </w:r>
            <w:r w:rsidRPr="005A47CF">
              <w:rPr>
                <w:rFonts w:eastAsia="Times New Roman" w:cs="Arial"/>
                <w:b/>
                <w:color w:val="000000"/>
                <w:szCs w:val="20"/>
                <w:lang w:eastAsia="hu-HU"/>
              </w:rPr>
              <w:t xml:space="preserve"> </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8080"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8036FD">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8139" w:type="dxa"/>
            <w:gridSpan w:val="2"/>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értékpapírt vásárolt az ügyfelétől, és a megvásárolt értékpapírokat még nem vezették át a KELER megbízói alszámláról a KELER</w:t>
            </w:r>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8036FD">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8139" w:type="dxa"/>
            <w:gridSpan w:val="2"/>
          </w:tcPr>
          <w:p w14:paraId="4DABFBC6" w14:textId="3FFF70A6" w:rsidR="00FE3007" w:rsidRPr="005A47CF" w:rsidRDefault="00FE3007" w:rsidP="00BC2A58">
            <w:pPr>
              <w:spacing w:before="240"/>
              <w:rPr>
                <w:rFonts w:cs="Arial"/>
                <w:szCs w:val="20"/>
              </w:rPr>
            </w:pPr>
            <w:r w:rsidRPr="005A47CF">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w:t>
            </w:r>
            <w:proofErr w:type="spellStart"/>
            <w:r w:rsidRPr="005A47CF">
              <w:rPr>
                <w:rFonts w:cs="Arial"/>
                <w:szCs w:val="20"/>
              </w:rPr>
              <w:t>Bkr</w:t>
            </w:r>
            <w:proofErr w:type="spellEnd"/>
            <w:r w:rsidRPr="005A47CF">
              <w:rPr>
                <w:rFonts w:cs="Arial"/>
                <w:szCs w:val="20"/>
              </w:rPr>
              <w:t>.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8036FD">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8139" w:type="dxa"/>
            <w:gridSpan w:val="2"/>
          </w:tcPr>
          <w:p w14:paraId="3DB3B374" w14:textId="77777777"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8036FD">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8139" w:type="dxa"/>
            <w:gridSpan w:val="2"/>
          </w:tcPr>
          <w:p w14:paraId="2FD1E05A" w14:textId="77777777" w:rsidR="00FE3007" w:rsidRPr="005A47CF" w:rsidRDefault="00FE3007" w:rsidP="00BC2A58">
            <w:pPr>
              <w:spacing w:before="240"/>
              <w:rPr>
                <w:rFonts w:cs="Arial"/>
                <w:szCs w:val="20"/>
              </w:rPr>
            </w:pPr>
            <w:r w:rsidRPr="005A47CF">
              <w:rPr>
                <w:rFonts w:cs="Arial"/>
                <w:szCs w:val="20"/>
              </w:rPr>
              <w:t xml:space="preserve">Az értékpapír mennyiségi egységében fennálló, ügyfelekkel szembeni bruttó követelés (módosítva az értékpapír-kölcsönzésből adódó állománymozgásokkal). </w:t>
            </w:r>
          </w:p>
        </w:tc>
      </w:tr>
      <w:tr w:rsidR="004E13D6" w:rsidRPr="005A47CF" w14:paraId="3AEBF579" w14:textId="77777777" w:rsidTr="008036FD">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8139" w:type="dxa"/>
            <w:gridSpan w:val="2"/>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735495">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8139" w:type="dxa"/>
            <w:gridSpan w:val="2"/>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2"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E666C9">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3"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3"/>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proofErr w:type="spellStart"/>
      <w:r w:rsidRPr="004C0F9E">
        <w:t>Legal</w:t>
      </w:r>
      <w:proofErr w:type="spellEnd"/>
      <w:r w:rsidRPr="004C0F9E">
        <w:t xml:space="preserve"> </w:t>
      </w:r>
      <w:proofErr w:type="spellStart"/>
      <w:r w:rsidRPr="004C0F9E">
        <w:t>Entity</w:t>
      </w:r>
      <w:proofErr w:type="spellEnd"/>
      <w:r w:rsidRPr="004C0F9E">
        <w:t xml:space="preserve"> </w:t>
      </w:r>
      <w:proofErr w:type="spellStart"/>
      <w:r w:rsidRPr="004C0F9E">
        <w:t>Identifier</w:t>
      </w:r>
      <w:proofErr w:type="spellEnd"/>
      <w:r w:rsidRPr="004C0F9E">
        <w:t xml:space="preserve">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 xml:space="preserve">Bank </w:t>
      </w:r>
      <w:proofErr w:type="spellStart"/>
      <w:r w:rsidRPr="005A47CF">
        <w:t>Identifier</w:t>
      </w:r>
      <w:proofErr w:type="spellEnd"/>
      <w:r w:rsidRPr="005A47CF">
        <w:t xml:space="preserve"> </w:t>
      </w:r>
      <w:proofErr w:type="spellStart"/>
      <w:r w:rsidRPr="005A47CF">
        <w:t>Code</w:t>
      </w:r>
      <w:proofErr w:type="spellEnd"/>
      <w:r w:rsidRPr="005A47CF">
        <w:t xml:space="preserv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77777777" w:rsidR="006B31DD" w:rsidRPr="005A47CF" w:rsidRDefault="00CB3B6E" w:rsidP="0066505D">
      <w:pPr>
        <w:spacing w:after="120"/>
      </w:pPr>
      <w:r w:rsidRPr="0066505D">
        <w:rPr>
          <w:b/>
          <w:bCs/>
        </w:rPr>
        <w:t>4. oszlop</w:t>
      </w:r>
      <w:r w:rsidRPr="005A47CF">
        <w:t xml:space="preserve">: </w:t>
      </w:r>
      <w:r w:rsidR="000A0DD3" w:rsidRPr="005A47CF">
        <w:t>az 1-3.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77777777"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1-3. oszlopban meghatározott intézmény megbízói állománya, darabban kifejezve.</w:t>
      </w:r>
    </w:p>
    <w:p w14:paraId="33175C71" w14:textId="77777777" w:rsidR="006B31DD" w:rsidRPr="005A47CF" w:rsidRDefault="00CB3B6E" w:rsidP="0066505D">
      <w:pPr>
        <w:spacing w:after="120"/>
      </w:pPr>
      <w:r w:rsidRPr="0066505D">
        <w:rPr>
          <w:b/>
          <w:bCs/>
        </w:rPr>
        <w:t>6. oszlop:</w:t>
      </w:r>
      <w:r w:rsidR="006B31DD" w:rsidRPr="005A47CF">
        <w:t xml:space="preserve"> a 4. oszlopban azonosított értékpapírból az 1-3.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E666C9">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w:t>
      </w:r>
      <w:proofErr w:type="spellStart"/>
      <w:r w:rsidRPr="005A47CF">
        <w:rPr>
          <w:rFonts w:cs="Arial"/>
          <w:szCs w:val="20"/>
          <w:lang w:eastAsia="x-none"/>
        </w:rPr>
        <w:t>BA</w:t>
      </w:r>
      <w:proofErr w:type="spellEnd"/>
      <w:r w:rsidRPr="005A47CF">
        <w:rPr>
          <w:rFonts w:cs="Arial"/>
          <w:szCs w:val="20"/>
          <w:lang w:eastAsia="x-none"/>
        </w:rPr>
        <w:t>”,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E666C9">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0FCC7E67"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ra nettó eszközértéket (piaci értéket)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havonta többször, de a heti gyakoriságnál ritkábban számít nettó eszközértéket egy alapra (portfólióra),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77777777"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A tábla mindig csak az adott vonatkozási napra érvényes eszközösszetételt tartalmazza. Ha munkaszüneti napra is számolnak eszközértéket, akkor azt is jelenteni kell, vonatkozási napként az adott munkaszüneti napot alkalmazva. (Tehát úgy kell kezelni az érintett munkaszüneti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4"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4"/>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w:t>
      </w:r>
      <w:proofErr w:type="spellStart"/>
      <w:r w:rsidRPr="005A47CF">
        <w:rPr>
          <w:rFonts w:cs="Arial"/>
          <w:szCs w:val="20"/>
          <w:lang w:eastAsia="x-none"/>
        </w:rPr>
        <w:t>BA</w:t>
      </w:r>
      <w:proofErr w:type="spellEnd"/>
      <w:r w:rsidRPr="005A47CF">
        <w:rPr>
          <w:rFonts w:cs="Arial"/>
          <w:szCs w:val="20"/>
          <w:lang w:eastAsia="x-none"/>
        </w:rPr>
        <w:t>”,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r w:rsidR="001B37E9" w:rsidRPr="00244FEC">
        <w:rPr>
          <w:rFonts w:cs="Arial"/>
          <w:szCs w:val="20"/>
        </w:rPr>
        <w:t>ÉÉÉÉHHNN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15695432"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proofErr w:type="spellStart"/>
      <w:r w:rsidR="008A709B">
        <w:rPr>
          <w:rFonts w:eastAsia="Times New Roman" w:cs="Arial"/>
          <w:szCs w:val="20"/>
          <w:lang w:eastAsia="x-none"/>
        </w:rPr>
        <w:t>IBAN</w:t>
      </w:r>
      <w:proofErr w:type="spellEnd"/>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az ingatlan helyrajzi száma. Ha a kölcsönnyújtónak nincs BIC</w:t>
      </w:r>
      <w:r w:rsidR="00AB0D7C" w:rsidRPr="005A47CF">
        <w:rPr>
          <w:rFonts w:cs="Arial"/>
          <w:szCs w:val="20"/>
        </w:rPr>
        <w:t>-</w:t>
      </w:r>
      <w:r w:rsidR="00D6604E" w:rsidRPr="005A47CF">
        <w:rPr>
          <w:rFonts w:cs="Arial"/>
          <w:szCs w:val="20"/>
        </w:rPr>
        <w:t xml:space="preserve">kódja (Bank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akkor alkalmazható a LEI-kód </w:t>
      </w:r>
      <w:r w:rsidR="00D6604E" w:rsidRPr="005A47CF">
        <w:rPr>
          <w:rFonts w:cs="Arial"/>
          <w:szCs w:val="20"/>
        </w:rPr>
        <w:lastRenderedPageBreak/>
        <w:t>(</w:t>
      </w:r>
      <w:proofErr w:type="spellStart"/>
      <w:r w:rsidR="00D6604E" w:rsidRPr="005A47CF">
        <w:rPr>
          <w:rFonts w:cs="Arial"/>
          <w:szCs w:val="20"/>
        </w:rPr>
        <w:t>Legal</w:t>
      </w:r>
      <w:proofErr w:type="spellEnd"/>
      <w:r w:rsidR="00D6604E" w:rsidRPr="005A47CF">
        <w:rPr>
          <w:rFonts w:cs="Arial"/>
          <w:szCs w:val="20"/>
        </w:rPr>
        <w:t xml:space="preserve"> </w:t>
      </w:r>
      <w:proofErr w:type="spellStart"/>
      <w:r w:rsidR="00D6604E" w:rsidRPr="005A47CF">
        <w:rPr>
          <w:rFonts w:cs="Arial"/>
          <w:szCs w:val="20"/>
        </w:rPr>
        <w:t>Entity</w:t>
      </w:r>
      <w:proofErr w:type="spellEnd"/>
      <w:r w:rsidR="00D6604E" w:rsidRPr="005A47CF">
        <w:rPr>
          <w:rFonts w:cs="Arial"/>
          <w:szCs w:val="20"/>
        </w:rPr>
        <w:t xml:space="preserve"> </w:t>
      </w:r>
      <w:proofErr w:type="spellStart"/>
      <w:r w:rsidR="00D6604E" w:rsidRPr="005A47CF">
        <w:rPr>
          <w:rFonts w:cs="Arial"/>
          <w:szCs w:val="20"/>
        </w:rPr>
        <w:t>Identifier</w:t>
      </w:r>
      <w:proofErr w:type="spellEnd"/>
      <w:r w:rsidR="00D6604E" w:rsidRPr="005A47CF">
        <w:rPr>
          <w:rFonts w:cs="Arial"/>
          <w:szCs w:val="20"/>
        </w:rPr>
        <w:t>),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 xml:space="preserve">zabályozott piacon kötött határidős, opciós, repó és </w:t>
      </w:r>
      <w:proofErr w:type="spellStart"/>
      <w:r w:rsidR="00902926" w:rsidRPr="0006309F">
        <w:rPr>
          <w:rFonts w:cs="Arial"/>
          <w:szCs w:val="20"/>
        </w:rPr>
        <w:t>SWAP</w:t>
      </w:r>
      <w:proofErr w:type="spellEnd"/>
      <w:r w:rsidR="00902926" w:rsidRPr="0006309F">
        <w:rPr>
          <w:rFonts w:cs="Arial"/>
          <w:szCs w:val="20"/>
        </w:rPr>
        <w:t xml:space="preserve"> ügylet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w:t>
      </w:r>
      <w:proofErr w:type="spellStart"/>
      <w:r w:rsidR="009351AA" w:rsidRPr="001D03E5">
        <w:rPr>
          <w:rFonts w:cs="Arial"/>
          <w:szCs w:val="20"/>
        </w:rPr>
        <w:t>ééhhnn</w:t>
      </w:r>
      <w:proofErr w:type="spellEnd"/>
      <w:r w:rsidR="009351AA" w:rsidRPr="001D03E5">
        <w:rPr>
          <w:rFonts w:cs="Arial"/>
          <w:szCs w:val="20"/>
        </w:rPr>
        <w:t>”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202</w:t>
      </w:r>
      <w:r w:rsidR="00C81E26">
        <w:rPr>
          <w:rFonts w:cs="Arial"/>
          <w:szCs w:val="20"/>
        </w:rPr>
        <w:t>5</w:t>
      </w:r>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proofErr w:type="spellStart"/>
      <w:r w:rsidR="009351AA" w:rsidRPr="001D03E5">
        <w:rPr>
          <w:rFonts w:cs="Arial"/>
          <w:szCs w:val="20"/>
        </w:rPr>
        <w:t>EURHUF</w:t>
      </w:r>
      <w:proofErr w:type="spellEnd"/>
      <w:r w:rsidR="009351AA" w:rsidRPr="001D03E5">
        <w:rPr>
          <w:rFonts w:cs="Arial"/>
          <w:szCs w:val="20"/>
        </w:rPr>
        <w:t>/2</w:t>
      </w:r>
      <w:r w:rsidR="00C81E26">
        <w:rPr>
          <w:rFonts w:cs="Arial"/>
          <w:szCs w:val="20"/>
        </w:rPr>
        <w:t>5</w:t>
      </w:r>
      <w:r w:rsidR="009351AA" w:rsidRPr="001D03E5">
        <w:rPr>
          <w:rFonts w:cs="Arial"/>
          <w:szCs w:val="20"/>
        </w:rPr>
        <w:t>0413/E/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repó 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r w:rsidR="00902926" w:rsidRPr="0006309F">
        <w:rPr>
          <w:rFonts w:cs="Arial"/>
          <w:bCs/>
          <w:szCs w:val="20"/>
        </w:rPr>
        <w:t>ÉÉÉÉHHNN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w:t>
      </w:r>
      <w:proofErr w:type="spellEnd"/>
      <w:r w:rsidR="008C7617" w:rsidRPr="00244FEC">
        <w:rPr>
          <w:rFonts w:cs="Arial"/>
          <w:szCs w:val="20"/>
        </w:rPr>
        <w:t xml:space="preserve"> ügylet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7253C969" w14:textId="77777777" w:rsidR="003E2D99" w:rsidRDefault="003E2D99" w:rsidP="003E2D99">
      <w:pPr>
        <w:rPr>
          <w:rFonts w:cs="Arial"/>
          <w:b/>
          <w:szCs w:val="20"/>
        </w:rPr>
      </w:pPr>
    </w:p>
    <w:p w14:paraId="1362AF38" w14:textId="77777777"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 xml:space="preserve">Határidős, opciós, repó és </w:t>
      </w:r>
      <w:proofErr w:type="spellStart"/>
      <w:r w:rsidR="003E2D99">
        <w:rPr>
          <w:rFonts w:cs="Arial"/>
          <w:szCs w:val="20"/>
        </w:rPr>
        <w:t>SWAP</w:t>
      </w:r>
      <w:proofErr w:type="spellEnd"/>
      <w:r w:rsidR="003E2D99">
        <w:rPr>
          <w:rFonts w:cs="Arial"/>
          <w:szCs w:val="20"/>
        </w:rPr>
        <w:t xml:space="preserve"> ügyletek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313B71F2" w:rsidR="002B7259" w:rsidRDefault="002B7259" w:rsidP="00E27A84">
      <w:pPr>
        <w:spacing w:before="240"/>
        <w:rPr>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r w:rsidR="000A5F12">
        <w:rPr>
          <w:rFonts w:cs="Arial"/>
          <w:szCs w:val="20"/>
        </w:rPr>
        <w:t xml:space="preserve">, </w:t>
      </w:r>
      <w:r w:rsidR="000A5F12">
        <w:rPr>
          <w:rFonts w:cs="Arial"/>
        </w:rPr>
        <w:t>a következők figyelembevételével</w:t>
      </w:r>
      <w:r w:rsidR="000A5F12" w:rsidRPr="00C65E95">
        <w:rPr>
          <w:rFonts w:cs="Arial"/>
        </w:rPr>
        <w:t>.</w:t>
      </w:r>
    </w:p>
    <w:p w14:paraId="142AAFD6" w14:textId="508F2F79" w:rsidR="00751CF2" w:rsidRDefault="000A5F12" w:rsidP="00E27A84">
      <w:pPr>
        <w:spacing w:before="240"/>
        <w:rPr>
          <w:rFonts w:cs="Arial"/>
          <w:bCs/>
        </w:rPr>
      </w:pPr>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 §-</w:t>
      </w:r>
      <w:r>
        <w:rPr>
          <w:rFonts w:cs="Arial"/>
          <w:bCs/>
        </w:rPr>
        <w:t>á</w:t>
      </w:r>
      <w:r w:rsidRPr="00E72DC6">
        <w:rPr>
          <w:rFonts w:cs="Arial"/>
          <w:bCs/>
        </w:rPr>
        <w:t>ban</w:t>
      </w:r>
      <w:r>
        <w:rPr>
          <w:rFonts w:cs="Arial"/>
          <w:bCs/>
        </w:rPr>
        <w:t>, illetve</w:t>
      </w:r>
      <w:r w:rsidRPr="00E72DC6">
        <w:rPr>
          <w:rFonts w:cs="Arial"/>
          <w:bCs/>
        </w:rPr>
        <w:t xml:space="preserve"> 1/L. §-</w:t>
      </w:r>
      <w:r>
        <w:rPr>
          <w:rFonts w:cs="Arial"/>
          <w:bCs/>
        </w:rPr>
        <w:t>á</w:t>
      </w:r>
      <w:r w:rsidRPr="00E72DC6">
        <w:rPr>
          <w:rFonts w:cs="Arial"/>
          <w:bCs/>
        </w:rPr>
        <w:t xml:space="preserve">ban </w:t>
      </w:r>
      <w:r>
        <w:rPr>
          <w:rFonts w:cs="Arial"/>
          <w:bCs/>
        </w:rPr>
        <w:t xml:space="preserve">nevesített, </w:t>
      </w:r>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 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p>
    <w:p w14:paraId="3EC5FB4E" w14:textId="77777777" w:rsidR="00AF7082" w:rsidRPr="005A47CF" w:rsidRDefault="00AF7082" w:rsidP="00E27A84">
      <w:pPr>
        <w:spacing w:before="240"/>
        <w:rPr>
          <w:rFonts w:cs="Arial"/>
          <w:b/>
          <w:szCs w:val="20"/>
        </w:rPr>
      </w:pPr>
    </w:p>
    <w:tbl>
      <w:tblPr>
        <w:tblW w:w="8851" w:type="dxa"/>
        <w:tblInd w:w="75" w:type="dxa"/>
        <w:tblCellMar>
          <w:left w:w="70" w:type="dxa"/>
          <w:right w:w="70" w:type="dxa"/>
        </w:tblCellMar>
        <w:tblLook w:val="04A0" w:firstRow="1" w:lastRow="0" w:firstColumn="1" w:lastColumn="0" w:noHBand="0" w:noVBand="1"/>
      </w:tblPr>
      <w:tblGrid>
        <w:gridCol w:w="2407"/>
        <w:gridCol w:w="6444"/>
      </w:tblGrid>
      <w:tr w:rsidR="000E395E" w:rsidRPr="005A47CF" w14:paraId="1E9FB044" w14:textId="77777777" w:rsidTr="000E395E">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444" w:type="dxa"/>
            <w:tcBorders>
              <w:top w:val="single" w:sz="4" w:space="0" w:color="auto"/>
              <w:left w:val="nil"/>
              <w:bottom w:val="single" w:sz="4" w:space="0" w:color="auto"/>
              <w:right w:val="single" w:sz="4" w:space="0" w:color="auto"/>
            </w:tcBorders>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0E395E" w:rsidRPr="005A47CF" w14:paraId="5E77C97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444" w:type="dxa"/>
            <w:tcBorders>
              <w:top w:val="nil"/>
              <w:left w:val="nil"/>
              <w:bottom w:val="single" w:sz="4" w:space="0" w:color="auto"/>
              <w:right w:val="single" w:sz="4" w:space="0" w:color="auto"/>
            </w:tcBorders>
            <w:shd w:val="clear" w:color="auto" w:fill="auto"/>
            <w:vAlign w:val="center"/>
            <w:hideMark/>
          </w:tcPr>
          <w:p w14:paraId="1B95D778" w14:textId="2070809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0ED5BC5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444" w:type="dxa"/>
            <w:tcBorders>
              <w:top w:val="nil"/>
              <w:left w:val="nil"/>
              <w:bottom w:val="single" w:sz="4" w:space="0" w:color="auto"/>
              <w:right w:val="single" w:sz="4" w:space="0" w:color="auto"/>
            </w:tcBorders>
            <w:shd w:val="clear" w:color="auto" w:fill="auto"/>
            <w:vAlign w:val="center"/>
            <w:hideMark/>
          </w:tcPr>
          <w:p w14:paraId="1D4C2FE2" w14:textId="1701D7E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346862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444" w:type="dxa"/>
            <w:tcBorders>
              <w:top w:val="nil"/>
              <w:left w:val="nil"/>
              <w:bottom w:val="single" w:sz="4" w:space="0" w:color="auto"/>
              <w:right w:val="single" w:sz="4" w:space="0" w:color="auto"/>
            </w:tcBorders>
            <w:shd w:val="clear" w:color="auto" w:fill="auto"/>
            <w:vAlign w:val="center"/>
            <w:hideMark/>
          </w:tcPr>
          <w:p w14:paraId="71B1286A" w14:textId="3CC58C5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7C44B58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444" w:type="dxa"/>
            <w:tcBorders>
              <w:top w:val="nil"/>
              <w:left w:val="nil"/>
              <w:bottom w:val="single" w:sz="4" w:space="0" w:color="auto"/>
              <w:right w:val="single" w:sz="4" w:space="0" w:color="auto"/>
            </w:tcBorders>
            <w:shd w:val="clear" w:color="auto" w:fill="auto"/>
            <w:vAlign w:val="center"/>
            <w:hideMark/>
          </w:tcPr>
          <w:p w14:paraId="153DBB3C" w14:textId="01A5DF5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6B1BC65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444" w:type="dxa"/>
            <w:tcBorders>
              <w:top w:val="nil"/>
              <w:left w:val="nil"/>
              <w:bottom w:val="single" w:sz="4" w:space="0" w:color="auto"/>
              <w:right w:val="single" w:sz="4" w:space="0" w:color="auto"/>
            </w:tcBorders>
            <w:shd w:val="clear" w:color="auto" w:fill="auto"/>
            <w:vAlign w:val="center"/>
            <w:hideMark/>
          </w:tcPr>
          <w:p w14:paraId="5A618AEF" w14:textId="5376D2F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38B679A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444" w:type="dxa"/>
            <w:tcBorders>
              <w:top w:val="nil"/>
              <w:left w:val="nil"/>
              <w:bottom w:val="single" w:sz="4" w:space="0" w:color="auto"/>
              <w:right w:val="single" w:sz="4" w:space="0" w:color="auto"/>
            </w:tcBorders>
            <w:shd w:val="clear" w:color="auto" w:fill="auto"/>
            <w:vAlign w:val="center"/>
            <w:hideMark/>
          </w:tcPr>
          <w:p w14:paraId="4A7D01AF" w14:textId="10893CC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2E98C69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444" w:type="dxa"/>
            <w:tcBorders>
              <w:top w:val="nil"/>
              <w:left w:val="nil"/>
              <w:bottom w:val="single" w:sz="4" w:space="0" w:color="auto"/>
              <w:right w:val="single" w:sz="4" w:space="0" w:color="auto"/>
            </w:tcBorders>
            <w:shd w:val="clear" w:color="auto" w:fill="auto"/>
            <w:vAlign w:val="center"/>
            <w:hideMark/>
          </w:tcPr>
          <w:p w14:paraId="7AFBF2A6" w14:textId="7BEE8AA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14ADF7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444" w:type="dxa"/>
            <w:tcBorders>
              <w:top w:val="nil"/>
              <w:left w:val="nil"/>
              <w:bottom w:val="single" w:sz="4" w:space="0" w:color="auto"/>
              <w:right w:val="single" w:sz="4" w:space="0" w:color="auto"/>
            </w:tcBorders>
            <w:shd w:val="clear" w:color="auto" w:fill="auto"/>
            <w:vAlign w:val="center"/>
            <w:hideMark/>
          </w:tcPr>
          <w:p w14:paraId="7400E47F" w14:textId="094AA82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614813B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444" w:type="dxa"/>
            <w:tcBorders>
              <w:top w:val="nil"/>
              <w:left w:val="nil"/>
              <w:bottom w:val="single" w:sz="4" w:space="0" w:color="auto"/>
              <w:right w:val="single" w:sz="4" w:space="0" w:color="auto"/>
            </w:tcBorders>
            <w:shd w:val="clear" w:color="auto" w:fill="auto"/>
            <w:vAlign w:val="center"/>
            <w:hideMark/>
          </w:tcPr>
          <w:p w14:paraId="2DC10776" w14:textId="1022891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MNB által kibocsátott, hitelviszonyt megtestesítő értékpapír</w:t>
            </w:r>
          </w:p>
        </w:tc>
      </w:tr>
      <w:tr w:rsidR="000E395E" w:rsidRPr="005A47CF" w14:paraId="462A06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444" w:type="dxa"/>
            <w:tcBorders>
              <w:top w:val="nil"/>
              <w:left w:val="nil"/>
              <w:bottom w:val="single" w:sz="4" w:space="0" w:color="auto"/>
              <w:right w:val="single" w:sz="4" w:space="0" w:color="auto"/>
            </w:tcBorders>
            <w:shd w:val="clear" w:color="auto" w:fill="auto"/>
            <w:vAlign w:val="center"/>
            <w:hideMark/>
          </w:tcPr>
          <w:p w14:paraId="2B03A6FD" w14:textId="17F2CAF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4E904E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444" w:type="dxa"/>
            <w:tcBorders>
              <w:top w:val="nil"/>
              <w:left w:val="nil"/>
              <w:bottom w:val="single" w:sz="4" w:space="0" w:color="auto"/>
              <w:right w:val="single" w:sz="4" w:space="0" w:color="auto"/>
            </w:tcBorders>
            <w:shd w:val="clear" w:color="auto" w:fill="auto"/>
            <w:vAlign w:val="center"/>
            <w:hideMark/>
          </w:tcPr>
          <w:p w14:paraId="35951F92" w14:textId="58605C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78A6C0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444" w:type="dxa"/>
            <w:tcBorders>
              <w:top w:val="nil"/>
              <w:left w:val="nil"/>
              <w:bottom w:val="single" w:sz="4" w:space="0" w:color="auto"/>
              <w:right w:val="single" w:sz="4" w:space="0" w:color="auto"/>
            </w:tcBorders>
            <w:shd w:val="clear" w:color="auto" w:fill="auto"/>
            <w:vAlign w:val="center"/>
            <w:hideMark/>
          </w:tcPr>
          <w:p w14:paraId="31ECE142" w14:textId="03BF5E1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085E31BE" w14:textId="77777777" w:rsidTr="000E395E">
        <w:trPr>
          <w:trHeight w:val="509"/>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444" w:type="dxa"/>
            <w:tcBorders>
              <w:top w:val="nil"/>
              <w:left w:val="nil"/>
              <w:bottom w:val="single" w:sz="4" w:space="0" w:color="auto"/>
              <w:right w:val="single" w:sz="4" w:space="0" w:color="auto"/>
            </w:tcBorders>
            <w:shd w:val="clear" w:color="auto" w:fill="auto"/>
            <w:vAlign w:val="center"/>
            <w:hideMark/>
          </w:tcPr>
          <w:p w14:paraId="38FACB83" w14:textId="5F8948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Európai Központi Bank vagy az EGT más államának jegybankja által kibocsátott, hitelviszonyt megtestesítő értékpapír</w:t>
            </w:r>
          </w:p>
        </w:tc>
      </w:tr>
      <w:tr w:rsidR="000E395E" w:rsidRPr="005A47CF" w14:paraId="6FBFF8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444" w:type="dxa"/>
            <w:tcBorders>
              <w:top w:val="nil"/>
              <w:left w:val="nil"/>
              <w:bottom w:val="single" w:sz="4" w:space="0" w:color="auto"/>
              <w:right w:val="single" w:sz="4" w:space="0" w:color="auto"/>
            </w:tcBorders>
            <w:shd w:val="clear" w:color="auto" w:fill="auto"/>
            <w:vAlign w:val="center"/>
            <w:hideMark/>
          </w:tcPr>
          <w:p w14:paraId="3F1DA7ED" w14:textId="30A5024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4A41EA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444" w:type="dxa"/>
            <w:tcBorders>
              <w:top w:val="nil"/>
              <w:left w:val="nil"/>
              <w:bottom w:val="single" w:sz="4" w:space="0" w:color="auto"/>
              <w:right w:val="single" w:sz="4" w:space="0" w:color="auto"/>
            </w:tcBorders>
            <w:shd w:val="clear" w:color="auto" w:fill="auto"/>
            <w:vAlign w:val="center"/>
            <w:hideMark/>
          </w:tcPr>
          <w:p w14:paraId="25EE83C5" w14:textId="45547D5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51145C9B"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444" w:type="dxa"/>
            <w:tcBorders>
              <w:top w:val="nil"/>
              <w:left w:val="nil"/>
              <w:bottom w:val="single" w:sz="4" w:space="0" w:color="auto"/>
              <w:right w:val="single" w:sz="4" w:space="0" w:color="auto"/>
            </w:tcBorders>
            <w:shd w:val="clear" w:color="auto" w:fill="auto"/>
            <w:vAlign w:val="center"/>
            <w:hideMark/>
          </w:tcPr>
          <w:p w14:paraId="4E0C8342" w14:textId="555A150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5919C0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30LA041133</w:t>
            </w:r>
          </w:p>
        </w:tc>
        <w:tc>
          <w:tcPr>
            <w:tcW w:w="6444" w:type="dxa"/>
            <w:tcBorders>
              <w:top w:val="nil"/>
              <w:left w:val="nil"/>
              <w:bottom w:val="single" w:sz="4" w:space="0" w:color="auto"/>
              <w:right w:val="single" w:sz="4" w:space="0" w:color="auto"/>
            </w:tcBorders>
            <w:shd w:val="clear" w:color="auto" w:fill="auto"/>
            <w:vAlign w:val="center"/>
            <w:hideMark/>
          </w:tcPr>
          <w:p w14:paraId="2AF3769A" w14:textId="7BE588E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8BC30B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444" w:type="dxa"/>
            <w:tcBorders>
              <w:top w:val="nil"/>
              <w:left w:val="nil"/>
              <w:bottom w:val="single" w:sz="4" w:space="0" w:color="auto"/>
              <w:right w:val="single" w:sz="4" w:space="0" w:color="auto"/>
            </w:tcBorders>
            <w:shd w:val="clear" w:color="auto" w:fill="auto"/>
            <w:vAlign w:val="center"/>
            <w:hideMark/>
          </w:tcPr>
          <w:p w14:paraId="7C1124C2" w14:textId="1B9D78C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 kötvény</w:t>
            </w:r>
          </w:p>
        </w:tc>
      </w:tr>
      <w:tr w:rsidR="000E395E" w:rsidRPr="005A47CF" w14:paraId="21B4521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30LA04122</w:t>
            </w:r>
          </w:p>
        </w:tc>
        <w:tc>
          <w:tcPr>
            <w:tcW w:w="6444" w:type="dxa"/>
            <w:tcBorders>
              <w:top w:val="nil"/>
              <w:left w:val="nil"/>
              <w:bottom w:val="single" w:sz="4" w:space="0" w:color="auto"/>
              <w:right w:val="single" w:sz="4" w:space="0" w:color="auto"/>
            </w:tcBorders>
            <w:shd w:val="clear" w:color="auto" w:fill="auto"/>
            <w:vAlign w:val="center"/>
            <w:hideMark/>
          </w:tcPr>
          <w:p w14:paraId="44CDAEB6" w14:textId="032F74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 kötvény</w:t>
            </w:r>
          </w:p>
        </w:tc>
      </w:tr>
      <w:tr w:rsidR="000E395E" w:rsidRPr="005A47CF" w14:paraId="0B4906D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444" w:type="dxa"/>
            <w:tcBorders>
              <w:top w:val="nil"/>
              <w:left w:val="nil"/>
              <w:bottom w:val="single" w:sz="4" w:space="0" w:color="auto"/>
              <w:right w:val="single" w:sz="4" w:space="0" w:color="auto"/>
            </w:tcBorders>
            <w:shd w:val="clear" w:color="auto" w:fill="auto"/>
            <w:vAlign w:val="center"/>
            <w:hideMark/>
          </w:tcPr>
          <w:p w14:paraId="745F68EB" w14:textId="4E8DEA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 kötvény</w:t>
            </w:r>
          </w:p>
        </w:tc>
      </w:tr>
      <w:tr w:rsidR="000E395E" w:rsidRPr="005A47CF" w14:paraId="605875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30LA04124</w:t>
            </w:r>
          </w:p>
        </w:tc>
        <w:tc>
          <w:tcPr>
            <w:tcW w:w="6444" w:type="dxa"/>
            <w:tcBorders>
              <w:top w:val="nil"/>
              <w:left w:val="nil"/>
              <w:bottom w:val="single" w:sz="4" w:space="0" w:color="auto"/>
              <w:right w:val="single" w:sz="4" w:space="0" w:color="auto"/>
            </w:tcBorders>
            <w:shd w:val="clear" w:color="auto" w:fill="auto"/>
            <w:vAlign w:val="center"/>
            <w:hideMark/>
          </w:tcPr>
          <w:p w14:paraId="6D2FDDAF" w14:textId="35781D4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p>
        </w:tc>
      </w:tr>
      <w:tr w:rsidR="000E395E" w:rsidRPr="005A47CF" w14:paraId="121DA67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444" w:type="dxa"/>
            <w:tcBorders>
              <w:top w:val="nil"/>
              <w:left w:val="nil"/>
              <w:bottom w:val="single" w:sz="4" w:space="0" w:color="auto"/>
              <w:right w:val="single" w:sz="4" w:space="0" w:color="auto"/>
            </w:tcBorders>
            <w:shd w:val="clear" w:color="auto" w:fill="auto"/>
            <w:vAlign w:val="center"/>
            <w:hideMark/>
          </w:tcPr>
          <w:p w14:paraId="634CBDE3" w14:textId="5C07A9A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 hazai kibocsátású kötvények</w:t>
            </w:r>
          </w:p>
        </w:tc>
      </w:tr>
      <w:tr w:rsidR="000E395E" w:rsidRPr="005A47CF" w14:paraId="4BC2247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444" w:type="dxa"/>
            <w:tcBorders>
              <w:top w:val="nil"/>
              <w:left w:val="nil"/>
              <w:bottom w:val="single" w:sz="4" w:space="0" w:color="auto"/>
              <w:right w:val="single" w:sz="4" w:space="0" w:color="auto"/>
            </w:tcBorders>
            <w:shd w:val="clear" w:color="auto" w:fill="auto"/>
            <w:vAlign w:val="center"/>
            <w:hideMark/>
          </w:tcPr>
          <w:p w14:paraId="078671A3" w14:textId="2D04070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Budapesti Értéktőzsdére bevezetett részvények</w:t>
            </w:r>
          </w:p>
        </w:tc>
      </w:tr>
      <w:tr w:rsidR="000E395E" w:rsidRPr="005A47CF" w14:paraId="63E2DF4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444" w:type="dxa"/>
            <w:tcBorders>
              <w:top w:val="nil"/>
              <w:left w:val="nil"/>
              <w:bottom w:val="single" w:sz="4" w:space="0" w:color="auto"/>
              <w:right w:val="single" w:sz="4" w:space="0" w:color="auto"/>
            </w:tcBorders>
            <w:shd w:val="clear" w:color="auto" w:fill="auto"/>
            <w:vAlign w:val="center"/>
            <w:hideMark/>
          </w:tcPr>
          <w:p w14:paraId="3D40394C" w14:textId="0E8E0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 szabályozott piacra bevezetett részvények</w:t>
            </w:r>
          </w:p>
        </w:tc>
      </w:tr>
      <w:tr w:rsidR="000E395E" w:rsidRPr="005A47CF" w14:paraId="037E9B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444" w:type="dxa"/>
            <w:tcBorders>
              <w:top w:val="nil"/>
              <w:left w:val="nil"/>
              <w:bottom w:val="single" w:sz="4" w:space="0" w:color="auto"/>
              <w:right w:val="single" w:sz="4" w:space="0" w:color="auto"/>
            </w:tcBorders>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0E395E" w:rsidRPr="005A47CF" w14:paraId="56F8FD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444" w:type="dxa"/>
            <w:tcBorders>
              <w:top w:val="nil"/>
              <w:left w:val="nil"/>
              <w:bottom w:val="single" w:sz="4" w:space="0" w:color="auto"/>
              <w:right w:val="single" w:sz="4" w:space="0" w:color="auto"/>
            </w:tcBorders>
            <w:shd w:val="clear" w:color="auto" w:fill="auto"/>
            <w:vAlign w:val="center"/>
            <w:hideMark/>
          </w:tcPr>
          <w:p w14:paraId="1769F56C" w14:textId="7A19212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447852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444" w:type="dxa"/>
            <w:tcBorders>
              <w:top w:val="nil"/>
              <w:left w:val="nil"/>
              <w:bottom w:val="single" w:sz="4" w:space="0" w:color="auto"/>
              <w:right w:val="single" w:sz="4" w:space="0" w:color="auto"/>
            </w:tcBorders>
            <w:shd w:val="clear" w:color="auto" w:fill="auto"/>
            <w:vAlign w:val="center"/>
            <w:hideMark/>
          </w:tcPr>
          <w:p w14:paraId="166B7A82" w14:textId="3118DE0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7F11DB1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444" w:type="dxa"/>
            <w:tcBorders>
              <w:top w:val="nil"/>
              <w:left w:val="nil"/>
              <w:bottom w:val="single" w:sz="4" w:space="0" w:color="auto"/>
              <w:right w:val="single" w:sz="4" w:space="0" w:color="auto"/>
            </w:tcBorders>
            <w:shd w:val="clear" w:color="auto" w:fill="auto"/>
            <w:vAlign w:val="center"/>
            <w:hideMark/>
          </w:tcPr>
          <w:p w14:paraId="2083E5C1" w14:textId="220ABA3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AB2E2C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444" w:type="dxa"/>
            <w:tcBorders>
              <w:top w:val="nil"/>
              <w:left w:val="nil"/>
              <w:bottom w:val="single" w:sz="4" w:space="0" w:color="auto"/>
              <w:right w:val="single" w:sz="4" w:space="0" w:color="auto"/>
            </w:tcBorders>
            <w:shd w:val="clear" w:color="auto" w:fill="auto"/>
            <w:vAlign w:val="center"/>
            <w:hideMark/>
          </w:tcPr>
          <w:p w14:paraId="23FBB747" w14:textId="213444E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20652B8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444" w:type="dxa"/>
            <w:tcBorders>
              <w:top w:val="nil"/>
              <w:left w:val="nil"/>
              <w:bottom w:val="single" w:sz="4" w:space="0" w:color="auto"/>
              <w:right w:val="single" w:sz="4" w:space="0" w:color="auto"/>
            </w:tcBorders>
            <w:shd w:val="clear" w:color="auto" w:fill="auto"/>
            <w:vAlign w:val="center"/>
            <w:hideMark/>
          </w:tcPr>
          <w:p w14:paraId="407695FF" w14:textId="6D44459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01CFC2F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444" w:type="dxa"/>
            <w:tcBorders>
              <w:top w:val="nil"/>
              <w:left w:val="nil"/>
              <w:bottom w:val="single" w:sz="4" w:space="0" w:color="auto"/>
              <w:right w:val="single" w:sz="4" w:space="0" w:color="auto"/>
            </w:tcBorders>
            <w:shd w:val="clear" w:color="auto" w:fill="auto"/>
            <w:vAlign w:val="center"/>
            <w:hideMark/>
          </w:tcPr>
          <w:p w14:paraId="3F1ACA4D" w14:textId="6F2F368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7EE2C7F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444" w:type="dxa"/>
            <w:tcBorders>
              <w:top w:val="nil"/>
              <w:left w:val="nil"/>
              <w:bottom w:val="single" w:sz="4" w:space="0" w:color="auto"/>
              <w:right w:val="single" w:sz="4" w:space="0" w:color="auto"/>
            </w:tcBorders>
            <w:shd w:val="clear" w:color="auto" w:fill="auto"/>
            <w:vAlign w:val="center"/>
            <w:hideMark/>
          </w:tcPr>
          <w:p w14:paraId="6EBDB557" w14:textId="014BD68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 vegyes alap</w:t>
            </w:r>
          </w:p>
        </w:tc>
      </w:tr>
      <w:tr w:rsidR="000E395E" w:rsidRPr="005A47CF" w14:paraId="4C9F4BB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444" w:type="dxa"/>
            <w:tcBorders>
              <w:top w:val="nil"/>
              <w:left w:val="nil"/>
              <w:bottom w:val="single" w:sz="4" w:space="0" w:color="auto"/>
              <w:right w:val="single" w:sz="4" w:space="0" w:color="auto"/>
            </w:tcBorders>
            <w:shd w:val="clear" w:color="auto" w:fill="auto"/>
            <w:vAlign w:val="center"/>
            <w:hideMark/>
          </w:tcPr>
          <w:p w14:paraId="62A0C480" w14:textId="55729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303E9AD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444" w:type="dxa"/>
            <w:tcBorders>
              <w:top w:val="nil"/>
              <w:left w:val="nil"/>
              <w:bottom w:val="single" w:sz="4" w:space="0" w:color="auto"/>
              <w:right w:val="single" w:sz="4" w:space="0" w:color="auto"/>
            </w:tcBorders>
            <w:shd w:val="clear" w:color="auto" w:fill="auto"/>
            <w:vAlign w:val="center"/>
            <w:hideMark/>
          </w:tcPr>
          <w:p w14:paraId="14B2F3C5" w14:textId="28E29E2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5377C7B"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444" w:type="dxa"/>
            <w:tcBorders>
              <w:top w:val="nil"/>
              <w:left w:val="nil"/>
              <w:bottom w:val="single" w:sz="4" w:space="0" w:color="auto"/>
              <w:right w:val="single" w:sz="4" w:space="0" w:color="auto"/>
            </w:tcBorders>
            <w:shd w:val="clear" w:color="auto" w:fill="auto"/>
            <w:vAlign w:val="center"/>
            <w:hideMark/>
          </w:tcPr>
          <w:p w14:paraId="511C495E" w14:textId="796ED7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 alap</w:t>
            </w:r>
          </w:p>
        </w:tc>
      </w:tr>
      <w:tr w:rsidR="000E395E" w:rsidRPr="005A47CF" w14:paraId="15FE80E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444" w:type="dxa"/>
            <w:tcBorders>
              <w:top w:val="nil"/>
              <w:left w:val="nil"/>
              <w:bottom w:val="single" w:sz="4" w:space="0" w:color="auto"/>
              <w:right w:val="single" w:sz="4" w:space="0" w:color="auto"/>
            </w:tcBorders>
            <w:shd w:val="clear" w:color="auto" w:fill="auto"/>
            <w:vAlign w:val="center"/>
            <w:hideMark/>
          </w:tcPr>
          <w:p w14:paraId="6D028D95" w14:textId="2C45105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 hozamú alap</w:t>
            </w:r>
          </w:p>
        </w:tc>
      </w:tr>
      <w:tr w:rsidR="000E395E" w:rsidRPr="005A47CF" w14:paraId="6669CE7D"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444" w:type="dxa"/>
            <w:tcBorders>
              <w:top w:val="nil"/>
              <w:left w:val="nil"/>
              <w:bottom w:val="single" w:sz="4" w:space="0" w:color="auto"/>
              <w:right w:val="single" w:sz="4" w:space="0" w:color="auto"/>
            </w:tcBorders>
            <w:shd w:val="clear" w:color="auto" w:fill="auto"/>
            <w:vAlign w:val="center"/>
            <w:hideMark/>
          </w:tcPr>
          <w:p w14:paraId="22CE7BA3" w14:textId="70909BC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 alap</w:t>
            </w:r>
          </w:p>
        </w:tc>
      </w:tr>
      <w:tr w:rsidR="000E395E" w:rsidRPr="005A47CF" w14:paraId="469E8E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444" w:type="dxa"/>
            <w:tcBorders>
              <w:top w:val="nil"/>
              <w:left w:val="nil"/>
              <w:bottom w:val="single" w:sz="4" w:space="0" w:color="auto"/>
              <w:right w:val="single" w:sz="4" w:space="0" w:color="auto"/>
            </w:tcBorders>
            <w:shd w:val="clear" w:color="auto" w:fill="auto"/>
            <w:vAlign w:val="center"/>
            <w:hideMark/>
          </w:tcPr>
          <w:p w14:paraId="62E6AD98" w14:textId="76B496F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66911E0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444" w:type="dxa"/>
            <w:tcBorders>
              <w:top w:val="nil"/>
              <w:left w:val="nil"/>
              <w:bottom w:val="single" w:sz="4" w:space="0" w:color="auto"/>
              <w:right w:val="single" w:sz="4" w:space="0" w:color="auto"/>
            </w:tcBorders>
            <w:shd w:val="clear" w:color="auto" w:fill="auto"/>
            <w:vAlign w:val="center"/>
            <w:hideMark/>
          </w:tcPr>
          <w:p w14:paraId="76C1095D" w14:textId="090FE61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 ingatlanokba fektető alap</w:t>
            </w:r>
          </w:p>
        </w:tc>
      </w:tr>
      <w:tr w:rsidR="000E395E" w:rsidRPr="005A47CF" w14:paraId="4DFE786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444" w:type="dxa"/>
            <w:tcBorders>
              <w:top w:val="nil"/>
              <w:left w:val="nil"/>
              <w:bottom w:val="single" w:sz="4" w:space="0" w:color="auto"/>
              <w:right w:val="single" w:sz="4" w:space="0" w:color="auto"/>
            </w:tcBorders>
            <w:shd w:val="clear" w:color="auto" w:fill="auto"/>
            <w:vAlign w:val="center"/>
            <w:hideMark/>
          </w:tcPr>
          <w:p w14:paraId="3B913DD9" w14:textId="41FA8C9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 ingatlanokba fektető alap</w:t>
            </w:r>
          </w:p>
        </w:tc>
      </w:tr>
      <w:tr w:rsidR="000E395E" w:rsidRPr="005A47CF" w14:paraId="7818589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30LA0414116</w:t>
            </w:r>
          </w:p>
        </w:tc>
        <w:tc>
          <w:tcPr>
            <w:tcW w:w="6444" w:type="dxa"/>
            <w:tcBorders>
              <w:top w:val="nil"/>
              <w:left w:val="nil"/>
              <w:bottom w:val="single" w:sz="4" w:space="0" w:color="auto"/>
              <w:right w:val="single" w:sz="4" w:space="0" w:color="auto"/>
            </w:tcBorders>
            <w:shd w:val="clear" w:color="auto" w:fill="auto"/>
            <w:vAlign w:val="center"/>
          </w:tcPr>
          <w:p w14:paraId="320EAD3A" w14:textId="573A416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 tőkealap és magántőkealap</w:t>
            </w:r>
          </w:p>
        </w:tc>
      </w:tr>
      <w:tr w:rsidR="00873AC6" w:rsidRPr="005A47CF" w14:paraId="7F952F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D757797" w14:textId="43D2B10D"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7</w:t>
            </w:r>
          </w:p>
        </w:tc>
        <w:tc>
          <w:tcPr>
            <w:tcW w:w="6444" w:type="dxa"/>
            <w:tcBorders>
              <w:top w:val="nil"/>
              <w:left w:val="nil"/>
              <w:bottom w:val="single" w:sz="4" w:space="0" w:color="auto"/>
              <w:right w:val="single" w:sz="4" w:space="0" w:color="auto"/>
            </w:tcBorders>
            <w:shd w:val="clear" w:color="auto" w:fill="auto"/>
            <w:vAlign w:val="center"/>
          </w:tcPr>
          <w:p w14:paraId="5E79BEAF" w14:textId="4A8CCB5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p>
        </w:tc>
      </w:tr>
      <w:tr w:rsidR="00873AC6" w:rsidRPr="005A47CF" w14:paraId="6FB3008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C6CD15D" w14:textId="45A59CC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30LA041411</w:t>
            </w:r>
            <w:r>
              <w:rPr>
                <w:rFonts w:eastAsia="Times New Roman" w:cs="Arial"/>
                <w:color w:val="000000"/>
                <w:szCs w:val="20"/>
                <w:lang w:eastAsia="hu-HU"/>
              </w:rPr>
              <w:t>8</w:t>
            </w:r>
          </w:p>
        </w:tc>
        <w:tc>
          <w:tcPr>
            <w:tcW w:w="6444" w:type="dxa"/>
            <w:tcBorders>
              <w:top w:val="nil"/>
              <w:left w:val="nil"/>
              <w:bottom w:val="single" w:sz="4" w:space="0" w:color="auto"/>
              <w:right w:val="single" w:sz="4" w:space="0" w:color="auto"/>
            </w:tcBorders>
            <w:shd w:val="clear" w:color="auto" w:fill="auto"/>
            <w:vAlign w:val="center"/>
          </w:tcPr>
          <w:p w14:paraId="45A896EE" w14:textId="16AF3FF0"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p>
        </w:tc>
      </w:tr>
      <w:tr w:rsidR="00873AC6" w:rsidRPr="005A47CF" w14:paraId="1AA3DA8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7DAE2E60" w14:textId="312C1BD3"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9</w:t>
            </w:r>
          </w:p>
        </w:tc>
        <w:tc>
          <w:tcPr>
            <w:tcW w:w="6444" w:type="dxa"/>
            <w:tcBorders>
              <w:top w:val="nil"/>
              <w:left w:val="nil"/>
              <w:bottom w:val="single" w:sz="4" w:space="0" w:color="auto"/>
              <w:right w:val="single" w:sz="4" w:space="0" w:color="auto"/>
            </w:tcBorders>
            <w:shd w:val="clear" w:color="auto" w:fill="auto"/>
            <w:vAlign w:val="center"/>
          </w:tcPr>
          <w:p w14:paraId="1E360D2B" w14:textId="2A3BAF6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p>
        </w:tc>
      </w:tr>
      <w:tr w:rsidR="00873AC6" w:rsidRPr="005A47CF" w14:paraId="27E74D7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B55B0FC" w14:textId="396E163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20</w:t>
            </w:r>
          </w:p>
        </w:tc>
        <w:tc>
          <w:tcPr>
            <w:tcW w:w="6444" w:type="dxa"/>
            <w:tcBorders>
              <w:top w:val="nil"/>
              <w:left w:val="nil"/>
              <w:bottom w:val="single" w:sz="4" w:space="0" w:color="auto"/>
              <w:right w:val="single" w:sz="4" w:space="0" w:color="auto"/>
            </w:tcBorders>
            <w:shd w:val="clear" w:color="auto" w:fill="auto"/>
            <w:vAlign w:val="center"/>
          </w:tcPr>
          <w:p w14:paraId="617385F7" w14:textId="7EDC59C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p>
        </w:tc>
      </w:tr>
      <w:tr w:rsidR="00873AC6" w:rsidRPr="005A47CF" w14:paraId="06447EB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8063CD7" w14:textId="5EAF426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21</w:t>
            </w:r>
          </w:p>
        </w:tc>
        <w:tc>
          <w:tcPr>
            <w:tcW w:w="6444" w:type="dxa"/>
            <w:tcBorders>
              <w:top w:val="nil"/>
              <w:left w:val="nil"/>
              <w:bottom w:val="single" w:sz="4" w:space="0" w:color="auto"/>
              <w:right w:val="single" w:sz="4" w:space="0" w:color="auto"/>
            </w:tcBorders>
            <w:shd w:val="clear" w:color="auto" w:fill="auto"/>
            <w:vAlign w:val="center"/>
          </w:tcPr>
          <w:p w14:paraId="6258DDDE" w14:textId="63A184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p>
        </w:tc>
      </w:tr>
      <w:tr w:rsidR="00873AC6" w:rsidRPr="005A47CF" w14:paraId="1EE849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46CDDBD6" w14:textId="6820918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22</w:t>
            </w:r>
          </w:p>
        </w:tc>
        <w:tc>
          <w:tcPr>
            <w:tcW w:w="6444" w:type="dxa"/>
            <w:tcBorders>
              <w:top w:val="nil"/>
              <w:left w:val="nil"/>
              <w:bottom w:val="single" w:sz="4" w:space="0" w:color="auto"/>
              <w:right w:val="single" w:sz="4" w:space="0" w:color="auto"/>
            </w:tcBorders>
            <w:shd w:val="clear" w:color="auto" w:fill="auto"/>
            <w:vAlign w:val="center"/>
          </w:tcPr>
          <w:p w14:paraId="627789A4" w14:textId="4E4A5B11"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p>
        </w:tc>
      </w:tr>
      <w:tr w:rsidR="00873AC6" w:rsidRPr="005A47CF" w14:paraId="57C6433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5687957" w14:textId="3904CBA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23</w:t>
            </w:r>
          </w:p>
        </w:tc>
        <w:tc>
          <w:tcPr>
            <w:tcW w:w="6444" w:type="dxa"/>
            <w:tcBorders>
              <w:top w:val="nil"/>
              <w:left w:val="nil"/>
              <w:bottom w:val="single" w:sz="4" w:space="0" w:color="auto"/>
              <w:right w:val="single" w:sz="4" w:space="0" w:color="auto"/>
            </w:tcBorders>
            <w:shd w:val="clear" w:color="auto" w:fill="auto"/>
            <w:vAlign w:val="center"/>
          </w:tcPr>
          <w:p w14:paraId="7403FB22" w14:textId="794C420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p>
        </w:tc>
      </w:tr>
      <w:tr w:rsidR="00873AC6" w:rsidRPr="005A47CF" w14:paraId="274BA2C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07CF71F" w14:textId="1DAA07D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24</w:t>
            </w:r>
          </w:p>
        </w:tc>
        <w:tc>
          <w:tcPr>
            <w:tcW w:w="6444" w:type="dxa"/>
            <w:tcBorders>
              <w:top w:val="nil"/>
              <w:left w:val="nil"/>
              <w:bottom w:val="single" w:sz="4" w:space="0" w:color="auto"/>
              <w:right w:val="single" w:sz="4" w:space="0" w:color="auto"/>
            </w:tcBorders>
            <w:shd w:val="clear" w:color="auto" w:fill="auto"/>
            <w:vAlign w:val="center"/>
          </w:tcPr>
          <w:p w14:paraId="45213DC6" w14:textId="39F12B25"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p>
        </w:tc>
      </w:tr>
      <w:tr w:rsidR="00873AC6" w:rsidRPr="005A47CF" w14:paraId="3AC9D94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CC32930" w14:textId="319B019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25</w:t>
            </w:r>
          </w:p>
        </w:tc>
        <w:tc>
          <w:tcPr>
            <w:tcW w:w="6444" w:type="dxa"/>
            <w:tcBorders>
              <w:top w:val="nil"/>
              <w:left w:val="nil"/>
              <w:bottom w:val="single" w:sz="4" w:space="0" w:color="auto"/>
              <w:right w:val="single" w:sz="4" w:space="0" w:color="auto"/>
            </w:tcBorders>
            <w:shd w:val="clear" w:color="auto" w:fill="auto"/>
            <w:vAlign w:val="center"/>
          </w:tcPr>
          <w:p w14:paraId="560FE4D0" w14:textId="23B00C9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p>
        </w:tc>
      </w:tr>
      <w:tr w:rsidR="00873AC6" w:rsidRPr="005A47CF" w14:paraId="294A9E7A"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E2DF0C0" w14:textId="265BF97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26</w:t>
            </w:r>
          </w:p>
        </w:tc>
        <w:tc>
          <w:tcPr>
            <w:tcW w:w="6444" w:type="dxa"/>
            <w:tcBorders>
              <w:top w:val="nil"/>
              <w:left w:val="nil"/>
              <w:bottom w:val="single" w:sz="4" w:space="0" w:color="auto"/>
              <w:right w:val="single" w:sz="4" w:space="0" w:color="auto"/>
            </w:tcBorders>
            <w:shd w:val="clear" w:color="auto" w:fill="auto"/>
            <w:vAlign w:val="center"/>
          </w:tcPr>
          <w:p w14:paraId="7379F8CC" w14:textId="51428A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p>
        </w:tc>
      </w:tr>
      <w:tr w:rsidR="00873AC6" w:rsidRPr="005A47CF" w14:paraId="7DFEA0C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DC2B2BA" w14:textId="0F2AA940"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27</w:t>
            </w:r>
          </w:p>
        </w:tc>
        <w:tc>
          <w:tcPr>
            <w:tcW w:w="6444" w:type="dxa"/>
            <w:tcBorders>
              <w:top w:val="nil"/>
              <w:left w:val="nil"/>
              <w:bottom w:val="single" w:sz="4" w:space="0" w:color="auto"/>
              <w:right w:val="single" w:sz="4" w:space="0" w:color="auto"/>
            </w:tcBorders>
            <w:shd w:val="clear" w:color="auto" w:fill="auto"/>
            <w:vAlign w:val="center"/>
          </w:tcPr>
          <w:p w14:paraId="214F65BC" w14:textId="2370FAE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p>
        </w:tc>
      </w:tr>
      <w:tr w:rsidR="00873AC6" w:rsidRPr="005A47CF" w14:paraId="14A600A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AA03E95" w14:textId="0BBB144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28</w:t>
            </w:r>
          </w:p>
        </w:tc>
        <w:tc>
          <w:tcPr>
            <w:tcW w:w="6444" w:type="dxa"/>
            <w:tcBorders>
              <w:top w:val="nil"/>
              <w:left w:val="nil"/>
              <w:bottom w:val="single" w:sz="4" w:space="0" w:color="auto"/>
              <w:right w:val="single" w:sz="4" w:space="0" w:color="auto"/>
            </w:tcBorders>
            <w:shd w:val="clear" w:color="auto" w:fill="auto"/>
            <w:vAlign w:val="center"/>
          </w:tcPr>
          <w:p w14:paraId="408DA2A9" w14:textId="51000AC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0FBFC86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444" w:type="dxa"/>
            <w:tcBorders>
              <w:top w:val="nil"/>
              <w:left w:val="nil"/>
              <w:bottom w:val="single" w:sz="4" w:space="0" w:color="auto"/>
              <w:right w:val="single" w:sz="4" w:space="0" w:color="auto"/>
            </w:tcBorders>
            <w:shd w:val="clear" w:color="auto" w:fill="auto"/>
            <w:vAlign w:val="center"/>
            <w:hideMark/>
          </w:tcPr>
          <w:p w14:paraId="2F0C8E67" w14:textId="70EBFC8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8D29A0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444" w:type="dxa"/>
            <w:tcBorders>
              <w:top w:val="nil"/>
              <w:left w:val="nil"/>
              <w:bottom w:val="single" w:sz="4" w:space="0" w:color="auto"/>
              <w:right w:val="single" w:sz="4" w:space="0" w:color="auto"/>
            </w:tcBorders>
            <w:shd w:val="clear" w:color="auto" w:fill="auto"/>
            <w:vAlign w:val="center"/>
            <w:hideMark/>
          </w:tcPr>
          <w:p w14:paraId="55A8690A" w14:textId="2842FD3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0C86869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444" w:type="dxa"/>
            <w:tcBorders>
              <w:top w:val="nil"/>
              <w:left w:val="nil"/>
              <w:bottom w:val="single" w:sz="4" w:space="0" w:color="auto"/>
              <w:right w:val="single" w:sz="4" w:space="0" w:color="auto"/>
            </w:tcBorders>
            <w:shd w:val="clear" w:color="auto" w:fill="auto"/>
            <w:vAlign w:val="center"/>
            <w:hideMark/>
          </w:tcPr>
          <w:p w14:paraId="18F866A5" w14:textId="2CF9EA4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C45E75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444" w:type="dxa"/>
            <w:tcBorders>
              <w:top w:val="nil"/>
              <w:left w:val="nil"/>
              <w:bottom w:val="single" w:sz="4" w:space="0" w:color="auto"/>
              <w:right w:val="single" w:sz="4" w:space="0" w:color="auto"/>
            </w:tcBorders>
            <w:shd w:val="clear" w:color="auto" w:fill="auto"/>
            <w:vAlign w:val="center"/>
            <w:hideMark/>
          </w:tcPr>
          <w:p w14:paraId="52CC8CE4" w14:textId="0A9E36F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018919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444" w:type="dxa"/>
            <w:tcBorders>
              <w:top w:val="nil"/>
              <w:left w:val="nil"/>
              <w:bottom w:val="single" w:sz="4" w:space="0" w:color="auto"/>
              <w:right w:val="single" w:sz="4" w:space="0" w:color="auto"/>
            </w:tcBorders>
            <w:shd w:val="clear" w:color="auto" w:fill="auto"/>
            <w:vAlign w:val="center"/>
            <w:hideMark/>
          </w:tcPr>
          <w:p w14:paraId="5CA00267" w14:textId="72B01F0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72D7629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444" w:type="dxa"/>
            <w:tcBorders>
              <w:top w:val="nil"/>
              <w:left w:val="nil"/>
              <w:bottom w:val="single" w:sz="4" w:space="0" w:color="auto"/>
              <w:right w:val="single" w:sz="4" w:space="0" w:color="auto"/>
            </w:tcBorders>
            <w:shd w:val="clear" w:color="auto" w:fill="auto"/>
            <w:vAlign w:val="center"/>
            <w:hideMark/>
          </w:tcPr>
          <w:p w14:paraId="325E9DC5" w14:textId="69A4878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0F3394D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444" w:type="dxa"/>
            <w:tcBorders>
              <w:top w:val="nil"/>
              <w:left w:val="nil"/>
              <w:bottom w:val="single" w:sz="4" w:space="0" w:color="auto"/>
              <w:right w:val="single" w:sz="4" w:space="0" w:color="auto"/>
            </w:tcBorders>
            <w:shd w:val="clear" w:color="auto" w:fill="auto"/>
            <w:vAlign w:val="center"/>
            <w:hideMark/>
          </w:tcPr>
          <w:p w14:paraId="0D6C4F87" w14:textId="67EFE9E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 vegyes alap</w:t>
            </w:r>
          </w:p>
        </w:tc>
      </w:tr>
      <w:tr w:rsidR="000E395E" w:rsidRPr="005A47CF" w14:paraId="279D58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444" w:type="dxa"/>
            <w:tcBorders>
              <w:top w:val="nil"/>
              <w:left w:val="nil"/>
              <w:bottom w:val="single" w:sz="4" w:space="0" w:color="auto"/>
              <w:right w:val="single" w:sz="4" w:space="0" w:color="auto"/>
            </w:tcBorders>
            <w:shd w:val="clear" w:color="auto" w:fill="auto"/>
            <w:vAlign w:val="center"/>
            <w:hideMark/>
          </w:tcPr>
          <w:p w14:paraId="325CA7C7" w14:textId="79EE4FE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4080042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444" w:type="dxa"/>
            <w:tcBorders>
              <w:top w:val="nil"/>
              <w:left w:val="nil"/>
              <w:bottom w:val="single" w:sz="4" w:space="0" w:color="auto"/>
              <w:right w:val="single" w:sz="4" w:space="0" w:color="auto"/>
            </w:tcBorders>
            <w:shd w:val="clear" w:color="auto" w:fill="auto"/>
            <w:vAlign w:val="center"/>
            <w:hideMark/>
          </w:tcPr>
          <w:p w14:paraId="1CA9FDF3" w14:textId="467B9E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7982E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30LA0414210</w:t>
            </w:r>
          </w:p>
        </w:tc>
        <w:tc>
          <w:tcPr>
            <w:tcW w:w="6444" w:type="dxa"/>
            <w:tcBorders>
              <w:top w:val="nil"/>
              <w:left w:val="nil"/>
              <w:bottom w:val="single" w:sz="4" w:space="0" w:color="auto"/>
              <w:right w:val="single" w:sz="4" w:space="0" w:color="auto"/>
            </w:tcBorders>
            <w:shd w:val="clear" w:color="auto" w:fill="auto"/>
            <w:vAlign w:val="center"/>
            <w:hideMark/>
          </w:tcPr>
          <w:p w14:paraId="3AB4DD3D" w14:textId="0F6AD91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 alap</w:t>
            </w:r>
          </w:p>
        </w:tc>
      </w:tr>
      <w:tr w:rsidR="000E395E" w:rsidRPr="005A47CF" w14:paraId="783F3BA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30LA0414211</w:t>
            </w:r>
          </w:p>
        </w:tc>
        <w:tc>
          <w:tcPr>
            <w:tcW w:w="6444" w:type="dxa"/>
            <w:tcBorders>
              <w:top w:val="nil"/>
              <w:left w:val="nil"/>
              <w:bottom w:val="single" w:sz="4" w:space="0" w:color="auto"/>
              <w:right w:val="single" w:sz="4" w:space="0" w:color="auto"/>
            </w:tcBorders>
            <w:shd w:val="clear" w:color="auto" w:fill="auto"/>
            <w:vAlign w:val="center"/>
            <w:hideMark/>
          </w:tcPr>
          <w:p w14:paraId="4B0ACBF4" w14:textId="11176A6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 hozamú alap</w:t>
            </w:r>
          </w:p>
        </w:tc>
      </w:tr>
      <w:tr w:rsidR="000E395E" w:rsidRPr="005A47CF" w14:paraId="1DA5242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30LA0414212</w:t>
            </w:r>
          </w:p>
        </w:tc>
        <w:tc>
          <w:tcPr>
            <w:tcW w:w="6444" w:type="dxa"/>
            <w:tcBorders>
              <w:top w:val="nil"/>
              <w:left w:val="nil"/>
              <w:bottom w:val="single" w:sz="4" w:space="0" w:color="auto"/>
              <w:right w:val="single" w:sz="4" w:space="0" w:color="auto"/>
            </w:tcBorders>
            <w:shd w:val="clear" w:color="auto" w:fill="auto"/>
            <w:vAlign w:val="center"/>
            <w:hideMark/>
          </w:tcPr>
          <w:p w14:paraId="67A770F4" w14:textId="4A59AE7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 alap</w:t>
            </w:r>
          </w:p>
        </w:tc>
      </w:tr>
      <w:tr w:rsidR="000E395E" w:rsidRPr="005A47CF" w14:paraId="27EC422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444" w:type="dxa"/>
            <w:tcBorders>
              <w:top w:val="nil"/>
              <w:left w:val="nil"/>
              <w:bottom w:val="single" w:sz="4" w:space="0" w:color="auto"/>
              <w:right w:val="single" w:sz="4" w:space="0" w:color="auto"/>
            </w:tcBorders>
            <w:shd w:val="clear" w:color="auto" w:fill="auto"/>
            <w:vAlign w:val="center"/>
            <w:hideMark/>
          </w:tcPr>
          <w:p w14:paraId="3B438258" w14:textId="6D87A64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 alap</w:t>
            </w:r>
          </w:p>
        </w:tc>
      </w:tr>
      <w:tr w:rsidR="000E395E" w:rsidRPr="005A47CF" w14:paraId="01D2623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444" w:type="dxa"/>
            <w:tcBorders>
              <w:top w:val="nil"/>
              <w:left w:val="nil"/>
              <w:bottom w:val="single" w:sz="4" w:space="0" w:color="auto"/>
              <w:right w:val="single" w:sz="4" w:space="0" w:color="auto"/>
            </w:tcBorders>
            <w:shd w:val="clear" w:color="auto" w:fill="auto"/>
            <w:vAlign w:val="center"/>
            <w:hideMark/>
          </w:tcPr>
          <w:p w14:paraId="44C983CE" w14:textId="080407A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 ingatlanokba fektető alap</w:t>
            </w:r>
          </w:p>
        </w:tc>
      </w:tr>
      <w:tr w:rsidR="000E395E" w:rsidRPr="005A47CF" w14:paraId="23C06B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444" w:type="dxa"/>
            <w:tcBorders>
              <w:top w:val="nil"/>
              <w:left w:val="nil"/>
              <w:bottom w:val="single" w:sz="4" w:space="0" w:color="auto"/>
              <w:right w:val="single" w:sz="4" w:space="0" w:color="auto"/>
            </w:tcBorders>
            <w:shd w:val="clear" w:color="auto" w:fill="auto"/>
            <w:vAlign w:val="center"/>
            <w:hideMark/>
          </w:tcPr>
          <w:p w14:paraId="41CAFFB4" w14:textId="1DA7761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 ingatlanokba fektető alap</w:t>
            </w:r>
          </w:p>
        </w:tc>
      </w:tr>
      <w:tr w:rsidR="000E395E" w:rsidRPr="005A47CF" w14:paraId="33D044B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444" w:type="dxa"/>
            <w:tcBorders>
              <w:top w:val="nil"/>
              <w:left w:val="nil"/>
              <w:bottom w:val="single" w:sz="4" w:space="0" w:color="auto"/>
              <w:right w:val="single" w:sz="4" w:space="0" w:color="auto"/>
            </w:tcBorders>
            <w:shd w:val="clear" w:color="auto" w:fill="auto"/>
            <w:vAlign w:val="center"/>
          </w:tcPr>
          <w:p w14:paraId="1B8AB862" w14:textId="3C6A9FC2"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 tőkealap és magántőke alap</w:t>
            </w:r>
          </w:p>
        </w:tc>
      </w:tr>
      <w:tr w:rsidR="000E395E" w:rsidRPr="005A47CF" w14:paraId="52566D2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444" w:type="dxa"/>
            <w:tcBorders>
              <w:top w:val="nil"/>
              <w:left w:val="nil"/>
              <w:bottom w:val="single" w:sz="4" w:space="0" w:color="auto"/>
              <w:right w:val="single" w:sz="4" w:space="0" w:color="auto"/>
            </w:tcBorders>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0E395E" w:rsidRPr="005A47CF" w14:paraId="1201E12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444" w:type="dxa"/>
            <w:tcBorders>
              <w:top w:val="nil"/>
              <w:left w:val="nil"/>
              <w:bottom w:val="single" w:sz="4" w:space="0" w:color="auto"/>
              <w:right w:val="single" w:sz="4" w:space="0" w:color="auto"/>
            </w:tcBorders>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0E395E" w:rsidRPr="005A47CF" w14:paraId="5909EAB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444" w:type="dxa"/>
            <w:tcBorders>
              <w:top w:val="nil"/>
              <w:left w:val="nil"/>
              <w:bottom w:val="single" w:sz="4" w:space="0" w:color="auto"/>
              <w:right w:val="single" w:sz="4" w:space="0" w:color="auto"/>
            </w:tcBorders>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0E395E" w:rsidRPr="005A47CF" w14:paraId="6CA78C1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444" w:type="dxa"/>
            <w:tcBorders>
              <w:top w:val="nil"/>
              <w:left w:val="nil"/>
              <w:bottom w:val="single" w:sz="4" w:space="0" w:color="auto"/>
              <w:right w:val="single" w:sz="4" w:space="0" w:color="auto"/>
            </w:tcBorders>
            <w:shd w:val="clear" w:color="auto" w:fill="auto"/>
            <w:vAlign w:val="center"/>
            <w:hideMark/>
          </w:tcPr>
          <w:p w14:paraId="2EA4358F" w14:textId="654A780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Repó ügyletek</w:t>
            </w:r>
          </w:p>
        </w:tc>
      </w:tr>
      <w:tr w:rsidR="000E395E" w:rsidRPr="005A47CF" w14:paraId="1FF24049"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444" w:type="dxa"/>
            <w:tcBorders>
              <w:top w:val="nil"/>
              <w:left w:val="nil"/>
              <w:bottom w:val="single" w:sz="4" w:space="0" w:color="auto"/>
              <w:right w:val="single" w:sz="4" w:space="0" w:color="auto"/>
            </w:tcBorders>
            <w:shd w:val="clear" w:color="auto" w:fill="auto"/>
            <w:vAlign w:val="center"/>
            <w:hideMark/>
          </w:tcPr>
          <w:p w14:paraId="4A2C48D0" w14:textId="7374B6B9" w:rsidR="00873AC6" w:rsidRPr="005A47CF" w:rsidRDefault="00873AC6" w:rsidP="007B5C6D">
            <w:pPr>
              <w:jc w:val="left"/>
              <w:rPr>
                <w:rFonts w:eastAsia="Times New Roman" w:cs="Arial"/>
                <w:szCs w:val="20"/>
                <w:lang w:eastAsia="hu-HU"/>
              </w:rPr>
            </w:pPr>
            <w:proofErr w:type="spellStart"/>
            <w:r w:rsidRPr="005A47CF">
              <w:rPr>
                <w:rFonts w:eastAsia="Times New Roman" w:cs="Arial"/>
                <w:szCs w:val="20"/>
                <w:lang w:eastAsia="hu-HU"/>
              </w:rPr>
              <w:t>SWAP</w:t>
            </w:r>
            <w:proofErr w:type="spellEnd"/>
            <w:r w:rsidRPr="005A47CF">
              <w:rPr>
                <w:rFonts w:eastAsia="Times New Roman" w:cs="Arial"/>
                <w:szCs w:val="20"/>
                <w:lang w:eastAsia="hu-HU"/>
              </w:rPr>
              <w:t xml:space="preserve"> ügyletek</w:t>
            </w:r>
          </w:p>
        </w:tc>
      </w:tr>
      <w:tr w:rsidR="000E395E" w:rsidRPr="005A47CF" w14:paraId="286489B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444" w:type="dxa"/>
            <w:tcBorders>
              <w:top w:val="nil"/>
              <w:left w:val="nil"/>
              <w:bottom w:val="single" w:sz="4" w:space="0" w:color="auto"/>
              <w:right w:val="single" w:sz="4" w:space="0" w:color="auto"/>
            </w:tcBorders>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0E395E" w:rsidRPr="005A47CF" w14:paraId="624D4E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444" w:type="dxa"/>
            <w:tcBorders>
              <w:top w:val="nil"/>
              <w:left w:val="nil"/>
              <w:bottom w:val="single" w:sz="4" w:space="0" w:color="auto"/>
              <w:right w:val="single" w:sz="4" w:space="0" w:color="auto"/>
            </w:tcBorders>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0E395E" w:rsidRPr="005A47CF" w14:paraId="4E5DEFC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444" w:type="dxa"/>
            <w:tcBorders>
              <w:top w:val="nil"/>
              <w:left w:val="nil"/>
              <w:bottom w:val="single" w:sz="4" w:space="0" w:color="auto"/>
              <w:right w:val="single" w:sz="4" w:space="0" w:color="auto"/>
            </w:tcBorders>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0E395E" w:rsidRPr="005A47CF" w14:paraId="54F3AE4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444" w:type="dxa"/>
            <w:tcBorders>
              <w:top w:val="nil"/>
              <w:left w:val="nil"/>
              <w:bottom w:val="single" w:sz="4" w:space="0" w:color="auto"/>
              <w:right w:val="single" w:sz="4" w:space="0" w:color="auto"/>
            </w:tcBorders>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0E395E" w:rsidRPr="005A47CF" w14:paraId="70C8E26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444" w:type="dxa"/>
            <w:tcBorders>
              <w:top w:val="nil"/>
              <w:left w:val="nil"/>
              <w:bottom w:val="single" w:sz="4" w:space="0" w:color="auto"/>
              <w:right w:val="single" w:sz="4" w:space="0" w:color="auto"/>
            </w:tcBorders>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0E395E" w:rsidRPr="005A47CF" w14:paraId="2D86A7F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444" w:type="dxa"/>
            <w:tcBorders>
              <w:top w:val="nil"/>
              <w:left w:val="nil"/>
              <w:bottom w:val="single" w:sz="4" w:space="0" w:color="auto"/>
              <w:right w:val="single" w:sz="4" w:space="0" w:color="auto"/>
            </w:tcBorders>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8036FD">
      <w:pPr>
        <w:spacing w:before="240"/>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 xml:space="preserve">Ha az értéknapra nem állna rendelkezésre egyeztetett, </w:t>
      </w:r>
      <w:proofErr w:type="spellStart"/>
      <w:r w:rsidR="0082741B" w:rsidRPr="005A47CF">
        <w:rPr>
          <w:rFonts w:eastAsia="Times New Roman" w:cs="Arial"/>
          <w:szCs w:val="20"/>
        </w:rPr>
        <w:t>rekonsziliált</w:t>
      </w:r>
      <w:proofErr w:type="spellEnd"/>
      <w:r w:rsidR="0082741B" w:rsidRPr="005A47CF">
        <w:rPr>
          <w:rFonts w:eastAsia="Times New Roman" w:cs="Arial"/>
          <w:szCs w:val="20"/>
        </w:rPr>
        <w:t>, visszaigazolt nettó jelenérték, akkor az utolsó, visszaigazolt jelenértéket kell jelenteni.</w:t>
      </w:r>
    </w:p>
    <w:p w14:paraId="35F80C91" w14:textId="77777777" w:rsidR="00E27A84" w:rsidRDefault="002B7259" w:rsidP="008036FD">
      <w:pPr>
        <w:spacing w:before="240"/>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denominált. Ha ugyanazon eszközre különböző devizákban is van az alapnak vagy portfóliónak pozíciója, akkor </w:t>
      </w:r>
      <w:proofErr w:type="spellStart"/>
      <w:r w:rsidR="00E27A84" w:rsidRPr="005A47CF">
        <w:rPr>
          <w:rFonts w:cs="Arial"/>
          <w:szCs w:val="20"/>
        </w:rPr>
        <w:t>devizánként</w:t>
      </w:r>
      <w:proofErr w:type="spellEnd"/>
      <w:r w:rsidR="00E27A84" w:rsidRPr="005A47CF">
        <w:rPr>
          <w:rFonts w:cs="Arial"/>
          <w:szCs w:val="20"/>
        </w:rPr>
        <w:t xml:space="preserve"> külön sorban kell azokat jelenteni.</w:t>
      </w:r>
    </w:p>
    <w:p w14:paraId="1D77F92A" w14:textId="6CFD25B5" w:rsidR="00206297" w:rsidRDefault="00206297" w:rsidP="00B96615">
      <w:pPr>
        <w:spacing w:before="240"/>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B96615">
      <w:pPr>
        <w:spacing w:before="240"/>
        <w:rPr>
          <w:rFonts w:cs="Arial"/>
          <w:b/>
          <w:szCs w:val="20"/>
        </w:rPr>
      </w:pPr>
      <w:r w:rsidRPr="005A47CF">
        <w:rPr>
          <w:rFonts w:cs="Arial"/>
          <w:b/>
          <w:szCs w:val="20"/>
        </w:rPr>
        <w:t>A tábla sorai:</w:t>
      </w:r>
    </w:p>
    <w:p w14:paraId="5F398E12" w14:textId="77777777" w:rsidR="00B96615" w:rsidRPr="005A47CF" w:rsidRDefault="008440D4" w:rsidP="008036FD">
      <w:pPr>
        <w:spacing w:before="240"/>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2"/>
    <w:p w14:paraId="3E0C3509" w14:textId="77777777" w:rsidR="002E1FA5" w:rsidRPr="005A47CF" w:rsidRDefault="002E1FA5" w:rsidP="008E778C">
      <w:pPr>
        <w:rPr>
          <w:rFonts w:cs="Arial"/>
          <w:b/>
          <w:szCs w:val="20"/>
        </w:rPr>
      </w:pPr>
    </w:p>
    <w:p w14:paraId="755B74B4" w14:textId="77777777" w:rsidR="008036FD" w:rsidRPr="005A47CF" w:rsidRDefault="008036FD" w:rsidP="008E778C">
      <w:pPr>
        <w:rPr>
          <w:rFonts w:cs="Arial"/>
          <w:b/>
          <w:szCs w:val="20"/>
        </w:rPr>
      </w:pPr>
    </w:p>
    <w:p w14:paraId="509926CF" w14:textId="77777777" w:rsidR="008E778C" w:rsidRPr="005A47CF" w:rsidRDefault="00D75356" w:rsidP="00E666C9">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12489568" w:rsidR="008E778C" w:rsidRPr="00695628" w:rsidRDefault="000370FA" w:rsidP="00695628">
      <w:pPr>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proofErr w:type="spellStart"/>
      <w:r w:rsidRPr="005A47CF">
        <w:rPr>
          <w:rFonts w:cs="Arial"/>
          <w:bCs/>
          <w:szCs w:val="20"/>
        </w:rPr>
        <w:t>sorozatonkénti</w:t>
      </w:r>
      <w:proofErr w:type="spellEnd"/>
      <w:r w:rsidRPr="005A47CF">
        <w:rPr>
          <w:rFonts w:cs="Arial"/>
          <w:bCs/>
          <w:szCs w:val="20"/>
        </w:rPr>
        <w:t xml:space="preserve"> bontásban, amelyek esetében az adott napra nettó eszközértéket (piaci értéket)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9-12</w:t>
      </w:r>
      <w:r w:rsidR="001E6D7E">
        <w:rPr>
          <w:rFonts w:cs="Arial"/>
          <w:szCs w:val="20"/>
        </w:rPr>
        <w:t>.</w:t>
      </w:r>
      <w:r w:rsidR="001E6D7E" w:rsidRPr="001B0D28">
        <w:rPr>
          <w:rFonts w:cs="Arial"/>
          <w:szCs w:val="20"/>
        </w:rPr>
        <w:t xml:space="preserve"> oszlopok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t>A tábla oszlopai</w:t>
      </w:r>
    </w:p>
    <w:p w14:paraId="3128A183" w14:textId="0053AFA1" w:rsidR="00A73827" w:rsidRPr="00EE297A" w:rsidRDefault="008E778C" w:rsidP="00A73827">
      <w:pPr>
        <w:spacing w:before="120"/>
        <w:rPr>
          <w:rFonts w:cs="Arial"/>
          <w:szCs w:val="20"/>
        </w:rPr>
      </w:pPr>
      <w:r w:rsidRPr="005A47CF">
        <w:rPr>
          <w:rFonts w:cs="Arial"/>
          <w:b/>
          <w:szCs w:val="20"/>
        </w:rPr>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 xml:space="preserve">énztári és biztosítói portfólió esetén a portfólió </w:t>
      </w:r>
      <w:r w:rsidR="00A73827" w:rsidRPr="00EE297A">
        <w:rPr>
          <w:rFonts w:eastAsia="Times New Roman" w:cs="Arial"/>
          <w:szCs w:val="20"/>
          <w:lang w:eastAsia="x-none"/>
        </w:rPr>
        <w:lastRenderedPageBreak/>
        <w:t>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A73827">
      <w:pPr>
        <w:rPr>
          <w:rFonts w:eastAsia="Times New Roman" w:cs="Arial"/>
          <w:b/>
          <w:bCs/>
          <w:szCs w:val="20"/>
          <w:lang w:val="x-none" w:eastAsia="x-none"/>
        </w:rPr>
      </w:pPr>
    </w:p>
    <w:p w14:paraId="7D1DBA95" w14:textId="77777777" w:rsidR="00A73827" w:rsidRPr="00EE297A" w:rsidRDefault="00A73827" w:rsidP="00A73827">
      <w:pPr>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w:t>
      </w:r>
      <w:proofErr w:type="spellStart"/>
      <w:r w:rsidRPr="00EE297A">
        <w:rPr>
          <w:rFonts w:cs="Arial"/>
          <w:szCs w:val="20"/>
          <w:lang w:eastAsia="x-none"/>
        </w:rPr>
        <w:t>BA</w:t>
      </w:r>
      <w:proofErr w:type="spellEnd"/>
      <w:r w:rsidRPr="00EE297A">
        <w:rPr>
          <w:rFonts w:cs="Arial"/>
          <w:szCs w:val="20"/>
          <w:lang w:eastAsia="x-none"/>
        </w:rPr>
        <w:t>”, pénztári portfólió – „PP”, biztosítói portfóliók – „</w:t>
      </w:r>
      <w:proofErr w:type="spellStart"/>
      <w:r w:rsidRPr="00EE297A">
        <w:rPr>
          <w:rFonts w:cs="Arial"/>
          <w:szCs w:val="20"/>
          <w:lang w:eastAsia="x-none"/>
        </w:rPr>
        <w:t>BizP</w:t>
      </w:r>
      <w:proofErr w:type="spellEnd"/>
      <w:r w:rsidRPr="00EE297A">
        <w:rPr>
          <w:rFonts w:cs="Arial"/>
          <w:szCs w:val="20"/>
          <w:lang w:eastAsia="x-none"/>
        </w:rPr>
        <w:t>”.</w:t>
      </w:r>
    </w:p>
    <w:p w14:paraId="788BCEF3" w14:textId="77777777" w:rsidR="00A73827" w:rsidRDefault="00A73827" w:rsidP="00CC0FC6">
      <w:pPr>
        <w:spacing w:before="120"/>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w:t>
      </w:r>
      <w:proofErr w:type="spellStart"/>
      <w:r w:rsidRPr="00EE297A">
        <w:rPr>
          <w:rFonts w:cs="Arial"/>
          <w:szCs w:val="20"/>
          <w:lang w:eastAsia="x-none"/>
        </w:rPr>
        <w:t>BA</w:t>
      </w:r>
      <w:proofErr w:type="spellEnd"/>
      <w:r w:rsidRPr="00EE297A">
        <w:rPr>
          <w:rFonts w:cs="Arial"/>
          <w:szCs w:val="20"/>
          <w:lang w:eastAsia="x-none"/>
        </w:rPr>
        <w:t>”</w:t>
      </w:r>
      <w:r w:rsidR="0066361E">
        <w:rPr>
          <w:rFonts w:cs="Arial"/>
          <w:szCs w:val="20"/>
          <w:lang w:eastAsia="x-none"/>
        </w:rPr>
        <w:t>.</w:t>
      </w:r>
    </w:p>
    <w:p w14:paraId="268F44FA" w14:textId="3B8326D6" w:rsidR="00943544" w:rsidRPr="005A47CF" w:rsidRDefault="0066361E" w:rsidP="00CC0FC6">
      <w:pPr>
        <w:spacing w:before="120"/>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354598CA" w:rsidR="008E778C" w:rsidRPr="005A47CF" w:rsidRDefault="0066361E" w:rsidP="00CC0FC6">
      <w:pPr>
        <w:spacing w:before="120"/>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a kezelési szabályzatban meghatározott (de legfeljebb 6 tizedesjegy) pontossággal.</w:t>
      </w:r>
    </w:p>
    <w:p w14:paraId="3A31ADC2" w14:textId="4A034457" w:rsidR="008E778C" w:rsidRDefault="0066361E" w:rsidP="008E778C">
      <w:pPr>
        <w:spacing w:before="240"/>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0EC822B2" w:rsidR="0066361E" w:rsidRDefault="0066361E" w:rsidP="001F683F">
      <w:pPr>
        <w:spacing w:before="240"/>
        <w:rPr>
          <w:rFonts w:cs="Arial"/>
          <w:szCs w:val="20"/>
        </w:rPr>
      </w:pPr>
      <w:r w:rsidRPr="009F6F2E">
        <w:rPr>
          <w:rFonts w:cs="Arial"/>
          <w:b/>
          <w:szCs w:val="20"/>
        </w:rPr>
        <w:t>9-12.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w:t>
      </w:r>
      <w:proofErr w:type="spellStart"/>
      <w:r w:rsidR="006F709C">
        <w:rPr>
          <w:rFonts w:cs="Arial"/>
          <w:szCs w:val="20"/>
        </w:rPr>
        <w:t>BizP</w:t>
      </w:r>
      <w:proofErr w:type="spellEnd"/>
      <w:r w:rsidR="006F709C">
        <w:rPr>
          <w:rFonts w:cs="Arial"/>
          <w:szCs w:val="20"/>
        </w:rPr>
        <w:t>”</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1F683F">
      <w:pPr>
        <w:spacing w:before="240"/>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017B7A">
      <w:pPr>
        <w:rPr>
          <w:rFonts w:cs="Arial"/>
          <w:b/>
          <w:szCs w:val="20"/>
        </w:rPr>
      </w:pPr>
    </w:p>
    <w:p w14:paraId="3D26A0D7" w14:textId="77777777" w:rsidR="00751CF2" w:rsidRDefault="00751CF2" w:rsidP="00017B7A">
      <w:pPr>
        <w:rPr>
          <w:rFonts w:cs="Arial"/>
          <w:b/>
          <w:szCs w:val="20"/>
        </w:rPr>
      </w:pPr>
    </w:p>
    <w:p w14:paraId="795E906E" w14:textId="2E13801D" w:rsidR="00017B7A" w:rsidRPr="005A47CF" w:rsidRDefault="00D75356" w:rsidP="00E666C9">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proofErr w:type="spellStart"/>
      <w:r w:rsidRPr="00AB7801">
        <w:rPr>
          <w:rFonts w:cs="Arial"/>
          <w:szCs w:val="20"/>
        </w:rPr>
        <w:t>Legal</w:t>
      </w:r>
      <w:proofErr w:type="spellEnd"/>
      <w:r w:rsidRPr="00AB7801">
        <w:rPr>
          <w:rFonts w:cs="Arial"/>
          <w:szCs w:val="20"/>
        </w:rPr>
        <w:t xml:space="preserve"> </w:t>
      </w:r>
      <w:proofErr w:type="spellStart"/>
      <w:r w:rsidRPr="00AB7801">
        <w:rPr>
          <w:rFonts w:cs="Arial"/>
          <w:szCs w:val="20"/>
        </w:rPr>
        <w:t>Entity</w:t>
      </w:r>
      <w:proofErr w:type="spellEnd"/>
      <w:r w:rsidRPr="00AB7801">
        <w:rPr>
          <w:rFonts w:cs="Arial"/>
          <w:szCs w:val="20"/>
        </w:rPr>
        <w:t xml:space="preserve"> </w:t>
      </w:r>
      <w:proofErr w:type="spellStart"/>
      <w:r w:rsidRPr="00AB7801">
        <w:rPr>
          <w:rFonts w:cs="Arial"/>
          <w:szCs w:val="20"/>
        </w:rPr>
        <w:t>Identifier</w:t>
      </w:r>
      <w:proofErr w:type="spellEnd"/>
      <w:r w:rsidRPr="00AB7801">
        <w:rPr>
          <w:rFonts w:cs="Arial"/>
          <w:szCs w:val="20"/>
        </w:rPr>
        <w:t xml:space="preserve">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 xml:space="preserve">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7777777" w:rsidR="004C3134" w:rsidRPr="005A47CF" w:rsidRDefault="004C3134" w:rsidP="004C3134">
      <w:pPr>
        <w:ind w:left="1560" w:hanging="1560"/>
        <w:rPr>
          <w:rFonts w:cs="Arial"/>
          <w:szCs w:val="20"/>
        </w:rPr>
      </w:pPr>
      <w:r w:rsidRPr="005A47CF">
        <w:rPr>
          <w:rFonts w:cs="Arial"/>
          <w:b/>
          <w:color w:val="000000"/>
          <w:szCs w:val="20"/>
        </w:rPr>
        <w:t xml:space="preserve">5-8.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E666C9">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287D34B4"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Ebben a táblában tranzakción az értékpapírokhoz, határidős, opciós, repó</w:t>
      </w:r>
      <w:r w:rsidR="00D07F7B" w:rsidRPr="005A47CF">
        <w:rPr>
          <w:rFonts w:cs="Arial"/>
          <w:szCs w:val="20"/>
        </w:rPr>
        <w:t>-</w:t>
      </w:r>
      <w:r w:rsidR="00D134DF" w:rsidRPr="005A47CF">
        <w:rPr>
          <w:rFonts w:cs="Arial"/>
          <w:szCs w:val="20"/>
        </w:rPr>
        <w:t xml:space="preserve"> és </w:t>
      </w:r>
      <w:proofErr w:type="spellStart"/>
      <w:r w:rsidR="00D134DF" w:rsidRPr="005A47CF">
        <w:rPr>
          <w:rFonts w:cs="Arial"/>
          <w:szCs w:val="20"/>
        </w:rPr>
        <w:t>SWAP</w:t>
      </w:r>
      <w:proofErr w:type="spellEnd"/>
      <w:r w:rsidR="00D07F7B" w:rsidRPr="005A47CF">
        <w:rPr>
          <w:rFonts w:cs="Arial"/>
          <w:szCs w:val="20"/>
        </w:rPr>
        <w:t>-</w:t>
      </w:r>
      <w:r w:rsidR="00D134DF" w:rsidRPr="005A47CF">
        <w:rPr>
          <w:rFonts w:cs="Arial"/>
          <w:szCs w:val="20"/>
        </w:rPr>
        <w:t xml:space="preserve">ügyletekhez,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77777777" w:rsidR="00E6503C" w:rsidRPr="00E6503C" w:rsidRDefault="00E6503C" w:rsidP="007A7848">
      <w:pPr>
        <w:spacing w:before="240"/>
        <w:rPr>
          <w:rFonts w:cs="Arial"/>
          <w:szCs w:val="20"/>
        </w:rPr>
      </w:pPr>
      <w:r>
        <w:rPr>
          <w:rFonts w:cs="Arial"/>
          <w:szCs w:val="20"/>
        </w:rPr>
        <w:lastRenderedPageBreak/>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 xml:space="preserve">z adatszolgáltató azonosítására szolgáló egyedi kód, az ISO 9362 szabvány szerinti (11 karakter hosszúságú) SWIFT/Bank </w:t>
      </w:r>
      <w:proofErr w:type="spellStart"/>
      <w:r w:rsidR="00252DF9" w:rsidRPr="005A47CF">
        <w:rPr>
          <w:rFonts w:cs="Arial"/>
          <w:szCs w:val="20"/>
        </w:rPr>
        <w:t>Identifier</w:t>
      </w:r>
      <w:proofErr w:type="spellEnd"/>
      <w:r w:rsidR="00252DF9" w:rsidRPr="005A47CF">
        <w:rPr>
          <w:rFonts w:cs="Arial"/>
          <w:szCs w:val="20"/>
        </w:rPr>
        <w:t xml:space="preserve"> </w:t>
      </w:r>
      <w:proofErr w:type="spellStart"/>
      <w:r w:rsidR="00252DF9" w:rsidRPr="005A47CF">
        <w:rPr>
          <w:rFonts w:cs="Arial"/>
          <w:szCs w:val="20"/>
        </w:rPr>
        <w:t>Code</w:t>
      </w:r>
      <w:proofErr w:type="spellEnd"/>
      <w:r w:rsidR="00252DF9" w:rsidRPr="005A47CF">
        <w:rPr>
          <w:rFonts w:cs="Arial"/>
          <w:szCs w:val="20"/>
        </w:rPr>
        <w:t xml:space="preserve"> (BIC).</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ÉÉÉÉHHNN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ÉÉÉÉHHNN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w:t>
      </w:r>
      <w:proofErr w:type="spellStart"/>
      <w:proofErr w:type="gramStart"/>
      <w:r w:rsidR="00252DF9" w:rsidRPr="005A47CF">
        <w:rPr>
          <w:rFonts w:cs="Arial"/>
          <w:bCs/>
          <w:szCs w:val="20"/>
        </w:rPr>
        <w:t>ÓÓ:PP</w:t>
      </w:r>
      <w:proofErr w:type="gramEnd"/>
      <w:r w:rsidR="00252DF9" w:rsidRPr="005A47CF">
        <w:rPr>
          <w:rFonts w:cs="Arial"/>
          <w:bCs/>
          <w:szCs w:val="20"/>
        </w:rPr>
        <w:t>:MM</w:t>
      </w:r>
      <w:proofErr w:type="spellEnd"/>
      <w:r w:rsidR="00252DF9" w:rsidRPr="005A47CF">
        <w:rPr>
          <w:rFonts w:cs="Arial"/>
          <w:bCs/>
          <w:szCs w:val="20"/>
        </w:rPr>
        <w:t>+/-</w:t>
      </w:r>
      <w:proofErr w:type="spellStart"/>
      <w:r w:rsidR="00252DF9" w:rsidRPr="005A47CF">
        <w:rPr>
          <w:rFonts w:cs="Arial"/>
          <w:bCs/>
          <w:szCs w:val="20"/>
        </w:rPr>
        <w:t>ÓÓ</w:t>
      </w:r>
      <w:proofErr w:type="spellEnd"/>
      <w:r w:rsidR="00252DF9" w:rsidRPr="005A47CF">
        <w:rPr>
          <w:rFonts w:cs="Arial"/>
          <w:bCs/>
          <w:szCs w:val="20"/>
        </w:rPr>
        <w:t xml:space="preserve">,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77777777"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7777777"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w:t>
      </w:r>
      <w:proofErr w:type="gramStart"/>
      <w:r w:rsidRPr="005A47CF">
        <w:rPr>
          <w:rFonts w:cs="Arial"/>
          <w:szCs w:val="20"/>
        </w:rPr>
        <w:t>R”=</w:t>
      </w:r>
      <w:proofErr w:type="gramEnd"/>
      <w:r w:rsidRPr="005A47CF">
        <w:rPr>
          <w:rFonts w:cs="Arial"/>
          <w:szCs w:val="20"/>
        </w:rPr>
        <w:t xml:space="preserve"> </w:t>
      </w:r>
      <w:proofErr w:type="spellStart"/>
      <w:r w:rsidRPr="005A47CF">
        <w:rPr>
          <w:rFonts w:cs="Arial"/>
          <w:szCs w:val="20"/>
        </w:rPr>
        <w:t>repó</w:t>
      </w:r>
      <w:r w:rsidR="001F0E5E" w:rsidRPr="005A47CF">
        <w:rPr>
          <w:rFonts w:cs="Arial"/>
          <w:szCs w:val="20"/>
        </w:rPr>
        <w:t>hoz</w:t>
      </w:r>
      <w:proofErr w:type="spellEnd"/>
      <w:r w:rsidR="001F0E5E" w:rsidRPr="005A47CF">
        <w:rPr>
          <w:rFonts w:cs="Arial"/>
          <w:szCs w:val="20"/>
        </w:rPr>
        <w:t>,</w:t>
      </w:r>
      <w:r w:rsidRPr="005A47CF">
        <w:rPr>
          <w:rFonts w:cs="Arial"/>
          <w:szCs w:val="20"/>
        </w:rPr>
        <w:t xml:space="preserve"> „S”=</w:t>
      </w:r>
      <w:proofErr w:type="spellStart"/>
      <w:r w:rsidRPr="005A47CF">
        <w:rPr>
          <w:rFonts w:cs="Arial"/>
          <w:szCs w:val="20"/>
        </w:rPr>
        <w:t>SWAP</w:t>
      </w:r>
      <w:proofErr w:type="spellEnd"/>
      <w:r w:rsidRPr="005A47CF">
        <w:rPr>
          <w:rFonts w:cs="Arial"/>
          <w:szCs w:val="20"/>
        </w:rPr>
        <w:t xml:space="preserve"> ügylethez, „I”=ingatlan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1761468C"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 xml:space="preserve">Szabályozott piacon kötött határidős, opciós, repó és </w:t>
      </w:r>
      <w:proofErr w:type="spellStart"/>
      <w:r w:rsidR="003521A6" w:rsidRPr="0006309F">
        <w:rPr>
          <w:rFonts w:cs="Arial"/>
          <w:szCs w:val="20"/>
        </w:rPr>
        <w:t>SWAP</w:t>
      </w:r>
      <w:proofErr w:type="spellEnd"/>
      <w:r w:rsidR="003521A6" w:rsidRPr="0006309F">
        <w:rPr>
          <w:rFonts w:cs="Arial"/>
          <w:szCs w:val="20"/>
        </w:rPr>
        <w:t xml:space="preserve"> ügylet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w:t>
      </w:r>
      <w:proofErr w:type="spellStart"/>
      <w:r w:rsidR="00DC7603" w:rsidRPr="001D03E5">
        <w:rPr>
          <w:rFonts w:cs="Arial"/>
          <w:szCs w:val="20"/>
        </w:rPr>
        <w:t>ééhhnn</w:t>
      </w:r>
      <w:proofErr w:type="spellEnd"/>
      <w:r w:rsidR="00DC7603" w:rsidRPr="001D03E5">
        <w:rPr>
          <w:rFonts w:cs="Arial"/>
          <w:szCs w:val="20"/>
        </w:rPr>
        <w:t>”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proofErr w:type="spellStart"/>
      <w:r w:rsidR="00DC7603" w:rsidRPr="001D03E5">
        <w:rPr>
          <w:rFonts w:cs="Arial"/>
          <w:szCs w:val="20"/>
        </w:rPr>
        <w:t>EURHUF</w:t>
      </w:r>
      <w:proofErr w:type="spellEnd"/>
      <w:r w:rsidR="00DC7603" w:rsidRPr="001D03E5">
        <w:rPr>
          <w:rFonts w:cs="Arial"/>
          <w:szCs w:val="20"/>
        </w:rPr>
        <w:t>/2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repó 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r w:rsidR="003521A6" w:rsidRPr="0006309F">
        <w:rPr>
          <w:rFonts w:cs="Arial"/>
          <w:bCs/>
          <w:szCs w:val="20"/>
        </w:rPr>
        <w:t>ÉÉÉÉHHNN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w:t>
      </w:r>
      <w:proofErr w:type="spellEnd"/>
      <w:r w:rsidR="008C7617" w:rsidRPr="00244FEC">
        <w:rPr>
          <w:rFonts w:cs="Arial"/>
          <w:szCs w:val="20"/>
        </w:rPr>
        <w:t xml:space="preserve"> ügylet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06B4E865" w14:textId="77777777" w:rsidR="003D57EA" w:rsidRDefault="003D57EA" w:rsidP="003D57EA">
      <w:pPr>
        <w:rPr>
          <w:rFonts w:cs="Arial"/>
          <w:b/>
          <w:bCs/>
          <w:szCs w:val="20"/>
        </w:rPr>
      </w:pPr>
    </w:p>
    <w:p w14:paraId="65441313" w14:textId="21293B98"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 xml:space="preserve">Határidős, opciós, repó és </w:t>
      </w:r>
      <w:proofErr w:type="spellStart"/>
      <w:r w:rsidR="003D57EA">
        <w:rPr>
          <w:rFonts w:cs="Arial"/>
          <w:szCs w:val="20"/>
        </w:rPr>
        <w:t>SWAP</w:t>
      </w:r>
      <w:proofErr w:type="spellEnd"/>
      <w:r w:rsidR="003D57EA">
        <w:rPr>
          <w:rFonts w:cs="Arial"/>
          <w:szCs w:val="20"/>
        </w:rPr>
        <w:t xml:space="preserve"> ügylet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7777777" w:rsidR="00970694" w:rsidRPr="003321A1" w:rsidRDefault="00970694" w:rsidP="003321A1">
      <w:pPr>
        <w:rPr>
          <w:rFonts w:cs="Arial"/>
        </w:rPr>
      </w:pPr>
      <w:bookmarkStart w:id="5"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repó ügyletek és a </w:t>
      </w:r>
      <w:proofErr w:type="spellStart"/>
      <w:r w:rsidRPr="00970694">
        <w:rPr>
          <w:rFonts w:cs="Arial"/>
          <w:szCs w:val="20"/>
        </w:rPr>
        <w:t>SWAP</w:t>
      </w:r>
      <w:proofErr w:type="spellEnd"/>
      <w:r w:rsidRPr="00970694">
        <w:rPr>
          <w:rFonts w:cs="Arial"/>
          <w:szCs w:val="20"/>
        </w:rPr>
        <w:t xml:space="preserve"> ügyletek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xml:space="preserve">, opciós, repó és </w:t>
      </w:r>
      <w:proofErr w:type="spellStart"/>
      <w:r w:rsidR="00F87178">
        <w:rPr>
          <w:rFonts w:cs="Arial"/>
          <w:szCs w:val="20"/>
        </w:rPr>
        <w:lastRenderedPageBreak/>
        <w:t>SWAP</w:t>
      </w:r>
      <w:proofErr w:type="spellEnd"/>
      <w:r w:rsidR="00F87178">
        <w:rPr>
          <w:rFonts w:cs="Arial"/>
          <w:szCs w:val="20"/>
        </w:rPr>
        <w:t xml:space="preserve"> ügyleteknél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616EEF" w:rsidRPr="00D62CA9">
        <w:rPr>
          <w:rFonts w:cs="Arial"/>
          <w:szCs w:val="20"/>
        </w:rPr>
        <w:t xml:space="preserve"> (nem pedig a 10. oszlopban szereplő devizában)</w:t>
      </w:r>
      <w:r w:rsidR="003321A1" w:rsidRPr="00D62CA9">
        <w:rPr>
          <w:rFonts w:cs="Arial"/>
          <w:szCs w:val="20"/>
        </w:rPr>
        <w:t>.</w:t>
      </w:r>
      <w:bookmarkEnd w:id="5"/>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7F92E031"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a 30LA kódú tábla 2. oszlopában használt azonosító (amelyet a 30KA kódú tábla 2. oszlopában is alkalmaz az adatszolgáltató).</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2CF41590"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a partner BIC kódja. Ha a partnernek nincs BIC kódja, akkor az adott intézmény rövid (vagy rövidített), beszédes nevét kell megadni, pontosan 11 karakter hosszan. Ha a rövid név 11 karakternél rövidebb lenne, akkor „</w:t>
      </w:r>
      <w:proofErr w:type="gramStart"/>
      <w:r w:rsidR="00252DF9" w:rsidRPr="005A47CF">
        <w:rPr>
          <w:rFonts w:cs="Arial"/>
          <w:szCs w:val="20"/>
        </w:rPr>
        <w:t>X”-</w:t>
      </w:r>
      <w:proofErr w:type="spellStart"/>
      <w:proofErr w:type="gramEnd"/>
      <w:r w:rsidR="00252DF9" w:rsidRPr="005A47CF">
        <w:rPr>
          <w:rFonts w:cs="Arial"/>
          <w:szCs w:val="20"/>
        </w:rPr>
        <w:t>ekkel</w:t>
      </w:r>
      <w:proofErr w:type="spellEnd"/>
      <w:r w:rsidR="00252DF9" w:rsidRPr="005A47CF">
        <w:rPr>
          <w:rFonts w:cs="Arial"/>
          <w:szCs w:val="20"/>
        </w:rPr>
        <w:t xml:space="preserve">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BIC,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F7082">
      <w:pPr>
        <w:pStyle w:val="NormlWeb"/>
        <w:tabs>
          <w:tab w:val="left" w:pos="0"/>
        </w:tabs>
        <w:spacing w:after="0"/>
        <w:ind w:firstLine="0"/>
        <w:rPr>
          <w:rFonts w:cs="Arial"/>
          <w:b/>
          <w:bCs/>
          <w:szCs w:val="20"/>
        </w:rPr>
      </w:pPr>
    </w:p>
    <w:p w14:paraId="0BABB2BB" w14:textId="77777777" w:rsidR="00751CF2" w:rsidRDefault="00751CF2" w:rsidP="00AF7082">
      <w:pPr>
        <w:rPr>
          <w:rFonts w:cs="Arial"/>
          <w:b/>
          <w:szCs w:val="20"/>
        </w:rPr>
      </w:pPr>
    </w:p>
    <w:p w14:paraId="65CD139F" w14:textId="44A86807" w:rsidR="00DE261D" w:rsidRPr="005A47CF" w:rsidRDefault="00D75356" w:rsidP="00E666C9">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288"/>
        <w:gridCol w:w="8505"/>
      </w:tblGrid>
      <w:tr w:rsidR="00780DF8" w:rsidRPr="005A47CF" w14:paraId="7DAB3A35" w14:textId="77777777" w:rsidTr="00780DF8">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505"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780DF8">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505"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780DF8">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505"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77777777" w:rsidR="00780DF8" w:rsidRPr="005A47CF" w:rsidRDefault="00780DF8" w:rsidP="00442542">
            <w:pPr>
              <w:rPr>
                <w:rFonts w:cs="Arial"/>
                <w:szCs w:val="20"/>
              </w:rPr>
            </w:pPr>
            <w:r w:rsidRPr="005A47CF">
              <w:rPr>
                <w:rFonts w:cs="Arial"/>
                <w:szCs w:val="20"/>
              </w:rPr>
              <w:t xml:space="preserve">A határidős és opciós ügyletek esetén a fizetett letétek, pénzügyi biztosítékok, árkülönbözetek összege (amíg az ügylet le nem zárul). </w:t>
            </w:r>
          </w:p>
        </w:tc>
      </w:tr>
      <w:tr w:rsidR="00780DF8" w:rsidRPr="005A47CF" w14:paraId="0A6573D8" w14:textId="77777777" w:rsidTr="00780DF8">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505"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AF7082">
      <w:pPr>
        <w:rPr>
          <w:rFonts w:cs="Arial"/>
          <w:b/>
          <w:szCs w:val="20"/>
        </w:rPr>
      </w:pPr>
    </w:p>
    <w:p w14:paraId="05D2E28A" w14:textId="452D04EA" w:rsidR="008C036D" w:rsidRPr="005A47CF" w:rsidRDefault="00D75356" w:rsidP="00E666C9">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862D16">
      <w:pPr>
        <w:ind w:right="-373"/>
        <w:rPr>
          <w:rFonts w:cs="Arial"/>
          <w:szCs w:val="20"/>
        </w:rPr>
      </w:pPr>
      <w:r w:rsidRPr="005A47CF">
        <w:rPr>
          <w:rFonts w:cs="Arial"/>
          <w:szCs w:val="20"/>
        </w:rPr>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 xml:space="preserve">kitöltése alapvetően megegyezik a számviteli előírásokban foglaltakkal, azonban </w:t>
      </w:r>
      <w:proofErr w:type="gramStart"/>
      <w:r w:rsidRPr="005A47CF">
        <w:rPr>
          <w:rFonts w:cs="Arial"/>
          <w:szCs w:val="20"/>
        </w:rPr>
        <w:t>egyes esetekben</w:t>
      </w:r>
      <w:proofErr w:type="gramEnd"/>
      <w:r w:rsidRPr="005A47CF">
        <w:rPr>
          <w:rFonts w:cs="Arial"/>
          <w:szCs w:val="20"/>
        </w:rPr>
        <w:t xml:space="preserve">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lastRenderedPageBreak/>
        <w:t>A tábl</w:t>
      </w:r>
      <w:r w:rsidR="00FA0583"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146"/>
        <w:gridCol w:w="8647"/>
      </w:tblGrid>
      <w:tr w:rsidR="007426AD" w:rsidRPr="005A47CF" w14:paraId="795B8DD2" w14:textId="77777777" w:rsidTr="007426AD">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647"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77777777"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(nem bizományi)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5521FA">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647"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7777777" w:rsidR="0064770C" w:rsidRPr="005A47CF" w:rsidRDefault="0064770C" w:rsidP="0064770C">
            <w:pPr>
              <w:rPr>
                <w:rFonts w:cs="Arial"/>
                <w:szCs w:val="20"/>
              </w:rPr>
            </w:pPr>
            <w:r w:rsidRPr="005A47CF">
              <w:rPr>
                <w:rFonts w:cs="Arial"/>
                <w:szCs w:val="20"/>
              </w:rPr>
              <w:t xml:space="preserve">Ezeken a sorokon „a befizetett, de a Cégbíróságon még be nem jegyzett tőke” − az alapítókkal szembeni kötelezettség – értékét kell szerepeltetni. A tőkeemelésnek azt a részét, amelyet a vállalkozás saját tőkén belüli </w:t>
            </w:r>
            <w:proofErr w:type="spellStart"/>
            <w:r w:rsidRPr="005A47CF">
              <w:rPr>
                <w:rFonts w:cs="Arial"/>
                <w:szCs w:val="20"/>
              </w:rPr>
              <w:t>tartalékából</w:t>
            </w:r>
            <w:proofErr w:type="spellEnd"/>
            <w:r w:rsidRPr="005A47CF">
              <w:rPr>
                <w:rFonts w:cs="Arial"/>
                <w:szCs w:val="20"/>
              </w:rPr>
              <w:t xml:space="preserve"> (tőke- vagy eredménytartalékból)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5521FA">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647"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5521FA">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647"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77777777" w:rsidR="007426AD" w:rsidRPr="005A47CF" w:rsidRDefault="007426AD" w:rsidP="00CC0DC3">
            <w:pPr>
              <w:rPr>
                <w:rFonts w:cs="Arial"/>
                <w:szCs w:val="20"/>
              </w:rPr>
            </w:pPr>
            <w:r w:rsidRPr="005A47CF">
              <w:rPr>
                <w:rFonts w:cs="Arial"/>
                <w:szCs w:val="20"/>
              </w:rPr>
              <w:t xml:space="preserve">A határidős, opciós és </w:t>
            </w:r>
            <w:proofErr w:type="spellStart"/>
            <w:r w:rsidRPr="005A47CF">
              <w:rPr>
                <w:rFonts w:cs="Arial"/>
                <w:szCs w:val="20"/>
              </w:rPr>
              <w:t>swap</w:t>
            </w:r>
            <w:proofErr w:type="spellEnd"/>
            <w:r w:rsidRPr="005A47CF">
              <w:rPr>
                <w:rFonts w:cs="Arial"/>
                <w:szCs w:val="20"/>
              </w:rPr>
              <w:t xml:space="preserve"> ügyletek, a jegyzési garanciavállalás, a </w:t>
            </w:r>
            <w:proofErr w:type="spellStart"/>
            <w:r w:rsidRPr="005A47CF">
              <w:rPr>
                <w:rFonts w:cs="Arial"/>
                <w:szCs w:val="20"/>
              </w:rPr>
              <w:t>Bszt</w:t>
            </w:r>
            <w:proofErr w:type="spellEnd"/>
            <w:r w:rsidRPr="005A47CF">
              <w:rPr>
                <w:rFonts w:cs="Arial"/>
                <w:szCs w:val="20"/>
              </w:rPr>
              <w:t xml:space="preserve">.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5521FA">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647"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7426AD">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647"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7426AD">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647"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77777777"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615344" w:rsidRPr="005A47CF">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7426AD">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647"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roofErr w:type="gramStart"/>
            <w:r w:rsidR="004F0D49" w:rsidRPr="005A47CF">
              <w:rPr>
                <w:rFonts w:cs="Arial"/>
                <w:szCs w:val="20"/>
              </w:rPr>
              <w:t>+,-</w:t>
            </w:r>
            <w:proofErr w:type="gramEnd"/>
            <w:r w:rsidR="004F0D49" w:rsidRPr="005A47CF">
              <w:rPr>
                <w:rFonts w:cs="Arial"/>
                <w:szCs w:val="20"/>
              </w:rPr>
              <w:t>)</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77777777" w:rsidR="007426AD" w:rsidRPr="005A47CF" w:rsidRDefault="007426AD" w:rsidP="00CC0DC3">
            <w:pPr>
              <w:rPr>
                <w:rFonts w:cs="Arial"/>
                <w:szCs w:val="20"/>
              </w:rPr>
            </w:pPr>
            <w:r w:rsidRPr="005A47CF">
              <w:rPr>
                <w:rFonts w:cs="Arial"/>
                <w:szCs w:val="20"/>
              </w:rPr>
              <w:t>Év végén az előzetes eredménynél az (előzetes adatok alapján meghatározott)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CC79C5">
      <w:pPr>
        <w:rPr>
          <w:rFonts w:cs="Arial"/>
          <w:b/>
          <w:szCs w:val="20"/>
        </w:rPr>
      </w:pPr>
    </w:p>
    <w:p w14:paraId="0FCE44B1" w14:textId="7C2798AD" w:rsidR="00DE261D" w:rsidRPr="005A47CF" w:rsidRDefault="00D75356" w:rsidP="00E666C9">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651" w:type="dxa"/>
        <w:tblInd w:w="58" w:type="dxa"/>
        <w:tblCellMar>
          <w:left w:w="70" w:type="dxa"/>
          <w:right w:w="70" w:type="dxa"/>
        </w:tblCellMar>
        <w:tblLook w:val="04A0" w:firstRow="1" w:lastRow="0" w:firstColumn="1" w:lastColumn="0" w:noHBand="0" w:noVBand="1"/>
      </w:tblPr>
      <w:tblGrid>
        <w:gridCol w:w="1146"/>
        <w:gridCol w:w="8505"/>
      </w:tblGrid>
      <w:tr w:rsidR="003E3AD2" w:rsidRPr="005A47CF" w14:paraId="1ED9B175" w14:textId="77777777" w:rsidTr="003E3AD2">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505" w:type="dxa"/>
          </w:tcPr>
          <w:p w14:paraId="54673F39" w14:textId="77777777" w:rsidR="00B0474F" w:rsidRPr="005A47CF" w:rsidRDefault="00B0474F" w:rsidP="003E3AD2">
            <w:pPr>
              <w:rPr>
                <w:rFonts w:cs="Arial"/>
                <w:szCs w:val="20"/>
              </w:rPr>
            </w:pPr>
            <w:r w:rsidRPr="005A47CF">
              <w:rPr>
                <w:rFonts w:cs="Arial"/>
                <w:szCs w:val="20"/>
              </w:rPr>
              <w:t xml:space="preserve">Minősített befolyást jelentő </w:t>
            </w:r>
            <w:proofErr w:type="spellStart"/>
            <w:r w:rsidRPr="005A47CF">
              <w:rPr>
                <w:rFonts w:cs="Arial"/>
                <w:szCs w:val="20"/>
              </w:rPr>
              <w:t>PIBB</w:t>
            </w:r>
            <w:proofErr w:type="spellEnd"/>
            <w:r w:rsidRPr="005A47CF">
              <w:rPr>
                <w:rFonts w:cs="Arial"/>
                <w:szCs w:val="20"/>
              </w:rPr>
              <w:t>-részesedések</w:t>
            </w:r>
          </w:p>
          <w:p w14:paraId="17F14B12" w14:textId="77777777" w:rsidR="003E3AD2" w:rsidRPr="005A47CF" w:rsidRDefault="003E3AD2" w:rsidP="00FF4733">
            <w:pPr>
              <w:rPr>
                <w:rFonts w:cs="Arial"/>
                <w:szCs w:val="20"/>
              </w:rPr>
            </w:pPr>
            <w:r w:rsidRPr="005A47CF">
              <w:rPr>
                <w:rFonts w:cs="Arial"/>
                <w:szCs w:val="20"/>
              </w:rPr>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jelentő befektetések, függetlenül attól, hogy a forgatási célú (kereskedési célra vásárolt) értékpapírok között vagy a befektetett eszközök között szerepelnek a mérlegben.</w:t>
            </w:r>
          </w:p>
        </w:tc>
      </w:tr>
      <w:tr w:rsidR="003E3AD2" w:rsidRPr="005A47CF" w14:paraId="30344A5E" w14:textId="77777777" w:rsidTr="003E3AD2">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31C12</w:t>
            </w:r>
          </w:p>
        </w:tc>
        <w:tc>
          <w:tcPr>
            <w:tcW w:w="8505" w:type="dxa"/>
          </w:tcPr>
          <w:p w14:paraId="712FBADD" w14:textId="77777777" w:rsidR="00B0474F" w:rsidRPr="005A47CF" w:rsidRDefault="00B0474F" w:rsidP="00442542">
            <w:pPr>
              <w:spacing w:before="240"/>
              <w:rPr>
                <w:rFonts w:cs="Arial"/>
                <w:szCs w:val="20"/>
              </w:rPr>
            </w:pPr>
            <w:r w:rsidRPr="005A47CF">
              <w:rPr>
                <w:rFonts w:cs="Arial"/>
                <w:szCs w:val="20"/>
              </w:rPr>
              <w:t xml:space="preserve">Minősített befolyást nem jelentő </w:t>
            </w:r>
            <w:proofErr w:type="spellStart"/>
            <w:r w:rsidRPr="005A47CF">
              <w:rPr>
                <w:rFonts w:cs="Arial"/>
                <w:szCs w:val="20"/>
              </w:rPr>
              <w:t>PIBB</w:t>
            </w:r>
            <w:proofErr w:type="spellEnd"/>
            <w:r w:rsidRPr="005A47CF">
              <w:rPr>
                <w:rFonts w:cs="Arial"/>
                <w:szCs w:val="20"/>
              </w:rPr>
              <w:t>-részesedések</w:t>
            </w:r>
          </w:p>
          <w:p w14:paraId="4F209656" w14:textId="77777777" w:rsidR="003E3AD2" w:rsidRPr="005A47CF" w:rsidRDefault="003E3AD2" w:rsidP="00086BEB">
            <w:pPr>
              <w:rPr>
                <w:rFonts w:cs="Arial"/>
                <w:szCs w:val="20"/>
              </w:rPr>
            </w:pPr>
            <w:r w:rsidRPr="005A47CF">
              <w:rPr>
                <w:rFonts w:cs="Arial"/>
                <w:szCs w:val="20"/>
              </w:rPr>
              <w:lastRenderedPageBreak/>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nem jelentő befektetések, függetlenül attól, hogy a forgatási célú (kereskedési célra vásárolt) értékpapírok között vagy a befektetett eszközök között szerepelnek a mérlegben.</w:t>
            </w:r>
          </w:p>
        </w:tc>
      </w:tr>
      <w:tr w:rsidR="003E3AD2" w:rsidRPr="005A47CF" w14:paraId="2C099D1E" w14:textId="77777777" w:rsidTr="003E3AD2">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31C14</w:t>
            </w:r>
          </w:p>
        </w:tc>
        <w:tc>
          <w:tcPr>
            <w:tcW w:w="8505"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3E3AD2">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505"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3E3AD2">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505"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 xml:space="preserve">A </w:t>
            </w:r>
            <w:proofErr w:type="spellStart"/>
            <w:r w:rsidRPr="005A47CF">
              <w:rPr>
                <w:rFonts w:cs="Arial"/>
                <w:szCs w:val="20"/>
              </w:rPr>
              <w:t>Bkr</w:t>
            </w:r>
            <w:proofErr w:type="spellEnd"/>
            <w:r w:rsidRPr="005A47CF">
              <w:rPr>
                <w:rFonts w:cs="Arial"/>
                <w:szCs w:val="20"/>
              </w:rPr>
              <w:t>.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3E3AD2">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505"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3E3AD2">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505"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 xml:space="preserve">Ezt a három adatot a </w:t>
            </w:r>
            <w:proofErr w:type="spellStart"/>
            <w:r w:rsidRPr="005A47CF">
              <w:rPr>
                <w:rFonts w:cs="Arial"/>
                <w:szCs w:val="20"/>
              </w:rPr>
              <w:t>Bszt</w:t>
            </w:r>
            <w:proofErr w:type="spellEnd"/>
            <w:r w:rsidRPr="005A47CF">
              <w:rPr>
                <w:rFonts w:cs="Arial"/>
                <w:szCs w:val="20"/>
              </w:rPr>
              <w:t>. 111. §-</w:t>
            </w:r>
            <w:proofErr w:type="spellStart"/>
            <w:r w:rsidRPr="005A47CF">
              <w:rPr>
                <w:rFonts w:cs="Arial"/>
                <w:szCs w:val="20"/>
              </w:rPr>
              <w:t>ának</w:t>
            </w:r>
            <w:proofErr w:type="spellEnd"/>
            <w:r w:rsidRPr="005A47CF">
              <w:rPr>
                <w:rFonts w:cs="Arial"/>
                <w:szCs w:val="20"/>
              </w:rPr>
              <w:t xml:space="preserve">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w:t>
            </w:r>
            <w:proofErr w:type="spellStart"/>
            <w:r w:rsidR="00141733" w:rsidRPr="005A47CF">
              <w:rPr>
                <w:rFonts w:cs="Arial"/>
                <w:szCs w:val="20"/>
              </w:rPr>
              <w:t>Bszt</w:t>
            </w:r>
            <w:proofErr w:type="spellEnd"/>
            <w:r w:rsidR="00141733" w:rsidRPr="005A47CF">
              <w:rPr>
                <w:rFonts w:cs="Arial"/>
                <w:szCs w:val="20"/>
              </w:rPr>
              <w: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77777777"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77777777"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21D74B1E" w14:textId="0B452C5A" w:rsidR="00FD670D" w:rsidRPr="005A47CF" w:rsidRDefault="00D6298D" w:rsidP="00442542">
            <w:pPr>
              <w:rPr>
                <w:rFonts w:cs="Arial"/>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 xml:space="preserve">a </w:t>
            </w:r>
            <w:proofErr w:type="spellStart"/>
            <w:r w:rsidR="00306944" w:rsidRPr="005A47CF">
              <w:rPr>
                <w:rFonts w:cs="Arial"/>
                <w:szCs w:val="20"/>
              </w:rPr>
              <w:t>Bszt</w:t>
            </w:r>
            <w:proofErr w:type="spellEnd"/>
            <w:r w:rsidR="00306944" w:rsidRPr="005A47CF">
              <w:rPr>
                <w:rFonts w:cs="Arial"/>
                <w:szCs w:val="20"/>
              </w:rPr>
              <w: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E666C9">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74817D07" w14:textId="77777777" w:rsidR="00A507FE" w:rsidRPr="005A47CF" w:rsidRDefault="00A507FE" w:rsidP="00645A9E">
      <w:pPr>
        <w:rPr>
          <w:rFonts w:cs="Arial"/>
          <w:b/>
          <w:szCs w:val="20"/>
        </w:rPr>
      </w:pPr>
      <w:r w:rsidRPr="005A47CF">
        <w:rPr>
          <w:rFonts w:cs="Arial"/>
          <w:b/>
          <w:szCs w:val="20"/>
        </w:rPr>
        <w:t>A tábl</w:t>
      </w:r>
      <w:r w:rsidR="00FD670D"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951312" w:rsidRPr="005A47CF" w14:paraId="2F9B2623" w14:textId="77777777" w:rsidTr="008A506B">
        <w:trPr>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8363" w:type="dxa"/>
          </w:tcPr>
          <w:p w14:paraId="0987C82A" w14:textId="77777777" w:rsidR="00EC2585" w:rsidRPr="00244FEC" w:rsidRDefault="002E408F" w:rsidP="00EC2585">
            <w:pPr>
              <w:spacing w:before="240"/>
              <w:rPr>
                <w:rFonts w:cs="Arial"/>
                <w:szCs w:val="20"/>
              </w:rPr>
            </w:pPr>
            <w:r w:rsidRPr="00244FEC">
              <w:rPr>
                <w:rFonts w:cs="Arial"/>
                <w:szCs w:val="20"/>
              </w:rPr>
              <w:lastRenderedPageBreak/>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w:t>
            </w:r>
            <w:proofErr w:type="spellStart"/>
            <w:proofErr w:type="gramStart"/>
            <w:r w:rsidR="007F753D" w:rsidRPr="00244FEC">
              <w:rPr>
                <w:rFonts w:eastAsia="Times New Roman" w:cs="Arial"/>
                <w:szCs w:val="20"/>
              </w:rPr>
              <w:t>Bkr</w:t>
            </w:r>
            <w:proofErr w:type="spellEnd"/>
            <w:r w:rsidR="007B528F" w:rsidRPr="00244FEC">
              <w:rPr>
                <w:rFonts w:eastAsia="Times New Roman" w:cs="Arial"/>
                <w:szCs w:val="20"/>
              </w:rPr>
              <w:t>.</w:t>
            </w:r>
            <w:r w:rsidR="00EC2585" w:rsidRPr="00244FEC">
              <w:rPr>
                <w:rFonts w:eastAsia="Times New Roman" w:cs="Arial"/>
                <w:szCs w:val="20"/>
              </w:rPr>
              <w:t>-</w:t>
            </w:r>
            <w:proofErr w:type="gramEnd"/>
            <w:r w:rsidR="00EC2585" w:rsidRPr="00244FEC">
              <w:rPr>
                <w:rFonts w:eastAsia="Times New Roman" w:cs="Arial"/>
                <w:szCs w:val="20"/>
              </w:rPr>
              <w:t xml:space="preserve">ben, </w:t>
            </w:r>
            <w:proofErr w:type="spellStart"/>
            <w:r w:rsidR="002C7053" w:rsidRPr="00244FEC">
              <w:rPr>
                <w:rFonts w:eastAsia="Times New Roman" w:cs="Arial"/>
                <w:szCs w:val="20"/>
              </w:rPr>
              <w:t>Hitkr</w:t>
            </w:r>
            <w:proofErr w:type="spellEnd"/>
            <w:r w:rsidR="002C7053" w:rsidRPr="00244FEC">
              <w:rPr>
                <w:rFonts w:eastAsia="Times New Roman" w:cs="Arial"/>
                <w:szCs w:val="20"/>
              </w:rPr>
              <w:t xml:space="preserve">.-ben </w:t>
            </w:r>
            <w:r w:rsidR="00EC2585" w:rsidRPr="00244FEC">
              <w:rPr>
                <w:rFonts w:cs="Arial"/>
                <w:bCs/>
                <w:szCs w:val="20"/>
              </w:rPr>
              <w:t>ilyen címen fennálló követelés.</w:t>
            </w:r>
          </w:p>
          <w:p w14:paraId="339D1C44" w14:textId="77777777" w:rsidR="00010603" w:rsidRPr="00244FEC" w:rsidRDefault="00010603" w:rsidP="001C6DCE">
            <w:pPr>
              <w:rPr>
                <w:rFonts w:cs="Arial"/>
                <w:szCs w:val="20"/>
              </w:rPr>
            </w:pP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xml:space="preserve">, a </w:t>
            </w:r>
            <w:proofErr w:type="spellStart"/>
            <w:proofErr w:type="gramStart"/>
            <w:r w:rsidR="00EC2585" w:rsidRPr="00244FEC">
              <w:rPr>
                <w:rFonts w:eastAsia="Times New Roman" w:cs="Arial"/>
                <w:szCs w:val="20"/>
              </w:rPr>
              <w:t>Bkr</w:t>
            </w:r>
            <w:proofErr w:type="spellEnd"/>
            <w:r w:rsidR="00493058" w:rsidRPr="00244FEC">
              <w:rPr>
                <w:rFonts w:eastAsia="Times New Roman" w:cs="Arial"/>
                <w:szCs w:val="20"/>
              </w:rPr>
              <w:t>.</w:t>
            </w:r>
            <w:r w:rsidR="00EC2585" w:rsidRPr="00244FEC">
              <w:rPr>
                <w:rFonts w:eastAsia="Times New Roman" w:cs="Arial"/>
                <w:szCs w:val="20"/>
              </w:rPr>
              <w:t>-</w:t>
            </w:r>
            <w:proofErr w:type="gramEnd"/>
            <w:r w:rsidR="00EC2585" w:rsidRPr="00244FEC">
              <w:rPr>
                <w:rFonts w:eastAsia="Times New Roman" w:cs="Arial"/>
                <w:szCs w:val="20"/>
              </w:rPr>
              <w:t xml:space="preserve">ben, illetve a </w:t>
            </w:r>
            <w:proofErr w:type="spellStart"/>
            <w:r w:rsidR="00EC2585" w:rsidRPr="00244FEC">
              <w:rPr>
                <w:rFonts w:eastAsia="Times New Roman" w:cs="Arial"/>
                <w:szCs w:val="20"/>
              </w:rPr>
              <w:t>Hitkr</w:t>
            </w:r>
            <w:proofErr w:type="spellEnd"/>
            <w:r w:rsidR="00EC2585" w:rsidRPr="00244FEC">
              <w:rPr>
                <w:rFonts w:eastAsia="Times New Roman" w:cs="Arial"/>
                <w:szCs w:val="20"/>
              </w:rPr>
              <w:t xml:space="preserve">.-ben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w:t>
            </w:r>
            <w:proofErr w:type="spellStart"/>
            <w:r w:rsidRPr="00244FEC">
              <w:rPr>
                <w:rFonts w:cs="Arial"/>
                <w:szCs w:val="20"/>
              </w:rPr>
              <w:t>Bszt</w:t>
            </w:r>
            <w:proofErr w:type="spellEnd"/>
            <w:r w:rsidRPr="00244FEC">
              <w:rPr>
                <w:rFonts w:cs="Arial"/>
                <w:szCs w:val="20"/>
              </w:rPr>
              <w:t xml:space="preserve">.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8A506B">
        <w:trPr>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lastRenderedPageBreak/>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8363"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77777777" w:rsidR="00DE2DB6" w:rsidRPr="005A47CF" w:rsidRDefault="00A065EB" w:rsidP="009573C1">
            <w:pPr>
              <w:rPr>
                <w:rFonts w:cs="Arial"/>
                <w:szCs w:val="20"/>
              </w:rPr>
            </w:pPr>
            <w:r w:rsidRPr="005A47CF">
              <w:rPr>
                <w:rFonts w:cs="Arial"/>
                <w:color w:val="000000"/>
                <w:szCs w:val="20"/>
              </w:rPr>
              <w:t xml:space="preserve">Csak az olyan értékpapírszámlák (ezen belül csak az olyan </w:t>
            </w:r>
            <w:proofErr w:type="spellStart"/>
            <w:r w:rsidRPr="005A47CF">
              <w:rPr>
                <w:rFonts w:cs="Arial"/>
                <w:color w:val="000000"/>
                <w:szCs w:val="20"/>
              </w:rPr>
              <w:t>TBSZ</w:t>
            </w:r>
            <w:proofErr w:type="spellEnd"/>
            <w:r w:rsidRPr="005A47CF">
              <w:rPr>
                <w:rFonts w:cs="Arial"/>
                <w:color w:val="000000"/>
                <w:szCs w:val="20"/>
              </w:rPr>
              <w:t xml:space="preserve">-, illetve </w:t>
            </w:r>
            <w:proofErr w:type="spellStart"/>
            <w:r w:rsidRPr="005A47CF">
              <w:rPr>
                <w:rFonts w:cs="Arial"/>
                <w:color w:val="000000"/>
                <w:szCs w:val="20"/>
              </w:rPr>
              <w:t>NYESZ</w:t>
            </w:r>
            <w:proofErr w:type="spellEnd"/>
            <w:r w:rsidRPr="005A47CF">
              <w:rPr>
                <w:rFonts w:cs="Arial"/>
                <w:color w:val="000000"/>
                <w:szCs w:val="20"/>
              </w:rPr>
              <w:t>-értékpapírszámlák) számát kell megadni (a 31D1042, 31D10421, 31D10422 soroknál), amelyeken van állomány.</w:t>
            </w:r>
          </w:p>
        </w:tc>
      </w:tr>
      <w:tr w:rsidR="00951312" w:rsidRPr="005A47CF" w14:paraId="1F6584EE" w14:textId="77777777" w:rsidTr="008A506B">
        <w:trPr>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8363"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8A506B">
        <w:trPr>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8363"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F672BB">
        <w:trPr>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8363"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F672BB">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4519DE2B" w:rsidR="003576A5" w:rsidRPr="00F52330" w:rsidRDefault="003576A5" w:rsidP="00DF3AD5">
            <w:pPr>
              <w:rPr>
                <w:rFonts w:cs="Arial"/>
                <w:szCs w:val="20"/>
              </w:rPr>
            </w:pP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t xml:space="preserve">A 35B táblában jelentett forgalomból </w:t>
            </w:r>
            <w:r w:rsidR="00A44CC2">
              <w:rPr>
                <w:rFonts w:cs="Arial"/>
                <w:szCs w:val="20"/>
              </w:rPr>
              <w:t xml:space="preserve">a </w:t>
            </w: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keretében teljesített megbízások értéke.</w:t>
            </w:r>
          </w:p>
        </w:tc>
      </w:tr>
    </w:tbl>
    <w:p w14:paraId="6ACA3EF3" w14:textId="77777777" w:rsidR="005A47CF" w:rsidRDefault="005A47CF"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E666C9">
      <w:pPr>
        <w:pStyle w:val="Cmsor3"/>
      </w:pPr>
      <w:r w:rsidRPr="005A47CF">
        <w:lastRenderedPageBreak/>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proofErr w:type="spellStart"/>
      <w:r w:rsidR="00EB109A" w:rsidRPr="005A47CF">
        <w:rPr>
          <w:rFonts w:cs="Arial"/>
          <w:szCs w:val="20"/>
        </w:rPr>
        <w:t>CRR</w:t>
      </w:r>
      <w:proofErr w:type="spellEnd"/>
      <w:r w:rsidR="00EB109A" w:rsidRPr="005A47CF">
        <w:rPr>
          <w:rFonts w:cs="Arial"/>
          <w:szCs w:val="20"/>
        </w:rPr>
        <w:t>-ben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77777777"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3D2689" w:rsidRPr="005A47CF">
        <w:rPr>
          <w:rFonts w:cs="Arial"/>
          <w:szCs w:val="20"/>
        </w:rPr>
        <w:t>7</w:t>
      </w:r>
      <w:r w:rsidRPr="005A47CF">
        <w:rPr>
          <w:rFonts w:cs="Arial"/>
          <w:szCs w:val="20"/>
        </w:rPr>
        <w:t>. oszlopáig terjedő részösszeggel,</w:t>
      </w:r>
    </w:p>
    <w:p w14:paraId="2822C534" w14:textId="77777777"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7D98971B"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 (így az értékpapírtranszferrel párhuzamosan pénzmozgás sem történik</w:t>
      </w:r>
      <w:r w:rsidRPr="005A47CF">
        <w:rPr>
          <w:rFonts w:cs="Arial"/>
          <w:szCs w:val="20"/>
        </w:rPr>
        <w:t>, 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77777777"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 (</w:t>
      </w:r>
      <w:r w:rsidR="000F4456" w:rsidRPr="005A47CF">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26F874AB" w:rsidR="003A5E60" w:rsidRPr="005A47CF" w:rsidRDefault="003A5E60" w:rsidP="005F0FF3">
      <w:pPr>
        <w:rPr>
          <w:rFonts w:cs="Arial"/>
          <w:szCs w:val="20"/>
        </w:rPr>
      </w:pPr>
    </w:p>
    <w:p w14:paraId="3FD7F4C2" w14:textId="225D4354" w:rsidR="00B64303" w:rsidRDefault="00322058" w:rsidP="000E395E">
      <w:pPr>
        <w:rPr>
          <w:rFonts w:eastAsia="Times New Roman" w:cs="Arial"/>
          <w:szCs w:val="20"/>
          <w:lang w:eastAsia="hu-HU"/>
        </w:rPr>
      </w:pPr>
      <w:r w:rsidRPr="000E395E">
        <w:rPr>
          <w:rFonts w:eastAsia="Times New Roman" w:cs="Arial"/>
          <w:b/>
          <w:bCs/>
          <w:szCs w:val="20"/>
          <w:lang w:eastAsia="hu-HU"/>
        </w:rPr>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p>
    <w:p w14:paraId="4FFD8E98" w14:textId="561E6D91" w:rsidR="00E14969" w:rsidRDefault="00E73025">
      <w:pPr>
        <w:rPr>
          <w:rFonts w:cs="Arial"/>
          <w:bCs/>
          <w:szCs w:val="20"/>
        </w:rPr>
      </w:pPr>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r w:rsidR="000A5F12">
        <w:rPr>
          <w:rFonts w:cs="Arial"/>
          <w:bCs/>
          <w:szCs w:val="20"/>
        </w:rPr>
        <w:t xml:space="preserve">hatálya </w:t>
      </w:r>
      <w:r w:rsidR="00717975">
        <w:rPr>
          <w:rFonts w:cs="Arial"/>
          <w:bCs/>
          <w:szCs w:val="20"/>
        </w:rPr>
        <w:t xml:space="preserve">alá nem tartozó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r w:rsidR="000A5F12">
        <w:rPr>
          <w:rFonts w:cs="Arial"/>
          <w:bCs/>
          <w:szCs w:val="20"/>
        </w:rPr>
        <w:t xml:space="preserve">hatálya </w:t>
      </w:r>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r w:rsidR="00E14969">
        <w:rPr>
          <w:rFonts w:cs="Arial"/>
          <w:bCs/>
          <w:szCs w:val="20"/>
        </w:rPr>
        <w:t xml:space="preserve"> </w:t>
      </w:r>
    </w:p>
    <w:p w14:paraId="788B1E55" w14:textId="4FA7633B" w:rsidR="00741541" w:rsidRDefault="00741541" w:rsidP="00AF7082">
      <w:pPr>
        <w:rPr>
          <w:rFonts w:cs="Arial"/>
          <w:bCs/>
          <w:szCs w:val="20"/>
        </w:rPr>
      </w:pPr>
      <w:r w:rsidRPr="00C65E95">
        <w:rPr>
          <w:rFonts w:cs="Arial"/>
        </w:rPr>
        <w:t>A befektetési jegyeket az őket kibocsátó alap kategóriájának megfelelően kell figyelembe venni.</w:t>
      </w:r>
      <w:r w:rsidRPr="00831374">
        <w:t xml:space="preserve"> </w:t>
      </w:r>
    </w:p>
    <w:p w14:paraId="464987E4" w14:textId="77777777" w:rsidR="000A5F12" w:rsidRPr="00C65E95" w:rsidRDefault="000A5F12" w:rsidP="000A5F12">
      <w:pPr>
        <w:rPr>
          <w:rFonts w:cs="Arial"/>
        </w:rPr>
      </w:pPr>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 §-</w:t>
      </w:r>
      <w:r>
        <w:rPr>
          <w:rFonts w:cs="Arial"/>
        </w:rPr>
        <w:t>á</w:t>
      </w:r>
      <w:r w:rsidRPr="00546698">
        <w:rPr>
          <w:rFonts w:cs="Arial"/>
        </w:rPr>
        <w:t>ban</w:t>
      </w:r>
      <w:r>
        <w:rPr>
          <w:rFonts w:cs="Arial"/>
        </w:rPr>
        <w:t>, illetve 1/L. §-ában nevesített,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p>
    <w:p w14:paraId="457AA67D" w14:textId="77777777" w:rsidR="00717975" w:rsidRPr="00AE75FD" w:rsidRDefault="00717975" w:rsidP="000E395E">
      <w:pPr>
        <w:rPr>
          <w:rFonts w:cs="Arial"/>
          <w:szCs w:val="20"/>
        </w:rPr>
      </w:pPr>
    </w:p>
    <w:p w14:paraId="01D55440" w14:textId="769524CF" w:rsidR="00276032" w:rsidRPr="00AE75FD" w:rsidRDefault="00276032" w:rsidP="00B64303">
      <w:pPr>
        <w:rPr>
          <w:rFonts w:cs="Arial"/>
          <w:bCs/>
          <w:szCs w:val="20"/>
        </w:rPr>
      </w:pPr>
      <w:r w:rsidRPr="00AE75FD">
        <w:rPr>
          <w:rFonts w:cs="Arial"/>
          <w:bCs/>
          <w:szCs w:val="20"/>
        </w:rPr>
        <w:t>A</w:t>
      </w:r>
      <w:r w:rsidR="000A5F12">
        <w:rPr>
          <w:rFonts w:cs="Arial"/>
          <w:bCs/>
          <w:szCs w:val="20"/>
        </w:rPr>
        <w:t xml:space="preserve"> </w:t>
      </w:r>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r w:rsidR="000A5F12">
        <w:rPr>
          <w:rFonts w:cs="Arial"/>
          <w:bCs/>
          <w:szCs w:val="20"/>
        </w:rPr>
        <w:t xml:space="preserve">hatálya </w:t>
      </w:r>
      <w:r w:rsidR="00E14969">
        <w:rPr>
          <w:rFonts w:cs="Arial"/>
          <w:bCs/>
          <w:szCs w:val="20"/>
        </w:rPr>
        <w:t xml:space="preserve">alá nem tartozó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ide</w:t>
      </w:r>
      <w:r w:rsidR="00D3525E" w:rsidRPr="00AE75FD">
        <w:rPr>
          <w:rFonts w:cs="Arial"/>
          <w:szCs w:val="20"/>
        </w:rPr>
        <w:t>j</w:t>
      </w:r>
      <w:r w:rsidRPr="00AE75FD">
        <w:rPr>
          <w:rFonts w:cs="Arial"/>
          <w:szCs w:val="20"/>
        </w:rPr>
        <w:t>ével</w:t>
      </w:r>
      <w:r w:rsidR="005666F1" w:rsidRPr="00AE75FD">
        <w:rPr>
          <w:rFonts w:cs="Arial"/>
          <w:szCs w:val="20"/>
        </w:rPr>
        <w:t>;</w:t>
      </w:r>
      <w:r w:rsidRPr="00AE75FD">
        <w:rPr>
          <w:rFonts w:cs="Arial"/>
          <w:szCs w:val="20"/>
        </w:rPr>
        <w:t xml:space="preserve"> </w:t>
      </w:r>
    </w:p>
    <w:p w14:paraId="1E614075" w14:textId="141F5A1F" w:rsidR="009362A1" w:rsidRPr="00AE75FD" w:rsidRDefault="00E14969" w:rsidP="00AF7082">
      <w:pPr>
        <w:rPr>
          <w:rFonts w:cs="Arial"/>
          <w:b/>
          <w:szCs w:val="20"/>
        </w:rPr>
      </w:pPr>
      <w:r>
        <w:rPr>
          <w:rFonts w:cs="Arial"/>
          <w:szCs w:val="20"/>
        </w:rPr>
        <w:t>b</w:t>
      </w:r>
      <w:r w:rsidR="00276032" w:rsidRPr="00AE75FD">
        <w:rPr>
          <w:rFonts w:cs="Arial"/>
          <w:szCs w:val="20"/>
        </w:rPr>
        <w:t xml:space="preserve">) </w:t>
      </w:r>
      <w:r w:rsidR="005666F1" w:rsidRPr="00AE75FD">
        <w:rPr>
          <w:rFonts w:cs="Arial"/>
          <w:szCs w:val="20"/>
        </w:rPr>
        <w:t>a</w:t>
      </w:r>
      <w:r w:rsidR="00276032" w:rsidRPr="00AE75FD">
        <w:rPr>
          <w:rFonts w:cs="Arial"/>
          <w:szCs w:val="20"/>
        </w:rPr>
        <w:t xml:space="preserve"> befektetési alapokba fektető alap besorolását a mögöttes termék kategóriájának megfelelően kell figyelembe venni.</w:t>
      </w:r>
    </w:p>
    <w:p w14:paraId="50799555" w14:textId="42B2554E" w:rsidR="002D0B07" w:rsidRPr="005A47CF" w:rsidRDefault="00D75356" w:rsidP="00E666C9">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lastRenderedPageBreak/>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77777777"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147783" w:rsidRPr="005A47CF">
        <w:rPr>
          <w:rFonts w:cs="Arial"/>
          <w:szCs w:val="20"/>
        </w:rPr>
        <w:t>(</w:t>
      </w:r>
      <w:r w:rsidRPr="005A47CF">
        <w:rPr>
          <w:rFonts w:cs="Arial"/>
          <w:szCs w:val="20"/>
        </w:rPr>
        <w:t>az egyes adatokban bekövetkezett módosításoknak megfelelően</w:t>
      </w:r>
      <w:r w:rsidR="00147783" w:rsidRPr="005A47CF">
        <w:rPr>
          <w:rFonts w:cs="Arial"/>
          <w:szCs w:val="20"/>
        </w:rPr>
        <w:t>)</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77777777" w:rsidR="002B1D9D" w:rsidRPr="00054222" w:rsidRDefault="00AF538A" w:rsidP="002B1D9D">
      <w:pPr>
        <w:spacing w:before="240"/>
        <w:rPr>
          <w:rFonts w:cs="Arial"/>
          <w:bCs/>
          <w:szCs w:val="20"/>
        </w:rPr>
      </w:pPr>
      <w:r w:rsidRPr="005A47CF">
        <w:rPr>
          <w:rFonts w:cs="Arial"/>
          <w:b/>
          <w:szCs w:val="20"/>
        </w:rPr>
        <w:t>A 32A4-32A6</w:t>
      </w:r>
      <w:r w:rsidR="004A75E0" w:rsidRPr="005A47CF">
        <w:rPr>
          <w:rFonts w:cs="Arial"/>
          <w:b/>
          <w:szCs w:val="20"/>
        </w:rPr>
        <w:t>2</w:t>
      </w:r>
      <w:r w:rsidRPr="005A47CF">
        <w:rPr>
          <w:rFonts w:cs="Arial"/>
          <w:b/>
          <w:szCs w:val="20"/>
        </w:rPr>
        <w:t xml:space="preserve"> </w:t>
      </w:r>
      <w:r w:rsidRPr="00054222">
        <w:rPr>
          <w:rFonts w:cs="Arial"/>
          <w:bCs/>
          <w:szCs w:val="20"/>
        </w:rPr>
        <w:t>sorokat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E666C9">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6" w:name="_Toc424302383"/>
      <w:bookmarkStart w:id="7" w:name="_Toc361844212"/>
    </w:p>
    <w:p w14:paraId="68AFB8A1" w14:textId="6330F8BF" w:rsidR="005E3BE1" w:rsidRPr="005A47CF" w:rsidRDefault="00D75356" w:rsidP="00E666C9">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6"/>
      <w:bookmarkEnd w:id="7"/>
      <w:r w:rsidR="005E3BE1" w:rsidRPr="005A47CF">
        <w:rPr>
          <w:caps/>
        </w:rPr>
        <w:t xml:space="preserve"> </w:t>
      </w:r>
      <w:r w:rsidR="00ED5D35" w:rsidRPr="005A47CF">
        <w:t>B</w:t>
      </w:r>
      <w:r w:rsidR="00C422F3" w:rsidRPr="005A47CF">
        <w:t>efektetési vállalkozások IFRS-ek</w:t>
      </w:r>
      <w:r w:rsidR="005E3BE1" w:rsidRPr="005A47CF">
        <w:t xml:space="preserve"> </w:t>
      </w:r>
      <w:r w:rsidR="00C422F3" w:rsidRPr="005A47CF">
        <w:t xml:space="preserve">szerinti mérlege ─ </w:t>
      </w:r>
      <w:r w:rsidR="00C422F3">
        <w:rPr>
          <w:lang w:val="hu-HU"/>
        </w:rPr>
        <w:t>E</w:t>
      </w:r>
      <w:proofErr w:type="spellStart"/>
      <w:r w:rsidR="00C422F3" w:rsidRPr="005A47CF">
        <w:t>szközök</w:t>
      </w:r>
      <w:proofErr w:type="spellEnd"/>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8" w:name="_Toc246730706"/>
      <w:bookmarkStart w:id="9" w:name="_Toc246730615"/>
      <w:bookmarkStart w:id="10" w:name="_Toc246513943"/>
      <w:bookmarkEnd w:id="8"/>
      <w:bookmarkEnd w:id="9"/>
      <w:bookmarkEnd w:id="10"/>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„Előlegek” sor tartalmazza azokat a tételeket, amelyek nem sorolhatók az EKB </w:t>
      </w:r>
      <w:proofErr w:type="spellStart"/>
      <w:r w:rsidRPr="005A47CF">
        <w:rPr>
          <w:rFonts w:cs="Arial"/>
          <w:szCs w:val="20"/>
          <w:lang w:val="hu-HU"/>
        </w:rPr>
        <w:t>BSI</w:t>
      </w:r>
      <w:proofErr w:type="spellEnd"/>
      <w:r w:rsidRPr="005A47CF">
        <w:rPr>
          <w:rFonts w:cs="Arial"/>
          <w:szCs w:val="20"/>
          <w:lang w:val="hu-HU"/>
        </w:rPr>
        <w:t xml:space="preserve">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w:t>
      </w:r>
      <w:proofErr w:type="spellStart"/>
      <w:r w:rsidRPr="005A47CF">
        <w:rPr>
          <w:rFonts w:cs="Arial"/>
          <w:szCs w:val="20"/>
          <w:lang w:val="hu-HU"/>
        </w:rPr>
        <w:t>IAS</w:t>
      </w:r>
      <w:proofErr w:type="spellEnd"/>
      <w:r w:rsidRPr="005A47CF">
        <w:rPr>
          <w:rFonts w:cs="Arial"/>
          <w:szCs w:val="20"/>
          <w:lang w:val="hu-HU"/>
        </w:rPr>
        <w:t xml:space="preserve"> 28 szerinti tőkemódszer használatával elszámolt befektetések (</w:t>
      </w:r>
      <w:proofErr w:type="spellStart"/>
      <w:r w:rsidRPr="005A47CF">
        <w:rPr>
          <w:rFonts w:cs="Arial"/>
          <w:szCs w:val="20"/>
          <w:lang w:val="hu-HU"/>
        </w:rPr>
        <w:t>IAS</w:t>
      </w:r>
      <w:proofErr w:type="spellEnd"/>
      <w:r w:rsidRPr="005A47CF">
        <w:rPr>
          <w:rFonts w:cs="Arial"/>
          <w:szCs w:val="20"/>
          <w:lang w:val="hu-HU"/>
        </w:rPr>
        <w:t xml:space="preserve"> 27 10. bekezdése), az IFRS 5 szerint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IFRS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11" w:name="_Toc424302384"/>
    </w:p>
    <w:p w14:paraId="4A43CD0D" w14:textId="1830167D" w:rsidR="005E3BE1" w:rsidRPr="005A47CF" w:rsidRDefault="00D75356" w:rsidP="00E666C9">
      <w:pPr>
        <w:pStyle w:val="Cmsor3"/>
      </w:pPr>
      <w:r w:rsidRPr="005A47CF">
        <w:t>1.</w:t>
      </w:r>
      <w:r w:rsidR="0077697C" w:rsidRPr="005A47CF">
        <w:t>18</w:t>
      </w:r>
      <w:r w:rsidRPr="005A47CF">
        <w:t>.</w:t>
      </w:r>
      <w:r w:rsidR="005D5D5F" w:rsidRPr="005A47CF">
        <w:t xml:space="preserve"> </w:t>
      </w:r>
      <w:r w:rsidR="005E3BE1" w:rsidRPr="005A47CF">
        <w:t xml:space="preserve">32F0102 </w:t>
      </w:r>
      <w:bookmarkEnd w:id="11"/>
      <w:r w:rsidR="005E3BE1" w:rsidRPr="005A47CF">
        <w:t>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r w:rsidR="008850F0" w:rsidRPr="005A47CF">
        <w:rPr>
          <w:rFonts w:cs="Arial"/>
          <w:szCs w:val="20"/>
          <w:lang w:val="hu-HU"/>
        </w:rPr>
        <w:t>IFRS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r w:rsidR="00CA45AE" w:rsidRPr="005A47CF">
        <w:rPr>
          <w:rFonts w:cs="Arial"/>
          <w:szCs w:val="20"/>
          <w:lang w:val="hu-HU"/>
        </w:rPr>
        <w:t>IFRS 9 2.3</w:t>
      </w:r>
      <w:r w:rsidR="00925E7E">
        <w:rPr>
          <w:rFonts w:cs="Arial"/>
          <w:szCs w:val="20"/>
          <w:lang w:val="hu-HU"/>
        </w:rPr>
        <w:t>.</w:t>
      </w:r>
      <w:r w:rsidR="00CA45AE" w:rsidRPr="005A47CF">
        <w:rPr>
          <w:rFonts w:cs="Arial"/>
          <w:szCs w:val="20"/>
          <w:lang w:val="hu-HU"/>
        </w:rPr>
        <w:t xml:space="preserve"> bekezdés c) pontja, IFRS 9 4.2.1</w:t>
      </w:r>
      <w:r w:rsidR="000702C7" w:rsidRPr="005A47CF">
        <w:rPr>
          <w:rFonts w:cs="Arial"/>
          <w:szCs w:val="20"/>
          <w:lang w:val="hu-HU"/>
        </w:rPr>
        <w:t>.</w:t>
      </w:r>
      <w:r w:rsidR="00CA45AE" w:rsidRPr="005A47CF">
        <w:rPr>
          <w:rFonts w:cs="Arial"/>
          <w:szCs w:val="20"/>
          <w:lang w:val="hu-HU"/>
        </w:rPr>
        <w:t xml:space="preserve"> bekezdés d) pontja</w:t>
      </w:r>
      <w:r w:rsidRPr="005A47CF">
        <w:rPr>
          <w:rFonts w:cs="Arial"/>
          <w:szCs w:val="20"/>
          <w:lang w:val="hu-HU"/>
        </w:rPr>
        <w:t>]. E szerződésekből származó céltartalékokat [</w:t>
      </w:r>
      <w:r w:rsidR="00DF0CCD" w:rsidRPr="005A47CF">
        <w:rPr>
          <w:rFonts w:cs="Arial"/>
          <w:szCs w:val="20"/>
          <w:lang w:val="hu-HU"/>
        </w:rPr>
        <w:t>IFRS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w:t>
      </w:r>
      <w:proofErr w:type="gramStart"/>
      <w:r w:rsidRPr="005A47CF">
        <w:rPr>
          <w:rFonts w:cs="Arial"/>
          <w:szCs w:val="20"/>
          <w:lang w:val="hu-HU"/>
        </w:rPr>
        <w:t>garanciák”-</w:t>
      </w:r>
      <w:proofErr w:type="spellStart"/>
      <w:proofErr w:type="gramEnd"/>
      <w:r w:rsidRPr="005A47CF">
        <w:rPr>
          <w:rFonts w:cs="Arial"/>
          <w:szCs w:val="20"/>
          <w:lang w:val="hu-HU"/>
        </w:rPr>
        <w:t>ra</w:t>
      </w:r>
      <w:proofErr w:type="spellEnd"/>
      <w:r w:rsidRPr="005A47CF">
        <w:rPr>
          <w:rFonts w:cs="Arial"/>
          <w:szCs w:val="20"/>
          <w:lang w:val="hu-HU"/>
        </w:rPr>
        <w:t xml:space="preserve">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12" w:name="_Toc246730709"/>
      <w:bookmarkStart w:id="13" w:name="_Toc246730618"/>
      <w:bookmarkStart w:id="14" w:name="_Toc246513946"/>
      <w:bookmarkEnd w:id="12"/>
      <w:bookmarkEnd w:id="13"/>
      <w:bookmarkEnd w:id="14"/>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w:t>
      </w:r>
      <w:proofErr w:type="spellStart"/>
      <w:r w:rsidRPr="005A47CF">
        <w:rPr>
          <w:rFonts w:cs="Arial"/>
          <w:szCs w:val="20"/>
          <w:lang w:val="hu-HU"/>
        </w:rPr>
        <w:t>IAS</w:t>
      </w:r>
      <w:proofErr w:type="spellEnd"/>
      <w:r w:rsidRPr="005A47CF">
        <w:rPr>
          <w:rFonts w:cs="Arial"/>
          <w:szCs w:val="20"/>
          <w:lang w:val="hu-HU"/>
        </w:rPr>
        <w:t xml:space="preserve"> 19 153. bekezdésében felsorolt hosszú távú munkavállalói juttatási programok hiányainak összegeit is. A rövid távú munkavállalói juttatásokból [</w:t>
      </w:r>
      <w:proofErr w:type="spellStart"/>
      <w:r w:rsidRPr="005A47CF">
        <w:rPr>
          <w:rFonts w:cs="Arial"/>
          <w:szCs w:val="20"/>
          <w:lang w:val="hu-HU"/>
        </w:rPr>
        <w:t>IAS</w:t>
      </w:r>
      <w:proofErr w:type="spellEnd"/>
      <w:r w:rsidRPr="005A47CF">
        <w:rPr>
          <w:rFonts w:cs="Arial"/>
          <w:szCs w:val="20"/>
          <w:lang w:val="hu-HU"/>
        </w:rPr>
        <w:t xml:space="preserve"> 19 11. bekezdés a) pontja], a meghatározott hozzájárulási programokból [</w:t>
      </w:r>
      <w:proofErr w:type="spellStart"/>
      <w:r w:rsidRPr="005A47CF">
        <w:rPr>
          <w:rFonts w:cs="Arial"/>
          <w:szCs w:val="20"/>
          <w:lang w:val="hu-HU"/>
        </w:rPr>
        <w:t>IAS</w:t>
      </w:r>
      <w:proofErr w:type="spellEnd"/>
      <w:r w:rsidRPr="005A47CF">
        <w:rPr>
          <w:rFonts w:cs="Arial"/>
          <w:szCs w:val="20"/>
          <w:lang w:val="hu-HU"/>
        </w:rPr>
        <w:t xml:space="preserve"> 19 51. bekezdés a) pontja] és a végkielégítésekből [</w:t>
      </w:r>
      <w:proofErr w:type="spellStart"/>
      <w:r w:rsidRPr="005A47CF">
        <w:rPr>
          <w:rFonts w:cs="Arial"/>
          <w:szCs w:val="20"/>
          <w:lang w:val="hu-HU"/>
        </w:rPr>
        <w:t>IAS</w:t>
      </w:r>
      <w:proofErr w:type="spellEnd"/>
      <w:r w:rsidRPr="005A47CF">
        <w:rPr>
          <w:rFonts w:cs="Arial"/>
          <w:szCs w:val="20"/>
          <w:lang w:val="hu-HU"/>
        </w:rPr>
        <w:t xml:space="preserve"> 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Az „Adott kötelezettségvállalások és </w:t>
      </w:r>
      <w:proofErr w:type="gramStart"/>
      <w:r w:rsidRPr="005A47CF">
        <w:rPr>
          <w:rFonts w:cs="Arial"/>
          <w:szCs w:val="20"/>
          <w:lang w:val="hu-HU"/>
        </w:rPr>
        <w:t>garanciák”-</w:t>
      </w:r>
      <w:proofErr w:type="spellStart"/>
      <w:proofErr w:type="gramEnd"/>
      <w:r w:rsidRPr="005A47CF">
        <w:rPr>
          <w:rFonts w:cs="Arial"/>
          <w:szCs w:val="20"/>
          <w:lang w:val="hu-HU"/>
        </w:rPr>
        <w:t>ra</w:t>
      </w:r>
      <w:proofErr w:type="spellEnd"/>
      <w:r w:rsidRPr="005A47CF">
        <w:rPr>
          <w:rFonts w:cs="Arial"/>
          <w:szCs w:val="20"/>
          <w:lang w:val="hu-HU"/>
        </w:rPr>
        <w:t xml:space="preserve"> képzett céltartalék tartalmazza a kötelezettségvállaláshoz és garanciához kapcsolódó valamennyi céltartalékot, függetlenül attól, hogy értékvesztésüket az IFRS 9 szerint határozzák-e meg vagy céltartalékképzésük az </w:t>
      </w:r>
      <w:proofErr w:type="spellStart"/>
      <w:r w:rsidRPr="005A47CF">
        <w:rPr>
          <w:rFonts w:cs="Arial"/>
          <w:szCs w:val="20"/>
          <w:lang w:val="hu-HU"/>
        </w:rPr>
        <w:t>IAS</w:t>
      </w:r>
      <w:proofErr w:type="spellEnd"/>
      <w:r w:rsidRPr="005A47CF">
        <w:rPr>
          <w:rFonts w:cs="Arial"/>
          <w:szCs w:val="20"/>
          <w:lang w:val="hu-HU"/>
        </w:rPr>
        <w:t xml:space="preserve"> 37-nek megfelelően történik, illet</w:t>
      </w:r>
      <w:r w:rsidR="0082202E" w:rsidRPr="005A47CF">
        <w:rPr>
          <w:rFonts w:cs="Arial"/>
          <w:szCs w:val="20"/>
          <w:lang w:val="hu-HU"/>
        </w:rPr>
        <w:t>ve</w:t>
      </w:r>
      <w:r w:rsidRPr="005A47CF">
        <w:rPr>
          <w:rFonts w:cs="Arial"/>
          <w:szCs w:val="20"/>
          <w:lang w:val="hu-HU"/>
        </w:rPr>
        <w:t xml:space="preserve"> az IFRS 4 szerinti biztosítási szerződésként kezelik őket. Az eredménnyel szemben valós értéken értékelt elkötelezettségekből és pénzügyi garanciákból eredő kötelezettségek </w:t>
      </w:r>
      <w:r w:rsidRPr="005A47CF">
        <w:rPr>
          <w:rFonts w:cs="Arial"/>
          <w:szCs w:val="20"/>
          <w:lang w:val="hu-HU"/>
        </w:rPr>
        <w:lastRenderedPageBreak/>
        <w:t xml:space="preserve">nem tüntethetők fel céltartalékként, bár hitelkockázathoz kapcsolódnak, hanem azokat „Egyéb pénzügyi </w:t>
      </w:r>
      <w:proofErr w:type="gramStart"/>
      <w:r w:rsidRPr="005A47CF">
        <w:rPr>
          <w:rFonts w:cs="Arial"/>
          <w:szCs w:val="20"/>
          <w:lang w:val="hu-HU"/>
        </w:rPr>
        <w:t>kötelezettségek”-</w:t>
      </w:r>
      <w:proofErr w:type="gramEnd"/>
      <w:r w:rsidRPr="005A47CF">
        <w:rPr>
          <w:rFonts w:cs="Arial"/>
          <w:szCs w:val="20"/>
          <w:lang w:val="hu-HU"/>
        </w:rPr>
        <w:t>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w:t>
      </w:r>
      <w:proofErr w:type="spellStart"/>
      <w:r w:rsidRPr="005A47CF">
        <w:rPr>
          <w:rFonts w:cs="Arial"/>
          <w:szCs w:val="20"/>
          <w:lang w:val="hu-HU"/>
        </w:rPr>
        <w:t>tartottá</w:t>
      </w:r>
      <w:proofErr w:type="spellEnd"/>
      <w:r w:rsidRPr="005A47CF">
        <w:rPr>
          <w:rFonts w:cs="Arial"/>
          <w:szCs w:val="20"/>
          <w:lang w:val="hu-HU"/>
        </w:rPr>
        <w:t xml:space="preserve"> minősített elidegenítési csoportba tartozó kötelezettségek” tartalmára az IFRS 5 irányadó.</w:t>
      </w:r>
    </w:p>
    <w:p w14:paraId="33EF838D" w14:textId="77777777" w:rsidR="00903770" w:rsidRPr="005A47CF" w:rsidRDefault="00903770" w:rsidP="0066505D">
      <w:bookmarkStart w:id="15" w:name="_Toc424302385"/>
    </w:p>
    <w:p w14:paraId="42C437B6" w14:textId="3305F9AD" w:rsidR="005E3BE1" w:rsidRPr="005A47CF" w:rsidRDefault="00D75356" w:rsidP="00E666C9">
      <w:pPr>
        <w:pStyle w:val="Cmsor3"/>
      </w:pPr>
      <w:r w:rsidRPr="005A47CF">
        <w:t>1.</w:t>
      </w:r>
      <w:r w:rsidR="0077697C" w:rsidRPr="005A47CF">
        <w:t>19</w:t>
      </w:r>
      <w:r w:rsidRPr="005A47CF">
        <w:t>.</w:t>
      </w:r>
      <w:r w:rsidR="005D5D5F" w:rsidRPr="005A47CF">
        <w:t xml:space="preserve"> </w:t>
      </w:r>
      <w:r w:rsidR="005E3BE1" w:rsidRPr="005A47CF">
        <w:t>32F0103 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p w14:paraId="7C9A0E84" w14:textId="77777777" w:rsidR="005E3BE1" w:rsidRPr="005A47CF" w:rsidRDefault="005E3BE1" w:rsidP="005E3BE1">
      <w:pPr>
        <w:pStyle w:val="Listaszerbekezds"/>
        <w:ind w:left="792"/>
        <w:rPr>
          <w:rFonts w:cs="Arial"/>
          <w:b/>
          <w:szCs w:val="20"/>
          <w:lang w:val="hu-HU"/>
        </w:rPr>
      </w:pPr>
    </w:p>
    <w:bookmarkEnd w:id="15"/>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w:t>
      </w:r>
      <w:proofErr w:type="spellStart"/>
      <w:r w:rsidRPr="005A47CF">
        <w:rPr>
          <w:rFonts w:cs="Arial"/>
          <w:szCs w:val="20"/>
          <w:lang w:val="hu-HU"/>
        </w:rPr>
        <w:t>IAS</w:t>
      </w:r>
      <w:proofErr w:type="spellEnd"/>
      <w:r w:rsidRPr="005A47CF">
        <w:rPr>
          <w:rFonts w:cs="Arial"/>
          <w:szCs w:val="20"/>
          <w:lang w:val="hu-HU"/>
        </w:rPr>
        <w:t xml:space="preserve">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r w:rsidRPr="005A47CF">
        <w:rPr>
          <w:rFonts w:cs="Arial"/>
          <w:szCs w:val="20"/>
          <w:lang w:val="hu-HU"/>
        </w:rPr>
        <w:t>IFRS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(IFRS-</w:t>
      </w:r>
      <w:proofErr w:type="spellStart"/>
      <w:r w:rsidR="00C96F33" w:rsidRPr="005A47CF">
        <w:rPr>
          <w:rFonts w:cs="Arial"/>
          <w:szCs w:val="20"/>
          <w:lang w:val="hu-HU"/>
        </w:rPr>
        <w:t>ek</w:t>
      </w:r>
      <w:r w:rsidRPr="005A47CF">
        <w:rPr>
          <w:rFonts w:cs="Arial"/>
          <w:szCs w:val="20"/>
          <w:lang w:val="hu-HU"/>
        </w:rPr>
        <w:t>re</w:t>
      </w:r>
      <w:proofErr w:type="spellEnd"/>
      <w:r w:rsidRPr="005A47CF">
        <w:rPr>
          <w:rFonts w:cs="Arial"/>
          <w:szCs w:val="20"/>
          <w:lang w:val="hu-HU"/>
        </w:rPr>
        <w:t xml:space="preserve"> való áttéréskor)” az IFRS</w:t>
      </w:r>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04161D20" w14:textId="7211830B" w:rsidR="00942761" w:rsidRPr="00661F11" w:rsidRDefault="005E3BE1" w:rsidP="0066505D">
      <w:pPr>
        <w:pStyle w:val="Baseparagraphnumbered"/>
        <w:numPr>
          <w:ilvl w:val="0"/>
          <w:numId w:val="0"/>
        </w:numPr>
        <w:ind w:left="57"/>
        <w:rPr>
          <w:lang w:val="hu-HU"/>
        </w:rPr>
      </w:pPr>
      <w:r w:rsidRPr="005A47CF">
        <w:rPr>
          <w:rFonts w:cs="Arial"/>
          <w:szCs w:val="20"/>
          <w:lang w:val="hu-HU"/>
        </w:rPr>
        <w:t>A „(-) Saját részvények” soron kell szerepeltetni az adatszolgáltató által visszavásárolt sajáttőke instrumentumokat.</w:t>
      </w:r>
    </w:p>
    <w:p w14:paraId="363C5169" w14:textId="77777777" w:rsidR="00942761" w:rsidRDefault="00942761" w:rsidP="0066505D"/>
    <w:p w14:paraId="6A2DEB65" w14:textId="23B71A0B" w:rsidR="005E3BE1" w:rsidRPr="005A47CF" w:rsidRDefault="00D75356" w:rsidP="00E666C9">
      <w:pPr>
        <w:pStyle w:val="Cmsor3"/>
      </w:pPr>
      <w:r w:rsidRPr="005A47CF">
        <w:t>1.2</w:t>
      </w:r>
      <w:r w:rsidR="0077697C" w:rsidRPr="005A47CF">
        <w:t>0</w:t>
      </w:r>
      <w:r w:rsidRPr="005A47CF">
        <w:t>.</w:t>
      </w:r>
      <w:r w:rsidR="005D5D5F" w:rsidRPr="005A47CF">
        <w:t xml:space="preserve"> </w:t>
      </w:r>
      <w:r w:rsidR="005E3BE1" w:rsidRPr="005A47CF">
        <w:t>32F02 Befektetési vállalkozások IFRS</w:t>
      </w:r>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16" w:name="_Toc246730718"/>
      <w:bookmarkStart w:id="17" w:name="_Toc246730627"/>
      <w:bookmarkStart w:id="18" w:name="_Toc246513955"/>
      <w:bookmarkEnd w:id="16"/>
      <w:bookmarkEnd w:id="17"/>
      <w:bookmarkEnd w:id="18"/>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 xml:space="preserve">vagy </w:t>
      </w:r>
      <w:r w:rsidRPr="005A47CF">
        <w:rPr>
          <w:rFonts w:cs="Arial"/>
          <w:szCs w:val="20"/>
          <w:lang w:val="hu-HU"/>
        </w:rPr>
        <w:lastRenderedPageBreak/>
        <w:t>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 xml:space="preserve">piszkos </w:t>
      </w:r>
      <w:proofErr w:type="gramStart"/>
      <w:r w:rsidR="00B337D6" w:rsidRPr="005A47CF">
        <w:rPr>
          <w:rFonts w:cs="Arial"/>
          <w:szCs w:val="20"/>
          <w:lang w:val="hu-HU"/>
        </w:rPr>
        <w:t>ár”-</w:t>
      </w:r>
      <w:proofErr w:type="spellStart"/>
      <w:proofErr w:type="gramEnd"/>
      <w:r w:rsidR="00B337D6" w:rsidRPr="005A47CF">
        <w:rPr>
          <w:rFonts w:cs="Arial"/>
          <w:szCs w:val="20"/>
          <w:lang w:val="hu-HU"/>
        </w:rPr>
        <w:t>ra</w:t>
      </w:r>
      <w:proofErr w:type="spellEnd"/>
      <w:r w:rsidR="00B337D6" w:rsidRPr="005A47CF">
        <w:rPr>
          <w:rFonts w:cs="Arial"/>
          <w:szCs w:val="20"/>
          <w:lang w:val="hu-HU"/>
        </w:rPr>
        <w:t xml:space="preserve">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 xml:space="preserve">(-) </w:t>
      </w:r>
      <w:r w:rsidR="005E3BE1" w:rsidRPr="005A47CF">
        <w:rPr>
          <w:rFonts w:cs="Arial"/>
          <w:szCs w:val="20"/>
          <w:lang w:val="hu-HU"/>
        </w:rPr>
        <w:t>veszteség, nettó”;</w:t>
      </w:r>
    </w:p>
    <w:p w14:paraId="41F52166" w14:textId="77777777"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 veszteség, nettó”</w:t>
      </w:r>
    </w:p>
    <w:p w14:paraId="740F26A2" w14:textId="77777777"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w:t>
      </w:r>
      <w:proofErr w:type="spellStart"/>
      <w:r w:rsidRPr="005A47CF">
        <w:rPr>
          <w:rFonts w:cs="Arial"/>
          <w:szCs w:val="20"/>
          <w:lang w:val="hu-HU"/>
        </w:rPr>
        <w:t>Kamatráfordítások_Kereskedési</w:t>
      </w:r>
      <w:proofErr w:type="spellEnd"/>
      <w:r w:rsidRPr="005A47CF">
        <w:rPr>
          <w:rFonts w:cs="Arial"/>
          <w:szCs w:val="20"/>
          <w:lang w:val="hu-HU"/>
        </w:rPr>
        <w:t xml:space="preserve">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A47CF">
        <w:rPr>
          <w:rFonts w:cs="Arial"/>
          <w:szCs w:val="20"/>
          <w:lang w:val="hu-HU"/>
        </w:rPr>
        <w:t>hitelderivatívához</w:t>
      </w:r>
      <w:proofErr w:type="spellEnd"/>
      <w:r w:rsidRPr="005A47CF">
        <w:rPr>
          <w:rFonts w:cs="Arial"/>
          <w:szCs w:val="20"/>
          <w:lang w:val="hu-HU"/>
        </w:rPr>
        <w:t xml:space="preserve"> kapcsolódó időarányos díjakat és egyenlegfizetéseket [IFRS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Származtatott ügyletek — Fedezeti elszámolások, kamatlábkockázat”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kötelezettségekhez kapcsolódó negatív effektív kamatot a kamatbevételek között „Pénzügyi kötelezettségekkel kapcsolatos </w:t>
      </w:r>
      <w:proofErr w:type="gramStart"/>
      <w:r w:rsidRPr="005A47CF">
        <w:rPr>
          <w:rFonts w:cs="Arial"/>
          <w:szCs w:val="20"/>
          <w:lang w:val="hu-HU"/>
        </w:rPr>
        <w:t>kamatbevétel”-</w:t>
      </w:r>
      <w:proofErr w:type="gramEnd"/>
      <w:r w:rsidRPr="005A47CF">
        <w:rPr>
          <w:rFonts w:cs="Arial"/>
          <w:szCs w:val="20"/>
          <w:lang w:val="hu-HU"/>
        </w:rPr>
        <w:t xml:space="preserve">ként kell jelenteni. Az ezen a soron jelentett kötelezettségek </w:t>
      </w:r>
      <w:proofErr w:type="spellStart"/>
      <w:r w:rsidRPr="005A47CF">
        <w:rPr>
          <w:rFonts w:cs="Arial"/>
          <w:szCs w:val="20"/>
          <w:lang w:val="hu-HU"/>
        </w:rPr>
        <w:t>kamatai</w:t>
      </w:r>
      <w:proofErr w:type="spellEnd"/>
      <w:r w:rsidRPr="005A47CF">
        <w:rPr>
          <w:rFonts w:cs="Arial"/>
          <w:szCs w:val="20"/>
          <w:lang w:val="hu-HU"/>
        </w:rPr>
        <w:t xml:space="preserve">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 xml:space="preserve">kapcsolatos </w:t>
      </w:r>
      <w:proofErr w:type="gramStart"/>
      <w:r w:rsidRPr="005A47CF">
        <w:rPr>
          <w:rFonts w:cs="Arial"/>
          <w:szCs w:val="20"/>
          <w:lang w:val="hu-HU"/>
        </w:rPr>
        <w:t>kamatráfordítás”-</w:t>
      </w:r>
      <w:proofErr w:type="gramEnd"/>
      <w:r w:rsidRPr="005A47CF">
        <w:rPr>
          <w:rFonts w:cs="Arial"/>
          <w:szCs w:val="20"/>
          <w:lang w:val="hu-HU"/>
        </w:rPr>
        <w:t xml:space="preserve">ként kell jelenteni. Az ezen a soron jelentett eszközök </w:t>
      </w:r>
      <w:proofErr w:type="spellStart"/>
      <w:r w:rsidRPr="005A47CF">
        <w:rPr>
          <w:rFonts w:cs="Arial"/>
          <w:szCs w:val="20"/>
          <w:lang w:val="hu-HU"/>
        </w:rPr>
        <w:t>kamatai</w:t>
      </w:r>
      <w:proofErr w:type="spellEnd"/>
      <w:r w:rsidRPr="005A47CF">
        <w:rPr>
          <w:rFonts w:cs="Arial"/>
          <w:szCs w:val="20"/>
          <w:lang w:val="hu-HU"/>
        </w:rPr>
        <w:t xml:space="preserve">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19" w:name="_Toc246730722"/>
      <w:bookmarkStart w:id="20" w:name="_Toc246730631"/>
      <w:bookmarkStart w:id="21" w:name="_Toc246513959"/>
      <w:bookmarkEnd w:id="19"/>
      <w:bookmarkEnd w:id="20"/>
      <w:bookmarkEnd w:id="21"/>
      <w:r w:rsidRPr="005A47CF">
        <w:rPr>
          <w:rFonts w:cs="Arial"/>
          <w:szCs w:val="20"/>
          <w:lang w:val="hu-HU"/>
        </w:rPr>
        <w:lastRenderedPageBreak/>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w:t>
      </w:r>
      <w:proofErr w:type="gramStart"/>
      <w:r w:rsidR="00FA48CA" w:rsidRPr="005A47CF">
        <w:rPr>
          <w:rFonts w:cs="Arial"/>
          <w:szCs w:val="20"/>
          <w:lang w:val="hu-HU"/>
        </w:rPr>
        <w:t>Osztalékbevétel”-</w:t>
      </w:r>
      <w:proofErr w:type="gramEnd"/>
      <w:r w:rsidR="00FA48CA" w:rsidRPr="005A47CF">
        <w:rPr>
          <w:rFonts w:cs="Arial"/>
          <w:szCs w:val="20"/>
          <w:lang w:val="hu-HU"/>
        </w:rPr>
        <w:t xml:space="preserve">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A47CF">
        <w:rPr>
          <w:rFonts w:cs="Arial"/>
          <w:szCs w:val="20"/>
          <w:lang w:val="hu-HU"/>
        </w:rPr>
        <w:t>osztalékát</w:t>
      </w:r>
      <w:proofErr w:type="spellEnd"/>
      <w:r w:rsidRPr="005A47CF">
        <w:rPr>
          <w:rFonts w:cs="Arial"/>
          <w:szCs w:val="20"/>
          <w:lang w:val="hu-HU"/>
        </w:rPr>
        <w: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A47CF">
        <w:rPr>
          <w:rFonts w:cs="Arial"/>
          <w:szCs w:val="20"/>
          <w:lang w:val="hu-HU"/>
        </w:rPr>
        <w:t>hitelderivatívákon</w:t>
      </w:r>
      <w:proofErr w:type="spellEnd"/>
      <w:r w:rsidRPr="005A47CF">
        <w:rPr>
          <w:rFonts w:cs="Arial"/>
          <w:szCs w:val="20"/>
          <w:lang w:val="hu-HU"/>
        </w:rPr>
        <w:t xml:space="preserve">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3A43192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r w:rsidRPr="005A47CF">
        <w:rPr>
          <w:rFonts w:cs="Arial"/>
          <w:szCs w:val="20"/>
          <w:lang w:val="hu-HU"/>
        </w:rPr>
        <w:t>IFRS 9 5.7.8. bekezdése</w:t>
      </w:r>
      <w:r w:rsidR="00357D17">
        <w:rPr>
          <w:rFonts w:cs="Arial"/>
          <w:szCs w:val="20"/>
          <w:lang w:val="hu-HU"/>
        </w:rPr>
        <w:t>)</w:t>
      </w:r>
      <w:r w:rsidRPr="005A47CF">
        <w:rPr>
          <w:rFonts w:cs="Arial"/>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632919F" w14:textId="5010CA49"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955CA6">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[IFRS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CE187A4"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r w:rsidRPr="005A47CF">
        <w:rPr>
          <w:rFonts w:cs="Arial"/>
          <w:szCs w:val="20"/>
          <w:lang w:val="hu-HU"/>
        </w:rPr>
        <w:t>IFRS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43BBFB85" w14:textId="53BA20E2"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r w:rsidRPr="005A47CF">
        <w:rPr>
          <w:rFonts w:cs="Arial"/>
          <w:szCs w:val="20"/>
          <w:lang w:val="hu-HU"/>
        </w:rPr>
        <w:t>IFRS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0E4D0B">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1DACE58D" w14:textId="6E59729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lastRenderedPageBreak/>
        <w:t>A „Fedezeti elszámolásokból eredő nyereségek vagy (</w:t>
      </w:r>
      <w:r w:rsidR="000E4D0B">
        <w:rPr>
          <w:rFonts w:cs="Arial"/>
          <w:szCs w:val="20"/>
          <w:lang w:val="hu-HU"/>
        </w:rPr>
        <w:t>-</w:t>
      </w:r>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IFRS 9 6.5.8. bekezdésének megfelelően. Tartalmazza továbbá valamely cash flow-fedezeti ügyletben a fedezeti instrumentumok valósérték-változásának nem hatékony részét. A cash flow-fedezeti ügyletek </w:t>
      </w:r>
      <w:proofErr w:type="spellStart"/>
      <w:r w:rsidRPr="005A47CF">
        <w:rPr>
          <w:rFonts w:cs="Arial"/>
          <w:szCs w:val="20"/>
          <w:lang w:val="hu-HU"/>
        </w:rPr>
        <w:t>tartalékának</w:t>
      </w:r>
      <w:proofErr w:type="spellEnd"/>
      <w:r w:rsidRPr="005A47CF">
        <w:rPr>
          <w:rFonts w:cs="Arial"/>
          <w:szCs w:val="20"/>
          <w:lang w:val="hu-HU"/>
        </w:rPr>
        <w:t xml:space="preserve"> átsorolását az „Eredménykimutatás” ugyanazon soraiban kell megjeleníteni, mint a fedezett tételekből eredő cash flow által eredményezetteket. A „Fedezeti elszámolásokból eredő nyereségek vagy (</w:t>
      </w:r>
      <w:r w:rsidR="000E4D0B">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51D14C6E"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9C62A2">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105D165B"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D25049">
        <w:rPr>
          <w:rFonts w:cs="Arial"/>
          <w:szCs w:val="20"/>
          <w:lang w:val="hu-HU"/>
        </w:rPr>
        <w:t>(</w:t>
      </w:r>
      <w:r w:rsidRPr="005A47CF">
        <w:rPr>
          <w:rFonts w:cs="Arial"/>
          <w:szCs w:val="20"/>
          <w:lang w:val="hu-HU"/>
        </w:rPr>
        <w:t>IFRS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9C62A2">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0F740BE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„Céltartalékképzés vagy (-)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IFRS 9, az </w:t>
      </w:r>
      <w:proofErr w:type="spellStart"/>
      <w:r w:rsidRPr="005A47CF">
        <w:rPr>
          <w:rFonts w:cs="Arial"/>
          <w:szCs w:val="20"/>
          <w:lang w:val="hu-HU"/>
        </w:rPr>
        <w:t>IAS</w:t>
      </w:r>
      <w:proofErr w:type="spellEnd"/>
      <w:r w:rsidRPr="005A47CF">
        <w:rPr>
          <w:rFonts w:cs="Arial"/>
          <w:szCs w:val="20"/>
          <w:lang w:val="hu-HU"/>
        </w:rPr>
        <w:t xml:space="preserve"> 37 vagy az IFRS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Az IFRS</w:t>
      </w:r>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9C62A2">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IFRS 9 szerint történik, vagy a céltartalékképzés megfelel az </w:t>
      </w:r>
      <w:proofErr w:type="spellStart"/>
      <w:r w:rsidRPr="005A47CF">
        <w:rPr>
          <w:rFonts w:cs="Arial"/>
          <w:szCs w:val="20"/>
          <w:lang w:val="hu-HU"/>
        </w:rPr>
        <w:t>IAS</w:t>
      </w:r>
      <w:proofErr w:type="spellEnd"/>
      <w:r w:rsidRPr="005A47CF">
        <w:rPr>
          <w:rFonts w:cs="Arial"/>
          <w:szCs w:val="20"/>
          <w:lang w:val="hu-HU"/>
        </w:rPr>
        <w:t xml:space="preserve"> 37-nek, </w:t>
      </w:r>
      <w:r w:rsidR="00816B28" w:rsidRPr="005A47CF">
        <w:rPr>
          <w:rFonts w:cs="Arial"/>
          <w:szCs w:val="20"/>
          <w:lang w:val="hu-HU"/>
        </w:rPr>
        <w:t xml:space="preserve">illetve </w:t>
      </w:r>
      <w:r w:rsidRPr="005A47CF">
        <w:rPr>
          <w:rFonts w:cs="Arial"/>
          <w:szCs w:val="20"/>
          <w:lang w:val="hu-HU"/>
        </w:rPr>
        <w:t>amelyeket az IFRS 4 értelmében biztosítási szerződésként kezelnek.</w:t>
      </w:r>
    </w:p>
    <w:p w14:paraId="15557AA5" w14:textId="5966167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IFRS 9 5.5.</w:t>
      </w:r>
      <w:r w:rsidR="007B4C94" w:rsidRPr="005A47CF">
        <w:rPr>
          <w:rFonts w:cs="Arial"/>
          <w:szCs w:val="20"/>
          <w:lang w:val="hu-HU"/>
        </w:rPr>
        <w:t xml:space="preserve"> </w:t>
      </w:r>
      <w:r w:rsidRPr="005A47CF">
        <w:rPr>
          <w:rFonts w:cs="Arial"/>
          <w:szCs w:val="20"/>
          <w:lang w:val="hu-HU"/>
        </w:rPr>
        <w:t>bekezdése szerinti értékvesztési szabályok alkalmazásából eredő értékvesztés miatti nyereségét vagy veszteségét, függetlenül attól, hogy az IFRS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r w:rsidRPr="005A47CF">
        <w:rPr>
          <w:rFonts w:cs="Arial"/>
          <w:szCs w:val="20"/>
          <w:lang w:val="hu-HU"/>
        </w:rPr>
        <w:t>IFRS 9 5.5.15. bekezdése</w:t>
      </w:r>
      <w:r w:rsidR="00D25049">
        <w:rPr>
          <w:rFonts w:cs="Arial"/>
          <w:szCs w:val="20"/>
          <w:lang w:val="hu-HU"/>
        </w:rPr>
        <w:t>)</w:t>
      </w:r>
      <w:r w:rsidRPr="005A47CF">
        <w:rPr>
          <w:rFonts w:cs="Arial"/>
          <w:szCs w:val="20"/>
          <w:lang w:val="hu-HU"/>
        </w:rPr>
        <w:t xml:space="preserve">. </w:t>
      </w:r>
    </w:p>
    <w:p w14:paraId="0B4EBA07" w14:textId="31A31D1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befektetett eszközökből és elidegenítési csoportokból származó nyereség vagy (-)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4D1C2A8"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330ED6">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ni, amennyiben az IFRS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7777777"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w:t>
      </w:r>
      <w:proofErr w:type="spellStart"/>
      <w:r w:rsidRPr="005A47CF">
        <w:rPr>
          <w:rFonts w:cs="Arial"/>
          <w:szCs w:val="20"/>
          <w:lang w:val="hu-HU"/>
        </w:rPr>
        <w:t>IAS</w:t>
      </w:r>
      <w:proofErr w:type="spellEnd"/>
      <w:r w:rsidRPr="005A47CF">
        <w:rPr>
          <w:rFonts w:cs="Arial"/>
          <w:szCs w:val="20"/>
          <w:lang w:val="hu-HU"/>
        </w:rPr>
        <w:t xml:space="preserve"> 27 10. bekezdése alapján a tőkemódszerrel elszámolt leányvállalatokba, társult vállalkozásokba, valamint közös vállalkozásokba történt befektetések eredményéből való részesedést [</w:t>
      </w:r>
      <w:proofErr w:type="spellStart"/>
      <w:r w:rsidRPr="005A47CF">
        <w:rPr>
          <w:rFonts w:cs="Arial"/>
          <w:szCs w:val="20"/>
          <w:lang w:val="hu-HU"/>
        </w:rPr>
        <w:t>IAS</w:t>
      </w:r>
      <w:proofErr w:type="spellEnd"/>
      <w:r w:rsidRPr="005A47CF">
        <w:rPr>
          <w:rFonts w:cs="Arial"/>
          <w:szCs w:val="20"/>
          <w:lang w:val="hu-HU"/>
        </w:rPr>
        <w:t xml:space="preserve"> 1 82. bekezdés c) pont] a „Leányvállalatokba közös vállalkozásokba, és társult vállalkozásokba történt befektetések nyereségéből vagy (-)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 xml:space="preserve">elemei olyan bevételi és ráfordítási tételek (beleértve az átsorolás miatti módosításokat is), amelyek nem minősülnek az </w:t>
      </w:r>
      <w:proofErr w:type="spellStart"/>
      <w:r w:rsidRPr="005A47CF">
        <w:rPr>
          <w:rFonts w:cs="Arial"/>
          <w:szCs w:val="20"/>
          <w:lang w:val="hu-HU"/>
        </w:rPr>
        <w:t>IAS</w:t>
      </w:r>
      <w:proofErr w:type="spellEnd"/>
      <w:r w:rsidRPr="005A47CF">
        <w:rPr>
          <w:rFonts w:cs="Arial"/>
          <w:szCs w:val="20"/>
          <w:lang w:val="hu-HU"/>
        </w:rPr>
        <w:t>/IFRS</w:t>
      </w:r>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261F9930" w14:textId="101B6FBC" w:rsidR="00C160D0" w:rsidRDefault="00C160D0" w:rsidP="0061577E">
      <w:pPr>
        <w:rPr>
          <w:rFonts w:cs="Arial"/>
          <w:b/>
          <w:szCs w:val="20"/>
        </w:rPr>
      </w:pPr>
      <w:bookmarkStart w:id="22" w:name="_Toc246730735"/>
      <w:bookmarkStart w:id="23" w:name="_Toc246730644"/>
      <w:bookmarkStart w:id="24" w:name="_Toc246513972"/>
      <w:bookmarkStart w:id="25" w:name="_Toc246730734"/>
      <w:bookmarkStart w:id="26" w:name="_Toc246730643"/>
      <w:bookmarkStart w:id="27" w:name="_Toc246513971"/>
      <w:bookmarkStart w:id="28" w:name="_Toc246730732"/>
      <w:bookmarkStart w:id="29" w:name="_Toc246730641"/>
      <w:bookmarkStart w:id="30" w:name="_Toc246513969"/>
      <w:bookmarkStart w:id="31" w:name="_Toc246730731"/>
      <w:bookmarkStart w:id="32" w:name="_Toc246730640"/>
      <w:bookmarkStart w:id="33" w:name="_Toc246513968"/>
      <w:bookmarkEnd w:id="22"/>
      <w:bookmarkEnd w:id="23"/>
      <w:bookmarkEnd w:id="24"/>
      <w:bookmarkEnd w:id="25"/>
      <w:bookmarkEnd w:id="26"/>
      <w:bookmarkEnd w:id="27"/>
      <w:bookmarkEnd w:id="28"/>
      <w:bookmarkEnd w:id="29"/>
      <w:bookmarkEnd w:id="30"/>
      <w:bookmarkEnd w:id="31"/>
      <w:bookmarkEnd w:id="32"/>
      <w:bookmarkEnd w:id="33"/>
    </w:p>
    <w:p w14:paraId="079A25F7" w14:textId="77777777" w:rsidR="00903770" w:rsidRPr="005A47CF" w:rsidRDefault="00903770" w:rsidP="0061577E">
      <w:pPr>
        <w:rPr>
          <w:rFonts w:cs="Arial"/>
          <w:b/>
          <w:szCs w:val="20"/>
        </w:rPr>
      </w:pPr>
    </w:p>
    <w:p w14:paraId="2544A022" w14:textId="77777777" w:rsidR="0061577E" w:rsidRPr="005A47CF" w:rsidRDefault="00D75356" w:rsidP="00E666C9">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valamennyi értékpapír- és pénzszámláját 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7777777" w:rsidR="009322E9" w:rsidRPr="005A47CF" w:rsidRDefault="009322E9" w:rsidP="009322E9">
      <w:pPr>
        <w:tabs>
          <w:tab w:val="left" w:pos="637"/>
        </w:tabs>
        <w:rPr>
          <w:rFonts w:cs="Arial"/>
          <w:szCs w:val="20"/>
        </w:rPr>
      </w:pPr>
      <w:r w:rsidRPr="005A47CF">
        <w:rPr>
          <w:rFonts w:eastAsia="Times New Roman" w:cs="Arial"/>
          <w:szCs w:val="20"/>
        </w:rPr>
        <w:t xml:space="preserve">A hónap végére vonatkozó saját és megbízói pénzeszközök, illetve értékpapírok egyenlegét </w:t>
      </w:r>
      <w:proofErr w:type="spellStart"/>
      <w:r w:rsidRPr="005A47CF">
        <w:rPr>
          <w:rFonts w:eastAsia="Times New Roman" w:cs="Arial"/>
          <w:szCs w:val="20"/>
        </w:rPr>
        <w:t>számlavezetőnként</w:t>
      </w:r>
      <w:proofErr w:type="spellEnd"/>
      <w:r w:rsidRPr="005A47CF">
        <w:rPr>
          <w:rFonts w:eastAsia="Times New Roman" w:cs="Arial"/>
          <w:szCs w:val="20"/>
        </w:rPr>
        <w: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(szerződésben foglalt számla azonosítója)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esetben is, ha ezen partnerrel az adatszolgáltató nem áll közvetlen szerződéses kapcsolatban (pl. </w:t>
      </w:r>
      <w:proofErr w:type="spellStart"/>
      <w:r w:rsidR="001B650B" w:rsidRPr="005A47CF">
        <w:rPr>
          <w:rFonts w:cs="Arial"/>
          <w:szCs w:val="20"/>
        </w:rPr>
        <w:t>transfer</w:t>
      </w:r>
      <w:proofErr w:type="spellEnd"/>
      <w:r w:rsidR="001B650B" w:rsidRPr="005A47CF">
        <w:rPr>
          <w:rFonts w:cs="Arial"/>
          <w:szCs w:val="20"/>
        </w:rPr>
        <w:t xml:space="preserve"> </w:t>
      </w:r>
      <w:proofErr w:type="spellStart"/>
      <w:r w:rsidR="001B650B" w:rsidRPr="005A47CF">
        <w:rPr>
          <w:rFonts w:cs="Arial"/>
          <w:szCs w:val="20"/>
        </w:rPr>
        <w:t>agent</w:t>
      </w:r>
      <w:proofErr w:type="spellEnd"/>
      <w:r w:rsidR="001B650B" w:rsidRPr="005A47CF">
        <w:rPr>
          <w:rFonts w:cs="Arial"/>
          <w:szCs w:val="20"/>
        </w:rPr>
        <w: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34" w:name="_Hlk513141820"/>
      <w:bookmarkStart w:id="35" w:name="_Hlk513051254"/>
      <w:r w:rsidR="001B650B" w:rsidRPr="005A47CF">
        <w:rPr>
          <w:rFonts w:cs="Arial"/>
          <w:szCs w:val="20"/>
        </w:rPr>
        <w:t>ISO 17442 nemzetközi szabvány szerint meghatározott kódja [LEI</w:t>
      </w:r>
      <w:r w:rsidR="00D3404E" w:rsidRPr="005A47CF">
        <w:rPr>
          <w:rFonts w:cs="Arial"/>
          <w:szCs w:val="20"/>
        </w:rPr>
        <w:t xml:space="preserve">-kód: </w:t>
      </w:r>
      <w:proofErr w:type="spellStart"/>
      <w:r w:rsidR="001B650B" w:rsidRPr="002E74CB">
        <w:rPr>
          <w:rFonts w:cs="Arial"/>
          <w:szCs w:val="20"/>
        </w:rPr>
        <w:t>Legal</w:t>
      </w:r>
      <w:proofErr w:type="spellEnd"/>
      <w:r w:rsidR="001B650B" w:rsidRPr="002E74CB">
        <w:rPr>
          <w:rFonts w:cs="Arial"/>
          <w:szCs w:val="20"/>
        </w:rPr>
        <w:t xml:space="preserve"> </w:t>
      </w:r>
      <w:proofErr w:type="spellStart"/>
      <w:r w:rsidR="001B650B" w:rsidRPr="002E74CB">
        <w:rPr>
          <w:rFonts w:cs="Arial"/>
          <w:szCs w:val="20"/>
        </w:rPr>
        <w:t>Entity</w:t>
      </w:r>
      <w:proofErr w:type="spellEnd"/>
      <w:r w:rsidR="001B650B" w:rsidRPr="002E74CB">
        <w:rPr>
          <w:rFonts w:cs="Arial"/>
          <w:szCs w:val="20"/>
        </w:rPr>
        <w:t xml:space="preserve"> </w:t>
      </w:r>
      <w:proofErr w:type="spellStart"/>
      <w:r w:rsidR="001B650B" w:rsidRPr="002E74CB">
        <w:rPr>
          <w:rFonts w:cs="Arial"/>
          <w:szCs w:val="20"/>
        </w:rPr>
        <w:t>Identifier</w:t>
      </w:r>
      <w:proofErr w:type="spellEnd"/>
      <w:r w:rsidR="001B650B" w:rsidRPr="002E74CB">
        <w:rPr>
          <w:rFonts w:cs="Arial"/>
          <w:szCs w:val="20"/>
        </w:rPr>
        <w:t xml:space="preserve"> (20 karakter)</w:t>
      </w:r>
      <w:r w:rsidR="001B650B" w:rsidRPr="005A47CF">
        <w:rPr>
          <w:rFonts w:cs="Arial"/>
          <w:szCs w:val="20"/>
        </w:rPr>
        <w:t>]</w:t>
      </w:r>
      <w:bookmarkEnd w:id="34"/>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35"/>
      <w:r w:rsidR="001B650B" w:rsidRPr="005A47CF">
        <w:rPr>
          <w:rFonts w:cs="Arial"/>
          <w:szCs w:val="20"/>
        </w:rPr>
        <w:t xml:space="preserve">az </w:t>
      </w:r>
      <w:r w:rsidRPr="005A47CF">
        <w:rPr>
          <w:rFonts w:cs="Arial"/>
          <w:szCs w:val="20"/>
        </w:rPr>
        <w:t xml:space="preserve">ISO 9362 nemzetközi szabvány szerint meghatározott kódja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lastRenderedPageBreak/>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nemzetközi pénzforgalmi jelzőszámát (</w:t>
      </w:r>
      <w:proofErr w:type="spellStart"/>
      <w:r w:rsidR="00037394" w:rsidRPr="005A47CF">
        <w:rPr>
          <w:rFonts w:eastAsia="Times New Roman" w:cs="Arial"/>
          <w:szCs w:val="20"/>
        </w:rPr>
        <w:t>IBAN</w:t>
      </w:r>
      <w:proofErr w:type="spellEnd"/>
      <w:r w:rsidR="00037394" w:rsidRPr="005A47CF">
        <w:rPr>
          <w:rFonts w:eastAsia="Times New Roman" w:cs="Arial"/>
          <w:szCs w:val="20"/>
        </w:rPr>
        <w:t xml:space="preserve">),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w:t>
      </w:r>
      <w:proofErr w:type="spellStart"/>
      <w:r w:rsidR="005D1506" w:rsidRPr="005A47CF">
        <w:rPr>
          <w:rFonts w:eastAsia="Times New Roman" w:cs="Arial"/>
          <w:szCs w:val="20"/>
        </w:rPr>
        <w:t>rekonsziliáció</w:t>
      </w:r>
      <w:proofErr w:type="spellEnd"/>
      <w:r w:rsidR="005D1506" w:rsidRPr="005A47CF">
        <w:rPr>
          <w:rFonts w:eastAsia="Times New Roman" w:cs="Arial"/>
          <w:szCs w:val="20"/>
        </w:rPr>
        <w:t xml:space="preserve">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proofErr w:type="spellStart"/>
      <w:r w:rsidR="00CC64FB" w:rsidRPr="005A47CF">
        <w:rPr>
          <w:rFonts w:cs="Arial"/>
          <w:szCs w:val="20"/>
        </w:rPr>
        <w:t>CRR</w:t>
      </w:r>
      <w:proofErr w:type="spellEnd"/>
      <w:r w:rsidR="00CC64FB" w:rsidRPr="005A47CF">
        <w:rPr>
          <w:rFonts w:cs="Arial"/>
          <w:szCs w:val="20"/>
        </w:rPr>
        <w:t>-ben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E666C9">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5D00E111" w:rsidR="002F6D75" w:rsidRPr="005A47CF" w:rsidRDefault="002F6D75" w:rsidP="00DF3A0F">
      <w:pPr>
        <w:tabs>
          <w:tab w:val="left" w:pos="637"/>
        </w:tabs>
        <w:spacing w:before="60" w:after="60"/>
        <w:rPr>
          <w:rFonts w:cs="Arial"/>
          <w:szCs w:val="20"/>
        </w:rPr>
      </w:pPr>
      <w:r w:rsidRPr="005A47CF">
        <w:rPr>
          <w:rFonts w:cs="Arial"/>
          <w:szCs w:val="20"/>
        </w:rPr>
        <w:t>A táblákban a szabályozott piacon kívüli (</w:t>
      </w:r>
      <w:proofErr w:type="spellStart"/>
      <w:r w:rsidRPr="005A47CF">
        <w:rPr>
          <w:rFonts w:cs="Arial"/>
          <w:szCs w:val="20"/>
        </w:rPr>
        <w:t>OTC</w:t>
      </w:r>
      <w:proofErr w:type="spellEnd"/>
      <w:r w:rsidRPr="005A47CF">
        <w:rPr>
          <w:rFonts w:cs="Arial"/>
          <w:szCs w:val="20"/>
        </w:rPr>
        <w:t xml:space="preserve">)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 (olyan ügylettípusok, ahol a teljes fedezet biztosítása nem szükséges az ügylet megkötéséhez, pl. befektetési hitel, </w:t>
      </w:r>
      <w:proofErr w:type="spellStart"/>
      <w:r w:rsidR="00252349" w:rsidRPr="001E4F01">
        <w:rPr>
          <w:rFonts w:cs="Arial"/>
          <w:szCs w:val="20"/>
        </w:rPr>
        <w:t>short</w:t>
      </w:r>
      <w:proofErr w:type="spellEnd"/>
      <w:r w:rsidR="00252349" w:rsidRPr="001E4F01">
        <w:rPr>
          <w:rFonts w:cs="Arial"/>
          <w:szCs w:val="20"/>
        </w:rPr>
        <w:t xml:space="preserve"> ügylet)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proofErr w:type="spellStart"/>
      <w:r w:rsidR="00A55493" w:rsidRPr="005A47CF">
        <w:rPr>
          <w:rFonts w:cs="Arial"/>
          <w:szCs w:val="20"/>
        </w:rPr>
        <w:t>Bszt</w:t>
      </w:r>
      <w:proofErr w:type="spellEnd"/>
      <w:r w:rsidR="00A55493" w:rsidRPr="005A47CF">
        <w:rPr>
          <w:rFonts w:cs="Arial"/>
          <w:szCs w:val="20"/>
        </w:rPr>
        <w: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tekintet nélkül a tőkeáttétel 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9673A9" w:rsidRPr="005A47CF">
        <w:rPr>
          <w:rFonts w:cs="Arial"/>
          <w:szCs w:val="20"/>
        </w:rPr>
        <w:t>)</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w:t>
      </w:r>
      <w:proofErr w:type="gramStart"/>
      <w:r w:rsidR="00763283" w:rsidRPr="005A47CF">
        <w:rPr>
          <w:rFonts w:cs="Arial"/>
          <w:szCs w:val="20"/>
        </w:rPr>
        <w:t>nyitva tartásához</w:t>
      </w:r>
      <w:proofErr w:type="gramEnd"/>
      <w:r w:rsidR="00763283" w:rsidRPr="005A47CF">
        <w:rPr>
          <w:rFonts w:cs="Arial"/>
          <w:szCs w:val="20"/>
        </w:rPr>
        <w:t xml:space="preserve">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2CA24129"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w:t>
      </w:r>
      <w:proofErr w:type="spellStart"/>
      <w:r w:rsidR="00322E3F" w:rsidRPr="00322E3F">
        <w:rPr>
          <w:rFonts w:cs="Arial"/>
          <w:szCs w:val="20"/>
        </w:rPr>
        <w:t>swapokat</w:t>
      </w:r>
      <w:proofErr w:type="spellEnd"/>
      <w:r w:rsidR="00322E3F" w:rsidRPr="00322E3F">
        <w:rPr>
          <w:rFonts w:cs="Arial"/>
          <w:szCs w:val="20"/>
        </w:rPr>
        <w:t xml:space="preserve"> két soron </w:t>
      </w:r>
      <w:r>
        <w:rPr>
          <w:rFonts w:cs="Arial"/>
          <w:szCs w:val="20"/>
        </w:rPr>
        <w:t>szükséges</w:t>
      </w:r>
      <w:r w:rsidR="00322E3F" w:rsidRPr="00322E3F">
        <w:rPr>
          <w:rFonts w:cs="Arial"/>
          <w:szCs w:val="20"/>
        </w:rPr>
        <w:t xml:space="preserve"> jelenteni. „A pozíció jellege” oszlop értéke az </w:t>
      </w:r>
      <w:proofErr w:type="spellStart"/>
      <w:r w:rsidR="00322E3F" w:rsidRPr="00322E3F">
        <w:rPr>
          <w:rFonts w:cs="Arial"/>
          <w:szCs w:val="20"/>
        </w:rPr>
        <w:t>Fx</w:t>
      </w:r>
      <w:proofErr w:type="spellEnd"/>
      <w:r w:rsidR="00322E3F" w:rsidRPr="00322E3F">
        <w:rPr>
          <w:rFonts w:cs="Arial"/>
          <w:szCs w:val="20"/>
        </w:rPr>
        <w:t xml:space="preserve"> </w:t>
      </w:r>
      <w:proofErr w:type="spellStart"/>
      <w:r w:rsidR="00322E3F" w:rsidRPr="00322E3F">
        <w:rPr>
          <w:rFonts w:cs="Arial"/>
          <w:szCs w:val="20"/>
        </w:rPr>
        <w:t>swap</w:t>
      </w:r>
      <w:proofErr w:type="spellEnd"/>
      <w:r w:rsidR="00322E3F" w:rsidRPr="00322E3F">
        <w:rPr>
          <w:rFonts w:cs="Arial"/>
          <w:szCs w:val="20"/>
        </w:rPr>
        <w:t xml:space="preserve"> esetében </w:t>
      </w:r>
      <w:proofErr w:type="spellStart"/>
      <w:r w:rsidR="00322E3F" w:rsidRPr="00322E3F">
        <w:rPr>
          <w:rFonts w:cs="Arial"/>
          <w:szCs w:val="20"/>
        </w:rPr>
        <w:t>receiving</w:t>
      </w:r>
      <w:proofErr w:type="spellEnd"/>
      <w:r w:rsidR="00322E3F" w:rsidRPr="00322E3F">
        <w:rPr>
          <w:rFonts w:cs="Arial"/>
          <w:szCs w:val="20"/>
        </w:rPr>
        <w:t xml:space="preserve">-nél „H” (hosszú), </w:t>
      </w:r>
      <w:proofErr w:type="spellStart"/>
      <w:r w:rsidR="00322E3F" w:rsidRPr="00322E3F">
        <w:rPr>
          <w:rFonts w:cs="Arial"/>
          <w:szCs w:val="20"/>
        </w:rPr>
        <w:t>paying</w:t>
      </w:r>
      <w:proofErr w:type="spellEnd"/>
      <w:r w:rsidR="00322E3F" w:rsidRPr="00322E3F">
        <w:rPr>
          <w:rFonts w:cs="Arial"/>
          <w:szCs w:val="20"/>
        </w:rPr>
        <w:t xml:space="preserve">-nél „R” (rövid), </w:t>
      </w:r>
      <w:proofErr w:type="spellStart"/>
      <w:r w:rsidR="00322E3F" w:rsidRPr="00322E3F">
        <w:rPr>
          <w:rFonts w:cs="Arial"/>
          <w:szCs w:val="20"/>
        </w:rPr>
        <w:t>IRS</w:t>
      </w:r>
      <w:proofErr w:type="spellEnd"/>
      <w:r w:rsidR="00322E3F" w:rsidRPr="00322E3F">
        <w:rPr>
          <w:rFonts w:cs="Arial"/>
          <w:szCs w:val="20"/>
        </w:rPr>
        <w:t xml:space="preserve">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proofErr w:type="spellStart"/>
      <w:r w:rsidR="00DA05A9" w:rsidRPr="005A47CF">
        <w:rPr>
          <w:rFonts w:cs="Arial"/>
          <w:szCs w:val="20"/>
        </w:rPr>
        <w:t>pozíciónként</w:t>
      </w:r>
      <w:proofErr w:type="spellEnd"/>
      <w:r w:rsidR="00DA05A9" w:rsidRPr="005A47CF">
        <w:rPr>
          <w:rFonts w:cs="Arial"/>
          <w:szCs w:val="20"/>
        </w:rPr>
        <w:t xml:space="preserve">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 xml:space="preserve">A tábla tartalmazza a </w:t>
      </w:r>
      <w:proofErr w:type="spellStart"/>
      <w:r w:rsidR="0090793F">
        <w:rPr>
          <w:rFonts w:cs="Arial"/>
          <w:szCs w:val="20"/>
        </w:rPr>
        <w:t>day</w:t>
      </w:r>
      <w:proofErr w:type="spellEnd"/>
      <w:r w:rsidR="0090793F">
        <w:rPr>
          <w:rFonts w:cs="Arial"/>
          <w:szCs w:val="20"/>
        </w:rPr>
        <w:t xml:space="preserve">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BIC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77777777"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proofErr w:type="spellStart"/>
      <w:r w:rsidR="00A241FB" w:rsidRPr="005A47CF">
        <w:rPr>
          <w:rFonts w:cs="Arial"/>
          <w:szCs w:val="20"/>
        </w:rPr>
        <w:t>Bszt</w:t>
      </w:r>
      <w:proofErr w:type="spellEnd"/>
      <w:r w:rsidR="00A241FB" w:rsidRPr="005A47CF">
        <w:rPr>
          <w:rFonts w:cs="Arial"/>
          <w:szCs w:val="20"/>
        </w:rPr>
        <w:t>.</w:t>
      </w:r>
      <w:r w:rsidR="002F6D75" w:rsidRPr="005A47CF">
        <w:rPr>
          <w:rFonts w:cs="Arial"/>
          <w:szCs w:val="20"/>
        </w:rPr>
        <w:t xml:space="preserve"> 47-51. §-</w:t>
      </w:r>
      <w:r w:rsidR="00672330" w:rsidRPr="005A47CF">
        <w:rPr>
          <w:rFonts w:cs="Arial"/>
          <w:szCs w:val="20"/>
        </w:rPr>
        <w:t>á</w:t>
      </w:r>
      <w:r w:rsidR="002F6D75" w:rsidRPr="005A47CF">
        <w:rPr>
          <w:rFonts w:cs="Arial"/>
          <w:szCs w:val="20"/>
        </w:rPr>
        <w:t xml:space="preserve">ban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w:t>
      </w:r>
      <w:proofErr w:type="spellStart"/>
      <w:r w:rsidR="002F6D75" w:rsidRPr="005A47CF">
        <w:rPr>
          <w:rFonts w:cs="Arial"/>
          <w:szCs w:val="20"/>
        </w:rPr>
        <w:t>Bszt</w:t>
      </w:r>
      <w:proofErr w:type="spellEnd"/>
      <w:r w:rsidR="002F6D75" w:rsidRPr="005A47CF">
        <w:rPr>
          <w:rFonts w:cs="Arial"/>
          <w:szCs w:val="20"/>
        </w:rPr>
        <w: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w:t>
      </w:r>
      <w:proofErr w:type="spellStart"/>
      <w:r w:rsidR="003E5D83">
        <w:rPr>
          <w:rFonts w:cs="Arial"/>
          <w:szCs w:val="20"/>
        </w:rPr>
        <w:t>Im</w:t>
      </w:r>
      <w:proofErr w:type="spellEnd"/>
      <w:r w:rsidR="003E5D83">
        <w:rPr>
          <w:rFonts w:cs="Arial"/>
          <w:szCs w:val="20"/>
        </w:rPr>
        <w:t xml:space="preserve">” = major index, </w:t>
      </w:r>
      <w:r w:rsidR="003E5D83" w:rsidRPr="00C11C1E">
        <w:rPr>
          <w:rFonts w:cs="Arial"/>
          <w:szCs w:val="20"/>
        </w:rPr>
        <w:t>„K” = kötvény, „</w:t>
      </w:r>
      <w:proofErr w:type="gramStart"/>
      <w:r w:rsidR="003E5D83" w:rsidRPr="00C11C1E">
        <w:rPr>
          <w:rFonts w:cs="Arial"/>
          <w:szCs w:val="20"/>
        </w:rPr>
        <w:t>C”=</w:t>
      </w:r>
      <w:proofErr w:type="gramEnd"/>
      <w:r w:rsidR="003E5D83" w:rsidRPr="00C11C1E">
        <w:rPr>
          <w:rFonts w:cs="Arial"/>
          <w:szCs w:val="20"/>
        </w:rPr>
        <w:t xml:space="preserve"> </w:t>
      </w:r>
      <w:proofErr w:type="spellStart"/>
      <w:r w:rsidR="003E5D83" w:rsidRPr="00C11C1E">
        <w:rPr>
          <w:rFonts w:cs="Arial"/>
          <w:szCs w:val="20"/>
        </w:rPr>
        <w:t>kriptodeviza</w:t>
      </w:r>
      <w:proofErr w:type="spellEnd"/>
      <w:r w:rsidR="003E5D83" w:rsidRPr="00C11C1E">
        <w:rPr>
          <w:rFonts w:cs="Arial"/>
          <w:szCs w:val="20"/>
        </w:rPr>
        <w:t>, „A” = áru, „</w:t>
      </w:r>
      <w:proofErr w:type="spellStart"/>
      <w:r w:rsidR="003E5D83" w:rsidRPr="00C11C1E">
        <w:rPr>
          <w:rFonts w:cs="Arial"/>
          <w:szCs w:val="20"/>
        </w:rPr>
        <w:t>Ag</w:t>
      </w:r>
      <w:proofErr w:type="spellEnd"/>
      <w:r w:rsidR="003E5D83" w:rsidRPr="00C11C1E">
        <w:rPr>
          <w:rFonts w:cs="Arial"/>
          <w:szCs w:val="20"/>
        </w:rPr>
        <w:t>”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w:t>
      </w:r>
      <w:proofErr w:type="gramStart"/>
      <w:r w:rsidR="00D4136E" w:rsidRPr="005A47CF">
        <w:rPr>
          <w:rFonts w:cs="Arial"/>
          <w:szCs w:val="20"/>
        </w:rPr>
        <w:t>J”-</w:t>
      </w:r>
      <w:proofErr w:type="gramEnd"/>
      <w:r w:rsidR="00D4136E" w:rsidRPr="005A47CF">
        <w:rPr>
          <w:rFonts w:cs="Arial"/>
          <w:szCs w:val="20"/>
        </w:rPr>
        <w:t>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 xml:space="preserve">Az Fm1, Fm2, </w:t>
      </w:r>
      <w:proofErr w:type="spellStart"/>
      <w:r w:rsidR="00BF7F32" w:rsidRPr="00BE7DEB">
        <w:rPr>
          <w:rFonts w:cs="Arial"/>
          <w:szCs w:val="20"/>
        </w:rPr>
        <w:t>Im</w:t>
      </w:r>
      <w:proofErr w:type="spellEnd"/>
      <w:r w:rsidR="00BF7F32" w:rsidRPr="00BE7DEB">
        <w:rPr>
          <w:rFonts w:cs="Arial"/>
          <w:szCs w:val="20"/>
        </w:rPr>
        <w:t xml:space="preserve"> és </w:t>
      </w:r>
      <w:proofErr w:type="spellStart"/>
      <w:r w:rsidR="00BF7F32" w:rsidRPr="00BE7DEB">
        <w:rPr>
          <w:rFonts w:cs="Arial"/>
          <w:szCs w:val="20"/>
        </w:rPr>
        <w:t>Ag</w:t>
      </w:r>
      <w:proofErr w:type="spellEnd"/>
      <w:r w:rsidR="00BF7F32" w:rsidRPr="00BE7DEB">
        <w:rPr>
          <w:rFonts w:cs="Arial"/>
          <w:szCs w:val="20"/>
        </w:rPr>
        <w:t xml:space="preserve"> megjelölések az </w:t>
      </w:r>
      <w:proofErr w:type="spellStart"/>
      <w:r w:rsidR="00BF7F32" w:rsidRPr="00BE7DEB">
        <w:rPr>
          <w:rFonts w:cs="Arial"/>
          <w:szCs w:val="20"/>
        </w:rPr>
        <w:t>ESMA</w:t>
      </w:r>
      <w:proofErr w:type="spellEnd"/>
      <w:r w:rsidR="004941D4">
        <w:rPr>
          <w:rFonts w:cs="Arial"/>
          <w:szCs w:val="20"/>
        </w:rPr>
        <w:t>-nak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w:t>
      </w:r>
      <w:proofErr w:type="spellStart"/>
      <w:r w:rsidR="00BF7F32" w:rsidRPr="00852339">
        <w:rPr>
          <w:rFonts w:cs="Arial"/>
          <w:szCs w:val="20"/>
        </w:rPr>
        <w:t>Im</w:t>
      </w:r>
      <w:proofErr w:type="spellEnd"/>
      <w:r w:rsidR="00BF7F32" w:rsidRPr="00852339">
        <w:rPr>
          <w:rFonts w:cs="Arial"/>
          <w:szCs w:val="20"/>
        </w:rPr>
        <w:t xml:space="preserve"> = </w:t>
      </w:r>
      <w:r w:rsidR="00315B7B">
        <w:rPr>
          <w:rFonts w:cs="Arial"/>
          <w:szCs w:val="20"/>
        </w:rPr>
        <w:t>(</w:t>
      </w:r>
      <w:r w:rsidR="00BF7F32" w:rsidRPr="00852339">
        <w:rPr>
          <w:rFonts w:cs="Arial"/>
          <w:szCs w:val="20"/>
        </w:rPr>
        <w:t xml:space="preserve">b) (i), </w:t>
      </w:r>
      <w:proofErr w:type="spellStart"/>
      <w:r w:rsidR="00BF7F32" w:rsidRPr="00852339">
        <w:rPr>
          <w:rFonts w:cs="Arial"/>
          <w:szCs w:val="20"/>
        </w:rPr>
        <w:t>Ag</w:t>
      </w:r>
      <w:proofErr w:type="spellEnd"/>
      <w:r w:rsidR="00BF7F32" w:rsidRPr="00852339">
        <w:rPr>
          <w:rFonts w:cs="Arial"/>
          <w:szCs w:val="20"/>
        </w:rPr>
        <w:t xml:space="preserve">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 xml:space="preserve">az </w:t>
      </w:r>
      <w:proofErr w:type="spellStart"/>
      <w:r w:rsidRPr="00043D42">
        <w:rPr>
          <w:rFonts w:eastAsia="Times New Roman" w:cs="Arial"/>
          <w:szCs w:val="20"/>
        </w:rPr>
        <w:t>ESMA</w:t>
      </w:r>
      <w:proofErr w:type="spellEnd"/>
      <w:r w:rsidRPr="00043D42">
        <w:rPr>
          <w:rFonts w:eastAsia="Times New Roman" w:cs="Arial"/>
          <w:szCs w:val="20"/>
        </w:rPr>
        <w:t xml:space="preserve"> </w:t>
      </w:r>
      <w:proofErr w:type="spellStart"/>
      <w:r w:rsidRPr="00043D42">
        <w:rPr>
          <w:rFonts w:eastAsia="Times New Roman" w:cs="Arial"/>
          <w:szCs w:val="20"/>
        </w:rPr>
        <w:t>FIRDS</w:t>
      </w:r>
      <w:proofErr w:type="spellEnd"/>
      <w:r w:rsidRPr="00043D42">
        <w:rPr>
          <w:rFonts w:eastAsia="Times New Roman" w:cs="Arial"/>
          <w:szCs w:val="20"/>
        </w:rPr>
        <w:t xml:space="preserve"> regiszterben szereplő azonosító</w:t>
      </w:r>
      <w:r>
        <w:rPr>
          <w:rFonts w:eastAsia="Times New Roman" w:cs="Arial"/>
          <w:szCs w:val="20"/>
        </w:rPr>
        <w:t>. Ha</w:t>
      </w:r>
      <w:r w:rsidRPr="00043D42">
        <w:rPr>
          <w:rFonts w:eastAsia="Times New Roman" w:cs="Arial"/>
          <w:szCs w:val="20"/>
        </w:rPr>
        <w:t xml:space="preserve"> a mögöttes terméknek nincs azonosítója az </w:t>
      </w:r>
      <w:proofErr w:type="spellStart"/>
      <w:r w:rsidRPr="00043D42">
        <w:rPr>
          <w:rFonts w:eastAsia="Times New Roman" w:cs="Arial"/>
          <w:szCs w:val="20"/>
        </w:rPr>
        <w:t>ESMA</w:t>
      </w:r>
      <w:proofErr w:type="spellEnd"/>
      <w:r w:rsidRPr="00043D42">
        <w:rPr>
          <w:rFonts w:eastAsia="Times New Roman" w:cs="Arial"/>
          <w:szCs w:val="20"/>
        </w:rPr>
        <w:t xml:space="preserve"> </w:t>
      </w:r>
      <w:proofErr w:type="spellStart"/>
      <w:r w:rsidRPr="00043D42">
        <w:rPr>
          <w:rFonts w:eastAsia="Times New Roman" w:cs="Arial"/>
          <w:szCs w:val="20"/>
        </w:rPr>
        <w:t>FIRDS</w:t>
      </w:r>
      <w:proofErr w:type="spellEnd"/>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550CDB4" w:rsidR="005F2881" w:rsidRPr="00F52330" w:rsidRDefault="00043D42" w:rsidP="00075B00">
      <w:pPr>
        <w:rPr>
          <w:rFonts w:cs="Arial"/>
          <w:bCs/>
          <w:szCs w:val="20"/>
        </w:rPr>
      </w:pPr>
      <w:bookmarkStart w:id="36"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5F2881" w:rsidRPr="00D72831">
        <w:rPr>
          <w:rFonts w:cs="Arial"/>
          <w:b/>
          <w:szCs w:val="20"/>
        </w:rPr>
        <w:t xml:space="preserve"> </w:t>
      </w:r>
      <w:bookmarkEnd w:id="36"/>
      <w:r w:rsidR="002F62ED" w:rsidRPr="00F52330">
        <w:rPr>
          <w:rFonts w:cs="Arial"/>
          <w:bCs/>
          <w:szCs w:val="20"/>
        </w:rPr>
        <w:t xml:space="preserve">kizárólag a következő megnevezések használhatók: bináris opció, </w:t>
      </w:r>
      <w:proofErr w:type="spellStart"/>
      <w:r w:rsidR="00F52330" w:rsidRPr="00D72831">
        <w:rPr>
          <w:rFonts w:cs="Arial"/>
          <w:bCs/>
          <w:szCs w:val="20"/>
        </w:rPr>
        <w:t>OTC</w:t>
      </w:r>
      <w:proofErr w:type="spellEnd"/>
      <w:r w:rsidR="00F52330" w:rsidRPr="00D72831">
        <w:rPr>
          <w:rFonts w:cs="Arial"/>
          <w:bCs/>
          <w:szCs w:val="20"/>
        </w:rPr>
        <w:t xml:space="preserve"> </w:t>
      </w:r>
      <w:proofErr w:type="spellStart"/>
      <w:r w:rsidR="002F62ED" w:rsidRPr="00F52330">
        <w:rPr>
          <w:rFonts w:cs="Arial"/>
          <w:bCs/>
          <w:szCs w:val="20"/>
        </w:rPr>
        <w:t>call</w:t>
      </w:r>
      <w:proofErr w:type="spellEnd"/>
      <w:r w:rsidR="002F62ED" w:rsidRPr="00F52330">
        <w:rPr>
          <w:rFonts w:cs="Arial"/>
          <w:bCs/>
          <w:szCs w:val="20"/>
        </w:rPr>
        <w:t xml:space="preserve"> (nem bináris) opció, </w:t>
      </w:r>
      <w:proofErr w:type="spellStart"/>
      <w:r w:rsidR="00F52330" w:rsidRPr="00D72831">
        <w:rPr>
          <w:rFonts w:cs="Arial"/>
          <w:bCs/>
          <w:szCs w:val="20"/>
        </w:rPr>
        <w:t>OTC</w:t>
      </w:r>
      <w:proofErr w:type="spellEnd"/>
      <w:r w:rsidR="00F52330" w:rsidRPr="00D72831">
        <w:rPr>
          <w:rFonts w:cs="Arial"/>
          <w:bCs/>
          <w:szCs w:val="20"/>
        </w:rPr>
        <w:t xml:space="preserve"> </w:t>
      </w:r>
      <w:proofErr w:type="spellStart"/>
      <w:r w:rsidR="002F62ED" w:rsidRPr="00F52330">
        <w:rPr>
          <w:rFonts w:cs="Arial"/>
          <w:bCs/>
          <w:szCs w:val="20"/>
        </w:rPr>
        <w:t>put</w:t>
      </w:r>
      <w:proofErr w:type="spellEnd"/>
      <w:r w:rsidR="002F62ED" w:rsidRPr="00F52330">
        <w:rPr>
          <w:rFonts w:cs="Arial"/>
          <w:bCs/>
          <w:szCs w:val="20"/>
        </w:rPr>
        <w:t xml:space="preserve"> (nem bináris) opció, </w:t>
      </w:r>
      <w:proofErr w:type="spellStart"/>
      <w:r w:rsidR="00111310" w:rsidRPr="00F52330">
        <w:rPr>
          <w:rFonts w:cs="Arial"/>
          <w:bCs/>
          <w:szCs w:val="20"/>
        </w:rPr>
        <w:t>OTC</w:t>
      </w:r>
      <w:proofErr w:type="spellEnd"/>
      <w:r w:rsidR="00111310" w:rsidRPr="00F52330">
        <w:rPr>
          <w:rFonts w:cs="Arial"/>
          <w:bCs/>
          <w:szCs w:val="20"/>
        </w:rPr>
        <w:t xml:space="preserve"> </w:t>
      </w:r>
      <w:r w:rsidR="002F62ED" w:rsidRPr="00F52330">
        <w:rPr>
          <w:rFonts w:cs="Arial"/>
          <w:bCs/>
          <w:szCs w:val="20"/>
        </w:rPr>
        <w:t xml:space="preserve">határidős ügylet, </w:t>
      </w:r>
      <w:r w:rsidR="00111310" w:rsidRPr="00F52330">
        <w:rPr>
          <w:rFonts w:cs="Arial"/>
          <w:bCs/>
          <w:szCs w:val="20"/>
        </w:rPr>
        <w:t xml:space="preserve">tőzsdei </w:t>
      </w:r>
      <w:r w:rsidR="00111310" w:rsidRPr="00F52330">
        <w:rPr>
          <w:rFonts w:ascii="Calibri" w:hAnsi="Calibri"/>
          <w:color w:val="000000"/>
          <w:sz w:val="22"/>
        </w:rPr>
        <w:t>határidős ügylet, tőzsdei opciós ügylet,</w:t>
      </w:r>
      <w:r w:rsidR="00111310" w:rsidRPr="00F52330">
        <w:rPr>
          <w:rFonts w:cs="Arial"/>
          <w:bCs/>
          <w:szCs w:val="20"/>
        </w:rPr>
        <w:t xml:space="preserve"> </w:t>
      </w:r>
      <w:r w:rsidR="002F62ED" w:rsidRPr="00F52330">
        <w:rPr>
          <w:rFonts w:cs="Arial"/>
          <w:bCs/>
          <w:szCs w:val="20"/>
        </w:rPr>
        <w:t>csereügylet (</w:t>
      </w:r>
      <w:proofErr w:type="spellStart"/>
      <w:r w:rsidR="002F62ED" w:rsidRPr="00F52330">
        <w:rPr>
          <w:rFonts w:cs="Arial"/>
          <w:bCs/>
          <w:szCs w:val="20"/>
        </w:rPr>
        <w:t>swap</w:t>
      </w:r>
      <w:proofErr w:type="spellEnd"/>
      <w:r w:rsidR="002F62ED" w:rsidRPr="00F52330">
        <w:rPr>
          <w:rFonts w:cs="Arial"/>
          <w:bCs/>
          <w:szCs w:val="20"/>
        </w:rPr>
        <w:t>), különbözetre vonatkozó pénzügyi megállapodás (</w:t>
      </w:r>
      <w:proofErr w:type="spellStart"/>
      <w:r w:rsidR="002F62ED" w:rsidRPr="00F52330">
        <w:rPr>
          <w:rFonts w:cs="Arial"/>
          <w:bCs/>
          <w:szCs w:val="20"/>
        </w:rPr>
        <w:t>CFD</w:t>
      </w:r>
      <w:proofErr w:type="spellEnd"/>
      <w:r w:rsidR="002F62ED" w:rsidRPr="00F52330">
        <w:rPr>
          <w:rFonts w:cs="Arial"/>
          <w:bCs/>
          <w:szCs w:val="20"/>
        </w:rPr>
        <w:t xml:space="preserve">), </w:t>
      </w:r>
      <w:r w:rsidR="00111310" w:rsidRPr="00F52330">
        <w:rPr>
          <w:rFonts w:cs="Arial"/>
          <w:bCs/>
          <w:szCs w:val="20"/>
        </w:rPr>
        <w:t xml:space="preserve">egyéb származtatott ügylet, </w:t>
      </w:r>
      <w:proofErr w:type="spellStart"/>
      <w:r w:rsidR="002F62ED" w:rsidRPr="00F52330">
        <w:rPr>
          <w:rFonts w:cs="Arial"/>
          <w:bCs/>
          <w:szCs w:val="20"/>
        </w:rPr>
        <w:t>rolling</w:t>
      </w:r>
      <w:proofErr w:type="spellEnd"/>
      <w:r w:rsidR="002F62ED" w:rsidRPr="00F52330">
        <w:rPr>
          <w:rFonts w:cs="Arial"/>
          <w:bCs/>
          <w:szCs w:val="20"/>
        </w:rPr>
        <w:t xml:space="preserve"> spot</w:t>
      </w:r>
      <w:r w:rsidR="00E443A8" w:rsidRPr="00D72831">
        <w:rPr>
          <w:rFonts w:cs="Arial"/>
          <w:bCs/>
          <w:szCs w:val="20"/>
        </w:rPr>
        <w:t xml:space="preserve">, </w:t>
      </w:r>
      <w:r w:rsidR="00111310" w:rsidRPr="00D72831">
        <w:rPr>
          <w:rFonts w:cs="Arial"/>
          <w:bCs/>
          <w:szCs w:val="20"/>
        </w:rPr>
        <w:t xml:space="preserve">befektetési hitel, </w:t>
      </w:r>
      <w:proofErr w:type="spellStart"/>
      <w:r w:rsidR="00111310" w:rsidRPr="00D72831">
        <w:rPr>
          <w:rFonts w:cs="Arial"/>
          <w:bCs/>
          <w:szCs w:val="20"/>
        </w:rPr>
        <w:t>short</w:t>
      </w:r>
      <w:proofErr w:type="spellEnd"/>
      <w:r w:rsidR="00111310" w:rsidRPr="00D72831">
        <w:rPr>
          <w:rFonts w:cs="Arial"/>
          <w:bCs/>
          <w:szCs w:val="20"/>
        </w:rPr>
        <w:t xml:space="preserve"> ügylet, halasztott pénzügyi teljesítés.</w:t>
      </w:r>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w:t>
      </w:r>
      <w:proofErr w:type="spellStart"/>
      <w:r w:rsidRPr="00F52330">
        <w:rPr>
          <w:rFonts w:eastAsia="Times New Roman" w:cs="Arial"/>
          <w:szCs w:val="20"/>
        </w:rPr>
        <w:t>Bszt</w:t>
      </w:r>
      <w:proofErr w:type="spellEnd"/>
      <w:r w:rsidRPr="00F52330">
        <w:rPr>
          <w:rFonts w:eastAsia="Times New Roman" w:cs="Arial"/>
          <w:szCs w:val="20"/>
        </w:rPr>
        <w:t xml:space="preserve">. 6. §-ában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77777777" w:rsidR="00141097" w:rsidRPr="00F52330" w:rsidRDefault="00141097" w:rsidP="00141097">
      <w:pPr>
        <w:rPr>
          <w:rFonts w:eastAsia="Times New Roman" w:cs="Arial"/>
          <w:szCs w:val="20"/>
        </w:rPr>
      </w:pPr>
      <w:r w:rsidRPr="00F52330">
        <w:rPr>
          <w:rFonts w:eastAsia="Times New Roman" w:cs="Arial"/>
          <w:szCs w:val="20"/>
        </w:rPr>
        <w:t xml:space="preserve">A befektetési hitel, </w:t>
      </w:r>
      <w:proofErr w:type="spellStart"/>
      <w:r w:rsidRPr="00F52330">
        <w:rPr>
          <w:rFonts w:eastAsia="Times New Roman" w:cs="Arial"/>
          <w:szCs w:val="20"/>
        </w:rPr>
        <w:t>short</w:t>
      </w:r>
      <w:proofErr w:type="spellEnd"/>
      <w:r w:rsidRPr="00F52330">
        <w:rPr>
          <w:rFonts w:eastAsia="Times New Roman" w:cs="Arial"/>
          <w:szCs w:val="20"/>
        </w:rPr>
        <w:t xml:space="preserve">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proofErr w:type="spellStart"/>
      <w:r w:rsidR="00F52330" w:rsidRPr="00D72831">
        <w:rPr>
          <w:rFonts w:eastAsia="Times New Roman" w:cs="Arial"/>
          <w:i/>
          <w:iCs/>
          <w:szCs w:val="20"/>
        </w:rPr>
        <w:t>OTC</w:t>
      </w:r>
      <w:proofErr w:type="spellEnd"/>
      <w:r w:rsidR="00F52330" w:rsidRPr="00D72831">
        <w:rPr>
          <w:rFonts w:eastAsia="Times New Roman" w:cs="Arial"/>
          <w:i/>
          <w:iCs/>
          <w:szCs w:val="20"/>
        </w:rPr>
        <w:t xml:space="preserve"> </w:t>
      </w:r>
      <w:proofErr w:type="spellStart"/>
      <w:r w:rsidRPr="00F52330">
        <w:rPr>
          <w:rFonts w:eastAsia="Times New Roman" w:cs="Arial"/>
          <w:i/>
          <w:iCs/>
          <w:szCs w:val="20"/>
        </w:rPr>
        <w:t>call</w:t>
      </w:r>
      <w:proofErr w:type="spellEnd"/>
      <w:r w:rsidRPr="00F52330">
        <w:rPr>
          <w:rFonts w:eastAsia="Times New Roman" w:cs="Arial"/>
          <w:i/>
          <w:iCs/>
          <w:szCs w:val="20"/>
        </w:rPr>
        <w:t xml:space="preserve"> (nem bináris) opció, </w:t>
      </w:r>
      <w:proofErr w:type="spellStart"/>
      <w:r w:rsidR="00F52330" w:rsidRPr="00D72831">
        <w:rPr>
          <w:rFonts w:eastAsia="Times New Roman" w:cs="Arial"/>
          <w:i/>
          <w:iCs/>
          <w:szCs w:val="20"/>
        </w:rPr>
        <w:t>OTC</w:t>
      </w:r>
      <w:proofErr w:type="spellEnd"/>
      <w:r w:rsidR="00F52330" w:rsidRPr="00D72831">
        <w:rPr>
          <w:rFonts w:eastAsia="Times New Roman" w:cs="Arial"/>
          <w:i/>
          <w:iCs/>
          <w:szCs w:val="20"/>
        </w:rPr>
        <w:t xml:space="preserve"> </w:t>
      </w:r>
      <w:proofErr w:type="spellStart"/>
      <w:r w:rsidRPr="00F52330">
        <w:rPr>
          <w:rFonts w:eastAsia="Times New Roman" w:cs="Arial"/>
          <w:i/>
          <w:iCs/>
          <w:szCs w:val="20"/>
        </w:rPr>
        <w:t>put</w:t>
      </w:r>
      <w:proofErr w:type="spellEnd"/>
      <w:r w:rsidRPr="00F52330">
        <w:rPr>
          <w:rFonts w:eastAsia="Times New Roman" w:cs="Arial"/>
          <w:i/>
          <w:iCs/>
          <w:szCs w:val="20"/>
        </w:rPr>
        <w:t xml:space="preserve"> (nem bináris) opció, </w:t>
      </w:r>
      <w:proofErr w:type="spellStart"/>
      <w:r w:rsidRPr="00F52330">
        <w:rPr>
          <w:rFonts w:eastAsia="Times New Roman" w:cs="Arial"/>
          <w:i/>
          <w:iCs/>
          <w:szCs w:val="20"/>
        </w:rPr>
        <w:t>OTC</w:t>
      </w:r>
      <w:proofErr w:type="spellEnd"/>
      <w:r w:rsidRPr="00F52330">
        <w:rPr>
          <w:rFonts w:eastAsia="Times New Roman" w:cs="Arial"/>
          <w:i/>
          <w:iCs/>
          <w:szCs w:val="20"/>
        </w:rPr>
        <w:t xml:space="preserve"> határidős ügylet, tőzsdei határidős ügylet, tőzsdei opciós </w:t>
      </w:r>
      <w:r w:rsidRPr="00F52330">
        <w:rPr>
          <w:rFonts w:eastAsia="Times New Roman" w:cs="Arial"/>
          <w:i/>
          <w:iCs/>
          <w:szCs w:val="20"/>
        </w:rPr>
        <w:lastRenderedPageBreak/>
        <w:t>ügylet, csereügylet (</w:t>
      </w:r>
      <w:proofErr w:type="spellStart"/>
      <w:r w:rsidRPr="00F52330">
        <w:rPr>
          <w:rFonts w:eastAsia="Times New Roman" w:cs="Arial"/>
          <w:i/>
          <w:iCs/>
          <w:szCs w:val="20"/>
        </w:rPr>
        <w:t>swap</w:t>
      </w:r>
      <w:proofErr w:type="spellEnd"/>
      <w:r w:rsidRPr="00F52330">
        <w:rPr>
          <w:rFonts w:eastAsia="Times New Roman" w:cs="Arial"/>
          <w:i/>
          <w:iCs/>
          <w:szCs w:val="20"/>
        </w:rPr>
        <w:t>), különbözetre vonatkozó pénzügyi megállapodás (</w:t>
      </w:r>
      <w:proofErr w:type="spellStart"/>
      <w:r w:rsidRPr="00F52330">
        <w:rPr>
          <w:rFonts w:eastAsia="Times New Roman" w:cs="Arial"/>
          <w:i/>
          <w:iCs/>
          <w:szCs w:val="20"/>
        </w:rPr>
        <w:t>CFD</w:t>
      </w:r>
      <w:proofErr w:type="spellEnd"/>
      <w:r w:rsidRPr="00F52330">
        <w:rPr>
          <w:rFonts w:eastAsia="Times New Roman" w:cs="Arial"/>
          <w:i/>
          <w:iCs/>
          <w:szCs w:val="20"/>
        </w:rPr>
        <w:t xml:space="preserve">), egyéb származtatott ügylet, </w:t>
      </w:r>
      <w:proofErr w:type="spellStart"/>
      <w:r w:rsidRPr="00F52330">
        <w:rPr>
          <w:rFonts w:eastAsia="Times New Roman" w:cs="Arial"/>
          <w:i/>
          <w:iCs/>
          <w:szCs w:val="20"/>
        </w:rPr>
        <w:t>rolling</w:t>
      </w:r>
      <w:proofErr w:type="spellEnd"/>
      <w:r w:rsidRPr="00F52330">
        <w:rPr>
          <w:rFonts w:eastAsia="Times New Roman" w:cs="Arial"/>
          <w:i/>
          <w:iCs/>
          <w:szCs w:val="20"/>
        </w:rPr>
        <w:t xml:space="preserve">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w:t>
      </w:r>
      <w:proofErr w:type="spellStart"/>
      <w:r w:rsidR="005D1506" w:rsidRPr="005A47CF">
        <w:rPr>
          <w:rFonts w:cs="Arial"/>
          <w:szCs w:val="20"/>
        </w:rPr>
        <w:t>éééé.</w:t>
      </w:r>
      <w:proofErr w:type="gramStart"/>
      <w:r w:rsidR="005D1506" w:rsidRPr="005A47CF">
        <w:rPr>
          <w:rFonts w:cs="Arial"/>
          <w:szCs w:val="20"/>
        </w:rPr>
        <w:t>hh.nn</w:t>
      </w:r>
      <w:proofErr w:type="spellEnd"/>
      <w:proofErr w:type="gramEnd"/>
      <w:r w:rsidR="005D1506" w:rsidRPr="005A47CF">
        <w:rPr>
          <w:rFonts w:cs="Arial"/>
          <w:szCs w:val="20"/>
        </w:rPr>
        <w:t>”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w:t>
      </w:r>
      <w:proofErr w:type="spellStart"/>
      <w:r w:rsidR="005D1506" w:rsidRPr="005A47CF">
        <w:rPr>
          <w:rFonts w:cs="Arial"/>
          <w:szCs w:val="20"/>
        </w:rPr>
        <w:t>éééé.</w:t>
      </w:r>
      <w:proofErr w:type="gramStart"/>
      <w:r w:rsidR="005D1506" w:rsidRPr="005A47CF">
        <w:rPr>
          <w:rFonts w:cs="Arial"/>
          <w:szCs w:val="20"/>
        </w:rPr>
        <w:t>hh.nn</w:t>
      </w:r>
      <w:proofErr w:type="spellEnd"/>
      <w:proofErr w:type="gramEnd"/>
      <w:r w:rsidR="005D1506" w:rsidRPr="005A47CF">
        <w:rPr>
          <w:rFonts w:cs="Arial"/>
          <w:szCs w:val="20"/>
        </w:rPr>
        <w:t>”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 xml:space="preserve">a pozíció </w:t>
      </w:r>
      <w:proofErr w:type="gramStart"/>
      <w:r w:rsidR="00194540" w:rsidRPr="005A47CF">
        <w:rPr>
          <w:rFonts w:cs="Arial"/>
          <w:szCs w:val="20"/>
        </w:rPr>
        <w:t>nyitva tartásához</w:t>
      </w:r>
      <w:proofErr w:type="gramEnd"/>
      <w:r w:rsidR="00194540" w:rsidRPr="005A47CF">
        <w:rPr>
          <w:rFonts w:cs="Arial"/>
          <w:szCs w:val="20"/>
        </w:rPr>
        <w:t xml:space="preserve">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 xml:space="preserve">A tábla adatait ügyfelenként, és azon belül </w:t>
      </w:r>
      <w:proofErr w:type="spellStart"/>
      <w:r w:rsidRPr="005A47CF">
        <w:rPr>
          <w:rFonts w:cs="Arial"/>
          <w:szCs w:val="20"/>
        </w:rPr>
        <w:t>pozíciónként</w:t>
      </w:r>
      <w:proofErr w:type="spellEnd"/>
      <w:r w:rsidRPr="005A47CF">
        <w:rPr>
          <w:rFonts w:cs="Arial"/>
          <w:szCs w:val="20"/>
        </w:rPr>
        <w:t xml:space="preserve"> kell megadni. A pozíciók egymással szemben nem </w:t>
      </w:r>
      <w:proofErr w:type="spellStart"/>
      <w:r w:rsidRPr="005A47CF">
        <w:rPr>
          <w:rFonts w:cs="Arial"/>
          <w:szCs w:val="20"/>
        </w:rPr>
        <w:t>nettósíthatók</w:t>
      </w:r>
      <w:proofErr w:type="spellEnd"/>
      <w:r w:rsidRPr="005A47CF">
        <w:rPr>
          <w:rFonts w:cs="Arial"/>
          <w:szCs w:val="20"/>
        </w:rPr>
        <w:t>.</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038A7F6" w:rsidR="002F6D75" w:rsidRPr="005A47CF" w:rsidRDefault="002F6D75" w:rsidP="00DF3A0F">
      <w:pPr>
        <w:tabs>
          <w:tab w:val="left" w:pos="637"/>
        </w:tabs>
        <w:spacing w:before="60" w:after="60"/>
        <w:rPr>
          <w:rFonts w:cs="Arial"/>
          <w:szCs w:val="20"/>
        </w:rPr>
      </w:pPr>
      <w:r w:rsidRPr="005A47CF">
        <w:rPr>
          <w:rFonts w:cs="Arial"/>
          <w:b/>
          <w:szCs w:val="20"/>
        </w:rPr>
        <w:t>1-</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w:t>
      </w:r>
      <w:proofErr w:type="spellStart"/>
      <w:r w:rsidR="002F6D75" w:rsidRPr="005A47CF">
        <w:rPr>
          <w:rFonts w:cs="Arial"/>
          <w:szCs w:val="20"/>
        </w:rPr>
        <w:t>éééé.</w:t>
      </w:r>
      <w:proofErr w:type="gramStart"/>
      <w:r w:rsidR="002F6D75" w:rsidRPr="005A47CF">
        <w:rPr>
          <w:rFonts w:cs="Arial"/>
          <w:szCs w:val="20"/>
        </w:rPr>
        <w:t>hh.nn</w:t>
      </w:r>
      <w:proofErr w:type="spellEnd"/>
      <w:proofErr w:type="gramEnd"/>
      <w:r w:rsidR="002F6D75" w:rsidRPr="005A47CF">
        <w:rPr>
          <w:rFonts w:cs="Arial"/>
          <w:szCs w:val="20"/>
        </w:rPr>
        <w:t>”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6855F115" w14:textId="669A45F1" w:rsidR="00826578" w:rsidRDefault="00826578" w:rsidP="007660A3">
      <w:pPr>
        <w:spacing w:before="120"/>
        <w:rPr>
          <w:rFonts w:cs="Arial"/>
          <w:b/>
          <w:szCs w:val="20"/>
        </w:rPr>
      </w:pP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E666C9">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6. §-ában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w:t>
      </w:r>
      <w:proofErr w:type="spellStart"/>
      <w:r w:rsidR="0009164B" w:rsidRPr="005A47CF">
        <w:rPr>
          <w:rFonts w:cs="Arial"/>
          <w:szCs w:val="20"/>
        </w:rPr>
        <w:t>Bszt</w:t>
      </w:r>
      <w:proofErr w:type="spellEnd"/>
      <w:r w:rsidR="0009164B" w:rsidRPr="005A47CF">
        <w:rPr>
          <w:rFonts w:cs="Arial"/>
          <w:szCs w:val="20"/>
        </w:rPr>
        <w:t xml:space="preserve">.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w:t>
      </w:r>
      <w:proofErr w:type="spellStart"/>
      <w:r w:rsidR="0009164B" w:rsidRPr="005A47CF">
        <w:rPr>
          <w:rFonts w:cs="Arial"/>
          <w:szCs w:val="20"/>
        </w:rPr>
        <w:t>Bszt</w:t>
      </w:r>
      <w:proofErr w:type="spellEnd"/>
      <w:r w:rsidR="0009164B" w:rsidRPr="005A47CF">
        <w:rPr>
          <w:rFonts w:cs="Arial"/>
          <w:szCs w:val="20"/>
        </w:rPr>
        <w: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A táblában a tőzsdén és a multilaterális kereskedési rendszeren (</w:t>
      </w:r>
      <w:proofErr w:type="spellStart"/>
      <w:r w:rsidRPr="005A47CF">
        <w:rPr>
          <w:rFonts w:cs="Arial"/>
          <w:color w:val="000000"/>
          <w:szCs w:val="20"/>
        </w:rPr>
        <w:t>MTF</w:t>
      </w:r>
      <w:proofErr w:type="spellEnd"/>
      <w:r w:rsidRPr="005A47CF">
        <w:rPr>
          <w:rFonts w:cs="Arial"/>
          <w:color w:val="000000"/>
          <w:szCs w:val="20"/>
        </w:rPr>
        <w:t xml:space="preserve">-en)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lastRenderedPageBreak/>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w:t>
      </w:r>
      <w:proofErr w:type="spellStart"/>
      <w:r w:rsidRPr="005A47CF">
        <w:rPr>
          <w:rFonts w:cs="Arial"/>
          <w:szCs w:val="20"/>
        </w:rPr>
        <w:t>alklíringtagként</w:t>
      </w:r>
      <w:proofErr w:type="spellEnd"/>
      <w:r w:rsidRPr="005A47CF">
        <w:rPr>
          <w:rFonts w:cs="Arial"/>
          <w:szCs w:val="20"/>
        </w:rPr>
        <w:t xml:space="preserve">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w:t>
      </w:r>
      <w:r w:rsidR="00B102B8">
        <w:rPr>
          <w:rFonts w:cs="Arial"/>
          <w:szCs w:val="20"/>
        </w:rPr>
        <w:t>,</w:t>
      </w:r>
      <w:r w:rsidRPr="00364665">
        <w:rPr>
          <w:rFonts w:cs="Arial"/>
          <w:szCs w:val="20"/>
        </w:rPr>
        <w:t xml:space="preserve"> GDR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proofErr w:type="spellStart"/>
      <w:r w:rsidR="00B102B8" w:rsidRPr="008D0AD0">
        <w:rPr>
          <w:rFonts w:cs="Arial"/>
          <w:b/>
          <w:bCs/>
          <w:szCs w:val="20"/>
        </w:rPr>
        <w:t>MTF</w:t>
      </w:r>
      <w:proofErr w:type="spellEnd"/>
      <w:r w:rsidR="00B102B8" w:rsidRPr="008D0AD0">
        <w:rPr>
          <w:rFonts w:cs="Arial"/>
          <w:b/>
          <w:bCs/>
          <w:szCs w:val="20"/>
        </w:rPr>
        <w:t>-en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proofErr w:type="spellStart"/>
      <w:r w:rsidR="00A33B19">
        <w:rPr>
          <w:rFonts w:cs="Arial"/>
          <w:szCs w:val="20"/>
        </w:rPr>
        <w:t>MTF</w:t>
      </w:r>
      <w:proofErr w:type="spellEnd"/>
      <w:r w:rsidR="00A33B19">
        <w:rPr>
          <w:rFonts w:cs="Arial"/>
          <w:szCs w:val="20"/>
        </w:rPr>
        <w:t xml:space="preserve">-en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proofErr w:type="spellStart"/>
      <w:r>
        <w:rPr>
          <w:rFonts w:cs="Arial"/>
          <w:szCs w:val="20"/>
        </w:rPr>
        <w:t>BETa</w:t>
      </w:r>
      <w:proofErr w:type="spellEnd"/>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w:t>
      </w:r>
      <w:r>
        <w:rPr>
          <w:rFonts w:cs="Arial"/>
          <w:szCs w:val="20"/>
        </w:rPr>
        <w:t>,</w:t>
      </w:r>
      <w:r w:rsidRPr="00364665">
        <w:rPr>
          <w:rFonts w:cs="Arial"/>
          <w:szCs w:val="20"/>
        </w:rPr>
        <w:t xml:space="preserve"> GDR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proofErr w:type="spellStart"/>
      <w:r w:rsidR="00183F71" w:rsidRPr="008D0AD0">
        <w:rPr>
          <w:rFonts w:cs="Arial"/>
          <w:b/>
          <w:bCs/>
          <w:szCs w:val="20"/>
        </w:rPr>
        <w:t>MTF</w:t>
      </w:r>
      <w:proofErr w:type="spellEnd"/>
      <w:r w:rsidR="00183F71" w:rsidRPr="008D0AD0">
        <w:rPr>
          <w:rFonts w:cs="Arial"/>
          <w:b/>
          <w:bCs/>
          <w:szCs w:val="20"/>
        </w:rPr>
        <w:t>-en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w:t>
      </w:r>
      <w:proofErr w:type="spellStart"/>
      <w:r w:rsidR="00183F71">
        <w:rPr>
          <w:rFonts w:cs="Arial"/>
          <w:szCs w:val="20"/>
        </w:rPr>
        <w:t>MTF</w:t>
      </w:r>
      <w:proofErr w:type="spellEnd"/>
      <w:r w:rsidR="00183F71">
        <w:rPr>
          <w:rFonts w:cs="Arial"/>
          <w:szCs w:val="20"/>
        </w:rPr>
        <w:t xml:space="preserve">-en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w:t>
      </w:r>
      <w:proofErr w:type="spellStart"/>
      <w:r>
        <w:rPr>
          <w:rFonts w:cs="Arial"/>
          <w:szCs w:val="20"/>
        </w:rPr>
        <w:t>BETa</w:t>
      </w:r>
      <w:proofErr w:type="spellEnd"/>
      <w:r>
        <w:rPr>
          <w:rFonts w:cs="Arial"/>
          <w:szCs w:val="20"/>
        </w:rPr>
        <w:t xml:space="preserve"> piaco</w:t>
      </w:r>
      <w:r w:rsidR="00183F71">
        <w:rPr>
          <w:rFonts w:cs="Arial"/>
          <w:szCs w:val="20"/>
        </w:rPr>
        <w:t>n lebonyolított ügyleteket is</w:t>
      </w:r>
      <w:r>
        <w:rPr>
          <w:rFonts w:cs="Arial"/>
          <w:szCs w:val="20"/>
        </w:rPr>
        <w:t>.</w:t>
      </w:r>
    </w:p>
    <w:p w14:paraId="67FAB716" w14:textId="443F3FEB" w:rsidR="00FF1F8A" w:rsidRDefault="00D27CA0" w:rsidP="008D0AD0">
      <w:pPr>
        <w:spacing w:before="60" w:after="60"/>
        <w:rPr>
          <w:rFonts w:cs="Arial"/>
          <w:szCs w:val="20"/>
        </w:rPr>
      </w:pPr>
      <w:r>
        <w:rPr>
          <w:rFonts w:cs="Arial"/>
          <w:b/>
          <w:bCs/>
          <w:szCs w:val="20"/>
        </w:rPr>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w:t>
      </w:r>
      <w:proofErr w:type="spellStart"/>
      <w:r>
        <w:rPr>
          <w:rFonts w:cs="Arial"/>
          <w:szCs w:val="20"/>
        </w:rPr>
        <w:t>MTF</w:t>
      </w:r>
      <w:proofErr w:type="spellEnd"/>
      <w:r>
        <w:rPr>
          <w:rFonts w:cs="Arial"/>
          <w:szCs w:val="20"/>
        </w:rPr>
        <w:t xml:space="preserve">-en </w:t>
      </w:r>
      <w:r w:rsidR="00183F71">
        <w:rPr>
          <w:rFonts w:cs="Arial"/>
          <w:szCs w:val="20"/>
        </w:rPr>
        <w:t xml:space="preserve">(beleértve a </w:t>
      </w:r>
      <w:proofErr w:type="spellStart"/>
      <w:r w:rsidR="00183F71">
        <w:rPr>
          <w:rFonts w:cs="Arial"/>
          <w:szCs w:val="20"/>
        </w:rPr>
        <w:t>BETa</w:t>
      </w:r>
      <w:proofErr w:type="spellEnd"/>
      <w:r w:rsidR="001114CF">
        <w:rPr>
          <w:rFonts w:cs="Arial"/>
          <w:szCs w:val="20"/>
        </w:rPr>
        <w:t xml:space="preserve"> piacot is)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1E87DA01" w14:textId="77777777" w:rsidR="00FF1F8A" w:rsidRPr="00AF0651" w:rsidRDefault="00FF1F8A" w:rsidP="00FF1F8A">
      <w:pPr>
        <w:ind w:left="993"/>
        <w:rPr>
          <w:rFonts w:cs="Arial"/>
          <w:szCs w:val="20"/>
        </w:rPr>
      </w:pPr>
    </w:p>
    <w:p w14:paraId="5BAA9EDB" w14:textId="3B9D19A4" w:rsidR="00D72831" w:rsidRDefault="00D72831" w:rsidP="00DF2357">
      <w:pPr>
        <w:rPr>
          <w:rFonts w:cs="Arial"/>
          <w:szCs w:val="20"/>
        </w:rPr>
      </w:pPr>
    </w:p>
    <w:p w14:paraId="7BA838ED" w14:textId="669CB54B" w:rsidR="00645A9E" w:rsidRPr="005A47CF" w:rsidRDefault="007A6111" w:rsidP="00E666C9">
      <w:pPr>
        <w:pStyle w:val="Cmsor3"/>
      </w:pPr>
      <w:r w:rsidRPr="005A47CF">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lastRenderedPageBreak/>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77777777"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 a „szerződés függvényében” lehet saját számlás forgalom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 xml:space="preserve">forgalom (ha az ügyletről megbízási szerződés születik az intézmény és az ügyfele között, és az intézmény – mint </w:t>
      </w:r>
      <w:proofErr w:type="spellStart"/>
      <w:r w:rsidRPr="005A47CF">
        <w:rPr>
          <w:rFonts w:cs="Arial"/>
          <w:szCs w:val="20"/>
        </w:rPr>
        <w:t>internalizáló</w:t>
      </w:r>
      <w:proofErr w:type="spellEnd"/>
      <w:r w:rsidRPr="005A47CF">
        <w:rPr>
          <w:rFonts w:cs="Arial"/>
          <w:szCs w:val="20"/>
        </w:rPr>
        <w:t xml:space="preserve"> – saját számláról teljesíti a megbízást). </w:t>
      </w:r>
    </w:p>
    <w:p w14:paraId="1A848D39" w14:textId="77777777" w:rsidR="0044478B" w:rsidRPr="005A47CF" w:rsidRDefault="0044478B" w:rsidP="00FA70A4">
      <w:pPr>
        <w:rPr>
          <w:rFonts w:cs="Arial"/>
          <w:szCs w:val="20"/>
        </w:rPr>
      </w:pPr>
    </w:p>
    <w:p w14:paraId="6A2A70F6" w14:textId="77777777" w:rsidR="00FA70A4" w:rsidRPr="005A47CF" w:rsidRDefault="00E73C55" w:rsidP="00FA70A4">
      <w:pPr>
        <w:rPr>
          <w:rFonts w:cs="Arial"/>
          <w:szCs w:val="20"/>
        </w:rPr>
      </w:pPr>
      <w:r w:rsidRPr="005A47CF">
        <w:rPr>
          <w:rFonts w:cs="Arial"/>
          <w:szCs w:val="20"/>
        </w:rPr>
        <w:t>A táblában nem kell jelenteni a repót</w:t>
      </w:r>
      <w:r w:rsidR="0044478B" w:rsidRPr="005A47CF">
        <w:rPr>
          <w:rFonts w:cs="Arial"/>
          <w:szCs w:val="20"/>
        </w:rPr>
        <w:t xml:space="preserve"> és a kölcsönügyleteket sem</w:t>
      </w:r>
      <w:r w:rsidRPr="005A47CF">
        <w:rPr>
          <w:rFonts w:cs="Arial"/>
          <w:szCs w:val="20"/>
        </w:rPr>
        <w:t>.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 GDR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 xml:space="preserve">valamint a </w:t>
      </w:r>
      <w:proofErr w:type="spellStart"/>
      <w:r w:rsidR="00F46883" w:rsidRPr="009302D5">
        <w:rPr>
          <w:rFonts w:cs="Arial"/>
          <w:szCs w:val="20"/>
        </w:rPr>
        <w:t>Bszt</w:t>
      </w:r>
      <w:proofErr w:type="spellEnd"/>
      <w:r w:rsidR="00F46883" w:rsidRPr="009302D5">
        <w:rPr>
          <w:rFonts w:cs="Arial"/>
          <w:szCs w:val="20"/>
        </w:rPr>
        <w:t>. 6. § l) pontja szerinti kibocsátási egységekkel (</w:t>
      </w:r>
      <w:proofErr w:type="spellStart"/>
      <w:r w:rsidR="00F46883" w:rsidRPr="009302D5">
        <w:rPr>
          <w:rFonts w:cs="Arial"/>
          <w:szCs w:val="20"/>
        </w:rPr>
        <w:t>EUA</w:t>
      </w:r>
      <w:proofErr w:type="spellEnd"/>
      <w:r w:rsidR="00F46883" w:rsidRPr="009302D5">
        <w:rPr>
          <w:rFonts w:cs="Arial"/>
          <w:szCs w:val="20"/>
        </w:rPr>
        <w:t xml:space="preserve">, </w:t>
      </w:r>
      <w:proofErr w:type="spellStart"/>
      <w:r w:rsidR="00F46883" w:rsidRPr="009302D5">
        <w:rPr>
          <w:rFonts w:cs="Arial"/>
          <w:szCs w:val="20"/>
        </w:rPr>
        <w:t>EUAA</w:t>
      </w:r>
      <w:proofErr w:type="spellEnd"/>
      <w:r w:rsidR="00F46883" w:rsidRPr="009302D5">
        <w:rPr>
          <w:rFonts w:cs="Arial"/>
          <w:szCs w:val="20"/>
        </w:rPr>
        <w:t>)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 xml:space="preserve">a csereügyletek közül a kamat- és a </w:t>
      </w:r>
      <w:proofErr w:type="spellStart"/>
      <w:r>
        <w:rPr>
          <w:rFonts w:cs="Arial"/>
          <w:szCs w:val="20"/>
        </w:rPr>
        <w:t>currency-swapokat</w:t>
      </w:r>
      <w:proofErr w:type="spellEnd"/>
      <w:r>
        <w:rPr>
          <w:rFonts w:cs="Arial"/>
          <w:szCs w:val="20"/>
        </w:rPr>
        <w:t xml:space="preserve">.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 xml:space="preserve">tt kell jelenteni pl. a </w:t>
      </w:r>
      <w:proofErr w:type="spellStart"/>
      <w:r w:rsidR="008B316C" w:rsidRPr="005A47CF">
        <w:rPr>
          <w:rFonts w:cs="Arial"/>
          <w:szCs w:val="20"/>
        </w:rPr>
        <w:t>CFD</w:t>
      </w:r>
      <w:proofErr w:type="spellEnd"/>
      <w:r w:rsidR="008B316C" w:rsidRPr="005A47CF">
        <w:rPr>
          <w:rFonts w:cs="Arial"/>
          <w:szCs w:val="20"/>
        </w:rPr>
        <w:t>-ügyleteket.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E666C9">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alapján, továbbá a követelés késedelmi ideje a tíz napot meghaladja, de a harminc napot nem éri el, feltéve, hogy a fedezettel nem fedett várható veszteség meghaladja a tétel értékének 10%-át, de nem nagyobb 30%-nál.</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a jövőben veszteséget okoz, de a veszteség mértéke a 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70%-nál.</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lastRenderedPageBreak/>
        <w:t xml:space="preserve">a) az adós a törlesztési kötelezettségét rendszeresen nem teljesíti, annak többszöri felszólítás után sem tesz eleget, illetve a készlet piaci értéke annak könyv szerinti értékét nem fedezi vagy </w:t>
      </w:r>
      <w:proofErr w:type="spellStart"/>
      <w:r w:rsidRPr="005A47CF">
        <w:rPr>
          <w:rFonts w:cs="Arial"/>
          <w:iCs/>
          <w:szCs w:val="20"/>
          <w:lang w:eastAsia="hu-HU"/>
        </w:rPr>
        <w:t>eladhatatlansága</w:t>
      </w:r>
      <w:proofErr w:type="spellEnd"/>
      <w:r w:rsidRPr="005A47CF">
        <w:rPr>
          <w:rFonts w:cs="Arial"/>
          <w:iCs/>
          <w:szCs w:val="20"/>
          <w:lang w:eastAsia="hu-HU"/>
        </w:rPr>
        <w:t xml:space="preserve">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w:t>
      </w:r>
      <w:proofErr w:type="spellStart"/>
      <w:r w:rsidRPr="005A47CF">
        <w:rPr>
          <w:rFonts w:cs="Arial"/>
          <w:iCs/>
          <w:szCs w:val="20"/>
        </w:rPr>
        <w:t>Bkr</w:t>
      </w:r>
      <w:proofErr w:type="spellEnd"/>
      <w:r w:rsidRPr="005A47CF">
        <w:rPr>
          <w:rFonts w:cs="Arial"/>
          <w:iCs/>
          <w:szCs w:val="20"/>
        </w:rPr>
        <w:t xml:space="preserve">.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72902241" w:rsidR="00CA1F9D" w:rsidRPr="008423D2" w:rsidRDefault="00CA1F9D" w:rsidP="00E666C9">
      <w:pPr>
        <w:pStyle w:val="Cmsor3"/>
      </w:pPr>
      <w:r w:rsidRPr="008423D2">
        <w:t xml:space="preserve">1.26 37C Pénzmosással és terrorizmusfinanszírozással kapcsolatos negyedéves adatok </w:t>
      </w:r>
    </w:p>
    <w:p w14:paraId="281872AC" w14:textId="20DD9200" w:rsidR="00CA1F9D" w:rsidRPr="00CA1F9D" w:rsidRDefault="00CA1F9D" w:rsidP="00CA1F9D">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w:t>
      </w:r>
      <w:proofErr w:type="spellStart"/>
      <w:r w:rsidRPr="00CA1F9D">
        <w:rPr>
          <w:rFonts w:cs="Arial"/>
          <w:szCs w:val="20"/>
        </w:rPr>
        <w:t>Pmt</w:t>
      </w:r>
      <w:proofErr w:type="spellEnd"/>
      <w:r w:rsidRPr="00CA1F9D">
        <w:rPr>
          <w:rFonts w:cs="Arial"/>
          <w:szCs w:val="20"/>
        </w:rPr>
        <w:t xml:space="preserve">. szerinti belső szabályzata alapján lefolytatott eljárások keretében összegyűjtött információkról kell adatot szolgáltatni. </w:t>
      </w:r>
    </w:p>
    <w:p w14:paraId="4CF3E89B" w14:textId="77777777" w:rsidR="00CA1F9D" w:rsidRPr="00CA1F9D" w:rsidRDefault="00CA1F9D" w:rsidP="00CA1F9D">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CA1F9D">
      <w:pPr>
        <w:pStyle w:val="Default"/>
        <w:jc w:val="both"/>
        <w:rPr>
          <w:rFonts w:cs="Arial"/>
          <w:bCs/>
          <w:color w:val="auto"/>
          <w:szCs w:val="20"/>
        </w:rPr>
      </w:pPr>
    </w:p>
    <w:p w14:paraId="1EB0B4D9" w14:textId="724BF1DB" w:rsidR="00CA1F9D" w:rsidRPr="008423D2" w:rsidRDefault="00CA1F9D" w:rsidP="008423D2">
      <w:pPr>
        <w:rPr>
          <w:rFonts w:cs="Arial"/>
          <w:b/>
          <w:szCs w:val="20"/>
        </w:rPr>
      </w:pPr>
      <w:r w:rsidRPr="008423D2">
        <w:rPr>
          <w:rFonts w:cs="Arial"/>
          <w:b/>
          <w:szCs w:val="20"/>
        </w:rPr>
        <w:t>A táblában használt fogalmak</w:t>
      </w:r>
    </w:p>
    <w:p w14:paraId="5123B945" w14:textId="057238AA" w:rsidR="00425198" w:rsidRPr="00425198" w:rsidRDefault="00425198" w:rsidP="00425198">
      <w:pPr>
        <w:pStyle w:val="Listaszerbekezds"/>
        <w:numPr>
          <w:ilvl w:val="0"/>
          <w:numId w:val="31"/>
        </w:numPr>
        <w:rPr>
          <w:rFonts w:cs="Arial"/>
          <w:bCs/>
          <w:iCs/>
          <w:szCs w:val="20"/>
          <w:lang w:val="hu-HU" w:eastAsia="hu-HU"/>
        </w:rPr>
      </w:pPr>
      <w:r w:rsidRPr="00442713">
        <w:rPr>
          <w:rFonts w:cs="Arial"/>
          <w:bCs/>
          <w:i/>
          <w:szCs w:val="20"/>
          <w:lang w:val="hu-HU" w:eastAsia="hu-HU"/>
        </w:rPr>
        <w:t xml:space="preserve">árfolyamnyereség: </w:t>
      </w:r>
      <w:r w:rsidRPr="00F02C91">
        <w:rPr>
          <w:rFonts w:cs="Arial"/>
          <w:bCs/>
          <w:iCs/>
          <w:szCs w:val="20"/>
          <w:lang w:val="hu-HU" w:eastAsia="hu-HU"/>
        </w:rPr>
        <w:t>az értékpapír átruházásával megszerzett bevételnek az a része, amely meghaladja az értékpapír megszerzésére fordított összeg és a járulékos költségek együttes összegét</w:t>
      </w:r>
      <w:r w:rsidR="000C2D09">
        <w:rPr>
          <w:rFonts w:cs="Arial"/>
          <w:bCs/>
          <w:iCs/>
          <w:szCs w:val="20"/>
          <w:lang w:val="hu-HU" w:eastAsia="hu-HU"/>
        </w:rPr>
        <w:t>;</w:t>
      </w:r>
      <w:r w:rsidRPr="00F02C91">
        <w:rPr>
          <w:rFonts w:cs="Arial"/>
          <w:bCs/>
          <w:iCs/>
          <w:szCs w:val="20"/>
          <w:lang w:val="hu-HU" w:eastAsia="hu-HU"/>
        </w:rPr>
        <w:t xml:space="preserve"> </w:t>
      </w:r>
      <w:r w:rsidR="000C2D09">
        <w:rPr>
          <w:rFonts w:cs="Arial"/>
          <w:bCs/>
          <w:iCs/>
          <w:szCs w:val="20"/>
          <w:lang w:val="hu-HU" w:eastAsia="hu-HU"/>
        </w:rPr>
        <w:t>n</w:t>
      </w:r>
      <w:r w:rsidRPr="00F02C91">
        <w:rPr>
          <w:rFonts w:cs="Arial"/>
          <w:bCs/>
          <w:iCs/>
          <w:szCs w:val="20"/>
          <w:lang w:val="hu-HU" w:eastAsia="hu-HU"/>
        </w:rPr>
        <w:t>em minősül árfolyamnyereségből származó jövedelemnek az értékpapír-kölcsönzésből származó jövedelem, illetve az az összeg, amelyet más jövedelem megállapításánál kell figyelembe venni</w:t>
      </w:r>
      <w:r w:rsidR="000C2D09">
        <w:rPr>
          <w:rFonts w:cs="Arial"/>
          <w:bCs/>
          <w:iCs/>
          <w:szCs w:val="20"/>
          <w:lang w:val="hu-HU" w:eastAsia="hu-HU"/>
        </w:rPr>
        <w:t xml:space="preserve"> [i</w:t>
      </w:r>
      <w:r w:rsidRPr="00F02C91">
        <w:rPr>
          <w:rFonts w:cs="Arial"/>
          <w:bCs/>
          <w:iCs/>
          <w:szCs w:val="20"/>
          <w:lang w:val="hu-HU" w:eastAsia="hu-HU"/>
        </w:rPr>
        <w:t>lyen pl</w:t>
      </w:r>
      <w:r w:rsidR="000C2D09">
        <w:rPr>
          <w:rFonts w:cs="Arial"/>
          <w:bCs/>
          <w:iCs/>
          <w:szCs w:val="20"/>
          <w:lang w:val="hu-HU" w:eastAsia="hu-HU"/>
        </w:rPr>
        <w:t>.</w:t>
      </w:r>
      <w:r w:rsidRPr="00F02C91">
        <w:rPr>
          <w:rFonts w:cs="Arial"/>
          <w:bCs/>
          <w:iCs/>
          <w:szCs w:val="20"/>
          <w:lang w:val="hu-HU" w:eastAsia="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Pr>
          <w:rFonts w:cs="Arial"/>
          <w:bCs/>
          <w:iCs/>
          <w:szCs w:val="20"/>
          <w:lang w:val="hu-HU" w:eastAsia="hu-HU"/>
        </w:rPr>
        <w:t>]</w:t>
      </w:r>
      <w:r w:rsidRPr="00F02C91">
        <w:rPr>
          <w:rFonts w:cs="Arial"/>
          <w:bCs/>
          <w:iCs/>
          <w:szCs w:val="20"/>
          <w:lang w:val="hu-HU" w:eastAsia="hu-HU"/>
        </w:rPr>
        <w:t>;</w:t>
      </w:r>
    </w:p>
    <w:p w14:paraId="7C16ABD1" w14:textId="33AEBA09" w:rsidR="00CA1F9D" w:rsidRPr="00CA1F9D" w:rsidRDefault="00CA1F9D" w:rsidP="00CA1F9D">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CA1F9D">
      <w:pPr>
        <w:pStyle w:val="Default"/>
        <w:numPr>
          <w:ilvl w:val="0"/>
          <w:numId w:val="31"/>
        </w:numPr>
        <w:adjustRightInd w:val="0"/>
        <w:jc w:val="both"/>
        <w:rPr>
          <w:rFonts w:cs="Arial"/>
          <w:bCs/>
          <w:iCs/>
          <w:color w:val="auto"/>
          <w:szCs w:val="20"/>
        </w:rPr>
      </w:pPr>
      <w:proofErr w:type="spellStart"/>
      <w:r w:rsidRPr="00CA1F9D">
        <w:rPr>
          <w:rFonts w:cs="Arial"/>
          <w:bCs/>
          <w:i/>
          <w:color w:val="auto"/>
          <w:szCs w:val="20"/>
        </w:rPr>
        <w:t>PEP</w:t>
      </w:r>
      <w:proofErr w:type="spellEnd"/>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 xml:space="preserve">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w:t>
      </w:r>
      <w:r w:rsidRPr="00442713">
        <w:rPr>
          <w:rFonts w:cs="Arial"/>
          <w:bCs/>
          <w:iCs/>
          <w:color w:val="auto"/>
          <w:szCs w:val="20"/>
        </w:rPr>
        <w:lastRenderedPageBreak/>
        <w:t>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CA1F9D">
      <w:pPr>
        <w:pStyle w:val="Default"/>
        <w:numPr>
          <w:ilvl w:val="0"/>
          <w:numId w:val="31"/>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 xml:space="preserve">a </w:t>
      </w:r>
      <w:proofErr w:type="spellStart"/>
      <w:r w:rsidRPr="00CA1F9D">
        <w:rPr>
          <w:rFonts w:cs="Arial"/>
          <w:bCs/>
          <w:color w:val="auto"/>
          <w:szCs w:val="20"/>
        </w:rPr>
        <w:t>Pmt</w:t>
      </w:r>
      <w:proofErr w:type="spellEnd"/>
      <w:r w:rsidRPr="00CA1F9D">
        <w:rPr>
          <w:rFonts w:cs="Arial"/>
          <w:bCs/>
          <w:color w:val="auto"/>
          <w:szCs w:val="20"/>
        </w:rPr>
        <w:t>. 3. § 38. pontja szerinti jogalany;</w:t>
      </w:r>
    </w:p>
    <w:p w14:paraId="4AA0369E" w14:textId="77777777" w:rsidR="00CA1F9D" w:rsidRPr="008423D2" w:rsidRDefault="00CA1F9D" w:rsidP="00CA1F9D">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 xml:space="preserve">akit a </w:t>
      </w:r>
      <w:proofErr w:type="spellStart"/>
      <w:r w:rsidRPr="008423D2">
        <w:rPr>
          <w:rFonts w:cs="Arial"/>
          <w:bCs/>
          <w:szCs w:val="20"/>
        </w:rPr>
        <w:t>Pmt</w:t>
      </w:r>
      <w:proofErr w:type="spellEnd"/>
      <w:r w:rsidRPr="008423D2">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CA1F9D">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CA1F9D">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CA1F9D">
      <w:pPr>
        <w:rPr>
          <w:rFonts w:cs="Arial"/>
          <w:b/>
          <w:bCs/>
          <w:szCs w:val="20"/>
        </w:rPr>
      </w:pPr>
    </w:p>
    <w:p w14:paraId="757593BC" w14:textId="6C10BDAA" w:rsidR="00727402" w:rsidRPr="0066505D" w:rsidRDefault="00727402" w:rsidP="00727402">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66505D">
      <w:pPr>
        <w:pStyle w:val="Default"/>
        <w:jc w:val="both"/>
        <w:rPr>
          <w:b/>
        </w:rPr>
      </w:pPr>
    </w:p>
    <w:p w14:paraId="48916877" w14:textId="77777777" w:rsidR="00727402" w:rsidRDefault="00727402" w:rsidP="00727402">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727402">
      <w:pPr>
        <w:pStyle w:val="Default"/>
        <w:jc w:val="both"/>
        <w:rPr>
          <w:rFonts w:cs="Arial"/>
          <w:bCs/>
          <w:color w:val="auto"/>
          <w:szCs w:val="20"/>
        </w:rPr>
      </w:pPr>
    </w:p>
    <w:p w14:paraId="718BC367" w14:textId="77777777" w:rsidR="00727402" w:rsidRPr="00185153" w:rsidRDefault="00727402" w:rsidP="00727402">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727402">
      <w:pPr>
        <w:pStyle w:val="Default"/>
        <w:jc w:val="both"/>
        <w:rPr>
          <w:rFonts w:cs="Arial"/>
          <w:bCs/>
          <w:color w:val="0070C0"/>
          <w:szCs w:val="20"/>
        </w:rPr>
      </w:pPr>
    </w:p>
    <w:p w14:paraId="7F07FA8B" w14:textId="06F28617" w:rsidR="00727402" w:rsidRDefault="00727402" w:rsidP="00727402">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 xml:space="preserve">az ügyletek, illetve forgalom összegét kell megadni (37C0511-37C15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CA1F9D">
      <w:pPr>
        <w:pStyle w:val="Default"/>
        <w:jc w:val="both"/>
        <w:rPr>
          <w:rFonts w:cs="Arial"/>
          <w:b/>
          <w:bCs/>
          <w:color w:val="auto"/>
          <w:szCs w:val="20"/>
        </w:rPr>
      </w:pPr>
    </w:p>
    <w:p w14:paraId="55989D79" w14:textId="77777777" w:rsidR="00727402" w:rsidRDefault="00727402" w:rsidP="00CA1F9D">
      <w:pPr>
        <w:pStyle w:val="Default"/>
        <w:jc w:val="both"/>
        <w:rPr>
          <w:rFonts w:cs="Arial"/>
          <w:b/>
          <w:bCs/>
          <w:color w:val="auto"/>
          <w:szCs w:val="20"/>
        </w:rPr>
      </w:pPr>
    </w:p>
    <w:p w14:paraId="27532ABC" w14:textId="48613E1C" w:rsidR="00CA1F9D" w:rsidRPr="00CA1F9D" w:rsidRDefault="00CA1F9D" w:rsidP="00CA1F9D">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CA1F9D">
      <w:pPr>
        <w:rPr>
          <w:rFonts w:cs="Arial"/>
          <w:b/>
          <w:bCs/>
          <w:szCs w:val="20"/>
        </w:rPr>
      </w:pPr>
    </w:p>
    <w:p w14:paraId="27ECA946" w14:textId="2E0954F7" w:rsidR="00CA1F9D" w:rsidRPr="008423D2" w:rsidRDefault="00CA1F9D" w:rsidP="008423D2">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CA1F9D">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proofErr w:type="spellStart"/>
      <w:r w:rsidRPr="004B0100">
        <w:rPr>
          <w:rFonts w:cs="Arial"/>
          <w:bCs/>
          <w:color w:val="auto"/>
          <w:szCs w:val="20"/>
        </w:rPr>
        <w:t>Pmt</w:t>
      </w:r>
      <w:proofErr w:type="spellEnd"/>
      <w:r w:rsidRPr="004B0100">
        <w:rPr>
          <w:rFonts w:cs="Arial"/>
          <w:bCs/>
          <w:color w:val="auto"/>
          <w:szCs w:val="20"/>
        </w:rPr>
        <w: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proofErr w:type="spellStart"/>
      <w:r w:rsidRPr="004B0100">
        <w:rPr>
          <w:rFonts w:cs="Arial"/>
          <w:bCs/>
          <w:color w:val="auto"/>
          <w:szCs w:val="20"/>
        </w:rPr>
        <w:t>Pmt</w:t>
      </w:r>
      <w:proofErr w:type="spellEnd"/>
      <w:r w:rsidRPr="004B0100">
        <w:rPr>
          <w:rFonts w:cs="Arial"/>
          <w:bCs/>
          <w:color w:val="auto"/>
          <w:szCs w:val="20"/>
        </w:rPr>
        <w:t xml:space="preserve">. 6. § (1) bekezdés </w:t>
      </w:r>
      <w:proofErr w:type="gramStart"/>
      <w:r w:rsidRPr="004B0100">
        <w:rPr>
          <w:rFonts w:cs="Arial"/>
          <w:bCs/>
          <w:color w:val="auto"/>
          <w:szCs w:val="20"/>
        </w:rPr>
        <w:t>b)</w:t>
      </w:r>
      <w:r w:rsidR="00290443">
        <w:rPr>
          <w:rFonts w:cs="Arial"/>
          <w:bCs/>
          <w:color w:val="auto"/>
          <w:szCs w:val="20"/>
        </w:rPr>
        <w:t>–</w:t>
      </w:r>
      <w:proofErr w:type="gramEnd"/>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CA1F9D">
      <w:pPr>
        <w:rPr>
          <w:rFonts w:cs="Arial"/>
          <w:b/>
          <w:bCs/>
          <w:szCs w:val="20"/>
        </w:rPr>
      </w:pPr>
    </w:p>
    <w:p w14:paraId="298246CB" w14:textId="16457CA5" w:rsidR="00CA1F9D" w:rsidRPr="008423D2" w:rsidRDefault="00CA1F9D" w:rsidP="008423D2">
      <w:pPr>
        <w:rPr>
          <w:rFonts w:cs="Arial"/>
          <w:b/>
          <w:bCs/>
          <w:szCs w:val="20"/>
        </w:rPr>
      </w:pPr>
      <w:r w:rsidRPr="008423D2">
        <w:rPr>
          <w:rFonts w:cs="Arial"/>
          <w:szCs w:val="20"/>
        </w:rPr>
        <w:t>A 37C01 sorban kimutatott adatokat a 37C011-37C013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CA1F9D">
      <w:pPr>
        <w:rPr>
          <w:rFonts w:cs="Arial"/>
          <w:b/>
          <w:bCs/>
          <w:szCs w:val="20"/>
        </w:rPr>
      </w:pPr>
    </w:p>
    <w:p w14:paraId="154A9059" w14:textId="77777777" w:rsidR="00CA1F9D" w:rsidRPr="008423D2" w:rsidRDefault="00CA1F9D" w:rsidP="008423D2">
      <w:pPr>
        <w:rPr>
          <w:rFonts w:cs="Arial"/>
          <w:b/>
          <w:bCs/>
          <w:szCs w:val="20"/>
        </w:rPr>
      </w:pPr>
      <w:r w:rsidRPr="008423D2">
        <w:rPr>
          <w:rFonts w:cs="Arial"/>
          <w:b/>
          <w:bCs/>
          <w:szCs w:val="20"/>
        </w:rPr>
        <w:t>37C011 Normál ügyfél-átvilágítás</w:t>
      </w:r>
    </w:p>
    <w:p w14:paraId="68905ADB" w14:textId="02CB9572" w:rsidR="00CA1F9D" w:rsidRPr="00CA1F9D" w:rsidRDefault="00CA1F9D" w:rsidP="00CA1F9D">
      <w:pPr>
        <w:pStyle w:val="Default"/>
        <w:jc w:val="both"/>
        <w:rPr>
          <w:rFonts w:cs="Arial"/>
          <w:color w:val="auto"/>
          <w:szCs w:val="20"/>
        </w:rPr>
      </w:pPr>
      <w:r w:rsidRPr="00CA1F9D">
        <w:rPr>
          <w:rFonts w:cs="Arial"/>
          <w:bCs/>
          <w:color w:val="auto"/>
          <w:szCs w:val="20"/>
        </w:rPr>
        <w:t xml:space="preserve">A 37C01 sorból az átvilágítás alapeljárását meghatározó, a </w:t>
      </w:r>
      <w:proofErr w:type="spellStart"/>
      <w:r w:rsidRPr="00CA1F9D">
        <w:rPr>
          <w:rFonts w:cs="Arial"/>
          <w:bCs/>
          <w:color w:val="auto"/>
          <w:szCs w:val="20"/>
        </w:rPr>
        <w:t>Pmt</w:t>
      </w:r>
      <w:proofErr w:type="spellEnd"/>
      <w:r w:rsidRPr="00CA1F9D">
        <w:rPr>
          <w:rFonts w:cs="Arial"/>
          <w:bCs/>
          <w:color w:val="auto"/>
          <w:szCs w:val="20"/>
        </w:rPr>
        <w: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CA1F9D">
      <w:pPr>
        <w:rPr>
          <w:rFonts w:cs="Arial"/>
          <w:b/>
          <w:bCs/>
          <w:szCs w:val="20"/>
        </w:rPr>
      </w:pPr>
    </w:p>
    <w:p w14:paraId="15C3ADE0" w14:textId="77777777" w:rsidR="00CA1F9D" w:rsidRPr="008423D2" w:rsidRDefault="00CA1F9D" w:rsidP="008423D2">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CA1F9D">
      <w:pPr>
        <w:pStyle w:val="Default"/>
        <w:jc w:val="both"/>
        <w:rPr>
          <w:rFonts w:cs="Arial"/>
          <w:bCs/>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xml:space="preserve">. 15. §-a alapján, a </w:t>
      </w:r>
      <w:proofErr w:type="spellStart"/>
      <w:r w:rsidRPr="00CA1F9D">
        <w:rPr>
          <w:rFonts w:cs="Arial"/>
          <w:bCs/>
          <w:color w:val="auto"/>
          <w:szCs w:val="20"/>
        </w:rPr>
        <w:t>Pmt</w:t>
      </w:r>
      <w:proofErr w:type="spellEnd"/>
      <w:r w:rsidRPr="00CA1F9D">
        <w:rPr>
          <w:rFonts w:cs="Arial"/>
          <w:bCs/>
          <w:color w:val="auto"/>
          <w:szCs w:val="20"/>
        </w:rPr>
        <w:t xml:space="preserve">. 65. §-ában meghatározott belső szabályzatban rögzített esetekben lefolytatott egyszerűsített ügyfél-átvilágítások száma. </w:t>
      </w:r>
    </w:p>
    <w:p w14:paraId="787BB0DB" w14:textId="77777777" w:rsidR="00CA1F9D" w:rsidRPr="008423D2" w:rsidRDefault="00CA1F9D" w:rsidP="00CA1F9D">
      <w:pPr>
        <w:rPr>
          <w:rFonts w:cs="Arial"/>
          <w:b/>
          <w:bCs/>
          <w:szCs w:val="20"/>
        </w:rPr>
      </w:pPr>
    </w:p>
    <w:p w14:paraId="3C3CC655" w14:textId="77777777" w:rsidR="00CA1F9D" w:rsidRPr="008423D2" w:rsidRDefault="00CA1F9D" w:rsidP="008423D2">
      <w:pPr>
        <w:rPr>
          <w:rFonts w:cs="Arial"/>
          <w:b/>
          <w:bCs/>
          <w:szCs w:val="20"/>
        </w:rPr>
      </w:pPr>
      <w:r w:rsidRPr="008423D2">
        <w:rPr>
          <w:rFonts w:cs="Arial"/>
          <w:b/>
          <w:bCs/>
          <w:szCs w:val="20"/>
        </w:rPr>
        <w:t>37C013 Fokozott ügyfél-átvilágítás</w:t>
      </w:r>
    </w:p>
    <w:p w14:paraId="02917FA0" w14:textId="2BAD81E5" w:rsidR="00CA1F9D" w:rsidRPr="00CA1F9D" w:rsidRDefault="00CA1F9D" w:rsidP="00CA1F9D">
      <w:pPr>
        <w:pStyle w:val="Default"/>
        <w:jc w:val="both"/>
        <w:rPr>
          <w:rFonts w:cs="Arial"/>
          <w:b/>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CA1F9D">
      <w:pPr>
        <w:rPr>
          <w:rFonts w:cs="Arial"/>
          <w:b/>
          <w:bCs/>
          <w:szCs w:val="20"/>
        </w:rPr>
      </w:pPr>
    </w:p>
    <w:p w14:paraId="0BE22A26" w14:textId="059199DE" w:rsidR="00CA1F9D" w:rsidRPr="008423D2" w:rsidRDefault="00CA1F9D" w:rsidP="008423D2">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081B1A8F" w:rsidR="00CA1F9D" w:rsidRPr="008423D2" w:rsidRDefault="00CA1F9D" w:rsidP="008423D2">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r w:rsidR="00C31001" w:rsidRPr="008423D2">
        <w:rPr>
          <w:rFonts w:eastAsia="Times New Roman" w:cs="Arial"/>
          <w:szCs w:val="20"/>
        </w:rPr>
        <w:t>26/2020. (VIII. 25.)</w:t>
      </w:r>
      <w:r w:rsidR="00C31001"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727402">
      <w:pPr>
        <w:rPr>
          <w:rFonts w:cs="Arial"/>
          <w:b/>
          <w:bCs/>
          <w:szCs w:val="20"/>
        </w:rPr>
      </w:pPr>
      <w:r w:rsidRPr="00663333">
        <w:rPr>
          <w:rFonts w:cs="Arial"/>
          <w:b/>
          <w:bCs/>
          <w:szCs w:val="20"/>
        </w:rPr>
        <w:lastRenderedPageBreak/>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727402">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proofErr w:type="spellStart"/>
      <w:r w:rsidR="00BB3B10">
        <w:rPr>
          <w:rFonts w:cs="Arial"/>
          <w:szCs w:val="20"/>
        </w:rPr>
        <w:t>Pmt</w:t>
      </w:r>
      <w:proofErr w:type="spellEnd"/>
      <w:r w:rsidR="00BB3B10">
        <w:rPr>
          <w:rFonts w:cs="Arial"/>
          <w:szCs w:val="20"/>
        </w:rPr>
        <w:t xml:space="preserve">.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w:t>
      </w:r>
      <w:proofErr w:type="spellStart"/>
      <w:r w:rsidRPr="00663333">
        <w:rPr>
          <w:rFonts w:cs="Arial"/>
          <w:szCs w:val="20"/>
        </w:rPr>
        <w:t>Pmt</w:t>
      </w:r>
      <w:proofErr w:type="spellEnd"/>
      <w:r w:rsidRPr="00663333">
        <w:rPr>
          <w:rFonts w:cs="Arial"/>
          <w:szCs w:val="20"/>
        </w:rPr>
        <w:t xml:space="preserve">.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727402">
      <w:pPr>
        <w:rPr>
          <w:rFonts w:cs="Arial"/>
          <w:szCs w:val="20"/>
        </w:rPr>
      </w:pPr>
    </w:p>
    <w:p w14:paraId="2347C0DA" w14:textId="77777777" w:rsidR="00727402" w:rsidRDefault="00727402" w:rsidP="00727402">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727402">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w:t>
      </w:r>
      <w:proofErr w:type="spellStart"/>
      <w:r w:rsidRPr="00476091">
        <w:rPr>
          <w:rFonts w:cs="Arial"/>
          <w:szCs w:val="20"/>
        </w:rPr>
        <w:t>Pmt</w:t>
      </w:r>
      <w:proofErr w:type="spellEnd"/>
      <w:r w:rsidRPr="00476091">
        <w:rPr>
          <w:rFonts w:cs="Arial"/>
          <w:szCs w:val="20"/>
        </w:rPr>
        <w:t xml:space="preserve">.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727402">
      <w:pPr>
        <w:rPr>
          <w:rFonts w:cs="Arial"/>
          <w:szCs w:val="20"/>
        </w:rPr>
      </w:pPr>
    </w:p>
    <w:p w14:paraId="3D3DA4D6" w14:textId="77777777" w:rsidR="00727402" w:rsidRDefault="00727402" w:rsidP="00727402">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727402">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727402">
      <w:pPr>
        <w:rPr>
          <w:rFonts w:cs="Arial"/>
          <w:b/>
          <w:bCs/>
          <w:szCs w:val="20"/>
        </w:rPr>
      </w:pPr>
    </w:p>
    <w:p w14:paraId="1A825546" w14:textId="30AEFE10" w:rsidR="00727402" w:rsidRDefault="00727402" w:rsidP="00727402">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727402">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727402">
      <w:pPr>
        <w:rPr>
          <w:rFonts w:cs="Arial"/>
          <w:b/>
          <w:bCs/>
          <w:szCs w:val="20"/>
        </w:rPr>
      </w:pPr>
    </w:p>
    <w:p w14:paraId="7102AF35" w14:textId="77777777" w:rsidR="00727402" w:rsidRDefault="00727402" w:rsidP="00727402">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727402">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727402">
      <w:pPr>
        <w:rPr>
          <w:rFonts w:cs="Arial"/>
          <w:szCs w:val="20"/>
        </w:rPr>
      </w:pPr>
    </w:p>
    <w:p w14:paraId="2B894CF5" w14:textId="54788CAA" w:rsidR="00727402" w:rsidRDefault="00727402" w:rsidP="00727402">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727402">
      <w:pPr>
        <w:rPr>
          <w:rFonts w:cs="Arial"/>
          <w:szCs w:val="20"/>
        </w:rPr>
      </w:pPr>
    </w:p>
    <w:p w14:paraId="12E820A6" w14:textId="77777777" w:rsidR="00727402" w:rsidRDefault="00727402" w:rsidP="00727402">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727402">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727402">
      <w:pPr>
        <w:rPr>
          <w:rFonts w:cs="Arial"/>
          <w:szCs w:val="20"/>
        </w:rPr>
      </w:pPr>
    </w:p>
    <w:p w14:paraId="52E84361" w14:textId="77777777" w:rsidR="00727402" w:rsidRDefault="00727402" w:rsidP="00727402">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727402">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727402">
      <w:pPr>
        <w:rPr>
          <w:rFonts w:cs="Arial"/>
          <w:szCs w:val="20"/>
        </w:rPr>
      </w:pPr>
    </w:p>
    <w:p w14:paraId="05E8E4C1" w14:textId="77777777" w:rsidR="00727402" w:rsidRDefault="00727402" w:rsidP="00727402">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akiket az adatszolgáltató a </w:t>
      </w:r>
      <w:proofErr w:type="spellStart"/>
      <w:r w:rsidRPr="00476091">
        <w:rPr>
          <w:rFonts w:cs="Arial"/>
          <w:szCs w:val="20"/>
        </w:rPr>
        <w:t>Pmt</w:t>
      </w:r>
      <w:proofErr w:type="spellEnd"/>
      <w:r w:rsidRPr="00476091">
        <w:rPr>
          <w:rFonts w:cs="Arial"/>
          <w:szCs w:val="20"/>
        </w:rPr>
        <w: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727402">
      <w:pPr>
        <w:rPr>
          <w:rFonts w:cs="Arial"/>
          <w:szCs w:val="20"/>
        </w:rPr>
      </w:pPr>
    </w:p>
    <w:p w14:paraId="022B0F40" w14:textId="77777777" w:rsidR="00727402" w:rsidRDefault="00727402" w:rsidP="00727402">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0495FC36" w:rsidR="00727402" w:rsidRDefault="00727402" w:rsidP="00727402">
      <w:pPr>
        <w:rPr>
          <w:rFonts w:cs="Arial"/>
          <w:szCs w:val="20"/>
        </w:rPr>
      </w:pPr>
      <w:r w:rsidRPr="00476091">
        <w:rPr>
          <w:rFonts w:cs="Arial"/>
          <w:szCs w:val="20"/>
        </w:rPr>
        <w:lastRenderedPageBreak/>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w:t>
      </w:r>
      <w:proofErr w:type="spellStart"/>
      <w:r w:rsidRPr="00476091">
        <w:rPr>
          <w:rFonts w:cs="Arial"/>
          <w:szCs w:val="20"/>
        </w:rPr>
        <w:t>Pmt</w:t>
      </w:r>
      <w:proofErr w:type="spellEnd"/>
      <w:r w:rsidRPr="00476091">
        <w:rPr>
          <w:rFonts w:cs="Arial"/>
          <w:szCs w:val="20"/>
        </w:rPr>
        <w:t>., valamint a 26/2020. (VIII.</w:t>
      </w:r>
      <w:r w:rsidR="009C30E4">
        <w:rPr>
          <w:rFonts w:cs="Arial"/>
          <w:szCs w:val="20"/>
        </w:rPr>
        <w:t xml:space="preserve"> </w:t>
      </w:r>
      <w:r w:rsidRPr="00476091">
        <w:rPr>
          <w:rFonts w:cs="Arial"/>
          <w:szCs w:val="20"/>
        </w:rPr>
        <w:t>25.)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727402">
      <w:pPr>
        <w:rPr>
          <w:rFonts w:cs="Arial"/>
          <w:b/>
          <w:bCs/>
          <w:szCs w:val="20"/>
        </w:rPr>
      </w:pPr>
    </w:p>
    <w:p w14:paraId="2E9075C7" w14:textId="08F958BF" w:rsidR="00CA1F9D" w:rsidRPr="008423D2" w:rsidRDefault="00CA1F9D" w:rsidP="008423D2">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8423D2">
      <w:pPr>
        <w:rPr>
          <w:rFonts w:cs="Arial"/>
          <w:szCs w:val="20"/>
        </w:rPr>
      </w:pPr>
      <w:bookmarkStart w:id="37" w:name="_Hlk39477166"/>
      <w:proofErr w:type="spellStart"/>
      <w:r w:rsidRPr="008423D2">
        <w:rPr>
          <w:rFonts w:cs="Arial"/>
          <w:szCs w:val="20"/>
        </w:rPr>
        <w:t>PEP-nek</w:t>
      </w:r>
      <w:proofErr w:type="spellEnd"/>
      <w:r w:rsidRPr="008423D2">
        <w:rPr>
          <w:rFonts w:cs="Arial"/>
          <w:szCs w:val="20"/>
        </w:rPr>
        <w:t xml:space="preserve">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8423D2"/>
    <w:bookmarkEnd w:id="37"/>
    <w:p w14:paraId="60C0C964" w14:textId="2893981C" w:rsidR="006C00D0" w:rsidRPr="00476091" w:rsidRDefault="006C00D0" w:rsidP="006C00D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6C00D0">
      <w:pPr>
        <w:rPr>
          <w:rFonts w:cs="Arial"/>
          <w:szCs w:val="20"/>
        </w:rPr>
      </w:pPr>
      <w:r w:rsidRPr="00476091">
        <w:rPr>
          <w:rFonts w:cs="Arial"/>
          <w:szCs w:val="20"/>
        </w:rPr>
        <w:t xml:space="preserve">A 37C07 sorból a </w:t>
      </w:r>
      <w:proofErr w:type="spellStart"/>
      <w:r w:rsidRPr="00476091">
        <w:rPr>
          <w:rFonts w:cs="Arial"/>
          <w:szCs w:val="20"/>
        </w:rPr>
        <w:t>PEP-nek</w:t>
      </w:r>
      <w:proofErr w:type="spellEnd"/>
      <w:r w:rsidRPr="00476091">
        <w:rPr>
          <w:rFonts w:cs="Arial"/>
          <w:szCs w:val="20"/>
        </w:rPr>
        <w:t xml:space="preserve">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8423D2">
      <w:pPr>
        <w:rPr>
          <w:rFonts w:cs="Arial"/>
          <w:b/>
          <w:bCs/>
          <w:szCs w:val="20"/>
        </w:rPr>
      </w:pPr>
    </w:p>
    <w:p w14:paraId="4B3ABCEC" w14:textId="006D9389" w:rsidR="00CA1F9D" w:rsidRPr="008423D2" w:rsidRDefault="00CA1F9D" w:rsidP="008423D2">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8423D2">
      <w:pPr>
        <w:rPr>
          <w:rFonts w:cs="Arial"/>
          <w:szCs w:val="20"/>
        </w:rPr>
      </w:pPr>
      <w:proofErr w:type="spellStart"/>
      <w:r w:rsidRPr="008423D2">
        <w:rPr>
          <w:rFonts w:cs="Arial"/>
          <w:szCs w:val="20"/>
        </w:rPr>
        <w:t>PEP</w:t>
      </w:r>
      <w:proofErr w:type="spellEnd"/>
      <w:r w:rsidRPr="008423D2">
        <w:rPr>
          <w:rFonts w:cs="Arial"/>
          <w:szCs w:val="20"/>
        </w:rPr>
        <w:t xml:space="preserve">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8423D2">
      <w:pPr>
        <w:rPr>
          <w:rFonts w:cs="Arial"/>
          <w:b/>
          <w:bCs/>
          <w:szCs w:val="20"/>
        </w:rPr>
      </w:pPr>
    </w:p>
    <w:p w14:paraId="2E407545" w14:textId="3E10090A" w:rsidR="006C00D0" w:rsidRPr="00476091" w:rsidRDefault="006C00D0" w:rsidP="006C00D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6C00D0">
      <w:pPr>
        <w:rPr>
          <w:rFonts w:cs="Arial"/>
          <w:szCs w:val="20"/>
        </w:rPr>
      </w:pPr>
      <w:r w:rsidRPr="00476091">
        <w:rPr>
          <w:rFonts w:cs="Arial"/>
          <w:szCs w:val="20"/>
        </w:rPr>
        <w:t xml:space="preserve">A 37C08 sorból a </w:t>
      </w:r>
      <w:proofErr w:type="spellStart"/>
      <w:r w:rsidRPr="00476091">
        <w:rPr>
          <w:rFonts w:cs="Arial"/>
          <w:szCs w:val="20"/>
        </w:rPr>
        <w:t>PEP</w:t>
      </w:r>
      <w:proofErr w:type="spellEnd"/>
      <w:r w:rsidRPr="00476091">
        <w:rPr>
          <w:rFonts w:cs="Arial"/>
          <w:szCs w:val="20"/>
        </w:rPr>
        <w:t xml:space="preserve">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6C00D0">
      <w:pPr>
        <w:rPr>
          <w:rFonts w:cs="Arial"/>
          <w:szCs w:val="20"/>
        </w:rPr>
      </w:pPr>
    </w:p>
    <w:p w14:paraId="3DC0C2E0" w14:textId="77777777" w:rsidR="006C00D0" w:rsidRDefault="006C00D0" w:rsidP="006C00D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77777777" w:rsidR="006C00D0" w:rsidRPr="000755EB" w:rsidRDefault="006C00D0" w:rsidP="006C00D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p>
    <w:p w14:paraId="65330582" w14:textId="77777777" w:rsidR="006C00D0" w:rsidRDefault="006C00D0" w:rsidP="006C00D0">
      <w:pPr>
        <w:rPr>
          <w:rFonts w:cs="Arial"/>
          <w:szCs w:val="20"/>
        </w:rPr>
      </w:pPr>
    </w:p>
    <w:p w14:paraId="71673D37" w14:textId="77777777" w:rsidR="006C00D0" w:rsidRDefault="006C00D0" w:rsidP="006C00D0">
      <w:pPr>
        <w:rPr>
          <w:rFonts w:cs="Arial"/>
          <w:b/>
          <w:bCs/>
          <w:szCs w:val="20"/>
        </w:rPr>
      </w:pPr>
      <w:r w:rsidRPr="00476091">
        <w:rPr>
          <w:rFonts w:cs="Arial"/>
          <w:b/>
          <w:bCs/>
          <w:szCs w:val="20"/>
        </w:rPr>
        <w:t>37C091</w:t>
      </w:r>
      <w:r>
        <w:rPr>
          <w:rFonts w:cs="Arial"/>
          <w:b/>
          <w:bCs/>
          <w:szCs w:val="20"/>
        </w:rPr>
        <w:t xml:space="preserve"> </w:t>
      </w:r>
      <w:r w:rsidRPr="000755EB">
        <w:rPr>
          <w:rFonts w:cs="Arial"/>
          <w:b/>
          <w:bCs/>
          <w:szCs w:val="20"/>
        </w:rPr>
        <w:t>37C09</w:t>
      </w:r>
      <w:r>
        <w:rPr>
          <w:rFonts w:cs="Arial"/>
          <w:b/>
          <w:bCs/>
          <w:szCs w:val="20"/>
        </w:rPr>
        <w:t>-ből:</w:t>
      </w:r>
      <w:r w:rsidRPr="000755EB">
        <w:rPr>
          <w:rFonts w:cs="Arial"/>
          <w:b/>
          <w:bCs/>
          <w:szCs w:val="20"/>
        </w:rPr>
        <w:t xml:space="preserve"> magas kockázati szinttel rendelkező ügyfelek legjelentősebb összegű végrehajtott ügylete</w:t>
      </w:r>
    </w:p>
    <w:p w14:paraId="20A463E3" w14:textId="36D30470" w:rsidR="006C00D0" w:rsidRPr="000755EB" w:rsidRDefault="006C00D0" w:rsidP="006C00D0">
      <w:pPr>
        <w:rPr>
          <w:rFonts w:cs="Arial"/>
          <w:szCs w:val="20"/>
        </w:rPr>
      </w:pPr>
      <w:r w:rsidRPr="00476091">
        <w:rPr>
          <w:rFonts w:cs="Arial"/>
          <w:szCs w:val="20"/>
        </w:rPr>
        <w:t>A 37C09 sorból 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6C00D0">
      <w:pPr>
        <w:rPr>
          <w:rFonts w:cs="Arial"/>
          <w:szCs w:val="20"/>
        </w:rPr>
      </w:pPr>
    </w:p>
    <w:p w14:paraId="4A10F075" w14:textId="77777777" w:rsidR="006C00D0" w:rsidRDefault="006C00D0" w:rsidP="006C00D0">
      <w:pPr>
        <w:rPr>
          <w:rFonts w:cs="Arial"/>
          <w:b/>
          <w:bCs/>
          <w:szCs w:val="20"/>
        </w:rPr>
      </w:pPr>
      <w:r w:rsidRPr="00476091">
        <w:rPr>
          <w:rFonts w:cs="Arial"/>
          <w:b/>
          <w:bCs/>
          <w:szCs w:val="20"/>
        </w:rPr>
        <w:t>37C092</w:t>
      </w:r>
      <w:r>
        <w:rPr>
          <w:rFonts w:cs="Arial"/>
          <w:b/>
          <w:bCs/>
          <w:szCs w:val="20"/>
        </w:rPr>
        <w:t xml:space="preserve"> </w:t>
      </w:r>
      <w:r w:rsidRPr="000755EB">
        <w:rPr>
          <w:rFonts w:cs="Arial"/>
          <w:b/>
          <w:bCs/>
          <w:szCs w:val="20"/>
        </w:rPr>
        <w:t>37C09</w:t>
      </w:r>
      <w:r>
        <w:rPr>
          <w:rFonts w:cs="Arial"/>
          <w:b/>
          <w:bCs/>
          <w:szCs w:val="20"/>
        </w:rPr>
        <w:t>-ből:</w:t>
      </w:r>
      <w:r w:rsidRPr="000755EB">
        <w:rPr>
          <w:rFonts w:cs="Arial"/>
          <w:b/>
          <w:bCs/>
          <w:szCs w:val="20"/>
        </w:rPr>
        <w:t xml:space="preserve"> nem magas kockázati szinttel rendelkező, megerősített eljárás alá tartozó ügyfelek legjelentősebb összegű végrehajtott ügylete</w:t>
      </w:r>
    </w:p>
    <w:p w14:paraId="06E5987E" w14:textId="77777777" w:rsidR="006C00D0" w:rsidRPr="00476091" w:rsidRDefault="006C00D0" w:rsidP="006C00D0">
      <w:pPr>
        <w:rPr>
          <w:rFonts w:cs="Arial"/>
          <w:szCs w:val="20"/>
        </w:rPr>
      </w:pPr>
      <w:r w:rsidRPr="00476091">
        <w:rPr>
          <w:rFonts w:cs="Arial"/>
          <w:szCs w:val="20"/>
        </w:rPr>
        <w:t>A 37C09 sorból 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6C00D0">
      <w:pPr>
        <w:rPr>
          <w:rFonts w:cs="Arial"/>
          <w:b/>
          <w:bCs/>
          <w:szCs w:val="20"/>
        </w:rPr>
      </w:pPr>
    </w:p>
    <w:p w14:paraId="77555700" w14:textId="77777777" w:rsidR="006C00D0" w:rsidRDefault="006C00D0" w:rsidP="006C00D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1FF787F3" w14:textId="73B37D05" w:rsidR="006C00D0" w:rsidRPr="00476091" w:rsidRDefault="006C00D0" w:rsidP="006C00D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6C00D0">
      <w:pPr>
        <w:rPr>
          <w:rFonts w:cs="Arial"/>
          <w:b/>
          <w:bCs/>
          <w:szCs w:val="20"/>
        </w:rPr>
      </w:pPr>
    </w:p>
    <w:p w14:paraId="57F43E8B" w14:textId="77777777" w:rsidR="006C00D0" w:rsidRDefault="006C00D0" w:rsidP="006C00D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5010336F" w14:textId="77777777" w:rsidR="006C00D0" w:rsidRPr="00476091" w:rsidRDefault="006C00D0" w:rsidP="006C00D0">
      <w:pPr>
        <w:rPr>
          <w:rFonts w:cs="Arial"/>
          <w:szCs w:val="20"/>
        </w:rPr>
      </w:pPr>
      <w:r w:rsidRPr="00476091">
        <w:rPr>
          <w:rFonts w:cs="Arial"/>
          <w:szCs w:val="20"/>
        </w:rPr>
        <w:t>Jogi személy és jogi személyiséggel nem rendelkező 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6C00D0">
      <w:pPr>
        <w:rPr>
          <w:rFonts w:cs="Arial"/>
          <w:b/>
          <w:bCs/>
          <w:szCs w:val="20"/>
        </w:rPr>
      </w:pPr>
    </w:p>
    <w:p w14:paraId="380E2BB6" w14:textId="77777777" w:rsidR="006C00D0" w:rsidRDefault="006C00D0" w:rsidP="006C00D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6C00D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pénzszámláján) keresztül történik.</w:t>
      </w:r>
    </w:p>
    <w:p w14:paraId="78D38A7A" w14:textId="77777777" w:rsidR="006C00D0" w:rsidRDefault="006C00D0" w:rsidP="006C00D0">
      <w:pPr>
        <w:rPr>
          <w:rFonts w:cs="Arial"/>
          <w:szCs w:val="20"/>
        </w:rPr>
      </w:pPr>
    </w:p>
    <w:p w14:paraId="66746DBE" w14:textId="77777777" w:rsidR="006C00D0" w:rsidRDefault="006C00D0" w:rsidP="006C00D0">
      <w:pPr>
        <w:rPr>
          <w:rFonts w:cs="Arial"/>
          <w:b/>
          <w:bCs/>
          <w:szCs w:val="20"/>
        </w:rPr>
      </w:pPr>
      <w:r w:rsidRPr="00476091">
        <w:rPr>
          <w:rFonts w:cs="Arial"/>
          <w:b/>
          <w:bCs/>
          <w:szCs w:val="20"/>
        </w:rPr>
        <w:lastRenderedPageBreak/>
        <w:t>37C121 37C12</w:t>
      </w:r>
      <w:r>
        <w:rPr>
          <w:rFonts w:cs="Arial"/>
          <w:b/>
          <w:bCs/>
          <w:szCs w:val="20"/>
        </w:rPr>
        <w:t>-ből:</w:t>
      </w:r>
      <w:r w:rsidRPr="00476091">
        <w:rPr>
          <w:rFonts w:cs="Arial"/>
          <w:b/>
          <w:bCs/>
          <w:szCs w:val="20"/>
        </w:rPr>
        <w:t xml:space="preserve"> magas kockázati szinttel rendelkező ügyfelek legjelentősebb összegű végrehajtott készpénzbefizetése</w:t>
      </w:r>
    </w:p>
    <w:p w14:paraId="1BA302F1" w14:textId="2A80B92B" w:rsidR="006C00D0" w:rsidRPr="00655322" w:rsidRDefault="006C00D0" w:rsidP="006C00D0">
      <w:pPr>
        <w:rPr>
          <w:rFonts w:cs="Arial"/>
          <w:szCs w:val="20"/>
        </w:rPr>
      </w:pPr>
      <w:r w:rsidRPr="00476091">
        <w:rPr>
          <w:rFonts w:cs="Arial"/>
          <w:szCs w:val="20"/>
        </w:rPr>
        <w:t>A 37C12 sorból azon</w:t>
      </w:r>
      <w:r>
        <w:rPr>
          <w:rFonts w:cs="Arial"/>
          <w:szCs w:val="20"/>
        </w:rPr>
        <w:t>, a</w:t>
      </w:r>
      <w:r w:rsidRPr="00476091">
        <w:rPr>
          <w:rFonts w:cs="Arial"/>
          <w:szCs w:val="20"/>
        </w:rPr>
        <w:t xml:space="preserve"> tárgynegyedévben legmagasabb összegű készpénzbefizetés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6C00D0">
      <w:pPr>
        <w:rPr>
          <w:rFonts w:cs="Arial"/>
          <w:szCs w:val="20"/>
        </w:rPr>
      </w:pPr>
    </w:p>
    <w:p w14:paraId="487C4CB8" w14:textId="77777777" w:rsidR="006C00D0" w:rsidRDefault="006C00D0" w:rsidP="006C00D0">
      <w:pPr>
        <w:rPr>
          <w:rFonts w:cs="Arial"/>
          <w:b/>
          <w:bCs/>
          <w:szCs w:val="20"/>
        </w:rPr>
      </w:pPr>
      <w:r w:rsidRPr="00476091">
        <w:rPr>
          <w:rFonts w:cs="Arial"/>
          <w:b/>
          <w:bCs/>
          <w:szCs w:val="20"/>
        </w:rPr>
        <w:t>37C122 37C12</w:t>
      </w:r>
      <w:r>
        <w:rPr>
          <w:rFonts w:cs="Arial"/>
          <w:b/>
          <w:bCs/>
          <w:szCs w:val="20"/>
        </w:rPr>
        <w:t>-ből:</w:t>
      </w:r>
      <w:r w:rsidRPr="00476091">
        <w:rPr>
          <w:rFonts w:cs="Arial"/>
          <w:b/>
          <w:bCs/>
          <w:szCs w:val="20"/>
        </w:rPr>
        <w:t xml:space="preserve"> nem magas kockázati szinttel rendelkező, megerősített eljárás alá tartozó ügyfelek legjelentősebb összegű végrehajtott készpénzbefizetése</w:t>
      </w:r>
    </w:p>
    <w:p w14:paraId="6397FD5E" w14:textId="77777777" w:rsidR="006C00D0" w:rsidRPr="00476091" w:rsidRDefault="006C00D0" w:rsidP="006C00D0">
      <w:pPr>
        <w:rPr>
          <w:rFonts w:cs="Arial"/>
          <w:szCs w:val="20"/>
        </w:rPr>
      </w:pPr>
      <w:r w:rsidRPr="00476091">
        <w:rPr>
          <w:rFonts w:cs="Arial"/>
          <w:szCs w:val="20"/>
        </w:rPr>
        <w:t>A 37C12 sorból azon</w:t>
      </w:r>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8423D2">
      <w:pPr>
        <w:rPr>
          <w:rFonts w:cs="Arial"/>
          <w:b/>
          <w:bCs/>
          <w:szCs w:val="20"/>
        </w:rPr>
      </w:pPr>
    </w:p>
    <w:p w14:paraId="1581C2A8" w14:textId="5AE47839" w:rsidR="00CA1F9D" w:rsidRPr="008423D2" w:rsidRDefault="00CA1F9D" w:rsidP="008423D2">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633CB9">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pénzszámláján) keresztül történik.</w:t>
      </w:r>
    </w:p>
    <w:p w14:paraId="081DB249" w14:textId="77777777" w:rsidR="00CA1F9D" w:rsidRPr="008423D2" w:rsidRDefault="00CA1F9D" w:rsidP="008423D2">
      <w:pPr>
        <w:rPr>
          <w:rFonts w:cs="Arial"/>
          <w:b/>
          <w:bCs/>
          <w:szCs w:val="20"/>
        </w:rPr>
      </w:pPr>
    </w:p>
    <w:p w14:paraId="764D4B38" w14:textId="06513BDB" w:rsidR="00CA1F9D" w:rsidRPr="008423D2" w:rsidRDefault="00CA1F9D" w:rsidP="008423D2">
      <w:pPr>
        <w:rPr>
          <w:rFonts w:cs="Arial"/>
          <w:b/>
          <w:bCs/>
          <w:szCs w:val="20"/>
        </w:rPr>
      </w:pPr>
      <w:bookmarkStart w:id="38"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633CB9">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38"/>
    <w:p w14:paraId="60E438C6" w14:textId="77777777" w:rsidR="00751CF2" w:rsidRDefault="00751CF2" w:rsidP="008423D2">
      <w:pPr>
        <w:rPr>
          <w:rFonts w:cs="Arial"/>
          <w:b/>
          <w:bCs/>
          <w:szCs w:val="20"/>
        </w:rPr>
      </w:pPr>
    </w:p>
    <w:p w14:paraId="33AC4D28" w14:textId="19261BEC" w:rsidR="006C00D0" w:rsidRDefault="006C00D0" w:rsidP="006C00D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6C00D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6C00D0">
      <w:pPr>
        <w:rPr>
          <w:rFonts w:cs="Arial"/>
          <w:szCs w:val="20"/>
        </w:rPr>
      </w:pPr>
    </w:p>
    <w:p w14:paraId="39841F1E" w14:textId="77777777" w:rsidR="006C00D0" w:rsidRPr="00476091" w:rsidRDefault="006C00D0" w:rsidP="006C00D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6C00D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6C00D0">
      <w:pPr>
        <w:rPr>
          <w:rFonts w:cs="Arial"/>
          <w:szCs w:val="20"/>
        </w:rPr>
      </w:pPr>
    </w:p>
    <w:p w14:paraId="21F9AC65" w14:textId="77777777" w:rsidR="006C00D0" w:rsidRDefault="006C00D0" w:rsidP="006C00D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8423D2">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8423D2">
      <w:pPr>
        <w:rPr>
          <w:rFonts w:cs="Arial"/>
          <w:b/>
          <w:bCs/>
          <w:szCs w:val="20"/>
        </w:rPr>
      </w:pPr>
    </w:p>
    <w:p w14:paraId="347D5AF7" w14:textId="5D64A42D" w:rsidR="00CA1F9D" w:rsidRPr="008423D2" w:rsidRDefault="00CA1F9D" w:rsidP="008423D2">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8423D2">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8423D2">
      <w:pPr>
        <w:rPr>
          <w:rFonts w:cs="Arial"/>
          <w:b/>
          <w:bCs/>
          <w:szCs w:val="20"/>
        </w:rPr>
      </w:pPr>
    </w:p>
    <w:p w14:paraId="08DD2DAC" w14:textId="3103A4A0"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Kockázatos ügyfél és szokatlan ügylet kiszűrését biztosító szűrőrendszer riasztásai</w:t>
      </w:r>
    </w:p>
    <w:p w14:paraId="282DCFAA" w14:textId="77777777" w:rsidR="00CA1F9D" w:rsidRDefault="00CA1F9D" w:rsidP="008423D2">
      <w:pPr>
        <w:rPr>
          <w:rFonts w:cs="Arial"/>
          <w:szCs w:val="20"/>
        </w:rPr>
      </w:pPr>
      <w:r w:rsidRPr="008423D2">
        <w:rPr>
          <w:rFonts w:cs="Arial"/>
          <w:szCs w:val="20"/>
        </w:rPr>
        <w:t>Az adatszolgáltató szűrőrendszere által kockázatosnak minősített ügyfél, illetve szokatlan ügylet vonatkozásában generált riasztások darabszáma az adott tárgynegyedévben.</w:t>
      </w:r>
    </w:p>
    <w:p w14:paraId="64ACA680" w14:textId="73CF493E" w:rsidR="00AF573D" w:rsidRPr="008423D2" w:rsidRDefault="00AF573D" w:rsidP="008423D2">
      <w:pPr>
        <w:rPr>
          <w:rFonts w:cs="Arial"/>
          <w:szCs w:val="20"/>
        </w:rPr>
      </w:pPr>
      <w:r w:rsidRPr="00655322">
        <w:rPr>
          <w:rFonts w:cs="Arial"/>
          <w:szCs w:val="20"/>
        </w:rPr>
        <w:t xml:space="preserve">A 37C17 sorban </w:t>
      </w:r>
      <w:r w:rsidR="00EC3FB9">
        <w:rPr>
          <w:rFonts w:cs="Arial"/>
          <w:szCs w:val="20"/>
        </w:rPr>
        <w:t>jelentett</w:t>
      </w:r>
      <w:r w:rsidRPr="00655322">
        <w:rPr>
          <w:rFonts w:cs="Arial"/>
          <w:szCs w:val="20"/>
        </w:rPr>
        <w:t xml:space="preserve"> adatokat a 37C171-37C172 sorokban a riasztás okára való tekintettel kell tovább bontani. A 37C17 sor egyenlő a 37C171 és a 37C172 sor összegével, míg a 37C171 sor értékét a 37C171</w:t>
      </w:r>
      <w:r>
        <w:rPr>
          <w:rFonts w:cs="Arial"/>
          <w:szCs w:val="20"/>
        </w:rPr>
        <w:t>1</w:t>
      </w:r>
      <w:r w:rsidR="00EC3FB9">
        <w:rPr>
          <w:rFonts w:cs="Arial"/>
          <w:szCs w:val="20"/>
        </w:rPr>
        <w:t>–</w:t>
      </w:r>
      <w:r w:rsidRPr="00655322">
        <w:rPr>
          <w:rFonts w:cs="Arial"/>
          <w:szCs w:val="20"/>
        </w:rPr>
        <w:t>37C1715 sorok összege adja meg.</w:t>
      </w:r>
    </w:p>
    <w:p w14:paraId="00847EBC" w14:textId="77777777" w:rsidR="00CA1F9D" w:rsidRPr="008423D2" w:rsidRDefault="00CA1F9D" w:rsidP="008423D2">
      <w:pPr>
        <w:rPr>
          <w:rFonts w:cs="Arial"/>
          <w:b/>
          <w:bCs/>
          <w:szCs w:val="20"/>
        </w:rPr>
      </w:pPr>
    </w:p>
    <w:p w14:paraId="75FE9AD5" w14:textId="15A60417"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1 Kötelező, </w:t>
      </w:r>
      <w:r w:rsidR="00FA5586" w:rsidRPr="00F52330">
        <w:rPr>
          <w:rFonts w:cs="Arial"/>
          <w:b/>
          <w:bCs/>
          <w:szCs w:val="20"/>
        </w:rPr>
        <w:t xml:space="preserve">a </w:t>
      </w:r>
      <w:r w:rsidR="00C31001" w:rsidRPr="008423D2">
        <w:rPr>
          <w:rFonts w:eastAsia="Times New Roman" w:cs="Arial"/>
          <w:b/>
          <w:bCs/>
          <w:szCs w:val="20"/>
        </w:rPr>
        <w:t>26/2020. (VIII. 25.)</w:t>
      </w:r>
      <w:r w:rsidR="00FA5586" w:rsidRPr="00F52330">
        <w:rPr>
          <w:rFonts w:cs="Arial"/>
          <w:b/>
          <w:bCs/>
          <w:szCs w:val="20"/>
        </w:rPr>
        <w:t xml:space="preserve"> </w:t>
      </w:r>
      <w:r w:rsidRPr="008423D2">
        <w:rPr>
          <w:rFonts w:cs="Arial"/>
          <w:b/>
          <w:bCs/>
          <w:szCs w:val="20"/>
        </w:rPr>
        <w:t>MNB rendelet szerinti szűrési feltételek által generált riasztások</w:t>
      </w:r>
    </w:p>
    <w:p w14:paraId="4386C17C" w14:textId="6DF1490C" w:rsidR="00CA1F9D" w:rsidRDefault="00CA1F9D" w:rsidP="00C31001">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w:t>
      </w:r>
      <w:r w:rsidR="00513242" w:rsidRPr="00F52330">
        <w:rPr>
          <w:rFonts w:cs="Arial"/>
          <w:szCs w:val="20"/>
        </w:rPr>
        <w:t xml:space="preserve"> </w:t>
      </w:r>
      <w:r w:rsidR="00C31001" w:rsidRPr="008423D2">
        <w:rPr>
          <w:rFonts w:eastAsia="Times New Roman" w:cs="Arial"/>
          <w:szCs w:val="20"/>
        </w:rPr>
        <w:t>26/2020. (VIII. 25.)</w:t>
      </w:r>
      <w:r w:rsidRPr="00F52330">
        <w:rPr>
          <w:rFonts w:cs="Arial"/>
          <w:szCs w:val="20"/>
        </w:rPr>
        <w:t xml:space="preserve"> </w:t>
      </w:r>
      <w:r w:rsidRPr="008423D2">
        <w:rPr>
          <w:rFonts w:cs="Arial"/>
          <w:szCs w:val="20"/>
        </w:rPr>
        <w:t>MNB rendelet 36. §</w:t>
      </w:r>
      <w:r w:rsidR="003B7467">
        <w:rPr>
          <w:rFonts w:cs="Arial"/>
          <w:szCs w:val="20"/>
        </w:rPr>
        <w:t xml:space="preserve"> (1) bekezdése</w:t>
      </w:r>
      <w:r w:rsidRPr="008423D2">
        <w:rPr>
          <w:rFonts w:cs="Arial"/>
          <w:szCs w:val="20"/>
        </w:rPr>
        <w:t xml:space="preserve"> szerinti szűrési feltételek által generált riasztások tárgynegyedévi darabszáma. </w:t>
      </w:r>
    </w:p>
    <w:p w14:paraId="2943F233" w14:textId="67DCB140" w:rsidR="00AF573D" w:rsidRDefault="00AF573D" w:rsidP="00AF573D">
      <w:pPr>
        <w:rPr>
          <w:rFonts w:cs="Arial"/>
          <w:szCs w:val="20"/>
        </w:rPr>
      </w:pPr>
      <w:r w:rsidRPr="00655322">
        <w:rPr>
          <w:rFonts w:cs="Arial"/>
          <w:szCs w:val="20"/>
        </w:rPr>
        <w:t>Azon adatszolgáltatónak, aki él a 26/2020.</w:t>
      </w:r>
      <w:r w:rsidR="00EC3FB9">
        <w:rPr>
          <w:rFonts w:cs="Arial"/>
          <w:szCs w:val="20"/>
        </w:rPr>
        <w:t xml:space="preserve"> (VIII. 25.)</w:t>
      </w:r>
      <w:r w:rsidRPr="00655322">
        <w:rPr>
          <w:rFonts w:cs="Arial"/>
          <w:szCs w:val="20"/>
        </w:rPr>
        <w:t xml:space="preserve"> MNB rendelet 36. § (3) </w:t>
      </w:r>
      <w:r>
        <w:rPr>
          <w:rFonts w:cs="Arial"/>
          <w:szCs w:val="20"/>
        </w:rPr>
        <w:t xml:space="preserve">bekezdésében </w:t>
      </w:r>
      <w:r w:rsidRPr="00655322">
        <w:rPr>
          <w:rFonts w:cs="Arial"/>
          <w:szCs w:val="20"/>
        </w:rPr>
        <w:t>foglalt lehetőséggel, vagyis a 37C1711</w:t>
      </w:r>
      <w:r w:rsidR="00290443">
        <w:rPr>
          <w:rFonts w:cs="Arial"/>
          <w:szCs w:val="20"/>
        </w:rPr>
        <w:t>–</w:t>
      </w:r>
      <w:r w:rsidRPr="00655322">
        <w:rPr>
          <w:rFonts w:cs="Arial"/>
          <w:szCs w:val="20"/>
        </w:rPr>
        <w:t>37C1715 sorban szereplő kötelező szűrési feltételeket más szűrésekkel helyettesíti, az érintett sorok vonatkozásában a</w:t>
      </w:r>
      <w:r w:rsidR="00EC3FB9">
        <w:rPr>
          <w:rFonts w:cs="Arial"/>
          <w:szCs w:val="20"/>
        </w:rPr>
        <w:t xml:space="preserve"> 26/2020. (VIII. 25.)</w:t>
      </w:r>
      <w:r w:rsidRPr="00655322">
        <w:rPr>
          <w:rFonts w:cs="Arial"/>
          <w:szCs w:val="20"/>
        </w:rPr>
        <w:t xml:space="preserve"> MNB rendeletben megfogalmazott feltételrendszernek megfelelő adatkört leválogatás útján szükséges előállítani</w:t>
      </w:r>
      <w:r>
        <w:rPr>
          <w:rFonts w:cs="Arial"/>
          <w:szCs w:val="20"/>
        </w:rPr>
        <w:t>a</w:t>
      </w:r>
      <w:r w:rsidRPr="00655322">
        <w:rPr>
          <w:rFonts w:cs="Arial"/>
          <w:szCs w:val="20"/>
        </w:rPr>
        <w:t xml:space="preserve"> és </w:t>
      </w:r>
      <w:r>
        <w:rPr>
          <w:rFonts w:cs="Arial"/>
          <w:szCs w:val="20"/>
        </w:rPr>
        <w:t>jelentenie</w:t>
      </w:r>
      <w:r w:rsidRPr="00655322">
        <w:rPr>
          <w:rFonts w:cs="Arial"/>
          <w:szCs w:val="20"/>
        </w:rPr>
        <w:t xml:space="preserve">.  </w:t>
      </w:r>
    </w:p>
    <w:p w14:paraId="2EAF4B5F" w14:textId="77777777" w:rsidR="00AF573D" w:rsidRDefault="00AF573D" w:rsidP="00AF573D">
      <w:pPr>
        <w:rPr>
          <w:rFonts w:cs="Arial"/>
          <w:szCs w:val="20"/>
        </w:rPr>
      </w:pPr>
    </w:p>
    <w:p w14:paraId="15EB41DF" w14:textId="77777777" w:rsidR="00AF573D" w:rsidRDefault="00AF573D" w:rsidP="00AF573D">
      <w:pPr>
        <w:rPr>
          <w:rFonts w:cs="Arial"/>
          <w:b/>
          <w:bCs/>
          <w:szCs w:val="20"/>
        </w:rPr>
      </w:pPr>
      <w:r w:rsidRPr="00476091">
        <w:rPr>
          <w:rFonts w:cs="Arial"/>
          <w:b/>
          <w:bCs/>
          <w:szCs w:val="20"/>
        </w:rPr>
        <w:lastRenderedPageBreak/>
        <w:t xml:space="preserve">37C1711 Riasztás oka: huszonötmillió forintot elérő vagy meghaladó összegű készpénzbefizetés természetes személy ügyfél részére  </w:t>
      </w:r>
    </w:p>
    <w:p w14:paraId="7D4AD0FD" w14:textId="77777777" w:rsidR="00AF573D" w:rsidRPr="00655322" w:rsidRDefault="00AF573D" w:rsidP="00AF573D">
      <w:pPr>
        <w:rPr>
          <w:rFonts w:cs="Arial"/>
          <w:szCs w:val="20"/>
        </w:rPr>
      </w:pPr>
      <w:r w:rsidRPr="00476091">
        <w:rPr>
          <w:rFonts w:cs="Arial"/>
          <w:szCs w:val="20"/>
        </w:rPr>
        <w:t>A 37C171 sorból a huszonötmillió forintot elérő vagy meghaladó összegű</w:t>
      </w:r>
      <w:r>
        <w:rPr>
          <w:rFonts w:cs="Arial"/>
          <w:szCs w:val="20"/>
        </w:rPr>
        <w:t>,</w:t>
      </w:r>
      <w:r w:rsidRPr="00476091">
        <w:rPr>
          <w:rFonts w:cs="Arial"/>
          <w:szCs w:val="20"/>
        </w:rPr>
        <w:t xml:space="preserve"> természetes személy ügyfél részére teljesített készpénzbefizetések kapcsán generált riasztások tárgynegyedévi darabszáma.</w:t>
      </w:r>
    </w:p>
    <w:p w14:paraId="3A4076F7" w14:textId="77777777" w:rsidR="00AF573D" w:rsidRDefault="00AF573D" w:rsidP="00AF573D">
      <w:pPr>
        <w:rPr>
          <w:rFonts w:cs="Arial"/>
          <w:szCs w:val="20"/>
        </w:rPr>
      </w:pPr>
    </w:p>
    <w:p w14:paraId="5620C1B6" w14:textId="77777777" w:rsidR="00AF573D" w:rsidRDefault="00AF573D" w:rsidP="00AF573D">
      <w:pPr>
        <w:rPr>
          <w:rFonts w:cs="Arial"/>
          <w:b/>
          <w:bCs/>
          <w:szCs w:val="20"/>
        </w:rPr>
      </w:pPr>
      <w:r w:rsidRPr="00476091">
        <w:rPr>
          <w:rFonts w:cs="Arial"/>
          <w:b/>
          <w:bCs/>
          <w:szCs w:val="20"/>
        </w:rPr>
        <w:t>37C1712 Riasztás oka: ötvenmillió forintot elérő vagy meghaladó összegű készpénzbefizetés jogi személy és jogi személyiséggel nem rendelkező ügyfél részére</w:t>
      </w:r>
    </w:p>
    <w:p w14:paraId="41B4571B" w14:textId="77777777" w:rsidR="00AF573D" w:rsidRDefault="00AF573D" w:rsidP="00AF573D">
      <w:pPr>
        <w:rPr>
          <w:rFonts w:cs="Arial"/>
          <w:szCs w:val="20"/>
        </w:rPr>
      </w:pPr>
      <w:r w:rsidRPr="00476091">
        <w:rPr>
          <w:rFonts w:cs="Arial"/>
          <w:szCs w:val="20"/>
        </w:rPr>
        <w:t>A 37C171 sorból az ötvenmillió forintot elérő vagy meghaladó összegű</w:t>
      </w:r>
      <w:r>
        <w:rPr>
          <w:rFonts w:cs="Arial"/>
          <w:szCs w:val="20"/>
        </w:rPr>
        <w:t>,</w:t>
      </w:r>
      <w:r w:rsidRPr="00476091">
        <w:rPr>
          <w:rFonts w:cs="Arial"/>
          <w:szCs w:val="20"/>
        </w:rPr>
        <w:t xml:space="preserve"> jogi személy és jogi személyiséggel nem rendelkező ügyfél részére teljesített készpénzbefizetések kapcsán generált riasztások tárgynegyedévi darabszáma.</w:t>
      </w:r>
    </w:p>
    <w:p w14:paraId="3E7E878B" w14:textId="77777777" w:rsidR="00AF573D" w:rsidRDefault="00AF573D" w:rsidP="00AF573D">
      <w:pPr>
        <w:rPr>
          <w:rFonts w:cs="Arial"/>
          <w:szCs w:val="20"/>
        </w:rPr>
      </w:pPr>
    </w:p>
    <w:p w14:paraId="1722A615" w14:textId="77777777" w:rsidR="00AF573D" w:rsidRDefault="00AF573D" w:rsidP="00AF573D">
      <w:pPr>
        <w:rPr>
          <w:rFonts w:cs="Arial"/>
          <w:b/>
          <w:bCs/>
          <w:szCs w:val="20"/>
        </w:rPr>
      </w:pPr>
      <w:r w:rsidRPr="00476091">
        <w:rPr>
          <w:rFonts w:cs="Arial"/>
          <w:b/>
          <w:bCs/>
          <w:szCs w:val="20"/>
        </w:rPr>
        <w:t>37C1713 Riasztás oka: stratégiai hiányosságokkal rendelkező, kiemelt kockázatot jelentő harmadik országból kezdeményezett vagy oda továbbított huszonötmillió forintot elérő vagy meghaladó összegű ügylet</w:t>
      </w:r>
    </w:p>
    <w:p w14:paraId="274A2B27" w14:textId="3152787F" w:rsidR="00AF573D" w:rsidRPr="00655322" w:rsidRDefault="00AF573D" w:rsidP="00AF573D">
      <w:pPr>
        <w:rPr>
          <w:rFonts w:cs="Arial"/>
          <w:szCs w:val="20"/>
        </w:rPr>
      </w:pPr>
      <w:r w:rsidRPr="00476091">
        <w:rPr>
          <w:rFonts w:cs="Arial"/>
          <w:szCs w:val="20"/>
        </w:rPr>
        <w:t>A 37C171 sorból kiemelt kockázatú országból kezdeményezett vagy oda továbbított</w:t>
      </w:r>
      <w:r w:rsidR="00446C62">
        <w:rPr>
          <w:rFonts w:cs="Arial"/>
          <w:szCs w:val="20"/>
        </w:rPr>
        <w:t>,</w:t>
      </w:r>
      <w:r w:rsidRPr="00476091">
        <w:rPr>
          <w:rFonts w:cs="Arial"/>
          <w:szCs w:val="20"/>
        </w:rPr>
        <w:t xml:space="preserve"> huszonötmillió forintot elérő vagy meghaladó összegű ügyletek kapcsán generált riasztások tárgynegyedévi darabszáma.</w:t>
      </w:r>
    </w:p>
    <w:p w14:paraId="6366417F" w14:textId="77777777" w:rsidR="00AF573D" w:rsidRDefault="00AF573D" w:rsidP="00AF573D">
      <w:pPr>
        <w:rPr>
          <w:rFonts w:cs="Arial"/>
          <w:szCs w:val="20"/>
        </w:rPr>
      </w:pPr>
    </w:p>
    <w:p w14:paraId="64EB862B" w14:textId="77777777" w:rsidR="00AF573D" w:rsidRDefault="00AF573D" w:rsidP="00AF573D">
      <w:pPr>
        <w:rPr>
          <w:rFonts w:cs="Arial"/>
          <w:b/>
          <w:bCs/>
          <w:szCs w:val="20"/>
        </w:rPr>
      </w:pPr>
      <w:r w:rsidRPr="00476091">
        <w:rPr>
          <w:rFonts w:cs="Arial"/>
          <w:b/>
          <w:bCs/>
          <w:szCs w:val="20"/>
        </w:rPr>
        <w:t>37C1714 Riasztás oka: huszonötmillió forintot elérő vagy meghaladó összegű</w:t>
      </w:r>
      <w:r>
        <w:rPr>
          <w:rFonts w:cs="Arial"/>
          <w:b/>
          <w:bCs/>
          <w:szCs w:val="20"/>
        </w:rPr>
        <w:t>,</w:t>
      </w:r>
      <w:r w:rsidRPr="00476091">
        <w:rPr>
          <w:rFonts w:cs="Arial"/>
          <w:b/>
          <w:bCs/>
          <w:szCs w:val="20"/>
        </w:rPr>
        <w:t xml:space="preserve"> pénzátutalás adószámmal nem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3A870214" w14:textId="77777777" w:rsidR="00AF573D" w:rsidRDefault="00AF573D" w:rsidP="00AF573D">
      <w:pPr>
        <w:rPr>
          <w:rFonts w:cs="Arial"/>
          <w:szCs w:val="20"/>
        </w:rPr>
      </w:pPr>
      <w:r w:rsidRPr="00476091">
        <w:rPr>
          <w:rFonts w:cs="Arial"/>
          <w:szCs w:val="20"/>
        </w:rPr>
        <w: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86786AA" w14:textId="77777777" w:rsidR="00AF573D" w:rsidRDefault="00AF573D" w:rsidP="00AF573D">
      <w:pPr>
        <w:rPr>
          <w:rFonts w:cs="Arial"/>
          <w:szCs w:val="20"/>
        </w:rPr>
      </w:pPr>
    </w:p>
    <w:p w14:paraId="66A619F2" w14:textId="77777777" w:rsidR="00AF573D" w:rsidRDefault="00AF573D" w:rsidP="00AF573D">
      <w:pPr>
        <w:rPr>
          <w:rFonts w:cs="Arial"/>
          <w:b/>
          <w:bCs/>
          <w:szCs w:val="20"/>
        </w:rPr>
      </w:pPr>
      <w:r w:rsidRPr="00476091">
        <w:rPr>
          <w:rFonts w:cs="Arial"/>
          <w:b/>
          <w:bCs/>
          <w:szCs w:val="20"/>
        </w:rPr>
        <w:t>37C17141 37C1714</w:t>
      </w:r>
      <w:r>
        <w:rPr>
          <w:rFonts w:cs="Arial"/>
          <w:b/>
          <w:bCs/>
          <w:szCs w:val="20"/>
        </w:rPr>
        <w:t>-ből:</w:t>
      </w:r>
      <w:r w:rsidRPr="00476091">
        <w:rPr>
          <w:rFonts w:cs="Arial"/>
          <w:b/>
          <w:bCs/>
          <w:szCs w:val="20"/>
        </w:rPr>
        <w:t xml:space="preserve"> a magas kockázati besorolású</w:t>
      </w:r>
      <w:r>
        <w:rPr>
          <w:rFonts w:cs="Arial"/>
          <w:b/>
          <w:bCs/>
          <w:szCs w:val="20"/>
        </w:rPr>
        <w:t>,</w:t>
      </w:r>
      <w:r w:rsidRPr="00476091">
        <w:rPr>
          <w:rFonts w:cs="Arial"/>
          <w:b/>
          <w:bCs/>
          <w:szCs w:val="20"/>
        </w:rPr>
        <w:t xml:space="preserve"> adószámmal nem rendelkező jogi személy és jogi személyiséggel nem rendelkező ügyfelek pénzátutalásai kapcsán generált riasztások</w:t>
      </w:r>
    </w:p>
    <w:p w14:paraId="0D3E523A" w14:textId="594222E0"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76091">
        <w:rPr>
          <w:rFonts w:cs="Arial"/>
          <w:szCs w:val="20"/>
        </w:rPr>
        <w:t>Pmt</w:t>
      </w:r>
      <w:proofErr w:type="spellEnd"/>
      <w:r w:rsidRPr="00476091">
        <w:rPr>
          <w:rFonts w:cs="Arial"/>
          <w:szCs w:val="20"/>
        </w:rPr>
        <w:t>. 16.</w:t>
      </w:r>
      <w:r w:rsidR="00F016B7">
        <w:rPr>
          <w:rFonts w:cs="Arial"/>
          <w:szCs w:val="20"/>
        </w:rPr>
        <w:t xml:space="preserve"> </w:t>
      </w:r>
      <w:r>
        <w:rPr>
          <w:rFonts w:cs="Arial"/>
          <w:szCs w:val="20"/>
        </w:rPr>
        <w:t>§</w:t>
      </w:r>
      <w:r w:rsidRPr="00476091">
        <w:rPr>
          <w:rFonts w:cs="Arial"/>
          <w:szCs w:val="20"/>
        </w:rPr>
        <w:t xml:space="preserve"> (1) bekezdés</w:t>
      </w:r>
      <w:r w:rsidR="00F016B7">
        <w:rPr>
          <w:rFonts w:cs="Arial"/>
          <w:szCs w:val="20"/>
        </w:rPr>
        <w:t>e</w:t>
      </w:r>
      <w:r w:rsidRPr="00476091">
        <w:rPr>
          <w:rFonts w:cs="Arial"/>
          <w:szCs w:val="20"/>
        </w:rPr>
        <w:t xml:space="preserve"> szerint magas kockázatúnak tekint</w:t>
      </w:r>
      <w:r w:rsidR="00F016B7">
        <w:rPr>
          <w:rFonts w:cs="Arial"/>
          <w:szCs w:val="20"/>
        </w:rPr>
        <w:t>i</w:t>
      </w:r>
      <w:r w:rsidRPr="00476091">
        <w:rPr>
          <w:rFonts w:cs="Arial"/>
          <w:szCs w:val="20"/>
        </w:rPr>
        <w:t xml:space="preserve">.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F016B7">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Ezen sorban </w:t>
      </w:r>
      <w:r w:rsidRPr="00D6177E">
        <w:rPr>
          <w:rFonts w:cs="Arial"/>
          <w:szCs w:val="20"/>
        </w:rPr>
        <w:t xml:space="preserve">csak a tartós jogviszonyban (üzleti kapcsolat) álló ügyfelek tranzakcióira vonatkozó szűrési adatokat kell </w:t>
      </w:r>
      <w:proofErr w:type="gramStart"/>
      <w:r w:rsidRPr="00D6177E">
        <w:rPr>
          <w:rFonts w:cs="Arial"/>
          <w:szCs w:val="20"/>
        </w:rPr>
        <w:t>megadni</w:t>
      </w:r>
      <w:r>
        <w:rPr>
          <w:rFonts w:cs="Arial"/>
          <w:szCs w:val="20"/>
        </w:rPr>
        <w:t>.</w:t>
      </w:r>
      <w:r w:rsidRPr="00476091">
        <w:rPr>
          <w:rFonts w:cs="Arial"/>
          <w:szCs w:val="20"/>
        </w:rPr>
        <w:t>.</w:t>
      </w:r>
      <w:proofErr w:type="gramEnd"/>
    </w:p>
    <w:p w14:paraId="2AE53178" w14:textId="77777777" w:rsidR="00AF573D" w:rsidRDefault="00AF573D" w:rsidP="00AF573D">
      <w:pPr>
        <w:rPr>
          <w:rFonts w:cs="Arial"/>
          <w:szCs w:val="20"/>
        </w:rPr>
      </w:pPr>
    </w:p>
    <w:p w14:paraId="35A79D7D" w14:textId="77777777" w:rsidR="00AF573D" w:rsidRDefault="00AF573D" w:rsidP="00AF573D">
      <w:pPr>
        <w:rPr>
          <w:rFonts w:cs="Arial"/>
          <w:b/>
          <w:bCs/>
          <w:szCs w:val="20"/>
        </w:rPr>
      </w:pPr>
      <w:r w:rsidRPr="00476091">
        <w:rPr>
          <w:rFonts w:cs="Arial"/>
          <w:b/>
          <w:bCs/>
          <w:szCs w:val="20"/>
        </w:rPr>
        <w:t>37C17142 37C1714</w:t>
      </w:r>
      <w:r>
        <w:rPr>
          <w:rFonts w:cs="Arial"/>
          <w:b/>
          <w:bCs/>
          <w:szCs w:val="20"/>
        </w:rPr>
        <w:t>-ből:</w:t>
      </w:r>
      <w:r w:rsidRPr="00476091">
        <w:rPr>
          <w:rFonts w:cs="Arial"/>
          <w:b/>
          <w:bCs/>
          <w:szCs w:val="20"/>
        </w:rPr>
        <w:t xml:space="preserve"> a nem magas kockázati besorolású, megerősített eljárás alá tartozó adószámmal nem rendelkező jogi személy és jogi személyiséggel nem rendelkező ügyfelek pénzátutalásai kapcsán generált riasztások</w:t>
      </w:r>
    </w:p>
    <w:p w14:paraId="7A519687" w14:textId="5940D506"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476091">
        <w:rPr>
          <w:rFonts w:cs="Arial"/>
          <w:szCs w:val="20"/>
        </w:rPr>
        <w:t>Pmt</w:t>
      </w:r>
      <w:proofErr w:type="spellEnd"/>
      <w:r w:rsidRPr="00476091">
        <w:rPr>
          <w:rFonts w:cs="Arial"/>
          <w:szCs w:val="20"/>
        </w:rPr>
        <w:t>., valamint a 26/2020. (VIII.</w:t>
      </w:r>
      <w:r w:rsidR="00B908DE">
        <w:rPr>
          <w:rFonts w:cs="Arial"/>
          <w:szCs w:val="20"/>
        </w:rPr>
        <w:t xml:space="preserve"> </w:t>
      </w:r>
      <w:r w:rsidRPr="00476091">
        <w:rPr>
          <w:rFonts w:cs="Arial"/>
          <w:szCs w:val="20"/>
        </w:rPr>
        <w:t>25.) MNB rendelet rendelkezéseinek, továbbá a táblában használt ügylet fogalomnak megfelelően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adatokat</w:t>
      </w:r>
      <w:r>
        <w:rPr>
          <w:rFonts w:cs="Arial"/>
          <w:szCs w:val="20"/>
        </w:rPr>
        <w:t xml:space="preserve"> meg</w:t>
      </w:r>
      <w:r w:rsidRPr="00476091">
        <w:rPr>
          <w:rFonts w:cs="Arial"/>
          <w:szCs w:val="20"/>
        </w:rPr>
        <w:t xml:space="preserve"> kell adni.</w:t>
      </w:r>
    </w:p>
    <w:p w14:paraId="2708BC3F" w14:textId="77777777" w:rsidR="00AF573D" w:rsidRDefault="00AF573D" w:rsidP="00AF573D">
      <w:pPr>
        <w:rPr>
          <w:rFonts w:cs="Arial"/>
          <w:szCs w:val="20"/>
        </w:rPr>
      </w:pPr>
    </w:p>
    <w:p w14:paraId="152A7277" w14:textId="77777777" w:rsidR="00AF573D" w:rsidRDefault="00AF573D" w:rsidP="00AF573D">
      <w:pPr>
        <w:rPr>
          <w:rFonts w:cs="Arial"/>
          <w:b/>
          <w:bCs/>
          <w:szCs w:val="20"/>
        </w:rPr>
      </w:pPr>
      <w:r w:rsidRPr="00476091">
        <w:rPr>
          <w:rFonts w:cs="Arial"/>
          <w:b/>
          <w:bCs/>
          <w:szCs w:val="20"/>
        </w:rPr>
        <w:t>37C1715 Riasztás oka: ötvenmillió forintot elérő vagy meghaladó összegű pénzátutalás nem magyar adószámmal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1875EDD7" w14:textId="77777777" w:rsidR="00AF573D" w:rsidRDefault="00AF573D" w:rsidP="00AF573D">
      <w:pPr>
        <w:rPr>
          <w:rFonts w:cs="Arial"/>
          <w:szCs w:val="20"/>
        </w:rPr>
      </w:pPr>
      <w:r w:rsidRPr="00476091">
        <w:rPr>
          <w:rFonts w:cs="Arial"/>
          <w:szCs w:val="20"/>
        </w:rPr>
        <w: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7F3203D4" w14:textId="77777777" w:rsidR="00AF573D" w:rsidRDefault="00AF573D" w:rsidP="00AF573D">
      <w:pPr>
        <w:rPr>
          <w:rFonts w:cs="Arial"/>
          <w:szCs w:val="20"/>
        </w:rPr>
      </w:pPr>
    </w:p>
    <w:p w14:paraId="3CC9DB18" w14:textId="77777777" w:rsidR="00AF573D" w:rsidRDefault="00AF573D" w:rsidP="00AF573D">
      <w:pPr>
        <w:rPr>
          <w:rFonts w:cs="Arial"/>
          <w:b/>
          <w:bCs/>
          <w:szCs w:val="20"/>
        </w:rPr>
      </w:pPr>
      <w:r w:rsidRPr="00476091">
        <w:rPr>
          <w:rFonts w:cs="Arial"/>
          <w:b/>
          <w:bCs/>
          <w:szCs w:val="20"/>
        </w:rPr>
        <w:t>37C17151 37C1715</w:t>
      </w:r>
      <w:r>
        <w:rPr>
          <w:rFonts w:cs="Arial"/>
          <w:b/>
          <w:bCs/>
          <w:szCs w:val="20"/>
        </w:rPr>
        <w:t>-ből:</w:t>
      </w:r>
      <w:r w:rsidRPr="00476091">
        <w:rPr>
          <w:rFonts w:cs="Arial"/>
          <w:b/>
          <w:bCs/>
          <w:szCs w:val="20"/>
        </w:rPr>
        <w:t xml:space="preserve"> a magas kockázati besorolású nem magyar adószámmal rendelkező jogi személy és jogi személyiséggel nem rendelkező ügyfelek pénzátutalásai kapcsán generált riasztások</w:t>
      </w:r>
    </w:p>
    <w:p w14:paraId="26E703F5" w14:textId="7224053E" w:rsidR="00AF573D" w:rsidRPr="00D1212B" w:rsidRDefault="00AF573D" w:rsidP="00AF573D">
      <w:pPr>
        <w:rPr>
          <w:rFonts w:cs="Arial"/>
          <w:szCs w:val="20"/>
        </w:rPr>
      </w:pPr>
      <w:r w:rsidRPr="00476091">
        <w:rPr>
          <w:rFonts w:cs="Arial"/>
          <w:szCs w:val="20"/>
        </w:rPr>
        <w:t>A 37C1715 sorból azon</w:t>
      </w:r>
      <w:r>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76091">
        <w:rPr>
          <w:rFonts w:cs="Arial"/>
          <w:szCs w:val="20"/>
        </w:rPr>
        <w:t>Pmt</w:t>
      </w:r>
      <w:proofErr w:type="spellEnd"/>
      <w:r w:rsidRPr="00476091">
        <w:rPr>
          <w:rFonts w:cs="Arial"/>
          <w:szCs w:val="20"/>
        </w:rPr>
        <w:t>. 16.</w:t>
      </w:r>
      <w:r w:rsidR="003D2544">
        <w:rPr>
          <w:rFonts w:cs="Arial"/>
          <w:szCs w:val="20"/>
        </w:rPr>
        <w:t xml:space="preserve"> </w:t>
      </w:r>
      <w:r>
        <w:rPr>
          <w:rFonts w:cs="Arial"/>
          <w:szCs w:val="20"/>
        </w:rPr>
        <w:t>§</w:t>
      </w:r>
      <w:r w:rsidRPr="00476091">
        <w:rPr>
          <w:rFonts w:cs="Arial"/>
          <w:szCs w:val="20"/>
        </w:rPr>
        <w:t xml:space="preserve"> (1) bekezdés</w:t>
      </w:r>
      <w:r w:rsidR="003D2544">
        <w:rPr>
          <w:rFonts w:cs="Arial"/>
          <w:szCs w:val="20"/>
        </w:rPr>
        <w:t>e</w:t>
      </w:r>
      <w:r w:rsidRPr="00476091">
        <w:rPr>
          <w:rFonts w:cs="Arial"/>
          <w:szCs w:val="20"/>
        </w:rPr>
        <w:t xml:space="preserve"> szerint </w:t>
      </w:r>
      <w:r w:rsidRPr="00476091">
        <w:rPr>
          <w:rFonts w:cs="Arial"/>
          <w:szCs w:val="20"/>
        </w:rPr>
        <w:lastRenderedPageBreak/>
        <w:t xml:space="preserve">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3D2544">
        <w:rPr>
          <w:rFonts w:cs="Arial"/>
          <w:szCs w:val="20"/>
        </w:rPr>
        <w:t xml:space="preserve"> </w:t>
      </w:r>
      <w:r>
        <w:rPr>
          <w:rFonts w:cs="Arial"/>
          <w:szCs w:val="20"/>
        </w:rPr>
        <w:t>§</w:t>
      </w:r>
      <w:r w:rsidRPr="004A7646">
        <w:rPr>
          <w:rFonts w:cs="Arial"/>
          <w:szCs w:val="20"/>
        </w:rPr>
        <w:t xml:space="preserve"> (1)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Ebben a sorban </w:t>
      </w:r>
      <w:r w:rsidRPr="004A7646">
        <w:rPr>
          <w:rFonts w:cs="Arial"/>
          <w:szCs w:val="20"/>
        </w:rPr>
        <w:t xml:space="preserve">csak a tartós jogviszonyban (üzleti kapcsolat) álló ügyfelek tranzakcióira vonatkozó </w:t>
      </w:r>
      <w:r>
        <w:rPr>
          <w:rFonts w:cs="Arial"/>
          <w:szCs w:val="20"/>
        </w:rPr>
        <w:t xml:space="preserve">szűrési </w:t>
      </w:r>
      <w:r w:rsidRPr="004A7646">
        <w:rPr>
          <w:rFonts w:cs="Arial"/>
          <w:szCs w:val="20"/>
        </w:rPr>
        <w:t>adatokat kell megadni.</w:t>
      </w:r>
    </w:p>
    <w:p w14:paraId="078F987D" w14:textId="77777777" w:rsidR="00AF573D" w:rsidRDefault="00AF573D" w:rsidP="00AF573D">
      <w:pPr>
        <w:rPr>
          <w:rFonts w:cs="Arial"/>
          <w:szCs w:val="20"/>
        </w:rPr>
      </w:pPr>
    </w:p>
    <w:p w14:paraId="2AD995A7" w14:textId="77777777" w:rsidR="00AF573D" w:rsidRDefault="00AF573D" w:rsidP="00AF573D">
      <w:pPr>
        <w:rPr>
          <w:rFonts w:cs="Arial"/>
          <w:b/>
          <w:bCs/>
          <w:szCs w:val="20"/>
        </w:rPr>
      </w:pPr>
      <w:r w:rsidRPr="00476091">
        <w:rPr>
          <w:rFonts w:cs="Arial"/>
          <w:b/>
          <w:bCs/>
          <w:szCs w:val="20"/>
        </w:rPr>
        <w:t>37C17152 37C1715</w:t>
      </w:r>
      <w:r>
        <w:rPr>
          <w:rFonts w:cs="Arial"/>
          <w:b/>
          <w:bCs/>
          <w:szCs w:val="20"/>
        </w:rPr>
        <w:t>-ből:</w:t>
      </w:r>
      <w:r w:rsidRPr="00476091">
        <w:rPr>
          <w:rFonts w:cs="Arial"/>
          <w:b/>
          <w:bCs/>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784F01E1" w14:textId="11FDED1B" w:rsidR="00AF573D" w:rsidRPr="00D1212B" w:rsidRDefault="00AF573D" w:rsidP="00AF573D">
      <w:pPr>
        <w:rPr>
          <w:rFonts w:cs="Arial"/>
          <w:szCs w:val="20"/>
        </w:rPr>
      </w:pPr>
      <w:r w:rsidRPr="00476091">
        <w:rPr>
          <w:rFonts w:cs="Arial"/>
          <w:szCs w:val="20"/>
        </w:rPr>
        <w:t>A 37C1715 sorból azon</w:t>
      </w:r>
      <w:r w:rsidR="003D2544">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w:t>
      </w:r>
      <w:proofErr w:type="spellStart"/>
      <w:r w:rsidRPr="00476091">
        <w:rPr>
          <w:rFonts w:cs="Arial"/>
          <w:szCs w:val="20"/>
        </w:rPr>
        <w:t>Pmt</w:t>
      </w:r>
      <w:proofErr w:type="spellEnd"/>
      <w:r w:rsidRPr="00476091">
        <w:rPr>
          <w:rFonts w:cs="Arial"/>
          <w:szCs w:val="20"/>
        </w:rPr>
        <w:t>., valamint a 26/2020. (VIII.</w:t>
      </w:r>
      <w:r w:rsidR="003D2544">
        <w:rPr>
          <w:rFonts w:cs="Arial"/>
          <w:szCs w:val="20"/>
        </w:rPr>
        <w:t xml:space="preserve"> </w:t>
      </w:r>
      <w:r w:rsidRPr="00476091">
        <w:rPr>
          <w:rFonts w:cs="Arial"/>
          <w:szCs w:val="20"/>
        </w:rPr>
        <w:t>25.) MNB rendelet rendelkezéseinek, továbbá a táblában használt ügylet fogalomnak megfelelően</w:t>
      </w:r>
      <w:r>
        <w:rPr>
          <w:rFonts w:cs="Arial"/>
          <w:szCs w:val="20"/>
        </w:rPr>
        <w:t>,</w:t>
      </w:r>
      <w:r w:rsidRPr="00476091">
        <w:rPr>
          <w:rFonts w:cs="Arial"/>
          <w:szCs w:val="20"/>
        </w:rPr>
        <w:t xml:space="preserve"> </w:t>
      </w:r>
      <w:r>
        <w:rPr>
          <w:rFonts w:cs="Arial"/>
          <w:szCs w:val="20"/>
        </w:rPr>
        <w:t xml:space="preserve">ebben a </w:t>
      </w:r>
      <w:r w:rsidRPr="00476091">
        <w:rPr>
          <w:rFonts w:cs="Arial"/>
          <w:szCs w:val="20"/>
        </w:rPr>
        <w:t>sorban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 xml:space="preserve">adatokat </w:t>
      </w:r>
      <w:r>
        <w:rPr>
          <w:rFonts w:cs="Arial"/>
          <w:szCs w:val="20"/>
        </w:rPr>
        <w:t xml:space="preserve">meg </w:t>
      </w:r>
      <w:r w:rsidRPr="00476091">
        <w:rPr>
          <w:rFonts w:cs="Arial"/>
          <w:szCs w:val="20"/>
        </w:rPr>
        <w:t>kell adni.</w:t>
      </w:r>
    </w:p>
    <w:p w14:paraId="21C23E1A" w14:textId="77777777" w:rsidR="00AF573D" w:rsidRPr="008423D2" w:rsidRDefault="00AF573D" w:rsidP="00C31001">
      <w:pPr>
        <w:rPr>
          <w:rFonts w:cs="Arial"/>
          <w:szCs w:val="20"/>
        </w:rPr>
      </w:pPr>
    </w:p>
    <w:p w14:paraId="042542C0" w14:textId="77777777" w:rsidR="00CA1F9D" w:rsidRPr="008423D2" w:rsidRDefault="00CA1F9D" w:rsidP="008423D2">
      <w:pPr>
        <w:rPr>
          <w:rFonts w:cs="Arial"/>
          <w:b/>
          <w:bCs/>
          <w:szCs w:val="20"/>
        </w:rPr>
      </w:pPr>
    </w:p>
    <w:p w14:paraId="247E80CA" w14:textId="6AEA211E"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2 Adatszolgáltató által definiált szűrési feltételek által generált riasztások </w:t>
      </w:r>
    </w:p>
    <w:p w14:paraId="241F9256" w14:textId="05184E7D" w:rsidR="00CA1F9D" w:rsidRPr="008423D2" w:rsidRDefault="00CA1F9D" w:rsidP="008423D2">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azon riasztások darabszáma, amelyek szűrési feltételeit az adatszolgáltató határozta meg, és a riasztások nem esnek a 37C151 sorban megadott kritériumok alá.  </w:t>
      </w:r>
    </w:p>
    <w:p w14:paraId="6A3DB59F" w14:textId="77777777" w:rsidR="00CA1F9D" w:rsidRPr="008423D2" w:rsidRDefault="00CA1F9D" w:rsidP="008423D2">
      <w:pPr>
        <w:rPr>
          <w:rFonts w:cs="Arial"/>
          <w:b/>
          <w:bCs/>
          <w:szCs w:val="20"/>
        </w:rPr>
      </w:pPr>
    </w:p>
    <w:p w14:paraId="5C6D806F" w14:textId="66B2050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FE4FCD6" w14:textId="30536D44" w:rsidR="00CA1F9D" w:rsidRDefault="00CA1F9D" w:rsidP="008423D2">
      <w:pPr>
        <w:rPr>
          <w:rFonts w:cs="Arial"/>
          <w:szCs w:val="20"/>
        </w:rPr>
      </w:pPr>
      <w:r w:rsidRPr="008423D2">
        <w:rPr>
          <w:rFonts w:cs="Arial"/>
          <w:szCs w:val="20"/>
        </w:rPr>
        <w:t>Azon szűrések darabszáma a tárgynegyedévben, amelyek elemzését és értékelését az adatszolgáltató a</w:t>
      </w:r>
      <w:r w:rsidR="00FA5586" w:rsidRPr="00F52330">
        <w:rPr>
          <w:rFonts w:cs="Arial"/>
          <w:szCs w:val="20"/>
        </w:rPr>
        <w:t xml:space="preserve">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MNB rendelet 37. § (2) bekezdésében meghatározott határidőn belül nem végezte el.</w:t>
      </w:r>
    </w:p>
    <w:p w14:paraId="6C34CA7E" w14:textId="03A2B365" w:rsidR="00AF573D" w:rsidRPr="008423D2" w:rsidRDefault="00AF573D" w:rsidP="008423D2">
      <w:pPr>
        <w:rPr>
          <w:rFonts w:cs="Arial"/>
          <w:szCs w:val="20"/>
        </w:rPr>
      </w:pPr>
      <w:r w:rsidRPr="00D1212B">
        <w:rPr>
          <w:rFonts w:cs="Arial"/>
          <w:szCs w:val="20"/>
        </w:rPr>
        <w:t>A 37C18 sorban kimutatott adatokat a 37C181</w:t>
      </w:r>
      <w:r>
        <w:rPr>
          <w:rFonts w:cs="Arial"/>
          <w:szCs w:val="20"/>
        </w:rPr>
        <w:t xml:space="preserve"> és </w:t>
      </w:r>
      <w:r w:rsidRPr="00D1212B">
        <w:rPr>
          <w:rFonts w:cs="Arial"/>
          <w:szCs w:val="20"/>
        </w:rPr>
        <w:t>37C182 sorban a riasztás okára való tekintettel kell tovább bontani. A 37C18 sor egyenlő a 37C181 és a 37C182 sor összegével.</w:t>
      </w:r>
    </w:p>
    <w:p w14:paraId="3EC487C4" w14:textId="77777777" w:rsidR="00CA1F9D" w:rsidRPr="008423D2" w:rsidRDefault="00CA1F9D" w:rsidP="008423D2">
      <w:pPr>
        <w:rPr>
          <w:rFonts w:cs="Arial"/>
          <w:b/>
          <w:bCs/>
          <w:szCs w:val="20"/>
        </w:rPr>
      </w:pPr>
    </w:p>
    <w:p w14:paraId="149944F2" w14:textId="4076EE98"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1 Kötelező,</w:t>
      </w:r>
      <w:r w:rsidR="00FA5586" w:rsidRPr="00F52330">
        <w:rPr>
          <w:rFonts w:cs="Arial"/>
          <w:b/>
          <w:bCs/>
          <w:szCs w:val="20"/>
        </w:rPr>
        <w:t xml:space="preserve"> a</w:t>
      </w:r>
      <w:r w:rsidRPr="008423D2">
        <w:rPr>
          <w:rFonts w:cs="Arial"/>
          <w:b/>
          <w:bCs/>
          <w:szCs w:val="20"/>
        </w:rPr>
        <w:t xml:space="preserve"> </w:t>
      </w:r>
      <w:r w:rsidR="00C31001" w:rsidRPr="008423D2">
        <w:rPr>
          <w:rFonts w:eastAsia="Times New Roman" w:cs="Arial"/>
          <w:b/>
          <w:bCs/>
          <w:szCs w:val="20"/>
        </w:rPr>
        <w:t>26/2020. (VIII. 25.)</w:t>
      </w:r>
      <w:r w:rsidR="00FA5586" w:rsidRPr="008423D2">
        <w:rPr>
          <w:rFonts w:cs="Arial"/>
          <w:b/>
          <w:bCs/>
          <w:szCs w:val="20"/>
        </w:rPr>
        <w:t xml:space="preserve"> </w:t>
      </w:r>
      <w:r w:rsidRPr="008423D2">
        <w:rPr>
          <w:rFonts w:cs="Arial"/>
          <w:b/>
          <w:bCs/>
          <w:szCs w:val="20"/>
        </w:rPr>
        <w:t>MNB rendelet szerinti szűrési feltételek által generált riasztások</w:t>
      </w:r>
    </w:p>
    <w:p w14:paraId="56F6AA1D" w14:textId="4944BE54"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w:t>
      </w:r>
      <w:r w:rsidR="00FA5586" w:rsidRPr="00F52330">
        <w:rPr>
          <w:rFonts w:cs="Arial"/>
          <w:szCs w:val="20"/>
        </w:rPr>
        <w:t xml:space="preserve">a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 xml:space="preserve">MNB rendelet 36. § </w:t>
      </w:r>
      <w:r w:rsidR="003B7467">
        <w:rPr>
          <w:rFonts w:cs="Arial"/>
          <w:szCs w:val="20"/>
        </w:rPr>
        <w:t>(1) bekezdése</w:t>
      </w:r>
      <w:r w:rsidR="003B7467" w:rsidRPr="008423D2">
        <w:rPr>
          <w:rFonts w:cs="Arial"/>
          <w:szCs w:val="20"/>
        </w:rPr>
        <w:t xml:space="preserve"> </w:t>
      </w:r>
      <w:r w:rsidRPr="008423D2">
        <w:rPr>
          <w:rFonts w:cs="Arial"/>
          <w:szCs w:val="20"/>
        </w:rPr>
        <w:t>szerinti szűrési feltételek által generált riasztások tárgynegyedévi darabszáma, amelyek elemzését és értékelését az adatszolgáltató a</w:t>
      </w:r>
      <w:r w:rsidR="00FA5586" w:rsidRPr="00F52330">
        <w:rPr>
          <w:rFonts w:cs="Arial"/>
          <w:szCs w:val="20"/>
        </w:rPr>
        <w:t xml:space="preserve">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 xml:space="preserve">MNB rendelet szerinti határidőben nem végezte el. </w:t>
      </w:r>
    </w:p>
    <w:p w14:paraId="4FE90F33" w14:textId="77777777" w:rsidR="00CA1F9D" w:rsidRPr="008423D2" w:rsidRDefault="00CA1F9D" w:rsidP="008423D2">
      <w:pPr>
        <w:rPr>
          <w:rFonts w:cs="Arial"/>
          <w:b/>
          <w:bCs/>
          <w:szCs w:val="20"/>
        </w:rPr>
      </w:pPr>
    </w:p>
    <w:p w14:paraId="3AF8EA40" w14:textId="0602681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2 Adatszolgáltató által definiált szűrési feltételek által generált riasztások </w:t>
      </w:r>
    </w:p>
    <w:p w14:paraId="7A3F611A" w14:textId="255F6E75"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azon riasztások darabszáma, amelyek szűrési feltételeit az adatszolgáltató határozta meg, és a feltételek nem esnek </w:t>
      </w:r>
      <w:r w:rsidR="00FA5586" w:rsidRPr="00F52330">
        <w:rPr>
          <w:rFonts w:cs="Arial"/>
          <w:szCs w:val="20"/>
        </w:rPr>
        <w:t xml:space="preserve">a </w:t>
      </w:r>
      <w:r w:rsidR="00C31001" w:rsidRPr="008423D2">
        <w:rPr>
          <w:rFonts w:eastAsia="Times New Roman" w:cs="Arial"/>
          <w:szCs w:val="20"/>
        </w:rPr>
        <w:t>26/2020. (VIII. 25.)</w:t>
      </w:r>
      <w:r w:rsidRPr="008423D2">
        <w:rPr>
          <w:rFonts w:cs="Arial"/>
          <w:szCs w:val="20"/>
        </w:rPr>
        <w:t xml:space="preserve"> MNB rendelet 36. § </w:t>
      </w:r>
      <w:r w:rsidR="003B7467">
        <w:rPr>
          <w:rFonts w:cs="Arial"/>
          <w:szCs w:val="20"/>
        </w:rPr>
        <w:t>(1) bekezdése</w:t>
      </w:r>
      <w:r w:rsidR="003B7467" w:rsidRPr="008423D2">
        <w:rPr>
          <w:rFonts w:cs="Arial"/>
          <w:szCs w:val="20"/>
        </w:rPr>
        <w:t xml:space="preserve"> </w:t>
      </w:r>
      <w:r w:rsidRPr="008423D2">
        <w:rPr>
          <w:rFonts w:cs="Arial"/>
          <w:szCs w:val="20"/>
        </w:rPr>
        <w:t xml:space="preserve">szerinti szűrési feltételek alá, és amely riasztások elemzését és értékelését az adatszolgáltató </w:t>
      </w:r>
      <w:r w:rsidR="00FA5586" w:rsidRPr="00F52330">
        <w:rPr>
          <w:rFonts w:cs="Arial"/>
          <w:szCs w:val="20"/>
        </w:rPr>
        <w:t xml:space="preserve">a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MNB rendelet szerinti határidőben nem végezte el.</w:t>
      </w:r>
    </w:p>
    <w:p w14:paraId="6C7D2A10" w14:textId="77777777" w:rsidR="00CA1F9D" w:rsidRPr="008423D2" w:rsidRDefault="00CA1F9D" w:rsidP="008423D2">
      <w:pPr>
        <w:rPr>
          <w:rFonts w:cs="Arial"/>
          <w:b/>
          <w:bCs/>
          <w:szCs w:val="20"/>
        </w:rPr>
      </w:pPr>
    </w:p>
    <w:p w14:paraId="18C39F53" w14:textId="6BDEEC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Saját bejelentések</w:t>
      </w:r>
    </w:p>
    <w:p w14:paraId="23C40234" w14:textId="263BA32B" w:rsidR="00CA1F9D" w:rsidRDefault="00CA1F9D" w:rsidP="00A62D65">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A62D65">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8423D2">
      <w:pPr>
        <w:rPr>
          <w:rFonts w:cs="Arial"/>
          <w:b/>
          <w:bCs/>
          <w:szCs w:val="20"/>
        </w:rPr>
      </w:pPr>
    </w:p>
    <w:p w14:paraId="4840B60C" w14:textId="447395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1 </w:t>
      </w:r>
      <w:proofErr w:type="spellStart"/>
      <w:r w:rsidRPr="008423D2">
        <w:rPr>
          <w:rFonts w:cs="Arial"/>
          <w:b/>
          <w:bCs/>
          <w:szCs w:val="20"/>
        </w:rPr>
        <w:t>Pmt</w:t>
      </w:r>
      <w:proofErr w:type="spellEnd"/>
      <w:r w:rsidRPr="008423D2">
        <w:rPr>
          <w:rFonts w:cs="Arial"/>
          <w:b/>
          <w:bCs/>
          <w:szCs w:val="20"/>
        </w:rPr>
        <w:t>. 30. §-a alapján pénzmosás gyanúja miatt tett bejelentések</w:t>
      </w:r>
    </w:p>
    <w:p w14:paraId="7594CF5C" w14:textId="2DDCABF2"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w:t>
      </w:r>
      <w:proofErr w:type="spellStart"/>
      <w:r w:rsidRPr="000A5946">
        <w:rPr>
          <w:rFonts w:cs="Arial"/>
          <w:szCs w:val="20"/>
        </w:rPr>
        <w:t>Pmt</w:t>
      </w:r>
      <w:proofErr w:type="spellEnd"/>
      <w:r w:rsidRPr="000A5946">
        <w:rPr>
          <w:rFonts w:cs="Arial"/>
          <w:szCs w:val="20"/>
        </w:rPr>
        <w: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8423D2">
      <w:pPr>
        <w:rPr>
          <w:rFonts w:cs="Arial"/>
          <w:b/>
          <w:bCs/>
          <w:szCs w:val="20"/>
        </w:rPr>
      </w:pPr>
    </w:p>
    <w:p w14:paraId="0C84E1B4" w14:textId="05BD31E4"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2 A </w:t>
      </w:r>
      <w:proofErr w:type="spellStart"/>
      <w:r w:rsidRPr="008423D2">
        <w:rPr>
          <w:rFonts w:cs="Arial"/>
          <w:b/>
          <w:bCs/>
          <w:szCs w:val="20"/>
        </w:rPr>
        <w:t>Pmt</w:t>
      </w:r>
      <w:proofErr w:type="spellEnd"/>
      <w:r w:rsidRPr="008423D2">
        <w:rPr>
          <w:rFonts w:cs="Arial"/>
          <w:b/>
          <w:bCs/>
          <w:szCs w:val="20"/>
        </w:rPr>
        <w:t>. 30. §-a alapján terrorizmus finanszírozása gyanúja miatt tett bejelentések</w:t>
      </w:r>
    </w:p>
    <w:p w14:paraId="60D376AD" w14:textId="462FBC8A"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terrorizmus finanszírozása gyanújával [</w:t>
      </w:r>
      <w:proofErr w:type="spellStart"/>
      <w:r w:rsidRPr="000A5946">
        <w:rPr>
          <w:rFonts w:cs="Arial"/>
          <w:szCs w:val="20"/>
        </w:rPr>
        <w:t>Pmt</w:t>
      </w:r>
      <w:proofErr w:type="spellEnd"/>
      <w:r w:rsidRPr="000A5946">
        <w:rPr>
          <w:rFonts w:cs="Arial"/>
          <w:szCs w:val="20"/>
        </w:rPr>
        <w:t xml:space="preserve">.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8423D2">
      <w:pPr>
        <w:rPr>
          <w:rFonts w:cs="Arial"/>
          <w:b/>
          <w:bCs/>
          <w:szCs w:val="20"/>
        </w:rPr>
      </w:pPr>
    </w:p>
    <w:p w14:paraId="6CA64D7B" w14:textId="2BF3CD41" w:rsidR="00CA1F9D" w:rsidRPr="008423D2" w:rsidRDefault="00CA1F9D" w:rsidP="008423D2">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A62D65">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w:t>
      </w:r>
      <w:r w:rsidRPr="000A5946">
        <w:rPr>
          <w:rFonts w:cs="Arial"/>
          <w:szCs w:val="20"/>
        </w:rPr>
        <w:lastRenderedPageBreak/>
        <w:t xml:space="preserve">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8423D2">
      <w:pPr>
        <w:rPr>
          <w:rFonts w:cs="Arial"/>
          <w:b/>
          <w:bCs/>
          <w:szCs w:val="20"/>
        </w:rPr>
      </w:pPr>
    </w:p>
    <w:p w14:paraId="72099066" w14:textId="04AC0FC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8423D2">
      <w:pPr>
        <w:rPr>
          <w:rFonts w:cs="Arial"/>
          <w:szCs w:val="20"/>
        </w:rPr>
      </w:pPr>
      <w:r w:rsidRPr="000A5946">
        <w:rPr>
          <w:rFonts w:cs="Arial"/>
          <w:szCs w:val="20"/>
        </w:rPr>
        <w:t xml:space="preserve">Azon </w:t>
      </w:r>
      <w:r w:rsidR="004733DC" w:rsidRPr="00D1212B">
        <w:rPr>
          <w:rFonts w:cs="Arial"/>
          <w:szCs w:val="20"/>
        </w:rPr>
        <w:t xml:space="preserve">ügyletek száma és összege, amelyek teljesítését bejelentés alapjául szolgáló adat, tény, körülmény felmerülése miatt az adatszolgáltató a </w:t>
      </w:r>
      <w:proofErr w:type="spellStart"/>
      <w:r w:rsidR="004733DC" w:rsidRPr="00D1212B">
        <w:rPr>
          <w:rFonts w:cs="Arial"/>
          <w:szCs w:val="20"/>
        </w:rPr>
        <w:t>Pmt</w:t>
      </w:r>
      <w:proofErr w:type="spellEnd"/>
      <w:r w:rsidR="004733DC" w:rsidRPr="00D1212B">
        <w:rPr>
          <w:rFonts w:cs="Arial"/>
          <w:szCs w:val="20"/>
        </w:rPr>
        <w: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178B3B0F" w:rsidR="004733DC" w:rsidRPr="00476091" w:rsidRDefault="004733DC" w:rsidP="004733DC">
      <w:pPr>
        <w:rPr>
          <w:rFonts w:cs="Arial"/>
          <w:szCs w:val="20"/>
        </w:rPr>
      </w:pPr>
      <w:r w:rsidRPr="00476091">
        <w:rPr>
          <w:rFonts w:cs="Arial"/>
          <w:szCs w:val="20"/>
        </w:rPr>
        <w:t>A 37C2011 és 37C2012 sorok összege megegyezik az adatszolgáltató által a tárgynegyedévben alkalmazott összes felfüggesztés (37C20) számával.</w:t>
      </w:r>
    </w:p>
    <w:p w14:paraId="7344EE72" w14:textId="77777777" w:rsidR="004733DC" w:rsidRPr="0066505D" w:rsidRDefault="004733DC" w:rsidP="008423D2"/>
    <w:p w14:paraId="2CB830BF" w14:textId="77777777" w:rsidR="00CA1F9D" w:rsidRPr="008423D2" w:rsidRDefault="00CA1F9D" w:rsidP="008423D2">
      <w:pPr>
        <w:rPr>
          <w:rFonts w:cs="Arial"/>
          <w:b/>
          <w:bCs/>
          <w:szCs w:val="20"/>
        </w:rPr>
      </w:pPr>
    </w:p>
    <w:p w14:paraId="07BFF80A" w14:textId="50688529"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w:t>
      </w:r>
      <w:proofErr w:type="spellStart"/>
      <w:r w:rsidRPr="000A5946">
        <w:rPr>
          <w:rFonts w:cs="Arial"/>
          <w:szCs w:val="20"/>
        </w:rPr>
        <w:t>Pmt</w:t>
      </w:r>
      <w:proofErr w:type="spellEnd"/>
      <w:r w:rsidRPr="000A5946">
        <w:rPr>
          <w:rFonts w:cs="Arial"/>
          <w:szCs w:val="20"/>
        </w:rPr>
        <w:t xml:space="preserve">. 34. § (1) bekezdése alapán az adatszolgáltató kezdeményezte. </w:t>
      </w:r>
    </w:p>
    <w:p w14:paraId="659FA02F" w14:textId="77777777" w:rsidR="00CA1F9D" w:rsidRPr="008423D2" w:rsidRDefault="00CA1F9D" w:rsidP="008423D2">
      <w:pPr>
        <w:rPr>
          <w:rFonts w:cs="Arial"/>
          <w:b/>
          <w:bCs/>
          <w:szCs w:val="20"/>
        </w:rPr>
      </w:pPr>
    </w:p>
    <w:p w14:paraId="37D10C8F" w14:textId="7FC6166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 xml:space="preserve">a </w:t>
      </w:r>
      <w:proofErr w:type="spellStart"/>
      <w:r w:rsidRPr="000A5946">
        <w:rPr>
          <w:rFonts w:cs="Arial"/>
          <w:szCs w:val="20"/>
        </w:rPr>
        <w:t>Pmt</w:t>
      </w:r>
      <w:proofErr w:type="spellEnd"/>
      <w:r w:rsidRPr="000A5946">
        <w:rPr>
          <w:rFonts w:cs="Arial"/>
          <w:szCs w:val="20"/>
        </w:rPr>
        <w: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8423D2">
      <w:pPr>
        <w:rPr>
          <w:rFonts w:cs="Arial"/>
          <w:b/>
          <w:bCs/>
          <w:szCs w:val="20"/>
        </w:rPr>
      </w:pPr>
    </w:p>
    <w:p w14:paraId="7149475F" w14:textId="076FF6B1" w:rsidR="00CA1F9D" w:rsidRPr="008423D2" w:rsidRDefault="00CA1F9D" w:rsidP="00A62D65">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w:t>
      </w:r>
      <w:proofErr w:type="spellStart"/>
      <w:r w:rsidRPr="009362A1">
        <w:rPr>
          <w:rFonts w:cs="Arial"/>
          <w:szCs w:val="20"/>
        </w:rPr>
        <w:t>Pmt</w:t>
      </w:r>
      <w:proofErr w:type="spellEnd"/>
      <w:r w:rsidRPr="009362A1">
        <w:rPr>
          <w:rFonts w:cs="Arial"/>
          <w:szCs w:val="20"/>
        </w:rPr>
        <w:t>. 35. § (3) bekezdése alapján a pénzügyi információs egységként működő hatóság jelzésére a felfüggesztést meghosszabbította.</w:t>
      </w:r>
    </w:p>
    <w:p w14:paraId="031132DB" w14:textId="77777777" w:rsidR="00CA1F9D" w:rsidRPr="008423D2" w:rsidRDefault="00CA1F9D" w:rsidP="008423D2">
      <w:pPr>
        <w:rPr>
          <w:rFonts w:cs="Arial"/>
          <w:b/>
          <w:bCs/>
          <w:szCs w:val="20"/>
        </w:rPr>
      </w:pPr>
    </w:p>
    <w:p w14:paraId="4F371D76" w14:textId="7C8876B9" w:rsidR="00975719" w:rsidRDefault="00975719" w:rsidP="00975719">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75719">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8423D2">
      <w:pPr>
        <w:rPr>
          <w:rFonts w:cs="Arial"/>
          <w:b/>
          <w:bCs/>
          <w:szCs w:val="20"/>
        </w:rPr>
      </w:pPr>
    </w:p>
    <w:p w14:paraId="7BE05BBC" w14:textId="40455A0F" w:rsidR="00CA1F9D" w:rsidRPr="008423D2" w:rsidRDefault="00CA1F9D" w:rsidP="008423D2">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A62D65">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 xml:space="preserve">énzügyi információs egységként működő </w:t>
      </w:r>
      <w:proofErr w:type="gramStart"/>
      <w:r w:rsidRPr="00305C86">
        <w:rPr>
          <w:rFonts w:cs="Arial"/>
          <w:szCs w:val="20"/>
        </w:rPr>
        <w:t>hatóságnak</w:t>
      </w:r>
      <w:proofErr w:type="gramEnd"/>
      <w:r w:rsidRPr="00305C86">
        <w:rPr>
          <w:rFonts w:cs="Arial"/>
          <w:szCs w:val="20"/>
        </w:rPr>
        <w:t xml:space="preserve"> mint illetékes hatóságnak bejelentette.</w:t>
      </w:r>
    </w:p>
    <w:p w14:paraId="5E52CD82" w14:textId="77777777" w:rsidR="00CA1F9D" w:rsidRPr="008423D2" w:rsidRDefault="00CA1F9D" w:rsidP="008423D2">
      <w:pPr>
        <w:rPr>
          <w:rFonts w:cs="Arial"/>
          <w:b/>
          <w:bCs/>
          <w:szCs w:val="20"/>
        </w:rPr>
      </w:pPr>
    </w:p>
    <w:p w14:paraId="5A985AC6" w14:textId="77777777" w:rsidR="00975719" w:rsidRDefault="00975719" w:rsidP="00975719">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75719">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8423D2">
      <w:pPr>
        <w:rPr>
          <w:rFonts w:cs="Arial"/>
          <w:b/>
          <w:bCs/>
          <w:szCs w:val="20"/>
        </w:rPr>
      </w:pPr>
    </w:p>
    <w:p w14:paraId="0128B9C5" w14:textId="43E7A2A7" w:rsidR="00CA1F9D" w:rsidRPr="008423D2" w:rsidRDefault="00CA1F9D" w:rsidP="008423D2">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166CF53E" w:rsidR="00CA1F9D" w:rsidRDefault="00975719" w:rsidP="00A62D65">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0725BF">
        <w:rPr>
          <w:rFonts w:cs="Arial"/>
          <w:szCs w:val="20"/>
        </w:rPr>
        <w:t>─</w:t>
      </w:r>
      <w:r w:rsidR="000725BF" w:rsidRPr="004A6D8E">
        <w:rPr>
          <w:rFonts w:cs="Arial"/>
          <w:szCs w:val="20"/>
        </w:rPr>
        <w:t xml:space="preserve"> annak eredményétől függetlenül </w:t>
      </w:r>
      <w:r w:rsidR="000725BF">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6D08FDB9" w:rsidR="000725BF" w:rsidRPr="008423D2" w:rsidRDefault="000725BF" w:rsidP="00A62D65">
      <w:pPr>
        <w:rPr>
          <w:rFonts w:cs="Arial"/>
          <w:szCs w:val="20"/>
        </w:rPr>
      </w:pPr>
      <w:r w:rsidRPr="004A6D8E">
        <w:rPr>
          <w:rFonts w:cs="Arial"/>
          <w:szCs w:val="20"/>
        </w:rPr>
        <w:t>A 37C24 sorban kimutatott adatokat a 37C241</w:t>
      </w:r>
      <w:r>
        <w:rPr>
          <w:rFonts w:cs="Arial"/>
          <w:szCs w:val="20"/>
        </w:rPr>
        <w:t>─</w:t>
      </w:r>
      <w:r w:rsidRPr="004A6D8E">
        <w:rPr>
          <w:rFonts w:cs="Arial"/>
          <w:szCs w:val="20"/>
        </w:rPr>
        <w:t>37C244 sorokban az üzleti kapcsolat vizsgálatát megalapozó tényezőre való tekintettel kell tovább bontani. A 37C24 sor egyenlő a 37C241</w:t>
      </w:r>
      <w:r>
        <w:rPr>
          <w:rFonts w:cs="Arial"/>
          <w:szCs w:val="20"/>
        </w:rPr>
        <w:t>─</w:t>
      </w:r>
      <w:r w:rsidRPr="004A6D8E">
        <w:rPr>
          <w:rFonts w:cs="Arial"/>
          <w:szCs w:val="20"/>
        </w:rPr>
        <w:t>37C244 sorok összegével.</w:t>
      </w:r>
    </w:p>
    <w:p w14:paraId="3FB11EED" w14:textId="77777777" w:rsidR="00CA1F9D" w:rsidRPr="008423D2" w:rsidRDefault="00CA1F9D" w:rsidP="008423D2">
      <w:pPr>
        <w:rPr>
          <w:rFonts w:cs="Arial"/>
          <w:b/>
          <w:bCs/>
          <w:szCs w:val="20"/>
        </w:rPr>
      </w:pPr>
    </w:p>
    <w:p w14:paraId="08FC458D" w14:textId="6976D1C1"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5DBB2DA2"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 xml:space="preserve">az üzleti kapcsolat megszüntetésének </w:t>
      </w:r>
      <w:proofErr w:type="gramStart"/>
      <w:r w:rsidR="000725BF" w:rsidRPr="004A6D8E">
        <w:rPr>
          <w:rFonts w:cs="Arial"/>
          <w:szCs w:val="20"/>
        </w:rPr>
        <w:t>vizsgálatát.</w:t>
      </w:r>
      <w:r w:rsidRPr="008423D2">
        <w:rPr>
          <w:rFonts w:cs="Arial"/>
          <w:szCs w:val="20"/>
        </w:rPr>
        <w:t>.</w:t>
      </w:r>
      <w:proofErr w:type="gramEnd"/>
      <w:r w:rsidRPr="008423D2">
        <w:rPr>
          <w:rFonts w:cs="Arial"/>
          <w:szCs w:val="20"/>
        </w:rPr>
        <w:t xml:space="preserve">  </w:t>
      </w:r>
    </w:p>
    <w:p w14:paraId="450968E5" w14:textId="77777777" w:rsidR="00CA1F9D" w:rsidRPr="008423D2" w:rsidRDefault="00CA1F9D" w:rsidP="008423D2">
      <w:pPr>
        <w:rPr>
          <w:rFonts w:cs="Arial"/>
          <w:b/>
          <w:bCs/>
          <w:szCs w:val="20"/>
        </w:rPr>
      </w:pPr>
    </w:p>
    <w:p w14:paraId="150A0098" w14:textId="70D2818E" w:rsidR="00CA1F9D" w:rsidRPr="008423D2" w:rsidRDefault="00CA1F9D" w:rsidP="008423D2">
      <w:pPr>
        <w:rPr>
          <w:rFonts w:cs="Arial"/>
          <w:b/>
          <w:bCs/>
          <w:szCs w:val="20"/>
        </w:rPr>
      </w:pPr>
      <w:r w:rsidRPr="008423D2">
        <w:rPr>
          <w:rFonts w:cs="Arial"/>
          <w:b/>
          <w:bCs/>
          <w:szCs w:val="20"/>
        </w:rPr>
        <w:lastRenderedPageBreak/>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8423D2">
      <w:pPr>
        <w:rPr>
          <w:rFonts w:cs="Arial"/>
          <w:b/>
          <w:bCs/>
          <w:szCs w:val="20"/>
        </w:rPr>
      </w:pPr>
    </w:p>
    <w:p w14:paraId="09C9EF76" w14:textId="331AF5F2"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33960DEE"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 xml:space="preserve">az üzleti kapcsolat megszüntetésének </w:t>
      </w:r>
      <w:proofErr w:type="gramStart"/>
      <w:r w:rsidR="000725BF" w:rsidRPr="004C0884">
        <w:rPr>
          <w:rFonts w:cs="Arial"/>
          <w:szCs w:val="20"/>
        </w:rPr>
        <w:t>vizsgálatát.</w:t>
      </w:r>
      <w:r w:rsidRPr="008423D2">
        <w:rPr>
          <w:rFonts w:cs="Arial"/>
          <w:szCs w:val="20"/>
        </w:rPr>
        <w:t>.</w:t>
      </w:r>
      <w:proofErr w:type="gramEnd"/>
      <w:r w:rsidRPr="008423D2">
        <w:rPr>
          <w:rFonts w:cs="Arial"/>
          <w:szCs w:val="20"/>
        </w:rPr>
        <w:t xml:space="preserve">  </w:t>
      </w:r>
    </w:p>
    <w:p w14:paraId="0DC9217B" w14:textId="77777777" w:rsidR="00CA1F9D" w:rsidRPr="008423D2" w:rsidRDefault="00CA1F9D" w:rsidP="008423D2">
      <w:pPr>
        <w:rPr>
          <w:rFonts w:cs="Arial"/>
          <w:b/>
          <w:bCs/>
          <w:szCs w:val="20"/>
        </w:rPr>
      </w:pPr>
    </w:p>
    <w:p w14:paraId="1BDC3D77" w14:textId="1EA13223" w:rsidR="000725BF" w:rsidRDefault="000725BF" w:rsidP="000725BF">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0725BF">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8423D2">
      <w:pPr>
        <w:rPr>
          <w:rFonts w:cs="Arial"/>
          <w:b/>
          <w:bCs/>
          <w:szCs w:val="20"/>
        </w:rPr>
      </w:pPr>
    </w:p>
    <w:p w14:paraId="36093181" w14:textId="7B7A0228" w:rsidR="00CA1F9D" w:rsidRPr="008423D2" w:rsidRDefault="00CA1F9D" w:rsidP="008423D2">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8423D2">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proofErr w:type="spellStart"/>
      <w:r w:rsidRPr="00D60B09">
        <w:rPr>
          <w:rFonts w:cs="Arial"/>
          <w:szCs w:val="20"/>
        </w:rPr>
        <w:t>Pmt</w:t>
      </w:r>
      <w:proofErr w:type="spellEnd"/>
      <w:r w:rsidRPr="00D60B09">
        <w:rPr>
          <w:rFonts w:cs="Arial"/>
          <w:szCs w:val="20"/>
        </w:rPr>
        <w:t xml:space="preserve">. 35. § (1) bekezdése alapján elrendelt felfüggesztés, valamint a </w:t>
      </w:r>
      <w:proofErr w:type="spellStart"/>
      <w:r w:rsidRPr="00D60B09">
        <w:rPr>
          <w:rFonts w:cs="Arial"/>
          <w:szCs w:val="20"/>
        </w:rPr>
        <w:t>Pmt</w:t>
      </w:r>
      <w:proofErr w:type="spellEnd"/>
      <w:r w:rsidRPr="00D60B09">
        <w:rPr>
          <w:rFonts w:cs="Arial"/>
          <w:szCs w:val="20"/>
        </w:rPr>
        <w: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8423D2">
      <w:pPr>
        <w:rPr>
          <w:rFonts w:cs="Arial"/>
          <w:b/>
          <w:bCs/>
          <w:szCs w:val="20"/>
        </w:rPr>
      </w:pPr>
    </w:p>
    <w:p w14:paraId="0C1F7C52" w14:textId="0677FB12" w:rsidR="00CA1F9D" w:rsidRPr="008423D2" w:rsidRDefault="00CA1F9D" w:rsidP="008423D2">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A62D65">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8423D2">
      <w:pPr>
        <w:rPr>
          <w:rFonts w:cs="Arial"/>
          <w:b/>
          <w:bCs/>
          <w:szCs w:val="20"/>
        </w:rPr>
      </w:pPr>
    </w:p>
    <w:p w14:paraId="45F10284" w14:textId="0B7944E4" w:rsidR="009243F5" w:rsidRPr="008423D2" w:rsidRDefault="00CA1F9D" w:rsidP="008423D2">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8423D2">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8423D2">
      <w:pPr>
        <w:rPr>
          <w:rFonts w:cs="Arial"/>
          <w:b/>
          <w:bCs/>
          <w:szCs w:val="20"/>
        </w:rPr>
      </w:pPr>
    </w:p>
    <w:p w14:paraId="7C86FF8F" w14:textId="579EDBB2" w:rsidR="00CA1F9D" w:rsidRPr="008423D2" w:rsidRDefault="00CA1F9D" w:rsidP="008423D2">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4E8C8092" w:rsidR="00CA1F9D" w:rsidRPr="008423D2" w:rsidRDefault="00CA1F9D" w:rsidP="008423D2">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1547503B" w14:textId="6BDDB641" w:rsidR="00CA1F9D" w:rsidRDefault="00CA1F9D" w:rsidP="00CA1F9D">
      <w:pPr>
        <w:rPr>
          <w:lang w:eastAsia="x-none"/>
        </w:rPr>
      </w:pPr>
    </w:p>
    <w:p w14:paraId="4A67B491" w14:textId="77777777" w:rsidR="00CA1F9D" w:rsidRDefault="00CA1F9D" w:rsidP="00CA1F9D">
      <w:pPr>
        <w:rPr>
          <w:rFonts w:cs="Arial"/>
          <w:b/>
          <w:szCs w:val="20"/>
        </w:rPr>
      </w:pPr>
    </w:p>
    <w:p w14:paraId="0310969A" w14:textId="5B6EF2DB" w:rsidR="00CA1F9D" w:rsidRPr="008423D2" w:rsidRDefault="00CA1F9D" w:rsidP="00E666C9">
      <w:pPr>
        <w:pStyle w:val="Cmsor3"/>
      </w:pPr>
      <w:r w:rsidRPr="008423D2">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t xml:space="preserve">A táblában </w:t>
      </w:r>
      <w:r w:rsidRPr="00CA1F9D">
        <w:rPr>
          <w:rFonts w:cs="Arial"/>
          <w:color w:val="auto"/>
          <w:szCs w:val="20"/>
        </w:rPr>
        <w:t xml:space="preserve">az adatszolgáltató tulajdonosi szerkezetéről, ügyfeleiről, valamint az általa a </w:t>
      </w:r>
      <w:proofErr w:type="spellStart"/>
      <w:r w:rsidRPr="00CA1F9D">
        <w:rPr>
          <w:rFonts w:cs="Arial"/>
          <w:color w:val="auto"/>
          <w:szCs w:val="20"/>
        </w:rPr>
        <w:t>Pmt</w:t>
      </w:r>
      <w:proofErr w:type="spellEnd"/>
      <w:r w:rsidRPr="00CA1F9D">
        <w:rPr>
          <w:rFonts w:cs="Arial"/>
          <w:color w:val="auto"/>
          <w:szCs w:val="20"/>
        </w:rPr>
        <w: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39" w:name="_Hlk43991878"/>
      <w:r w:rsidR="00A87C90">
        <w:rPr>
          <w:rFonts w:cs="Arial"/>
          <w:bCs/>
          <w:szCs w:val="20"/>
        </w:rPr>
        <w:t xml:space="preserve">a </w:t>
      </w:r>
      <w:r w:rsidRPr="000245B3">
        <w:rPr>
          <w:rFonts w:cs="Arial"/>
          <w:bCs/>
          <w:szCs w:val="20"/>
        </w:rPr>
        <w:t>428/2009/EK tanácsi rendelet</w:t>
      </w:r>
      <w:bookmarkEnd w:id="39"/>
      <w:r w:rsidRPr="000245B3">
        <w:rPr>
          <w:rFonts w:cs="Arial"/>
          <w:bCs/>
          <w:szCs w:val="20"/>
        </w:rPr>
        <w:t xml:space="preserve"> 2. cikk 1. pontja szerinti, a hivatkozott tanácsi rendelet I. mellékletét képező jegyzékben szereplő termék;</w:t>
      </w:r>
    </w:p>
    <w:p w14:paraId="14E080C6" w14:textId="04C54DF9" w:rsidR="00CA1F9D" w:rsidRPr="0066505D" w:rsidRDefault="00CA1F9D" w:rsidP="00CA1F9D">
      <w:pPr>
        <w:numPr>
          <w:ilvl w:val="0"/>
          <w:numId w:val="32"/>
        </w:numPr>
      </w:pPr>
      <w:r w:rsidRPr="000245B3">
        <w:rPr>
          <w:rFonts w:cs="Arial"/>
          <w:bCs/>
          <w:i/>
          <w:szCs w:val="20"/>
        </w:rPr>
        <w:lastRenderedPageBreak/>
        <w:t>kiemelt kockázatú ország</w:t>
      </w:r>
      <w:r w:rsidRPr="000245B3">
        <w:rPr>
          <w:rFonts w:cs="Arial"/>
          <w:bCs/>
          <w:iCs/>
          <w:szCs w:val="20"/>
        </w:rPr>
        <w:t xml:space="preserve">: </w:t>
      </w:r>
      <w:r w:rsidR="00902DBB" w:rsidRPr="00222408">
        <w:rPr>
          <w:rFonts w:cs="Arial"/>
          <w:szCs w:val="20"/>
        </w:rPr>
        <w:t xml:space="preserve">a </w:t>
      </w:r>
      <w:proofErr w:type="spellStart"/>
      <w:r w:rsidR="00902DBB" w:rsidRPr="00222408">
        <w:rPr>
          <w:rFonts w:cs="Arial"/>
          <w:szCs w:val="20"/>
        </w:rPr>
        <w:t>Pmt</w:t>
      </w:r>
      <w:proofErr w:type="spellEnd"/>
      <w:r w:rsidR="00902DBB" w:rsidRPr="00222408">
        <w:rPr>
          <w:rFonts w:cs="Arial"/>
          <w:szCs w:val="20"/>
        </w:rPr>
        <w:t xml:space="preserve">. 3. § 31. pontja szerinti stratégiai hiányosságokkal rendelkező, kiemelt kockázatot jelentő harmadik </w:t>
      </w:r>
      <w:r w:rsidR="00902DBB" w:rsidRPr="0001079D">
        <w:rPr>
          <w:rFonts w:cs="Arial"/>
          <w:szCs w:val="20"/>
        </w:rPr>
        <w:t>ország</w:t>
      </w:r>
      <w:r w:rsidR="0001079D">
        <w:rPr>
          <w:rFonts w:cs="Arial"/>
          <w:szCs w:val="20"/>
        </w:rPr>
        <w:t>;</w:t>
      </w:r>
    </w:p>
    <w:p w14:paraId="03B8F284"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w:t>
      </w:r>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 és (2) bekezdése szerinti természetes személy;</w:t>
      </w:r>
    </w:p>
    <w:p w14:paraId="693C6979"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 közeli hozzátartozója</w:t>
      </w:r>
      <w:r w:rsidRPr="00CA1F9D">
        <w:rPr>
          <w:rFonts w:cs="Arial"/>
          <w:bCs/>
          <w:color w:val="auto"/>
          <w:szCs w:val="20"/>
        </w:rPr>
        <w:t xml:space="preserve">: a </w:t>
      </w:r>
      <w:proofErr w:type="spellStart"/>
      <w:r w:rsidRPr="00CA1F9D">
        <w:rPr>
          <w:rFonts w:cs="Arial"/>
          <w:bCs/>
          <w:szCs w:val="20"/>
        </w:rPr>
        <w:t>Pmt</w:t>
      </w:r>
      <w:proofErr w:type="spellEnd"/>
      <w:r w:rsidRPr="00CA1F9D">
        <w:rPr>
          <w:rFonts w:cs="Arial"/>
          <w:bCs/>
          <w:szCs w:val="20"/>
        </w:rPr>
        <w:t xml:space="preserve">. 4. § (3) bekezdése szerinti természetes személy; </w:t>
      </w:r>
    </w:p>
    <w:p w14:paraId="4DA737A6" w14:textId="50B45A0B"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szCs w:val="20"/>
        </w:rPr>
        <w:t>kiemelt közszereplővel közeli kapcsolatban álló személy</w:t>
      </w:r>
      <w:r w:rsidRPr="00CA1F9D">
        <w:rPr>
          <w:rFonts w:cs="Arial"/>
          <w:bCs/>
          <w:szCs w:val="20"/>
        </w:rPr>
        <w:t xml:space="preserve">: </w:t>
      </w:r>
      <w:r w:rsidR="00AC60A9">
        <w:rPr>
          <w:rFonts w:cs="Arial"/>
          <w:bCs/>
          <w:szCs w:val="20"/>
        </w:rPr>
        <w:t xml:space="preserve">a </w:t>
      </w:r>
      <w:proofErr w:type="spellStart"/>
      <w:r w:rsidRPr="00CA1F9D">
        <w:rPr>
          <w:rFonts w:cs="Arial"/>
          <w:bCs/>
          <w:szCs w:val="20"/>
        </w:rPr>
        <w:t>Pmt</w:t>
      </w:r>
      <w:proofErr w:type="spellEnd"/>
      <w:r w:rsidRPr="00CA1F9D">
        <w:rPr>
          <w:rFonts w:cs="Arial"/>
          <w:bCs/>
          <w:szCs w:val="20"/>
        </w:rPr>
        <w:t>. 4. § (4) bekezdése szerinti természetes személy;</w:t>
      </w:r>
    </w:p>
    <w:p w14:paraId="075C11B4" w14:textId="186098D0" w:rsidR="00CA1F9D" w:rsidRPr="000245B3" w:rsidRDefault="00CA1F9D" w:rsidP="00CA1F9D">
      <w:pPr>
        <w:pStyle w:val="Listaszerbekezds"/>
        <w:numPr>
          <w:ilvl w:val="0"/>
          <w:numId w:val="32"/>
        </w:numPr>
        <w:rPr>
          <w:rFonts w:cs="Arial"/>
          <w:i/>
          <w:iCs/>
          <w:szCs w:val="20"/>
        </w:rPr>
      </w:pPr>
      <w:bookmarkStart w:id="40" w:name="_Hlk41120621"/>
      <w:bookmarkStart w:id="41" w:name="_Hlk41034635"/>
      <w:bookmarkStart w:id="42" w:name="_Hlk41226725"/>
      <w:r w:rsidRPr="000245B3">
        <w:rPr>
          <w:rFonts w:cs="Arial"/>
          <w:i/>
          <w:iCs/>
          <w:szCs w:val="20"/>
        </w:rPr>
        <w:t>magas kockázatúnak minősített ország, térség:</w:t>
      </w:r>
      <w:r w:rsidRPr="000245B3">
        <w:rPr>
          <w:rFonts w:cs="Arial"/>
          <w:szCs w:val="20"/>
        </w:rPr>
        <w:t xml:space="preserve"> </w:t>
      </w:r>
      <w:bookmarkStart w:id="43" w:name="_Hlk43990712"/>
      <w:r w:rsidRPr="000245B3">
        <w:rPr>
          <w:rFonts w:cs="Arial"/>
          <w:szCs w:val="20"/>
        </w:rPr>
        <w:t>a 21/2017. (VIII.</w:t>
      </w:r>
      <w:r w:rsidR="0065653B" w:rsidRPr="000245B3">
        <w:rPr>
          <w:rFonts w:cs="Arial"/>
          <w:szCs w:val="20"/>
          <w:lang w:val="hu-HU"/>
        </w:rPr>
        <w:t xml:space="preserve"> </w:t>
      </w:r>
      <w:r w:rsidRPr="000245B3">
        <w:rPr>
          <w:rFonts w:cs="Arial"/>
          <w:szCs w:val="20"/>
        </w:rPr>
        <w:t xml:space="preserve">3.) </w:t>
      </w:r>
      <w:proofErr w:type="spellStart"/>
      <w:r w:rsidRPr="000245B3">
        <w:rPr>
          <w:rFonts w:cs="Arial"/>
          <w:szCs w:val="20"/>
        </w:rPr>
        <w:t>NGM</w:t>
      </w:r>
      <w:proofErr w:type="spellEnd"/>
      <w:r w:rsidRPr="000245B3">
        <w:rPr>
          <w:rFonts w:cs="Arial"/>
          <w:szCs w:val="20"/>
        </w:rPr>
        <w:t xml:space="preserve"> rendelet</w:t>
      </w:r>
      <w:bookmarkEnd w:id="43"/>
      <w:r w:rsidRPr="000245B3">
        <w:rPr>
          <w:rFonts w:cs="Arial"/>
          <w:szCs w:val="20"/>
        </w:rPr>
        <w:t xml:space="preserve"> 2. melléklet 3. pontjában foglaltak alapján, az adatszolgáltató által magas kockázatúnak minősített ország, térség;</w:t>
      </w:r>
      <w:bookmarkEnd w:id="40"/>
      <w:bookmarkEnd w:id="41"/>
      <w:bookmarkEnd w:id="42"/>
    </w:p>
    <w:p w14:paraId="4918C0CA" w14:textId="77777777" w:rsidR="00CA1F9D" w:rsidRPr="000245B3" w:rsidRDefault="00CA1F9D" w:rsidP="00CA1F9D">
      <w:pPr>
        <w:numPr>
          <w:ilvl w:val="0"/>
          <w:numId w:val="32"/>
        </w:numPr>
        <w:rPr>
          <w:rFonts w:cs="Arial"/>
          <w:szCs w:val="20"/>
        </w:rPr>
      </w:pPr>
      <w:r w:rsidRPr="000245B3">
        <w:rPr>
          <w:rFonts w:cs="Arial"/>
          <w:i/>
          <w:szCs w:val="20"/>
        </w:rPr>
        <w:t xml:space="preserve">összetett tulajdonosi struktúra: </w:t>
      </w:r>
      <w:r w:rsidRPr="000245B3">
        <w:rPr>
          <w:rFonts w:cs="Arial"/>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4B71D7B0" w14:textId="77777777" w:rsidR="00CA1F9D" w:rsidRPr="000245B3" w:rsidRDefault="00CA1F9D" w:rsidP="00CA1F9D">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696C4D0F" w14:textId="77777777" w:rsidR="00CA1F9D" w:rsidRPr="00CA1F9D" w:rsidRDefault="00CA1F9D" w:rsidP="00CA1F9D">
      <w:pPr>
        <w:pStyle w:val="Default"/>
        <w:numPr>
          <w:ilvl w:val="0"/>
          <w:numId w:val="32"/>
        </w:numPr>
        <w:adjustRightInd w:val="0"/>
        <w:jc w:val="both"/>
        <w:rPr>
          <w:rFonts w:cs="Arial"/>
          <w:bCs/>
          <w:color w:val="auto"/>
          <w:szCs w:val="20"/>
        </w:rPr>
      </w:pPr>
      <w:r w:rsidRPr="00F52330">
        <w:rPr>
          <w:rFonts w:cs="Arial"/>
          <w:bCs/>
          <w:i/>
          <w:szCs w:val="20"/>
        </w:rPr>
        <w:t>tényleges</w:t>
      </w:r>
      <w:r w:rsidRPr="00CA1F9D">
        <w:rPr>
          <w:rFonts w:cs="Arial"/>
          <w:bCs/>
          <w:i/>
          <w:szCs w:val="20"/>
        </w:rPr>
        <w:t xml:space="preserve"> tulajdonos:</w:t>
      </w:r>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xml:space="preserve">. 3. § 38. pontja szerinti jogalany; </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 xml:space="preserve">akit a </w:t>
      </w:r>
      <w:proofErr w:type="spellStart"/>
      <w:r w:rsidRPr="000245B3">
        <w:rPr>
          <w:rFonts w:cs="Arial"/>
          <w:bCs/>
          <w:szCs w:val="20"/>
        </w:rPr>
        <w:t>Pmt</w:t>
      </w:r>
      <w:proofErr w:type="spellEnd"/>
      <w:r w:rsidRPr="000245B3">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4190AEE6" w14:textId="77777777" w:rsidR="00CA1F9D" w:rsidRPr="000245B3" w:rsidRDefault="00CA1F9D" w:rsidP="00CA1F9D">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66927DA7" w14:textId="77777777" w:rsidR="00CA1F9D" w:rsidRPr="000245B3" w:rsidRDefault="00CA1F9D" w:rsidP="00CA1F9D">
      <w:pPr>
        <w:rPr>
          <w:rFonts w:cs="Arial"/>
          <w:b/>
          <w:bCs/>
          <w:szCs w:val="20"/>
        </w:rPr>
      </w:pPr>
    </w:p>
    <w:p w14:paraId="1CEB502E" w14:textId="77777777" w:rsidR="00CA1F9D" w:rsidRPr="00CA1F9D" w:rsidRDefault="00CA1F9D" w:rsidP="00CA1F9D">
      <w:pPr>
        <w:pStyle w:val="Default"/>
        <w:jc w:val="both"/>
        <w:rPr>
          <w:rFonts w:cs="Arial"/>
          <w:bCs/>
          <w:color w:val="auto"/>
          <w:szCs w:val="20"/>
        </w:rPr>
      </w:pPr>
    </w:p>
    <w:p w14:paraId="23443055" w14:textId="77777777" w:rsidR="00751CF2" w:rsidRDefault="00751CF2" w:rsidP="00CA1F9D">
      <w:pPr>
        <w:pStyle w:val="Default"/>
        <w:jc w:val="both"/>
        <w:rPr>
          <w:rFonts w:cs="Arial"/>
          <w:b/>
          <w:bCs/>
          <w:color w:val="auto"/>
          <w:szCs w:val="20"/>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409B32DE" w:rsidR="00CA1F9D" w:rsidRPr="008423D2" w:rsidRDefault="00CA1F9D" w:rsidP="008423D2">
      <w:pPr>
        <w:autoSpaceDE w:val="0"/>
        <w:autoSpaceDN w:val="0"/>
        <w:adjustRightInd w:val="0"/>
        <w:rPr>
          <w:rFonts w:cs="Arial"/>
          <w:szCs w:val="20"/>
        </w:rPr>
      </w:pPr>
      <w:r w:rsidRPr="008423D2">
        <w:rPr>
          <w:rFonts w:cs="Arial"/>
          <w:bCs/>
          <w:szCs w:val="20"/>
        </w:rPr>
        <w:t xml:space="preserve">A tábla 2., illetve 3. oszlopában, </w:t>
      </w:r>
      <w:bookmarkStart w:id="44"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44"/>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oly módon, hogy az ügyféltételek közül nem kell figyelembe venni az ügyfél saját 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lastRenderedPageBreak/>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w:t>
      </w:r>
      <w:proofErr w:type="spellStart"/>
      <w:r w:rsidRPr="008423D2">
        <w:rPr>
          <w:rFonts w:cs="Arial"/>
          <w:b/>
          <w:bCs/>
          <w:szCs w:val="20"/>
        </w:rPr>
        <w:t>FTE</w:t>
      </w:r>
      <w:proofErr w:type="spellEnd"/>
      <w:r w:rsidRPr="008423D2">
        <w:rPr>
          <w:rFonts w:cs="Arial"/>
          <w:b/>
          <w:bCs/>
          <w:szCs w:val="20"/>
        </w:rPr>
        <w:t>)</w:t>
      </w:r>
    </w:p>
    <w:p w14:paraId="51A038D5" w14:textId="040B1830" w:rsidR="00CA1F9D" w:rsidRDefault="00CA1F9D" w:rsidP="00AC60A9">
      <w:pPr>
        <w:rPr>
          <w:rFonts w:cs="Arial"/>
          <w:szCs w:val="20"/>
        </w:rPr>
      </w:pPr>
      <w:r w:rsidRPr="000A5946">
        <w:rPr>
          <w:rFonts w:cs="Arial"/>
          <w:szCs w:val="20"/>
        </w:rPr>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r w:rsidRPr="00DD38B9">
        <w:rPr>
          <w:rFonts w:cs="Arial"/>
          <w:szCs w:val="20"/>
        </w:rPr>
        <w:t>AML</w:t>
      </w:r>
      <w:r>
        <w:rPr>
          <w:rFonts w:cs="Arial"/>
          <w:szCs w:val="20"/>
        </w:rPr>
        <w:t>)</w:t>
      </w:r>
      <w:r w:rsidRPr="00DD38B9">
        <w:rPr>
          <w:rFonts w:cs="Arial"/>
          <w:szCs w:val="20"/>
        </w:rPr>
        <w:t xml:space="preserve"> rendelkezésére álló teljes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sor vonatkozásában nem kell figyelembe venni az általános compliance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w:t>
      </w:r>
      <w:proofErr w:type="spellStart"/>
      <w:r w:rsidR="00EC2BB3" w:rsidRPr="00B151A6">
        <w:rPr>
          <w:rFonts w:cs="Arial"/>
          <w:szCs w:val="20"/>
        </w:rPr>
        <w:t>learning</w:t>
      </w:r>
      <w:proofErr w:type="spellEnd"/>
      <w:r w:rsidR="00EC2BB3" w:rsidRPr="00B151A6">
        <w:rPr>
          <w:rFonts w:cs="Arial"/>
          <w:szCs w:val="20"/>
        </w:rPr>
        <w:t xml:space="preserve"> jellegű, általános vagy 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45"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p w14:paraId="6C846ACF" w14:textId="39642417" w:rsidR="00CA1F9D" w:rsidRPr="008423D2" w:rsidRDefault="00EC2BB3" w:rsidP="00EC2BB3">
      <w:pPr>
        <w:rPr>
          <w:rFonts w:cs="Arial"/>
          <w:szCs w:val="20"/>
        </w:rPr>
      </w:pPr>
      <w:r w:rsidRPr="00B151A6">
        <w:rPr>
          <w:rFonts w:cs="Arial"/>
          <w:szCs w:val="20"/>
        </w:rPr>
        <w:t xml:space="preserve">Tekintettel a </w:t>
      </w:r>
      <w:proofErr w:type="spellStart"/>
      <w:r w:rsidRPr="00B151A6">
        <w:rPr>
          <w:rFonts w:cs="Arial"/>
          <w:szCs w:val="20"/>
        </w:rPr>
        <w:t>Pmt</w:t>
      </w:r>
      <w:proofErr w:type="spellEnd"/>
      <w:r w:rsidRPr="00B151A6">
        <w:rPr>
          <w:rFonts w:cs="Arial"/>
          <w:szCs w:val="20"/>
        </w:rPr>
        <w:t>. 6/A. §</w:t>
      </w:r>
      <w:r>
        <w:rPr>
          <w:rFonts w:cs="Arial"/>
          <w:szCs w:val="20"/>
        </w:rPr>
        <w:t>-ára,</w:t>
      </w:r>
      <w:bookmarkEnd w:id="45"/>
      <w:r w:rsidR="00CA1F9D" w:rsidRPr="008423D2">
        <w:rPr>
          <w:rFonts w:cs="Arial"/>
          <w:szCs w:val="20"/>
        </w:rPr>
        <w:t xml:space="preserve"> </w:t>
      </w:r>
      <w:r>
        <w:rPr>
          <w:rFonts w:cs="Arial"/>
          <w:szCs w:val="20"/>
        </w:rPr>
        <w:t>e</w:t>
      </w:r>
      <w:r w:rsidR="00CA1F9D" w:rsidRPr="008423D2">
        <w:rPr>
          <w:rFonts w:cs="Arial"/>
          <w:szCs w:val="20"/>
        </w:rPr>
        <w:t xml:space="preserve">zen sorban megadott adat egyenlő a </w:t>
      </w:r>
      <w:r w:rsidRPr="00B151A6">
        <w:rPr>
          <w:rFonts w:cs="Arial"/>
          <w:szCs w:val="20"/>
        </w:rPr>
        <w:t>kockázati kategória szerinti bontásba</w:t>
      </w:r>
      <w:r>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46" w:name="_Hlk142288420"/>
      <w:r w:rsidRPr="008423D2">
        <w:rPr>
          <w:rFonts w:cs="Arial"/>
          <w:b/>
          <w:bCs/>
          <w:szCs w:val="20"/>
        </w:rPr>
        <w:t>37D0411</w:t>
      </w:r>
      <w:bookmarkEnd w:id="46"/>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4E1DF015" w:rsidR="00CA1F9D" w:rsidRPr="008423D2" w:rsidRDefault="00CA1F9D" w:rsidP="008423D2">
      <w:pPr>
        <w:rPr>
          <w:rFonts w:cs="Arial"/>
          <w:b/>
          <w:bCs/>
          <w:szCs w:val="20"/>
        </w:rPr>
      </w:pPr>
      <w:r w:rsidRPr="008423D2">
        <w:rPr>
          <w:rFonts w:cs="Arial"/>
          <w:b/>
          <w:bCs/>
          <w:szCs w:val="20"/>
        </w:rPr>
        <w:t>37D04111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77777777" w:rsidR="00EC2BB3" w:rsidRDefault="00EC2BB3" w:rsidP="00EC2BB3">
      <w:pPr>
        <w:rPr>
          <w:rFonts w:cs="Arial"/>
          <w:b/>
          <w:bCs/>
          <w:szCs w:val="20"/>
        </w:rPr>
      </w:pPr>
      <w:r w:rsidRPr="00476091">
        <w:rPr>
          <w:rFonts w:cs="Arial"/>
          <w:b/>
          <w:bCs/>
          <w:szCs w:val="20"/>
        </w:rPr>
        <w:t>37D04112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77777777" w:rsidR="00EC2BB3" w:rsidRDefault="00EC2BB3" w:rsidP="00EC2BB3">
      <w:pPr>
        <w:rPr>
          <w:rFonts w:cs="Arial"/>
          <w:b/>
          <w:bCs/>
          <w:szCs w:val="20"/>
        </w:rPr>
      </w:pPr>
      <w:r w:rsidRPr="00476091">
        <w:rPr>
          <w:rFonts w:cs="Arial"/>
          <w:b/>
          <w:bCs/>
          <w:szCs w:val="20"/>
        </w:rPr>
        <w:t>37D04113 Ügyfél tényleges tulajdonosa kiemelt közszereplő, kiemelt közszereplő közeli hozzátartozója, kiemelt közszereplővel közeli kapcsolatban álló személy</w:t>
      </w:r>
    </w:p>
    <w:p w14:paraId="1C59015C" w14:textId="26C13054" w:rsidR="00EC2BB3" w:rsidRDefault="00EC2BB3" w:rsidP="00EC2BB3">
      <w:pPr>
        <w:rPr>
          <w:rFonts w:cs="Arial"/>
          <w:b/>
          <w:bCs/>
          <w:szCs w:val="20"/>
        </w:rPr>
      </w:pPr>
      <w:r w:rsidRPr="00B151A6">
        <w:rPr>
          <w:rFonts w:cs="Arial"/>
          <w:szCs w:val="20"/>
        </w:rPr>
        <w:t xml:space="preserve">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B151A6">
        <w:rPr>
          <w:rFonts w:cs="Arial"/>
          <w:szCs w:val="20"/>
        </w:rPr>
        <w:t>Pmt</w:t>
      </w:r>
      <w:proofErr w:type="spellEnd"/>
      <w:r w:rsidRPr="00B151A6">
        <w:rPr>
          <w:rFonts w:cs="Arial"/>
          <w:szCs w:val="20"/>
        </w:rPr>
        <w:t>. 16. § (1) bekezdés d) pontja alapján a többségi tulajdonú állami vállalat</w:t>
      </w:r>
      <w:r w:rsidR="00C81201">
        <w:rPr>
          <w:rFonts w:cs="Arial"/>
          <w:szCs w:val="20"/>
        </w:rPr>
        <w:t>nak a</w:t>
      </w:r>
      <w:r w:rsidRPr="00B151A6">
        <w:rPr>
          <w:rFonts w:cs="Arial"/>
          <w:szCs w:val="20"/>
        </w:rPr>
        <w:t xml:space="preserve"> </w:t>
      </w:r>
      <w:proofErr w:type="spellStart"/>
      <w:r>
        <w:rPr>
          <w:rFonts w:cs="Arial"/>
          <w:szCs w:val="20"/>
        </w:rPr>
        <w:t>Pmt</w:t>
      </w:r>
      <w:proofErr w:type="spellEnd"/>
      <w:r>
        <w:rPr>
          <w:rFonts w:cs="Arial"/>
          <w:szCs w:val="20"/>
        </w:rPr>
        <w:t xml:space="preserve">. </w:t>
      </w:r>
      <w:r w:rsidRPr="00B151A6">
        <w:rPr>
          <w:rFonts w:cs="Arial"/>
          <w:szCs w:val="20"/>
        </w:rPr>
        <w:t xml:space="preserve">3. § 38. pont f) </w:t>
      </w:r>
      <w:r>
        <w:rPr>
          <w:rFonts w:cs="Arial"/>
          <w:szCs w:val="20"/>
        </w:rPr>
        <w:t>al</w:t>
      </w:r>
      <w:r w:rsidRPr="00B151A6">
        <w:rPr>
          <w:rFonts w:cs="Arial"/>
          <w:szCs w:val="20"/>
        </w:rPr>
        <w:t>pont</w:t>
      </w:r>
      <w:r>
        <w:rPr>
          <w:rFonts w:cs="Arial"/>
          <w:szCs w:val="20"/>
        </w:rPr>
        <w:t>ja</w:t>
      </w:r>
      <w:r w:rsidRPr="00B151A6">
        <w:rPr>
          <w:rFonts w:cs="Arial"/>
          <w:szCs w:val="20"/>
        </w:rPr>
        <w:t xml:space="preserve"> alapján megállapított tényleges tulajdonosa </w:t>
      </w:r>
      <w:r>
        <w:rPr>
          <w:rFonts w:cs="Arial"/>
          <w:szCs w:val="20"/>
        </w:rPr>
        <w:t xml:space="preserve">nem esik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 ezen személyekre vonatkozó adat ebben a sorban nem szerepeltetendő.</w:t>
      </w:r>
    </w:p>
    <w:p w14:paraId="18C31EF4" w14:textId="77777777" w:rsidR="00EC2BB3" w:rsidRDefault="00EC2BB3" w:rsidP="008423D2">
      <w:pPr>
        <w:rPr>
          <w:rFonts w:cs="Arial"/>
          <w:b/>
          <w:bCs/>
          <w:szCs w:val="20"/>
        </w:rPr>
      </w:pPr>
    </w:p>
    <w:p w14:paraId="0B717CE6" w14:textId="707D7A20" w:rsidR="00CA1F9D" w:rsidRPr="008423D2" w:rsidRDefault="00CA1F9D" w:rsidP="008423D2">
      <w:pPr>
        <w:rPr>
          <w:rFonts w:cs="Arial"/>
          <w:b/>
          <w:bCs/>
          <w:szCs w:val="20"/>
        </w:rPr>
      </w:pPr>
      <w:r w:rsidRPr="008423D2">
        <w:rPr>
          <w:rFonts w:cs="Arial"/>
          <w:b/>
          <w:bCs/>
          <w:szCs w:val="20"/>
        </w:rPr>
        <w:t>37D04114 Nonprofit gazdasági társaság ügyfelek</w:t>
      </w:r>
    </w:p>
    <w:p w14:paraId="1BD132B0" w14:textId="2C4A6888"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ügyfelek száma, illetve számláikon végrehajtott jóváírások és terhelések éves összesített értékösszege, akik esetében az adatszolgáltató – belső kockázatértékelése alapján – fokozott ügyfél-átvilágítási intézkedések alkalmazását írja elő. Nonprofit szervezet</w:t>
      </w:r>
      <w:r w:rsidR="00F645BD">
        <w:rPr>
          <w:rFonts w:cs="Arial"/>
          <w:szCs w:val="20"/>
        </w:rPr>
        <w:t>nek minősül az a jogalany</w:t>
      </w:r>
      <w:r w:rsidR="00F645BD" w:rsidRPr="00723415">
        <w:rPr>
          <w:rFonts w:cs="Arial"/>
          <w:szCs w:val="20"/>
        </w:rPr>
        <w:t>, a</w:t>
      </w:r>
      <w:r w:rsidR="00F645BD">
        <w:rPr>
          <w:rFonts w:cs="Arial"/>
          <w:szCs w:val="20"/>
        </w:rPr>
        <w:t>melynek</w:t>
      </w:r>
      <w:r w:rsidR="00F645BD" w:rsidRPr="00723415">
        <w:rPr>
          <w:rFonts w:cs="Arial"/>
          <w:szCs w:val="20"/>
        </w:rPr>
        <w:t xml:space="preserve"> </w:t>
      </w:r>
      <w:r w:rsidRPr="008423D2">
        <w:rPr>
          <w:rFonts w:cs="Arial"/>
          <w:szCs w:val="20"/>
        </w:rPr>
        <w:t>létesítése elsődlegesen nem gazdasági tevékenység során biztosított vagyonszerzést céloz (pl. alapítvány, egyesület, párt, egyház).</w:t>
      </w:r>
    </w:p>
    <w:p w14:paraId="54314462" w14:textId="77777777" w:rsidR="0078010C" w:rsidRDefault="0078010C" w:rsidP="00CA1F9D">
      <w:pPr>
        <w:rPr>
          <w:rFonts w:cs="Arial"/>
          <w:b/>
          <w:bCs/>
          <w:szCs w:val="20"/>
        </w:rPr>
      </w:pPr>
    </w:p>
    <w:p w14:paraId="43924714" w14:textId="0FA8A792" w:rsidR="00CA1F9D" w:rsidRPr="008423D2" w:rsidRDefault="00CA1F9D" w:rsidP="008423D2">
      <w:pPr>
        <w:rPr>
          <w:rFonts w:cs="Arial"/>
          <w:b/>
          <w:bCs/>
          <w:szCs w:val="20"/>
        </w:rPr>
      </w:pPr>
      <w:r w:rsidRPr="008423D2">
        <w:rPr>
          <w:rFonts w:cs="Arial"/>
          <w:b/>
          <w:bCs/>
          <w:szCs w:val="20"/>
        </w:rPr>
        <w:t>37D04115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1195439" w:rsidR="00CA1F9D" w:rsidRPr="008423D2" w:rsidRDefault="00CA1F9D" w:rsidP="008423D2">
      <w:pPr>
        <w:rPr>
          <w:rFonts w:cs="Arial"/>
          <w:b/>
          <w:bCs/>
          <w:szCs w:val="20"/>
        </w:rPr>
      </w:pPr>
      <w:r w:rsidRPr="008423D2">
        <w:rPr>
          <w:rFonts w:cs="Arial"/>
          <w:b/>
          <w:bCs/>
          <w:szCs w:val="20"/>
        </w:rPr>
        <w:t>37D04116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77777777" w:rsidR="009844F4" w:rsidRDefault="009844F4" w:rsidP="009844F4">
      <w:pPr>
        <w:rPr>
          <w:rFonts w:cs="Arial"/>
          <w:b/>
          <w:bCs/>
          <w:szCs w:val="20"/>
        </w:rPr>
      </w:pPr>
      <w:r w:rsidRPr="008423D2">
        <w:rPr>
          <w:rFonts w:cs="Arial"/>
          <w:b/>
          <w:bCs/>
          <w:szCs w:val="20"/>
        </w:rPr>
        <w:t>37D0411</w:t>
      </w:r>
      <w:r>
        <w:rPr>
          <w:rFonts w:cs="Arial"/>
          <w:b/>
          <w:bCs/>
          <w:szCs w:val="20"/>
        </w:rPr>
        <w:t xml:space="preserve">7 </w:t>
      </w:r>
      <w:r w:rsidRPr="00B151A6">
        <w:rPr>
          <w:rFonts w:cs="Arial"/>
          <w:b/>
          <w:bCs/>
          <w:szCs w:val="20"/>
        </w:rPr>
        <w:t>Ügyfél szokatlanul vagy túlzottan összetett tulajdonosi struktúrával rendelkezik</w:t>
      </w:r>
    </w:p>
    <w:p w14:paraId="0E1563A0" w14:textId="026C250C" w:rsidR="009844F4" w:rsidRPr="00222408"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 struktúra jellemzi.</w:t>
      </w:r>
    </w:p>
    <w:p w14:paraId="4FCF8615" w14:textId="77777777" w:rsidR="009844F4" w:rsidRDefault="009844F4" w:rsidP="008423D2">
      <w:pPr>
        <w:rPr>
          <w:rFonts w:cs="Arial"/>
          <w:b/>
          <w:bCs/>
          <w:szCs w:val="20"/>
        </w:rPr>
      </w:pPr>
    </w:p>
    <w:p w14:paraId="7C87FB85" w14:textId="41896AB5" w:rsidR="00CA1F9D" w:rsidRPr="008423D2" w:rsidRDefault="00CA1F9D" w:rsidP="008423D2">
      <w:pPr>
        <w:rPr>
          <w:rFonts w:cs="Arial"/>
          <w:b/>
          <w:bCs/>
          <w:szCs w:val="20"/>
        </w:rPr>
      </w:pPr>
      <w:r w:rsidRPr="008423D2">
        <w:rPr>
          <w:rFonts w:cs="Arial"/>
          <w:b/>
          <w:bCs/>
          <w:szCs w:val="20"/>
        </w:rPr>
        <w:t>37D04118 Saját kockázatértékelésen alapuló belső szabályzatban rögzített esetek</w:t>
      </w:r>
    </w:p>
    <w:p w14:paraId="07C91056" w14:textId="0A6F6F06"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az adatszolgáltató saját kockázatértékelésében megállapított, belső szabályzatában rögzítettek alapján, magas ügyfélkockázati kategóriába tartoznak, és a 37D04111-37D04117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29799FB8" w:rsidR="00CA1F9D" w:rsidRPr="008423D2" w:rsidRDefault="00CA1F9D" w:rsidP="008423D2">
      <w:pPr>
        <w:rPr>
          <w:rFonts w:cs="Arial"/>
          <w:b/>
          <w:bCs/>
          <w:szCs w:val="20"/>
        </w:rPr>
      </w:pPr>
      <w:r w:rsidRPr="008423D2">
        <w:rPr>
          <w:rFonts w:cs="Arial"/>
          <w:b/>
          <w:bCs/>
          <w:szCs w:val="20"/>
        </w:rPr>
        <w:t>37D051 Nem magas kockázati szinttel rendelkező, megerősített eljárás alá tartozó ügyfelek</w:t>
      </w:r>
    </w:p>
    <w:p w14:paraId="52AE21F4" w14:textId="3724EA5F" w:rsidR="00CA1F9D" w:rsidRPr="008423D2" w:rsidRDefault="00CA1F9D" w:rsidP="008423D2">
      <w:pPr>
        <w:rPr>
          <w:rFonts w:cs="Arial"/>
          <w:szCs w:val="20"/>
        </w:rPr>
      </w:pPr>
      <w:r w:rsidRPr="008423D2">
        <w:rPr>
          <w:rFonts w:cs="Arial"/>
          <w:szCs w:val="20"/>
        </w:rPr>
        <w:t>A tárgyév végi állapot szerint azon ügyfelek száma,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 sorban és annak alábontó soraiban</w:t>
      </w:r>
      <w:r w:rsidR="009844F4" w:rsidRPr="008423D2">
        <w:rPr>
          <w:rFonts w:cs="Arial"/>
          <w:szCs w:val="20"/>
        </w:rPr>
        <w:t xml:space="preserve"> </w:t>
      </w:r>
      <w:r w:rsidRPr="008423D2">
        <w:rPr>
          <w:rFonts w:cs="Arial"/>
          <w:szCs w:val="20"/>
        </w:rPr>
        <w:t xml:space="preserve">szükséges szerepeltetni, és ezen ügyfelek vonatkozásában nem töltendő </w:t>
      </w:r>
      <w:r w:rsidR="00DC4259">
        <w:rPr>
          <w:rFonts w:cs="Arial"/>
          <w:szCs w:val="20"/>
        </w:rPr>
        <w:t xml:space="preserve">ki </w:t>
      </w:r>
      <w:r w:rsidRPr="008423D2">
        <w:rPr>
          <w:rFonts w:cs="Arial"/>
          <w:szCs w:val="20"/>
        </w:rPr>
        <w:t>a 37D0511</w:t>
      </w:r>
      <w:r w:rsidR="00C81201">
        <w:rPr>
          <w:rFonts w:cs="Arial"/>
          <w:szCs w:val="20"/>
        </w:rPr>
        <w:t>–</w:t>
      </w:r>
      <w:r w:rsidRPr="008423D2">
        <w:rPr>
          <w:rFonts w:cs="Arial"/>
          <w:szCs w:val="20"/>
        </w:rPr>
        <w:t xml:space="preserve">37D0514 </w:t>
      </w:r>
      <w:r w:rsidR="009844F4">
        <w:rPr>
          <w:rFonts w:cs="Arial"/>
          <w:szCs w:val="20"/>
        </w:rPr>
        <w:t>sor</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77777777" w:rsidR="00CA1F9D" w:rsidRPr="008423D2" w:rsidRDefault="00CA1F9D" w:rsidP="008423D2">
      <w:pPr>
        <w:rPr>
          <w:rFonts w:cs="Arial"/>
          <w:b/>
          <w:bCs/>
          <w:szCs w:val="20"/>
        </w:rPr>
      </w:pPr>
      <w:bookmarkStart w:id="47" w:name="_Hlk42064113"/>
      <w:r w:rsidRPr="008423D2">
        <w:rPr>
          <w:rFonts w:cs="Arial"/>
          <w:b/>
          <w:bCs/>
          <w:szCs w:val="20"/>
        </w:rPr>
        <w:t>37D0511 Havi százmillió forintot elérő vagy meghaladó készpénzforgalmat lebonyolító ügyfelek</w:t>
      </w:r>
    </w:p>
    <w:p w14:paraId="5B9008BE" w14:textId="0AEEDCB2" w:rsidR="00CA1F9D" w:rsidRPr="008423D2" w:rsidRDefault="00CA1F9D" w:rsidP="008423D2">
      <w:pPr>
        <w:rPr>
          <w:rFonts w:cs="Arial"/>
          <w:szCs w:val="20"/>
        </w:rPr>
      </w:pPr>
      <w:r w:rsidRPr="008423D2">
        <w:rPr>
          <w:rFonts w:cs="Arial"/>
          <w:szCs w:val="20"/>
        </w:rPr>
        <w:t>A 37D051 sorból azon ügyfelek száma, akik által az adatszolgáltató hitelintézet(</w:t>
      </w:r>
      <w:proofErr w:type="spellStart"/>
      <w:r w:rsidRPr="008423D2">
        <w:rPr>
          <w:rFonts w:cs="Arial"/>
          <w:szCs w:val="20"/>
        </w:rPr>
        <w:t>ek</w:t>
      </w:r>
      <w:proofErr w:type="spellEnd"/>
      <w:r w:rsidRPr="008423D2">
        <w:rPr>
          <w:rFonts w:cs="Arial"/>
          <w:szCs w:val="20"/>
        </w:rPr>
        <w:t>)</w:t>
      </w:r>
      <w:proofErr w:type="spellStart"/>
      <w:r w:rsidRPr="008423D2">
        <w:rPr>
          <w:rFonts w:cs="Arial"/>
          <w:szCs w:val="20"/>
        </w:rPr>
        <w:t>nél</w:t>
      </w:r>
      <w:proofErr w:type="spellEnd"/>
      <w:r w:rsidRPr="008423D2">
        <w:rPr>
          <w:rFonts w:cs="Arial"/>
          <w:szCs w:val="20"/>
        </w:rPr>
        <w:t xml:space="preserve"> vezetett megbízói pénzszámlájára teljesített készpénzbefizetések teljes forintösszegének értéke elérte, vagy meghaladta a százmillió forintot egy naptári hónapban,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 egynél több hónapban is elérte vagy meghaladta a készpénzbefizetései teljes forintösszegének értéke a százmillió forintot</w:t>
      </w:r>
      <w:r w:rsidR="009844F4">
        <w:rPr>
          <w:rFonts w:cs="Arial"/>
          <w:szCs w:val="20"/>
        </w:rPr>
        <w:t>, a 2. és 3.</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47"/>
    <w:p w14:paraId="76230613" w14:textId="77777777" w:rsidR="0078010C" w:rsidRDefault="0078010C" w:rsidP="00CA1F9D">
      <w:pPr>
        <w:rPr>
          <w:rFonts w:cs="Arial"/>
          <w:b/>
          <w:bCs/>
          <w:szCs w:val="20"/>
        </w:rPr>
      </w:pPr>
    </w:p>
    <w:p w14:paraId="3FAC40DB" w14:textId="504159E8" w:rsidR="00CA1F9D" w:rsidRPr="008423D2" w:rsidRDefault="00CA1F9D" w:rsidP="008423D2">
      <w:pPr>
        <w:rPr>
          <w:rFonts w:cs="Arial"/>
          <w:b/>
          <w:bCs/>
          <w:szCs w:val="20"/>
        </w:rPr>
      </w:pPr>
      <w:r w:rsidRPr="008423D2">
        <w:rPr>
          <w:rFonts w:cs="Arial"/>
          <w:b/>
          <w:bCs/>
          <w:szCs w:val="20"/>
        </w:rPr>
        <w:t>37D0512 Bejelentett ügyfelek</w:t>
      </w:r>
    </w:p>
    <w:p w14:paraId="4E40F79C" w14:textId="77777777" w:rsidR="00CA1F9D" w:rsidRPr="008423D2" w:rsidRDefault="00CA1F9D" w:rsidP="008423D2">
      <w:pPr>
        <w:rPr>
          <w:rFonts w:cs="Arial"/>
          <w:szCs w:val="20"/>
        </w:rPr>
      </w:pPr>
      <w:r w:rsidRPr="008423D2">
        <w:rPr>
          <w:rFonts w:cs="Arial"/>
          <w:szCs w:val="20"/>
        </w:rPr>
        <w:t xml:space="preserve">A 37D051 sorból azon ügyfelek száma, illetve számláikon végrehajtott jóváírások és terhelések éves összesített értékösszege, akikkel kapcsolatban az adatszolgáltató a </w:t>
      </w:r>
      <w:proofErr w:type="spellStart"/>
      <w:r w:rsidRPr="008423D2">
        <w:rPr>
          <w:rFonts w:cs="Arial"/>
          <w:szCs w:val="20"/>
        </w:rPr>
        <w:t>Pmt</w:t>
      </w:r>
      <w:proofErr w:type="spellEnd"/>
      <w:r w:rsidRPr="008423D2">
        <w:rPr>
          <w:rFonts w:cs="Arial"/>
          <w:szCs w:val="20"/>
        </w:rPr>
        <w:t xml:space="preserve">. 30. § (1) bekezdése szerinti legutolsó bejelentése óta egy év nem telt el. </w:t>
      </w:r>
    </w:p>
    <w:p w14:paraId="5F7AF9A0" w14:textId="77777777" w:rsidR="0078010C" w:rsidRDefault="0078010C" w:rsidP="00CA1F9D">
      <w:pPr>
        <w:rPr>
          <w:rFonts w:cs="Arial"/>
          <w:b/>
          <w:bCs/>
          <w:szCs w:val="20"/>
        </w:rPr>
      </w:pPr>
    </w:p>
    <w:p w14:paraId="67466F20" w14:textId="77777777" w:rsidR="009844F4" w:rsidRDefault="009844F4" w:rsidP="009844F4">
      <w:pPr>
        <w:rPr>
          <w:rFonts w:cs="Arial"/>
          <w:b/>
          <w:bCs/>
          <w:szCs w:val="20"/>
        </w:rPr>
      </w:pPr>
      <w:r w:rsidRPr="008423D2">
        <w:rPr>
          <w:rFonts w:cs="Arial"/>
          <w:b/>
          <w:bCs/>
          <w:szCs w:val="20"/>
        </w:rPr>
        <w:t>37D051</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77777777" w:rsidR="009844F4" w:rsidRPr="00B151A6" w:rsidRDefault="009844F4" w:rsidP="009844F4">
      <w:pPr>
        <w:rPr>
          <w:rFonts w:cs="Arial"/>
          <w:szCs w:val="20"/>
        </w:rPr>
      </w:pPr>
      <w:r w:rsidRPr="00B151A6">
        <w:rPr>
          <w:rFonts w:cs="Arial"/>
          <w:szCs w:val="20"/>
        </w:rPr>
        <w:t>A 37D051 sorból azon ügyfelek száma, illetve számláikon végrehajtott jóváírások és terhelések éves összesített értékösszege, akik Magyarországon sem bejelentett lakóhellyel, sem tartózkodási hellyel nem rendelkeznek.</w:t>
      </w:r>
    </w:p>
    <w:p w14:paraId="413977C4" w14:textId="77777777" w:rsidR="009844F4" w:rsidRDefault="009844F4" w:rsidP="008423D2">
      <w:pPr>
        <w:rPr>
          <w:rFonts w:cs="Arial"/>
          <w:b/>
          <w:bCs/>
          <w:szCs w:val="20"/>
        </w:rPr>
      </w:pPr>
    </w:p>
    <w:p w14:paraId="7C0295A4" w14:textId="21F7F9DE" w:rsidR="00CA1F9D" w:rsidRPr="008423D2" w:rsidRDefault="00CA1F9D" w:rsidP="008423D2">
      <w:pPr>
        <w:rPr>
          <w:rFonts w:cs="Arial"/>
          <w:b/>
          <w:bCs/>
          <w:szCs w:val="20"/>
        </w:rPr>
      </w:pPr>
      <w:r w:rsidRPr="008423D2">
        <w:rPr>
          <w:rFonts w:cs="Arial"/>
          <w:b/>
          <w:bCs/>
          <w:szCs w:val="20"/>
        </w:rPr>
        <w:t>37D0514 Saját kockázatértékelésen alapuló belső szabályzatban rögzített esetek</w:t>
      </w:r>
    </w:p>
    <w:p w14:paraId="0A33A81F" w14:textId="55DC37A6" w:rsidR="00CA1F9D" w:rsidRPr="008423D2" w:rsidRDefault="00CA1F9D" w:rsidP="008423D2">
      <w:pPr>
        <w:rPr>
          <w:rFonts w:cs="Arial"/>
          <w:szCs w:val="20"/>
        </w:rPr>
      </w:pPr>
      <w:r w:rsidRPr="008423D2">
        <w:rPr>
          <w:rFonts w:cs="Arial"/>
          <w:szCs w:val="20"/>
        </w:rPr>
        <w:t>A 37D051 sorból az adatszolgáltató saját kockázatértékelése, illetve belső szabályzatában rögzítettek alapján azon ügyfelek száma, illetve számláikon végrehajtott jóváírások és terhelések éves összesített értékösszege, akik nem magas kockázatú kategóriában szerepelnek, de megerősített eljárás alá tartoznak, és a 37D0511-37D0513 sorokban meghatározott kritériumok egyikének sem feleltethetők meg.</w:t>
      </w:r>
    </w:p>
    <w:p w14:paraId="4803B4B8" w14:textId="77777777" w:rsidR="0078010C" w:rsidRDefault="0078010C"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7C1D7C70" w:rsidR="009844F4" w:rsidRDefault="009844F4" w:rsidP="009844F4">
      <w:pPr>
        <w:rPr>
          <w:rFonts w:cs="Arial"/>
          <w:szCs w:val="20"/>
        </w:rPr>
      </w:pPr>
      <w:r w:rsidRPr="00476091">
        <w:rPr>
          <w:rFonts w:cs="Arial"/>
          <w:szCs w:val="20"/>
        </w:rPr>
        <w:t xml:space="preserve">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 a </w:t>
      </w:r>
      <w:proofErr w:type="spellStart"/>
      <w:r w:rsidRPr="00476091">
        <w:rPr>
          <w:rFonts w:cs="Arial"/>
          <w:szCs w:val="20"/>
        </w:rPr>
        <w:t>Pmt</w:t>
      </w:r>
      <w:proofErr w:type="spellEnd"/>
      <w:r w:rsidRPr="00476091">
        <w:rPr>
          <w:rFonts w:cs="Arial"/>
          <w:szCs w:val="20"/>
        </w:rPr>
        <w: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lastRenderedPageBreak/>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123BDF88" w:rsidR="009844F4" w:rsidRPr="009E7974" w:rsidRDefault="009844F4" w:rsidP="009844F4">
      <w:pPr>
        <w:rPr>
          <w:rFonts w:cs="Arial"/>
          <w:szCs w:val="20"/>
        </w:rPr>
      </w:pPr>
      <w:r w:rsidRPr="00476091">
        <w:rPr>
          <w:rFonts w:cs="Arial"/>
          <w:szCs w:val="20"/>
        </w:rPr>
        <w:t xml:space="preserve">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 a </w:t>
      </w:r>
      <w:proofErr w:type="spellStart"/>
      <w:r w:rsidRPr="00476091">
        <w:rPr>
          <w:rFonts w:cs="Arial"/>
          <w:szCs w:val="20"/>
        </w:rPr>
        <w:t>Pmt</w:t>
      </w:r>
      <w:proofErr w:type="spellEnd"/>
      <w:r w:rsidRPr="00476091">
        <w:rPr>
          <w:rFonts w:cs="Arial"/>
          <w:szCs w:val="20"/>
        </w:rPr>
        <w: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ide kell érteni és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77777777" w:rsidR="00CA1F9D" w:rsidRPr="008423D2" w:rsidRDefault="00CA1F9D" w:rsidP="008423D2">
      <w:pPr>
        <w:rPr>
          <w:rFonts w:cs="Arial"/>
          <w:szCs w:val="20"/>
        </w:rPr>
      </w:pPr>
      <w:r w:rsidRPr="000A5946">
        <w:rPr>
          <w:rFonts w:cs="Arial"/>
          <w:szCs w:val="20"/>
        </w:rPr>
        <w:t xml:space="preserve">A tárgyév végi állapot szerint a </w:t>
      </w:r>
      <w:proofErr w:type="spellStart"/>
      <w:r w:rsidRPr="000A5946">
        <w:rPr>
          <w:rFonts w:cs="Arial"/>
          <w:szCs w:val="20"/>
        </w:rPr>
        <w:t>Pmt</w:t>
      </w:r>
      <w:proofErr w:type="spellEnd"/>
      <w:r w:rsidRPr="000A5946">
        <w:rPr>
          <w:rFonts w:cs="Arial"/>
          <w:szCs w:val="20"/>
        </w:rPr>
        <w:t>. 3. § 17. pontja szerinti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71F86717" w14:textId="77777777" w:rsidR="0078010C" w:rsidRDefault="0078010C" w:rsidP="00CA1F9D">
      <w:pPr>
        <w:rPr>
          <w:rFonts w:cs="Arial"/>
          <w:b/>
          <w:bCs/>
          <w:szCs w:val="20"/>
        </w:rPr>
      </w:pPr>
    </w:p>
    <w:p w14:paraId="28DBF252" w14:textId="77777777" w:rsidR="009844F4" w:rsidRDefault="009844F4" w:rsidP="009844F4">
      <w:pPr>
        <w:rPr>
          <w:rFonts w:cs="Arial"/>
          <w:b/>
          <w:bCs/>
          <w:szCs w:val="20"/>
        </w:rPr>
      </w:pPr>
      <w:r w:rsidRPr="00476091">
        <w:rPr>
          <w:rFonts w:cs="Arial"/>
          <w:b/>
          <w:bCs/>
          <w:szCs w:val="20"/>
        </w:rPr>
        <w:t>37D081</w:t>
      </w:r>
      <w:r>
        <w:rPr>
          <w:rFonts w:cs="Arial"/>
          <w:b/>
          <w:bCs/>
          <w:szCs w:val="20"/>
        </w:rPr>
        <w:t xml:space="preserve"> </w:t>
      </w:r>
      <w:r w:rsidRPr="004E505B">
        <w:rPr>
          <w:rFonts w:cs="Arial"/>
          <w:b/>
          <w:bCs/>
          <w:szCs w:val="20"/>
        </w:rPr>
        <w:t>Ötvenmillió forintot elérő vagy meghaladó ügyleti megbízás miatt átvilágított eseti ügyfelek</w:t>
      </w:r>
    </w:p>
    <w:p w14:paraId="18EC0C48" w14:textId="77777777" w:rsidR="009844F4" w:rsidRPr="004E505B" w:rsidRDefault="009844F4" w:rsidP="009844F4">
      <w:pPr>
        <w:rPr>
          <w:rFonts w:cs="Arial"/>
          <w:szCs w:val="20"/>
        </w:rPr>
      </w:pPr>
      <w:r w:rsidRPr="00476091">
        <w:rPr>
          <w:rFonts w:cs="Arial"/>
          <w:szCs w:val="20"/>
        </w:rPr>
        <w:t>Azon eseti ügyfelek száma, illetve általuk végrehajtott ügyletek éves összesített értékösszege, akik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eseti ügyfélként ötvenmillió </w:t>
      </w:r>
      <w:r w:rsidRPr="00476091">
        <w:rPr>
          <w:rFonts w:cs="Arial"/>
          <w:szCs w:val="20"/>
        </w:rPr>
        <w:lastRenderedPageBreak/>
        <w:t>forintot elérő vagy meghaladó összegű készpénztranzakciókat (befizetéseket) – ügyleti megbízást – teljesítettek.</w:t>
      </w:r>
    </w:p>
    <w:p w14:paraId="329FED7D" w14:textId="77777777" w:rsidR="009844F4" w:rsidRDefault="009844F4" w:rsidP="009844F4">
      <w:pPr>
        <w:rPr>
          <w:rFonts w:cs="Arial"/>
          <w:szCs w:val="20"/>
        </w:rPr>
      </w:pPr>
    </w:p>
    <w:p w14:paraId="3C66AB41" w14:textId="35A8A7EA" w:rsidR="009844F4" w:rsidRDefault="009844F4" w:rsidP="009844F4">
      <w:pPr>
        <w:rPr>
          <w:rFonts w:cs="Arial"/>
          <w:b/>
          <w:bCs/>
          <w:szCs w:val="20"/>
        </w:rPr>
      </w:pPr>
      <w:r w:rsidRPr="00476091">
        <w:rPr>
          <w:rFonts w:cs="Arial"/>
          <w:b/>
          <w:bCs/>
          <w:szCs w:val="20"/>
        </w:rPr>
        <w:t>37D091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77777777" w:rsidR="009844F4" w:rsidRDefault="009844F4" w:rsidP="009844F4">
      <w:pPr>
        <w:rPr>
          <w:rFonts w:cs="Arial"/>
          <w:b/>
          <w:bCs/>
          <w:szCs w:val="20"/>
        </w:rPr>
      </w:pPr>
      <w:r w:rsidRPr="00476091">
        <w:rPr>
          <w:rFonts w:cs="Arial"/>
          <w:b/>
          <w:bCs/>
          <w:szCs w:val="20"/>
        </w:rPr>
        <w:t>37D0911 37D091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5CB01B8D" w:rsidR="009844F4" w:rsidRPr="004E505B"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77777777" w:rsidR="009844F4" w:rsidRDefault="009844F4" w:rsidP="009844F4">
      <w:pPr>
        <w:rPr>
          <w:rFonts w:cs="Arial"/>
          <w:b/>
          <w:bCs/>
          <w:szCs w:val="20"/>
        </w:rPr>
      </w:pPr>
      <w:r w:rsidRPr="00476091">
        <w:rPr>
          <w:rFonts w:cs="Arial"/>
          <w:b/>
          <w:bCs/>
          <w:szCs w:val="20"/>
        </w:rPr>
        <w:t>37D0912 37D091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29B7D490" w:rsidR="009844F4"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670FFDB4" w:rsidR="009844F4" w:rsidRDefault="009844F4" w:rsidP="009844F4">
      <w:pPr>
        <w:rPr>
          <w:rFonts w:cs="Arial"/>
          <w:b/>
          <w:bCs/>
          <w:szCs w:val="20"/>
        </w:rPr>
      </w:pPr>
      <w:r w:rsidRPr="00476091">
        <w:rPr>
          <w:rFonts w:cs="Arial"/>
          <w:b/>
          <w:bCs/>
          <w:szCs w:val="20"/>
        </w:rPr>
        <w:t xml:space="preserve">37D092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77777777" w:rsidR="009844F4" w:rsidRDefault="009844F4" w:rsidP="009844F4">
      <w:pPr>
        <w:rPr>
          <w:rFonts w:cs="Arial"/>
          <w:b/>
          <w:bCs/>
          <w:szCs w:val="20"/>
        </w:rPr>
      </w:pPr>
      <w:r w:rsidRPr="00476091">
        <w:rPr>
          <w:rFonts w:cs="Arial"/>
          <w:b/>
          <w:bCs/>
          <w:szCs w:val="20"/>
        </w:rPr>
        <w:t>37D0921 37D092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34D6E997" w:rsidR="009844F4" w:rsidRPr="002F2C6E"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77777777" w:rsidR="009844F4" w:rsidRPr="00476091" w:rsidRDefault="009844F4" w:rsidP="009844F4">
      <w:pPr>
        <w:rPr>
          <w:rFonts w:cs="Arial"/>
          <w:b/>
          <w:bCs/>
          <w:szCs w:val="20"/>
        </w:rPr>
      </w:pPr>
      <w:r w:rsidRPr="00476091">
        <w:rPr>
          <w:rFonts w:cs="Arial"/>
          <w:b/>
          <w:bCs/>
          <w:szCs w:val="20"/>
        </w:rPr>
        <w:t>37D0922 37D092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35B95E3D" w:rsidR="009844F4" w:rsidRPr="00476091"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2938B11C" w:rsidR="00CA1F9D" w:rsidRPr="008423D2" w:rsidRDefault="00CA1F9D" w:rsidP="008423D2">
      <w:pPr>
        <w:rPr>
          <w:rFonts w:cs="Arial"/>
          <w:b/>
          <w:bCs/>
          <w:szCs w:val="20"/>
        </w:rPr>
      </w:pPr>
      <w:r w:rsidRPr="008423D2">
        <w:rPr>
          <w:rFonts w:cs="Arial"/>
          <w:b/>
          <w:bCs/>
          <w:szCs w:val="20"/>
        </w:rPr>
        <w:t>37D10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12FA39" w:rsidR="00CA1F9D" w:rsidRPr="008423D2" w:rsidRDefault="00CA1F9D" w:rsidP="008423D2">
      <w:pPr>
        <w:rPr>
          <w:rFonts w:cs="Arial"/>
          <w:b/>
          <w:bCs/>
          <w:szCs w:val="20"/>
        </w:rPr>
      </w:pPr>
      <w:r w:rsidRPr="008423D2">
        <w:rPr>
          <w:rFonts w:cs="Arial"/>
          <w:b/>
          <w:bCs/>
          <w:szCs w:val="20"/>
        </w:rPr>
        <w:t xml:space="preserve">37D11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w:t>
      </w:r>
      <w:proofErr w:type="spellStart"/>
      <w:r w:rsidRPr="008423D2">
        <w:rPr>
          <w:rFonts w:cs="Arial"/>
          <w:szCs w:val="20"/>
        </w:rPr>
        <w:t>ek</w:t>
      </w:r>
      <w:proofErr w:type="spellEnd"/>
      <w:r w:rsidRPr="008423D2">
        <w:rPr>
          <w:rFonts w:cs="Arial"/>
          <w:szCs w:val="20"/>
        </w:rPr>
        <w:t>)</w:t>
      </w:r>
      <w:proofErr w:type="spellStart"/>
      <w:r w:rsidRPr="008423D2">
        <w:rPr>
          <w:rFonts w:cs="Arial"/>
          <w:szCs w:val="20"/>
        </w:rPr>
        <w:t>nél</w:t>
      </w:r>
      <w:proofErr w:type="spellEnd"/>
      <w:r w:rsidRPr="008423D2">
        <w:rPr>
          <w:rFonts w:cs="Arial"/>
          <w:szCs w:val="20"/>
        </w:rPr>
        <w:t xml:space="preserve">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55155DCB" w:rsidR="00CA1F9D" w:rsidRPr="008423D2" w:rsidRDefault="00CA1F9D" w:rsidP="008423D2">
      <w:pPr>
        <w:rPr>
          <w:rFonts w:cs="Arial"/>
          <w:b/>
          <w:bCs/>
          <w:szCs w:val="20"/>
        </w:rPr>
      </w:pPr>
      <w:r w:rsidRPr="008423D2">
        <w:rPr>
          <w:rFonts w:cs="Arial"/>
          <w:b/>
          <w:bCs/>
          <w:szCs w:val="20"/>
        </w:rPr>
        <w:t>37D12 Más szolgáltató által végzett ügyfél-átvilágítás átvétele</w:t>
      </w:r>
    </w:p>
    <w:p w14:paraId="290BDA4A" w14:textId="77777777" w:rsidR="00CA1F9D" w:rsidRPr="008423D2" w:rsidRDefault="00CA1F9D" w:rsidP="008423D2">
      <w:pPr>
        <w:rPr>
          <w:rFonts w:cs="Arial"/>
          <w:szCs w:val="20"/>
        </w:rPr>
      </w:pPr>
      <w:r w:rsidRPr="008423D2">
        <w:rPr>
          <w:rFonts w:cs="Arial"/>
          <w:szCs w:val="20"/>
        </w:rPr>
        <w:t xml:space="preserve">A </w:t>
      </w:r>
      <w:proofErr w:type="spellStart"/>
      <w:r w:rsidRPr="008423D2">
        <w:rPr>
          <w:rFonts w:cs="Arial"/>
          <w:szCs w:val="20"/>
        </w:rPr>
        <w:t>Pmt</w:t>
      </w:r>
      <w:proofErr w:type="spellEnd"/>
      <w:r w:rsidRPr="008423D2">
        <w:rPr>
          <w:rFonts w:cs="Arial"/>
          <w:szCs w:val="20"/>
        </w:rPr>
        <w:t>. 22-24. §-a szerinti,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60C13189" w:rsidR="00CA1F9D" w:rsidRPr="008423D2" w:rsidRDefault="00CA1F9D" w:rsidP="008423D2">
      <w:pPr>
        <w:rPr>
          <w:rFonts w:cs="Arial"/>
          <w:b/>
          <w:bCs/>
          <w:szCs w:val="20"/>
        </w:rPr>
      </w:pPr>
      <w:r w:rsidRPr="008423D2">
        <w:rPr>
          <w:rFonts w:cs="Arial"/>
          <w:b/>
          <w:bCs/>
          <w:szCs w:val="20"/>
        </w:rPr>
        <w:t>37D13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15F680C6" w:rsidR="00CA1F9D" w:rsidRPr="008423D2" w:rsidRDefault="00CA1F9D" w:rsidP="008423D2">
      <w:pPr>
        <w:rPr>
          <w:rFonts w:cs="Arial"/>
          <w:b/>
          <w:bCs/>
          <w:szCs w:val="20"/>
        </w:rPr>
      </w:pPr>
      <w:r w:rsidRPr="008423D2">
        <w:rPr>
          <w:rFonts w:cs="Arial"/>
          <w:b/>
          <w:bCs/>
          <w:szCs w:val="20"/>
        </w:rPr>
        <w:t>37D14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7777777" w:rsidR="00CA1F9D" w:rsidRPr="008423D2" w:rsidRDefault="00CA1F9D" w:rsidP="008423D2">
      <w:pPr>
        <w:rPr>
          <w:rFonts w:cs="Arial"/>
          <w:b/>
          <w:bCs/>
          <w:szCs w:val="20"/>
        </w:rPr>
      </w:pPr>
      <w:r w:rsidRPr="008423D2">
        <w:rPr>
          <w:rFonts w:cs="Arial"/>
          <w:b/>
          <w:bCs/>
          <w:szCs w:val="20"/>
        </w:rPr>
        <w:t>37D15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7F51E2B1" w:rsidR="00CA1F9D" w:rsidRPr="008423D2" w:rsidRDefault="00CA1F9D" w:rsidP="008423D2">
      <w:pPr>
        <w:rPr>
          <w:rFonts w:cs="Arial"/>
          <w:b/>
          <w:bCs/>
          <w:szCs w:val="20"/>
        </w:rPr>
      </w:pPr>
      <w:r w:rsidRPr="008423D2">
        <w:rPr>
          <w:rFonts w:cs="Arial"/>
          <w:b/>
          <w:bCs/>
          <w:szCs w:val="20"/>
        </w:rPr>
        <w:t>37D16 Közvetítő által végzett átvilágítás</w:t>
      </w:r>
    </w:p>
    <w:p w14:paraId="4B3EB3D2" w14:textId="6EA5EC40" w:rsidR="00D46369" w:rsidRDefault="00CA1F9D" w:rsidP="00D46369">
      <w:pPr>
        <w:rPr>
          <w:rFonts w:cs="Arial"/>
          <w:szCs w:val="20"/>
        </w:rPr>
      </w:pPr>
      <w:bookmarkStart w:id="48" w:name="_Hlk39664766"/>
      <w:r w:rsidRPr="008423D2">
        <w:rPr>
          <w:rFonts w:cs="Arial"/>
          <w:szCs w:val="20"/>
        </w:rPr>
        <w:t xml:space="preserve">A </w:t>
      </w:r>
      <w:proofErr w:type="spellStart"/>
      <w:r w:rsidRPr="008423D2">
        <w:rPr>
          <w:rFonts w:cs="Arial"/>
          <w:szCs w:val="20"/>
        </w:rPr>
        <w:t>Bszt</w:t>
      </w:r>
      <w:proofErr w:type="spellEnd"/>
      <w:r w:rsidRPr="008423D2">
        <w:rPr>
          <w:rFonts w:cs="Arial"/>
          <w:szCs w:val="20"/>
        </w:rPr>
        <w: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77777777" w:rsidR="00D82E70" w:rsidRDefault="00D82E70" w:rsidP="00D82E70">
      <w:pPr>
        <w:rPr>
          <w:rFonts w:cs="Arial"/>
          <w:b/>
          <w:bCs/>
          <w:szCs w:val="20"/>
        </w:rPr>
      </w:pPr>
      <w:r w:rsidRPr="00351AF5">
        <w:rPr>
          <w:rFonts w:cs="Arial"/>
          <w:b/>
          <w:bCs/>
          <w:szCs w:val="20"/>
        </w:rPr>
        <w:t>37D17</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48"/>
    <w:p w14:paraId="2438E49E" w14:textId="77777777" w:rsidR="0078010C" w:rsidRDefault="0078010C" w:rsidP="00CA1F9D">
      <w:pPr>
        <w:rPr>
          <w:rFonts w:cs="Arial"/>
          <w:b/>
          <w:bCs/>
          <w:szCs w:val="20"/>
        </w:rPr>
      </w:pPr>
    </w:p>
    <w:p w14:paraId="08872D7C" w14:textId="77777777" w:rsidR="003204EC" w:rsidRDefault="003204EC" w:rsidP="003204EC">
      <w:pPr>
        <w:rPr>
          <w:rFonts w:cs="Arial"/>
          <w:b/>
          <w:bCs/>
          <w:szCs w:val="20"/>
        </w:rPr>
      </w:pPr>
      <w:r w:rsidRPr="00476091">
        <w:rPr>
          <w:rFonts w:cs="Arial"/>
          <w:b/>
          <w:bCs/>
          <w:szCs w:val="20"/>
        </w:rPr>
        <w:t>37D17</w:t>
      </w:r>
      <w:r>
        <w:rPr>
          <w:rFonts w:cs="Arial"/>
          <w:b/>
          <w:bCs/>
          <w:szCs w:val="20"/>
        </w:rPr>
        <w:t xml:space="preserve"> </w:t>
      </w:r>
      <w:r w:rsidRPr="00476091">
        <w:rPr>
          <w:rFonts w:cs="Arial"/>
          <w:b/>
          <w:bCs/>
          <w:szCs w:val="20"/>
        </w:rPr>
        <w:t>Auditált elektronikus hírközlő eszköz útján végzett elektronikus ügyfél-átvilágítás</w:t>
      </w:r>
    </w:p>
    <w:p w14:paraId="4D0DB567" w14:textId="44E8ADF6" w:rsidR="003204EC" w:rsidRDefault="003204EC" w:rsidP="003204EC">
      <w:pPr>
        <w:rPr>
          <w:rFonts w:cs="Arial"/>
          <w:b/>
          <w:bCs/>
          <w:szCs w:val="20"/>
        </w:rPr>
      </w:pPr>
      <w:r w:rsidRPr="00476091">
        <w:rPr>
          <w:rFonts w:cs="Arial"/>
          <w:szCs w:val="20"/>
        </w:rPr>
        <w:t>Azon ügyfél-átvilágítások száma, amelyeket az adatszolgáltató az adott tárgyévben auditált elektronikus hírközlő eszköz útján vég</w:t>
      </w:r>
      <w:r>
        <w:rPr>
          <w:rFonts w:cs="Arial"/>
          <w:szCs w:val="20"/>
        </w:rPr>
        <w:t>ez</w:t>
      </w:r>
      <w:r w:rsidRPr="00476091">
        <w:rPr>
          <w:rFonts w:cs="Arial"/>
          <w:szCs w:val="20"/>
        </w:rPr>
        <w:t xml:space="preserve"> el.</w:t>
      </w:r>
    </w:p>
    <w:p w14:paraId="33A5DF1D" w14:textId="64CD01A4" w:rsidR="00CA1F9D" w:rsidRDefault="00CA1F9D" w:rsidP="00CA1F9D">
      <w:pPr>
        <w:rPr>
          <w:lang w:eastAsia="x-none"/>
        </w:rPr>
      </w:pPr>
    </w:p>
    <w:p w14:paraId="27C4EF82" w14:textId="77777777" w:rsidR="00CA1F9D" w:rsidRPr="008423D2" w:rsidRDefault="00CA1F9D" w:rsidP="008423D2"/>
    <w:p w14:paraId="1F91E02A" w14:textId="60282352" w:rsidR="00E143CC" w:rsidRPr="005A47CF" w:rsidRDefault="007A6111" w:rsidP="00E666C9">
      <w:pPr>
        <w:pStyle w:val="Cmsor3"/>
      </w:pPr>
      <w:bookmarkStart w:id="49"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49"/>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32F9B808"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1-23. oszlopok</w:t>
      </w:r>
      <w:r w:rsidRPr="005A47CF">
        <w:rPr>
          <w:rFonts w:cs="Arial"/>
          <w:szCs w:val="20"/>
        </w:rPr>
        <w:t xml:space="preserve"> tartalmazzák.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t>Az ügyféllel kötött szerződés kamatának,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lastRenderedPageBreak/>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w:t>
      </w:r>
      <w:proofErr w:type="spellStart"/>
      <w:r w:rsidRPr="005A47CF">
        <w:rPr>
          <w:rFonts w:cs="Arial"/>
          <w:szCs w:val="20"/>
          <w:lang w:val="hu-HU"/>
        </w:rPr>
        <w:t>OTC</w:t>
      </w:r>
      <w:proofErr w:type="spellEnd"/>
      <w:r w:rsidRPr="005A47CF">
        <w:rPr>
          <w:rFonts w:cs="Arial"/>
          <w:szCs w:val="20"/>
          <w:lang w:val="hu-HU"/>
        </w:rPr>
        <w:t xml:space="preserve">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 xml:space="preserve">30.) </w:t>
      </w:r>
      <w:proofErr w:type="spellStart"/>
      <w:r w:rsidRPr="005A47CF">
        <w:rPr>
          <w:rFonts w:cs="Arial"/>
          <w:szCs w:val="20"/>
        </w:rPr>
        <w:t>NGM</w:t>
      </w:r>
      <w:proofErr w:type="spellEnd"/>
      <w:r w:rsidRPr="005A47CF">
        <w:rPr>
          <w:rFonts w:cs="Arial"/>
          <w:szCs w:val="20"/>
        </w:rPr>
        <w:t xml:space="preserve">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50"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50"/>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zerződéses feltételek változásával, 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16670164" w14:textId="77777777" w:rsidR="00751CF2" w:rsidRDefault="00751CF2" w:rsidP="00DC455B">
      <w:pPr>
        <w:pStyle w:val="Listaszerbekezds"/>
        <w:ind w:left="0"/>
        <w:rPr>
          <w:rFonts w:cs="Arial"/>
          <w:szCs w:val="20"/>
          <w:lang w:val="hu-HU"/>
        </w:rPr>
      </w:pPr>
    </w:p>
    <w:p w14:paraId="73C815DF" w14:textId="77777777" w:rsidR="00751CF2" w:rsidRDefault="00751CF2" w:rsidP="00DC455B">
      <w:pPr>
        <w:pStyle w:val="Listaszerbekezds"/>
        <w:ind w:left="0"/>
        <w:rPr>
          <w:rFonts w:cs="Arial"/>
          <w:szCs w:val="20"/>
          <w:lang w:val="hu-HU"/>
        </w:rPr>
      </w:pP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t>Előzetes tájékozódási kötelezettség</w:t>
      </w:r>
    </w:p>
    <w:p w14:paraId="61F3549D" w14:textId="77777777" w:rsidR="00DC455B" w:rsidRPr="005A47CF" w:rsidRDefault="00DC455B" w:rsidP="00DC455B">
      <w:pPr>
        <w:pStyle w:val="Listaszerbekezds"/>
        <w:ind w:left="709"/>
        <w:rPr>
          <w:rFonts w:cs="Arial"/>
          <w:szCs w:val="20"/>
          <w:lang w:val="hu-HU"/>
        </w:rPr>
      </w:pPr>
      <w:r w:rsidRPr="005A47CF">
        <w:rPr>
          <w:rFonts w:cs="Arial"/>
          <w:szCs w:val="20"/>
          <w:lang w:val="hu-HU"/>
        </w:rPr>
        <w:lastRenderedPageBreak/>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 (ideértve annak teljesítését, tartalmát, késedelmes teljesítését vagy teljesítésének hiányát) összefüggésben keletkező valamennyi panasz.</w:t>
      </w:r>
      <w:r w:rsidR="002055BE" w:rsidRPr="005A47CF">
        <w:rPr>
          <w:rFonts w:cs="Arial"/>
          <w:szCs w:val="20"/>
          <w:lang w:val="hu-HU"/>
        </w:rPr>
        <w:t xml:space="preserve"> Itt kell szerepeltetni azokat a panaszokat is, melyek arra vonatkoznak, hogy az adatszolgáltató nem tesz eleget a </w:t>
      </w:r>
      <w:proofErr w:type="spellStart"/>
      <w:r w:rsidR="002055BE" w:rsidRPr="005A47CF">
        <w:rPr>
          <w:rFonts w:cs="Arial"/>
          <w:szCs w:val="20"/>
          <w:lang w:val="hu-HU"/>
        </w:rPr>
        <w:t>Bszt</w:t>
      </w:r>
      <w:proofErr w:type="spellEnd"/>
      <w:r w:rsidR="002055BE" w:rsidRPr="005A47CF">
        <w:rPr>
          <w:rFonts w:cs="Arial"/>
          <w:szCs w:val="20"/>
          <w:lang w:val="hu-HU"/>
        </w:rPr>
        <w:t>. 68-69/A. §-</w:t>
      </w:r>
      <w:r w:rsidR="004B6418" w:rsidRPr="005A47CF">
        <w:rPr>
          <w:rFonts w:cs="Arial"/>
          <w:szCs w:val="20"/>
          <w:lang w:val="hu-HU"/>
        </w:rPr>
        <w:t>á</w:t>
      </w:r>
      <w:r w:rsidR="002055BE" w:rsidRPr="005A47CF">
        <w:rPr>
          <w:rFonts w:cs="Arial"/>
          <w:szCs w:val="20"/>
          <w:lang w:val="hu-HU"/>
        </w:rPr>
        <w:t>ban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7777777" w:rsidR="002055BE" w:rsidRPr="005A47CF" w:rsidRDefault="002055BE" w:rsidP="0048760B">
      <w:pPr>
        <w:pStyle w:val="Listaszerbekezds"/>
        <w:ind w:left="709"/>
        <w:rPr>
          <w:rFonts w:cs="Arial"/>
          <w:szCs w:val="20"/>
          <w:lang w:val="hu-HU"/>
        </w:rPr>
      </w:pPr>
      <w:r w:rsidRPr="005A47CF">
        <w:rPr>
          <w:rFonts w:cs="Arial"/>
          <w:szCs w:val="20"/>
          <w:lang w:val="hu-HU"/>
        </w:rPr>
        <w:t xml:space="preserve">A jogszabály által védeni rendelt tény, információ, adat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(1) bekezdés </w:t>
      </w:r>
      <w:proofErr w:type="gramStart"/>
      <w:r w:rsidRPr="005A47CF">
        <w:rPr>
          <w:rFonts w:cs="Arial"/>
          <w:szCs w:val="20"/>
          <w:lang w:val="hu-HU"/>
        </w:rPr>
        <w:t>g)-</w:t>
      </w:r>
      <w:proofErr w:type="gramEnd"/>
      <w:r w:rsidRPr="005A47CF">
        <w:rPr>
          <w:rFonts w:cs="Arial"/>
          <w:szCs w:val="20"/>
          <w:lang w:val="hu-HU"/>
        </w:rPr>
        <w:t>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(2) bekezdés </w:t>
      </w:r>
      <w:proofErr w:type="gramStart"/>
      <w:r w:rsidRPr="005A47CF">
        <w:rPr>
          <w:rFonts w:cs="Arial"/>
          <w:szCs w:val="20"/>
          <w:lang w:val="hu-HU"/>
        </w:rPr>
        <w:t>d)-</w:t>
      </w:r>
      <w:proofErr w:type="gramEnd"/>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E666C9">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Pr="005A47CF"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auditor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4F383E09" w14:textId="77777777" w:rsidR="00A91D9E" w:rsidRPr="005A47CF"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77777777"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51" w:name="_Hlk40355581"/>
      <w:r w:rsidRPr="008423D2">
        <w:rPr>
          <w:rFonts w:cs="Arial"/>
          <w:b/>
          <w:szCs w:val="20"/>
        </w:rPr>
        <w:t xml:space="preserve">37G0901 A legfontosabb rendszerek üzemeltetése saját gépteremben vagy külső adatközpont(ok)ban történik? (Saját/Külső) </w:t>
      </w:r>
    </w:p>
    <w:p w14:paraId="7AA96470" w14:textId="0AA25EB2" w:rsidR="001968FC" w:rsidRPr="008423D2" w:rsidRDefault="001968FC" w:rsidP="006C78AA">
      <w:pPr>
        <w:rPr>
          <w:rFonts w:cs="Arial"/>
          <w:bCs/>
          <w:szCs w:val="20"/>
        </w:rPr>
      </w:pPr>
      <w:r>
        <w:rPr>
          <w:rFonts w:cs="Arial"/>
          <w:bCs/>
          <w:szCs w:val="20"/>
        </w:rPr>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4F7F2009" w14:textId="1AD11984" w:rsidR="001968FC" w:rsidRPr="001968FC" w:rsidRDefault="001968FC" w:rsidP="001968FC">
      <w:pPr>
        <w:pStyle w:val="Default"/>
        <w:jc w:val="both"/>
        <w:rPr>
          <w:rFonts w:cs="Arial"/>
          <w:bCs/>
          <w:color w:val="auto"/>
          <w:szCs w:val="20"/>
          <w:lang w:eastAsia="en-US"/>
        </w:rPr>
      </w:pPr>
      <w:r w:rsidRPr="008423D2">
        <w:rPr>
          <w:rFonts w:cs="Arial"/>
          <w:b/>
          <w:color w:val="auto"/>
          <w:szCs w:val="20"/>
          <w:lang w:eastAsia="en-US"/>
        </w:rPr>
        <w:t>37G0913-37G0918</w:t>
      </w:r>
      <w:r w:rsidR="00C43C3A" w:rsidRPr="008423D2">
        <w:rPr>
          <w:rFonts w:cs="Arial"/>
          <w:b/>
          <w:color w:val="auto"/>
          <w:szCs w:val="20"/>
          <w:lang w:eastAsia="en-US"/>
        </w:rPr>
        <w:t xml:space="preserve"> sorok</w:t>
      </w:r>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 xml:space="preserve">os adatok. </w:t>
      </w:r>
    </w:p>
    <w:bookmarkEnd w:id="51"/>
    <w:p w14:paraId="3394E28F" w14:textId="77777777" w:rsidR="00C3723E" w:rsidRDefault="00C3723E" w:rsidP="0023166C">
      <w:pPr>
        <w:spacing w:before="240"/>
        <w:rPr>
          <w:rFonts w:cs="Arial"/>
        </w:rPr>
      </w:pPr>
      <w:r w:rsidRPr="00BD08A9">
        <w:rPr>
          <w:rFonts w:cs="Arial"/>
          <w:b/>
          <w:szCs w:val="20"/>
        </w:rPr>
        <w:t>37G11 Felhőszolgáltatás</w:t>
      </w:r>
    </w:p>
    <w:p w14:paraId="71C456EC" w14:textId="2E0C9B0C" w:rsidR="005277E4" w:rsidRPr="009248B5" w:rsidRDefault="00C3723E" w:rsidP="00BD08A9">
      <w:pPr>
        <w:rPr>
          <w:rFonts w:cs="Arial"/>
          <w:b/>
          <w:szCs w:val="20"/>
        </w:rPr>
      </w:pPr>
      <w:r w:rsidRPr="009248B5">
        <w:rPr>
          <w:rFonts w:cs="Arial"/>
          <w:szCs w:val="20"/>
        </w:rPr>
        <w:t>A felhős</w:t>
      </w:r>
      <w:r w:rsidR="00BD08A9" w:rsidRPr="009248B5">
        <w:rPr>
          <w:rFonts w:cs="Arial"/>
          <w:szCs w:val="20"/>
        </w:rPr>
        <w:t>zolgáltatás</w:t>
      </w:r>
      <w:r w:rsidRPr="009248B5">
        <w:rPr>
          <w:rFonts w:cs="Arial"/>
          <w:szCs w:val="20"/>
        </w:rPr>
        <w:t xml:space="preserve"> fogalmát, valamint a </w:t>
      </w:r>
      <w:r w:rsidR="009248B5" w:rsidRPr="009248B5">
        <w:rPr>
          <w:rFonts w:cs="Arial"/>
          <w:szCs w:val="20"/>
        </w:rPr>
        <w:t>37G11</w:t>
      </w:r>
      <w:r w:rsidR="00353054">
        <w:rPr>
          <w:rFonts w:cs="Arial"/>
          <w:szCs w:val="20"/>
        </w:rPr>
        <w:t xml:space="preserve"> sor alábontó </w:t>
      </w:r>
      <w:r w:rsidRPr="009248B5">
        <w:rPr>
          <w:rFonts w:cs="Arial"/>
          <w:szCs w:val="20"/>
        </w:rPr>
        <w:t>sor</w:t>
      </w:r>
      <w:r w:rsidR="00353054">
        <w:rPr>
          <w:rFonts w:cs="Arial"/>
          <w:szCs w:val="20"/>
        </w:rPr>
        <w:t>ai</w:t>
      </w:r>
      <w:r w:rsidRPr="009248B5">
        <w:rPr>
          <w:rFonts w:cs="Arial"/>
          <w:szCs w:val="20"/>
        </w:rPr>
        <w:t>ban kért információk magyarázatát a közösségi és publikus felhőszolgáltatások igénybevételéről</w:t>
      </w:r>
      <w:r w:rsidR="00353054" w:rsidRPr="00353054">
        <w:rPr>
          <w:rFonts w:cs="Arial"/>
          <w:szCs w:val="20"/>
        </w:rPr>
        <w:t xml:space="preserve"> </w:t>
      </w:r>
      <w:r w:rsidR="00353054">
        <w:rPr>
          <w:rFonts w:cs="Arial"/>
          <w:szCs w:val="20"/>
        </w:rPr>
        <w:t xml:space="preserve">szóló </w:t>
      </w:r>
      <w:r w:rsidR="00353054" w:rsidRPr="009248B5">
        <w:rPr>
          <w:rFonts w:cs="Arial"/>
          <w:szCs w:val="20"/>
        </w:rPr>
        <w:t>4/2019. (IV.</w:t>
      </w:r>
      <w:r w:rsidR="00860D9B">
        <w:rPr>
          <w:rFonts w:cs="Arial"/>
          <w:szCs w:val="20"/>
        </w:rPr>
        <w:t xml:space="preserve"> </w:t>
      </w:r>
      <w:r w:rsidR="00353054" w:rsidRPr="009248B5">
        <w:rPr>
          <w:rFonts w:cs="Arial"/>
          <w:szCs w:val="20"/>
        </w:rPr>
        <w:t xml:space="preserve">1.) </w:t>
      </w:r>
      <w:r w:rsidR="00353054">
        <w:rPr>
          <w:rFonts w:cs="Arial"/>
          <w:szCs w:val="20"/>
        </w:rPr>
        <w:t>MNB</w:t>
      </w:r>
      <w:r w:rsidR="00353054" w:rsidRPr="009248B5">
        <w:rPr>
          <w:rFonts w:cs="Arial"/>
          <w:szCs w:val="20"/>
        </w:rPr>
        <w:t xml:space="preserve"> ajánlás</w:t>
      </w:r>
      <w:r w:rsidRPr="009248B5">
        <w:rPr>
          <w:rFonts w:cs="Arial"/>
          <w:szCs w:val="20"/>
        </w:rPr>
        <w:t>, valamint az Európai Bankhatóság 2017. december 20-i, a felhőszolgáltatóknak történő kiszervezésről szóló ajánlásai (EBA/</w:t>
      </w:r>
      <w:proofErr w:type="spellStart"/>
      <w:r w:rsidRPr="009248B5">
        <w:rPr>
          <w:rFonts w:cs="Arial"/>
          <w:szCs w:val="20"/>
        </w:rPr>
        <w:t>REC</w:t>
      </w:r>
      <w:proofErr w:type="spellEnd"/>
      <w:r w:rsidRPr="009248B5">
        <w:rPr>
          <w:rFonts w:cs="Arial"/>
          <w:szCs w:val="20"/>
        </w:rPr>
        <w:t>/2017/03) tartalmazz</w:t>
      </w:r>
      <w:r w:rsidR="00353054">
        <w:rPr>
          <w:rFonts w:cs="Arial"/>
          <w:szCs w:val="20"/>
        </w:rPr>
        <w:t>a</w:t>
      </w:r>
      <w:r w:rsidRPr="009248B5">
        <w:rPr>
          <w:rFonts w:cs="Arial"/>
          <w:szCs w:val="20"/>
        </w:rPr>
        <w:t xml:space="preserve">. </w:t>
      </w:r>
      <w:r w:rsidR="0040243F" w:rsidRPr="009248B5">
        <w:rPr>
          <w:rFonts w:cs="Arial"/>
          <w:szCs w:val="20"/>
        </w:rPr>
        <w:t xml:space="preserve">Amennyiben az </w:t>
      </w:r>
      <w:r w:rsidR="00353054">
        <w:rPr>
          <w:rFonts w:cs="Arial"/>
          <w:szCs w:val="20"/>
        </w:rPr>
        <w:t>adatszolgáltató</w:t>
      </w:r>
      <w:r w:rsidR="0040243F" w:rsidRPr="009248B5">
        <w:rPr>
          <w:rFonts w:cs="Arial"/>
          <w:szCs w:val="20"/>
        </w:rPr>
        <w:t xml:space="preserve"> több felhőszolgáltatást vesz igénybe, akkor a válaszokat több blokk kitöltésével kell megadni. </w:t>
      </w:r>
      <w:r w:rsidR="00AA0DC9">
        <w:rPr>
          <w:rFonts w:cs="Arial"/>
          <w:szCs w:val="20"/>
        </w:rPr>
        <w:t>E</w:t>
      </w:r>
      <w:r w:rsidR="0040243F" w:rsidRPr="009248B5">
        <w:rPr>
          <w:rFonts w:cs="Arial"/>
          <w:szCs w:val="20"/>
        </w:rPr>
        <w:t xml:space="preserve">gy </w:t>
      </w:r>
      <w:r w:rsidR="00271309">
        <w:rPr>
          <w:rFonts w:cs="Arial"/>
          <w:szCs w:val="20"/>
        </w:rPr>
        <w:t>mező</w:t>
      </w:r>
      <w:r w:rsidR="00AA0DC9">
        <w:rPr>
          <w:rFonts w:cs="Arial"/>
          <w:szCs w:val="20"/>
        </w:rPr>
        <w:t>n belüli</w:t>
      </w:r>
      <w:r w:rsidR="0040243F" w:rsidRPr="009248B5">
        <w:rPr>
          <w:rFonts w:cs="Arial"/>
          <w:szCs w:val="20"/>
        </w:rPr>
        <w:t xml:space="preserve"> felsorolás </w:t>
      </w:r>
      <w:r w:rsidR="00AA0DC9">
        <w:rPr>
          <w:rFonts w:cs="Arial"/>
          <w:szCs w:val="20"/>
        </w:rPr>
        <w:t>esetén</w:t>
      </w:r>
      <w:r w:rsidR="0040243F" w:rsidRPr="009248B5">
        <w:rPr>
          <w:rFonts w:cs="Arial"/>
          <w:szCs w:val="20"/>
        </w:rPr>
        <w:t xml:space="preserve"> az adatokat pontosvesszővel (;) kell elválasztani.</w:t>
      </w:r>
    </w:p>
    <w:p w14:paraId="00C32C56" w14:textId="77777777" w:rsidR="002A03DA" w:rsidRDefault="002A03DA" w:rsidP="00C77A29">
      <w:pPr>
        <w:rPr>
          <w:rFonts w:cs="Arial"/>
          <w:b/>
          <w:szCs w:val="20"/>
        </w:rPr>
      </w:pPr>
    </w:p>
    <w:p w14:paraId="56610ACC" w14:textId="5DFC137B" w:rsidR="006C40F1" w:rsidRDefault="006C40F1" w:rsidP="006C40F1">
      <w:pPr>
        <w:rPr>
          <w:rFonts w:cs="Arial"/>
          <w:b/>
          <w:szCs w:val="20"/>
        </w:rPr>
      </w:pPr>
      <w:bookmarkStart w:id="52" w:name="_Hlk40355687"/>
      <w:r w:rsidRPr="008423D2">
        <w:rPr>
          <w:rFonts w:cs="Arial"/>
          <w:b/>
          <w:szCs w:val="20"/>
        </w:rPr>
        <w:t>37G12 Elektronikus csatornák</w:t>
      </w:r>
    </w:p>
    <w:p w14:paraId="44465BF4" w14:textId="1310E34F" w:rsidR="002A03DA" w:rsidRDefault="006C40F1" w:rsidP="008423D2">
      <w:pPr>
        <w:rPr>
          <w:rFonts w:cs="Arial"/>
          <w:szCs w:val="20"/>
        </w:rPr>
      </w:pPr>
      <w:r>
        <w:rPr>
          <w:rFonts w:cs="Arial"/>
          <w:szCs w:val="20"/>
        </w:rPr>
        <w:lastRenderedPageBreak/>
        <w:t>A 37G12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52"/>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E666C9">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5A47CF" w:rsidRDefault="0003286A" w:rsidP="0066505D">
      <w:r w:rsidRPr="005A47CF">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77777777" w:rsidR="00881E4F" w:rsidRPr="005A47CF" w:rsidRDefault="00525242" w:rsidP="0066505D">
      <w:r w:rsidRPr="005A47CF">
        <w:t>A limitsértés akkor minősül passzívnak, ha a piaci árfolyamok (ideértve a devizák, áruk, értékpapírok, ingatlanok, származtatott ügyletek árfolyamát)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lastRenderedPageBreak/>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 xml:space="preserve">ISO 9362 nemzetközi szabvány szerint meghatározott azonosító kódja [SWIFT/Bank </w:t>
      </w:r>
      <w:proofErr w:type="spellStart"/>
      <w:r w:rsidR="0003286A" w:rsidRPr="005A47CF">
        <w:t>Identifier</w:t>
      </w:r>
      <w:proofErr w:type="spellEnd"/>
      <w:r w:rsidR="0003286A" w:rsidRPr="005A47CF">
        <w:t xml:space="preserve"> </w:t>
      </w:r>
      <w:proofErr w:type="spellStart"/>
      <w:r w:rsidR="0003286A" w:rsidRPr="005A47CF">
        <w:t>Code</w:t>
      </w:r>
      <w:proofErr w:type="spellEnd"/>
      <w:r w:rsidR="0003286A" w:rsidRPr="005A47CF">
        <w:t xml:space="preserv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w:t>
      </w:r>
      <w:proofErr w:type="spellStart"/>
      <w:r w:rsidR="00AD0CB5" w:rsidRPr="005A47CF">
        <w:rPr>
          <w:rFonts w:cs="Arial"/>
          <w:szCs w:val="20"/>
        </w:rPr>
        <w:t>ra</w:t>
      </w:r>
      <w:proofErr w:type="spellEnd"/>
      <w:r w:rsidR="00AD0CB5" w:rsidRPr="005A47CF">
        <w:rPr>
          <w:rFonts w:cs="Arial"/>
          <w:szCs w:val="20"/>
        </w:rPr>
        <w:t xml:space="preserve"> csökkent az adott instrumentum aránya, a 11. oszlopban „-2,13</w:t>
      </w:r>
      <w:proofErr w:type="gramStart"/>
      <w:r w:rsidR="00AD0CB5" w:rsidRPr="005A47CF">
        <w:rPr>
          <w:rFonts w:cs="Arial"/>
          <w:szCs w:val="20"/>
        </w:rPr>
        <w:t>%”-</w:t>
      </w:r>
      <w:proofErr w:type="gramEnd"/>
      <w:r w:rsidR="00AD0CB5" w:rsidRPr="005A47CF">
        <w:rPr>
          <w:rFonts w:cs="Arial"/>
          <w:szCs w:val="20"/>
        </w:rPr>
        <w:t>ot kell szerepeltetni.</w:t>
      </w:r>
      <w:r w:rsidR="00C3158D" w:rsidRPr="005A47CF">
        <w:rPr>
          <w:rFonts w:cs="Arial"/>
          <w:szCs w:val="20"/>
        </w:rPr>
        <w:t xml:space="preserve"> Ehhez hasonlóan, ha a felső 20%-os limit sérül, és az adott instrumentum aránya 22,87%, akkor „2,87</w:t>
      </w:r>
      <w:proofErr w:type="gramStart"/>
      <w:r w:rsidR="00C3158D" w:rsidRPr="005A47CF">
        <w:rPr>
          <w:rFonts w:cs="Arial"/>
          <w:szCs w:val="20"/>
        </w:rPr>
        <w:t>%”-</w:t>
      </w:r>
      <w:proofErr w:type="gramEnd"/>
      <w:r w:rsidR="00C3158D" w:rsidRPr="005A47CF">
        <w:rPr>
          <w:rFonts w:cs="Arial"/>
          <w:szCs w:val="20"/>
        </w:rPr>
        <w:t>ot kell beírni.</w:t>
      </w:r>
    </w:p>
    <w:p w14:paraId="25FD5149" w14:textId="5DC9D4C8" w:rsidR="00CA5AA4"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w:t>
      </w:r>
      <w:proofErr w:type="spellStart"/>
      <w:r w:rsidRPr="005A47CF">
        <w:rPr>
          <w:rFonts w:eastAsia="Times New Roman" w:cs="Arial"/>
          <w:szCs w:val="20"/>
          <w:lang w:eastAsia="x-none"/>
        </w:rPr>
        <w:t>BA</w:t>
      </w:r>
      <w:proofErr w:type="spellEnd"/>
      <w:r w:rsidRPr="005A47CF">
        <w:rPr>
          <w:rFonts w:eastAsia="Times New Roman" w:cs="Arial"/>
          <w:szCs w:val="20"/>
          <w:lang w:eastAsia="x-none"/>
        </w:rPr>
        <w:t>”,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 xml:space="preserve">A pénztári portfólióba az </w:t>
      </w:r>
      <w:proofErr w:type="spellStart"/>
      <w:r w:rsidR="00335AC7" w:rsidRPr="00335AC7">
        <w:rPr>
          <w:rFonts w:eastAsia="Times New Roman" w:cs="Arial"/>
          <w:szCs w:val="20"/>
          <w:lang w:eastAsia="x-none"/>
        </w:rPr>
        <w:t>Öpt</w:t>
      </w:r>
      <w:proofErr w:type="spellEnd"/>
      <w:r w:rsidR="00335AC7" w:rsidRPr="00335AC7">
        <w:rPr>
          <w:rFonts w:eastAsia="Times New Roman" w:cs="Arial"/>
          <w:szCs w:val="20"/>
          <w:lang w:eastAsia="x-none"/>
        </w:rPr>
        <w:t xml:space="preserve">. szerinti pénztárakat, valamint az </w:t>
      </w:r>
      <w:proofErr w:type="spellStart"/>
      <w:r w:rsidR="00335AC7" w:rsidRPr="00335AC7">
        <w:rPr>
          <w:rFonts w:eastAsia="Times New Roman" w:cs="Arial"/>
          <w:szCs w:val="20"/>
          <w:lang w:eastAsia="x-none"/>
        </w:rPr>
        <w:t>Mpt</w:t>
      </w:r>
      <w:proofErr w:type="spellEnd"/>
      <w:r w:rsidR="00335AC7" w:rsidRPr="00335AC7">
        <w:rPr>
          <w:rFonts w:eastAsia="Times New Roman" w:cs="Arial"/>
          <w:szCs w:val="20"/>
          <w:lang w:eastAsia="x-none"/>
        </w:rPr>
        <w: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36F51FF1" w14:textId="77777777" w:rsidR="00AF7082" w:rsidRPr="008A1663" w:rsidRDefault="00AF7082" w:rsidP="008A1663">
      <w:pPr>
        <w:spacing w:before="240"/>
        <w:ind w:left="1134" w:hanging="1134"/>
        <w:rPr>
          <w:rFonts w:eastAsia="Times New Roman" w:cs="Arial"/>
          <w:szCs w:val="20"/>
          <w:lang w:eastAsia="x-none"/>
        </w:rPr>
      </w:pPr>
    </w:p>
    <w:p w14:paraId="7DD3E52A" w14:textId="332AA32C" w:rsidR="006D52C7" w:rsidRDefault="00100709" w:rsidP="00E666C9">
      <w:pPr>
        <w:pStyle w:val="Cmsor3"/>
      </w:pPr>
      <w:r>
        <w:t>1.31. 38</w:t>
      </w:r>
      <w:r w:rsidR="008A1663">
        <w:rPr>
          <w:lang w:val="hu-HU"/>
        </w:rPr>
        <w:t>_</w:t>
      </w:r>
      <w:proofErr w:type="spellStart"/>
      <w:r>
        <w:t>TAX</w:t>
      </w:r>
      <w:proofErr w:type="spellEnd"/>
      <w:r>
        <w:t xml:space="preserve">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r w:rsidRPr="00100709">
        <w:t>KPI-k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74A3B504" w14:textId="65F0A486" w:rsidR="00100709" w:rsidRPr="005A47CF" w:rsidRDefault="00100709" w:rsidP="006D52C7">
      <w:pPr>
        <w:spacing w:before="240"/>
        <w:rPr>
          <w:rFonts w:cs="Arial"/>
          <w:b/>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450B8574" w14:textId="5BE49C12" w:rsidR="00FF047A" w:rsidRPr="005A47CF" w:rsidRDefault="007A6111" w:rsidP="00E666C9">
      <w:pPr>
        <w:pStyle w:val="Cmsor3"/>
      </w:pPr>
      <w:r w:rsidRPr="005A47CF">
        <w:t>1.</w:t>
      </w:r>
      <w:r w:rsidR="009B6038">
        <w:t>3</w:t>
      </w:r>
      <w:r w:rsidR="00221C58">
        <w:t>2</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061CCE">
      <w:pPr>
        <w:rPr>
          <w:rFonts w:cs="Arial"/>
          <w:szCs w:val="20"/>
        </w:rPr>
      </w:pPr>
      <w:r w:rsidRPr="005A47CF">
        <w:rPr>
          <w:rFonts w:cs="Arial"/>
          <w:szCs w:val="20"/>
        </w:rPr>
        <w:t xml:space="preserve">A mezőket az adatszolgáltató saját nyilvántartásai alapján, bizonylatokkal (a KELER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oszlopai</w:t>
      </w:r>
    </w:p>
    <w:tbl>
      <w:tblPr>
        <w:tblW w:w="9793" w:type="dxa"/>
        <w:tblCellMar>
          <w:left w:w="70" w:type="dxa"/>
          <w:right w:w="70" w:type="dxa"/>
        </w:tblCellMar>
        <w:tblLook w:val="04A0" w:firstRow="1" w:lastRow="0" w:firstColumn="1" w:lastColumn="0" w:noHBand="0" w:noVBand="1"/>
      </w:tblPr>
      <w:tblGrid>
        <w:gridCol w:w="1288"/>
        <w:gridCol w:w="8505"/>
      </w:tblGrid>
      <w:tr w:rsidR="00BB6DBD" w:rsidRPr="005A47CF" w14:paraId="74BC5E94" w14:textId="77777777" w:rsidTr="00B479F4">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1. oszlop</w:t>
            </w:r>
          </w:p>
        </w:tc>
        <w:tc>
          <w:tcPr>
            <w:tcW w:w="8505"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B479F4">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505"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B479F4">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505" w:type="dxa"/>
          </w:tcPr>
          <w:p w14:paraId="26A7C775" w14:textId="77777777" w:rsidR="00BB6DBD" w:rsidRPr="005A47CF" w:rsidRDefault="00BB6DBD" w:rsidP="00890139">
            <w:pPr>
              <w:autoSpaceDE w:val="0"/>
              <w:autoSpaceDN w:val="0"/>
              <w:adjustRightInd w:val="0"/>
              <w:outlineLvl w:val="0"/>
              <w:rPr>
                <w:rFonts w:cs="Arial"/>
                <w:szCs w:val="20"/>
              </w:rPr>
            </w:pPr>
            <w:r w:rsidRPr="005A47CF">
              <w:rPr>
                <w:rFonts w:cs="Arial"/>
                <w:szCs w:val="20"/>
              </w:rPr>
              <w:t xml:space="preserve">A KELER </w:t>
            </w:r>
            <w:r w:rsidR="00AC6345" w:rsidRPr="005A47CF">
              <w:rPr>
                <w:rFonts w:cs="Arial"/>
                <w:szCs w:val="20"/>
              </w:rPr>
              <w:t xml:space="preserve">Központi Értéktár </w:t>
            </w:r>
            <w:r w:rsidRPr="005A47CF">
              <w:rPr>
                <w:rFonts w:cs="Arial"/>
                <w:szCs w:val="20"/>
              </w:rPr>
              <w:t>Zrt.-nél vezetett különböző számlák (megbízói és saját, alapletét- és árkülönbözeti számlák, megbízói alszámlák) egyenlegei (állampapírok esetén befogadási értéken vett) összege.</w:t>
            </w:r>
          </w:p>
        </w:tc>
      </w:tr>
      <w:tr w:rsidR="00BB6DBD" w:rsidRPr="005A47CF" w14:paraId="4F021FEC" w14:textId="77777777" w:rsidTr="00B479F4">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lastRenderedPageBreak/>
              <w:t>4. oszlop</w:t>
            </w:r>
          </w:p>
        </w:tc>
        <w:tc>
          <w:tcPr>
            <w:tcW w:w="8505" w:type="dxa"/>
          </w:tcPr>
          <w:p w14:paraId="6B2A40BA" w14:textId="77777777" w:rsidR="00BB6DBD" w:rsidRPr="005A47CF" w:rsidRDefault="00BB6DBD" w:rsidP="00B479F4">
            <w:pPr>
              <w:rPr>
                <w:rFonts w:cs="Arial"/>
                <w:szCs w:val="20"/>
              </w:rPr>
            </w:pPr>
            <w:r w:rsidRPr="005A47CF">
              <w:rPr>
                <w:rFonts w:cs="Arial"/>
                <w:szCs w:val="20"/>
              </w:rPr>
              <w:t xml:space="preserve">Az árutőzsdei szolgáltató saját értéktárában elhelyezett (saját és ügyfél tulajdonú) értékpapírok tényleges készlete. </w:t>
            </w:r>
          </w:p>
        </w:tc>
      </w:tr>
      <w:tr w:rsidR="00BB6DBD" w:rsidRPr="005A47CF" w14:paraId="771B94C3" w14:textId="77777777" w:rsidTr="00B479F4">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505"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651" w:type="dxa"/>
        <w:tblInd w:w="58" w:type="dxa"/>
        <w:tblCellMar>
          <w:left w:w="70" w:type="dxa"/>
          <w:right w:w="70" w:type="dxa"/>
        </w:tblCellMar>
        <w:tblLook w:val="04A0" w:firstRow="1" w:lastRow="0" w:firstColumn="1" w:lastColumn="0" w:noHBand="0" w:noVBand="1"/>
      </w:tblPr>
      <w:tblGrid>
        <w:gridCol w:w="1288"/>
        <w:gridCol w:w="8363"/>
      </w:tblGrid>
      <w:tr w:rsidR="009449C3" w:rsidRPr="005A47CF" w14:paraId="5FAE52C3" w14:textId="77777777" w:rsidTr="009449C3">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363"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9449C3">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363"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77777777" w:rsidR="009449C3" w:rsidRPr="005A47CF" w:rsidRDefault="009449C3" w:rsidP="00643491">
            <w:pPr>
              <w:rPr>
                <w:rFonts w:eastAsia="Times New Roman" w:cs="Arial"/>
                <w:color w:val="000000"/>
                <w:szCs w:val="20"/>
                <w:lang w:eastAsia="hu-HU"/>
              </w:rPr>
            </w:pPr>
            <w:r w:rsidRPr="005A47CF">
              <w:rPr>
                <w:rFonts w:cs="Arial"/>
                <w:szCs w:val="20"/>
              </w:rPr>
              <w:t xml:space="preserve">A KELER </w:t>
            </w:r>
            <w:r w:rsidR="004A15D3" w:rsidRPr="005A47CF">
              <w:rPr>
                <w:rFonts w:cs="Arial"/>
                <w:szCs w:val="20"/>
              </w:rPr>
              <w:t xml:space="preserve">Központi Értéktár Zrt. </w:t>
            </w:r>
            <w:r w:rsidRPr="005A47CF">
              <w:rPr>
                <w:rFonts w:cs="Arial"/>
                <w:szCs w:val="20"/>
              </w:rPr>
              <w:t>pénzszámlák (ideértve az Alapszintű Pénzügyi Fedezetet, Kollektív Garancia Alapot stb. is, de ide nem értve a vételár letéti számlát)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9449C3">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363"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proofErr w:type="spellStart"/>
            <w:r w:rsidR="007E6722" w:rsidRPr="005A47CF">
              <w:rPr>
                <w:rFonts w:cs="Arial"/>
                <w:szCs w:val="20"/>
              </w:rPr>
              <w:t>Bszt</w:t>
            </w:r>
            <w:proofErr w:type="spellEnd"/>
            <w:r w:rsidR="007E6722" w:rsidRPr="005A47CF">
              <w:rPr>
                <w:rFonts w:cs="Arial"/>
                <w:szCs w:val="20"/>
              </w:rPr>
              <w: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proofErr w:type="spellStart"/>
            <w:r w:rsidR="0099774A" w:rsidRPr="005A47CF">
              <w:rPr>
                <w:rFonts w:cs="Arial"/>
                <w:szCs w:val="20"/>
              </w:rPr>
              <w:t>Bszt</w:t>
            </w:r>
            <w:proofErr w:type="spellEnd"/>
            <w:r w:rsidR="0099774A" w:rsidRPr="005A47CF">
              <w:rPr>
                <w:rFonts w:cs="Arial"/>
                <w:szCs w:val="20"/>
              </w:rPr>
              <w: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7AE3D457" w14:textId="77777777" w:rsidR="00751CF2" w:rsidRDefault="00751CF2" w:rsidP="000245B3">
      <w:pPr>
        <w:jc w:val="left"/>
        <w:rPr>
          <w:rFonts w:cs="Arial"/>
          <w:b/>
          <w:szCs w:val="20"/>
        </w:rPr>
      </w:pPr>
    </w:p>
    <w:p w14:paraId="63633D10" w14:textId="2D87EC05" w:rsidR="00E4386F" w:rsidRPr="005A47CF" w:rsidRDefault="007A6111" w:rsidP="00E666C9">
      <w:pPr>
        <w:pStyle w:val="Cmsor3"/>
      </w:pPr>
      <w:r w:rsidRPr="005A47CF">
        <w:t>1.</w:t>
      </w:r>
      <w:r w:rsidR="00221C58">
        <w:t>33</w:t>
      </w:r>
      <w:r w:rsidRPr="005A47CF">
        <w:t>.</w:t>
      </w:r>
      <w:r w:rsidR="00BD4F59" w:rsidRPr="005A47CF">
        <w:t xml:space="preserve"> </w:t>
      </w:r>
      <w:r w:rsidR="00E4386F" w:rsidRPr="005A47CF">
        <w:t xml:space="preserve">39KC </w:t>
      </w:r>
      <w:r w:rsidR="005A5399" w:rsidRPr="005A47CF">
        <w:t xml:space="preserve">KELER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r w:rsidR="00B35EF7" w:rsidRPr="005A47CF">
        <w:rPr>
          <w:rFonts w:cs="Arial"/>
          <w:szCs w:val="20"/>
        </w:rPr>
        <w:t>teljeskörűen</w:t>
      </w:r>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a felsorolás értékpapír-</w:t>
      </w:r>
      <w:proofErr w:type="spellStart"/>
      <w:r w:rsidR="00E4386F" w:rsidRPr="005A47CF">
        <w:rPr>
          <w:rFonts w:cs="Arial"/>
          <w:szCs w:val="20"/>
        </w:rPr>
        <w:t>fajtánként</w:t>
      </w:r>
      <w:proofErr w:type="spellEnd"/>
      <w:r w:rsidR="00E4386F" w:rsidRPr="005A47CF">
        <w:rPr>
          <w:rFonts w:cs="Arial"/>
          <w:szCs w:val="20"/>
        </w:rPr>
        <w:t xml:space="preserve">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696815" w:rsidRPr="005A47CF" w14:paraId="69511520" w14:textId="77777777" w:rsidTr="001E2A98">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8363" w:type="dxa"/>
          </w:tcPr>
          <w:p w14:paraId="2D95DD21" w14:textId="77777777" w:rsidR="00696815" w:rsidRPr="005A47CF" w:rsidRDefault="00696815" w:rsidP="0066505D">
            <w:pPr>
              <w:spacing w:after="120"/>
            </w:pPr>
            <w:r w:rsidRPr="005A47CF">
              <w:t xml:space="preserve">Valamennyi – </w:t>
            </w:r>
            <w:r w:rsidR="00963855" w:rsidRPr="005A47CF">
              <w:t xml:space="preserve">a </w:t>
            </w:r>
            <w:r w:rsidRPr="005A47CF">
              <w:t xml:space="preserve">KELER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1E2A98">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8363" w:type="dxa"/>
          </w:tcPr>
          <w:p w14:paraId="4A2412E4" w14:textId="77777777" w:rsidR="00696815" w:rsidRPr="005A47CF" w:rsidRDefault="00754DE0" w:rsidP="0066505D">
            <w:pPr>
              <w:spacing w:after="120"/>
            </w:pPr>
            <w:r w:rsidRPr="005A47CF">
              <w:t xml:space="preserve">A más központi értéktárnál (nem a </w:t>
            </w:r>
            <w:r w:rsidR="00696815" w:rsidRPr="005A47CF">
              <w:t>KELER</w:t>
            </w:r>
            <w:r w:rsidR="006D6C7E" w:rsidRPr="005A47CF">
              <w:t xml:space="preserve"> </w:t>
            </w:r>
            <w:r w:rsidR="00AC6345" w:rsidRPr="005A47CF">
              <w:t xml:space="preserve">Központi Értéktár </w:t>
            </w:r>
            <w:r w:rsidR="006D6C7E" w:rsidRPr="005A47CF">
              <w:t>Zrt.</w:t>
            </w:r>
            <w:r w:rsidR="00696815" w:rsidRPr="005A47CF">
              <w:t>-nél</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1E2A98">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8363"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1E2A98">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8363"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2728A85D" w:rsidR="00924190" w:rsidRPr="005A47CF" w:rsidRDefault="007A6111" w:rsidP="00E666C9">
      <w:pPr>
        <w:pStyle w:val="Cmsor3"/>
      </w:pPr>
      <w:r w:rsidRPr="005A47CF">
        <w:t>1.</w:t>
      </w:r>
      <w:r w:rsidR="00AE4EB5">
        <w:t>3</w:t>
      </w:r>
      <w:r w:rsidR="00221C58">
        <w:t>4</w:t>
      </w:r>
      <w:r w:rsidRPr="005A47CF">
        <w:t>.</w:t>
      </w:r>
      <w:r w:rsidR="009604E9" w:rsidRPr="005A47CF">
        <w:t xml:space="preserve"> </w:t>
      </w:r>
      <w:proofErr w:type="spellStart"/>
      <w:r w:rsidR="00924190" w:rsidRPr="005A47CF">
        <w:t>KELERER</w:t>
      </w:r>
      <w:proofErr w:type="spellEnd"/>
      <w:r w:rsidR="00924190" w:rsidRPr="005A47CF">
        <w:t xml:space="preserve"> KELER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 xml:space="preserve">egyenlegeit tartalmazza </w:t>
      </w:r>
      <w:proofErr w:type="spellStart"/>
      <w:r w:rsidRPr="000245B3">
        <w:rPr>
          <w:rFonts w:cs="Arial"/>
          <w:szCs w:val="20"/>
        </w:rPr>
        <w:t>értékpapíronként</w:t>
      </w:r>
      <w:r w:rsidR="008B45B4">
        <w:rPr>
          <w:rFonts w:cs="Arial"/>
          <w:szCs w:val="20"/>
        </w:rPr>
        <w:t>i</w:t>
      </w:r>
      <w:proofErr w:type="spellEnd"/>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5E22917B" w:rsidR="002F1EB6" w:rsidRPr="000245B3" w:rsidRDefault="002F1EB6" w:rsidP="002F1EB6">
      <w:pPr>
        <w:pStyle w:val="NormlWeb"/>
        <w:ind w:firstLine="0"/>
        <w:rPr>
          <w:rFonts w:cs="Arial"/>
          <w:bCs/>
          <w:szCs w:val="20"/>
        </w:rPr>
      </w:pPr>
      <w:r w:rsidRPr="000245B3">
        <w:rPr>
          <w:rFonts w:cs="Arial"/>
          <w:b/>
          <w:bCs/>
          <w:szCs w:val="20"/>
        </w:rPr>
        <w:t xml:space="preserve">1-3.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t>6. oszlop</w:t>
      </w:r>
      <w:r w:rsidRPr="000245B3">
        <w:rPr>
          <w:rFonts w:cs="Arial"/>
          <w:szCs w:val="20"/>
        </w:rPr>
        <w:t> Az ügyfél saját számlájának adott értékpapírra vonatkozó állománya</w:t>
      </w:r>
      <w:r>
        <w:rPr>
          <w:rFonts w:cs="Arial"/>
          <w:szCs w:val="20"/>
        </w:rPr>
        <w:t>.</w:t>
      </w:r>
    </w:p>
    <w:p w14:paraId="69E4EBE5" w14:textId="77777777" w:rsidR="00DE6888" w:rsidRPr="005A47CF" w:rsidRDefault="00DE6888" w:rsidP="0089635F">
      <w:pPr>
        <w:rPr>
          <w:rFonts w:cs="Arial"/>
          <w:b/>
          <w:szCs w:val="20"/>
        </w:rPr>
      </w:pPr>
    </w:p>
    <w:p w14:paraId="2A1146B0" w14:textId="139D9B3E" w:rsidR="000C0D66" w:rsidRPr="005A47CF" w:rsidRDefault="000C0D66" w:rsidP="00E666C9">
      <w:pPr>
        <w:pStyle w:val="Cmsor3"/>
      </w:pPr>
      <w:r w:rsidRPr="005A47CF">
        <w:t>1.</w:t>
      </w:r>
      <w:r w:rsidR="00221C58">
        <w:t>35</w:t>
      </w:r>
      <w:r w:rsidRPr="005A47CF">
        <w:t xml:space="preserve">. </w:t>
      </w:r>
      <w:proofErr w:type="spellStart"/>
      <w:r w:rsidRPr="005A47CF">
        <w:t>KELERPE</w:t>
      </w:r>
      <w:proofErr w:type="spellEnd"/>
      <w:r w:rsidRPr="005A47CF">
        <w:t xml:space="preserve"> KELER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lastRenderedPageBreak/>
        <w:t xml:space="preserve">Az egyes szolgáltatók pénzszámla egyenlegein kívül a jelentés tartalmazza a KELER Központi Értéktár Zrt. saját állományát, valamint a KELER </w:t>
      </w:r>
      <w:proofErr w:type="spellStart"/>
      <w:r w:rsidRPr="005A47CF">
        <w:rPr>
          <w:rFonts w:cs="Arial"/>
          <w:szCs w:val="20"/>
        </w:rPr>
        <w:t>KSZF</w:t>
      </w:r>
      <w:proofErr w:type="spellEnd"/>
      <w:r w:rsidRPr="005A47CF">
        <w:rPr>
          <w:rFonts w:cs="Arial"/>
          <w:szCs w:val="20"/>
        </w:rPr>
        <w:t xml:space="preserve">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77777777" w:rsidR="000C0D66" w:rsidRPr="005A47CF" w:rsidRDefault="000C0D66" w:rsidP="000C0D66">
      <w:pPr>
        <w:ind w:left="1560" w:hanging="1560"/>
        <w:rPr>
          <w:rFonts w:cs="Arial"/>
          <w:szCs w:val="20"/>
        </w:rPr>
      </w:pPr>
      <w:r w:rsidRPr="005A47CF">
        <w:rPr>
          <w:rFonts w:cs="Arial"/>
          <w:b/>
          <w:color w:val="000000"/>
          <w:szCs w:val="20"/>
        </w:rPr>
        <w:t>5-8.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E666C9">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E666C9">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E666C9">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proofErr w:type="spellStart"/>
      <w:r w:rsidR="006A17BF" w:rsidRPr="00A95023">
        <w:rPr>
          <w:rFonts w:cs="Arial"/>
          <w:szCs w:val="20"/>
        </w:rPr>
        <w:t>Bkr</w:t>
      </w:r>
      <w:proofErr w:type="spellEnd"/>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CSDR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CSDR 7. cikk (13) bekezdésével összhangban – nem szerepeltet a jelentésben olyan részvényekre vonatkozó adatokat, amelyek esetében a fő kereskedési helyszín harmadik országban található. A részvények fő kereskedési helyszínének a </w:t>
      </w:r>
      <w:proofErr w:type="spellStart"/>
      <w:r w:rsidRPr="00A95023">
        <w:rPr>
          <w:rFonts w:cs="Arial"/>
          <w:szCs w:val="20"/>
        </w:rPr>
        <w:t>short</w:t>
      </w:r>
      <w:proofErr w:type="spellEnd"/>
      <w:r w:rsidRPr="00A95023">
        <w:rPr>
          <w:rFonts w:cs="Arial"/>
          <w:szCs w:val="20"/>
        </w:rPr>
        <w:t xml:space="preserve"> ügyletekről és a hitel-nemteljesítési csereügyletekkel kapcsolatos egyes szempontokról szóló 2012. május 14-ei 236/2012/EU európai parlamenti és tanácsi rendelet 16. cikkével összhangban történő meghatározása céljából a központi értéktár az </w:t>
      </w:r>
      <w:proofErr w:type="spellStart"/>
      <w:r w:rsidRPr="00A95023">
        <w:rPr>
          <w:rFonts w:cs="Arial"/>
          <w:szCs w:val="20"/>
        </w:rPr>
        <w:t>ESMA</w:t>
      </w:r>
      <w:proofErr w:type="spellEnd"/>
      <w:r w:rsidRPr="00A95023">
        <w:rPr>
          <w:rFonts w:cs="Arial"/>
          <w:szCs w:val="20"/>
        </w:rPr>
        <w:t xml:space="preserve"> által közzétett, a </w:t>
      </w:r>
      <w:proofErr w:type="spellStart"/>
      <w:r w:rsidRPr="00A95023">
        <w:rPr>
          <w:rFonts w:cs="Arial"/>
          <w:szCs w:val="20"/>
        </w:rPr>
        <w:t>short</w:t>
      </w:r>
      <w:proofErr w:type="spellEnd"/>
      <w:r w:rsidRPr="00A95023">
        <w:rPr>
          <w:rFonts w:cs="Arial"/>
          <w:szCs w:val="20"/>
        </w:rPr>
        <w:t xml:space="preserve"> ügyletekre vonatkozó jogi keret szerint mentesülő részvények jegyzékét </w:t>
      </w:r>
      <w:r w:rsidR="00555D23" w:rsidRPr="00A95023">
        <w:rPr>
          <w:rFonts w:cs="Arial"/>
          <w:szCs w:val="20"/>
        </w:rPr>
        <w:br/>
      </w:r>
      <w:r w:rsidRPr="00A95023">
        <w:rPr>
          <w:rFonts w:cs="Arial"/>
          <w:szCs w:val="20"/>
        </w:rPr>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w:t>
      </w:r>
      <w:proofErr w:type="spellStart"/>
      <w:r w:rsidRPr="00A95023">
        <w:rPr>
          <w:rFonts w:cs="Arial"/>
          <w:color w:val="auto"/>
        </w:rPr>
        <w:t>CFI</w:t>
      </w:r>
      <w:proofErr w:type="spellEnd"/>
      <w:r w:rsidRPr="00A95023">
        <w:rPr>
          <w:rFonts w:cs="Arial"/>
          <w:color w:val="auto"/>
        </w:rPr>
        <w:t xml:space="preserve">-kódok jelentéséhez az </w:t>
      </w:r>
      <w:proofErr w:type="spellStart"/>
      <w:r w:rsidRPr="00A95023">
        <w:rPr>
          <w:rFonts w:cs="Arial"/>
          <w:color w:val="auto"/>
        </w:rPr>
        <w:t>ESMA</w:t>
      </w:r>
      <w:proofErr w:type="spellEnd"/>
      <w:r w:rsidRPr="00A95023">
        <w:rPr>
          <w:rFonts w:cs="Arial"/>
          <w:color w:val="auto"/>
        </w:rPr>
        <w:t xml:space="preserve"> által a pénzügyi eszközök piacairól és a 648/2012/EU rendelet módosításáról szóló 2014. május 15-ei 600/2014/EU európai parlamenti és tanácsi rendelet 27. cikkével és </w:t>
      </w:r>
      <w:bookmarkStart w:id="53" w:name="_Hlk114136394"/>
      <w:r w:rsidRPr="00A95023">
        <w:rPr>
          <w:rFonts w:cs="Arial"/>
          <w:color w:val="auto"/>
        </w:rPr>
        <w:t xml:space="preserve">a piaci visszaélésekről (piaci visszaélésekről szóló rendelet), valamint a 2003/6/EK európai parlamenti és tanácsi irányelv és a 2003/124/EK, a 2003/125/EK és a 2004/72/EK bizottsági irányelv hatályon kívül helyezéséről szóló 2014. április 16-ai 596/2014/EU európai parlamenti és tanácsi rendelet 4. cikkével összhangban közzétett pénzügyi eszközök referenciaadatainak rendszerét [Financial Instruments </w:t>
      </w:r>
      <w:proofErr w:type="spellStart"/>
      <w:r w:rsidRPr="00A95023">
        <w:rPr>
          <w:rFonts w:cs="Arial"/>
          <w:color w:val="auto"/>
        </w:rPr>
        <w:t>Reference</w:t>
      </w:r>
      <w:proofErr w:type="spellEnd"/>
      <w:r w:rsidRPr="00A95023">
        <w:rPr>
          <w:rFonts w:cs="Arial"/>
          <w:color w:val="auto"/>
        </w:rPr>
        <w:t xml:space="preserve"> </w:t>
      </w:r>
      <w:proofErr w:type="spellStart"/>
      <w:r w:rsidRPr="00A95023">
        <w:rPr>
          <w:rFonts w:cs="Arial"/>
          <w:color w:val="auto"/>
        </w:rPr>
        <w:t>Database</w:t>
      </w:r>
      <w:proofErr w:type="spellEnd"/>
      <w:r w:rsidRPr="00A95023">
        <w:rPr>
          <w:rFonts w:cs="Arial"/>
          <w:color w:val="auto"/>
        </w:rPr>
        <w:t xml:space="preserve"> System (</w:t>
      </w:r>
      <w:proofErr w:type="spellStart"/>
      <w:r w:rsidRPr="00A95023">
        <w:rPr>
          <w:rFonts w:cs="Arial"/>
          <w:color w:val="auto"/>
        </w:rPr>
        <w:t>FIRDS</w:t>
      </w:r>
      <w:proofErr w:type="spellEnd"/>
      <w:r w:rsidRPr="00A95023">
        <w:rPr>
          <w:rFonts w:cs="Arial"/>
          <w:color w:val="auto"/>
        </w:rPr>
        <w:t xml:space="preserve">);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53"/>
      <w:r w:rsidRPr="00A95023">
        <w:rPr>
          <w:rFonts w:cs="Arial"/>
          <w:color w:val="auto"/>
        </w:rPr>
        <w:t xml:space="preserve"> az </w:t>
      </w:r>
      <w:proofErr w:type="spellStart"/>
      <w:r w:rsidRPr="00A95023">
        <w:rPr>
          <w:rFonts w:cs="Arial"/>
          <w:color w:val="auto"/>
        </w:rPr>
        <w:t>Association</w:t>
      </w:r>
      <w:proofErr w:type="spellEnd"/>
      <w:r w:rsidRPr="00A95023">
        <w:rPr>
          <w:rFonts w:cs="Arial"/>
          <w:color w:val="auto"/>
        </w:rPr>
        <w:t xml:space="preserve"> of National </w:t>
      </w:r>
      <w:proofErr w:type="spellStart"/>
      <w:r w:rsidRPr="00A95023">
        <w:rPr>
          <w:rFonts w:cs="Arial"/>
          <w:color w:val="auto"/>
        </w:rPr>
        <w:t>Numbering</w:t>
      </w:r>
      <w:proofErr w:type="spellEnd"/>
      <w:r w:rsidRPr="00A95023">
        <w:rPr>
          <w:rFonts w:cs="Arial"/>
          <w:color w:val="auto"/>
        </w:rPr>
        <w:t xml:space="preserve"> </w:t>
      </w:r>
      <w:proofErr w:type="spellStart"/>
      <w:r w:rsidRPr="00A95023">
        <w:rPr>
          <w:rFonts w:cs="Arial"/>
          <w:color w:val="auto"/>
        </w:rPr>
        <w:t>Agencies</w:t>
      </w:r>
      <w:proofErr w:type="spellEnd"/>
      <w:r w:rsidRPr="00A95023">
        <w:rPr>
          <w:rFonts w:cs="Arial"/>
          <w:color w:val="auto"/>
        </w:rPr>
        <w:t xml:space="preserve">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xml:space="preserve">), valamint a European </w:t>
      </w:r>
      <w:proofErr w:type="spellStart"/>
      <w:r w:rsidRPr="00A95023">
        <w:rPr>
          <w:rFonts w:cs="Arial"/>
          <w:color w:val="auto"/>
        </w:rPr>
        <w:t>Central</w:t>
      </w:r>
      <w:proofErr w:type="spellEnd"/>
      <w:r w:rsidRPr="00A95023">
        <w:rPr>
          <w:rFonts w:cs="Arial"/>
          <w:color w:val="auto"/>
        </w:rPr>
        <w:t xml:space="preserve"> Securities </w:t>
      </w:r>
      <w:proofErr w:type="spellStart"/>
      <w:r w:rsidRPr="00A95023">
        <w:rPr>
          <w:rFonts w:cs="Arial"/>
          <w:color w:val="auto"/>
        </w:rPr>
        <w:lastRenderedPageBreak/>
        <w:t>Depositories</w:t>
      </w:r>
      <w:proofErr w:type="spellEnd"/>
      <w:r w:rsidRPr="00A95023">
        <w:rPr>
          <w:rFonts w:cs="Arial"/>
          <w:color w:val="auto"/>
        </w:rPr>
        <w:t xml:space="preserve"> </w:t>
      </w:r>
      <w:proofErr w:type="spellStart"/>
      <w:r w:rsidRPr="00A95023">
        <w:rPr>
          <w:rFonts w:cs="Arial"/>
          <w:color w:val="auto"/>
        </w:rPr>
        <w:t>Association</w:t>
      </w:r>
      <w:proofErr w:type="spellEnd"/>
      <w:r w:rsidRPr="00A95023">
        <w:rPr>
          <w:rFonts w:cs="Arial"/>
          <w:color w:val="auto"/>
        </w:rPr>
        <w:t xml:space="preserve"> által közzétett </w:t>
      </w:r>
      <w:proofErr w:type="spellStart"/>
      <w:r w:rsidRPr="00A95023">
        <w:rPr>
          <w:rFonts w:cs="Arial"/>
          <w:color w:val="auto"/>
        </w:rPr>
        <w:t>CFI</w:t>
      </w:r>
      <w:proofErr w:type="spellEnd"/>
      <w:r w:rsidRPr="00A95023">
        <w:rPr>
          <w:rFonts w:cs="Arial"/>
          <w:color w:val="auto"/>
        </w:rPr>
        <w:t>-kódokat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Nem kiegyenlített szállítás fizetés ellenében/fogadás fizetés ellenében (a továbbiakban: DVP/</w:t>
      </w:r>
      <w:proofErr w:type="spellStart"/>
      <w:r w:rsidRPr="00A95023">
        <w:rPr>
          <w:rFonts w:cs="Arial"/>
          <w:szCs w:val="20"/>
        </w:rPr>
        <w:t>RVP</w:t>
      </w:r>
      <w:proofErr w:type="spellEnd"/>
      <w:r w:rsidRPr="00A95023">
        <w:rPr>
          <w:rFonts w:cs="Arial"/>
          <w:szCs w:val="20"/>
        </w:rPr>
        <w:t>) kiegyenlítési megbízások tekintetében, ha az értékpapírok szállításának elmulasztása miatt a kiegyenlítés meghiúsul (beleértve azt az esetet is, amikor a DVP megbízást visszatartják), mindkét DVP/</w:t>
      </w:r>
      <w:proofErr w:type="spellStart"/>
      <w:r w:rsidRPr="00A95023">
        <w:rPr>
          <w:rFonts w:cs="Arial"/>
          <w:szCs w:val="20"/>
        </w:rPr>
        <w:t>RVP</w:t>
      </w:r>
      <w:proofErr w:type="spellEnd"/>
      <w:r w:rsidRPr="00A95023">
        <w:rPr>
          <w:rFonts w:cs="Arial"/>
          <w:szCs w:val="20"/>
        </w:rPr>
        <w:t xml:space="preserve">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(beleértve azt az esetet is, amikor az </w:t>
      </w:r>
      <w:proofErr w:type="spellStart"/>
      <w:r w:rsidRPr="00A95023">
        <w:rPr>
          <w:rFonts w:cs="Arial"/>
          <w:szCs w:val="20"/>
        </w:rPr>
        <w:t>RVP</w:t>
      </w:r>
      <w:proofErr w:type="spellEnd"/>
      <w:r w:rsidRPr="00A95023">
        <w:rPr>
          <w:rFonts w:cs="Arial"/>
          <w:szCs w:val="20"/>
        </w:rPr>
        <w:t xml:space="preserve"> megbízást visszatartják),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mindkét DVP/</w:t>
      </w:r>
      <w:proofErr w:type="spellStart"/>
      <w:r w:rsidRPr="00A95023">
        <w:rPr>
          <w:rFonts w:cs="Arial"/>
          <w:szCs w:val="20"/>
        </w:rPr>
        <w:t>RVP</w:t>
      </w:r>
      <w:proofErr w:type="spellEnd"/>
      <w:r w:rsidRPr="00A95023">
        <w:rPr>
          <w:rFonts w:cs="Arial"/>
          <w:szCs w:val="20"/>
        </w:rPr>
        <w:t xml:space="preserve">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 nem kiegyenlített teljesítés fizetéssel/fogadás fizetéssel (a továbbiakban: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kiegyenlítési megbízások tekintetében, ha az értékpapírok szállításának elmulasztása miatt a 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a központi értéktár mindkét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megbízások egyikét vagy mindkettőt visszatartják, a központi értéktár az egyik kiegyenlítési megbízást az „értékpapírok szállításának elmulasztása” szakaszban, a másik kiegyenlítési megbízást pedig a „pénzeszközök szállításának meghiúsulása” szakaszban jelenti. Ugyanez érvényes a késedelmes párosítás esetében is, 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w:t>
      </w:r>
      <w:proofErr w:type="spellStart"/>
      <w:r w:rsidRPr="00A95023">
        <w:rPr>
          <w:rFonts w:cs="Arial"/>
          <w:szCs w:val="20"/>
        </w:rPr>
        <w:t>DPFOD</w:t>
      </w:r>
      <w:proofErr w:type="spellEnd"/>
      <w:r w:rsidRPr="00A95023">
        <w:rPr>
          <w:rFonts w:cs="Arial"/>
          <w:szCs w:val="20"/>
        </w:rPr>
        <w:t>/</w:t>
      </w:r>
      <w:proofErr w:type="spellStart"/>
      <w:r w:rsidRPr="00A95023">
        <w:rPr>
          <w:rFonts w:cs="Arial"/>
          <w:szCs w:val="20"/>
        </w:rPr>
        <w:t>CPFOD</w:t>
      </w:r>
      <w:proofErr w:type="spellEnd"/>
      <w:r w:rsidRPr="00A95023">
        <w:rPr>
          <w:rFonts w:cs="Arial"/>
          <w:szCs w:val="20"/>
        </w:rPr>
        <w:t xml:space="preserve">) kiegyenlítési megbízásokra vonatkozik, beleértve azt az esetet is, amikor a kiegyenlítési megbízást visszatartják, a központi értéktár mindkét kiegyenlítési megbízást a „pénzeszközök szállításának elmulasztása” szakaszban jelenti. Ugyanez érvényes </w:t>
      </w:r>
      <w:r w:rsidRPr="00A95023">
        <w:rPr>
          <w:rFonts w:cs="Arial"/>
          <w:szCs w:val="20"/>
        </w:rPr>
        <w:lastRenderedPageBreak/>
        <w:t>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Ha a meghiúsult kiegyenlítés teljesítés fizetés nélkül/fogadás fizetés nélkül (</w:t>
      </w:r>
      <w:proofErr w:type="spellStart"/>
      <w:r w:rsidRPr="00A95023">
        <w:rPr>
          <w:rFonts w:cs="Arial"/>
          <w:szCs w:val="20"/>
        </w:rPr>
        <w:t>DFP</w:t>
      </w:r>
      <w:proofErr w:type="spellEnd"/>
      <w:r w:rsidRPr="00A95023">
        <w:rPr>
          <w:rFonts w:cs="Arial"/>
          <w:szCs w:val="20"/>
        </w:rPr>
        <w:t>/</w:t>
      </w:r>
      <w:proofErr w:type="spellStart"/>
      <w:r w:rsidRPr="00A95023">
        <w:rPr>
          <w:rFonts w:cs="Arial"/>
          <w:szCs w:val="20"/>
        </w:rPr>
        <w:t>RFP</w:t>
      </w:r>
      <w:proofErr w:type="spellEnd"/>
      <w:r w:rsidRPr="00A95023">
        <w:rPr>
          <w:rFonts w:cs="Arial"/>
          <w:szCs w:val="20"/>
        </w:rPr>
        <w:t xml:space="preserve">)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9A1D" w14:textId="77777777" w:rsidR="000E395E" w:rsidRDefault="000E395E" w:rsidP="005A78AB">
      <w:r>
        <w:separator/>
      </w:r>
    </w:p>
  </w:endnote>
  <w:endnote w:type="continuationSeparator" w:id="0">
    <w:p w14:paraId="0225944E" w14:textId="77777777" w:rsidR="000E395E" w:rsidRDefault="000E395E" w:rsidP="005A78AB">
      <w:r>
        <w:continuationSeparator/>
      </w:r>
    </w:p>
  </w:endnote>
  <w:endnote w:type="continuationNotice" w:id="1">
    <w:p w14:paraId="69238365" w14:textId="77777777" w:rsidR="000E395E" w:rsidRDefault="000E3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40AEC" w14:textId="77777777" w:rsidR="000E395E" w:rsidRDefault="000E395E" w:rsidP="005A78AB">
      <w:r>
        <w:separator/>
      </w:r>
    </w:p>
  </w:footnote>
  <w:footnote w:type="continuationSeparator" w:id="0">
    <w:p w14:paraId="09BEBCBB" w14:textId="77777777" w:rsidR="000E395E" w:rsidRDefault="000E395E" w:rsidP="005A78AB">
      <w:r>
        <w:continuationSeparator/>
      </w:r>
    </w:p>
  </w:footnote>
  <w:footnote w:type="continuationNotice" w:id="1">
    <w:p w14:paraId="42556303" w14:textId="77777777" w:rsidR="000E395E" w:rsidRDefault="000E39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0"/>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37D3"/>
    <w:rsid w:val="000245B3"/>
    <w:rsid w:val="000247FC"/>
    <w:rsid w:val="00024B4D"/>
    <w:rsid w:val="00024D62"/>
    <w:rsid w:val="00024F09"/>
    <w:rsid w:val="0002508A"/>
    <w:rsid w:val="0002525E"/>
    <w:rsid w:val="0002535F"/>
    <w:rsid w:val="00026EE1"/>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C3F"/>
    <w:rsid w:val="00056081"/>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B9E"/>
    <w:rsid w:val="00082374"/>
    <w:rsid w:val="00082469"/>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8B0"/>
    <w:rsid w:val="000D2D6A"/>
    <w:rsid w:val="000D4668"/>
    <w:rsid w:val="000D5BAB"/>
    <w:rsid w:val="000D5C74"/>
    <w:rsid w:val="000D5FE0"/>
    <w:rsid w:val="000D625E"/>
    <w:rsid w:val="000D6D66"/>
    <w:rsid w:val="000D7985"/>
    <w:rsid w:val="000E0084"/>
    <w:rsid w:val="000E1317"/>
    <w:rsid w:val="000E2648"/>
    <w:rsid w:val="000E3437"/>
    <w:rsid w:val="000E395E"/>
    <w:rsid w:val="000E4923"/>
    <w:rsid w:val="000E4D0B"/>
    <w:rsid w:val="000E5415"/>
    <w:rsid w:val="000E545F"/>
    <w:rsid w:val="000E5753"/>
    <w:rsid w:val="000E7EA8"/>
    <w:rsid w:val="000F00B1"/>
    <w:rsid w:val="000F091B"/>
    <w:rsid w:val="000F0948"/>
    <w:rsid w:val="000F215D"/>
    <w:rsid w:val="000F2AAC"/>
    <w:rsid w:val="000F2FBE"/>
    <w:rsid w:val="000F4456"/>
    <w:rsid w:val="000F469F"/>
    <w:rsid w:val="000F4EAC"/>
    <w:rsid w:val="000F4F9D"/>
    <w:rsid w:val="000F5BAF"/>
    <w:rsid w:val="000F60F0"/>
    <w:rsid w:val="000F65CF"/>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75A8"/>
    <w:rsid w:val="00147783"/>
    <w:rsid w:val="00147E24"/>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A4B"/>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52C"/>
    <w:rsid w:val="002B4533"/>
    <w:rsid w:val="002B48EB"/>
    <w:rsid w:val="002B492E"/>
    <w:rsid w:val="002B4EC8"/>
    <w:rsid w:val="002B59A2"/>
    <w:rsid w:val="002B6557"/>
    <w:rsid w:val="002B6827"/>
    <w:rsid w:val="002B7259"/>
    <w:rsid w:val="002B7572"/>
    <w:rsid w:val="002B7F00"/>
    <w:rsid w:val="002C04F0"/>
    <w:rsid w:val="002C082E"/>
    <w:rsid w:val="002C1DB5"/>
    <w:rsid w:val="002C2BB6"/>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6447"/>
    <w:rsid w:val="003C70B8"/>
    <w:rsid w:val="003D0462"/>
    <w:rsid w:val="003D1A06"/>
    <w:rsid w:val="003D2544"/>
    <w:rsid w:val="003D2689"/>
    <w:rsid w:val="003D2F9F"/>
    <w:rsid w:val="003D2FEA"/>
    <w:rsid w:val="003D415B"/>
    <w:rsid w:val="003D4F16"/>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5743"/>
    <w:rsid w:val="00436121"/>
    <w:rsid w:val="00436462"/>
    <w:rsid w:val="00436797"/>
    <w:rsid w:val="0043715E"/>
    <w:rsid w:val="00440E34"/>
    <w:rsid w:val="00441097"/>
    <w:rsid w:val="00441220"/>
    <w:rsid w:val="00441238"/>
    <w:rsid w:val="00441347"/>
    <w:rsid w:val="00441C92"/>
    <w:rsid w:val="00441E66"/>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1BD"/>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DB"/>
    <w:rsid w:val="00480A7F"/>
    <w:rsid w:val="00483510"/>
    <w:rsid w:val="00483B82"/>
    <w:rsid w:val="00483C64"/>
    <w:rsid w:val="004848AC"/>
    <w:rsid w:val="00484D20"/>
    <w:rsid w:val="00485FDA"/>
    <w:rsid w:val="00486230"/>
    <w:rsid w:val="0048626B"/>
    <w:rsid w:val="00486B9D"/>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661B"/>
    <w:rsid w:val="004D66D7"/>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D31"/>
    <w:rsid w:val="005400BD"/>
    <w:rsid w:val="005407C1"/>
    <w:rsid w:val="005412FA"/>
    <w:rsid w:val="00541636"/>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5234"/>
    <w:rsid w:val="005C684B"/>
    <w:rsid w:val="005C7436"/>
    <w:rsid w:val="005C769E"/>
    <w:rsid w:val="005D0101"/>
    <w:rsid w:val="005D0370"/>
    <w:rsid w:val="005D038B"/>
    <w:rsid w:val="005D144B"/>
    <w:rsid w:val="005D1506"/>
    <w:rsid w:val="005D2954"/>
    <w:rsid w:val="005D37E0"/>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B83"/>
    <w:rsid w:val="006B4E9E"/>
    <w:rsid w:val="006B54B4"/>
    <w:rsid w:val="006B563E"/>
    <w:rsid w:val="006B783C"/>
    <w:rsid w:val="006C00D0"/>
    <w:rsid w:val="006C0280"/>
    <w:rsid w:val="006C0E1F"/>
    <w:rsid w:val="006C10FF"/>
    <w:rsid w:val="006C1481"/>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9E4"/>
    <w:rsid w:val="006D4E37"/>
    <w:rsid w:val="006D52C7"/>
    <w:rsid w:val="006D5D4D"/>
    <w:rsid w:val="006D6C7E"/>
    <w:rsid w:val="006D7244"/>
    <w:rsid w:val="006E04B8"/>
    <w:rsid w:val="006E22BC"/>
    <w:rsid w:val="006E2F1B"/>
    <w:rsid w:val="006E47AF"/>
    <w:rsid w:val="006E4925"/>
    <w:rsid w:val="006E4FE8"/>
    <w:rsid w:val="006E6964"/>
    <w:rsid w:val="006E7C31"/>
    <w:rsid w:val="006E7D79"/>
    <w:rsid w:val="006F0777"/>
    <w:rsid w:val="006F196B"/>
    <w:rsid w:val="006F1E17"/>
    <w:rsid w:val="006F2B2A"/>
    <w:rsid w:val="006F3257"/>
    <w:rsid w:val="006F3470"/>
    <w:rsid w:val="006F3C5C"/>
    <w:rsid w:val="006F495A"/>
    <w:rsid w:val="006F4EAE"/>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9B8"/>
    <w:rsid w:val="007313DB"/>
    <w:rsid w:val="0073165A"/>
    <w:rsid w:val="00731B00"/>
    <w:rsid w:val="00731DA9"/>
    <w:rsid w:val="00733283"/>
    <w:rsid w:val="00733E6F"/>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D38"/>
    <w:rsid w:val="00744F4D"/>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705C7"/>
    <w:rsid w:val="007707DD"/>
    <w:rsid w:val="00770DB7"/>
    <w:rsid w:val="007712C5"/>
    <w:rsid w:val="007725A2"/>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EF8"/>
    <w:rsid w:val="00790B21"/>
    <w:rsid w:val="0079189A"/>
    <w:rsid w:val="00792866"/>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2194"/>
    <w:rsid w:val="00802988"/>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885"/>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E0165"/>
    <w:rsid w:val="008E05CB"/>
    <w:rsid w:val="008E1481"/>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93F"/>
    <w:rsid w:val="009102E9"/>
    <w:rsid w:val="00911CE7"/>
    <w:rsid w:val="00912CE6"/>
    <w:rsid w:val="00914A8D"/>
    <w:rsid w:val="009161D8"/>
    <w:rsid w:val="00920BBB"/>
    <w:rsid w:val="00921109"/>
    <w:rsid w:val="00921D0A"/>
    <w:rsid w:val="00921F0F"/>
    <w:rsid w:val="009222FD"/>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5ED"/>
    <w:rsid w:val="009421C0"/>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A30"/>
    <w:rsid w:val="009E5E0A"/>
    <w:rsid w:val="009E6786"/>
    <w:rsid w:val="009E6B12"/>
    <w:rsid w:val="009E6B63"/>
    <w:rsid w:val="009E6CC5"/>
    <w:rsid w:val="009F0C55"/>
    <w:rsid w:val="009F17A9"/>
    <w:rsid w:val="009F23D3"/>
    <w:rsid w:val="009F2A32"/>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EB4"/>
    <w:rsid w:val="00AB6131"/>
    <w:rsid w:val="00AB7398"/>
    <w:rsid w:val="00AB7801"/>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434"/>
    <w:rsid w:val="00AF1AB5"/>
    <w:rsid w:val="00AF1B8C"/>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3024F"/>
    <w:rsid w:val="00B30FF4"/>
    <w:rsid w:val="00B313DC"/>
    <w:rsid w:val="00B31DDD"/>
    <w:rsid w:val="00B32A1F"/>
    <w:rsid w:val="00B32E6C"/>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4EA4"/>
    <w:rsid w:val="00B56759"/>
    <w:rsid w:val="00B5696B"/>
    <w:rsid w:val="00B56DE0"/>
    <w:rsid w:val="00B5789F"/>
    <w:rsid w:val="00B60053"/>
    <w:rsid w:val="00B60F6A"/>
    <w:rsid w:val="00B61F89"/>
    <w:rsid w:val="00B62644"/>
    <w:rsid w:val="00B628A1"/>
    <w:rsid w:val="00B62D75"/>
    <w:rsid w:val="00B63EC8"/>
    <w:rsid w:val="00B64158"/>
    <w:rsid w:val="00B64303"/>
    <w:rsid w:val="00B65ACA"/>
    <w:rsid w:val="00B66DEC"/>
    <w:rsid w:val="00B67630"/>
    <w:rsid w:val="00B677B8"/>
    <w:rsid w:val="00B702CE"/>
    <w:rsid w:val="00B70A6A"/>
    <w:rsid w:val="00B71252"/>
    <w:rsid w:val="00B71BD3"/>
    <w:rsid w:val="00B71EFD"/>
    <w:rsid w:val="00B7269E"/>
    <w:rsid w:val="00B73BB0"/>
    <w:rsid w:val="00B73DBF"/>
    <w:rsid w:val="00B73E16"/>
    <w:rsid w:val="00B74BB5"/>
    <w:rsid w:val="00B74C4C"/>
    <w:rsid w:val="00B75416"/>
    <w:rsid w:val="00B75610"/>
    <w:rsid w:val="00B75703"/>
    <w:rsid w:val="00B75A2F"/>
    <w:rsid w:val="00B75B7B"/>
    <w:rsid w:val="00B77EA9"/>
    <w:rsid w:val="00B803E6"/>
    <w:rsid w:val="00B811AC"/>
    <w:rsid w:val="00B81B18"/>
    <w:rsid w:val="00B8220C"/>
    <w:rsid w:val="00B825A5"/>
    <w:rsid w:val="00B82AE5"/>
    <w:rsid w:val="00B83A89"/>
    <w:rsid w:val="00B83CB1"/>
    <w:rsid w:val="00B84319"/>
    <w:rsid w:val="00B84805"/>
    <w:rsid w:val="00B85D7E"/>
    <w:rsid w:val="00B85DE3"/>
    <w:rsid w:val="00B86F04"/>
    <w:rsid w:val="00B908DE"/>
    <w:rsid w:val="00B929FB"/>
    <w:rsid w:val="00B9312C"/>
    <w:rsid w:val="00B93727"/>
    <w:rsid w:val="00B94972"/>
    <w:rsid w:val="00B95082"/>
    <w:rsid w:val="00B95376"/>
    <w:rsid w:val="00B95912"/>
    <w:rsid w:val="00B9641C"/>
    <w:rsid w:val="00B96615"/>
    <w:rsid w:val="00B97420"/>
    <w:rsid w:val="00BA0811"/>
    <w:rsid w:val="00BA08AE"/>
    <w:rsid w:val="00BA0D96"/>
    <w:rsid w:val="00BA16F9"/>
    <w:rsid w:val="00BA18A9"/>
    <w:rsid w:val="00BA280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60D0"/>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95D"/>
    <w:rsid w:val="00C44E1E"/>
    <w:rsid w:val="00C45600"/>
    <w:rsid w:val="00C47BA2"/>
    <w:rsid w:val="00C5063D"/>
    <w:rsid w:val="00C50945"/>
    <w:rsid w:val="00C51818"/>
    <w:rsid w:val="00C51CCE"/>
    <w:rsid w:val="00C52610"/>
    <w:rsid w:val="00C52C11"/>
    <w:rsid w:val="00C535AD"/>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768"/>
    <w:rsid w:val="00C858DC"/>
    <w:rsid w:val="00C85909"/>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54A6"/>
    <w:rsid w:val="00CC5646"/>
    <w:rsid w:val="00CC64FB"/>
    <w:rsid w:val="00CC734B"/>
    <w:rsid w:val="00CC79C5"/>
    <w:rsid w:val="00CD0B9A"/>
    <w:rsid w:val="00CD16E1"/>
    <w:rsid w:val="00CD1828"/>
    <w:rsid w:val="00CD19C4"/>
    <w:rsid w:val="00CD1F12"/>
    <w:rsid w:val="00CD25D9"/>
    <w:rsid w:val="00CD30F9"/>
    <w:rsid w:val="00CD4B60"/>
    <w:rsid w:val="00CD6CD9"/>
    <w:rsid w:val="00CD6F3C"/>
    <w:rsid w:val="00CD73F3"/>
    <w:rsid w:val="00CD75D2"/>
    <w:rsid w:val="00CD77F5"/>
    <w:rsid w:val="00CE0C2E"/>
    <w:rsid w:val="00CE0D3F"/>
    <w:rsid w:val="00CE1372"/>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20BD"/>
    <w:rsid w:val="00CF248C"/>
    <w:rsid w:val="00CF25AB"/>
    <w:rsid w:val="00CF329E"/>
    <w:rsid w:val="00CF3C44"/>
    <w:rsid w:val="00CF3D9F"/>
    <w:rsid w:val="00CF3EEF"/>
    <w:rsid w:val="00CF4283"/>
    <w:rsid w:val="00CF5889"/>
    <w:rsid w:val="00CF58F5"/>
    <w:rsid w:val="00CF5AFB"/>
    <w:rsid w:val="00CF5BDE"/>
    <w:rsid w:val="00CF60E2"/>
    <w:rsid w:val="00D00292"/>
    <w:rsid w:val="00D011A7"/>
    <w:rsid w:val="00D01B9F"/>
    <w:rsid w:val="00D02771"/>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633D"/>
    <w:rsid w:val="00D46369"/>
    <w:rsid w:val="00D47F4A"/>
    <w:rsid w:val="00D50D71"/>
    <w:rsid w:val="00D5150B"/>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C66"/>
    <w:rsid w:val="00D75E8C"/>
    <w:rsid w:val="00D76047"/>
    <w:rsid w:val="00D76178"/>
    <w:rsid w:val="00D77466"/>
    <w:rsid w:val="00D7751B"/>
    <w:rsid w:val="00D77677"/>
    <w:rsid w:val="00D77856"/>
    <w:rsid w:val="00D80A3F"/>
    <w:rsid w:val="00D82C47"/>
    <w:rsid w:val="00D82E70"/>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7AC"/>
    <w:rsid w:val="00DA7D1B"/>
    <w:rsid w:val="00DB03AD"/>
    <w:rsid w:val="00DB0C4A"/>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7D8"/>
    <w:rsid w:val="00E00683"/>
    <w:rsid w:val="00E0116F"/>
    <w:rsid w:val="00E016F5"/>
    <w:rsid w:val="00E01DCE"/>
    <w:rsid w:val="00E02687"/>
    <w:rsid w:val="00E04BB9"/>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339F"/>
    <w:rsid w:val="00F74357"/>
    <w:rsid w:val="00F74A3C"/>
    <w:rsid w:val="00F74D1B"/>
    <w:rsid w:val="00F75C0C"/>
    <w:rsid w:val="00F76994"/>
    <w:rsid w:val="00F77E54"/>
    <w:rsid w:val="00F77E9E"/>
    <w:rsid w:val="00F811B3"/>
    <w:rsid w:val="00F81486"/>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E666C9"/>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E666C9"/>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56</Pages>
  <Words>26235</Words>
  <Characters>181022</Characters>
  <Application>Microsoft Office Word</Application>
  <DocSecurity>0</DocSecurity>
  <Lines>1508</Lines>
  <Paragraphs>413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206844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STA</cp:lastModifiedBy>
  <cp:revision>4</cp:revision>
  <cp:lastPrinted>2019-07-10T07:00:00Z</cp:lastPrinted>
  <dcterms:created xsi:type="dcterms:W3CDTF">2024-05-23T18:19:00Z</dcterms:created>
  <dcterms:modified xsi:type="dcterms:W3CDTF">2024-05-23T18:24:00Z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