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B12A0" w14:textId="4F0EDFA0" w:rsidR="00366BDA" w:rsidRPr="00A61F3D" w:rsidRDefault="00366BDA" w:rsidP="00C17011">
      <w:pPr>
        <w:spacing w:after="240"/>
        <w:ind w:firstLine="284"/>
        <w:rPr>
          <w:rFonts w:ascii="Arial" w:hAnsi="Arial" w:cs="Arial"/>
          <w:snapToGrid w:val="0"/>
          <w:sz w:val="20"/>
          <w:lang w:eastAsia="en-US"/>
        </w:rPr>
      </w:pPr>
      <w:r w:rsidRPr="00A61F3D">
        <w:rPr>
          <w:rFonts w:ascii="Arial" w:hAnsi="Arial" w:cs="Arial"/>
          <w:snapToGrid w:val="0"/>
          <w:sz w:val="20"/>
          <w:lang w:eastAsia="en-US"/>
        </w:rPr>
        <w:t>2. melléklet a</w:t>
      </w:r>
      <w:r w:rsidR="003C52F4">
        <w:rPr>
          <w:rFonts w:ascii="Arial" w:hAnsi="Arial" w:cs="Arial"/>
          <w:snapToGrid w:val="0"/>
          <w:sz w:val="20"/>
          <w:lang w:eastAsia="en-US"/>
        </w:rPr>
        <w:t>z</w:t>
      </w:r>
      <w:r w:rsidRPr="00A61F3D">
        <w:rPr>
          <w:rFonts w:ascii="Arial" w:hAnsi="Arial" w:cs="Arial"/>
          <w:snapToGrid w:val="0"/>
          <w:sz w:val="20"/>
          <w:lang w:eastAsia="en-US"/>
        </w:rPr>
        <w:t xml:space="preserve"> </w:t>
      </w:r>
      <w:r w:rsidR="001A121D">
        <w:rPr>
          <w:rFonts w:ascii="Arial" w:hAnsi="Arial" w:cs="Arial"/>
          <w:snapToGrid w:val="0"/>
          <w:sz w:val="20"/>
          <w:lang w:eastAsia="en-US"/>
        </w:rPr>
        <w:t>…</w:t>
      </w:r>
      <w:r w:rsidR="002950DC" w:rsidRPr="00A61F3D">
        <w:rPr>
          <w:rFonts w:ascii="Arial" w:hAnsi="Arial" w:cs="Arial"/>
          <w:snapToGrid w:val="0"/>
          <w:sz w:val="20"/>
          <w:lang w:eastAsia="en-US"/>
        </w:rPr>
        <w:t>/</w:t>
      </w:r>
      <w:r w:rsidR="002D6315" w:rsidRPr="00A61F3D">
        <w:rPr>
          <w:rFonts w:ascii="Arial" w:hAnsi="Arial" w:cs="Arial"/>
          <w:snapToGrid w:val="0"/>
          <w:sz w:val="20"/>
          <w:lang w:eastAsia="en-US"/>
        </w:rPr>
        <w:t>20</w:t>
      </w:r>
      <w:r w:rsidR="00A61F3D" w:rsidRPr="00A61F3D">
        <w:rPr>
          <w:rFonts w:ascii="Arial" w:hAnsi="Arial" w:cs="Arial"/>
          <w:snapToGrid w:val="0"/>
          <w:sz w:val="20"/>
          <w:lang w:eastAsia="en-US"/>
        </w:rPr>
        <w:t>2</w:t>
      </w:r>
      <w:r w:rsidR="001A121D">
        <w:rPr>
          <w:rFonts w:ascii="Arial" w:hAnsi="Arial" w:cs="Arial"/>
          <w:snapToGrid w:val="0"/>
          <w:sz w:val="20"/>
          <w:lang w:eastAsia="en-US"/>
        </w:rPr>
        <w:t>4</w:t>
      </w:r>
      <w:r w:rsidR="002950DC" w:rsidRPr="00A61F3D">
        <w:rPr>
          <w:rFonts w:ascii="Arial" w:hAnsi="Arial" w:cs="Arial"/>
          <w:snapToGrid w:val="0"/>
          <w:sz w:val="20"/>
          <w:lang w:eastAsia="en-US"/>
        </w:rPr>
        <w:t>. (</w:t>
      </w:r>
      <w:r w:rsidR="001A121D">
        <w:rPr>
          <w:rFonts w:ascii="Arial" w:hAnsi="Arial" w:cs="Arial"/>
          <w:snapToGrid w:val="0"/>
          <w:sz w:val="20"/>
          <w:lang w:eastAsia="en-US"/>
        </w:rPr>
        <w:t>…</w:t>
      </w:r>
      <w:r w:rsidR="006C4A4B">
        <w:rPr>
          <w:rFonts w:ascii="Arial" w:hAnsi="Arial" w:cs="Arial"/>
          <w:snapToGrid w:val="0"/>
          <w:sz w:val="20"/>
          <w:lang w:eastAsia="en-US"/>
        </w:rPr>
        <w:t xml:space="preserve">. </w:t>
      </w:r>
      <w:r w:rsidR="001A121D">
        <w:rPr>
          <w:rFonts w:ascii="Arial" w:hAnsi="Arial" w:cs="Arial"/>
          <w:snapToGrid w:val="0"/>
          <w:sz w:val="20"/>
          <w:lang w:eastAsia="en-US"/>
        </w:rPr>
        <w:t>…</w:t>
      </w:r>
      <w:r w:rsidR="006C4A4B">
        <w:rPr>
          <w:rFonts w:ascii="Arial" w:hAnsi="Arial" w:cs="Arial"/>
          <w:snapToGrid w:val="0"/>
          <w:sz w:val="20"/>
          <w:lang w:eastAsia="en-US"/>
        </w:rPr>
        <w:t>.</w:t>
      </w:r>
      <w:r w:rsidR="00DA62FC" w:rsidRPr="00A61F3D">
        <w:rPr>
          <w:rFonts w:ascii="Arial" w:hAnsi="Arial" w:cs="Arial"/>
          <w:snapToGrid w:val="0"/>
          <w:sz w:val="20"/>
          <w:lang w:eastAsia="en-US"/>
        </w:rPr>
        <w:t>)</w:t>
      </w:r>
      <w:r w:rsidR="002950DC" w:rsidRPr="00A61F3D">
        <w:rPr>
          <w:rFonts w:ascii="Arial" w:hAnsi="Arial" w:cs="Arial"/>
          <w:snapToGrid w:val="0"/>
          <w:sz w:val="20"/>
          <w:lang w:eastAsia="en-US"/>
        </w:rPr>
        <w:t xml:space="preserve"> MNB rendelethez</w:t>
      </w:r>
    </w:p>
    <w:p w14:paraId="485655A6" w14:textId="77777777" w:rsidR="006805CF" w:rsidRPr="00A61F3D" w:rsidRDefault="006805CF">
      <w:pPr>
        <w:spacing w:after="120"/>
        <w:jc w:val="right"/>
        <w:rPr>
          <w:rFonts w:ascii="Arial" w:hAnsi="Arial" w:cs="Arial"/>
          <w:snapToGrid w:val="0"/>
          <w:sz w:val="20"/>
          <w:lang w:eastAsia="en-US"/>
        </w:rPr>
      </w:pPr>
    </w:p>
    <w:p w14:paraId="33208CC2" w14:textId="77777777" w:rsidR="00AC13E5" w:rsidRPr="00A61F3D" w:rsidRDefault="006805CF">
      <w:pPr>
        <w:numPr>
          <w:ilvl w:val="0"/>
          <w:numId w:val="2"/>
        </w:numPr>
        <w:tabs>
          <w:tab w:val="clear" w:pos="720"/>
          <w:tab w:val="num" w:pos="-142"/>
        </w:tabs>
        <w:ind w:left="284" w:hanging="284"/>
        <w:jc w:val="center"/>
        <w:rPr>
          <w:rFonts w:ascii="Arial" w:hAnsi="Arial" w:cs="Arial"/>
          <w:b/>
          <w:sz w:val="20"/>
        </w:rPr>
      </w:pPr>
      <w:r w:rsidRPr="00A61F3D">
        <w:rPr>
          <w:rFonts w:ascii="Arial" w:hAnsi="Arial" w:cs="Arial"/>
          <w:b/>
          <w:sz w:val="20"/>
        </w:rPr>
        <w:t>AZ INFORMÁCIÓK SZOLGÁLTATÁSÁRA VONATKOZÓ ÁLTALÁNOS RENDELKEZÉSEK</w:t>
      </w:r>
    </w:p>
    <w:p w14:paraId="02C4C4F3" w14:textId="77777777" w:rsidR="006805CF" w:rsidRPr="00A61F3D" w:rsidRDefault="006805CF">
      <w:pPr>
        <w:rPr>
          <w:rFonts w:ascii="Arial" w:hAnsi="Arial" w:cs="Arial"/>
          <w:sz w:val="20"/>
        </w:rPr>
      </w:pPr>
    </w:p>
    <w:p w14:paraId="51C442EB" w14:textId="77777777" w:rsidR="006805CF" w:rsidRPr="00A61F3D" w:rsidRDefault="006805CF">
      <w:pPr>
        <w:rPr>
          <w:rFonts w:ascii="Arial" w:hAnsi="Arial" w:cs="Arial"/>
          <w:snapToGrid w:val="0"/>
          <w:sz w:val="20"/>
          <w:lang w:eastAsia="en-US"/>
        </w:rPr>
      </w:pPr>
    </w:p>
    <w:p w14:paraId="71480464" w14:textId="77777777" w:rsidR="006805CF" w:rsidRPr="00A61F3D" w:rsidRDefault="006805CF">
      <w:pPr>
        <w:spacing w:after="120"/>
        <w:rPr>
          <w:rFonts w:ascii="Arial" w:hAnsi="Arial" w:cs="Arial"/>
          <w:snapToGrid w:val="0"/>
          <w:sz w:val="20"/>
          <w:lang w:eastAsia="en-US"/>
        </w:rPr>
      </w:pPr>
      <w:r w:rsidRPr="00A61F3D">
        <w:rPr>
          <w:rFonts w:ascii="Arial" w:hAnsi="Arial" w:cs="Arial"/>
          <w:snapToGrid w:val="0"/>
          <w:sz w:val="20"/>
          <w:lang w:eastAsia="en-US"/>
        </w:rPr>
        <w:t>A szolgáltatandó információkhoz kapcsolódó táblákban (a továbbiakban: táblák) és az azok kitöltésére vonatkozó előírásokban (a továbbiakban: kitöltési előírás) használt kifejezések tartalmára – e rendelet eltérő rendelkezése hiányában – az egyes adatszolgáltatókra vonatkozó számviteli és egyéb jogszabályokban foglaltak tekintendők irányadónak.</w:t>
      </w:r>
    </w:p>
    <w:p w14:paraId="72DD6B0F" w14:textId="5A1CF9D9" w:rsidR="00060C4D" w:rsidRPr="00A61F3D" w:rsidRDefault="00060C4D" w:rsidP="00060C4D">
      <w:pPr>
        <w:spacing w:after="120"/>
        <w:rPr>
          <w:rFonts w:ascii="Arial" w:hAnsi="Arial" w:cs="Arial"/>
          <w:snapToGrid w:val="0"/>
          <w:sz w:val="20"/>
        </w:rPr>
      </w:pPr>
      <w:r w:rsidRPr="00A61F3D">
        <w:rPr>
          <w:rFonts w:ascii="Arial" w:hAnsi="Arial" w:cs="Arial"/>
          <w:snapToGrid w:val="0"/>
          <w:sz w:val="20"/>
        </w:rPr>
        <w:t>Amennyiben valamely adatszolgáltatás teljesítésére az 1. mellékletben foglaltak szerint a hitelintézet, illetve annak valamely szervezeti formája kötelezett, az ott nevesített pénzügyi intézmény típuson</w:t>
      </w:r>
      <w:r w:rsidR="00430DFD" w:rsidRPr="00A61F3D">
        <w:rPr>
          <w:rFonts w:ascii="Arial" w:hAnsi="Arial" w:cs="Arial"/>
          <w:snapToGrid w:val="0"/>
          <w:sz w:val="20"/>
        </w:rPr>
        <w:t xml:space="preserve"> – az 1. melléklet eltérő rendelkezése hiányában –</w:t>
      </w:r>
      <w:r w:rsidRPr="00A61F3D">
        <w:rPr>
          <w:rFonts w:ascii="Arial" w:hAnsi="Arial" w:cs="Arial"/>
          <w:snapToGrid w:val="0"/>
          <w:sz w:val="20"/>
        </w:rPr>
        <w:t xml:space="preserve"> a </w:t>
      </w:r>
      <w:r w:rsidRPr="00A61F3D">
        <w:rPr>
          <w:rFonts w:ascii="Arial" w:hAnsi="Arial" w:cs="Arial"/>
          <w:sz w:val="20"/>
        </w:rPr>
        <w:t xml:space="preserve">hitelintézetekről és a pénzügyi vállalkozásokról szóló </w:t>
      </w:r>
      <w:r w:rsidR="008E1463">
        <w:rPr>
          <w:rFonts w:ascii="Arial" w:hAnsi="Arial" w:cs="Arial"/>
          <w:sz w:val="20"/>
        </w:rPr>
        <w:t xml:space="preserve">2013. évi CCXXXVII. törvény </w:t>
      </w:r>
      <w:r w:rsidRPr="00A61F3D">
        <w:rPr>
          <w:rFonts w:ascii="Arial" w:hAnsi="Arial" w:cs="Arial"/>
          <w:sz w:val="20"/>
        </w:rPr>
        <w:t>(a továbbiakban: Hpt.)</w:t>
      </w:r>
      <w:r w:rsidRPr="00A61F3D">
        <w:rPr>
          <w:rFonts w:ascii="Arial" w:hAnsi="Arial" w:cs="Arial"/>
          <w:snapToGrid w:val="0"/>
          <w:sz w:val="20"/>
        </w:rPr>
        <w:t xml:space="preserve"> 8. §-a, valamint 11. § (1) és (2) bekezdése szerint meghatározott működési formákban működő minden pénzügyi intézményt – azaz a bank és szakosított hitelintézet esetén a részvénytársaságként és a </w:t>
      </w:r>
      <w:r w:rsidR="00A8360F" w:rsidRPr="00A61F3D">
        <w:rPr>
          <w:rFonts w:ascii="Arial" w:hAnsi="Arial" w:cs="Arial"/>
          <w:snapToGrid w:val="0"/>
          <w:sz w:val="20"/>
        </w:rPr>
        <w:t>harmadik országbeli</w:t>
      </w:r>
      <w:r w:rsidRPr="00A61F3D">
        <w:rPr>
          <w:rFonts w:ascii="Arial" w:hAnsi="Arial" w:cs="Arial"/>
          <w:snapToGrid w:val="0"/>
          <w:sz w:val="20"/>
        </w:rPr>
        <w:t xml:space="preserve"> hitelintézet fióktelepeként működő jogalanyokat, szövetkezeti hitelintézet esetén pedig a részvénytársaságként és a szövetkezetként működő jogalanyokat – érteni kell.</w:t>
      </w:r>
    </w:p>
    <w:p w14:paraId="33610CAB" w14:textId="77777777" w:rsidR="007601ED" w:rsidRPr="00A61F3D" w:rsidRDefault="006805CF" w:rsidP="009939FB">
      <w:pPr>
        <w:spacing w:after="120"/>
        <w:rPr>
          <w:rFonts w:ascii="Arial" w:hAnsi="Arial" w:cs="Arial"/>
          <w:snapToGrid w:val="0"/>
          <w:sz w:val="20"/>
          <w:lang w:eastAsia="en-US"/>
        </w:rPr>
      </w:pPr>
      <w:r w:rsidRPr="00A61F3D">
        <w:rPr>
          <w:rFonts w:ascii="Arial" w:hAnsi="Arial" w:cs="Arial"/>
          <w:snapToGrid w:val="0"/>
          <w:sz w:val="20"/>
          <w:lang w:eastAsia="en-US"/>
        </w:rPr>
        <w:t xml:space="preserve">Amennyiben valamely adatszolgáltatás teljesítésére </w:t>
      </w:r>
      <w:r w:rsidR="00E13B76" w:rsidRPr="00A61F3D">
        <w:rPr>
          <w:rFonts w:ascii="Arial" w:hAnsi="Arial" w:cs="Arial"/>
          <w:snapToGrid w:val="0"/>
          <w:sz w:val="20"/>
          <w:lang w:eastAsia="en-US"/>
        </w:rPr>
        <w:t xml:space="preserve">az </w:t>
      </w:r>
      <w:r w:rsidRPr="00A61F3D">
        <w:rPr>
          <w:rFonts w:ascii="Arial" w:hAnsi="Arial" w:cs="Arial"/>
          <w:snapToGrid w:val="0"/>
          <w:sz w:val="20"/>
          <w:lang w:eastAsia="en-US"/>
        </w:rPr>
        <w:t xml:space="preserve">1. mellékletben foglaltak szerint az </w:t>
      </w:r>
      <w:r w:rsidR="00D776AC" w:rsidRPr="00A61F3D">
        <w:rPr>
          <w:rFonts w:ascii="Arial" w:hAnsi="Arial" w:cs="Arial"/>
          <w:snapToGrid w:val="0"/>
          <w:sz w:val="20"/>
          <w:lang w:eastAsia="en-US"/>
        </w:rPr>
        <w:t>EGT-fióktelep</w:t>
      </w:r>
      <w:r w:rsidRPr="00A61F3D">
        <w:rPr>
          <w:rFonts w:ascii="Arial" w:hAnsi="Arial" w:cs="Arial"/>
          <w:snapToGrid w:val="0"/>
          <w:sz w:val="20"/>
          <w:lang w:eastAsia="en-US"/>
        </w:rPr>
        <w:t xml:space="preserve"> is köteles, a kitöltési előírások alkalmazása szempontjából az ott nevesített pénzügyi szervezet típuson – adatszolgáltatói vonatkozásban – az ugyanezen típusú </w:t>
      </w:r>
      <w:r w:rsidR="00D776AC" w:rsidRPr="00A61F3D">
        <w:rPr>
          <w:rFonts w:ascii="Arial" w:hAnsi="Arial" w:cs="Arial"/>
          <w:snapToGrid w:val="0"/>
          <w:sz w:val="20"/>
          <w:lang w:eastAsia="en-US"/>
        </w:rPr>
        <w:t>EGT-fióktelep</w:t>
      </w:r>
      <w:r w:rsidRPr="00A61F3D">
        <w:rPr>
          <w:rFonts w:ascii="Arial" w:hAnsi="Arial" w:cs="Arial"/>
          <w:snapToGrid w:val="0"/>
          <w:sz w:val="20"/>
          <w:lang w:eastAsia="en-US"/>
        </w:rPr>
        <w:t>et is érteni kell.</w:t>
      </w:r>
    </w:p>
    <w:p w14:paraId="2D2FDD74" w14:textId="77777777" w:rsidR="006805CF" w:rsidRPr="00A61F3D" w:rsidRDefault="006805CF">
      <w:pPr>
        <w:rPr>
          <w:rFonts w:ascii="Arial" w:hAnsi="Arial" w:cs="Arial"/>
          <w:b/>
          <w:sz w:val="20"/>
        </w:rPr>
      </w:pPr>
      <w:r w:rsidRPr="00A61F3D">
        <w:rPr>
          <w:rFonts w:ascii="Arial" w:hAnsi="Arial" w:cs="Arial"/>
          <w:snapToGrid w:val="0"/>
          <w:sz w:val="20"/>
          <w:lang w:eastAsia="en-US"/>
        </w:rPr>
        <w:t xml:space="preserve">A jelen mellékletben használt rövidítések a táblákra és a kitöltési előírásokra érvényesek. </w:t>
      </w:r>
    </w:p>
    <w:p w14:paraId="204F831C" w14:textId="77777777" w:rsidR="006805CF" w:rsidRPr="00A61F3D" w:rsidRDefault="006805CF">
      <w:pPr>
        <w:jc w:val="center"/>
        <w:rPr>
          <w:rFonts w:ascii="Arial" w:hAnsi="Arial" w:cs="Arial"/>
          <w:b/>
          <w:sz w:val="20"/>
        </w:rPr>
      </w:pPr>
    </w:p>
    <w:p w14:paraId="25658617" w14:textId="77777777" w:rsidR="006805CF" w:rsidRPr="00A61F3D" w:rsidRDefault="006805CF">
      <w:pPr>
        <w:tabs>
          <w:tab w:val="left" w:pos="284"/>
        </w:tabs>
        <w:jc w:val="left"/>
        <w:outlineLvl w:val="0"/>
        <w:rPr>
          <w:rFonts w:ascii="Arial" w:hAnsi="Arial" w:cs="Arial"/>
          <w:b/>
          <w:sz w:val="20"/>
        </w:rPr>
      </w:pPr>
    </w:p>
    <w:p w14:paraId="42D5EDAE" w14:textId="49B9EEF2" w:rsidR="006805CF" w:rsidRPr="00686DAB" w:rsidRDefault="008D2854">
      <w:pPr>
        <w:tabs>
          <w:tab w:val="left" w:pos="284"/>
        </w:tabs>
        <w:jc w:val="left"/>
        <w:outlineLvl w:val="0"/>
        <w:rPr>
          <w:rFonts w:ascii="Arial" w:hAnsi="Arial" w:cs="Arial"/>
          <w:sz w:val="20"/>
        </w:rPr>
      </w:pPr>
      <w:r w:rsidRPr="00686DAB">
        <w:rPr>
          <w:rFonts w:ascii="Arial" w:hAnsi="Arial" w:cs="Arial"/>
          <w:b/>
          <w:sz w:val="20"/>
        </w:rPr>
        <w:t xml:space="preserve">I. </w:t>
      </w:r>
      <w:r w:rsidR="006805CF" w:rsidRPr="00686DAB">
        <w:rPr>
          <w:rFonts w:ascii="Arial" w:hAnsi="Arial" w:cs="Arial"/>
          <w:b/>
          <w:sz w:val="20"/>
        </w:rPr>
        <w:t>A.</w:t>
      </w:r>
      <w:r w:rsidR="006805CF" w:rsidRPr="00686DAB">
        <w:rPr>
          <w:rFonts w:ascii="Arial" w:hAnsi="Arial" w:cs="Arial"/>
          <w:b/>
          <w:sz w:val="20"/>
        </w:rPr>
        <w:tab/>
        <w:t>Szektormeghatározások</w:t>
      </w:r>
    </w:p>
    <w:p w14:paraId="240C176F" w14:textId="77777777" w:rsidR="006805CF" w:rsidRPr="00686DAB" w:rsidRDefault="006805CF">
      <w:pPr>
        <w:rPr>
          <w:rFonts w:ascii="Arial" w:hAnsi="Arial" w:cs="Arial"/>
          <w:sz w:val="20"/>
        </w:rPr>
      </w:pPr>
    </w:p>
    <w:p w14:paraId="7EEBD463" w14:textId="2F1DB8DB" w:rsidR="006805CF" w:rsidRPr="00686DAB" w:rsidRDefault="008D2854" w:rsidP="008D2854">
      <w:pPr>
        <w:outlineLvl w:val="0"/>
        <w:rPr>
          <w:rFonts w:ascii="Arial" w:hAnsi="Arial" w:cs="Arial"/>
          <w:b/>
          <w:sz w:val="20"/>
        </w:rPr>
      </w:pPr>
      <w:r w:rsidRPr="00686DAB">
        <w:rPr>
          <w:rFonts w:ascii="Arial" w:hAnsi="Arial" w:cs="Arial"/>
          <w:b/>
          <w:sz w:val="20"/>
        </w:rPr>
        <w:t xml:space="preserve">I. A. </w:t>
      </w:r>
      <w:r w:rsidR="006805CF" w:rsidRPr="00686DAB">
        <w:rPr>
          <w:rFonts w:ascii="Arial" w:hAnsi="Arial" w:cs="Arial"/>
          <w:b/>
          <w:sz w:val="20"/>
        </w:rPr>
        <w:t>1. Változások a szektormeghatározásokban</w:t>
      </w:r>
    </w:p>
    <w:p w14:paraId="5B4F0099" w14:textId="08A5DD7D" w:rsidR="008D2854" w:rsidRPr="00686DAB" w:rsidRDefault="00573132" w:rsidP="004F671E">
      <w:pPr>
        <w:outlineLvl w:val="0"/>
        <w:rPr>
          <w:rFonts w:ascii="Arial" w:hAnsi="Arial" w:cs="Arial"/>
          <w:sz w:val="20"/>
        </w:rPr>
      </w:pPr>
      <w:r w:rsidRPr="00686DAB">
        <w:rPr>
          <w:rFonts w:ascii="Arial" w:hAnsi="Arial" w:cs="Arial"/>
          <w:sz w:val="20"/>
        </w:rPr>
        <w:t xml:space="preserve">A szektormeghatározások </w:t>
      </w:r>
      <w:r w:rsidR="00781979" w:rsidRPr="00686DAB">
        <w:rPr>
          <w:rFonts w:ascii="Arial" w:hAnsi="Arial" w:cs="Arial"/>
          <w:sz w:val="20"/>
        </w:rPr>
        <w:t>202</w:t>
      </w:r>
      <w:r w:rsidR="007A2CC2">
        <w:rPr>
          <w:rFonts w:ascii="Arial" w:hAnsi="Arial" w:cs="Arial"/>
          <w:sz w:val="20"/>
        </w:rPr>
        <w:t>5</w:t>
      </w:r>
      <w:r w:rsidR="00145B14" w:rsidRPr="00686DAB">
        <w:rPr>
          <w:rFonts w:ascii="Arial" w:hAnsi="Arial" w:cs="Arial"/>
          <w:sz w:val="20"/>
        </w:rPr>
        <w:t>-</w:t>
      </w:r>
      <w:r w:rsidR="00781979" w:rsidRPr="00686DAB">
        <w:rPr>
          <w:rFonts w:ascii="Arial" w:hAnsi="Arial" w:cs="Arial"/>
          <w:sz w:val="20"/>
        </w:rPr>
        <w:t xml:space="preserve">ben </w:t>
      </w:r>
      <w:r w:rsidR="008D2854" w:rsidRPr="00686DAB">
        <w:rPr>
          <w:rFonts w:ascii="Arial" w:hAnsi="Arial" w:cs="Arial"/>
          <w:sz w:val="20"/>
        </w:rPr>
        <w:t>kisebb</w:t>
      </w:r>
      <w:r w:rsidRPr="00686DAB">
        <w:rPr>
          <w:rFonts w:ascii="Arial" w:hAnsi="Arial" w:cs="Arial"/>
          <w:sz w:val="20"/>
        </w:rPr>
        <w:t xml:space="preserve"> mértékben változnak</w:t>
      </w:r>
      <w:r w:rsidR="008D2854" w:rsidRPr="00686DAB">
        <w:rPr>
          <w:rFonts w:ascii="Arial" w:hAnsi="Arial" w:cs="Arial"/>
          <w:sz w:val="20"/>
        </w:rPr>
        <w:t xml:space="preserve">. </w:t>
      </w:r>
    </w:p>
    <w:p w14:paraId="050330FA" w14:textId="55EBF188" w:rsidR="006805CF" w:rsidRPr="00686DAB" w:rsidRDefault="006805CF" w:rsidP="004F671E">
      <w:pPr>
        <w:jc w:val="left"/>
        <w:rPr>
          <w:rFonts w:ascii="Arial" w:hAnsi="Arial" w:cs="Arial"/>
          <w:sz w:val="20"/>
        </w:rPr>
      </w:pPr>
    </w:p>
    <w:p w14:paraId="667A87C9" w14:textId="3E68F42C" w:rsidR="006805CF" w:rsidRPr="00A61F3D" w:rsidRDefault="002E3CE2" w:rsidP="004F671E">
      <w:pPr>
        <w:outlineLvl w:val="0"/>
        <w:rPr>
          <w:rFonts w:ascii="Arial" w:hAnsi="Arial" w:cs="Arial"/>
          <w:b/>
          <w:sz w:val="20"/>
        </w:rPr>
      </w:pPr>
      <w:r w:rsidRPr="00686DAB">
        <w:rPr>
          <w:rFonts w:ascii="Arial" w:hAnsi="Arial" w:cs="Arial"/>
          <w:b/>
          <w:sz w:val="20"/>
        </w:rPr>
        <w:t xml:space="preserve">I. </w:t>
      </w:r>
      <w:r w:rsidR="003662ED" w:rsidRPr="00686DAB">
        <w:rPr>
          <w:rFonts w:ascii="Arial" w:hAnsi="Arial" w:cs="Arial"/>
          <w:b/>
          <w:sz w:val="20"/>
        </w:rPr>
        <w:t xml:space="preserve">A. </w:t>
      </w:r>
      <w:r w:rsidR="006805CF" w:rsidRPr="00686DAB">
        <w:rPr>
          <w:rFonts w:ascii="Arial" w:hAnsi="Arial" w:cs="Arial"/>
          <w:b/>
          <w:sz w:val="20"/>
        </w:rPr>
        <w:t>2. A szektorok</w:t>
      </w:r>
      <w:r w:rsidR="006805CF" w:rsidRPr="00A61F3D">
        <w:rPr>
          <w:rFonts w:ascii="Arial" w:hAnsi="Arial" w:cs="Arial"/>
          <w:b/>
          <w:sz w:val="20"/>
        </w:rPr>
        <w:t xml:space="preserve"> </w:t>
      </w:r>
    </w:p>
    <w:p w14:paraId="05B8273B" w14:textId="77777777" w:rsidR="006805CF" w:rsidRPr="00A61F3D" w:rsidRDefault="006805CF" w:rsidP="004F671E">
      <w:pPr>
        <w:rPr>
          <w:rFonts w:ascii="Arial" w:hAnsi="Arial" w:cs="Arial"/>
          <w:sz w:val="20"/>
        </w:rPr>
      </w:pPr>
      <w:r w:rsidRPr="00A61F3D">
        <w:rPr>
          <w:rFonts w:ascii="Arial" w:hAnsi="Arial" w:cs="Arial"/>
          <w:sz w:val="20"/>
        </w:rPr>
        <w:t>Az adatszolgáltatásokban – e rendelet eltérő rendelkezése hiányában – a következő szektorok szerepelnek:</w:t>
      </w:r>
    </w:p>
    <w:p w14:paraId="04C5A38E" w14:textId="77777777" w:rsidR="00AC13E5" w:rsidRPr="00A61F3D" w:rsidRDefault="006805CF" w:rsidP="004F671E">
      <w:pPr>
        <w:spacing w:before="120"/>
        <w:rPr>
          <w:rFonts w:ascii="Arial" w:hAnsi="Arial" w:cs="Arial"/>
          <w:b/>
          <w:sz w:val="20"/>
        </w:rPr>
      </w:pPr>
      <w:r w:rsidRPr="00A61F3D">
        <w:rPr>
          <w:rFonts w:ascii="Arial" w:hAnsi="Arial" w:cs="Arial"/>
          <w:b/>
          <w:sz w:val="20"/>
        </w:rPr>
        <w:t>Szektorkód</w:t>
      </w:r>
      <w:r w:rsidRPr="00A61F3D">
        <w:rPr>
          <w:rFonts w:ascii="Arial" w:hAnsi="Arial" w:cs="Arial"/>
          <w:b/>
          <w:sz w:val="20"/>
        </w:rPr>
        <w:tab/>
        <w:t>Szektor</w:t>
      </w:r>
    </w:p>
    <w:p w14:paraId="2D203D01" w14:textId="77777777" w:rsidR="00AC13E5" w:rsidRPr="00A61F3D" w:rsidRDefault="006805CF" w:rsidP="004F671E">
      <w:pPr>
        <w:spacing w:before="120"/>
        <w:outlineLvl w:val="0"/>
        <w:rPr>
          <w:rFonts w:ascii="Arial" w:hAnsi="Arial" w:cs="Arial"/>
          <w:b/>
          <w:sz w:val="20"/>
        </w:rPr>
      </w:pPr>
      <w:r w:rsidRPr="00A61F3D">
        <w:rPr>
          <w:rFonts w:ascii="Arial" w:hAnsi="Arial" w:cs="Arial"/>
          <w:b/>
          <w:i/>
          <w:sz w:val="20"/>
        </w:rPr>
        <w:t>Rezidensek:</w:t>
      </w:r>
    </w:p>
    <w:p w14:paraId="48D10E9A"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A) </w:t>
      </w:r>
      <w:r w:rsidRPr="00A61F3D">
        <w:rPr>
          <w:rFonts w:ascii="Arial" w:hAnsi="Arial" w:cs="Arial"/>
          <w:b/>
          <w:sz w:val="20"/>
        </w:rPr>
        <w:tab/>
      </w:r>
      <w:r w:rsidRPr="00A61F3D">
        <w:rPr>
          <w:rFonts w:ascii="Arial" w:hAnsi="Arial" w:cs="Arial"/>
          <w:b/>
          <w:sz w:val="20"/>
        </w:rPr>
        <w:tab/>
        <w:t>Nem pénzügyi vállalatok</w:t>
      </w:r>
    </w:p>
    <w:p w14:paraId="172A0F7A"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B) </w:t>
      </w:r>
      <w:r w:rsidRPr="00A61F3D">
        <w:rPr>
          <w:rFonts w:ascii="Arial" w:hAnsi="Arial" w:cs="Arial"/>
          <w:b/>
          <w:sz w:val="20"/>
        </w:rPr>
        <w:tab/>
      </w:r>
      <w:r w:rsidRPr="00A61F3D">
        <w:rPr>
          <w:rFonts w:ascii="Arial" w:hAnsi="Arial" w:cs="Arial"/>
          <w:b/>
          <w:sz w:val="20"/>
        </w:rPr>
        <w:tab/>
        <w:t>Központi bank</w:t>
      </w:r>
    </w:p>
    <w:p w14:paraId="43A07384"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C) </w:t>
      </w:r>
      <w:r w:rsidRPr="00A61F3D">
        <w:rPr>
          <w:rFonts w:ascii="Arial" w:hAnsi="Arial" w:cs="Arial"/>
          <w:b/>
          <w:sz w:val="20"/>
        </w:rPr>
        <w:tab/>
      </w:r>
      <w:r w:rsidRPr="00A61F3D">
        <w:rPr>
          <w:rFonts w:ascii="Arial" w:hAnsi="Arial" w:cs="Arial"/>
          <w:b/>
          <w:sz w:val="20"/>
        </w:rPr>
        <w:tab/>
        <w:t>Egyéb monetáris pénzügyi intézmények</w:t>
      </w:r>
    </w:p>
    <w:p w14:paraId="7D7C71A1"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D) </w:t>
      </w:r>
      <w:r w:rsidRPr="00A61F3D">
        <w:rPr>
          <w:rFonts w:ascii="Arial" w:hAnsi="Arial" w:cs="Arial"/>
          <w:b/>
          <w:sz w:val="20"/>
        </w:rPr>
        <w:tab/>
      </w:r>
      <w:r w:rsidRPr="00A61F3D">
        <w:rPr>
          <w:rFonts w:ascii="Arial" w:hAnsi="Arial" w:cs="Arial"/>
          <w:b/>
          <w:sz w:val="20"/>
        </w:rPr>
        <w:tab/>
        <w:t>Egyéb pénzügyi közvetítők</w:t>
      </w:r>
    </w:p>
    <w:p w14:paraId="2A203629"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E) </w:t>
      </w:r>
      <w:r w:rsidRPr="00A61F3D">
        <w:rPr>
          <w:rFonts w:ascii="Arial" w:hAnsi="Arial" w:cs="Arial"/>
          <w:b/>
          <w:sz w:val="20"/>
        </w:rPr>
        <w:tab/>
      </w:r>
      <w:r w:rsidRPr="00A61F3D">
        <w:rPr>
          <w:rFonts w:ascii="Arial" w:hAnsi="Arial" w:cs="Arial"/>
          <w:b/>
          <w:sz w:val="20"/>
        </w:rPr>
        <w:tab/>
        <w:t>Pénzügyi kiegészítő tevékenységet végzők</w:t>
      </w:r>
    </w:p>
    <w:p w14:paraId="30CA825C" w14:textId="6471F6F8" w:rsidR="006805CF" w:rsidRDefault="006805CF" w:rsidP="004F671E">
      <w:pPr>
        <w:outlineLvl w:val="0"/>
        <w:rPr>
          <w:rFonts w:ascii="Arial" w:hAnsi="Arial" w:cs="Arial"/>
          <w:b/>
          <w:sz w:val="20"/>
        </w:rPr>
      </w:pPr>
      <w:r w:rsidRPr="00A61F3D">
        <w:rPr>
          <w:rFonts w:ascii="Arial" w:hAnsi="Arial" w:cs="Arial"/>
          <w:b/>
          <w:sz w:val="20"/>
        </w:rPr>
        <w:t xml:space="preserve">F) </w:t>
      </w:r>
      <w:r w:rsidRPr="00A61F3D">
        <w:rPr>
          <w:rFonts w:ascii="Arial" w:hAnsi="Arial" w:cs="Arial"/>
          <w:b/>
          <w:sz w:val="20"/>
        </w:rPr>
        <w:tab/>
      </w:r>
      <w:r w:rsidRPr="00A61F3D">
        <w:rPr>
          <w:rFonts w:ascii="Arial" w:hAnsi="Arial" w:cs="Arial"/>
          <w:b/>
          <w:sz w:val="20"/>
        </w:rPr>
        <w:tab/>
        <w:t>Biztosítók és nyugdíjpénztárak</w:t>
      </w:r>
    </w:p>
    <w:p w14:paraId="63F7D77D"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G) </w:t>
      </w:r>
      <w:r w:rsidRPr="00A61F3D">
        <w:rPr>
          <w:rFonts w:ascii="Arial" w:hAnsi="Arial" w:cs="Arial"/>
          <w:b/>
          <w:sz w:val="20"/>
        </w:rPr>
        <w:tab/>
      </w:r>
      <w:r w:rsidRPr="00A61F3D">
        <w:rPr>
          <w:rFonts w:ascii="Arial" w:hAnsi="Arial" w:cs="Arial"/>
          <w:b/>
          <w:sz w:val="20"/>
        </w:rPr>
        <w:tab/>
        <w:t>Központi kormányzat</w:t>
      </w:r>
    </w:p>
    <w:p w14:paraId="3612CEF9"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H) </w:t>
      </w:r>
      <w:r w:rsidRPr="00A61F3D">
        <w:rPr>
          <w:rFonts w:ascii="Arial" w:hAnsi="Arial" w:cs="Arial"/>
          <w:b/>
          <w:sz w:val="20"/>
        </w:rPr>
        <w:tab/>
      </w:r>
      <w:r w:rsidRPr="00A61F3D">
        <w:rPr>
          <w:rFonts w:ascii="Arial" w:hAnsi="Arial" w:cs="Arial"/>
          <w:b/>
          <w:sz w:val="20"/>
        </w:rPr>
        <w:tab/>
        <w:t>Helyi önkormányzatok</w:t>
      </w:r>
    </w:p>
    <w:p w14:paraId="0A9AE3E7"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I) </w:t>
      </w:r>
      <w:r w:rsidRPr="00A61F3D">
        <w:rPr>
          <w:rFonts w:ascii="Arial" w:hAnsi="Arial" w:cs="Arial"/>
          <w:b/>
          <w:sz w:val="20"/>
        </w:rPr>
        <w:tab/>
      </w:r>
      <w:r w:rsidRPr="00A61F3D">
        <w:rPr>
          <w:rFonts w:ascii="Arial" w:hAnsi="Arial" w:cs="Arial"/>
          <w:b/>
          <w:sz w:val="20"/>
        </w:rPr>
        <w:tab/>
        <w:t>Társadalombiztosítási alapok</w:t>
      </w:r>
    </w:p>
    <w:p w14:paraId="7325C64B" w14:textId="77777777" w:rsidR="006805CF" w:rsidRPr="00A61F3D" w:rsidRDefault="006805CF" w:rsidP="004F671E">
      <w:pPr>
        <w:outlineLvl w:val="0"/>
        <w:rPr>
          <w:rFonts w:ascii="Arial" w:hAnsi="Arial" w:cs="Arial"/>
          <w:b/>
          <w:sz w:val="20"/>
        </w:rPr>
      </w:pPr>
      <w:r w:rsidRPr="00A61F3D">
        <w:rPr>
          <w:rFonts w:ascii="Arial" w:hAnsi="Arial" w:cs="Arial"/>
          <w:b/>
          <w:sz w:val="20"/>
        </w:rPr>
        <w:t xml:space="preserve">J) </w:t>
      </w:r>
      <w:r w:rsidRPr="00A61F3D">
        <w:rPr>
          <w:rFonts w:ascii="Arial" w:hAnsi="Arial" w:cs="Arial"/>
          <w:b/>
          <w:sz w:val="20"/>
        </w:rPr>
        <w:tab/>
      </w:r>
      <w:r w:rsidRPr="00A61F3D">
        <w:rPr>
          <w:rFonts w:ascii="Arial" w:hAnsi="Arial" w:cs="Arial"/>
          <w:b/>
          <w:sz w:val="20"/>
        </w:rPr>
        <w:tab/>
        <w:t>Háztartások</w:t>
      </w:r>
    </w:p>
    <w:p w14:paraId="6300C7A9" w14:textId="787A7F38" w:rsidR="008A2443" w:rsidRPr="00A61F3D" w:rsidRDefault="006805CF" w:rsidP="004F671E">
      <w:pPr>
        <w:outlineLvl w:val="0"/>
        <w:rPr>
          <w:rFonts w:ascii="Arial" w:hAnsi="Arial" w:cs="Arial"/>
          <w:b/>
          <w:sz w:val="20"/>
        </w:rPr>
      </w:pPr>
      <w:r w:rsidRPr="00A61F3D">
        <w:rPr>
          <w:rFonts w:ascii="Arial" w:hAnsi="Arial" w:cs="Arial"/>
          <w:b/>
          <w:sz w:val="20"/>
        </w:rPr>
        <w:t xml:space="preserve">K) </w:t>
      </w:r>
      <w:r w:rsidRPr="00A61F3D">
        <w:rPr>
          <w:rFonts w:ascii="Arial" w:hAnsi="Arial" w:cs="Arial"/>
          <w:b/>
          <w:sz w:val="20"/>
        </w:rPr>
        <w:tab/>
      </w:r>
      <w:r w:rsidRPr="00A61F3D">
        <w:rPr>
          <w:rFonts w:ascii="Arial" w:hAnsi="Arial" w:cs="Arial"/>
          <w:b/>
          <w:sz w:val="20"/>
        </w:rPr>
        <w:tab/>
        <w:t>Háztartásokat segítő nonprofit intézmények</w:t>
      </w:r>
    </w:p>
    <w:p w14:paraId="2F7F1321" w14:textId="2CF2A0B0" w:rsidR="00763A9B" w:rsidRPr="00A61F3D" w:rsidRDefault="008A2443" w:rsidP="004F671E">
      <w:pPr>
        <w:outlineLvl w:val="0"/>
        <w:rPr>
          <w:rFonts w:ascii="Arial" w:hAnsi="Arial" w:cs="Arial"/>
          <w:b/>
          <w:sz w:val="20"/>
        </w:rPr>
      </w:pPr>
      <w:r w:rsidRPr="00A61F3D">
        <w:rPr>
          <w:rFonts w:ascii="Arial" w:hAnsi="Arial" w:cs="Arial"/>
          <w:b/>
          <w:sz w:val="20"/>
        </w:rPr>
        <w:t>Z)</w:t>
      </w:r>
      <w:r w:rsidRPr="00A61F3D">
        <w:rPr>
          <w:rFonts w:ascii="Arial" w:hAnsi="Arial" w:cs="Arial"/>
          <w:b/>
          <w:sz w:val="20"/>
        </w:rPr>
        <w:tab/>
      </w:r>
      <w:r w:rsidRPr="00A61F3D">
        <w:rPr>
          <w:rFonts w:ascii="Arial" w:hAnsi="Arial" w:cs="Arial"/>
          <w:b/>
          <w:sz w:val="20"/>
        </w:rPr>
        <w:tab/>
        <w:t>Zártkörű pénzügyi közvetítők</w:t>
      </w:r>
    </w:p>
    <w:p w14:paraId="13DE7F31" w14:textId="77777777" w:rsidR="00CB3215" w:rsidRDefault="00CB3215" w:rsidP="004F671E">
      <w:pPr>
        <w:rPr>
          <w:rFonts w:ascii="Arial" w:hAnsi="Arial" w:cs="Arial"/>
          <w:sz w:val="20"/>
        </w:rPr>
      </w:pPr>
    </w:p>
    <w:p w14:paraId="46BDF188" w14:textId="1BCFF45E" w:rsidR="00CB3215" w:rsidRPr="00A61F3D" w:rsidRDefault="00CB3215" w:rsidP="004F671E">
      <w:pPr>
        <w:rPr>
          <w:rFonts w:ascii="Arial" w:hAnsi="Arial" w:cs="Arial"/>
          <w:sz w:val="20"/>
        </w:rPr>
      </w:pPr>
      <w:r>
        <w:rPr>
          <w:rFonts w:ascii="Arial" w:hAnsi="Arial" w:cs="Arial"/>
          <w:sz w:val="20"/>
        </w:rPr>
        <w:t>A B) K</w:t>
      </w:r>
      <w:r w:rsidRPr="00A61F3D">
        <w:rPr>
          <w:rFonts w:ascii="Arial" w:hAnsi="Arial" w:cs="Arial"/>
          <w:sz w:val="20"/>
        </w:rPr>
        <w:t xml:space="preserve">özponti bank, </w:t>
      </w:r>
      <w:r>
        <w:rPr>
          <w:rFonts w:ascii="Arial" w:hAnsi="Arial" w:cs="Arial"/>
          <w:sz w:val="20"/>
        </w:rPr>
        <w:t>a C) E</w:t>
      </w:r>
      <w:r w:rsidRPr="00A61F3D">
        <w:rPr>
          <w:rFonts w:ascii="Arial" w:hAnsi="Arial" w:cs="Arial"/>
          <w:sz w:val="20"/>
        </w:rPr>
        <w:t xml:space="preserve">gyéb monetáris pénzügyi intézmények, </w:t>
      </w:r>
      <w:r>
        <w:rPr>
          <w:rFonts w:ascii="Arial" w:hAnsi="Arial" w:cs="Arial"/>
          <w:sz w:val="20"/>
        </w:rPr>
        <w:t>a D) E</w:t>
      </w:r>
      <w:r w:rsidRPr="00A61F3D">
        <w:rPr>
          <w:rFonts w:ascii="Arial" w:hAnsi="Arial" w:cs="Arial"/>
          <w:sz w:val="20"/>
        </w:rPr>
        <w:t>gyéb pénzügyi közvetítők,</w:t>
      </w:r>
      <w:r>
        <w:rPr>
          <w:rFonts w:ascii="Arial" w:hAnsi="Arial" w:cs="Arial"/>
          <w:sz w:val="20"/>
        </w:rPr>
        <w:t xml:space="preserve"> az</w:t>
      </w:r>
      <w:r w:rsidRPr="00A61F3D">
        <w:rPr>
          <w:rFonts w:ascii="Arial" w:hAnsi="Arial" w:cs="Arial"/>
          <w:sz w:val="20"/>
        </w:rPr>
        <w:t xml:space="preserve"> </w:t>
      </w:r>
      <w:r>
        <w:rPr>
          <w:rFonts w:ascii="Arial" w:hAnsi="Arial" w:cs="Arial"/>
          <w:sz w:val="20"/>
        </w:rPr>
        <w:t>E) P</w:t>
      </w:r>
      <w:r w:rsidRPr="00A61F3D">
        <w:rPr>
          <w:rFonts w:ascii="Arial" w:hAnsi="Arial" w:cs="Arial"/>
          <w:sz w:val="20"/>
        </w:rPr>
        <w:t xml:space="preserve">énzügyi kiegészítő tevékenységet végzők, </w:t>
      </w:r>
      <w:r>
        <w:rPr>
          <w:rFonts w:ascii="Arial" w:hAnsi="Arial" w:cs="Arial"/>
          <w:sz w:val="20"/>
        </w:rPr>
        <w:t>az F) B</w:t>
      </w:r>
      <w:r w:rsidRPr="00A61F3D">
        <w:rPr>
          <w:rFonts w:ascii="Arial" w:hAnsi="Arial" w:cs="Arial"/>
          <w:sz w:val="20"/>
        </w:rPr>
        <w:t xml:space="preserve">iztosítók és nyugdíjpénztárak és </w:t>
      </w:r>
      <w:r>
        <w:rPr>
          <w:rFonts w:ascii="Arial" w:hAnsi="Arial" w:cs="Arial"/>
          <w:sz w:val="20"/>
        </w:rPr>
        <w:t>a Z)</w:t>
      </w:r>
      <w:r w:rsidRPr="00A61F3D">
        <w:rPr>
          <w:rFonts w:ascii="Arial" w:hAnsi="Arial" w:cs="Arial"/>
          <w:sz w:val="20"/>
        </w:rPr>
        <w:t xml:space="preserve"> </w:t>
      </w:r>
      <w:r>
        <w:rPr>
          <w:rFonts w:ascii="Arial" w:hAnsi="Arial" w:cs="Arial"/>
          <w:sz w:val="20"/>
        </w:rPr>
        <w:t>Z</w:t>
      </w:r>
      <w:r w:rsidRPr="00A61F3D">
        <w:rPr>
          <w:rFonts w:ascii="Arial" w:hAnsi="Arial" w:cs="Arial"/>
          <w:sz w:val="20"/>
        </w:rPr>
        <w:t xml:space="preserve">ártkörű pénzügyi közvetítők alkotják </w:t>
      </w:r>
      <w:r>
        <w:rPr>
          <w:rFonts w:ascii="Arial" w:hAnsi="Arial" w:cs="Arial"/>
          <w:sz w:val="20"/>
        </w:rPr>
        <w:t xml:space="preserve">a </w:t>
      </w:r>
      <w:r w:rsidRPr="0006257D">
        <w:rPr>
          <w:rFonts w:ascii="Arial" w:hAnsi="Arial" w:cs="Arial"/>
          <w:b/>
          <w:sz w:val="20"/>
        </w:rPr>
        <w:t>pénzügyi vállalatok</w:t>
      </w:r>
      <w:r>
        <w:rPr>
          <w:rFonts w:ascii="Arial" w:hAnsi="Arial" w:cs="Arial"/>
          <w:sz w:val="20"/>
        </w:rPr>
        <w:t xml:space="preserve"> szektorát.</w:t>
      </w:r>
    </w:p>
    <w:p w14:paraId="7FE7B74F" w14:textId="77777777" w:rsidR="00CB3215" w:rsidRDefault="00CB3215" w:rsidP="004F671E">
      <w:pPr>
        <w:rPr>
          <w:rFonts w:ascii="Arial" w:hAnsi="Arial" w:cs="Arial"/>
          <w:sz w:val="20"/>
        </w:rPr>
      </w:pPr>
    </w:p>
    <w:p w14:paraId="777047C8" w14:textId="77777777" w:rsidR="00CB3215" w:rsidRPr="00A61F3D" w:rsidRDefault="00CB3215" w:rsidP="004F671E">
      <w:pPr>
        <w:rPr>
          <w:rFonts w:ascii="Arial" w:hAnsi="Arial" w:cs="Arial"/>
          <w:sz w:val="20"/>
        </w:rPr>
      </w:pPr>
      <w:r w:rsidRPr="00A61F3D">
        <w:rPr>
          <w:rFonts w:ascii="Arial" w:hAnsi="Arial" w:cs="Arial"/>
          <w:sz w:val="20"/>
        </w:rPr>
        <w:t xml:space="preserve">A </w:t>
      </w:r>
      <w:r>
        <w:rPr>
          <w:rFonts w:ascii="Arial" w:hAnsi="Arial" w:cs="Arial"/>
          <w:sz w:val="20"/>
        </w:rPr>
        <w:t xml:space="preserve">B) Központi bank és a C) Egyéb monetáris pénzügyi intézmények alkotják a </w:t>
      </w:r>
      <w:r w:rsidRPr="0006257D">
        <w:rPr>
          <w:rFonts w:ascii="Arial" w:hAnsi="Arial" w:cs="Arial"/>
          <w:b/>
          <w:sz w:val="20"/>
        </w:rPr>
        <w:t>monetáris pénzügyi intézmények</w:t>
      </w:r>
      <w:r w:rsidRPr="00A61F3D">
        <w:rPr>
          <w:rFonts w:ascii="Arial" w:hAnsi="Arial" w:cs="Arial"/>
          <w:sz w:val="20"/>
        </w:rPr>
        <w:t xml:space="preserve"> szektorát.</w:t>
      </w:r>
    </w:p>
    <w:p w14:paraId="5ADE0220" w14:textId="77777777" w:rsidR="00691D2F" w:rsidRDefault="00691D2F" w:rsidP="00691D2F">
      <w:pPr>
        <w:outlineLvl w:val="0"/>
        <w:rPr>
          <w:rFonts w:ascii="Arial" w:hAnsi="Arial" w:cs="Arial"/>
          <w:sz w:val="20"/>
        </w:rPr>
      </w:pPr>
    </w:p>
    <w:p w14:paraId="4ACE606F" w14:textId="3CCB35DC" w:rsidR="008750A2" w:rsidRDefault="00CB3215" w:rsidP="00691D2F">
      <w:pPr>
        <w:outlineLvl w:val="0"/>
        <w:rPr>
          <w:rFonts w:ascii="Arial" w:hAnsi="Arial" w:cs="Arial"/>
          <w:sz w:val="20"/>
        </w:rPr>
      </w:pPr>
      <w:r w:rsidRPr="00A61F3D">
        <w:rPr>
          <w:rFonts w:ascii="Arial" w:hAnsi="Arial" w:cs="Arial"/>
          <w:sz w:val="20"/>
        </w:rPr>
        <w:t>A</w:t>
      </w:r>
      <w:r>
        <w:rPr>
          <w:rFonts w:ascii="Arial" w:hAnsi="Arial" w:cs="Arial"/>
          <w:sz w:val="20"/>
        </w:rPr>
        <w:t xml:space="preserve"> G)</w:t>
      </w:r>
      <w:r w:rsidRPr="00A61F3D">
        <w:rPr>
          <w:rFonts w:ascii="Arial" w:hAnsi="Arial" w:cs="Arial"/>
          <w:sz w:val="20"/>
        </w:rPr>
        <w:t xml:space="preserve"> </w:t>
      </w:r>
      <w:r>
        <w:rPr>
          <w:rFonts w:ascii="Arial" w:hAnsi="Arial" w:cs="Arial"/>
          <w:sz w:val="20"/>
        </w:rPr>
        <w:t>K</w:t>
      </w:r>
      <w:r w:rsidRPr="00A61F3D">
        <w:rPr>
          <w:rFonts w:ascii="Arial" w:hAnsi="Arial" w:cs="Arial"/>
          <w:sz w:val="20"/>
        </w:rPr>
        <w:t>özponti kormányzat, a</w:t>
      </w:r>
      <w:r>
        <w:rPr>
          <w:rFonts w:ascii="Arial" w:hAnsi="Arial" w:cs="Arial"/>
          <w:sz w:val="20"/>
        </w:rPr>
        <w:t xml:space="preserve"> H)</w:t>
      </w:r>
      <w:r w:rsidRPr="00A61F3D">
        <w:rPr>
          <w:rFonts w:ascii="Arial" w:hAnsi="Arial" w:cs="Arial"/>
          <w:sz w:val="20"/>
        </w:rPr>
        <w:t xml:space="preserve"> </w:t>
      </w:r>
      <w:r>
        <w:rPr>
          <w:rFonts w:ascii="Arial" w:hAnsi="Arial" w:cs="Arial"/>
          <w:sz w:val="20"/>
        </w:rPr>
        <w:t>H</w:t>
      </w:r>
      <w:r w:rsidRPr="00A61F3D">
        <w:rPr>
          <w:rFonts w:ascii="Arial" w:hAnsi="Arial" w:cs="Arial"/>
          <w:sz w:val="20"/>
        </w:rPr>
        <w:t>elyi önkormányzatok és a</w:t>
      </w:r>
      <w:r>
        <w:rPr>
          <w:rFonts w:ascii="Arial" w:hAnsi="Arial" w:cs="Arial"/>
          <w:sz w:val="20"/>
        </w:rPr>
        <w:t>z I)</w:t>
      </w:r>
      <w:r w:rsidRPr="00A61F3D">
        <w:rPr>
          <w:rFonts w:ascii="Arial" w:hAnsi="Arial" w:cs="Arial"/>
          <w:sz w:val="20"/>
        </w:rPr>
        <w:t xml:space="preserve"> </w:t>
      </w:r>
      <w:r>
        <w:rPr>
          <w:rFonts w:ascii="Arial" w:hAnsi="Arial" w:cs="Arial"/>
          <w:sz w:val="20"/>
        </w:rPr>
        <w:t>T</w:t>
      </w:r>
      <w:r w:rsidRPr="00A61F3D">
        <w:rPr>
          <w:rFonts w:ascii="Arial" w:hAnsi="Arial" w:cs="Arial"/>
          <w:sz w:val="20"/>
        </w:rPr>
        <w:t xml:space="preserve">ársadalombiztosítási alapok </w:t>
      </w:r>
      <w:r>
        <w:rPr>
          <w:rFonts w:ascii="Arial" w:hAnsi="Arial" w:cs="Arial"/>
          <w:sz w:val="20"/>
        </w:rPr>
        <w:t xml:space="preserve">alkotják az </w:t>
      </w:r>
      <w:r w:rsidRPr="0006257D">
        <w:rPr>
          <w:rFonts w:ascii="Arial" w:hAnsi="Arial" w:cs="Arial"/>
          <w:b/>
          <w:sz w:val="20"/>
        </w:rPr>
        <w:t>államháztartást</w:t>
      </w:r>
      <w:r w:rsidRPr="00A61F3D">
        <w:rPr>
          <w:rFonts w:ascii="Arial" w:hAnsi="Arial" w:cs="Arial"/>
          <w:sz w:val="20"/>
        </w:rPr>
        <w:t>.</w:t>
      </w:r>
    </w:p>
    <w:p w14:paraId="5EB35088" w14:textId="77777777" w:rsidR="00691D2F" w:rsidRPr="00CB3215" w:rsidRDefault="00691D2F" w:rsidP="00691D2F">
      <w:pPr>
        <w:outlineLvl w:val="0"/>
        <w:rPr>
          <w:rFonts w:ascii="Arial" w:hAnsi="Arial" w:cs="Arial"/>
          <w:sz w:val="20"/>
        </w:rPr>
      </w:pPr>
    </w:p>
    <w:p w14:paraId="1018E064" w14:textId="158FDAED" w:rsidR="00AC13E5" w:rsidRPr="00A61F3D" w:rsidRDefault="006805CF" w:rsidP="004F671E">
      <w:pPr>
        <w:spacing w:before="120"/>
        <w:outlineLvl w:val="0"/>
        <w:rPr>
          <w:rFonts w:ascii="Arial" w:hAnsi="Arial" w:cs="Arial"/>
          <w:b/>
          <w:i/>
          <w:sz w:val="20"/>
        </w:rPr>
      </w:pPr>
      <w:r w:rsidRPr="00A61F3D">
        <w:rPr>
          <w:rFonts w:ascii="Arial" w:hAnsi="Arial" w:cs="Arial"/>
          <w:b/>
          <w:i/>
          <w:sz w:val="20"/>
        </w:rPr>
        <w:lastRenderedPageBreak/>
        <w:t>Nem-rezidensek:</w:t>
      </w:r>
    </w:p>
    <w:p w14:paraId="256507A3" w14:textId="77777777" w:rsidR="006805CF" w:rsidRPr="00A61F3D" w:rsidRDefault="006805CF" w:rsidP="004F671E">
      <w:pPr>
        <w:outlineLvl w:val="0"/>
        <w:rPr>
          <w:rFonts w:ascii="Arial" w:hAnsi="Arial" w:cs="Arial"/>
          <w:b/>
          <w:sz w:val="20"/>
        </w:rPr>
      </w:pPr>
      <w:r w:rsidRPr="00A61F3D">
        <w:rPr>
          <w:rFonts w:ascii="Arial" w:hAnsi="Arial" w:cs="Arial"/>
          <w:b/>
          <w:sz w:val="20"/>
        </w:rPr>
        <w:t>L) Külföld</w:t>
      </w:r>
    </w:p>
    <w:p w14:paraId="2FE2D19B" w14:textId="77777777" w:rsidR="00AC13E5" w:rsidRPr="00A61F3D" w:rsidRDefault="006805CF" w:rsidP="004F671E">
      <w:pPr>
        <w:spacing w:before="120"/>
        <w:outlineLvl w:val="0"/>
        <w:rPr>
          <w:rFonts w:ascii="Arial" w:hAnsi="Arial" w:cs="Arial"/>
          <w:sz w:val="20"/>
        </w:rPr>
      </w:pPr>
      <w:r w:rsidRPr="00A61F3D">
        <w:rPr>
          <w:rFonts w:ascii="Arial" w:hAnsi="Arial" w:cs="Arial"/>
          <w:sz w:val="20"/>
        </w:rPr>
        <w:t xml:space="preserve">Egyes adatszolgáltatásokban bizonyos szektorok összevontan vagy további alábontásokkal szerepelnek. Az ezekre vonatkozó előírásokat </w:t>
      </w:r>
      <w:r w:rsidR="00787CBD" w:rsidRPr="00A61F3D">
        <w:rPr>
          <w:rFonts w:ascii="Arial" w:hAnsi="Arial" w:cs="Arial"/>
          <w:sz w:val="20"/>
        </w:rPr>
        <w:t>a</w:t>
      </w:r>
      <w:r w:rsidR="00BC423F" w:rsidRPr="00A61F3D">
        <w:rPr>
          <w:rFonts w:ascii="Arial" w:hAnsi="Arial" w:cs="Arial"/>
          <w:sz w:val="20"/>
        </w:rPr>
        <w:t>z</w:t>
      </w:r>
      <w:r w:rsidRPr="00A61F3D">
        <w:rPr>
          <w:rFonts w:ascii="Arial" w:hAnsi="Arial" w:cs="Arial"/>
          <w:sz w:val="20"/>
        </w:rPr>
        <w:t xml:space="preserve"> I.</w:t>
      </w:r>
      <w:r w:rsidR="00A76B85" w:rsidRPr="00A61F3D">
        <w:rPr>
          <w:rFonts w:ascii="Arial" w:hAnsi="Arial" w:cs="Arial"/>
          <w:sz w:val="20"/>
        </w:rPr>
        <w:t xml:space="preserve"> </w:t>
      </w:r>
      <w:r w:rsidRPr="00A61F3D">
        <w:rPr>
          <w:rFonts w:ascii="Arial" w:hAnsi="Arial" w:cs="Arial"/>
          <w:sz w:val="20"/>
        </w:rPr>
        <w:t>A.</w:t>
      </w:r>
      <w:r w:rsidR="00A76B85" w:rsidRPr="00A61F3D">
        <w:rPr>
          <w:rFonts w:ascii="Arial" w:hAnsi="Arial" w:cs="Arial"/>
          <w:sz w:val="20"/>
        </w:rPr>
        <w:t xml:space="preserve"> </w:t>
      </w:r>
      <w:r w:rsidRPr="00A61F3D">
        <w:rPr>
          <w:rFonts w:ascii="Arial" w:hAnsi="Arial" w:cs="Arial"/>
          <w:sz w:val="20"/>
        </w:rPr>
        <w:t>4.</w:t>
      </w:r>
      <w:r w:rsidR="00787CBD" w:rsidRPr="00A61F3D">
        <w:rPr>
          <w:rFonts w:ascii="Arial" w:hAnsi="Arial" w:cs="Arial"/>
          <w:sz w:val="20"/>
        </w:rPr>
        <w:t xml:space="preserve"> </w:t>
      </w:r>
      <w:r w:rsidRPr="00A61F3D">
        <w:rPr>
          <w:rFonts w:ascii="Arial" w:hAnsi="Arial" w:cs="Arial"/>
          <w:sz w:val="20"/>
        </w:rPr>
        <w:t>pont, illetve az érintett adatszolgáltatások kitöltési előírásai határozzák meg.</w:t>
      </w:r>
    </w:p>
    <w:p w14:paraId="2B8FF589" w14:textId="77777777" w:rsidR="0095584B" w:rsidRPr="00A61F3D" w:rsidRDefault="0095584B" w:rsidP="004F671E">
      <w:pPr>
        <w:outlineLvl w:val="0"/>
        <w:rPr>
          <w:rFonts w:ascii="Arial" w:hAnsi="Arial" w:cs="Arial"/>
          <w:b/>
          <w:sz w:val="20"/>
        </w:rPr>
      </w:pPr>
    </w:p>
    <w:p w14:paraId="4CCB5486" w14:textId="087550A6" w:rsidR="006805CF" w:rsidRPr="00A61F3D" w:rsidRDefault="0055602D" w:rsidP="004F671E">
      <w:pPr>
        <w:outlineLvl w:val="0"/>
        <w:rPr>
          <w:rFonts w:ascii="Arial" w:hAnsi="Arial" w:cs="Arial"/>
          <w:b/>
          <w:sz w:val="20"/>
        </w:rPr>
      </w:pPr>
      <w:r>
        <w:rPr>
          <w:rFonts w:ascii="Arial" w:hAnsi="Arial" w:cs="Arial"/>
          <w:b/>
          <w:sz w:val="20"/>
        </w:rPr>
        <w:t xml:space="preserve">I. A. </w:t>
      </w:r>
      <w:r w:rsidR="006805CF" w:rsidRPr="00A61F3D">
        <w:rPr>
          <w:rFonts w:ascii="Arial" w:hAnsi="Arial" w:cs="Arial"/>
          <w:b/>
          <w:sz w:val="20"/>
        </w:rPr>
        <w:t>3. Rezidensek és nem-rezidensek elkülönítése</w:t>
      </w:r>
    </w:p>
    <w:p w14:paraId="2F7664A9" w14:textId="77777777" w:rsidR="00AC13E5" w:rsidRPr="00A61F3D" w:rsidRDefault="006805CF" w:rsidP="004F671E">
      <w:pPr>
        <w:autoSpaceDE w:val="0"/>
        <w:autoSpaceDN w:val="0"/>
        <w:adjustRightInd w:val="0"/>
        <w:rPr>
          <w:rFonts w:ascii="Arial" w:hAnsi="Arial" w:cs="Arial"/>
          <w:sz w:val="20"/>
        </w:rPr>
      </w:pPr>
      <w:r w:rsidRPr="00A61F3D">
        <w:rPr>
          <w:rFonts w:ascii="Arial" w:hAnsi="Arial" w:cs="Arial"/>
          <w:sz w:val="20"/>
        </w:rPr>
        <w:t xml:space="preserve">Rezidens: minden olyan természetes és jogi személy, valamint jogi személyiséggel nem rendelkező szervezet, amely gazdasági érdekeltségének központja Magyarország gazdasági területén van. Ennek megfelelően rezidensnek minősül: </w:t>
      </w:r>
    </w:p>
    <w:p w14:paraId="6C0061E9" w14:textId="77777777"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1. Magyar</w:t>
      </w:r>
      <w:r w:rsidR="00CE1552" w:rsidRPr="00A61F3D">
        <w:rPr>
          <w:rFonts w:ascii="Arial" w:hAnsi="Arial" w:cs="Arial"/>
          <w:sz w:val="20"/>
        </w:rPr>
        <w:t>ország</w:t>
      </w:r>
      <w:r w:rsidRPr="00A61F3D">
        <w:rPr>
          <w:rFonts w:ascii="Arial" w:hAnsi="Arial" w:cs="Arial"/>
          <w:sz w:val="20"/>
        </w:rPr>
        <w:t xml:space="preserve"> területén állampolgárságától függetlenül legalább egy éve életvitelszerűen tartózkodó, vagy szándékai szerint tartózkodni akaró természetes személy, ide nem értve az itt működő külföldi diplomáciai és konzuli képviseletek nem magyar állampolgárságú tagját, alkalmazottját és azok családtagját, továbbá a tanulmányok folytatása vagy gyógyászati kezelés céljából itt tartózkodó illetve ide érkező személyt, </w:t>
      </w:r>
    </w:p>
    <w:p w14:paraId="65B92286" w14:textId="7801EF5A"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 xml:space="preserve">2. a külföldön működő magyar diplomáciai és konzuli képviseletek, azok magyar állampolgárságú tagja, alkalmazottja és az említett személyek családtagja, a Magyar Honvédség hivatásos vagy szerződéses állományának külföldön szolgálatot teljesítő tagja, továbbá a </w:t>
      </w:r>
      <w:r w:rsidR="00C45FDC">
        <w:rPr>
          <w:rFonts w:ascii="Arial" w:hAnsi="Arial" w:cs="Arial"/>
          <w:sz w:val="20"/>
        </w:rPr>
        <w:t>m</w:t>
      </w:r>
      <w:r w:rsidRPr="00A61F3D">
        <w:rPr>
          <w:rFonts w:ascii="Arial" w:hAnsi="Arial" w:cs="Arial"/>
          <w:sz w:val="20"/>
        </w:rPr>
        <w:t xml:space="preserve">agyar </w:t>
      </w:r>
      <w:r w:rsidR="00C45FDC">
        <w:rPr>
          <w:rFonts w:ascii="Arial" w:hAnsi="Arial" w:cs="Arial"/>
          <w:sz w:val="20"/>
        </w:rPr>
        <w:t>á</w:t>
      </w:r>
      <w:r w:rsidRPr="00A61F3D">
        <w:rPr>
          <w:rFonts w:ascii="Arial" w:hAnsi="Arial" w:cs="Arial"/>
          <w:sz w:val="20"/>
        </w:rPr>
        <w:t xml:space="preserve">llam alkalmazásban külföldön munkát végző egyéb természetes személy. </w:t>
      </w:r>
    </w:p>
    <w:p w14:paraId="0A6E6AB1" w14:textId="77777777" w:rsidR="006805CF"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3. Magyar</w:t>
      </w:r>
      <w:r w:rsidR="00CE1552" w:rsidRPr="00A61F3D">
        <w:rPr>
          <w:rFonts w:ascii="Arial" w:hAnsi="Arial" w:cs="Arial"/>
          <w:sz w:val="20"/>
        </w:rPr>
        <w:t>ország</w:t>
      </w:r>
      <w:r w:rsidRPr="00A61F3D">
        <w:rPr>
          <w:rFonts w:ascii="Arial" w:hAnsi="Arial" w:cs="Arial"/>
          <w:sz w:val="20"/>
        </w:rPr>
        <w:t xml:space="preserve"> területén – ideértve a vámszabad- és a tranzitterületet is – székhellyel, telephellyel rendelkező vagy egyébként gazdasági tevékenységet folytató jogi személy és jogi személyiséggel nem rendelkező szervezet (a továbbiakban együtt: szervezet). </w:t>
      </w:r>
    </w:p>
    <w:p w14:paraId="48FFAD04" w14:textId="3691D14E" w:rsidR="00044FB8" w:rsidRPr="00A61F3D" w:rsidRDefault="006805CF" w:rsidP="004F671E">
      <w:pPr>
        <w:autoSpaceDE w:val="0"/>
        <w:autoSpaceDN w:val="0"/>
        <w:adjustRightInd w:val="0"/>
        <w:ind w:firstLine="180"/>
        <w:rPr>
          <w:rFonts w:ascii="Arial" w:hAnsi="Arial" w:cs="Arial"/>
          <w:sz w:val="20"/>
        </w:rPr>
      </w:pPr>
      <w:r w:rsidRPr="00A61F3D">
        <w:rPr>
          <w:rFonts w:ascii="Arial" w:hAnsi="Arial" w:cs="Arial"/>
          <w:sz w:val="20"/>
        </w:rPr>
        <w:t>4. Amennyiben egy szervezet rezidensi státusza – a fizikai jelenlét hiányában – nem állapítható meg a székhelye alapján, a szervezet bejegyzésének helyét kell figyelembe venni, azaz a magyar cégbíróságnál bejegyzett szervezet minősül rezidensnek</w:t>
      </w:r>
      <w:r w:rsidR="00044FB8" w:rsidRPr="00A61F3D">
        <w:rPr>
          <w:rFonts w:ascii="Arial" w:hAnsi="Arial" w:cs="Arial"/>
          <w:sz w:val="20"/>
        </w:rPr>
        <w:t>.</w:t>
      </w:r>
    </w:p>
    <w:p w14:paraId="139D4C72" w14:textId="7FE6AC25" w:rsidR="001F5781" w:rsidRPr="00A61F3D" w:rsidRDefault="006805CF" w:rsidP="004F671E">
      <w:pPr>
        <w:spacing w:before="120"/>
        <w:rPr>
          <w:rFonts w:ascii="Arial" w:hAnsi="Arial" w:cs="Arial"/>
          <w:sz w:val="20"/>
        </w:rPr>
      </w:pPr>
      <w:r w:rsidRPr="00A61F3D">
        <w:rPr>
          <w:rFonts w:ascii="Arial" w:hAnsi="Arial" w:cs="Arial"/>
          <w:sz w:val="20"/>
        </w:rPr>
        <w:t>Nem</w:t>
      </w:r>
      <w:r w:rsidR="00707E83" w:rsidRPr="00A61F3D">
        <w:rPr>
          <w:rFonts w:ascii="Arial" w:hAnsi="Arial" w:cs="Arial"/>
          <w:sz w:val="20"/>
        </w:rPr>
        <w:t>-</w:t>
      </w:r>
      <w:r w:rsidRPr="00A61F3D">
        <w:rPr>
          <w:rFonts w:ascii="Arial" w:hAnsi="Arial" w:cs="Arial"/>
          <w:sz w:val="20"/>
        </w:rPr>
        <w:t>rezidens: a rezidensnek nem minősülő természetes személy és szervezet. Nem</w:t>
      </w:r>
      <w:r w:rsidR="00707E83" w:rsidRPr="00A61F3D">
        <w:rPr>
          <w:rFonts w:ascii="Arial" w:hAnsi="Arial" w:cs="Arial"/>
          <w:sz w:val="20"/>
        </w:rPr>
        <w:t>-</w:t>
      </w:r>
      <w:r w:rsidRPr="00A61F3D">
        <w:rPr>
          <w:rFonts w:ascii="Arial" w:hAnsi="Arial" w:cs="Arial"/>
          <w:sz w:val="20"/>
        </w:rPr>
        <w:t>rezidensnek minősül az a szervezet, amely gazdasági érdekeltségének központja nem Magyar</w:t>
      </w:r>
      <w:r w:rsidR="00CE1552" w:rsidRPr="00A61F3D">
        <w:rPr>
          <w:rFonts w:ascii="Arial" w:hAnsi="Arial" w:cs="Arial"/>
          <w:sz w:val="20"/>
        </w:rPr>
        <w:t>ország</w:t>
      </w:r>
      <w:r w:rsidRPr="00A61F3D">
        <w:rPr>
          <w:rFonts w:ascii="Arial" w:hAnsi="Arial" w:cs="Arial"/>
          <w:sz w:val="20"/>
        </w:rPr>
        <w:t xml:space="preserve"> területén – ideértve a vámszabad és a tranzitterületet is – van, és magyar cégbíróságnál nincs bejegyezve.</w:t>
      </w:r>
      <w:r w:rsidR="00C442F7" w:rsidRPr="00A61F3D">
        <w:rPr>
          <w:rFonts w:ascii="Arial" w:hAnsi="Arial" w:cs="Arial"/>
          <w:sz w:val="20"/>
        </w:rPr>
        <w:t xml:space="preserve"> </w:t>
      </w:r>
    </w:p>
    <w:p w14:paraId="148A6AAA" w14:textId="77777777" w:rsidR="00D42A6E" w:rsidRPr="00A61F3D" w:rsidRDefault="00C442F7" w:rsidP="004F671E">
      <w:pPr>
        <w:spacing w:before="120"/>
        <w:rPr>
          <w:rFonts w:ascii="Arial" w:hAnsi="Arial" w:cs="Arial"/>
          <w:sz w:val="20"/>
        </w:rPr>
      </w:pPr>
      <w:r w:rsidRPr="00A61F3D">
        <w:rPr>
          <w:rFonts w:ascii="Arial" w:hAnsi="Arial" w:cs="Arial"/>
          <w:sz w:val="20"/>
        </w:rPr>
        <w:t>Az adatszolgáltatások</w:t>
      </w:r>
      <w:r w:rsidR="006E753B" w:rsidRPr="00A61F3D">
        <w:rPr>
          <w:rFonts w:ascii="Arial" w:hAnsi="Arial" w:cs="Arial"/>
          <w:sz w:val="20"/>
        </w:rPr>
        <w:t>ban</w:t>
      </w:r>
      <w:r w:rsidRPr="00A61F3D">
        <w:rPr>
          <w:rFonts w:ascii="Arial" w:hAnsi="Arial" w:cs="Arial"/>
          <w:sz w:val="20"/>
        </w:rPr>
        <w:t xml:space="preserve"> a külföldi vállalkozás Magyarországon létesített kereskedelmi képviseletét nem-rezidensnek, míg a rezidens vállalkozás külföldön létrehozott kereskedelmi képviseletét rezidensnek kell tekinteni.</w:t>
      </w:r>
    </w:p>
    <w:p w14:paraId="1D2AA68B" w14:textId="77777777" w:rsidR="006805CF" w:rsidRPr="00A61F3D" w:rsidRDefault="006805CF" w:rsidP="004F671E">
      <w:pPr>
        <w:rPr>
          <w:rFonts w:ascii="Arial" w:hAnsi="Arial" w:cs="Arial"/>
          <w:sz w:val="20"/>
        </w:rPr>
      </w:pPr>
    </w:p>
    <w:p w14:paraId="0843F179" w14:textId="426B54A6" w:rsidR="006805CF" w:rsidRPr="00A61F3D" w:rsidRDefault="0055602D" w:rsidP="004F671E">
      <w:pPr>
        <w:outlineLvl w:val="0"/>
        <w:rPr>
          <w:rFonts w:ascii="Arial" w:hAnsi="Arial" w:cs="Arial"/>
          <w:b/>
          <w:sz w:val="20"/>
        </w:rPr>
      </w:pPr>
      <w:r>
        <w:rPr>
          <w:rFonts w:ascii="Arial" w:hAnsi="Arial" w:cs="Arial"/>
          <w:b/>
          <w:sz w:val="20"/>
        </w:rPr>
        <w:t xml:space="preserve">I. A. </w:t>
      </w:r>
      <w:r w:rsidR="006805CF" w:rsidRPr="00A61F3D">
        <w:rPr>
          <w:rFonts w:ascii="Arial" w:hAnsi="Arial" w:cs="Arial"/>
          <w:b/>
          <w:sz w:val="20"/>
        </w:rPr>
        <w:t>4. A rezidens szektorok leírása</w:t>
      </w:r>
    </w:p>
    <w:p w14:paraId="319373AB" w14:textId="77777777" w:rsidR="006805CF" w:rsidRPr="00A61F3D" w:rsidRDefault="006805CF" w:rsidP="004F671E">
      <w:pPr>
        <w:rPr>
          <w:rFonts w:ascii="Arial" w:hAnsi="Arial" w:cs="Arial"/>
          <w:sz w:val="20"/>
        </w:rPr>
      </w:pPr>
      <w:r w:rsidRPr="00A61F3D">
        <w:rPr>
          <w:rFonts w:ascii="Arial" w:hAnsi="Arial" w:cs="Arial"/>
          <w:sz w:val="20"/>
        </w:rPr>
        <w:t xml:space="preserve">Egyes szervezetek többféle tevékenységet végeznek egymás mellett. A szektorba soroláshoz mindig az adott szervezet főtevékenysége szolgál alapul. </w:t>
      </w:r>
    </w:p>
    <w:p w14:paraId="00C93041" w14:textId="5C9C336A" w:rsidR="00AC13E5" w:rsidRPr="00A61F3D" w:rsidRDefault="00C17011" w:rsidP="004F671E">
      <w:pPr>
        <w:spacing w:before="120"/>
        <w:outlineLvl w:val="0"/>
        <w:rPr>
          <w:rFonts w:ascii="Arial" w:hAnsi="Arial" w:cs="Arial"/>
          <w:b/>
          <w:sz w:val="20"/>
        </w:rPr>
      </w:pPr>
      <w:r w:rsidRPr="00C17011">
        <w:rPr>
          <w:rFonts w:ascii="Arial" w:hAnsi="Arial" w:cs="Arial"/>
          <w:bCs/>
          <w:sz w:val="20"/>
        </w:rPr>
        <w:t>4.1.</w:t>
      </w:r>
      <w:r>
        <w:rPr>
          <w:rFonts w:ascii="Arial" w:hAnsi="Arial" w:cs="Arial"/>
          <w:b/>
          <w:sz w:val="20"/>
        </w:rPr>
        <w:t xml:space="preserve"> </w:t>
      </w:r>
      <w:r w:rsidR="006805CF" w:rsidRPr="00A61F3D">
        <w:rPr>
          <w:rFonts w:ascii="Arial" w:hAnsi="Arial" w:cs="Arial"/>
          <w:b/>
          <w:sz w:val="20"/>
        </w:rPr>
        <w:t>A) Nem pénzügyi vállalatok</w:t>
      </w:r>
    </w:p>
    <w:p w14:paraId="399D145F" w14:textId="0C6AEC4E" w:rsidR="001A288F" w:rsidRPr="00A61F3D" w:rsidRDefault="006805CF" w:rsidP="004F671E">
      <w:pPr>
        <w:rPr>
          <w:rFonts w:ascii="Arial" w:hAnsi="Arial" w:cs="Arial"/>
          <w:sz w:val="20"/>
        </w:rPr>
      </w:pPr>
      <w:r w:rsidRPr="00A61F3D">
        <w:rPr>
          <w:rFonts w:ascii="Arial" w:hAnsi="Arial" w:cs="Arial"/>
          <w:sz w:val="20"/>
        </w:rPr>
        <w:t>A nem pénzügyi vállalatok szektorába tartoznak azok a gazdasági szervezetek, amelyek fő tevékenységként piaci értékesítésre szánt javakat állítanak elő, illetve nem pénzügyi szolgáltatásokat nyújtanak</w:t>
      </w:r>
      <w:r w:rsidR="00B579D2">
        <w:rPr>
          <w:rFonts w:ascii="Arial" w:hAnsi="Arial" w:cs="Arial"/>
          <w:sz w:val="20"/>
        </w:rPr>
        <w:t>,</w:t>
      </w:r>
      <w:r w:rsidR="00390C70" w:rsidRPr="00390C70">
        <w:rPr>
          <w:rFonts w:ascii="Arial" w:hAnsi="Arial" w:cs="Arial"/>
          <w:sz w:val="20"/>
        </w:rPr>
        <w:t xml:space="preserve"> </w:t>
      </w:r>
      <w:r w:rsidR="00390C70">
        <w:rPr>
          <w:rFonts w:ascii="Arial" w:hAnsi="Arial" w:cs="Arial"/>
          <w:sz w:val="20"/>
        </w:rPr>
        <w:t xml:space="preserve">kivéve </w:t>
      </w:r>
      <w:r w:rsidR="00390C70" w:rsidRPr="00A61F3D">
        <w:rPr>
          <w:rFonts w:ascii="Arial" w:hAnsi="Arial" w:cs="Arial"/>
          <w:sz w:val="20"/>
        </w:rPr>
        <w:t>a vállalatcsoporton belül pénzügyi szolgáltatást nyújtó gazdasági szervezetek</w:t>
      </w:r>
      <w:r w:rsidR="00390C70">
        <w:rPr>
          <w:rFonts w:ascii="Arial" w:hAnsi="Arial" w:cs="Arial"/>
          <w:sz w:val="20"/>
        </w:rPr>
        <w:t xml:space="preserve">et, amelyek 2021-től </w:t>
      </w:r>
      <w:r w:rsidR="00390C70" w:rsidRPr="00A61F3D">
        <w:rPr>
          <w:rFonts w:ascii="Arial" w:hAnsi="Arial" w:cs="Arial"/>
          <w:sz w:val="20"/>
        </w:rPr>
        <w:t>a Z) Zártkörű pénzügyi közvetítők szektor</w:t>
      </w:r>
      <w:r w:rsidR="00390C70">
        <w:rPr>
          <w:rFonts w:ascii="Arial" w:hAnsi="Arial" w:cs="Arial"/>
          <w:sz w:val="20"/>
        </w:rPr>
        <w:t>á</w:t>
      </w:r>
      <w:r w:rsidR="00390C70" w:rsidRPr="00A61F3D">
        <w:rPr>
          <w:rFonts w:ascii="Arial" w:hAnsi="Arial" w:cs="Arial"/>
          <w:sz w:val="20"/>
        </w:rPr>
        <w:t>ba tartoznak</w:t>
      </w:r>
      <w:r w:rsidR="001A288F" w:rsidRPr="00A61F3D">
        <w:rPr>
          <w:rFonts w:ascii="Arial" w:hAnsi="Arial" w:cs="Arial"/>
          <w:sz w:val="20"/>
        </w:rPr>
        <w:t>.</w:t>
      </w:r>
    </w:p>
    <w:p w14:paraId="414CEBE1" w14:textId="63C5E2DD" w:rsidR="006805CF" w:rsidRPr="00A61F3D" w:rsidRDefault="006805CF" w:rsidP="004F671E">
      <w:pPr>
        <w:rPr>
          <w:rFonts w:ascii="Arial" w:hAnsi="Arial" w:cs="Arial"/>
          <w:sz w:val="20"/>
        </w:rPr>
      </w:pPr>
      <w:r w:rsidRPr="00A61F3D">
        <w:rPr>
          <w:rFonts w:ascii="Arial" w:hAnsi="Arial" w:cs="Arial"/>
          <w:sz w:val="20"/>
        </w:rPr>
        <w:t xml:space="preserve">Gazdálkodási forma szerint </w:t>
      </w:r>
      <w:r w:rsidR="005F147D" w:rsidRPr="00A61F3D">
        <w:rPr>
          <w:rFonts w:ascii="Arial" w:hAnsi="Arial" w:cs="Arial"/>
          <w:sz w:val="20"/>
        </w:rPr>
        <w:t>–</w:t>
      </w:r>
      <w:r w:rsidRPr="00A61F3D">
        <w:rPr>
          <w:rFonts w:ascii="Arial" w:hAnsi="Arial" w:cs="Arial"/>
          <w:sz w:val="20"/>
        </w:rPr>
        <w:t xml:space="preserve"> a pénzügyi szolgáltatást nyújtók kivételével </w:t>
      </w:r>
      <w:r w:rsidR="005F147D" w:rsidRPr="00A61F3D">
        <w:rPr>
          <w:rFonts w:ascii="Arial" w:hAnsi="Arial" w:cs="Arial"/>
          <w:sz w:val="20"/>
        </w:rPr>
        <w:t>–</w:t>
      </w:r>
      <w:r w:rsidRPr="00A61F3D">
        <w:rPr>
          <w:rFonts w:ascii="Arial" w:hAnsi="Arial" w:cs="Arial"/>
          <w:sz w:val="20"/>
        </w:rPr>
        <w:t xml:space="preserve"> idetartoznak:</w:t>
      </w:r>
    </w:p>
    <w:p w14:paraId="3F01EE68" w14:textId="77777777" w:rsidR="006805CF" w:rsidRPr="00A61F3D" w:rsidRDefault="006805CF" w:rsidP="004F671E">
      <w:pPr>
        <w:outlineLvl w:val="0"/>
        <w:rPr>
          <w:rFonts w:ascii="Arial" w:hAnsi="Arial" w:cs="Arial"/>
          <w:sz w:val="20"/>
        </w:rPr>
      </w:pPr>
      <w:r w:rsidRPr="00A61F3D">
        <w:rPr>
          <w:rFonts w:ascii="Arial" w:hAnsi="Arial" w:cs="Arial"/>
          <w:sz w:val="20"/>
        </w:rPr>
        <w:t xml:space="preserve">- a gazdasági társaságok, kivéve azokat, amelyeket közgazdasági szempontok alapján, a 3. melléklet 1. pontja szerinti, az MNB honlapján közzétett listának megfelelően a központi kormányzatba </w:t>
      </w:r>
      <w:r w:rsidR="00863E47" w:rsidRPr="00A61F3D">
        <w:rPr>
          <w:rFonts w:ascii="Arial" w:hAnsi="Arial" w:cs="Arial"/>
          <w:sz w:val="20"/>
        </w:rPr>
        <w:t xml:space="preserve">vagy a helyi önkormányzatok szektorába </w:t>
      </w:r>
      <w:r w:rsidRPr="00A61F3D">
        <w:rPr>
          <w:rFonts w:ascii="Arial" w:hAnsi="Arial" w:cs="Arial"/>
          <w:sz w:val="20"/>
        </w:rPr>
        <w:t>kell sorolni,</w:t>
      </w:r>
    </w:p>
    <w:p w14:paraId="4823DEA7" w14:textId="77777777" w:rsidR="006805CF" w:rsidRPr="00A61F3D" w:rsidRDefault="006805CF" w:rsidP="004F671E">
      <w:pPr>
        <w:rPr>
          <w:rFonts w:ascii="Arial" w:hAnsi="Arial" w:cs="Arial"/>
          <w:sz w:val="20"/>
        </w:rPr>
      </w:pPr>
      <w:r w:rsidRPr="00A61F3D">
        <w:rPr>
          <w:rFonts w:ascii="Arial" w:hAnsi="Arial" w:cs="Arial"/>
          <w:sz w:val="20"/>
        </w:rPr>
        <w:t xml:space="preserve">- a szövetkezetek (a szövetkezeti hitelintézetek </w:t>
      </w:r>
      <w:r w:rsidR="00C85CC8" w:rsidRPr="00A61F3D">
        <w:rPr>
          <w:rFonts w:ascii="Arial" w:hAnsi="Arial" w:cs="Arial"/>
          <w:sz w:val="20"/>
        </w:rPr>
        <w:t xml:space="preserve">és a biztosító szövetkezetek </w:t>
      </w:r>
      <w:r w:rsidRPr="00A61F3D">
        <w:rPr>
          <w:rFonts w:ascii="Arial" w:hAnsi="Arial" w:cs="Arial"/>
          <w:sz w:val="20"/>
        </w:rPr>
        <w:t>kivételével),</w:t>
      </w:r>
    </w:p>
    <w:p w14:paraId="23218277" w14:textId="77777777" w:rsidR="006805CF" w:rsidRPr="00A61F3D" w:rsidRDefault="006805CF" w:rsidP="004F671E">
      <w:pPr>
        <w:rPr>
          <w:rFonts w:ascii="Arial" w:hAnsi="Arial" w:cs="Arial"/>
          <w:sz w:val="20"/>
        </w:rPr>
      </w:pPr>
      <w:r w:rsidRPr="00A61F3D">
        <w:rPr>
          <w:rFonts w:ascii="Arial" w:hAnsi="Arial" w:cs="Arial"/>
          <w:sz w:val="20"/>
        </w:rPr>
        <w:t xml:space="preserve">- </w:t>
      </w:r>
      <w:r w:rsidR="005F147D" w:rsidRPr="00A61F3D">
        <w:rPr>
          <w:rFonts w:ascii="Arial" w:hAnsi="Arial" w:cs="Arial"/>
          <w:sz w:val="20"/>
        </w:rPr>
        <w:t xml:space="preserve">az </w:t>
      </w:r>
      <w:r w:rsidRPr="00A61F3D">
        <w:rPr>
          <w:rFonts w:ascii="Arial" w:hAnsi="Arial" w:cs="Arial"/>
          <w:sz w:val="20"/>
        </w:rPr>
        <w:t>egyéb jogi személyiségű vállalkozások</w:t>
      </w:r>
      <w:r w:rsidR="00795A5A" w:rsidRPr="00A61F3D">
        <w:rPr>
          <w:rFonts w:ascii="Arial" w:hAnsi="Arial" w:cs="Arial"/>
          <w:sz w:val="20"/>
        </w:rPr>
        <w:t>,</w:t>
      </w:r>
    </w:p>
    <w:p w14:paraId="5796C1E2" w14:textId="173295C1" w:rsidR="006805CF" w:rsidRPr="00686DAB" w:rsidRDefault="006805CF" w:rsidP="004F671E">
      <w:pPr>
        <w:rPr>
          <w:rFonts w:ascii="Arial" w:hAnsi="Arial" w:cs="Arial"/>
          <w:sz w:val="20"/>
        </w:rPr>
      </w:pPr>
      <w:r w:rsidRPr="00686DAB">
        <w:rPr>
          <w:rFonts w:ascii="Arial" w:hAnsi="Arial" w:cs="Arial"/>
          <w:sz w:val="20"/>
        </w:rPr>
        <w:t xml:space="preserve">- </w:t>
      </w:r>
      <w:r w:rsidR="005F147D" w:rsidRPr="00686DAB">
        <w:rPr>
          <w:rFonts w:ascii="Arial" w:hAnsi="Arial" w:cs="Arial"/>
          <w:sz w:val="20"/>
        </w:rPr>
        <w:t xml:space="preserve">a </w:t>
      </w:r>
      <w:r w:rsidRPr="00686DAB">
        <w:rPr>
          <w:rFonts w:ascii="Arial" w:hAnsi="Arial" w:cs="Arial"/>
          <w:sz w:val="20"/>
        </w:rPr>
        <w:t xml:space="preserve">jogi személyiség nélküli vállalkozások </w:t>
      </w:r>
      <w:r w:rsidR="00795A5A" w:rsidRPr="00686DAB">
        <w:rPr>
          <w:rFonts w:ascii="Arial" w:hAnsi="Arial" w:cs="Arial"/>
          <w:sz w:val="20"/>
        </w:rPr>
        <w:t>(idetartoznak az egyéni cégek)</w:t>
      </w:r>
      <w:r w:rsidR="001F5781" w:rsidRPr="00686DAB">
        <w:rPr>
          <w:rFonts w:ascii="Arial" w:hAnsi="Arial" w:cs="Arial"/>
          <w:sz w:val="20"/>
        </w:rPr>
        <w:t>,</w:t>
      </w:r>
    </w:p>
    <w:p w14:paraId="0AA7DBDE" w14:textId="6E6D7E60" w:rsidR="009C22B3" w:rsidRPr="00686DAB" w:rsidRDefault="009C22B3" w:rsidP="004F671E">
      <w:pPr>
        <w:rPr>
          <w:rFonts w:ascii="Arial" w:hAnsi="Arial" w:cs="Arial"/>
          <w:sz w:val="20"/>
        </w:rPr>
      </w:pPr>
      <w:r w:rsidRPr="00686DAB">
        <w:rPr>
          <w:rFonts w:ascii="Arial" w:hAnsi="Arial" w:cs="Arial"/>
          <w:sz w:val="20"/>
        </w:rPr>
        <w:t>- a társasházak,</w:t>
      </w:r>
    </w:p>
    <w:p w14:paraId="79961957" w14:textId="44117440" w:rsidR="00A33546" w:rsidRPr="00A61F3D" w:rsidRDefault="00A33546" w:rsidP="004F671E">
      <w:pPr>
        <w:rPr>
          <w:rFonts w:ascii="Arial" w:hAnsi="Arial" w:cs="Arial"/>
          <w:sz w:val="20"/>
        </w:rPr>
      </w:pPr>
      <w:r w:rsidRPr="00686DAB">
        <w:rPr>
          <w:rFonts w:ascii="Arial" w:hAnsi="Arial" w:cs="Arial"/>
          <w:sz w:val="20"/>
        </w:rPr>
        <w:t>- a földtulajdonosi közösség</w:t>
      </w:r>
      <w:r w:rsidR="005F5106" w:rsidRPr="00686DAB">
        <w:rPr>
          <w:rFonts w:ascii="Arial" w:hAnsi="Arial" w:cs="Arial"/>
          <w:sz w:val="20"/>
        </w:rPr>
        <w:t>ek,</w:t>
      </w:r>
    </w:p>
    <w:p w14:paraId="4D98CCD9" w14:textId="77777777" w:rsidR="006805CF" w:rsidRPr="00A61F3D" w:rsidRDefault="006805CF" w:rsidP="004F671E">
      <w:pPr>
        <w:rPr>
          <w:rFonts w:ascii="Arial" w:hAnsi="Arial" w:cs="Arial"/>
          <w:sz w:val="20"/>
        </w:rPr>
      </w:pPr>
      <w:r w:rsidRPr="00A61F3D">
        <w:rPr>
          <w:rFonts w:ascii="Arial" w:hAnsi="Arial" w:cs="Arial"/>
          <w:sz w:val="20"/>
        </w:rPr>
        <w:t>- a gazdasági szervezeteket segítő és azok által finanszírozott nonprofit intézmények.</w:t>
      </w:r>
    </w:p>
    <w:p w14:paraId="79F78130" w14:textId="15521B4A"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t>4.2.</w:t>
      </w:r>
      <w:r>
        <w:rPr>
          <w:rFonts w:ascii="Arial" w:hAnsi="Arial" w:cs="Arial"/>
          <w:b/>
          <w:sz w:val="20"/>
        </w:rPr>
        <w:t xml:space="preserve"> </w:t>
      </w:r>
      <w:r w:rsidR="006805CF" w:rsidRPr="00A61F3D">
        <w:rPr>
          <w:rFonts w:ascii="Arial" w:hAnsi="Arial" w:cs="Arial"/>
          <w:b/>
          <w:sz w:val="20"/>
        </w:rPr>
        <w:t>B) Központi bank</w:t>
      </w:r>
    </w:p>
    <w:p w14:paraId="2723FEE8" w14:textId="77777777" w:rsidR="006805CF" w:rsidRPr="00A61F3D" w:rsidRDefault="006805CF" w:rsidP="004F671E">
      <w:pPr>
        <w:rPr>
          <w:rFonts w:ascii="Arial" w:hAnsi="Arial" w:cs="Arial"/>
          <w:sz w:val="20"/>
        </w:rPr>
      </w:pPr>
      <w:r w:rsidRPr="00A61F3D">
        <w:rPr>
          <w:rFonts w:ascii="Arial" w:hAnsi="Arial" w:cs="Arial"/>
          <w:sz w:val="20"/>
        </w:rPr>
        <w:t>Ide a Magyar Nemzeti Bank tartozik.</w:t>
      </w:r>
    </w:p>
    <w:p w14:paraId="2AF6D67C" w14:textId="5924FCF5" w:rsidR="00AC13E5" w:rsidRPr="00A61F3D" w:rsidRDefault="00C17011" w:rsidP="004F671E">
      <w:pPr>
        <w:spacing w:before="120"/>
        <w:outlineLvl w:val="0"/>
        <w:rPr>
          <w:rFonts w:ascii="Arial" w:hAnsi="Arial" w:cs="Arial"/>
          <w:b/>
          <w:sz w:val="20"/>
        </w:rPr>
      </w:pPr>
      <w:r w:rsidRPr="00C17011">
        <w:rPr>
          <w:rFonts w:ascii="Arial" w:hAnsi="Arial" w:cs="Arial"/>
          <w:bCs/>
          <w:sz w:val="20"/>
        </w:rPr>
        <w:t>4.3.</w:t>
      </w:r>
      <w:r>
        <w:rPr>
          <w:rFonts w:ascii="Arial" w:hAnsi="Arial" w:cs="Arial"/>
          <w:b/>
          <w:sz w:val="20"/>
        </w:rPr>
        <w:t xml:space="preserve"> </w:t>
      </w:r>
      <w:r w:rsidR="006805CF" w:rsidRPr="00A61F3D">
        <w:rPr>
          <w:rFonts w:ascii="Arial" w:hAnsi="Arial" w:cs="Arial"/>
          <w:b/>
          <w:sz w:val="20"/>
        </w:rPr>
        <w:t>C) Egyéb monetáris pénzügyi intézmények</w:t>
      </w:r>
    </w:p>
    <w:p w14:paraId="5A8F2278" w14:textId="77777777" w:rsidR="006805CF" w:rsidRPr="00A61F3D" w:rsidRDefault="00A55214" w:rsidP="004F671E">
      <w:pPr>
        <w:rPr>
          <w:rFonts w:ascii="Arial" w:hAnsi="Arial" w:cs="Arial"/>
          <w:sz w:val="20"/>
        </w:rPr>
      </w:pPr>
      <w:r w:rsidRPr="00A61F3D">
        <w:rPr>
          <w:rFonts w:ascii="Arial" w:hAnsi="Arial" w:cs="Arial"/>
          <w:sz w:val="20"/>
        </w:rPr>
        <w:t>Két alcsoport</w:t>
      </w:r>
      <w:r w:rsidR="006805CF" w:rsidRPr="00A61F3D">
        <w:rPr>
          <w:rFonts w:ascii="Arial" w:hAnsi="Arial" w:cs="Arial"/>
          <w:sz w:val="20"/>
        </w:rPr>
        <w:t xml:space="preserve"> alkotj</w:t>
      </w:r>
      <w:r w:rsidRPr="00A61F3D">
        <w:rPr>
          <w:rFonts w:ascii="Arial" w:hAnsi="Arial" w:cs="Arial"/>
          <w:sz w:val="20"/>
        </w:rPr>
        <w:t>a</w:t>
      </w:r>
      <w:r w:rsidR="006805CF" w:rsidRPr="00A61F3D">
        <w:rPr>
          <w:rFonts w:ascii="Arial" w:hAnsi="Arial" w:cs="Arial"/>
          <w:sz w:val="20"/>
        </w:rPr>
        <w:t xml:space="preserve"> ezt a szektort.</w:t>
      </w:r>
    </w:p>
    <w:p w14:paraId="402A441D" w14:textId="774D3EED" w:rsidR="00A55214" w:rsidRPr="00A61F3D" w:rsidRDefault="00A55214" w:rsidP="004F671E">
      <w:pPr>
        <w:rPr>
          <w:rFonts w:ascii="Arial" w:hAnsi="Arial" w:cs="Arial"/>
          <w:sz w:val="20"/>
        </w:rPr>
      </w:pPr>
      <w:r w:rsidRPr="00A61F3D">
        <w:rPr>
          <w:rFonts w:ascii="Arial" w:hAnsi="Arial" w:cs="Arial"/>
          <w:sz w:val="20"/>
        </w:rPr>
        <w:t xml:space="preserve">A hitelintézetek alcsoportba </w:t>
      </w:r>
      <w:r w:rsidR="00F47502" w:rsidRPr="00A61F3D">
        <w:rPr>
          <w:rFonts w:ascii="Arial" w:hAnsi="Arial" w:cs="Arial"/>
          <w:sz w:val="20"/>
        </w:rPr>
        <w:t xml:space="preserve">(C-HIT alcsoportba) </w:t>
      </w:r>
      <w:r w:rsidRPr="00A61F3D">
        <w:rPr>
          <w:rFonts w:ascii="Arial" w:hAnsi="Arial" w:cs="Arial"/>
          <w:sz w:val="20"/>
        </w:rPr>
        <w:t>a</w:t>
      </w:r>
      <w:r w:rsidR="006805CF" w:rsidRPr="00A61F3D">
        <w:rPr>
          <w:rFonts w:ascii="Arial" w:hAnsi="Arial" w:cs="Arial"/>
          <w:sz w:val="20"/>
        </w:rPr>
        <w:t xml:space="preserve"> központi bank</w:t>
      </w:r>
      <w:r w:rsidRPr="00A61F3D">
        <w:rPr>
          <w:rFonts w:ascii="Arial" w:hAnsi="Arial" w:cs="Arial"/>
          <w:sz w:val="20"/>
        </w:rPr>
        <w:t xml:space="preserve">on kívüli </w:t>
      </w:r>
      <w:r w:rsidR="008C452D" w:rsidRPr="00A61F3D">
        <w:rPr>
          <w:rFonts w:ascii="Arial" w:hAnsi="Arial" w:cs="Arial"/>
          <w:sz w:val="20"/>
        </w:rPr>
        <w:t xml:space="preserve">azon </w:t>
      </w:r>
      <w:r w:rsidRPr="00A61F3D">
        <w:rPr>
          <w:rFonts w:ascii="Arial" w:hAnsi="Arial" w:cs="Arial"/>
          <w:sz w:val="20"/>
        </w:rPr>
        <w:t>monetáris pénzügyi intézmények tartoznak, amelyek a pénzügyi közvetítésben betétek</w:t>
      </w:r>
      <w:r w:rsidR="008C452D" w:rsidRPr="00A61F3D">
        <w:rPr>
          <w:rFonts w:ascii="Arial" w:hAnsi="Arial" w:cs="Arial"/>
          <w:sz w:val="20"/>
        </w:rPr>
        <w:t xml:space="preserve">, </w:t>
      </w:r>
      <w:r w:rsidRPr="00A61F3D">
        <w:rPr>
          <w:rFonts w:ascii="Arial" w:hAnsi="Arial" w:cs="Arial"/>
          <w:sz w:val="20"/>
        </w:rPr>
        <w:t>betétet helyettesítő eszközök elfogadásával, valamint saját kockázatra történő hitelnyújtás</w:t>
      </w:r>
      <w:r w:rsidR="008C452D" w:rsidRPr="00A61F3D">
        <w:rPr>
          <w:rFonts w:ascii="Arial" w:hAnsi="Arial" w:cs="Arial"/>
          <w:sz w:val="20"/>
        </w:rPr>
        <w:t>,</w:t>
      </w:r>
      <w:r w:rsidRPr="00A61F3D">
        <w:rPr>
          <w:rFonts w:ascii="Arial" w:hAnsi="Arial" w:cs="Arial"/>
          <w:sz w:val="20"/>
        </w:rPr>
        <w:t xml:space="preserve"> értékpapír-befektetés révén vesznek </w:t>
      </w:r>
      <w:r w:rsidRPr="00A61F3D">
        <w:rPr>
          <w:rFonts w:ascii="Arial" w:hAnsi="Arial" w:cs="Arial"/>
          <w:sz w:val="20"/>
        </w:rPr>
        <w:lastRenderedPageBreak/>
        <w:t>részt.</w:t>
      </w:r>
      <w:r w:rsidR="006805CF" w:rsidRPr="00A61F3D">
        <w:rPr>
          <w:rFonts w:ascii="Arial" w:hAnsi="Arial" w:cs="Arial"/>
          <w:sz w:val="20"/>
        </w:rPr>
        <w:t xml:space="preserve"> A hitelintézetek között szerepel </w:t>
      </w:r>
      <w:r w:rsidR="00157694" w:rsidRPr="00A61F3D">
        <w:rPr>
          <w:rFonts w:ascii="Arial" w:hAnsi="Arial" w:cs="Arial"/>
          <w:sz w:val="20"/>
        </w:rPr>
        <w:t>a H</w:t>
      </w:r>
      <w:r w:rsidR="006805CF" w:rsidRPr="00A61F3D">
        <w:rPr>
          <w:rFonts w:ascii="Arial" w:hAnsi="Arial" w:cs="Arial"/>
          <w:sz w:val="20"/>
        </w:rPr>
        <w:t xml:space="preserve">pt. szerint hitelintézetnek minősülő valamennyi intézmény, függetlenül a statisztikai számjele részét képező szakágazati (TEÁOR) kódtól. </w:t>
      </w:r>
      <w:r w:rsidR="0080204B" w:rsidRPr="00A61F3D">
        <w:rPr>
          <w:rFonts w:ascii="Arial" w:hAnsi="Arial" w:cs="Arial"/>
          <w:sz w:val="20"/>
        </w:rPr>
        <w:t>Ide</w:t>
      </w:r>
      <w:r w:rsidR="0055602D">
        <w:rPr>
          <w:rFonts w:ascii="Arial" w:hAnsi="Arial" w:cs="Arial"/>
          <w:sz w:val="20"/>
        </w:rPr>
        <w:t xml:space="preserve"> </w:t>
      </w:r>
      <w:r w:rsidR="0080204B" w:rsidRPr="00A61F3D">
        <w:rPr>
          <w:rFonts w:ascii="Arial" w:hAnsi="Arial" w:cs="Arial"/>
          <w:sz w:val="20"/>
        </w:rPr>
        <w:t xml:space="preserve">sorolandók a bankok, a szakosított hitelintézetek, a szövetkezeti hitelintézetek, </w:t>
      </w:r>
      <w:r w:rsidR="008C452D" w:rsidRPr="00A61F3D">
        <w:rPr>
          <w:rFonts w:ascii="Arial" w:hAnsi="Arial" w:cs="Arial"/>
          <w:sz w:val="20"/>
        </w:rPr>
        <w:t xml:space="preserve">a </w:t>
      </w:r>
      <w:r w:rsidR="0080204B" w:rsidRPr="00A61F3D">
        <w:rPr>
          <w:rFonts w:ascii="Arial" w:hAnsi="Arial" w:cs="Arial"/>
          <w:sz w:val="20"/>
        </w:rPr>
        <w:t xml:space="preserve">lakástakarékpénztárak és </w:t>
      </w:r>
      <w:r w:rsidR="008C452D" w:rsidRPr="00A61F3D">
        <w:rPr>
          <w:rFonts w:ascii="Arial" w:hAnsi="Arial" w:cs="Arial"/>
          <w:sz w:val="20"/>
        </w:rPr>
        <w:t xml:space="preserve">a </w:t>
      </w:r>
      <w:r w:rsidR="0080204B" w:rsidRPr="00A61F3D">
        <w:rPr>
          <w:rFonts w:ascii="Arial" w:hAnsi="Arial" w:cs="Arial"/>
          <w:sz w:val="20"/>
        </w:rPr>
        <w:t>hitelintézeti fióktelepek</w:t>
      </w:r>
      <w:r w:rsidR="00CA5A9B" w:rsidRPr="00A61F3D">
        <w:rPr>
          <w:rFonts w:ascii="Arial" w:hAnsi="Arial" w:cs="Arial"/>
          <w:sz w:val="20"/>
        </w:rPr>
        <w:t xml:space="preserve"> (a 3. melléklet 1. pontja szerinti, az MNB honlapján közzétett technikai segédletben C1, C2, C3, C4, C5 és C7 alcsoportkód alatt szereplő intézmények).</w:t>
      </w:r>
    </w:p>
    <w:p w14:paraId="3083E34E" w14:textId="67630591" w:rsidR="006805CF" w:rsidRPr="00A61F3D" w:rsidRDefault="006805CF" w:rsidP="004F671E">
      <w:pPr>
        <w:rPr>
          <w:rFonts w:ascii="Arial" w:hAnsi="Arial" w:cs="Arial"/>
          <w:sz w:val="20"/>
        </w:rPr>
      </w:pPr>
      <w:r w:rsidRPr="00A61F3D">
        <w:rPr>
          <w:rFonts w:ascii="Arial" w:hAnsi="Arial" w:cs="Arial"/>
          <w:sz w:val="20"/>
        </w:rPr>
        <w:t xml:space="preserve">A pénzpiaci </w:t>
      </w:r>
      <w:r w:rsidR="00462F34" w:rsidRPr="00A61F3D">
        <w:rPr>
          <w:rFonts w:ascii="Arial" w:hAnsi="Arial" w:cs="Arial"/>
          <w:sz w:val="20"/>
        </w:rPr>
        <w:t xml:space="preserve">befektetési </w:t>
      </w:r>
      <w:r w:rsidRPr="00A61F3D">
        <w:rPr>
          <w:rFonts w:ascii="Arial" w:hAnsi="Arial" w:cs="Arial"/>
          <w:sz w:val="20"/>
        </w:rPr>
        <w:t>alapok</w:t>
      </w:r>
      <w:r w:rsidR="0080204B" w:rsidRPr="00A61F3D">
        <w:rPr>
          <w:rFonts w:ascii="Arial" w:hAnsi="Arial" w:cs="Arial"/>
          <w:sz w:val="20"/>
        </w:rPr>
        <w:t xml:space="preserve"> alcsoport</w:t>
      </w:r>
      <w:r w:rsidRPr="00A61F3D">
        <w:rPr>
          <w:rFonts w:ascii="Arial" w:hAnsi="Arial" w:cs="Arial"/>
          <w:sz w:val="20"/>
        </w:rPr>
        <w:t>hoz azok a befektetési alapok sorolandók, amelyek befektetési jegyei likviditás szempontjából a bankbetétekhez hasonlóak, és eszközeiket elsősorban pénzpiaci eszközökbe, maximum 1 éves hátralévő lejáratú</w:t>
      </w:r>
      <w:r w:rsidR="00CA01CD">
        <w:rPr>
          <w:rFonts w:ascii="Arial" w:hAnsi="Arial" w:cs="Arial"/>
          <w:sz w:val="20"/>
        </w:rPr>
        <w:t>,</w:t>
      </w:r>
      <w:r w:rsidRPr="00A61F3D">
        <w:rPr>
          <w:rFonts w:ascii="Arial" w:hAnsi="Arial" w:cs="Arial"/>
          <w:sz w:val="20"/>
        </w:rPr>
        <w:t xml:space="preserve"> transzferálható</w:t>
      </w:r>
      <w:r w:rsidR="00CA01CD">
        <w:rPr>
          <w:rFonts w:ascii="Arial" w:hAnsi="Arial" w:cs="Arial"/>
          <w:sz w:val="20"/>
        </w:rPr>
        <w:t>,</w:t>
      </w:r>
      <w:r w:rsidRPr="00A61F3D">
        <w:rPr>
          <w:rFonts w:ascii="Arial" w:hAnsi="Arial" w:cs="Arial"/>
          <w:sz w:val="20"/>
        </w:rPr>
        <w:t xml:space="preserve"> hitelviszonyt megtestesítő értékpapírokba vagy pénzpiaci eszközök kamataihoz hasonló megtérülésű eszközökbe fektetik. (Pénzpiaci eszköz: a </w:t>
      </w:r>
      <w:r w:rsidR="00E543A2" w:rsidRPr="00A61F3D">
        <w:rPr>
          <w:rFonts w:ascii="Arial" w:hAnsi="Arial" w:cs="Arial"/>
          <w:sz w:val="20"/>
        </w:rPr>
        <w:t>befektetési vállalkozásokról és az árutőzsdei szolgáltatókró</w:t>
      </w:r>
      <w:r w:rsidR="007C61CC">
        <w:rPr>
          <w:rFonts w:ascii="Arial" w:hAnsi="Arial" w:cs="Arial"/>
          <w:sz w:val="20"/>
        </w:rPr>
        <w:t>l</w:t>
      </w:r>
      <w:r w:rsidR="00E543A2" w:rsidRPr="00A61F3D">
        <w:rPr>
          <w:rFonts w:ascii="Arial" w:hAnsi="Arial" w:cs="Arial"/>
          <w:sz w:val="20"/>
        </w:rPr>
        <w:t xml:space="preserve">, valamint az általuk végezhető tevékenységek szabályairól szóló </w:t>
      </w:r>
      <w:r w:rsidR="00C71788" w:rsidRPr="00A61F3D">
        <w:rPr>
          <w:rFonts w:ascii="Arial" w:hAnsi="Arial" w:cs="Arial"/>
          <w:sz w:val="20"/>
        </w:rPr>
        <w:t xml:space="preserve">2007. évi CXXXVIII. </w:t>
      </w:r>
      <w:r w:rsidR="00E543A2" w:rsidRPr="00A61F3D">
        <w:rPr>
          <w:rFonts w:ascii="Arial" w:hAnsi="Arial" w:cs="Arial"/>
          <w:sz w:val="20"/>
        </w:rPr>
        <w:t>törvény</w:t>
      </w:r>
      <w:r w:rsidRPr="00A61F3D">
        <w:rPr>
          <w:rFonts w:ascii="Arial" w:hAnsi="Arial" w:cs="Arial"/>
          <w:sz w:val="20"/>
        </w:rPr>
        <w:t xml:space="preserve"> szerint meghatározott fogalom.) </w:t>
      </w:r>
      <w:r w:rsidR="00CA5A9B" w:rsidRPr="00A61F3D">
        <w:rPr>
          <w:rFonts w:ascii="Arial" w:hAnsi="Arial" w:cs="Arial"/>
          <w:sz w:val="20"/>
        </w:rPr>
        <w:t>Idetartoznak a 3. melléklet 1. pontja szerinti, az MNB honlapján közzétett technikai segédletben a C6 alcsoportkód alatt szereplő intézmények.</w:t>
      </w:r>
    </w:p>
    <w:p w14:paraId="2EA2E32A" w14:textId="42F8F028" w:rsidR="00AC13E5" w:rsidRPr="00A61F3D" w:rsidRDefault="00C17011" w:rsidP="004F671E">
      <w:pPr>
        <w:spacing w:before="120"/>
        <w:outlineLvl w:val="0"/>
        <w:rPr>
          <w:rFonts w:ascii="Arial" w:hAnsi="Arial" w:cs="Arial"/>
          <w:b/>
          <w:sz w:val="20"/>
        </w:rPr>
      </w:pPr>
      <w:r w:rsidRPr="00C17011">
        <w:rPr>
          <w:rFonts w:ascii="Arial" w:hAnsi="Arial" w:cs="Arial"/>
          <w:bCs/>
          <w:sz w:val="20"/>
        </w:rPr>
        <w:t>4.4.</w:t>
      </w:r>
      <w:r>
        <w:rPr>
          <w:rFonts w:ascii="Arial" w:hAnsi="Arial" w:cs="Arial"/>
          <w:b/>
          <w:sz w:val="20"/>
        </w:rPr>
        <w:t xml:space="preserve"> </w:t>
      </w:r>
      <w:r w:rsidR="006805CF" w:rsidRPr="00A61F3D">
        <w:rPr>
          <w:rFonts w:ascii="Arial" w:hAnsi="Arial" w:cs="Arial"/>
          <w:b/>
          <w:sz w:val="20"/>
        </w:rPr>
        <w:t>D) Egyéb pénzügyi közvetítők</w:t>
      </w:r>
    </w:p>
    <w:p w14:paraId="39F184F2" w14:textId="77777777" w:rsidR="006805CF" w:rsidRPr="00A61F3D" w:rsidRDefault="006805CF" w:rsidP="004F671E">
      <w:pPr>
        <w:rPr>
          <w:rFonts w:ascii="Arial" w:hAnsi="Arial" w:cs="Arial"/>
          <w:sz w:val="20"/>
        </w:rPr>
      </w:pPr>
      <w:r w:rsidRPr="00A61F3D">
        <w:rPr>
          <w:rFonts w:ascii="Arial" w:hAnsi="Arial" w:cs="Arial"/>
          <w:sz w:val="20"/>
        </w:rPr>
        <w:t>Ide azok a pénzügyi közvetítők tartoznak, amelyek nem végeznek betétgyűjtést, de főtevékenységként jelentős mennyiségű egyéb forrást gyűjtenek, amelyet kihelyeznek a pénz- és tőkepiacon</w:t>
      </w:r>
      <w:r w:rsidR="00723264" w:rsidRPr="00A61F3D">
        <w:rPr>
          <w:rFonts w:ascii="Arial" w:hAnsi="Arial" w:cs="Arial"/>
          <w:sz w:val="20"/>
        </w:rPr>
        <w:t>,</w:t>
      </w:r>
      <w:r w:rsidR="00BE654A" w:rsidRPr="00A61F3D">
        <w:rPr>
          <w:rFonts w:ascii="Arial" w:hAnsi="Arial" w:cs="Arial"/>
          <w:sz w:val="20"/>
        </w:rPr>
        <w:t xml:space="preserve"> elsősorban hitelnyújtás vagy értékpapír</w:t>
      </w:r>
      <w:r w:rsidR="00723264" w:rsidRPr="00A61F3D">
        <w:rPr>
          <w:rFonts w:ascii="Arial" w:hAnsi="Arial" w:cs="Arial"/>
          <w:sz w:val="20"/>
        </w:rPr>
        <w:t>-befektetés formájában</w:t>
      </w:r>
      <w:r w:rsidRPr="00A61F3D">
        <w:rPr>
          <w:rFonts w:ascii="Arial" w:hAnsi="Arial" w:cs="Arial"/>
          <w:sz w:val="20"/>
        </w:rPr>
        <w:t>.</w:t>
      </w:r>
    </w:p>
    <w:p w14:paraId="018604B8" w14:textId="77777777" w:rsidR="00866D3A" w:rsidRPr="00A61F3D" w:rsidRDefault="008E2103" w:rsidP="004F671E">
      <w:pPr>
        <w:rPr>
          <w:rFonts w:ascii="Arial" w:hAnsi="Arial" w:cs="Arial"/>
          <w:sz w:val="20"/>
        </w:rPr>
      </w:pPr>
      <w:r w:rsidRPr="00A61F3D">
        <w:rPr>
          <w:rFonts w:ascii="Arial" w:hAnsi="Arial" w:cs="Arial"/>
          <w:sz w:val="20"/>
        </w:rPr>
        <w:t xml:space="preserve">A szektoron belül két alcsoport különböztethető meg. </w:t>
      </w:r>
    </w:p>
    <w:p w14:paraId="0D6FC14B" w14:textId="69741084" w:rsidR="00866D3A" w:rsidRPr="00A61F3D" w:rsidRDefault="008E2103" w:rsidP="004F671E">
      <w:pPr>
        <w:rPr>
          <w:rFonts w:ascii="Arial" w:hAnsi="Arial" w:cs="Arial"/>
          <w:sz w:val="20"/>
        </w:rPr>
      </w:pPr>
      <w:r w:rsidRPr="00A61F3D">
        <w:rPr>
          <w:rFonts w:ascii="Arial" w:hAnsi="Arial" w:cs="Arial"/>
          <w:sz w:val="20"/>
        </w:rPr>
        <w:t xml:space="preserve">Az egyéb pénzügyi közvetítők </w:t>
      </w:r>
      <w:r w:rsidR="00462F34" w:rsidRPr="00A61F3D">
        <w:rPr>
          <w:rFonts w:ascii="Arial" w:hAnsi="Arial" w:cs="Arial"/>
          <w:sz w:val="20"/>
        </w:rPr>
        <w:t xml:space="preserve">(befektetési alapok kivételével) </w:t>
      </w:r>
      <w:r w:rsidRPr="00A61F3D">
        <w:rPr>
          <w:rFonts w:ascii="Arial" w:hAnsi="Arial" w:cs="Arial"/>
          <w:sz w:val="20"/>
        </w:rPr>
        <w:t>alcsoport</w:t>
      </w:r>
      <w:r w:rsidR="00E36ACC" w:rsidRPr="00A61F3D">
        <w:rPr>
          <w:rFonts w:ascii="Arial" w:hAnsi="Arial" w:cs="Arial"/>
          <w:sz w:val="20"/>
        </w:rPr>
        <w:t>ba</w:t>
      </w:r>
      <w:r w:rsidR="00F47502" w:rsidRPr="00A61F3D">
        <w:rPr>
          <w:rFonts w:ascii="Arial" w:hAnsi="Arial" w:cs="Arial"/>
          <w:sz w:val="20"/>
        </w:rPr>
        <w:t xml:space="preserve"> (D-EPK alcsoportba)</w:t>
      </w:r>
      <w:r w:rsidR="00E36ACC" w:rsidRPr="00A61F3D">
        <w:rPr>
          <w:rFonts w:ascii="Arial" w:hAnsi="Arial" w:cs="Arial"/>
          <w:sz w:val="20"/>
        </w:rPr>
        <w:t xml:space="preserve"> </w:t>
      </w:r>
      <w:r w:rsidRPr="00A61F3D">
        <w:rPr>
          <w:rFonts w:ascii="Arial" w:hAnsi="Arial" w:cs="Arial"/>
          <w:sz w:val="20"/>
        </w:rPr>
        <w:t xml:space="preserve"> </w:t>
      </w:r>
      <w:r w:rsidR="006805CF" w:rsidRPr="00A61F3D">
        <w:rPr>
          <w:rFonts w:ascii="Arial" w:hAnsi="Arial" w:cs="Arial"/>
          <w:sz w:val="20"/>
        </w:rPr>
        <w:t>sorolandók például a pénzügyi vállalkozások jelentős része, a befektetési alapkezelő</w:t>
      </w:r>
      <w:r w:rsidR="00254F9B" w:rsidRPr="00A61F3D">
        <w:rPr>
          <w:rFonts w:ascii="Arial" w:hAnsi="Arial" w:cs="Arial"/>
          <w:sz w:val="20"/>
        </w:rPr>
        <w:t>k</w:t>
      </w:r>
      <w:r w:rsidR="009613F4" w:rsidRPr="00A61F3D">
        <w:rPr>
          <w:rFonts w:ascii="Arial" w:hAnsi="Arial" w:cs="Arial"/>
          <w:sz w:val="20"/>
        </w:rPr>
        <w:t xml:space="preserve"> (</w:t>
      </w:r>
      <w:r w:rsidR="007E5CC6" w:rsidRPr="00A61F3D">
        <w:rPr>
          <w:rFonts w:ascii="Arial" w:hAnsi="Arial" w:cs="Arial"/>
          <w:sz w:val="20"/>
        </w:rPr>
        <w:t xml:space="preserve">közöttük </w:t>
      </w:r>
      <w:r w:rsidR="009613F4" w:rsidRPr="00A61F3D">
        <w:rPr>
          <w:rFonts w:ascii="Arial" w:hAnsi="Arial" w:cs="Arial"/>
          <w:sz w:val="20"/>
        </w:rPr>
        <w:t>a kockázati tőkealapok és magántőkealapok kezelői)</w:t>
      </w:r>
      <w:r w:rsidR="006805CF" w:rsidRPr="00A61F3D">
        <w:rPr>
          <w:rFonts w:ascii="Arial" w:hAnsi="Arial" w:cs="Arial"/>
          <w:sz w:val="20"/>
        </w:rPr>
        <w:t xml:space="preserve">, a </w:t>
      </w:r>
      <w:r w:rsidR="00761910" w:rsidRPr="00A61F3D">
        <w:rPr>
          <w:rFonts w:ascii="Arial" w:hAnsi="Arial" w:cs="Arial"/>
          <w:sz w:val="20"/>
        </w:rPr>
        <w:t xml:space="preserve">sajátszámlás kereskedést is végző </w:t>
      </w:r>
      <w:r w:rsidR="006805CF" w:rsidRPr="00A61F3D">
        <w:rPr>
          <w:rFonts w:ascii="Arial" w:hAnsi="Arial" w:cs="Arial"/>
          <w:sz w:val="20"/>
        </w:rPr>
        <w:t>befektetési vállalkozások</w:t>
      </w:r>
      <w:r w:rsidR="00FB197D" w:rsidRPr="00A61F3D">
        <w:rPr>
          <w:rFonts w:ascii="Arial" w:hAnsi="Arial" w:cs="Arial"/>
          <w:sz w:val="20"/>
        </w:rPr>
        <w:t xml:space="preserve">, </w:t>
      </w:r>
      <w:r w:rsidR="00F5332A" w:rsidRPr="00A61F3D">
        <w:rPr>
          <w:rFonts w:ascii="Arial" w:hAnsi="Arial" w:cs="Arial"/>
          <w:sz w:val="20"/>
        </w:rPr>
        <w:t>a nemzeti otthonteremtési közösségek</w:t>
      </w:r>
      <w:r w:rsidR="0090628F" w:rsidRPr="00A61F3D">
        <w:rPr>
          <w:rFonts w:ascii="Arial" w:hAnsi="Arial" w:cs="Arial"/>
          <w:sz w:val="20"/>
        </w:rPr>
        <w:t xml:space="preserve">, </w:t>
      </w:r>
      <w:r w:rsidR="001902D9">
        <w:rPr>
          <w:rFonts w:ascii="Arial" w:hAnsi="Arial" w:cs="Arial"/>
          <w:sz w:val="20"/>
        </w:rPr>
        <w:t xml:space="preserve">valamint </w:t>
      </w:r>
      <w:r w:rsidR="000F68F4">
        <w:rPr>
          <w:rFonts w:ascii="Arial" w:hAnsi="Arial" w:cs="Arial"/>
          <w:sz w:val="20"/>
        </w:rPr>
        <w:t>az értékpapírosítást végző pénzügyi közvetítők</w:t>
      </w:r>
      <w:r w:rsidR="000F68F4" w:rsidRPr="00A61F3D">
        <w:rPr>
          <w:rFonts w:ascii="Arial" w:hAnsi="Arial" w:cs="Arial"/>
          <w:sz w:val="20"/>
        </w:rPr>
        <w:t xml:space="preserve"> </w:t>
      </w:r>
      <w:r w:rsidR="00CA5A9B" w:rsidRPr="00A61F3D">
        <w:rPr>
          <w:rFonts w:ascii="Arial" w:hAnsi="Arial" w:cs="Arial"/>
          <w:sz w:val="20"/>
        </w:rPr>
        <w:t>(a 3. melléklet 1. pontja szerinti, az MNB honlapján közzétett technikai segédletben a D1, D2, D4</w:t>
      </w:r>
      <w:r w:rsidR="00D35217" w:rsidRPr="00A61F3D">
        <w:rPr>
          <w:rFonts w:ascii="Arial" w:hAnsi="Arial" w:cs="Arial"/>
          <w:sz w:val="20"/>
        </w:rPr>
        <w:t>, D5, D6, D7, D8, D9 és D99</w:t>
      </w:r>
      <w:r w:rsidR="00CA5A9B" w:rsidRPr="00A61F3D">
        <w:rPr>
          <w:rFonts w:ascii="Arial" w:hAnsi="Arial" w:cs="Arial"/>
          <w:sz w:val="20"/>
        </w:rPr>
        <w:t xml:space="preserve"> alcsoportkód alatt szereplő intézmények).</w:t>
      </w:r>
    </w:p>
    <w:p w14:paraId="13570170" w14:textId="77777777" w:rsidR="00D35217" w:rsidRPr="00A61F3D" w:rsidRDefault="00E36ACC" w:rsidP="004F671E">
      <w:pPr>
        <w:rPr>
          <w:rFonts w:ascii="Arial" w:hAnsi="Arial" w:cs="Arial"/>
          <w:sz w:val="20"/>
        </w:rPr>
      </w:pPr>
      <w:r w:rsidRPr="00A61F3D">
        <w:rPr>
          <w:rFonts w:ascii="Arial" w:hAnsi="Arial" w:cs="Arial"/>
          <w:sz w:val="20"/>
        </w:rPr>
        <w:t xml:space="preserve">A nem pénzpiaci befektetési alapok alcsoportba </w:t>
      </w:r>
      <w:r w:rsidR="00462F34" w:rsidRPr="00A61F3D">
        <w:rPr>
          <w:rFonts w:ascii="Arial" w:hAnsi="Arial" w:cs="Arial"/>
          <w:sz w:val="20"/>
        </w:rPr>
        <w:t>azok a befektetési alapok tartoznak, amelyek olyan befektetési jegyeket bocsátanak ki, amelyek nem tekinthetők betétek közeli helyettesítőjének</w:t>
      </w:r>
      <w:r w:rsidR="00866D3A" w:rsidRPr="00A61F3D">
        <w:rPr>
          <w:rFonts w:ascii="Arial" w:hAnsi="Arial" w:cs="Arial"/>
          <w:sz w:val="20"/>
        </w:rPr>
        <w:t>, befektetéseik pedig jellemzően hosszabb lejáratú pénzügyi eszközökre és reáleszközökre irányulnak.</w:t>
      </w:r>
      <w:r w:rsidR="00D35217" w:rsidRPr="00A61F3D">
        <w:rPr>
          <w:rFonts w:ascii="Arial" w:hAnsi="Arial" w:cs="Arial"/>
          <w:sz w:val="20"/>
        </w:rPr>
        <w:t xml:space="preserve"> </w:t>
      </w:r>
      <w:r w:rsidR="00056642" w:rsidRPr="00A61F3D">
        <w:rPr>
          <w:rFonts w:ascii="Arial" w:hAnsi="Arial" w:cs="Arial"/>
          <w:sz w:val="20"/>
        </w:rPr>
        <w:t xml:space="preserve">A nem pénzpiaci befektetési alapok alcsoportba tartoznak a kockázati tőkealapok és </w:t>
      </w:r>
      <w:r w:rsidR="007E5CC6" w:rsidRPr="00A61F3D">
        <w:rPr>
          <w:rFonts w:ascii="Arial" w:hAnsi="Arial" w:cs="Arial"/>
          <w:sz w:val="20"/>
        </w:rPr>
        <w:t xml:space="preserve">a </w:t>
      </w:r>
      <w:r w:rsidR="00056642" w:rsidRPr="00A61F3D">
        <w:rPr>
          <w:rFonts w:ascii="Arial" w:hAnsi="Arial" w:cs="Arial"/>
          <w:sz w:val="20"/>
        </w:rPr>
        <w:t xml:space="preserve">magántőkealapok is. </w:t>
      </w:r>
      <w:r w:rsidR="00D35217" w:rsidRPr="00A61F3D">
        <w:rPr>
          <w:rFonts w:ascii="Arial" w:hAnsi="Arial" w:cs="Arial"/>
          <w:sz w:val="20"/>
        </w:rPr>
        <w:t xml:space="preserve">Idetartoznak a 3. melléklet 1. pontja szerinti, az MNB honlapján közzétett technikai segédletben a </w:t>
      </w:r>
      <w:r w:rsidR="00F47502" w:rsidRPr="00A61F3D">
        <w:rPr>
          <w:rFonts w:ascii="Arial" w:hAnsi="Arial" w:cs="Arial"/>
          <w:sz w:val="20"/>
        </w:rPr>
        <w:t>D3</w:t>
      </w:r>
      <w:r w:rsidR="00D35217" w:rsidRPr="00A61F3D">
        <w:rPr>
          <w:rFonts w:ascii="Arial" w:hAnsi="Arial" w:cs="Arial"/>
          <w:sz w:val="20"/>
        </w:rPr>
        <w:t xml:space="preserve"> alcsoportkód alatt szereplő intézmények.</w:t>
      </w:r>
      <w:r w:rsidR="009613F4" w:rsidRPr="00A61F3D">
        <w:rPr>
          <w:rFonts w:ascii="Arial" w:hAnsi="Arial" w:cs="Arial"/>
          <w:sz w:val="20"/>
        </w:rPr>
        <w:t xml:space="preserve"> </w:t>
      </w:r>
    </w:p>
    <w:p w14:paraId="0BDEE498" w14:textId="77777777" w:rsidR="00872D37" w:rsidRPr="00A61F3D" w:rsidRDefault="004C4E70" w:rsidP="004F671E">
      <w:pPr>
        <w:rPr>
          <w:rFonts w:ascii="Arial" w:hAnsi="Arial" w:cs="Arial"/>
          <w:sz w:val="20"/>
        </w:rPr>
      </w:pPr>
      <w:r w:rsidRPr="00A61F3D">
        <w:rPr>
          <w:rFonts w:ascii="Arial" w:hAnsi="Arial" w:cs="Arial"/>
          <w:sz w:val="20"/>
        </w:rPr>
        <w:t>Az alakuló, de még működési engedélyt nem kapott befektetési alapokat átmenetileg az alapkezelőjüknek megfelelő alcsoportba kell sorolni.</w:t>
      </w:r>
      <w:r w:rsidR="00A86839" w:rsidRPr="00A61F3D">
        <w:rPr>
          <w:rFonts w:ascii="Arial" w:hAnsi="Arial" w:cs="Arial"/>
          <w:sz w:val="20"/>
        </w:rPr>
        <w:t xml:space="preserve"> </w:t>
      </w:r>
    </w:p>
    <w:p w14:paraId="00F44E36" w14:textId="7AFC5489"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t>4.5.</w:t>
      </w:r>
      <w:r>
        <w:rPr>
          <w:rFonts w:ascii="Arial" w:hAnsi="Arial" w:cs="Arial"/>
          <w:b/>
          <w:sz w:val="20"/>
        </w:rPr>
        <w:t xml:space="preserve"> </w:t>
      </w:r>
      <w:r w:rsidR="006805CF" w:rsidRPr="00A61F3D">
        <w:rPr>
          <w:rFonts w:ascii="Arial" w:hAnsi="Arial" w:cs="Arial"/>
          <w:b/>
          <w:sz w:val="20"/>
        </w:rPr>
        <w:t>E) Pénzügyi kiegészítő tevékenységet végzők</w:t>
      </w:r>
    </w:p>
    <w:p w14:paraId="3769252D" w14:textId="77777777" w:rsidR="006805CF" w:rsidRPr="00A61F3D" w:rsidRDefault="006805CF" w:rsidP="004F671E">
      <w:pPr>
        <w:rPr>
          <w:rFonts w:ascii="Arial" w:hAnsi="Arial" w:cs="Arial"/>
          <w:sz w:val="20"/>
        </w:rPr>
      </w:pPr>
      <w:r w:rsidRPr="00A61F3D">
        <w:rPr>
          <w:rFonts w:ascii="Arial" w:hAnsi="Arial" w:cs="Arial"/>
          <w:sz w:val="20"/>
        </w:rPr>
        <w:t xml:space="preserve">Itt azok az intézmények szerepelnek, amelyeknek fő tevékenysége olyan pénzügyi kiegészítő szolgáltatás nyújtása, amely szorosan kapcsolódik valamilyen pénzügyi közvetítési tevékenységhez. Ezen intézmények azonban nem gyűjtenek jelentős mennyiségű forrást, hanem a hitelnyújtók és a hitelfelvevők között úgy létesítenek kapcsolatot, hogy az nem érinti lényegesen a mérlegüket. </w:t>
      </w:r>
    </w:p>
    <w:p w14:paraId="57C41058" w14:textId="77777777" w:rsidR="006805CF" w:rsidRPr="00A61F3D" w:rsidRDefault="006805CF" w:rsidP="004F671E">
      <w:pPr>
        <w:rPr>
          <w:rFonts w:ascii="Arial" w:hAnsi="Arial" w:cs="Arial"/>
          <w:sz w:val="20"/>
        </w:rPr>
      </w:pPr>
      <w:r w:rsidRPr="00A61F3D">
        <w:rPr>
          <w:rFonts w:ascii="Arial" w:hAnsi="Arial" w:cs="Arial"/>
          <w:sz w:val="20"/>
        </w:rPr>
        <w:t>Idetartoznak például a tőzsde, a központi szerződő fél, egyéb pénzügyi kiegészítő szolgáltatást végző intézmények</w:t>
      </w:r>
      <w:r w:rsidR="0090628F" w:rsidRPr="00A61F3D">
        <w:rPr>
          <w:rFonts w:ascii="Arial" w:hAnsi="Arial" w:cs="Arial"/>
          <w:sz w:val="20"/>
        </w:rPr>
        <w:t>, a nemzeti otthonteremtési közösség szervezője</w:t>
      </w:r>
      <w:r w:rsidRPr="00A61F3D">
        <w:rPr>
          <w:rFonts w:ascii="Arial" w:hAnsi="Arial" w:cs="Arial"/>
          <w:sz w:val="20"/>
        </w:rPr>
        <w:t xml:space="preserve"> és a befektetési vállalkozások közül az</w:t>
      </w:r>
      <w:r w:rsidR="00B23597" w:rsidRPr="00A61F3D">
        <w:rPr>
          <w:rFonts w:ascii="Arial" w:hAnsi="Arial" w:cs="Arial"/>
          <w:sz w:val="20"/>
        </w:rPr>
        <w:t>ok, amelyek sajátszámlás tevékenységet</w:t>
      </w:r>
      <w:r w:rsidR="00B070BB" w:rsidRPr="00A61F3D">
        <w:rPr>
          <w:rFonts w:ascii="Arial" w:hAnsi="Arial" w:cs="Arial"/>
          <w:sz w:val="20"/>
        </w:rPr>
        <w:t xml:space="preserve"> nem végezhetnek</w:t>
      </w:r>
      <w:r w:rsidR="00B23597" w:rsidRPr="00A61F3D">
        <w:rPr>
          <w:rFonts w:ascii="Arial" w:hAnsi="Arial" w:cs="Arial"/>
          <w:sz w:val="20"/>
        </w:rPr>
        <w:t>.</w:t>
      </w:r>
      <w:r w:rsidRPr="00A61F3D">
        <w:rPr>
          <w:rFonts w:ascii="Arial" w:hAnsi="Arial" w:cs="Arial"/>
          <w:sz w:val="20"/>
        </w:rPr>
        <w:t xml:space="preserve"> </w:t>
      </w:r>
    </w:p>
    <w:p w14:paraId="17B3D743" w14:textId="71B64738" w:rsidR="00AC13E5" w:rsidRPr="00A61F3D" w:rsidRDefault="00C17011" w:rsidP="004F671E">
      <w:pPr>
        <w:keepNext/>
        <w:spacing w:before="120"/>
        <w:rPr>
          <w:rFonts w:ascii="Arial" w:hAnsi="Arial" w:cs="Arial"/>
          <w:b/>
          <w:sz w:val="20"/>
        </w:rPr>
      </w:pPr>
      <w:r w:rsidRPr="00C17011">
        <w:rPr>
          <w:rFonts w:ascii="Arial" w:hAnsi="Arial" w:cs="Arial"/>
          <w:bCs/>
          <w:sz w:val="20"/>
        </w:rPr>
        <w:t>4.6.</w:t>
      </w:r>
      <w:r>
        <w:rPr>
          <w:rFonts w:ascii="Arial" w:hAnsi="Arial" w:cs="Arial"/>
          <w:b/>
          <w:sz w:val="20"/>
        </w:rPr>
        <w:t xml:space="preserve"> </w:t>
      </w:r>
      <w:r w:rsidR="006805CF" w:rsidRPr="00A61F3D">
        <w:rPr>
          <w:rFonts w:ascii="Arial" w:hAnsi="Arial" w:cs="Arial"/>
          <w:b/>
          <w:sz w:val="20"/>
        </w:rPr>
        <w:t>F) Biztosítók és nyugdíjpénztárak</w:t>
      </w:r>
    </w:p>
    <w:p w14:paraId="6955F044" w14:textId="23C5C543" w:rsidR="006805CF" w:rsidRPr="00A61F3D" w:rsidRDefault="003A32DA" w:rsidP="004F671E">
      <w:pPr>
        <w:rPr>
          <w:rFonts w:ascii="Arial" w:hAnsi="Arial" w:cs="Arial"/>
          <w:sz w:val="20"/>
        </w:rPr>
      </w:pPr>
      <w:r w:rsidRPr="00A61F3D">
        <w:rPr>
          <w:rFonts w:ascii="Arial" w:hAnsi="Arial" w:cs="Arial"/>
          <w:sz w:val="20"/>
        </w:rPr>
        <w:t xml:space="preserve">A biztosítók alcsoportot </w:t>
      </w:r>
      <w:r w:rsidR="006805CF" w:rsidRPr="00A61F3D">
        <w:rPr>
          <w:rFonts w:ascii="Arial" w:hAnsi="Arial" w:cs="Arial"/>
          <w:sz w:val="20"/>
        </w:rPr>
        <w:t xml:space="preserve">a </w:t>
      </w:r>
      <w:r w:rsidRPr="00A61F3D">
        <w:rPr>
          <w:rFonts w:ascii="Arial" w:hAnsi="Arial" w:cs="Arial"/>
          <w:sz w:val="20"/>
        </w:rPr>
        <w:t xml:space="preserve">biztosítók és a viszontbiztosítók alkotják, a gazdálkodási formájuktól függetlenül </w:t>
      </w:r>
      <w:r w:rsidR="006805CF" w:rsidRPr="00A61F3D">
        <w:rPr>
          <w:rFonts w:ascii="Arial" w:hAnsi="Arial" w:cs="Arial"/>
          <w:sz w:val="20"/>
        </w:rPr>
        <w:t>(</w:t>
      </w:r>
      <w:r w:rsidR="0038703B" w:rsidRPr="00A61F3D">
        <w:rPr>
          <w:rFonts w:ascii="Arial" w:hAnsi="Arial" w:cs="Arial"/>
          <w:sz w:val="20"/>
        </w:rPr>
        <w:t xml:space="preserve">idetartoznak </w:t>
      </w:r>
      <w:r w:rsidR="00787CBD" w:rsidRPr="00A61F3D">
        <w:rPr>
          <w:rFonts w:ascii="Arial" w:hAnsi="Arial" w:cs="Arial"/>
          <w:sz w:val="20"/>
        </w:rPr>
        <w:t>a</w:t>
      </w:r>
      <w:r w:rsidR="006805CF" w:rsidRPr="00A61F3D">
        <w:rPr>
          <w:rFonts w:ascii="Arial" w:hAnsi="Arial" w:cs="Arial"/>
          <w:sz w:val="20"/>
        </w:rPr>
        <w:t xml:space="preserve"> 3. melléklet 1. pontja szerinti, az MNB honlapján közzétett technikai segédletben F1</w:t>
      </w:r>
      <w:r w:rsidR="0038703B" w:rsidRPr="00A61F3D">
        <w:rPr>
          <w:rFonts w:ascii="Arial" w:hAnsi="Arial" w:cs="Arial"/>
          <w:sz w:val="20"/>
        </w:rPr>
        <w:t>,</w:t>
      </w:r>
      <w:r w:rsidR="006805CF" w:rsidRPr="00A61F3D">
        <w:rPr>
          <w:rFonts w:ascii="Arial" w:hAnsi="Arial" w:cs="Arial"/>
          <w:sz w:val="20"/>
        </w:rPr>
        <w:t xml:space="preserve"> F2</w:t>
      </w:r>
      <w:r w:rsidR="0038703B" w:rsidRPr="00A61F3D">
        <w:rPr>
          <w:rFonts w:ascii="Arial" w:hAnsi="Arial" w:cs="Arial"/>
          <w:sz w:val="20"/>
        </w:rPr>
        <w:t xml:space="preserve"> és F7</w:t>
      </w:r>
      <w:r w:rsidR="006805CF" w:rsidRPr="00A61F3D">
        <w:rPr>
          <w:rFonts w:ascii="Arial" w:hAnsi="Arial" w:cs="Arial"/>
          <w:sz w:val="20"/>
        </w:rPr>
        <w:t xml:space="preserve"> alcsoportkód alatt</w:t>
      </w:r>
      <w:r w:rsidR="0038703B" w:rsidRPr="00A61F3D">
        <w:rPr>
          <w:rFonts w:ascii="Arial" w:hAnsi="Arial" w:cs="Arial"/>
          <w:sz w:val="20"/>
        </w:rPr>
        <w:t xml:space="preserve"> szereplő intézmények</w:t>
      </w:r>
      <w:r w:rsidR="006805CF" w:rsidRPr="00A61F3D">
        <w:rPr>
          <w:rFonts w:ascii="Arial" w:hAnsi="Arial" w:cs="Arial"/>
          <w:sz w:val="20"/>
        </w:rPr>
        <w:t>)</w:t>
      </w:r>
      <w:r w:rsidR="0038703B" w:rsidRPr="00A61F3D">
        <w:rPr>
          <w:rFonts w:ascii="Arial" w:hAnsi="Arial" w:cs="Arial"/>
          <w:sz w:val="20"/>
        </w:rPr>
        <w:t>.</w:t>
      </w:r>
      <w:r w:rsidR="006805CF" w:rsidRPr="00A61F3D">
        <w:rPr>
          <w:rFonts w:ascii="Arial" w:hAnsi="Arial" w:cs="Arial"/>
          <w:sz w:val="20"/>
        </w:rPr>
        <w:t xml:space="preserve"> </w:t>
      </w:r>
      <w:r w:rsidR="0038703B" w:rsidRPr="00A61F3D">
        <w:rPr>
          <w:rFonts w:ascii="Arial" w:hAnsi="Arial" w:cs="Arial"/>
          <w:sz w:val="20"/>
        </w:rPr>
        <w:t xml:space="preserve">A pénztárak alcsoportot </w:t>
      </w:r>
      <w:r w:rsidR="006805CF" w:rsidRPr="00A61F3D">
        <w:rPr>
          <w:rFonts w:ascii="Arial" w:hAnsi="Arial" w:cs="Arial"/>
          <w:sz w:val="20"/>
        </w:rPr>
        <w:t>a magánnyugdíjpénztárak, az önkéntes kölcsönös nyugdíj-, egészség-</w:t>
      </w:r>
      <w:r w:rsidR="00382385" w:rsidRPr="00A61F3D">
        <w:rPr>
          <w:rFonts w:ascii="Arial" w:hAnsi="Arial" w:cs="Arial"/>
          <w:sz w:val="20"/>
        </w:rPr>
        <w:t>,</w:t>
      </w:r>
      <w:r w:rsidR="006805CF" w:rsidRPr="00A61F3D">
        <w:rPr>
          <w:rFonts w:ascii="Arial" w:hAnsi="Arial" w:cs="Arial"/>
          <w:sz w:val="20"/>
        </w:rPr>
        <w:t xml:space="preserve"> önsegélyező</w:t>
      </w:r>
      <w:r w:rsidR="00382385" w:rsidRPr="00A61F3D">
        <w:rPr>
          <w:rFonts w:ascii="Arial" w:hAnsi="Arial" w:cs="Arial"/>
          <w:sz w:val="20"/>
        </w:rPr>
        <w:t>, valamint egészség- és önsegélyező</w:t>
      </w:r>
      <w:r w:rsidR="006805CF" w:rsidRPr="00A61F3D">
        <w:rPr>
          <w:rFonts w:ascii="Arial" w:hAnsi="Arial" w:cs="Arial"/>
          <w:sz w:val="20"/>
        </w:rPr>
        <w:t xml:space="preserve"> pénztárak </w:t>
      </w:r>
      <w:r w:rsidR="0038703B" w:rsidRPr="00A61F3D">
        <w:rPr>
          <w:rFonts w:ascii="Arial" w:hAnsi="Arial" w:cs="Arial"/>
          <w:sz w:val="20"/>
        </w:rPr>
        <w:t xml:space="preserve">alkotják </w:t>
      </w:r>
      <w:r w:rsidR="006805CF" w:rsidRPr="00A61F3D">
        <w:rPr>
          <w:rFonts w:ascii="Arial" w:hAnsi="Arial" w:cs="Arial"/>
          <w:sz w:val="20"/>
        </w:rPr>
        <w:t>(</w:t>
      </w:r>
      <w:r w:rsidR="00787CBD" w:rsidRPr="00A61F3D">
        <w:rPr>
          <w:rFonts w:ascii="Arial" w:hAnsi="Arial" w:cs="Arial"/>
          <w:sz w:val="20"/>
        </w:rPr>
        <w:t>a</w:t>
      </w:r>
      <w:r w:rsidR="006805CF" w:rsidRPr="00A61F3D">
        <w:rPr>
          <w:rFonts w:ascii="Arial" w:hAnsi="Arial" w:cs="Arial"/>
          <w:sz w:val="20"/>
        </w:rPr>
        <w:t xml:space="preserve"> 3. melléklet 1. pontja szerinti, az MNB honlapján közzétett technikai segédletben F3</w:t>
      </w:r>
      <w:r w:rsidR="008416B0">
        <w:rPr>
          <w:rFonts w:ascii="Arial" w:hAnsi="Arial" w:cs="Arial"/>
          <w:sz w:val="20"/>
        </w:rPr>
        <w:t>–</w:t>
      </w:r>
      <w:r w:rsidR="006805CF" w:rsidRPr="00A61F3D">
        <w:rPr>
          <w:rFonts w:ascii="Arial" w:hAnsi="Arial" w:cs="Arial"/>
          <w:sz w:val="20"/>
        </w:rPr>
        <w:t>F6 alcsoportkód alatt</w:t>
      </w:r>
      <w:r w:rsidR="0038703B" w:rsidRPr="00A61F3D">
        <w:rPr>
          <w:rFonts w:ascii="Arial" w:hAnsi="Arial" w:cs="Arial"/>
          <w:sz w:val="20"/>
        </w:rPr>
        <w:t xml:space="preserve"> szereplő intézmények</w:t>
      </w:r>
      <w:r w:rsidR="006805CF" w:rsidRPr="00A61F3D">
        <w:rPr>
          <w:rFonts w:ascii="Arial" w:hAnsi="Arial" w:cs="Arial"/>
          <w:sz w:val="20"/>
        </w:rPr>
        <w:t>)</w:t>
      </w:r>
      <w:r w:rsidR="0038703B" w:rsidRPr="00A61F3D">
        <w:rPr>
          <w:rFonts w:ascii="Arial" w:hAnsi="Arial" w:cs="Arial"/>
          <w:sz w:val="20"/>
        </w:rPr>
        <w:t xml:space="preserve">. </w:t>
      </w:r>
    </w:p>
    <w:p w14:paraId="20EF531F" w14:textId="7EEF4562" w:rsidR="00AC13E5" w:rsidRPr="00A61F3D" w:rsidRDefault="00C17011" w:rsidP="004F671E">
      <w:pPr>
        <w:spacing w:before="120"/>
        <w:outlineLvl w:val="0"/>
        <w:rPr>
          <w:rFonts w:ascii="Arial" w:hAnsi="Arial" w:cs="Arial"/>
          <w:b/>
          <w:sz w:val="20"/>
        </w:rPr>
      </w:pPr>
      <w:r w:rsidRPr="00C17011">
        <w:rPr>
          <w:rFonts w:ascii="Arial" w:hAnsi="Arial" w:cs="Arial"/>
          <w:bCs/>
          <w:sz w:val="20"/>
        </w:rPr>
        <w:t>4.7.</w:t>
      </w:r>
      <w:r>
        <w:rPr>
          <w:rFonts w:ascii="Arial" w:hAnsi="Arial" w:cs="Arial"/>
          <w:b/>
          <w:sz w:val="20"/>
        </w:rPr>
        <w:t xml:space="preserve"> </w:t>
      </w:r>
      <w:r w:rsidR="006805CF" w:rsidRPr="00A61F3D">
        <w:rPr>
          <w:rFonts w:ascii="Arial" w:hAnsi="Arial" w:cs="Arial"/>
          <w:b/>
          <w:sz w:val="20"/>
        </w:rPr>
        <w:t>G) Központi kormányzat</w:t>
      </w:r>
    </w:p>
    <w:p w14:paraId="18548DC0" w14:textId="153F6BB8" w:rsidR="006805CF" w:rsidRPr="00A61F3D" w:rsidRDefault="006805CF" w:rsidP="004F671E">
      <w:pPr>
        <w:rPr>
          <w:rFonts w:ascii="Arial" w:hAnsi="Arial" w:cs="Arial"/>
          <w:sz w:val="20"/>
        </w:rPr>
      </w:pPr>
      <w:r w:rsidRPr="00A61F3D">
        <w:rPr>
          <w:rFonts w:ascii="Arial" w:hAnsi="Arial" w:cs="Arial"/>
          <w:sz w:val="20"/>
        </w:rPr>
        <w:t>A központi kormányzat magába</w:t>
      </w:r>
      <w:r w:rsidR="008C1913" w:rsidRPr="00A61F3D">
        <w:rPr>
          <w:rFonts w:ascii="Arial" w:hAnsi="Arial" w:cs="Arial"/>
          <w:sz w:val="20"/>
        </w:rPr>
        <w:t>n</w:t>
      </w:r>
      <w:r w:rsidRPr="00A61F3D">
        <w:rPr>
          <w:rFonts w:ascii="Arial" w:hAnsi="Arial" w:cs="Arial"/>
          <w:sz w:val="20"/>
        </w:rPr>
        <w:t xml:space="preserve"> foglalja a központi költségvetést, a központi költségvetés intézményeit, az elkülönített állami pénzalapokat, </w:t>
      </w:r>
      <w:r w:rsidR="00465CE7">
        <w:rPr>
          <w:rFonts w:ascii="Arial" w:hAnsi="Arial" w:cs="Arial"/>
          <w:sz w:val="20"/>
        </w:rPr>
        <w:t>valamint</w:t>
      </w:r>
      <w:r w:rsidRPr="00A61F3D">
        <w:rPr>
          <w:rFonts w:ascii="Arial" w:hAnsi="Arial" w:cs="Arial"/>
          <w:sz w:val="20"/>
        </w:rPr>
        <w:t xml:space="preserve"> azokat a gazdasági társaságokat </w:t>
      </w:r>
      <w:r w:rsidR="0055602D" w:rsidRPr="0055602D">
        <w:rPr>
          <w:rFonts w:ascii="Arial" w:hAnsi="Arial" w:cs="Arial"/>
          <w:sz w:val="20"/>
        </w:rPr>
        <w:t>és nonprofit szervezeteket</w:t>
      </w:r>
      <w:r w:rsidR="00B61294">
        <w:rPr>
          <w:rFonts w:ascii="Arial" w:hAnsi="Arial" w:cs="Arial"/>
          <w:sz w:val="20"/>
        </w:rPr>
        <w:t>,</w:t>
      </w:r>
      <w:r w:rsidR="0055602D" w:rsidRPr="0055602D">
        <w:rPr>
          <w:rFonts w:ascii="Arial" w:hAnsi="Arial" w:cs="Arial"/>
          <w:sz w:val="20"/>
        </w:rPr>
        <w:t xml:space="preserve"> </w:t>
      </w:r>
      <w:r w:rsidRPr="00A61F3D">
        <w:rPr>
          <w:rFonts w:ascii="Arial" w:hAnsi="Arial" w:cs="Arial"/>
          <w:sz w:val="20"/>
        </w:rPr>
        <w:t xml:space="preserve">amelyek közgazdasági szempontok alapján, a 3. melléklet 1. pontja szerinti, az MNB honlapján közzétett listának megfelelően a központi kormányzatba sorolandók. </w:t>
      </w:r>
    </w:p>
    <w:p w14:paraId="7ECECF25" w14:textId="6F0E6C65" w:rsidR="00AC13E5" w:rsidRPr="00A61F3D" w:rsidRDefault="006805CF" w:rsidP="004F671E">
      <w:pPr>
        <w:spacing w:before="120"/>
        <w:rPr>
          <w:rFonts w:ascii="Arial" w:hAnsi="Arial" w:cs="Arial"/>
          <w:sz w:val="20"/>
        </w:rPr>
      </w:pPr>
      <w:r w:rsidRPr="00A61F3D">
        <w:rPr>
          <w:rFonts w:ascii="Arial" w:hAnsi="Arial" w:cs="Arial"/>
          <w:sz w:val="20"/>
        </w:rPr>
        <w:t>Amennyiben az adatszolgáltatásban elkülönítendő a központi kormányzaton belül a központi költségvetés</w:t>
      </w:r>
      <w:r w:rsidR="008C1913" w:rsidRPr="00A61F3D">
        <w:rPr>
          <w:rFonts w:ascii="Arial" w:hAnsi="Arial" w:cs="Arial"/>
          <w:sz w:val="20"/>
        </w:rPr>
        <w:t>,</w:t>
      </w:r>
      <w:r w:rsidRPr="00A61F3D">
        <w:rPr>
          <w:rFonts w:ascii="Arial" w:hAnsi="Arial" w:cs="Arial"/>
          <w:sz w:val="20"/>
        </w:rPr>
        <w:t xml:space="preserve"> valamint a központi kormányzathoz sorolt egyéb intézmények csoportja, a központi kormányzathoz sorolt egyéb intézmények alatt a 3. melléklet 1. pontja szerinti, az MNB honlapján közzétett listában </w:t>
      </w:r>
      <w:r w:rsidR="0055602D" w:rsidRPr="0055602D">
        <w:rPr>
          <w:rFonts w:ascii="Arial" w:hAnsi="Arial" w:cs="Arial"/>
          <w:sz w:val="20"/>
        </w:rPr>
        <w:t xml:space="preserve">G2 alcsoportkód alatt </w:t>
      </w:r>
      <w:r w:rsidRPr="00A61F3D">
        <w:rPr>
          <w:rFonts w:ascii="Arial" w:hAnsi="Arial" w:cs="Arial"/>
          <w:sz w:val="20"/>
        </w:rPr>
        <w:t>szereplő intézmények értendők.</w:t>
      </w:r>
    </w:p>
    <w:p w14:paraId="5EEDBAD2" w14:textId="1BB34F08" w:rsidR="00AC13E5" w:rsidRPr="00A61F3D" w:rsidRDefault="00C17011" w:rsidP="004F671E">
      <w:pPr>
        <w:keepNext/>
        <w:spacing w:before="120"/>
        <w:outlineLvl w:val="0"/>
        <w:rPr>
          <w:rFonts w:ascii="Arial" w:hAnsi="Arial" w:cs="Arial"/>
          <w:b/>
          <w:sz w:val="20"/>
        </w:rPr>
      </w:pPr>
      <w:r w:rsidRPr="00C17011">
        <w:rPr>
          <w:rFonts w:ascii="Arial" w:hAnsi="Arial" w:cs="Arial"/>
          <w:bCs/>
          <w:sz w:val="20"/>
        </w:rPr>
        <w:lastRenderedPageBreak/>
        <w:t>4.8.</w:t>
      </w:r>
      <w:r>
        <w:rPr>
          <w:rFonts w:ascii="Arial" w:hAnsi="Arial" w:cs="Arial"/>
          <w:b/>
          <w:sz w:val="20"/>
        </w:rPr>
        <w:t xml:space="preserve"> </w:t>
      </w:r>
      <w:r w:rsidR="006805CF" w:rsidRPr="00A61F3D">
        <w:rPr>
          <w:rFonts w:ascii="Arial" w:hAnsi="Arial" w:cs="Arial"/>
          <w:b/>
          <w:sz w:val="20"/>
        </w:rPr>
        <w:t>H) Helyi önkormányzatok</w:t>
      </w:r>
    </w:p>
    <w:p w14:paraId="6124F835" w14:textId="32F40B33" w:rsidR="006805CF" w:rsidRPr="00A61F3D" w:rsidRDefault="006805CF" w:rsidP="004F671E">
      <w:pPr>
        <w:rPr>
          <w:rFonts w:ascii="Arial" w:hAnsi="Arial" w:cs="Arial"/>
          <w:sz w:val="20"/>
        </w:rPr>
      </w:pPr>
      <w:r w:rsidRPr="00A61F3D">
        <w:rPr>
          <w:rFonts w:ascii="Arial" w:hAnsi="Arial" w:cs="Arial"/>
          <w:sz w:val="20"/>
        </w:rPr>
        <w:t>A helyi önkormányzatok magukba</w:t>
      </w:r>
      <w:r w:rsidR="00A016E8" w:rsidRPr="00A61F3D">
        <w:rPr>
          <w:rFonts w:ascii="Arial" w:hAnsi="Arial" w:cs="Arial"/>
          <w:sz w:val="20"/>
        </w:rPr>
        <w:t>n</w:t>
      </w:r>
      <w:r w:rsidRPr="00A61F3D">
        <w:rPr>
          <w:rFonts w:ascii="Arial" w:hAnsi="Arial" w:cs="Arial"/>
          <w:sz w:val="20"/>
        </w:rPr>
        <w:t xml:space="preserve"> foglalják a megyei és a települési önkormányzatokat és azok intézményeit, valamint a helyi kisebbségi önkormányzatokat és azok intézményeit. </w:t>
      </w:r>
      <w:r w:rsidR="00863E47" w:rsidRPr="00A61F3D">
        <w:rPr>
          <w:rFonts w:ascii="Arial" w:hAnsi="Arial" w:cs="Arial"/>
          <w:sz w:val="20"/>
        </w:rPr>
        <w:t>Ide</w:t>
      </w:r>
      <w:r w:rsidR="00955B49">
        <w:rPr>
          <w:rFonts w:ascii="Arial" w:hAnsi="Arial" w:cs="Arial"/>
          <w:sz w:val="20"/>
        </w:rPr>
        <w:t xml:space="preserve"> </w:t>
      </w:r>
      <w:r w:rsidR="00863E47" w:rsidRPr="00A61F3D">
        <w:rPr>
          <w:rFonts w:ascii="Arial" w:hAnsi="Arial" w:cs="Arial"/>
          <w:sz w:val="20"/>
        </w:rPr>
        <w:t>tartoznak azok a gazdasági társaságok</w:t>
      </w:r>
      <w:r w:rsidR="005437FF">
        <w:rPr>
          <w:rFonts w:ascii="Arial" w:hAnsi="Arial" w:cs="Arial"/>
          <w:sz w:val="20"/>
        </w:rPr>
        <w:t xml:space="preserve"> </w:t>
      </w:r>
      <w:r w:rsidR="005437FF" w:rsidRPr="005437FF">
        <w:rPr>
          <w:rFonts w:ascii="Arial" w:hAnsi="Arial" w:cs="Arial"/>
          <w:sz w:val="20"/>
        </w:rPr>
        <w:t>és nonprofit szervezetek</w:t>
      </w:r>
      <w:r w:rsidR="00863E47" w:rsidRPr="00A61F3D">
        <w:rPr>
          <w:rFonts w:ascii="Arial" w:hAnsi="Arial" w:cs="Arial"/>
          <w:sz w:val="20"/>
        </w:rPr>
        <w:t>, amelyek közgazdasági szempontok alapján, a 3. melléklet 1. pontja szerinti, az MNB honlapján közzétett listának megfelelően a helyi önkormányzatok szektorába sorolandók</w:t>
      </w:r>
      <w:r w:rsidR="00D51EAF">
        <w:rPr>
          <w:rFonts w:ascii="Arial" w:hAnsi="Arial" w:cs="Arial"/>
          <w:sz w:val="20"/>
        </w:rPr>
        <w:t>,</w:t>
      </w:r>
      <w:r w:rsidR="005437FF" w:rsidRPr="005437FF">
        <w:rPr>
          <w:rFonts w:ascii="Arial" w:hAnsi="Arial" w:cs="Arial"/>
          <w:sz w:val="20"/>
        </w:rPr>
        <w:t xml:space="preserve"> és a H2 alcsoportkód alatt </w:t>
      </w:r>
      <w:r w:rsidR="007005E5">
        <w:rPr>
          <w:rFonts w:ascii="Arial" w:hAnsi="Arial" w:cs="Arial"/>
          <w:sz w:val="20"/>
        </w:rPr>
        <w:t>szerepelnek</w:t>
      </w:r>
      <w:r w:rsidR="00863E47" w:rsidRPr="00A61F3D">
        <w:rPr>
          <w:rFonts w:ascii="Arial" w:hAnsi="Arial" w:cs="Arial"/>
          <w:sz w:val="20"/>
        </w:rPr>
        <w:t>.</w:t>
      </w:r>
    </w:p>
    <w:p w14:paraId="6252F500" w14:textId="71B0DE72" w:rsidR="00AC13E5" w:rsidRPr="00A61F3D" w:rsidRDefault="00C17011" w:rsidP="004F671E">
      <w:pPr>
        <w:spacing w:before="120"/>
        <w:outlineLvl w:val="0"/>
        <w:rPr>
          <w:rFonts w:ascii="Arial" w:hAnsi="Arial" w:cs="Arial"/>
          <w:b/>
          <w:sz w:val="20"/>
        </w:rPr>
      </w:pPr>
      <w:r w:rsidRPr="00C17011">
        <w:rPr>
          <w:rFonts w:ascii="Arial" w:hAnsi="Arial" w:cs="Arial"/>
          <w:bCs/>
          <w:sz w:val="20"/>
        </w:rPr>
        <w:t>4.9</w:t>
      </w:r>
      <w:r>
        <w:rPr>
          <w:rFonts w:ascii="Arial" w:hAnsi="Arial" w:cs="Arial"/>
          <w:b/>
          <w:sz w:val="20"/>
        </w:rPr>
        <w:t xml:space="preserve">. </w:t>
      </w:r>
      <w:r w:rsidR="006805CF" w:rsidRPr="00A61F3D">
        <w:rPr>
          <w:rFonts w:ascii="Arial" w:hAnsi="Arial" w:cs="Arial"/>
          <w:b/>
          <w:sz w:val="20"/>
        </w:rPr>
        <w:t>I) Társadalombiztosítási alapok</w:t>
      </w:r>
    </w:p>
    <w:p w14:paraId="238DE27C" w14:textId="77777777" w:rsidR="006805CF" w:rsidRPr="00A61F3D" w:rsidRDefault="006805CF" w:rsidP="004F671E">
      <w:pPr>
        <w:rPr>
          <w:rFonts w:ascii="Arial" w:hAnsi="Arial" w:cs="Arial"/>
          <w:b/>
          <w:sz w:val="20"/>
        </w:rPr>
      </w:pPr>
      <w:r w:rsidRPr="00A61F3D">
        <w:rPr>
          <w:rFonts w:ascii="Arial" w:hAnsi="Arial" w:cs="Arial"/>
          <w:sz w:val="20"/>
        </w:rPr>
        <w:t>Idetartoznak a Nyugdíjbiztosítási Alap és az Egészségbiztosítási Alap, valamint ezek intézményei.</w:t>
      </w:r>
    </w:p>
    <w:p w14:paraId="643D4B87" w14:textId="594E4E30" w:rsidR="00AC13E5" w:rsidRPr="00686DAB" w:rsidRDefault="00C17011" w:rsidP="004F671E">
      <w:pPr>
        <w:spacing w:before="120"/>
        <w:outlineLvl w:val="0"/>
        <w:rPr>
          <w:rFonts w:ascii="Arial" w:hAnsi="Arial" w:cs="Arial"/>
          <w:b/>
          <w:sz w:val="20"/>
        </w:rPr>
      </w:pPr>
      <w:r w:rsidRPr="00C17011">
        <w:rPr>
          <w:rFonts w:ascii="Arial" w:hAnsi="Arial" w:cs="Arial"/>
          <w:bCs/>
          <w:sz w:val="20"/>
        </w:rPr>
        <w:t>4.10</w:t>
      </w:r>
      <w:r>
        <w:rPr>
          <w:rFonts w:ascii="Arial" w:hAnsi="Arial" w:cs="Arial"/>
          <w:b/>
          <w:sz w:val="20"/>
        </w:rPr>
        <w:t xml:space="preserve">. </w:t>
      </w:r>
      <w:r w:rsidR="006805CF" w:rsidRPr="00686DAB">
        <w:rPr>
          <w:rFonts w:ascii="Arial" w:hAnsi="Arial" w:cs="Arial"/>
          <w:b/>
          <w:sz w:val="20"/>
        </w:rPr>
        <w:t>J) Háztartások</w:t>
      </w:r>
    </w:p>
    <w:p w14:paraId="2D3A2506" w14:textId="4DDEFBF5" w:rsidR="001F211E" w:rsidRPr="00686DAB" w:rsidRDefault="00972C8E" w:rsidP="004F671E">
      <w:pPr>
        <w:rPr>
          <w:rFonts w:ascii="Arial" w:hAnsi="Arial" w:cs="Arial"/>
          <w:sz w:val="20"/>
        </w:rPr>
      </w:pPr>
      <w:r w:rsidRPr="00686DAB">
        <w:rPr>
          <w:rFonts w:ascii="Arial" w:hAnsi="Arial" w:cs="Arial"/>
          <w:sz w:val="20"/>
        </w:rPr>
        <w:t xml:space="preserve">A háztartások szektora a természetes személyeket, a </w:t>
      </w:r>
      <w:r w:rsidR="001F211E" w:rsidRPr="00686DAB">
        <w:rPr>
          <w:rFonts w:ascii="Arial" w:hAnsi="Arial" w:cs="Arial"/>
          <w:sz w:val="20"/>
        </w:rPr>
        <w:t xml:space="preserve">természetes személyek egyes szervezeteit </w:t>
      </w:r>
      <w:r w:rsidR="00D56C44" w:rsidRPr="00686DAB">
        <w:rPr>
          <w:rFonts w:ascii="Arial" w:hAnsi="Arial" w:cs="Arial"/>
          <w:sz w:val="20"/>
        </w:rPr>
        <w:t>[</w:t>
      </w:r>
      <w:r w:rsidR="001F211E" w:rsidRPr="00686DAB">
        <w:rPr>
          <w:rFonts w:ascii="Arial" w:hAnsi="Arial" w:cs="Arial"/>
          <w:sz w:val="20"/>
        </w:rPr>
        <w:t xml:space="preserve">pl. </w:t>
      </w:r>
      <w:r w:rsidRPr="00686DAB">
        <w:rPr>
          <w:rFonts w:ascii="Arial" w:hAnsi="Arial" w:cs="Arial"/>
          <w:sz w:val="20"/>
        </w:rPr>
        <w:t>Munkavállalói Résztulajdonosi Program szervezete</w:t>
      </w:r>
      <w:r w:rsidR="00D819EE">
        <w:rPr>
          <w:rFonts w:ascii="Arial" w:hAnsi="Arial" w:cs="Arial"/>
          <w:sz w:val="20"/>
        </w:rPr>
        <w:t>k</w:t>
      </w:r>
      <w:r w:rsidRPr="00686DAB">
        <w:rPr>
          <w:rFonts w:ascii="Arial" w:hAnsi="Arial" w:cs="Arial"/>
          <w:sz w:val="20"/>
        </w:rPr>
        <w:t xml:space="preserve"> (a továbbiakban: </w:t>
      </w:r>
      <w:proofErr w:type="spellStart"/>
      <w:r w:rsidRPr="00686DAB">
        <w:rPr>
          <w:rFonts w:ascii="Arial" w:hAnsi="Arial" w:cs="Arial"/>
          <w:sz w:val="20"/>
        </w:rPr>
        <w:t>MRP</w:t>
      </w:r>
      <w:proofErr w:type="spellEnd"/>
      <w:r w:rsidRPr="00686DAB">
        <w:rPr>
          <w:rFonts w:ascii="Arial" w:hAnsi="Arial" w:cs="Arial"/>
          <w:sz w:val="20"/>
        </w:rPr>
        <w:t xml:space="preserve"> szervezet</w:t>
      </w:r>
      <w:r w:rsidR="00D819EE">
        <w:rPr>
          <w:rFonts w:ascii="Arial" w:hAnsi="Arial" w:cs="Arial"/>
          <w:sz w:val="20"/>
        </w:rPr>
        <w:t>ek</w:t>
      </w:r>
      <w:r w:rsidRPr="00686DAB">
        <w:rPr>
          <w:rFonts w:ascii="Arial" w:hAnsi="Arial" w:cs="Arial"/>
          <w:sz w:val="20"/>
        </w:rPr>
        <w:t>)</w:t>
      </w:r>
      <w:r w:rsidR="00D819EE">
        <w:rPr>
          <w:rFonts w:ascii="Arial" w:hAnsi="Arial" w:cs="Arial"/>
          <w:sz w:val="20"/>
        </w:rPr>
        <w:t>, természetes személyek vagyonát kezelő vagyonkezelő alapítványok</w:t>
      </w:r>
      <w:r w:rsidR="00D56C44" w:rsidRPr="00686DAB">
        <w:rPr>
          <w:rFonts w:ascii="Arial" w:hAnsi="Arial" w:cs="Arial"/>
          <w:sz w:val="20"/>
        </w:rPr>
        <w:t>]</w:t>
      </w:r>
      <w:r w:rsidR="00F42AFA" w:rsidRPr="00686DAB">
        <w:rPr>
          <w:rFonts w:ascii="Arial" w:hAnsi="Arial" w:cs="Arial"/>
          <w:sz w:val="20"/>
        </w:rPr>
        <w:t xml:space="preserve">, </w:t>
      </w:r>
      <w:r w:rsidR="001B6B02" w:rsidRPr="00686DAB">
        <w:rPr>
          <w:rFonts w:ascii="Arial" w:hAnsi="Arial" w:cs="Arial"/>
          <w:sz w:val="20"/>
        </w:rPr>
        <w:t xml:space="preserve">természetes személy vagyonrendelő esetén </w:t>
      </w:r>
      <w:r w:rsidR="00F42AFA" w:rsidRPr="00686DAB">
        <w:rPr>
          <w:rFonts w:ascii="Arial" w:hAnsi="Arial" w:cs="Arial"/>
          <w:sz w:val="20"/>
        </w:rPr>
        <w:t xml:space="preserve">a bizalmi vagyonkezelésbe adott vagyontömeget, </w:t>
      </w:r>
      <w:r w:rsidR="001B6B02" w:rsidRPr="00686DAB">
        <w:rPr>
          <w:rFonts w:ascii="Arial" w:hAnsi="Arial" w:cs="Arial"/>
          <w:sz w:val="20"/>
        </w:rPr>
        <w:t>valamint</w:t>
      </w:r>
      <w:r w:rsidRPr="00686DAB">
        <w:rPr>
          <w:rFonts w:ascii="Arial" w:hAnsi="Arial" w:cs="Arial"/>
          <w:sz w:val="20"/>
        </w:rPr>
        <w:t xml:space="preserve"> az önálló vállalkozókat foglalja magában. Az önálló vállalkozók körébe tartoznak az egyéni vállalkozók, az egyéb önálló vállalkozók és az adószámmal rendelkező magánszemélyek. Önálló vállalkozónak minősülnek például a mezőgazdasági őstermelők, a mezőgazdasági kistermelők, a családi gazdálkodók, a kisiparosok, a magánkereskedők. Nem minősülnek önálló vállalkozónak, de a háztartások szektorába sorolandók a háztartásban alkalmazottat foglalkoztató, adószámmal rendelkező magánszemélyek.</w:t>
      </w:r>
      <w:r w:rsidR="001F211E" w:rsidRPr="00686DAB">
        <w:rPr>
          <w:rFonts w:ascii="Arial" w:hAnsi="Arial" w:cs="Arial"/>
          <w:sz w:val="20"/>
        </w:rPr>
        <w:t xml:space="preserve"> A természetes személyek érintett szervezetei a 3. melléklet 1. pontja szerinti, az MNB honlapján közzétett technikai segédletben a J</w:t>
      </w:r>
      <w:r w:rsidR="009C22B3" w:rsidRPr="00686DAB">
        <w:rPr>
          <w:rFonts w:ascii="Arial" w:hAnsi="Arial" w:cs="Arial"/>
          <w:sz w:val="20"/>
        </w:rPr>
        <w:t>1 alcsoportkód</w:t>
      </w:r>
      <w:r w:rsidR="001F211E" w:rsidRPr="00686DAB">
        <w:rPr>
          <w:rFonts w:ascii="Arial" w:hAnsi="Arial" w:cs="Arial"/>
          <w:sz w:val="20"/>
        </w:rPr>
        <w:t xml:space="preserve"> alatt szerep</w:t>
      </w:r>
      <w:r w:rsidR="00C84720" w:rsidRPr="00686DAB">
        <w:rPr>
          <w:rFonts w:ascii="Arial" w:hAnsi="Arial" w:cs="Arial"/>
          <w:sz w:val="20"/>
        </w:rPr>
        <w:t>e</w:t>
      </w:r>
      <w:r w:rsidR="001F211E" w:rsidRPr="00686DAB">
        <w:rPr>
          <w:rFonts w:ascii="Arial" w:hAnsi="Arial" w:cs="Arial"/>
          <w:sz w:val="20"/>
        </w:rPr>
        <w:t>l</w:t>
      </w:r>
      <w:r w:rsidR="00D01B67" w:rsidRPr="00686DAB">
        <w:rPr>
          <w:rFonts w:ascii="Arial" w:hAnsi="Arial" w:cs="Arial"/>
          <w:sz w:val="20"/>
        </w:rPr>
        <w:t>nek</w:t>
      </w:r>
      <w:r w:rsidR="001F211E" w:rsidRPr="00686DAB">
        <w:rPr>
          <w:rFonts w:ascii="Arial" w:hAnsi="Arial" w:cs="Arial"/>
          <w:sz w:val="20"/>
        </w:rPr>
        <w:t>.</w:t>
      </w:r>
      <w:r w:rsidR="00F42AFA" w:rsidRPr="00686DAB">
        <w:rPr>
          <w:rFonts w:ascii="Arial" w:hAnsi="Arial" w:cs="Arial"/>
          <w:sz w:val="20"/>
        </w:rPr>
        <w:t xml:space="preserve"> </w:t>
      </w:r>
      <w:r w:rsidR="00DB45DD" w:rsidRPr="00686DAB">
        <w:rPr>
          <w:rFonts w:ascii="Arial" w:hAnsi="Arial" w:cs="Arial"/>
          <w:sz w:val="20"/>
        </w:rPr>
        <w:t>A bizalmi vagyonkezelésbe adott vagyontömeget akkor is ebbe a szektorba kell sorolni, ha a vagyonrendelő nem ismert, vagy nem állapítható meg egyértelműen.</w:t>
      </w:r>
    </w:p>
    <w:p w14:paraId="4CA648DD" w14:textId="658118BA" w:rsidR="00972C8E" w:rsidRPr="00A61F3D" w:rsidRDefault="00972C8E" w:rsidP="004F671E">
      <w:pPr>
        <w:spacing w:before="120"/>
        <w:rPr>
          <w:rFonts w:ascii="Arial" w:hAnsi="Arial" w:cs="Arial"/>
          <w:sz w:val="20"/>
        </w:rPr>
      </w:pPr>
      <w:r w:rsidRPr="00686DAB">
        <w:rPr>
          <w:rFonts w:ascii="Arial" w:hAnsi="Arial" w:cs="Arial"/>
          <w:sz w:val="20"/>
        </w:rPr>
        <w:t>Lakosság</w:t>
      </w:r>
      <w:r w:rsidR="0027671B" w:rsidRPr="00686DAB">
        <w:rPr>
          <w:rFonts w:ascii="Arial" w:hAnsi="Arial" w:cs="Arial"/>
          <w:sz w:val="20"/>
        </w:rPr>
        <w:t xml:space="preserve"> (J1)</w:t>
      </w:r>
      <w:r w:rsidRPr="00686DAB">
        <w:rPr>
          <w:rFonts w:ascii="Arial" w:hAnsi="Arial" w:cs="Arial"/>
          <w:sz w:val="20"/>
        </w:rPr>
        <w:t xml:space="preserve">: </w:t>
      </w:r>
      <w:r w:rsidR="00A659C2" w:rsidRPr="00686DAB">
        <w:rPr>
          <w:rFonts w:ascii="Arial" w:hAnsi="Arial" w:cs="Arial"/>
          <w:sz w:val="20"/>
        </w:rPr>
        <w:t>a</w:t>
      </w:r>
      <w:r w:rsidRPr="00686DAB">
        <w:rPr>
          <w:rFonts w:ascii="Arial" w:hAnsi="Arial" w:cs="Arial"/>
          <w:sz w:val="20"/>
        </w:rPr>
        <w:t xml:space="preserve"> háztartások szektorán belül ide</w:t>
      </w:r>
      <w:r w:rsidR="0027671B" w:rsidRPr="00686DAB">
        <w:rPr>
          <w:rFonts w:ascii="Arial" w:hAnsi="Arial" w:cs="Arial"/>
          <w:sz w:val="20"/>
        </w:rPr>
        <w:t xml:space="preserve"> </w:t>
      </w:r>
      <w:r w:rsidRPr="00686DAB">
        <w:rPr>
          <w:rFonts w:ascii="Arial" w:hAnsi="Arial" w:cs="Arial"/>
          <w:sz w:val="20"/>
        </w:rPr>
        <w:t xml:space="preserve">tartoznak a természetes személyek, </w:t>
      </w:r>
      <w:r w:rsidR="0027671B" w:rsidRPr="00686DAB">
        <w:rPr>
          <w:rFonts w:ascii="Arial" w:hAnsi="Arial" w:cs="Arial"/>
          <w:sz w:val="20"/>
        </w:rPr>
        <w:t>a természetes</w:t>
      </w:r>
      <w:r w:rsidR="0027671B" w:rsidRPr="0027671B">
        <w:rPr>
          <w:rFonts w:ascii="Arial" w:hAnsi="Arial" w:cs="Arial"/>
          <w:sz w:val="20"/>
        </w:rPr>
        <w:t xml:space="preserve"> személyek felsorolt szervezetei (beleértve az MRP szervezeteket is)</w:t>
      </w:r>
      <w:r w:rsidR="0027671B">
        <w:rPr>
          <w:rFonts w:ascii="Arial" w:hAnsi="Arial" w:cs="Arial"/>
          <w:sz w:val="20"/>
        </w:rPr>
        <w:t xml:space="preserve">, </w:t>
      </w:r>
      <w:r w:rsidRPr="00A61F3D">
        <w:rPr>
          <w:rFonts w:ascii="Arial" w:hAnsi="Arial" w:cs="Arial"/>
          <w:sz w:val="20"/>
        </w:rPr>
        <w:t>valamint a háztartásban alkalmazottat foglalkoztató, adószámmal rendelkező magánszemélyek.</w:t>
      </w:r>
    </w:p>
    <w:p w14:paraId="0AA22D78" w14:textId="6FDE7EE1" w:rsidR="0027671B" w:rsidRPr="0027671B" w:rsidRDefault="0027671B" w:rsidP="004F671E">
      <w:pPr>
        <w:spacing w:before="120"/>
        <w:outlineLvl w:val="0"/>
        <w:rPr>
          <w:rFonts w:ascii="Arial" w:hAnsi="Arial" w:cs="Arial"/>
          <w:sz w:val="20"/>
        </w:rPr>
      </w:pPr>
      <w:r w:rsidRPr="0027671B">
        <w:rPr>
          <w:rFonts w:ascii="Arial" w:hAnsi="Arial" w:cs="Arial"/>
          <w:sz w:val="20"/>
        </w:rPr>
        <w:t>A háztartásokon belül az önálló vállalkozók a J2</w:t>
      </w:r>
      <w:r w:rsidR="00D51EAF">
        <w:rPr>
          <w:rFonts w:ascii="Arial" w:hAnsi="Arial" w:cs="Arial"/>
          <w:sz w:val="20"/>
        </w:rPr>
        <w:t xml:space="preserve"> alcsoportkód alatt szerepelnek</w:t>
      </w:r>
      <w:r w:rsidRPr="0027671B">
        <w:rPr>
          <w:rFonts w:ascii="Arial" w:hAnsi="Arial" w:cs="Arial"/>
          <w:sz w:val="20"/>
        </w:rPr>
        <w:t>.</w:t>
      </w:r>
    </w:p>
    <w:p w14:paraId="22461A82" w14:textId="510E86A8" w:rsidR="00AC13E5" w:rsidRPr="00A61F3D" w:rsidRDefault="00C17011" w:rsidP="004F671E">
      <w:pPr>
        <w:spacing w:before="120"/>
        <w:outlineLvl w:val="0"/>
        <w:rPr>
          <w:rFonts w:ascii="Arial" w:hAnsi="Arial" w:cs="Arial"/>
          <w:b/>
          <w:sz w:val="20"/>
        </w:rPr>
      </w:pPr>
      <w:r w:rsidRPr="00C17011">
        <w:rPr>
          <w:rFonts w:ascii="Arial" w:hAnsi="Arial" w:cs="Arial"/>
          <w:bCs/>
          <w:sz w:val="20"/>
        </w:rPr>
        <w:t>4.11.</w:t>
      </w:r>
      <w:r>
        <w:rPr>
          <w:rFonts w:ascii="Arial" w:hAnsi="Arial" w:cs="Arial"/>
          <w:b/>
          <w:sz w:val="20"/>
        </w:rPr>
        <w:t xml:space="preserve"> </w:t>
      </w:r>
      <w:r w:rsidR="006805CF" w:rsidRPr="00A61F3D">
        <w:rPr>
          <w:rFonts w:ascii="Arial" w:hAnsi="Arial" w:cs="Arial"/>
          <w:b/>
          <w:sz w:val="20"/>
        </w:rPr>
        <w:t>K) Háztartásokat segítő nonprofit intézmények</w:t>
      </w:r>
    </w:p>
    <w:p w14:paraId="7673A6FE" w14:textId="77777777" w:rsidR="006805CF" w:rsidRPr="00A61F3D" w:rsidRDefault="006805CF" w:rsidP="004F671E">
      <w:pPr>
        <w:rPr>
          <w:rFonts w:ascii="Arial" w:hAnsi="Arial" w:cs="Arial"/>
          <w:b/>
          <w:sz w:val="20"/>
        </w:rPr>
      </w:pPr>
      <w:r w:rsidRPr="00A61F3D">
        <w:rPr>
          <w:rFonts w:ascii="Arial" w:hAnsi="Arial" w:cs="Arial"/>
          <w:sz w:val="20"/>
        </w:rPr>
        <w:t>A nonprofit intézmények közül csak a háztartásokat segítő nonprofit intézmények alkotnak külön szektort a nemzetközi makrostatisztikai módszertan szerint. Azok a nonprofit intézmények, amelyeket az üzleti szervezetek finanszíroznak és irányítanak, a nem pénzügyi vállalatokhoz tartoznak. Azok a nonprofit szervezetek, amelyeket az államháztartás intézményei finanszíroznak és irányítanak, a központi kormányzatba vagy a helyi önkormányzatokhoz sorolódnak.</w:t>
      </w:r>
    </w:p>
    <w:p w14:paraId="65004E80" w14:textId="61C53E1B" w:rsidR="00013908" w:rsidRPr="00A61F3D" w:rsidRDefault="006805CF" w:rsidP="004F671E">
      <w:pPr>
        <w:rPr>
          <w:rFonts w:ascii="Arial" w:hAnsi="Arial" w:cs="Arial"/>
          <w:sz w:val="20"/>
        </w:rPr>
      </w:pPr>
      <w:r w:rsidRPr="00A61F3D">
        <w:rPr>
          <w:rFonts w:ascii="Arial" w:hAnsi="Arial" w:cs="Arial"/>
          <w:sz w:val="20"/>
        </w:rPr>
        <w:t xml:space="preserve">A háztartásokat segítő nonprofit intézmények körébe tartoznak azok a nonprofit szervezetek, amelyek elsősorban a háztartásoktól kapják forrásaikat vagy nincsenek az állam vagy a gazdálkodó szervezetek irányítása alatt. Ezek a szervezetek lehetnek szakszervezetek, munkavállalói érdekképviseleti szervezetek, politikai pártok, egyházak, egyházi intézmények, egyesületek és az alapítványok jelentős része. </w:t>
      </w:r>
    </w:p>
    <w:p w14:paraId="392E567B" w14:textId="1C9B9386" w:rsidR="001A288F" w:rsidRPr="00A61F3D" w:rsidRDefault="00C17011" w:rsidP="00D3125B">
      <w:pPr>
        <w:spacing w:before="120"/>
        <w:rPr>
          <w:rFonts w:ascii="Arial" w:hAnsi="Arial" w:cs="Arial"/>
          <w:b/>
          <w:sz w:val="20"/>
        </w:rPr>
      </w:pPr>
      <w:r w:rsidRPr="00C17011">
        <w:rPr>
          <w:rFonts w:ascii="Arial" w:hAnsi="Arial" w:cs="Arial"/>
          <w:bCs/>
          <w:sz w:val="20"/>
        </w:rPr>
        <w:t>4.12.</w:t>
      </w:r>
      <w:r>
        <w:rPr>
          <w:rFonts w:ascii="Arial" w:hAnsi="Arial" w:cs="Arial"/>
          <w:b/>
          <w:sz w:val="20"/>
        </w:rPr>
        <w:t xml:space="preserve"> </w:t>
      </w:r>
      <w:r w:rsidR="001A288F" w:rsidRPr="00A61F3D">
        <w:rPr>
          <w:rFonts w:ascii="Arial" w:hAnsi="Arial" w:cs="Arial"/>
          <w:b/>
          <w:sz w:val="20"/>
        </w:rPr>
        <w:t>Z) Zártkörű pénzügyi közvetítők</w:t>
      </w:r>
    </w:p>
    <w:p w14:paraId="27029853" w14:textId="252D71A8" w:rsidR="001902D9" w:rsidRPr="00A61F3D" w:rsidRDefault="001902D9" w:rsidP="004F671E">
      <w:pPr>
        <w:rPr>
          <w:rFonts w:ascii="Arial" w:hAnsi="Arial" w:cs="Arial"/>
          <w:sz w:val="20"/>
        </w:rPr>
      </w:pPr>
      <w:r w:rsidRPr="00A61F3D">
        <w:rPr>
          <w:rFonts w:ascii="Arial" w:hAnsi="Arial" w:cs="Arial"/>
          <w:sz w:val="20"/>
        </w:rPr>
        <w:t>A zártkörű pénzügyi közvetítők olyan sajátos céllal létrehozott pénzügyi vállalatok, amelyek pénzügyi tevékenységet nyílt piacon nem, csak szűk körben (többnyire vállalatcsoporton belül) folytatnak, reálgazdasági kötődésük lényegében nincs. Alapvetően vagyonkezelési (holding) vagy csoportfinanszírozó tevékenységet végző gazdasági társaságok alkotják ezt a szektort.</w:t>
      </w:r>
    </w:p>
    <w:p w14:paraId="299A6EE3" w14:textId="27E1F1C1" w:rsidR="001902D9" w:rsidRPr="00A61F3D" w:rsidRDefault="001902D9" w:rsidP="004F671E">
      <w:pPr>
        <w:rPr>
          <w:rFonts w:ascii="Arial" w:hAnsi="Arial" w:cs="Arial"/>
          <w:sz w:val="20"/>
        </w:rPr>
      </w:pPr>
      <w:r w:rsidRPr="00A61F3D">
        <w:rPr>
          <w:rFonts w:ascii="Arial" w:hAnsi="Arial" w:cs="Arial"/>
          <w:sz w:val="20"/>
        </w:rPr>
        <w:t>A</w:t>
      </w:r>
      <w:r>
        <w:rPr>
          <w:rFonts w:ascii="Arial" w:hAnsi="Arial" w:cs="Arial"/>
          <w:sz w:val="20"/>
        </w:rPr>
        <w:t>z MNB a</w:t>
      </w:r>
      <w:r w:rsidRPr="00A61F3D">
        <w:rPr>
          <w:rFonts w:ascii="Arial" w:hAnsi="Arial" w:cs="Arial"/>
          <w:sz w:val="20"/>
        </w:rPr>
        <w:t xml:space="preserve"> zártkörű pénzügyi közvetítők szektorába tartozó szervezetek</w:t>
      </w:r>
      <w:r w:rsidR="00375E75">
        <w:rPr>
          <w:rFonts w:ascii="Arial" w:hAnsi="Arial" w:cs="Arial"/>
          <w:sz w:val="20"/>
        </w:rPr>
        <w:t xml:space="preserve">et is felteszi a </w:t>
      </w:r>
      <w:r w:rsidR="00375E75" w:rsidRPr="00375E75">
        <w:rPr>
          <w:rFonts w:ascii="Arial" w:hAnsi="Arial" w:cs="Arial"/>
          <w:sz w:val="20"/>
        </w:rPr>
        <w:t>3. melléklet 1. pontja</w:t>
      </w:r>
      <w:r w:rsidR="00243EBD">
        <w:rPr>
          <w:rFonts w:ascii="Arial" w:hAnsi="Arial" w:cs="Arial"/>
          <w:sz w:val="20"/>
        </w:rPr>
        <w:t xml:space="preserve"> </w:t>
      </w:r>
      <w:r w:rsidR="00375E75" w:rsidRPr="00375E75">
        <w:rPr>
          <w:rFonts w:ascii="Arial" w:hAnsi="Arial" w:cs="Arial"/>
          <w:sz w:val="20"/>
        </w:rPr>
        <w:t>szerinti</w:t>
      </w:r>
      <w:r w:rsidR="00243EBD">
        <w:rPr>
          <w:rFonts w:ascii="Arial" w:hAnsi="Arial" w:cs="Arial"/>
          <w:sz w:val="20"/>
        </w:rPr>
        <w:t>, az MNB honlapján közzétett</w:t>
      </w:r>
      <w:r w:rsidR="00375E75">
        <w:rPr>
          <w:rFonts w:ascii="Arial" w:hAnsi="Arial" w:cs="Arial"/>
          <w:sz w:val="20"/>
        </w:rPr>
        <w:t xml:space="preserve"> listára</w:t>
      </w:r>
      <w:r w:rsidRPr="00A61F3D">
        <w:rPr>
          <w:rFonts w:ascii="Arial" w:hAnsi="Arial" w:cs="Arial"/>
          <w:sz w:val="20"/>
        </w:rPr>
        <w:t>.</w:t>
      </w:r>
    </w:p>
    <w:p w14:paraId="249CBFED" w14:textId="77777777" w:rsidR="001902D9" w:rsidRPr="00A61F3D" w:rsidRDefault="001902D9" w:rsidP="001902D9">
      <w:pPr>
        <w:rPr>
          <w:rFonts w:ascii="Arial" w:hAnsi="Arial" w:cs="Arial"/>
          <w:sz w:val="20"/>
        </w:rPr>
      </w:pPr>
      <w:r w:rsidRPr="00A61F3D">
        <w:rPr>
          <w:rFonts w:ascii="Arial" w:hAnsi="Arial" w:cs="Arial"/>
          <w:sz w:val="20"/>
        </w:rPr>
        <w:t xml:space="preserve">Az adatszolgáltatásokban a </w:t>
      </w:r>
      <w:r>
        <w:rPr>
          <w:rFonts w:ascii="Arial" w:hAnsi="Arial" w:cs="Arial"/>
          <w:sz w:val="20"/>
        </w:rPr>
        <w:t>zártkörű pénzügyi közvetítők</w:t>
      </w:r>
      <w:r w:rsidRPr="00A61F3D">
        <w:rPr>
          <w:rFonts w:ascii="Arial" w:hAnsi="Arial" w:cs="Arial"/>
          <w:sz w:val="20"/>
        </w:rPr>
        <w:t xml:space="preserve"> szektor</w:t>
      </w:r>
      <w:r>
        <w:rPr>
          <w:rFonts w:ascii="Arial" w:hAnsi="Arial" w:cs="Arial"/>
          <w:sz w:val="20"/>
        </w:rPr>
        <w:t>á</w:t>
      </w:r>
      <w:r w:rsidRPr="00A61F3D">
        <w:rPr>
          <w:rFonts w:ascii="Arial" w:hAnsi="Arial" w:cs="Arial"/>
          <w:sz w:val="20"/>
        </w:rPr>
        <w:t xml:space="preserve">ba tartozó </w:t>
      </w:r>
      <w:r>
        <w:rPr>
          <w:rFonts w:ascii="Arial" w:hAnsi="Arial" w:cs="Arial"/>
          <w:sz w:val="20"/>
        </w:rPr>
        <w:t xml:space="preserve">gazdasági </w:t>
      </w:r>
      <w:r w:rsidRPr="00A61F3D">
        <w:rPr>
          <w:rFonts w:ascii="Arial" w:hAnsi="Arial" w:cs="Arial"/>
          <w:sz w:val="20"/>
        </w:rPr>
        <w:t xml:space="preserve">szervezeteket a következőképpen kell </w:t>
      </w:r>
      <w:r>
        <w:rPr>
          <w:rFonts w:ascii="Arial" w:hAnsi="Arial" w:cs="Arial"/>
          <w:sz w:val="20"/>
        </w:rPr>
        <w:t>jelenteni.</w:t>
      </w:r>
    </w:p>
    <w:p w14:paraId="2C7BA930" w14:textId="77777777" w:rsidR="001902D9" w:rsidRPr="00A61F3D" w:rsidRDefault="001902D9" w:rsidP="001902D9">
      <w:pPr>
        <w:rPr>
          <w:rFonts w:ascii="Arial" w:hAnsi="Arial" w:cs="Arial"/>
          <w:sz w:val="20"/>
        </w:rPr>
      </w:pPr>
      <w:r w:rsidRPr="00A61F3D">
        <w:rPr>
          <w:rFonts w:ascii="Arial" w:hAnsi="Arial" w:cs="Arial"/>
          <w:sz w:val="20"/>
        </w:rPr>
        <w:t xml:space="preserve">Amennyiben </w:t>
      </w:r>
      <w:r>
        <w:rPr>
          <w:rFonts w:ascii="Arial" w:hAnsi="Arial" w:cs="Arial"/>
          <w:sz w:val="20"/>
        </w:rPr>
        <w:t xml:space="preserve">az adatszolgáltatásban </w:t>
      </w:r>
      <w:r w:rsidRPr="00A61F3D">
        <w:rPr>
          <w:rFonts w:ascii="Arial" w:hAnsi="Arial" w:cs="Arial"/>
          <w:sz w:val="20"/>
        </w:rPr>
        <w:t xml:space="preserve">szektorkóddal kell azonosítani </w:t>
      </w:r>
      <w:r>
        <w:rPr>
          <w:rFonts w:ascii="Arial" w:hAnsi="Arial" w:cs="Arial"/>
          <w:sz w:val="20"/>
        </w:rPr>
        <w:t>az adott</w:t>
      </w:r>
      <w:r w:rsidRPr="00A61F3D">
        <w:rPr>
          <w:rFonts w:ascii="Arial" w:hAnsi="Arial" w:cs="Arial"/>
          <w:sz w:val="20"/>
        </w:rPr>
        <w:t xml:space="preserve"> </w:t>
      </w:r>
      <w:r>
        <w:rPr>
          <w:rFonts w:ascii="Arial" w:hAnsi="Arial" w:cs="Arial"/>
          <w:sz w:val="20"/>
        </w:rPr>
        <w:t xml:space="preserve">gazdasági </w:t>
      </w:r>
      <w:r w:rsidRPr="00A61F3D">
        <w:rPr>
          <w:rFonts w:ascii="Arial" w:hAnsi="Arial" w:cs="Arial"/>
          <w:sz w:val="20"/>
        </w:rPr>
        <w:t xml:space="preserve">szervezet szektorát, akkor a </w:t>
      </w:r>
      <w:r>
        <w:rPr>
          <w:rFonts w:ascii="Arial" w:hAnsi="Arial" w:cs="Arial"/>
          <w:sz w:val="20"/>
        </w:rPr>
        <w:t>„</w:t>
      </w:r>
      <w:r w:rsidRPr="00A61F3D">
        <w:rPr>
          <w:rFonts w:ascii="Arial" w:hAnsi="Arial" w:cs="Arial"/>
          <w:sz w:val="20"/>
        </w:rPr>
        <w:t>Z</w:t>
      </w:r>
      <w:r>
        <w:rPr>
          <w:rFonts w:ascii="Arial" w:hAnsi="Arial" w:cs="Arial"/>
          <w:sz w:val="20"/>
        </w:rPr>
        <w:t>”</w:t>
      </w:r>
      <w:r w:rsidRPr="00A61F3D">
        <w:rPr>
          <w:rFonts w:ascii="Arial" w:hAnsi="Arial" w:cs="Arial"/>
          <w:sz w:val="20"/>
        </w:rPr>
        <w:t xml:space="preserve"> szektorkódot kell használni. Egyéb esetben, az adatszolgáltatásban alkalmazott szektorbontástól függően a </w:t>
      </w:r>
      <w:r>
        <w:rPr>
          <w:rFonts w:ascii="Arial" w:hAnsi="Arial" w:cs="Arial"/>
          <w:sz w:val="20"/>
        </w:rPr>
        <w:t>P</w:t>
      </w:r>
      <w:r w:rsidRPr="00A61F3D">
        <w:rPr>
          <w:rFonts w:ascii="Arial" w:hAnsi="Arial" w:cs="Arial"/>
          <w:sz w:val="20"/>
        </w:rPr>
        <w:t>énzügyi váll</w:t>
      </w:r>
      <w:r>
        <w:rPr>
          <w:rFonts w:ascii="Arial" w:hAnsi="Arial" w:cs="Arial"/>
          <w:sz w:val="20"/>
        </w:rPr>
        <w:t>a</w:t>
      </w:r>
      <w:r w:rsidRPr="00A61F3D">
        <w:rPr>
          <w:rFonts w:ascii="Arial" w:hAnsi="Arial" w:cs="Arial"/>
          <w:sz w:val="20"/>
        </w:rPr>
        <w:t>latok</w:t>
      </w:r>
      <w:r>
        <w:rPr>
          <w:rFonts w:ascii="Arial" w:hAnsi="Arial" w:cs="Arial"/>
          <w:sz w:val="20"/>
        </w:rPr>
        <w:t xml:space="preserve"> vagy a</w:t>
      </w:r>
      <w:r w:rsidRPr="00A61F3D">
        <w:rPr>
          <w:rFonts w:ascii="Arial" w:hAnsi="Arial" w:cs="Arial"/>
          <w:sz w:val="20"/>
        </w:rPr>
        <w:t xml:space="preserve"> D) Egyéb pénzügyi közvetítők szektorában kell jelenteni</w:t>
      </w:r>
      <w:r>
        <w:rPr>
          <w:rFonts w:ascii="Arial" w:hAnsi="Arial" w:cs="Arial"/>
          <w:sz w:val="20"/>
        </w:rPr>
        <w:t xml:space="preserve"> a zártkörű pénzügyi közvetítőket</w:t>
      </w:r>
      <w:r w:rsidRPr="00A61F3D">
        <w:rPr>
          <w:rFonts w:ascii="Arial" w:hAnsi="Arial" w:cs="Arial"/>
          <w:sz w:val="20"/>
        </w:rPr>
        <w:t xml:space="preserve">. Ha </w:t>
      </w:r>
      <w:r>
        <w:rPr>
          <w:rFonts w:ascii="Arial" w:hAnsi="Arial" w:cs="Arial"/>
          <w:sz w:val="20"/>
        </w:rPr>
        <w:t>pedig a</w:t>
      </w:r>
      <w:r w:rsidRPr="00A61F3D">
        <w:rPr>
          <w:rFonts w:ascii="Arial" w:hAnsi="Arial" w:cs="Arial"/>
          <w:sz w:val="20"/>
        </w:rPr>
        <w:t xml:space="preserve"> D</w:t>
      </w:r>
      <w:r>
        <w:rPr>
          <w:rFonts w:ascii="Arial" w:hAnsi="Arial" w:cs="Arial"/>
          <w:sz w:val="20"/>
        </w:rPr>
        <w:t>) Egyéb pénzügyi közvetítők</w:t>
      </w:r>
      <w:r w:rsidRPr="00A61F3D">
        <w:rPr>
          <w:rFonts w:ascii="Arial" w:hAnsi="Arial" w:cs="Arial"/>
          <w:sz w:val="20"/>
        </w:rPr>
        <w:t xml:space="preserve"> szektor</w:t>
      </w:r>
      <w:r>
        <w:rPr>
          <w:rFonts w:ascii="Arial" w:hAnsi="Arial" w:cs="Arial"/>
          <w:sz w:val="20"/>
        </w:rPr>
        <w:t>á</w:t>
      </w:r>
      <w:r w:rsidRPr="00A61F3D">
        <w:rPr>
          <w:rFonts w:ascii="Arial" w:hAnsi="Arial" w:cs="Arial"/>
          <w:sz w:val="20"/>
        </w:rPr>
        <w:t>nak részletesebb bontása sz</w:t>
      </w:r>
      <w:r>
        <w:rPr>
          <w:rFonts w:ascii="Arial" w:hAnsi="Arial" w:cs="Arial"/>
          <w:sz w:val="20"/>
        </w:rPr>
        <w:t>ükséges</w:t>
      </w:r>
      <w:r w:rsidRPr="00A61F3D">
        <w:rPr>
          <w:rFonts w:ascii="Arial" w:hAnsi="Arial" w:cs="Arial"/>
          <w:sz w:val="20"/>
        </w:rPr>
        <w:t xml:space="preserve"> az adatszolgáltatásban, akkor a D-EPK alcsoportban kell a </w:t>
      </w:r>
      <w:r>
        <w:rPr>
          <w:rFonts w:ascii="Arial" w:hAnsi="Arial" w:cs="Arial"/>
          <w:sz w:val="20"/>
        </w:rPr>
        <w:t>zártkörű pénzügyi közvetítő</w:t>
      </w:r>
      <w:r w:rsidRPr="00A61F3D">
        <w:rPr>
          <w:rFonts w:ascii="Arial" w:hAnsi="Arial" w:cs="Arial"/>
          <w:sz w:val="20"/>
        </w:rPr>
        <w:t>ket jelenteni.</w:t>
      </w:r>
    </w:p>
    <w:p w14:paraId="4DA95D2B" w14:textId="77777777" w:rsidR="003C504C" w:rsidRPr="00A61F3D" w:rsidRDefault="003C504C">
      <w:pPr>
        <w:rPr>
          <w:rFonts w:ascii="Arial" w:hAnsi="Arial" w:cs="Arial"/>
          <w:sz w:val="20"/>
        </w:rPr>
      </w:pPr>
    </w:p>
    <w:p w14:paraId="75680FE3" w14:textId="45B675B3" w:rsidR="006805CF" w:rsidRPr="00A61F3D" w:rsidRDefault="0070314C" w:rsidP="00D3125B">
      <w:pPr>
        <w:widowControl w:val="0"/>
        <w:outlineLvl w:val="0"/>
        <w:rPr>
          <w:rFonts w:ascii="Arial" w:hAnsi="Arial" w:cs="Arial"/>
          <w:b/>
          <w:i/>
          <w:sz w:val="20"/>
        </w:rPr>
      </w:pPr>
      <w:r>
        <w:rPr>
          <w:rFonts w:ascii="Arial" w:hAnsi="Arial" w:cs="Arial"/>
          <w:b/>
          <w:sz w:val="20"/>
        </w:rPr>
        <w:t xml:space="preserve">I. A. </w:t>
      </w:r>
      <w:r w:rsidR="006805CF" w:rsidRPr="00A61F3D">
        <w:rPr>
          <w:rFonts w:ascii="Arial" w:hAnsi="Arial" w:cs="Arial"/>
          <w:b/>
          <w:sz w:val="20"/>
        </w:rPr>
        <w:t>5. A szektor meghatározásának módja</w:t>
      </w:r>
    </w:p>
    <w:p w14:paraId="120E107E" w14:textId="77777777" w:rsidR="00246BBE" w:rsidRDefault="00246BBE" w:rsidP="00D3125B">
      <w:pPr>
        <w:widowControl w:val="0"/>
        <w:rPr>
          <w:rFonts w:ascii="Arial" w:hAnsi="Arial" w:cs="Arial"/>
          <w:sz w:val="20"/>
        </w:rPr>
      </w:pPr>
    </w:p>
    <w:p w14:paraId="02679B81" w14:textId="6BB38EF6" w:rsidR="00246BBE" w:rsidRPr="00246BBE" w:rsidRDefault="0070314C" w:rsidP="00D3125B">
      <w:pPr>
        <w:widowControl w:val="0"/>
        <w:rPr>
          <w:rFonts w:ascii="Arial" w:hAnsi="Arial" w:cs="Arial"/>
          <w:sz w:val="20"/>
        </w:rPr>
      </w:pPr>
      <w:r>
        <w:rPr>
          <w:rFonts w:ascii="Arial" w:hAnsi="Arial" w:cs="Arial"/>
          <w:sz w:val="20"/>
        </w:rPr>
        <w:t xml:space="preserve">5.1. </w:t>
      </w:r>
      <w:r w:rsidR="00246BBE" w:rsidRPr="00246BBE">
        <w:rPr>
          <w:rFonts w:ascii="Arial" w:hAnsi="Arial" w:cs="Arial"/>
          <w:sz w:val="20"/>
        </w:rPr>
        <w:t>Az ügyf</w:t>
      </w:r>
      <w:r w:rsidR="000028C6">
        <w:rPr>
          <w:rFonts w:ascii="Arial" w:hAnsi="Arial" w:cs="Arial"/>
          <w:sz w:val="20"/>
        </w:rPr>
        <w:t>él</w:t>
      </w:r>
      <w:r w:rsidR="00246BBE" w:rsidRPr="00246BBE">
        <w:rPr>
          <w:rFonts w:ascii="Arial" w:hAnsi="Arial" w:cs="Arial"/>
          <w:sz w:val="20"/>
        </w:rPr>
        <w:t xml:space="preserve"> szektorának meghatározásában fontos szerepet játszik az ügyf</w:t>
      </w:r>
      <w:r w:rsidR="000028C6">
        <w:rPr>
          <w:rFonts w:ascii="Arial" w:hAnsi="Arial" w:cs="Arial"/>
          <w:sz w:val="20"/>
        </w:rPr>
        <w:t>él</w:t>
      </w:r>
      <w:r w:rsidR="00246BBE" w:rsidRPr="00246BBE">
        <w:rPr>
          <w:rFonts w:ascii="Arial" w:hAnsi="Arial" w:cs="Arial"/>
          <w:sz w:val="20"/>
        </w:rPr>
        <w:t xml:space="preserve"> statisztikai számjele. Az adatszolgáltató az intézményi ügyf</w:t>
      </w:r>
      <w:r w:rsidR="007B7309">
        <w:rPr>
          <w:rFonts w:ascii="Arial" w:hAnsi="Arial" w:cs="Arial"/>
          <w:sz w:val="20"/>
        </w:rPr>
        <w:t>eleit</w:t>
      </w:r>
      <w:r w:rsidR="00246BBE" w:rsidRPr="00246BBE">
        <w:rPr>
          <w:rFonts w:ascii="Arial" w:hAnsi="Arial" w:cs="Arial"/>
          <w:sz w:val="20"/>
        </w:rPr>
        <w:t xml:space="preserve">, partnereit a statisztikai számjelük alapján köteles nyilvántartani és azonosítani. Különösen fontos szerepet játszik az ügyfelek azonosításában a </w:t>
      </w:r>
      <w:r w:rsidR="00246BBE" w:rsidRPr="00246BBE">
        <w:rPr>
          <w:rFonts w:ascii="Arial" w:hAnsi="Arial" w:cs="Arial"/>
          <w:sz w:val="20"/>
        </w:rPr>
        <w:lastRenderedPageBreak/>
        <w:t>statisztikai számjel első nyolc karaktere, az ügyfél törzsszáma. A rezidens befektetési alapokat az MNB által közzétett technikai törzsszámmal (FB azonosító) kell azonosítani az adatszolgáltatások céljából.</w:t>
      </w:r>
    </w:p>
    <w:p w14:paraId="34366C6E" w14:textId="6BE21A85" w:rsidR="006805CF" w:rsidRPr="00A61F3D" w:rsidRDefault="00994396" w:rsidP="00D3125B">
      <w:pPr>
        <w:widowControl w:val="0"/>
        <w:spacing w:before="120"/>
        <w:rPr>
          <w:rFonts w:ascii="Arial" w:hAnsi="Arial" w:cs="Arial"/>
          <w:sz w:val="20"/>
        </w:rPr>
      </w:pPr>
      <w:r>
        <w:rPr>
          <w:rFonts w:ascii="Arial" w:hAnsi="Arial" w:cs="Arial"/>
          <w:sz w:val="20"/>
        </w:rPr>
        <w:t xml:space="preserve">5.2. </w:t>
      </w:r>
      <w:r w:rsidR="006805CF" w:rsidRPr="00A61F3D">
        <w:rPr>
          <w:rFonts w:ascii="Arial" w:hAnsi="Arial" w:cs="Arial"/>
          <w:sz w:val="20"/>
        </w:rPr>
        <w:t>Egy adott ügyfél megfelelő szektorát a következőképpen kell meghatározni:</w:t>
      </w:r>
    </w:p>
    <w:p w14:paraId="26EA8045" w14:textId="6B1769D1" w:rsidR="00AC13E5" w:rsidRPr="00A61F3D" w:rsidRDefault="006805CF">
      <w:pPr>
        <w:pStyle w:val="Szvegtrzs2"/>
        <w:spacing w:before="120"/>
        <w:rPr>
          <w:rFonts w:ascii="Arial" w:hAnsi="Arial" w:cs="Arial"/>
          <w:sz w:val="20"/>
        </w:rPr>
      </w:pPr>
      <w:r w:rsidRPr="00A61F3D">
        <w:rPr>
          <w:rFonts w:ascii="Arial" w:hAnsi="Arial" w:cs="Arial"/>
          <w:sz w:val="20"/>
        </w:rPr>
        <w:t>5.</w:t>
      </w:r>
      <w:r w:rsidR="002D5435">
        <w:rPr>
          <w:rFonts w:ascii="Arial" w:hAnsi="Arial" w:cs="Arial"/>
          <w:sz w:val="20"/>
        </w:rPr>
        <w:t>2.</w:t>
      </w:r>
      <w:r w:rsidRPr="00A61F3D">
        <w:rPr>
          <w:rFonts w:ascii="Arial" w:hAnsi="Arial" w:cs="Arial"/>
          <w:sz w:val="20"/>
        </w:rPr>
        <w:t xml:space="preserve">1. Meg kell vizsgálni, hogy az ügyfél rendelkezik-e statisztikai számjellel, illetve a befektetési alapok esetében </w:t>
      </w:r>
      <w:r w:rsidR="00334BCB" w:rsidRPr="00A61F3D">
        <w:rPr>
          <w:rFonts w:ascii="Arial" w:hAnsi="Arial" w:cs="Arial"/>
          <w:sz w:val="20"/>
        </w:rPr>
        <w:t xml:space="preserve">az </w:t>
      </w:r>
      <w:r w:rsidRPr="00A61F3D">
        <w:rPr>
          <w:rFonts w:ascii="Arial" w:hAnsi="Arial" w:cs="Arial"/>
          <w:sz w:val="20"/>
        </w:rPr>
        <w:t>MNB által adott technikai törzsszámmal</w:t>
      </w:r>
      <w:r w:rsidR="00195D30" w:rsidRPr="00A61F3D">
        <w:rPr>
          <w:rFonts w:ascii="Arial" w:hAnsi="Arial" w:cs="Arial"/>
          <w:sz w:val="20"/>
        </w:rPr>
        <w:t xml:space="preserve"> (FB azonosítóval)</w:t>
      </w:r>
      <w:r w:rsidRPr="00A61F3D">
        <w:rPr>
          <w:rFonts w:ascii="Arial" w:hAnsi="Arial" w:cs="Arial"/>
          <w:sz w:val="20"/>
        </w:rPr>
        <w:t>. Ha igen, akkor a</w:t>
      </w:r>
      <w:r w:rsidR="00F51E8B" w:rsidRPr="00A61F3D">
        <w:rPr>
          <w:rFonts w:ascii="Arial" w:hAnsi="Arial" w:cs="Arial"/>
          <w:sz w:val="20"/>
        </w:rPr>
        <w:t>z</w:t>
      </w:r>
      <w:r w:rsidRPr="00A61F3D">
        <w:rPr>
          <w:rFonts w:ascii="Arial" w:hAnsi="Arial" w:cs="Arial"/>
          <w:sz w:val="20"/>
        </w:rPr>
        <w:t xml:space="preserve"> 5.</w:t>
      </w:r>
      <w:r w:rsidR="002D5435">
        <w:rPr>
          <w:rFonts w:ascii="Arial" w:hAnsi="Arial" w:cs="Arial"/>
          <w:sz w:val="20"/>
        </w:rPr>
        <w:t>2</w:t>
      </w:r>
      <w:r w:rsidR="00E91E7B">
        <w:rPr>
          <w:rFonts w:ascii="Arial" w:hAnsi="Arial" w:cs="Arial"/>
          <w:sz w:val="20"/>
        </w:rPr>
        <w:t>.</w:t>
      </w:r>
      <w:r w:rsidRPr="00A61F3D">
        <w:rPr>
          <w:rFonts w:ascii="Arial" w:hAnsi="Arial" w:cs="Arial"/>
          <w:sz w:val="20"/>
        </w:rPr>
        <w:t>2. alpontban leírtakat kell követni, ha nem, akkor az 5.</w:t>
      </w:r>
      <w:r w:rsidR="002D5435">
        <w:rPr>
          <w:rFonts w:ascii="Arial" w:hAnsi="Arial" w:cs="Arial"/>
          <w:sz w:val="20"/>
        </w:rPr>
        <w:t>2.</w:t>
      </w:r>
      <w:r w:rsidRPr="00A61F3D">
        <w:rPr>
          <w:rFonts w:ascii="Arial" w:hAnsi="Arial" w:cs="Arial"/>
          <w:sz w:val="20"/>
        </w:rPr>
        <w:t>4. alpont előírásait.</w:t>
      </w:r>
    </w:p>
    <w:p w14:paraId="0D479569" w14:textId="7C436A63" w:rsidR="00AC13E5" w:rsidRPr="00A61F3D" w:rsidRDefault="006805CF">
      <w:pPr>
        <w:spacing w:before="120"/>
        <w:rPr>
          <w:rFonts w:ascii="Arial" w:hAnsi="Arial" w:cs="Arial"/>
          <w:sz w:val="20"/>
        </w:rPr>
      </w:pPr>
      <w:r w:rsidRPr="00A61F3D">
        <w:rPr>
          <w:rFonts w:ascii="Arial" w:hAnsi="Arial" w:cs="Arial"/>
          <w:sz w:val="20"/>
        </w:rPr>
        <w:t>5.</w:t>
      </w:r>
      <w:r w:rsidR="002D5435">
        <w:rPr>
          <w:rFonts w:ascii="Arial" w:hAnsi="Arial" w:cs="Arial"/>
          <w:sz w:val="20"/>
        </w:rPr>
        <w:t>2.</w:t>
      </w:r>
      <w:r w:rsidRPr="00A61F3D">
        <w:rPr>
          <w:rFonts w:ascii="Arial" w:hAnsi="Arial" w:cs="Arial"/>
          <w:sz w:val="20"/>
        </w:rPr>
        <w:t>2. Ha az ügyfél rendelkezik statisztikai számjellel, illetve MNB technikai törzsszámmal</w:t>
      </w:r>
      <w:r w:rsidR="00195D30" w:rsidRPr="00A61F3D">
        <w:rPr>
          <w:rFonts w:ascii="Arial" w:hAnsi="Arial" w:cs="Arial"/>
          <w:sz w:val="20"/>
        </w:rPr>
        <w:t xml:space="preserve"> (FB azonosítóval)</w:t>
      </w:r>
      <w:r w:rsidRPr="00A61F3D">
        <w:rPr>
          <w:rFonts w:ascii="Arial" w:hAnsi="Arial" w:cs="Arial"/>
          <w:sz w:val="20"/>
        </w:rPr>
        <w:t>, akkor meg kell vizsgálni, hogy szerepel-e az MNB által készített</w:t>
      </w:r>
      <w:r w:rsidR="00C713D6">
        <w:rPr>
          <w:rFonts w:ascii="Arial" w:hAnsi="Arial" w:cs="Arial"/>
          <w:sz w:val="20"/>
        </w:rPr>
        <w:t>,</w:t>
      </w:r>
      <w:r w:rsidRPr="00A61F3D">
        <w:rPr>
          <w:rFonts w:ascii="Arial" w:hAnsi="Arial" w:cs="Arial"/>
          <w:sz w:val="20"/>
        </w:rPr>
        <w:t xml:space="preserve"> </w:t>
      </w:r>
      <w:r w:rsidR="00375E75" w:rsidRPr="00375E75">
        <w:rPr>
          <w:rFonts w:ascii="Arial" w:hAnsi="Arial" w:cs="Arial"/>
          <w:sz w:val="20"/>
        </w:rPr>
        <w:t>a 3. melléklet 1. pontja szerinti, az MNB honlapján közzétett list</w:t>
      </w:r>
      <w:r w:rsidR="00C713D6">
        <w:rPr>
          <w:rFonts w:ascii="Arial" w:hAnsi="Arial" w:cs="Arial"/>
          <w:sz w:val="20"/>
        </w:rPr>
        <w:t>án</w:t>
      </w:r>
      <w:r w:rsidRPr="00A61F3D">
        <w:rPr>
          <w:rFonts w:ascii="Arial" w:hAnsi="Arial" w:cs="Arial"/>
          <w:sz w:val="20"/>
        </w:rPr>
        <w:t xml:space="preserve">. A </w:t>
      </w:r>
      <w:r w:rsidR="00246BBE">
        <w:rPr>
          <w:rFonts w:ascii="Arial" w:hAnsi="Arial" w:cs="Arial"/>
          <w:sz w:val="20"/>
        </w:rPr>
        <w:t xml:space="preserve">listán </w:t>
      </w:r>
      <w:r w:rsidRPr="00A61F3D">
        <w:rPr>
          <w:rFonts w:ascii="Arial" w:hAnsi="Arial" w:cs="Arial"/>
          <w:sz w:val="20"/>
        </w:rPr>
        <w:t xml:space="preserve">azok az intézmények szerepelnek, amelyek szektorbesorolásánál gazdálkodási forma </w:t>
      </w:r>
      <w:r w:rsidR="00334BCB" w:rsidRPr="00A61F3D">
        <w:rPr>
          <w:rFonts w:ascii="Arial" w:hAnsi="Arial" w:cs="Arial"/>
          <w:sz w:val="20"/>
        </w:rPr>
        <w:t xml:space="preserve">szerinti (GFO) </w:t>
      </w:r>
      <w:r w:rsidRPr="00A61F3D">
        <w:rPr>
          <w:rFonts w:ascii="Arial" w:hAnsi="Arial" w:cs="Arial"/>
          <w:sz w:val="20"/>
        </w:rPr>
        <w:t xml:space="preserve">kódjukat </w:t>
      </w:r>
      <w:r w:rsidR="00334BCB" w:rsidRPr="00A61F3D">
        <w:rPr>
          <w:rFonts w:ascii="Arial" w:hAnsi="Arial" w:cs="Arial"/>
          <w:sz w:val="20"/>
        </w:rPr>
        <w:t>(</w:t>
      </w:r>
      <w:r w:rsidRPr="00A61F3D">
        <w:rPr>
          <w:rFonts w:ascii="Arial" w:hAnsi="Arial" w:cs="Arial"/>
          <w:sz w:val="20"/>
        </w:rPr>
        <w:t>statisztikai számjel 13</w:t>
      </w:r>
      <w:r w:rsidR="008416B0">
        <w:rPr>
          <w:rFonts w:ascii="Arial" w:hAnsi="Arial" w:cs="Arial"/>
          <w:sz w:val="20"/>
        </w:rPr>
        <w:t>–</w:t>
      </w:r>
      <w:r w:rsidRPr="00A61F3D">
        <w:rPr>
          <w:rFonts w:ascii="Arial" w:hAnsi="Arial" w:cs="Arial"/>
          <w:sz w:val="20"/>
        </w:rPr>
        <w:t>15. számje</w:t>
      </w:r>
      <w:r w:rsidR="00334BCB" w:rsidRPr="00A61F3D">
        <w:rPr>
          <w:rFonts w:ascii="Arial" w:hAnsi="Arial" w:cs="Arial"/>
          <w:sz w:val="20"/>
        </w:rPr>
        <w:t>gyét)</w:t>
      </w:r>
      <w:r w:rsidRPr="00A61F3D">
        <w:rPr>
          <w:rFonts w:ascii="Arial" w:hAnsi="Arial" w:cs="Arial"/>
          <w:sz w:val="20"/>
        </w:rPr>
        <w:t xml:space="preserve"> nem kell felhasználni. Ha az ügyfél szerepel </w:t>
      </w:r>
      <w:r w:rsidR="000344DC">
        <w:rPr>
          <w:rFonts w:ascii="Arial" w:hAnsi="Arial" w:cs="Arial"/>
          <w:sz w:val="20"/>
        </w:rPr>
        <w:t>a</w:t>
      </w:r>
      <w:r w:rsidRPr="00A61F3D">
        <w:rPr>
          <w:rFonts w:ascii="Arial" w:hAnsi="Arial" w:cs="Arial"/>
          <w:sz w:val="20"/>
        </w:rPr>
        <w:t xml:space="preserve"> listán, akkor a lista alapján kell a megfelelő szektorba sorolni. Ha az ügyfél nem szerepel a </w:t>
      </w:r>
      <w:r w:rsidR="00246BBE">
        <w:rPr>
          <w:rFonts w:ascii="Arial" w:hAnsi="Arial" w:cs="Arial"/>
          <w:sz w:val="20"/>
        </w:rPr>
        <w:t>listán</w:t>
      </w:r>
      <w:r w:rsidRPr="00A61F3D">
        <w:rPr>
          <w:rFonts w:ascii="Arial" w:hAnsi="Arial" w:cs="Arial"/>
          <w:sz w:val="20"/>
        </w:rPr>
        <w:t>, akkor a</w:t>
      </w:r>
      <w:r w:rsidR="00F51E8B" w:rsidRPr="00A61F3D">
        <w:rPr>
          <w:rFonts w:ascii="Arial" w:hAnsi="Arial" w:cs="Arial"/>
          <w:sz w:val="20"/>
        </w:rPr>
        <w:t>z</w:t>
      </w:r>
      <w:r w:rsidRPr="00A61F3D">
        <w:rPr>
          <w:rFonts w:ascii="Arial" w:hAnsi="Arial" w:cs="Arial"/>
          <w:sz w:val="20"/>
        </w:rPr>
        <w:t xml:space="preserve"> 5.</w:t>
      </w:r>
      <w:r w:rsidR="009E5F50">
        <w:rPr>
          <w:rFonts w:ascii="Arial" w:hAnsi="Arial" w:cs="Arial"/>
          <w:sz w:val="20"/>
        </w:rPr>
        <w:t>2.</w:t>
      </w:r>
      <w:r w:rsidRPr="00A61F3D">
        <w:rPr>
          <w:rFonts w:ascii="Arial" w:hAnsi="Arial" w:cs="Arial"/>
          <w:sz w:val="20"/>
        </w:rPr>
        <w:t>3. alpont szerint kell eljárni.</w:t>
      </w:r>
    </w:p>
    <w:p w14:paraId="0E3B956B" w14:textId="09AEF9D4" w:rsidR="006805CF" w:rsidRPr="00A61F3D" w:rsidRDefault="006805CF" w:rsidP="00D3125B">
      <w:pPr>
        <w:spacing w:before="120"/>
        <w:rPr>
          <w:rFonts w:ascii="Arial" w:hAnsi="Arial" w:cs="Arial"/>
          <w:strike/>
          <w:sz w:val="20"/>
        </w:rPr>
      </w:pPr>
      <w:r w:rsidRPr="00A61F3D">
        <w:rPr>
          <w:rFonts w:ascii="Arial" w:hAnsi="Arial" w:cs="Arial"/>
          <w:sz w:val="20"/>
        </w:rPr>
        <w:t xml:space="preserve">Az MNB </w:t>
      </w:r>
      <w:r w:rsidR="009C22B3" w:rsidRPr="000621CA">
        <w:rPr>
          <w:rFonts w:ascii="Arial" w:hAnsi="Arial" w:cs="Arial"/>
          <w:sz w:val="20"/>
        </w:rPr>
        <w:t>teljes körű</w:t>
      </w:r>
      <w:r w:rsidR="009C22B3">
        <w:rPr>
          <w:rFonts w:ascii="Arial" w:hAnsi="Arial" w:cs="Arial"/>
          <w:sz w:val="20"/>
        </w:rPr>
        <w:t xml:space="preserve"> </w:t>
      </w:r>
      <w:r w:rsidRPr="00A61F3D">
        <w:rPr>
          <w:rFonts w:ascii="Arial" w:hAnsi="Arial" w:cs="Arial"/>
          <w:sz w:val="20"/>
        </w:rPr>
        <w:t>listát készít azokról a</w:t>
      </w:r>
      <w:r w:rsidR="008D2111">
        <w:rPr>
          <w:rFonts w:ascii="Arial" w:hAnsi="Arial" w:cs="Arial"/>
          <w:sz w:val="20"/>
        </w:rPr>
        <w:t xml:space="preserve"> gazdasági szervezetekről</w:t>
      </w:r>
      <w:r w:rsidRPr="00A61F3D">
        <w:rPr>
          <w:rFonts w:ascii="Arial" w:hAnsi="Arial" w:cs="Arial"/>
          <w:sz w:val="20"/>
        </w:rPr>
        <w:t>, amelyek a B) Központi bank, a C) Egyéb monetáris intézmények, a D) Egyéb pénzügyi közvetítők, az E) Pénzügyi kiegészítő tevékenységet végzők</w:t>
      </w:r>
      <w:r w:rsidR="00B52208" w:rsidRPr="00A61F3D">
        <w:rPr>
          <w:rFonts w:ascii="Arial" w:hAnsi="Arial" w:cs="Arial"/>
          <w:sz w:val="20"/>
        </w:rPr>
        <w:t>,</w:t>
      </w:r>
      <w:r w:rsidRPr="00A61F3D">
        <w:rPr>
          <w:rFonts w:ascii="Arial" w:hAnsi="Arial" w:cs="Arial"/>
          <w:sz w:val="20"/>
        </w:rPr>
        <w:t xml:space="preserve"> az F) Biztosítók és nyugdíjpénztárak</w:t>
      </w:r>
      <w:r w:rsidR="00B52208" w:rsidRPr="00A61F3D">
        <w:rPr>
          <w:rFonts w:ascii="Arial" w:hAnsi="Arial" w:cs="Arial"/>
          <w:sz w:val="20"/>
        </w:rPr>
        <w:t xml:space="preserve"> és a Z) Zártkörű pénzügyi közvetítők</w:t>
      </w:r>
      <w:r w:rsidRPr="00A61F3D">
        <w:rPr>
          <w:rFonts w:ascii="Arial" w:hAnsi="Arial" w:cs="Arial"/>
          <w:sz w:val="20"/>
        </w:rPr>
        <w:t xml:space="preserve"> szektorba tartoznak.</w:t>
      </w:r>
    </w:p>
    <w:p w14:paraId="1EDFED29" w14:textId="18B2F416" w:rsidR="006805CF" w:rsidRPr="00A61F3D" w:rsidRDefault="006805CF">
      <w:pPr>
        <w:rPr>
          <w:rFonts w:ascii="Arial" w:hAnsi="Arial" w:cs="Arial"/>
          <w:sz w:val="20"/>
        </w:rPr>
      </w:pPr>
      <w:r w:rsidRPr="00A61F3D">
        <w:rPr>
          <w:rFonts w:ascii="Arial" w:hAnsi="Arial" w:cs="Arial"/>
          <w:sz w:val="20"/>
        </w:rPr>
        <w:t xml:space="preserve">Ugyancsak </w:t>
      </w:r>
      <w:r w:rsidR="007C2ECE" w:rsidRPr="007C2ECE">
        <w:rPr>
          <w:rFonts w:ascii="Arial" w:hAnsi="Arial" w:cs="Arial"/>
          <w:sz w:val="20"/>
        </w:rPr>
        <w:t xml:space="preserve">a listán szerepelnek </w:t>
      </w:r>
      <w:r w:rsidR="009C22B3" w:rsidRPr="000621CA">
        <w:rPr>
          <w:rFonts w:ascii="Arial" w:hAnsi="Arial" w:cs="Arial"/>
          <w:sz w:val="20"/>
        </w:rPr>
        <w:t>olyan</w:t>
      </w:r>
      <w:r w:rsidR="009C22B3">
        <w:rPr>
          <w:rFonts w:ascii="Arial" w:hAnsi="Arial" w:cs="Arial"/>
          <w:sz w:val="20"/>
        </w:rPr>
        <w:t xml:space="preserve"> </w:t>
      </w:r>
      <w:r w:rsidR="007C2ECE">
        <w:rPr>
          <w:rFonts w:ascii="Arial" w:hAnsi="Arial" w:cs="Arial"/>
          <w:sz w:val="20"/>
        </w:rPr>
        <w:t>intézmények</w:t>
      </w:r>
      <w:r w:rsidR="009C22B3">
        <w:rPr>
          <w:rFonts w:ascii="Arial" w:hAnsi="Arial" w:cs="Arial"/>
          <w:sz w:val="20"/>
        </w:rPr>
        <w:t xml:space="preserve"> </w:t>
      </w:r>
      <w:r w:rsidR="009C22B3" w:rsidRPr="000621CA">
        <w:rPr>
          <w:rFonts w:ascii="Arial" w:hAnsi="Arial" w:cs="Arial"/>
          <w:sz w:val="20"/>
        </w:rPr>
        <w:t>is</w:t>
      </w:r>
      <w:r w:rsidRPr="000621CA">
        <w:rPr>
          <w:rFonts w:ascii="Arial" w:hAnsi="Arial" w:cs="Arial"/>
          <w:sz w:val="20"/>
        </w:rPr>
        <w:t>,</w:t>
      </w:r>
      <w:r w:rsidRPr="00A61F3D">
        <w:rPr>
          <w:rFonts w:ascii="Arial" w:hAnsi="Arial" w:cs="Arial"/>
          <w:sz w:val="20"/>
        </w:rPr>
        <w:t xml:space="preserve"> amelyeket az A) Nem pénzügyi vállalatok, a G) Központi kormányzat</w:t>
      </w:r>
      <w:r w:rsidR="002135A1">
        <w:rPr>
          <w:rFonts w:ascii="Arial" w:hAnsi="Arial" w:cs="Arial"/>
          <w:sz w:val="20"/>
        </w:rPr>
        <w:t>,</w:t>
      </w:r>
      <w:r w:rsidRPr="00A61F3D">
        <w:rPr>
          <w:rFonts w:ascii="Arial" w:hAnsi="Arial" w:cs="Arial"/>
          <w:sz w:val="20"/>
        </w:rPr>
        <w:t xml:space="preserve"> </w:t>
      </w:r>
      <w:r w:rsidR="002135A1">
        <w:rPr>
          <w:rFonts w:ascii="Arial" w:hAnsi="Arial" w:cs="Arial"/>
          <w:sz w:val="20"/>
        </w:rPr>
        <w:t xml:space="preserve">a </w:t>
      </w:r>
      <w:r w:rsidRPr="00A61F3D">
        <w:rPr>
          <w:rFonts w:ascii="Arial" w:hAnsi="Arial" w:cs="Arial"/>
          <w:sz w:val="20"/>
        </w:rPr>
        <w:t>H) Helyi önkormányzatok</w:t>
      </w:r>
      <w:r w:rsidR="007C2ECE">
        <w:rPr>
          <w:rFonts w:ascii="Arial" w:hAnsi="Arial" w:cs="Arial"/>
          <w:sz w:val="20"/>
        </w:rPr>
        <w:t xml:space="preserve"> </w:t>
      </w:r>
      <w:r w:rsidR="007C2ECE" w:rsidRPr="007C2ECE">
        <w:rPr>
          <w:rFonts w:ascii="Arial" w:hAnsi="Arial" w:cs="Arial"/>
          <w:sz w:val="20"/>
        </w:rPr>
        <w:t xml:space="preserve">vagy </w:t>
      </w:r>
      <w:r w:rsidR="002135A1">
        <w:rPr>
          <w:rFonts w:ascii="Arial" w:hAnsi="Arial" w:cs="Arial"/>
          <w:sz w:val="20"/>
        </w:rPr>
        <w:t xml:space="preserve">a </w:t>
      </w:r>
      <w:r w:rsidR="007C2ECE" w:rsidRPr="007C2ECE">
        <w:rPr>
          <w:rFonts w:ascii="Arial" w:hAnsi="Arial" w:cs="Arial"/>
          <w:sz w:val="20"/>
        </w:rPr>
        <w:t>J) Háztartások</w:t>
      </w:r>
      <w:r w:rsidRPr="00A61F3D">
        <w:rPr>
          <w:rFonts w:ascii="Arial" w:hAnsi="Arial" w:cs="Arial"/>
          <w:sz w:val="20"/>
        </w:rPr>
        <w:t xml:space="preserve"> szektorba kell besorolni.</w:t>
      </w:r>
    </w:p>
    <w:p w14:paraId="3C08370C" w14:textId="361E7194" w:rsidR="004E473C" w:rsidRPr="004E473C" w:rsidRDefault="007C2ECE" w:rsidP="004E473C">
      <w:pPr>
        <w:rPr>
          <w:rFonts w:ascii="Arial" w:hAnsi="Arial" w:cs="Arial"/>
          <w:sz w:val="20"/>
        </w:rPr>
      </w:pPr>
      <w:r w:rsidRPr="007C2ECE">
        <w:rPr>
          <w:rFonts w:ascii="Arial" w:hAnsi="Arial" w:cs="Arial"/>
          <w:sz w:val="20"/>
        </w:rPr>
        <w:t xml:space="preserve">A listán </w:t>
      </w:r>
      <w:r w:rsidR="009E5F50">
        <w:rPr>
          <w:rFonts w:ascii="Arial" w:hAnsi="Arial" w:cs="Arial"/>
          <w:sz w:val="20"/>
        </w:rPr>
        <w:t>szerepelhetnek</w:t>
      </w:r>
      <w:r w:rsidRPr="007C2ECE">
        <w:rPr>
          <w:rFonts w:ascii="Arial" w:hAnsi="Arial" w:cs="Arial"/>
          <w:sz w:val="20"/>
        </w:rPr>
        <w:t xml:space="preserve"> olyan szervezetek</w:t>
      </w:r>
      <w:r w:rsidRPr="007C2ECE" w:rsidDel="007C2ECE">
        <w:rPr>
          <w:rFonts w:ascii="Arial" w:hAnsi="Arial" w:cs="Arial"/>
          <w:sz w:val="20"/>
        </w:rPr>
        <w:t xml:space="preserve"> </w:t>
      </w:r>
      <w:r>
        <w:rPr>
          <w:rFonts w:ascii="Arial" w:hAnsi="Arial" w:cs="Arial"/>
          <w:sz w:val="20"/>
        </w:rPr>
        <w:t>is</w:t>
      </w:r>
      <w:r w:rsidR="006805CF" w:rsidRPr="00A61F3D">
        <w:rPr>
          <w:rFonts w:ascii="Arial" w:hAnsi="Arial" w:cs="Arial"/>
          <w:sz w:val="20"/>
        </w:rPr>
        <w:t>,</w:t>
      </w:r>
      <w:r w:rsidRPr="007C2ECE">
        <w:rPr>
          <w:rFonts w:ascii="Arial" w:hAnsi="Arial" w:cs="Arial"/>
          <w:sz w:val="20"/>
        </w:rPr>
        <w:t xml:space="preserve"> amelyek önmagukban nem rendelkeznek azokkal a tulajdonságokkal, mint az</w:t>
      </w:r>
      <w:r>
        <w:rPr>
          <w:rFonts w:ascii="Arial" w:hAnsi="Arial" w:cs="Arial"/>
          <w:sz w:val="20"/>
        </w:rPr>
        <w:t xml:space="preserve"> </w:t>
      </w:r>
      <w:r w:rsidR="006805CF" w:rsidRPr="00A61F3D">
        <w:rPr>
          <w:rFonts w:ascii="Arial" w:hAnsi="Arial" w:cs="Arial"/>
          <w:sz w:val="20"/>
        </w:rPr>
        <w:t xml:space="preserve">a </w:t>
      </w:r>
      <w:r w:rsidRPr="007C2ECE">
        <w:rPr>
          <w:rFonts w:ascii="Arial" w:hAnsi="Arial" w:cs="Arial"/>
          <w:sz w:val="20"/>
        </w:rPr>
        <w:t>csoport, ahova</w:t>
      </w:r>
      <w:r w:rsidR="006805CF" w:rsidRPr="00A61F3D">
        <w:rPr>
          <w:rFonts w:ascii="Arial" w:hAnsi="Arial" w:cs="Arial"/>
          <w:sz w:val="20"/>
        </w:rPr>
        <w:t xml:space="preserve"> sorolni</w:t>
      </w:r>
      <w:r>
        <w:rPr>
          <w:rFonts w:ascii="Arial" w:hAnsi="Arial" w:cs="Arial"/>
          <w:sz w:val="20"/>
        </w:rPr>
        <w:t xml:space="preserve"> kell </w:t>
      </w:r>
      <w:r w:rsidR="004E473C" w:rsidRPr="004E473C">
        <w:rPr>
          <w:rFonts w:ascii="Arial" w:hAnsi="Arial" w:cs="Arial"/>
          <w:sz w:val="20"/>
        </w:rPr>
        <w:t xml:space="preserve">őket, viszont statisztikai szempontból mégis </w:t>
      </w:r>
      <w:r w:rsidR="004E473C" w:rsidRPr="004F671E">
        <w:rPr>
          <w:rFonts w:ascii="Arial" w:hAnsi="Arial" w:cs="Arial"/>
          <w:sz w:val="20"/>
        </w:rPr>
        <w:t>az adott csoportba sorol</w:t>
      </w:r>
      <w:r w:rsidR="009E5F50" w:rsidRPr="004F671E">
        <w:rPr>
          <w:rFonts w:ascii="Arial" w:hAnsi="Arial" w:cs="Arial"/>
          <w:sz w:val="20"/>
        </w:rPr>
        <w:t>andók</w:t>
      </w:r>
      <w:r w:rsidR="004E473C" w:rsidRPr="004F671E">
        <w:rPr>
          <w:rFonts w:ascii="Arial" w:hAnsi="Arial" w:cs="Arial"/>
          <w:sz w:val="20"/>
        </w:rPr>
        <w:t xml:space="preserve"> (statisztikai értelemben konszolidálanó leányvállalatok).</w:t>
      </w:r>
      <w:r w:rsidR="00266CD8" w:rsidRPr="004F671E">
        <w:rPr>
          <w:rFonts w:ascii="Arial" w:hAnsi="Arial" w:cs="Arial"/>
          <w:sz w:val="20"/>
        </w:rPr>
        <w:t xml:space="preserve"> A D3)  Befektetési alapok a pénzpiaci alapok kivételével alcsoportban szereplő konszolidálandó leányvállalatok csak az érintett befektetési alapokba konszolidálva tekintendők pénzügyi vállalatoknak, önálló szervezetként a tevékenységük nem pénzügyi tevékenység.</w:t>
      </w:r>
    </w:p>
    <w:p w14:paraId="0D6A1F64" w14:textId="706B9E2C" w:rsidR="00667E2E" w:rsidRPr="00686DAB" w:rsidRDefault="006805CF" w:rsidP="00D3125B">
      <w:pPr>
        <w:spacing w:before="120"/>
        <w:rPr>
          <w:rFonts w:ascii="Arial" w:hAnsi="Arial" w:cs="Arial"/>
          <w:sz w:val="20"/>
        </w:rPr>
      </w:pPr>
      <w:r w:rsidRPr="00A61F3D">
        <w:rPr>
          <w:rFonts w:ascii="Arial" w:hAnsi="Arial" w:cs="Arial"/>
          <w:sz w:val="20"/>
        </w:rPr>
        <w:t xml:space="preserve">A fentiekben említett, </w:t>
      </w:r>
      <w:r w:rsidR="00F51E8B" w:rsidRPr="00A61F3D">
        <w:rPr>
          <w:rFonts w:ascii="Arial" w:hAnsi="Arial" w:cs="Arial"/>
          <w:sz w:val="20"/>
        </w:rPr>
        <w:t>a</w:t>
      </w:r>
      <w:r w:rsidRPr="00A61F3D">
        <w:rPr>
          <w:rFonts w:ascii="Arial" w:hAnsi="Arial" w:cs="Arial"/>
          <w:sz w:val="20"/>
        </w:rPr>
        <w:t xml:space="preserve"> 3. melléklet 1. pontja szerinti </w:t>
      </w:r>
      <w:r w:rsidR="004E473C" w:rsidRPr="004E473C">
        <w:rPr>
          <w:rFonts w:ascii="Arial" w:hAnsi="Arial" w:cs="Arial"/>
          <w:sz w:val="20"/>
        </w:rPr>
        <w:t xml:space="preserve">lista tartalmazza </w:t>
      </w:r>
      <w:r w:rsidRPr="00A61F3D">
        <w:rPr>
          <w:rFonts w:ascii="Arial" w:hAnsi="Arial" w:cs="Arial"/>
          <w:sz w:val="20"/>
        </w:rPr>
        <w:t xml:space="preserve">az érintett szervezetek nevét, törzsszámát (a statisztikai számjel első </w:t>
      </w:r>
      <w:r w:rsidR="005071F1" w:rsidRPr="00A61F3D">
        <w:rPr>
          <w:rFonts w:ascii="Arial" w:hAnsi="Arial" w:cs="Arial"/>
          <w:sz w:val="20"/>
        </w:rPr>
        <w:t>8</w:t>
      </w:r>
      <w:r w:rsidRPr="00A61F3D">
        <w:rPr>
          <w:rFonts w:ascii="Arial" w:hAnsi="Arial" w:cs="Arial"/>
          <w:sz w:val="20"/>
        </w:rPr>
        <w:t xml:space="preserve"> számjegyét) és a megfelelő szektorbesorolást. A </w:t>
      </w:r>
      <w:r w:rsidR="004E473C">
        <w:rPr>
          <w:rFonts w:ascii="Arial" w:hAnsi="Arial" w:cs="Arial"/>
          <w:sz w:val="20"/>
        </w:rPr>
        <w:t>listát</w:t>
      </w:r>
      <w:r w:rsidRPr="00A61F3D">
        <w:rPr>
          <w:rFonts w:ascii="Arial" w:hAnsi="Arial" w:cs="Arial"/>
          <w:sz w:val="20"/>
        </w:rPr>
        <w:t xml:space="preserve"> az MNB egy </w:t>
      </w:r>
      <w:r w:rsidR="004E473C" w:rsidRPr="004E473C">
        <w:rPr>
          <w:rFonts w:ascii="Arial" w:hAnsi="Arial" w:cs="Arial"/>
          <w:sz w:val="20"/>
        </w:rPr>
        <w:t>Excel fájlban</w:t>
      </w:r>
      <w:r w:rsidR="00262082">
        <w:rPr>
          <w:rFonts w:ascii="Arial" w:hAnsi="Arial" w:cs="Arial"/>
          <w:sz w:val="20"/>
        </w:rPr>
        <w:t>,</w:t>
      </w:r>
      <w:r w:rsidRPr="00A61F3D">
        <w:rPr>
          <w:rFonts w:ascii="Arial" w:hAnsi="Arial" w:cs="Arial"/>
          <w:sz w:val="20"/>
        </w:rPr>
        <w:t xml:space="preserve"> </w:t>
      </w:r>
      <w:r w:rsidR="00C85CC8" w:rsidRPr="00A61F3D">
        <w:rPr>
          <w:rFonts w:ascii="Arial" w:hAnsi="Arial" w:cs="Arial"/>
          <w:sz w:val="20"/>
        </w:rPr>
        <w:t>a honlapján teszi közzé.</w:t>
      </w:r>
      <w:r w:rsidRPr="00A61F3D">
        <w:rPr>
          <w:rFonts w:ascii="Arial" w:hAnsi="Arial" w:cs="Arial"/>
          <w:sz w:val="20"/>
        </w:rPr>
        <w:t xml:space="preserve"> A fájlt az MNB havonta, a hónap utolsó előtti munkanapján frissíti, és </w:t>
      </w:r>
      <w:r w:rsidR="009102AD" w:rsidRPr="00A61F3D">
        <w:rPr>
          <w:rFonts w:ascii="Arial" w:hAnsi="Arial" w:cs="Arial"/>
          <w:sz w:val="20"/>
        </w:rPr>
        <w:t xml:space="preserve">főszabály szerint </w:t>
      </w:r>
      <w:r w:rsidRPr="00A61F3D">
        <w:rPr>
          <w:rFonts w:ascii="Arial" w:hAnsi="Arial" w:cs="Arial"/>
          <w:sz w:val="20"/>
        </w:rPr>
        <w:t>ezt kell alkalmazni valamennyi, a frissítést követő hónapban beküldendő adatszolgáltatás elkészítéséhez.</w:t>
      </w:r>
      <w:r w:rsidR="00BA41D7" w:rsidRPr="00A61F3D">
        <w:rPr>
          <w:rFonts w:ascii="Arial" w:hAnsi="Arial" w:cs="Arial"/>
          <w:sz w:val="20"/>
        </w:rPr>
        <w:t xml:space="preserve"> </w:t>
      </w:r>
      <w:r w:rsidR="00BA41D7" w:rsidRPr="00A61F3D">
        <w:rPr>
          <w:rStyle w:val="Jegyzethivatkozs"/>
          <w:rFonts w:ascii="Arial" w:hAnsi="Arial" w:cs="Arial"/>
          <w:sz w:val="20"/>
        </w:rPr>
        <w:t xml:space="preserve">Amennyiben a hónap utolsó munkanapjára vonatkozóan jelentős </w:t>
      </w:r>
      <w:r w:rsidR="00BA41D7" w:rsidRPr="00686DAB">
        <w:rPr>
          <w:rStyle w:val="Jegyzethivatkozs"/>
          <w:rFonts w:ascii="Arial" w:hAnsi="Arial" w:cs="Arial"/>
          <w:sz w:val="20"/>
        </w:rPr>
        <w:t xml:space="preserve">változás történik a fájl publikálását követően, a </w:t>
      </w:r>
      <w:r w:rsidR="001A5BA7" w:rsidRPr="00686DAB">
        <w:rPr>
          <w:rStyle w:val="Jegyzethivatkozs"/>
          <w:rFonts w:ascii="Arial" w:hAnsi="Arial" w:cs="Arial"/>
          <w:sz w:val="20"/>
        </w:rPr>
        <w:t>listát</w:t>
      </w:r>
      <w:r w:rsidR="00BA41D7" w:rsidRPr="00686DAB">
        <w:rPr>
          <w:rStyle w:val="Jegyzethivatkozs"/>
          <w:rFonts w:ascii="Arial" w:hAnsi="Arial" w:cs="Arial"/>
          <w:sz w:val="20"/>
        </w:rPr>
        <w:t xml:space="preserve"> az MNB</w:t>
      </w:r>
      <w:r w:rsidR="009102AD" w:rsidRPr="00686DAB">
        <w:rPr>
          <w:rStyle w:val="Jegyzethivatkozs"/>
          <w:rFonts w:ascii="Arial" w:hAnsi="Arial" w:cs="Arial"/>
          <w:sz w:val="20"/>
        </w:rPr>
        <w:t xml:space="preserve"> – az adatszolgáltatók értesítése mellett</w:t>
      </w:r>
      <w:r w:rsidR="00BA41D7" w:rsidRPr="00686DAB">
        <w:rPr>
          <w:rStyle w:val="Jegyzethivatkozs"/>
          <w:rFonts w:ascii="Arial" w:hAnsi="Arial" w:cs="Arial"/>
          <w:sz w:val="20"/>
        </w:rPr>
        <w:t xml:space="preserve"> </w:t>
      </w:r>
      <w:r w:rsidR="009102AD" w:rsidRPr="00686DAB">
        <w:rPr>
          <w:rStyle w:val="Jegyzethivatkozs"/>
          <w:rFonts w:ascii="Arial" w:hAnsi="Arial" w:cs="Arial"/>
          <w:sz w:val="20"/>
        </w:rPr>
        <w:t xml:space="preserve">– legkésőbb a következő hónap első munkanapján </w:t>
      </w:r>
      <w:r w:rsidR="00BA41D7" w:rsidRPr="00686DAB">
        <w:rPr>
          <w:rStyle w:val="Jegyzethivatkozs"/>
          <w:rFonts w:ascii="Arial" w:hAnsi="Arial" w:cs="Arial"/>
          <w:sz w:val="20"/>
        </w:rPr>
        <w:t>frissíti és újraközli. Ebben az esetben ez a lista tekintendő a szervezeti besorolások hó végére érvényes állapotának</w:t>
      </w:r>
      <w:r w:rsidR="00404EB8" w:rsidRPr="00686DAB">
        <w:rPr>
          <w:rStyle w:val="Jegyzethivatkozs"/>
          <w:rFonts w:ascii="Arial" w:hAnsi="Arial" w:cs="Arial"/>
          <w:sz w:val="20"/>
        </w:rPr>
        <w:t>.</w:t>
      </w:r>
      <w:r w:rsidR="00404EB8" w:rsidRPr="00686DAB">
        <w:rPr>
          <w:rFonts w:ascii="Arial" w:hAnsi="Arial" w:cs="Arial"/>
          <w:sz w:val="20"/>
        </w:rPr>
        <w:t xml:space="preserve"> Az adatszolgáltatások összeállításakor az adatszolgáltatás </w:t>
      </w:r>
      <w:r w:rsidR="009E5F50" w:rsidRPr="00686DAB">
        <w:rPr>
          <w:rFonts w:ascii="Arial" w:hAnsi="Arial" w:cs="Arial"/>
          <w:sz w:val="20"/>
        </w:rPr>
        <w:t>tárgyidőszakában</w:t>
      </w:r>
      <w:r w:rsidR="00404EB8" w:rsidRPr="00686DAB">
        <w:rPr>
          <w:rFonts w:ascii="Arial" w:hAnsi="Arial" w:cs="Arial"/>
          <w:sz w:val="20"/>
        </w:rPr>
        <w:t xml:space="preserve"> érvényes legutolsó listát kell figyelembe venni. Az aktuális és a visszamenőleges hóvégi listák elérhet</w:t>
      </w:r>
      <w:r w:rsidR="00B70B52" w:rsidRPr="00686DAB">
        <w:rPr>
          <w:rFonts w:ascii="Arial" w:hAnsi="Arial" w:cs="Arial"/>
          <w:sz w:val="20"/>
        </w:rPr>
        <w:t>ősége:</w:t>
      </w:r>
      <w:r w:rsidR="00404EB8" w:rsidRPr="00686DAB">
        <w:rPr>
          <w:rFonts w:ascii="Arial" w:hAnsi="Arial" w:cs="Arial"/>
          <w:sz w:val="20"/>
        </w:rPr>
        <w:t xml:space="preserve">  </w:t>
      </w:r>
    </w:p>
    <w:p w14:paraId="1166E626" w14:textId="3FB7ED19" w:rsidR="00667E2E" w:rsidRPr="00686DAB" w:rsidRDefault="00D3125B">
      <w:pPr>
        <w:rPr>
          <w:rFonts w:ascii="Arial" w:hAnsi="Arial" w:cs="Arial"/>
          <w:sz w:val="20"/>
        </w:rPr>
      </w:pPr>
      <w:hyperlink r:id="rId11" w:history="1">
        <w:r w:rsidR="00667E2E" w:rsidRPr="00686DAB">
          <w:rPr>
            <w:rStyle w:val="Hiperhivatkozs"/>
            <w:rFonts w:ascii="Arial" w:hAnsi="Arial" w:cs="Arial"/>
            <w:sz w:val="20"/>
          </w:rPr>
          <w:t>https://aszp.mnb.hu/nyito/adatszolgaltatasi-eloirasok/szektormeghatarozast-segito-informaciok</w:t>
        </w:r>
      </w:hyperlink>
    </w:p>
    <w:p w14:paraId="29BB3120" w14:textId="6D52D179" w:rsidR="00AC13E5" w:rsidRPr="00686DAB" w:rsidRDefault="006805CF">
      <w:pPr>
        <w:spacing w:before="120"/>
        <w:rPr>
          <w:rFonts w:ascii="Arial" w:hAnsi="Arial" w:cs="Arial"/>
          <w:sz w:val="20"/>
        </w:rPr>
      </w:pPr>
      <w:r w:rsidRPr="00686DAB">
        <w:rPr>
          <w:rFonts w:ascii="Arial" w:hAnsi="Arial" w:cs="Arial"/>
          <w:sz w:val="20"/>
        </w:rPr>
        <w:t>5.</w:t>
      </w:r>
      <w:r w:rsidR="00B70B52" w:rsidRPr="00686DAB">
        <w:rPr>
          <w:rFonts w:ascii="Arial" w:hAnsi="Arial" w:cs="Arial"/>
          <w:sz w:val="20"/>
        </w:rPr>
        <w:t>2.</w:t>
      </w:r>
      <w:r w:rsidRPr="00686DAB">
        <w:rPr>
          <w:rFonts w:ascii="Arial" w:hAnsi="Arial" w:cs="Arial"/>
          <w:sz w:val="20"/>
        </w:rPr>
        <w:t>3. Ha az ügyfél rendelkezik statisztikai számjellel</w:t>
      </w:r>
      <w:r w:rsidR="005071F1" w:rsidRPr="00686DAB">
        <w:rPr>
          <w:rFonts w:ascii="Arial" w:hAnsi="Arial" w:cs="Arial"/>
          <w:sz w:val="20"/>
        </w:rPr>
        <w:t>,</w:t>
      </w:r>
      <w:r w:rsidRPr="00686DAB">
        <w:rPr>
          <w:rFonts w:ascii="Arial" w:hAnsi="Arial" w:cs="Arial"/>
          <w:sz w:val="20"/>
        </w:rPr>
        <w:t xml:space="preserve"> és nincs </w:t>
      </w:r>
      <w:r w:rsidR="00375E75" w:rsidRPr="00686DAB">
        <w:rPr>
          <w:rFonts w:ascii="Arial" w:hAnsi="Arial" w:cs="Arial"/>
          <w:sz w:val="20"/>
        </w:rPr>
        <w:t>a listán</w:t>
      </w:r>
      <w:r w:rsidRPr="00686DAB">
        <w:rPr>
          <w:rFonts w:ascii="Arial" w:hAnsi="Arial" w:cs="Arial"/>
          <w:sz w:val="20"/>
        </w:rPr>
        <w:t>, akkor a statisztikai számjele alapján a</w:t>
      </w:r>
      <w:r w:rsidR="00DD622A" w:rsidRPr="00686DAB">
        <w:rPr>
          <w:rFonts w:ascii="Arial" w:hAnsi="Arial" w:cs="Arial"/>
          <w:sz w:val="20"/>
        </w:rPr>
        <w:t>z</w:t>
      </w:r>
      <w:r w:rsidRPr="00686DAB">
        <w:rPr>
          <w:rFonts w:ascii="Arial" w:hAnsi="Arial" w:cs="Arial"/>
          <w:sz w:val="20"/>
        </w:rPr>
        <w:t xml:space="preserve"> I.</w:t>
      </w:r>
      <w:r w:rsidR="005071F1" w:rsidRPr="00686DAB">
        <w:rPr>
          <w:rFonts w:ascii="Arial" w:hAnsi="Arial" w:cs="Arial"/>
          <w:sz w:val="20"/>
        </w:rPr>
        <w:t xml:space="preserve"> </w:t>
      </w:r>
      <w:r w:rsidRPr="00686DAB">
        <w:rPr>
          <w:rFonts w:ascii="Arial" w:hAnsi="Arial" w:cs="Arial"/>
          <w:sz w:val="20"/>
        </w:rPr>
        <w:t>A.</w:t>
      </w:r>
      <w:r w:rsidR="005071F1" w:rsidRPr="00686DAB">
        <w:rPr>
          <w:rFonts w:ascii="Arial" w:hAnsi="Arial" w:cs="Arial"/>
          <w:sz w:val="20"/>
        </w:rPr>
        <w:t xml:space="preserve"> </w:t>
      </w:r>
      <w:r w:rsidRPr="00686DAB">
        <w:rPr>
          <w:rFonts w:ascii="Arial" w:hAnsi="Arial" w:cs="Arial"/>
          <w:sz w:val="20"/>
        </w:rPr>
        <w:t>6. pontban leírt algoritmus alapján kell a megfelelő szektorba sorolni. Ha az algoritmus alapján nem lehet szektorba sorolni, akkor a</w:t>
      </w:r>
      <w:r w:rsidR="00D87E12" w:rsidRPr="00686DAB">
        <w:rPr>
          <w:rFonts w:ascii="Arial" w:hAnsi="Arial" w:cs="Arial"/>
          <w:sz w:val="20"/>
        </w:rPr>
        <w:t>z</w:t>
      </w:r>
      <w:r w:rsidRPr="00686DAB">
        <w:rPr>
          <w:rFonts w:ascii="Arial" w:hAnsi="Arial" w:cs="Arial"/>
          <w:sz w:val="20"/>
        </w:rPr>
        <w:t xml:space="preserve"> 5.</w:t>
      </w:r>
      <w:r w:rsidR="00B70B52" w:rsidRPr="00686DAB">
        <w:rPr>
          <w:rFonts w:ascii="Arial" w:hAnsi="Arial" w:cs="Arial"/>
          <w:sz w:val="20"/>
        </w:rPr>
        <w:t>2.</w:t>
      </w:r>
      <w:r w:rsidRPr="00686DAB">
        <w:rPr>
          <w:rFonts w:ascii="Arial" w:hAnsi="Arial" w:cs="Arial"/>
          <w:sz w:val="20"/>
        </w:rPr>
        <w:t>4. alpontban leírtakat kell követni.</w:t>
      </w:r>
    </w:p>
    <w:p w14:paraId="0D585638" w14:textId="033FD8E2" w:rsidR="00AC13E5" w:rsidRDefault="006805CF">
      <w:pPr>
        <w:spacing w:before="120"/>
        <w:rPr>
          <w:rFonts w:ascii="Arial" w:hAnsi="Arial" w:cs="Arial"/>
          <w:sz w:val="20"/>
        </w:rPr>
      </w:pPr>
      <w:r w:rsidRPr="00686DAB">
        <w:rPr>
          <w:rFonts w:ascii="Arial" w:hAnsi="Arial" w:cs="Arial"/>
          <w:sz w:val="20"/>
        </w:rPr>
        <w:t>5.</w:t>
      </w:r>
      <w:r w:rsidR="00B70B52" w:rsidRPr="00686DAB">
        <w:rPr>
          <w:rFonts w:ascii="Arial" w:hAnsi="Arial" w:cs="Arial"/>
          <w:sz w:val="20"/>
        </w:rPr>
        <w:t>2.</w:t>
      </w:r>
      <w:r w:rsidRPr="00686DAB">
        <w:rPr>
          <w:rFonts w:ascii="Arial" w:hAnsi="Arial" w:cs="Arial"/>
          <w:sz w:val="20"/>
        </w:rPr>
        <w:t>4. Ha a besorolandó ügyfélnek nincs statisztikai számjele (a magánszemélyeknél és a nem</w:t>
      </w:r>
      <w:r w:rsidR="00707E83" w:rsidRPr="00686DAB">
        <w:rPr>
          <w:rFonts w:ascii="Arial" w:hAnsi="Arial" w:cs="Arial"/>
          <w:sz w:val="20"/>
        </w:rPr>
        <w:t>-</w:t>
      </w:r>
      <w:r w:rsidRPr="00686DAB">
        <w:rPr>
          <w:rFonts w:ascii="Arial" w:hAnsi="Arial" w:cs="Arial"/>
          <w:sz w:val="20"/>
        </w:rPr>
        <w:t>rezidenseknél tipikusan előforduló helyzet), vagy a statisztikai számjel alapján nem lehet meghatározni a megfelelő szektort, akkor a</w:t>
      </w:r>
      <w:r w:rsidR="000738ED" w:rsidRPr="00686DAB">
        <w:rPr>
          <w:rFonts w:ascii="Arial" w:hAnsi="Arial" w:cs="Arial"/>
          <w:sz w:val="20"/>
        </w:rPr>
        <w:t>z</w:t>
      </w:r>
      <w:r w:rsidRPr="00686DAB">
        <w:rPr>
          <w:rFonts w:ascii="Arial" w:hAnsi="Arial" w:cs="Arial"/>
          <w:sz w:val="20"/>
        </w:rPr>
        <w:t xml:space="preserve"> I.</w:t>
      </w:r>
      <w:r w:rsidR="005071F1" w:rsidRPr="00686DAB">
        <w:rPr>
          <w:rFonts w:ascii="Arial" w:hAnsi="Arial" w:cs="Arial"/>
          <w:sz w:val="20"/>
        </w:rPr>
        <w:t xml:space="preserve"> </w:t>
      </w:r>
      <w:r w:rsidRPr="00686DAB">
        <w:rPr>
          <w:rFonts w:ascii="Arial" w:hAnsi="Arial" w:cs="Arial"/>
          <w:sz w:val="20"/>
        </w:rPr>
        <w:t>A.</w:t>
      </w:r>
      <w:r w:rsidR="005071F1" w:rsidRPr="00686DAB">
        <w:rPr>
          <w:rFonts w:ascii="Arial" w:hAnsi="Arial" w:cs="Arial"/>
          <w:sz w:val="20"/>
        </w:rPr>
        <w:t xml:space="preserve"> </w:t>
      </w:r>
      <w:r w:rsidRPr="00686DAB">
        <w:rPr>
          <w:rFonts w:ascii="Arial" w:hAnsi="Arial" w:cs="Arial"/>
          <w:sz w:val="20"/>
        </w:rPr>
        <w:t xml:space="preserve">3. </w:t>
      </w:r>
      <w:r w:rsidR="00D87E12" w:rsidRPr="00686DAB">
        <w:rPr>
          <w:rFonts w:ascii="Arial" w:hAnsi="Arial" w:cs="Arial"/>
          <w:sz w:val="20"/>
        </w:rPr>
        <w:t xml:space="preserve">és </w:t>
      </w:r>
      <w:r w:rsidR="00A84C0B" w:rsidRPr="00686DAB">
        <w:rPr>
          <w:rFonts w:ascii="Arial" w:hAnsi="Arial" w:cs="Arial"/>
          <w:sz w:val="20"/>
        </w:rPr>
        <w:t>a</w:t>
      </w:r>
      <w:r w:rsidR="000738ED" w:rsidRPr="00686DAB">
        <w:rPr>
          <w:rFonts w:ascii="Arial" w:hAnsi="Arial" w:cs="Arial"/>
          <w:sz w:val="20"/>
        </w:rPr>
        <w:t>z</w:t>
      </w:r>
      <w:r w:rsidR="00A84C0B" w:rsidRPr="00686DAB">
        <w:rPr>
          <w:rFonts w:ascii="Arial" w:hAnsi="Arial" w:cs="Arial"/>
          <w:sz w:val="20"/>
        </w:rPr>
        <w:t xml:space="preserve"> </w:t>
      </w:r>
      <w:r w:rsidR="00D87E12" w:rsidRPr="00686DAB">
        <w:rPr>
          <w:rFonts w:ascii="Arial" w:hAnsi="Arial" w:cs="Arial"/>
          <w:sz w:val="20"/>
        </w:rPr>
        <w:t>I</w:t>
      </w:r>
      <w:r w:rsidR="00273C97" w:rsidRPr="00686DAB">
        <w:rPr>
          <w:rFonts w:ascii="Arial" w:hAnsi="Arial" w:cs="Arial"/>
          <w:sz w:val="20"/>
        </w:rPr>
        <w:t>.</w:t>
      </w:r>
      <w:r w:rsidR="005071F1" w:rsidRPr="00686DAB">
        <w:rPr>
          <w:rFonts w:ascii="Arial" w:hAnsi="Arial" w:cs="Arial"/>
          <w:sz w:val="20"/>
        </w:rPr>
        <w:t xml:space="preserve"> </w:t>
      </w:r>
      <w:r w:rsidR="00D87E12" w:rsidRPr="00686DAB">
        <w:rPr>
          <w:rFonts w:ascii="Arial" w:hAnsi="Arial" w:cs="Arial"/>
          <w:sz w:val="20"/>
        </w:rPr>
        <w:t>A</w:t>
      </w:r>
      <w:r w:rsidR="00A84C0B" w:rsidRPr="00686DAB">
        <w:rPr>
          <w:rFonts w:ascii="Arial" w:hAnsi="Arial" w:cs="Arial"/>
          <w:sz w:val="20"/>
        </w:rPr>
        <w:t>.</w:t>
      </w:r>
      <w:r w:rsidR="005071F1" w:rsidRPr="00686DAB">
        <w:rPr>
          <w:rFonts w:ascii="Arial" w:hAnsi="Arial" w:cs="Arial"/>
          <w:sz w:val="20"/>
        </w:rPr>
        <w:t xml:space="preserve"> </w:t>
      </w:r>
      <w:r w:rsidRPr="00686DAB">
        <w:rPr>
          <w:rFonts w:ascii="Arial" w:hAnsi="Arial" w:cs="Arial"/>
          <w:sz w:val="20"/>
        </w:rPr>
        <w:t>4. pontban leírt információk alapján (tehát a rezidensek és nem</w:t>
      </w:r>
      <w:r w:rsidR="00707E83" w:rsidRPr="00686DAB">
        <w:rPr>
          <w:rFonts w:ascii="Arial" w:hAnsi="Arial" w:cs="Arial"/>
          <w:sz w:val="20"/>
        </w:rPr>
        <w:t>-</w:t>
      </w:r>
      <w:r w:rsidRPr="00686DAB">
        <w:rPr>
          <w:rFonts w:ascii="Arial" w:hAnsi="Arial" w:cs="Arial"/>
          <w:sz w:val="20"/>
        </w:rPr>
        <w:t>rezidensek elkülönítése, valamint a rezidens szektorok leírása alapján) kell meghatározni a megfelelő szektort.</w:t>
      </w:r>
      <w:r w:rsidR="00667E2E" w:rsidRPr="00686DAB">
        <w:rPr>
          <w:rFonts w:ascii="Arial" w:hAnsi="Arial" w:cs="Arial"/>
          <w:sz w:val="20"/>
        </w:rPr>
        <w:t xml:space="preserve"> </w:t>
      </w:r>
      <w:r w:rsidR="001B6B02" w:rsidRPr="00686DAB">
        <w:rPr>
          <w:rFonts w:ascii="Arial" w:hAnsi="Arial" w:cs="Arial"/>
          <w:sz w:val="20"/>
        </w:rPr>
        <w:t>A b</w:t>
      </w:r>
      <w:r w:rsidR="00667E2E" w:rsidRPr="00686DAB">
        <w:rPr>
          <w:rFonts w:ascii="Arial" w:hAnsi="Arial" w:cs="Arial"/>
          <w:sz w:val="20"/>
        </w:rPr>
        <w:t xml:space="preserve">izalmi vagyonkezelésbe adott vagyontömeg szektorát a vagyonrendelő szektora alapján kell meghatározni. Amennyiben a vagyonrendelő szektora nem ismert, vagy nem állapítható meg egyértelműen, akkor </w:t>
      </w:r>
      <w:r w:rsidR="001B6B02" w:rsidRPr="00686DAB">
        <w:rPr>
          <w:rFonts w:ascii="Arial" w:hAnsi="Arial" w:cs="Arial"/>
          <w:sz w:val="20"/>
        </w:rPr>
        <w:t xml:space="preserve">a bizalmi vagyonkezelésbe adott rendelt vagyont </w:t>
      </w:r>
      <w:r w:rsidR="00667E2E" w:rsidRPr="00686DAB">
        <w:rPr>
          <w:rFonts w:ascii="Arial" w:hAnsi="Arial" w:cs="Arial"/>
          <w:sz w:val="20"/>
        </w:rPr>
        <w:t>a</w:t>
      </w:r>
      <w:r w:rsidR="001B6B02" w:rsidRPr="00686DAB">
        <w:rPr>
          <w:rFonts w:ascii="Arial" w:hAnsi="Arial" w:cs="Arial"/>
          <w:sz w:val="20"/>
        </w:rPr>
        <w:t xml:space="preserve"> J) H</w:t>
      </w:r>
      <w:r w:rsidR="00667E2E" w:rsidRPr="00686DAB">
        <w:rPr>
          <w:rFonts w:ascii="Arial" w:hAnsi="Arial" w:cs="Arial"/>
          <w:sz w:val="20"/>
        </w:rPr>
        <w:t>áztartás</w:t>
      </w:r>
      <w:r w:rsidR="001B6B02" w:rsidRPr="00686DAB">
        <w:rPr>
          <w:rFonts w:ascii="Arial" w:hAnsi="Arial" w:cs="Arial"/>
          <w:sz w:val="20"/>
        </w:rPr>
        <w:t>ok</w:t>
      </w:r>
      <w:r w:rsidR="00667E2E" w:rsidRPr="00686DAB">
        <w:rPr>
          <w:rFonts w:ascii="Arial" w:hAnsi="Arial" w:cs="Arial"/>
          <w:sz w:val="20"/>
        </w:rPr>
        <w:t xml:space="preserve"> szektorba kell sorolni.</w:t>
      </w:r>
    </w:p>
    <w:p w14:paraId="3C576280" w14:textId="77777777" w:rsidR="00686DAB" w:rsidRPr="00A61F3D" w:rsidRDefault="00686DAB">
      <w:pPr>
        <w:spacing w:before="120"/>
        <w:rPr>
          <w:rFonts w:ascii="Arial" w:hAnsi="Arial" w:cs="Arial"/>
          <w:sz w:val="20"/>
        </w:rPr>
      </w:pPr>
    </w:p>
    <w:p w14:paraId="70DF5686" w14:textId="1D3B07E5" w:rsidR="006805CF" w:rsidRPr="00A61F3D" w:rsidRDefault="00404EB8">
      <w:pPr>
        <w:rPr>
          <w:rFonts w:ascii="Arial" w:hAnsi="Arial" w:cs="Arial"/>
          <w:b/>
          <w:sz w:val="20"/>
        </w:rPr>
      </w:pPr>
      <w:r>
        <w:rPr>
          <w:rFonts w:ascii="Arial" w:hAnsi="Arial" w:cs="Arial"/>
          <w:b/>
          <w:sz w:val="20"/>
        </w:rPr>
        <w:t xml:space="preserve">I. A. </w:t>
      </w:r>
      <w:r w:rsidR="006805CF" w:rsidRPr="00A61F3D">
        <w:rPr>
          <w:rFonts w:ascii="Arial" w:hAnsi="Arial" w:cs="Arial"/>
          <w:b/>
          <w:sz w:val="20"/>
        </w:rPr>
        <w:t>6. A statisztikai számjel felhasználása a gazdasági szereplők szektorának meghatározásában</w:t>
      </w:r>
    </w:p>
    <w:p w14:paraId="4307537B" w14:textId="77777777" w:rsidR="006805CF" w:rsidRPr="00A61F3D" w:rsidRDefault="006805CF">
      <w:pPr>
        <w:rPr>
          <w:rFonts w:ascii="Arial" w:hAnsi="Arial" w:cs="Arial"/>
          <w:b/>
          <w:i/>
          <w:sz w:val="20"/>
        </w:rPr>
      </w:pPr>
    </w:p>
    <w:p w14:paraId="0B1A78D1" w14:textId="77777777" w:rsidR="006805CF" w:rsidRPr="00A61F3D" w:rsidRDefault="006805CF">
      <w:pPr>
        <w:outlineLvl w:val="0"/>
        <w:rPr>
          <w:rFonts w:ascii="Arial" w:hAnsi="Arial" w:cs="Arial"/>
          <w:b/>
          <w:sz w:val="20"/>
        </w:rPr>
      </w:pPr>
      <w:r w:rsidRPr="00A61F3D">
        <w:rPr>
          <w:rFonts w:ascii="Arial" w:hAnsi="Arial" w:cs="Arial"/>
          <w:b/>
          <w:sz w:val="20"/>
        </w:rPr>
        <w:t>6.1. A statisztikai számjel</w:t>
      </w:r>
    </w:p>
    <w:p w14:paraId="1199A951" w14:textId="77777777" w:rsidR="006805CF" w:rsidRPr="00A61F3D" w:rsidRDefault="006805CF">
      <w:pPr>
        <w:rPr>
          <w:rFonts w:ascii="Arial" w:hAnsi="Arial" w:cs="Arial"/>
          <w:sz w:val="20"/>
        </w:rPr>
      </w:pPr>
    </w:p>
    <w:p w14:paraId="4F015587" w14:textId="77777777" w:rsidR="006805CF" w:rsidRPr="00A61F3D" w:rsidRDefault="006805CF">
      <w:pPr>
        <w:rPr>
          <w:rFonts w:ascii="Arial" w:hAnsi="Arial" w:cs="Arial"/>
          <w:sz w:val="20"/>
        </w:rPr>
      </w:pPr>
      <w:r w:rsidRPr="00A61F3D">
        <w:rPr>
          <w:rFonts w:ascii="Arial" w:hAnsi="Arial" w:cs="Arial"/>
          <w:sz w:val="20"/>
        </w:rPr>
        <w:t>A statisztikai számjel használatát a statisztikai számjel elemeiről és nómenklatúráiról szóló</w:t>
      </w:r>
      <w:r w:rsidR="00F85EEA" w:rsidRPr="00A61F3D">
        <w:rPr>
          <w:rFonts w:ascii="Arial" w:hAnsi="Arial" w:cs="Arial"/>
          <w:sz w:val="20"/>
        </w:rPr>
        <w:t xml:space="preserve"> 21/2012. (IV. 16</w:t>
      </w:r>
      <w:r w:rsidR="005071F1" w:rsidRPr="00A61F3D">
        <w:rPr>
          <w:rFonts w:ascii="Arial" w:hAnsi="Arial" w:cs="Arial"/>
          <w:sz w:val="20"/>
        </w:rPr>
        <w:t>.</w:t>
      </w:r>
      <w:r w:rsidR="00F85EEA" w:rsidRPr="00A61F3D">
        <w:rPr>
          <w:rFonts w:ascii="Arial" w:hAnsi="Arial" w:cs="Arial"/>
          <w:sz w:val="20"/>
        </w:rPr>
        <w:t xml:space="preserve">) KIM rendelet </w:t>
      </w:r>
      <w:r w:rsidR="005071F1" w:rsidRPr="00A61F3D">
        <w:rPr>
          <w:rFonts w:ascii="Arial" w:hAnsi="Arial" w:cs="Arial"/>
          <w:sz w:val="20"/>
        </w:rPr>
        <w:t>szabályozza</w:t>
      </w:r>
      <w:r w:rsidRPr="00A61F3D">
        <w:rPr>
          <w:rFonts w:ascii="Arial" w:hAnsi="Arial" w:cs="Arial"/>
          <w:sz w:val="20"/>
        </w:rPr>
        <w:t>.</w:t>
      </w:r>
    </w:p>
    <w:p w14:paraId="013AF25D" w14:textId="41178A54" w:rsidR="006805CF" w:rsidRPr="00A61F3D" w:rsidRDefault="006805CF">
      <w:pPr>
        <w:rPr>
          <w:rFonts w:ascii="Arial" w:hAnsi="Arial" w:cs="Arial"/>
          <w:sz w:val="20"/>
        </w:rPr>
      </w:pPr>
      <w:r w:rsidRPr="00A61F3D">
        <w:rPr>
          <w:rFonts w:ascii="Arial" w:hAnsi="Arial" w:cs="Arial"/>
          <w:sz w:val="20"/>
        </w:rPr>
        <w:t>A</w:t>
      </w:r>
      <w:r w:rsidR="00892FC5" w:rsidRPr="00A61F3D">
        <w:rPr>
          <w:rFonts w:ascii="Arial" w:hAnsi="Arial" w:cs="Arial"/>
          <w:sz w:val="20"/>
        </w:rPr>
        <w:t xml:space="preserve"> statisztikai számjel</w:t>
      </w:r>
      <w:r w:rsidRPr="00A61F3D">
        <w:rPr>
          <w:rFonts w:ascii="Arial" w:hAnsi="Arial" w:cs="Arial"/>
          <w:sz w:val="20"/>
        </w:rPr>
        <w:t xml:space="preserve"> első 8 számjegye a törzsszám, a szervezetek egyedi azonosítója, ennek alapján lehet eldönteni, hogy egy adott szervezet szerepel-e a kivétel listákon vagy sem. A </w:t>
      </w:r>
      <w:r w:rsidR="00892FC5" w:rsidRPr="00A61F3D">
        <w:rPr>
          <w:rFonts w:ascii="Arial" w:hAnsi="Arial" w:cs="Arial"/>
          <w:sz w:val="20"/>
        </w:rPr>
        <w:t xml:space="preserve">statisztikai számjel </w:t>
      </w:r>
      <w:r w:rsidRPr="00A61F3D">
        <w:rPr>
          <w:rFonts w:ascii="Arial" w:hAnsi="Arial" w:cs="Arial"/>
          <w:sz w:val="20"/>
        </w:rPr>
        <w:lastRenderedPageBreak/>
        <w:t>9</w:t>
      </w:r>
      <w:r w:rsidR="002E034B">
        <w:rPr>
          <w:rFonts w:ascii="Arial" w:hAnsi="Arial" w:cs="Arial"/>
          <w:sz w:val="20"/>
        </w:rPr>
        <w:t>–</w:t>
      </w:r>
      <w:r w:rsidRPr="00A61F3D">
        <w:rPr>
          <w:rFonts w:ascii="Arial" w:hAnsi="Arial" w:cs="Arial"/>
          <w:sz w:val="20"/>
        </w:rPr>
        <w:t xml:space="preserve">12. számjegye a szervezet főtevékenysége szerinti szakágazatát fejezi ki. Ez a </w:t>
      </w:r>
      <w:r w:rsidR="005071F1" w:rsidRPr="00A61F3D">
        <w:rPr>
          <w:rFonts w:ascii="Arial" w:hAnsi="Arial" w:cs="Arial"/>
          <w:sz w:val="20"/>
        </w:rPr>
        <w:t>4</w:t>
      </w:r>
      <w:r w:rsidRPr="00A61F3D">
        <w:rPr>
          <w:rFonts w:ascii="Arial" w:hAnsi="Arial" w:cs="Arial"/>
          <w:sz w:val="20"/>
        </w:rPr>
        <w:t xml:space="preserve"> számjegy megegyezik az adott szervezet négyjegyű TEÁOR besorolásával. A TEÁOR besorolást nem kell használni a szektormeghatározás során, mivel a pénzügyi vállalatokat az MNB külön listákon határozza meg. A</w:t>
      </w:r>
      <w:r w:rsidR="00892FC5" w:rsidRPr="00A61F3D">
        <w:rPr>
          <w:rFonts w:ascii="Arial" w:hAnsi="Arial" w:cs="Arial"/>
          <w:sz w:val="20"/>
        </w:rPr>
        <w:t xml:space="preserve"> statisztikai számjel</w:t>
      </w:r>
      <w:r w:rsidRPr="00A61F3D">
        <w:rPr>
          <w:rFonts w:ascii="Arial" w:hAnsi="Arial" w:cs="Arial"/>
          <w:sz w:val="20"/>
        </w:rPr>
        <w:t xml:space="preserve"> 13</w:t>
      </w:r>
      <w:r w:rsidR="008416B0">
        <w:rPr>
          <w:rFonts w:ascii="Arial" w:hAnsi="Arial" w:cs="Arial"/>
          <w:sz w:val="20"/>
        </w:rPr>
        <w:t>–</w:t>
      </w:r>
      <w:r w:rsidRPr="00A61F3D">
        <w:rPr>
          <w:rFonts w:ascii="Arial" w:hAnsi="Arial" w:cs="Arial"/>
          <w:sz w:val="20"/>
        </w:rPr>
        <w:t xml:space="preserve">15. számjegye a gazdálkodási forma szerinti </w:t>
      </w:r>
      <w:r w:rsidR="001A0A62" w:rsidRPr="00A61F3D">
        <w:rPr>
          <w:rFonts w:ascii="Arial" w:hAnsi="Arial" w:cs="Arial"/>
          <w:sz w:val="20"/>
        </w:rPr>
        <w:t xml:space="preserve">(GFO) </w:t>
      </w:r>
      <w:r w:rsidRPr="00A61F3D">
        <w:rPr>
          <w:rFonts w:ascii="Arial" w:hAnsi="Arial" w:cs="Arial"/>
          <w:sz w:val="20"/>
        </w:rPr>
        <w:t>kód. Ennek a kódnak van szerepe a megfelelő szektor meghatározásában.</w:t>
      </w:r>
    </w:p>
    <w:p w14:paraId="4D7096DA" w14:textId="3F2286AB" w:rsidR="006805CF" w:rsidRPr="00A61F3D" w:rsidRDefault="006805CF">
      <w:pPr>
        <w:rPr>
          <w:rFonts w:ascii="Arial" w:hAnsi="Arial" w:cs="Arial"/>
          <w:sz w:val="20"/>
        </w:rPr>
      </w:pPr>
      <w:r w:rsidRPr="00A61F3D">
        <w:rPr>
          <w:rFonts w:ascii="Arial" w:hAnsi="Arial" w:cs="Arial"/>
          <w:sz w:val="20"/>
        </w:rPr>
        <w:t>A</w:t>
      </w:r>
      <w:r w:rsidR="00892FC5" w:rsidRPr="00A61F3D">
        <w:rPr>
          <w:rFonts w:ascii="Arial" w:hAnsi="Arial" w:cs="Arial"/>
          <w:sz w:val="20"/>
        </w:rPr>
        <w:t xml:space="preserve"> statisztikai számjel</w:t>
      </w:r>
      <w:r w:rsidRPr="00A61F3D">
        <w:rPr>
          <w:rFonts w:ascii="Arial" w:hAnsi="Arial" w:cs="Arial"/>
          <w:sz w:val="20"/>
        </w:rPr>
        <w:t xml:space="preserve"> 16</w:t>
      </w:r>
      <w:r w:rsidR="008416B0">
        <w:rPr>
          <w:rFonts w:ascii="Arial" w:hAnsi="Arial" w:cs="Arial"/>
          <w:sz w:val="20"/>
        </w:rPr>
        <w:t xml:space="preserve">. és </w:t>
      </w:r>
      <w:r w:rsidRPr="00A61F3D">
        <w:rPr>
          <w:rFonts w:ascii="Arial" w:hAnsi="Arial" w:cs="Arial"/>
          <w:sz w:val="20"/>
        </w:rPr>
        <w:t>17. számjegye a területi (megye) kód. Nincs szerepe a szektorizációban.</w:t>
      </w:r>
    </w:p>
    <w:p w14:paraId="73580475" w14:textId="77777777" w:rsidR="006805CF" w:rsidRPr="00A61F3D" w:rsidRDefault="006805CF" w:rsidP="00D3125B">
      <w:pPr>
        <w:widowControl w:val="0"/>
        <w:rPr>
          <w:rFonts w:ascii="Arial" w:hAnsi="Arial" w:cs="Arial"/>
          <w:sz w:val="20"/>
        </w:rPr>
      </w:pPr>
    </w:p>
    <w:p w14:paraId="12AFEAF4" w14:textId="3A075133" w:rsidR="00074442" w:rsidRPr="00A61F3D" w:rsidRDefault="00B36504" w:rsidP="00D3125B">
      <w:pPr>
        <w:pStyle w:val="Szvegtrzs3"/>
        <w:widowControl w:val="0"/>
        <w:rPr>
          <w:rFonts w:ascii="Arial" w:hAnsi="Arial" w:cs="Arial"/>
          <w:i w:val="0"/>
          <w:sz w:val="20"/>
        </w:rPr>
      </w:pPr>
      <w:r w:rsidRPr="00A61F3D">
        <w:rPr>
          <w:rFonts w:ascii="Arial" w:hAnsi="Arial" w:cs="Arial"/>
          <w:i w:val="0"/>
          <w:sz w:val="20"/>
        </w:rPr>
        <w:t>6.</w:t>
      </w:r>
      <w:r w:rsidR="002350C0" w:rsidRPr="00A61F3D">
        <w:rPr>
          <w:rFonts w:ascii="Arial" w:hAnsi="Arial" w:cs="Arial"/>
          <w:i w:val="0"/>
          <w:sz w:val="20"/>
        </w:rPr>
        <w:t>2</w:t>
      </w:r>
      <w:r w:rsidRPr="00A61F3D">
        <w:rPr>
          <w:rFonts w:ascii="Arial" w:hAnsi="Arial" w:cs="Arial"/>
          <w:i w:val="0"/>
          <w:sz w:val="20"/>
        </w:rPr>
        <w:t>. A listán nem szereplő, statisztikai számjellel rendelkező gazdasági szereplők szektorának meghatározása a</w:t>
      </w:r>
      <w:r w:rsidR="00892FC5" w:rsidRPr="00A61F3D">
        <w:rPr>
          <w:rFonts w:ascii="Arial" w:hAnsi="Arial" w:cs="Arial"/>
          <w:i w:val="0"/>
          <w:sz w:val="20"/>
        </w:rPr>
        <w:t xml:space="preserve"> statisztikai számjel </w:t>
      </w:r>
      <w:r w:rsidRPr="00A61F3D">
        <w:rPr>
          <w:rFonts w:ascii="Arial" w:hAnsi="Arial" w:cs="Arial"/>
          <w:i w:val="0"/>
          <w:sz w:val="20"/>
        </w:rPr>
        <w:t>segítségével</w:t>
      </w:r>
      <w:r w:rsidR="00074442" w:rsidRPr="00A61F3D">
        <w:rPr>
          <w:rFonts w:ascii="Arial" w:hAnsi="Arial" w:cs="Arial"/>
          <w:i w:val="0"/>
          <w:sz w:val="20"/>
        </w:rPr>
        <w:t xml:space="preserve"> </w:t>
      </w:r>
    </w:p>
    <w:p w14:paraId="01D53C3B" w14:textId="77777777" w:rsidR="00B36504" w:rsidRPr="00A61F3D" w:rsidRDefault="00B36504" w:rsidP="00D3125B">
      <w:pPr>
        <w:spacing w:before="120"/>
        <w:outlineLvl w:val="0"/>
        <w:rPr>
          <w:rFonts w:ascii="Arial" w:hAnsi="Arial" w:cs="Arial"/>
          <w:sz w:val="20"/>
        </w:rPr>
      </w:pPr>
      <w:r w:rsidRPr="00A61F3D">
        <w:rPr>
          <w:rFonts w:ascii="Arial" w:hAnsi="Arial" w:cs="Arial"/>
          <w:sz w:val="20"/>
        </w:rPr>
        <w:t>6.</w:t>
      </w:r>
      <w:r w:rsidR="002350C0" w:rsidRPr="00A61F3D">
        <w:rPr>
          <w:rFonts w:ascii="Arial" w:hAnsi="Arial" w:cs="Arial"/>
          <w:sz w:val="20"/>
        </w:rPr>
        <w:t>2</w:t>
      </w:r>
      <w:r w:rsidRPr="00A61F3D">
        <w:rPr>
          <w:rFonts w:ascii="Arial" w:hAnsi="Arial" w:cs="Arial"/>
          <w:sz w:val="20"/>
        </w:rPr>
        <w:t>.1. Az A) Nem pénzügyi vállalatok szektorba kell sorolni a következő szervezeteket:</w:t>
      </w:r>
    </w:p>
    <w:p w14:paraId="6C744FA4" w14:textId="2A9512E8" w:rsidR="00B36504" w:rsidRPr="00A61F3D" w:rsidRDefault="00B36504" w:rsidP="00B36504">
      <w:pPr>
        <w:rPr>
          <w:rFonts w:ascii="Arial" w:hAnsi="Arial" w:cs="Arial"/>
          <w:sz w:val="20"/>
        </w:rPr>
      </w:pPr>
      <w:r w:rsidRPr="004F671E">
        <w:rPr>
          <w:rFonts w:ascii="Arial" w:hAnsi="Arial" w:cs="Arial"/>
          <w:sz w:val="20"/>
        </w:rPr>
        <w:t xml:space="preserve">a) </w:t>
      </w:r>
      <w:r w:rsidR="00CF2F1A" w:rsidRPr="004F671E">
        <w:rPr>
          <w:rFonts w:ascii="Arial" w:hAnsi="Arial" w:cs="Arial"/>
          <w:sz w:val="20"/>
        </w:rPr>
        <w:t>a</w:t>
      </w:r>
      <w:r w:rsidRPr="004F671E">
        <w:rPr>
          <w:rFonts w:ascii="Arial" w:hAnsi="Arial" w:cs="Arial"/>
          <w:sz w:val="20"/>
        </w:rPr>
        <w:t xml:space="preserve"> </w:t>
      </w:r>
      <w:r w:rsidR="00892FC5" w:rsidRPr="004F671E">
        <w:rPr>
          <w:rFonts w:ascii="Arial" w:hAnsi="Arial" w:cs="Arial"/>
          <w:sz w:val="20"/>
        </w:rPr>
        <w:t>statisztikai számjel</w:t>
      </w:r>
      <w:r w:rsidRPr="004F671E">
        <w:rPr>
          <w:rFonts w:ascii="Arial" w:hAnsi="Arial" w:cs="Arial"/>
          <w:sz w:val="20"/>
        </w:rPr>
        <w:t xml:space="preserve"> 13</w:t>
      </w:r>
      <w:r w:rsidR="002E034B">
        <w:rPr>
          <w:rFonts w:ascii="Arial" w:hAnsi="Arial" w:cs="Arial"/>
          <w:sz w:val="20"/>
        </w:rPr>
        <w:t xml:space="preserve">. és </w:t>
      </w:r>
      <w:r w:rsidRPr="004F671E">
        <w:rPr>
          <w:rFonts w:ascii="Arial" w:hAnsi="Arial" w:cs="Arial"/>
          <w:sz w:val="20"/>
        </w:rPr>
        <w:t xml:space="preserve">14. számjegye 11, 12, 13, </w:t>
      </w:r>
      <w:r w:rsidR="00C852EF" w:rsidRPr="004F671E">
        <w:rPr>
          <w:rFonts w:ascii="Arial" w:hAnsi="Arial" w:cs="Arial"/>
          <w:sz w:val="20"/>
        </w:rPr>
        <w:t xml:space="preserve">14, </w:t>
      </w:r>
      <w:r w:rsidR="00D77164" w:rsidRPr="004F671E">
        <w:rPr>
          <w:rFonts w:ascii="Arial" w:hAnsi="Arial" w:cs="Arial"/>
          <w:sz w:val="20"/>
        </w:rPr>
        <w:t xml:space="preserve">15, </w:t>
      </w:r>
      <w:r w:rsidRPr="004F671E">
        <w:rPr>
          <w:rFonts w:ascii="Arial" w:hAnsi="Arial" w:cs="Arial"/>
          <w:sz w:val="20"/>
        </w:rPr>
        <w:t>21, 22, 57, 72, 73</w:t>
      </w:r>
      <w:r w:rsidR="00CF2F1A" w:rsidRPr="004F671E">
        <w:rPr>
          <w:rFonts w:ascii="Arial" w:hAnsi="Arial" w:cs="Arial"/>
          <w:sz w:val="20"/>
        </w:rPr>
        <w:t>,</w:t>
      </w:r>
      <w:r w:rsidRPr="004F671E">
        <w:rPr>
          <w:rFonts w:ascii="Arial" w:hAnsi="Arial" w:cs="Arial"/>
          <w:sz w:val="20"/>
        </w:rPr>
        <w:t xml:space="preserve"> </w:t>
      </w:r>
      <w:r w:rsidR="00404EB8" w:rsidRPr="004F671E">
        <w:rPr>
          <w:rFonts w:ascii="Arial" w:hAnsi="Arial" w:cs="Arial"/>
          <w:sz w:val="20"/>
        </w:rPr>
        <w:t>74</w:t>
      </w:r>
      <w:r w:rsidR="004D279B" w:rsidRPr="004F671E">
        <w:rPr>
          <w:rFonts w:ascii="Arial" w:hAnsi="Arial" w:cs="Arial"/>
          <w:sz w:val="20"/>
        </w:rPr>
        <w:t>,</w:t>
      </w:r>
    </w:p>
    <w:p w14:paraId="452026DD" w14:textId="34031E61" w:rsidR="00B36504" w:rsidRPr="000621CA" w:rsidRDefault="00B36504" w:rsidP="00B36504">
      <w:pPr>
        <w:rPr>
          <w:rFonts w:ascii="Arial" w:hAnsi="Arial" w:cs="Arial"/>
          <w:sz w:val="20"/>
        </w:rPr>
      </w:pPr>
      <w:r w:rsidRPr="00A61F3D">
        <w:rPr>
          <w:rFonts w:ascii="Arial" w:hAnsi="Arial" w:cs="Arial"/>
          <w:sz w:val="20"/>
        </w:rPr>
        <w:t xml:space="preserve">b) </w:t>
      </w:r>
      <w:r w:rsidR="00CF2F1A" w:rsidRPr="00A61F3D">
        <w:rPr>
          <w:rFonts w:ascii="Arial" w:hAnsi="Arial" w:cs="Arial"/>
          <w:sz w:val="20"/>
        </w:rPr>
        <w:t>a</w:t>
      </w:r>
      <w:r w:rsidR="00892FC5" w:rsidRPr="00A61F3D">
        <w:rPr>
          <w:rFonts w:ascii="Arial" w:hAnsi="Arial" w:cs="Arial"/>
          <w:sz w:val="20"/>
        </w:rPr>
        <w:t xml:space="preserve"> statisztikai számjel </w:t>
      </w:r>
      <w:r w:rsidRPr="00A61F3D">
        <w:rPr>
          <w:rFonts w:ascii="Arial" w:hAnsi="Arial" w:cs="Arial"/>
          <w:sz w:val="20"/>
        </w:rPr>
        <w:t>13</w:t>
      </w:r>
      <w:r w:rsidR="002E034B">
        <w:rPr>
          <w:rFonts w:ascii="Arial" w:hAnsi="Arial" w:cs="Arial"/>
          <w:sz w:val="20"/>
        </w:rPr>
        <w:t>–</w:t>
      </w:r>
      <w:r w:rsidRPr="00A61F3D">
        <w:rPr>
          <w:rFonts w:ascii="Arial" w:hAnsi="Arial" w:cs="Arial"/>
          <w:sz w:val="20"/>
        </w:rPr>
        <w:t xml:space="preserve">15. számjegye </w:t>
      </w:r>
      <w:r w:rsidR="008F12C3" w:rsidRPr="000621CA">
        <w:rPr>
          <w:rFonts w:ascii="Arial" w:hAnsi="Arial" w:cs="Arial"/>
          <w:sz w:val="20"/>
        </w:rPr>
        <w:t>514</w:t>
      </w:r>
      <w:r w:rsidR="00634434" w:rsidRPr="000621CA">
        <w:rPr>
          <w:rFonts w:ascii="Arial" w:hAnsi="Arial" w:cs="Arial"/>
          <w:sz w:val="20"/>
        </w:rPr>
        <w:t xml:space="preserve">, 541, </w:t>
      </w:r>
      <w:r w:rsidRPr="000621CA">
        <w:rPr>
          <w:rFonts w:ascii="Arial" w:hAnsi="Arial" w:cs="Arial"/>
          <w:sz w:val="20"/>
        </w:rPr>
        <w:t>591, 593, 692, 693</w:t>
      </w:r>
      <w:r w:rsidR="00CF2F1A" w:rsidRPr="000621CA">
        <w:rPr>
          <w:rFonts w:ascii="Arial" w:hAnsi="Arial" w:cs="Arial"/>
          <w:sz w:val="20"/>
        </w:rPr>
        <w:t>.</w:t>
      </w:r>
    </w:p>
    <w:p w14:paraId="7D7FC66C"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.2. A G) Központi kormányzat szektorba kell sorolni a következő szervezeteket:</w:t>
      </w:r>
    </w:p>
    <w:p w14:paraId="29EC0AC8" w14:textId="76B14FBE"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 xml:space="preserve">statisztikai számjel </w:t>
      </w:r>
      <w:r w:rsidRPr="000621CA">
        <w:rPr>
          <w:rFonts w:ascii="Arial" w:hAnsi="Arial" w:cs="Arial"/>
          <w:sz w:val="20"/>
        </w:rPr>
        <w:t>13</w:t>
      </w:r>
      <w:r w:rsidR="002E034B">
        <w:rPr>
          <w:rFonts w:ascii="Arial" w:hAnsi="Arial" w:cs="Arial"/>
          <w:sz w:val="20"/>
        </w:rPr>
        <w:t xml:space="preserve">. és </w:t>
      </w:r>
      <w:r w:rsidRPr="000621CA">
        <w:rPr>
          <w:rFonts w:ascii="Arial" w:hAnsi="Arial" w:cs="Arial"/>
          <w:sz w:val="20"/>
        </w:rPr>
        <w:t>14. számjegye 31, 34, 35</w:t>
      </w:r>
      <w:r w:rsidR="00CF2F1A" w:rsidRPr="000621CA">
        <w:rPr>
          <w:rFonts w:ascii="Arial" w:hAnsi="Arial" w:cs="Arial"/>
          <w:sz w:val="20"/>
        </w:rPr>
        <w:t>,</w:t>
      </w:r>
    </w:p>
    <w:p w14:paraId="5F6663B6" w14:textId="0B4D2A6E"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 xml:space="preserve">a </w:t>
      </w:r>
      <w:r w:rsidR="00892FC5" w:rsidRPr="000621CA">
        <w:rPr>
          <w:rFonts w:ascii="Arial" w:hAnsi="Arial" w:cs="Arial"/>
          <w:sz w:val="20"/>
        </w:rPr>
        <w:t>statisztikai számjel</w:t>
      </w:r>
      <w:r w:rsidRPr="000621CA">
        <w:rPr>
          <w:rFonts w:ascii="Arial" w:hAnsi="Arial" w:cs="Arial"/>
          <w:sz w:val="20"/>
        </w:rPr>
        <w:t xml:space="preserve"> 13</w:t>
      </w:r>
      <w:r w:rsidR="002E034B">
        <w:rPr>
          <w:rFonts w:ascii="Arial" w:hAnsi="Arial" w:cs="Arial"/>
          <w:sz w:val="20"/>
        </w:rPr>
        <w:t>–</w:t>
      </w:r>
      <w:r w:rsidRPr="000621CA">
        <w:rPr>
          <w:rFonts w:ascii="Arial" w:hAnsi="Arial" w:cs="Arial"/>
          <w:sz w:val="20"/>
        </w:rPr>
        <w:t xml:space="preserve">15. számjegye 381, 391, 392, 393, </w:t>
      </w:r>
      <w:r w:rsidR="000531B0" w:rsidRPr="000621CA">
        <w:rPr>
          <w:rFonts w:ascii="Arial" w:hAnsi="Arial" w:cs="Arial"/>
          <w:sz w:val="20"/>
        </w:rPr>
        <w:t>396</w:t>
      </w:r>
      <w:r w:rsidR="00D156A3" w:rsidRPr="000621CA">
        <w:rPr>
          <w:rFonts w:ascii="Arial" w:hAnsi="Arial" w:cs="Arial"/>
          <w:sz w:val="20"/>
        </w:rPr>
        <w:t>, 397</w:t>
      </w:r>
      <w:r w:rsidR="00A524E1" w:rsidRPr="000621CA">
        <w:rPr>
          <w:rFonts w:ascii="Arial" w:hAnsi="Arial" w:cs="Arial"/>
          <w:sz w:val="20"/>
        </w:rPr>
        <w:t>, 566</w:t>
      </w:r>
      <w:r w:rsidR="00CF2F1A" w:rsidRPr="000621CA">
        <w:rPr>
          <w:rFonts w:ascii="Arial" w:hAnsi="Arial" w:cs="Arial"/>
          <w:sz w:val="20"/>
        </w:rPr>
        <w:t>.</w:t>
      </w:r>
    </w:p>
    <w:p w14:paraId="760C1AC6"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.3. A H) Helyi önkormányzatok szektorba kell sorolni a következő szervezeteket:</w:t>
      </w:r>
    </w:p>
    <w:p w14:paraId="496C2014" w14:textId="2A6181EC"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w:t>
      </w:r>
      <w:r w:rsidRPr="000621CA">
        <w:rPr>
          <w:rFonts w:ascii="Arial" w:hAnsi="Arial" w:cs="Arial"/>
          <w:sz w:val="20"/>
        </w:rPr>
        <w:t xml:space="preserve"> 13</w:t>
      </w:r>
      <w:r w:rsidR="002E034B">
        <w:rPr>
          <w:rFonts w:ascii="Arial" w:hAnsi="Arial" w:cs="Arial"/>
          <w:sz w:val="20"/>
        </w:rPr>
        <w:t xml:space="preserve">. és </w:t>
      </w:r>
      <w:r w:rsidRPr="000621CA">
        <w:rPr>
          <w:rFonts w:ascii="Arial" w:hAnsi="Arial" w:cs="Arial"/>
          <w:sz w:val="20"/>
        </w:rPr>
        <w:t>14. számjegye 32, 36, 37</w:t>
      </w:r>
      <w:r w:rsidR="00CF2F1A" w:rsidRPr="000621CA">
        <w:rPr>
          <w:rFonts w:ascii="Arial" w:hAnsi="Arial" w:cs="Arial"/>
          <w:sz w:val="20"/>
        </w:rPr>
        <w:t>,</w:t>
      </w:r>
    </w:p>
    <w:p w14:paraId="54178CBC" w14:textId="79C20AE8"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statisztikai számjel</w:t>
      </w:r>
      <w:r w:rsidRPr="000621CA">
        <w:rPr>
          <w:rFonts w:ascii="Arial" w:hAnsi="Arial" w:cs="Arial"/>
          <w:sz w:val="20"/>
        </w:rPr>
        <w:t xml:space="preserve"> 13</w:t>
      </w:r>
      <w:r w:rsidR="002E034B">
        <w:rPr>
          <w:rFonts w:ascii="Arial" w:hAnsi="Arial" w:cs="Arial"/>
          <w:sz w:val="20"/>
        </w:rPr>
        <w:t>–</w:t>
      </w:r>
      <w:r w:rsidRPr="000621CA">
        <w:rPr>
          <w:rFonts w:ascii="Arial" w:hAnsi="Arial" w:cs="Arial"/>
          <w:sz w:val="20"/>
        </w:rPr>
        <w:t>15. számjegye 382.</w:t>
      </w:r>
    </w:p>
    <w:p w14:paraId="267EF099"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.4. Az I) Társadalombiztosítási alapok szektorba kell sorolni a következő szervezeteket:</w:t>
      </w:r>
    </w:p>
    <w:p w14:paraId="6EE0F16D" w14:textId="24294DC2" w:rsidR="00B36504" w:rsidRPr="000621CA" w:rsidRDefault="00CF2F1A" w:rsidP="00B36504">
      <w:pPr>
        <w:rPr>
          <w:rFonts w:ascii="Arial" w:hAnsi="Arial" w:cs="Arial"/>
          <w:sz w:val="20"/>
        </w:rPr>
      </w:pPr>
      <w:r w:rsidRPr="000621CA">
        <w:rPr>
          <w:rFonts w:ascii="Arial" w:hAnsi="Arial" w:cs="Arial"/>
          <w:sz w:val="20"/>
        </w:rPr>
        <w:t>a</w:t>
      </w:r>
      <w:r w:rsidR="00B36504" w:rsidRPr="000621CA">
        <w:rPr>
          <w:rFonts w:ascii="Arial" w:hAnsi="Arial" w:cs="Arial"/>
          <w:sz w:val="20"/>
        </w:rPr>
        <w:t xml:space="preserve"> </w:t>
      </w:r>
      <w:r w:rsidR="00892FC5" w:rsidRPr="000621CA">
        <w:rPr>
          <w:rFonts w:ascii="Arial" w:hAnsi="Arial" w:cs="Arial"/>
          <w:sz w:val="20"/>
        </w:rPr>
        <w:t>statisztikai számjel</w:t>
      </w:r>
      <w:r w:rsidR="00B36504" w:rsidRPr="000621CA">
        <w:rPr>
          <w:rFonts w:ascii="Arial" w:hAnsi="Arial" w:cs="Arial"/>
          <w:sz w:val="20"/>
        </w:rPr>
        <w:t xml:space="preserve"> 13</w:t>
      </w:r>
      <w:r w:rsidR="002E034B">
        <w:rPr>
          <w:rFonts w:ascii="Arial" w:hAnsi="Arial" w:cs="Arial"/>
          <w:sz w:val="20"/>
        </w:rPr>
        <w:t>–</w:t>
      </w:r>
      <w:r w:rsidR="00B36504" w:rsidRPr="000621CA">
        <w:rPr>
          <w:rFonts w:ascii="Arial" w:hAnsi="Arial" w:cs="Arial"/>
          <w:sz w:val="20"/>
        </w:rPr>
        <w:t>15. számjegye 394, 395.</w:t>
      </w:r>
    </w:p>
    <w:p w14:paraId="469AC641"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.5. A J) Háztartások szektorba kell sorolni a következő szervezeteket:</w:t>
      </w:r>
    </w:p>
    <w:p w14:paraId="3AB47591" w14:textId="5F98DF78"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 </w:t>
      </w:r>
      <w:r w:rsidRPr="000621CA">
        <w:rPr>
          <w:rFonts w:ascii="Arial" w:hAnsi="Arial" w:cs="Arial"/>
          <w:sz w:val="20"/>
        </w:rPr>
        <w:t>13</w:t>
      </w:r>
      <w:r w:rsidR="002E034B">
        <w:rPr>
          <w:rFonts w:ascii="Arial" w:hAnsi="Arial" w:cs="Arial"/>
          <w:sz w:val="20"/>
        </w:rPr>
        <w:t xml:space="preserve">. és </w:t>
      </w:r>
      <w:r w:rsidRPr="000621CA">
        <w:rPr>
          <w:rFonts w:ascii="Arial" w:hAnsi="Arial" w:cs="Arial"/>
          <w:sz w:val="20"/>
        </w:rPr>
        <w:t>14. számjegye 23</w:t>
      </w:r>
      <w:r w:rsidR="00CF2F1A" w:rsidRPr="000621CA">
        <w:rPr>
          <w:rFonts w:ascii="Arial" w:hAnsi="Arial" w:cs="Arial"/>
          <w:sz w:val="20"/>
        </w:rPr>
        <w:t>,</w:t>
      </w:r>
    </w:p>
    <w:p w14:paraId="380F203B" w14:textId="06C1F030"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a</w:t>
      </w:r>
      <w:r w:rsidRPr="000621CA">
        <w:rPr>
          <w:rFonts w:ascii="Arial" w:hAnsi="Arial" w:cs="Arial"/>
          <w:sz w:val="20"/>
        </w:rPr>
        <w:t xml:space="preserve"> </w:t>
      </w:r>
      <w:r w:rsidR="00892FC5" w:rsidRPr="000621CA">
        <w:rPr>
          <w:rFonts w:ascii="Arial" w:hAnsi="Arial" w:cs="Arial"/>
          <w:sz w:val="20"/>
        </w:rPr>
        <w:t>statisztikai számjel</w:t>
      </w:r>
      <w:r w:rsidRPr="000621CA">
        <w:rPr>
          <w:rFonts w:ascii="Arial" w:hAnsi="Arial" w:cs="Arial"/>
          <w:sz w:val="20"/>
        </w:rPr>
        <w:t xml:space="preserve"> 13</w:t>
      </w:r>
      <w:r w:rsidR="002E034B">
        <w:rPr>
          <w:rFonts w:ascii="Arial" w:hAnsi="Arial" w:cs="Arial"/>
          <w:sz w:val="20"/>
        </w:rPr>
        <w:t>–</w:t>
      </w:r>
      <w:r w:rsidRPr="000621CA">
        <w:rPr>
          <w:rFonts w:ascii="Arial" w:hAnsi="Arial" w:cs="Arial"/>
          <w:sz w:val="20"/>
        </w:rPr>
        <w:t xml:space="preserve">15. számjegye </w:t>
      </w:r>
      <w:r w:rsidR="00A50C01" w:rsidRPr="000621CA">
        <w:rPr>
          <w:rFonts w:ascii="Arial" w:hAnsi="Arial" w:cs="Arial"/>
          <w:sz w:val="20"/>
        </w:rPr>
        <w:t>921,</w:t>
      </w:r>
      <w:r w:rsidRPr="000621CA">
        <w:rPr>
          <w:rFonts w:ascii="Arial" w:hAnsi="Arial" w:cs="Arial"/>
          <w:sz w:val="20"/>
        </w:rPr>
        <w:t xml:space="preserve"> 961.</w:t>
      </w:r>
    </w:p>
    <w:p w14:paraId="37544822" w14:textId="7F21FFBE"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.6. A K) Háztartásokat segítő nonprofit intézmények szektorba kell sorolni a következő, a listán nem szereplő szervezeteket:</w:t>
      </w:r>
    </w:p>
    <w:p w14:paraId="37600BE1" w14:textId="59282300" w:rsidR="00B36504" w:rsidRPr="000621CA" w:rsidRDefault="00B36504" w:rsidP="00B36504">
      <w:pPr>
        <w:rPr>
          <w:rFonts w:ascii="Arial" w:hAnsi="Arial" w:cs="Arial"/>
          <w:sz w:val="20"/>
        </w:rPr>
      </w:pPr>
      <w:r w:rsidRPr="000621CA">
        <w:rPr>
          <w:rFonts w:ascii="Arial" w:hAnsi="Arial" w:cs="Arial"/>
          <w:sz w:val="20"/>
        </w:rPr>
        <w:t xml:space="preserve">a) </w:t>
      </w:r>
      <w:r w:rsidR="00CF2F1A" w:rsidRPr="000621CA">
        <w:rPr>
          <w:rFonts w:ascii="Arial" w:hAnsi="Arial" w:cs="Arial"/>
          <w:sz w:val="20"/>
        </w:rPr>
        <w:t>a</w:t>
      </w:r>
      <w:r w:rsidR="00892FC5" w:rsidRPr="000621CA">
        <w:rPr>
          <w:rFonts w:ascii="Arial" w:hAnsi="Arial" w:cs="Arial"/>
          <w:sz w:val="20"/>
        </w:rPr>
        <w:t xml:space="preserve"> statisztikai számjel</w:t>
      </w:r>
      <w:r w:rsidRPr="000621CA">
        <w:rPr>
          <w:rFonts w:ascii="Arial" w:hAnsi="Arial" w:cs="Arial"/>
          <w:sz w:val="20"/>
        </w:rPr>
        <w:t xml:space="preserve"> 13</w:t>
      </w:r>
      <w:r w:rsidR="002E034B">
        <w:rPr>
          <w:rFonts w:ascii="Arial" w:hAnsi="Arial" w:cs="Arial"/>
          <w:sz w:val="20"/>
        </w:rPr>
        <w:t xml:space="preserve">. és </w:t>
      </w:r>
      <w:r w:rsidRPr="000621CA">
        <w:rPr>
          <w:rFonts w:ascii="Arial" w:hAnsi="Arial" w:cs="Arial"/>
          <w:sz w:val="20"/>
        </w:rPr>
        <w:t>14. számjegye 52, 55</w:t>
      </w:r>
      <w:r w:rsidR="00C852EF" w:rsidRPr="000621CA">
        <w:rPr>
          <w:rFonts w:ascii="Arial" w:hAnsi="Arial" w:cs="Arial"/>
          <w:sz w:val="20"/>
        </w:rPr>
        <w:t xml:space="preserve">, </w:t>
      </w:r>
    </w:p>
    <w:p w14:paraId="7AB4942C" w14:textId="73D38E5D" w:rsidR="00B36504" w:rsidRPr="000621CA" w:rsidRDefault="00B36504" w:rsidP="00B36504">
      <w:pPr>
        <w:rPr>
          <w:rFonts w:ascii="Arial" w:hAnsi="Arial" w:cs="Arial"/>
          <w:sz w:val="20"/>
        </w:rPr>
      </w:pPr>
      <w:r w:rsidRPr="000621CA">
        <w:rPr>
          <w:rFonts w:ascii="Arial" w:hAnsi="Arial" w:cs="Arial"/>
          <w:sz w:val="20"/>
        </w:rPr>
        <w:t xml:space="preserve">b) </w:t>
      </w:r>
      <w:r w:rsidR="00CF2F1A" w:rsidRPr="000621CA">
        <w:rPr>
          <w:rFonts w:ascii="Arial" w:hAnsi="Arial" w:cs="Arial"/>
          <w:sz w:val="20"/>
        </w:rPr>
        <w:t xml:space="preserve">a </w:t>
      </w:r>
      <w:r w:rsidR="00892FC5" w:rsidRPr="000621CA">
        <w:rPr>
          <w:rFonts w:ascii="Arial" w:hAnsi="Arial" w:cs="Arial"/>
          <w:sz w:val="20"/>
        </w:rPr>
        <w:t>statisztikai számjel</w:t>
      </w:r>
      <w:r w:rsidRPr="000621CA">
        <w:rPr>
          <w:rFonts w:ascii="Arial" w:hAnsi="Arial" w:cs="Arial"/>
          <w:sz w:val="20"/>
        </w:rPr>
        <w:t xml:space="preserve"> 13</w:t>
      </w:r>
      <w:r w:rsidR="002E034B">
        <w:rPr>
          <w:rFonts w:ascii="Arial" w:hAnsi="Arial" w:cs="Arial"/>
          <w:sz w:val="20"/>
        </w:rPr>
        <w:t>–</w:t>
      </w:r>
      <w:r w:rsidRPr="000621CA">
        <w:rPr>
          <w:rFonts w:ascii="Arial" w:hAnsi="Arial" w:cs="Arial"/>
          <w:sz w:val="20"/>
        </w:rPr>
        <w:t xml:space="preserve">15. számjegye </w:t>
      </w:r>
      <w:r w:rsidR="00634434" w:rsidRPr="000621CA">
        <w:rPr>
          <w:rFonts w:ascii="Arial" w:hAnsi="Arial" w:cs="Arial"/>
          <w:sz w:val="20"/>
        </w:rPr>
        <w:t xml:space="preserve">511, 512, 513, 515, 516, 517, 519, 549, </w:t>
      </w:r>
      <w:r w:rsidR="00A524E1" w:rsidRPr="000621CA">
        <w:rPr>
          <w:rFonts w:ascii="Arial" w:hAnsi="Arial" w:cs="Arial"/>
          <w:sz w:val="20"/>
        </w:rPr>
        <w:t xml:space="preserve">560, 561, 562, 563, 564, 565, 567, 568, 569, </w:t>
      </w:r>
      <w:r w:rsidRPr="000621CA">
        <w:rPr>
          <w:rFonts w:ascii="Arial" w:hAnsi="Arial" w:cs="Arial"/>
          <w:sz w:val="20"/>
        </w:rPr>
        <w:t>599, 699.</w:t>
      </w:r>
    </w:p>
    <w:p w14:paraId="7CA5493A" w14:textId="77777777" w:rsidR="00AC13E5" w:rsidRPr="000621CA" w:rsidRDefault="00B36504">
      <w:pPr>
        <w:spacing w:before="120"/>
        <w:outlineLvl w:val="0"/>
        <w:rPr>
          <w:rFonts w:ascii="Arial" w:hAnsi="Arial" w:cs="Arial"/>
          <w:sz w:val="20"/>
        </w:rPr>
      </w:pPr>
      <w:r w:rsidRPr="000621CA">
        <w:rPr>
          <w:rFonts w:ascii="Arial" w:hAnsi="Arial" w:cs="Arial"/>
          <w:sz w:val="20"/>
        </w:rPr>
        <w:t>6.</w:t>
      </w:r>
      <w:r w:rsidR="002350C0" w:rsidRPr="000621CA">
        <w:rPr>
          <w:rFonts w:ascii="Arial" w:hAnsi="Arial" w:cs="Arial"/>
          <w:sz w:val="20"/>
        </w:rPr>
        <w:t>2</w:t>
      </w:r>
      <w:r w:rsidRPr="000621CA">
        <w:rPr>
          <w:rFonts w:ascii="Arial" w:hAnsi="Arial" w:cs="Arial"/>
          <w:sz w:val="20"/>
        </w:rPr>
        <w:t>.7. Az L) Külföld szektorba kell sorolni a következő szervezeteket:</w:t>
      </w:r>
    </w:p>
    <w:p w14:paraId="6BF72FFA" w14:textId="113EB5F1" w:rsidR="00B36504" w:rsidRPr="00A61F3D" w:rsidRDefault="00CF2F1A" w:rsidP="00B36504">
      <w:pPr>
        <w:rPr>
          <w:rFonts w:ascii="Arial" w:hAnsi="Arial" w:cs="Arial"/>
          <w:sz w:val="20"/>
        </w:rPr>
      </w:pPr>
      <w:r w:rsidRPr="000621CA">
        <w:rPr>
          <w:rFonts w:ascii="Arial" w:hAnsi="Arial" w:cs="Arial"/>
          <w:sz w:val="20"/>
        </w:rPr>
        <w:t>a</w:t>
      </w:r>
      <w:r w:rsidR="00892FC5" w:rsidRPr="000621CA">
        <w:rPr>
          <w:rFonts w:ascii="Arial" w:hAnsi="Arial" w:cs="Arial"/>
          <w:sz w:val="20"/>
        </w:rPr>
        <w:t xml:space="preserve"> statisztikai számjel </w:t>
      </w:r>
      <w:r w:rsidR="00B36504" w:rsidRPr="000621CA">
        <w:rPr>
          <w:rFonts w:ascii="Arial" w:hAnsi="Arial" w:cs="Arial"/>
          <w:sz w:val="20"/>
        </w:rPr>
        <w:t>13</w:t>
      </w:r>
      <w:r w:rsidR="002E034B">
        <w:rPr>
          <w:rFonts w:ascii="Arial" w:hAnsi="Arial" w:cs="Arial"/>
          <w:sz w:val="20"/>
        </w:rPr>
        <w:t>–</w:t>
      </w:r>
      <w:r w:rsidR="00B36504" w:rsidRPr="000621CA">
        <w:rPr>
          <w:rFonts w:ascii="Arial" w:hAnsi="Arial" w:cs="Arial"/>
          <w:sz w:val="20"/>
        </w:rPr>
        <w:t xml:space="preserve">15. számjegye </w:t>
      </w:r>
      <w:r w:rsidR="00C852EF" w:rsidRPr="000621CA">
        <w:rPr>
          <w:rFonts w:ascii="Arial" w:hAnsi="Arial" w:cs="Arial"/>
          <w:sz w:val="20"/>
        </w:rPr>
        <w:t xml:space="preserve">932, </w:t>
      </w:r>
      <w:r w:rsidR="00B36504" w:rsidRPr="000621CA">
        <w:rPr>
          <w:rFonts w:ascii="Arial" w:hAnsi="Arial" w:cs="Arial"/>
          <w:sz w:val="20"/>
        </w:rPr>
        <w:t>941, 942</w:t>
      </w:r>
      <w:r w:rsidR="00607D4E">
        <w:rPr>
          <w:rFonts w:ascii="Arial" w:hAnsi="Arial" w:cs="Arial"/>
          <w:sz w:val="20"/>
        </w:rPr>
        <w:t>, 611</w:t>
      </w:r>
      <w:r w:rsidR="00B36504" w:rsidRPr="000621CA">
        <w:rPr>
          <w:rFonts w:ascii="Arial" w:hAnsi="Arial" w:cs="Arial"/>
          <w:sz w:val="20"/>
        </w:rPr>
        <w:t>.</w:t>
      </w:r>
    </w:p>
    <w:p w14:paraId="04F8780B" w14:textId="77777777" w:rsidR="006805CF" w:rsidRPr="00A61F3D" w:rsidRDefault="006805CF">
      <w:pPr>
        <w:rPr>
          <w:rFonts w:ascii="Arial" w:hAnsi="Arial" w:cs="Arial"/>
          <w:b/>
          <w:sz w:val="20"/>
        </w:rPr>
      </w:pPr>
    </w:p>
    <w:p w14:paraId="7158F3B2" w14:textId="31F82684" w:rsidR="008E281B" w:rsidRPr="00A61F3D" w:rsidRDefault="001B0E31" w:rsidP="00D3125B">
      <w:pPr>
        <w:widowControl w:val="0"/>
        <w:rPr>
          <w:rFonts w:ascii="Arial" w:hAnsi="Arial" w:cs="Arial"/>
          <w:b/>
          <w:sz w:val="20"/>
        </w:rPr>
      </w:pPr>
      <w:r>
        <w:rPr>
          <w:rFonts w:ascii="Arial" w:hAnsi="Arial" w:cs="Arial"/>
          <w:b/>
          <w:sz w:val="20"/>
        </w:rPr>
        <w:t xml:space="preserve">I. </w:t>
      </w:r>
      <w:r w:rsidR="008E281B" w:rsidRPr="00A61F3D">
        <w:rPr>
          <w:rFonts w:ascii="Arial" w:hAnsi="Arial" w:cs="Arial"/>
          <w:b/>
          <w:sz w:val="20"/>
        </w:rPr>
        <w:t>B. Az adatszolgáltatások ERA rendszeren való beküldésére vonatkozó előírások</w:t>
      </w:r>
    </w:p>
    <w:p w14:paraId="7C89D6F1" w14:textId="77777777" w:rsidR="008E281B" w:rsidRPr="00A61F3D" w:rsidRDefault="008E281B" w:rsidP="00D3125B">
      <w:pPr>
        <w:widowControl w:val="0"/>
        <w:rPr>
          <w:rFonts w:ascii="Arial" w:hAnsi="Arial" w:cs="Arial"/>
          <w:b/>
          <w:sz w:val="20"/>
        </w:rPr>
      </w:pPr>
    </w:p>
    <w:p w14:paraId="4F07CF50" w14:textId="48B38792" w:rsidR="008E281B" w:rsidRPr="00A61F3D" w:rsidRDefault="000341F8" w:rsidP="00D3125B">
      <w:pPr>
        <w:widowControl w:val="0"/>
        <w:rPr>
          <w:rFonts w:ascii="Arial" w:hAnsi="Arial" w:cs="Arial"/>
          <w:b/>
          <w:sz w:val="20"/>
        </w:rPr>
      </w:pPr>
      <w:r>
        <w:rPr>
          <w:rFonts w:ascii="Arial" w:hAnsi="Arial" w:cs="Arial"/>
          <w:b/>
          <w:sz w:val="20"/>
        </w:rPr>
        <w:t xml:space="preserve">I. B. </w:t>
      </w:r>
      <w:r w:rsidR="008E281B" w:rsidRPr="00A61F3D">
        <w:rPr>
          <w:rFonts w:ascii="Arial" w:hAnsi="Arial" w:cs="Arial"/>
          <w:b/>
          <w:sz w:val="20"/>
        </w:rPr>
        <w:t>1. Az ERA rendszer használatának technikai feltételei, a beküldésre vonatkozó alapvető szabályok</w:t>
      </w:r>
    </w:p>
    <w:p w14:paraId="79A92253" w14:textId="77777777" w:rsidR="008E281B" w:rsidRPr="00A61F3D" w:rsidRDefault="008E281B" w:rsidP="00D3125B">
      <w:pPr>
        <w:widowControl w:val="0"/>
        <w:rPr>
          <w:rFonts w:ascii="Arial" w:hAnsi="Arial" w:cs="Arial"/>
          <w:b/>
          <w:sz w:val="20"/>
        </w:rPr>
      </w:pPr>
    </w:p>
    <w:p w14:paraId="6896CA6D" w14:textId="77777777" w:rsidR="008E281B" w:rsidRPr="00A61F3D" w:rsidRDefault="008E281B" w:rsidP="00D3125B">
      <w:pPr>
        <w:widowControl w:val="0"/>
        <w:rPr>
          <w:rFonts w:ascii="Arial" w:hAnsi="Arial" w:cs="Arial"/>
          <w:sz w:val="20"/>
        </w:rPr>
      </w:pPr>
      <w:r w:rsidRPr="00A61F3D">
        <w:rPr>
          <w:rFonts w:ascii="Arial" w:hAnsi="Arial" w:cs="Arial"/>
          <w:sz w:val="20"/>
        </w:rPr>
        <w:t>1.1. Technikai feltételek:</w:t>
      </w:r>
    </w:p>
    <w:p w14:paraId="7BE0B699" w14:textId="159CE57F" w:rsidR="008E281B" w:rsidRPr="00A61F3D" w:rsidRDefault="008E281B" w:rsidP="00D3125B">
      <w:pPr>
        <w:pStyle w:val="Szveg"/>
        <w:widowControl w:val="0"/>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internetkapcsolat,</w:t>
      </w:r>
    </w:p>
    <w:p w14:paraId="76CA0736" w14:textId="31B0F72F" w:rsidR="008E281B" w:rsidRPr="00A61F3D" w:rsidRDefault="008E281B" w:rsidP="00D3125B">
      <w:pPr>
        <w:pStyle w:val="Szveg"/>
        <w:widowControl w:val="0"/>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 xml:space="preserve">HTTPS protokollon keresztül kommunikálni képes </w:t>
      </w:r>
      <w:r w:rsidR="00FE7922">
        <w:rPr>
          <w:rFonts w:ascii="Arial" w:hAnsi="Arial" w:cs="Arial"/>
          <w:sz w:val="20"/>
        </w:rPr>
        <w:t>web</w:t>
      </w:r>
      <w:r w:rsidRPr="00A61F3D">
        <w:rPr>
          <w:rFonts w:ascii="Arial" w:hAnsi="Arial" w:cs="Arial"/>
          <w:sz w:val="20"/>
        </w:rPr>
        <w:t>böngésző program,</w:t>
      </w:r>
    </w:p>
    <w:p w14:paraId="3F8397BB" w14:textId="77777777" w:rsidR="008E281B" w:rsidRPr="00A61F3D" w:rsidRDefault="008E281B" w:rsidP="00D3125B">
      <w:pPr>
        <w:pStyle w:val="Szveg"/>
        <w:widowControl w:val="0"/>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e-mail postafiók</w:t>
      </w:r>
      <w:bookmarkStart w:id="0" w:name="_Hlk7536571"/>
      <w:r w:rsidRPr="00A61F3D">
        <w:rPr>
          <w:rFonts w:ascii="Arial" w:hAnsi="Arial" w:cs="Arial"/>
          <w:sz w:val="20"/>
        </w:rPr>
        <w:t xml:space="preserve"> és</w:t>
      </w:r>
    </w:p>
    <w:p w14:paraId="3660B72D" w14:textId="77777777" w:rsidR="008E281B" w:rsidRPr="00A61F3D" w:rsidRDefault="008E281B" w:rsidP="00D3125B">
      <w:pPr>
        <w:pStyle w:val="Szveg"/>
        <w:widowControl w:val="0"/>
        <w:numPr>
          <w:ilvl w:val="0"/>
          <w:numId w:val="6"/>
        </w:numPr>
        <w:tabs>
          <w:tab w:val="clear" w:pos="360"/>
          <w:tab w:val="clear" w:pos="720"/>
        </w:tabs>
        <w:spacing w:before="0" w:line="276" w:lineRule="auto"/>
        <w:ind w:left="709" w:hanging="283"/>
        <w:rPr>
          <w:rFonts w:ascii="Arial" w:hAnsi="Arial" w:cs="Arial"/>
          <w:sz w:val="20"/>
        </w:rPr>
      </w:pPr>
      <w:r w:rsidRPr="00A61F3D">
        <w:rPr>
          <w:rFonts w:ascii="Arial" w:hAnsi="Arial" w:cs="Arial"/>
          <w:sz w:val="20"/>
        </w:rPr>
        <w:t>az ERA rendszer megfelelő szolgáltatásához tartozó érvényes regisztráció.</w:t>
      </w:r>
    </w:p>
    <w:p w14:paraId="7C318594" w14:textId="77777777" w:rsidR="008E281B" w:rsidRPr="00A61F3D" w:rsidRDefault="008E281B" w:rsidP="00D3125B">
      <w:pPr>
        <w:widowControl w:val="0"/>
        <w:spacing w:before="120"/>
        <w:rPr>
          <w:rFonts w:ascii="Arial" w:hAnsi="Arial" w:cs="Arial"/>
          <w:sz w:val="20"/>
        </w:rPr>
      </w:pPr>
      <w:bookmarkStart w:id="1" w:name="_Hlk7535991"/>
      <w:bookmarkEnd w:id="0"/>
      <w:r w:rsidRPr="00A61F3D">
        <w:rPr>
          <w:rFonts w:ascii="Arial" w:hAnsi="Arial" w:cs="Arial"/>
          <w:sz w:val="20"/>
        </w:rPr>
        <w:t>1.2. A regisztráció módja</w:t>
      </w:r>
    </w:p>
    <w:p w14:paraId="7E0A12A2" w14:textId="360B85B3" w:rsidR="008E281B" w:rsidRPr="00A61F3D" w:rsidRDefault="008E281B" w:rsidP="00D3125B">
      <w:pPr>
        <w:widowControl w:val="0"/>
        <w:spacing w:before="120"/>
        <w:ind w:left="709" w:hanging="709"/>
        <w:rPr>
          <w:rFonts w:ascii="Arial" w:hAnsi="Arial" w:cs="Arial"/>
          <w:sz w:val="20"/>
        </w:rPr>
      </w:pPr>
      <w:r w:rsidRPr="00A61F3D">
        <w:rPr>
          <w:rFonts w:ascii="Arial" w:hAnsi="Arial" w:cs="Arial"/>
          <w:bCs/>
          <w:sz w:val="20"/>
        </w:rPr>
        <w:t>1.2.1.</w:t>
      </w:r>
      <w:r w:rsidRPr="00A61F3D">
        <w:rPr>
          <w:rFonts w:ascii="Arial" w:hAnsi="Arial" w:cs="Arial"/>
          <w:bCs/>
          <w:sz w:val="20"/>
        </w:rPr>
        <w:tab/>
      </w:r>
      <w:bookmarkStart w:id="2" w:name="_Hlk7535930"/>
      <w:r w:rsidRPr="00A61F3D">
        <w:rPr>
          <w:rFonts w:ascii="Arial" w:hAnsi="Arial" w:cs="Arial"/>
          <w:bCs/>
          <w:sz w:val="20"/>
        </w:rPr>
        <w:t xml:space="preserve">Az ERA rendszer használatának előfeltétele az MNB honlapján az ERA rendszerben (elérési útvonal: </w:t>
      </w:r>
      <w:r w:rsidR="000D76F3" w:rsidRPr="00A61F3D">
        <w:rPr>
          <w:rFonts w:ascii="Arial" w:hAnsi="Arial" w:cs="Arial"/>
          <w:bCs/>
          <w:sz w:val="20"/>
        </w:rPr>
        <w:t>https://era.mnb.hu/</w:t>
      </w:r>
      <w:r w:rsidRPr="00A61F3D">
        <w:rPr>
          <w:rFonts w:ascii="Arial" w:hAnsi="Arial" w:cs="Arial"/>
          <w:bCs/>
          <w:sz w:val="20"/>
        </w:rPr>
        <w:t>) az adatszolgáltató képviseletére az adatszolgáltató törvényes képviselője által elektronikus úton írásban kijelölt természetes személy regisztráció során történő azonosítása.</w:t>
      </w:r>
      <w:r w:rsidRPr="00A61F3D">
        <w:rPr>
          <w:rFonts w:ascii="Arial" w:hAnsi="Arial" w:cs="Arial"/>
          <w:sz w:val="20"/>
        </w:rPr>
        <w:t xml:space="preserve"> </w:t>
      </w:r>
      <w:bookmarkEnd w:id="2"/>
    </w:p>
    <w:p w14:paraId="6379BACC" w14:textId="77777777" w:rsidR="008E281B" w:rsidRPr="00A61F3D" w:rsidRDefault="008E281B" w:rsidP="00D3125B">
      <w:pPr>
        <w:widowControl w:val="0"/>
        <w:spacing w:before="120"/>
        <w:ind w:left="709" w:hanging="709"/>
        <w:rPr>
          <w:rFonts w:ascii="Arial" w:hAnsi="Arial" w:cs="Arial"/>
          <w:bCs/>
          <w:sz w:val="20"/>
        </w:rPr>
      </w:pPr>
      <w:r w:rsidRPr="00A61F3D">
        <w:rPr>
          <w:rFonts w:ascii="Arial" w:hAnsi="Arial" w:cs="Arial"/>
          <w:bCs/>
          <w:sz w:val="20"/>
        </w:rPr>
        <w:t>1.2.2.</w:t>
      </w:r>
      <w:r w:rsidRPr="00A61F3D">
        <w:rPr>
          <w:rFonts w:ascii="Arial" w:hAnsi="Arial" w:cs="Arial"/>
          <w:bCs/>
          <w:sz w:val="20"/>
        </w:rPr>
        <w:tab/>
        <w:t>A regisztráció részletes folyamatát az ERA rendszer felületén elérhető „Súgó” tartalmazza.</w:t>
      </w:r>
    </w:p>
    <w:bookmarkEnd w:id="1"/>
    <w:p w14:paraId="2F97ED15" w14:textId="77777777" w:rsidR="008E281B" w:rsidRPr="00A61F3D" w:rsidRDefault="008E281B" w:rsidP="00D3125B">
      <w:pPr>
        <w:spacing w:before="120"/>
        <w:ind w:left="567" w:hanging="567"/>
        <w:rPr>
          <w:rFonts w:ascii="Arial" w:hAnsi="Arial" w:cs="Arial"/>
          <w:bCs/>
          <w:sz w:val="20"/>
        </w:rPr>
      </w:pPr>
      <w:r w:rsidRPr="00A61F3D">
        <w:rPr>
          <w:rFonts w:ascii="Arial" w:hAnsi="Arial" w:cs="Arial"/>
          <w:bCs/>
          <w:sz w:val="20"/>
        </w:rPr>
        <w:t>1.3. A regisztráció típusai</w:t>
      </w:r>
    </w:p>
    <w:p w14:paraId="28A360F1" w14:textId="77777777" w:rsidR="008E281B" w:rsidRPr="00A61F3D" w:rsidRDefault="008E281B" w:rsidP="00D3125B">
      <w:pPr>
        <w:spacing w:before="120"/>
        <w:rPr>
          <w:rFonts w:ascii="Arial" w:hAnsi="Arial" w:cs="Arial"/>
          <w:sz w:val="20"/>
        </w:rPr>
      </w:pPr>
      <w:r w:rsidRPr="00A61F3D">
        <w:rPr>
          <w:rFonts w:ascii="Arial" w:hAnsi="Arial" w:cs="Arial"/>
          <w:sz w:val="20"/>
        </w:rPr>
        <w:t>1.3.1.</w:t>
      </w:r>
      <w:r w:rsidRPr="00A61F3D">
        <w:rPr>
          <w:rFonts w:ascii="Arial" w:hAnsi="Arial" w:cs="Arial"/>
          <w:sz w:val="20"/>
        </w:rPr>
        <w:tab/>
        <w:t>Tanúsítvány alapú regisztráció szükséges, amennyiben</w:t>
      </w:r>
    </w:p>
    <w:p w14:paraId="1ECAD67E" w14:textId="77777777" w:rsidR="008E281B" w:rsidRPr="00A61F3D" w:rsidRDefault="008E281B" w:rsidP="008E281B">
      <w:pPr>
        <w:ind w:left="993" w:hanging="284"/>
        <w:rPr>
          <w:rFonts w:ascii="Arial" w:hAnsi="Arial" w:cs="Arial"/>
          <w:sz w:val="20"/>
        </w:rPr>
      </w:pPr>
      <w:r w:rsidRPr="00A61F3D">
        <w:rPr>
          <w:rFonts w:ascii="Arial" w:hAnsi="Arial" w:cs="Arial"/>
          <w:sz w:val="20"/>
        </w:rPr>
        <w:t>a)</w:t>
      </w:r>
      <w:r w:rsidRPr="00A61F3D">
        <w:rPr>
          <w:rFonts w:ascii="Arial" w:hAnsi="Arial" w:cs="Arial"/>
          <w:sz w:val="20"/>
        </w:rPr>
        <w:tab/>
        <w:t>az adatszolgáltató az MNB által felügyelt személy, szervezet, vagy</w:t>
      </w:r>
    </w:p>
    <w:p w14:paraId="66936A8D" w14:textId="36CDCB50" w:rsidR="008E281B" w:rsidRPr="00A61F3D" w:rsidRDefault="008E281B" w:rsidP="008E281B">
      <w:pPr>
        <w:ind w:left="993" w:hanging="284"/>
        <w:rPr>
          <w:rFonts w:ascii="Arial" w:hAnsi="Arial" w:cs="Arial"/>
          <w:sz w:val="20"/>
        </w:rPr>
      </w:pPr>
      <w:r w:rsidRPr="00A61F3D">
        <w:rPr>
          <w:rFonts w:ascii="Arial" w:hAnsi="Arial" w:cs="Arial"/>
          <w:sz w:val="20"/>
        </w:rPr>
        <w:t>b)</w:t>
      </w:r>
      <w:r w:rsidRPr="00A61F3D">
        <w:rPr>
          <w:rFonts w:ascii="Arial" w:hAnsi="Arial" w:cs="Arial"/>
          <w:sz w:val="20"/>
        </w:rPr>
        <w:tab/>
        <w:t xml:space="preserve">az adatszolgáltatást a beküldéskor minősített elektronikus aláírással </w:t>
      </w:r>
      <w:r w:rsidR="008B4EB6">
        <w:rPr>
          <w:rFonts w:ascii="Arial" w:hAnsi="Arial" w:cs="Arial"/>
          <w:sz w:val="20"/>
        </w:rPr>
        <w:t xml:space="preserve">vagy minősített tanúsítványon alapuló fokozott biztonságú elektronikus aláírással </w:t>
      </w:r>
      <w:r w:rsidRPr="00A61F3D">
        <w:rPr>
          <w:rFonts w:ascii="Arial" w:hAnsi="Arial" w:cs="Arial"/>
          <w:sz w:val="20"/>
        </w:rPr>
        <w:t xml:space="preserve">kell ellátni. </w:t>
      </w:r>
    </w:p>
    <w:p w14:paraId="406B87B4" w14:textId="77777777" w:rsidR="008E281B" w:rsidRPr="00D3125B" w:rsidRDefault="008E281B" w:rsidP="00D3125B">
      <w:pPr>
        <w:spacing w:before="120"/>
        <w:rPr>
          <w:rFonts w:ascii="Arial" w:hAnsi="Arial" w:cs="Arial"/>
          <w:sz w:val="20"/>
        </w:rPr>
      </w:pPr>
      <w:r w:rsidRPr="00D3125B">
        <w:rPr>
          <w:rFonts w:ascii="Arial" w:hAnsi="Arial" w:cs="Arial"/>
          <w:sz w:val="20"/>
        </w:rPr>
        <w:lastRenderedPageBreak/>
        <w:t>1.3.2.</w:t>
      </w:r>
      <w:r w:rsidRPr="00D3125B">
        <w:rPr>
          <w:rFonts w:ascii="Arial" w:hAnsi="Arial" w:cs="Arial"/>
          <w:sz w:val="20"/>
        </w:rPr>
        <w:tab/>
        <w:t>Az 1.3.1. alpontban foglaltakon kívüli esetben, az adatszolgáltató döntésétől függően az ERA rendszerhez történő regisztráció történhet</w:t>
      </w:r>
    </w:p>
    <w:p w14:paraId="7841CE1E" w14:textId="77777777" w:rsidR="008E281B" w:rsidRPr="00D3125B" w:rsidRDefault="008E281B" w:rsidP="00D3125B">
      <w:pPr>
        <w:ind w:left="993" w:hanging="284"/>
        <w:rPr>
          <w:rFonts w:ascii="Arial" w:hAnsi="Arial" w:cs="Arial"/>
          <w:sz w:val="20"/>
        </w:rPr>
      </w:pPr>
      <w:r w:rsidRPr="00D3125B">
        <w:rPr>
          <w:rFonts w:ascii="Arial" w:hAnsi="Arial" w:cs="Arial"/>
          <w:sz w:val="20"/>
        </w:rPr>
        <w:t>a)</w:t>
      </w:r>
      <w:r w:rsidRPr="00D3125B">
        <w:rPr>
          <w:rFonts w:ascii="Arial" w:hAnsi="Arial" w:cs="Arial"/>
          <w:sz w:val="20"/>
        </w:rPr>
        <w:tab/>
        <w:t>tanúsítvány alapú regisztráció vagy</w:t>
      </w:r>
    </w:p>
    <w:p w14:paraId="0F8D4AEA" w14:textId="77777777" w:rsidR="008E281B" w:rsidRPr="00D3125B" w:rsidRDefault="008E281B" w:rsidP="00D3125B">
      <w:pPr>
        <w:ind w:left="993" w:hanging="284"/>
        <w:rPr>
          <w:rFonts w:ascii="Arial" w:hAnsi="Arial" w:cs="Arial"/>
          <w:sz w:val="20"/>
        </w:rPr>
      </w:pPr>
      <w:r w:rsidRPr="00D3125B">
        <w:rPr>
          <w:rFonts w:ascii="Arial" w:hAnsi="Arial" w:cs="Arial"/>
          <w:sz w:val="20"/>
        </w:rPr>
        <w:t>b)</w:t>
      </w:r>
      <w:r w:rsidRPr="00D3125B">
        <w:rPr>
          <w:rFonts w:ascii="Arial" w:hAnsi="Arial" w:cs="Arial"/>
          <w:sz w:val="20"/>
        </w:rPr>
        <w:tab/>
        <w:t>felhasználónév-jelszó alapú regisztráció</w:t>
      </w:r>
    </w:p>
    <w:p w14:paraId="3A7FA9C8" w14:textId="77777777" w:rsidR="008E281B" w:rsidRPr="00A61F3D" w:rsidRDefault="008E281B" w:rsidP="00D3125B">
      <w:pPr>
        <w:widowControl w:val="0"/>
        <w:tabs>
          <w:tab w:val="left" w:pos="709"/>
        </w:tabs>
        <w:ind w:left="709"/>
        <w:rPr>
          <w:rFonts w:ascii="Arial" w:hAnsi="Arial" w:cs="Arial"/>
          <w:color w:val="000000"/>
          <w:sz w:val="20"/>
        </w:rPr>
      </w:pPr>
      <w:r w:rsidRPr="00A61F3D">
        <w:rPr>
          <w:rFonts w:ascii="Arial" w:hAnsi="Arial" w:cs="Arial"/>
          <w:color w:val="000000"/>
          <w:sz w:val="20"/>
        </w:rPr>
        <w:t>útján.</w:t>
      </w:r>
    </w:p>
    <w:p w14:paraId="4EA12F07" w14:textId="77777777" w:rsidR="008E281B" w:rsidRPr="00A61F3D" w:rsidRDefault="008E281B" w:rsidP="008E281B">
      <w:pPr>
        <w:spacing w:before="120"/>
        <w:rPr>
          <w:rFonts w:ascii="Arial" w:hAnsi="Arial" w:cs="Arial"/>
          <w:sz w:val="20"/>
        </w:rPr>
      </w:pPr>
      <w:r w:rsidRPr="00A61F3D">
        <w:rPr>
          <w:rFonts w:ascii="Arial" w:hAnsi="Arial" w:cs="Arial"/>
          <w:color w:val="000000"/>
          <w:sz w:val="20"/>
        </w:rPr>
        <w:t>1.3.3.</w:t>
      </w:r>
      <w:r w:rsidRPr="00A61F3D">
        <w:rPr>
          <w:rFonts w:ascii="Arial" w:hAnsi="Arial" w:cs="Arial"/>
          <w:color w:val="000000"/>
          <w:sz w:val="20"/>
        </w:rPr>
        <w:tab/>
      </w:r>
      <w:r w:rsidRPr="00A61F3D">
        <w:rPr>
          <w:rFonts w:ascii="Arial" w:hAnsi="Arial" w:cs="Arial"/>
          <w:sz w:val="20"/>
        </w:rPr>
        <w:t>A regisztráció előfeltételei:</w:t>
      </w:r>
    </w:p>
    <w:p w14:paraId="1896036D" w14:textId="4C20C931" w:rsidR="008E281B" w:rsidRPr="00A61F3D" w:rsidRDefault="008E281B" w:rsidP="008E281B">
      <w:pPr>
        <w:pStyle w:val="Listaszerbekezds"/>
        <w:numPr>
          <w:ilvl w:val="2"/>
          <w:numId w:val="25"/>
        </w:numPr>
        <w:spacing w:after="150"/>
        <w:ind w:left="993" w:hanging="284"/>
        <w:contextualSpacing/>
        <w:rPr>
          <w:rFonts w:ascii="Arial" w:hAnsi="Arial" w:cs="Arial"/>
          <w:sz w:val="20"/>
        </w:rPr>
      </w:pPr>
      <w:r w:rsidRPr="00A61F3D">
        <w:rPr>
          <w:rFonts w:ascii="Arial" w:hAnsi="Arial" w:cs="Arial"/>
          <w:sz w:val="20"/>
        </w:rPr>
        <w:t xml:space="preserve">tanúsítvány alapú regisztráció esetén a regisztráló felhasználónak rendelkeznie kell minősített elektronikus aláíró tanúsítvánnyal </w:t>
      </w:r>
      <w:r w:rsidR="00533400" w:rsidRPr="00533400">
        <w:rPr>
          <w:rFonts w:ascii="Arial" w:hAnsi="Arial" w:cs="Arial"/>
          <w:bCs/>
          <w:sz w:val="20"/>
          <w:lang w:val="hu-HU"/>
        </w:rPr>
        <w:t>vagy</w:t>
      </w:r>
      <w:r w:rsidR="00533400" w:rsidRPr="00533400">
        <w:rPr>
          <w:rFonts w:ascii="Arial" w:hAnsi="Arial" w:cs="Arial"/>
          <w:sz w:val="20"/>
          <w:lang w:val="hu-HU"/>
        </w:rPr>
        <w:t xml:space="preserve"> </w:t>
      </w:r>
      <w:r w:rsidR="00533400" w:rsidRPr="00533400">
        <w:rPr>
          <w:rFonts w:ascii="Arial" w:hAnsi="Arial" w:cs="Arial"/>
          <w:bCs/>
          <w:sz w:val="20"/>
          <w:lang w:val="hu-HU"/>
        </w:rPr>
        <w:t>minősített tanúsítványon alapuló fokozott biztonságú elektronikus aláírással</w:t>
      </w:r>
      <w:r w:rsidR="003210F4">
        <w:rPr>
          <w:rFonts w:ascii="Arial" w:hAnsi="Arial" w:cs="Arial"/>
          <w:bCs/>
          <w:sz w:val="20"/>
          <w:lang w:val="hu-HU"/>
        </w:rPr>
        <w:t>;</w:t>
      </w:r>
      <w:r w:rsidRPr="00A61F3D">
        <w:rPr>
          <w:rFonts w:ascii="Arial" w:eastAsia="Calibri" w:hAnsi="Arial" w:cs="Arial"/>
          <w:sz w:val="20"/>
        </w:rPr>
        <w:t xml:space="preserve"> </w:t>
      </w:r>
      <w:bookmarkStart w:id="3" w:name="_Hlk76049847"/>
    </w:p>
    <w:bookmarkEnd w:id="3"/>
    <w:p w14:paraId="4E0E24F1" w14:textId="3341B91C" w:rsidR="008E281B" w:rsidRPr="00A61F3D" w:rsidRDefault="008E281B" w:rsidP="008E281B">
      <w:pPr>
        <w:pStyle w:val="Listaszerbekezds"/>
        <w:numPr>
          <w:ilvl w:val="0"/>
          <w:numId w:val="25"/>
        </w:numPr>
        <w:ind w:left="993" w:hanging="284"/>
        <w:contextualSpacing/>
        <w:rPr>
          <w:rFonts w:ascii="Arial" w:hAnsi="Arial" w:cs="Arial"/>
          <w:sz w:val="20"/>
        </w:rPr>
      </w:pPr>
      <w:r w:rsidRPr="00A61F3D">
        <w:rPr>
          <w:rFonts w:ascii="Arial" w:hAnsi="Arial" w:cs="Arial"/>
          <w:sz w:val="20"/>
        </w:rPr>
        <w:t xml:space="preserve">regisztráció kizárólag a regisztrációs folyamat során keletkező regisztrációs </w:t>
      </w:r>
      <w:r w:rsidR="00B71391">
        <w:rPr>
          <w:rFonts w:ascii="Arial" w:hAnsi="Arial" w:cs="Arial"/>
          <w:sz w:val="20"/>
          <w:lang w:val="hu-HU"/>
        </w:rPr>
        <w:t>adat</w:t>
      </w:r>
      <w:r w:rsidRPr="00A61F3D">
        <w:rPr>
          <w:rFonts w:ascii="Arial" w:hAnsi="Arial" w:cs="Arial"/>
          <w:sz w:val="20"/>
        </w:rPr>
        <w:t xml:space="preserve">lapnak az MNB részére </w:t>
      </w:r>
      <w:r w:rsidR="00702220" w:rsidRPr="00702220">
        <w:rPr>
          <w:rFonts w:ascii="Arial" w:hAnsi="Arial" w:cs="Arial"/>
          <w:sz w:val="20"/>
        </w:rPr>
        <w:t>az adatszolgáltató Cégkapuján</w:t>
      </w:r>
      <w:r w:rsidR="00702220">
        <w:t xml:space="preserve"> </w:t>
      </w:r>
      <w:r w:rsidRPr="00A61F3D">
        <w:rPr>
          <w:rFonts w:ascii="Arial" w:hAnsi="Arial" w:cs="Arial"/>
          <w:sz w:val="20"/>
        </w:rPr>
        <w:t>történő eljuttatásával igényelhető.</w:t>
      </w:r>
    </w:p>
    <w:p w14:paraId="59A7A5AF" w14:textId="77777777" w:rsidR="008E281B" w:rsidRPr="00A61F3D" w:rsidRDefault="008E281B" w:rsidP="00D3125B">
      <w:pPr>
        <w:spacing w:before="120"/>
        <w:rPr>
          <w:rFonts w:ascii="Arial" w:hAnsi="Arial" w:cs="Arial"/>
          <w:sz w:val="20"/>
        </w:rPr>
      </w:pPr>
      <w:r w:rsidRPr="00A61F3D">
        <w:rPr>
          <w:rFonts w:ascii="Arial" w:hAnsi="Arial" w:cs="Arial"/>
          <w:sz w:val="20"/>
        </w:rPr>
        <w:t>1.4. Bejelentkezés</w:t>
      </w:r>
    </w:p>
    <w:p w14:paraId="0B7AD233" w14:textId="77777777" w:rsidR="008E281B" w:rsidRPr="00A61F3D" w:rsidRDefault="008E281B" w:rsidP="008E281B">
      <w:pPr>
        <w:rPr>
          <w:rFonts w:ascii="Arial" w:hAnsi="Arial" w:cs="Arial"/>
          <w:sz w:val="20"/>
        </w:rPr>
      </w:pPr>
      <w:r w:rsidRPr="00A61F3D">
        <w:rPr>
          <w:rFonts w:ascii="Arial" w:hAnsi="Arial" w:cs="Arial"/>
          <w:sz w:val="20"/>
        </w:rPr>
        <w:t>Az ERA rendszerbe történő bejelentkezés felhasználónév és jelszó használata útján történik.</w:t>
      </w:r>
    </w:p>
    <w:p w14:paraId="01DE9784" w14:textId="77777777" w:rsidR="008E281B" w:rsidRPr="00A61F3D" w:rsidRDefault="008E281B" w:rsidP="008E281B">
      <w:pPr>
        <w:rPr>
          <w:rFonts w:ascii="Arial" w:hAnsi="Arial" w:cs="Arial"/>
          <w:sz w:val="20"/>
        </w:rPr>
      </w:pPr>
      <w:r w:rsidRPr="00A61F3D">
        <w:rPr>
          <w:rFonts w:ascii="Arial" w:hAnsi="Arial" w:cs="Arial"/>
          <w:sz w:val="20"/>
        </w:rPr>
        <w:t>A regisztráció során felhasználónévként kizárólag egyedi, más felhasználó által még nem regisztrált felhasználónév választható. Az ERA rendszer a felhasználónév egyediségét ellenőrzi.</w:t>
      </w:r>
    </w:p>
    <w:p w14:paraId="407993F8" w14:textId="77777777" w:rsidR="008E281B" w:rsidRPr="00A61F3D" w:rsidRDefault="008E281B" w:rsidP="008E281B">
      <w:pPr>
        <w:keepNext/>
        <w:spacing w:before="120" w:after="120"/>
        <w:rPr>
          <w:rFonts w:ascii="Arial" w:hAnsi="Arial" w:cs="Arial"/>
          <w:sz w:val="20"/>
        </w:rPr>
      </w:pPr>
      <w:r w:rsidRPr="00A61F3D">
        <w:rPr>
          <w:rFonts w:ascii="Arial" w:hAnsi="Arial" w:cs="Arial"/>
          <w:sz w:val="20"/>
        </w:rPr>
        <w:t>1.5.</w:t>
      </w:r>
      <w:r w:rsidRPr="00A61F3D">
        <w:rPr>
          <w:rFonts w:ascii="Arial" w:hAnsi="Arial" w:cs="Arial"/>
          <w:b/>
          <w:sz w:val="20"/>
        </w:rPr>
        <w:t xml:space="preserve"> </w:t>
      </w:r>
      <w:r w:rsidRPr="00A61F3D">
        <w:rPr>
          <w:rFonts w:ascii="Arial" w:hAnsi="Arial" w:cs="Arial"/>
          <w:sz w:val="20"/>
        </w:rPr>
        <w:t>Az adatszolgáltatások ERA rendszeren keresztül való teljesítésének szabályai</w:t>
      </w:r>
    </w:p>
    <w:p w14:paraId="132E683D" w14:textId="77777777" w:rsidR="008E281B" w:rsidRPr="00A61F3D" w:rsidRDefault="008E281B" w:rsidP="00D3125B">
      <w:pPr>
        <w:ind w:left="709" w:hanging="709"/>
        <w:rPr>
          <w:rFonts w:ascii="Arial" w:hAnsi="Arial" w:cs="Arial"/>
          <w:bCs/>
          <w:sz w:val="20"/>
        </w:rPr>
      </w:pPr>
      <w:r w:rsidRPr="00A61F3D">
        <w:rPr>
          <w:rFonts w:ascii="Arial" w:hAnsi="Arial" w:cs="Arial"/>
          <w:bCs/>
          <w:sz w:val="20"/>
        </w:rPr>
        <w:t>1.5.1.</w:t>
      </w:r>
      <w:r w:rsidRPr="00A61F3D">
        <w:rPr>
          <w:rFonts w:ascii="Arial" w:hAnsi="Arial" w:cs="Arial"/>
          <w:bCs/>
          <w:sz w:val="20"/>
        </w:rPr>
        <w:tab/>
        <w:t xml:space="preserve">A szükséges jogosultságok birtokában az ERA rendszer az MNB honlapján keresztül érhető el. </w:t>
      </w:r>
      <w:r w:rsidRPr="00A61F3D">
        <w:rPr>
          <w:rFonts w:ascii="Arial" w:hAnsi="Arial" w:cs="Arial"/>
          <w:sz w:val="20"/>
        </w:rPr>
        <w:t xml:space="preserve">Az ERA rendszeren </w:t>
      </w:r>
      <w:r w:rsidRPr="00A61F3D">
        <w:rPr>
          <w:rFonts w:ascii="Arial" w:hAnsi="Arial" w:cs="Arial"/>
          <w:bCs/>
          <w:sz w:val="20"/>
        </w:rPr>
        <w:t xml:space="preserve">keresztül az adatszolgáltató nevében kizárólag érvényes és jóváhagyott regisztrációval rendelkező személy jogosult adatszolgáltatást beküldeni. </w:t>
      </w:r>
    </w:p>
    <w:p w14:paraId="7661A926" w14:textId="1DFFF8ED" w:rsidR="008E281B" w:rsidRPr="00A61F3D" w:rsidRDefault="008E281B" w:rsidP="00D3125B">
      <w:pPr>
        <w:ind w:left="709" w:hanging="709"/>
        <w:rPr>
          <w:rFonts w:ascii="Arial" w:hAnsi="Arial" w:cs="Arial"/>
          <w:bCs/>
          <w:sz w:val="20"/>
        </w:rPr>
      </w:pPr>
      <w:r w:rsidRPr="00A61F3D">
        <w:rPr>
          <w:rFonts w:ascii="Arial" w:hAnsi="Arial" w:cs="Arial"/>
          <w:bCs/>
          <w:sz w:val="20"/>
        </w:rPr>
        <w:t>1.5.2.</w:t>
      </w:r>
      <w:r w:rsidR="00C544B2">
        <w:rPr>
          <w:rFonts w:ascii="Arial" w:hAnsi="Arial" w:cs="Arial"/>
          <w:bCs/>
          <w:sz w:val="20"/>
        </w:rPr>
        <w:tab/>
      </w:r>
      <w:r w:rsidRPr="00A61F3D">
        <w:rPr>
          <w:rFonts w:ascii="Arial" w:hAnsi="Arial" w:cs="Arial"/>
          <w:bCs/>
          <w:sz w:val="20"/>
        </w:rPr>
        <w:t xml:space="preserve">Az adatszolgáltató az ERA rendszerbe feltöltött adatszolgáltatásról a beérkezés időpontját, érkeztetési számát és a küldeményazonosító K-számát tartalmazó, automatikus „Beérkezett” elektronikus levél üzenetet kap. </w:t>
      </w:r>
      <w:r w:rsidRPr="00A61F3D">
        <w:rPr>
          <w:rFonts w:ascii="Arial" w:hAnsi="Arial" w:cs="Arial"/>
          <w:sz w:val="20"/>
        </w:rPr>
        <w:t xml:space="preserve">Az e rendelettel elrendelt L71, L72, L73, L74, T02 MNB azonosító kódú adatszolgáltatás kivételével </w:t>
      </w:r>
      <w:bookmarkStart w:id="4" w:name="_Hlk12002137"/>
      <w:r w:rsidRPr="00A61F3D">
        <w:rPr>
          <w:rFonts w:ascii="Arial" w:hAnsi="Arial" w:cs="Arial"/>
          <w:sz w:val="20"/>
        </w:rPr>
        <w:t>az üzenet jelentése, hogy az adott adatszolgáltatást az üzenetben jelzett időpontban az adatszolgáltató teljesítette, de nem jelenti azt, hogy az adatszolgáltatás tartalmilag hibátlannak minősül. Az ellenőrzést követően az MNB módosító adatszolgáltatás beküldését kérheti.</w:t>
      </w:r>
      <w:bookmarkEnd w:id="4"/>
      <w:r w:rsidRPr="00A61F3D">
        <w:rPr>
          <w:rFonts w:ascii="Arial" w:hAnsi="Arial" w:cs="Arial"/>
          <w:sz w:val="20"/>
        </w:rPr>
        <w:t xml:space="preserve"> Az L71, L72, L73, L74, T02 MNB azonosító kódú adatszolgáltatás esetében az üzenet jelentése, hogy az adatszolgáltató által feltöltött küldemény beérkezett, és a küldeményben szereplő információk feldolgozása megkezdődött.</w:t>
      </w:r>
    </w:p>
    <w:p w14:paraId="1BA31177" w14:textId="7FFD5DCE" w:rsidR="008E281B" w:rsidRPr="00A61F3D" w:rsidRDefault="008E281B" w:rsidP="00D3125B">
      <w:pPr>
        <w:ind w:left="709" w:hanging="709"/>
        <w:rPr>
          <w:rFonts w:ascii="Arial" w:hAnsi="Arial" w:cs="Arial"/>
          <w:bCs/>
          <w:sz w:val="20"/>
        </w:rPr>
      </w:pPr>
      <w:r w:rsidRPr="00A61F3D">
        <w:rPr>
          <w:rFonts w:ascii="Arial" w:hAnsi="Arial" w:cs="Arial"/>
          <w:bCs/>
          <w:sz w:val="20"/>
        </w:rPr>
        <w:t>1.5.3.</w:t>
      </w:r>
      <w:r w:rsidR="00C544B2">
        <w:rPr>
          <w:rFonts w:ascii="Arial" w:hAnsi="Arial" w:cs="Arial"/>
          <w:bCs/>
          <w:sz w:val="20"/>
        </w:rPr>
        <w:tab/>
      </w:r>
      <w:r w:rsidRPr="00A61F3D">
        <w:rPr>
          <w:rFonts w:ascii="Arial" w:hAnsi="Arial" w:cs="Arial"/>
          <w:sz w:val="20"/>
        </w:rPr>
        <w:t>Amennyiben az adatszolgáltató az e rendelettel elrendelt L71, L72, L73, L74, T02 MNB azonosító kódú adatszolgáltatást, valamint a jegybanki információs rendszerhez elsődlegesen az MNB felügyeleti feladatai ellátása érdekében, MNB rendelettel elrendelt felügyeleti jelentést, adatszolgáltatást (a továbbiakban: felügyeleti adatszolgáltatás) hibásan teljesíti, akkor az adatszolgáltató „visszautasított” státuszról szóló elektronikus levél üzenetet kap, míg sikeres teljesítés esetén „feldolgozott” státuszról szóló elektronikus levél üzenetet kap.</w:t>
      </w:r>
    </w:p>
    <w:p w14:paraId="59E1C30B" w14:textId="6D672584" w:rsidR="008E281B" w:rsidRPr="00A61F3D" w:rsidRDefault="008E281B" w:rsidP="00D3125B">
      <w:pPr>
        <w:ind w:left="709" w:hanging="709"/>
        <w:rPr>
          <w:rFonts w:ascii="Arial" w:hAnsi="Arial" w:cs="Arial"/>
          <w:bCs/>
          <w:sz w:val="20"/>
        </w:rPr>
      </w:pPr>
      <w:r w:rsidRPr="00A61F3D">
        <w:rPr>
          <w:rFonts w:ascii="Arial" w:hAnsi="Arial" w:cs="Arial"/>
          <w:bCs/>
          <w:sz w:val="20"/>
        </w:rPr>
        <w:t>1.5.4.</w:t>
      </w:r>
      <w:r w:rsidR="00C544B2">
        <w:rPr>
          <w:rFonts w:ascii="Arial" w:hAnsi="Arial" w:cs="Arial"/>
          <w:bCs/>
          <w:sz w:val="20"/>
        </w:rPr>
        <w:tab/>
      </w:r>
      <w:r w:rsidRPr="00A61F3D">
        <w:rPr>
          <w:rFonts w:ascii="Arial" w:hAnsi="Arial" w:cs="Arial"/>
          <w:sz w:val="20"/>
        </w:rPr>
        <w:t xml:space="preserve">Az L71, L72, L73, L74, T02 MNB azonosító kódú adatszolgáltatást, valamint a felügyeleti </w:t>
      </w:r>
      <w:r w:rsidRPr="00DF5C50">
        <w:rPr>
          <w:rFonts w:ascii="Arial" w:hAnsi="Arial" w:cs="Arial"/>
          <w:sz w:val="20"/>
        </w:rPr>
        <w:t>adatszolgáltatást az MNB akkor tekinti teljesítettnek, ha az adatszolgáltató az ERA rendszerben megküldött adatszolgáltatására vonatkozóan „feldolgozott”</w:t>
      </w:r>
      <w:r w:rsidR="00E231ED">
        <w:rPr>
          <w:rFonts w:ascii="Arial" w:hAnsi="Arial" w:cs="Arial"/>
          <w:sz w:val="20"/>
        </w:rPr>
        <w:t>,</w:t>
      </w:r>
      <w:r w:rsidR="00DF5C50">
        <w:rPr>
          <w:rFonts w:ascii="Arial" w:hAnsi="Arial" w:cs="Arial"/>
          <w:sz w:val="20"/>
        </w:rPr>
        <w:t xml:space="preserve"> </w:t>
      </w:r>
      <w:r w:rsidR="00E231ED">
        <w:rPr>
          <w:rFonts w:ascii="Arial" w:hAnsi="Arial" w:cs="Arial"/>
          <w:sz w:val="20"/>
        </w:rPr>
        <w:t>„</w:t>
      </w:r>
      <w:r w:rsidR="00DF5C50" w:rsidRPr="00DF5C50">
        <w:rPr>
          <w:rFonts w:ascii="Arial" w:hAnsi="Arial" w:cs="Arial"/>
          <w:sz w:val="20"/>
        </w:rPr>
        <w:t>érvényes hibátlan” vagy „érvényes hibás”</w:t>
      </w:r>
      <w:r w:rsidR="00DF5C50">
        <w:rPr>
          <w:rFonts w:ascii="Arial" w:hAnsi="Arial" w:cs="Arial"/>
          <w:sz w:val="20"/>
        </w:rPr>
        <w:t xml:space="preserve"> </w:t>
      </w:r>
      <w:r w:rsidRPr="00DF5C50">
        <w:rPr>
          <w:rFonts w:ascii="Arial" w:hAnsi="Arial" w:cs="Arial"/>
          <w:sz w:val="20"/>
        </w:rPr>
        <w:t>státuszról szóló elektronikus levél üzenetet kapott.</w:t>
      </w:r>
    </w:p>
    <w:p w14:paraId="53337986" w14:textId="77777777" w:rsidR="008E281B" w:rsidRPr="00A61F3D" w:rsidRDefault="008E281B" w:rsidP="00D3125B">
      <w:pPr>
        <w:spacing w:before="120" w:after="120"/>
        <w:rPr>
          <w:rFonts w:ascii="Arial" w:hAnsi="Arial" w:cs="Arial"/>
          <w:sz w:val="20"/>
        </w:rPr>
      </w:pPr>
      <w:r w:rsidRPr="00A61F3D">
        <w:rPr>
          <w:rFonts w:ascii="Arial" w:hAnsi="Arial" w:cs="Arial"/>
          <w:sz w:val="20"/>
        </w:rPr>
        <w:t>1.6. Az űrlapon teljesítendő adatszolgáltatások speciális szabályai</w:t>
      </w:r>
    </w:p>
    <w:p w14:paraId="78C9F439" w14:textId="77777777" w:rsidR="008E281B" w:rsidRPr="00A61F3D" w:rsidRDefault="008E281B" w:rsidP="008E281B">
      <w:pPr>
        <w:ind w:left="567" w:hanging="567"/>
        <w:rPr>
          <w:rFonts w:ascii="Arial" w:hAnsi="Arial" w:cs="Arial"/>
          <w:bCs/>
          <w:sz w:val="20"/>
        </w:rPr>
      </w:pPr>
      <w:r w:rsidRPr="00A61F3D">
        <w:rPr>
          <w:rFonts w:ascii="Arial" w:hAnsi="Arial" w:cs="Arial"/>
          <w:bCs/>
          <w:sz w:val="20"/>
        </w:rPr>
        <w:t>1.6.1.</w:t>
      </w:r>
      <w:r w:rsidRPr="00A61F3D">
        <w:rPr>
          <w:rFonts w:ascii="Arial" w:hAnsi="Arial" w:cs="Arial"/>
          <w:bCs/>
          <w:sz w:val="20"/>
        </w:rPr>
        <w:tab/>
        <w:t>Az adatszolgáltató az ERA rendszerbe feltöltött űrlapokról a beérkezés időpontját és érkeztetési számát tartalmazó, automatikus „beérkezett” elektronikus levél üzenetet kap.</w:t>
      </w:r>
    </w:p>
    <w:p w14:paraId="76AB3A25" w14:textId="77777777" w:rsidR="008E281B" w:rsidRPr="00A61F3D" w:rsidRDefault="008E281B" w:rsidP="00D3125B">
      <w:pPr>
        <w:spacing w:before="120"/>
        <w:ind w:left="567" w:hanging="567"/>
        <w:rPr>
          <w:rFonts w:ascii="Arial" w:hAnsi="Arial" w:cs="Arial"/>
          <w:bCs/>
          <w:sz w:val="20"/>
        </w:rPr>
      </w:pPr>
      <w:r w:rsidRPr="00A61F3D">
        <w:rPr>
          <w:rFonts w:ascii="Arial" w:hAnsi="Arial" w:cs="Arial"/>
          <w:bCs/>
          <w:sz w:val="20"/>
        </w:rPr>
        <w:t xml:space="preserve">1.6.2. </w:t>
      </w:r>
      <w:r w:rsidRPr="00A61F3D">
        <w:rPr>
          <w:rFonts w:ascii="Arial" w:hAnsi="Arial" w:cs="Arial"/>
          <w:bCs/>
          <w:sz w:val="20"/>
        </w:rPr>
        <w:tab/>
        <w:t>Az adatszolgáltatást az MNB akkor tekinti teljesítettnek, ha az adatszolgáltató ERA rendszerbe feltöltött űrlapon teljesített adatszolgáltatására vonatkozóan az érkeztetési számot tartalmazó automatikus elektronikus levél üzenetet kapott.</w:t>
      </w:r>
    </w:p>
    <w:p w14:paraId="0DFA525D" w14:textId="77777777" w:rsidR="008E281B" w:rsidRPr="00A61F3D" w:rsidRDefault="008E281B" w:rsidP="00D3125B">
      <w:pPr>
        <w:spacing w:before="120"/>
        <w:ind w:left="567" w:hanging="567"/>
        <w:rPr>
          <w:rFonts w:ascii="Arial" w:hAnsi="Arial" w:cs="Arial"/>
          <w:bCs/>
          <w:sz w:val="20"/>
        </w:rPr>
      </w:pPr>
      <w:r w:rsidRPr="00A61F3D">
        <w:rPr>
          <w:rFonts w:ascii="Arial" w:hAnsi="Arial" w:cs="Arial"/>
          <w:bCs/>
          <w:sz w:val="20"/>
        </w:rPr>
        <w:t>1.7. Az adatszolgáltatás teljesítésében való technikai akadályoztatással kapcsolatos bejelentés szabályai</w:t>
      </w:r>
    </w:p>
    <w:p w14:paraId="7C618A01" w14:textId="22DEBDAE" w:rsidR="00FB06FC" w:rsidRPr="00AE5AE2" w:rsidRDefault="008E281B">
      <w:pPr>
        <w:autoSpaceDE w:val="0"/>
        <w:autoSpaceDN w:val="0"/>
        <w:adjustRightInd w:val="0"/>
        <w:spacing w:before="120" w:after="120"/>
        <w:ind w:left="567" w:hanging="567"/>
        <w:rPr>
          <w:rFonts w:ascii="Arial" w:hAnsi="Arial" w:cs="Arial"/>
          <w:sz w:val="20"/>
        </w:rPr>
      </w:pPr>
      <w:r w:rsidRPr="00AE5AE2">
        <w:rPr>
          <w:rFonts w:ascii="Arial" w:hAnsi="Arial" w:cs="Arial"/>
          <w:sz w:val="20"/>
        </w:rPr>
        <w:t>1.7.1. Az 1. melléklet értelmében az adatszolgáltatást elektronikus úton, az ERA rendszer</w:t>
      </w:r>
      <w:r w:rsidR="00482750" w:rsidRPr="00AE5AE2">
        <w:rPr>
          <w:rFonts w:ascii="Arial" w:hAnsi="Arial" w:cs="Arial"/>
          <w:sz w:val="20"/>
        </w:rPr>
        <w:t>ben</w:t>
      </w:r>
      <w:r w:rsidR="009D30E0" w:rsidRPr="00AE5AE2">
        <w:rPr>
          <w:rFonts w:ascii="Arial" w:hAnsi="Arial" w:cs="Arial"/>
          <w:sz w:val="20"/>
        </w:rPr>
        <w:t xml:space="preserve"> </w:t>
      </w:r>
      <w:r w:rsidRPr="00AE5AE2">
        <w:rPr>
          <w:rFonts w:ascii="Arial" w:hAnsi="Arial" w:cs="Arial"/>
          <w:sz w:val="20"/>
        </w:rPr>
        <w:t>teljesítő adatszolgáltató az adatszolgáltatás teljesítésében való technikai akadályoztatásával kapcsolatos bejelentését elektronikus formában,</w:t>
      </w:r>
    </w:p>
    <w:p w14:paraId="5C16D67C" w14:textId="1B79B9CF" w:rsidR="00072F85" w:rsidRPr="00AE5AE2" w:rsidRDefault="00FB06FC" w:rsidP="00072F85">
      <w:pPr>
        <w:autoSpaceDE w:val="0"/>
        <w:autoSpaceDN w:val="0"/>
        <w:adjustRightInd w:val="0"/>
        <w:ind w:left="851" w:hanging="284"/>
        <w:rPr>
          <w:rFonts w:ascii="Arial" w:hAnsi="Arial" w:cs="Arial"/>
          <w:sz w:val="20"/>
        </w:rPr>
      </w:pPr>
      <w:r w:rsidRPr="00AE5AE2">
        <w:rPr>
          <w:rFonts w:ascii="Arial" w:hAnsi="Arial" w:cs="Arial"/>
          <w:sz w:val="20"/>
        </w:rPr>
        <w:t xml:space="preserve">a) </w:t>
      </w:r>
      <w:r w:rsidR="008E281B" w:rsidRPr="00AE5AE2">
        <w:rPr>
          <w:rFonts w:ascii="Arial" w:hAnsi="Arial" w:cs="Arial"/>
          <w:sz w:val="20"/>
        </w:rPr>
        <w:t>az ERA rendszer</w:t>
      </w:r>
      <w:r w:rsidR="009D30E0" w:rsidRPr="00AE5AE2">
        <w:rPr>
          <w:rFonts w:ascii="Arial" w:hAnsi="Arial" w:cs="Arial"/>
          <w:sz w:val="20"/>
        </w:rPr>
        <w:t xml:space="preserve"> </w:t>
      </w:r>
      <w:r w:rsidR="005C5A8F" w:rsidRPr="00AE5AE2">
        <w:rPr>
          <w:rFonts w:ascii="Arial" w:hAnsi="Arial" w:cs="Arial"/>
          <w:sz w:val="20"/>
        </w:rPr>
        <w:t>„</w:t>
      </w:r>
      <w:r w:rsidR="009D30E0" w:rsidRPr="00AE5AE2">
        <w:rPr>
          <w:rFonts w:ascii="Arial" w:hAnsi="Arial" w:cs="Arial"/>
          <w:sz w:val="20"/>
        </w:rPr>
        <w:t>Adatszolgáltatás</w:t>
      </w:r>
      <w:r w:rsidR="005C5A8F" w:rsidRPr="00AE5AE2">
        <w:rPr>
          <w:rFonts w:ascii="Arial" w:hAnsi="Arial" w:cs="Arial"/>
          <w:sz w:val="20"/>
        </w:rPr>
        <w:t>"</w:t>
      </w:r>
      <w:r w:rsidR="009D30E0" w:rsidRPr="00AE5AE2">
        <w:rPr>
          <w:rFonts w:ascii="Arial" w:hAnsi="Arial" w:cs="Arial"/>
          <w:sz w:val="20"/>
        </w:rPr>
        <w:t xml:space="preserve"> szolgáltatásán</w:t>
      </w:r>
      <w:r w:rsidR="008E281B" w:rsidRPr="00AE5AE2">
        <w:rPr>
          <w:rFonts w:ascii="Arial" w:hAnsi="Arial" w:cs="Arial"/>
          <w:sz w:val="20"/>
        </w:rPr>
        <w:t xml:space="preserve"> keresztül </w:t>
      </w:r>
      <w:r w:rsidR="00072F85" w:rsidRPr="00AE5AE2">
        <w:rPr>
          <w:rFonts w:ascii="Arial" w:hAnsi="Arial" w:cs="Arial"/>
          <w:sz w:val="20"/>
        </w:rPr>
        <w:t xml:space="preserve">teljesített adatszolgáltatás esetén </w:t>
      </w:r>
      <w:r w:rsidR="00EE77CC" w:rsidRPr="00AE5AE2">
        <w:rPr>
          <w:rFonts w:ascii="Arial" w:hAnsi="Arial" w:cs="Arial"/>
          <w:sz w:val="20"/>
        </w:rPr>
        <w:t xml:space="preserve">az </w:t>
      </w:r>
      <w:r w:rsidR="00072F85" w:rsidRPr="00AE5AE2">
        <w:rPr>
          <w:rFonts w:ascii="Arial" w:hAnsi="Arial" w:cs="Arial"/>
          <w:sz w:val="20"/>
        </w:rPr>
        <w:t xml:space="preserve">e szolgáltatás alatt elérhető </w:t>
      </w:r>
      <w:r w:rsidR="005C06D0" w:rsidRPr="00AE5AE2">
        <w:rPr>
          <w:rFonts w:ascii="Arial" w:hAnsi="Arial" w:cs="Arial"/>
          <w:sz w:val="20"/>
        </w:rPr>
        <w:t>„</w:t>
      </w:r>
      <w:r w:rsidR="00072F85" w:rsidRPr="00AE5AE2">
        <w:rPr>
          <w:rFonts w:ascii="Arial" w:hAnsi="Arial" w:cs="Arial"/>
          <w:sz w:val="20"/>
        </w:rPr>
        <w:t xml:space="preserve">Akadályoztatás </w:t>
      </w:r>
      <w:r w:rsidR="005C06D0" w:rsidRPr="00AE5AE2">
        <w:rPr>
          <w:rFonts w:ascii="Arial" w:hAnsi="Arial" w:cs="Arial"/>
          <w:sz w:val="20"/>
        </w:rPr>
        <w:t>be</w:t>
      </w:r>
      <w:r w:rsidR="00072F85" w:rsidRPr="00AE5AE2">
        <w:rPr>
          <w:rFonts w:ascii="Arial" w:hAnsi="Arial" w:cs="Arial"/>
          <w:sz w:val="20"/>
        </w:rPr>
        <w:t>jelentés</w:t>
      </w:r>
      <w:r w:rsidR="005C06D0" w:rsidRPr="00AE5AE2">
        <w:rPr>
          <w:rFonts w:ascii="Arial" w:hAnsi="Arial" w:cs="Arial"/>
          <w:sz w:val="20"/>
        </w:rPr>
        <w:t>e” felületen</w:t>
      </w:r>
      <w:r w:rsidRPr="00AE5AE2">
        <w:rPr>
          <w:rFonts w:ascii="Arial" w:hAnsi="Arial" w:cs="Arial"/>
          <w:sz w:val="20"/>
        </w:rPr>
        <w:t>,</w:t>
      </w:r>
    </w:p>
    <w:p w14:paraId="6608F73B" w14:textId="40FA55D8" w:rsidR="00072F85" w:rsidRPr="00AE5AE2" w:rsidRDefault="00072F85" w:rsidP="00072F85">
      <w:pPr>
        <w:autoSpaceDE w:val="0"/>
        <w:autoSpaceDN w:val="0"/>
        <w:adjustRightInd w:val="0"/>
        <w:ind w:left="851" w:hanging="284"/>
        <w:rPr>
          <w:rFonts w:ascii="Arial" w:hAnsi="Arial" w:cs="Arial"/>
          <w:sz w:val="20"/>
        </w:rPr>
      </w:pPr>
      <w:r w:rsidRPr="00AE5AE2">
        <w:rPr>
          <w:rFonts w:ascii="Arial" w:hAnsi="Arial" w:cs="Arial"/>
          <w:sz w:val="20"/>
        </w:rPr>
        <w:t xml:space="preserve">b) </w:t>
      </w:r>
      <w:r w:rsidR="00FB06FC" w:rsidRPr="00AE5AE2">
        <w:rPr>
          <w:rFonts w:ascii="Arial" w:hAnsi="Arial" w:cs="Arial"/>
          <w:sz w:val="20"/>
        </w:rPr>
        <w:t>az adatszolgáltatás</w:t>
      </w:r>
      <w:r w:rsidR="00624974" w:rsidRPr="00AE5AE2">
        <w:rPr>
          <w:rFonts w:ascii="Arial" w:hAnsi="Arial" w:cs="Arial"/>
          <w:sz w:val="20"/>
        </w:rPr>
        <w:t>á</w:t>
      </w:r>
      <w:r w:rsidR="00FB06FC" w:rsidRPr="00AE5AE2">
        <w:rPr>
          <w:rFonts w:ascii="Arial" w:hAnsi="Arial" w:cs="Arial"/>
          <w:sz w:val="20"/>
        </w:rPr>
        <w:t xml:space="preserve">t </w:t>
      </w:r>
      <w:r w:rsidR="00624974" w:rsidRPr="00AE5AE2">
        <w:rPr>
          <w:rFonts w:ascii="Arial" w:hAnsi="Arial" w:cs="Arial"/>
          <w:sz w:val="20"/>
        </w:rPr>
        <w:t xml:space="preserve">űrlapon </w:t>
      </w:r>
      <w:r w:rsidR="00FB06FC" w:rsidRPr="00AE5AE2">
        <w:rPr>
          <w:rFonts w:ascii="Arial" w:hAnsi="Arial" w:cs="Arial"/>
          <w:sz w:val="20"/>
        </w:rPr>
        <w:t xml:space="preserve">teljesítő adatszolgáltató </w:t>
      </w:r>
      <w:r w:rsidRPr="00AE5AE2">
        <w:rPr>
          <w:rFonts w:ascii="Arial" w:hAnsi="Arial" w:cs="Arial"/>
          <w:sz w:val="20"/>
        </w:rPr>
        <w:t xml:space="preserve">a </w:t>
      </w:r>
      <w:hyperlink r:id="rId12" w:history="1">
        <w:r w:rsidRPr="00AE5AE2">
          <w:rPr>
            <w:rStyle w:val="Hiperhivatkozs"/>
            <w:rFonts w:ascii="Arial" w:hAnsi="Arial" w:cs="Arial"/>
            <w:sz w:val="20"/>
          </w:rPr>
          <w:t>statadatszolg@mnb.hu</w:t>
        </w:r>
      </w:hyperlink>
      <w:r w:rsidRPr="00AE5AE2">
        <w:rPr>
          <w:rFonts w:ascii="Arial" w:hAnsi="Arial" w:cs="Arial"/>
          <w:sz w:val="20"/>
        </w:rPr>
        <w:t xml:space="preserve"> e-mail cím</w:t>
      </w:r>
      <w:r w:rsidR="00624974" w:rsidRPr="00AE5AE2">
        <w:rPr>
          <w:rFonts w:ascii="Arial" w:hAnsi="Arial" w:cs="Arial"/>
          <w:sz w:val="20"/>
        </w:rPr>
        <w:t>r</w:t>
      </w:r>
      <w:r w:rsidRPr="00AE5AE2">
        <w:rPr>
          <w:rFonts w:ascii="Arial" w:hAnsi="Arial" w:cs="Arial"/>
          <w:sz w:val="20"/>
        </w:rPr>
        <w:t>e</w:t>
      </w:r>
      <w:r w:rsidR="00624974" w:rsidRPr="00AE5AE2">
        <w:rPr>
          <w:rFonts w:ascii="Arial" w:hAnsi="Arial" w:cs="Arial"/>
          <w:sz w:val="20"/>
        </w:rPr>
        <w:t xml:space="preserve"> küldött elektronikus levél útján</w:t>
      </w:r>
    </w:p>
    <w:p w14:paraId="5F66455D" w14:textId="6EAE39B1" w:rsidR="008E281B" w:rsidRPr="00AE5AE2" w:rsidRDefault="00072F85" w:rsidP="00D3125B">
      <w:pPr>
        <w:autoSpaceDE w:val="0"/>
        <w:autoSpaceDN w:val="0"/>
        <w:adjustRightInd w:val="0"/>
        <w:spacing w:before="120" w:after="120"/>
        <w:ind w:left="1134" w:hanging="567"/>
        <w:rPr>
          <w:rFonts w:ascii="Arial" w:hAnsi="Arial" w:cs="Arial"/>
          <w:sz w:val="20"/>
        </w:rPr>
      </w:pPr>
      <w:r w:rsidRPr="00AE5AE2">
        <w:rPr>
          <w:rFonts w:ascii="Arial" w:hAnsi="Arial" w:cs="Arial"/>
          <w:sz w:val="20"/>
        </w:rPr>
        <w:t>te</w:t>
      </w:r>
      <w:r w:rsidR="005C06D0" w:rsidRPr="00AE5AE2">
        <w:rPr>
          <w:rFonts w:ascii="Arial" w:hAnsi="Arial" w:cs="Arial"/>
          <w:sz w:val="20"/>
        </w:rPr>
        <w:t>sz</w:t>
      </w:r>
      <w:r w:rsidRPr="00AE5AE2">
        <w:rPr>
          <w:rFonts w:ascii="Arial" w:hAnsi="Arial" w:cs="Arial"/>
          <w:sz w:val="20"/>
        </w:rPr>
        <w:t>i meg.</w:t>
      </w:r>
    </w:p>
    <w:p w14:paraId="717FDA3F" w14:textId="2CE828D9" w:rsidR="008E281B" w:rsidRPr="00AE5AE2" w:rsidRDefault="008E281B" w:rsidP="008E281B">
      <w:pPr>
        <w:autoSpaceDE w:val="0"/>
        <w:autoSpaceDN w:val="0"/>
        <w:adjustRightInd w:val="0"/>
        <w:rPr>
          <w:rFonts w:ascii="Arial" w:hAnsi="Arial" w:cs="Arial"/>
          <w:sz w:val="20"/>
        </w:rPr>
      </w:pPr>
      <w:r w:rsidRPr="00AE5AE2">
        <w:rPr>
          <w:rFonts w:ascii="Arial" w:hAnsi="Arial" w:cs="Arial"/>
          <w:sz w:val="20"/>
        </w:rPr>
        <w:lastRenderedPageBreak/>
        <w:t xml:space="preserve">1.7.2. Az akadályoztatás technikai oka lehet </w:t>
      </w:r>
    </w:p>
    <w:p w14:paraId="50E49E71" w14:textId="77777777" w:rsidR="008E281B" w:rsidRPr="00AE5AE2" w:rsidRDefault="008E281B" w:rsidP="008E281B">
      <w:pPr>
        <w:autoSpaceDE w:val="0"/>
        <w:autoSpaceDN w:val="0"/>
        <w:adjustRightInd w:val="0"/>
        <w:ind w:left="851" w:hanging="284"/>
        <w:rPr>
          <w:rFonts w:ascii="Arial" w:hAnsi="Arial" w:cs="Arial"/>
          <w:sz w:val="20"/>
        </w:rPr>
      </w:pPr>
      <w:r w:rsidRPr="00AE5AE2">
        <w:rPr>
          <w:rFonts w:ascii="Arial" w:hAnsi="Arial" w:cs="Arial"/>
          <w:iCs/>
          <w:sz w:val="20"/>
        </w:rPr>
        <w:t>a)</w:t>
      </w:r>
      <w:r w:rsidRPr="00AE5AE2">
        <w:rPr>
          <w:rFonts w:ascii="Arial" w:hAnsi="Arial" w:cs="Arial"/>
          <w:i/>
          <w:iCs/>
          <w:sz w:val="20"/>
        </w:rPr>
        <w:tab/>
      </w:r>
      <w:r w:rsidRPr="00AE5AE2">
        <w:rPr>
          <w:rFonts w:ascii="Arial" w:hAnsi="Arial" w:cs="Arial"/>
          <w:sz w:val="20"/>
        </w:rPr>
        <w:t>az adatszolgáltató adatszolgáltatásra használt informatikai rendszerének működési rendellenessége vagy működésképtelensége,</w:t>
      </w:r>
    </w:p>
    <w:p w14:paraId="6D9F431E" w14:textId="6173D5E3" w:rsidR="008E281B" w:rsidRPr="00AE5AE2" w:rsidRDefault="008E281B" w:rsidP="008E281B">
      <w:pPr>
        <w:autoSpaceDE w:val="0"/>
        <w:autoSpaceDN w:val="0"/>
        <w:adjustRightInd w:val="0"/>
        <w:ind w:left="851" w:hanging="284"/>
        <w:rPr>
          <w:rFonts w:ascii="Arial" w:hAnsi="Arial" w:cs="Arial"/>
          <w:sz w:val="20"/>
        </w:rPr>
      </w:pPr>
      <w:r w:rsidRPr="00AE5AE2">
        <w:rPr>
          <w:rFonts w:ascii="Arial" w:hAnsi="Arial" w:cs="Arial"/>
          <w:iCs/>
          <w:sz w:val="20"/>
        </w:rPr>
        <w:t>b)</w:t>
      </w:r>
      <w:r w:rsidRPr="00AE5AE2">
        <w:rPr>
          <w:rFonts w:ascii="Arial" w:hAnsi="Arial" w:cs="Arial"/>
          <w:i/>
          <w:iCs/>
          <w:sz w:val="20"/>
        </w:rPr>
        <w:tab/>
      </w:r>
      <w:r w:rsidRPr="00AE5AE2">
        <w:rPr>
          <w:rFonts w:ascii="Arial" w:hAnsi="Arial" w:cs="Arial"/>
          <w:sz w:val="20"/>
        </w:rPr>
        <w:t xml:space="preserve">a felhasználó akadályoztatása a számára </w:t>
      </w:r>
      <w:r w:rsidR="00D02756" w:rsidRPr="00AE5AE2">
        <w:rPr>
          <w:rFonts w:ascii="Arial" w:hAnsi="Arial" w:cs="Arial"/>
          <w:sz w:val="20"/>
        </w:rPr>
        <w:t xml:space="preserve">szükséges </w:t>
      </w:r>
      <w:r w:rsidRPr="00AE5AE2">
        <w:rPr>
          <w:rFonts w:ascii="Arial" w:hAnsi="Arial" w:cs="Arial"/>
          <w:sz w:val="20"/>
        </w:rPr>
        <w:t xml:space="preserve">hozzáférési jogosultság </w:t>
      </w:r>
      <w:r w:rsidR="00D02756" w:rsidRPr="00AE5AE2">
        <w:rPr>
          <w:rFonts w:ascii="Arial" w:hAnsi="Arial" w:cs="Arial"/>
          <w:sz w:val="20"/>
        </w:rPr>
        <w:t>hiánya</w:t>
      </w:r>
      <w:r w:rsidR="00624974" w:rsidRPr="00AE5AE2">
        <w:rPr>
          <w:rFonts w:ascii="Arial" w:hAnsi="Arial" w:cs="Arial"/>
          <w:sz w:val="20"/>
        </w:rPr>
        <w:t>,</w:t>
      </w:r>
      <w:r w:rsidR="00D02756" w:rsidRPr="00AE5AE2">
        <w:rPr>
          <w:rFonts w:ascii="Arial" w:hAnsi="Arial" w:cs="Arial"/>
          <w:sz w:val="20"/>
        </w:rPr>
        <w:t xml:space="preserve"> </w:t>
      </w:r>
      <w:r w:rsidRPr="00AE5AE2">
        <w:rPr>
          <w:rFonts w:ascii="Arial" w:hAnsi="Arial" w:cs="Arial"/>
          <w:sz w:val="20"/>
        </w:rPr>
        <w:t>megszűnése miatt,</w:t>
      </w:r>
    </w:p>
    <w:p w14:paraId="11DECF96" w14:textId="77777777" w:rsidR="008E281B" w:rsidRPr="00AE5AE2" w:rsidRDefault="008E281B" w:rsidP="008E281B">
      <w:pPr>
        <w:autoSpaceDE w:val="0"/>
        <w:autoSpaceDN w:val="0"/>
        <w:adjustRightInd w:val="0"/>
        <w:ind w:left="851" w:hanging="284"/>
        <w:rPr>
          <w:rFonts w:ascii="Arial" w:hAnsi="Arial" w:cs="Arial"/>
          <w:sz w:val="20"/>
        </w:rPr>
      </w:pPr>
      <w:r w:rsidRPr="00AE5AE2">
        <w:rPr>
          <w:rFonts w:ascii="Arial" w:hAnsi="Arial" w:cs="Arial"/>
          <w:iCs/>
          <w:sz w:val="20"/>
        </w:rPr>
        <w:t>c)</w:t>
      </w:r>
      <w:r w:rsidRPr="00AE5AE2">
        <w:rPr>
          <w:rFonts w:ascii="Arial" w:hAnsi="Arial" w:cs="Arial"/>
          <w:i/>
          <w:iCs/>
          <w:sz w:val="20"/>
        </w:rPr>
        <w:tab/>
      </w:r>
      <w:r w:rsidRPr="00AE5AE2">
        <w:rPr>
          <w:rFonts w:ascii="Arial" w:hAnsi="Arial" w:cs="Arial"/>
          <w:sz w:val="20"/>
        </w:rPr>
        <w:t>а felhasználó akadályoztatása az általa használt elektronikus aláíró tanúsítvány érvénytelensége miatt.</w:t>
      </w:r>
    </w:p>
    <w:p w14:paraId="2BCE605F" w14:textId="63D8FE69" w:rsidR="008E281B" w:rsidRPr="00AE5AE2" w:rsidRDefault="008E281B" w:rsidP="00D3125B">
      <w:pPr>
        <w:autoSpaceDE w:val="0"/>
        <w:autoSpaceDN w:val="0"/>
        <w:adjustRightInd w:val="0"/>
        <w:spacing w:before="120"/>
        <w:ind w:left="567" w:hanging="567"/>
        <w:rPr>
          <w:rFonts w:ascii="Arial" w:hAnsi="Arial" w:cs="Arial"/>
          <w:sz w:val="20"/>
        </w:rPr>
      </w:pPr>
      <w:bookmarkStart w:id="5" w:name="_Hlk175565908"/>
      <w:r w:rsidRPr="00AE5AE2">
        <w:rPr>
          <w:rFonts w:ascii="Arial" w:hAnsi="Arial" w:cs="Arial"/>
          <w:sz w:val="20"/>
        </w:rPr>
        <w:t>1.7.3. A bejelentés</w:t>
      </w:r>
      <w:r w:rsidR="009D30E0" w:rsidRPr="00AE5AE2">
        <w:rPr>
          <w:rFonts w:ascii="Arial" w:hAnsi="Arial" w:cs="Arial"/>
          <w:sz w:val="20"/>
        </w:rPr>
        <w:t>hez</w:t>
      </w:r>
      <w:r w:rsidRPr="00AE5AE2">
        <w:rPr>
          <w:rFonts w:ascii="Arial" w:hAnsi="Arial" w:cs="Arial"/>
          <w:sz w:val="20"/>
        </w:rPr>
        <w:t xml:space="preserve"> az adatszolgáltató</w:t>
      </w:r>
      <w:r w:rsidR="009D30E0" w:rsidRPr="00AE5AE2">
        <w:rPr>
          <w:rFonts w:ascii="Arial" w:hAnsi="Arial" w:cs="Arial"/>
          <w:sz w:val="20"/>
        </w:rPr>
        <w:t xml:space="preserve"> </w:t>
      </w:r>
      <w:r w:rsidRPr="00AE5AE2">
        <w:rPr>
          <w:rFonts w:ascii="Arial" w:hAnsi="Arial" w:cs="Arial"/>
          <w:sz w:val="20"/>
        </w:rPr>
        <w:t>– az akadályoztatás jellegétől függően, amennyiben az rendelkezésre áll – mellékletként az akadályoztatás tényét igazoló dokumentumot is feltölti.</w:t>
      </w:r>
    </w:p>
    <w:bookmarkEnd w:id="5"/>
    <w:p w14:paraId="2753DCCD" w14:textId="76544A01" w:rsidR="008E281B" w:rsidRPr="00AE5AE2" w:rsidRDefault="008E281B" w:rsidP="00D3125B">
      <w:pPr>
        <w:autoSpaceDE w:val="0"/>
        <w:autoSpaceDN w:val="0"/>
        <w:adjustRightInd w:val="0"/>
        <w:spacing w:before="120"/>
        <w:ind w:left="567" w:hanging="567"/>
        <w:rPr>
          <w:rFonts w:ascii="Arial" w:hAnsi="Arial" w:cs="Arial"/>
          <w:sz w:val="20"/>
        </w:rPr>
      </w:pPr>
      <w:r w:rsidRPr="00AE5AE2">
        <w:rPr>
          <w:rFonts w:ascii="Arial" w:hAnsi="Arial" w:cs="Arial"/>
          <w:sz w:val="20"/>
        </w:rPr>
        <w:t xml:space="preserve">1.7.4. A </w:t>
      </w:r>
      <w:r w:rsidR="00083C9F" w:rsidRPr="00AE5AE2">
        <w:rPr>
          <w:rFonts w:ascii="Arial" w:hAnsi="Arial" w:cs="Arial"/>
          <w:sz w:val="20"/>
        </w:rPr>
        <w:t>be</w:t>
      </w:r>
      <w:r w:rsidR="009D30E0" w:rsidRPr="00AE5AE2">
        <w:rPr>
          <w:rFonts w:ascii="Arial" w:hAnsi="Arial" w:cs="Arial"/>
          <w:sz w:val="20"/>
        </w:rPr>
        <w:t>jelentést nem kell</w:t>
      </w:r>
      <w:r w:rsidRPr="00AE5AE2">
        <w:rPr>
          <w:rFonts w:ascii="Arial" w:hAnsi="Arial" w:cs="Arial"/>
          <w:sz w:val="20"/>
        </w:rPr>
        <w:t xml:space="preserve"> elektronikus aláír</w:t>
      </w:r>
      <w:r w:rsidR="009D30E0" w:rsidRPr="00AE5AE2">
        <w:rPr>
          <w:rFonts w:ascii="Arial" w:hAnsi="Arial" w:cs="Arial"/>
          <w:sz w:val="20"/>
        </w:rPr>
        <w:t xml:space="preserve">ással ellátni. </w:t>
      </w:r>
    </w:p>
    <w:p w14:paraId="5EFC5ED2" w14:textId="3EFFBA94" w:rsidR="008E281B" w:rsidRPr="00AE5AE2" w:rsidRDefault="008E281B" w:rsidP="00D3125B">
      <w:pPr>
        <w:autoSpaceDE w:val="0"/>
        <w:autoSpaceDN w:val="0"/>
        <w:adjustRightInd w:val="0"/>
        <w:spacing w:before="120"/>
        <w:ind w:left="567" w:hanging="567"/>
        <w:rPr>
          <w:rFonts w:ascii="Arial" w:hAnsi="Arial" w:cs="Arial"/>
          <w:sz w:val="20"/>
        </w:rPr>
      </w:pPr>
      <w:r w:rsidRPr="00AE5AE2">
        <w:rPr>
          <w:rFonts w:ascii="Arial" w:hAnsi="Arial" w:cs="Arial"/>
          <w:sz w:val="20"/>
        </w:rPr>
        <w:t>1.7.</w:t>
      </w:r>
      <w:r w:rsidR="009D30E0" w:rsidRPr="00AE5AE2">
        <w:rPr>
          <w:rFonts w:ascii="Arial" w:hAnsi="Arial" w:cs="Arial"/>
          <w:sz w:val="20"/>
        </w:rPr>
        <w:t>5</w:t>
      </w:r>
      <w:r w:rsidRPr="00AE5AE2">
        <w:rPr>
          <w:rFonts w:ascii="Arial" w:hAnsi="Arial" w:cs="Arial"/>
          <w:sz w:val="20"/>
        </w:rPr>
        <w:t>. Ha az adatszolgáltató az ERA rendszer üzemszünete, üzemzavara miatt vagy az 1.7.2. b) alpont szerinti esetben a bejelentést elektronikus úton nem tudja megtenni, az üzemszünet végéig, az üzemzavar elhárításáig vagy az akadály megszűnéséig a bejelentést írásban, postai úton (levelezési cím: Magyar Nemzeti Bank</w:t>
      </w:r>
      <w:r w:rsidR="009A6A0C" w:rsidRPr="00AE5AE2">
        <w:rPr>
          <w:rFonts w:ascii="Arial" w:hAnsi="Arial" w:cs="Arial"/>
          <w:sz w:val="20"/>
        </w:rPr>
        <w:t>,</w:t>
      </w:r>
      <w:r w:rsidRPr="00AE5AE2">
        <w:rPr>
          <w:rFonts w:ascii="Arial" w:hAnsi="Arial" w:cs="Arial"/>
          <w:sz w:val="20"/>
        </w:rPr>
        <w:t xml:space="preserve"> 1850 Budapest) vagy telefonon (telefonszám: +36 1 428-</w:t>
      </w:r>
      <w:r w:rsidR="00C44126" w:rsidRPr="00AE5AE2">
        <w:rPr>
          <w:rFonts w:ascii="Arial" w:hAnsi="Arial" w:cs="Arial"/>
          <w:sz w:val="20"/>
        </w:rPr>
        <w:t>2600/2013</w:t>
      </w:r>
      <w:r w:rsidRPr="00AE5AE2">
        <w:rPr>
          <w:rFonts w:ascii="Arial" w:hAnsi="Arial" w:cs="Arial"/>
          <w:sz w:val="20"/>
        </w:rPr>
        <w:t>) teheti meg az MNB részére.</w:t>
      </w:r>
    </w:p>
    <w:p w14:paraId="12CE8638" w14:textId="352D6806" w:rsidR="008E281B" w:rsidRPr="00AE5AE2" w:rsidRDefault="008E281B" w:rsidP="00D3125B">
      <w:pPr>
        <w:widowControl w:val="0"/>
        <w:autoSpaceDE w:val="0"/>
        <w:autoSpaceDN w:val="0"/>
        <w:adjustRightInd w:val="0"/>
        <w:spacing w:before="120"/>
        <w:rPr>
          <w:rFonts w:ascii="Arial" w:hAnsi="Arial" w:cs="Arial"/>
          <w:bCs/>
          <w:sz w:val="20"/>
        </w:rPr>
      </w:pPr>
      <w:r w:rsidRPr="00AE5AE2">
        <w:rPr>
          <w:rFonts w:ascii="Arial" w:hAnsi="Arial" w:cs="Arial"/>
          <w:bCs/>
          <w:sz w:val="20"/>
        </w:rPr>
        <w:t>1.7.</w:t>
      </w:r>
      <w:r w:rsidR="009D30E0" w:rsidRPr="00AE5AE2">
        <w:rPr>
          <w:rFonts w:ascii="Arial" w:hAnsi="Arial" w:cs="Arial"/>
          <w:bCs/>
          <w:sz w:val="20"/>
        </w:rPr>
        <w:t>6</w:t>
      </w:r>
      <w:r w:rsidRPr="00AE5AE2">
        <w:rPr>
          <w:rFonts w:ascii="Arial" w:hAnsi="Arial" w:cs="Arial"/>
          <w:bCs/>
          <w:sz w:val="20"/>
        </w:rPr>
        <w:t xml:space="preserve">. Az 1.7. </w:t>
      </w:r>
      <w:r w:rsidR="00A40CBC" w:rsidRPr="00AE5AE2">
        <w:rPr>
          <w:rFonts w:ascii="Arial" w:hAnsi="Arial" w:cs="Arial"/>
          <w:bCs/>
          <w:sz w:val="20"/>
        </w:rPr>
        <w:t>al</w:t>
      </w:r>
      <w:r w:rsidRPr="00AE5AE2">
        <w:rPr>
          <w:rFonts w:ascii="Arial" w:hAnsi="Arial" w:cs="Arial"/>
          <w:bCs/>
          <w:sz w:val="20"/>
        </w:rPr>
        <w:t>pont alkalmazásában:</w:t>
      </w:r>
    </w:p>
    <w:p w14:paraId="17FFC35A" w14:textId="77777777" w:rsidR="008E281B" w:rsidRPr="00AE5AE2" w:rsidRDefault="008E281B" w:rsidP="00D3125B">
      <w:pPr>
        <w:widowControl w:val="0"/>
        <w:autoSpaceDE w:val="0"/>
        <w:autoSpaceDN w:val="0"/>
        <w:adjustRightInd w:val="0"/>
        <w:ind w:left="851" w:hanging="284"/>
        <w:rPr>
          <w:rFonts w:ascii="Arial" w:hAnsi="Arial" w:cs="Arial"/>
          <w:bCs/>
          <w:sz w:val="20"/>
        </w:rPr>
      </w:pPr>
      <w:r w:rsidRPr="00AE5AE2">
        <w:rPr>
          <w:rFonts w:ascii="Arial" w:hAnsi="Arial" w:cs="Arial"/>
          <w:bCs/>
          <w:sz w:val="20"/>
        </w:rPr>
        <w:t>a)</w:t>
      </w:r>
      <w:r w:rsidRPr="00AE5AE2">
        <w:rPr>
          <w:rFonts w:ascii="Arial" w:hAnsi="Arial" w:cs="Arial"/>
          <w:bCs/>
          <w:sz w:val="20"/>
        </w:rPr>
        <w:tab/>
      </w:r>
      <w:r w:rsidRPr="00AE5AE2">
        <w:rPr>
          <w:rFonts w:ascii="Arial" w:hAnsi="Arial" w:cs="Arial"/>
          <w:bCs/>
          <w:i/>
          <w:sz w:val="20"/>
        </w:rPr>
        <w:t>akadályoztatás:</w:t>
      </w:r>
      <w:r w:rsidRPr="00AE5AE2">
        <w:rPr>
          <w:rFonts w:ascii="Arial" w:hAnsi="Arial" w:cs="Arial"/>
          <w:bCs/>
          <w:sz w:val="20"/>
        </w:rPr>
        <w:t xml:space="preserve"> az adatszolgáltató érdekkörében felmerült technikai okra visszavezethető olyan ténybeli állapot, amelynek a következtében az adatszolgáltató az adatszolgáltatást az annak teljesítésére előírt határidőben vagy határnapon nem képes teljesíteni;</w:t>
      </w:r>
    </w:p>
    <w:p w14:paraId="7D4D425D" w14:textId="6537BEA5" w:rsidR="008E281B" w:rsidRPr="00A61F3D" w:rsidRDefault="00C44126" w:rsidP="00D3125B">
      <w:pPr>
        <w:widowControl w:val="0"/>
        <w:autoSpaceDE w:val="0"/>
        <w:autoSpaceDN w:val="0"/>
        <w:adjustRightInd w:val="0"/>
        <w:ind w:left="851" w:hanging="284"/>
        <w:rPr>
          <w:rFonts w:ascii="Arial" w:hAnsi="Arial" w:cs="Arial"/>
          <w:bCs/>
          <w:sz w:val="20"/>
        </w:rPr>
      </w:pPr>
      <w:r>
        <w:rPr>
          <w:rFonts w:ascii="Arial" w:hAnsi="Arial" w:cs="Arial"/>
          <w:bCs/>
          <w:sz w:val="20"/>
        </w:rPr>
        <w:t>b</w:t>
      </w:r>
      <w:r w:rsidR="008E281B" w:rsidRPr="00A61F3D">
        <w:rPr>
          <w:rFonts w:ascii="Arial" w:hAnsi="Arial" w:cs="Arial"/>
          <w:bCs/>
          <w:sz w:val="20"/>
        </w:rPr>
        <w:t>)</w:t>
      </w:r>
      <w:r w:rsidR="008E281B" w:rsidRPr="00A61F3D">
        <w:rPr>
          <w:rFonts w:ascii="Arial" w:hAnsi="Arial" w:cs="Arial"/>
          <w:bCs/>
          <w:sz w:val="20"/>
        </w:rPr>
        <w:tab/>
      </w:r>
      <w:r w:rsidR="008E281B" w:rsidRPr="00A61F3D">
        <w:rPr>
          <w:rFonts w:ascii="Arial" w:hAnsi="Arial" w:cs="Arial"/>
          <w:bCs/>
          <w:i/>
          <w:sz w:val="20"/>
        </w:rPr>
        <w:t>felhasználó:</w:t>
      </w:r>
      <w:r w:rsidR="008E281B" w:rsidRPr="00A61F3D">
        <w:rPr>
          <w:rFonts w:ascii="Arial" w:hAnsi="Arial" w:cs="Arial"/>
          <w:bCs/>
          <w:sz w:val="20"/>
        </w:rPr>
        <w:t xml:space="preserve"> az adatszolgáltató nevében eljáró természetes személy;</w:t>
      </w:r>
    </w:p>
    <w:p w14:paraId="17F7D203" w14:textId="1DDC321D" w:rsidR="008E281B" w:rsidRPr="00A61F3D" w:rsidRDefault="00C44126" w:rsidP="00D3125B">
      <w:pPr>
        <w:widowControl w:val="0"/>
        <w:autoSpaceDE w:val="0"/>
        <w:autoSpaceDN w:val="0"/>
        <w:adjustRightInd w:val="0"/>
        <w:ind w:left="851" w:hanging="284"/>
        <w:rPr>
          <w:rFonts w:ascii="Arial" w:hAnsi="Arial" w:cs="Arial"/>
          <w:sz w:val="20"/>
        </w:rPr>
      </w:pPr>
      <w:r>
        <w:rPr>
          <w:rFonts w:ascii="Arial" w:hAnsi="Arial" w:cs="Arial"/>
          <w:sz w:val="20"/>
        </w:rPr>
        <w:t>c</w:t>
      </w:r>
      <w:r w:rsidR="008E281B" w:rsidRPr="00A61F3D">
        <w:rPr>
          <w:rFonts w:ascii="Arial" w:hAnsi="Arial" w:cs="Arial"/>
          <w:sz w:val="20"/>
        </w:rPr>
        <w:t>)</w:t>
      </w:r>
      <w:r w:rsidR="008E281B" w:rsidRPr="00A61F3D">
        <w:rPr>
          <w:rFonts w:ascii="Arial" w:hAnsi="Arial" w:cs="Arial"/>
          <w:sz w:val="20"/>
        </w:rPr>
        <w:tab/>
      </w:r>
      <w:r w:rsidR="008E281B" w:rsidRPr="00A61F3D">
        <w:rPr>
          <w:rFonts w:ascii="Arial" w:hAnsi="Arial" w:cs="Arial"/>
          <w:bCs/>
          <w:i/>
          <w:sz w:val="20"/>
        </w:rPr>
        <w:t>üzemszünet</w:t>
      </w:r>
      <w:r w:rsidR="008E281B" w:rsidRPr="00A61F3D">
        <w:rPr>
          <w:rFonts w:ascii="Arial" w:hAnsi="Arial" w:cs="Arial"/>
          <w:sz w:val="20"/>
        </w:rPr>
        <w:t xml:space="preserve">: az </w:t>
      </w:r>
      <w:r w:rsidR="00BE0FF9">
        <w:rPr>
          <w:rFonts w:ascii="Arial" w:hAnsi="Arial" w:cs="Arial"/>
          <w:sz w:val="20"/>
        </w:rPr>
        <w:t>MNB olyan előre tervezett technikai tevékenysége, amely az ERA rendszer szünetelését vagy korlátozott működőképességét eredményezi</w:t>
      </w:r>
      <w:r w:rsidR="008E281B" w:rsidRPr="00A61F3D">
        <w:rPr>
          <w:rFonts w:ascii="Arial" w:hAnsi="Arial" w:cs="Arial"/>
          <w:sz w:val="20"/>
        </w:rPr>
        <w:t>;</w:t>
      </w:r>
    </w:p>
    <w:p w14:paraId="19408A0B" w14:textId="60B78F57" w:rsidR="008E281B" w:rsidRPr="00A61F3D" w:rsidRDefault="00C44126" w:rsidP="00D3125B">
      <w:pPr>
        <w:widowControl w:val="0"/>
        <w:autoSpaceDE w:val="0"/>
        <w:autoSpaceDN w:val="0"/>
        <w:adjustRightInd w:val="0"/>
        <w:ind w:left="851" w:hanging="284"/>
        <w:rPr>
          <w:rFonts w:ascii="Arial" w:hAnsi="Arial" w:cs="Arial"/>
          <w:bCs/>
          <w:sz w:val="20"/>
        </w:rPr>
      </w:pPr>
      <w:r>
        <w:rPr>
          <w:rFonts w:ascii="Arial" w:hAnsi="Arial" w:cs="Arial"/>
          <w:bCs/>
          <w:sz w:val="20"/>
        </w:rPr>
        <w:t>d</w:t>
      </w:r>
      <w:r w:rsidR="008E281B" w:rsidRPr="00A61F3D">
        <w:rPr>
          <w:rFonts w:ascii="Arial" w:hAnsi="Arial" w:cs="Arial"/>
          <w:bCs/>
          <w:sz w:val="20"/>
        </w:rPr>
        <w:t>)</w:t>
      </w:r>
      <w:r w:rsidR="008E281B" w:rsidRPr="00A61F3D">
        <w:rPr>
          <w:rFonts w:ascii="Arial" w:hAnsi="Arial" w:cs="Arial"/>
          <w:bCs/>
          <w:sz w:val="20"/>
        </w:rPr>
        <w:tab/>
      </w:r>
      <w:r w:rsidR="008E281B" w:rsidRPr="00A61F3D">
        <w:rPr>
          <w:rFonts w:ascii="Arial" w:hAnsi="Arial" w:cs="Arial"/>
          <w:bCs/>
          <w:i/>
          <w:sz w:val="20"/>
        </w:rPr>
        <w:t>üzemzavar:</w:t>
      </w:r>
      <w:r w:rsidR="008E281B" w:rsidRPr="00A61F3D">
        <w:rPr>
          <w:rFonts w:ascii="Arial" w:hAnsi="Arial" w:cs="Arial"/>
          <w:bCs/>
          <w:sz w:val="20"/>
        </w:rPr>
        <w:t xml:space="preserve"> </w:t>
      </w:r>
      <w:r w:rsidR="00BE0FF9">
        <w:rPr>
          <w:rFonts w:ascii="Arial" w:hAnsi="Arial" w:cs="Arial"/>
          <w:bCs/>
          <w:sz w:val="20"/>
        </w:rPr>
        <w:t xml:space="preserve">az </w:t>
      </w:r>
      <w:r w:rsidR="00657350">
        <w:rPr>
          <w:rFonts w:ascii="Arial" w:hAnsi="Arial" w:cs="Arial"/>
          <w:bCs/>
          <w:sz w:val="20"/>
        </w:rPr>
        <w:t xml:space="preserve">előre nem tervezett üzemszünet vagy az </w:t>
      </w:r>
      <w:r w:rsidR="0095208C">
        <w:rPr>
          <w:rFonts w:ascii="Arial" w:hAnsi="Arial" w:cs="Arial"/>
          <w:bCs/>
          <w:sz w:val="20"/>
        </w:rPr>
        <w:t xml:space="preserve">ERA rendszeren való </w:t>
      </w:r>
      <w:r w:rsidR="00653E59">
        <w:rPr>
          <w:rFonts w:ascii="Arial" w:hAnsi="Arial" w:cs="Arial"/>
          <w:bCs/>
          <w:sz w:val="20"/>
        </w:rPr>
        <w:t>elektronikus ügyintézés korlátozott működőképességét okozó</w:t>
      </w:r>
      <w:r w:rsidR="008E281B" w:rsidRPr="00A61F3D">
        <w:rPr>
          <w:rFonts w:ascii="Arial" w:hAnsi="Arial" w:cs="Arial"/>
          <w:bCs/>
          <w:sz w:val="20"/>
        </w:rPr>
        <w:t xml:space="preserve"> esemény.</w:t>
      </w:r>
    </w:p>
    <w:p w14:paraId="033B9E8D" w14:textId="323FB9A2" w:rsidR="008E281B" w:rsidRPr="00A61F3D" w:rsidRDefault="008E281B" w:rsidP="00D3125B">
      <w:pPr>
        <w:widowControl w:val="0"/>
        <w:spacing w:before="120"/>
        <w:ind w:left="567" w:hanging="567"/>
        <w:rPr>
          <w:rFonts w:ascii="Arial" w:hAnsi="Arial" w:cs="Arial"/>
          <w:bCs/>
          <w:sz w:val="20"/>
        </w:rPr>
      </w:pPr>
      <w:r w:rsidRPr="00A61F3D">
        <w:rPr>
          <w:rFonts w:ascii="Arial" w:hAnsi="Arial" w:cs="Arial"/>
          <w:bCs/>
          <w:sz w:val="20"/>
        </w:rPr>
        <w:t>1.8.</w:t>
      </w:r>
      <w:r w:rsidRPr="00A61F3D">
        <w:rPr>
          <w:rFonts w:ascii="Arial" w:hAnsi="Arial" w:cs="Arial"/>
          <w:bCs/>
          <w:sz w:val="20"/>
        </w:rPr>
        <w:tab/>
        <w:t>Az ERA rendszer, valamint az ERA rendszer egyes szolgáltatásainak használatához szükséges további információkat, így különösen a rendszerhez történő csatlakozás lépéseit, a támogatott fájltípusokat, valamint a fájltípusok megnevezésére és szerkezetére vonatkozó szabályokat a 3. melléklet 3. pontja szerinti, az MNB honlapján közzétett technikai segédletek tartalmazzák.</w:t>
      </w:r>
    </w:p>
    <w:p w14:paraId="213E3B60" w14:textId="77777777" w:rsidR="008E281B" w:rsidRPr="00A61F3D" w:rsidRDefault="008E281B" w:rsidP="008E281B">
      <w:pPr>
        <w:ind w:left="567" w:hanging="567"/>
        <w:rPr>
          <w:rFonts w:ascii="Arial" w:hAnsi="Arial" w:cs="Arial"/>
          <w:bCs/>
          <w:sz w:val="20"/>
        </w:rPr>
      </w:pPr>
    </w:p>
    <w:p w14:paraId="6B789589" w14:textId="25F0D6EE" w:rsidR="008E281B" w:rsidRPr="00A61F3D" w:rsidRDefault="000341F8" w:rsidP="008E281B">
      <w:pPr>
        <w:rPr>
          <w:rFonts w:ascii="Arial" w:hAnsi="Arial" w:cs="Arial"/>
          <w:b/>
          <w:sz w:val="20"/>
        </w:rPr>
      </w:pPr>
      <w:r>
        <w:rPr>
          <w:rFonts w:ascii="Arial" w:hAnsi="Arial" w:cs="Arial"/>
          <w:b/>
          <w:sz w:val="20"/>
        </w:rPr>
        <w:t xml:space="preserve">I. B. </w:t>
      </w:r>
      <w:r w:rsidR="008E281B" w:rsidRPr="00A61F3D">
        <w:rPr>
          <w:rFonts w:ascii="Arial" w:hAnsi="Arial" w:cs="Arial"/>
          <w:b/>
          <w:sz w:val="20"/>
        </w:rPr>
        <w:t>2. Az adatszolgáltatások teljesítéséhez kapcsolódó tartalmi követelmények</w:t>
      </w:r>
    </w:p>
    <w:p w14:paraId="0C0D9A70" w14:textId="77777777" w:rsidR="008E281B" w:rsidRPr="00A61F3D" w:rsidRDefault="008E281B" w:rsidP="008E281B">
      <w:pPr>
        <w:rPr>
          <w:rFonts w:ascii="Arial" w:hAnsi="Arial" w:cs="Arial"/>
          <w:b/>
          <w:sz w:val="20"/>
        </w:rPr>
      </w:pPr>
    </w:p>
    <w:p w14:paraId="00EA834C" w14:textId="77777777" w:rsidR="008E281B" w:rsidRPr="00A61F3D" w:rsidRDefault="008E281B" w:rsidP="008E281B">
      <w:pPr>
        <w:ind w:left="567" w:hanging="567"/>
        <w:rPr>
          <w:rFonts w:ascii="Arial" w:hAnsi="Arial" w:cs="Arial"/>
          <w:bCs/>
          <w:sz w:val="20"/>
        </w:rPr>
      </w:pPr>
      <w:r w:rsidRPr="00A61F3D">
        <w:rPr>
          <w:rFonts w:ascii="Arial" w:hAnsi="Arial" w:cs="Arial"/>
          <w:bCs/>
          <w:sz w:val="20"/>
        </w:rPr>
        <w:t>2.1.</w:t>
      </w:r>
      <w:r w:rsidRPr="00A61F3D">
        <w:rPr>
          <w:rFonts w:ascii="Arial" w:hAnsi="Arial" w:cs="Arial"/>
          <w:bCs/>
          <w:sz w:val="20"/>
        </w:rPr>
        <w:tab/>
        <w:t xml:space="preserve">Mind az eredeti, mind a módosító adatszolgáltatás beküldésekor az adott vonatkozási időhöz és gyakorisághoz tartozó, teljes tartalommal rendelkező adatszolgáltatást kell beküldeni. </w:t>
      </w:r>
    </w:p>
    <w:p w14:paraId="3FBBAE76" w14:textId="219E1812" w:rsidR="008E281B" w:rsidRPr="00A61F3D" w:rsidRDefault="008E281B" w:rsidP="008E281B">
      <w:pPr>
        <w:ind w:left="567" w:hanging="567"/>
        <w:rPr>
          <w:rFonts w:ascii="Arial" w:hAnsi="Arial" w:cs="Arial"/>
          <w:bCs/>
          <w:sz w:val="20"/>
        </w:rPr>
      </w:pPr>
      <w:r w:rsidRPr="00A61F3D">
        <w:rPr>
          <w:rFonts w:ascii="Arial" w:hAnsi="Arial" w:cs="Arial"/>
          <w:bCs/>
          <w:sz w:val="20"/>
        </w:rPr>
        <w:t>2.2.</w:t>
      </w:r>
      <w:r w:rsidRPr="00A61F3D">
        <w:rPr>
          <w:rFonts w:ascii="Arial" w:hAnsi="Arial" w:cs="Arial"/>
          <w:bCs/>
          <w:sz w:val="20"/>
        </w:rPr>
        <w:tab/>
        <w:t xml:space="preserve">Az L10, </w:t>
      </w:r>
      <w:r w:rsidR="00DC074D">
        <w:rPr>
          <w:rFonts w:ascii="Arial" w:hAnsi="Arial" w:cs="Arial"/>
          <w:bCs/>
          <w:sz w:val="20"/>
        </w:rPr>
        <w:t xml:space="preserve">L12, </w:t>
      </w:r>
      <w:r w:rsidRPr="00A61F3D">
        <w:rPr>
          <w:rFonts w:ascii="Arial" w:hAnsi="Arial" w:cs="Arial"/>
          <w:bCs/>
          <w:sz w:val="20"/>
        </w:rPr>
        <w:t xml:space="preserve">L71, L72, L73, L74, P56, P67, P68, P69, </w:t>
      </w:r>
      <w:r w:rsidR="00C4697D" w:rsidRPr="00A61F3D">
        <w:rPr>
          <w:rFonts w:ascii="Arial" w:hAnsi="Arial" w:cs="Arial"/>
          <w:bCs/>
          <w:sz w:val="20"/>
        </w:rPr>
        <w:t xml:space="preserve">P70, </w:t>
      </w:r>
      <w:r w:rsidR="00337860" w:rsidRPr="00A61F3D">
        <w:rPr>
          <w:rFonts w:ascii="Arial" w:hAnsi="Arial" w:cs="Arial"/>
          <w:bCs/>
          <w:sz w:val="20"/>
        </w:rPr>
        <w:t xml:space="preserve">P71, P72, </w:t>
      </w:r>
      <w:r w:rsidRPr="00A61F3D">
        <w:rPr>
          <w:rFonts w:ascii="Arial" w:hAnsi="Arial" w:cs="Arial"/>
          <w:bCs/>
          <w:sz w:val="20"/>
        </w:rPr>
        <w:t>T02, W08</w:t>
      </w:r>
      <w:r w:rsidR="0097767D">
        <w:rPr>
          <w:rFonts w:ascii="Arial" w:hAnsi="Arial" w:cs="Arial"/>
          <w:bCs/>
          <w:sz w:val="20"/>
        </w:rPr>
        <w:t>, W09</w:t>
      </w:r>
      <w:r w:rsidRPr="00A61F3D">
        <w:rPr>
          <w:rFonts w:ascii="Arial" w:hAnsi="Arial" w:cs="Arial"/>
          <w:bCs/>
          <w:sz w:val="20"/>
        </w:rPr>
        <w:t xml:space="preserve"> MNB azonosító kódú adatszolgáltatás kivételével, amennyiben az adatszolgáltató a megadott vonatkozási időre nem rendelkezik adattal, tehát a teljes adatszolgáltatása nemleges (a továbbiakban: nemleges adatszolgáltatás) és az adatszolgáltatás egyik táblája sem tartalmaz kötelezően kitöltendő mezőt, akkor a „bizonylat jellege” mező értéke „N”. Az L71, L72, L73, L74, T02 MNB azonosító kódú adatszolgáltatás tekintetében az adatszolgáltató nemleges adatszolgáltatás esetén az adatszolgáltatás tábláinak kötelezően kitöltendő valamennyi mezőjébe „0” értéket köteles írni. Az L10, </w:t>
      </w:r>
      <w:r w:rsidR="00DC074D">
        <w:rPr>
          <w:rFonts w:ascii="Arial" w:hAnsi="Arial" w:cs="Arial"/>
          <w:bCs/>
          <w:sz w:val="20"/>
        </w:rPr>
        <w:t xml:space="preserve">L12, </w:t>
      </w:r>
      <w:r w:rsidRPr="00A61F3D">
        <w:rPr>
          <w:rFonts w:ascii="Arial" w:hAnsi="Arial" w:cs="Arial"/>
          <w:bCs/>
          <w:sz w:val="20"/>
        </w:rPr>
        <w:t xml:space="preserve">P56, P67, P68, P69, </w:t>
      </w:r>
      <w:r w:rsidR="00C4697D" w:rsidRPr="00A61F3D">
        <w:rPr>
          <w:rFonts w:ascii="Arial" w:hAnsi="Arial" w:cs="Arial"/>
          <w:bCs/>
          <w:sz w:val="20"/>
        </w:rPr>
        <w:t>P70,</w:t>
      </w:r>
      <w:r w:rsidR="00337860" w:rsidRPr="00A61F3D">
        <w:rPr>
          <w:rFonts w:ascii="Arial" w:hAnsi="Arial" w:cs="Arial"/>
          <w:bCs/>
          <w:sz w:val="20"/>
        </w:rPr>
        <w:t xml:space="preserve"> P71, P72,</w:t>
      </w:r>
      <w:r w:rsidR="00C4697D" w:rsidRPr="00A61F3D">
        <w:rPr>
          <w:rFonts w:ascii="Arial" w:hAnsi="Arial" w:cs="Arial"/>
          <w:bCs/>
          <w:sz w:val="20"/>
        </w:rPr>
        <w:t xml:space="preserve"> </w:t>
      </w:r>
      <w:r w:rsidRPr="00A61F3D">
        <w:rPr>
          <w:rFonts w:ascii="Arial" w:hAnsi="Arial" w:cs="Arial"/>
          <w:bCs/>
          <w:sz w:val="20"/>
        </w:rPr>
        <w:t>W08</w:t>
      </w:r>
      <w:r w:rsidR="0097767D">
        <w:rPr>
          <w:rFonts w:ascii="Arial" w:hAnsi="Arial" w:cs="Arial"/>
          <w:bCs/>
          <w:sz w:val="20"/>
        </w:rPr>
        <w:t>, W09</w:t>
      </w:r>
      <w:r w:rsidRPr="00A61F3D">
        <w:rPr>
          <w:rFonts w:ascii="Arial" w:hAnsi="Arial" w:cs="Arial"/>
          <w:bCs/>
          <w:sz w:val="20"/>
        </w:rPr>
        <w:t xml:space="preserve"> MNB azonosító kódú adatszolgáltatás tekintetében az adatszolgáltatónak nemleges adatszolgáltatásra nincs lehetősége.  </w:t>
      </w:r>
    </w:p>
    <w:p w14:paraId="1E20B305" w14:textId="77777777" w:rsidR="008E281B" w:rsidRPr="00A61F3D" w:rsidRDefault="008E281B" w:rsidP="008E281B">
      <w:pPr>
        <w:ind w:left="567" w:hanging="567"/>
        <w:rPr>
          <w:rFonts w:ascii="Arial" w:hAnsi="Arial" w:cs="Arial"/>
          <w:b/>
          <w:sz w:val="20"/>
        </w:rPr>
      </w:pPr>
      <w:r w:rsidRPr="00A61F3D">
        <w:rPr>
          <w:rFonts w:ascii="Arial" w:hAnsi="Arial" w:cs="Arial"/>
          <w:bCs/>
          <w:sz w:val="20"/>
        </w:rPr>
        <w:t>2.3.</w:t>
      </w:r>
      <w:r w:rsidRPr="00A61F3D">
        <w:rPr>
          <w:rFonts w:ascii="Arial" w:hAnsi="Arial" w:cs="Arial"/>
          <w:bCs/>
          <w:sz w:val="20"/>
        </w:rPr>
        <w:tab/>
        <w:t>Az adatszolgáltató egy adatszolgáltatáson belül bármely táblára jelezheti, hogy arra vonatkozóan nem rendelkezik adattal, ebben az esetben – amennyiben a tábla nem tartalmaz kötelezően kitöltendő mezőt – az adott táblát „nemleges"-ként küldheti.</w:t>
      </w:r>
    </w:p>
    <w:p w14:paraId="773D9217" w14:textId="77777777" w:rsidR="006805CF" w:rsidRPr="00A61F3D" w:rsidRDefault="006805CF" w:rsidP="0095208C">
      <w:pPr>
        <w:tabs>
          <w:tab w:val="left" w:pos="1728"/>
          <w:tab w:val="left" w:pos="2448"/>
          <w:tab w:val="left" w:pos="3168"/>
          <w:tab w:val="left" w:pos="3888"/>
          <w:tab w:val="left" w:pos="4608"/>
          <w:tab w:val="left" w:pos="5328"/>
          <w:tab w:val="left" w:pos="6048"/>
          <w:tab w:val="left" w:pos="6768"/>
          <w:tab w:val="left" w:pos="7488"/>
          <w:tab w:val="left" w:pos="7939"/>
        </w:tabs>
        <w:ind w:right="-39"/>
        <w:rPr>
          <w:rFonts w:ascii="Arial" w:hAnsi="Arial" w:cs="Arial"/>
          <w:b/>
          <w:sz w:val="20"/>
        </w:rPr>
      </w:pPr>
    </w:p>
    <w:p w14:paraId="101A7717" w14:textId="1D4E4FB8" w:rsidR="00AC13E5" w:rsidRPr="00A61F3D" w:rsidRDefault="000341F8">
      <w:pPr>
        <w:tabs>
          <w:tab w:val="left" w:pos="426"/>
        </w:tabs>
        <w:rPr>
          <w:rFonts w:ascii="Arial" w:hAnsi="Arial" w:cs="Arial"/>
          <w:b/>
          <w:sz w:val="20"/>
        </w:rPr>
      </w:pPr>
      <w:r>
        <w:rPr>
          <w:rFonts w:ascii="Arial" w:hAnsi="Arial" w:cs="Arial"/>
          <w:b/>
          <w:sz w:val="20"/>
        </w:rPr>
        <w:t xml:space="preserve">I. </w:t>
      </w:r>
      <w:r w:rsidR="00474AB4">
        <w:rPr>
          <w:rFonts w:ascii="Arial" w:hAnsi="Arial" w:cs="Arial"/>
          <w:b/>
          <w:sz w:val="20"/>
        </w:rPr>
        <w:t>C</w:t>
      </w:r>
      <w:r w:rsidR="000E7B86" w:rsidRPr="00A61F3D">
        <w:rPr>
          <w:rFonts w:ascii="Arial" w:hAnsi="Arial" w:cs="Arial"/>
          <w:b/>
          <w:sz w:val="20"/>
        </w:rPr>
        <w:t>.</w:t>
      </w:r>
      <w:r w:rsidR="000E7B86" w:rsidRPr="00A61F3D">
        <w:rPr>
          <w:rFonts w:ascii="Arial" w:hAnsi="Arial" w:cs="Arial"/>
          <w:b/>
          <w:sz w:val="20"/>
        </w:rPr>
        <w:tab/>
        <w:t>Irányelvek a statisztikai információszolgáltatásokhoz</w:t>
      </w:r>
    </w:p>
    <w:p w14:paraId="62577536" w14:textId="77777777" w:rsidR="006805CF" w:rsidRPr="00A61F3D" w:rsidRDefault="000E7B86">
      <w:pPr>
        <w:ind w:left="426" w:hanging="426"/>
        <w:rPr>
          <w:rFonts w:ascii="Arial" w:hAnsi="Arial" w:cs="Arial"/>
          <w:sz w:val="20"/>
        </w:rPr>
      </w:pPr>
      <w:r w:rsidRPr="00A61F3D">
        <w:rPr>
          <w:rFonts w:ascii="Arial" w:hAnsi="Arial" w:cs="Arial"/>
          <w:sz w:val="20"/>
        </w:rPr>
        <w:t>A statisztikai információk helyessége érdekében:</w:t>
      </w:r>
    </w:p>
    <w:p w14:paraId="503879E0" w14:textId="019C4CF0" w:rsidR="006805CF" w:rsidRPr="00686DAB" w:rsidRDefault="000E7B86" w:rsidP="00EF322B">
      <w:pPr>
        <w:pStyle w:val="Listaszerbekezds"/>
        <w:numPr>
          <w:ilvl w:val="0"/>
          <w:numId w:val="35"/>
        </w:numPr>
        <w:ind w:left="709" w:hanging="283"/>
        <w:rPr>
          <w:rFonts w:ascii="Arial" w:hAnsi="Arial" w:cs="Arial"/>
          <w:sz w:val="20"/>
        </w:rPr>
      </w:pPr>
      <w:r w:rsidRPr="00EF322B">
        <w:rPr>
          <w:rFonts w:ascii="Arial" w:hAnsi="Arial" w:cs="Arial"/>
          <w:sz w:val="20"/>
        </w:rPr>
        <w:t xml:space="preserve">teljesülnie kell valamennyi lineáris megkötöttségnek (pl. azon adatszolgáltatásoknál, amelyekben a teljes mérleg adatait kell jelenteni, a mérleg két oldalának egyensúlyban kell </w:t>
      </w:r>
      <w:r w:rsidRPr="00686DAB">
        <w:rPr>
          <w:rFonts w:ascii="Arial" w:hAnsi="Arial" w:cs="Arial"/>
          <w:sz w:val="20"/>
        </w:rPr>
        <w:t>lennie, a részösszegek összegének meg kell egyeznie a végösszeggel</w:t>
      </w:r>
      <w:r w:rsidR="00B070BB" w:rsidRPr="00686DAB">
        <w:rPr>
          <w:rFonts w:ascii="Arial" w:hAnsi="Arial" w:cs="Arial"/>
          <w:sz w:val="20"/>
        </w:rPr>
        <w:t>),</w:t>
      </w:r>
    </w:p>
    <w:p w14:paraId="21A85760" w14:textId="5B763567" w:rsidR="006805CF" w:rsidRPr="00686DAB" w:rsidRDefault="000E7B86" w:rsidP="00EF322B">
      <w:pPr>
        <w:pStyle w:val="Listaszerbekezds"/>
        <w:numPr>
          <w:ilvl w:val="0"/>
          <w:numId w:val="35"/>
        </w:numPr>
        <w:ind w:left="709" w:hanging="283"/>
        <w:rPr>
          <w:rFonts w:ascii="Arial" w:hAnsi="Arial" w:cs="Arial"/>
          <w:sz w:val="20"/>
        </w:rPr>
      </w:pPr>
      <w:r w:rsidRPr="00686DAB">
        <w:rPr>
          <w:rFonts w:ascii="Arial" w:hAnsi="Arial" w:cs="Arial"/>
          <w:sz w:val="20"/>
        </w:rPr>
        <w:t>egy adatszolgáltató azonos tartalmú adatainak egymással konzisztensnek kell lenniük</w:t>
      </w:r>
      <w:r w:rsidR="00B070BB" w:rsidRPr="00686DAB">
        <w:rPr>
          <w:rFonts w:ascii="Arial" w:hAnsi="Arial" w:cs="Arial"/>
          <w:sz w:val="20"/>
        </w:rPr>
        <w:t>,</w:t>
      </w:r>
    </w:p>
    <w:p w14:paraId="522CBEE9" w14:textId="53EC0C4B" w:rsidR="0034120E" w:rsidRPr="00686DAB" w:rsidRDefault="000E7B86" w:rsidP="00EF322B">
      <w:pPr>
        <w:pStyle w:val="Listaszerbekezds"/>
        <w:numPr>
          <w:ilvl w:val="0"/>
          <w:numId w:val="35"/>
        </w:numPr>
        <w:ind w:left="709" w:hanging="283"/>
        <w:rPr>
          <w:rFonts w:ascii="Arial" w:hAnsi="Arial" w:cs="Arial"/>
          <w:sz w:val="20"/>
        </w:rPr>
      </w:pPr>
      <w:r w:rsidRPr="00686DAB">
        <w:rPr>
          <w:rFonts w:ascii="Arial" w:hAnsi="Arial" w:cs="Arial"/>
          <w:sz w:val="20"/>
        </w:rPr>
        <w:t>a szolgáltatott statisztikai információknak teljes körűeknek kell lenniük</w:t>
      </w:r>
      <w:r w:rsidR="00B070BB" w:rsidRPr="00686DAB">
        <w:rPr>
          <w:rFonts w:ascii="Arial" w:hAnsi="Arial" w:cs="Arial"/>
          <w:sz w:val="20"/>
        </w:rPr>
        <w:t>,</w:t>
      </w:r>
    </w:p>
    <w:p w14:paraId="4B7211A6" w14:textId="490E328C" w:rsidR="00496DAB" w:rsidRPr="00686DAB" w:rsidRDefault="000E7B86" w:rsidP="00EF322B">
      <w:pPr>
        <w:numPr>
          <w:ilvl w:val="0"/>
          <w:numId w:val="35"/>
        </w:numPr>
        <w:ind w:left="709" w:hanging="283"/>
        <w:rPr>
          <w:rFonts w:ascii="Arial" w:hAnsi="Arial" w:cs="Arial"/>
          <w:sz w:val="20"/>
        </w:rPr>
      </w:pPr>
      <w:r w:rsidRPr="00686DAB">
        <w:rPr>
          <w:rFonts w:ascii="Arial" w:hAnsi="Arial" w:cs="Arial"/>
          <w:sz w:val="20"/>
        </w:rPr>
        <w:t>az adott adatszolgáltató által teljesített különböző típusú adatszolgáltatásokban az azonos számviteli tartalmú adatoknak tételesen meg kell egyeznie</w:t>
      </w:r>
      <w:r w:rsidR="00496DAB" w:rsidRPr="00686DAB">
        <w:rPr>
          <w:rFonts w:ascii="Arial" w:hAnsi="Arial" w:cs="Arial"/>
          <w:sz w:val="20"/>
        </w:rPr>
        <w:t>,</w:t>
      </w:r>
    </w:p>
    <w:p w14:paraId="19A4E3F6" w14:textId="531EF026" w:rsidR="006805CF" w:rsidRPr="00686DAB" w:rsidRDefault="00496DAB" w:rsidP="00EF322B">
      <w:pPr>
        <w:numPr>
          <w:ilvl w:val="0"/>
          <w:numId w:val="35"/>
        </w:numPr>
        <w:ind w:left="709" w:hanging="283"/>
        <w:rPr>
          <w:rFonts w:ascii="Arial" w:hAnsi="Arial" w:cs="Arial"/>
          <w:sz w:val="20"/>
        </w:rPr>
      </w:pPr>
      <w:r w:rsidRPr="00686DAB">
        <w:rPr>
          <w:rFonts w:ascii="Arial" w:hAnsi="Arial" w:cs="Arial"/>
          <w:sz w:val="20"/>
        </w:rPr>
        <w:lastRenderedPageBreak/>
        <w:t>az adatszolgáltató az adatszolgáltatások alapjául szolgáló dokumentumokat, a számviteli, nyilvántartási, informatikai rendszerekben tárolt információkat az adatszolgáltatás esedékessége naptári évének utolsó napjától számított öt évig köteles megőrizni.</w:t>
      </w:r>
      <w:r w:rsidR="000E7B86" w:rsidRPr="00686DAB">
        <w:rPr>
          <w:rFonts w:ascii="Arial" w:hAnsi="Arial" w:cs="Arial"/>
          <w:sz w:val="20"/>
        </w:rPr>
        <w:t xml:space="preserve"> </w:t>
      </w:r>
    </w:p>
    <w:p w14:paraId="65CA1CBF" w14:textId="77777777" w:rsidR="006805CF" w:rsidRPr="00A61F3D" w:rsidRDefault="006805CF">
      <w:pPr>
        <w:rPr>
          <w:rFonts w:ascii="Arial" w:hAnsi="Arial" w:cs="Arial"/>
          <w:b/>
          <w:sz w:val="20"/>
        </w:rPr>
      </w:pPr>
    </w:p>
    <w:p w14:paraId="15BDB710" w14:textId="77777777" w:rsidR="006805CF" w:rsidRPr="00A61F3D" w:rsidRDefault="006805CF">
      <w:pPr>
        <w:rPr>
          <w:rFonts w:ascii="Arial" w:hAnsi="Arial" w:cs="Arial"/>
          <w:b/>
          <w:sz w:val="20"/>
        </w:rPr>
      </w:pPr>
    </w:p>
    <w:p w14:paraId="2A2494F7" w14:textId="19FF1C47" w:rsidR="006805CF" w:rsidRPr="00A61F3D" w:rsidRDefault="00D60897">
      <w:pPr>
        <w:rPr>
          <w:rFonts w:ascii="Arial" w:hAnsi="Arial" w:cs="Arial"/>
          <w:b/>
          <w:sz w:val="20"/>
        </w:rPr>
      </w:pPr>
      <w:r>
        <w:rPr>
          <w:rFonts w:ascii="Arial" w:hAnsi="Arial" w:cs="Arial"/>
          <w:b/>
          <w:sz w:val="20"/>
        </w:rPr>
        <w:t xml:space="preserve">I. </w:t>
      </w:r>
      <w:r w:rsidR="00474AB4">
        <w:rPr>
          <w:rFonts w:ascii="Arial" w:hAnsi="Arial" w:cs="Arial"/>
          <w:b/>
          <w:sz w:val="20"/>
        </w:rPr>
        <w:t>D</w:t>
      </w:r>
      <w:r w:rsidR="000E7B86" w:rsidRPr="00A61F3D">
        <w:rPr>
          <w:rFonts w:ascii="Arial" w:hAnsi="Arial" w:cs="Arial"/>
          <w:b/>
          <w:sz w:val="20"/>
        </w:rPr>
        <w:t>. A</w:t>
      </w:r>
      <w:r w:rsidR="005A30AA" w:rsidRPr="00A61F3D">
        <w:rPr>
          <w:rFonts w:ascii="Arial" w:hAnsi="Arial" w:cs="Arial"/>
          <w:b/>
          <w:sz w:val="20"/>
        </w:rPr>
        <w:t>z</w:t>
      </w:r>
      <w:r w:rsidR="000E7B86" w:rsidRPr="00A61F3D">
        <w:rPr>
          <w:rFonts w:ascii="Arial" w:hAnsi="Arial" w:cs="Arial"/>
          <w:b/>
          <w:sz w:val="20"/>
        </w:rPr>
        <w:t xml:space="preserve"> adatszolgáltatások teljesítésének közös szabályai</w:t>
      </w:r>
    </w:p>
    <w:p w14:paraId="58738B64" w14:textId="6AEC885D" w:rsidR="00AC13E5" w:rsidRPr="00A61F3D" w:rsidRDefault="00FF5BEA">
      <w:pPr>
        <w:spacing w:before="120"/>
        <w:outlineLvl w:val="0"/>
        <w:rPr>
          <w:rFonts w:ascii="Arial" w:hAnsi="Arial" w:cs="Arial"/>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1. Becslés alkalmazása</w:t>
      </w:r>
    </w:p>
    <w:p w14:paraId="63B755FD" w14:textId="77777777" w:rsidR="00A77E5F" w:rsidRPr="00A61F3D" w:rsidRDefault="000E7B86" w:rsidP="00A77E5F">
      <w:pPr>
        <w:rPr>
          <w:rFonts w:ascii="Arial" w:hAnsi="Arial" w:cs="Arial"/>
          <w:b/>
          <w:sz w:val="20"/>
        </w:rPr>
      </w:pPr>
      <w:r w:rsidRPr="00A61F3D">
        <w:rPr>
          <w:rFonts w:ascii="Arial" w:hAnsi="Arial" w:cs="Arial"/>
          <w:sz w:val="20"/>
        </w:rPr>
        <w:t>Amennyiben az egyes adatszolgáltatások előírt beküldési határidőre történő teljesítéséhez szükséges adatok az adatszolgáltatónál nem állnak időben rendelkezésére, akkor becslés alapján ideiglenes adatokat kell közölnie. Az egyes adatszolgáltatások tábláira vonatkozó kitöltési előírások eltérő rendelkezése hiányában az adatok véglegessé válása esetén az adatszolgáltatónak módosító jelentést kell beküldenie az MNB részére.</w:t>
      </w:r>
      <w:r w:rsidRPr="00A61F3D">
        <w:rPr>
          <w:rFonts w:ascii="Arial" w:hAnsi="Arial" w:cs="Arial"/>
          <w:sz w:val="20"/>
        </w:rPr>
        <w:cr/>
      </w:r>
      <w:r w:rsidR="00261A50" w:rsidRPr="00A61F3D">
        <w:rPr>
          <w:rFonts w:ascii="Arial" w:hAnsi="Arial" w:cs="Arial"/>
          <w:sz w:val="20"/>
        </w:rPr>
        <w:t>A</w:t>
      </w:r>
      <w:r w:rsidR="00953CBA" w:rsidRPr="00A61F3D">
        <w:rPr>
          <w:rFonts w:ascii="Arial" w:hAnsi="Arial" w:cs="Arial"/>
          <w:sz w:val="20"/>
        </w:rPr>
        <w:t>z F95, F97</w:t>
      </w:r>
      <w:r w:rsidR="00895E38" w:rsidRPr="00A61F3D">
        <w:rPr>
          <w:rFonts w:ascii="Arial" w:hAnsi="Arial" w:cs="Arial"/>
          <w:sz w:val="20"/>
        </w:rPr>
        <w:t xml:space="preserve"> és</w:t>
      </w:r>
      <w:r w:rsidR="00953CBA" w:rsidRPr="00A61F3D">
        <w:rPr>
          <w:rFonts w:ascii="Arial" w:hAnsi="Arial" w:cs="Arial"/>
          <w:sz w:val="20"/>
        </w:rPr>
        <w:t xml:space="preserve"> F99 </w:t>
      </w:r>
      <w:r w:rsidR="00A30257" w:rsidRPr="00A61F3D">
        <w:rPr>
          <w:rFonts w:ascii="Arial" w:hAnsi="Arial" w:cs="Arial"/>
          <w:sz w:val="20"/>
        </w:rPr>
        <w:t>MNB azonosító kódú</w:t>
      </w:r>
      <w:r w:rsidR="00953CBA" w:rsidRPr="00A61F3D">
        <w:rPr>
          <w:rFonts w:ascii="Arial" w:hAnsi="Arial" w:cs="Arial"/>
          <w:sz w:val="20"/>
        </w:rPr>
        <w:t xml:space="preserve"> adatszolgáltatások </w:t>
      </w:r>
      <w:r w:rsidR="006A1BFF" w:rsidRPr="00A61F3D">
        <w:rPr>
          <w:rFonts w:ascii="Arial" w:hAnsi="Arial" w:cs="Arial"/>
          <w:sz w:val="20"/>
        </w:rPr>
        <w:t>kivételével a</w:t>
      </w:r>
      <w:r w:rsidR="004B7885" w:rsidRPr="00A61F3D">
        <w:rPr>
          <w:rFonts w:ascii="Arial" w:hAnsi="Arial" w:cs="Arial"/>
          <w:sz w:val="20"/>
        </w:rPr>
        <w:t xml:space="preserve"> </w:t>
      </w:r>
      <w:r w:rsidR="008829DD" w:rsidRPr="00A61F3D">
        <w:rPr>
          <w:rFonts w:ascii="Arial" w:hAnsi="Arial" w:cs="Arial"/>
          <w:sz w:val="20"/>
        </w:rPr>
        <w:t xml:space="preserve">D, az </w:t>
      </w:r>
      <w:r w:rsidR="004B7885" w:rsidRPr="00A61F3D">
        <w:rPr>
          <w:rFonts w:ascii="Arial" w:hAnsi="Arial" w:cs="Arial"/>
          <w:sz w:val="20"/>
        </w:rPr>
        <w:t>F</w:t>
      </w:r>
      <w:r w:rsidR="007601ED" w:rsidRPr="00A61F3D">
        <w:rPr>
          <w:rFonts w:ascii="Arial" w:hAnsi="Arial" w:cs="Arial"/>
          <w:sz w:val="20"/>
        </w:rPr>
        <w:t>,</w:t>
      </w:r>
      <w:r w:rsidR="00074D8E" w:rsidRPr="00A61F3D">
        <w:rPr>
          <w:rFonts w:ascii="Arial" w:hAnsi="Arial" w:cs="Arial"/>
          <w:sz w:val="20"/>
        </w:rPr>
        <w:t xml:space="preserve"> </w:t>
      </w:r>
      <w:r w:rsidR="00467D1F" w:rsidRPr="00A61F3D">
        <w:rPr>
          <w:rFonts w:ascii="Arial" w:hAnsi="Arial" w:cs="Arial"/>
          <w:sz w:val="20"/>
        </w:rPr>
        <w:t xml:space="preserve">a </w:t>
      </w:r>
      <w:r w:rsidR="00261A50" w:rsidRPr="00A61F3D">
        <w:rPr>
          <w:rFonts w:ascii="Arial" w:hAnsi="Arial" w:cs="Arial"/>
          <w:sz w:val="20"/>
        </w:rPr>
        <w:t>K</w:t>
      </w:r>
      <w:r w:rsidR="00A333D4" w:rsidRPr="00A61F3D">
        <w:rPr>
          <w:rFonts w:ascii="Arial" w:hAnsi="Arial" w:cs="Arial"/>
          <w:sz w:val="20"/>
        </w:rPr>
        <w:t xml:space="preserve"> </w:t>
      </w:r>
      <w:r w:rsidR="007601ED" w:rsidRPr="00A61F3D">
        <w:rPr>
          <w:rFonts w:ascii="Arial" w:hAnsi="Arial" w:cs="Arial"/>
          <w:sz w:val="20"/>
        </w:rPr>
        <w:t xml:space="preserve">és az M </w:t>
      </w:r>
      <w:r w:rsidR="00261A50" w:rsidRPr="00A61F3D">
        <w:rPr>
          <w:rFonts w:ascii="Arial" w:hAnsi="Arial" w:cs="Arial"/>
          <w:sz w:val="20"/>
        </w:rPr>
        <w:t>jelű adatszolgáltatások esetében a becslés alkalmazásáról illetve módszeréről az adatszolgáltató köteles az MNB Statisztika</w:t>
      </w:r>
      <w:r w:rsidR="00372347" w:rsidRPr="00A61F3D">
        <w:rPr>
          <w:rFonts w:ascii="Arial" w:hAnsi="Arial" w:cs="Arial"/>
          <w:sz w:val="20"/>
        </w:rPr>
        <w:t>i igazgatóságát</w:t>
      </w:r>
      <w:r w:rsidR="00261A50" w:rsidRPr="00A61F3D">
        <w:rPr>
          <w:rFonts w:ascii="Arial" w:hAnsi="Arial" w:cs="Arial"/>
          <w:sz w:val="20"/>
        </w:rPr>
        <w:t xml:space="preserve"> legkésőbb az adatszolgáltatási határidő lejárta előtt egy munkanappal írásban tájékoztatni.</w:t>
      </w:r>
      <w:r w:rsidR="00A77E5F" w:rsidRPr="00A61F3D">
        <w:rPr>
          <w:rFonts w:ascii="Arial" w:hAnsi="Arial" w:cs="Arial"/>
          <w:sz w:val="20"/>
        </w:rPr>
        <w:t xml:space="preserve"> </w:t>
      </w:r>
    </w:p>
    <w:p w14:paraId="0B6AC2E0" w14:textId="0F3836F3" w:rsidR="00155878" w:rsidRPr="00A61F3D" w:rsidRDefault="00FF5BEA">
      <w:pPr>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 xml:space="preserve">2. Az adatszolgáltatás beküldési határidejének módosítására irányuló kérelem </w:t>
      </w:r>
    </w:p>
    <w:p w14:paraId="19C2B76F" w14:textId="77777777" w:rsidR="00CD7C51" w:rsidRPr="00A61F3D" w:rsidRDefault="000E7B86">
      <w:pPr>
        <w:rPr>
          <w:rFonts w:ascii="Arial" w:hAnsi="Arial" w:cs="Arial"/>
          <w:b/>
          <w:sz w:val="20"/>
        </w:rPr>
      </w:pPr>
      <w:r w:rsidRPr="00A61F3D">
        <w:rPr>
          <w:rFonts w:ascii="Arial" w:hAnsi="Arial" w:cs="Arial"/>
          <w:sz w:val="20"/>
        </w:rPr>
        <w:t>Amennyiben az egyes adatszolgáltatások előírt beküldési határidőre történő teljesítéséhez szükséges adatok az adatszolgáltatónál becslés alkalmazásával sem állnak időben rendelkezésre, az adatszolgáltatónak írásbeli kérelmet kell benyújtania határidő hosszabbítás érdekében az MNB Statisztika</w:t>
      </w:r>
      <w:r w:rsidR="00372347" w:rsidRPr="00A61F3D">
        <w:rPr>
          <w:rFonts w:ascii="Arial" w:hAnsi="Arial" w:cs="Arial"/>
          <w:sz w:val="20"/>
        </w:rPr>
        <w:t>i igazgatósága</w:t>
      </w:r>
      <w:r w:rsidRPr="00A61F3D">
        <w:rPr>
          <w:rFonts w:ascii="Arial" w:hAnsi="Arial" w:cs="Arial"/>
          <w:sz w:val="20"/>
        </w:rPr>
        <w:t xml:space="preserve"> részére, legkésőbb az adatszolgáltatási határidő lejárta előtt egy munkanappal.</w:t>
      </w:r>
    </w:p>
    <w:p w14:paraId="5E03EFAB" w14:textId="7AA0AFC3" w:rsidR="00AC13E5" w:rsidRPr="00A61F3D" w:rsidRDefault="00FF5BEA" w:rsidP="004C4E70">
      <w:pPr>
        <w:keepNext/>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3. Az adatszolgáltatási kötelezettség időbeli hatálya</w:t>
      </w:r>
      <w:r w:rsidR="008122DB" w:rsidRPr="00A61F3D">
        <w:rPr>
          <w:rFonts w:ascii="Arial" w:hAnsi="Arial" w:cs="Arial"/>
          <w:b/>
          <w:sz w:val="20"/>
        </w:rPr>
        <w:t xml:space="preserve"> </w:t>
      </w:r>
      <w:r w:rsidR="002A37D7" w:rsidRPr="00A61F3D">
        <w:rPr>
          <w:rFonts w:ascii="Arial" w:hAnsi="Arial" w:cs="Arial"/>
          <w:b/>
          <w:sz w:val="20"/>
        </w:rPr>
        <w:t>kijelöléses és küszöbértékes adatszolgáltatások esetén</w:t>
      </w:r>
    </w:p>
    <w:p w14:paraId="580E64DC" w14:textId="77777777" w:rsidR="00877477" w:rsidRPr="00A61F3D" w:rsidRDefault="000E7B86" w:rsidP="00877477">
      <w:pPr>
        <w:rPr>
          <w:rFonts w:ascii="Arial" w:hAnsi="Arial" w:cs="Arial"/>
          <w:sz w:val="20"/>
          <w:lang w:eastAsia="en-US"/>
        </w:rPr>
      </w:pPr>
      <w:r w:rsidRPr="00A61F3D">
        <w:rPr>
          <w:rFonts w:ascii="Arial" w:hAnsi="Arial" w:cs="Arial"/>
          <w:sz w:val="20"/>
        </w:rPr>
        <w:t>A kijelöléses adatszolgáltatás tekintetében fennálló adatszolgáltatási kötelezettségről az MNB az általa kijelölt adatszolgáltatót írásban értesíti.</w:t>
      </w:r>
      <w:r w:rsidR="00877477" w:rsidRPr="00A61F3D">
        <w:rPr>
          <w:rFonts w:ascii="Arial" w:hAnsi="Arial" w:cs="Arial"/>
          <w:sz w:val="20"/>
        </w:rPr>
        <w:t xml:space="preserve"> Az adatszolgáltatási kötelezettség – a kijelölésben foglalt eltérő rendelkezés hiányában – az MNB által a kijelölésben meghatározott tárgyidőszaktól kezdődően a kijelölés MNB általi visszavonásáig, illetve az MNB által felügyelt intézmény esetében a tevékenységi engedély visszavonásáról szóló határozat véglegessé válása napjáig, EGT-fióktelep esetében a tevékenység befejezésének időpontjáig folyamatosan fennáll.</w:t>
      </w:r>
    </w:p>
    <w:p w14:paraId="3B4041C9" w14:textId="65BE906E" w:rsidR="00AC13E5" w:rsidRPr="00A61F3D" w:rsidRDefault="000E7B86">
      <w:pPr>
        <w:spacing w:before="120"/>
        <w:rPr>
          <w:rFonts w:ascii="Arial" w:hAnsi="Arial" w:cs="Arial"/>
          <w:sz w:val="20"/>
        </w:rPr>
      </w:pPr>
      <w:r w:rsidRPr="00A61F3D">
        <w:rPr>
          <w:rFonts w:ascii="Arial" w:hAnsi="Arial" w:cs="Arial"/>
          <w:sz w:val="20"/>
        </w:rPr>
        <w:t xml:space="preserve">A küszöbértékes adatszolgáltatás </w:t>
      </w:r>
      <w:r w:rsidR="006037CA">
        <w:rPr>
          <w:rFonts w:ascii="Arial" w:hAnsi="Arial" w:cs="Arial"/>
          <w:sz w:val="20"/>
        </w:rPr>
        <w:t xml:space="preserve">adott éven belül </w:t>
      </w:r>
      <w:r w:rsidRPr="00A61F3D">
        <w:rPr>
          <w:rFonts w:ascii="Arial" w:hAnsi="Arial" w:cs="Arial"/>
          <w:sz w:val="20"/>
        </w:rPr>
        <w:t xml:space="preserve">azon tárgyidőszaktól kezdődően teljesítendő, amelyre vonatkozóan első ízben teljesülnek az 1. mellékletben az adott adatszolgáltatás adatszolgáltatói körénél meghatározott feltételek, ezt megelőzően nemleges adatszolgáltatást beküldeni nem kell. Az adatszolgáltatási kötelezettség ezen tárgyidőszaktól kezdődően </w:t>
      </w:r>
      <w:r w:rsidR="006037CA">
        <w:rPr>
          <w:rFonts w:ascii="Arial" w:hAnsi="Arial" w:cs="Arial"/>
          <w:sz w:val="20"/>
        </w:rPr>
        <w:t xml:space="preserve">az adott évben </w:t>
      </w:r>
      <w:r w:rsidRPr="00A61F3D">
        <w:rPr>
          <w:rFonts w:ascii="Arial" w:hAnsi="Arial" w:cs="Arial"/>
          <w:sz w:val="20"/>
        </w:rPr>
        <w:t xml:space="preserve">folyamatosan fennáll, függetlenül attól, hogy esetlegesen valamely további tárgyidőszak vonatkozásában már nem állnak fenn a hivatkozott feltételek. </w:t>
      </w:r>
    </w:p>
    <w:p w14:paraId="2B288B25" w14:textId="0183C17B" w:rsidR="00AC13E5" w:rsidRPr="00A61F3D" w:rsidRDefault="00FF5BEA">
      <w:pPr>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4. Tárgyidőszak meghatározása</w:t>
      </w:r>
    </w:p>
    <w:p w14:paraId="4D6EDD16" w14:textId="77777777" w:rsidR="00A0725B" w:rsidRPr="00A61F3D" w:rsidRDefault="000E7B86" w:rsidP="00FD2CC5">
      <w:pPr>
        <w:autoSpaceDE w:val="0"/>
        <w:autoSpaceDN w:val="0"/>
        <w:adjustRightInd w:val="0"/>
        <w:spacing w:after="120"/>
        <w:rPr>
          <w:rFonts w:ascii="Arial" w:hAnsi="Arial" w:cs="Arial"/>
          <w:sz w:val="20"/>
        </w:rPr>
      </w:pPr>
      <w:r w:rsidRPr="00A61F3D">
        <w:rPr>
          <w:rFonts w:ascii="Arial" w:hAnsi="Arial" w:cs="Arial"/>
          <w:sz w:val="20"/>
        </w:rPr>
        <w:t xml:space="preserve">Az egyes adatszolgáltatások tábláira vonatkozó kitöltési előírások eltérő rendelkezése hiányában a tárgyidőszak </w:t>
      </w:r>
      <w:r w:rsidR="00FF69AC" w:rsidRPr="00A61F3D">
        <w:rPr>
          <w:rFonts w:ascii="Arial" w:hAnsi="Arial" w:cs="Arial"/>
          <w:sz w:val="20"/>
        </w:rPr>
        <w:t xml:space="preserve">napi adatszolgáltatások esetében a vonatkozó munkanap, </w:t>
      </w:r>
      <w:r w:rsidR="00261A50" w:rsidRPr="00A61F3D">
        <w:rPr>
          <w:rFonts w:ascii="Arial" w:hAnsi="Arial" w:cs="Arial"/>
          <w:sz w:val="20"/>
        </w:rPr>
        <w:t>heti adatszolgáltatásoknál a naptári hét,</w:t>
      </w:r>
      <w:r w:rsidR="002B5DDC" w:rsidRPr="00A61F3D">
        <w:rPr>
          <w:rFonts w:ascii="Arial" w:hAnsi="Arial" w:cs="Arial"/>
          <w:sz w:val="20"/>
        </w:rPr>
        <w:t xml:space="preserve"> </w:t>
      </w:r>
      <w:r w:rsidRPr="00A61F3D">
        <w:rPr>
          <w:rFonts w:ascii="Arial" w:hAnsi="Arial" w:cs="Arial"/>
          <w:sz w:val="20"/>
        </w:rPr>
        <w:t xml:space="preserve">havi adatszolgáltatásoknál a naptári hónap, negyedéves adatszolgáltatásoknál a naptári negyedév, </w:t>
      </w:r>
      <w:r w:rsidR="00261A50" w:rsidRPr="00A61F3D">
        <w:rPr>
          <w:rFonts w:ascii="Arial" w:hAnsi="Arial" w:cs="Arial"/>
          <w:sz w:val="20"/>
        </w:rPr>
        <w:t>féléves adatszolgáltatásoknál a naptári félév,</w:t>
      </w:r>
      <w:r w:rsidR="002B5DDC" w:rsidRPr="00A61F3D">
        <w:rPr>
          <w:rFonts w:ascii="Arial" w:hAnsi="Arial" w:cs="Arial"/>
          <w:sz w:val="20"/>
        </w:rPr>
        <w:t xml:space="preserve"> </w:t>
      </w:r>
      <w:r w:rsidRPr="00A61F3D">
        <w:rPr>
          <w:rFonts w:ascii="Arial" w:hAnsi="Arial" w:cs="Arial"/>
          <w:sz w:val="20"/>
        </w:rPr>
        <w:t xml:space="preserve">éves adatszolgáltatásoknál a naptári év. </w:t>
      </w:r>
    </w:p>
    <w:p w14:paraId="31247C3F" w14:textId="77777777" w:rsidR="006805CF" w:rsidRPr="00A61F3D" w:rsidRDefault="000E7B86" w:rsidP="00A0725B">
      <w:pPr>
        <w:autoSpaceDE w:val="0"/>
        <w:autoSpaceDN w:val="0"/>
        <w:adjustRightInd w:val="0"/>
        <w:rPr>
          <w:rFonts w:ascii="Arial" w:hAnsi="Arial" w:cs="Arial"/>
          <w:sz w:val="20"/>
        </w:rPr>
      </w:pPr>
      <w:r w:rsidRPr="00A61F3D">
        <w:rPr>
          <w:rFonts w:ascii="Arial" w:hAnsi="Arial" w:cs="Arial"/>
          <w:sz w:val="20"/>
        </w:rPr>
        <w:t>Amennyiben az adatszolgáltató könyvvezetés szerinti pénzügyi hónapja nem egyezik meg a naptári hónappal, ebben az esetben azon pénzügyi hónap szerint kell jelenteni, amelynek a vége a legközelebb van az adott naptári hónap végéhez. Az előírt jelentési gyakoriságot és határidőt ebben az esetben is be kell tartani.</w:t>
      </w:r>
    </w:p>
    <w:p w14:paraId="5FBF3BE6" w14:textId="36A2460E" w:rsidR="0095584B" w:rsidRPr="00A61F3D" w:rsidRDefault="00FF5BEA" w:rsidP="00B4375E">
      <w:pPr>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5. Az adatszolgáltatásban szerepeltetendő ügyletek</w:t>
      </w:r>
    </w:p>
    <w:p w14:paraId="4669DD8A" w14:textId="77777777" w:rsidR="00380532" w:rsidRPr="00A61F3D" w:rsidRDefault="000E7B86" w:rsidP="00EF66A3">
      <w:pPr>
        <w:pStyle w:val="NormlWeb"/>
        <w:spacing w:after="0"/>
        <w:ind w:firstLine="0"/>
        <w:rPr>
          <w:rFonts w:ascii="Arial" w:hAnsi="Arial" w:cs="Arial"/>
          <w:sz w:val="20"/>
          <w:szCs w:val="20"/>
        </w:rPr>
      </w:pPr>
      <w:r w:rsidRPr="00A61F3D">
        <w:rPr>
          <w:rFonts w:ascii="Arial" w:hAnsi="Arial" w:cs="Arial"/>
          <w:sz w:val="20"/>
          <w:szCs w:val="20"/>
        </w:rPr>
        <w:t>Az egyes adatszolgáltatások tábláira vonatkozó kitöltési előírások eltérő rendelkezése hiányában az adatszolgáltatást minden adatszolgáltatónak a saját ügyleteire vonatkozóan</w:t>
      </w:r>
      <w:r w:rsidR="00380532" w:rsidRPr="00A61F3D">
        <w:rPr>
          <w:rFonts w:ascii="Arial" w:hAnsi="Arial" w:cs="Arial"/>
          <w:sz w:val="20"/>
          <w:szCs w:val="20"/>
        </w:rPr>
        <w:t xml:space="preserve">, </w:t>
      </w:r>
      <w:r w:rsidR="00A0725B" w:rsidRPr="00A61F3D">
        <w:rPr>
          <w:rFonts w:ascii="Arial" w:hAnsi="Arial" w:cs="Arial"/>
          <w:sz w:val="20"/>
          <w:szCs w:val="20"/>
        </w:rPr>
        <w:t xml:space="preserve">az adatszolgáltató által alkalmazott számviteli szabályozásnak </w:t>
      </w:r>
      <w:r w:rsidRPr="00A61F3D">
        <w:rPr>
          <w:rFonts w:ascii="Arial" w:hAnsi="Arial" w:cs="Arial"/>
          <w:sz w:val="20"/>
          <w:szCs w:val="20"/>
        </w:rPr>
        <w:t xml:space="preserve">megfelelően vezetett számviteli nyilvántartásai és beszámolói, továbbá az üzleti okmányai alapján kell kitöltenie. </w:t>
      </w:r>
      <w:r w:rsidR="00F409EA" w:rsidRPr="00A61F3D">
        <w:rPr>
          <w:rFonts w:ascii="Arial" w:hAnsi="Arial" w:cs="Arial"/>
          <w:sz w:val="20"/>
          <w:szCs w:val="20"/>
        </w:rPr>
        <w:t xml:space="preserve">Ennek megfelelően </w:t>
      </w:r>
      <w:r w:rsidR="00787723" w:rsidRPr="00A61F3D">
        <w:rPr>
          <w:rFonts w:ascii="Arial" w:hAnsi="Arial" w:cs="Arial"/>
          <w:sz w:val="20"/>
          <w:szCs w:val="20"/>
        </w:rPr>
        <w:t xml:space="preserve">az adatok tartalmára, értékelésére vonatkozóan – az egyes adatszolgáltatások tábláira vonatkozó kitöltési előírások eltérő rendelkezése hiányában – </w:t>
      </w:r>
      <w:r w:rsidR="00F409EA" w:rsidRPr="00A61F3D">
        <w:rPr>
          <w:rFonts w:ascii="Arial" w:hAnsi="Arial" w:cs="Arial"/>
          <w:sz w:val="20"/>
          <w:szCs w:val="20"/>
        </w:rPr>
        <w:t>azon adatszolgáltató számára, amely</w:t>
      </w:r>
    </w:p>
    <w:p w14:paraId="6664E20E" w14:textId="77777777" w:rsidR="00380532" w:rsidRPr="00A61F3D" w:rsidRDefault="00F409EA" w:rsidP="00EF66A3">
      <w:pPr>
        <w:pStyle w:val="NormlWeb"/>
        <w:spacing w:after="0"/>
        <w:ind w:firstLine="0"/>
        <w:rPr>
          <w:rFonts w:ascii="Arial" w:hAnsi="Arial" w:cs="Arial"/>
          <w:sz w:val="20"/>
          <w:szCs w:val="20"/>
        </w:rPr>
      </w:pPr>
      <w:r w:rsidRPr="00A61F3D">
        <w:rPr>
          <w:rFonts w:ascii="Arial" w:hAnsi="Arial" w:cs="Arial"/>
          <w:sz w:val="20"/>
          <w:szCs w:val="20"/>
        </w:rPr>
        <w:t xml:space="preserve">a) </w:t>
      </w:r>
      <w:r w:rsidR="00380532" w:rsidRPr="00A61F3D">
        <w:rPr>
          <w:rFonts w:ascii="Arial" w:hAnsi="Arial" w:cs="Arial"/>
          <w:sz w:val="20"/>
          <w:szCs w:val="20"/>
        </w:rPr>
        <w:t>a</w:t>
      </w:r>
      <w:r w:rsidR="00EF66A3" w:rsidRPr="00A61F3D">
        <w:rPr>
          <w:rFonts w:ascii="Arial" w:hAnsi="Arial" w:cs="Arial"/>
          <w:sz w:val="20"/>
          <w:szCs w:val="20"/>
        </w:rPr>
        <w:t xml:space="preserve"> Nemzetközi Pénzügyi Beszámolási Standardok (a továbbiakban:</w:t>
      </w:r>
      <w:r w:rsidR="00380532" w:rsidRPr="00A61F3D">
        <w:rPr>
          <w:rFonts w:ascii="Arial" w:hAnsi="Arial" w:cs="Arial"/>
          <w:sz w:val="20"/>
          <w:szCs w:val="20"/>
        </w:rPr>
        <w:t xml:space="preserve"> IFRS</w:t>
      </w:r>
      <w:r w:rsidR="00CE6839" w:rsidRPr="00A61F3D">
        <w:rPr>
          <w:rFonts w:ascii="Arial" w:hAnsi="Arial" w:cs="Arial"/>
          <w:sz w:val="20"/>
          <w:szCs w:val="20"/>
        </w:rPr>
        <w:t>-ek</w:t>
      </w:r>
      <w:r w:rsidR="00EF66A3" w:rsidRPr="00A61F3D">
        <w:rPr>
          <w:rFonts w:ascii="Arial" w:hAnsi="Arial" w:cs="Arial"/>
          <w:sz w:val="20"/>
          <w:szCs w:val="20"/>
        </w:rPr>
        <w:t>)</w:t>
      </w:r>
      <w:r w:rsidR="00380532" w:rsidRPr="00A61F3D">
        <w:rPr>
          <w:rFonts w:ascii="Arial" w:hAnsi="Arial" w:cs="Arial"/>
          <w:sz w:val="20"/>
          <w:szCs w:val="20"/>
        </w:rPr>
        <w:t xml:space="preserve"> alapján vezeti számviteli nyilvántartását, az IFRS</w:t>
      </w:r>
      <w:r w:rsidR="00CE6839" w:rsidRPr="00A61F3D">
        <w:rPr>
          <w:rFonts w:ascii="Arial" w:hAnsi="Arial" w:cs="Arial"/>
          <w:sz w:val="20"/>
          <w:szCs w:val="20"/>
        </w:rPr>
        <w:t>-ek</w:t>
      </w:r>
      <w:r w:rsidR="00380532" w:rsidRPr="00A61F3D">
        <w:rPr>
          <w:rFonts w:ascii="Arial" w:hAnsi="Arial" w:cs="Arial"/>
          <w:sz w:val="20"/>
          <w:szCs w:val="20"/>
        </w:rPr>
        <w:t>ben és az IFRS-</w:t>
      </w:r>
      <w:r w:rsidR="00CE6839" w:rsidRPr="00A61F3D">
        <w:rPr>
          <w:rFonts w:ascii="Arial" w:hAnsi="Arial" w:cs="Arial"/>
          <w:sz w:val="20"/>
          <w:szCs w:val="20"/>
        </w:rPr>
        <w:t>eke</w:t>
      </w:r>
      <w:r w:rsidR="00380532" w:rsidRPr="00A61F3D">
        <w:rPr>
          <w:rFonts w:ascii="Arial" w:hAnsi="Arial" w:cs="Arial"/>
          <w:sz w:val="20"/>
          <w:szCs w:val="20"/>
        </w:rPr>
        <w:t xml:space="preserve">t alkalmazókra is vonatkozó </w:t>
      </w:r>
      <w:r w:rsidR="00F754E6" w:rsidRPr="00A61F3D">
        <w:rPr>
          <w:rFonts w:ascii="Arial" w:hAnsi="Arial" w:cs="Arial"/>
          <w:sz w:val="20"/>
          <w:szCs w:val="20"/>
        </w:rPr>
        <w:t>magyar</w:t>
      </w:r>
      <w:r w:rsidR="00380532" w:rsidRPr="00A61F3D">
        <w:rPr>
          <w:rFonts w:ascii="Arial" w:hAnsi="Arial" w:cs="Arial"/>
          <w:sz w:val="20"/>
          <w:szCs w:val="20"/>
        </w:rPr>
        <w:t xml:space="preserve"> számviteli előírásokban meghatározottak</w:t>
      </w:r>
      <w:r w:rsidRPr="00A61F3D">
        <w:rPr>
          <w:rFonts w:ascii="Arial" w:hAnsi="Arial" w:cs="Arial"/>
          <w:sz w:val="20"/>
          <w:szCs w:val="20"/>
        </w:rPr>
        <w:t>,</w:t>
      </w:r>
      <w:r w:rsidR="00380532" w:rsidRPr="00A61F3D">
        <w:rPr>
          <w:rFonts w:ascii="Arial" w:hAnsi="Arial" w:cs="Arial"/>
          <w:sz w:val="20"/>
          <w:szCs w:val="20"/>
        </w:rPr>
        <w:t xml:space="preserve"> </w:t>
      </w:r>
    </w:p>
    <w:p w14:paraId="474114A4" w14:textId="77777777" w:rsidR="00787723" w:rsidRPr="00A61F3D" w:rsidRDefault="00F409EA" w:rsidP="00EF66A3">
      <w:pPr>
        <w:pStyle w:val="NormlWeb"/>
        <w:spacing w:after="0"/>
        <w:ind w:firstLine="0"/>
        <w:rPr>
          <w:rFonts w:ascii="Arial" w:hAnsi="Arial" w:cs="Arial"/>
          <w:sz w:val="20"/>
          <w:szCs w:val="20"/>
        </w:rPr>
      </w:pPr>
      <w:r w:rsidRPr="00A61F3D">
        <w:rPr>
          <w:rFonts w:ascii="Arial" w:hAnsi="Arial" w:cs="Arial"/>
          <w:sz w:val="20"/>
          <w:szCs w:val="20"/>
        </w:rPr>
        <w:t>b)</w:t>
      </w:r>
      <w:r w:rsidR="00380532" w:rsidRPr="00A61F3D">
        <w:rPr>
          <w:rFonts w:ascii="Arial" w:hAnsi="Arial" w:cs="Arial"/>
          <w:sz w:val="20"/>
          <w:szCs w:val="20"/>
        </w:rPr>
        <w:t xml:space="preserve"> nem állt át az IFRS</w:t>
      </w:r>
      <w:r w:rsidR="00CE6839" w:rsidRPr="00A61F3D">
        <w:rPr>
          <w:rFonts w:ascii="Arial" w:hAnsi="Arial" w:cs="Arial"/>
          <w:sz w:val="20"/>
          <w:szCs w:val="20"/>
        </w:rPr>
        <w:t>-ek</w:t>
      </w:r>
      <w:r w:rsidR="00380532" w:rsidRPr="00A61F3D">
        <w:rPr>
          <w:rFonts w:ascii="Arial" w:hAnsi="Arial" w:cs="Arial"/>
          <w:sz w:val="20"/>
          <w:szCs w:val="20"/>
        </w:rPr>
        <w:t xml:space="preserve"> alapú könyvvezetésre és beszámoló készítésre, a mindenkor hatályos </w:t>
      </w:r>
      <w:r w:rsidR="00F754E6" w:rsidRPr="00A61F3D">
        <w:rPr>
          <w:rFonts w:ascii="Arial" w:hAnsi="Arial" w:cs="Arial"/>
          <w:sz w:val="20"/>
          <w:szCs w:val="20"/>
        </w:rPr>
        <w:t>magyar</w:t>
      </w:r>
      <w:r w:rsidR="00380532" w:rsidRPr="00A61F3D">
        <w:rPr>
          <w:rFonts w:ascii="Arial" w:hAnsi="Arial" w:cs="Arial"/>
          <w:sz w:val="20"/>
          <w:szCs w:val="20"/>
        </w:rPr>
        <w:t xml:space="preserve"> számviteli rendelkezések </w:t>
      </w:r>
    </w:p>
    <w:p w14:paraId="26C1C473" w14:textId="264AA49B" w:rsidR="00380532" w:rsidRPr="00A61F3D" w:rsidRDefault="00380532" w:rsidP="00EF66A3">
      <w:pPr>
        <w:pStyle w:val="NormlWeb"/>
        <w:spacing w:after="0"/>
        <w:ind w:firstLine="0"/>
        <w:rPr>
          <w:rFonts w:ascii="Arial" w:hAnsi="Arial" w:cs="Arial"/>
          <w:sz w:val="20"/>
          <w:szCs w:val="20"/>
        </w:rPr>
      </w:pPr>
      <w:r w:rsidRPr="00A61F3D">
        <w:rPr>
          <w:rFonts w:ascii="Arial" w:hAnsi="Arial" w:cs="Arial"/>
          <w:sz w:val="20"/>
          <w:szCs w:val="20"/>
        </w:rPr>
        <w:lastRenderedPageBreak/>
        <w:t xml:space="preserve">az irányadók. </w:t>
      </w:r>
    </w:p>
    <w:p w14:paraId="729A46B1" w14:textId="77777777" w:rsidR="00AC13E5" w:rsidRPr="00A61F3D" w:rsidRDefault="000E7B86" w:rsidP="00D3125B">
      <w:pPr>
        <w:spacing w:before="120"/>
        <w:rPr>
          <w:rFonts w:ascii="Arial" w:hAnsi="Arial" w:cs="Arial"/>
          <w:b/>
          <w:sz w:val="20"/>
        </w:rPr>
      </w:pPr>
      <w:r w:rsidRPr="00A61F3D">
        <w:rPr>
          <w:rFonts w:ascii="Arial" w:hAnsi="Arial" w:cs="Arial"/>
          <w:sz w:val="20"/>
        </w:rPr>
        <w:t xml:space="preserve">Az adatszolgáltatásban szereplő adatok </w:t>
      </w:r>
      <w:r w:rsidR="00A56AF9" w:rsidRPr="00A61F3D">
        <w:rPr>
          <w:rFonts w:ascii="Arial" w:hAnsi="Arial" w:cs="Arial"/>
          <w:sz w:val="20"/>
        </w:rPr>
        <w:t xml:space="preserve">– az egyes adatszolgáltatások kitöltési előírásai eltérő rendelkezése hiányában – </w:t>
      </w:r>
      <w:r w:rsidRPr="00A61F3D">
        <w:rPr>
          <w:rFonts w:ascii="Arial" w:hAnsi="Arial" w:cs="Arial"/>
          <w:sz w:val="20"/>
        </w:rPr>
        <w:t>más adatszolgáltató adataival nem vonhatóak össze, az adatok kizárólag az adatszolgáltató törzsszáma alatt megjelenő önálló gazdasági egység működésére vonatkozhatnak.</w:t>
      </w:r>
      <w:r w:rsidR="00B4375E" w:rsidRPr="00A61F3D">
        <w:rPr>
          <w:rFonts w:ascii="Arial" w:hAnsi="Arial" w:cs="Arial"/>
          <w:sz w:val="20"/>
        </w:rPr>
        <w:t xml:space="preserve"> </w:t>
      </w:r>
      <w:r w:rsidRPr="00A61F3D">
        <w:rPr>
          <w:rFonts w:ascii="Arial" w:hAnsi="Arial" w:cs="Arial"/>
          <w:sz w:val="20"/>
        </w:rPr>
        <w:t>Ez alól kivételt a befektetési alapkezelők</w:t>
      </w:r>
      <w:r w:rsidR="005653E2" w:rsidRPr="00A61F3D">
        <w:rPr>
          <w:rFonts w:ascii="Arial" w:hAnsi="Arial" w:cs="Arial"/>
          <w:sz w:val="20"/>
        </w:rPr>
        <w:t xml:space="preserve"> </w:t>
      </w:r>
      <w:r w:rsidRPr="00A61F3D">
        <w:rPr>
          <w:rFonts w:ascii="Arial" w:hAnsi="Arial" w:cs="Arial"/>
          <w:sz w:val="20"/>
        </w:rPr>
        <w:t xml:space="preserve">képeznek, amelyeknek saját ügyleteikkel együtt az általuk kezelt alapok követeléseit és tartozásait is jelenteniük kell. </w:t>
      </w:r>
    </w:p>
    <w:p w14:paraId="2396E91E" w14:textId="0A664DAC" w:rsidR="00AC13E5" w:rsidRPr="00A61F3D" w:rsidRDefault="00FF5BEA" w:rsidP="00FC468F">
      <w:pPr>
        <w:keepNext/>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0E7B86" w:rsidRPr="00A61F3D">
        <w:rPr>
          <w:rFonts w:ascii="Arial" w:hAnsi="Arial" w:cs="Arial"/>
          <w:b/>
          <w:sz w:val="20"/>
        </w:rPr>
        <w:t>6. Országonkénti bontás</w:t>
      </w:r>
    </w:p>
    <w:p w14:paraId="6F79DE44" w14:textId="77777777" w:rsidR="006805CF" w:rsidRPr="00A61F3D" w:rsidRDefault="000E7B86">
      <w:pPr>
        <w:rPr>
          <w:rFonts w:ascii="Arial" w:hAnsi="Arial" w:cs="Arial"/>
          <w:sz w:val="20"/>
        </w:rPr>
      </w:pPr>
      <w:r w:rsidRPr="00A61F3D">
        <w:rPr>
          <w:rFonts w:ascii="Arial" w:hAnsi="Arial" w:cs="Arial"/>
          <w:sz w:val="20"/>
        </w:rPr>
        <w:t>Az országonkénti bontás azt jelenti, hogy az adatszolgáltató követelése vagy tartozása mely országgal vagy nemzetközi szervezettel szemben áll fenn. Ezen adatok megadásakor a 3. melléklet 4.2. alpontja szerinti, az MNB honlapján közzétett technikai segédletben meghatározott országkódokat kell alkalmazni.</w:t>
      </w:r>
    </w:p>
    <w:p w14:paraId="3150C3A6" w14:textId="77777777" w:rsidR="00AC13E5" w:rsidRPr="00A61F3D" w:rsidRDefault="000E7B86">
      <w:pPr>
        <w:spacing w:before="120"/>
        <w:rPr>
          <w:rFonts w:ascii="Arial" w:hAnsi="Arial" w:cs="Arial"/>
          <w:sz w:val="20"/>
        </w:rPr>
      </w:pPr>
      <w:r w:rsidRPr="00A61F3D">
        <w:rPr>
          <w:rFonts w:ascii="Arial" w:hAnsi="Arial" w:cs="Arial"/>
          <w:sz w:val="20"/>
        </w:rPr>
        <w:t>Amennyiben a nem</w:t>
      </w:r>
      <w:r w:rsidR="00707E83" w:rsidRPr="00A61F3D">
        <w:rPr>
          <w:rFonts w:ascii="Arial" w:hAnsi="Arial" w:cs="Arial"/>
          <w:sz w:val="20"/>
        </w:rPr>
        <w:t>-</w:t>
      </w:r>
      <w:r w:rsidRPr="00A61F3D">
        <w:rPr>
          <w:rFonts w:ascii="Arial" w:hAnsi="Arial" w:cs="Arial"/>
          <w:sz w:val="20"/>
        </w:rPr>
        <w:t>rezidens fél nemzetközi szervezet vagy nemzetközi intézmény (pl. Világbank, EIB, EBRD, IMF, E</w:t>
      </w:r>
      <w:r w:rsidR="00B4375E" w:rsidRPr="00A61F3D">
        <w:rPr>
          <w:rFonts w:ascii="Arial" w:hAnsi="Arial" w:cs="Arial"/>
          <w:sz w:val="20"/>
        </w:rPr>
        <w:t>K</w:t>
      </w:r>
      <w:r w:rsidRPr="00A61F3D">
        <w:rPr>
          <w:rFonts w:ascii="Arial" w:hAnsi="Arial" w:cs="Arial"/>
          <w:sz w:val="20"/>
        </w:rPr>
        <w:t>B), úgy azt nem a székhelynek megfelelő országkódon, hanem a szervezetnek vagy intézménynek megfelelő kódon kell jelenteni, melyet szintén az előző bekezdésben hivatkozott technikai segédlet tartalmaz.</w:t>
      </w:r>
    </w:p>
    <w:p w14:paraId="676402DE" w14:textId="11BE8279" w:rsidR="005A30AA" w:rsidRPr="00A61F3D" w:rsidRDefault="00FF5BEA" w:rsidP="00D3125B">
      <w:pPr>
        <w:tabs>
          <w:tab w:val="left" w:pos="426"/>
        </w:tabs>
        <w:spacing w:before="120"/>
        <w:jc w:val="left"/>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261A50" w:rsidRPr="00A61F3D">
        <w:rPr>
          <w:rFonts w:ascii="Arial" w:hAnsi="Arial" w:cs="Arial"/>
          <w:b/>
          <w:sz w:val="20"/>
        </w:rPr>
        <w:t xml:space="preserve">7. </w:t>
      </w:r>
      <w:r w:rsidR="005A30AA" w:rsidRPr="00A61F3D">
        <w:rPr>
          <w:rFonts w:ascii="Arial" w:hAnsi="Arial" w:cs="Arial"/>
          <w:b/>
          <w:sz w:val="20"/>
        </w:rPr>
        <w:t>Eljárás bankszünnap esetén</w:t>
      </w:r>
    </w:p>
    <w:p w14:paraId="02CEFDCF" w14:textId="77777777" w:rsidR="005A30AA" w:rsidRPr="00A61F3D" w:rsidRDefault="00DF6B88"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39"/>
        <w:rPr>
          <w:rFonts w:ascii="Arial" w:hAnsi="Arial" w:cs="Arial"/>
          <w:sz w:val="20"/>
        </w:rPr>
      </w:pPr>
      <w:r w:rsidRPr="00A61F3D">
        <w:rPr>
          <w:rFonts w:ascii="Arial" w:hAnsi="Arial" w:cs="Arial"/>
          <w:sz w:val="20"/>
        </w:rPr>
        <w:t xml:space="preserve">A </w:t>
      </w:r>
      <w:r w:rsidR="005A30AA" w:rsidRPr="00A61F3D">
        <w:rPr>
          <w:rFonts w:ascii="Arial" w:hAnsi="Arial" w:cs="Arial"/>
          <w:sz w:val="20"/>
        </w:rPr>
        <w:t xml:space="preserve">bankszünnap </w:t>
      </w:r>
    </w:p>
    <w:p w14:paraId="59EB9BAE"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 xml:space="preserve">a) könyvelési szünnapot, </w:t>
      </w:r>
    </w:p>
    <w:p w14:paraId="3EC045DE"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 xml:space="preserve">b) pénztári szünnapot, vagy </w:t>
      </w:r>
    </w:p>
    <w:p w14:paraId="71453674"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 xml:space="preserve">c) könyvelési és pénztári szünnapot együttesen </w:t>
      </w:r>
    </w:p>
    <w:p w14:paraId="0746F40F"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142" w:right="-39"/>
        <w:rPr>
          <w:rFonts w:ascii="Arial" w:hAnsi="Arial" w:cs="Arial"/>
          <w:sz w:val="20"/>
        </w:rPr>
      </w:pPr>
      <w:r w:rsidRPr="00A61F3D">
        <w:rPr>
          <w:rFonts w:ascii="Arial" w:hAnsi="Arial" w:cs="Arial"/>
          <w:sz w:val="20"/>
        </w:rPr>
        <w:t>jelent</w:t>
      </w:r>
      <w:r w:rsidR="00DF6B88" w:rsidRPr="00A61F3D">
        <w:rPr>
          <w:rFonts w:ascii="Arial" w:hAnsi="Arial" w:cs="Arial"/>
          <w:sz w:val="20"/>
        </w:rPr>
        <w:t>het.</w:t>
      </w:r>
    </w:p>
    <w:p w14:paraId="480D96ED" w14:textId="77777777" w:rsidR="005A30AA" w:rsidRPr="00A61F3D" w:rsidRDefault="005A30AA" w:rsidP="005A30AA">
      <w:pPr>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spacing w:before="120" w:after="120"/>
        <w:ind w:right="-40"/>
        <w:rPr>
          <w:rFonts w:ascii="Arial" w:hAnsi="Arial" w:cs="Arial"/>
          <w:sz w:val="20"/>
        </w:rPr>
      </w:pPr>
      <w:r w:rsidRPr="00A61F3D">
        <w:rPr>
          <w:rFonts w:ascii="Arial" w:hAnsi="Arial" w:cs="Arial"/>
          <w:sz w:val="20"/>
        </w:rPr>
        <w:t xml:space="preserve">A b) esetben valamennyi aznapra, mint tárgynapra vonatkozó, és az aznapi határidős adatszolgáltatást is teljesíteni kell. </w:t>
      </w:r>
    </w:p>
    <w:p w14:paraId="4C63D3C5" w14:textId="77777777" w:rsidR="005A30AA" w:rsidRPr="00A61F3D" w:rsidRDefault="005A30AA" w:rsidP="008F0452">
      <w:pPr>
        <w:keepNext/>
        <w:tabs>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40"/>
        <w:rPr>
          <w:rFonts w:ascii="Arial" w:hAnsi="Arial" w:cs="Arial"/>
          <w:sz w:val="20"/>
        </w:rPr>
      </w:pPr>
      <w:r w:rsidRPr="00A61F3D">
        <w:rPr>
          <w:rFonts w:ascii="Arial" w:hAnsi="Arial" w:cs="Arial"/>
          <w:sz w:val="20"/>
        </w:rPr>
        <w:t>Az a) és c) esetben a napi gyakorisággal elrendelt adatszolgáltatásokra az alábbiak érvényesek:</w:t>
      </w:r>
    </w:p>
    <w:p w14:paraId="2CC005F5" w14:textId="77777777" w:rsidR="005A30AA" w:rsidRPr="00A61F3D" w:rsidRDefault="00F9448F" w:rsidP="007276FB">
      <w:pPr>
        <w:numPr>
          <w:ilvl w:val="0"/>
          <w:numId w:val="12"/>
        </w:numPr>
        <w:tabs>
          <w:tab w:val="left" w:pos="851"/>
          <w:tab w:val="left" w:pos="2160"/>
          <w:tab w:val="left" w:pos="2880"/>
          <w:tab w:val="left" w:pos="3600"/>
          <w:tab w:val="left" w:pos="4320"/>
          <w:tab w:val="left" w:pos="5040"/>
          <w:tab w:val="left" w:pos="5760"/>
          <w:tab w:val="left" w:pos="6480"/>
          <w:tab w:val="left" w:pos="7110"/>
          <w:tab w:val="left" w:pos="7200"/>
          <w:tab w:val="left" w:pos="7920"/>
          <w:tab w:val="left" w:pos="8550"/>
          <w:tab w:val="left" w:pos="9072"/>
        </w:tabs>
        <w:ind w:right="-39"/>
        <w:rPr>
          <w:rFonts w:ascii="Arial" w:hAnsi="Arial" w:cs="Arial"/>
          <w:sz w:val="20"/>
        </w:rPr>
      </w:pPr>
      <w:r w:rsidRPr="00A61F3D">
        <w:rPr>
          <w:rFonts w:ascii="Arial" w:hAnsi="Arial" w:cs="Arial"/>
          <w:sz w:val="20"/>
        </w:rPr>
        <w:t>h</w:t>
      </w:r>
      <w:r w:rsidR="005A30AA" w:rsidRPr="00A61F3D">
        <w:rPr>
          <w:rFonts w:ascii="Arial" w:hAnsi="Arial" w:cs="Arial"/>
          <w:sz w:val="20"/>
        </w:rPr>
        <w:t>a az adatszolgáltatás vonatkozási időpontja bankszünnapra esik, és azon a napon bármilyen ügylet lebonyolítására sor került, arra vonatkozóan az adatszolgáltatást minden esetben teljesíteni kell</w:t>
      </w:r>
      <w:r w:rsidRPr="00A61F3D">
        <w:rPr>
          <w:rFonts w:ascii="Arial" w:hAnsi="Arial" w:cs="Arial"/>
          <w:sz w:val="20"/>
        </w:rPr>
        <w:t>;</w:t>
      </w:r>
    </w:p>
    <w:p w14:paraId="5DB1563A" w14:textId="77777777" w:rsidR="005A30AA" w:rsidRPr="00A61F3D" w:rsidRDefault="00F9448F" w:rsidP="007276FB">
      <w:pPr>
        <w:numPr>
          <w:ilvl w:val="0"/>
          <w:numId w:val="12"/>
        </w:numPr>
        <w:tabs>
          <w:tab w:val="left" w:pos="426"/>
          <w:tab w:val="left" w:pos="851"/>
          <w:tab w:val="left" w:pos="2880"/>
          <w:tab w:val="left" w:pos="3600"/>
          <w:tab w:val="left" w:pos="4320"/>
          <w:tab w:val="left" w:pos="5040"/>
          <w:tab w:val="left" w:pos="5760"/>
          <w:tab w:val="left" w:pos="6480"/>
          <w:tab w:val="left" w:pos="7110"/>
          <w:tab w:val="left" w:pos="7200"/>
          <w:tab w:val="left" w:pos="7920"/>
          <w:tab w:val="left" w:pos="8550"/>
          <w:tab w:val="left" w:pos="9072"/>
          <w:tab w:val="left" w:pos="9742"/>
        </w:tabs>
        <w:ind w:right="-39"/>
        <w:rPr>
          <w:rFonts w:ascii="Arial" w:hAnsi="Arial" w:cs="Arial"/>
          <w:sz w:val="20"/>
        </w:rPr>
      </w:pPr>
      <w:r w:rsidRPr="00A61F3D">
        <w:rPr>
          <w:rFonts w:ascii="Arial" w:hAnsi="Arial" w:cs="Arial"/>
          <w:sz w:val="20"/>
        </w:rPr>
        <w:t>h</w:t>
      </w:r>
      <w:r w:rsidR="005A30AA" w:rsidRPr="00A61F3D">
        <w:rPr>
          <w:rFonts w:ascii="Arial" w:hAnsi="Arial" w:cs="Arial"/>
          <w:sz w:val="20"/>
        </w:rPr>
        <w:t>a az adatszolgáltatás vonatkozási időpontja bankszünnapra esik, de azon a napon ügyletkötés nem történt, akkor aznapra nemleges adatszolgáltatást kell beküldeni</w:t>
      </w:r>
      <w:r w:rsidRPr="00A61F3D">
        <w:rPr>
          <w:rFonts w:ascii="Arial" w:hAnsi="Arial" w:cs="Arial"/>
          <w:sz w:val="20"/>
        </w:rPr>
        <w:t>;</w:t>
      </w:r>
    </w:p>
    <w:p w14:paraId="7745E12F" w14:textId="77777777" w:rsidR="005A30AA" w:rsidRPr="00A61F3D" w:rsidRDefault="00F9448F" w:rsidP="007276FB">
      <w:pPr>
        <w:numPr>
          <w:ilvl w:val="0"/>
          <w:numId w:val="12"/>
        </w:numPr>
        <w:tabs>
          <w:tab w:val="left" w:pos="851"/>
          <w:tab w:val="left" w:pos="2160"/>
          <w:tab w:val="left" w:pos="2880"/>
          <w:tab w:val="left" w:pos="3600"/>
          <w:tab w:val="left" w:pos="4320"/>
          <w:tab w:val="left" w:pos="5040"/>
          <w:tab w:val="left" w:pos="5760"/>
          <w:tab w:val="left" w:pos="6480"/>
          <w:tab w:val="left" w:pos="7110"/>
          <w:tab w:val="left" w:pos="7200"/>
          <w:tab w:val="left" w:pos="7920"/>
          <w:tab w:val="left" w:pos="8550"/>
          <w:tab w:val="left" w:pos="9742"/>
        </w:tabs>
        <w:spacing w:after="120"/>
        <w:ind w:right="-39"/>
        <w:rPr>
          <w:rFonts w:ascii="Arial" w:hAnsi="Arial" w:cs="Arial"/>
          <w:sz w:val="20"/>
        </w:rPr>
      </w:pPr>
      <w:r w:rsidRPr="00A61F3D">
        <w:rPr>
          <w:rFonts w:ascii="Arial" w:hAnsi="Arial" w:cs="Arial"/>
          <w:sz w:val="20"/>
        </w:rPr>
        <w:t>h</w:t>
      </w:r>
      <w:r w:rsidR="005A30AA" w:rsidRPr="00A61F3D">
        <w:rPr>
          <w:rFonts w:ascii="Arial" w:hAnsi="Arial" w:cs="Arial"/>
          <w:sz w:val="20"/>
        </w:rPr>
        <w:t xml:space="preserve">a az adatszolgáltatás teljesítési határideje bankszünnapra esik, és ezért az adatszolgáltató aznap adatszolgáltatást nem tud küldeni, akkor gondoskodnia kell arról, hogy az ezen a napon teljesítendő </w:t>
      </w:r>
      <w:r w:rsidR="00221351" w:rsidRPr="00A61F3D">
        <w:rPr>
          <w:rFonts w:ascii="Arial" w:hAnsi="Arial" w:cs="Arial"/>
          <w:sz w:val="20"/>
        </w:rPr>
        <w:t>D01, D02 és K14 MNB azonosító kódú adatszolgáltatások a következő – nem bankszünnap – munkanap 1</w:t>
      </w:r>
      <w:r w:rsidR="00237034" w:rsidRPr="00A61F3D">
        <w:rPr>
          <w:rFonts w:ascii="Arial" w:hAnsi="Arial" w:cs="Arial"/>
          <w:sz w:val="20"/>
        </w:rPr>
        <w:t>2</w:t>
      </w:r>
      <w:r w:rsidR="00221351" w:rsidRPr="00A61F3D">
        <w:rPr>
          <w:rFonts w:ascii="Arial" w:hAnsi="Arial" w:cs="Arial"/>
          <w:sz w:val="20"/>
        </w:rPr>
        <w:t xml:space="preserve"> óráig, a többi napi adatszolgáltatás </w:t>
      </w:r>
      <w:r w:rsidR="005A30AA" w:rsidRPr="00A61F3D">
        <w:rPr>
          <w:rFonts w:ascii="Arial" w:hAnsi="Arial" w:cs="Arial"/>
          <w:sz w:val="20"/>
        </w:rPr>
        <w:t xml:space="preserve">a megelőző </w:t>
      </w:r>
      <w:r w:rsidR="00102643" w:rsidRPr="00A61F3D">
        <w:rPr>
          <w:rFonts w:ascii="Arial" w:hAnsi="Arial" w:cs="Arial"/>
          <w:sz w:val="20"/>
        </w:rPr>
        <w:t>munka</w:t>
      </w:r>
      <w:r w:rsidR="005A30AA" w:rsidRPr="00A61F3D">
        <w:rPr>
          <w:rFonts w:ascii="Arial" w:hAnsi="Arial" w:cs="Arial"/>
          <w:sz w:val="20"/>
        </w:rPr>
        <w:t>nap 22 óráig beérkezzenek az MNB-hez.</w:t>
      </w:r>
    </w:p>
    <w:p w14:paraId="4EDCBA6A" w14:textId="77777777" w:rsidR="005A30AA" w:rsidRPr="00A61F3D" w:rsidRDefault="005A30AA" w:rsidP="006B5B97">
      <w:pPr>
        <w:tabs>
          <w:tab w:val="left" w:pos="0"/>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right="-40"/>
        <w:rPr>
          <w:rFonts w:ascii="Arial" w:hAnsi="Arial" w:cs="Arial"/>
          <w:sz w:val="20"/>
        </w:rPr>
      </w:pPr>
      <w:r w:rsidRPr="00A61F3D">
        <w:rPr>
          <w:rFonts w:ascii="Arial" w:hAnsi="Arial" w:cs="Arial"/>
          <w:sz w:val="20"/>
        </w:rPr>
        <w:t xml:space="preserve">Havi, negyedéves, féléves </w:t>
      </w:r>
      <w:r w:rsidR="00017CAE" w:rsidRPr="00A61F3D">
        <w:rPr>
          <w:rFonts w:ascii="Arial" w:hAnsi="Arial" w:cs="Arial"/>
          <w:sz w:val="20"/>
        </w:rPr>
        <w:t>és</w:t>
      </w:r>
      <w:r w:rsidRPr="00A61F3D">
        <w:rPr>
          <w:rFonts w:ascii="Arial" w:hAnsi="Arial" w:cs="Arial"/>
          <w:sz w:val="20"/>
        </w:rPr>
        <w:t xml:space="preserve"> éves adatszolgáltatásnál, amennyiben az adatszolgáltatási kötelezettség teljesítési határideje könyvelési szünnapra esik, akkor az adatszolgáltatást a banküzem szünetelésétől függetlenül az 1. mellékletben rögzített időszakra vonatkozóan, az ott meghatározott teljesítési határidőre kell megküldeni.</w:t>
      </w:r>
    </w:p>
    <w:p w14:paraId="60267196" w14:textId="54A01E45" w:rsidR="005A30AA" w:rsidRPr="00A61F3D" w:rsidRDefault="0025328B" w:rsidP="00D3125B">
      <w:pPr>
        <w:spacing w:before="120"/>
        <w:ind w:left="284" w:hanging="284"/>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261A50" w:rsidRPr="00A61F3D">
        <w:rPr>
          <w:rFonts w:ascii="Arial" w:hAnsi="Arial" w:cs="Arial"/>
          <w:b/>
          <w:sz w:val="20"/>
        </w:rPr>
        <w:t xml:space="preserve">8. </w:t>
      </w:r>
      <w:r w:rsidR="008F679F" w:rsidRPr="00A61F3D">
        <w:rPr>
          <w:rFonts w:ascii="Arial" w:hAnsi="Arial" w:cs="Arial"/>
          <w:b/>
          <w:sz w:val="20"/>
        </w:rPr>
        <w:t>Eljárás n</w:t>
      </w:r>
      <w:r w:rsidR="005A30AA" w:rsidRPr="00A61F3D">
        <w:rPr>
          <w:rFonts w:ascii="Arial" w:hAnsi="Arial" w:cs="Arial"/>
          <w:b/>
          <w:sz w:val="20"/>
        </w:rPr>
        <w:t>emleges adatszolgáltatás esetén</w:t>
      </w:r>
    </w:p>
    <w:p w14:paraId="3DE07B42" w14:textId="1DB60D64" w:rsidR="005A30AA" w:rsidRPr="00A61F3D" w:rsidRDefault="005A30AA" w:rsidP="005A30AA">
      <w:pPr>
        <w:rPr>
          <w:rFonts w:ascii="Arial" w:hAnsi="Arial" w:cs="Arial"/>
          <w:sz w:val="20"/>
        </w:rPr>
      </w:pPr>
      <w:r w:rsidRPr="00A61F3D">
        <w:rPr>
          <w:rFonts w:ascii="Arial" w:hAnsi="Arial" w:cs="Arial"/>
          <w:sz w:val="20"/>
        </w:rPr>
        <w:t>Amennyiben az adott tárgyidőszakra valamely adatszolgáltatás egyetlen táblájában sincs jelentendő adat, akkor az adatszolgáltatónak adatszolgáltatási kötelezettségét – e rendelet eltérő rendelkezése hiányában – nemleges jelentés beküldésével kell teljesítenie. Az adatszolgáltató a nemleges jelentést az adott adatszolgáltatásra irányadó, az 1. mellékletben meghatározott gyakorisággal és határidőre, a</w:t>
      </w:r>
      <w:r w:rsidR="00E80313" w:rsidRPr="00A61F3D">
        <w:rPr>
          <w:rFonts w:ascii="Arial" w:hAnsi="Arial" w:cs="Arial"/>
          <w:sz w:val="20"/>
        </w:rPr>
        <w:t>z</w:t>
      </w:r>
      <w:r w:rsidRPr="00A61F3D">
        <w:rPr>
          <w:rFonts w:ascii="Arial" w:hAnsi="Arial" w:cs="Arial"/>
          <w:sz w:val="20"/>
        </w:rPr>
        <w:t xml:space="preserve"> I. B. </w:t>
      </w:r>
      <w:r w:rsidR="00081DF4" w:rsidRPr="00A61F3D">
        <w:rPr>
          <w:rFonts w:ascii="Arial" w:hAnsi="Arial" w:cs="Arial"/>
          <w:sz w:val="20"/>
        </w:rPr>
        <w:t>2</w:t>
      </w:r>
      <w:r w:rsidR="009605C3" w:rsidRPr="00A61F3D">
        <w:rPr>
          <w:rFonts w:ascii="Arial" w:hAnsi="Arial" w:cs="Arial"/>
          <w:sz w:val="20"/>
        </w:rPr>
        <w:t xml:space="preserve">.2. és </w:t>
      </w:r>
      <w:r w:rsidR="00081DF4" w:rsidRPr="00A61F3D">
        <w:rPr>
          <w:rFonts w:ascii="Arial" w:hAnsi="Arial" w:cs="Arial"/>
          <w:sz w:val="20"/>
        </w:rPr>
        <w:t>2</w:t>
      </w:r>
      <w:r w:rsidR="009605C3" w:rsidRPr="00A61F3D">
        <w:rPr>
          <w:rFonts w:ascii="Arial" w:hAnsi="Arial" w:cs="Arial"/>
          <w:sz w:val="20"/>
        </w:rPr>
        <w:t>.3.</w:t>
      </w:r>
      <w:r w:rsidR="00074741" w:rsidRPr="00A61F3D">
        <w:rPr>
          <w:rFonts w:ascii="Arial" w:hAnsi="Arial" w:cs="Arial"/>
          <w:sz w:val="20"/>
        </w:rPr>
        <w:t xml:space="preserve"> </w:t>
      </w:r>
      <w:r w:rsidR="008E645E">
        <w:rPr>
          <w:rFonts w:ascii="Arial" w:hAnsi="Arial" w:cs="Arial"/>
          <w:sz w:val="20"/>
        </w:rPr>
        <w:t>al</w:t>
      </w:r>
      <w:r w:rsidRPr="00A61F3D">
        <w:rPr>
          <w:rFonts w:ascii="Arial" w:hAnsi="Arial" w:cs="Arial"/>
          <w:sz w:val="20"/>
        </w:rPr>
        <w:t>pontban, továbbá a 3. melléklet 3. pontja szerinti, az MNB honlapján közzétett technikai segédletben foglaltaknak megfelelően köteles beküldeni.</w:t>
      </w:r>
    </w:p>
    <w:p w14:paraId="6572D7C8" w14:textId="6C2C8460" w:rsidR="00341E74" w:rsidRPr="00A61F3D" w:rsidRDefault="0025328B" w:rsidP="00D3125B">
      <w:pPr>
        <w:spacing w:before="120"/>
        <w:rPr>
          <w:rFonts w:ascii="Arial" w:hAnsi="Arial" w:cs="Arial"/>
          <w:b/>
          <w:sz w:val="20"/>
        </w:rPr>
      </w:pPr>
      <w:r>
        <w:rPr>
          <w:rFonts w:ascii="Arial" w:hAnsi="Arial" w:cs="Arial"/>
          <w:b/>
          <w:sz w:val="20"/>
        </w:rPr>
        <w:t xml:space="preserve">I. </w:t>
      </w:r>
      <w:r w:rsidR="00474AB4">
        <w:rPr>
          <w:rFonts w:ascii="Arial" w:hAnsi="Arial" w:cs="Arial"/>
          <w:b/>
          <w:sz w:val="20"/>
        </w:rPr>
        <w:t>D</w:t>
      </w:r>
      <w:r>
        <w:rPr>
          <w:rFonts w:ascii="Arial" w:hAnsi="Arial" w:cs="Arial"/>
          <w:b/>
          <w:sz w:val="20"/>
        </w:rPr>
        <w:t xml:space="preserve">. </w:t>
      </w:r>
      <w:r w:rsidR="00341E74" w:rsidRPr="00A61F3D">
        <w:rPr>
          <w:rFonts w:ascii="Arial" w:hAnsi="Arial" w:cs="Arial"/>
          <w:b/>
          <w:sz w:val="20"/>
        </w:rPr>
        <w:t>9. A teljesített adatszolgáltatás módosítása</w:t>
      </w:r>
    </w:p>
    <w:p w14:paraId="01CCF06C" w14:textId="0E809717" w:rsidR="00341E74" w:rsidRDefault="00341E74" w:rsidP="00341E74">
      <w:pPr>
        <w:rPr>
          <w:rFonts w:ascii="Arial" w:hAnsi="Arial" w:cs="Arial"/>
          <w:sz w:val="20"/>
        </w:rPr>
      </w:pPr>
      <w:r w:rsidRPr="00A61F3D">
        <w:rPr>
          <w:rFonts w:ascii="Arial" w:hAnsi="Arial" w:cs="Arial"/>
          <w:sz w:val="20"/>
        </w:rPr>
        <w:t>Amennyiben az adatszolgáltató az adatszolgáltatás teljesítése után az abban szerepeltetett adatokat befolyásoló információk birtokába jut</w:t>
      </w:r>
      <w:r w:rsidR="00AD4400" w:rsidRPr="00A61F3D">
        <w:rPr>
          <w:rFonts w:ascii="Arial" w:hAnsi="Arial" w:cs="Arial"/>
          <w:sz w:val="20"/>
        </w:rPr>
        <w:t xml:space="preserve"> –</w:t>
      </w:r>
      <w:r w:rsidRPr="00A61F3D">
        <w:rPr>
          <w:rFonts w:ascii="Arial" w:hAnsi="Arial" w:cs="Arial"/>
          <w:sz w:val="20"/>
        </w:rPr>
        <w:t xml:space="preserve"> </w:t>
      </w:r>
      <w:r w:rsidR="00AD4400" w:rsidRPr="00A61F3D">
        <w:rPr>
          <w:rFonts w:ascii="Arial" w:hAnsi="Arial" w:cs="Arial"/>
          <w:sz w:val="20"/>
        </w:rPr>
        <w:t xml:space="preserve">ideértve a havi, negyedéves és éves adatszolgáltatásokban jelentett adatok </w:t>
      </w:r>
      <w:r w:rsidR="00815720" w:rsidRPr="00A61F3D">
        <w:rPr>
          <w:rFonts w:ascii="Arial" w:hAnsi="Arial" w:cs="Arial"/>
          <w:sz w:val="20"/>
        </w:rPr>
        <w:t>végleges (auditált)</w:t>
      </w:r>
      <w:r w:rsidR="00AD4400" w:rsidRPr="00A61F3D">
        <w:rPr>
          <w:rFonts w:ascii="Arial" w:hAnsi="Arial" w:cs="Arial"/>
          <w:sz w:val="20"/>
        </w:rPr>
        <w:t xml:space="preserve"> </w:t>
      </w:r>
      <w:r w:rsidR="00944102" w:rsidRPr="00A61F3D">
        <w:rPr>
          <w:rFonts w:ascii="Arial" w:hAnsi="Arial" w:cs="Arial"/>
          <w:sz w:val="20"/>
        </w:rPr>
        <w:t xml:space="preserve">változatának rendelkezésre állását is </w:t>
      </w:r>
      <w:r w:rsidR="00815720" w:rsidRPr="00A61F3D">
        <w:rPr>
          <w:rFonts w:ascii="Arial" w:hAnsi="Arial" w:cs="Arial"/>
          <w:sz w:val="20"/>
        </w:rPr>
        <w:t xml:space="preserve">–, </w:t>
      </w:r>
      <w:r w:rsidRPr="00A61F3D">
        <w:rPr>
          <w:rFonts w:ascii="Arial" w:hAnsi="Arial" w:cs="Arial"/>
          <w:sz w:val="20"/>
        </w:rPr>
        <w:t xml:space="preserve">adatszolgáltatását módosítja. Az adatszolgáltató az általa – </w:t>
      </w:r>
      <w:r w:rsidR="000B0BED" w:rsidRPr="00A61F3D">
        <w:rPr>
          <w:rFonts w:ascii="Arial" w:hAnsi="Arial" w:cs="Arial"/>
          <w:sz w:val="20"/>
        </w:rPr>
        <w:t>s</w:t>
      </w:r>
      <w:r w:rsidRPr="00A61F3D">
        <w:rPr>
          <w:rFonts w:ascii="Arial" w:hAnsi="Arial" w:cs="Arial"/>
          <w:sz w:val="20"/>
        </w:rPr>
        <w:t xml:space="preserve">zámviteli politikájában vagy egyéb módon – meghatározott jelentős mértékű eltérés esetén a módosításról, valamint a módosítással érintett időszak tartamáról az MNB Statisztikai igazgatóságát előzetesen, elektronikus úton tájékoztatja (e-mail cím: </w:t>
      </w:r>
      <w:hyperlink r:id="rId13" w:history="1">
        <w:r w:rsidR="00496DAB" w:rsidRPr="0088452F">
          <w:rPr>
            <w:rStyle w:val="Hiperhivatkozs"/>
            <w:rFonts w:ascii="Arial" w:hAnsi="Arial" w:cs="Arial"/>
            <w:sz w:val="20"/>
          </w:rPr>
          <w:t>statadatszolg@mnb.hu</w:t>
        </w:r>
      </w:hyperlink>
      <w:r w:rsidRPr="00A61F3D">
        <w:rPr>
          <w:rFonts w:ascii="Arial" w:hAnsi="Arial" w:cs="Arial"/>
          <w:sz w:val="20"/>
        </w:rPr>
        <w:t>).</w:t>
      </w:r>
    </w:p>
    <w:p w14:paraId="57960C15" w14:textId="7ED8BE0E" w:rsidR="00496DAB" w:rsidRPr="00A61F3D" w:rsidRDefault="00496DAB" w:rsidP="00341E74">
      <w:pPr>
        <w:rPr>
          <w:rFonts w:ascii="Arial" w:hAnsi="Arial" w:cs="Arial"/>
          <w:sz w:val="20"/>
        </w:rPr>
      </w:pPr>
    </w:p>
    <w:p w14:paraId="2E300DC4" w14:textId="77777777" w:rsidR="006805CF" w:rsidRPr="00A61F3D" w:rsidRDefault="006805CF">
      <w:pPr>
        <w:rPr>
          <w:rFonts w:ascii="Arial" w:hAnsi="Arial" w:cs="Arial"/>
          <w:sz w:val="20"/>
        </w:rPr>
      </w:pPr>
    </w:p>
    <w:p w14:paraId="048CEA55" w14:textId="02DF48EC" w:rsidR="006805CF" w:rsidRPr="00A61F3D" w:rsidRDefault="0025328B" w:rsidP="000F7232">
      <w:pPr>
        <w:keepNext/>
        <w:rPr>
          <w:rFonts w:ascii="Arial" w:hAnsi="Arial" w:cs="Arial"/>
          <w:b/>
          <w:sz w:val="20"/>
        </w:rPr>
      </w:pPr>
      <w:r>
        <w:rPr>
          <w:rFonts w:ascii="Arial" w:hAnsi="Arial" w:cs="Arial"/>
          <w:b/>
          <w:sz w:val="20"/>
        </w:rPr>
        <w:lastRenderedPageBreak/>
        <w:t xml:space="preserve">I. </w:t>
      </w:r>
      <w:r w:rsidR="00474AB4">
        <w:rPr>
          <w:rFonts w:ascii="Arial" w:hAnsi="Arial" w:cs="Arial"/>
          <w:b/>
          <w:sz w:val="20"/>
        </w:rPr>
        <w:t>E</w:t>
      </w:r>
      <w:r w:rsidR="00C61057" w:rsidRPr="00A61F3D">
        <w:rPr>
          <w:rFonts w:ascii="Arial" w:hAnsi="Arial" w:cs="Arial"/>
          <w:b/>
          <w:sz w:val="20"/>
        </w:rPr>
        <w:t>.</w:t>
      </w:r>
      <w:r w:rsidR="00AC13E5" w:rsidRPr="00A61F3D">
        <w:rPr>
          <w:rFonts w:ascii="Arial" w:hAnsi="Arial" w:cs="Arial"/>
          <w:b/>
          <w:sz w:val="20"/>
        </w:rPr>
        <w:t xml:space="preserve"> Fogalmak</w:t>
      </w:r>
    </w:p>
    <w:p w14:paraId="2D0665FE" w14:textId="4AFD2488" w:rsidR="00AC13E5" w:rsidRPr="00A61F3D" w:rsidRDefault="0025328B" w:rsidP="000F7232">
      <w:pPr>
        <w:keepNext/>
        <w:spacing w:before="120"/>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w:t>
      </w:r>
      <w:r w:rsidR="00AC13E5" w:rsidRPr="00A61F3D">
        <w:rPr>
          <w:rFonts w:ascii="Arial" w:hAnsi="Arial" w:cs="Arial"/>
          <w:b/>
          <w:sz w:val="20"/>
        </w:rPr>
        <w:t>1. Az „Operatív napi jelentés a hitelintézetek devizahelyzetének változásáról” (</w:t>
      </w:r>
      <w:r w:rsidR="001D161F" w:rsidRPr="00A61F3D">
        <w:rPr>
          <w:rFonts w:ascii="Arial" w:hAnsi="Arial" w:cs="Arial"/>
          <w:b/>
          <w:sz w:val="20"/>
        </w:rPr>
        <w:t xml:space="preserve">MNB </w:t>
      </w:r>
      <w:r w:rsidR="001249AB" w:rsidRPr="00A61F3D">
        <w:rPr>
          <w:rFonts w:ascii="Arial" w:hAnsi="Arial" w:cs="Arial"/>
          <w:b/>
          <w:sz w:val="20"/>
        </w:rPr>
        <w:t xml:space="preserve">azonosító kód: </w:t>
      </w:r>
      <w:r w:rsidR="00AC13E5" w:rsidRPr="00A61F3D">
        <w:rPr>
          <w:rFonts w:ascii="Arial" w:hAnsi="Arial" w:cs="Arial"/>
          <w:b/>
          <w:sz w:val="20"/>
        </w:rPr>
        <w:t>D01) és a „Napi jelentés a kamatderivatíva ügyletekre vonatkozóan” (</w:t>
      </w:r>
      <w:r w:rsidR="001D161F" w:rsidRPr="00A61F3D">
        <w:rPr>
          <w:rFonts w:ascii="Arial" w:hAnsi="Arial" w:cs="Arial"/>
          <w:b/>
          <w:sz w:val="20"/>
        </w:rPr>
        <w:t xml:space="preserve">MNB </w:t>
      </w:r>
      <w:r w:rsidR="001249AB" w:rsidRPr="00A61F3D">
        <w:rPr>
          <w:rFonts w:ascii="Arial" w:hAnsi="Arial" w:cs="Arial"/>
          <w:b/>
          <w:sz w:val="20"/>
        </w:rPr>
        <w:t xml:space="preserve">azonosító kód: </w:t>
      </w:r>
      <w:r w:rsidR="00AC13E5" w:rsidRPr="00A61F3D">
        <w:rPr>
          <w:rFonts w:ascii="Arial" w:hAnsi="Arial" w:cs="Arial"/>
          <w:b/>
          <w:sz w:val="20"/>
        </w:rPr>
        <w:t>K14) adatszolgáltatás tábláiban és kitöltési előírásában használt fogalmak</w:t>
      </w:r>
    </w:p>
    <w:p w14:paraId="69839411" w14:textId="77777777" w:rsidR="006805CF" w:rsidRPr="00A61F3D" w:rsidRDefault="00AC13E5"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Azonnali pozíció: </w:t>
      </w:r>
      <w:r w:rsidRPr="00A61F3D">
        <w:rPr>
          <w:rFonts w:ascii="Arial" w:hAnsi="Arial" w:cs="Arial"/>
          <w:sz w:val="20"/>
        </w:rPr>
        <w:t>az adatszolgáltatók spot konverziói által generált pozíciók, beleértve a swap ügyletek spot illetve termin lábai által generált pozíciót is, amennyiben ezek nem képezik részét a nettó határidős pozíciónak.</w:t>
      </w:r>
    </w:p>
    <w:p w14:paraId="77D4455C" w14:textId="77777777" w:rsidR="006805CF" w:rsidRPr="00A61F3D" w:rsidRDefault="00AC13E5"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Eladási deviza: </w:t>
      </w:r>
      <w:r w:rsidRPr="00A61F3D">
        <w:rPr>
          <w:rFonts w:ascii="Arial" w:hAnsi="Arial" w:cs="Arial"/>
          <w:sz w:val="20"/>
        </w:rPr>
        <w:t>az eladott deviza ISO kódja, swap üzlet esetén az induló láb eladási oldalának devizaneme.</w:t>
      </w:r>
    </w:p>
    <w:p w14:paraId="2575DDEC" w14:textId="77777777" w:rsidR="006805CF" w:rsidRPr="00A61F3D" w:rsidRDefault="00261A50"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 xml:space="preserve">Eladott összeg: </w:t>
      </w:r>
      <w:r w:rsidRPr="00A61F3D">
        <w:rPr>
          <w:rFonts w:ascii="Arial" w:hAnsi="Arial" w:cs="Arial"/>
          <w:sz w:val="20"/>
        </w:rPr>
        <w:t>az eladott deviza összege, swap üzlet esetén az induló láb eladott összege.</w:t>
      </w:r>
    </w:p>
    <w:p w14:paraId="35CF782F" w14:textId="77777777" w:rsidR="006805CF" w:rsidRPr="00A61F3D" w:rsidRDefault="00261A50"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Értéknap:</w:t>
      </w:r>
      <w:r w:rsidR="000B0BED" w:rsidRPr="00A61F3D">
        <w:rPr>
          <w:rFonts w:ascii="Arial" w:hAnsi="Arial" w:cs="Arial"/>
          <w:sz w:val="20"/>
        </w:rPr>
        <w:t xml:space="preserve">az a munkanap, amelyen egy adott </w:t>
      </w:r>
      <w:hyperlink r:id="rId14" w:tooltip="A bank központi forráselosztó egysége. Feladata a bank belső - forrásgyűjt" w:history="1">
        <w:r w:rsidR="000B0BED" w:rsidRPr="00A61F3D">
          <w:rPr>
            <w:rFonts w:ascii="Arial" w:hAnsi="Arial" w:cs="Arial"/>
            <w:sz w:val="20"/>
          </w:rPr>
          <w:t>treasury</w:t>
        </w:r>
      </w:hyperlink>
      <w:r w:rsidR="000B0BED" w:rsidRPr="00A61F3D">
        <w:rPr>
          <w:rFonts w:ascii="Arial" w:hAnsi="Arial" w:cs="Arial"/>
          <w:sz w:val="20"/>
        </w:rPr>
        <w:t xml:space="preserve"> ügylet alapján a felek egymásnak teljesíteni kötelesek</w:t>
      </w:r>
      <w:r w:rsidR="0090173B" w:rsidRPr="00A61F3D">
        <w:rPr>
          <w:rFonts w:ascii="Arial" w:hAnsi="Arial" w:cs="Arial"/>
          <w:sz w:val="20"/>
        </w:rPr>
        <w:t>, a következők szerint:</w:t>
      </w:r>
    </w:p>
    <w:p w14:paraId="7342678E" w14:textId="77777777" w:rsidR="00CA3DE6" w:rsidRPr="00A61F3D" w:rsidRDefault="0090173B" w:rsidP="00CA3DE6">
      <w:pPr>
        <w:numPr>
          <w:ilvl w:val="0"/>
          <w:numId w:val="26"/>
        </w:numPr>
        <w:tabs>
          <w:tab w:val="left" w:pos="1134"/>
        </w:tabs>
        <w:rPr>
          <w:rFonts w:ascii="Arial" w:hAnsi="Arial" w:cs="Arial"/>
          <w:sz w:val="20"/>
        </w:rPr>
      </w:pPr>
      <w:r w:rsidRPr="00A61F3D">
        <w:rPr>
          <w:rFonts w:ascii="Arial" w:hAnsi="Arial" w:cs="Arial"/>
          <w:sz w:val="20"/>
        </w:rPr>
        <w:t>s</w:t>
      </w:r>
      <w:r w:rsidR="00CA3DE6" w:rsidRPr="00A61F3D">
        <w:rPr>
          <w:rFonts w:ascii="Arial" w:hAnsi="Arial" w:cs="Arial"/>
          <w:sz w:val="20"/>
        </w:rPr>
        <w:t xml:space="preserve">pot értéknap: az ügyletkötéstől számított </w:t>
      </w:r>
      <w:r w:rsidR="005E6972" w:rsidRPr="00A61F3D">
        <w:rPr>
          <w:rFonts w:ascii="Arial" w:hAnsi="Arial" w:cs="Arial"/>
          <w:sz w:val="20"/>
        </w:rPr>
        <w:t xml:space="preserve">legfeljebb </w:t>
      </w:r>
      <w:r w:rsidR="00CA3DE6" w:rsidRPr="00A61F3D">
        <w:rPr>
          <w:rFonts w:ascii="Arial" w:hAnsi="Arial" w:cs="Arial"/>
          <w:sz w:val="20"/>
        </w:rPr>
        <w:t>második munkanap</w:t>
      </w:r>
      <w:r w:rsidRPr="00A61F3D">
        <w:rPr>
          <w:rFonts w:ascii="Arial" w:hAnsi="Arial" w:cs="Arial"/>
          <w:sz w:val="20"/>
        </w:rPr>
        <w:t>;</w:t>
      </w:r>
    </w:p>
    <w:p w14:paraId="558BB389" w14:textId="77777777" w:rsidR="00CA3DE6" w:rsidRPr="00A61F3D" w:rsidRDefault="0090173B" w:rsidP="00CA3DE6">
      <w:pPr>
        <w:numPr>
          <w:ilvl w:val="0"/>
          <w:numId w:val="26"/>
        </w:numPr>
        <w:tabs>
          <w:tab w:val="left" w:pos="1134"/>
        </w:tabs>
        <w:rPr>
          <w:rFonts w:ascii="Arial" w:hAnsi="Arial" w:cs="Arial"/>
          <w:sz w:val="20"/>
        </w:rPr>
      </w:pPr>
      <w:r w:rsidRPr="00A61F3D">
        <w:rPr>
          <w:rFonts w:ascii="Arial" w:hAnsi="Arial" w:cs="Arial"/>
          <w:sz w:val="20"/>
        </w:rPr>
        <w:t>h</w:t>
      </w:r>
      <w:r w:rsidR="00CA3DE6" w:rsidRPr="00A61F3D">
        <w:rPr>
          <w:rFonts w:ascii="Arial" w:hAnsi="Arial" w:cs="Arial"/>
          <w:sz w:val="20"/>
        </w:rPr>
        <w:t xml:space="preserve">atáridős értéknap: a </w:t>
      </w:r>
      <w:hyperlink r:id="rId15" w:tooltip="Azonnali...." w:history="1">
        <w:r w:rsidR="00CA3DE6" w:rsidRPr="00A61F3D">
          <w:rPr>
            <w:rFonts w:ascii="Arial" w:hAnsi="Arial" w:cs="Arial"/>
            <w:sz w:val="20"/>
          </w:rPr>
          <w:t>spot</w:t>
        </w:r>
      </w:hyperlink>
      <w:r w:rsidR="00CA3DE6" w:rsidRPr="00A61F3D">
        <w:rPr>
          <w:rFonts w:ascii="Arial" w:hAnsi="Arial" w:cs="Arial"/>
          <w:sz w:val="20"/>
        </w:rPr>
        <w:t xml:space="preserve"> értéknapnál időben távolabbi </w:t>
      </w:r>
      <w:hyperlink r:id="rId16" w:tooltip="Az a banki munkanap, amelyen egy ...." w:history="1">
        <w:r w:rsidR="00CA3DE6" w:rsidRPr="00A61F3D">
          <w:rPr>
            <w:rFonts w:ascii="Arial" w:hAnsi="Arial" w:cs="Arial"/>
            <w:sz w:val="20"/>
          </w:rPr>
          <w:t>értéknap</w:t>
        </w:r>
      </w:hyperlink>
      <w:r w:rsidR="00A109DB" w:rsidRPr="00A61F3D">
        <w:rPr>
          <w:rFonts w:ascii="Arial" w:hAnsi="Arial" w:cs="Arial"/>
          <w:sz w:val="20"/>
        </w:rPr>
        <w:t>;</w:t>
      </w:r>
    </w:p>
    <w:p w14:paraId="6B737FD6" w14:textId="77777777" w:rsidR="00CA3DE6" w:rsidRPr="00A61F3D" w:rsidRDefault="005D483C" w:rsidP="00CA3DE6">
      <w:pPr>
        <w:numPr>
          <w:ilvl w:val="0"/>
          <w:numId w:val="26"/>
        </w:numPr>
        <w:tabs>
          <w:tab w:val="left" w:pos="1134"/>
        </w:tabs>
        <w:rPr>
          <w:rFonts w:ascii="Arial" w:hAnsi="Arial" w:cs="Arial"/>
          <w:sz w:val="20"/>
        </w:rPr>
      </w:pPr>
      <w:r w:rsidRPr="00A61F3D">
        <w:rPr>
          <w:rFonts w:ascii="Arial" w:hAnsi="Arial" w:cs="Arial"/>
          <w:sz w:val="20"/>
        </w:rPr>
        <w:t>t</w:t>
      </w:r>
      <w:r w:rsidR="00CA3DE6" w:rsidRPr="00A61F3D">
        <w:rPr>
          <w:rFonts w:ascii="Arial" w:hAnsi="Arial" w:cs="Arial"/>
          <w:sz w:val="20"/>
        </w:rPr>
        <w:t>om/next értéknap: az üzletkötést követő első banki munkanap</w:t>
      </w:r>
      <w:r w:rsidRPr="00A61F3D">
        <w:rPr>
          <w:rFonts w:ascii="Arial" w:hAnsi="Arial" w:cs="Arial"/>
          <w:sz w:val="20"/>
        </w:rPr>
        <w:t>;</w:t>
      </w:r>
    </w:p>
    <w:p w14:paraId="48FC1241" w14:textId="77777777" w:rsidR="00CA3DE6" w:rsidRPr="00A61F3D" w:rsidRDefault="005D483C" w:rsidP="00CA3DE6">
      <w:pPr>
        <w:numPr>
          <w:ilvl w:val="0"/>
          <w:numId w:val="26"/>
        </w:numPr>
        <w:tabs>
          <w:tab w:val="left" w:pos="1134"/>
        </w:tabs>
        <w:rPr>
          <w:rFonts w:ascii="Arial" w:hAnsi="Arial" w:cs="Arial"/>
          <w:sz w:val="20"/>
        </w:rPr>
      </w:pPr>
      <w:r w:rsidRPr="00A61F3D">
        <w:rPr>
          <w:rFonts w:ascii="Arial" w:hAnsi="Arial" w:cs="Arial"/>
          <w:sz w:val="20"/>
        </w:rPr>
        <w:t>o</w:t>
      </w:r>
      <w:r w:rsidR="00CA3DE6" w:rsidRPr="00A61F3D">
        <w:rPr>
          <w:rFonts w:ascii="Arial" w:hAnsi="Arial" w:cs="Arial"/>
          <w:sz w:val="20"/>
        </w:rPr>
        <w:t>vernight értéknap: az üzletkötés napja.</w:t>
      </w:r>
    </w:p>
    <w:p w14:paraId="09551578" w14:textId="77777777" w:rsidR="000B0BED" w:rsidRPr="00A61F3D" w:rsidRDefault="000B0BED" w:rsidP="000B0BED">
      <w:pPr>
        <w:tabs>
          <w:tab w:val="left" w:pos="1134"/>
        </w:tabs>
        <w:ind w:left="1134"/>
        <w:rPr>
          <w:rFonts w:ascii="Arial" w:hAnsi="Arial" w:cs="Arial"/>
          <w:sz w:val="20"/>
        </w:rPr>
      </w:pPr>
    </w:p>
    <w:p w14:paraId="20254582" w14:textId="6C6F41FC" w:rsidR="002E2F92" w:rsidRPr="00A61F3D" w:rsidRDefault="00261A50" w:rsidP="007276FB">
      <w:pPr>
        <w:numPr>
          <w:ilvl w:val="1"/>
          <w:numId w:val="7"/>
        </w:numPr>
        <w:tabs>
          <w:tab w:val="left" w:pos="1134"/>
        </w:tabs>
        <w:ind w:left="1134" w:hanging="774"/>
        <w:rPr>
          <w:rFonts w:ascii="Arial" w:hAnsi="Arial" w:cs="Arial"/>
          <w:sz w:val="20"/>
        </w:rPr>
      </w:pPr>
      <w:r w:rsidRPr="00A61F3D">
        <w:rPr>
          <w:rFonts w:ascii="Arial" w:hAnsi="Arial" w:cs="Arial"/>
          <w:b/>
          <w:bCs/>
          <w:sz w:val="20"/>
        </w:rPr>
        <w:t>Évesített kamatláb:</w:t>
      </w:r>
      <w:r w:rsidRPr="00A61F3D">
        <w:rPr>
          <w:rFonts w:ascii="Arial" w:hAnsi="Arial" w:cs="Arial"/>
          <w:sz w:val="20"/>
        </w:rPr>
        <w:t xml:space="preserve"> a</w:t>
      </w:r>
      <w:r w:rsidR="004F7940" w:rsidRPr="00A61F3D">
        <w:rPr>
          <w:rFonts w:ascii="Arial" w:hAnsi="Arial" w:cs="Arial"/>
          <w:sz w:val="20"/>
        </w:rPr>
        <w:t>z</w:t>
      </w:r>
      <w:r w:rsidRPr="00A61F3D">
        <w:rPr>
          <w:rFonts w:ascii="Arial" w:hAnsi="Arial" w:cs="Arial"/>
          <w:sz w:val="20"/>
        </w:rPr>
        <w:t xml:space="preserve"> I.</w:t>
      </w:r>
      <w:r w:rsidR="001249AB" w:rsidRPr="00A61F3D">
        <w:rPr>
          <w:rFonts w:ascii="Arial" w:hAnsi="Arial" w:cs="Arial"/>
          <w:sz w:val="20"/>
        </w:rPr>
        <w:t xml:space="preserve"> </w:t>
      </w:r>
      <w:r w:rsidR="00F97FC6">
        <w:rPr>
          <w:rFonts w:ascii="Arial" w:hAnsi="Arial" w:cs="Arial"/>
          <w:sz w:val="20"/>
        </w:rPr>
        <w:t>E</w:t>
      </w:r>
      <w:r w:rsidR="00AC13E5" w:rsidRPr="00A61F3D">
        <w:rPr>
          <w:rFonts w:ascii="Arial" w:hAnsi="Arial" w:cs="Arial"/>
          <w:sz w:val="20"/>
        </w:rPr>
        <w:t>.</w:t>
      </w:r>
      <w:r w:rsidR="001249AB" w:rsidRPr="00A61F3D">
        <w:rPr>
          <w:rFonts w:ascii="Arial" w:hAnsi="Arial" w:cs="Arial"/>
          <w:sz w:val="20"/>
        </w:rPr>
        <w:t xml:space="preserve"> </w:t>
      </w:r>
      <w:r w:rsidR="00AC13E5" w:rsidRPr="00A61F3D">
        <w:rPr>
          <w:rFonts w:ascii="Arial" w:hAnsi="Arial" w:cs="Arial"/>
          <w:sz w:val="20"/>
        </w:rPr>
        <w:t>3.3. alpontban meghatározott fogalom azzal, hogy fix kamatláb esetében, amennyiben a fix kamatot nem százalékos mértékben, hanem összegszerűen határozzák meg, amelyet a futamidő végén egy összegben teljesítenek, az évesített kamatláb meghatározásához az alábbi képlet alkalmazandó:</w:t>
      </w:r>
    </w:p>
    <w:p w14:paraId="50E84672" w14:textId="77777777" w:rsidR="002E2F92" w:rsidRPr="00A61F3D" w:rsidRDefault="00D50609" w:rsidP="005A7849">
      <w:pPr>
        <w:tabs>
          <w:tab w:val="left" w:pos="1134"/>
        </w:tabs>
        <w:spacing w:before="120"/>
        <w:ind w:left="720"/>
        <w:rPr>
          <w:rFonts w:ascii="Arial" w:hAnsi="Arial" w:cs="Arial"/>
          <w:sz w:val="20"/>
        </w:rPr>
      </w:pPr>
      <w:r w:rsidRPr="00A61F3D">
        <w:rPr>
          <w:rFonts w:ascii="Arial" w:hAnsi="Arial" w:cs="Arial"/>
          <w:noProof/>
          <w:sz w:val="20"/>
        </w:rPr>
        <w:drawing>
          <wp:inline distT="0" distB="0" distL="0" distR="0" wp14:anchorId="21EB71A2" wp14:editId="6073266C">
            <wp:extent cx="5362575" cy="523875"/>
            <wp:effectExtent l="0" t="0" r="0" b="0"/>
            <wp:docPr id="1" name="Kép 1" descr="Microsoft Equatio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Microsoft Equation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62575" cy="523875"/>
                    </a:xfrm>
                    <a:prstGeom prst="rect">
                      <a:avLst/>
                    </a:prstGeom>
                    <a:noFill/>
                    <a:ln>
                      <a:noFill/>
                    </a:ln>
                  </pic:spPr>
                </pic:pic>
              </a:graphicData>
            </a:graphic>
          </wp:inline>
        </w:drawing>
      </w:r>
    </w:p>
    <w:p w14:paraId="79E3626C" w14:textId="77777777" w:rsidR="0090655E" w:rsidRPr="00A61F3D" w:rsidRDefault="0090655E" w:rsidP="005A7849">
      <w:pPr>
        <w:tabs>
          <w:tab w:val="left" w:pos="1134"/>
        </w:tabs>
        <w:rPr>
          <w:rFonts w:ascii="Arial" w:hAnsi="Arial" w:cs="Arial"/>
          <w:sz w:val="20"/>
        </w:rPr>
      </w:pPr>
    </w:p>
    <w:p w14:paraId="2343AF5D" w14:textId="77777777" w:rsidR="005B600B"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sz w:val="20"/>
        </w:rPr>
        <w:t xml:space="preserve">Fixing kockázat: </w:t>
      </w:r>
      <w:r w:rsidRPr="00A61F3D">
        <w:rPr>
          <w:rFonts w:ascii="Arial" w:hAnsi="Arial" w:cs="Arial"/>
          <w:sz w:val="20"/>
        </w:rPr>
        <w:t>a fixing napok eltérése miatti kockázat. Az FRA és IRS ügyletek OTC jellegéből fakadóan a folyamatos ügyletkötéseik eredményeképpen a piaci szereplők gyakran kerülhetnek olyan pozícióba, hogy a különböző időpontokban megkötött, egymással ellentétes irányú, de más paramétereiben (névérték, futamidő) megegyező ügyletek fixing napja (általában az elszámolási napot megelőző második munkanap) között marad néhány nap eltérés. Így bár közel fedezett az adott bank pozíciója, a fedezés nem tökéletes.</w:t>
      </w:r>
    </w:p>
    <w:p w14:paraId="76AB4C70" w14:textId="77777777" w:rsidR="006805CF"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Kötésnap</w:t>
      </w:r>
      <w:r w:rsidR="002A1FA0" w:rsidRPr="00A61F3D">
        <w:rPr>
          <w:rFonts w:ascii="Arial" w:hAnsi="Arial" w:cs="Arial"/>
          <w:b/>
          <w:bCs/>
          <w:sz w:val="20"/>
        </w:rPr>
        <w:t xml:space="preserve"> (trade date)</w:t>
      </w:r>
      <w:r w:rsidRPr="00A61F3D">
        <w:rPr>
          <w:rFonts w:ascii="Arial" w:hAnsi="Arial" w:cs="Arial"/>
          <w:b/>
          <w:bCs/>
          <w:sz w:val="20"/>
        </w:rPr>
        <w:t xml:space="preserve">: </w:t>
      </w:r>
      <w:r w:rsidRPr="00A61F3D">
        <w:rPr>
          <w:rFonts w:ascii="Arial" w:hAnsi="Arial" w:cs="Arial"/>
          <w:sz w:val="20"/>
        </w:rPr>
        <w:t>az üzletkötés napja.</w:t>
      </w:r>
    </w:p>
    <w:p w14:paraId="24A053BC" w14:textId="77777777" w:rsidR="006805CF" w:rsidRPr="00A61F3D" w:rsidRDefault="00AC13E5"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 xml:space="preserve">Opciós díj: </w:t>
      </w:r>
      <w:r w:rsidRPr="00A61F3D">
        <w:rPr>
          <w:rFonts w:ascii="Arial" w:hAnsi="Arial" w:cs="Arial"/>
          <w:sz w:val="20"/>
        </w:rPr>
        <w:t>az adatszolgáltatók által kötött opciók (vett és eladott egyaránt) díja.</w:t>
      </w:r>
    </w:p>
    <w:p w14:paraId="35B90E44"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 xml:space="preserve">Összes nettó </w:t>
      </w:r>
      <w:r w:rsidR="00AC13E5" w:rsidRPr="00A61F3D">
        <w:rPr>
          <w:rFonts w:ascii="Arial" w:hAnsi="Arial" w:cs="Arial"/>
          <w:b/>
          <w:bCs/>
          <w:sz w:val="20"/>
        </w:rPr>
        <w:t>hosszú pozíció</w:t>
      </w:r>
      <w:r w:rsidR="00AC13E5" w:rsidRPr="00A61F3D">
        <w:rPr>
          <w:rFonts w:ascii="Arial" w:hAnsi="Arial" w:cs="Arial"/>
          <w:sz w:val="20"/>
        </w:rPr>
        <w:t xml:space="preserve">: </w:t>
      </w:r>
      <w:r w:rsidR="00D55825" w:rsidRPr="00A61F3D">
        <w:rPr>
          <w:rFonts w:ascii="Arial" w:hAnsi="Arial" w:cs="Arial"/>
          <w:sz w:val="20"/>
        </w:rPr>
        <w:t>a CRR 352. cikk</w:t>
      </w:r>
      <w:r w:rsidR="00C427D7" w:rsidRPr="00A61F3D">
        <w:rPr>
          <w:rFonts w:ascii="Arial" w:hAnsi="Arial" w:cs="Arial"/>
          <w:sz w:val="20"/>
        </w:rPr>
        <w:t>e szerint számított mutatószám</w:t>
      </w:r>
      <w:r w:rsidR="00AC13E5" w:rsidRPr="00A61F3D">
        <w:rPr>
          <w:rFonts w:ascii="Arial" w:hAnsi="Arial" w:cs="Arial"/>
          <w:sz w:val="20"/>
        </w:rPr>
        <w:t>.</w:t>
      </w:r>
    </w:p>
    <w:p w14:paraId="17651EAC"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sz w:val="20"/>
        </w:rPr>
        <w:t xml:space="preserve">Összes nettó </w:t>
      </w:r>
      <w:r w:rsidR="00AC13E5" w:rsidRPr="00A61F3D">
        <w:rPr>
          <w:rFonts w:ascii="Arial" w:hAnsi="Arial" w:cs="Arial"/>
          <w:b/>
          <w:sz w:val="20"/>
        </w:rPr>
        <w:t>rövid pozíció</w:t>
      </w:r>
      <w:r w:rsidR="00AC13E5" w:rsidRPr="00A61F3D">
        <w:rPr>
          <w:rFonts w:ascii="Arial" w:hAnsi="Arial" w:cs="Arial"/>
          <w:sz w:val="20"/>
        </w:rPr>
        <w:t xml:space="preserve">: a </w:t>
      </w:r>
      <w:r w:rsidR="00D55825" w:rsidRPr="00A61F3D">
        <w:rPr>
          <w:rFonts w:ascii="Arial" w:hAnsi="Arial" w:cs="Arial"/>
          <w:sz w:val="20"/>
        </w:rPr>
        <w:t>CRR 352. cikk</w:t>
      </w:r>
      <w:r w:rsidR="00C427D7" w:rsidRPr="00A61F3D">
        <w:rPr>
          <w:rFonts w:ascii="Arial" w:hAnsi="Arial" w:cs="Arial"/>
          <w:sz w:val="20"/>
        </w:rPr>
        <w:t>e szerint számított mutatószám</w:t>
      </w:r>
      <w:r w:rsidR="00AC13E5" w:rsidRPr="00A61F3D">
        <w:rPr>
          <w:rFonts w:ascii="Arial" w:hAnsi="Arial" w:cs="Arial"/>
          <w:sz w:val="20"/>
        </w:rPr>
        <w:t>.</w:t>
      </w:r>
    </w:p>
    <w:p w14:paraId="1D566967" w14:textId="77777777" w:rsidR="006805CF" w:rsidRPr="00A61F3D" w:rsidRDefault="0000156E" w:rsidP="007276FB">
      <w:pPr>
        <w:numPr>
          <w:ilvl w:val="1"/>
          <w:numId w:val="7"/>
        </w:numPr>
        <w:tabs>
          <w:tab w:val="left" w:pos="1134"/>
        </w:tabs>
        <w:ind w:left="1134" w:hanging="708"/>
        <w:rPr>
          <w:rFonts w:ascii="Arial" w:hAnsi="Arial" w:cs="Arial"/>
          <w:sz w:val="20"/>
        </w:rPr>
      </w:pPr>
      <w:r w:rsidRPr="00A61F3D">
        <w:rPr>
          <w:rFonts w:ascii="Arial" w:hAnsi="Arial" w:cs="Arial"/>
          <w:b/>
          <w:bCs/>
          <w:sz w:val="20"/>
        </w:rPr>
        <w:t>Teljes nettó deviza</w:t>
      </w:r>
      <w:r w:rsidR="00AC13E5" w:rsidRPr="00A61F3D">
        <w:rPr>
          <w:rFonts w:ascii="Arial" w:hAnsi="Arial" w:cs="Arial"/>
          <w:b/>
          <w:bCs/>
          <w:sz w:val="20"/>
        </w:rPr>
        <w:t xml:space="preserve"> pozíció</w:t>
      </w:r>
      <w:r w:rsidR="00AC13E5" w:rsidRPr="00A61F3D">
        <w:rPr>
          <w:rFonts w:ascii="Arial" w:hAnsi="Arial" w:cs="Arial"/>
          <w:sz w:val="20"/>
        </w:rPr>
        <w:t xml:space="preserve">: a </w:t>
      </w:r>
      <w:r w:rsidR="00D55825" w:rsidRPr="00A61F3D">
        <w:rPr>
          <w:rFonts w:ascii="Arial" w:hAnsi="Arial" w:cs="Arial"/>
          <w:sz w:val="20"/>
        </w:rPr>
        <w:t>CRR 352. cikk</w:t>
      </w:r>
      <w:r w:rsidR="00C427D7" w:rsidRPr="00A61F3D">
        <w:rPr>
          <w:rFonts w:ascii="Arial" w:hAnsi="Arial" w:cs="Arial"/>
          <w:sz w:val="20"/>
        </w:rPr>
        <w:t>e szerint számított mutatószám</w:t>
      </w:r>
      <w:r w:rsidR="00AC13E5" w:rsidRPr="00A61F3D">
        <w:rPr>
          <w:rFonts w:ascii="Arial" w:hAnsi="Arial" w:cs="Arial"/>
          <w:sz w:val="20"/>
        </w:rPr>
        <w:t>.</w:t>
      </w:r>
    </w:p>
    <w:p w14:paraId="171661BF" w14:textId="77777777" w:rsidR="006805CF" w:rsidRPr="00A61F3D" w:rsidRDefault="00AC13E5" w:rsidP="00F93DC5">
      <w:pPr>
        <w:numPr>
          <w:ilvl w:val="1"/>
          <w:numId w:val="7"/>
        </w:numPr>
        <w:tabs>
          <w:tab w:val="left" w:pos="1134"/>
        </w:tabs>
        <w:ind w:left="1134" w:hanging="708"/>
        <w:rPr>
          <w:rFonts w:ascii="Arial" w:hAnsi="Arial" w:cs="Arial"/>
          <w:sz w:val="20"/>
        </w:rPr>
      </w:pPr>
      <w:r w:rsidRPr="00A61F3D">
        <w:rPr>
          <w:rFonts w:ascii="Arial" w:hAnsi="Arial" w:cs="Arial"/>
          <w:b/>
          <w:bCs/>
          <w:sz w:val="20"/>
        </w:rPr>
        <w:t>Szavatoló tőke:</w:t>
      </w:r>
      <w:r w:rsidRPr="00A61F3D">
        <w:rPr>
          <w:rFonts w:ascii="Arial" w:hAnsi="Arial" w:cs="Arial"/>
          <w:sz w:val="20"/>
        </w:rPr>
        <w:t xml:space="preserve"> </w:t>
      </w:r>
      <w:r w:rsidR="00366BDA" w:rsidRPr="00A61F3D">
        <w:rPr>
          <w:rFonts w:ascii="Arial" w:hAnsi="Arial" w:cs="Arial"/>
          <w:sz w:val="20"/>
        </w:rPr>
        <w:t xml:space="preserve">a </w:t>
      </w:r>
      <w:proofErr w:type="spellStart"/>
      <w:r w:rsidR="004D647C" w:rsidRPr="00A61F3D">
        <w:rPr>
          <w:rFonts w:ascii="Arial" w:hAnsi="Arial" w:cs="Arial"/>
          <w:sz w:val="20"/>
        </w:rPr>
        <w:t>CRR</w:t>
      </w:r>
      <w:proofErr w:type="spellEnd"/>
      <w:r w:rsidR="004D647C" w:rsidRPr="00A61F3D">
        <w:rPr>
          <w:rFonts w:ascii="Arial" w:hAnsi="Arial" w:cs="Arial"/>
          <w:sz w:val="20"/>
        </w:rPr>
        <w:t xml:space="preserve"> 437. cikke</w:t>
      </w:r>
      <w:r w:rsidRPr="00A61F3D">
        <w:rPr>
          <w:rFonts w:ascii="Arial" w:hAnsi="Arial" w:cs="Arial"/>
          <w:sz w:val="20"/>
        </w:rPr>
        <w:t xml:space="preserve"> szerinti tőke.</w:t>
      </w:r>
    </w:p>
    <w:p w14:paraId="50B0A13F" w14:textId="77777777" w:rsidR="00754456" w:rsidRPr="00A61F3D" w:rsidRDefault="00AC13E5" w:rsidP="00F93DC5">
      <w:pPr>
        <w:numPr>
          <w:ilvl w:val="1"/>
          <w:numId w:val="7"/>
        </w:numPr>
        <w:tabs>
          <w:tab w:val="left" w:pos="1134"/>
        </w:tabs>
        <w:ind w:left="1134" w:hanging="708"/>
        <w:rPr>
          <w:rFonts w:ascii="Arial" w:hAnsi="Arial" w:cs="Arial"/>
          <w:sz w:val="20"/>
        </w:rPr>
      </w:pPr>
      <w:r w:rsidRPr="00A61F3D">
        <w:rPr>
          <w:rFonts w:ascii="Arial" w:hAnsi="Arial" w:cs="Arial"/>
          <w:b/>
          <w:sz w:val="20"/>
        </w:rPr>
        <w:t>Származékos ügylet típusok</w:t>
      </w:r>
    </w:p>
    <w:p w14:paraId="2326C4F5" w14:textId="77777777" w:rsidR="005F6D45" w:rsidRPr="00A61F3D" w:rsidRDefault="00AC13E5" w:rsidP="00F93DC5">
      <w:pPr>
        <w:numPr>
          <w:ilvl w:val="2"/>
          <w:numId w:val="7"/>
        </w:numPr>
        <w:tabs>
          <w:tab w:val="left" w:pos="1134"/>
        </w:tabs>
        <w:ind w:left="1134" w:hanging="708"/>
        <w:rPr>
          <w:rFonts w:ascii="Arial" w:hAnsi="Arial" w:cs="Arial"/>
          <w:sz w:val="20"/>
        </w:rPr>
      </w:pPr>
      <w:r w:rsidRPr="00A61F3D">
        <w:rPr>
          <w:rFonts w:ascii="Arial" w:hAnsi="Arial" w:cs="Arial"/>
          <w:b/>
          <w:sz w:val="20"/>
        </w:rPr>
        <w:t xml:space="preserve">Amortizálódó ügylet: </w:t>
      </w:r>
      <w:r w:rsidRPr="00A61F3D">
        <w:rPr>
          <w:rFonts w:ascii="Arial" w:hAnsi="Arial" w:cs="Arial"/>
          <w:sz w:val="20"/>
        </w:rPr>
        <w:t>olyan ügylet, amelynél a névérték (ténylegesen vagy névlegesen elcserélt tőke) csökken a futamidő során (pl. amortizálódó kamatswap, amortizálódó deviza kamatcsere, amortizálódó kamatozó devizacsere ügyletek).</w:t>
      </w:r>
    </w:p>
    <w:p w14:paraId="215EA108" w14:textId="77777777" w:rsidR="005F6D45" w:rsidRPr="00A61F3D" w:rsidRDefault="00AC13E5" w:rsidP="00F93DC5">
      <w:pPr>
        <w:numPr>
          <w:ilvl w:val="2"/>
          <w:numId w:val="7"/>
        </w:numPr>
        <w:tabs>
          <w:tab w:val="left" w:pos="1134"/>
        </w:tabs>
        <w:ind w:left="1134" w:hanging="708"/>
        <w:rPr>
          <w:rFonts w:ascii="Arial" w:hAnsi="Arial" w:cs="Arial"/>
          <w:sz w:val="20"/>
        </w:rPr>
      </w:pPr>
      <w:r w:rsidRPr="00A61F3D">
        <w:rPr>
          <w:rFonts w:ascii="Arial" w:hAnsi="Arial" w:cs="Arial"/>
          <w:b/>
          <w:sz w:val="20"/>
        </w:rPr>
        <w:t xml:space="preserve">Határidős kamatláb megállapodás (FRA, forward rate agreement): </w:t>
      </w:r>
      <w:r w:rsidRPr="00A61F3D">
        <w:rPr>
          <w:rFonts w:ascii="Arial" w:hAnsi="Arial" w:cs="Arial"/>
          <w:sz w:val="20"/>
        </w:rPr>
        <w:t xml:space="preserve">két fél közötti, egy jövőbeni időpontban induló periódusra vonatkozó határidős kamatláb megállapodás, amely lehetővé teszi a jövőben esedékes hitelfelvétel vagy befektetés kamatának rögzítését. </w:t>
      </w:r>
    </w:p>
    <w:p w14:paraId="465461F5" w14:textId="77777777" w:rsidR="00AC13E5" w:rsidRPr="00A61F3D" w:rsidRDefault="00AC13E5" w:rsidP="00F93DC5">
      <w:pPr>
        <w:numPr>
          <w:ilvl w:val="2"/>
          <w:numId w:val="7"/>
        </w:numPr>
        <w:tabs>
          <w:tab w:val="left" w:pos="1134"/>
        </w:tabs>
        <w:ind w:left="1134" w:hanging="708"/>
        <w:rPr>
          <w:rFonts w:ascii="Arial" w:hAnsi="Arial" w:cs="Arial"/>
          <w:b/>
          <w:sz w:val="20"/>
        </w:rPr>
      </w:pPr>
      <w:r w:rsidRPr="00A61F3D">
        <w:rPr>
          <w:rFonts w:ascii="Arial" w:hAnsi="Arial" w:cs="Arial"/>
          <w:b/>
          <w:sz w:val="20"/>
        </w:rPr>
        <w:t xml:space="preserve">Opció: </w:t>
      </w:r>
      <w:r w:rsidRPr="00A61F3D">
        <w:rPr>
          <w:rFonts w:ascii="Arial" w:hAnsi="Arial" w:cs="Arial"/>
          <w:sz w:val="20"/>
        </w:rPr>
        <w:t>olyan szerződés, amely a birtokosát (vevőjét) feljogosítja, de nem kötelezi arra, hogy megvásároljon (vételi opció, call opció), vagy eladjon (eladási opció, put opció) egy speciális vagy standard tőzsdeárut vagy pénzügyi instrumentumot meghatározott áron, meghatározott időszak során (amerikai opció) vagy meghatározott napon (európai opció). Az opciók esetében a jogosulti (opció vevője) és a kötelezetti (opció eladója) pozíció megkülönböztetésére használatos a long és a short kifejezés is (pl</w:t>
      </w:r>
      <w:r w:rsidR="00BA6F21" w:rsidRPr="00A61F3D">
        <w:rPr>
          <w:rFonts w:ascii="Arial" w:hAnsi="Arial" w:cs="Arial"/>
          <w:sz w:val="20"/>
        </w:rPr>
        <w:t>.</w:t>
      </w:r>
      <w:r w:rsidRPr="00A61F3D">
        <w:rPr>
          <w:rFonts w:ascii="Arial" w:hAnsi="Arial" w:cs="Arial"/>
          <w:sz w:val="20"/>
        </w:rPr>
        <w:t xml:space="preserve"> vételi opció jogosultjának pozíciója az angol terminológia felhasználásával: long call).</w:t>
      </w:r>
    </w:p>
    <w:p w14:paraId="2E3EDABB" w14:textId="77777777" w:rsidR="00AC13E5" w:rsidRPr="00A61F3D" w:rsidRDefault="00AC13E5" w:rsidP="00F93DC5">
      <w:pPr>
        <w:numPr>
          <w:ilvl w:val="2"/>
          <w:numId w:val="7"/>
        </w:numPr>
        <w:tabs>
          <w:tab w:val="left" w:pos="1134"/>
        </w:tabs>
        <w:ind w:left="1134" w:hanging="708"/>
        <w:rPr>
          <w:rFonts w:ascii="Arial" w:hAnsi="Arial" w:cs="Arial"/>
          <w:sz w:val="20"/>
        </w:rPr>
      </w:pPr>
      <w:r w:rsidRPr="00A61F3D">
        <w:rPr>
          <w:rFonts w:ascii="Arial" w:hAnsi="Arial" w:cs="Arial"/>
          <w:b/>
          <w:sz w:val="20"/>
        </w:rPr>
        <w:t xml:space="preserve">Kamatswap (IRS, Interest Rate Swap): </w:t>
      </w:r>
      <w:r w:rsidRPr="00A61F3D">
        <w:rPr>
          <w:rFonts w:ascii="Arial" w:hAnsi="Arial" w:cs="Arial"/>
          <w:sz w:val="20"/>
        </w:rPr>
        <w:t xml:space="preserve">azonos devizanemben meghatározott tőkeösszegre vonatkozó kamatfizetések cseréjét jelentő derivatív ügylet. Alapesetben két fél közötti megállapodás változó kamatozású kamatfizetések fix kamatozású kamatfizetésekre való cseréléséről (vagy fordítva), egy meghatározott tőkeösszegre és meghatározott periódusra vonatkozóan. Az eltérő devizájú kamatok cseréjére vonatkozó </w:t>
      </w:r>
      <w:r w:rsidRPr="00A61F3D">
        <w:rPr>
          <w:rFonts w:ascii="Arial" w:hAnsi="Arial" w:cs="Arial"/>
          <w:sz w:val="20"/>
        </w:rPr>
        <w:lastRenderedPageBreak/>
        <w:t xml:space="preserve">ügyletek </w:t>
      </w:r>
      <w:r w:rsidRPr="00A61F3D">
        <w:rPr>
          <w:rStyle w:val="Kiemels2"/>
          <w:rFonts w:ascii="Arial" w:hAnsi="Arial" w:cs="Arial"/>
          <w:b w:val="0"/>
          <w:sz w:val="20"/>
        </w:rPr>
        <w:t>(kamatozó devizacsere ügylet, deviza kamatcsere ügylet) meghatározását az 1.13.6.2</w:t>
      </w:r>
      <w:r w:rsidR="007B538A" w:rsidRPr="00A61F3D">
        <w:rPr>
          <w:rStyle w:val="Kiemels2"/>
          <w:rFonts w:ascii="Arial" w:hAnsi="Arial" w:cs="Arial"/>
          <w:b w:val="0"/>
          <w:sz w:val="20"/>
        </w:rPr>
        <w:t>.</w:t>
      </w:r>
      <w:r w:rsidRPr="00A61F3D">
        <w:rPr>
          <w:rStyle w:val="Kiemels2"/>
          <w:rFonts w:ascii="Arial" w:hAnsi="Arial" w:cs="Arial"/>
          <w:b w:val="0"/>
          <w:sz w:val="20"/>
        </w:rPr>
        <w:t xml:space="preserve"> és az 1.13.6.3. alpont tartalmazza.</w:t>
      </w:r>
      <w:r w:rsidRPr="00A61F3D">
        <w:rPr>
          <w:rFonts w:ascii="Arial" w:hAnsi="Arial" w:cs="Arial"/>
          <w:sz w:val="20"/>
        </w:rPr>
        <w:t xml:space="preserve"> </w:t>
      </w:r>
    </w:p>
    <w:p w14:paraId="3C5A12E6" w14:textId="77777777" w:rsidR="005346D1" w:rsidRPr="00A61F3D" w:rsidRDefault="00AC13E5" w:rsidP="00F93DC5">
      <w:pPr>
        <w:numPr>
          <w:ilvl w:val="2"/>
          <w:numId w:val="7"/>
        </w:numPr>
        <w:tabs>
          <w:tab w:val="left" w:pos="1134"/>
        </w:tabs>
        <w:ind w:left="1134" w:hanging="708"/>
        <w:rPr>
          <w:rFonts w:ascii="Arial" w:hAnsi="Arial" w:cs="Arial"/>
          <w:bCs/>
          <w:sz w:val="20"/>
        </w:rPr>
      </w:pPr>
      <w:r w:rsidRPr="00A61F3D">
        <w:rPr>
          <w:rStyle w:val="Kiemels2"/>
          <w:rFonts w:ascii="Arial" w:hAnsi="Arial" w:cs="Arial"/>
          <w:sz w:val="20"/>
        </w:rPr>
        <w:t xml:space="preserve">Határidős deviza ügylet (foreign currency forward): </w:t>
      </w:r>
      <w:r w:rsidR="001474C6" w:rsidRPr="00A61F3D">
        <w:rPr>
          <w:rFonts w:ascii="Arial" w:hAnsi="Arial" w:cs="Arial"/>
          <w:sz w:val="20"/>
        </w:rPr>
        <w:t>k</w:t>
      </w:r>
      <w:r w:rsidRPr="00A61F3D">
        <w:rPr>
          <w:rFonts w:ascii="Arial" w:hAnsi="Arial" w:cs="Arial"/>
          <w:sz w:val="20"/>
        </w:rPr>
        <w:t>ét fél között meghatározott mennyiségű deviza megvásárlására és eladására megkötött szerződés, ahol az árat a szerződés létrehozásakor határozzák meg, a szállításra és a pénzügyi rendezésre pedig meghatározott jövőbeni időpontban kerül sor. A forward ügyletek teljesítése akár a devizaösszegek leszállításával (leszállításos határidős ügylet)</w:t>
      </w:r>
      <w:r w:rsidR="007B538A" w:rsidRPr="00A61F3D">
        <w:rPr>
          <w:rFonts w:ascii="Arial" w:hAnsi="Arial" w:cs="Arial"/>
          <w:sz w:val="20"/>
        </w:rPr>
        <w:t>,</w:t>
      </w:r>
      <w:r w:rsidRPr="00A61F3D">
        <w:rPr>
          <w:rFonts w:ascii="Arial" w:hAnsi="Arial" w:cs="Arial"/>
          <w:sz w:val="20"/>
        </w:rPr>
        <w:t xml:space="preserve"> azaz a teljes devizaösszegek cseréjével, akár az értékkülönbözet elszámolásával (elszámolásos határidős ügylet) is történhet.</w:t>
      </w:r>
    </w:p>
    <w:p w14:paraId="6693C8A9" w14:textId="77777777" w:rsidR="005F6D45" w:rsidRPr="00A61F3D" w:rsidRDefault="00AC13E5" w:rsidP="007276FB">
      <w:pPr>
        <w:numPr>
          <w:ilvl w:val="2"/>
          <w:numId w:val="7"/>
        </w:numPr>
        <w:tabs>
          <w:tab w:val="left" w:pos="1134"/>
        </w:tabs>
        <w:ind w:left="1134" w:hanging="708"/>
        <w:rPr>
          <w:rFonts w:ascii="Arial" w:hAnsi="Arial" w:cs="Arial"/>
          <w:b/>
          <w:sz w:val="20"/>
        </w:rPr>
      </w:pPr>
      <w:r w:rsidRPr="00A61F3D">
        <w:rPr>
          <w:rFonts w:ascii="Arial" w:hAnsi="Arial" w:cs="Arial"/>
          <w:b/>
          <w:sz w:val="20"/>
        </w:rPr>
        <w:t xml:space="preserve">Deviza swap ügylet (Currency swap): </w:t>
      </w:r>
      <w:r w:rsidRPr="00A61F3D">
        <w:rPr>
          <w:rFonts w:ascii="Arial" w:hAnsi="Arial" w:cs="Arial"/>
          <w:sz w:val="20"/>
        </w:rPr>
        <w:t>azokat a származékos ügyleteket foglalja magában, amelyek devizák cseréjére vonatkoznak. Deviza swap ügyletnek tekintendő az egyszerű devizacsere ügylet, a kamatozó devizacsere ügylet, a deviza kamatcsere ügylet, továbbá az 1.13.5</w:t>
      </w:r>
      <w:r w:rsidR="007B538A" w:rsidRPr="00A61F3D">
        <w:rPr>
          <w:rFonts w:ascii="Arial" w:hAnsi="Arial" w:cs="Arial"/>
          <w:sz w:val="20"/>
        </w:rPr>
        <w:t>.</w:t>
      </w:r>
      <w:r w:rsidRPr="00A61F3D">
        <w:rPr>
          <w:rFonts w:ascii="Arial" w:hAnsi="Arial" w:cs="Arial"/>
          <w:sz w:val="20"/>
        </w:rPr>
        <w:t xml:space="preserve"> pontban említett leszállításos határidős deviza ügylet is.</w:t>
      </w:r>
    </w:p>
    <w:p w14:paraId="4E85E3B2" w14:textId="77777777" w:rsidR="001B4E14" w:rsidRPr="00A61F3D" w:rsidRDefault="00AC13E5" w:rsidP="007276FB">
      <w:pPr>
        <w:numPr>
          <w:ilvl w:val="3"/>
          <w:numId w:val="7"/>
        </w:numPr>
        <w:tabs>
          <w:tab w:val="left" w:pos="1276"/>
        </w:tabs>
        <w:ind w:left="1276" w:hanging="850"/>
        <w:rPr>
          <w:rFonts w:ascii="Arial" w:hAnsi="Arial" w:cs="Arial"/>
          <w:b/>
          <w:sz w:val="20"/>
        </w:rPr>
      </w:pPr>
      <w:r w:rsidRPr="00A61F3D">
        <w:rPr>
          <w:rStyle w:val="Kiemels2"/>
          <w:rFonts w:ascii="Arial" w:hAnsi="Arial" w:cs="Arial"/>
          <w:sz w:val="20"/>
        </w:rPr>
        <w:t xml:space="preserve">Egyszerű devizacsere ügylet (simple currency swap vagy FX swap): </w:t>
      </w:r>
      <w:r w:rsidRPr="00A61F3D">
        <w:rPr>
          <w:rFonts w:ascii="Arial" w:hAnsi="Arial" w:cs="Arial"/>
          <w:sz w:val="20"/>
        </w:rPr>
        <w:t>olyan árfolyamü</w:t>
      </w:r>
      <w:r w:rsidR="00EA6F32" w:rsidRPr="00A61F3D">
        <w:rPr>
          <w:rFonts w:ascii="Arial" w:hAnsi="Arial" w:cs="Arial"/>
          <w:sz w:val="20"/>
        </w:rPr>
        <w:t>gy</w:t>
      </w:r>
      <w:r w:rsidRPr="00A61F3D">
        <w:rPr>
          <w:rFonts w:ascii="Arial" w:hAnsi="Arial" w:cs="Arial"/>
          <w:sz w:val="20"/>
        </w:rPr>
        <w:t>let, amely alapesetben egy adott deviza azonnali eladását/vételét és egy időben ugyanannak a devizaösszegnek a határidős vételét/eladását jelenti: azonnali ügylet (spot) + határidős ügylet (forward) = devizacsere-ügylet (swap).</w:t>
      </w:r>
    </w:p>
    <w:p w14:paraId="017CF783" w14:textId="03434375" w:rsidR="000F2B24" w:rsidRPr="00A61F3D" w:rsidRDefault="00AC13E5" w:rsidP="007276FB">
      <w:pPr>
        <w:numPr>
          <w:ilvl w:val="3"/>
          <w:numId w:val="7"/>
        </w:numPr>
        <w:tabs>
          <w:tab w:val="left" w:pos="1276"/>
        </w:tabs>
        <w:ind w:left="1276" w:hanging="850"/>
        <w:rPr>
          <w:rFonts w:ascii="Arial" w:hAnsi="Arial" w:cs="Arial"/>
          <w:b/>
          <w:sz w:val="20"/>
        </w:rPr>
      </w:pPr>
      <w:r w:rsidRPr="00A61F3D">
        <w:rPr>
          <w:rStyle w:val="Kiemels2"/>
          <w:rFonts w:ascii="Arial" w:hAnsi="Arial" w:cs="Arial"/>
          <w:sz w:val="20"/>
        </w:rPr>
        <w:t xml:space="preserve">Kamatozó devizacsere ügylet (Cross currency interest </w:t>
      </w:r>
      <w:proofErr w:type="spellStart"/>
      <w:r w:rsidRPr="00A61F3D">
        <w:rPr>
          <w:rStyle w:val="Kiemels2"/>
          <w:rFonts w:ascii="Arial" w:hAnsi="Arial" w:cs="Arial"/>
          <w:sz w:val="20"/>
        </w:rPr>
        <w:t>rate</w:t>
      </w:r>
      <w:proofErr w:type="spellEnd"/>
      <w:r w:rsidRPr="00A61F3D">
        <w:rPr>
          <w:rStyle w:val="Kiemels2"/>
          <w:rFonts w:ascii="Arial" w:hAnsi="Arial" w:cs="Arial"/>
          <w:sz w:val="20"/>
        </w:rPr>
        <w:t xml:space="preserve"> </w:t>
      </w:r>
      <w:proofErr w:type="spellStart"/>
      <w:r w:rsidRPr="00A61F3D">
        <w:rPr>
          <w:rStyle w:val="Kiemels2"/>
          <w:rFonts w:ascii="Arial" w:hAnsi="Arial" w:cs="Arial"/>
          <w:sz w:val="20"/>
        </w:rPr>
        <w:t>swap</w:t>
      </w:r>
      <w:proofErr w:type="spellEnd"/>
      <w:r w:rsidRPr="00A61F3D">
        <w:rPr>
          <w:rStyle w:val="Kiemels2"/>
          <w:rFonts w:ascii="Arial" w:hAnsi="Arial" w:cs="Arial"/>
          <w:sz w:val="20"/>
        </w:rPr>
        <w:t xml:space="preserve"> </w:t>
      </w:r>
      <w:r w:rsidR="00575E56">
        <w:rPr>
          <w:rStyle w:val="Kiemels2"/>
          <w:rFonts w:ascii="Arial" w:hAnsi="Arial" w:cs="Arial"/>
          <w:sz w:val="20"/>
        </w:rPr>
        <w:t>–</w:t>
      </w:r>
      <w:r w:rsidRPr="00A61F3D">
        <w:rPr>
          <w:rStyle w:val="Kiemels2"/>
          <w:rFonts w:ascii="Arial" w:hAnsi="Arial" w:cs="Arial"/>
          <w:sz w:val="20"/>
        </w:rPr>
        <w:t xml:space="preserve"> </w:t>
      </w:r>
      <w:proofErr w:type="spellStart"/>
      <w:r w:rsidRPr="00A61F3D">
        <w:rPr>
          <w:rStyle w:val="Kiemels2"/>
          <w:rFonts w:ascii="Arial" w:hAnsi="Arial" w:cs="Arial"/>
          <w:sz w:val="20"/>
        </w:rPr>
        <w:t>CCIRS</w:t>
      </w:r>
      <w:proofErr w:type="spellEnd"/>
      <w:r w:rsidRPr="00A61F3D">
        <w:rPr>
          <w:rStyle w:val="Kiemels2"/>
          <w:rFonts w:ascii="Arial" w:hAnsi="Arial" w:cs="Arial"/>
          <w:sz w:val="20"/>
        </w:rPr>
        <w:t xml:space="preserve">): </w:t>
      </w:r>
      <w:r w:rsidR="001474C6" w:rsidRPr="00A61F3D">
        <w:rPr>
          <w:rFonts w:ascii="Arial" w:hAnsi="Arial" w:cs="Arial"/>
          <w:sz w:val="20"/>
        </w:rPr>
        <w:t>a</w:t>
      </w:r>
      <w:r w:rsidRPr="00A61F3D">
        <w:rPr>
          <w:rFonts w:ascii="Arial" w:hAnsi="Arial" w:cs="Arial"/>
          <w:sz w:val="20"/>
        </w:rPr>
        <w:t>z ügyletet kötő felek kamatfizetések és tőkeösszegek cseréjéről állapodnak meg, meghatározott tőkeösszegekre és meghatározott periódusra vonatkozóan. A csere eltérő devizájú tőke és kamatösszegre vonatkozik. A kicserélt kamatok lehetnek fixek (fix to fix), változók (floating to floating - basis swap), illetve a megállapodás vonatkozhat fix kamatok változóra (fix to floating) illetve változó kamatok fixre történő cseréjére (floating to fix) is. Ebbe a körbe nemcsak deviza-deviza csere ügyletek, hanem forint-deviza, deviza-forint ügyletek is beletartoznak.</w:t>
      </w:r>
      <w:r w:rsidRPr="00A61F3D">
        <w:rPr>
          <w:rStyle w:val="Kiemels2"/>
          <w:rFonts w:ascii="Arial" w:hAnsi="Arial" w:cs="Arial"/>
          <w:b w:val="0"/>
          <w:sz w:val="20"/>
        </w:rPr>
        <w:t xml:space="preserve"> Ezen ügyletek</w:t>
      </w:r>
      <w:r w:rsidRPr="00A61F3D">
        <w:rPr>
          <w:rFonts w:ascii="Arial" w:hAnsi="Arial" w:cs="Arial"/>
          <w:sz w:val="20"/>
        </w:rPr>
        <w:t xml:space="preserve"> egyik altípusa, a </w:t>
      </w:r>
      <w:r w:rsidRPr="00A61F3D">
        <w:rPr>
          <w:rStyle w:val="Kiemels2"/>
          <w:rFonts w:ascii="Arial" w:hAnsi="Arial" w:cs="Arial"/>
          <w:sz w:val="20"/>
        </w:rPr>
        <w:t>Bázis swap,</w:t>
      </w:r>
      <w:r w:rsidRPr="00A61F3D">
        <w:rPr>
          <w:rFonts w:ascii="Arial" w:hAnsi="Arial" w:cs="Arial"/>
          <w:sz w:val="20"/>
        </w:rPr>
        <w:t xml:space="preserve"> amelynél a kamatcsere két eltérő változó alapú kamat cseréjére vonatkozik. Szintén ebbe a körbe tartozik a </w:t>
      </w:r>
      <w:r w:rsidRPr="00A61F3D">
        <w:rPr>
          <w:rFonts w:ascii="Arial" w:hAnsi="Arial" w:cs="Arial"/>
          <w:b/>
          <w:sz w:val="20"/>
        </w:rPr>
        <w:t>Mark-to-market swap</w:t>
      </w:r>
      <w:r w:rsidRPr="00A61F3D">
        <w:rPr>
          <w:rFonts w:ascii="Arial" w:hAnsi="Arial" w:cs="Arial"/>
          <w:sz w:val="20"/>
        </w:rPr>
        <w:t>, amely esetében az ügylet résztvevői elsősorban a deviza árfolyamváltozások hatására változó partner (hitel) kockázatuk csökkentése érdekében meghatározott feltételek mellett megváltoztatják valamely elcserélt tőkeösszeget, és a különbözetet egymással elszámolják, miközben az ügylet feltételei nem változnak.</w:t>
      </w:r>
    </w:p>
    <w:p w14:paraId="323019E2" w14:textId="77777777" w:rsidR="005F6D45" w:rsidRPr="00A61F3D" w:rsidRDefault="00AC13E5" w:rsidP="007276FB">
      <w:pPr>
        <w:numPr>
          <w:ilvl w:val="3"/>
          <w:numId w:val="7"/>
        </w:numPr>
        <w:tabs>
          <w:tab w:val="left" w:pos="1276"/>
        </w:tabs>
        <w:ind w:left="1276" w:hanging="850"/>
        <w:rPr>
          <w:rFonts w:ascii="Arial" w:hAnsi="Arial" w:cs="Arial"/>
          <w:b/>
          <w:sz w:val="20"/>
        </w:rPr>
      </w:pPr>
      <w:r w:rsidRPr="00A61F3D">
        <w:rPr>
          <w:rFonts w:ascii="Arial" w:hAnsi="Arial" w:cs="Arial"/>
          <w:b/>
          <w:sz w:val="20"/>
        </w:rPr>
        <w:t xml:space="preserve">Deviza kamatcsere ügylet (Only interest strip cross currency interest rate swap): </w:t>
      </w:r>
      <w:r w:rsidRPr="00A61F3D">
        <w:rPr>
          <w:rFonts w:ascii="Arial" w:hAnsi="Arial" w:cs="Arial"/>
          <w:sz w:val="20"/>
        </w:rPr>
        <w:t>olyan, különböző devizában meghatározott nominális értékek kamatcseréjére vonatkozó megállapodás, ahol a nominális tőkék cseréjére nem kerül sor.</w:t>
      </w:r>
    </w:p>
    <w:p w14:paraId="7A5DBCE7" w14:textId="77777777" w:rsidR="00343B09" w:rsidRPr="00A61F3D" w:rsidRDefault="00343B09" w:rsidP="00A033BB">
      <w:pPr>
        <w:tabs>
          <w:tab w:val="left" w:pos="1276"/>
        </w:tabs>
        <w:ind w:left="1276" w:hanging="850"/>
        <w:rPr>
          <w:rFonts w:ascii="Arial" w:hAnsi="Arial" w:cs="Arial"/>
          <w:bCs/>
          <w:sz w:val="20"/>
        </w:rPr>
      </w:pPr>
      <w:r w:rsidRPr="00A61F3D">
        <w:rPr>
          <w:rFonts w:ascii="Arial" w:hAnsi="Arial" w:cs="Arial"/>
          <w:bCs/>
          <w:sz w:val="20"/>
        </w:rPr>
        <w:t>1.14.</w:t>
      </w:r>
      <w:r w:rsidRPr="00A61F3D">
        <w:rPr>
          <w:rFonts w:ascii="Arial" w:hAnsi="Arial" w:cs="Arial"/>
          <w:bCs/>
          <w:sz w:val="20"/>
        </w:rPr>
        <w:tab/>
      </w:r>
      <w:r w:rsidRPr="00A61F3D">
        <w:rPr>
          <w:rFonts w:ascii="Arial" w:hAnsi="Arial" w:cs="Arial"/>
          <w:b/>
          <w:bCs/>
          <w:sz w:val="20"/>
        </w:rPr>
        <w:t>Terminálás:</w:t>
      </w:r>
      <w:r w:rsidRPr="00A61F3D">
        <w:rPr>
          <w:rFonts w:ascii="Arial" w:hAnsi="Arial" w:cs="Arial"/>
          <w:bCs/>
          <w:sz w:val="20"/>
        </w:rPr>
        <w:t xml:space="preserve"> </w:t>
      </w:r>
      <w:r w:rsidRPr="00A61F3D">
        <w:rPr>
          <w:rFonts w:ascii="Arial" w:hAnsi="Arial" w:cs="Arial"/>
          <w:sz w:val="20"/>
        </w:rPr>
        <w:t>a két fél együttes döntése alapján egy kamatcsere ügylet lejárat előtt  történő lezárása a futamidő lerövidítésével.</w:t>
      </w:r>
    </w:p>
    <w:p w14:paraId="7924F266" w14:textId="77777777" w:rsidR="006C3729" w:rsidRPr="00A61F3D" w:rsidRDefault="00AC13E5" w:rsidP="00A033BB">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5</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Törlés/módosítás: </w:t>
      </w:r>
      <w:r w:rsidRPr="00A61F3D">
        <w:rPr>
          <w:rFonts w:ascii="Arial" w:hAnsi="Arial" w:cs="Arial"/>
          <w:sz w:val="20"/>
        </w:rPr>
        <w:t>amennyiben a tranzakció egy korábbi ügylet törlése vagy módosítása</w:t>
      </w:r>
      <w:r w:rsidR="00EA6F32" w:rsidRPr="00A61F3D">
        <w:rPr>
          <w:rFonts w:ascii="Arial" w:hAnsi="Arial" w:cs="Arial"/>
          <w:sz w:val="20"/>
        </w:rPr>
        <w:t>.</w:t>
      </w:r>
    </w:p>
    <w:p w14:paraId="19741AAF" w14:textId="77777777" w:rsidR="006C3729" w:rsidRPr="00A61F3D" w:rsidRDefault="00AC13E5" w:rsidP="00A033BB">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6</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Vételi deviza: </w:t>
      </w:r>
      <w:r w:rsidRPr="00A61F3D">
        <w:rPr>
          <w:rFonts w:ascii="Arial" w:hAnsi="Arial" w:cs="Arial"/>
          <w:sz w:val="20"/>
        </w:rPr>
        <w:t>a vásárolt deviza ISO kódja, swap ügylet esetén az induló láb vételi oldalának devizaneme.</w:t>
      </w:r>
    </w:p>
    <w:p w14:paraId="16306725" w14:textId="77777777" w:rsidR="006C3729" w:rsidRPr="00A61F3D" w:rsidRDefault="00AC13E5" w:rsidP="00EA6F32">
      <w:pPr>
        <w:tabs>
          <w:tab w:val="left" w:pos="1276"/>
        </w:tabs>
        <w:ind w:left="1276" w:hanging="850"/>
        <w:rPr>
          <w:rFonts w:ascii="Arial" w:hAnsi="Arial" w:cs="Arial"/>
          <w:sz w:val="20"/>
        </w:rPr>
      </w:pPr>
      <w:r w:rsidRPr="00A61F3D">
        <w:rPr>
          <w:rFonts w:ascii="Arial" w:hAnsi="Arial" w:cs="Arial"/>
          <w:bCs/>
          <w:sz w:val="20"/>
        </w:rPr>
        <w:t>1.1</w:t>
      </w:r>
      <w:r w:rsidR="00343B09" w:rsidRPr="00A61F3D">
        <w:rPr>
          <w:rFonts w:ascii="Arial" w:hAnsi="Arial" w:cs="Arial"/>
          <w:bCs/>
          <w:sz w:val="20"/>
        </w:rPr>
        <w:t>7</w:t>
      </w:r>
      <w:r w:rsidRPr="00A61F3D">
        <w:rPr>
          <w:rFonts w:ascii="Arial" w:hAnsi="Arial" w:cs="Arial"/>
          <w:bCs/>
          <w:sz w:val="20"/>
        </w:rPr>
        <w:t>.</w:t>
      </w:r>
      <w:r w:rsidR="00017CAE" w:rsidRPr="00A61F3D">
        <w:rPr>
          <w:rFonts w:ascii="Arial" w:hAnsi="Arial" w:cs="Arial"/>
          <w:bCs/>
          <w:sz w:val="20"/>
        </w:rPr>
        <w:tab/>
      </w:r>
      <w:r w:rsidRPr="00A61F3D">
        <w:rPr>
          <w:rFonts w:ascii="Arial" w:hAnsi="Arial" w:cs="Arial"/>
          <w:b/>
          <w:sz w:val="20"/>
        </w:rPr>
        <w:t xml:space="preserve">Vételi összeg: </w:t>
      </w:r>
      <w:r w:rsidRPr="00A61F3D">
        <w:rPr>
          <w:rFonts w:ascii="Arial" w:hAnsi="Arial" w:cs="Arial"/>
          <w:sz w:val="20"/>
        </w:rPr>
        <w:t>a vásárolt deviza összege, swap ügylet esetén az induló láb megvásárolt összege.</w:t>
      </w:r>
    </w:p>
    <w:p w14:paraId="29637346" w14:textId="467F89FD" w:rsidR="006805CF" w:rsidRPr="00A61F3D" w:rsidRDefault="0025328B" w:rsidP="00D3125B">
      <w:pPr>
        <w:spacing w:before="120"/>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w:t>
      </w:r>
      <w:r w:rsidR="00AC13E5" w:rsidRPr="00A61F3D">
        <w:rPr>
          <w:rFonts w:ascii="Arial" w:hAnsi="Arial" w:cs="Arial"/>
          <w:b/>
          <w:sz w:val="20"/>
        </w:rPr>
        <w:t>2. Az értékpapír statisztikai (E jelű) adatszolgáltatások tábláiban és kitöltési előírásaiban használt fogalmak</w:t>
      </w:r>
    </w:p>
    <w:p w14:paraId="674A14C0"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2.1.</w:t>
      </w:r>
      <w:r w:rsidRPr="00A61F3D">
        <w:rPr>
          <w:rFonts w:ascii="Arial" w:hAnsi="Arial" w:cs="Arial"/>
          <w:sz w:val="20"/>
        </w:rPr>
        <w:tab/>
      </w:r>
      <w:r w:rsidRPr="00A61F3D">
        <w:rPr>
          <w:rFonts w:ascii="Arial" w:hAnsi="Arial" w:cs="Arial"/>
          <w:b/>
          <w:sz w:val="20"/>
        </w:rPr>
        <w:t>ISIN</w:t>
      </w:r>
      <w:r w:rsidR="0009298A" w:rsidRPr="00A61F3D">
        <w:rPr>
          <w:rFonts w:ascii="Arial" w:hAnsi="Arial" w:cs="Arial"/>
          <w:b/>
          <w:sz w:val="20"/>
        </w:rPr>
        <w:t xml:space="preserve"> </w:t>
      </w:r>
      <w:r w:rsidRPr="00A61F3D">
        <w:rPr>
          <w:rFonts w:ascii="Arial" w:hAnsi="Arial" w:cs="Arial"/>
          <w:b/>
          <w:sz w:val="20"/>
        </w:rPr>
        <w:t>kód</w:t>
      </w:r>
      <w:r w:rsidRPr="00A61F3D">
        <w:rPr>
          <w:rFonts w:ascii="Arial" w:hAnsi="Arial" w:cs="Arial"/>
          <w:sz w:val="20"/>
        </w:rPr>
        <w:t>: az ISO 6166-os szabványnak megfelelő 12 karakteres egyedi értékpapír-azonosító.</w:t>
      </w:r>
    </w:p>
    <w:p w14:paraId="200AFF2A"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2.2.</w:t>
      </w:r>
      <w:r w:rsidRPr="00A61F3D">
        <w:rPr>
          <w:rFonts w:ascii="Arial" w:hAnsi="Arial" w:cs="Arial"/>
          <w:sz w:val="20"/>
        </w:rPr>
        <w:tab/>
      </w:r>
      <w:r w:rsidRPr="00A61F3D">
        <w:rPr>
          <w:rFonts w:ascii="Arial" w:hAnsi="Arial" w:cs="Arial"/>
          <w:b/>
          <w:sz w:val="20"/>
        </w:rPr>
        <w:t>Tárgynap</w:t>
      </w:r>
      <w:r w:rsidRPr="00A61F3D">
        <w:rPr>
          <w:rFonts w:ascii="Arial" w:hAnsi="Arial" w:cs="Arial"/>
          <w:sz w:val="20"/>
        </w:rPr>
        <w:t>: az üzlet elszámolási műveletének lebonyolítási napja</w:t>
      </w:r>
      <w:r w:rsidR="002A1FA0" w:rsidRPr="00A61F3D">
        <w:rPr>
          <w:rFonts w:ascii="Arial" w:hAnsi="Arial" w:cs="Arial"/>
          <w:sz w:val="20"/>
        </w:rPr>
        <w:t xml:space="preserve"> (settlement date)</w:t>
      </w:r>
      <w:r w:rsidRPr="00A61F3D">
        <w:rPr>
          <w:rFonts w:ascii="Arial" w:hAnsi="Arial" w:cs="Arial"/>
          <w:sz w:val="20"/>
        </w:rPr>
        <w:t>.</w:t>
      </w:r>
    </w:p>
    <w:p w14:paraId="60EBB9EF" w14:textId="77777777" w:rsidR="00AC13E5" w:rsidRPr="00A61F3D" w:rsidRDefault="00AC13E5" w:rsidP="00AC13E5">
      <w:pPr>
        <w:tabs>
          <w:tab w:val="left" w:pos="993"/>
          <w:tab w:val="left" w:pos="1134"/>
        </w:tabs>
        <w:ind w:left="993" w:hanging="567"/>
        <w:rPr>
          <w:rFonts w:ascii="Arial" w:hAnsi="Arial" w:cs="Arial"/>
          <w:sz w:val="20"/>
        </w:rPr>
      </w:pPr>
      <w:r w:rsidRPr="00A61F3D">
        <w:rPr>
          <w:rFonts w:ascii="Arial" w:hAnsi="Arial" w:cs="Arial"/>
          <w:sz w:val="20"/>
        </w:rPr>
        <w:tab/>
        <w:t xml:space="preserve">– </w:t>
      </w:r>
      <w:r w:rsidR="00EA6F32" w:rsidRPr="00A61F3D">
        <w:rPr>
          <w:rFonts w:ascii="Arial" w:hAnsi="Arial" w:cs="Arial"/>
          <w:sz w:val="20"/>
        </w:rPr>
        <w:t xml:space="preserve">A </w:t>
      </w:r>
      <w:r w:rsidRPr="00A61F3D">
        <w:rPr>
          <w:rFonts w:ascii="Arial" w:hAnsi="Arial" w:cs="Arial"/>
          <w:sz w:val="20"/>
        </w:rPr>
        <w:t>KELER Zrt.-nél nyilvántartott értékpapírok esetében a KELER Zrt. szabályzata szerinti „Elszámoló nap”,</w:t>
      </w:r>
    </w:p>
    <w:p w14:paraId="4E48F132" w14:textId="77777777" w:rsidR="00AC13E5" w:rsidRPr="00A61F3D" w:rsidRDefault="00AC13E5" w:rsidP="009F722C">
      <w:pPr>
        <w:pStyle w:val="Szvegtrzs2"/>
        <w:tabs>
          <w:tab w:val="left" w:pos="993"/>
          <w:tab w:val="left" w:pos="1134"/>
          <w:tab w:val="left" w:pos="9923"/>
        </w:tabs>
        <w:ind w:left="993"/>
        <w:rPr>
          <w:rFonts w:ascii="Arial" w:hAnsi="Arial" w:cs="Arial"/>
          <w:sz w:val="20"/>
        </w:rPr>
      </w:pPr>
      <w:r w:rsidRPr="00A61F3D">
        <w:rPr>
          <w:rFonts w:ascii="Arial" w:hAnsi="Arial" w:cs="Arial"/>
          <w:sz w:val="20"/>
        </w:rPr>
        <w:t xml:space="preserve">– </w:t>
      </w:r>
      <w:r w:rsidR="00E85635" w:rsidRPr="00A61F3D">
        <w:rPr>
          <w:rFonts w:ascii="Arial" w:hAnsi="Arial" w:cs="Arial"/>
          <w:sz w:val="20"/>
        </w:rPr>
        <w:t>a</w:t>
      </w:r>
      <w:r w:rsidR="00EA6F32" w:rsidRPr="00A61F3D">
        <w:rPr>
          <w:rFonts w:ascii="Arial" w:hAnsi="Arial" w:cs="Arial"/>
          <w:sz w:val="20"/>
        </w:rPr>
        <w:t xml:space="preserve"> </w:t>
      </w:r>
      <w:r w:rsidRPr="00A61F3D">
        <w:rPr>
          <w:rFonts w:ascii="Arial" w:hAnsi="Arial" w:cs="Arial"/>
          <w:sz w:val="20"/>
        </w:rPr>
        <w:t>KELER Zrt.-nél nem nyilvántartott értékpapírok esetében a számviteli elszámolás időpontja.</w:t>
      </w:r>
    </w:p>
    <w:p w14:paraId="5F59F02A"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Jelentő letétkezelő:</w:t>
      </w:r>
      <w:r w:rsidRPr="00A61F3D">
        <w:rPr>
          <w:rFonts w:ascii="Arial" w:hAnsi="Arial" w:cs="Arial"/>
          <w:sz w:val="20"/>
        </w:rPr>
        <w:t xml:space="preserve"> a jelentő letétkezelők körébe tartozik valamennyi rezidens befektetési vállalkozás, bank, szako</w:t>
      </w:r>
      <w:r w:rsidR="008A6F1C" w:rsidRPr="00A61F3D">
        <w:rPr>
          <w:rFonts w:ascii="Arial" w:hAnsi="Arial" w:cs="Arial"/>
          <w:sz w:val="20"/>
        </w:rPr>
        <w:t>s</w:t>
      </w:r>
      <w:r w:rsidRPr="00A61F3D">
        <w:rPr>
          <w:rFonts w:ascii="Arial" w:hAnsi="Arial" w:cs="Arial"/>
          <w:noProof/>
          <w:sz w:val="20"/>
        </w:rPr>
        <w:t>ított hitelintézet, valamint a M</w:t>
      </w:r>
      <w:r w:rsidR="001474C6" w:rsidRPr="00A61F3D">
        <w:rPr>
          <w:rFonts w:ascii="Arial" w:hAnsi="Arial" w:cs="Arial"/>
          <w:noProof/>
          <w:sz w:val="20"/>
        </w:rPr>
        <w:t>ÁK</w:t>
      </w:r>
      <w:r w:rsidRPr="00A61F3D">
        <w:rPr>
          <w:rFonts w:ascii="Arial" w:hAnsi="Arial" w:cs="Arial"/>
          <w:noProof/>
          <w:sz w:val="20"/>
        </w:rPr>
        <w:t xml:space="preserve">. A jelentő letétkezelők körének listáját a 3. melléklet </w:t>
      </w:r>
      <w:r w:rsidR="007A66BB" w:rsidRPr="00A61F3D">
        <w:rPr>
          <w:rFonts w:ascii="Arial" w:hAnsi="Arial" w:cs="Arial"/>
          <w:noProof/>
          <w:sz w:val="20"/>
        </w:rPr>
        <w:t>8</w:t>
      </w:r>
      <w:r w:rsidRPr="00A61F3D">
        <w:rPr>
          <w:rFonts w:ascii="Arial" w:hAnsi="Arial" w:cs="Arial"/>
          <w:noProof/>
          <w:sz w:val="20"/>
        </w:rPr>
        <w:t>. pontja szerinti, az MNB honlapján közzétett technikai segédlet tartalmazza.</w:t>
      </w:r>
    </w:p>
    <w:p w14:paraId="185F75C5"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Letétkezelt értékpapír</w:t>
      </w:r>
      <w:r w:rsidRPr="00A61F3D">
        <w:rPr>
          <w:rFonts w:ascii="Arial" w:hAnsi="Arial" w:cs="Arial"/>
          <w:sz w:val="20"/>
        </w:rPr>
        <w:t>: az adatszolgáltatónál értékpapír-számlán, valamint értékpapír-letétkezelés, letéti őrzés vagy felelős őrzés keretében elhelyezett értékpapírok, abban az esetben is, ha az adatszolgáltató az értékpapírt máshol helyezte letétbe, letéti őrzésbe vagy értékpapír számlára.</w:t>
      </w:r>
    </w:p>
    <w:p w14:paraId="2135B95F"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lastRenderedPageBreak/>
        <w:t>Kibocsátó törzsszáma</w:t>
      </w:r>
      <w:r w:rsidRPr="00A61F3D">
        <w:rPr>
          <w:rFonts w:ascii="Arial" w:hAnsi="Arial" w:cs="Arial"/>
          <w:sz w:val="20"/>
        </w:rPr>
        <w:t>: az adott kibocsátó szervezet</w:t>
      </w:r>
      <w:r w:rsidRPr="00A61F3D">
        <w:rPr>
          <w:rFonts w:ascii="Arial" w:hAnsi="Arial" w:cs="Arial"/>
          <w:b/>
          <w:sz w:val="20"/>
        </w:rPr>
        <w:t xml:space="preserve"> </w:t>
      </w:r>
      <w:r w:rsidRPr="00A61F3D">
        <w:rPr>
          <w:rFonts w:ascii="Arial" w:hAnsi="Arial" w:cs="Arial"/>
          <w:sz w:val="20"/>
        </w:rPr>
        <w:t>KSH</w:t>
      </w:r>
      <w:r w:rsidR="00EA6F32" w:rsidRPr="00A61F3D">
        <w:rPr>
          <w:rFonts w:ascii="Arial" w:hAnsi="Arial" w:cs="Arial"/>
          <w:b/>
          <w:sz w:val="20"/>
        </w:rPr>
        <w:t>-</w:t>
      </w:r>
      <w:r w:rsidRPr="00A61F3D">
        <w:rPr>
          <w:rFonts w:ascii="Arial" w:hAnsi="Arial" w:cs="Arial"/>
          <w:sz w:val="20"/>
        </w:rPr>
        <w:t>törzsszáma, amely az adószám első 8 számjegye.</w:t>
      </w:r>
    </w:p>
    <w:p w14:paraId="25152AD5" w14:textId="150D463B"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noProof/>
          <w:sz w:val="20"/>
        </w:rPr>
        <w:t>Értékpapír-sorozat</w:t>
      </w:r>
      <w:r w:rsidRPr="00A61F3D">
        <w:rPr>
          <w:rFonts w:ascii="Arial" w:hAnsi="Arial" w:cs="Arial"/>
          <w:b/>
          <w:sz w:val="20"/>
        </w:rPr>
        <w:t>:</w:t>
      </w:r>
      <w:r w:rsidRPr="00A61F3D">
        <w:rPr>
          <w:rFonts w:ascii="Arial" w:hAnsi="Arial" w:cs="Arial"/>
          <w:sz w:val="20"/>
        </w:rPr>
        <w:t xml:space="preserve"> </w:t>
      </w:r>
      <w:r w:rsidR="00366BDA" w:rsidRPr="00A61F3D">
        <w:rPr>
          <w:rFonts w:ascii="Arial" w:hAnsi="Arial" w:cs="Arial"/>
          <w:noProof/>
          <w:sz w:val="20"/>
        </w:rPr>
        <w:t xml:space="preserve">a </w:t>
      </w:r>
      <w:r w:rsidR="00B53912">
        <w:rPr>
          <w:rFonts w:ascii="Arial" w:hAnsi="Arial" w:cs="Arial"/>
          <w:noProof/>
          <w:sz w:val="20"/>
        </w:rPr>
        <w:t xml:space="preserve">tőkepiacról szóló 2001. évi CXX. törvény (a továbbiakban: </w:t>
      </w:r>
      <w:r w:rsidR="00366BDA" w:rsidRPr="00A61F3D">
        <w:rPr>
          <w:rFonts w:ascii="Arial" w:hAnsi="Arial" w:cs="Arial"/>
          <w:noProof/>
          <w:sz w:val="20"/>
        </w:rPr>
        <w:t>Tpt.</w:t>
      </w:r>
      <w:r w:rsidR="00B53912">
        <w:rPr>
          <w:rFonts w:ascii="Arial" w:hAnsi="Arial" w:cs="Arial"/>
          <w:noProof/>
          <w:sz w:val="20"/>
        </w:rPr>
        <w:t>)</w:t>
      </w:r>
      <w:r w:rsidR="00366BDA" w:rsidRPr="00A61F3D">
        <w:rPr>
          <w:rFonts w:ascii="Arial" w:hAnsi="Arial" w:cs="Arial"/>
          <w:noProof/>
          <w:sz w:val="20"/>
        </w:rPr>
        <w:t xml:space="preserve"> 5. § (1) bekezdés 45. pontja szerinti fogalom</w:t>
      </w:r>
      <w:r w:rsidR="00084799" w:rsidRPr="00A61F3D">
        <w:rPr>
          <w:rFonts w:ascii="Arial" w:hAnsi="Arial" w:cs="Arial"/>
          <w:noProof/>
          <w:sz w:val="20"/>
        </w:rPr>
        <w:t>.</w:t>
      </w:r>
    </w:p>
    <w:p w14:paraId="3819057F" w14:textId="77777777" w:rsidR="006805CF"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Pénzügyi teljesítés időpontja</w:t>
      </w:r>
      <w:r w:rsidRPr="00A61F3D">
        <w:rPr>
          <w:rFonts w:ascii="Arial" w:hAnsi="Arial" w:cs="Arial"/>
          <w:sz w:val="20"/>
        </w:rPr>
        <w:t>: a kibocsátott állományok elszámolási értéknapja.</w:t>
      </w:r>
    </w:p>
    <w:p w14:paraId="32F4A3FE"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Állomány névértéken</w:t>
      </w:r>
      <w:r w:rsidRPr="00A61F3D">
        <w:rPr>
          <w:rFonts w:ascii="Arial" w:hAnsi="Arial" w:cs="Arial"/>
          <w:sz w:val="20"/>
        </w:rPr>
        <w:t>: a tárgyidőszak végén forgalomban lévő állomány névértéken.</w:t>
      </w:r>
    </w:p>
    <w:p w14:paraId="6E440C5B"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Névérték és kibocsátási érték különbsége</w:t>
      </w:r>
      <w:r w:rsidRPr="00A61F3D">
        <w:rPr>
          <w:rFonts w:ascii="Arial" w:hAnsi="Arial" w:cs="Arial"/>
          <w:sz w:val="20"/>
        </w:rPr>
        <w:t>: a tárgyidőszak végén forgalomban lévő állampapírok névértéke csökkentve azok kibocsátási értékével, figyelembe véve valamennyi kibocsátás (aukció, jegyzés, hálózati értékesítés) tényleges eladási árát.</w:t>
      </w:r>
    </w:p>
    <w:p w14:paraId="439AEB08" w14:textId="77777777" w:rsidR="00155E7D" w:rsidRPr="00A61F3D" w:rsidRDefault="00AC13E5" w:rsidP="007276FB">
      <w:pPr>
        <w:numPr>
          <w:ilvl w:val="1"/>
          <w:numId w:val="9"/>
        </w:numPr>
        <w:tabs>
          <w:tab w:val="left" w:pos="993"/>
        </w:tabs>
        <w:ind w:left="993" w:hanging="567"/>
        <w:rPr>
          <w:rFonts w:ascii="Arial" w:hAnsi="Arial" w:cs="Arial"/>
          <w:sz w:val="20"/>
        </w:rPr>
      </w:pPr>
      <w:r w:rsidRPr="00A61F3D">
        <w:rPr>
          <w:rFonts w:ascii="Arial" w:hAnsi="Arial" w:cs="Arial"/>
          <w:b/>
          <w:sz w:val="20"/>
        </w:rPr>
        <w:t>Felhalmozott kamat állománya</w:t>
      </w:r>
      <w:r w:rsidRPr="00A61F3D">
        <w:rPr>
          <w:rFonts w:ascii="Arial" w:hAnsi="Arial" w:cs="Arial"/>
          <w:sz w:val="20"/>
        </w:rPr>
        <w:t>: a tárgyidőszak végén forgalomban lévő állományon a névértéktől eltérő kibocsátási ár, illetve a névleges kamatozás miatt felhalmozódott kamat összege. Visszavásárolt állományra vonatkozóan a felhalmozott kamat nem értelmezett.</w:t>
      </w:r>
    </w:p>
    <w:p w14:paraId="29376202"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Elszámolt nettó pénzforgalmi kamatkiadás, kamatbevétel</w:t>
      </w:r>
      <w:r w:rsidRPr="00A61F3D">
        <w:rPr>
          <w:rFonts w:ascii="Arial" w:hAnsi="Arial" w:cs="Arial"/>
          <w:sz w:val="20"/>
        </w:rPr>
        <w:t>: a tárgyidőszak során elszámolt kamatkiadás és bevétel egyenlege, figyelembe véve a kibocsátás, visszaváltás, kamatfizetés kapcsán könyvelt költségvetési pénzforgalmat, függetlenül attól, hogy az a névleges kamat halmozódásából, vagy árfolyamváltozásból adódott-e. Tartozások esetében nettó kamatkiadás, követelések esetében nettó kamatbevétel szerepeltetendő.</w:t>
      </w:r>
    </w:p>
    <w:p w14:paraId="4CB7A0DF" w14:textId="77777777" w:rsidR="00155E7D"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Eredményszemléletű kamatkiadás, kamatbevétel</w:t>
      </w:r>
      <w:r w:rsidRPr="00A61F3D">
        <w:rPr>
          <w:rFonts w:ascii="Arial" w:hAnsi="Arial" w:cs="Arial"/>
          <w:sz w:val="20"/>
        </w:rPr>
        <w:t>: a tárgyidőszak során az egyes követelésekre, állampapírokra és egyéb adósságelemekre járó vagy fizetendő kamat összege.</w:t>
      </w:r>
    </w:p>
    <w:p w14:paraId="3BA3630E" w14:textId="77777777" w:rsidR="006805CF" w:rsidRPr="00A61F3D" w:rsidRDefault="00AC13E5" w:rsidP="007276FB">
      <w:pPr>
        <w:numPr>
          <w:ilvl w:val="1"/>
          <w:numId w:val="9"/>
        </w:numPr>
        <w:tabs>
          <w:tab w:val="left" w:pos="993"/>
        </w:tabs>
        <w:ind w:left="993" w:hanging="567"/>
        <w:rPr>
          <w:rFonts w:ascii="Arial" w:hAnsi="Arial" w:cs="Arial"/>
          <w:b/>
          <w:sz w:val="20"/>
        </w:rPr>
      </w:pPr>
      <w:r w:rsidRPr="00A61F3D">
        <w:rPr>
          <w:rFonts w:ascii="Arial" w:hAnsi="Arial" w:cs="Arial"/>
          <w:b/>
          <w:sz w:val="20"/>
        </w:rPr>
        <w:t>ISMA konvenció:</w:t>
      </w:r>
      <w:r w:rsidRPr="00A61F3D">
        <w:rPr>
          <w:rFonts w:ascii="Arial" w:hAnsi="Arial" w:cs="Arial"/>
          <w:sz w:val="20"/>
        </w:rPr>
        <w:t xml:space="preserve"> a nemzetközi értékpapír-piaci szövetség (ISMA) ajánlása alapján számított belső megtérülési ráta. </w:t>
      </w:r>
    </w:p>
    <w:p w14:paraId="061BD3FA" w14:textId="77777777" w:rsidR="006805CF"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t>Tulajdonviszonyt megtestesítő értékpapír:</w:t>
      </w:r>
      <w:r w:rsidRPr="00A61F3D">
        <w:rPr>
          <w:rFonts w:ascii="Arial" w:hAnsi="Arial" w:cs="Arial"/>
          <w:sz w:val="20"/>
        </w:rPr>
        <w:t xml:space="preserve"> a nemzetközi terminológia szerint „equity” típusú értékpapíroknak minősülnek a részvények, a befektetési alapok által kibocsátott befektetési jegyek, a certifikátok, valamint a warrantok.</w:t>
      </w:r>
      <w:r w:rsidRPr="00A61F3D">
        <w:rPr>
          <w:rFonts w:ascii="Arial" w:hAnsi="Arial" w:cs="Arial"/>
          <w:b/>
          <w:sz w:val="20"/>
        </w:rPr>
        <w:t xml:space="preserve"> </w:t>
      </w:r>
    </w:p>
    <w:p w14:paraId="749FC0A9" w14:textId="77777777" w:rsidR="006805CF"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t xml:space="preserve">Hitelviszonyt megtestesítő értékpapír: </w:t>
      </w:r>
      <w:r w:rsidRPr="00A61F3D">
        <w:rPr>
          <w:rFonts w:ascii="Arial" w:hAnsi="Arial" w:cs="Arial"/>
          <w:sz w:val="20"/>
        </w:rPr>
        <w:t>a</w:t>
      </w:r>
      <w:r w:rsidRPr="00A61F3D">
        <w:rPr>
          <w:rFonts w:ascii="Arial" w:hAnsi="Arial" w:cs="Arial"/>
          <w:b/>
          <w:sz w:val="20"/>
        </w:rPr>
        <w:t xml:space="preserve"> </w:t>
      </w:r>
      <w:r w:rsidRPr="00A61F3D">
        <w:rPr>
          <w:rFonts w:ascii="Arial" w:hAnsi="Arial" w:cs="Arial"/>
          <w:sz w:val="20"/>
        </w:rPr>
        <w:t>Tpt.</w:t>
      </w:r>
      <w:r w:rsidR="00252A00" w:rsidRPr="00A61F3D">
        <w:rPr>
          <w:rFonts w:ascii="Arial" w:hAnsi="Arial" w:cs="Arial"/>
          <w:sz w:val="20"/>
        </w:rPr>
        <w:t xml:space="preserve"> 5. § (1) bekezdés 57. pontja</w:t>
      </w:r>
      <w:r w:rsidR="004B0DBB" w:rsidRPr="00A61F3D">
        <w:rPr>
          <w:rFonts w:ascii="Arial" w:hAnsi="Arial" w:cs="Arial"/>
          <w:sz w:val="20"/>
        </w:rPr>
        <w:t xml:space="preserve"> szerinti</w:t>
      </w:r>
      <w:r w:rsidRPr="00A61F3D">
        <w:rPr>
          <w:rFonts w:ascii="Arial" w:hAnsi="Arial" w:cs="Arial"/>
          <w:sz w:val="20"/>
        </w:rPr>
        <w:t xml:space="preserve"> </w:t>
      </w:r>
      <w:r w:rsidR="00252A00" w:rsidRPr="00A61F3D">
        <w:rPr>
          <w:rFonts w:ascii="Arial" w:hAnsi="Arial" w:cs="Arial"/>
          <w:sz w:val="20"/>
        </w:rPr>
        <w:t>értékpapír</w:t>
      </w:r>
      <w:r w:rsidRPr="00A61F3D">
        <w:rPr>
          <w:rFonts w:ascii="Arial" w:hAnsi="Arial" w:cs="Arial"/>
          <w:b/>
          <w:sz w:val="20"/>
        </w:rPr>
        <w:t xml:space="preserve">. </w:t>
      </w:r>
      <w:r w:rsidRPr="00A61F3D">
        <w:rPr>
          <w:rFonts w:ascii="Arial" w:hAnsi="Arial" w:cs="Arial"/>
          <w:sz w:val="20"/>
        </w:rPr>
        <w:t>A nemzetközi terminológia szerint „debt” típusú értékpapíroknak minősülnek a kötvények, kincstárjegyek, takarékjegyek, jelzáloglevelek, és a letéti jegyek.</w:t>
      </w:r>
    </w:p>
    <w:p w14:paraId="2FAEFEFE" w14:textId="77777777" w:rsidR="00CD1B38" w:rsidRPr="00A61F3D" w:rsidRDefault="00AC13E5" w:rsidP="007276FB">
      <w:pPr>
        <w:numPr>
          <w:ilvl w:val="1"/>
          <w:numId w:val="9"/>
        </w:numPr>
        <w:tabs>
          <w:tab w:val="left" w:pos="993"/>
        </w:tabs>
        <w:autoSpaceDE w:val="0"/>
        <w:autoSpaceDN w:val="0"/>
        <w:adjustRightInd w:val="0"/>
        <w:ind w:left="993" w:hanging="567"/>
        <w:rPr>
          <w:rFonts w:ascii="Arial" w:hAnsi="Arial" w:cs="Arial"/>
          <w:b/>
          <w:sz w:val="20"/>
        </w:rPr>
      </w:pPr>
      <w:r w:rsidRPr="00A61F3D">
        <w:rPr>
          <w:rFonts w:ascii="Arial" w:hAnsi="Arial" w:cs="Arial"/>
          <w:b/>
          <w:sz w:val="20"/>
        </w:rPr>
        <w:t>Tőketörlesztés</w:t>
      </w:r>
      <w:r w:rsidRPr="00A61F3D">
        <w:rPr>
          <w:rFonts w:ascii="Arial" w:hAnsi="Arial" w:cs="Arial"/>
          <w:sz w:val="20"/>
        </w:rPr>
        <w:t xml:space="preserve">: a hitelviszonyt megtestesítő értékpapírok </w:t>
      </w:r>
      <w:r w:rsidR="00585DD8" w:rsidRPr="00A61F3D">
        <w:rPr>
          <w:rFonts w:ascii="Arial" w:hAnsi="Arial" w:cs="Arial"/>
          <w:sz w:val="20"/>
        </w:rPr>
        <w:t>tők</w:t>
      </w:r>
      <w:r w:rsidR="009164E1" w:rsidRPr="00A61F3D">
        <w:rPr>
          <w:rFonts w:ascii="Arial" w:hAnsi="Arial" w:cs="Arial"/>
          <w:sz w:val="20"/>
        </w:rPr>
        <w:t xml:space="preserve">éjének visszafizetése, amely történhet egy összegben a futamidő végén vagy részletekben </w:t>
      </w:r>
      <w:r w:rsidR="00585DD8" w:rsidRPr="00A61F3D">
        <w:rPr>
          <w:rFonts w:ascii="Arial" w:hAnsi="Arial" w:cs="Arial"/>
          <w:sz w:val="20"/>
        </w:rPr>
        <w:t xml:space="preserve">a futamidő </w:t>
      </w:r>
      <w:r w:rsidR="009164E1" w:rsidRPr="00A61F3D">
        <w:rPr>
          <w:rFonts w:ascii="Arial" w:hAnsi="Arial" w:cs="Arial"/>
          <w:sz w:val="20"/>
        </w:rPr>
        <w:t>alatt.</w:t>
      </w:r>
    </w:p>
    <w:p w14:paraId="2E462512" w14:textId="25DD8861" w:rsidR="006805CF" w:rsidRPr="00A61F3D" w:rsidRDefault="0025328B" w:rsidP="00D3125B">
      <w:pPr>
        <w:spacing w:before="120"/>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w:t>
      </w:r>
      <w:r w:rsidR="00AC13E5" w:rsidRPr="00A61F3D">
        <w:rPr>
          <w:rFonts w:ascii="Arial" w:hAnsi="Arial" w:cs="Arial"/>
          <w:b/>
          <w:sz w:val="20"/>
        </w:rPr>
        <w:t xml:space="preserve">3. A kamatstatisztikai (az 1. pontban érintett </w:t>
      </w:r>
      <w:r w:rsidR="00DF5C50">
        <w:rPr>
          <w:rFonts w:ascii="Arial" w:hAnsi="Arial" w:cs="Arial"/>
          <w:b/>
          <w:sz w:val="20"/>
        </w:rPr>
        <w:t xml:space="preserve">K04, K05 és </w:t>
      </w:r>
      <w:r w:rsidR="00AC13E5" w:rsidRPr="00A61F3D">
        <w:rPr>
          <w:rFonts w:ascii="Arial" w:hAnsi="Arial" w:cs="Arial"/>
          <w:b/>
          <w:sz w:val="20"/>
        </w:rPr>
        <w:t xml:space="preserve">K14 </w:t>
      </w:r>
      <w:r w:rsidR="00A30257" w:rsidRPr="00A61F3D">
        <w:rPr>
          <w:rFonts w:ascii="Arial" w:hAnsi="Arial" w:cs="Arial"/>
          <w:b/>
          <w:sz w:val="20"/>
        </w:rPr>
        <w:t>MNB azonosító kódú</w:t>
      </w:r>
      <w:r w:rsidR="00C27C23" w:rsidRPr="00A61F3D">
        <w:rPr>
          <w:rFonts w:ascii="Arial" w:hAnsi="Arial" w:cs="Arial"/>
          <w:b/>
          <w:sz w:val="20"/>
        </w:rPr>
        <w:t xml:space="preserve"> </w:t>
      </w:r>
      <w:r w:rsidR="00AC13E5" w:rsidRPr="00A61F3D">
        <w:rPr>
          <w:rFonts w:ascii="Arial" w:hAnsi="Arial" w:cs="Arial"/>
          <w:b/>
          <w:sz w:val="20"/>
        </w:rPr>
        <w:t>kivételével a K jelű) adatszolgáltatások tábláiban és kitöltési előírásaiban használt fogalmak</w:t>
      </w:r>
    </w:p>
    <w:p w14:paraId="5408FDD4" w14:textId="77777777" w:rsidR="006805CF" w:rsidRPr="00A61F3D" w:rsidRDefault="00AC13E5" w:rsidP="00B92EB4">
      <w:pPr>
        <w:numPr>
          <w:ilvl w:val="1"/>
          <w:numId w:val="10"/>
        </w:numPr>
        <w:tabs>
          <w:tab w:val="left" w:pos="993"/>
        </w:tabs>
        <w:ind w:left="993" w:hanging="567"/>
        <w:rPr>
          <w:rFonts w:ascii="Arial" w:hAnsi="Arial" w:cs="Arial"/>
          <w:sz w:val="20"/>
        </w:rPr>
      </w:pPr>
      <w:r w:rsidRPr="00A61F3D">
        <w:rPr>
          <w:rFonts w:ascii="Arial" w:hAnsi="Arial" w:cs="Arial"/>
          <w:b/>
          <w:sz w:val="20"/>
        </w:rPr>
        <w:t>Aktuális kamatláb</w:t>
      </w:r>
      <w:r w:rsidRPr="00A61F3D">
        <w:rPr>
          <w:rFonts w:ascii="Arial" w:hAnsi="Arial" w:cs="Arial"/>
          <w:sz w:val="20"/>
        </w:rPr>
        <w:t xml:space="preserve">: az állományokra a tárgyhónap utolsó napján alkalmazott tényleges (nem a meghirdetett) kamatlábbal egyenlő. Sávos kamatozású betétek esetében a hó végi állományokra vonatkozó táblánál mindig azon sávhoz tartozó kamatlábat kell figyelembe venni, amilyen sávba az állomány tartozik. </w:t>
      </w:r>
    </w:p>
    <w:p w14:paraId="77FE8322" w14:textId="77777777" w:rsidR="0093790B" w:rsidRPr="00A61F3D" w:rsidRDefault="00AC13E5" w:rsidP="00B92EB4">
      <w:pPr>
        <w:numPr>
          <w:ilvl w:val="1"/>
          <w:numId w:val="10"/>
        </w:numPr>
        <w:tabs>
          <w:tab w:val="left" w:pos="993"/>
        </w:tabs>
        <w:ind w:left="993" w:hanging="567"/>
        <w:rPr>
          <w:rFonts w:ascii="Arial" w:hAnsi="Arial" w:cs="Arial"/>
          <w:b/>
          <w:sz w:val="20"/>
        </w:rPr>
      </w:pPr>
      <w:r w:rsidRPr="00A61F3D">
        <w:rPr>
          <w:rFonts w:ascii="Arial" w:hAnsi="Arial" w:cs="Arial"/>
          <w:b/>
          <w:sz w:val="20"/>
        </w:rPr>
        <w:t>Átstrukturált hitel</w:t>
      </w:r>
      <w:r w:rsidRPr="00A61F3D">
        <w:rPr>
          <w:rFonts w:ascii="Arial" w:hAnsi="Arial" w:cs="Arial"/>
          <w:sz w:val="20"/>
        </w:rPr>
        <w:t>: a</w:t>
      </w:r>
      <w:r w:rsidR="005D483C" w:rsidRPr="00A61F3D">
        <w:rPr>
          <w:rFonts w:ascii="Arial" w:hAnsi="Arial" w:cs="Arial"/>
          <w:sz w:val="20"/>
        </w:rPr>
        <w:t xml:space="preserve"> nem teljesítő kitettségre és az átstrukturált</w:t>
      </w:r>
      <w:r w:rsidR="00B46412" w:rsidRPr="00A61F3D">
        <w:rPr>
          <w:rFonts w:ascii="Arial" w:hAnsi="Arial" w:cs="Arial"/>
          <w:sz w:val="20"/>
        </w:rPr>
        <w:t xml:space="preserve"> követelésre vonatkozó prudenciális követelményekről szóló MNB rendelet</w:t>
      </w:r>
      <w:r w:rsidR="00D77431" w:rsidRPr="00A61F3D">
        <w:rPr>
          <w:rFonts w:ascii="Arial" w:hAnsi="Arial" w:cs="Arial"/>
          <w:sz w:val="20"/>
        </w:rPr>
        <w:t xml:space="preserve"> alapján átstrukturáltnak minősülő hitel</w:t>
      </w:r>
      <w:r w:rsidRPr="00A61F3D">
        <w:rPr>
          <w:rFonts w:ascii="Arial" w:hAnsi="Arial" w:cs="Arial"/>
          <w:sz w:val="20"/>
        </w:rPr>
        <w:t>.</w:t>
      </w:r>
    </w:p>
    <w:p w14:paraId="79F99660" w14:textId="77777777" w:rsidR="006805CF" w:rsidRPr="00A61F3D" w:rsidRDefault="00AC13E5" w:rsidP="007276FB">
      <w:pPr>
        <w:numPr>
          <w:ilvl w:val="1"/>
          <w:numId w:val="10"/>
        </w:numPr>
        <w:tabs>
          <w:tab w:val="left" w:pos="993"/>
        </w:tabs>
        <w:ind w:left="993" w:hanging="567"/>
        <w:rPr>
          <w:rFonts w:ascii="Arial" w:hAnsi="Arial" w:cs="Arial"/>
          <w:sz w:val="20"/>
        </w:rPr>
      </w:pPr>
      <w:r w:rsidRPr="00A61F3D">
        <w:rPr>
          <w:rFonts w:ascii="Arial" w:hAnsi="Arial" w:cs="Arial"/>
          <w:b/>
          <w:sz w:val="20"/>
        </w:rPr>
        <w:t>Évesített kamatláb</w:t>
      </w:r>
      <w:r w:rsidRPr="00A61F3D">
        <w:rPr>
          <w:rFonts w:ascii="Arial" w:hAnsi="Arial" w:cs="Arial"/>
          <w:sz w:val="20"/>
        </w:rPr>
        <w:t>: a kamatláb éves szintre való kivetítése, éves százalékos mértékben való kifejezése.</w:t>
      </w:r>
    </w:p>
    <w:p w14:paraId="770AD7C8" w14:textId="77777777" w:rsidR="006805CF" w:rsidRPr="00A61F3D" w:rsidRDefault="00AC13E5" w:rsidP="0081180F">
      <w:pPr>
        <w:tabs>
          <w:tab w:val="left" w:pos="993"/>
        </w:tabs>
        <w:ind w:left="1560" w:hanging="567"/>
        <w:rPr>
          <w:rFonts w:ascii="Arial" w:hAnsi="Arial" w:cs="Arial"/>
          <w:sz w:val="20"/>
        </w:rPr>
      </w:pPr>
      <w:r w:rsidRPr="00A61F3D">
        <w:rPr>
          <w:rFonts w:ascii="Arial" w:hAnsi="Arial" w:cs="Arial"/>
          <w:sz w:val="20"/>
        </w:rPr>
        <w:t xml:space="preserve">Az évesített kamatláb számítására két képletet lehet alkalmazni. </w:t>
      </w:r>
    </w:p>
    <w:p w14:paraId="76051E0C"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Az évesített kamatláb számítására a következő jelenérték számítási képletet lehet alkalmazni, amely képlet minden betét- és hitelkonstrukcióra alkalmazható. A képlet az ügylet kezdő időpontjában keletkező pénzmozgást teszi egyenlővé a későbbi időpontok cash-flow-inak jelenértékével. Az évesített kamatláb az a belső megtérülési ráta, ahol a cash-flow-k jelenértéke megegyezik.</w:t>
      </w:r>
    </w:p>
    <w:p w14:paraId="3D5E9F15" w14:textId="77777777" w:rsidR="006805CF" w:rsidRPr="00A61F3D" w:rsidRDefault="00AC13E5" w:rsidP="0081180F">
      <w:pPr>
        <w:pStyle w:val="Lbjegyzetszveg"/>
        <w:tabs>
          <w:tab w:val="left" w:pos="993"/>
        </w:tabs>
        <w:ind w:left="993"/>
        <w:jc w:val="both"/>
        <w:rPr>
          <w:rFonts w:ascii="Arial" w:hAnsi="Arial" w:cs="Arial"/>
        </w:rPr>
      </w:pPr>
      <w:r w:rsidRPr="00A61F3D">
        <w:rPr>
          <w:rFonts w:ascii="Arial" w:hAnsi="Arial" w:cs="Arial"/>
        </w:rPr>
        <w:t>a) A képletek szempontjából a kamattőkésítés rendszeressége a meghatározó. (A kamattőkésítés csak a betéti konstrukcióknál értelmezhető. A továbbiakban a kamattőkésítés a kamatmegállapítást, illetve a kamatfizetést is jelenti.)</w:t>
      </w:r>
    </w:p>
    <w:p w14:paraId="7209B1AE"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 xml:space="preserve">Amennyiben a kamattőkésítés és a tőketörlesztés is szabályos időközönként történik, a kamattőkésítés és a tőketörlesztés viszonyára három fő eset különböztethető meg. </w:t>
      </w:r>
    </w:p>
    <w:p w14:paraId="78F2643B" w14:textId="77777777" w:rsidR="00AC13E5" w:rsidRPr="00A61F3D" w:rsidRDefault="00C27C23" w:rsidP="00AC13E5">
      <w:pPr>
        <w:tabs>
          <w:tab w:val="left" w:pos="426"/>
          <w:tab w:val="left" w:pos="993"/>
        </w:tabs>
        <w:ind w:left="993"/>
        <w:rPr>
          <w:rFonts w:ascii="Arial" w:hAnsi="Arial" w:cs="Arial"/>
          <w:sz w:val="20"/>
        </w:rPr>
      </w:pPr>
      <w:r w:rsidRPr="00A61F3D">
        <w:rPr>
          <w:rFonts w:ascii="Arial" w:hAnsi="Arial" w:cs="Arial"/>
          <w:sz w:val="20"/>
        </w:rPr>
        <w:t xml:space="preserve">aa) </w:t>
      </w:r>
      <w:r w:rsidR="00AC13E5" w:rsidRPr="00A61F3D">
        <w:rPr>
          <w:rFonts w:ascii="Arial" w:hAnsi="Arial" w:cs="Arial"/>
          <w:sz w:val="20"/>
        </w:rPr>
        <w:t>A kamattőkésítés és a tőketörlesztés is azonos időközönként történik, rendszerességük megegyezik.</w:t>
      </w:r>
    </w:p>
    <w:p w14:paraId="05FC2DBD" w14:textId="77777777" w:rsidR="00AC13E5" w:rsidRPr="00A61F3D" w:rsidRDefault="00C27C23" w:rsidP="00AC13E5">
      <w:pPr>
        <w:tabs>
          <w:tab w:val="left" w:pos="426"/>
          <w:tab w:val="left" w:pos="993"/>
        </w:tabs>
        <w:ind w:left="993"/>
        <w:rPr>
          <w:rFonts w:ascii="Arial" w:hAnsi="Arial" w:cs="Arial"/>
          <w:sz w:val="20"/>
        </w:rPr>
      </w:pPr>
      <w:r w:rsidRPr="00A61F3D">
        <w:rPr>
          <w:rFonts w:ascii="Arial" w:hAnsi="Arial" w:cs="Arial"/>
          <w:sz w:val="20"/>
        </w:rPr>
        <w:t xml:space="preserve">ab) </w:t>
      </w:r>
      <w:r w:rsidR="00AC13E5" w:rsidRPr="00A61F3D">
        <w:rPr>
          <w:rFonts w:ascii="Arial" w:hAnsi="Arial" w:cs="Arial"/>
          <w:sz w:val="20"/>
        </w:rPr>
        <w:t>A kamattőkésítés gyakoribb, mint a tőketörlesztés. (Idetartozik az az eset is, amikor a tőketörlesztés csak a futamidő végén egy összegben történik.)</w:t>
      </w:r>
    </w:p>
    <w:p w14:paraId="36735A57" w14:textId="77777777" w:rsidR="00AC13E5" w:rsidRPr="00A61F3D" w:rsidRDefault="00C27C23" w:rsidP="00AC13E5">
      <w:pPr>
        <w:tabs>
          <w:tab w:val="left" w:pos="426"/>
          <w:tab w:val="left" w:pos="993"/>
        </w:tabs>
        <w:ind w:left="993"/>
        <w:rPr>
          <w:rFonts w:ascii="Arial" w:hAnsi="Arial" w:cs="Arial"/>
          <w:sz w:val="20"/>
        </w:rPr>
      </w:pPr>
      <w:r w:rsidRPr="00A61F3D">
        <w:rPr>
          <w:rFonts w:ascii="Arial" w:hAnsi="Arial" w:cs="Arial"/>
          <w:sz w:val="20"/>
        </w:rPr>
        <w:t xml:space="preserve">ac) </w:t>
      </w:r>
      <w:r w:rsidR="00AC13E5" w:rsidRPr="00A61F3D">
        <w:rPr>
          <w:rFonts w:ascii="Arial" w:hAnsi="Arial" w:cs="Arial"/>
          <w:sz w:val="20"/>
        </w:rPr>
        <w:t xml:space="preserve">A tőketörlesztés gyakoribb, mint a kamattőkésítés. </w:t>
      </w:r>
    </w:p>
    <w:p w14:paraId="025D9BAB"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b) A kamattőkésítés és a tőketörlesztés nem szabályos időközönként történik.</w:t>
      </w:r>
    </w:p>
    <w:p w14:paraId="5C299D5A" w14:textId="77777777" w:rsidR="006805CF" w:rsidRPr="00A61F3D" w:rsidRDefault="00AC13E5" w:rsidP="0081180F">
      <w:pPr>
        <w:tabs>
          <w:tab w:val="left" w:pos="993"/>
        </w:tabs>
        <w:ind w:left="993"/>
        <w:rPr>
          <w:rFonts w:ascii="Arial" w:hAnsi="Arial" w:cs="Arial"/>
          <w:sz w:val="20"/>
        </w:rPr>
      </w:pPr>
      <w:r w:rsidRPr="00A61F3D">
        <w:rPr>
          <w:rFonts w:ascii="Arial" w:hAnsi="Arial" w:cs="Arial"/>
          <w:sz w:val="20"/>
        </w:rPr>
        <w:t>Az a) esetben, amikor a kamattőkésítés legalább olyan gyakori, mint a tőketörlesztés (a</w:t>
      </w:r>
      <w:r w:rsidR="00C27C23" w:rsidRPr="00A61F3D">
        <w:rPr>
          <w:rFonts w:ascii="Arial" w:hAnsi="Arial" w:cs="Arial"/>
          <w:sz w:val="20"/>
        </w:rPr>
        <w:t>a)</w:t>
      </w:r>
      <w:r w:rsidRPr="00A61F3D">
        <w:rPr>
          <w:rFonts w:ascii="Arial" w:hAnsi="Arial" w:cs="Arial"/>
          <w:sz w:val="20"/>
        </w:rPr>
        <w:t>, a</w:t>
      </w:r>
      <w:r w:rsidR="00C27C23" w:rsidRPr="00A61F3D">
        <w:rPr>
          <w:rFonts w:ascii="Arial" w:hAnsi="Arial" w:cs="Arial"/>
          <w:sz w:val="20"/>
        </w:rPr>
        <w:t>b)</w:t>
      </w:r>
      <w:r w:rsidRPr="00A61F3D">
        <w:rPr>
          <w:rFonts w:ascii="Arial" w:hAnsi="Arial" w:cs="Arial"/>
          <w:sz w:val="20"/>
        </w:rPr>
        <w:t xml:space="preserve"> eset), a két képlet azonos eredményt ad, ekkor a 2. képlet is alkalmazható.  </w:t>
      </w:r>
    </w:p>
    <w:p w14:paraId="4386624F" w14:textId="05B7D8FF" w:rsidR="006805CF" w:rsidRPr="00A61F3D" w:rsidRDefault="00AC13E5" w:rsidP="0081180F">
      <w:pPr>
        <w:tabs>
          <w:tab w:val="left" w:pos="993"/>
        </w:tabs>
        <w:ind w:left="993"/>
        <w:rPr>
          <w:rFonts w:ascii="Arial" w:hAnsi="Arial" w:cs="Arial"/>
          <w:sz w:val="20"/>
        </w:rPr>
      </w:pPr>
      <w:r w:rsidRPr="00A61F3D">
        <w:rPr>
          <w:rFonts w:ascii="Arial" w:hAnsi="Arial" w:cs="Arial"/>
          <w:sz w:val="20"/>
        </w:rPr>
        <w:lastRenderedPageBreak/>
        <w:t>Az a</w:t>
      </w:r>
      <w:r w:rsidR="00C27C23" w:rsidRPr="00A61F3D">
        <w:rPr>
          <w:rFonts w:ascii="Arial" w:hAnsi="Arial" w:cs="Arial"/>
          <w:sz w:val="20"/>
        </w:rPr>
        <w:t>c)</w:t>
      </w:r>
      <w:r w:rsidR="00BA6F21" w:rsidRPr="00A61F3D">
        <w:rPr>
          <w:rFonts w:ascii="Arial" w:hAnsi="Arial" w:cs="Arial"/>
          <w:sz w:val="20"/>
        </w:rPr>
        <w:t>,</w:t>
      </w:r>
      <w:r w:rsidRPr="00A61F3D">
        <w:rPr>
          <w:rFonts w:ascii="Arial" w:hAnsi="Arial" w:cs="Arial"/>
          <w:sz w:val="20"/>
        </w:rPr>
        <w:t xml:space="preserve"> valamint a b) esetben </w:t>
      </w:r>
      <w:r w:rsidRPr="00A61F3D">
        <w:rPr>
          <w:rFonts w:ascii="Arial" w:hAnsi="Arial" w:cs="Arial"/>
          <w:i/>
          <w:sz w:val="20"/>
        </w:rPr>
        <w:t xml:space="preserve">csak az </w:t>
      </w:r>
      <w:r w:rsidRPr="00A61F3D">
        <w:rPr>
          <w:rFonts w:ascii="Arial" w:hAnsi="Arial" w:cs="Arial"/>
          <w:sz w:val="20"/>
        </w:rPr>
        <w:t>1. képletet lehet alkalmazni. (Pl</w:t>
      </w:r>
      <w:r w:rsidR="00BA6F21" w:rsidRPr="00A61F3D">
        <w:rPr>
          <w:rFonts w:ascii="Arial" w:hAnsi="Arial" w:cs="Arial"/>
          <w:sz w:val="20"/>
        </w:rPr>
        <w:t>.</w:t>
      </w:r>
      <w:r w:rsidRPr="00A61F3D">
        <w:rPr>
          <w:rFonts w:ascii="Arial" w:hAnsi="Arial" w:cs="Arial"/>
          <w:sz w:val="20"/>
        </w:rPr>
        <w:t xml:space="preserve"> idetartoznak azok a kamattámogatásos konstrukciók is, amikor a kamattámogatás és a kamatfizetés periódusa nem esik egybe.</w:t>
      </w:r>
      <w:r w:rsidR="009A6B88" w:rsidRPr="00A61F3D">
        <w:rPr>
          <w:rFonts w:ascii="Arial" w:hAnsi="Arial" w:cs="Arial"/>
          <w:sz w:val="20"/>
        </w:rPr>
        <w:t>)</w:t>
      </w:r>
      <w:r w:rsidRPr="00A61F3D">
        <w:rPr>
          <w:rFonts w:ascii="Arial" w:hAnsi="Arial" w:cs="Arial"/>
          <w:sz w:val="20"/>
        </w:rPr>
        <w:t xml:space="preserve"> </w:t>
      </w:r>
    </w:p>
    <w:p w14:paraId="15764EAA" w14:textId="77777777" w:rsidR="00AC13E5" w:rsidRPr="00A61F3D" w:rsidRDefault="00AC13E5" w:rsidP="003F505B">
      <w:pPr>
        <w:keepNext/>
        <w:tabs>
          <w:tab w:val="left" w:pos="993"/>
        </w:tabs>
        <w:spacing w:before="120"/>
        <w:ind w:left="992"/>
        <w:rPr>
          <w:rFonts w:ascii="Arial" w:hAnsi="Arial" w:cs="Arial"/>
          <w:sz w:val="20"/>
        </w:rPr>
      </w:pPr>
      <w:r w:rsidRPr="00A61F3D">
        <w:rPr>
          <w:rFonts w:ascii="Arial" w:hAnsi="Arial" w:cs="Arial"/>
          <w:sz w:val="20"/>
        </w:rPr>
        <w:t>1. képlet</w:t>
      </w:r>
    </w:p>
    <w:p w14:paraId="76B47AB0" w14:textId="77777777" w:rsidR="00AC13E5" w:rsidRPr="00A61F3D" w:rsidRDefault="00D50609" w:rsidP="00AC13E5">
      <w:pPr>
        <w:tabs>
          <w:tab w:val="left" w:pos="993"/>
        </w:tabs>
        <w:spacing w:before="120"/>
        <w:ind w:left="993"/>
        <w:rPr>
          <w:rFonts w:ascii="Arial" w:hAnsi="Arial" w:cs="Arial"/>
          <w:sz w:val="20"/>
        </w:rPr>
      </w:pPr>
      <w:r w:rsidRPr="00A61F3D">
        <w:rPr>
          <w:rFonts w:ascii="Arial" w:hAnsi="Arial" w:cs="Arial"/>
          <w:noProof/>
          <w:sz w:val="20"/>
        </w:rPr>
        <w:drawing>
          <wp:inline distT="0" distB="0" distL="0" distR="0" wp14:anchorId="3C95DD85" wp14:editId="5C5FFA73">
            <wp:extent cx="2133600" cy="885825"/>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33600" cy="885825"/>
                    </a:xfrm>
                    <a:prstGeom prst="rect">
                      <a:avLst/>
                    </a:prstGeom>
                    <a:noFill/>
                    <a:ln>
                      <a:noFill/>
                    </a:ln>
                  </pic:spPr>
                </pic:pic>
              </a:graphicData>
            </a:graphic>
          </wp:inline>
        </w:drawing>
      </w:r>
    </w:p>
    <w:p w14:paraId="04D3B537"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A</w:t>
      </w:r>
      <w:r w:rsidRPr="00A61F3D">
        <w:rPr>
          <w:rFonts w:ascii="Arial" w:hAnsi="Arial" w:cs="Arial"/>
          <w:snapToGrid w:val="0"/>
          <w:sz w:val="20"/>
          <w:vertAlign w:val="subscript"/>
          <w:lang w:eastAsia="en-US"/>
        </w:rPr>
        <w:t>k</w:t>
      </w:r>
      <w:r w:rsidRPr="00A61F3D">
        <w:rPr>
          <w:rFonts w:ascii="Arial" w:hAnsi="Arial" w:cs="Arial"/>
          <w:snapToGrid w:val="0"/>
          <w:sz w:val="20"/>
          <w:lang w:eastAsia="en-US"/>
        </w:rPr>
        <w:t xml:space="preserve">: a k sorszámú hitelrészlet illetve betételhelyezés összege, a képlet akkor is alkalmazható, ha a hitelt egy részletben veszik igénybe, illetve egyszerre helyezik el a betétet. Ilyenkor a képlet bal oldalán az elhelyezett betétösszeg, illetve a felvett hitel összege található. </w:t>
      </w:r>
    </w:p>
    <w:p w14:paraId="48DBBB73"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A'</w:t>
      </w:r>
      <w:r w:rsidRPr="00A61F3D">
        <w:rPr>
          <w:rFonts w:ascii="Arial" w:hAnsi="Arial" w:cs="Arial"/>
          <w:snapToGrid w:val="0"/>
          <w:sz w:val="20"/>
          <w:vertAlign w:val="subscript"/>
          <w:lang w:eastAsia="en-US"/>
        </w:rPr>
        <w:t>k</w:t>
      </w:r>
      <w:r w:rsidRPr="00A61F3D">
        <w:rPr>
          <w:rFonts w:ascii="Arial" w:hAnsi="Arial" w:cs="Arial"/>
          <w:snapToGrid w:val="0"/>
          <w:sz w:val="20"/>
          <w:lang w:eastAsia="en-US"/>
        </w:rPr>
        <w:t>: a k' sorszámú törlesztőrészlet összege, illetve a betétvisszafizetés összege (kamatokkal növelve),</w:t>
      </w:r>
    </w:p>
    <w:p w14:paraId="30B2F4A8"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m: a hitelfolyósítások, betételhelyezések száma,</w:t>
      </w:r>
    </w:p>
    <w:p w14:paraId="5C60AE9E"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m': a törlesztőrészletek, betétvisszafizetések száma,</w:t>
      </w:r>
    </w:p>
    <w:p w14:paraId="0417B839" w14:textId="30E5F104"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t</w:t>
      </w:r>
      <w:r w:rsidRPr="00A61F3D">
        <w:rPr>
          <w:rFonts w:ascii="Arial" w:hAnsi="Arial" w:cs="Arial"/>
          <w:snapToGrid w:val="0"/>
          <w:sz w:val="20"/>
          <w:vertAlign w:val="subscript"/>
          <w:lang w:eastAsia="en-US"/>
        </w:rPr>
        <w:t>k</w:t>
      </w:r>
      <w:r w:rsidRPr="00A61F3D">
        <w:rPr>
          <w:rFonts w:ascii="Arial" w:hAnsi="Arial" w:cs="Arial"/>
          <w:snapToGrid w:val="0"/>
          <w:sz w:val="20"/>
          <w:lang w:eastAsia="en-US"/>
        </w:rPr>
        <w:t>: a k-adik hitelfolyósítás, betételhelyezés években vagy töredékévekben kifejezett időpontja,</w:t>
      </w:r>
    </w:p>
    <w:p w14:paraId="1D030780" w14:textId="60E6788F"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t'</w:t>
      </w:r>
      <w:r w:rsidRPr="00A61F3D">
        <w:rPr>
          <w:rFonts w:ascii="Arial" w:hAnsi="Arial" w:cs="Arial"/>
          <w:snapToGrid w:val="0"/>
          <w:sz w:val="20"/>
          <w:vertAlign w:val="subscript"/>
          <w:lang w:eastAsia="en-US"/>
        </w:rPr>
        <w:t>k</w:t>
      </w:r>
      <w:r w:rsidRPr="00A61F3D">
        <w:rPr>
          <w:rFonts w:ascii="Arial" w:hAnsi="Arial" w:cs="Arial"/>
          <w:snapToGrid w:val="0"/>
          <w:sz w:val="20"/>
          <w:lang w:eastAsia="en-US"/>
        </w:rPr>
        <w:t>: a k'-adik törlesztőrészlet, betétvisszafizetés években vagy töredékévekben kifejezett időpontja,</w:t>
      </w:r>
    </w:p>
    <w:p w14:paraId="18437419" w14:textId="77777777" w:rsidR="00AC13E5" w:rsidRPr="00A61F3D" w:rsidRDefault="00AC13E5" w:rsidP="00AC13E5">
      <w:pPr>
        <w:tabs>
          <w:tab w:val="left" w:pos="993"/>
        </w:tabs>
        <w:ind w:left="993"/>
        <w:rPr>
          <w:rFonts w:ascii="Arial" w:hAnsi="Arial" w:cs="Arial"/>
          <w:snapToGrid w:val="0"/>
          <w:sz w:val="20"/>
          <w:lang w:eastAsia="en-US"/>
        </w:rPr>
      </w:pPr>
      <w:r w:rsidRPr="00A61F3D">
        <w:rPr>
          <w:rFonts w:ascii="Arial" w:hAnsi="Arial" w:cs="Arial"/>
          <w:snapToGrid w:val="0"/>
          <w:sz w:val="20"/>
          <w:lang w:eastAsia="en-US"/>
        </w:rPr>
        <w:t>i: az évesített kamatláb századrésze.</w:t>
      </w:r>
    </w:p>
    <w:p w14:paraId="6EC99834"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Az állományokra vonatkozó évesített kamatláb számításánál kezdő időpontnak az állomány megfigyelésének időpontját kell tekinteni, és nem a hitel-</w:t>
      </w:r>
      <w:r w:rsidRPr="00A61F3D">
        <w:rPr>
          <w:rFonts w:ascii="Arial" w:hAnsi="Arial" w:cs="Arial"/>
          <w:sz w:val="20"/>
        </w:rPr>
        <w:t>,</w:t>
      </w:r>
      <w:r w:rsidR="00AC13E5" w:rsidRPr="00A61F3D">
        <w:rPr>
          <w:rFonts w:ascii="Arial" w:hAnsi="Arial" w:cs="Arial"/>
          <w:sz w:val="20"/>
        </w:rPr>
        <w:t xml:space="preserve"> illetve a betétszerződés megkötésének időpontját kell figyelembe venni.</w:t>
      </w:r>
    </w:p>
    <w:p w14:paraId="46E0FAC7"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 xml:space="preserve">Az évesített kamatláb számítására az alábbi képlet csak azoknál a betét- illetve hitelkonstrukcióknál alkalmazható, ahol betéteknél a kamattőkésítés, hiteleknél a kamatfizetés és a tőkeösszeg törlesztése is szabályos időközönként történik, és a kamattőkésítés (kamatfizetés) legalább olyan gyakori, mint a tőkeösszeg törlesztése. Ez magában foglalja azokat az eseteket is, amikor a tőkeösszeget az ügylet végén egy összegben törlesztik. </w:t>
      </w:r>
    </w:p>
    <w:p w14:paraId="40016FBF" w14:textId="77777777" w:rsidR="006805CF" w:rsidRPr="00A61F3D" w:rsidRDefault="00C27C23" w:rsidP="00A033BB">
      <w:pPr>
        <w:tabs>
          <w:tab w:val="left" w:pos="993"/>
        </w:tabs>
        <w:ind w:left="993" w:hanging="567"/>
        <w:rPr>
          <w:rFonts w:ascii="Arial" w:hAnsi="Arial" w:cs="Arial"/>
          <w:sz w:val="20"/>
        </w:rPr>
      </w:pPr>
      <w:r w:rsidRPr="00A61F3D">
        <w:rPr>
          <w:rFonts w:ascii="Arial" w:hAnsi="Arial" w:cs="Arial"/>
          <w:sz w:val="20"/>
        </w:rPr>
        <w:tab/>
      </w:r>
      <w:r w:rsidR="00AC13E5" w:rsidRPr="00A61F3D">
        <w:rPr>
          <w:rFonts w:ascii="Arial" w:hAnsi="Arial" w:cs="Arial"/>
          <w:sz w:val="20"/>
        </w:rPr>
        <w:t xml:space="preserve">Ez a képlet alkalmazható a látra szóló és folyószámlabetétekre, a folyószámlahitelekre is, amennyiben a betéteknél a kamattőkésítés, hiteleknél a kamatok megállapítása szabályos időközönként történik. </w:t>
      </w:r>
    </w:p>
    <w:p w14:paraId="1228C8DB" w14:textId="77777777" w:rsidR="008374D9" w:rsidRPr="00A61F3D" w:rsidRDefault="008374D9" w:rsidP="008374D9">
      <w:pPr>
        <w:tabs>
          <w:tab w:val="left" w:pos="993"/>
        </w:tabs>
        <w:ind w:left="993" w:hanging="567"/>
        <w:rPr>
          <w:rFonts w:ascii="Arial" w:hAnsi="Arial" w:cs="Arial"/>
          <w:sz w:val="20"/>
        </w:rPr>
      </w:pPr>
      <w:r w:rsidRPr="00A61F3D">
        <w:rPr>
          <w:rFonts w:ascii="Arial" w:hAnsi="Arial" w:cs="Arial"/>
          <w:sz w:val="20"/>
        </w:rPr>
        <w:tab/>
        <w:t xml:space="preserve">Azon termékek esetében, ahol a futamidő elején a meghirdetett akciós kamatlábbal, </w:t>
      </w:r>
      <w:r w:rsidR="003A79D0" w:rsidRPr="00A61F3D">
        <w:rPr>
          <w:rFonts w:ascii="Arial" w:hAnsi="Arial" w:cs="Arial"/>
          <w:sz w:val="20"/>
        </w:rPr>
        <w:t>a későbbiekben</w:t>
      </w:r>
      <w:r w:rsidRPr="00A61F3D">
        <w:rPr>
          <w:rFonts w:ascii="Arial" w:hAnsi="Arial" w:cs="Arial"/>
          <w:sz w:val="20"/>
        </w:rPr>
        <w:t xml:space="preserve"> azonban normál (nem akciós) kamatlábbal kamatozik tovább a hitel, az évesített kamatláb meghatározásánál csak az 1-es képlet alkalmazható, mert ebben a képletben lehet figyelembe venni a futamidő alatt eltérő kamatlábak hatását. </w:t>
      </w:r>
    </w:p>
    <w:p w14:paraId="41AE4490" w14:textId="77777777" w:rsidR="008374D9" w:rsidRPr="00A61F3D" w:rsidRDefault="008374D9" w:rsidP="00A033BB">
      <w:pPr>
        <w:tabs>
          <w:tab w:val="left" w:pos="993"/>
        </w:tabs>
        <w:ind w:left="993" w:hanging="567"/>
        <w:rPr>
          <w:rFonts w:ascii="Arial" w:hAnsi="Arial" w:cs="Arial"/>
          <w:sz w:val="20"/>
        </w:rPr>
      </w:pPr>
    </w:p>
    <w:p w14:paraId="55891B55" w14:textId="77777777" w:rsidR="00AC13E5" w:rsidRPr="00A61F3D" w:rsidRDefault="00AC13E5" w:rsidP="00AC13E5">
      <w:pPr>
        <w:tabs>
          <w:tab w:val="left" w:pos="993"/>
        </w:tabs>
        <w:spacing w:before="120"/>
        <w:ind w:left="992" w:firstLine="1"/>
        <w:rPr>
          <w:rFonts w:ascii="Arial" w:hAnsi="Arial" w:cs="Arial"/>
          <w:sz w:val="20"/>
        </w:rPr>
      </w:pPr>
      <w:r w:rsidRPr="00A61F3D">
        <w:rPr>
          <w:rFonts w:ascii="Arial" w:hAnsi="Arial" w:cs="Arial"/>
          <w:sz w:val="20"/>
        </w:rPr>
        <w:t>2. képlet</w:t>
      </w:r>
    </w:p>
    <w:p w14:paraId="07EA6F9D" w14:textId="190833F9" w:rsidR="00AC13E5" w:rsidRPr="00A61F3D" w:rsidRDefault="00D50609" w:rsidP="00AC13E5">
      <w:pPr>
        <w:tabs>
          <w:tab w:val="left" w:pos="993"/>
        </w:tabs>
        <w:spacing w:before="120"/>
        <w:ind w:left="993" w:firstLine="1"/>
        <w:rPr>
          <w:rFonts w:ascii="Arial" w:hAnsi="Arial" w:cs="Arial"/>
          <w:b/>
          <w:sz w:val="20"/>
        </w:rPr>
      </w:pPr>
      <w:r w:rsidRPr="00A61F3D">
        <w:rPr>
          <w:rFonts w:ascii="Arial" w:hAnsi="Arial" w:cs="Arial"/>
          <w:b/>
          <w:noProof/>
          <w:sz w:val="20"/>
        </w:rPr>
        <w:drawing>
          <wp:inline distT="0" distB="0" distL="0" distR="0" wp14:anchorId="69180463" wp14:editId="596D3868">
            <wp:extent cx="1133475" cy="485775"/>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33475" cy="485775"/>
                    </a:xfrm>
                    <a:prstGeom prst="rect">
                      <a:avLst/>
                    </a:prstGeom>
                    <a:noFill/>
                    <a:ln>
                      <a:noFill/>
                    </a:ln>
                  </pic:spPr>
                </pic:pic>
              </a:graphicData>
            </a:graphic>
          </wp:inline>
        </w:drawing>
      </w:r>
    </w:p>
    <w:p w14:paraId="47C88472" w14:textId="77777777" w:rsidR="00AC13E5" w:rsidRPr="00A61F3D" w:rsidRDefault="00AC13E5" w:rsidP="00AC13E5">
      <w:pPr>
        <w:tabs>
          <w:tab w:val="left" w:pos="993"/>
        </w:tabs>
        <w:ind w:left="993" w:firstLine="1"/>
        <w:rPr>
          <w:rFonts w:ascii="Arial" w:hAnsi="Arial" w:cs="Arial"/>
          <w:snapToGrid w:val="0"/>
          <w:sz w:val="20"/>
          <w:lang w:eastAsia="en-US"/>
        </w:rPr>
      </w:pPr>
      <w:r w:rsidRPr="00A61F3D">
        <w:rPr>
          <w:rFonts w:ascii="Arial" w:hAnsi="Arial" w:cs="Arial"/>
          <w:snapToGrid w:val="0"/>
          <w:sz w:val="20"/>
          <w:lang w:eastAsia="en-US"/>
        </w:rPr>
        <w:t>X: az évesített kamatláb</w:t>
      </w:r>
    </w:p>
    <w:p w14:paraId="728DDBE8" w14:textId="77777777" w:rsidR="00AC13E5" w:rsidRPr="00A61F3D" w:rsidRDefault="00AC13E5" w:rsidP="00AC13E5">
      <w:pPr>
        <w:tabs>
          <w:tab w:val="left" w:pos="993"/>
        </w:tabs>
        <w:ind w:left="993" w:firstLine="1"/>
        <w:rPr>
          <w:rFonts w:ascii="Arial" w:hAnsi="Arial" w:cs="Arial"/>
          <w:snapToGrid w:val="0"/>
          <w:sz w:val="20"/>
          <w:lang w:eastAsia="en-US"/>
        </w:rPr>
      </w:pPr>
      <w:r w:rsidRPr="00A61F3D">
        <w:rPr>
          <w:rFonts w:ascii="Arial" w:hAnsi="Arial" w:cs="Arial"/>
          <w:snapToGrid w:val="0"/>
          <w:sz w:val="20"/>
          <w:lang w:eastAsia="en-US"/>
        </w:rPr>
        <w:t>r</w:t>
      </w:r>
      <w:r w:rsidRPr="00A61F3D">
        <w:rPr>
          <w:rFonts w:ascii="Arial" w:hAnsi="Arial" w:cs="Arial"/>
          <w:snapToGrid w:val="0"/>
          <w:sz w:val="20"/>
          <w:vertAlign w:val="subscript"/>
          <w:lang w:eastAsia="en-US"/>
        </w:rPr>
        <w:t>sz</w:t>
      </w:r>
      <w:r w:rsidRPr="00A61F3D">
        <w:rPr>
          <w:rFonts w:ascii="Arial" w:hAnsi="Arial" w:cs="Arial"/>
          <w:snapToGrid w:val="0"/>
          <w:sz w:val="20"/>
          <w:lang w:eastAsia="en-US"/>
        </w:rPr>
        <w:t>: a szerződésben meghatározott éves kamatláb</w:t>
      </w:r>
    </w:p>
    <w:p w14:paraId="473A52F5" w14:textId="5FD7DA13" w:rsidR="00AC13E5" w:rsidRPr="00A61F3D" w:rsidRDefault="00AC13E5" w:rsidP="00AC13E5">
      <w:pPr>
        <w:tabs>
          <w:tab w:val="left" w:pos="993"/>
        </w:tabs>
        <w:ind w:left="993" w:firstLine="1"/>
        <w:rPr>
          <w:rFonts w:ascii="Arial" w:hAnsi="Arial" w:cs="Arial"/>
          <w:sz w:val="20"/>
        </w:rPr>
      </w:pPr>
      <w:r w:rsidRPr="00A61F3D">
        <w:rPr>
          <w:rFonts w:ascii="Arial" w:hAnsi="Arial" w:cs="Arial"/>
          <w:snapToGrid w:val="0"/>
          <w:sz w:val="20"/>
          <w:lang w:eastAsia="en-US"/>
        </w:rPr>
        <w:t xml:space="preserve">N: az éven belüli kamattőkésítések száma </w:t>
      </w:r>
      <w:r w:rsidR="00BA6F21" w:rsidRPr="00A61F3D">
        <w:rPr>
          <w:rFonts w:ascii="Arial" w:hAnsi="Arial" w:cs="Arial"/>
          <w:snapToGrid w:val="0"/>
          <w:sz w:val="20"/>
          <w:lang w:eastAsia="en-US"/>
        </w:rPr>
        <w:t>(</w:t>
      </w:r>
      <w:r w:rsidRPr="00A61F3D">
        <w:rPr>
          <w:rFonts w:ascii="Arial" w:hAnsi="Arial" w:cs="Arial"/>
          <w:snapToGrid w:val="0"/>
          <w:sz w:val="20"/>
          <w:lang w:eastAsia="en-US"/>
        </w:rPr>
        <w:t>pl. féléves gyakoriságú kamattőkésítés esetén 2, negyedéves gyakoriságú kamatfizetés esetén 4</w:t>
      </w:r>
      <w:r w:rsidR="00BA6F21" w:rsidRPr="00A61F3D">
        <w:rPr>
          <w:rFonts w:ascii="Arial" w:hAnsi="Arial" w:cs="Arial"/>
          <w:snapToGrid w:val="0"/>
          <w:sz w:val="20"/>
          <w:lang w:eastAsia="en-US"/>
        </w:rPr>
        <w:t>)</w:t>
      </w:r>
      <w:r w:rsidRPr="00A61F3D">
        <w:rPr>
          <w:rFonts w:ascii="Arial" w:hAnsi="Arial" w:cs="Arial"/>
          <w:snapToGrid w:val="0"/>
          <w:sz w:val="20"/>
          <w:lang w:eastAsia="en-US"/>
        </w:rPr>
        <w:t>.</w:t>
      </w:r>
    </w:p>
    <w:p w14:paraId="238D6EA0" w14:textId="77777777" w:rsidR="00AC13E5" w:rsidRPr="00A61F3D" w:rsidRDefault="00AC13E5" w:rsidP="00AC13E5">
      <w:pPr>
        <w:tabs>
          <w:tab w:val="left" w:pos="993"/>
        </w:tabs>
        <w:spacing w:before="120"/>
        <w:ind w:left="992"/>
        <w:rPr>
          <w:rFonts w:ascii="Arial" w:hAnsi="Arial" w:cs="Arial"/>
          <w:sz w:val="20"/>
        </w:rPr>
      </w:pPr>
      <w:r w:rsidRPr="00A61F3D">
        <w:rPr>
          <w:rFonts w:ascii="Arial" w:hAnsi="Arial" w:cs="Arial"/>
          <w:sz w:val="20"/>
        </w:rPr>
        <w:t>A szerződésben meghatározott kamatláb</w:t>
      </w:r>
      <w:r w:rsidR="00C27C23" w:rsidRPr="00A61F3D">
        <w:rPr>
          <w:rFonts w:ascii="Arial" w:hAnsi="Arial" w:cs="Arial"/>
          <w:sz w:val="20"/>
        </w:rPr>
        <w:t>,</w:t>
      </w:r>
      <w:r w:rsidRPr="00A61F3D">
        <w:rPr>
          <w:rFonts w:ascii="Arial" w:hAnsi="Arial" w:cs="Arial"/>
          <w:sz w:val="20"/>
        </w:rPr>
        <w:t xml:space="preserve"> illetve az évesített kamatláb sem tartalmazza az utólag felszámított büntetőkamatot, késedelmi kamatot, valamint mellékköltségeket (pl. felszámított egyszeri költségeket, rendelkezésre tartási jutalékot). Kivétel: a folyószámlahitelek esetében az adatszolgáltató meghatározhat egy limitet, és ha az ügyfél folyószámlájának negatív egyenlege ezt meghaladja, büntetést számol fel. Amennyiben a büntetés külön fizetendő költségekben jelenik meg, az évesített kamat számításánál nem kell figyelembe venni. Ha azonban a büntetőkamat a kamatláb része, a limitet meghaladó részre a magasabb, büntetőkamatot is tartalmazó kamatlábat kell alkalmazni a számítás során.</w:t>
      </w:r>
    </w:p>
    <w:p w14:paraId="03D9C001"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lastRenderedPageBreak/>
        <w:t xml:space="preserve">A változó kamatozású konstrukciók esetében a képletben az utolsó ismert kamatlábbal kell számolni a teljes kamatozási periódusra. </w:t>
      </w:r>
    </w:p>
    <w:p w14:paraId="53A78B9A"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t xml:space="preserve">Azon változó kamatozású új hitelszerződések esetében, amelyeknél a kamatláb a folyósítás napján érvényes báziskamatlábhoz van kötve (és így a szerződéskötés pillanatában még nem ismert) az évesített kamatláb számításánál a szerződéskötés napján érvényes aktuális báziskamatlábat kell a számítás alapját képező szerződéses kamatlábnak tekinteni. </w:t>
      </w:r>
    </w:p>
    <w:p w14:paraId="5DA37759" w14:textId="17073138" w:rsidR="006805CF" w:rsidRPr="00A61F3D" w:rsidRDefault="00AC13E5" w:rsidP="00252D00">
      <w:pPr>
        <w:tabs>
          <w:tab w:val="left" w:pos="993"/>
        </w:tabs>
        <w:ind w:left="993"/>
        <w:rPr>
          <w:rFonts w:ascii="Arial" w:hAnsi="Arial" w:cs="Arial"/>
          <w:sz w:val="20"/>
        </w:rPr>
      </w:pPr>
      <w:r w:rsidRPr="00A61F3D">
        <w:rPr>
          <w:rFonts w:ascii="Arial" w:hAnsi="Arial" w:cs="Arial"/>
          <w:sz w:val="20"/>
        </w:rPr>
        <w:t xml:space="preserve">Az évesített kamatláb számításánál a törtévet négy tizedesjegy pontossággal kell figyelembe venni. A kamatperiódusok számának meghatározása során 365 napos évvel kell számolni. </w:t>
      </w:r>
    </w:p>
    <w:p w14:paraId="63267A74" w14:textId="3EC5B712"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Fedezett hitel: </w:t>
      </w:r>
      <w:r w:rsidR="00AD37B4" w:rsidRPr="00A61F3D">
        <w:rPr>
          <w:rFonts w:ascii="Arial" w:hAnsi="Arial" w:cs="Arial"/>
          <w:sz w:val="20"/>
        </w:rPr>
        <w:t>a hitel fedezettségét a CRR 4. cikk (1) bekezdés 58. és 59.</w:t>
      </w:r>
      <w:r w:rsidR="00E42F49" w:rsidRPr="00A61F3D">
        <w:rPr>
          <w:rFonts w:ascii="Arial" w:hAnsi="Arial" w:cs="Arial"/>
          <w:sz w:val="20"/>
        </w:rPr>
        <w:t xml:space="preserve"> </w:t>
      </w:r>
      <w:r w:rsidR="00AD37B4" w:rsidRPr="00A61F3D">
        <w:rPr>
          <w:rFonts w:ascii="Arial" w:hAnsi="Arial" w:cs="Arial"/>
          <w:sz w:val="20"/>
        </w:rPr>
        <w:t>pontjában, valamint 197</w:t>
      </w:r>
      <w:r w:rsidR="00704E10">
        <w:rPr>
          <w:rFonts w:ascii="Arial" w:hAnsi="Arial" w:cs="Arial"/>
          <w:sz w:val="20"/>
        </w:rPr>
        <w:t>–</w:t>
      </w:r>
      <w:r w:rsidR="00AD37B4" w:rsidRPr="00A61F3D">
        <w:rPr>
          <w:rFonts w:ascii="Arial" w:hAnsi="Arial" w:cs="Arial"/>
          <w:sz w:val="20"/>
        </w:rPr>
        <w:t>203. cikkében meghatározott fedezetek alapján kell megállapítani</w:t>
      </w:r>
      <w:r w:rsidR="009422E9" w:rsidRPr="00A61F3D">
        <w:rPr>
          <w:rFonts w:ascii="Arial" w:hAnsi="Arial" w:cs="Arial"/>
          <w:sz w:val="20"/>
        </w:rPr>
        <w:t xml:space="preserve">. </w:t>
      </w:r>
      <w:r w:rsidR="00D97AAE" w:rsidRPr="00A61F3D">
        <w:rPr>
          <w:rFonts w:ascii="Arial" w:hAnsi="Arial" w:cs="Arial"/>
          <w:sz w:val="20"/>
        </w:rPr>
        <w:t>A kamatstatisztikai jelentések új szerződései esetében, ha a szerződéskötéskor még nem történt meg a jelzálogjog bejegyzés, akkor is úgy kell megállapítani, hogy fedezett-e az adott hitel, mintha a bejegyzés már megtörtént volna. A fedezet értéke meg kell, hogy haladja a hitel összegét vagy azzal egyenértékű.</w:t>
      </w:r>
    </w:p>
    <w:p w14:paraId="5634AE46" w14:textId="77777777" w:rsidR="00701042" w:rsidRPr="00A61F3D" w:rsidRDefault="00701042" w:rsidP="00701042">
      <w:pPr>
        <w:numPr>
          <w:ilvl w:val="1"/>
          <w:numId w:val="8"/>
        </w:numPr>
        <w:tabs>
          <w:tab w:val="left" w:pos="993"/>
        </w:tabs>
        <w:ind w:left="993" w:hanging="567"/>
        <w:rPr>
          <w:rFonts w:ascii="Arial" w:hAnsi="Arial" w:cs="Arial"/>
          <w:sz w:val="20"/>
        </w:rPr>
      </w:pPr>
      <w:r w:rsidRPr="00A61F3D">
        <w:rPr>
          <w:rFonts w:ascii="Arial" w:hAnsi="Arial" w:cs="Arial"/>
          <w:b/>
          <w:sz w:val="20"/>
        </w:rPr>
        <w:t>Hitelköltség mutató</w:t>
      </w:r>
      <w:r w:rsidRPr="00A61F3D">
        <w:rPr>
          <w:rFonts w:ascii="Arial" w:hAnsi="Arial" w:cs="Arial"/>
          <w:sz w:val="20"/>
        </w:rPr>
        <w:t>: az új szerződésre vonatkozó hitelköltség mutató számítására a teljes hiteldíj mutató meghatározásáról, számításáról és közzétételéről szóló</w:t>
      </w:r>
      <w:r w:rsidRPr="00A61F3D">
        <w:rPr>
          <w:rFonts w:ascii="Arial" w:hAnsi="Arial" w:cs="Arial"/>
          <w:b/>
          <w:bCs/>
          <w:sz w:val="20"/>
        </w:rPr>
        <w:t xml:space="preserve"> </w:t>
      </w:r>
      <w:r w:rsidRPr="00A61F3D">
        <w:rPr>
          <w:rFonts w:ascii="Arial" w:hAnsi="Arial" w:cs="Arial"/>
          <w:sz w:val="20"/>
        </w:rPr>
        <w:t>83/2010. (III. 25.)</w:t>
      </w:r>
      <w:r w:rsidRPr="00A61F3D">
        <w:rPr>
          <w:rFonts w:ascii="Arial" w:hAnsi="Arial" w:cs="Arial"/>
          <w:b/>
          <w:bCs/>
          <w:sz w:val="20"/>
        </w:rPr>
        <w:t xml:space="preserve"> </w:t>
      </w:r>
      <w:r w:rsidRPr="00A61F3D">
        <w:rPr>
          <w:rFonts w:ascii="Arial" w:hAnsi="Arial" w:cs="Arial"/>
          <w:sz w:val="20"/>
        </w:rPr>
        <w:t>Korm. rendeletnek [a továbbiakban: 83/2010. (III. 2</w:t>
      </w:r>
      <w:r w:rsidR="007857C4" w:rsidRPr="00A61F3D">
        <w:rPr>
          <w:rFonts w:ascii="Arial" w:hAnsi="Arial" w:cs="Arial"/>
          <w:sz w:val="20"/>
        </w:rPr>
        <w:t>5</w:t>
      </w:r>
      <w:r w:rsidRPr="00A61F3D">
        <w:rPr>
          <w:rFonts w:ascii="Arial" w:hAnsi="Arial" w:cs="Arial"/>
          <w:sz w:val="20"/>
        </w:rPr>
        <w:t>.) Korm. rendelet] a teljes hiteldíj mutató számítására vonatkozó rendelkezései az irányadók, a következő eltérésekkel:</w:t>
      </w:r>
    </w:p>
    <w:p w14:paraId="3E0E901E" w14:textId="77777777" w:rsidR="00701042" w:rsidRPr="00A61F3D" w:rsidRDefault="00CD6357" w:rsidP="00701042">
      <w:pPr>
        <w:numPr>
          <w:ilvl w:val="0"/>
          <w:numId w:val="30"/>
        </w:numPr>
        <w:autoSpaceDE w:val="0"/>
        <w:autoSpaceDN w:val="0"/>
        <w:spacing w:line="276" w:lineRule="auto"/>
        <w:ind w:left="1418" w:hanging="284"/>
        <w:rPr>
          <w:rFonts w:ascii="Arial" w:hAnsi="Arial" w:cs="Arial"/>
          <w:sz w:val="20"/>
        </w:rPr>
      </w:pPr>
      <w:r w:rsidRPr="00A61F3D">
        <w:rPr>
          <w:rFonts w:ascii="Arial" w:hAnsi="Arial" w:cs="Arial"/>
          <w:snapToGrid w:val="0"/>
          <w:sz w:val="20"/>
          <w:lang w:eastAsia="en-US"/>
        </w:rPr>
        <w:t>a</w:t>
      </w:r>
      <w:r w:rsidR="00701042" w:rsidRPr="00A61F3D">
        <w:rPr>
          <w:rFonts w:ascii="Arial" w:hAnsi="Arial" w:cs="Arial"/>
          <w:snapToGrid w:val="0"/>
          <w:sz w:val="20"/>
          <w:lang w:eastAsia="en-US"/>
        </w:rPr>
        <w:t xml:space="preserve"> hitelköltség mutató számításánál a szerződésben rögzített egyedi feltételeket kell figyelembe venni, azaz a feltételhez kötött kamatkedvezményeket is érvényesíteni kell a kamatláb és az abból történő hitelköltség mutató megállapításakor </w:t>
      </w:r>
      <w:r w:rsidRPr="00A61F3D">
        <w:rPr>
          <w:rFonts w:ascii="Arial" w:hAnsi="Arial" w:cs="Arial"/>
          <w:snapToGrid w:val="0"/>
          <w:sz w:val="20"/>
          <w:lang w:eastAsia="en-US"/>
        </w:rPr>
        <w:t>m</w:t>
      </w:r>
      <w:r w:rsidR="00701042" w:rsidRPr="00A61F3D">
        <w:rPr>
          <w:rFonts w:ascii="Arial" w:hAnsi="Arial" w:cs="Arial"/>
          <w:snapToGrid w:val="0"/>
          <w:sz w:val="20"/>
          <w:lang w:eastAsia="en-US"/>
        </w:rPr>
        <w:t>unkavállalónak nyújtott hitel esetében, amennyiben a szerződésben nem rögzíti a hiteldíj mutatót, abban az esetben a szerződésben rögzített szerződéses kamatlábat kell hitelköltség mutató</w:t>
      </w:r>
      <w:r w:rsidRPr="00A61F3D">
        <w:rPr>
          <w:rFonts w:ascii="Arial" w:hAnsi="Arial" w:cs="Arial"/>
          <w:snapToGrid w:val="0"/>
          <w:sz w:val="20"/>
          <w:lang w:eastAsia="en-US"/>
        </w:rPr>
        <w:t>ként jelenteni;</w:t>
      </w:r>
      <w:r w:rsidR="00701042" w:rsidRPr="00A61F3D">
        <w:rPr>
          <w:rFonts w:ascii="Arial" w:hAnsi="Arial" w:cs="Arial"/>
          <w:snapToGrid w:val="0"/>
          <w:sz w:val="20"/>
          <w:lang w:eastAsia="en-US"/>
        </w:rPr>
        <w:t xml:space="preserve"> </w:t>
      </w:r>
    </w:p>
    <w:p w14:paraId="4FBB9CD3" w14:textId="77777777" w:rsidR="00701042" w:rsidRPr="00A61F3D" w:rsidRDefault="00CD6357" w:rsidP="00701042">
      <w:pPr>
        <w:numPr>
          <w:ilvl w:val="0"/>
          <w:numId w:val="30"/>
        </w:numPr>
        <w:autoSpaceDE w:val="0"/>
        <w:autoSpaceDN w:val="0"/>
        <w:spacing w:line="276" w:lineRule="auto"/>
        <w:ind w:left="1418" w:hanging="284"/>
        <w:rPr>
          <w:rFonts w:ascii="Arial" w:hAnsi="Arial" w:cs="Arial"/>
          <w:snapToGrid w:val="0"/>
          <w:sz w:val="20"/>
          <w:lang w:eastAsia="en-US"/>
        </w:rPr>
      </w:pPr>
      <w:r w:rsidRPr="00A61F3D">
        <w:rPr>
          <w:rFonts w:ascii="Arial" w:hAnsi="Arial" w:cs="Arial"/>
          <w:sz w:val="20"/>
        </w:rPr>
        <w:t xml:space="preserve">a </w:t>
      </w:r>
      <w:r w:rsidR="00701042" w:rsidRPr="00A61F3D">
        <w:rPr>
          <w:rFonts w:ascii="Arial" w:hAnsi="Arial" w:cs="Arial"/>
          <w:sz w:val="20"/>
        </w:rPr>
        <w:t xml:space="preserve">támogatott konstrukciók esetében </w:t>
      </w:r>
      <w:r w:rsidR="00701042" w:rsidRPr="00A61F3D">
        <w:rPr>
          <w:rFonts w:ascii="Arial" w:hAnsi="Arial" w:cs="Arial"/>
          <w:snapToGrid w:val="0"/>
          <w:sz w:val="20"/>
          <w:lang w:eastAsia="en-US"/>
        </w:rPr>
        <w:t>lakáshitelnél a kamattámogatás, áruvásárlási hitelnél az eladótól kapott hozzájárulás mértékével korrigált kamatlábat kell figyelembe venni a hitelköltség mutató számításánál</w:t>
      </w:r>
      <w:r w:rsidR="00526979" w:rsidRPr="00A61F3D">
        <w:rPr>
          <w:rFonts w:ascii="Arial" w:hAnsi="Arial" w:cs="Arial"/>
          <w:snapToGrid w:val="0"/>
          <w:sz w:val="20"/>
          <w:lang w:eastAsia="en-US"/>
        </w:rPr>
        <w:t>;</w:t>
      </w:r>
      <w:r w:rsidR="00701042" w:rsidRPr="00A61F3D">
        <w:rPr>
          <w:rFonts w:ascii="Arial" w:hAnsi="Arial" w:cs="Arial"/>
          <w:sz w:val="20"/>
        </w:rPr>
        <w:t xml:space="preserve"> hitelköltség mutató – néhány egyedi konstrukciótól eltekintve – általában nagyobb vagy egyenlő az adott soron jelentett évesített kamatlábnál</w:t>
      </w:r>
      <w:r w:rsidRPr="00A61F3D">
        <w:rPr>
          <w:rFonts w:ascii="Arial" w:hAnsi="Arial" w:cs="Arial"/>
          <w:sz w:val="20"/>
        </w:rPr>
        <w:t>;</w:t>
      </w:r>
      <w:r w:rsidR="00701042" w:rsidRPr="00A61F3D">
        <w:rPr>
          <w:rFonts w:ascii="Arial" w:hAnsi="Arial" w:cs="Arial"/>
          <w:sz w:val="20"/>
        </w:rPr>
        <w:t xml:space="preserve"> </w:t>
      </w:r>
      <w:r w:rsidR="00701042" w:rsidRPr="00A61F3D">
        <w:rPr>
          <w:rFonts w:ascii="Arial" w:hAnsi="Arial" w:cs="Arial"/>
          <w:snapToGrid w:val="0"/>
          <w:sz w:val="20"/>
          <w:lang w:eastAsia="en-US"/>
        </w:rPr>
        <w:t> </w:t>
      </w:r>
    </w:p>
    <w:p w14:paraId="6B7C20E4" w14:textId="77777777" w:rsidR="00701042" w:rsidRPr="00A61F3D" w:rsidRDefault="00701042" w:rsidP="00701042">
      <w:pPr>
        <w:numPr>
          <w:ilvl w:val="0"/>
          <w:numId w:val="30"/>
        </w:numPr>
        <w:autoSpaceDE w:val="0"/>
        <w:autoSpaceDN w:val="0"/>
        <w:spacing w:line="276" w:lineRule="auto"/>
        <w:ind w:left="1418" w:hanging="284"/>
        <w:rPr>
          <w:rFonts w:ascii="Arial" w:hAnsi="Arial" w:cs="Arial"/>
          <w:sz w:val="20"/>
        </w:rPr>
      </w:pPr>
      <w:r w:rsidRPr="00A61F3D">
        <w:rPr>
          <w:rFonts w:ascii="Arial" w:hAnsi="Arial" w:cs="Arial"/>
          <w:sz w:val="20"/>
        </w:rPr>
        <w:t>újratárgyalt hitel esetében az újratárgyalás hónapjától a hitel lejárat</w:t>
      </w:r>
      <w:r w:rsidR="00CD6357" w:rsidRPr="00A61F3D">
        <w:rPr>
          <w:rFonts w:ascii="Arial" w:hAnsi="Arial" w:cs="Arial"/>
          <w:sz w:val="20"/>
        </w:rPr>
        <w:t>á</w:t>
      </w:r>
      <w:r w:rsidRPr="00A61F3D">
        <w:rPr>
          <w:rFonts w:ascii="Arial" w:hAnsi="Arial" w:cs="Arial"/>
          <w:sz w:val="20"/>
        </w:rPr>
        <w:t>ig terjedő időszakra kell a hitelköltség mutató értékét újraszámolni</w:t>
      </w:r>
      <w:r w:rsidR="00CD6357" w:rsidRPr="00A61F3D">
        <w:rPr>
          <w:rFonts w:ascii="Arial" w:hAnsi="Arial" w:cs="Arial"/>
          <w:sz w:val="20"/>
        </w:rPr>
        <w:t>, az új szerződéses kamatlábat alapul véve;</w:t>
      </w:r>
    </w:p>
    <w:p w14:paraId="1406CDA8" w14:textId="77777777" w:rsidR="00701042" w:rsidRPr="00A61F3D" w:rsidRDefault="00CD6357" w:rsidP="00701042">
      <w:pPr>
        <w:numPr>
          <w:ilvl w:val="0"/>
          <w:numId w:val="30"/>
        </w:numPr>
        <w:autoSpaceDE w:val="0"/>
        <w:autoSpaceDN w:val="0"/>
        <w:spacing w:line="276" w:lineRule="auto"/>
        <w:ind w:left="1418" w:hanging="284"/>
        <w:rPr>
          <w:rFonts w:ascii="Arial" w:hAnsi="Arial" w:cs="Arial"/>
          <w:sz w:val="20"/>
        </w:rPr>
      </w:pPr>
      <w:r w:rsidRPr="00A61F3D">
        <w:rPr>
          <w:rFonts w:ascii="Arial" w:hAnsi="Arial" w:cs="Arial"/>
          <w:snapToGrid w:val="0"/>
          <w:sz w:val="20"/>
          <w:lang w:eastAsia="en-US"/>
        </w:rPr>
        <w:t xml:space="preserve">megtakarítással kombinált hitel esetében, </w:t>
      </w:r>
      <w:r w:rsidRPr="00A61F3D">
        <w:rPr>
          <w:rFonts w:ascii="Arial" w:hAnsi="Arial" w:cs="Arial"/>
          <w:sz w:val="20"/>
        </w:rPr>
        <w:t>ahol az áthidaló kölcsön és a lakáskölcsön jogszabály szerinti összevont induló teljes hiteldíj mutató értéke kerül megállapításra,</w:t>
      </w:r>
      <w:r w:rsidRPr="00A61F3D">
        <w:rPr>
          <w:rFonts w:ascii="Arial" w:hAnsi="Arial" w:cs="Arial"/>
          <w:snapToGrid w:val="0"/>
          <w:sz w:val="20"/>
          <w:lang w:eastAsia="en-US"/>
        </w:rPr>
        <w:t xml:space="preserve"> </w:t>
      </w:r>
      <w:r w:rsidR="00701042" w:rsidRPr="00A61F3D">
        <w:rPr>
          <w:rFonts w:ascii="Arial" w:hAnsi="Arial" w:cs="Arial"/>
          <w:snapToGrid w:val="0"/>
          <w:sz w:val="20"/>
          <w:lang w:eastAsia="en-US"/>
        </w:rPr>
        <w:t>nem alkalmazható a</w:t>
      </w:r>
      <w:r w:rsidR="00701042" w:rsidRPr="00A61F3D">
        <w:rPr>
          <w:rFonts w:ascii="Arial" w:hAnsi="Arial" w:cs="Arial"/>
          <w:sz w:val="20"/>
        </w:rPr>
        <w:t xml:space="preserve"> 83/2010. (III. 25.) Korm. rendelet</w:t>
      </w:r>
      <w:r w:rsidR="00815732" w:rsidRPr="00A61F3D">
        <w:rPr>
          <w:rFonts w:ascii="Arial" w:hAnsi="Arial" w:cs="Arial"/>
          <w:sz w:val="20"/>
        </w:rPr>
        <w:t xml:space="preserve"> 8. § (3) bekezdése</w:t>
      </w:r>
      <w:r w:rsidR="00653C87" w:rsidRPr="00A61F3D">
        <w:rPr>
          <w:rFonts w:ascii="Arial" w:hAnsi="Arial" w:cs="Arial"/>
          <w:sz w:val="20"/>
        </w:rPr>
        <w:t>, tehát</w:t>
      </w:r>
      <w:bookmarkStart w:id="6" w:name="_Hlk511044224"/>
      <w:r w:rsidR="00653C87" w:rsidRPr="00A61F3D">
        <w:rPr>
          <w:rFonts w:ascii="Arial" w:hAnsi="Arial" w:cs="Arial"/>
          <w:sz w:val="20"/>
        </w:rPr>
        <w:t xml:space="preserve"> a</w:t>
      </w:r>
      <w:r w:rsidR="00701042" w:rsidRPr="00A61F3D">
        <w:rPr>
          <w:rFonts w:ascii="Arial" w:hAnsi="Arial" w:cs="Arial"/>
          <w:snapToGrid w:val="0"/>
          <w:sz w:val="20"/>
          <w:lang w:eastAsia="en-US"/>
        </w:rPr>
        <w:t xml:space="preserve"> két hitelre külön-külön hitelköltség mutatót kell megállapítani, illetve a két hitellel kapcsolatban felmerült minden olyan költséget, amelyek mindkét hitelt terhelik (pl. ingatlan értékbecslés, ügyintézői díj, TAKARNET díj)</w:t>
      </w:r>
      <w:r w:rsidR="00345E68" w:rsidRPr="00A61F3D">
        <w:rPr>
          <w:rFonts w:ascii="Arial" w:hAnsi="Arial" w:cs="Arial"/>
          <w:snapToGrid w:val="0"/>
          <w:sz w:val="20"/>
          <w:lang w:eastAsia="en-US"/>
        </w:rPr>
        <w:t>,</w:t>
      </w:r>
      <w:r w:rsidR="00701042" w:rsidRPr="00A61F3D">
        <w:rPr>
          <w:rFonts w:ascii="Arial" w:hAnsi="Arial" w:cs="Arial"/>
          <w:snapToGrid w:val="0"/>
          <w:sz w:val="20"/>
          <w:lang w:eastAsia="en-US"/>
        </w:rPr>
        <w:t xml:space="preserve"> a futamidő arányában szét kell osztani a két hitel között, és a cash-flow-k számításánál a szétosztott költségeket kell figyelembe venni az átlagos hitelköltség mutató esetében.</w:t>
      </w:r>
      <w:bookmarkEnd w:id="6"/>
    </w:p>
    <w:p w14:paraId="640C5F33"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Kamatfixálás: </w:t>
      </w:r>
      <w:r w:rsidRPr="00A61F3D">
        <w:rPr>
          <w:rFonts w:ascii="Arial" w:hAnsi="Arial" w:cs="Arial"/>
          <w:sz w:val="20"/>
        </w:rPr>
        <w:t xml:space="preserve">a kamatláb előre rögzítése bizonyos időtartamra. </w:t>
      </w:r>
    </w:p>
    <w:p w14:paraId="49AD1812"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Lezárt (likvidált) ügylet:</w:t>
      </w:r>
      <w:r w:rsidRPr="00A61F3D">
        <w:rPr>
          <w:rFonts w:ascii="Arial" w:hAnsi="Arial" w:cs="Arial"/>
          <w:sz w:val="20"/>
        </w:rPr>
        <w:t xml:space="preserve"> olyan ügylet, amelyet a lejárat előtt egy ellenkező irányú ügylettel vagy nettósítással zárnak le.</w:t>
      </w:r>
    </w:p>
    <w:p w14:paraId="10813DA3" w14:textId="77777777" w:rsidR="004C78E7" w:rsidRPr="00A61F3D" w:rsidRDefault="004C78E7" w:rsidP="007276FB">
      <w:pPr>
        <w:numPr>
          <w:ilvl w:val="1"/>
          <w:numId w:val="8"/>
        </w:numPr>
        <w:tabs>
          <w:tab w:val="left" w:pos="993"/>
        </w:tabs>
        <w:ind w:left="993" w:hanging="567"/>
        <w:rPr>
          <w:rFonts w:ascii="Arial" w:hAnsi="Arial" w:cs="Arial"/>
          <w:sz w:val="20"/>
        </w:rPr>
      </w:pPr>
      <w:r w:rsidRPr="00A61F3D">
        <w:rPr>
          <w:rFonts w:ascii="Arial" w:hAnsi="Arial" w:cs="Arial"/>
          <w:b/>
          <w:sz w:val="20"/>
        </w:rPr>
        <w:t>Money market típusú hitel:</w:t>
      </w:r>
      <w:r w:rsidRPr="00A61F3D">
        <w:rPr>
          <w:rFonts w:ascii="Arial" w:hAnsi="Arial" w:cs="Arial"/>
          <w:sz w:val="20"/>
        </w:rPr>
        <w:t xml:space="preserve"> jellemzően nagyvállalatokkal a treasury-n keresztül, a bankközi ügyletekhez hasonló kamatfeltételekkel kötött, általában rövid futamidővel rendelkező hitel.</w:t>
      </w:r>
    </w:p>
    <w:p w14:paraId="49265A8D"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Referenciakamat:</w:t>
      </w:r>
      <w:r w:rsidRPr="00A61F3D">
        <w:rPr>
          <w:rFonts w:ascii="Arial" w:hAnsi="Arial" w:cs="Arial"/>
          <w:sz w:val="20"/>
        </w:rPr>
        <w:t xml:space="preserve"> olyan, széles körben használt kamatláb, amelyhez a szerződések változó kamatát indexálják.</w:t>
      </w:r>
    </w:p>
    <w:p w14:paraId="5F6C9FDF"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Rövid lejárat:</w:t>
      </w:r>
      <w:r w:rsidRPr="00A61F3D">
        <w:rPr>
          <w:rFonts w:ascii="Arial" w:hAnsi="Arial" w:cs="Arial"/>
          <w:sz w:val="20"/>
        </w:rPr>
        <w:t xml:space="preserve"> az instrumentum eredeti lejárata legfeljebb 1 év.</w:t>
      </w:r>
    </w:p>
    <w:p w14:paraId="653E273E"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Szerződéses kamatláb: </w:t>
      </w:r>
      <w:r w:rsidRPr="00A61F3D">
        <w:rPr>
          <w:rFonts w:ascii="Arial" w:hAnsi="Arial" w:cs="Arial"/>
          <w:sz w:val="20"/>
        </w:rPr>
        <w:t>az ügyféllel kötött szerződésben meghatározott kamatláb.</w:t>
      </w:r>
    </w:p>
    <w:p w14:paraId="1C7471AF"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t>Amennyiben a szerződéskötéskor még nem ismert a kamatláb, amellyel az ügyfél igénybe veszi a hitelt, a szerződéses kamatláb megegyezik az első hitelfolyósítás kamatlábával.</w:t>
      </w:r>
    </w:p>
    <w:p w14:paraId="3A39F93A"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t>Azon változó kamatozású új hitelszerződések esetében, amelyeknél a kamatláb a folyósítás napján érvényes báziskamatlábhoz van kötve (és így a szerződéskötés pillanatában még nem ismert), a szerződéses kamatláb megegyezik a szerződéskötés napján érvényes aktuális báziskamattal.</w:t>
      </w:r>
    </w:p>
    <w:p w14:paraId="5D1AF7D1" w14:textId="77777777" w:rsidR="006805CF" w:rsidRPr="00A61F3D" w:rsidRDefault="00AC13E5" w:rsidP="00006C62">
      <w:pPr>
        <w:tabs>
          <w:tab w:val="left" w:pos="993"/>
        </w:tabs>
        <w:ind w:left="993"/>
        <w:rPr>
          <w:rFonts w:ascii="Arial" w:hAnsi="Arial" w:cs="Arial"/>
          <w:sz w:val="20"/>
        </w:rPr>
      </w:pPr>
      <w:r w:rsidRPr="00A61F3D">
        <w:rPr>
          <w:rFonts w:ascii="Arial" w:hAnsi="Arial" w:cs="Arial"/>
          <w:sz w:val="20"/>
        </w:rPr>
        <w:t xml:space="preserve">A lekötési idő függvényében sávosan kamatozó betétek esetében, ha már a szerződéskötéskor is egyértelmű a lekötés futamideje, akkor a szerződéses kamatláb </w:t>
      </w:r>
      <w:r w:rsidRPr="00A61F3D">
        <w:rPr>
          <w:rFonts w:ascii="Arial" w:hAnsi="Arial" w:cs="Arial"/>
          <w:sz w:val="20"/>
        </w:rPr>
        <w:lastRenderedPageBreak/>
        <w:t>megegyezik az egyes sávokhoz tartozó kamatlábak súlyozott átlagával. Amennyiben a szerződéskötéskor még nem egyértelmű, hogy az ügyfél mennyi időre fogja</w:t>
      </w:r>
      <w:r w:rsidRPr="00A61F3D">
        <w:rPr>
          <w:rFonts w:ascii="Arial" w:hAnsi="Arial" w:cs="Arial"/>
          <w:i/>
          <w:sz w:val="20"/>
        </w:rPr>
        <w:t xml:space="preserve"> </w:t>
      </w:r>
      <w:r w:rsidRPr="00A61F3D">
        <w:rPr>
          <w:rFonts w:ascii="Arial" w:hAnsi="Arial" w:cs="Arial"/>
          <w:sz w:val="20"/>
        </w:rPr>
        <w:t>lekötni a betétet, a szerződéses kamatláb megegyezik a legrövidebb futamidőhöz tartozó kamatlábbal.</w:t>
      </w:r>
    </w:p>
    <w:p w14:paraId="6EA1ED48" w14:textId="77777777" w:rsidR="006805CF" w:rsidRPr="00A61F3D" w:rsidRDefault="00AC13E5" w:rsidP="00006C62">
      <w:pPr>
        <w:tabs>
          <w:tab w:val="left" w:pos="720"/>
          <w:tab w:val="left" w:pos="993"/>
        </w:tabs>
        <w:ind w:left="993"/>
        <w:rPr>
          <w:rFonts w:ascii="Arial" w:hAnsi="Arial" w:cs="Arial"/>
          <w:b/>
          <w:sz w:val="20"/>
        </w:rPr>
      </w:pPr>
      <w:r w:rsidRPr="00A61F3D">
        <w:rPr>
          <w:rFonts w:ascii="Arial" w:hAnsi="Arial" w:cs="Arial"/>
          <w:sz w:val="20"/>
        </w:rPr>
        <w:t>A lekötött összeg függvényében sávos kamatozású betétek esetében a szerződéses kamatláb megegyezik a súlyozott átlagkamatlábbal, mivel a szerződéskötéskor minden esetben ismert a lekötött összeg és az összeghatárokhoz tartozó kamatlábak is.</w:t>
      </w:r>
    </w:p>
    <w:p w14:paraId="5518D39F" w14:textId="77777777" w:rsidR="006805CF" w:rsidRPr="00A61F3D" w:rsidRDefault="00AC13E5" w:rsidP="007276FB">
      <w:pPr>
        <w:numPr>
          <w:ilvl w:val="1"/>
          <w:numId w:val="8"/>
        </w:numPr>
        <w:tabs>
          <w:tab w:val="left" w:pos="993"/>
        </w:tabs>
        <w:ind w:left="993" w:hanging="567"/>
        <w:rPr>
          <w:rFonts w:ascii="Arial" w:hAnsi="Arial" w:cs="Arial"/>
          <w:b/>
          <w:sz w:val="20"/>
        </w:rPr>
      </w:pPr>
      <w:r w:rsidRPr="00A61F3D">
        <w:rPr>
          <w:rFonts w:ascii="Arial" w:hAnsi="Arial" w:cs="Arial"/>
          <w:b/>
          <w:sz w:val="20"/>
        </w:rPr>
        <w:t xml:space="preserve">Új szerződés: </w:t>
      </w:r>
      <w:r w:rsidRPr="00A61F3D">
        <w:rPr>
          <w:rFonts w:ascii="Arial" w:hAnsi="Arial" w:cs="Arial"/>
          <w:sz w:val="20"/>
        </w:rPr>
        <w:t>minden olyan új pénzügyi jellegű megállapodás az adatszolgáltató és az ügyfelek között, amely</w:t>
      </w:r>
      <w:r w:rsidRPr="00A61F3D">
        <w:rPr>
          <w:rFonts w:ascii="Arial" w:hAnsi="Arial" w:cs="Arial"/>
          <w:b/>
          <w:sz w:val="20"/>
        </w:rPr>
        <w:t xml:space="preserve"> </w:t>
      </w:r>
    </w:p>
    <w:p w14:paraId="347B6D54"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 xml:space="preserve">elsőként határozza meg a betét </w:t>
      </w:r>
      <w:r w:rsidR="006A0724" w:rsidRPr="00A61F3D">
        <w:rPr>
          <w:rFonts w:ascii="Arial" w:hAnsi="Arial" w:cs="Arial"/>
          <w:sz w:val="20"/>
        </w:rPr>
        <w:t xml:space="preserve">és </w:t>
      </w:r>
      <w:r w:rsidRPr="00A61F3D">
        <w:rPr>
          <w:rFonts w:ascii="Arial" w:hAnsi="Arial" w:cs="Arial"/>
          <w:sz w:val="20"/>
        </w:rPr>
        <w:t>a hitel kamatlábát,</w:t>
      </w:r>
    </w:p>
    <w:p w14:paraId="7E1DFEF0"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a meglévő hitelre és betétre vonatkozó új megállapodás, ha a</w:t>
      </w:r>
      <w:r w:rsidR="006A0724" w:rsidRPr="00A61F3D">
        <w:rPr>
          <w:rFonts w:ascii="Arial" w:hAnsi="Arial" w:cs="Arial"/>
          <w:sz w:val="20"/>
        </w:rPr>
        <w:t xml:space="preserve"> betét és a</w:t>
      </w:r>
      <w:r w:rsidRPr="00A61F3D">
        <w:rPr>
          <w:rFonts w:ascii="Arial" w:hAnsi="Arial" w:cs="Arial"/>
          <w:sz w:val="20"/>
        </w:rPr>
        <w:t xml:space="preserve"> hitel típusa megváltozik, vagy ha a kamatkondíciókban – beleértve az egyéb költségeket is – változás van.</w:t>
      </w:r>
    </w:p>
    <w:p w14:paraId="5FCA2BB5" w14:textId="77777777" w:rsidR="00AC13E5" w:rsidRPr="00A61F3D" w:rsidRDefault="00AC13E5" w:rsidP="00AC13E5">
      <w:pPr>
        <w:ind w:left="993"/>
        <w:rPr>
          <w:rFonts w:ascii="Arial" w:hAnsi="Arial" w:cs="Arial"/>
          <w:sz w:val="20"/>
        </w:rPr>
      </w:pPr>
      <w:r w:rsidRPr="00A61F3D">
        <w:rPr>
          <w:rFonts w:ascii="Arial" w:hAnsi="Arial" w:cs="Arial"/>
          <w:sz w:val="20"/>
        </w:rPr>
        <w:t xml:space="preserve">Az adatszolgáltatás szempontjából újnak tekintendő az átárazott szerződés is, kivéve az az átárazás, </w:t>
      </w:r>
      <w:r w:rsidR="00CA2F4F" w:rsidRPr="00A61F3D">
        <w:rPr>
          <w:rFonts w:ascii="Arial" w:hAnsi="Arial" w:cs="Arial"/>
          <w:sz w:val="20"/>
        </w:rPr>
        <w:t>a</w:t>
      </w:r>
      <w:r w:rsidRPr="00A61F3D">
        <w:rPr>
          <w:rFonts w:ascii="Arial" w:hAnsi="Arial" w:cs="Arial"/>
          <w:sz w:val="20"/>
        </w:rPr>
        <w:t>mely</w:t>
      </w:r>
    </w:p>
    <w:p w14:paraId="69FB9598"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automatikusan – az eredeti szerződés alapján, az ügyfél közreműködése nélkül – történik, és ahol nem tárgyalják újra a feltételeket és a kamatlábat sem (pl</w:t>
      </w:r>
      <w:r w:rsidR="00BA6F21" w:rsidRPr="00A61F3D">
        <w:rPr>
          <w:rFonts w:ascii="Arial" w:hAnsi="Arial" w:cs="Arial"/>
          <w:sz w:val="20"/>
        </w:rPr>
        <w:t>.</w:t>
      </w:r>
      <w:r w:rsidRPr="00A61F3D">
        <w:rPr>
          <w:rFonts w:ascii="Arial" w:hAnsi="Arial" w:cs="Arial"/>
          <w:sz w:val="20"/>
        </w:rPr>
        <w:t xml:space="preserve"> a folyamatos lekötésű betéti konstrukciók, amennyiben a lekötés futamidejét az ügyfél nem változtatja meg), vagy</w:t>
      </w:r>
    </w:p>
    <w:p w14:paraId="73A6D610" w14:textId="77777777" w:rsidR="00AC13E5" w:rsidRPr="00A61F3D" w:rsidRDefault="00AC13E5" w:rsidP="007276FB">
      <w:pPr>
        <w:numPr>
          <w:ilvl w:val="0"/>
          <w:numId w:val="13"/>
        </w:numPr>
        <w:ind w:left="1418" w:hanging="284"/>
        <w:rPr>
          <w:rFonts w:ascii="Arial" w:hAnsi="Arial" w:cs="Arial"/>
          <w:sz w:val="20"/>
        </w:rPr>
      </w:pPr>
      <w:r w:rsidRPr="00A61F3D">
        <w:rPr>
          <w:rFonts w:ascii="Arial" w:hAnsi="Arial" w:cs="Arial"/>
          <w:sz w:val="20"/>
        </w:rPr>
        <w:t xml:space="preserve"> fix kamatozású konstrukció automatikus átalakulása változó kamatozásúvá, vagy fordítva, amennyiben ezt az átalakulást már az eredeti szerződésben rögzítették.</w:t>
      </w:r>
    </w:p>
    <w:p w14:paraId="626F0897"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t xml:space="preserve">Új szerződésnek tekintendő a tárgyhónapban kötött új betétszerződés akkor is, ha az a tárgyhónapban lejár, illetve </w:t>
      </w:r>
      <w:r w:rsidR="006A0724" w:rsidRPr="00A61F3D">
        <w:rPr>
          <w:rFonts w:ascii="Arial" w:hAnsi="Arial" w:cs="Arial"/>
          <w:sz w:val="20"/>
        </w:rPr>
        <w:t xml:space="preserve">ha </w:t>
      </w:r>
      <w:r w:rsidRPr="00A61F3D">
        <w:rPr>
          <w:rFonts w:ascii="Arial" w:hAnsi="Arial" w:cs="Arial"/>
          <w:sz w:val="20"/>
        </w:rPr>
        <w:t>az ügyfél a tárgyhónapban felmondja a betétet.</w:t>
      </w:r>
    </w:p>
    <w:p w14:paraId="58A96E88"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t>Új szerződésnek tekintendő, ha az adatszolgáltató az ügyfél bankszámlájáról rendszeresen – az ügyféllel kötött egyszeri szerződés alapján – növeli a már meglévő lekötött betétet.</w:t>
      </w:r>
    </w:p>
    <w:p w14:paraId="770243E6" w14:textId="77777777" w:rsidR="006805CF" w:rsidRPr="00A61F3D" w:rsidRDefault="00AC13E5" w:rsidP="00FC7EFB">
      <w:pPr>
        <w:tabs>
          <w:tab w:val="num" w:pos="993"/>
        </w:tabs>
        <w:ind w:left="993"/>
        <w:rPr>
          <w:rFonts w:ascii="Arial" w:hAnsi="Arial" w:cs="Arial"/>
          <w:sz w:val="20"/>
        </w:rPr>
      </w:pPr>
      <w:r w:rsidRPr="00A61F3D">
        <w:rPr>
          <w:rFonts w:ascii="Arial" w:hAnsi="Arial" w:cs="Arial"/>
          <w:sz w:val="20"/>
        </w:rPr>
        <w:t>Amennyiben egy lekötött betéthez az ügyfél tetszőleges gyakorisággal fizethet be újabb összegeket, minden befizetés új szerződésnek minősül.</w:t>
      </w:r>
    </w:p>
    <w:p w14:paraId="2CF3CF5C" w14:textId="179DD030" w:rsidR="006805CF" w:rsidRPr="00A61F3D" w:rsidRDefault="00AC13E5" w:rsidP="00FC7EFB">
      <w:pPr>
        <w:tabs>
          <w:tab w:val="num" w:pos="993"/>
        </w:tabs>
        <w:ind w:left="993"/>
        <w:rPr>
          <w:rFonts w:ascii="Arial" w:hAnsi="Arial" w:cs="Arial"/>
          <w:sz w:val="20"/>
        </w:rPr>
      </w:pPr>
      <w:r w:rsidRPr="00A61F3D">
        <w:rPr>
          <w:rFonts w:ascii="Arial" w:hAnsi="Arial" w:cs="Arial"/>
          <w:sz w:val="20"/>
        </w:rPr>
        <w:t>Új szerződésnek minősül a meglévő hitelkeret növelése is (kivéve a folyószámla-hitel</w:t>
      </w:r>
      <w:r w:rsidR="001B1D35" w:rsidRPr="00A61F3D">
        <w:rPr>
          <w:rFonts w:ascii="Arial" w:hAnsi="Arial" w:cs="Arial"/>
          <w:sz w:val="20"/>
        </w:rPr>
        <w:t xml:space="preserve">ként </w:t>
      </w:r>
      <w:r w:rsidRPr="00A61F3D">
        <w:rPr>
          <w:rFonts w:ascii="Arial" w:hAnsi="Arial" w:cs="Arial"/>
          <w:sz w:val="20"/>
        </w:rPr>
        <w:t>jelentendő rulírozó és roll-over hiteleket). Ebben az esetben csak a hitelkeret-növekményt kell jelenteni.</w:t>
      </w:r>
    </w:p>
    <w:p w14:paraId="2066B931" w14:textId="77777777" w:rsidR="006805CF" w:rsidRPr="00A61F3D" w:rsidRDefault="00AC13E5" w:rsidP="00FC7EFB">
      <w:pPr>
        <w:tabs>
          <w:tab w:val="left" w:pos="993"/>
        </w:tabs>
        <w:ind w:left="993"/>
        <w:rPr>
          <w:rFonts w:ascii="Arial" w:hAnsi="Arial" w:cs="Arial"/>
          <w:sz w:val="20"/>
        </w:rPr>
      </w:pPr>
      <w:r w:rsidRPr="00A61F3D">
        <w:rPr>
          <w:rFonts w:ascii="Arial" w:hAnsi="Arial" w:cs="Arial"/>
          <w:sz w:val="20"/>
        </w:rPr>
        <w:t>Új szerződésnek minősül a hitel devizanemének megváltozása, vagy ha lineáris kamatozásból annuitásossá válik a hitel. Ha a hitel devizanemének megváltoztatására már az eredeti szerződéskötéskor lehetőséget kap az ügyfél, akkor a futamidő alatti devizanemváltás nem minősül új szerződésnek.</w:t>
      </w:r>
    </w:p>
    <w:p w14:paraId="1FDB4C31" w14:textId="77777777" w:rsidR="006805CF" w:rsidRPr="00A61F3D" w:rsidRDefault="00AC13E5" w:rsidP="00252D00">
      <w:pPr>
        <w:tabs>
          <w:tab w:val="left" w:pos="993"/>
        </w:tabs>
        <w:ind w:left="993"/>
        <w:rPr>
          <w:rFonts w:ascii="Arial" w:hAnsi="Arial" w:cs="Arial"/>
          <w:sz w:val="20"/>
        </w:rPr>
      </w:pPr>
      <w:r w:rsidRPr="00A61F3D">
        <w:rPr>
          <w:rFonts w:ascii="Arial" w:hAnsi="Arial" w:cs="Arial"/>
          <w:sz w:val="20"/>
        </w:rPr>
        <w:t>Egy kombinált termék (pl. lakáshitel lakástakarék megtakarítással vagy életbiztosítással) módosítása normál annuitásos hitellé, vagy fordítva nem minősül új szerződésnek, kivéve, ha a kamatkondíciókban vagy az egyéb költségekben is változás van.</w:t>
      </w:r>
    </w:p>
    <w:p w14:paraId="3B06C0E7"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A hitel esetében új szerződésnek minősül az eredeti szerződésben rögzített teljes összeg (hitelkeret) akkor is, ha a hitelt részletekben veszik igénybe.</w:t>
      </w:r>
    </w:p>
    <w:p w14:paraId="0D23343D"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Amennyiben a szerződéskötéskor még nem ismert a kamatláb, amellyel az ügyfél igénybe veszi a hitelt, az új szerződés összege megegyezik a teljes hitelkerettel az első folyósítás időpontjában.</w:t>
      </w:r>
    </w:p>
    <w:p w14:paraId="1A97C53B" w14:textId="77777777" w:rsidR="002A66AC" w:rsidRPr="00A61F3D" w:rsidRDefault="002A66AC" w:rsidP="002A66AC">
      <w:pPr>
        <w:tabs>
          <w:tab w:val="left" w:pos="993"/>
        </w:tabs>
        <w:ind w:left="993" w:hanging="567"/>
        <w:rPr>
          <w:rFonts w:ascii="Arial" w:hAnsi="Arial" w:cs="Arial"/>
          <w:sz w:val="20"/>
        </w:rPr>
      </w:pPr>
      <w:r w:rsidRPr="00A61F3D">
        <w:rPr>
          <w:rFonts w:ascii="Arial" w:hAnsi="Arial" w:cs="Arial"/>
          <w:sz w:val="20"/>
        </w:rPr>
        <w:tab/>
      </w:r>
      <w:r w:rsidR="006A0724" w:rsidRPr="00A61F3D">
        <w:rPr>
          <w:rFonts w:ascii="Arial" w:hAnsi="Arial" w:cs="Arial"/>
          <w:snapToGrid w:val="0"/>
          <w:sz w:val="20"/>
          <w:lang w:eastAsia="en-US"/>
        </w:rPr>
        <w:t>Amennyiben a szerződés rögzíti a kamatláb alapjául szolgáló referenciakamatot, akkor a kamatláb nem tekinthető a szerződéskötéskor még nem ismertnek függetlenül attól, hogy a folyósítás megtörtént-e vagy sem.</w:t>
      </w:r>
    </w:p>
    <w:p w14:paraId="4B761D55" w14:textId="77777777" w:rsidR="006805CF" w:rsidRPr="00A61F3D" w:rsidRDefault="00AC13E5" w:rsidP="00A033BB">
      <w:pPr>
        <w:tabs>
          <w:tab w:val="left" w:pos="993"/>
        </w:tabs>
        <w:ind w:left="993" w:hanging="567"/>
        <w:rPr>
          <w:rFonts w:ascii="Arial" w:hAnsi="Arial" w:cs="Arial"/>
          <w:sz w:val="20"/>
        </w:rPr>
      </w:pPr>
      <w:r w:rsidRPr="00A61F3D">
        <w:rPr>
          <w:rFonts w:ascii="Arial" w:hAnsi="Arial" w:cs="Arial"/>
          <w:sz w:val="20"/>
        </w:rPr>
        <w:tab/>
        <w:t>Az ún. multicurrency hitelek esetében az első lehíváskor kell új szerződést jelenteni a lehívás devizanemében, ahol is az új szerződés összege megegyezik a szerződésben szereplő teljes hitel/hitelkeret összegével.</w:t>
      </w:r>
    </w:p>
    <w:p w14:paraId="0D5028DD" w14:textId="77777777" w:rsidR="006A0724" w:rsidRPr="00A61F3D" w:rsidRDefault="006A0724"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Újratárgyalt szerződés: </w:t>
      </w:r>
      <w:r w:rsidR="009853DF" w:rsidRPr="00A61F3D">
        <w:rPr>
          <w:rFonts w:ascii="Arial" w:hAnsi="Arial" w:cs="Arial"/>
          <w:sz w:val="20"/>
        </w:rPr>
        <w:t>a</w:t>
      </w:r>
      <w:r w:rsidRPr="00A61F3D">
        <w:rPr>
          <w:rFonts w:ascii="Arial" w:hAnsi="Arial" w:cs="Arial"/>
          <w:sz w:val="20"/>
        </w:rPr>
        <w:t xml:space="preserve">z új szerződés egyik alkategóriája. Újratárgyaltnak minősül </w:t>
      </w:r>
    </w:p>
    <w:p w14:paraId="573C57BD" w14:textId="77777777" w:rsidR="006A0724" w:rsidRPr="00A61F3D" w:rsidRDefault="006A0724" w:rsidP="006A0724">
      <w:pPr>
        <w:tabs>
          <w:tab w:val="left" w:pos="1418"/>
        </w:tabs>
        <w:ind w:left="1418" w:hanging="284"/>
        <w:rPr>
          <w:rFonts w:ascii="Arial" w:hAnsi="Arial" w:cs="Arial"/>
          <w:sz w:val="20"/>
        </w:rPr>
      </w:pPr>
      <w:r w:rsidRPr="00A61F3D">
        <w:rPr>
          <w:rFonts w:ascii="Arial" w:hAnsi="Arial" w:cs="Arial"/>
          <w:sz w:val="20"/>
        </w:rPr>
        <w:t>-</w:t>
      </w:r>
      <w:r w:rsidRPr="00A61F3D">
        <w:rPr>
          <w:rFonts w:ascii="Arial" w:hAnsi="Arial" w:cs="Arial"/>
          <w:sz w:val="20"/>
        </w:rPr>
        <w:tab/>
        <w:t>a meglévő betétre, hitelre vonatkozó új megállapodás, ha a betét, hitel típusa megváltozik, vagy ha a kamatkondíciókban – beleértve az egyéb költségeket is – változás van,</w:t>
      </w:r>
    </w:p>
    <w:p w14:paraId="40FEC301" w14:textId="77777777" w:rsidR="006A0724" w:rsidRPr="00A61F3D" w:rsidRDefault="006A0724" w:rsidP="006A0724">
      <w:pPr>
        <w:tabs>
          <w:tab w:val="left" w:pos="1418"/>
        </w:tabs>
        <w:ind w:left="1418" w:hanging="284"/>
        <w:rPr>
          <w:rFonts w:ascii="Arial" w:hAnsi="Arial" w:cs="Arial"/>
          <w:sz w:val="20"/>
        </w:rPr>
      </w:pPr>
      <w:r w:rsidRPr="00A61F3D">
        <w:rPr>
          <w:rFonts w:ascii="Arial" w:hAnsi="Arial" w:cs="Arial"/>
          <w:sz w:val="20"/>
        </w:rPr>
        <w:t>-</w:t>
      </w:r>
      <w:r w:rsidRPr="00A61F3D">
        <w:rPr>
          <w:rFonts w:ascii="Arial" w:hAnsi="Arial" w:cs="Arial"/>
          <w:sz w:val="20"/>
        </w:rPr>
        <w:tab/>
        <w:t>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futamidejét az ügyfél nem változtatja meg), vagy fix kamatozású konstrukció automatikus átalakulása változó kamatozásúvá, vagy fordítva, amennyiben ezt az átalakulást már az eredeti szerződésben rögzítették.</w:t>
      </w:r>
    </w:p>
    <w:p w14:paraId="088BD2EF"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napToGrid w:val="0"/>
          <w:sz w:val="20"/>
          <w:lang w:eastAsia="en-US"/>
        </w:rPr>
        <w:t xml:space="preserve">Újratárgyalt hitelnek minősül a hitel devizanemének megváltozása, vagy ha lineáris kamatozásból annuitásossá válik a hitel. Ha a hitel devizanemének megváltoztatására már </w:t>
      </w:r>
      <w:r w:rsidRPr="00A61F3D">
        <w:rPr>
          <w:rFonts w:ascii="Arial" w:hAnsi="Arial" w:cs="Arial"/>
          <w:snapToGrid w:val="0"/>
          <w:sz w:val="20"/>
          <w:lang w:eastAsia="en-US"/>
        </w:rPr>
        <w:lastRenderedPageBreak/>
        <w:t xml:space="preserve">az eredeti szerződéskötéskor lehetőséget kap az ügyfél, akkor a futamidő alatti devizanemváltás nem minősül újratárgyaltnak. </w:t>
      </w:r>
    </w:p>
    <w:p w14:paraId="7727DEEE"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z w:val="20"/>
        </w:rPr>
        <w:t>Amennyiben olyan hitel eladás</w:t>
      </w:r>
      <w:r w:rsidR="007F2079" w:rsidRPr="00A61F3D">
        <w:rPr>
          <w:rFonts w:ascii="Arial" w:hAnsi="Arial" w:cs="Arial"/>
          <w:sz w:val="20"/>
        </w:rPr>
        <w:t>á</w:t>
      </w:r>
      <w:r w:rsidRPr="00A61F3D">
        <w:rPr>
          <w:rFonts w:ascii="Arial" w:hAnsi="Arial" w:cs="Arial"/>
          <w:sz w:val="20"/>
        </w:rPr>
        <w:t>ra vagy átvállalás</w:t>
      </w:r>
      <w:r w:rsidR="007F2079" w:rsidRPr="00A61F3D">
        <w:rPr>
          <w:rFonts w:ascii="Arial" w:hAnsi="Arial" w:cs="Arial"/>
          <w:sz w:val="20"/>
        </w:rPr>
        <w:t>á</w:t>
      </w:r>
      <w:r w:rsidRPr="00A61F3D">
        <w:rPr>
          <w:rFonts w:ascii="Arial" w:hAnsi="Arial" w:cs="Arial"/>
          <w:sz w:val="20"/>
        </w:rPr>
        <w:t>ra kerül sor, amely a hitelintézeti szektoron kívüli körből kerül át a hitelintézethez, az nem minősül újratárgyalásnak. Amennyiben a háztartási sz</w:t>
      </w:r>
      <w:r w:rsidR="007F2079" w:rsidRPr="00A61F3D">
        <w:rPr>
          <w:rFonts w:ascii="Arial" w:hAnsi="Arial" w:cs="Arial"/>
          <w:sz w:val="20"/>
        </w:rPr>
        <w:t xml:space="preserve">ektorba tartozó ügyfél döntése és </w:t>
      </w:r>
      <w:r w:rsidRPr="00A61F3D">
        <w:rPr>
          <w:rFonts w:ascii="Arial" w:hAnsi="Arial" w:cs="Arial"/>
          <w:sz w:val="20"/>
        </w:rPr>
        <w:t>aktív közreműködés</w:t>
      </w:r>
      <w:r w:rsidR="007F2079" w:rsidRPr="00A61F3D">
        <w:rPr>
          <w:rFonts w:ascii="Arial" w:hAnsi="Arial" w:cs="Arial"/>
          <w:sz w:val="20"/>
        </w:rPr>
        <w:t>e útján</w:t>
      </w:r>
      <w:r w:rsidRPr="00A61F3D">
        <w:rPr>
          <w:rFonts w:ascii="Arial" w:hAnsi="Arial" w:cs="Arial"/>
          <w:sz w:val="20"/>
        </w:rPr>
        <w:t xml:space="preserve"> átviszi egyik hitelintézettől egy másikhoz a hitelét feltéve, hogy a hitelt újratárgyalják, abban az esetben ez újratárgyalásnak minősül.</w:t>
      </w:r>
    </w:p>
    <w:p w14:paraId="4FA054EF"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napToGrid w:val="0"/>
          <w:sz w:val="20"/>
          <w:lang w:eastAsia="en-US"/>
        </w:rPr>
        <w:t>Egy adós több hitelének egy hitellé történő egyesítése, valamint egy hitel több hitellé való szétbontása szintén újratárgyalt szerződésnek tekintendő.</w:t>
      </w:r>
    </w:p>
    <w:p w14:paraId="54E7340F" w14:textId="77777777" w:rsidR="006A0724" w:rsidRPr="00A61F3D" w:rsidRDefault="006A0724" w:rsidP="006A0724">
      <w:pPr>
        <w:ind w:left="993"/>
        <w:rPr>
          <w:rFonts w:ascii="Arial" w:hAnsi="Arial" w:cs="Arial"/>
          <w:snapToGrid w:val="0"/>
          <w:sz w:val="20"/>
          <w:lang w:eastAsia="en-US"/>
        </w:rPr>
      </w:pPr>
      <w:r w:rsidRPr="00A61F3D">
        <w:rPr>
          <w:rFonts w:ascii="Arial" w:hAnsi="Arial" w:cs="Arial"/>
          <w:snapToGrid w:val="0"/>
          <w:sz w:val="20"/>
          <w:lang w:eastAsia="en-US"/>
        </w:rPr>
        <w:t>Ha egy hónapon belül történik meg egy új hitel szerződéskötése, amelyet még az adott hónapon belül újratárgyalnak, az is újratárgyaltnak minősül.</w:t>
      </w:r>
    </w:p>
    <w:p w14:paraId="44C4F81E" w14:textId="77777777" w:rsidR="006805CF" w:rsidRPr="00A61F3D" w:rsidRDefault="00AC13E5" w:rsidP="007276FB">
      <w:pPr>
        <w:numPr>
          <w:ilvl w:val="1"/>
          <w:numId w:val="8"/>
        </w:numPr>
        <w:tabs>
          <w:tab w:val="left" w:pos="993"/>
        </w:tabs>
        <w:ind w:left="993" w:hanging="567"/>
        <w:rPr>
          <w:rFonts w:ascii="Arial" w:hAnsi="Arial" w:cs="Arial"/>
          <w:sz w:val="20"/>
        </w:rPr>
      </w:pPr>
      <w:r w:rsidRPr="00A61F3D">
        <w:rPr>
          <w:rFonts w:ascii="Arial" w:hAnsi="Arial" w:cs="Arial"/>
          <w:b/>
          <w:sz w:val="20"/>
        </w:rPr>
        <w:t xml:space="preserve">Változó kamatozás: </w:t>
      </w:r>
      <w:r w:rsidRPr="00A61F3D">
        <w:rPr>
          <w:rFonts w:ascii="Arial" w:hAnsi="Arial" w:cs="Arial"/>
          <w:sz w:val="20"/>
        </w:rPr>
        <w:t>a szerződésben a hitelintézet fenntartja magának a jogot, hogy a futamidő alatt a kamatlábat egyoldalúan, előre nem ismert mértékben megváltoztassa.</w:t>
      </w:r>
    </w:p>
    <w:p w14:paraId="1BF793E5" w14:textId="420D1278" w:rsidR="00B92EB4" w:rsidRPr="00A61F3D" w:rsidRDefault="0025328B" w:rsidP="00D3125B">
      <w:pPr>
        <w:spacing w:before="120"/>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w:t>
      </w:r>
      <w:r w:rsidR="00B92EB4" w:rsidRPr="00A61F3D">
        <w:rPr>
          <w:rFonts w:ascii="Arial" w:hAnsi="Arial" w:cs="Arial"/>
          <w:b/>
          <w:sz w:val="20"/>
        </w:rPr>
        <w:t>4. A statisztikai mérleg és eredménykimutatás, valamint a statisztikai mérleget részletező (M jelű) adatszolgáltatásokban használt fogalmak</w:t>
      </w:r>
    </w:p>
    <w:p w14:paraId="03F17410" w14:textId="0EF49972" w:rsidR="00B92EB4" w:rsidRPr="00A61F3D" w:rsidRDefault="00895429" w:rsidP="00895429">
      <w:pPr>
        <w:tabs>
          <w:tab w:val="left" w:pos="993"/>
        </w:tabs>
        <w:ind w:left="567" w:hanging="141"/>
        <w:rPr>
          <w:rFonts w:ascii="Arial" w:hAnsi="Arial" w:cs="Arial"/>
          <w:sz w:val="20"/>
        </w:rPr>
      </w:pPr>
      <w:r w:rsidRPr="00A61F3D">
        <w:rPr>
          <w:rFonts w:ascii="Arial" w:hAnsi="Arial" w:cs="Arial"/>
          <w:sz w:val="20"/>
        </w:rPr>
        <w:t>4.1.</w:t>
      </w:r>
      <w:r w:rsidRPr="00A61F3D">
        <w:rPr>
          <w:rFonts w:ascii="Arial" w:hAnsi="Arial" w:cs="Arial"/>
          <w:b/>
          <w:sz w:val="20"/>
        </w:rPr>
        <w:tab/>
      </w:r>
      <w:r w:rsidR="00B92EB4" w:rsidRPr="00A61F3D">
        <w:rPr>
          <w:rFonts w:ascii="Arial" w:hAnsi="Arial" w:cs="Arial"/>
          <w:b/>
          <w:sz w:val="20"/>
        </w:rPr>
        <w:t>Aktuális kamatláb</w:t>
      </w:r>
      <w:r w:rsidR="00B92EB4" w:rsidRPr="00A61F3D">
        <w:rPr>
          <w:rFonts w:ascii="Arial" w:hAnsi="Arial" w:cs="Arial"/>
          <w:sz w:val="20"/>
        </w:rPr>
        <w:t>: a 3.1. pont szerinti fogalom.</w:t>
      </w:r>
    </w:p>
    <w:p w14:paraId="60FE424F" w14:textId="40B5EDB1"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Pr="00A61F3D">
        <w:rPr>
          <w:rFonts w:ascii="Arial" w:hAnsi="Arial" w:cs="Arial"/>
          <w:sz w:val="20"/>
        </w:rPr>
        <w:tab/>
      </w:r>
      <w:r w:rsidR="00B92EB4" w:rsidRPr="00A61F3D">
        <w:rPr>
          <w:rFonts w:ascii="Arial" w:hAnsi="Arial" w:cs="Arial"/>
          <w:b/>
          <w:sz w:val="20"/>
        </w:rPr>
        <w:t>Beruházási hitel</w:t>
      </w:r>
      <w:r w:rsidR="00B92EB4" w:rsidRPr="00A61F3D">
        <w:rPr>
          <w:rFonts w:ascii="Arial" w:hAnsi="Arial" w:cs="Arial"/>
          <w:sz w:val="20"/>
        </w:rPr>
        <w:t xml:space="preserve">: a jegybanki információs rendszerhez elsődlegesen a Magyar Nemzeti Bank </w:t>
      </w:r>
      <w:r w:rsidR="00062738">
        <w:rPr>
          <w:rFonts w:ascii="Arial" w:hAnsi="Arial" w:cs="Arial"/>
          <w:sz w:val="20"/>
        </w:rPr>
        <w:t xml:space="preserve">pénz- és hitelpiaci szervezetek feletti </w:t>
      </w:r>
      <w:r w:rsidR="00B92EB4" w:rsidRPr="00A61F3D">
        <w:rPr>
          <w:rFonts w:ascii="Arial" w:hAnsi="Arial" w:cs="Arial"/>
          <w:sz w:val="20"/>
        </w:rPr>
        <w:t>felügyeleti feladatai ellátása érdekében teljesítendő adatszolgáltatási kötelezettségekről szóló MNB rendelet (a továbbiakban: pénz- és hitelpiaci felügyeleti adatszolgáltatási MNB rendelet) 1. melléklet 2. pontjában meghatározott fogalom.</w:t>
      </w:r>
    </w:p>
    <w:p w14:paraId="1542A8E5"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w:t>
      </w:r>
      <w:r w:rsidRPr="00A61F3D">
        <w:rPr>
          <w:rFonts w:ascii="Arial" w:hAnsi="Arial" w:cs="Arial"/>
          <w:sz w:val="20"/>
        </w:rPr>
        <w:tab/>
      </w:r>
      <w:r w:rsidR="00B92EB4" w:rsidRPr="00A61F3D">
        <w:rPr>
          <w:rFonts w:ascii="Arial" w:hAnsi="Arial" w:cs="Arial"/>
          <w:b/>
          <w:sz w:val="20"/>
        </w:rPr>
        <w:t>Bruttó fennálló tőkeösszeg</w:t>
      </w:r>
      <w:r w:rsidR="00B92EB4" w:rsidRPr="00A61F3D">
        <w:rPr>
          <w:rFonts w:ascii="Arial" w:hAnsi="Arial" w:cs="Arial"/>
          <w:sz w:val="20"/>
        </w:rPr>
        <w:t>: valamely követelés vagy tartozás partnerekkel, ügyfelekkel szemben fennálló, bruttó, elhatárolt kamatokat nem tartalmazó névértéke (tőkeértéke). Ez a könyv szerinti érték értékvesztéssel növelt, felhalmozott kamatokkal csökkentett, statisztikai értékelési különbözettel korrigált állománya.</w:t>
      </w:r>
    </w:p>
    <w:p w14:paraId="395604A7" w14:textId="0A8A52C6"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4.4.</w:t>
      </w:r>
      <w:r w:rsidRPr="00A61F3D">
        <w:rPr>
          <w:rFonts w:ascii="Arial" w:hAnsi="Arial" w:cs="Arial"/>
          <w:sz w:val="20"/>
        </w:rPr>
        <w:tab/>
      </w:r>
      <w:r w:rsidR="00B92EB4" w:rsidRPr="00A61F3D">
        <w:rPr>
          <w:rFonts w:ascii="Arial" w:hAnsi="Arial" w:cs="Arial"/>
          <w:b/>
          <w:sz w:val="20"/>
        </w:rPr>
        <w:t>Deviza swap ügylet (Currency swap)</w:t>
      </w:r>
      <w:r w:rsidR="00B92EB4" w:rsidRPr="00A61F3D">
        <w:rPr>
          <w:rFonts w:ascii="Arial" w:hAnsi="Arial" w:cs="Arial"/>
          <w:sz w:val="20"/>
        </w:rPr>
        <w:t xml:space="preserve">: az 1.13.6. </w:t>
      </w:r>
      <w:r w:rsidR="00AF483F">
        <w:rPr>
          <w:rFonts w:ascii="Arial" w:hAnsi="Arial" w:cs="Arial"/>
          <w:sz w:val="20"/>
        </w:rPr>
        <w:t>al</w:t>
      </w:r>
      <w:r w:rsidR="00B92EB4" w:rsidRPr="00A61F3D">
        <w:rPr>
          <w:rFonts w:ascii="Arial" w:hAnsi="Arial" w:cs="Arial"/>
          <w:sz w:val="20"/>
        </w:rPr>
        <w:t>pont szerinti fogalom.</w:t>
      </w:r>
    </w:p>
    <w:p w14:paraId="33FD3BA2" w14:textId="77962CD9"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4.5.</w:t>
      </w:r>
      <w:r w:rsidRPr="00A61F3D">
        <w:rPr>
          <w:rFonts w:ascii="Arial" w:hAnsi="Arial" w:cs="Arial"/>
          <w:sz w:val="20"/>
        </w:rPr>
        <w:tab/>
      </w:r>
      <w:r w:rsidR="00B92EB4" w:rsidRPr="00A61F3D">
        <w:rPr>
          <w:rFonts w:ascii="Arial" w:hAnsi="Arial" w:cs="Arial"/>
          <w:b/>
          <w:sz w:val="20"/>
        </w:rPr>
        <w:t>Egyszerű devizacsere ügylet (simple currency swap vagy FX swap)</w:t>
      </w:r>
      <w:r w:rsidR="00B92EB4" w:rsidRPr="00A61F3D">
        <w:rPr>
          <w:rFonts w:ascii="Arial" w:hAnsi="Arial" w:cs="Arial"/>
          <w:sz w:val="20"/>
        </w:rPr>
        <w:t xml:space="preserve">: az 1.13.6.1. </w:t>
      </w:r>
      <w:r w:rsidR="00AF483F">
        <w:rPr>
          <w:rFonts w:ascii="Arial" w:hAnsi="Arial" w:cs="Arial"/>
          <w:sz w:val="20"/>
        </w:rPr>
        <w:t>al</w:t>
      </w:r>
      <w:r w:rsidR="00B92EB4" w:rsidRPr="00A61F3D">
        <w:rPr>
          <w:rFonts w:ascii="Arial" w:hAnsi="Arial" w:cs="Arial"/>
          <w:sz w:val="20"/>
        </w:rPr>
        <w:t>pont szerinti fogalom.</w:t>
      </w:r>
    </w:p>
    <w:p w14:paraId="14E57BD6"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4.6.</w:t>
      </w:r>
      <w:r w:rsidRPr="00A61F3D">
        <w:rPr>
          <w:rFonts w:ascii="Arial" w:hAnsi="Arial" w:cs="Arial"/>
          <w:sz w:val="20"/>
        </w:rPr>
        <w:tab/>
      </w:r>
      <w:r w:rsidR="00B92EB4" w:rsidRPr="00A61F3D">
        <w:rPr>
          <w:rFonts w:ascii="Arial" w:hAnsi="Arial" w:cs="Arial"/>
          <w:b/>
          <w:sz w:val="20"/>
        </w:rPr>
        <w:t>Eladási (put) opció</w:t>
      </w:r>
      <w:r w:rsidR="00B92EB4" w:rsidRPr="00A61F3D">
        <w:rPr>
          <w:rFonts w:ascii="Arial" w:hAnsi="Arial" w:cs="Arial"/>
          <w:sz w:val="20"/>
        </w:rPr>
        <w:t>: olyan származtatott ügylet, mely az opciós díj megfizetése ellenében kötelezettség nélküli jogot biztosít egy meghatározott jövőbeli időpontban egy meghatározott mennyiségű termék előre rögzített áron történő eladására.</w:t>
      </w:r>
    </w:p>
    <w:p w14:paraId="42CC8D3E"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4.7.</w:t>
      </w:r>
      <w:r w:rsidRPr="00A61F3D">
        <w:rPr>
          <w:rFonts w:ascii="Arial" w:hAnsi="Arial" w:cs="Arial"/>
          <w:sz w:val="20"/>
        </w:rPr>
        <w:tab/>
      </w:r>
      <w:r w:rsidR="00B92EB4" w:rsidRPr="00A61F3D">
        <w:rPr>
          <w:rFonts w:ascii="Arial" w:hAnsi="Arial" w:cs="Arial"/>
          <w:b/>
          <w:sz w:val="20"/>
        </w:rPr>
        <w:t>Eladott hitelderivatíva</w:t>
      </w:r>
      <w:r w:rsidR="00B92EB4" w:rsidRPr="00A61F3D">
        <w:rPr>
          <w:rFonts w:ascii="Arial" w:hAnsi="Arial" w:cs="Arial"/>
          <w:sz w:val="20"/>
        </w:rPr>
        <w:t>: azon hitelderivatívák, amelyeknél az adatszolgáltató valamilyen formában a védelmet eladta (azaz a hitelkockázatot átvállalta).</w:t>
      </w:r>
    </w:p>
    <w:p w14:paraId="3C536ED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4.8.</w:t>
      </w:r>
      <w:r w:rsidRPr="00A61F3D">
        <w:rPr>
          <w:rFonts w:ascii="Arial" w:hAnsi="Arial" w:cs="Arial"/>
          <w:sz w:val="20"/>
        </w:rPr>
        <w:tab/>
      </w:r>
      <w:r w:rsidR="00B92EB4" w:rsidRPr="00A61F3D">
        <w:rPr>
          <w:rFonts w:ascii="Arial" w:hAnsi="Arial" w:cs="Arial"/>
          <w:b/>
          <w:sz w:val="20"/>
        </w:rPr>
        <w:t>Értékpapírosítás</w:t>
      </w:r>
      <w:r w:rsidR="00B92EB4" w:rsidRPr="00A61F3D">
        <w:rPr>
          <w:rFonts w:ascii="Arial" w:hAnsi="Arial" w:cs="Arial"/>
          <w:sz w:val="20"/>
        </w:rPr>
        <w:t>: a CRR értelmében olyan tranzakció, amelynek keretében egyes hitel jellegű követelések átruházásra kerülnek valamely értékpapírosítást végző intézményhez, illetve a követeléshez tartozó hitelkockázat vagy annak egy része áthárításra kerül az értékpapírosítást végző intézmény által kibocsátott értékpapírokba. A kockázatok áthárítása kétféle módon valósulhat meg: az egyik esetben tényleges követelés-átruházás történik– ebben az esetben a számviteli szabályok függvényében a követelés kikerülhet a hitelintézet könyveiből –, míg a másik esetben hitelderivatívákkal vagy garanciákkal történik a kockázatok áthárítása, ebben az esetben a követelés továbbra is a hitelintézet mérlegében marad. Típusai:</w:t>
      </w:r>
    </w:p>
    <w:p w14:paraId="67CF4C5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 xml:space="preserve">4.8.1. </w:t>
      </w:r>
      <w:r w:rsidRPr="00A61F3D">
        <w:rPr>
          <w:rFonts w:ascii="Arial" w:hAnsi="Arial" w:cs="Arial"/>
          <w:sz w:val="20"/>
        </w:rPr>
        <w:tab/>
      </w:r>
      <w:r w:rsidR="00B92EB4" w:rsidRPr="00A61F3D">
        <w:rPr>
          <w:rFonts w:ascii="Arial" w:hAnsi="Arial" w:cs="Arial"/>
          <w:b/>
          <w:sz w:val="20"/>
        </w:rPr>
        <w:t>Hagyományos értékpapírosítás</w:t>
      </w:r>
      <w:r w:rsidR="00B92EB4" w:rsidRPr="00A61F3D">
        <w:rPr>
          <w:rFonts w:ascii="Arial" w:hAnsi="Arial" w:cs="Arial"/>
          <w:sz w:val="20"/>
        </w:rPr>
        <w:t>: olyan értékpapírosítás, amelynél az értékpapírosítás tárgyát képező követeléseket a hitelintézet részben vagy teljes egészében az értékpapírosítást végző intézményre ruházza át, a követelés a számviteli szabályok függvényében kikerülhet a hitelintézet könyveiből.</w:t>
      </w:r>
    </w:p>
    <w:p w14:paraId="16AFE46C"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4.8.2.</w:t>
      </w:r>
      <w:r w:rsidRPr="00A61F3D">
        <w:rPr>
          <w:rFonts w:ascii="Arial" w:hAnsi="Arial" w:cs="Arial"/>
          <w:sz w:val="20"/>
        </w:rPr>
        <w:tab/>
      </w:r>
      <w:r w:rsidR="00B92EB4" w:rsidRPr="00A61F3D">
        <w:rPr>
          <w:rFonts w:ascii="Arial" w:hAnsi="Arial" w:cs="Arial"/>
          <w:b/>
          <w:sz w:val="20"/>
        </w:rPr>
        <w:t>Szintetikus értékpapírosítás</w:t>
      </w:r>
      <w:r w:rsidR="00B92EB4" w:rsidRPr="00A61F3D">
        <w:rPr>
          <w:rFonts w:ascii="Arial" w:hAnsi="Arial" w:cs="Arial"/>
          <w:sz w:val="20"/>
        </w:rPr>
        <w:t>: olyan értékpapírosítás, amelynél az értékpapírosítás tárgyát képező követelésekkel kapcsolatos kockázatok áthárítása hitelderivatívákkal vagy garanciákkal valósul meg, és a követelés állománya továbbra is az értékpapírosítást kezdeményező hitelintézet mérlegében marad.</w:t>
      </w:r>
    </w:p>
    <w:p w14:paraId="74DAB5A9" w14:textId="57438681"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4.9.</w:t>
      </w:r>
      <w:r w:rsidRPr="00A61F3D">
        <w:rPr>
          <w:rFonts w:ascii="Arial" w:hAnsi="Arial" w:cs="Arial"/>
          <w:sz w:val="20"/>
        </w:rPr>
        <w:tab/>
      </w:r>
      <w:r w:rsidR="00B92EB4" w:rsidRPr="00A61F3D">
        <w:rPr>
          <w:rFonts w:ascii="Arial" w:hAnsi="Arial" w:cs="Arial"/>
          <w:b/>
          <w:sz w:val="20"/>
        </w:rPr>
        <w:t>Évesített kamatláb</w:t>
      </w:r>
      <w:r w:rsidR="00B92EB4" w:rsidRPr="00A61F3D">
        <w:rPr>
          <w:rFonts w:ascii="Arial" w:hAnsi="Arial" w:cs="Arial"/>
          <w:sz w:val="20"/>
        </w:rPr>
        <w:t xml:space="preserve">: a 3.3. </w:t>
      </w:r>
      <w:r w:rsidR="00AF483F">
        <w:rPr>
          <w:rFonts w:ascii="Arial" w:hAnsi="Arial" w:cs="Arial"/>
          <w:sz w:val="20"/>
        </w:rPr>
        <w:t>al</w:t>
      </w:r>
      <w:r w:rsidR="00B92EB4" w:rsidRPr="00A61F3D">
        <w:rPr>
          <w:rFonts w:ascii="Arial" w:hAnsi="Arial" w:cs="Arial"/>
          <w:sz w:val="20"/>
        </w:rPr>
        <w:t>pont szerinti fogalom.</w:t>
      </w:r>
    </w:p>
    <w:p w14:paraId="0577F79A"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4.10.</w:t>
      </w:r>
      <w:r w:rsidRPr="00A61F3D">
        <w:rPr>
          <w:rFonts w:ascii="Arial" w:hAnsi="Arial" w:cs="Arial"/>
          <w:sz w:val="20"/>
        </w:rPr>
        <w:tab/>
      </w:r>
      <w:r w:rsidR="00B92EB4" w:rsidRPr="00A61F3D">
        <w:rPr>
          <w:rFonts w:ascii="Arial" w:hAnsi="Arial" w:cs="Arial"/>
          <w:b/>
          <w:sz w:val="20"/>
        </w:rPr>
        <w:t>Fizetési számla</w:t>
      </w:r>
      <w:r w:rsidR="00B92EB4" w:rsidRPr="00A61F3D">
        <w:rPr>
          <w:rFonts w:ascii="Arial" w:hAnsi="Arial" w:cs="Arial"/>
          <w:sz w:val="20"/>
        </w:rPr>
        <w:t>: fizetési műveletek teljesítésére szolgáló, a pénzforgalmi szolgáltató egy vagy több ügyfele részére megnyitott számla, ideértve a bankszámlát is.</w:t>
      </w:r>
    </w:p>
    <w:p w14:paraId="6F069A50" w14:textId="548BDE80"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4.11.</w:t>
      </w:r>
      <w:r w:rsidRPr="00A61F3D">
        <w:rPr>
          <w:rFonts w:ascii="Arial" w:hAnsi="Arial" w:cs="Arial"/>
          <w:sz w:val="20"/>
        </w:rPr>
        <w:tab/>
      </w:r>
      <w:bookmarkStart w:id="7" w:name="_Hlk14093593"/>
      <w:r w:rsidR="00B92EB4" w:rsidRPr="00A61F3D">
        <w:rPr>
          <w:rFonts w:ascii="Arial" w:hAnsi="Arial" w:cs="Arial"/>
          <w:b/>
          <w:sz w:val="20"/>
        </w:rPr>
        <w:t>Folyószámlahitel</w:t>
      </w:r>
      <w:r w:rsidR="00B92EB4" w:rsidRPr="00A61F3D">
        <w:rPr>
          <w:rFonts w:ascii="Arial" w:hAnsi="Arial" w:cs="Arial"/>
          <w:sz w:val="20"/>
        </w:rPr>
        <w:t>: a hitelintézet által vezetett fizetési számlán és a nem fizetési műveletek teljesítésére szolgáló, az ügyfél által bármikor hozzáférhető egyéb számlán kialakult negatív egyenleg (overdraft). Folyószámlahitelnek minősül az a kártyahitel is, amelynél a hitelintézet kamatmentes periódust biztosít.</w:t>
      </w:r>
      <w:bookmarkEnd w:id="7"/>
      <w:r w:rsidR="00B92EB4" w:rsidRPr="00A61F3D">
        <w:rPr>
          <w:rFonts w:ascii="Arial" w:hAnsi="Arial" w:cs="Arial"/>
          <w:sz w:val="20"/>
        </w:rPr>
        <w:t xml:space="preserve"> </w:t>
      </w:r>
      <w:bookmarkStart w:id="8" w:name="_Hlk14093503"/>
      <w:r w:rsidR="00E86356" w:rsidRPr="00A61F3D">
        <w:rPr>
          <w:rFonts w:ascii="Arial" w:hAnsi="Arial" w:cs="Arial"/>
          <w:sz w:val="20"/>
        </w:rPr>
        <w:t xml:space="preserve">Folyószámlahitelként kezelendők azok az 5.36. </w:t>
      </w:r>
      <w:r w:rsidR="00AF483F">
        <w:rPr>
          <w:rFonts w:ascii="Arial" w:hAnsi="Arial" w:cs="Arial"/>
          <w:sz w:val="20"/>
        </w:rPr>
        <w:t>al</w:t>
      </w:r>
      <w:r w:rsidR="00E86356" w:rsidRPr="00A61F3D">
        <w:rPr>
          <w:rFonts w:ascii="Arial" w:hAnsi="Arial" w:cs="Arial"/>
          <w:sz w:val="20"/>
        </w:rPr>
        <w:t xml:space="preserve">pont szerinti </w:t>
      </w:r>
      <w:proofErr w:type="spellStart"/>
      <w:r w:rsidR="00E86356" w:rsidRPr="00A61F3D">
        <w:rPr>
          <w:rFonts w:ascii="Arial" w:hAnsi="Arial" w:cs="Arial"/>
          <w:sz w:val="20"/>
        </w:rPr>
        <w:t>Rulírozó</w:t>
      </w:r>
      <w:proofErr w:type="spellEnd"/>
      <w:r w:rsidR="00E86356" w:rsidRPr="00A61F3D">
        <w:rPr>
          <w:rFonts w:ascii="Arial" w:hAnsi="Arial" w:cs="Arial"/>
          <w:sz w:val="20"/>
        </w:rPr>
        <w:t xml:space="preserve"> hitelek is, amelyek esetében a hitelfelvevő nem köteles előzetesen értesíteni a hitelintézetet a lehívásról, vagy az értesítés kizárólag tájékoztatásra szolgál, a hitelintézet nem tagadhatja meg az igénybevételt.</w:t>
      </w:r>
      <w:bookmarkEnd w:id="8"/>
    </w:p>
    <w:p w14:paraId="6B5AEC1E" w14:textId="71D1B150"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lastRenderedPageBreak/>
        <w:t>4.12.</w:t>
      </w:r>
      <w:r w:rsidRPr="00A61F3D">
        <w:rPr>
          <w:rFonts w:ascii="Arial" w:hAnsi="Arial" w:cs="Arial"/>
          <w:sz w:val="20"/>
        </w:rPr>
        <w:tab/>
      </w:r>
      <w:r w:rsidR="00B92EB4" w:rsidRPr="00A61F3D">
        <w:rPr>
          <w:rFonts w:ascii="Arial" w:hAnsi="Arial" w:cs="Arial"/>
          <w:b/>
          <w:sz w:val="20"/>
        </w:rPr>
        <w:t>Forgóeszköz hitel</w:t>
      </w:r>
      <w:r w:rsidR="00B92EB4" w:rsidRPr="00A61F3D">
        <w:rPr>
          <w:rFonts w:ascii="Arial" w:hAnsi="Arial" w:cs="Arial"/>
          <w:sz w:val="20"/>
        </w:rPr>
        <w:t>:</w:t>
      </w:r>
      <w:r w:rsidR="00CB3215" w:rsidRPr="00CB3215">
        <w:rPr>
          <w:rFonts w:ascii="Arial" w:hAnsi="Arial" w:cs="Arial"/>
          <w:sz w:val="20"/>
        </w:rPr>
        <w:t xml:space="preserve"> </w:t>
      </w:r>
      <w:r w:rsidR="00CB3215" w:rsidRPr="00A61F3D">
        <w:rPr>
          <w:rFonts w:ascii="Arial" w:hAnsi="Arial" w:cs="Arial"/>
          <w:sz w:val="20"/>
        </w:rPr>
        <w:t>a pénz</w:t>
      </w:r>
      <w:r w:rsidR="00CB3215">
        <w:rPr>
          <w:rFonts w:ascii="Arial" w:hAnsi="Arial" w:cs="Arial"/>
          <w:sz w:val="20"/>
        </w:rPr>
        <w:t>- és hitel</w:t>
      </w:r>
      <w:r w:rsidR="00CB3215" w:rsidRPr="00A61F3D">
        <w:rPr>
          <w:rFonts w:ascii="Arial" w:hAnsi="Arial" w:cs="Arial"/>
          <w:sz w:val="20"/>
        </w:rPr>
        <w:t xml:space="preserve">piaci </w:t>
      </w:r>
      <w:r w:rsidR="00CB3215">
        <w:rPr>
          <w:rFonts w:ascii="Arial" w:hAnsi="Arial" w:cs="Arial"/>
          <w:sz w:val="20"/>
        </w:rPr>
        <w:t xml:space="preserve">felügyeleti </w:t>
      </w:r>
      <w:r w:rsidR="00CB3215" w:rsidRPr="00A61F3D">
        <w:rPr>
          <w:rFonts w:ascii="Arial" w:hAnsi="Arial" w:cs="Arial"/>
          <w:sz w:val="20"/>
        </w:rPr>
        <w:t xml:space="preserve">adatszolgáltatási MNB rendelet </w:t>
      </w:r>
      <w:r w:rsidR="00CB3215">
        <w:rPr>
          <w:rFonts w:ascii="Arial" w:hAnsi="Arial" w:cs="Arial"/>
          <w:sz w:val="20"/>
        </w:rPr>
        <w:t xml:space="preserve">1. melléklet 2. pontjában meghatározott </w:t>
      </w:r>
      <w:r w:rsidR="00CB3215" w:rsidRPr="00A61F3D">
        <w:rPr>
          <w:rFonts w:ascii="Arial" w:hAnsi="Arial" w:cs="Arial"/>
          <w:sz w:val="20"/>
        </w:rPr>
        <w:t>fogalom</w:t>
      </w:r>
      <w:r w:rsidR="00B92EB4" w:rsidRPr="00A61F3D">
        <w:rPr>
          <w:rFonts w:ascii="Arial" w:hAnsi="Arial" w:cs="Arial"/>
          <w:sz w:val="20"/>
        </w:rPr>
        <w:t>.</w:t>
      </w:r>
    </w:p>
    <w:p w14:paraId="1A211AE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4.13.</w:t>
      </w:r>
      <w:r w:rsidRPr="00A61F3D">
        <w:rPr>
          <w:rFonts w:ascii="Arial" w:hAnsi="Arial" w:cs="Arial"/>
          <w:sz w:val="20"/>
        </w:rPr>
        <w:tab/>
      </w:r>
      <w:r w:rsidR="00B92EB4" w:rsidRPr="00A61F3D">
        <w:rPr>
          <w:rFonts w:ascii="Arial" w:hAnsi="Arial" w:cs="Arial"/>
          <w:b/>
          <w:sz w:val="20"/>
        </w:rPr>
        <w:t>Forward (tőzsdén kívüli határidős ügylet)</w:t>
      </w:r>
      <w:r w:rsidR="00B92EB4" w:rsidRPr="00A61F3D">
        <w:rPr>
          <w:rFonts w:ascii="Arial" w:hAnsi="Arial" w:cs="Arial"/>
          <w:sz w:val="20"/>
        </w:rPr>
        <w:t>: olyan, szervezett piacon kívül (OTC-n) megkötött, meghatározott mennyiségű termék megvásárlására vagy eladására szóló származtatott ügylet, ahol az árat a szerződés létrehozásakor határozzák meg, a szállításra és a pénzügyi rendezésre pedig meghatározott jövőbeni időpontban kerül sor.</w:t>
      </w:r>
    </w:p>
    <w:p w14:paraId="03111DCE"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4.14.</w:t>
      </w:r>
      <w:r w:rsidRPr="00A61F3D">
        <w:rPr>
          <w:rFonts w:ascii="Arial" w:hAnsi="Arial" w:cs="Arial"/>
          <w:sz w:val="20"/>
        </w:rPr>
        <w:tab/>
      </w:r>
      <w:r w:rsidR="00B92EB4" w:rsidRPr="00A61F3D">
        <w:rPr>
          <w:rFonts w:ascii="Arial" w:hAnsi="Arial" w:cs="Arial"/>
          <w:b/>
          <w:sz w:val="20"/>
        </w:rPr>
        <w:t>Futures (tőzsdei határidős ügylet)</w:t>
      </w:r>
      <w:r w:rsidR="00B92EB4" w:rsidRPr="00A61F3D">
        <w:rPr>
          <w:rFonts w:ascii="Arial" w:hAnsi="Arial" w:cs="Arial"/>
          <w:sz w:val="20"/>
        </w:rPr>
        <w:t>: a szervezett piacon (tőzsdén) megkötött, meghatározott mennyiségű termék megvásárlására vagy eladására szóló származtatott ügylet, ahol az árat a szerződés létrehozásakor határozzák meg, a szállításra és a pénzügyi rendezésre pedig meghatározott jövőbeni időpontban kerül sor.</w:t>
      </w:r>
    </w:p>
    <w:p w14:paraId="42B1292C" w14:textId="5BE41A81"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4.15.</w:t>
      </w:r>
      <w:r w:rsidRPr="00A61F3D">
        <w:rPr>
          <w:rFonts w:ascii="Arial" w:hAnsi="Arial" w:cs="Arial"/>
          <w:sz w:val="20"/>
        </w:rPr>
        <w:tab/>
      </w:r>
      <w:r w:rsidR="00B92EB4" w:rsidRPr="00A61F3D">
        <w:rPr>
          <w:rFonts w:ascii="Arial" w:hAnsi="Arial" w:cs="Arial"/>
          <w:b/>
          <w:sz w:val="20"/>
        </w:rPr>
        <w:t>Határidős kamatláb megállapodás (FRA, forward rate agreement)</w:t>
      </w:r>
      <w:r w:rsidR="00B92EB4" w:rsidRPr="00A61F3D">
        <w:rPr>
          <w:rFonts w:ascii="Arial" w:hAnsi="Arial" w:cs="Arial"/>
          <w:sz w:val="20"/>
        </w:rPr>
        <w:t xml:space="preserve">: az 1.13.2. </w:t>
      </w:r>
      <w:r w:rsidR="00AF483F">
        <w:rPr>
          <w:rFonts w:ascii="Arial" w:hAnsi="Arial" w:cs="Arial"/>
          <w:sz w:val="20"/>
        </w:rPr>
        <w:t>al</w:t>
      </w:r>
      <w:r w:rsidR="00B92EB4" w:rsidRPr="00A61F3D">
        <w:rPr>
          <w:rFonts w:ascii="Arial" w:hAnsi="Arial" w:cs="Arial"/>
          <w:sz w:val="20"/>
        </w:rPr>
        <w:t>pont szerinti fogalom.</w:t>
      </w:r>
    </w:p>
    <w:p w14:paraId="218565D0" w14:textId="77777777" w:rsidR="00B92EB4" w:rsidRPr="00A61F3D" w:rsidRDefault="00895429" w:rsidP="00895429">
      <w:pPr>
        <w:tabs>
          <w:tab w:val="left" w:pos="993"/>
        </w:tabs>
        <w:ind w:left="993" w:hanging="567"/>
        <w:rPr>
          <w:rFonts w:ascii="Arial" w:hAnsi="Arial" w:cs="Arial"/>
          <w:sz w:val="20"/>
        </w:rPr>
      </w:pPr>
      <w:bookmarkStart w:id="9" w:name="_Hlk480896963"/>
      <w:r w:rsidRPr="00A61F3D">
        <w:rPr>
          <w:rFonts w:ascii="Arial" w:hAnsi="Arial" w:cs="Arial"/>
          <w:sz w:val="20"/>
        </w:rPr>
        <w:t>4.16.</w:t>
      </w:r>
      <w:r w:rsidRPr="00A61F3D">
        <w:rPr>
          <w:rFonts w:ascii="Arial" w:hAnsi="Arial" w:cs="Arial"/>
          <w:sz w:val="20"/>
        </w:rPr>
        <w:tab/>
      </w:r>
      <w:r w:rsidR="00B92EB4" w:rsidRPr="00A61F3D">
        <w:rPr>
          <w:rFonts w:ascii="Arial" w:hAnsi="Arial" w:cs="Arial"/>
          <w:b/>
          <w:sz w:val="20"/>
        </w:rPr>
        <w:t>Hitel-nemteljesítési csereügylet (CDS)</w:t>
      </w:r>
      <w:r w:rsidR="00B92EB4" w:rsidRPr="00A61F3D">
        <w:rPr>
          <w:rFonts w:ascii="Arial" w:hAnsi="Arial" w:cs="Arial"/>
          <w:sz w:val="20"/>
        </w:rPr>
        <w:t>: egy adott pénzügyi eszköz tartásából kifolyólag futott hitelkockázat transzferálására, azaz a partner (referenciaentitás) fizetésképtelensége esetén felmerülő veszteségek fedezésére alkalmas származtatott ügylet. Két szereplője van: a védelem eladója, aki a hitelkockázatot átvállalja és a védelem megvásárlója, aki a hitelkockázatot továbbadja. A védelem megvásárlója az ügylet lejáratáig meghatározott időközönként, meghatározott összeget (swap prémium vagy swap spread) fizet a védelem eladójának. A védelem eladója ezért cserébe vállalja azt a kötelezettséget, hogy ha az ügylet futamideje alatt a védelem megvásárlójának partnere fizetésképtelenné válik, akkor megtéríti a védelem megvásárlójának összes olyan veszteségét, amely a partner fizetésképtelenségéből fakad.</w:t>
      </w:r>
    </w:p>
    <w:p w14:paraId="159FAB77"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4.17.</w:t>
      </w:r>
      <w:r w:rsidRPr="00A61F3D">
        <w:rPr>
          <w:rFonts w:ascii="Arial" w:hAnsi="Arial" w:cs="Arial"/>
          <w:sz w:val="20"/>
        </w:rPr>
        <w:tab/>
      </w:r>
      <w:r w:rsidR="00B92EB4" w:rsidRPr="00A61F3D">
        <w:rPr>
          <w:rFonts w:ascii="Arial" w:hAnsi="Arial" w:cs="Arial"/>
          <w:b/>
          <w:sz w:val="20"/>
        </w:rPr>
        <w:t>Hitelkeret</w:t>
      </w:r>
      <w:r w:rsidR="00B92EB4" w:rsidRPr="00A61F3D">
        <w:rPr>
          <w:rFonts w:ascii="Arial" w:hAnsi="Arial" w:cs="Arial"/>
          <w:sz w:val="20"/>
        </w:rPr>
        <w:t>: a hitelező és az adós között írásban létesített hitelszerződés alapján az adós részére rendelkezésre tartott pénzösszeg, amelynek terhére a hitelintézet – meghatározott szerződési feltételek megléte esetén – a kölcsönszerződés megkötésére, vagy egyéb hitelművelet végzésére köteles.</w:t>
      </w:r>
    </w:p>
    <w:p w14:paraId="2981B1F9" w14:textId="58D9BD66"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4.18.</w:t>
      </w:r>
      <w:r w:rsidRPr="00A61F3D">
        <w:rPr>
          <w:rFonts w:ascii="Arial" w:hAnsi="Arial" w:cs="Arial"/>
          <w:sz w:val="20"/>
        </w:rPr>
        <w:tab/>
      </w:r>
      <w:r w:rsidR="00B92EB4" w:rsidRPr="00A61F3D">
        <w:rPr>
          <w:rFonts w:ascii="Arial" w:hAnsi="Arial" w:cs="Arial"/>
          <w:b/>
          <w:sz w:val="20"/>
        </w:rPr>
        <w:t>Kamatozó devizacsere ügylet (Cross currency interest rate swap - CCIRS)</w:t>
      </w:r>
      <w:r w:rsidR="00B92EB4" w:rsidRPr="00A61F3D">
        <w:rPr>
          <w:rFonts w:ascii="Arial" w:hAnsi="Arial" w:cs="Arial"/>
          <w:sz w:val="20"/>
        </w:rPr>
        <w:t xml:space="preserve">: az 1.13.6.2. </w:t>
      </w:r>
      <w:r w:rsidR="00AF483F">
        <w:rPr>
          <w:rFonts w:ascii="Arial" w:hAnsi="Arial" w:cs="Arial"/>
          <w:sz w:val="20"/>
        </w:rPr>
        <w:t>al</w:t>
      </w:r>
      <w:r w:rsidR="00B92EB4" w:rsidRPr="00A61F3D">
        <w:rPr>
          <w:rFonts w:ascii="Arial" w:hAnsi="Arial" w:cs="Arial"/>
          <w:sz w:val="20"/>
        </w:rPr>
        <w:t>pont szerinti fogalom.</w:t>
      </w:r>
    </w:p>
    <w:p w14:paraId="6F956AB5" w14:textId="3443D988"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4.19.</w:t>
      </w:r>
      <w:r w:rsidRPr="00A61F3D">
        <w:rPr>
          <w:rFonts w:ascii="Arial" w:hAnsi="Arial" w:cs="Arial"/>
          <w:sz w:val="20"/>
        </w:rPr>
        <w:tab/>
      </w:r>
      <w:r w:rsidR="00B92EB4" w:rsidRPr="00A61F3D">
        <w:rPr>
          <w:rFonts w:ascii="Arial" w:hAnsi="Arial" w:cs="Arial"/>
          <w:b/>
          <w:sz w:val="20"/>
        </w:rPr>
        <w:t>Kamatswap (IRS, Interest Rate Swap)</w:t>
      </w:r>
      <w:r w:rsidR="00B92EB4" w:rsidRPr="00A61F3D">
        <w:rPr>
          <w:rFonts w:ascii="Arial" w:hAnsi="Arial" w:cs="Arial"/>
          <w:sz w:val="20"/>
        </w:rPr>
        <w:t xml:space="preserve">: az 1.13.4. </w:t>
      </w:r>
      <w:r w:rsidR="00AF483F">
        <w:rPr>
          <w:rFonts w:ascii="Arial" w:hAnsi="Arial" w:cs="Arial"/>
          <w:sz w:val="20"/>
        </w:rPr>
        <w:t>al</w:t>
      </w:r>
      <w:r w:rsidR="00B92EB4" w:rsidRPr="00A61F3D">
        <w:rPr>
          <w:rFonts w:ascii="Arial" w:hAnsi="Arial" w:cs="Arial"/>
          <w:sz w:val="20"/>
        </w:rPr>
        <w:t>pont szerinti fogalom.</w:t>
      </w:r>
    </w:p>
    <w:p w14:paraId="522B8602"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4.20.</w:t>
      </w:r>
      <w:r w:rsidRPr="00A61F3D">
        <w:rPr>
          <w:rFonts w:ascii="Arial" w:hAnsi="Arial" w:cs="Arial"/>
          <w:sz w:val="20"/>
        </w:rPr>
        <w:tab/>
      </w:r>
      <w:r w:rsidR="00B92EB4" w:rsidRPr="00A61F3D">
        <w:rPr>
          <w:rFonts w:ascii="Arial" w:hAnsi="Arial" w:cs="Arial"/>
          <w:b/>
          <w:sz w:val="20"/>
        </w:rPr>
        <w:t>Különleges célú gazdasági egység (Financial Vehicle Corporation; FVC)</w:t>
      </w:r>
      <w:r w:rsidR="00B92EB4" w:rsidRPr="00A61F3D">
        <w:rPr>
          <w:rFonts w:ascii="Arial" w:hAnsi="Arial" w:cs="Arial"/>
          <w:sz w:val="20"/>
        </w:rPr>
        <w:t>: értékpapírosítást végző pénzügyi közvetítő vállalat. A különleges célú gazdasági egységek listáját az ügyfelek szektormeghatározását segítő, a 3. melléklet 1. pontja szerinti, az MNB honlapján közzétett technikai segédlet tartalmazza.</w:t>
      </w:r>
    </w:p>
    <w:p w14:paraId="6AC0D610" w14:textId="32B356E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4.21.</w:t>
      </w:r>
      <w:r w:rsidRPr="00A61F3D">
        <w:rPr>
          <w:rFonts w:ascii="Arial" w:hAnsi="Arial" w:cs="Arial"/>
          <w:sz w:val="20"/>
        </w:rPr>
        <w:tab/>
      </w:r>
      <w:r w:rsidR="00B92EB4" w:rsidRPr="00A61F3D">
        <w:rPr>
          <w:rFonts w:ascii="Arial" w:hAnsi="Arial" w:cs="Arial"/>
          <w:b/>
          <w:sz w:val="20"/>
        </w:rPr>
        <w:t>Mikro-, kis- és középvállalkozás (a továbbiakban: KKV)</w:t>
      </w:r>
      <w:bookmarkEnd w:id="9"/>
      <w:r w:rsidR="00B92EB4" w:rsidRPr="00A61F3D">
        <w:rPr>
          <w:rFonts w:ascii="Arial" w:hAnsi="Arial" w:cs="Arial"/>
          <w:sz w:val="20"/>
        </w:rPr>
        <w:t>: a pénz</w:t>
      </w:r>
      <w:r w:rsidR="00A73BCA" w:rsidRPr="00A61F3D">
        <w:rPr>
          <w:rFonts w:ascii="Arial" w:hAnsi="Arial" w:cs="Arial"/>
          <w:sz w:val="20"/>
        </w:rPr>
        <w:t>-</w:t>
      </w:r>
      <w:r w:rsidR="00D02AF7" w:rsidRPr="00A61F3D">
        <w:rPr>
          <w:rFonts w:ascii="Arial" w:hAnsi="Arial" w:cs="Arial"/>
          <w:sz w:val="20"/>
        </w:rPr>
        <w:t xml:space="preserve"> és hitel</w:t>
      </w:r>
      <w:r w:rsidR="00B92EB4" w:rsidRPr="00A61F3D">
        <w:rPr>
          <w:rFonts w:ascii="Arial" w:hAnsi="Arial" w:cs="Arial"/>
          <w:sz w:val="20"/>
        </w:rPr>
        <w:t xml:space="preserve">piaci </w:t>
      </w:r>
      <w:r w:rsidR="00A73BCA" w:rsidRPr="00A61F3D">
        <w:rPr>
          <w:rFonts w:ascii="Arial" w:hAnsi="Arial" w:cs="Arial"/>
          <w:sz w:val="20"/>
        </w:rPr>
        <w:t xml:space="preserve">felügyeleti </w:t>
      </w:r>
      <w:r w:rsidR="00B92EB4" w:rsidRPr="00A61F3D">
        <w:rPr>
          <w:rFonts w:ascii="Arial" w:hAnsi="Arial" w:cs="Arial"/>
          <w:sz w:val="20"/>
        </w:rPr>
        <w:t xml:space="preserve">adatszolgáltatási MNB rendelet </w:t>
      </w:r>
      <w:r w:rsidR="00A73BCA" w:rsidRPr="00A61F3D">
        <w:rPr>
          <w:rFonts w:ascii="Arial" w:hAnsi="Arial" w:cs="Arial"/>
          <w:sz w:val="20"/>
        </w:rPr>
        <w:t>1. melléklet 2. pontjában meghatározott</w:t>
      </w:r>
      <w:r w:rsidR="00B92EB4" w:rsidRPr="00A61F3D">
        <w:rPr>
          <w:rFonts w:ascii="Arial" w:hAnsi="Arial" w:cs="Arial"/>
          <w:sz w:val="20"/>
        </w:rPr>
        <w:t xml:space="preserve"> fogalom.</w:t>
      </w:r>
    </w:p>
    <w:p w14:paraId="02E10DC4" w14:textId="74CB23F9" w:rsidR="00B92EB4" w:rsidRDefault="00895429" w:rsidP="00895429">
      <w:pPr>
        <w:tabs>
          <w:tab w:val="left" w:pos="993"/>
        </w:tabs>
        <w:ind w:left="993" w:hanging="567"/>
        <w:rPr>
          <w:rFonts w:ascii="Arial" w:hAnsi="Arial" w:cs="Arial"/>
          <w:sz w:val="20"/>
        </w:rPr>
      </w:pPr>
      <w:r w:rsidRPr="00A61F3D">
        <w:rPr>
          <w:rFonts w:ascii="Arial" w:hAnsi="Arial" w:cs="Arial"/>
          <w:sz w:val="20"/>
        </w:rPr>
        <w:t>4.22.</w:t>
      </w:r>
      <w:r w:rsidRPr="00A61F3D">
        <w:rPr>
          <w:rFonts w:ascii="Arial" w:hAnsi="Arial" w:cs="Arial"/>
          <w:sz w:val="20"/>
        </w:rPr>
        <w:tab/>
      </w:r>
      <w:r w:rsidR="00B92EB4" w:rsidRPr="00A61F3D">
        <w:rPr>
          <w:rFonts w:ascii="Arial" w:hAnsi="Arial" w:cs="Arial"/>
          <w:b/>
          <w:sz w:val="20"/>
        </w:rPr>
        <w:t>Money market ügylet</w:t>
      </w:r>
      <w:r w:rsidR="00B92EB4" w:rsidRPr="00A61F3D">
        <w:rPr>
          <w:rFonts w:ascii="Arial" w:hAnsi="Arial" w:cs="Arial"/>
          <w:sz w:val="20"/>
        </w:rPr>
        <w:t>: a 3.</w:t>
      </w:r>
      <w:r w:rsidR="00415963" w:rsidRPr="00A61F3D">
        <w:rPr>
          <w:rFonts w:ascii="Arial" w:hAnsi="Arial" w:cs="Arial"/>
          <w:sz w:val="20"/>
        </w:rPr>
        <w:t>8</w:t>
      </w:r>
      <w:r w:rsidR="00B92EB4" w:rsidRPr="00A61F3D">
        <w:rPr>
          <w:rFonts w:ascii="Arial" w:hAnsi="Arial" w:cs="Arial"/>
          <w:sz w:val="20"/>
        </w:rPr>
        <w:t xml:space="preserve">. </w:t>
      </w:r>
      <w:r w:rsidR="00AF483F">
        <w:rPr>
          <w:rFonts w:ascii="Arial" w:hAnsi="Arial" w:cs="Arial"/>
          <w:sz w:val="20"/>
        </w:rPr>
        <w:t>al</w:t>
      </w:r>
      <w:r w:rsidR="00B92EB4" w:rsidRPr="00A61F3D">
        <w:rPr>
          <w:rFonts w:ascii="Arial" w:hAnsi="Arial" w:cs="Arial"/>
          <w:sz w:val="20"/>
        </w:rPr>
        <w:t>pont szerinti fogalom.</w:t>
      </w:r>
    </w:p>
    <w:p w14:paraId="046A0E4D" w14:textId="303004F7" w:rsidR="00901C3D" w:rsidRPr="00A61F3D" w:rsidRDefault="00901C3D" w:rsidP="00895429">
      <w:pPr>
        <w:tabs>
          <w:tab w:val="left" w:pos="993"/>
        </w:tabs>
        <w:ind w:left="993" w:hanging="567"/>
        <w:rPr>
          <w:rFonts w:ascii="Arial" w:hAnsi="Arial" w:cs="Arial"/>
          <w:sz w:val="20"/>
        </w:rPr>
      </w:pPr>
      <w:bookmarkStart w:id="10" w:name="_Hlk140225164"/>
      <w:r>
        <w:rPr>
          <w:rFonts w:ascii="Arial" w:hAnsi="Arial" w:cs="Arial"/>
          <w:sz w:val="20"/>
        </w:rPr>
        <w:t>4.2</w:t>
      </w:r>
      <w:r w:rsidR="00AF483F">
        <w:rPr>
          <w:rFonts w:ascii="Arial" w:hAnsi="Arial" w:cs="Arial"/>
          <w:sz w:val="20"/>
        </w:rPr>
        <w:t>3</w:t>
      </w:r>
      <w:r>
        <w:rPr>
          <w:rFonts w:ascii="Arial" w:hAnsi="Arial" w:cs="Arial"/>
          <w:sz w:val="20"/>
        </w:rPr>
        <w:t>.</w:t>
      </w:r>
      <w:r w:rsidRPr="00901C3D">
        <w:rPr>
          <w:rFonts w:ascii="Arial" w:hAnsi="Arial" w:cs="Arial"/>
          <w:b/>
          <w:sz w:val="20"/>
        </w:rPr>
        <w:t xml:space="preserve"> </w:t>
      </w:r>
      <w:r w:rsidRPr="000A31BE">
        <w:rPr>
          <w:rFonts w:ascii="Arial" w:hAnsi="Arial" w:cs="Arial"/>
          <w:b/>
          <w:sz w:val="20"/>
        </w:rPr>
        <w:t>Notional cash pooling:</w:t>
      </w:r>
      <w:r>
        <w:rPr>
          <w:color w:val="00B050"/>
        </w:rPr>
        <w:t xml:space="preserve"> </w:t>
      </w:r>
      <w:r w:rsidRPr="000A31BE">
        <w:rPr>
          <w:rFonts w:ascii="Arial" w:hAnsi="Arial" w:cs="Arial"/>
          <w:sz w:val="20"/>
        </w:rPr>
        <w:t>olyan virtuális számla-összevezetés, ahol az összevezetés résztvevői külön-külön is rendelkeznek a hitelintézetnél vezetett fizetési számlával, a csoport által fizetendő</w:t>
      </w:r>
      <w:r>
        <w:rPr>
          <w:rFonts w:ascii="Arial" w:hAnsi="Arial" w:cs="Arial"/>
          <w:sz w:val="20"/>
        </w:rPr>
        <w:t xml:space="preserve"> vagy </w:t>
      </w:r>
      <w:r w:rsidRPr="000A31BE">
        <w:rPr>
          <w:rFonts w:ascii="Arial" w:hAnsi="Arial" w:cs="Arial"/>
          <w:sz w:val="20"/>
        </w:rPr>
        <w:t xml:space="preserve">a csoport részére járó kamatot a csoportban részt vevő valamennyi számla „virtuális” (összesen) nettó pozíciója alapján számítja ki a hitelintézet, valamint a csoport tagjai </w:t>
      </w:r>
      <w:r>
        <w:rPr>
          <w:rFonts w:ascii="Arial" w:hAnsi="Arial" w:cs="Arial"/>
          <w:sz w:val="20"/>
        </w:rPr>
        <w:t>–</w:t>
      </w:r>
      <w:r w:rsidRPr="000A31BE">
        <w:rPr>
          <w:rFonts w:ascii="Arial" w:hAnsi="Arial" w:cs="Arial"/>
          <w:sz w:val="20"/>
        </w:rPr>
        <w:t xml:space="preserve"> a számlák közötti átutalás nélkül </w:t>
      </w:r>
      <w:r>
        <w:rPr>
          <w:rFonts w:ascii="Arial" w:hAnsi="Arial" w:cs="Arial"/>
          <w:sz w:val="20"/>
        </w:rPr>
        <w:t>–</w:t>
      </w:r>
      <w:r w:rsidRPr="000A31BE">
        <w:rPr>
          <w:rFonts w:ascii="Arial" w:hAnsi="Arial" w:cs="Arial"/>
          <w:sz w:val="20"/>
        </w:rPr>
        <w:t xml:space="preserve"> más tagok betétei terhére folyószámlahitelt vehetnek igénybe.</w:t>
      </w:r>
    </w:p>
    <w:bookmarkEnd w:id="10"/>
    <w:p w14:paraId="0ED9C58A" w14:textId="00EF8C7F"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00596861">
        <w:rPr>
          <w:rFonts w:ascii="Arial" w:hAnsi="Arial" w:cs="Arial"/>
          <w:sz w:val="20"/>
        </w:rPr>
        <w:t>4</w:t>
      </w:r>
      <w:r w:rsidRPr="00A61F3D">
        <w:rPr>
          <w:rFonts w:ascii="Arial" w:hAnsi="Arial" w:cs="Arial"/>
          <w:sz w:val="20"/>
        </w:rPr>
        <w:t>.</w:t>
      </w:r>
      <w:r w:rsidRPr="00A61F3D">
        <w:rPr>
          <w:rFonts w:ascii="Arial" w:hAnsi="Arial" w:cs="Arial"/>
          <w:sz w:val="20"/>
        </w:rPr>
        <w:tab/>
      </w:r>
      <w:r w:rsidR="00B92EB4" w:rsidRPr="00A61F3D">
        <w:rPr>
          <w:rFonts w:ascii="Arial" w:hAnsi="Arial" w:cs="Arial"/>
          <w:b/>
          <w:sz w:val="20"/>
        </w:rPr>
        <w:t>Projektfinanszírozási hitel</w:t>
      </w:r>
      <w:r w:rsidR="00B92EB4" w:rsidRPr="00A61F3D">
        <w:rPr>
          <w:rFonts w:ascii="Arial" w:hAnsi="Arial" w:cs="Arial"/>
          <w:sz w:val="20"/>
        </w:rPr>
        <w:t>: a pénz- és hitelpiaci felügyeleti adatszolgáltatási MNB rendelet 1. melléklet 2. pontjában meghatározott fogalom.</w:t>
      </w:r>
    </w:p>
    <w:p w14:paraId="537BEE7D" w14:textId="35909733"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00596861">
        <w:rPr>
          <w:rFonts w:ascii="Arial" w:hAnsi="Arial" w:cs="Arial"/>
          <w:sz w:val="20"/>
        </w:rPr>
        <w:t>5</w:t>
      </w:r>
      <w:r w:rsidRPr="00A61F3D">
        <w:rPr>
          <w:rFonts w:ascii="Arial" w:hAnsi="Arial" w:cs="Arial"/>
          <w:sz w:val="20"/>
        </w:rPr>
        <w:t>.</w:t>
      </w:r>
      <w:r w:rsidRPr="00A61F3D">
        <w:rPr>
          <w:rFonts w:ascii="Arial" w:hAnsi="Arial" w:cs="Arial"/>
          <w:sz w:val="20"/>
        </w:rPr>
        <w:tab/>
      </w:r>
      <w:r w:rsidR="00B92EB4" w:rsidRPr="00A61F3D">
        <w:rPr>
          <w:rFonts w:ascii="Arial" w:hAnsi="Arial" w:cs="Arial"/>
          <w:b/>
          <w:sz w:val="20"/>
        </w:rPr>
        <w:t>Rulírozó (revolving) hitel</w:t>
      </w:r>
      <w:r w:rsidR="00B92EB4" w:rsidRPr="00A61F3D">
        <w:rPr>
          <w:rFonts w:ascii="Arial" w:hAnsi="Arial" w:cs="Arial"/>
          <w:sz w:val="20"/>
        </w:rPr>
        <w:t xml:space="preserve">: az 5.36. </w:t>
      </w:r>
      <w:r w:rsidR="00596861">
        <w:rPr>
          <w:rFonts w:ascii="Arial" w:hAnsi="Arial" w:cs="Arial"/>
          <w:sz w:val="20"/>
        </w:rPr>
        <w:t>al</w:t>
      </w:r>
      <w:r w:rsidR="00B92EB4" w:rsidRPr="00A61F3D">
        <w:rPr>
          <w:rFonts w:ascii="Arial" w:hAnsi="Arial" w:cs="Arial"/>
          <w:sz w:val="20"/>
        </w:rPr>
        <w:t>pont szerinti fogalom.</w:t>
      </w:r>
    </w:p>
    <w:p w14:paraId="54791A75" w14:textId="07056099"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00596861">
        <w:rPr>
          <w:rFonts w:ascii="Arial" w:hAnsi="Arial" w:cs="Arial"/>
          <w:sz w:val="20"/>
        </w:rPr>
        <w:t>6</w:t>
      </w:r>
      <w:r w:rsidRPr="00A61F3D">
        <w:rPr>
          <w:rFonts w:ascii="Arial" w:hAnsi="Arial" w:cs="Arial"/>
          <w:sz w:val="20"/>
        </w:rPr>
        <w:t>.</w:t>
      </w:r>
      <w:r w:rsidRPr="00A61F3D">
        <w:rPr>
          <w:rFonts w:ascii="Arial" w:hAnsi="Arial" w:cs="Arial"/>
          <w:sz w:val="20"/>
        </w:rPr>
        <w:tab/>
      </w:r>
      <w:r w:rsidR="00B92EB4" w:rsidRPr="00A61F3D">
        <w:rPr>
          <w:rFonts w:ascii="Arial" w:hAnsi="Arial" w:cs="Arial"/>
          <w:b/>
          <w:sz w:val="20"/>
        </w:rPr>
        <w:t>Statisztikai értékelési különbözet</w:t>
      </w:r>
      <w:r w:rsidR="00B92EB4" w:rsidRPr="00A61F3D">
        <w:rPr>
          <w:rFonts w:ascii="Arial" w:hAnsi="Arial" w:cs="Arial"/>
          <w:sz w:val="20"/>
        </w:rPr>
        <w:t>: a hó végi tőkeérték és a (nettó) könyv szerinti érték eltéréséből az elhatárolt (statisztikai) kamat és az értékvesztés által nem magyarázott összegek. Itt kell kimutatni az effektív kamat számítása miatti eltérést, valamint az instrumentumok kezdeti értékeléséből fakadó valós érték különbözetet is.</w:t>
      </w:r>
    </w:p>
    <w:p w14:paraId="44F8EDAB" w14:textId="7457895F"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w:t>
      </w:r>
      <w:r w:rsidR="00596861">
        <w:rPr>
          <w:rFonts w:ascii="Arial" w:hAnsi="Arial" w:cs="Arial"/>
          <w:sz w:val="20"/>
        </w:rPr>
        <w:t>7</w:t>
      </w:r>
      <w:r w:rsidRPr="00A61F3D">
        <w:rPr>
          <w:rFonts w:ascii="Arial" w:hAnsi="Arial" w:cs="Arial"/>
          <w:sz w:val="20"/>
        </w:rPr>
        <w:t>.</w:t>
      </w:r>
      <w:r w:rsidRPr="00A61F3D">
        <w:rPr>
          <w:rFonts w:ascii="Arial" w:hAnsi="Arial" w:cs="Arial"/>
          <w:sz w:val="20"/>
        </w:rPr>
        <w:tab/>
      </w:r>
      <w:r w:rsidR="00B92EB4" w:rsidRPr="000A31BE">
        <w:rPr>
          <w:rFonts w:ascii="Arial" w:hAnsi="Arial" w:cs="Arial"/>
          <w:sz w:val="20"/>
        </w:rPr>
        <w:t>Statisztikai kamatjövedelem</w:t>
      </w:r>
      <w:r w:rsidR="00B92EB4" w:rsidRPr="00A61F3D">
        <w:rPr>
          <w:rFonts w:ascii="Arial" w:hAnsi="Arial" w:cs="Arial"/>
          <w:sz w:val="20"/>
        </w:rPr>
        <w:t xml:space="preserve">: a statisztikai kamatbevétel vagy ráfordítás az instrumentumok tőkeértéke és szerződés szerinti kamatlába alapján számított, az időszakra járó vagy fizetendő kamat, beleértve (értékpapírok esetében) a kibocsátási diszkontból vagy prémiumból (a névértéktől eltérő kibocsátási értékből) eredő, a futamidő alatt egyenletesen halmozódó kamatot is. A statisztikai kamatjövedelem részének tekintendő a kamatokkal együtt felszámított díj és jutalék is: többek között a rendelkezésre tartási jutalék, a kezelési költség, a folyósítási jutalék, a váltó leszámítolási díj, illetve kamat, a faktordíj, illetve kamat, az értékpapírkölcsön után fizetett kölcsönzési díj összege, továbbá az óvadéki és a sajátos szállításos repó ügyletek után fizetendő kamatok. Nem tekinthető ugyanakkor a statisztikai kamatjövedelem részének az eltérő értékelési módszer (például effektív kamatláb módszer) alkalmazásából fakadó különbözet. A statisztikai felhalmozott kamat a statisztikai </w:t>
      </w:r>
      <w:r w:rsidR="00B92EB4" w:rsidRPr="00A61F3D">
        <w:rPr>
          <w:rFonts w:ascii="Arial" w:hAnsi="Arial" w:cs="Arial"/>
          <w:sz w:val="20"/>
        </w:rPr>
        <w:lastRenderedPageBreak/>
        <w:t>kamatjövedelem pénzügyileg még nem rendezett része, amely mérlegállományként jelenik meg az időszak végén.</w:t>
      </w:r>
    </w:p>
    <w:p w14:paraId="44456D69" w14:textId="2E89DE97" w:rsidR="00B92EB4" w:rsidRPr="00D3125B" w:rsidRDefault="00895429" w:rsidP="00596861">
      <w:pPr>
        <w:tabs>
          <w:tab w:val="left" w:pos="993"/>
        </w:tabs>
        <w:ind w:left="1560" w:hanging="1134"/>
        <w:rPr>
          <w:rFonts w:ascii="Arial" w:hAnsi="Arial"/>
          <w:sz w:val="20"/>
        </w:rPr>
      </w:pPr>
      <w:bookmarkStart w:id="11" w:name="_Hlk480898648"/>
      <w:r w:rsidRPr="00A61F3D">
        <w:rPr>
          <w:rFonts w:ascii="Arial" w:hAnsi="Arial" w:cs="Arial"/>
          <w:sz w:val="20"/>
        </w:rPr>
        <w:t>4.</w:t>
      </w:r>
      <w:r w:rsidRPr="00A61F3D">
        <w:rPr>
          <w:rFonts w:ascii="Arial" w:hAnsi="Arial" w:cs="Arial"/>
          <w:sz w:val="20"/>
        </w:rPr>
        <w:t>28.</w:t>
      </w:r>
      <w:r w:rsidRPr="00A61F3D">
        <w:rPr>
          <w:rFonts w:ascii="Arial" w:hAnsi="Arial" w:cs="Arial"/>
          <w:sz w:val="20"/>
        </w:rPr>
        <w:tab/>
      </w:r>
      <w:r w:rsidR="00B92EB4" w:rsidRPr="00A61F3D">
        <w:rPr>
          <w:rFonts w:ascii="Arial" w:hAnsi="Arial" w:cs="Arial"/>
          <w:b/>
          <w:sz w:val="20"/>
        </w:rPr>
        <w:t>Szerződéses kamatláb</w:t>
      </w:r>
      <w:r w:rsidR="00B92EB4" w:rsidRPr="00A61F3D">
        <w:rPr>
          <w:rFonts w:ascii="Arial" w:hAnsi="Arial" w:cs="Arial"/>
          <w:sz w:val="20"/>
        </w:rPr>
        <w:t>: a 3.1</w:t>
      </w:r>
      <w:r w:rsidR="00B85169" w:rsidRPr="00A61F3D">
        <w:rPr>
          <w:rFonts w:ascii="Arial" w:hAnsi="Arial" w:cs="Arial"/>
          <w:sz w:val="20"/>
        </w:rPr>
        <w:t>1</w:t>
      </w:r>
      <w:r w:rsidR="00B92EB4" w:rsidRPr="00A61F3D">
        <w:rPr>
          <w:rFonts w:ascii="Arial" w:hAnsi="Arial" w:cs="Arial"/>
          <w:sz w:val="20"/>
        </w:rPr>
        <w:t xml:space="preserve">. </w:t>
      </w:r>
      <w:r w:rsidR="00596861">
        <w:rPr>
          <w:rFonts w:ascii="Arial" w:hAnsi="Arial" w:cs="Arial"/>
          <w:sz w:val="20"/>
        </w:rPr>
        <w:t>al</w:t>
      </w:r>
      <w:r w:rsidR="00B92EB4" w:rsidRPr="00A61F3D">
        <w:rPr>
          <w:rFonts w:ascii="Arial" w:hAnsi="Arial" w:cs="Arial"/>
          <w:sz w:val="20"/>
        </w:rPr>
        <w:t>pont szerinti fogalom.</w:t>
      </w:r>
    </w:p>
    <w:p w14:paraId="36834098" w14:textId="16EA0BE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4.29.</w:t>
      </w:r>
      <w:r w:rsidRPr="00A61F3D">
        <w:rPr>
          <w:rFonts w:ascii="Arial" w:hAnsi="Arial" w:cs="Arial"/>
          <w:sz w:val="20"/>
        </w:rPr>
        <w:tab/>
      </w:r>
      <w:r w:rsidR="00B92EB4" w:rsidRPr="00A61F3D">
        <w:rPr>
          <w:rFonts w:ascii="Arial" w:hAnsi="Arial" w:cs="Arial"/>
          <w:b/>
          <w:sz w:val="20"/>
        </w:rPr>
        <w:t>Többdevizás (multicurreny) hitel</w:t>
      </w:r>
      <w:bookmarkEnd w:id="11"/>
      <w:r w:rsidR="00B92EB4" w:rsidRPr="00A61F3D">
        <w:rPr>
          <w:rFonts w:ascii="Arial" w:hAnsi="Arial" w:cs="Arial"/>
          <w:sz w:val="20"/>
        </w:rPr>
        <w:t xml:space="preserve">: az 5.41. </w:t>
      </w:r>
      <w:r w:rsidR="00596861">
        <w:rPr>
          <w:rFonts w:ascii="Arial" w:hAnsi="Arial" w:cs="Arial"/>
          <w:sz w:val="20"/>
        </w:rPr>
        <w:t>al</w:t>
      </w:r>
      <w:r w:rsidR="00B92EB4" w:rsidRPr="00A61F3D">
        <w:rPr>
          <w:rFonts w:ascii="Arial" w:hAnsi="Arial" w:cs="Arial"/>
          <w:sz w:val="20"/>
        </w:rPr>
        <w:t>pont szerinti fogalom.</w:t>
      </w:r>
    </w:p>
    <w:p w14:paraId="6451CCD3"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4.30.</w:t>
      </w:r>
      <w:r w:rsidRPr="00A61F3D">
        <w:rPr>
          <w:rFonts w:ascii="Arial" w:hAnsi="Arial" w:cs="Arial"/>
          <w:sz w:val="20"/>
        </w:rPr>
        <w:tab/>
      </w:r>
      <w:r w:rsidR="00B92EB4" w:rsidRPr="00A61F3D">
        <w:rPr>
          <w:rFonts w:ascii="Arial" w:hAnsi="Arial" w:cs="Arial"/>
          <w:b/>
          <w:sz w:val="20"/>
        </w:rPr>
        <w:t>Tőzsdei/nem tőzsdei ügylet</w:t>
      </w:r>
      <w:r w:rsidR="00B92EB4" w:rsidRPr="00A61F3D">
        <w:rPr>
          <w:rFonts w:ascii="Arial" w:hAnsi="Arial" w:cs="Arial"/>
          <w:sz w:val="20"/>
        </w:rPr>
        <w:t>: az adott ügylet megkötésére tőzsdei vagy tőzsdén kívüli (OTC) piacon került sor.</w:t>
      </w:r>
    </w:p>
    <w:p w14:paraId="312BB10A" w14:textId="2BD74AC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4.31.</w:t>
      </w:r>
      <w:r w:rsidRPr="00A61F3D">
        <w:rPr>
          <w:rFonts w:ascii="Arial" w:hAnsi="Arial" w:cs="Arial"/>
          <w:sz w:val="20"/>
        </w:rPr>
        <w:tab/>
      </w:r>
      <w:r w:rsidR="00B92EB4" w:rsidRPr="00A61F3D">
        <w:rPr>
          <w:rFonts w:ascii="Arial" w:hAnsi="Arial" w:cs="Arial"/>
          <w:b/>
          <w:sz w:val="20"/>
        </w:rPr>
        <w:t>Új szerződés</w:t>
      </w:r>
      <w:r w:rsidR="00B92EB4" w:rsidRPr="00A61F3D">
        <w:rPr>
          <w:rFonts w:ascii="Arial" w:hAnsi="Arial" w:cs="Arial"/>
          <w:sz w:val="20"/>
        </w:rPr>
        <w:t>: a 3.1</w:t>
      </w:r>
      <w:r w:rsidR="00810961" w:rsidRPr="00A61F3D">
        <w:rPr>
          <w:rFonts w:ascii="Arial" w:hAnsi="Arial" w:cs="Arial"/>
          <w:sz w:val="20"/>
        </w:rPr>
        <w:t>2</w:t>
      </w:r>
      <w:r w:rsidR="00B92EB4" w:rsidRPr="00A61F3D">
        <w:rPr>
          <w:rFonts w:ascii="Arial" w:hAnsi="Arial" w:cs="Arial"/>
          <w:sz w:val="20"/>
        </w:rPr>
        <w:t xml:space="preserve">. </w:t>
      </w:r>
      <w:r w:rsidR="00596861">
        <w:rPr>
          <w:rFonts w:ascii="Arial" w:hAnsi="Arial" w:cs="Arial"/>
          <w:sz w:val="20"/>
        </w:rPr>
        <w:t>al</w:t>
      </w:r>
      <w:r w:rsidR="00B92EB4" w:rsidRPr="00A61F3D">
        <w:rPr>
          <w:rFonts w:ascii="Arial" w:hAnsi="Arial" w:cs="Arial"/>
          <w:sz w:val="20"/>
        </w:rPr>
        <w:t>pont szerinti fogalom.</w:t>
      </w:r>
    </w:p>
    <w:p w14:paraId="7433A62B"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4.32.</w:t>
      </w:r>
      <w:r w:rsidRPr="00A61F3D">
        <w:rPr>
          <w:rFonts w:ascii="Arial" w:hAnsi="Arial" w:cs="Arial"/>
          <w:sz w:val="20"/>
        </w:rPr>
        <w:tab/>
      </w:r>
      <w:r w:rsidR="00B92EB4" w:rsidRPr="00A61F3D">
        <w:rPr>
          <w:rFonts w:ascii="Arial" w:hAnsi="Arial" w:cs="Arial"/>
          <w:b/>
          <w:sz w:val="20"/>
        </w:rPr>
        <w:t>Vásárolt hitelderivatíva</w:t>
      </w:r>
      <w:r w:rsidR="00B92EB4" w:rsidRPr="00A61F3D">
        <w:rPr>
          <w:rFonts w:ascii="Arial" w:hAnsi="Arial" w:cs="Arial"/>
          <w:sz w:val="20"/>
        </w:rPr>
        <w:t>: azon hitelderivatívák, amelyeknél az adatszolgáltató valamilyen formában a védelmet megvásárolta (azaz a hitelkockázatot transzferálta).</w:t>
      </w:r>
    </w:p>
    <w:p w14:paraId="7C7AC225" w14:textId="77777777" w:rsidR="00B92EB4" w:rsidRPr="00A61F3D" w:rsidRDefault="00895429" w:rsidP="00895429">
      <w:pPr>
        <w:tabs>
          <w:tab w:val="left" w:pos="993"/>
        </w:tabs>
        <w:ind w:left="993" w:hanging="567"/>
        <w:rPr>
          <w:rFonts w:ascii="Arial" w:hAnsi="Arial" w:cs="Arial"/>
          <w:sz w:val="20"/>
        </w:rPr>
      </w:pPr>
      <w:r w:rsidRPr="00A61F3D">
        <w:rPr>
          <w:rFonts w:ascii="Arial" w:hAnsi="Arial" w:cs="Arial"/>
          <w:sz w:val="20"/>
        </w:rPr>
        <w:t>4.33.</w:t>
      </w:r>
      <w:r w:rsidRPr="00A61F3D">
        <w:rPr>
          <w:rFonts w:ascii="Arial" w:hAnsi="Arial" w:cs="Arial"/>
          <w:sz w:val="20"/>
        </w:rPr>
        <w:tab/>
      </w:r>
      <w:r w:rsidR="00B92EB4" w:rsidRPr="00A61F3D">
        <w:rPr>
          <w:rFonts w:ascii="Arial" w:hAnsi="Arial" w:cs="Arial"/>
          <w:b/>
          <w:sz w:val="20"/>
        </w:rPr>
        <w:t>Vételi (call) opció</w:t>
      </w:r>
      <w:r w:rsidR="00B92EB4" w:rsidRPr="00A61F3D">
        <w:rPr>
          <w:rFonts w:ascii="Arial" w:hAnsi="Arial" w:cs="Arial"/>
          <w:sz w:val="20"/>
        </w:rPr>
        <w:t>: olyan származtatott ügylet, mely az opciós díj megfizetése ellenében kötelezettség nélküli jogot biztosít egy meghatározott jövőbeli időpontban egy meghatározott mennyiségű termék előre rögzített áron történő megvételére.</w:t>
      </w:r>
    </w:p>
    <w:p w14:paraId="49CD82F8" w14:textId="7D5C6E0F" w:rsidR="00AC13E5" w:rsidRPr="00A61F3D" w:rsidRDefault="0025328B" w:rsidP="00D3125B">
      <w:pPr>
        <w:spacing w:before="120"/>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w:t>
      </w:r>
      <w:r w:rsidR="00F64E86" w:rsidRPr="00A61F3D">
        <w:rPr>
          <w:rFonts w:ascii="Arial" w:hAnsi="Arial" w:cs="Arial"/>
          <w:b/>
          <w:sz w:val="20"/>
        </w:rPr>
        <w:t xml:space="preserve">5. </w:t>
      </w:r>
      <w:r w:rsidR="00AC13E5" w:rsidRPr="00A61F3D">
        <w:rPr>
          <w:rFonts w:ascii="Arial" w:hAnsi="Arial" w:cs="Arial"/>
          <w:b/>
          <w:sz w:val="20"/>
        </w:rPr>
        <w:t>A fizetési mérleg statisztikai (R jelű) adatszolgáltatásokban használt fogalmak</w:t>
      </w:r>
    </w:p>
    <w:p w14:paraId="6C263CA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 könyv szerinti értéket korrigáló tételek (ingatlan):</w:t>
      </w:r>
      <w:r w:rsidRPr="00A61F3D">
        <w:rPr>
          <w:rFonts w:ascii="Arial" w:hAnsi="Arial" w:cs="Arial"/>
          <w:sz w:val="20"/>
        </w:rPr>
        <w:t xml:space="preserve"> a terv szerinti értékcsökkenés tárgyévi összege, továbbá a terven felüli értékcsökkenésként, terven felüli értékcsökkenés visszaírásaként, illetve az értékhelyesbítésként a tárgyévben elszámolt összegek (előjelhelyesen), és az értéknövelő beruházás (felújítás).</w:t>
      </w:r>
    </w:p>
    <w:p w14:paraId="11F1EDB3"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 szerzett, illetve átruházott külföldi ingatlan értéke:</w:t>
      </w:r>
      <w:r w:rsidRPr="00A61F3D">
        <w:rPr>
          <w:rFonts w:ascii="Arial" w:hAnsi="Arial" w:cs="Arial"/>
          <w:sz w:val="20"/>
        </w:rPr>
        <w:t xml:space="preserve"> az adatszolgáltató által megszerzett, illetve átruházott külföldi ingatlan szerződés szerinti értéke, amely összeget az adatszolgáltató könyvvezetésének devizanemében kell megadni. </w:t>
      </w:r>
    </w:p>
    <w:p w14:paraId="0938987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Adósság elengedés</w:t>
      </w:r>
      <w:r w:rsidRPr="00A61F3D">
        <w:rPr>
          <w:rFonts w:ascii="Arial" w:hAnsi="Arial" w:cs="Arial"/>
          <w:sz w:val="20"/>
        </w:rPr>
        <w:t>: a hitelező és az adós közti megállapodás, amely alapján az adós fizetésképtelenné válása miatt a hitelező eltekint a fennálló adósság egy részének vagy egészének törlesztésétől.</w:t>
      </w:r>
    </w:p>
    <w:p w14:paraId="5B3DB5B1" w14:textId="56232ADC"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Államilag garantált hitel</w:t>
      </w:r>
      <w:r w:rsidRPr="00A61F3D">
        <w:rPr>
          <w:rFonts w:ascii="Arial" w:hAnsi="Arial" w:cs="Arial"/>
          <w:sz w:val="20"/>
        </w:rPr>
        <w:t xml:space="preserve">: államilag garantált hitel akkor keletkezik, ha a </w:t>
      </w:r>
      <w:r w:rsidR="00C45FDC">
        <w:rPr>
          <w:rFonts w:ascii="Arial" w:hAnsi="Arial" w:cs="Arial"/>
          <w:sz w:val="20"/>
        </w:rPr>
        <w:t>m</w:t>
      </w:r>
      <w:r w:rsidRPr="00A61F3D">
        <w:rPr>
          <w:rFonts w:ascii="Arial" w:hAnsi="Arial" w:cs="Arial"/>
          <w:sz w:val="20"/>
        </w:rPr>
        <w:t xml:space="preserve">agyar </w:t>
      </w:r>
      <w:r w:rsidR="00C45FDC">
        <w:rPr>
          <w:rFonts w:ascii="Arial" w:hAnsi="Arial" w:cs="Arial"/>
          <w:sz w:val="20"/>
        </w:rPr>
        <w:t>á</w:t>
      </w:r>
      <w:r w:rsidRPr="00A61F3D">
        <w:rPr>
          <w:rFonts w:ascii="Arial" w:hAnsi="Arial" w:cs="Arial"/>
          <w:sz w:val="20"/>
        </w:rPr>
        <w:t>llam (képviseletében eljár: az államháztartásért felelős miniszter) az adós által nem</w:t>
      </w:r>
      <w:r w:rsidR="00707E83" w:rsidRPr="00A61F3D">
        <w:rPr>
          <w:rFonts w:ascii="Arial" w:hAnsi="Arial" w:cs="Arial"/>
          <w:sz w:val="20"/>
        </w:rPr>
        <w:t>-</w:t>
      </w:r>
      <w:r w:rsidRPr="00A61F3D">
        <w:rPr>
          <w:rFonts w:ascii="Arial" w:hAnsi="Arial" w:cs="Arial"/>
          <w:sz w:val="20"/>
        </w:rPr>
        <w:t>rezidenstől felvett hitel adósságszolgálatára (tőketörlesztés</w:t>
      </w:r>
      <w:r w:rsidR="009853DF" w:rsidRPr="00A61F3D">
        <w:rPr>
          <w:rFonts w:ascii="Arial" w:hAnsi="Arial" w:cs="Arial"/>
          <w:sz w:val="20"/>
        </w:rPr>
        <w:t>, illetve</w:t>
      </w:r>
      <w:r w:rsidRPr="00A61F3D">
        <w:rPr>
          <w:rFonts w:ascii="Arial" w:hAnsi="Arial" w:cs="Arial"/>
          <w:sz w:val="20"/>
        </w:rPr>
        <w:t xml:space="preserve"> kamatfizetés) kezességet vállal.</w:t>
      </w:r>
    </w:p>
    <w:p w14:paraId="6970246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Állományváltozást eredményező tranzakciók (ingatlan)</w:t>
      </w:r>
      <w:r w:rsidRPr="00BC531B">
        <w:rPr>
          <w:rFonts w:ascii="Arial" w:hAnsi="Arial" w:cs="Arial"/>
          <w:sz w:val="20"/>
        </w:rPr>
        <w:t>:</w:t>
      </w:r>
      <w:r w:rsidRPr="00A61F3D">
        <w:rPr>
          <w:rFonts w:ascii="Arial" w:hAnsi="Arial" w:cs="Arial"/>
          <w:sz w:val="20"/>
        </w:rPr>
        <w:t xml:space="preserve"> a tárgyév tranzakciói (</w:t>
      </w:r>
      <w:r w:rsidR="002F2A0A" w:rsidRPr="00A61F3D">
        <w:rPr>
          <w:rFonts w:ascii="Arial" w:hAnsi="Arial" w:cs="Arial"/>
          <w:sz w:val="20"/>
        </w:rPr>
        <w:t xml:space="preserve">pl. </w:t>
      </w:r>
      <w:r w:rsidRPr="00A61F3D">
        <w:rPr>
          <w:rFonts w:ascii="Arial" w:hAnsi="Arial" w:cs="Arial"/>
          <w:sz w:val="20"/>
        </w:rPr>
        <w:t>adásvétel, csere, apportba vétel, apportba való átadás, térítés nélküli átvétel, átadás) által előidézett állományváltozások ingatlanonként összesített összege.</w:t>
      </w:r>
    </w:p>
    <w:p w14:paraId="0E32AE1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Az érintett rezidens vállalkozás megnevezése és törzsszáma:</w:t>
      </w:r>
      <w:r w:rsidRPr="00A61F3D">
        <w:rPr>
          <w:rFonts w:ascii="Arial" w:hAnsi="Arial" w:cs="Arial"/>
          <w:sz w:val="20"/>
        </w:rPr>
        <w:t xml:space="preserve"> annak a rezidens vállalkozásnak a neve és törzsszáma, amelyben lévő részesedést az adatszolgáltató nem</w:t>
      </w:r>
      <w:r w:rsidR="00707E83" w:rsidRPr="00A61F3D">
        <w:rPr>
          <w:rFonts w:ascii="Arial" w:hAnsi="Arial" w:cs="Arial"/>
          <w:sz w:val="20"/>
        </w:rPr>
        <w:t>-</w:t>
      </w:r>
      <w:r w:rsidRPr="00A61F3D">
        <w:rPr>
          <w:rFonts w:ascii="Arial" w:hAnsi="Arial" w:cs="Arial"/>
          <w:sz w:val="20"/>
        </w:rPr>
        <w:t>rezidens féltől megszerzett, vagy nem</w:t>
      </w:r>
      <w:r w:rsidR="00707E83" w:rsidRPr="00A61F3D">
        <w:rPr>
          <w:rFonts w:ascii="Arial" w:hAnsi="Arial" w:cs="Arial"/>
          <w:sz w:val="20"/>
        </w:rPr>
        <w:t>-</w:t>
      </w:r>
      <w:r w:rsidRPr="00A61F3D">
        <w:rPr>
          <w:rFonts w:ascii="Arial" w:hAnsi="Arial" w:cs="Arial"/>
          <w:sz w:val="20"/>
        </w:rPr>
        <w:t xml:space="preserve">rezidens fél részére átruházott. </w:t>
      </w:r>
    </w:p>
    <w:p w14:paraId="494C595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Egyéb változások (a derivatíva adatszolgáltatásokat kivéve):</w:t>
      </w:r>
      <w:r w:rsidRPr="00A61F3D">
        <w:rPr>
          <w:rFonts w:ascii="Arial" w:hAnsi="Arial" w:cs="Arial"/>
          <w:sz w:val="20"/>
        </w:rPr>
        <w:t xml:space="preserve"> minden, a követelések és tartozások állományában a tranzakciókon kívül bekövetkezett változás. Az egyéb változás okai lehetnek: követelés leírás, követelés elengedés, átsorolás, hibás jelentés, követelés megvásárlás és értékesítés esetén a névérték és a forgalmi (piaci) érték közti árkülönbözet, adósság elengedés, ár- és árfolyam miatti átértékelődés.</w:t>
      </w:r>
    </w:p>
    <w:p w14:paraId="110BCA3A"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Egyéb változások – kamatok:</w:t>
      </w:r>
      <w:r w:rsidRPr="00A61F3D">
        <w:rPr>
          <w:rFonts w:ascii="Arial" w:hAnsi="Arial" w:cs="Arial"/>
          <w:sz w:val="20"/>
        </w:rPr>
        <w:t xml:space="preserve"> minden, az időarányosan járó és fizetendő kamatok állományában a tranzakciókon kívül bekövetkezett változás (pl</w:t>
      </w:r>
      <w:r w:rsidR="002F2A0A" w:rsidRPr="00A61F3D">
        <w:rPr>
          <w:rFonts w:ascii="Arial" w:hAnsi="Arial" w:cs="Arial"/>
          <w:sz w:val="20"/>
        </w:rPr>
        <w:t>.</w:t>
      </w:r>
      <w:r w:rsidRPr="00A61F3D">
        <w:rPr>
          <w:rFonts w:ascii="Arial" w:hAnsi="Arial" w:cs="Arial"/>
          <w:sz w:val="20"/>
        </w:rPr>
        <w:t xml:space="preserve"> kamatkövetelések leírása, kamattartozások elengedése). A kamattőkésítés nem tartozik ide.</w:t>
      </w:r>
    </w:p>
    <w:p w14:paraId="0C59DD5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Egyedileg azonosított hitel</w:t>
      </w:r>
      <w:r w:rsidRPr="00A61F3D">
        <w:rPr>
          <w:rFonts w:ascii="Arial" w:hAnsi="Arial" w:cs="Arial"/>
          <w:sz w:val="20"/>
        </w:rPr>
        <w:t xml:space="preserve">: egyéb befektetések esetén a konzorciális-, államilag garantált, a Világbanktól felvett, valamint a költségvetési szervek és a többségi állami tulajdonban lévő adatszolgáltatók azon hiteltartozásai, amelyek esetében az adott táblában előírt egyedi azonosító adatok is kötelezően kitöltendők. </w:t>
      </w:r>
    </w:p>
    <w:p w14:paraId="6E8C933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Eredeti devizanem</w:t>
      </w:r>
      <w:r w:rsidRPr="00A61F3D">
        <w:rPr>
          <w:rFonts w:ascii="Arial" w:hAnsi="Arial" w:cs="Arial"/>
          <w:sz w:val="20"/>
        </w:rPr>
        <w:t>: azon devizanem, amelyben a követelés, illetve tartozás fennáll, illetve visszafizetendő (ez eltérhet a szerződés szerinti devizanemtől).</w:t>
      </w:r>
    </w:p>
    <w:p w14:paraId="21F88B8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Eszmei, szellemi javak</w:t>
      </w:r>
      <w:r w:rsidRPr="00BC531B">
        <w:rPr>
          <w:rFonts w:ascii="Arial" w:hAnsi="Arial" w:cs="Arial"/>
          <w:sz w:val="20"/>
        </w:rPr>
        <w:t>:</w:t>
      </w:r>
      <w:r w:rsidRPr="00A61F3D">
        <w:rPr>
          <w:rFonts w:ascii="Arial" w:hAnsi="Arial" w:cs="Arial"/>
          <w:sz w:val="20"/>
        </w:rPr>
        <w:t xml:space="preserve"> a vagyoni értékű jogok (</w:t>
      </w:r>
      <w:r w:rsidR="002F2A0A" w:rsidRPr="00A61F3D">
        <w:rPr>
          <w:rFonts w:ascii="Arial" w:hAnsi="Arial" w:cs="Arial"/>
          <w:sz w:val="20"/>
        </w:rPr>
        <w:t xml:space="preserve">pl. </w:t>
      </w:r>
      <w:r w:rsidRPr="00A61F3D">
        <w:rPr>
          <w:rFonts w:ascii="Arial" w:hAnsi="Arial" w:cs="Arial"/>
          <w:sz w:val="20"/>
        </w:rPr>
        <w:t>szabadalom, találmány, szerzői jog, franchise, védjegy, bányászati jog), beleértve az emissziós kvótákat is.</w:t>
      </w:r>
    </w:p>
    <w:p w14:paraId="570EBA0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Hitelazonosító </w:t>
      </w:r>
      <w:r w:rsidR="00E7048C" w:rsidRPr="00A61F3D">
        <w:rPr>
          <w:rFonts w:ascii="Arial" w:hAnsi="Arial" w:cs="Arial"/>
          <w:b/>
          <w:sz w:val="20"/>
        </w:rPr>
        <w:t>(</w:t>
      </w:r>
      <w:r w:rsidRPr="00A61F3D">
        <w:rPr>
          <w:rFonts w:ascii="Arial" w:hAnsi="Arial" w:cs="Arial"/>
          <w:b/>
          <w:sz w:val="20"/>
        </w:rPr>
        <w:t>adósságazonosító</w:t>
      </w:r>
      <w:r w:rsidR="00E7048C" w:rsidRPr="00A61F3D">
        <w:rPr>
          <w:rFonts w:ascii="Arial" w:hAnsi="Arial" w:cs="Arial"/>
          <w:b/>
          <w:sz w:val="20"/>
        </w:rPr>
        <w:t>)</w:t>
      </w:r>
      <w:r w:rsidRPr="00A61F3D">
        <w:rPr>
          <w:rFonts w:ascii="Arial" w:hAnsi="Arial" w:cs="Arial"/>
          <w:b/>
          <w:sz w:val="20"/>
        </w:rPr>
        <w:t>:</w:t>
      </w:r>
      <w:r w:rsidRPr="00A61F3D">
        <w:rPr>
          <w:rFonts w:ascii="Arial" w:hAnsi="Arial" w:cs="Arial"/>
          <w:sz w:val="20"/>
        </w:rPr>
        <w:t>. költségvetési szerv, többségi állami tulajdonú, valamint államilag garantált vagy Világbankkal szemben fennálló hiteltartozással rendelkező adósok éven túli hiteleinek saját nyilvántartásában szereplő azonosító adata.</w:t>
      </w:r>
    </w:p>
    <w:p w14:paraId="6B045B0A"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Hosszú lejáratú (éven túli) követelések és tartozások:</w:t>
      </w:r>
      <w:r w:rsidRPr="00A61F3D">
        <w:rPr>
          <w:rFonts w:ascii="Arial" w:hAnsi="Arial" w:cs="Arial"/>
          <w:sz w:val="20"/>
        </w:rPr>
        <w:t xml:space="preserve"> az egy évnél hosszabb eredeti lejárattal rendelkező követelések és tartozások.</w:t>
      </w:r>
    </w:p>
    <w:p w14:paraId="2125721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Időszakra járó és fizetendő időarányos kamatok:</w:t>
      </w:r>
      <w:r w:rsidRPr="00A61F3D">
        <w:rPr>
          <w:rFonts w:ascii="Arial" w:hAnsi="Arial" w:cs="Arial"/>
          <w:sz w:val="20"/>
        </w:rPr>
        <w:t xml:space="preserve"> a tárgyidőszakra vonatkozóan számított, állományt növelő kamatösszegek függetlenül attól, hogy időbeli elhatárolás tételként a nyilvántartásokban megjelentek-e, illetve, hogy az adott időszakon belül pénzügyileg rendezték-e azokat (esetleg azok egy részét).</w:t>
      </w:r>
    </w:p>
    <w:p w14:paraId="3495AB2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Kamathátralék:</w:t>
      </w:r>
      <w:r w:rsidRPr="00A61F3D">
        <w:rPr>
          <w:rFonts w:ascii="Arial" w:hAnsi="Arial" w:cs="Arial"/>
          <w:sz w:val="20"/>
        </w:rPr>
        <w:t xml:space="preserve"> a halmozódó esedékes, de ki nem fizetett kamat összege.</w:t>
      </w:r>
    </w:p>
    <w:p w14:paraId="6CD3BAC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lastRenderedPageBreak/>
        <w:t>Kereskedelmi hitel:</w:t>
      </w:r>
      <w:r w:rsidRPr="00A61F3D">
        <w:rPr>
          <w:rFonts w:ascii="Arial" w:hAnsi="Arial" w:cs="Arial"/>
          <w:sz w:val="20"/>
        </w:rPr>
        <w:t xml:space="preserve"> áru- és szolgáltatás export vagy import miatti, nem</w:t>
      </w:r>
      <w:r w:rsidR="00707E83" w:rsidRPr="00A61F3D">
        <w:rPr>
          <w:rFonts w:ascii="Arial" w:hAnsi="Arial" w:cs="Arial"/>
          <w:sz w:val="20"/>
        </w:rPr>
        <w:t>-</w:t>
      </w:r>
      <w:r w:rsidRPr="00A61F3D">
        <w:rPr>
          <w:rFonts w:ascii="Arial" w:hAnsi="Arial" w:cs="Arial"/>
          <w:sz w:val="20"/>
        </w:rPr>
        <w:t>rezidensekkel szemben fennálló vevőkövetelés vagy szállítói tartozás, valamint ezen ügyletekkel kapcsolatos előleg- (előre) fizetések.</w:t>
      </w:r>
    </w:p>
    <w:p w14:paraId="11B051D0"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Készenléti (stand-by) hitel:</w:t>
      </w:r>
      <w:r w:rsidRPr="00A61F3D">
        <w:rPr>
          <w:rFonts w:ascii="Arial" w:hAnsi="Arial" w:cs="Arial"/>
          <w:sz w:val="20"/>
        </w:rPr>
        <w:t xml:space="preserve"> beruházási hitelek esetében gyakori, hogy a beruházás pénzügyi ellenőrzését és a hitelcél megvalósulását a bank úgy végzi, hogy csak a teljesítés függvényében folyósítja a hitelt. A készenléti hitel tehát csak egy ígérvény, amelyet meghatározott feltételek megvalósulása esetében folyósít a bank. </w:t>
      </w:r>
    </w:p>
    <w:p w14:paraId="343F47F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Konzorciális (szindikált) hitel:</w:t>
      </w:r>
      <w:r w:rsidRPr="00A61F3D">
        <w:rPr>
          <w:rFonts w:ascii="Arial" w:hAnsi="Arial" w:cs="Arial"/>
          <w:sz w:val="20"/>
        </w:rPr>
        <w:t xml:space="preserve"> rezidensek és nem</w:t>
      </w:r>
      <w:r w:rsidR="00707E83" w:rsidRPr="00A61F3D">
        <w:rPr>
          <w:rFonts w:ascii="Arial" w:hAnsi="Arial" w:cs="Arial"/>
          <w:sz w:val="20"/>
        </w:rPr>
        <w:t>-</w:t>
      </w:r>
      <w:r w:rsidRPr="00A61F3D">
        <w:rPr>
          <w:rFonts w:ascii="Arial" w:hAnsi="Arial" w:cs="Arial"/>
          <w:sz w:val="20"/>
        </w:rPr>
        <w:t>rezidensek együttes részvételével nyújtott hitel.</w:t>
      </w:r>
    </w:p>
    <w:p w14:paraId="7AB9B44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Követelés leírás:</w:t>
      </w:r>
      <w:r w:rsidRPr="00A61F3D">
        <w:rPr>
          <w:rFonts w:ascii="Arial" w:hAnsi="Arial" w:cs="Arial"/>
          <w:sz w:val="20"/>
        </w:rPr>
        <w:t xml:space="preserve"> A behajthatatlannak minősített követelések számviteli szabályok alapján történő kivezetése a hitelező könyveiből.</w:t>
      </w:r>
    </w:p>
    <w:p w14:paraId="41464CA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Külföldi ingatlan országa: </w:t>
      </w:r>
      <w:r w:rsidRPr="00A61F3D">
        <w:rPr>
          <w:rFonts w:ascii="Arial" w:hAnsi="Arial" w:cs="Arial"/>
          <w:sz w:val="20"/>
        </w:rPr>
        <w:t>a külföldi ingatlan fekvése szerinti ország</w:t>
      </w:r>
      <w:r w:rsidR="007B3C12" w:rsidRPr="00A61F3D">
        <w:rPr>
          <w:rFonts w:ascii="Arial" w:hAnsi="Arial" w:cs="Arial"/>
          <w:sz w:val="20"/>
        </w:rPr>
        <w:t>.</w:t>
      </w:r>
    </w:p>
    <w:p w14:paraId="40F69CEC"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közvetett befektető:</w:t>
      </w:r>
      <w:r w:rsidRPr="00A61F3D">
        <w:rPr>
          <w:rFonts w:ascii="Arial" w:hAnsi="Arial" w:cs="Arial"/>
          <w:sz w:val="20"/>
        </w:rPr>
        <w:t xml:space="preserve"> olyan nem</w:t>
      </w:r>
      <w:r w:rsidR="00707E83" w:rsidRPr="00A61F3D">
        <w:rPr>
          <w:rFonts w:ascii="Arial" w:hAnsi="Arial" w:cs="Arial"/>
          <w:sz w:val="20"/>
        </w:rPr>
        <w:t>-</w:t>
      </w:r>
      <w:r w:rsidRPr="00A61F3D">
        <w:rPr>
          <w:rFonts w:ascii="Arial" w:hAnsi="Arial" w:cs="Arial"/>
          <w:sz w:val="20"/>
        </w:rPr>
        <w:t>rezidens vállalat, amely közvetve ellenőrzéssel rendelkezik a vállalatban</w:t>
      </w:r>
      <w:r w:rsidR="00E861B7" w:rsidRPr="00A61F3D">
        <w:rPr>
          <w:rFonts w:ascii="Arial" w:hAnsi="Arial" w:cs="Arial"/>
          <w:sz w:val="20"/>
        </w:rPr>
        <w:t xml:space="preserve"> (ellenőrzés alatt azt kell érteni, hogy a részesedés tulajdonjoga a szavazati jog több mint 50%-át biztosítja)</w:t>
      </w:r>
      <w:r w:rsidRPr="00A61F3D">
        <w:rPr>
          <w:rFonts w:ascii="Arial" w:hAnsi="Arial" w:cs="Arial"/>
          <w:sz w:val="20"/>
        </w:rPr>
        <w:t>.</w:t>
      </w:r>
    </w:p>
    <w:p w14:paraId="4FEEDAC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közvetett befektetés:</w:t>
      </w:r>
      <w:r w:rsidRPr="00A61F3D">
        <w:rPr>
          <w:rFonts w:ascii="Arial" w:hAnsi="Arial" w:cs="Arial"/>
          <w:sz w:val="20"/>
        </w:rPr>
        <w:t xml:space="preserve"> olyan nem</w:t>
      </w:r>
      <w:r w:rsidR="00A01373" w:rsidRPr="00A61F3D">
        <w:rPr>
          <w:rFonts w:ascii="Arial" w:hAnsi="Arial" w:cs="Arial"/>
          <w:sz w:val="20"/>
        </w:rPr>
        <w:t>-</w:t>
      </w:r>
      <w:r w:rsidRPr="00A61F3D">
        <w:rPr>
          <w:rFonts w:ascii="Arial" w:hAnsi="Arial" w:cs="Arial"/>
          <w:sz w:val="20"/>
        </w:rPr>
        <w:t xml:space="preserve">rezidens vállalat, amelyben közvetve ellenőrzéssel vagy befolyással </w:t>
      </w:r>
      <w:r w:rsidR="00A01373" w:rsidRPr="00A61F3D">
        <w:rPr>
          <w:rFonts w:ascii="Arial" w:hAnsi="Arial" w:cs="Arial"/>
          <w:sz w:val="20"/>
        </w:rPr>
        <w:t>rendelkezik az adatszolgáltató (ellenőrzés alatt azt kell érteni, hogy a részesedés tulajdonjoga a szavazati jog több mint 50%-át biztosítja, befolyásnak pedig az minősül, h</w:t>
      </w:r>
      <w:r w:rsidR="00D753B9" w:rsidRPr="00A61F3D">
        <w:rPr>
          <w:rFonts w:ascii="Arial" w:hAnsi="Arial" w:cs="Arial"/>
          <w:sz w:val="20"/>
        </w:rPr>
        <w:t>a</w:t>
      </w:r>
      <w:r w:rsidR="00A01373" w:rsidRPr="00A61F3D">
        <w:rPr>
          <w:rFonts w:ascii="Arial" w:hAnsi="Arial" w:cs="Arial"/>
          <w:sz w:val="20"/>
        </w:rPr>
        <w:t xml:space="preserve"> a részesedés tulajdonjoga a szavazati jognak legalább a 10%-át, de legfeljebb 50%-át biztosítja)</w:t>
      </w:r>
      <w:r w:rsidRPr="00A61F3D">
        <w:rPr>
          <w:rFonts w:ascii="Arial" w:hAnsi="Arial" w:cs="Arial"/>
          <w:sz w:val="20"/>
        </w:rPr>
        <w:t>.</w:t>
      </w:r>
    </w:p>
    <w:p w14:paraId="194CFF35"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Külföldi közvetlentőke-befektetés: </w:t>
      </w:r>
      <w:r w:rsidRPr="00A61F3D">
        <w:rPr>
          <w:rFonts w:ascii="Arial" w:hAnsi="Arial" w:cs="Arial"/>
          <w:sz w:val="20"/>
        </w:rPr>
        <w:t>olyan nem</w:t>
      </w:r>
      <w:r w:rsidR="00707E83" w:rsidRPr="00A61F3D">
        <w:rPr>
          <w:rFonts w:ascii="Arial" w:hAnsi="Arial" w:cs="Arial"/>
          <w:sz w:val="20"/>
        </w:rPr>
        <w:t>-</w:t>
      </w:r>
      <w:r w:rsidRPr="00A61F3D">
        <w:rPr>
          <w:rFonts w:ascii="Arial" w:hAnsi="Arial" w:cs="Arial"/>
          <w:sz w:val="20"/>
        </w:rPr>
        <w:t xml:space="preserve">rezidens vállalat, amelyben az adatszolgáltató 10%-ot elérő vagy meghaladó közvetlen szavazati joggal rendelkezik. </w:t>
      </w:r>
    </w:p>
    <w:p w14:paraId="39E75D16"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Külföldi közvetlentőke-befektető:</w:t>
      </w:r>
      <w:r w:rsidRPr="00A61F3D">
        <w:rPr>
          <w:rFonts w:ascii="Arial" w:hAnsi="Arial" w:cs="Arial"/>
          <w:sz w:val="20"/>
        </w:rPr>
        <w:t xml:space="preserve"> az adatszolgáltató társaságban 10%-ot elérő vagy meghaladó közvetlen szavazati joggal rendelkező nem</w:t>
      </w:r>
      <w:r w:rsidR="00707E83" w:rsidRPr="00A61F3D">
        <w:rPr>
          <w:rFonts w:ascii="Arial" w:hAnsi="Arial" w:cs="Arial"/>
          <w:sz w:val="20"/>
        </w:rPr>
        <w:t>-</w:t>
      </w:r>
      <w:r w:rsidRPr="00A61F3D">
        <w:rPr>
          <w:rFonts w:ascii="Arial" w:hAnsi="Arial" w:cs="Arial"/>
          <w:sz w:val="20"/>
        </w:rPr>
        <w:t>rezidens befektető (természetes személy, jogi személy vagy jogi személyiséggel nem rendelkező szervezet).</w:t>
      </w:r>
    </w:p>
    <w:p w14:paraId="7BEADDBF" w14:textId="77777777" w:rsidR="00876347"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Lehívatlan állomány:</w:t>
      </w:r>
      <w:r w:rsidRPr="00A61F3D">
        <w:rPr>
          <w:rFonts w:ascii="Arial" w:hAnsi="Arial" w:cs="Arial"/>
          <w:sz w:val="20"/>
        </w:rPr>
        <w:t xml:space="preserve"> a tárgyidőszak végén a szerződésben szereplő összeg azon része, amely még nem került lehívásra. Az R28</w:t>
      </w:r>
      <w:r w:rsidR="00A01373" w:rsidRPr="00A61F3D">
        <w:rPr>
          <w:rFonts w:ascii="Arial" w:hAnsi="Arial" w:cs="Arial"/>
          <w:sz w:val="20"/>
        </w:rPr>
        <w:t xml:space="preserve"> </w:t>
      </w:r>
      <w:r w:rsidR="00A30257" w:rsidRPr="00A61F3D">
        <w:rPr>
          <w:rFonts w:ascii="Arial" w:hAnsi="Arial" w:cs="Arial"/>
          <w:sz w:val="20"/>
        </w:rPr>
        <w:t>MNB azonosító kódú</w:t>
      </w:r>
      <w:r w:rsidRPr="00A61F3D">
        <w:rPr>
          <w:rFonts w:ascii="Arial" w:hAnsi="Arial" w:cs="Arial"/>
          <w:sz w:val="20"/>
        </w:rPr>
        <w:t xml:space="preserve"> adatszolgáltatásban már korábbi évben jelentett hitelek esetén a jelenleg lehívatlan állomány = előző éves adatszolgáltatásban szereplő lehívatlan állomány + szerződés szerinti új összeg –</w:t>
      </w:r>
      <w:r w:rsidR="00CB1B6A" w:rsidRPr="00A61F3D">
        <w:rPr>
          <w:rFonts w:ascii="Arial" w:hAnsi="Arial" w:cs="Arial"/>
          <w:sz w:val="20"/>
        </w:rPr>
        <w:t xml:space="preserve"> </w:t>
      </w:r>
      <w:r w:rsidRPr="00A61F3D">
        <w:rPr>
          <w:rFonts w:ascii="Arial" w:hAnsi="Arial" w:cs="Arial"/>
          <w:sz w:val="20"/>
        </w:rPr>
        <w:t>lehívások – törlések.</w:t>
      </w:r>
    </w:p>
    <w:p w14:paraId="7C49D08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Nettó tranzakció:</w:t>
      </w:r>
      <w:r w:rsidRPr="00A61F3D">
        <w:rPr>
          <w:rFonts w:ascii="Arial" w:hAnsi="Arial" w:cs="Arial"/>
          <w:sz w:val="20"/>
        </w:rPr>
        <w:t xml:space="preserve"> a pénzügyi eszköz állomány növekedésének és csökkenésének egyéb változások nélkül számított különbsége.</w:t>
      </w:r>
    </w:p>
    <w:p w14:paraId="36D2043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Osztalékkövetelés növekedése:</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követelés esetén a külföldi vállalat által a tárgyidőszakban jóváhagyott osztalékból az adatszolgáltatóra jutó rész; külföldi közvetlentőke</w:t>
      </w:r>
      <w:r w:rsidR="00594306" w:rsidRPr="00A61F3D">
        <w:rPr>
          <w:rFonts w:ascii="Arial" w:hAnsi="Arial" w:cs="Arial"/>
          <w:sz w:val="20"/>
        </w:rPr>
        <w:t>-</w:t>
      </w:r>
      <w:r w:rsidRPr="00A61F3D">
        <w:rPr>
          <w:rFonts w:ascii="Arial" w:hAnsi="Arial" w:cs="Arial"/>
          <w:sz w:val="20"/>
        </w:rPr>
        <w:t xml:space="preserve">befektetővel szemben fennálló követelés esetén az adatszolgáltató által a tőkebefektetőnek a tárgyidőszakban kifizetett osztalékelőleg. </w:t>
      </w:r>
    </w:p>
    <w:p w14:paraId="31F79F59"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Osztalékkövetelés csökkenése (egyéb tranzakció és levont adó):</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követelés</w:t>
      </w:r>
      <w:r w:rsidR="00594306" w:rsidRPr="00A61F3D">
        <w:rPr>
          <w:rFonts w:ascii="Arial" w:hAnsi="Arial" w:cs="Arial"/>
          <w:sz w:val="20"/>
        </w:rPr>
        <w:t xml:space="preserve"> esetén</w:t>
      </w:r>
      <w:r w:rsidRPr="00A61F3D">
        <w:rPr>
          <w:rFonts w:ascii="Arial" w:hAnsi="Arial" w:cs="Arial"/>
          <w:sz w:val="20"/>
        </w:rPr>
        <w:t xml:space="preserve"> a külföldi vállalat által az adatszolgáltató részére a tárgyidőszakban kifizetett osztalék, illetve az ezután levont osztalékadó összege; külföldi közvetlentőke</w:t>
      </w:r>
      <w:r w:rsidR="00594306" w:rsidRPr="00A61F3D">
        <w:rPr>
          <w:rFonts w:ascii="Arial" w:hAnsi="Arial" w:cs="Arial"/>
          <w:sz w:val="20"/>
        </w:rPr>
        <w:t>-</w:t>
      </w:r>
      <w:r w:rsidRPr="00A61F3D">
        <w:rPr>
          <w:rFonts w:ascii="Arial" w:hAnsi="Arial" w:cs="Arial"/>
          <w:sz w:val="20"/>
        </w:rPr>
        <w:t>befektetővel szemben fennálló követelés esetén a tőkebefektető által az adatszolgáltatónak visszafizetett osztalékelőleg vagy az osztalékelőlegből származó követelésnek a beszámoló jóváhagyása utáni kivezetése.</w:t>
      </w:r>
    </w:p>
    <w:p w14:paraId="03A8E11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Osztaléktartozás növekedése:</w:t>
      </w:r>
      <w:r w:rsidRPr="00A61F3D">
        <w:rPr>
          <w:rFonts w:ascii="Arial" w:hAnsi="Arial" w:cs="Arial"/>
          <w:sz w:val="20"/>
        </w:rPr>
        <w:t xml:space="preserve"> külföldi közvetlentőke</w:t>
      </w:r>
      <w:r w:rsidR="00594306" w:rsidRPr="00A61F3D">
        <w:rPr>
          <w:rFonts w:ascii="Arial" w:hAnsi="Arial" w:cs="Arial"/>
          <w:sz w:val="20"/>
        </w:rPr>
        <w:t>-</w:t>
      </w:r>
      <w:r w:rsidRPr="00A61F3D">
        <w:rPr>
          <w:rFonts w:ascii="Arial" w:hAnsi="Arial" w:cs="Arial"/>
          <w:sz w:val="20"/>
        </w:rPr>
        <w:t>befektetéssel szemben fennálló tartozás esetén a külföldi vállalat által az adatszolgáltatónak a tárgyidőszakban kifizetett osztalékelőleg; külföldi közvetlentőke</w:t>
      </w:r>
      <w:r w:rsidR="00594306" w:rsidRPr="00A61F3D">
        <w:rPr>
          <w:rFonts w:ascii="Arial" w:hAnsi="Arial" w:cs="Arial"/>
          <w:sz w:val="20"/>
        </w:rPr>
        <w:t>-</w:t>
      </w:r>
      <w:r w:rsidRPr="00A61F3D">
        <w:rPr>
          <w:rFonts w:ascii="Arial" w:hAnsi="Arial" w:cs="Arial"/>
          <w:sz w:val="20"/>
        </w:rPr>
        <w:t xml:space="preserve">befektetővel szemben fennálló tartozás esetén az adatszolgáltató által a tárgyidőszakban jóváhagyott osztalékból a külföldi tőkebefektetőre jutó rész. </w:t>
      </w:r>
    </w:p>
    <w:p w14:paraId="00D0EFD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Osztaléktartozás csökkenése (egyéb tranzakció és levont adó):</w:t>
      </w:r>
      <w:r w:rsidRPr="00A61F3D">
        <w:rPr>
          <w:rFonts w:ascii="Arial" w:hAnsi="Arial" w:cs="Arial"/>
          <w:sz w:val="20"/>
        </w:rPr>
        <w:t xml:space="preserve"> külföldi közvetlentőke</w:t>
      </w:r>
      <w:r w:rsidR="00950B43" w:rsidRPr="00A61F3D">
        <w:rPr>
          <w:rFonts w:ascii="Arial" w:hAnsi="Arial" w:cs="Arial"/>
          <w:sz w:val="20"/>
        </w:rPr>
        <w:t>-</w:t>
      </w:r>
      <w:r w:rsidRPr="00A61F3D">
        <w:rPr>
          <w:rFonts w:ascii="Arial" w:hAnsi="Arial" w:cs="Arial"/>
          <w:sz w:val="20"/>
        </w:rPr>
        <w:t>befektetővel szemben fennálló tartozás esetén az adatszolgáltató által a külföldi tőkebefektető részére a tárgyidőszakban kifizetett osztalék, illetve az ezután levont osztalékadó összege; külföldi közvetlentőke</w:t>
      </w:r>
      <w:r w:rsidR="00950B43" w:rsidRPr="00A61F3D">
        <w:rPr>
          <w:rFonts w:ascii="Arial" w:hAnsi="Arial" w:cs="Arial"/>
          <w:sz w:val="20"/>
        </w:rPr>
        <w:t>-</w:t>
      </w:r>
      <w:r w:rsidRPr="00A61F3D">
        <w:rPr>
          <w:rFonts w:ascii="Arial" w:hAnsi="Arial" w:cs="Arial"/>
          <w:sz w:val="20"/>
        </w:rPr>
        <w:t xml:space="preserve">befektetéssel szemben fennálló tartozás esetén az adatszolgáltató által visszafizetett osztalékelőleg vagy az osztalékelőlegből származó tartozásnak a beszámoló jóváhagyása utáni kivezetése. </w:t>
      </w:r>
    </w:p>
    <w:p w14:paraId="6A8D46C5"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Partner, kibocsátó, letétkezelő törzsszáma: </w:t>
      </w:r>
      <w:r w:rsidRPr="00A61F3D">
        <w:rPr>
          <w:rFonts w:ascii="Arial" w:hAnsi="Arial" w:cs="Arial"/>
          <w:sz w:val="20"/>
        </w:rPr>
        <w:t xml:space="preserve">a rezidens vállalkozás, szervezet KSH-törzsszáma (adószámának első </w:t>
      </w:r>
      <w:r w:rsidR="005071F1" w:rsidRPr="00A61F3D">
        <w:rPr>
          <w:rFonts w:ascii="Arial" w:hAnsi="Arial" w:cs="Arial"/>
          <w:sz w:val="20"/>
        </w:rPr>
        <w:t>8</w:t>
      </w:r>
      <w:r w:rsidRPr="00A61F3D">
        <w:rPr>
          <w:rFonts w:ascii="Arial" w:hAnsi="Arial" w:cs="Arial"/>
          <w:sz w:val="20"/>
        </w:rPr>
        <w:t xml:space="preserve"> karaktere). Befektetési alap esetén az MNB által adott, a KELER Zrt. rendelkezésére bocsátott technikai törzsszám</w:t>
      </w:r>
      <w:r w:rsidR="00252C69" w:rsidRPr="00A61F3D">
        <w:rPr>
          <w:rFonts w:ascii="Arial" w:hAnsi="Arial" w:cs="Arial"/>
          <w:sz w:val="20"/>
        </w:rPr>
        <w:t xml:space="preserve"> (FB azonosító)</w:t>
      </w:r>
      <w:r w:rsidRPr="00A61F3D">
        <w:rPr>
          <w:rFonts w:ascii="Arial" w:hAnsi="Arial" w:cs="Arial"/>
          <w:sz w:val="20"/>
        </w:rPr>
        <w:t xml:space="preserve">. Új, induló befektetési alapnál az MNB törzsszámot képzéséig az </w:t>
      </w:r>
      <w:r w:rsidR="008B37A0" w:rsidRPr="00A61F3D">
        <w:rPr>
          <w:rFonts w:ascii="Arial" w:hAnsi="Arial" w:cs="Arial"/>
          <w:sz w:val="20"/>
        </w:rPr>
        <w:t>„</w:t>
      </w:r>
      <w:r w:rsidRPr="00A61F3D">
        <w:rPr>
          <w:rFonts w:ascii="Arial" w:hAnsi="Arial" w:cs="Arial"/>
          <w:sz w:val="20"/>
        </w:rPr>
        <w:t>FB000000</w:t>
      </w:r>
      <w:r w:rsidR="00950B43" w:rsidRPr="00A61F3D">
        <w:rPr>
          <w:rFonts w:ascii="Arial" w:hAnsi="Arial" w:cs="Arial"/>
          <w:sz w:val="20"/>
        </w:rPr>
        <w:t>”</w:t>
      </w:r>
      <w:r w:rsidRPr="00A61F3D">
        <w:rPr>
          <w:rFonts w:ascii="Arial" w:hAnsi="Arial" w:cs="Arial"/>
          <w:sz w:val="20"/>
        </w:rPr>
        <w:t xml:space="preserve"> szám helyettesíti. Nem-rezidens esetén (amennyiben nincs KSH-törzsszáma, vagy az MNB és a KELER Zrt. által </w:t>
      </w:r>
      <w:r w:rsidRPr="00A61F3D">
        <w:rPr>
          <w:rFonts w:ascii="Arial" w:hAnsi="Arial" w:cs="Arial"/>
          <w:sz w:val="20"/>
        </w:rPr>
        <w:lastRenderedPageBreak/>
        <w:t>közösen rögzített „fiktív” törzsszáma) a „00000001” nyolc karakteres kód. Rezidens magánszemély esetében a „00000004” nyolc karakteres kód.</w:t>
      </w:r>
    </w:p>
    <w:p w14:paraId="48E0DA9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Pénzügyi derivatíva pozíció:</w:t>
      </w:r>
      <w:r w:rsidRPr="00A61F3D">
        <w:rPr>
          <w:rFonts w:ascii="Arial" w:hAnsi="Arial" w:cs="Arial"/>
          <w:sz w:val="20"/>
        </w:rPr>
        <w:t xml:space="preserve"> a tárgyidőszak kezdetén vagy végén nyitott pénzügyi derivatíva ügyletek szerződésenként kiértékelt, piaci értéken számított állománya. Ha a nyitott pénzügyi derivatív ügylet értéke negatív, akkor az adatszolgáltatónak nettó tartozása, ha pozitív, akkor nettó követelése van a nem</w:t>
      </w:r>
      <w:r w:rsidR="00707E83" w:rsidRPr="00A61F3D">
        <w:rPr>
          <w:rFonts w:ascii="Arial" w:hAnsi="Arial" w:cs="Arial"/>
          <w:sz w:val="20"/>
        </w:rPr>
        <w:t>-</w:t>
      </w:r>
      <w:r w:rsidRPr="00A61F3D">
        <w:rPr>
          <w:rFonts w:ascii="Arial" w:hAnsi="Arial" w:cs="Arial"/>
          <w:sz w:val="20"/>
        </w:rPr>
        <w:t xml:space="preserve">rezidens partnerrel szemben.  </w:t>
      </w:r>
    </w:p>
    <w:p w14:paraId="752ED527"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Pénzügyi derivatíva tranzakció:</w:t>
      </w:r>
      <w:r w:rsidRPr="00A61F3D">
        <w:rPr>
          <w:rFonts w:ascii="Arial" w:hAnsi="Arial" w:cs="Arial"/>
          <w:sz w:val="20"/>
        </w:rPr>
        <w:t xml:space="preserve"> minden olyan fizetés, illetve elszámolás, amely az ügyletek kötésével, zárásával, valamint az ügyletek élettartama alatt az ügyletekből eredő kötelezettségek és követelések teljesítésével kapcsolatos, ide nem értve a különböző költségek és jutalékok összegét </w:t>
      </w:r>
    </w:p>
    <w:p w14:paraId="20B4348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Roll-over hitel:</w:t>
      </w:r>
      <w:r w:rsidRPr="00A61F3D">
        <w:rPr>
          <w:rFonts w:ascii="Arial" w:hAnsi="Arial" w:cs="Arial"/>
          <w:sz w:val="20"/>
        </w:rPr>
        <w:t xml:space="preserve"> egy adott pozíció (hitelügylet) lejáratkori lezárása és egyidejű megújítása további időszakokra.</w:t>
      </w:r>
    </w:p>
    <w:p w14:paraId="3C4EEBB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Rövid lejáratú követelések és tartozások:</w:t>
      </w:r>
      <w:r w:rsidRPr="00A61F3D">
        <w:rPr>
          <w:rFonts w:ascii="Arial" w:hAnsi="Arial" w:cs="Arial"/>
          <w:sz w:val="20"/>
        </w:rPr>
        <w:t xml:space="preserve"> egy évnél nem hosszabb eredeti lejáratú követelések és tartozások.</w:t>
      </w:r>
    </w:p>
    <w:p w14:paraId="3AB69850" w14:textId="77777777" w:rsidR="002252F7" w:rsidRPr="00A61F3D" w:rsidRDefault="00AC13E5" w:rsidP="002252F7">
      <w:pPr>
        <w:numPr>
          <w:ilvl w:val="1"/>
          <w:numId w:val="11"/>
        </w:numPr>
        <w:tabs>
          <w:tab w:val="left" w:pos="993"/>
        </w:tabs>
        <w:ind w:left="993" w:hanging="567"/>
        <w:rPr>
          <w:rFonts w:ascii="Arial" w:hAnsi="Arial" w:cs="Arial"/>
          <w:sz w:val="20"/>
        </w:rPr>
      </w:pPr>
      <w:r w:rsidRPr="00A61F3D">
        <w:rPr>
          <w:rFonts w:ascii="Arial" w:hAnsi="Arial" w:cs="Arial"/>
          <w:b/>
          <w:sz w:val="20"/>
        </w:rPr>
        <w:t>Rulírozó (revolving) hitel:</w:t>
      </w:r>
      <w:r w:rsidRPr="00A61F3D">
        <w:rPr>
          <w:rFonts w:ascii="Arial" w:hAnsi="Arial" w:cs="Arial"/>
          <w:sz w:val="20"/>
        </w:rPr>
        <w:t xml:space="preserve"> </w:t>
      </w:r>
      <w:r w:rsidR="002252F7" w:rsidRPr="00A61F3D">
        <w:rPr>
          <w:rFonts w:ascii="Arial" w:hAnsi="Arial" w:cs="Arial"/>
          <w:sz w:val="20"/>
        </w:rPr>
        <w:t xml:space="preserve">az alábbi </w:t>
      </w:r>
      <w:r w:rsidR="00DC3D57" w:rsidRPr="00A61F3D">
        <w:rPr>
          <w:rFonts w:ascii="Arial" w:hAnsi="Arial" w:cs="Arial"/>
          <w:sz w:val="20"/>
        </w:rPr>
        <w:t>feltételeknek megfelelő hitel:</w:t>
      </w:r>
    </w:p>
    <w:p w14:paraId="09FE0910"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t>a hitelfelvevő egy előre jóváhagyott összeghatárig jogosult pénzösszeg használatára vagy felvételére,</w:t>
      </w:r>
    </w:p>
    <w:p w14:paraId="473387C6"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t>a rendelkezésre álló hitel összege a pénzösszeg használata, felvétele, illetve visszafizetése következtében nőhet, illetve csökkenhet,</w:t>
      </w:r>
    </w:p>
    <w:p w14:paraId="1EEC8E60" w14:textId="77777777" w:rsidR="00DC3D57" w:rsidRPr="00A61F3D" w:rsidRDefault="00DC3D57" w:rsidP="00DC3D57">
      <w:pPr>
        <w:numPr>
          <w:ilvl w:val="0"/>
          <w:numId w:val="28"/>
        </w:numPr>
        <w:tabs>
          <w:tab w:val="left" w:pos="993"/>
        </w:tabs>
        <w:ind w:left="1418"/>
        <w:rPr>
          <w:rFonts w:ascii="Arial" w:hAnsi="Arial" w:cs="Arial"/>
          <w:sz w:val="20"/>
        </w:rPr>
      </w:pPr>
      <w:r w:rsidRPr="00A61F3D">
        <w:rPr>
          <w:rFonts w:ascii="Arial" w:hAnsi="Arial" w:cs="Arial"/>
          <w:sz w:val="20"/>
        </w:rPr>
        <w:t>a hitel többször igénybe vehető, és</w:t>
      </w:r>
    </w:p>
    <w:p w14:paraId="741EAB60" w14:textId="77777777" w:rsidR="00AC13E5" w:rsidRPr="00A61F3D" w:rsidRDefault="002252F7" w:rsidP="002252F7">
      <w:pPr>
        <w:numPr>
          <w:ilvl w:val="0"/>
          <w:numId w:val="28"/>
        </w:numPr>
        <w:tabs>
          <w:tab w:val="left" w:pos="993"/>
        </w:tabs>
        <w:ind w:left="1418"/>
        <w:rPr>
          <w:rFonts w:ascii="Arial" w:hAnsi="Arial" w:cs="Arial"/>
          <w:sz w:val="20"/>
        </w:rPr>
      </w:pPr>
      <w:r w:rsidRPr="00A61F3D">
        <w:rPr>
          <w:rFonts w:ascii="Arial" w:hAnsi="Arial" w:cs="Arial"/>
          <w:sz w:val="20"/>
        </w:rPr>
        <w:t xml:space="preserve">nincs rendszeres pénz-visszafizetési kötelezettség. </w:t>
      </w:r>
    </w:p>
    <w:p w14:paraId="57A16C0C"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Szerződés szerinti devizanem:</w:t>
      </w:r>
      <w:r w:rsidRPr="00A61F3D">
        <w:rPr>
          <w:rFonts w:ascii="Arial" w:hAnsi="Arial" w:cs="Arial"/>
          <w:sz w:val="20"/>
        </w:rPr>
        <w:t xml:space="preserve"> a hitelszerződésben rögzített devizanem, amelyben a hitelkeret megállapítása történt.</w:t>
      </w:r>
    </w:p>
    <w:p w14:paraId="66BAF10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Szerződés szerinti összeg:</w:t>
      </w:r>
      <w:r w:rsidRPr="00A61F3D">
        <w:rPr>
          <w:rFonts w:ascii="Arial" w:hAnsi="Arial" w:cs="Arial"/>
          <w:sz w:val="20"/>
        </w:rPr>
        <w:t xml:space="preserve"> a hitelszerződésben (commitment) rögzített hitelkeret nagysága</w:t>
      </w:r>
      <w:r w:rsidR="00950B43" w:rsidRPr="00A61F3D">
        <w:rPr>
          <w:rFonts w:ascii="Arial" w:hAnsi="Arial" w:cs="Arial"/>
          <w:sz w:val="20"/>
        </w:rPr>
        <w:t>.</w:t>
      </w:r>
    </w:p>
    <w:p w14:paraId="2CBDB69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Tárgyév során a külföldi ingatlanokból nem</w:t>
      </w:r>
      <w:r w:rsidR="00707E83" w:rsidRPr="00A61F3D">
        <w:rPr>
          <w:rFonts w:ascii="Arial" w:hAnsi="Arial" w:cs="Arial"/>
          <w:b/>
          <w:sz w:val="20"/>
        </w:rPr>
        <w:t>-</w:t>
      </w:r>
      <w:r w:rsidRPr="00A61F3D">
        <w:rPr>
          <w:rFonts w:ascii="Arial" w:hAnsi="Arial" w:cs="Arial"/>
          <w:b/>
          <w:sz w:val="20"/>
        </w:rPr>
        <w:t>rezidenstől származó nettó jövedelem:</w:t>
      </w:r>
      <w:r w:rsidRPr="00A61F3D">
        <w:rPr>
          <w:rFonts w:ascii="Arial" w:hAnsi="Arial" w:cs="Arial"/>
          <w:sz w:val="20"/>
        </w:rPr>
        <w:t xml:space="preserve"> a külföldi ingatlan nem</w:t>
      </w:r>
      <w:r w:rsidR="00707E83" w:rsidRPr="00A61F3D">
        <w:rPr>
          <w:rFonts w:ascii="Arial" w:hAnsi="Arial" w:cs="Arial"/>
          <w:sz w:val="20"/>
        </w:rPr>
        <w:t>-</w:t>
      </w:r>
      <w:r w:rsidRPr="00A61F3D">
        <w:rPr>
          <w:rFonts w:ascii="Arial" w:hAnsi="Arial" w:cs="Arial"/>
          <w:sz w:val="20"/>
        </w:rPr>
        <w:t xml:space="preserve">rezidens fél vagy felek részére történő bérbeadásából származó tárgyévi jövedelem és tárgyévi működési költség (pl. ingatlan fenntartási költségek, helyi ingatlan adó) egyenlege. </w:t>
      </w:r>
    </w:p>
    <w:p w14:paraId="0512B446" w14:textId="77777777"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t xml:space="preserve">Társvállalatok: </w:t>
      </w:r>
      <w:r w:rsidRPr="00A61F3D">
        <w:rPr>
          <w:rFonts w:ascii="Arial" w:hAnsi="Arial" w:cs="Arial"/>
          <w:sz w:val="20"/>
        </w:rPr>
        <w:t>azok a vállalatok, amelyek ugyanazon közvetlen</w:t>
      </w:r>
      <w:r w:rsidR="00950B43" w:rsidRPr="00A61F3D">
        <w:rPr>
          <w:rFonts w:ascii="Arial" w:hAnsi="Arial" w:cs="Arial"/>
          <w:sz w:val="20"/>
        </w:rPr>
        <w:t>tőke</w:t>
      </w:r>
      <w:r w:rsidR="004B597B" w:rsidRPr="00A61F3D">
        <w:rPr>
          <w:rFonts w:ascii="Arial" w:hAnsi="Arial" w:cs="Arial"/>
          <w:sz w:val="20"/>
        </w:rPr>
        <w:t>-</w:t>
      </w:r>
      <w:r w:rsidR="00E20614" w:rsidRPr="00A61F3D">
        <w:rPr>
          <w:rFonts w:ascii="Arial" w:hAnsi="Arial" w:cs="Arial"/>
          <w:sz w:val="20"/>
        </w:rPr>
        <w:t>befektető</w:t>
      </w:r>
      <w:r w:rsidR="00950B43" w:rsidRPr="00A61F3D">
        <w:rPr>
          <w:rFonts w:ascii="Arial" w:hAnsi="Arial" w:cs="Arial"/>
          <w:sz w:val="20"/>
        </w:rPr>
        <w:t xml:space="preserve"> </w:t>
      </w:r>
      <w:r w:rsidRPr="00A61F3D">
        <w:rPr>
          <w:rFonts w:ascii="Arial" w:hAnsi="Arial" w:cs="Arial"/>
          <w:sz w:val="20"/>
        </w:rPr>
        <w:t>vagy közvetett</w:t>
      </w:r>
      <w:r w:rsidR="004B597B" w:rsidRPr="00A61F3D">
        <w:rPr>
          <w:rFonts w:ascii="Arial" w:hAnsi="Arial" w:cs="Arial"/>
          <w:sz w:val="20"/>
        </w:rPr>
        <w:t xml:space="preserve"> </w:t>
      </w:r>
      <w:r w:rsidRPr="00A61F3D">
        <w:rPr>
          <w:rFonts w:ascii="Arial" w:hAnsi="Arial" w:cs="Arial"/>
          <w:sz w:val="20"/>
        </w:rPr>
        <w:t xml:space="preserve">befektető vállalat ellenőrzése </w:t>
      </w:r>
      <w:r w:rsidR="004B597B" w:rsidRPr="00A61F3D">
        <w:rPr>
          <w:rFonts w:ascii="Arial" w:hAnsi="Arial" w:cs="Arial"/>
          <w:sz w:val="20"/>
        </w:rPr>
        <w:t>alatt állnak</w:t>
      </w:r>
      <w:r w:rsidRPr="00A61F3D">
        <w:rPr>
          <w:rFonts w:ascii="Arial" w:hAnsi="Arial" w:cs="Arial"/>
          <w:sz w:val="20"/>
        </w:rPr>
        <w:t>, de egyik társvállalat sem gyakorol ellenőrzést az adatszolgáltató felett, illetve az adatszolgáltató sem gyakorol ellenőrzést a társvállalat felett</w:t>
      </w:r>
      <w:r w:rsidR="004B597B" w:rsidRPr="00A61F3D">
        <w:rPr>
          <w:rFonts w:ascii="Arial" w:hAnsi="Arial" w:cs="Arial"/>
          <w:sz w:val="20"/>
        </w:rPr>
        <w:t xml:space="preserve"> (ellenőrzés alatt azt kell érteni, hogy a részesedés tulajdonjoga a szavazati jog több mint 50%-át biztosítja, befolyásnak pedig az minősül, h</w:t>
      </w:r>
      <w:r w:rsidR="008B3C2C" w:rsidRPr="00A61F3D">
        <w:rPr>
          <w:rFonts w:ascii="Arial" w:hAnsi="Arial" w:cs="Arial"/>
          <w:sz w:val="20"/>
        </w:rPr>
        <w:t>a</w:t>
      </w:r>
      <w:r w:rsidR="004B597B" w:rsidRPr="00A61F3D">
        <w:rPr>
          <w:rFonts w:ascii="Arial" w:hAnsi="Arial" w:cs="Arial"/>
          <w:sz w:val="20"/>
        </w:rPr>
        <w:t xml:space="preserve"> a részesedés tulajdonjoga a szavazati jognak legalább 10%-át, de legfeljebb 50%-át biztosítja).</w:t>
      </w:r>
    </w:p>
    <w:p w14:paraId="399A86BF"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Többdevizás (multicurreny) hitel:</w:t>
      </w:r>
      <w:r w:rsidRPr="00A61F3D">
        <w:rPr>
          <w:rFonts w:ascii="Arial" w:hAnsi="Arial" w:cs="Arial"/>
          <w:sz w:val="20"/>
        </w:rPr>
        <w:t xml:space="preserve"> </w:t>
      </w:r>
      <w:r w:rsidR="00CE4FD1" w:rsidRPr="00A61F3D">
        <w:rPr>
          <w:rFonts w:ascii="Arial" w:hAnsi="Arial" w:cs="Arial"/>
          <w:color w:val="000000"/>
          <w:sz w:val="20"/>
        </w:rPr>
        <w:t xml:space="preserve">olyan ügylet, amelynek keretében a </w:t>
      </w:r>
      <w:r w:rsidR="0084047F" w:rsidRPr="00A61F3D">
        <w:rPr>
          <w:rFonts w:ascii="Arial" w:hAnsi="Arial" w:cs="Arial"/>
          <w:color w:val="000000"/>
          <w:sz w:val="20"/>
        </w:rPr>
        <w:t>hitelnyújtó</w:t>
      </w:r>
      <w:r w:rsidR="00CE4FD1" w:rsidRPr="00A61F3D">
        <w:rPr>
          <w:rFonts w:ascii="Arial" w:hAnsi="Arial" w:cs="Arial"/>
          <w:color w:val="000000"/>
          <w:sz w:val="20"/>
        </w:rPr>
        <w:t xml:space="preserve"> lehetőséget nyújt az ügyfélnek arra, hogy a hitelt az általa megválasztott, a hitelszerződésben előzetesen rögzített devizanemek egyikében hívja le. Nem tartoznak ide az olyan konstrukciók, amelyek esetében a </w:t>
      </w:r>
      <w:r w:rsidR="0084047F" w:rsidRPr="00A61F3D">
        <w:rPr>
          <w:rFonts w:ascii="Arial" w:hAnsi="Arial" w:cs="Arial"/>
          <w:color w:val="000000"/>
          <w:sz w:val="20"/>
        </w:rPr>
        <w:t>hitelnyújtó</w:t>
      </w:r>
      <w:r w:rsidR="00CE4FD1" w:rsidRPr="00A61F3D">
        <w:rPr>
          <w:rFonts w:ascii="Arial" w:hAnsi="Arial" w:cs="Arial"/>
          <w:color w:val="000000"/>
          <w:sz w:val="20"/>
        </w:rPr>
        <w:t xml:space="preserve"> döntése a hitel denominációjának megváltoztatása.</w:t>
      </w:r>
    </w:p>
    <w:p w14:paraId="78301264"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Tőkehátralék:</w:t>
      </w:r>
      <w:r w:rsidRPr="00A61F3D">
        <w:rPr>
          <w:rFonts w:ascii="Arial" w:hAnsi="Arial" w:cs="Arial"/>
          <w:sz w:val="20"/>
        </w:rPr>
        <w:t xml:space="preserve"> a halmozódó esedékes, de ki nem fizetett tőke összege.</w:t>
      </w:r>
    </w:p>
    <w:p w14:paraId="673E91B1"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Törlés:</w:t>
      </w:r>
      <w:r w:rsidRPr="00A61F3D">
        <w:rPr>
          <w:rFonts w:ascii="Arial" w:hAnsi="Arial" w:cs="Arial"/>
          <w:sz w:val="20"/>
        </w:rPr>
        <w:t xml:space="preserve"> a felek megállapodása alapján a szerződés szerinti összeg lehívatlan részét csökkentő tétel.</w:t>
      </w:r>
    </w:p>
    <w:p w14:paraId="66682DCE"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Tranzakció piaci értéke:</w:t>
      </w:r>
      <w:r w:rsidRPr="00A61F3D">
        <w:rPr>
          <w:rFonts w:ascii="Arial" w:hAnsi="Arial" w:cs="Arial"/>
          <w:sz w:val="20"/>
        </w:rPr>
        <w:t xml:space="preserve"> a tranzakció szerződés szerinti értéke. </w:t>
      </w:r>
    </w:p>
    <w:p w14:paraId="45B2375D"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Tranzakciók:</w:t>
      </w:r>
      <w:r w:rsidRPr="00A61F3D">
        <w:rPr>
          <w:rFonts w:ascii="Arial" w:hAnsi="Arial" w:cs="Arial"/>
          <w:sz w:val="20"/>
        </w:rPr>
        <w:t xml:space="preserve"> a nem</w:t>
      </w:r>
      <w:r w:rsidR="00707E83" w:rsidRPr="00A61F3D">
        <w:rPr>
          <w:rFonts w:ascii="Arial" w:hAnsi="Arial" w:cs="Arial"/>
          <w:sz w:val="20"/>
        </w:rPr>
        <w:t>-</w:t>
      </w:r>
      <w:r w:rsidRPr="00A61F3D">
        <w:rPr>
          <w:rFonts w:ascii="Arial" w:hAnsi="Arial" w:cs="Arial"/>
          <w:sz w:val="20"/>
        </w:rPr>
        <w:t>rezidens partnerrel végzett minden olyan művelet, am</w:t>
      </w:r>
      <w:r w:rsidR="004B597B" w:rsidRPr="00A61F3D">
        <w:rPr>
          <w:rFonts w:ascii="Arial" w:hAnsi="Arial" w:cs="Arial"/>
          <w:sz w:val="20"/>
        </w:rPr>
        <w:t>ely</w:t>
      </w:r>
      <w:r w:rsidRPr="00A61F3D">
        <w:rPr>
          <w:rFonts w:ascii="Arial" w:hAnsi="Arial" w:cs="Arial"/>
          <w:sz w:val="20"/>
        </w:rPr>
        <w:t xml:space="preserve"> az ügyletből eredő követelések és tartozások növekedését és csökkenését eredményezi </w:t>
      </w:r>
      <w:r w:rsidR="004B597B" w:rsidRPr="00A61F3D">
        <w:rPr>
          <w:rFonts w:ascii="Arial" w:hAnsi="Arial" w:cs="Arial"/>
          <w:sz w:val="20"/>
        </w:rPr>
        <w:t>–</w:t>
      </w:r>
      <w:r w:rsidRPr="00A61F3D">
        <w:rPr>
          <w:rFonts w:ascii="Arial" w:hAnsi="Arial" w:cs="Arial"/>
          <w:sz w:val="20"/>
        </w:rPr>
        <w:t xml:space="preserve"> függetlenül attól, hogy kapcsolódott-e hozzá pénzmozgás vagy sem –, de nem tartozik az egyéb változások közé. </w:t>
      </w:r>
    </w:p>
    <w:p w14:paraId="6102CA78" w14:textId="77777777" w:rsidR="00AC13E5" w:rsidRPr="00A61F3D" w:rsidRDefault="00AC13E5" w:rsidP="007276FB">
      <w:pPr>
        <w:numPr>
          <w:ilvl w:val="1"/>
          <w:numId w:val="11"/>
        </w:numPr>
        <w:tabs>
          <w:tab w:val="left" w:pos="993"/>
        </w:tabs>
        <w:ind w:left="993" w:hanging="567"/>
        <w:rPr>
          <w:rFonts w:ascii="Arial" w:hAnsi="Arial" w:cs="Arial"/>
          <w:sz w:val="20"/>
        </w:rPr>
      </w:pPr>
      <w:r w:rsidRPr="00A61F3D">
        <w:rPr>
          <w:rFonts w:ascii="Arial" w:hAnsi="Arial" w:cs="Arial"/>
          <w:b/>
          <w:sz w:val="20"/>
        </w:rPr>
        <w:t>Úton lévő tételek:</w:t>
      </w:r>
      <w:r w:rsidRPr="00A61F3D">
        <w:rPr>
          <w:rFonts w:ascii="Arial" w:hAnsi="Arial" w:cs="Arial"/>
          <w:sz w:val="20"/>
        </w:rPr>
        <w:t xml:space="preserve"> egy pénzügyi eszközben történő növekedés és csökkenés</w:t>
      </w:r>
      <w:r w:rsidR="004B597B" w:rsidRPr="00A61F3D">
        <w:rPr>
          <w:rFonts w:ascii="Arial" w:hAnsi="Arial" w:cs="Arial"/>
          <w:sz w:val="20"/>
        </w:rPr>
        <w:t>,</w:t>
      </w:r>
      <w:r w:rsidRPr="00A61F3D">
        <w:rPr>
          <w:rFonts w:ascii="Arial" w:hAnsi="Arial" w:cs="Arial"/>
          <w:sz w:val="20"/>
        </w:rPr>
        <w:t xml:space="preserve"> és annak pénzügyi teljesítése közti eltérésből származó tételek.</w:t>
      </w:r>
    </w:p>
    <w:p w14:paraId="431E35B6" w14:textId="54EB8E1F"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t>Végső befektető:</w:t>
      </w:r>
      <w:r w:rsidRPr="00A61F3D">
        <w:rPr>
          <w:rFonts w:ascii="Arial" w:hAnsi="Arial" w:cs="Arial"/>
          <w:sz w:val="20"/>
        </w:rPr>
        <w:t xml:space="preserve"> a vállalatcsoport tulajdonosi lánc</w:t>
      </w:r>
      <w:r w:rsidR="004B597B" w:rsidRPr="00A61F3D">
        <w:rPr>
          <w:rFonts w:ascii="Arial" w:hAnsi="Arial" w:cs="Arial"/>
          <w:sz w:val="20"/>
        </w:rPr>
        <w:t>ának</w:t>
      </w:r>
      <w:r w:rsidRPr="00A61F3D">
        <w:rPr>
          <w:rFonts w:ascii="Arial" w:hAnsi="Arial" w:cs="Arial"/>
          <w:sz w:val="20"/>
        </w:rPr>
        <w:t xml:space="preserve"> csúcsán lévő</w:t>
      </w:r>
      <w:r w:rsidR="00327E99">
        <w:rPr>
          <w:rFonts w:ascii="Arial" w:hAnsi="Arial" w:cs="Arial"/>
          <w:sz w:val="20"/>
        </w:rPr>
        <w:t>,</w:t>
      </w:r>
      <w:r w:rsidRPr="00A61F3D">
        <w:rPr>
          <w:rFonts w:ascii="Arial" w:hAnsi="Arial" w:cs="Arial"/>
          <w:sz w:val="20"/>
        </w:rPr>
        <w:t xml:space="preserve"> többségi </w:t>
      </w:r>
      <w:r w:rsidR="007737D5" w:rsidRPr="00A61F3D">
        <w:rPr>
          <w:rFonts w:ascii="Arial" w:hAnsi="Arial" w:cs="Arial"/>
          <w:sz w:val="20"/>
        </w:rPr>
        <w:t xml:space="preserve">szavazati joggal rendelkező </w:t>
      </w:r>
      <w:r w:rsidRPr="00A61F3D">
        <w:rPr>
          <w:rFonts w:ascii="Arial" w:hAnsi="Arial" w:cs="Arial"/>
          <w:sz w:val="20"/>
        </w:rPr>
        <w:t xml:space="preserve">befektető, amely fölött más befektető nem gyakorol ellenőrzést. </w:t>
      </w:r>
      <w:r w:rsidR="00B05AA8" w:rsidRPr="009F7E5B">
        <w:rPr>
          <w:rFonts w:ascii="Arial" w:hAnsi="Arial" w:cs="Arial"/>
          <w:color w:val="000000" w:themeColor="text1"/>
          <w:sz w:val="20"/>
        </w:rPr>
        <w:t>Vagyis az adott hazai vállalkozásban közvetve (más szervezeten keresztül) vagy közvetlenül 50% feletti vagy ennél kisebb, de a vállalkozás stratégiai irányításához kizárólagos jogosultságokat biztosító szavazati joggal rendelkezik, és nincs további 50% feletti vagy ennél kisebb, de a vállalkozás stratégiai irányításához kizárólagos jogosultságokat biztosító szavazati joggal rendelkező tulajdonosa.</w:t>
      </w:r>
      <w:r w:rsidR="00B05AA8">
        <w:rPr>
          <w:rFonts w:ascii="Arial" w:hAnsi="Arial" w:cs="Arial"/>
          <w:color w:val="FF0000"/>
          <w:sz w:val="20"/>
        </w:rPr>
        <w:t xml:space="preserve"> </w:t>
      </w:r>
      <w:r w:rsidRPr="00A61F3D">
        <w:rPr>
          <w:rFonts w:ascii="Arial" w:hAnsi="Arial" w:cs="Arial"/>
          <w:sz w:val="20"/>
        </w:rPr>
        <w:t>Végső befektető lehet rezidens vagy nem</w:t>
      </w:r>
      <w:r w:rsidR="00707E83" w:rsidRPr="00A61F3D">
        <w:rPr>
          <w:rFonts w:ascii="Arial" w:hAnsi="Arial" w:cs="Arial"/>
          <w:sz w:val="20"/>
        </w:rPr>
        <w:t>-</w:t>
      </w:r>
      <w:r w:rsidRPr="00A61F3D">
        <w:rPr>
          <w:rFonts w:ascii="Arial" w:hAnsi="Arial" w:cs="Arial"/>
          <w:sz w:val="20"/>
        </w:rPr>
        <w:t>rezidens magánszemély</w:t>
      </w:r>
      <w:r w:rsidR="00732A83" w:rsidRPr="00A61F3D">
        <w:rPr>
          <w:rFonts w:ascii="Arial" w:hAnsi="Arial" w:cs="Arial"/>
          <w:sz w:val="20"/>
        </w:rPr>
        <w:t>, jogi személy</w:t>
      </w:r>
      <w:r w:rsidR="00E20614" w:rsidRPr="00A61F3D">
        <w:rPr>
          <w:rFonts w:ascii="Arial" w:hAnsi="Arial" w:cs="Arial"/>
          <w:sz w:val="20"/>
        </w:rPr>
        <w:t xml:space="preserve"> vagy jogi személyiség nélküli szervezet</w:t>
      </w:r>
      <w:r w:rsidR="007D31A1" w:rsidRPr="00A61F3D">
        <w:rPr>
          <w:rFonts w:ascii="Arial" w:hAnsi="Arial" w:cs="Arial"/>
          <w:sz w:val="20"/>
        </w:rPr>
        <w:t>,</w:t>
      </w:r>
      <w:r w:rsidRPr="00A61F3D">
        <w:rPr>
          <w:rFonts w:ascii="Arial" w:hAnsi="Arial" w:cs="Arial"/>
          <w:sz w:val="20"/>
        </w:rPr>
        <w:t xml:space="preserve"> közvetlen</w:t>
      </w:r>
      <w:r w:rsidR="00732A83" w:rsidRPr="00A61F3D">
        <w:rPr>
          <w:rFonts w:ascii="Arial" w:hAnsi="Arial" w:cs="Arial"/>
          <w:sz w:val="20"/>
        </w:rPr>
        <w:t>tőke-befektető</w:t>
      </w:r>
      <w:r w:rsidR="007D31A1" w:rsidRPr="00A61F3D">
        <w:rPr>
          <w:rFonts w:ascii="Arial" w:hAnsi="Arial" w:cs="Arial"/>
          <w:sz w:val="20"/>
        </w:rPr>
        <w:t xml:space="preserve"> </w:t>
      </w:r>
      <w:r w:rsidRPr="00A61F3D">
        <w:rPr>
          <w:rFonts w:ascii="Arial" w:hAnsi="Arial" w:cs="Arial"/>
          <w:sz w:val="20"/>
        </w:rPr>
        <w:t>vagy közvetett befektető.</w:t>
      </w:r>
    </w:p>
    <w:p w14:paraId="78FF51F8" w14:textId="77777777" w:rsidR="00AC13E5" w:rsidRPr="00A61F3D" w:rsidRDefault="009D3D4F" w:rsidP="007276FB">
      <w:pPr>
        <w:numPr>
          <w:ilvl w:val="1"/>
          <w:numId w:val="11"/>
        </w:numPr>
        <w:tabs>
          <w:tab w:val="left" w:pos="993"/>
        </w:tabs>
        <w:ind w:left="993" w:hanging="567"/>
        <w:rPr>
          <w:rFonts w:ascii="Arial" w:hAnsi="Arial" w:cs="Arial"/>
          <w:sz w:val="20"/>
        </w:rPr>
      </w:pPr>
      <w:r w:rsidRPr="00A61F3D">
        <w:rPr>
          <w:rFonts w:ascii="Arial" w:hAnsi="Arial" w:cs="Arial"/>
          <w:b/>
          <w:sz w:val="20"/>
        </w:rPr>
        <w:lastRenderedPageBreak/>
        <w:t xml:space="preserve">Vállalatcsoport: </w:t>
      </w:r>
      <w:r w:rsidRPr="00A61F3D">
        <w:rPr>
          <w:rFonts w:ascii="Arial" w:hAnsi="Arial" w:cs="Arial"/>
          <w:sz w:val="20"/>
        </w:rPr>
        <w:t xml:space="preserve">a vállalatok olyan köre, amely a közvetlentőke-befektetések elszámolása szempontjából tartalmazza a közvetlentőke-befektetőket és </w:t>
      </w:r>
      <w:r w:rsidR="00E20614" w:rsidRPr="00A61F3D">
        <w:rPr>
          <w:rFonts w:ascii="Arial" w:hAnsi="Arial" w:cs="Arial"/>
          <w:sz w:val="20"/>
        </w:rPr>
        <w:t>-</w:t>
      </w:r>
      <w:r w:rsidRPr="00A61F3D">
        <w:rPr>
          <w:rFonts w:ascii="Arial" w:hAnsi="Arial" w:cs="Arial"/>
          <w:sz w:val="20"/>
        </w:rPr>
        <w:t xml:space="preserve">befektetéseket, továbbá azon vállalatokat, amelyek közvetlen vagy közvetett módon ugyanazon </w:t>
      </w:r>
      <w:r w:rsidR="007D31A1" w:rsidRPr="00A61F3D">
        <w:rPr>
          <w:rFonts w:ascii="Arial" w:hAnsi="Arial" w:cs="Arial"/>
          <w:sz w:val="20"/>
        </w:rPr>
        <w:t xml:space="preserve">– </w:t>
      </w:r>
      <w:r w:rsidRPr="00A61F3D">
        <w:rPr>
          <w:rFonts w:ascii="Arial" w:hAnsi="Arial" w:cs="Arial"/>
          <w:sz w:val="20"/>
        </w:rPr>
        <w:t>végső</w:t>
      </w:r>
      <w:r w:rsidR="007D31A1" w:rsidRPr="00A61F3D">
        <w:rPr>
          <w:rFonts w:ascii="Arial" w:hAnsi="Arial" w:cs="Arial"/>
          <w:sz w:val="20"/>
        </w:rPr>
        <w:t xml:space="preserve"> –</w:t>
      </w:r>
      <w:r w:rsidRPr="00A61F3D">
        <w:rPr>
          <w:rFonts w:ascii="Arial" w:hAnsi="Arial" w:cs="Arial"/>
          <w:sz w:val="20"/>
        </w:rPr>
        <w:t xml:space="preserve"> befektető ellenőrzése</w:t>
      </w:r>
      <w:r w:rsidR="00AD537B" w:rsidRPr="00A61F3D">
        <w:rPr>
          <w:rFonts w:ascii="Arial" w:hAnsi="Arial" w:cs="Arial"/>
          <w:sz w:val="20"/>
        </w:rPr>
        <w:t>, illetve befolyása</w:t>
      </w:r>
      <w:r w:rsidRPr="00A61F3D">
        <w:rPr>
          <w:rFonts w:ascii="Arial" w:hAnsi="Arial" w:cs="Arial"/>
          <w:sz w:val="20"/>
        </w:rPr>
        <w:t xml:space="preserve"> alatt állnak</w:t>
      </w:r>
      <w:r w:rsidR="007D31A1" w:rsidRPr="00A61F3D">
        <w:rPr>
          <w:rFonts w:ascii="Arial" w:hAnsi="Arial" w:cs="Arial"/>
          <w:sz w:val="20"/>
        </w:rPr>
        <w:t xml:space="preserve"> (ellenőrzés alatt azt kell érteni, hogy a részesedés tulajdonjoga a szavazati jog több mint 50%-át biztosítja, befolyásnak pedig az minősül, h</w:t>
      </w:r>
      <w:r w:rsidR="008B3C2C" w:rsidRPr="00A61F3D">
        <w:rPr>
          <w:rFonts w:ascii="Arial" w:hAnsi="Arial" w:cs="Arial"/>
          <w:sz w:val="20"/>
        </w:rPr>
        <w:t>a</w:t>
      </w:r>
      <w:r w:rsidR="007D31A1" w:rsidRPr="00A61F3D">
        <w:rPr>
          <w:rFonts w:ascii="Arial" w:hAnsi="Arial" w:cs="Arial"/>
          <w:sz w:val="20"/>
        </w:rPr>
        <w:t xml:space="preserve"> a részesedés tulajdonjoga a szavazati jognak legalább 10%-át, de legfeljebb 50%-át biztosítja)</w:t>
      </w:r>
      <w:r w:rsidRPr="00A61F3D">
        <w:rPr>
          <w:rFonts w:ascii="Arial" w:hAnsi="Arial" w:cs="Arial"/>
          <w:sz w:val="20"/>
        </w:rPr>
        <w:t>.</w:t>
      </w:r>
    </w:p>
    <w:p w14:paraId="37B7397D" w14:textId="70143683" w:rsidR="004520CB" w:rsidRPr="00F67C45" w:rsidRDefault="00BC531B" w:rsidP="00D3125B">
      <w:pPr>
        <w:widowControl w:val="0"/>
        <w:spacing w:before="120"/>
        <w:ind w:left="992" w:hanging="567"/>
        <w:rPr>
          <w:rFonts w:ascii="Arial" w:hAnsi="Arial" w:cs="Arial"/>
          <w:b/>
          <w:sz w:val="20"/>
        </w:rPr>
      </w:pPr>
      <w:r>
        <w:rPr>
          <w:rFonts w:ascii="Arial" w:hAnsi="Arial" w:cs="Arial"/>
          <w:b/>
          <w:sz w:val="20"/>
        </w:rPr>
        <w:t xml:space="preserve">I. </w:t>
      </w:r>
      <w:r w:rsidR="00E059E8">
        <w:rPr>
          <w:rFonts w:ascii="Arial" w:hAnsi="Arial" w:cs="Arial"/>
          <w:b/>
          <w:sz w:val="20"/>
        </w:rPr>
        <w:t>E</w:t>
      </w:r>
      <w:r>
        <w:rPr>
          <w:rFonts w:ascii="Arial" w:hAnsi="Arial" w:cs="Arial"/>
          <w:b/>
          <w:sz w:val="20"/>
        </w:rPr>
        <w:t xml:space="preserve">. 6. </w:t>
      </w:r>
      <w:r w:rsidR="004520CB">
        <w:rPr>
          <w:rFonts w:ascii="Arial" w:hAnsi="Arial" w:cs="Arial"/>
          <w:b/>
          <w:sz w:val="20"/>
        </w:rPr>
        <w:t>A</w:t>
      </w:r>
      <w:r w:rsidR="004520CB" w:rsidRPr="00F67C45">
        <w:rPr>
          <w:rFonts w:ascii="Arial" w:hAnsi="Arial" w:cs="Arial"/>
          <w:b/>
          <w:sz w:val="20"/>
        </w:rPr>
        <w:t xml:space="preserve"> </w:t>
      </w:r>
      <w:r w:rsidR="004520CB">
        <w:rPr>
          <w:rFonts w:ascii="Arial" w:hAnsi="Arial" w:cs="Arial"/>
          <w:b/>
          <w:sz w:val="20"/>
        </w:rPr>
        <w:t>pénzforgalmi szolgáltatás nyújtásához kapcsolódó egyes adatokra vonatkozó P11-</w:t>
      </w:r>
      <w:r w:rsidR="004520CB" w:rsidRPr="00F67C45">
        <w:rPr>
          <w:rFonts w:ascii="Arial" w:hAnsi="Arial" w:cs="Arial"/>
          <w:b/>
          <w:sz w:val="20"/>
        </w:rPr>
        <w:t>P15</w:t>
      </w:r>
      <w:r w:rsidR="004520CB">
        <w:rPr>
          <w:rFonts w:ascii="Arial" w:hAnsi="Arial" w:cs="Arial"/>
          <w:b/>
          <w:sz w:val="20"/>
        </w:rPr>
        <w:t xml:space="preserve"> MNB azonosító kódú adatszolgáltatások </w:t>
      </w:r>
      <w:r w:rsidR="004520CB" w:rsidRPr="00A61F3D">
        <w:rPr>
          <w:rFonts w:ascii="Arial" w:hAnsi="Arial" w:cs="Arial"/>
          <w:b/>
          <w:sz w:val="20"/>
        </w:rPr>
        <w:t>tábláiban és kitöltési előírásaiban használt fogalmak</w:t>
      </w:r>
    </w:p>
    <w:p w14:paraId="7B165D96" w14:textId="77777777" w:rsidR="00A61F3D" w:rsidRPr="00A61F3D" w:rsidRDefault="00A61F3D" w:rsidP="00D3125B">
      <w:pPr>
        <w:spacing w:before="120"/>
        <w:ind w:firstLine="425"/>
        <w:rPr>
          <w:rFonts w:ascii="Arial" w:hAnsi="Arial" w:cs="Arial"/>
          <w:b/>
          <w:sz w:val="20"/>
        </w:rPr>
      </w:pPr>
      <w:r w:rsidRPr="00A61F3D">
        <w:rPr>
          <w:rFonts w:ascii="Arial" w:hAnsi="Arial" w:cs="Arial"/>
          <w:b/>
          <w:sz w:val="20"/>
        </w:rPr>
        <w:t>Fizetési kártyákkal kapcsolatos általános fogalmak:</w:t>
      </w:r>
    </w:p>
    <w:p w14:paraId="24113622" w14:textId="72200560"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w:t>
      </w:r>
      <w:r w:rsidRPr="00A61F3D">
        <w:rPr>
          <w:rFonts w:ascii="Arial" w:hAnsi="Arial" w:cs="Arial"/>
          <w:sz w:val="20"/>
        </w:rPr>
        <w:tab/>
      </w:r>
      <w:r w:rsidRPr="00A61F3D">
        <w:rPr>
          <w:rFonts w:ascii="Arial" w:hAnsi="Arial" w:cs="Arial"/>
          <w:b/>
          <w:sz w:val="20"/>
        </w:rPr>
        <w:t>Business, illetve corporate kártya</w:t>
      </w:r>
      <w:r w:rsidRPr="00A61F3D">
        <w:rPr>
          <w:rFonts w:ascii="Arial" w:hAnsi="Arial" w:cs="Arial"/>
          <w:sz w:val="20"/>
        </w:rPr>
        <w:t>: a gazdálkodó és egyéb szervezet ügyfelek alkalmazottai részére kibocsátott kártya.</w:t>
      </w:r>
    </w:p>
    <w:p w14:paraId="43568CE5" w14:textId="7E4797E9"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.2.</w:t>
      </w:r>
      <w:r w:rsidRPr="00A61F3D">
        <w:rPr>
          <w:rFonts w:ascii="Arial" w:hAnsi="Arial" w:cs="Arial"/>
          <w:sz w:val="20"/>
        </w:rPr>
        <w:tab/>
      </w:r>
      <w:r w:rsidRPr="00A61F3D">
        <w:rPr>
          <w:rFonts w:ascii="Arial" w:hAnsi="Arial" w:cs="Arial"/>
          <w:b/>
          <w:sz w:val="20"/>
        </w:rPr>
        <w:t>Co-branded kártya</w:t>
      </w:r>
      <w:r w:rsidRPr="00A61F3D">
        <w:rPr>
          <w:rFonts w:ascii="Arial" w:hAnsi="Arial" w:cs="Arial"/>
          <w:sz w:val="20"/>
        </w:rPr>
        <w:t>: a kártya arculatán a kibocsátó védjegye mellett szerepel a partner védjegye is, és a kibocsátás mögött gazdasági érdekközösség húzódik meg. Nemzetközi védjeggyel ellátott kártyák esetében az is feltétel, hogy a nemzetközi kártyatársaság co-branded termékként engedélyezze a konstrukciót.</w:t>
      </w:r>
    </w:p>
    <w:p w14:paraId="6A67FF29" w14:textId="3EE5AB7A"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.3.</w:t>
      </w:r>
      <w:r w:rsidRPr="00A61F3D">
        <w:rPr>
          <w:rFonts w:ascii="Arial" w:hAnsi="Arial" w:cs="Arial"/>
          <w:sz w:val="20"/>
        </w:rPr>
        <w:tab/>
      </w:r>
      <w:r w:rsidRPr="00A61F3D">
        <w:rPr>
          <w:rFonts w:ascii="Arial" w:hAnsi="Arial" w:cs="Arial"/>
          <w:b/>
          <w:sz w:val="20"/>
        </w:rPr>
        <w:t>Credit (hitel) funkcióval rendelkező kártya</w:t>
      </w:r>
      <w:r w:rsidRPr="00A61F3D">
        <w:rPr>
          <w:rFonts w:ascii="Arial" w:hAnsi="Arial" w:cs="Arial"/>
          <w:sz w:val="20"/>
        </w:rPr>
        <w:t>: a kártyabirtokos és a kibocsátó közötti szerződésben foglaltaknak megfelelően, egy előre meghatározott összegű hitelkerethez kapcsolódó kártya, amellyel az ügyfél kerete erejéig vehet fel készpénzt, illetve vásárolhat. A számlázási periódus (általában egy hónap) végén a kártya birtokosa dönti el, hogy a kibocsátó által megküldött értesítőben meghatározott határidőig teljes egészében kifizeti tartozását, vagy csak annak szerződésben meghatározott mértékét. A költések abban az esetben kamatmentesek, ha a teljes tartozás visszafizetésre kerül a fizetési határidő végéig. Amennyiben nem a teljes tartozás kerül visszafizetésre, akkor a teljes tartozásra vagy annak fennmaradó részére számítják fel a kamatot. A fennmaradó tranzakciókra azok értéknapjától kerül felszámításra a kamat. Általában nem vonatkozik a kamatmentesség a készpénzfelvételi műveletekre, ezek ugyanis a tranzakció keltétől kamatoznak. Minden kártyát, amely credit funkcióval rendelkezik (függetlenül attól, hogy ezen kívül hány egyéb funkciója van még), ebben a kategóriában kell jelenteni. Amennyiben a kártya delayed debit funkcióval is rendelkezik, akkor külön sorokban, a credit és a delayed debit funkcióval rendelkező kártyák között egyaránt kell jelenteni.</w:t>
      </w:r>
    </w:p>
    <w:p w14:paraId="32B4BD29" w14:textId="1B9EAC75"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.4.</w:t>
      </w:r>
      <w:r w:rsidRPr="00A61F3D">
        <w:rPr>
          <w:rFonts w:ascii="Arial" w:hAnsi="Arial" w:cs="Arial"/>
          <w:b/>
          <w:sz w:val="20"/>
        </w:rPr>
        <w:tab/>
        <w:t>Debit (betéti) funkcióval rendelkező kártya</w:t>
      </w:r>
      <w:r w:rsidRPr="00A61F3D">
        <w:rPr>
          <w:rFonts w:ascii="Arial" w:hAnsi="Arial" w:cs="Arial"/>
          <w:sz w:val="20"/>
        </w:rPr>
        <w:t xml:space="preserve">: a kártyabirtokos fizetési számlájához kapcsolódó kártya, amely feljogosítja őt arra, hogy a kártyabirtokos és a kibocsátó közötti szerződésben foglalt feltételekkel, számlaegyenlege erejéig készpénzt vegyen fel, illetve vásároljon. A kártyabirtokos fizetési számlája minden egyes művelet összegével automatikusan megterhelésre kerül. A betéti funkcióval rendelkező kártya mögött állhat olyan fizetési számla is, amelyhez folyószámlahitel kapcsolódik. Minden kártyát, amely debit funkcióval rendelkezik (függetlenül attól, hogy ezen kívül hány egyéb funkciója van még), ebben a kategóriában kell jelenteni. Amennyiben a kártya delayed debit funkcióval is rendelkezik, akkor külön sorokban, a debit és a delayed debit funkcióval ellátott kártyák között egyaránt jelenteni kell. </w:t>
      </w:r>
    </w:p>
    <w:p w14:paraId="5AC98BA2" w14:textId="1AF6C48E"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.5.</w:t>
      </w:r>
      <w:r w:rsidRPr="00A61F3D">
        <w:rPr>
          <w:rFonts w:ascii="Arial" w:hAnsi="Arial" w:cs="Arial"/>
          <w:sz w:val="20"/>
        </w:rPr>
        <w:tab/>
      </w:r>
      <w:r w:rsidRPr="00A61F3D">
        <w:rPr>
          <w:rFonts w:ascii="Arial" w:hAnsi="Arial" w:cs="Arial"/>
          <w:b/>
          <w:sz w:val="20"/>
        </w:rPr>
        <w:t>Delayed debit (terhelési) funkcióval rendelkező kártya</w:t>
      </w:r>
      <w:r w:rsidRPr="00A61F3D">
        <w:rPr>
          <w:rFonts w:ascii="Arial" w:hAnsi="Arial" w:cs="Arial"/>
          <w:sz w:val="20"/>
        </w:rPr>
        <w:t>: a kártyabirtokos és a kibocsátó közötti szerződésben foglaltaknak megfelelően, egy előre meghatározott összegű hitelkerethez kapcsolódó kártya. A kártya készpénz felvételére és vásárlásra alkalmas. A számlázási periódus végén a kártyabirtokos tartozása teljes összegét köteles kiegyenlíteni. Minden kártyát, amely delayed debit funkcióval rendelkezik (függetlenül attól, hogy ezen kívül hány egyéb funkciója van még), ebben a kategóriában kell jelenteni. Amennyiben a kártya credit funkcióval is rendelkezik, akkor külön sorokban, a credit és a delayed debit funkcióval rendelkező kártyák között egyaránt jelenteni kell. Ugyanígy kell eljárni abban az esetben is, amikor a kártya debit funkcióval is rendelkezik, azaz ilyen esetekben a kártyát a debit funkcióval rendelkező kártyák alkategóriában is jelenteni kell.</w:t>
      </w:r>
    </w:p>
    <w:p w14:paraId="00FEB978" w14:textId="1B78C3D2"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.6.</w:t>
      </w:r>
      <w:r w:rsidRPr="00A61F3D">
        <w:rPr>
          <w:rFonts w:ascii="Arial" w:hAnsi="Arial" w:cs="Arial"/>
          <w:sz w:val="20"/>
        </w:rPr>
        <w:tab/>
      </w:r>
      <w:r w:rsidRPr="00A61F3D">
        <w:rPr>
          <w:rFonts w:ascii="Arial" w:hAnsi="Arial" w:cs="Arial"/>
          <w:b/>
          <w:sz w:val="20"/>
        </w:rPr>
        <w:t>Elektronikus pénz funkcióval rendelkező kártya</w:t>
      </w:r>
      <w:r w:rsidRPr="00A61F3D">
        <w:rPr>
          <w:rFonts w:ascii="Arial" w:hAnsi="Arial" w:cs="Arial"/>
          <w:sz w:val="20"/>
        </w:rPr>
        <w:t>: olyan kártya, amellyel lehetőség van elektronikus pénz tranzakciók lebonyolítására. Egyaránt idetartoznak az elektronikus pénzt közvetlenül tároló kártyák és azok, amelyek hozzáférést biztosítanak elektronikus pénz számlához.</w:t>
      </w:r>
    </w:p>
    <w:p w14:paraId="471DEE7C" w14:textId="3E9F538A"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.7.</w:t>
      </w:r>
      <w:r w:rsidRPr="00A61F3D">
        <w:rPr>
          <w:rFonts w:ascii="Arial" w:hAnsi="Arial" w:cs="Arial"/>
          <w:b/>
          <w:sz w:val="20"/>
        </w:rPr>
        <w:tab/>
        <w:t>Előrefizetett funkcióval rendelkező kártya</w:t>
      </w:r>
      <w:r w:rsidRPr="00A61F3D">
        <w:rPr>
          <w:rFonts w:ascii="Arial" w:hAnsi="Arial" w:cs="Arial"/>
          <w:sz w:val="20"/>
        </w:rPr>
        <w:t xml:space="preserve">: egy előre kifizetett összeghez kapcsolódó kártya, amelyet a kibocsátó egy fizetési számlán tart nyilván. A kártya birtokosa a fizetési számlán lévő összeg erejéig használhatja a kártyáját készpénz felvételére, illetve áru, </w:t>
      </w:r>
      <w:r w:rsidRPr="00A61F3D">
        <w:rPr>
          <w:rFonts w:ascii="Arial" w:hAnsi="Arial" w:cs="Arial"/>
          <w:sz w:val="20"/>
        </w:rPr>
        <w:lastRenderedPageBreak/>
        <w:t>szolgáltatás ellenértékének a kifizetésére. Idetartoznak azok a konstrukciók is, amelyeknél a kártya mögött álló számla újra feltölthető, és azok is, amelyek esetében ez nem lehetséges (azaz csak addig érvényes a kártya, amíg a kártya igénylésekor előre kifizetett összeget fel nem használja a kártyabirtokos). Nem tartoznak ide azok a kártyák, amelyeknél az előre fizetett összeget maga a kártya tárolja, ezeket az elektronikus pénz funkcióval rendelkező kártyáknál kell jelenteni.</w:t>
      </w:r>
    </w:p>
    <w:p w14:paraId="6252E63C" w14:textId="29DA82D9"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.8.</w:t>
      </w:r>
      <w:r w:rsidRPr="00A61F3D">
        <w:rPr>
          <w:rFonts w:ascii="Arial" w:hAnsi="Arial" w:cs="Arial"/>
          <w:sz w:val="20"/>
        </w:rPr>
        <w:tab/>
      </w:r>
      <w:r w:rsidRPr="00A61F3D">
        <w:rPr>
          <w:rFonts w:ascii="Arial" w:hAnsi="Arial" w:cs="Arial"/>
          <w:b/>
          <w:sz w:val="20"/>
        </w:rPr>
        <w:t>Érintéses fizetési funkcióval rendelkező kártya:</w:t>
      </w:r>
      <w:r w:rsidRPr="00A61F3D">
        <w:rPr>
          <w:rFonts w:ascii="Arial" w:hAnsi="Arial" w:cs="Arial"/>
          <w:sz w:val="20"/>
        </w:rPr>
        <w:t xml:space="preserve"> olyan kártya, amellyel lehetőség van a POS terminál és a kártya közötti adatátvitelre közvetlen fizikai kapcsolat nélkül (érintkezés nélküli adatátvitel). Az ilyen funkcióval rendelkező kártyák forgalmi adatainál a kibocsátói oldalról a kártya teljes forgalmát jelenteni kell, nem csak az érintéses fizetési forgalmat.</w:t>
      </w:r>
    </w:p>
    <w:p w14:paraId="21577346" w14:textId="6084F9A9" w:rsidR="00A61F3D" w:rsidRPr="00A61F3D" w:rsidRDefault="00A61F3D" w:rsidP="00A61F3D">
      <w:pPr>
        <w:tabs>
          <w:tab w:val="num" w:pos="1440"/>
        </w:tabs>
        <w:ind w:left="993" w:hanging="567"/>
        <w:rPr>
          <w:rFonts w:ascii="Arial" w:hAnsi="Arial" w:cs="Arial"/>
          <w:sz w:val="20"/>
        </w:rPr>
      </w:pPr>
      <w:r>
        <w:rPr>
          <w:rFonts w:ascii="Arial" w:hAnsi="Arial" w:cs="Arial"/>
          <w:sz w:val="20"/>
        </w:rPr>
        <w:t>6</w:t>
      </w:r>
      <w:r w:rsidRPr="00A61F3D">
        <w:rPr>
          <w:rFonts w:ascii="Arial" w:hAnsi="Arial" w:cs="Arial"/>
          <w:sz w:val="20"/>
        </w:rPr>
        <w:t>.9.</w:t>
      </w:r>
      <w:r w:rsidRPr="00A61F3D">
        <w:rPr>
          <w:rFonts w:ascii="Arial" w:hAnsi="Arial" w:cs="Arial"/>
          <w:sz w:val="20"/>
        </w:rPr>
        <w:tab/>
      </w:r>
      <w:r w:rsidRPr="00A61F3D">
        <w:rPr>
          <w:rFonts w:ascii="Arial" w:hAnsi="Arial" w:cs="Arial"/>
          <w:b/>
          <w:sz w:val="20"/>
        </w:rPr>
        <w:t>Fizetési funkcióval rendelkező kártya</w:t>
      </w:r>
      <w:r w:rsidRPr="00A61F3D">
        <w:rPr>
          <w:rFonts w:ascii="Arial" w:hAnsi="Arial" w:cs="Arial"/>
          <w:sz w:val="20"/>
        </w:rPr>
        <w:t>: áru, illetve szolgáltatás ellenértékének a kifizetésére alkalmas kártya, amely minimum a következő funkciók valamelyikével rendelkezik: debit (betéti) funkció, delayed debit (terhelési) funkció, credit (hitel) funkció, előrefizetett funkció. Ugyanaz a kártya rendelkezhet a felsoroltak közül több funkcióval is. Ennek alapján a következő kategóriák különböztethetők meg a fizetési funkcióval rendelkező kártyákon belül:</w:t>
      </w:r>
    </w:p>
    <w:p w14:paraId="32EE185A" w14:textId="77777777" w:rsidR="00A61F3D" w:rsidRPr="00A61F3D" w:rsidRDefault="00A61F3D" w:rsidP="00D804EB">
      <w:pPr>
        <w:numPr>
          <w:ilvl w:val="0"/>
          <w:numId w:val="33"/>
        </w:numPr>
        <w:spacing w:line="276" w:lineRule="auto"/>
        <w:ind w:left="1848" w:hanging="357"/>
        <w:rPr>
          <w:rFonts w:ascii="Arial" w:hAnsi="Arial" w:cs="Arial"/>
          <w:sz w:val="20"/>
        </w:rPr>
      </w:pPr>
      <w:r w:rsidRPr="00A61F3D">
        <w:rPr>
          <w:rFonts w:ascii="Arial" w:hAnsi="Arial" w:cs="Arial"/>
          <w:sz w:val="20"/>
        </w:rPr>
        <w:t>debit (betéti) funkcióval rendelkező kártya, ezen belül hitelkerethez kapcsolódó debit funkcióval rendelkező kártya,</w:t>
      </w:r>
    </w:p>
    <w:p w14:paraId="7328F8F4" w14:textId="77777777" w:rsidR="00A61F3D" w:rsidRPr="00A61F3D" w:rsidRDefault="00A61F3D" w:rsidP="00D804EB">
      <w:pPr>
        <w:numPr>
          <w:ilvl w:val="0"/>
          <w:numId w:val="33"/>
        </w:numPr>
        <w:spacing w:line="276" w:lineRule="auto"/>
        <w:ind w:left="1848" w:hanging="357"/>
        <w:rPr>
          <w:rFonts w:ascii="Arial" w:hAnsi="Arial" w:cs="Arial"/>
          <w:sz w:val="20"/>
        </w:rPr>
      </w:pPr>
      <w:r w:rsidRPr="00A61F3D">
        <w:rPr>
          <w:rFonts w:ascii="Arial" w:hAnsi="Arial" w:cs="Arial"/>
          <w:sz w:val="20"/>
        </w:rPr>
        <w:t>credit (hitel) funkcióval rendelkező kártya,</w:t>
      </w:r>
    </w:p>
    <w:p w14:paraId="05E394B1"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delayed debit (terhelési) funkcióval rendelkező kártya,</w:t>
      </w:r>
    </w:p>
    <w:p w14:paraId="06CBFB15"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előrefizetett funkcióval rendelkező kártya,</w:t>
      </w:r>
    </w:p>
    <w:p w14:paraId="5A6C119F"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debit, illetve delayed debit (betéti, illetve terhelési) funkcióval rendelkező kártya,</w:t>
      </w:r>
    </w:p>
    <w:p w14:paraId="7EECD50D"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credit, illetve delayed debit (hitel, illetve terhelési) funkcióval rendelkező kártya,</w:t>
      </w:r>
    </w:p>
    <w:p w14:paraId="5EB66130" w14:textId="77777777" w:rsidR="00A61F3D" w:rsidRPr="00A61F3D" w:rsidRDefault="00A61F3D" w:rsidP="00D804EB">
      <w:pPr>
        <w:numPr>
          <w:ilvl w:val="0"/>
          <w:numId w:val="33"/>
        </w:numPr>
        <w:tabs>
          <w:tab w:val="left" w:pos="1134"/>
        </w:tabs>
        <w:spacing w:line="276" w:lineRule="auto"/>
        <w:ind w:left="1848" w:hanging="357"/>
        <w:rPr>
          <w:rFonts w:ascii="Arial" w:hAnsi="Arial" w:cs="Arial"/>
          <w:sz w:val="20"/>
        </w:rPr>
      </w:pPr>
      <w:r w:rsidRPr="00A61F3D">
        <w:rPr>
          <w:rFonts w:ascii="Arial" w:hAnsi="Arial" w:cs="Arial"/>
          <w:sz w:val="20"/>
        </w:rPr>
        <w:t>egyéb, az e) és f) alpontba nem sorolható, több funkcióval rendelkező kártya.</w:t>
      </w:r>
    </w:p>
    <w:p w14:paraId="15BB45E2" w14:textId="77777777" w:rsidR="00A61F3D" w:rsidRPr="00A61F3D" w:rsidRDefault="00A61F3D" w:rsidP="00A61F3D">
      <w:pPr>
        <w:tabs>
          <w:tab w:val="num" w:pos="426"/>
        </w:tabs>
        <w:ind w:left="993"/>
        <w:rPr>
          <w:rFonts w:ascii="Arial" w:hAnsi="Arial" w:cs="Arial"/>
          <w:sz w:val="20"/>
        </w:rPr>
      </w:pPr>
      <w:r w:rsidRPr="00A61F3D">
        <w:rPr>
          <w:rFonts w:ascii="Arial" w:hAnsi="Arial" w:cs="Arial"/>
          <w:sz w:val="20"/>
        </w:rPr>
        <w:t xml:space="preserve">Az e)-g) alpont szerinti alkategóriát csak abban az esetben kell jelenteni, ha a forgalmi adatokat nem lehet szétválasztani aszerint, hogy mikor használjuk a kártyát debit, credit, delayed debit vagy előrefizetett funkcióval rendelkező kártyaként. </w:t>
      </w:r>
    </w:p>
    <w:p w14:paraId="4C74A19A" w14:textId="77777777" w:rsidR="00A61F3D" w:rsidRPr="00A61F3D" w:rsidRDefault="00A61F3D" w:rsidP="00A61F3D">
      <w:pPr>
        <w:tabs>
          <w:tab w:val="num" w:pos="426"/>
        </w:tabs>
        <w:ind w:left="993"/>
        <w:rPr>
          <w:rFonts w:ascii="Arial" w:hAnsi="Arial" w:cs="Arial"/>
          <w:sz w:val="20"/>
        </w:rPr>
      </w:pPr>
      <w:r w:rsidRPr="00A61F3D">
        <w:rPr>
          <w:rFonts w:ascii="Arial" w:hAnsi="Arial" w:cs="Arial"/>
          <w:sz w:val="20"/>
        </w:rPr>
        <w:t>A fizikailag egyetlen, többféle funkcióval is rendelkező kártyát az egyes funkciók szerint külön sorokban kell jelenteni, azaz például a debit és a delayed debit funkciókkal egyaránt rendelkező kártyát mind a debit funkcióval rendelkező kártyáknál, mind pedig a delayed debit funkcióval rendelkező kártyáknál jelenteni kell.</w:t>
      </w:r>
    </w:p>
    <w:p w14:paraId="31687B1F" w14:textId="5F8AF633"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.10.</w:t>
      </w:r>
      <w:r w:rsidRPr="00A61F3D">
        <w:rPr>
          <w:rFonts w:ascii="Arial" w:hAnsi="Arial" w:cs="Arial"/>
          <w:sz w:val="20"/>
        </w:rPr>
        <w:tab/>
      </w:r>
      <w:r w:rsidRPr="00A61F3D">
        <w:rPr>
          <w:rFonts w:ascii="Arial" w:hAnsi="Arial" w:cs="Arial"/>
          <w:b/>
          <w:sz w:val="20"/>
        </w:rPr>
        <w:t>Hazai kibocsátású kártyával lebonyolított hazai forgalom</w:t>
      </w:r>
      <w:r w:rsidRPr="00A61F3D">
        <w:rPr>
          <w:rFonts w:ascii="Arial" w:hAnsi="Arial" w:cs="Arial"/>
          <w:sz w:val="20"/>
        </w:rPr>
        <w:t>: az adatszolgáltató kártyáival végrehajtott műveletek közül azok, amelyeknél a tranzakció lebonyolításának országa Magyarország.</w:t>
      </w:r>
    </w:p>
    <w:p w14:paraId="10481680" w14:textId="21DFF4FD"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.11.</w:t>
      </w:r>
      <w:r w:rsidRPr="00A61F3D">
        <w:rPr>
          <w:rFonts w:ascii="Arial" w:hAnsi="Arial" w:cs="Arial"/>
          <w:sz w:val="20"/>
        </w:rPr>
        <w:tab/>
      </w:r>
      <w:r w:rsidRPr="00A61F3D">
        <w:rPr>
          <w:rFonts w:ascii="Arial" w:hAnsi="Arial" w:cs="Arial"/>
          <w:b/>
          <w:sz w:val="20"/>
        </w:rPr>
        <w:t>Hazai kibocsátású kártyával lebonyolított külföldi forgalom</w:t>
      </w:r>
      <w:r w:rsidRPr="00A61F3D">
        <w:rPr>
          <w:rFonts w:ascii="Arial" w:hAnsi="Arial" w:cs="Arial"/>
          <w:sz w:val="20"/>
        </w:rPr>
        <w:t>: az adatszolgáltató kártyáival végrehajtott műveletek közül azok, amelyeknél a tranzakció lebonyolításának országa Magyarországon kívüli bármely más ország.</w:t>
      </w:r>
    </w:p>
    <w:p w14:paraId="3893F5DB" w14:textId="7B88077B"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.12.</w:t>
      </w:r>
      <w:r w:rsidRPr="00A61F3D">
        <w:rPr>
          <w:rFonts w:ascii="Arial" w:hAnsi="Arial" w:cs="Arial"/>
          <w:sz w:val="20"/>
        </w:rPr>
        <w:tab/>
      </w:r>
      <w:r w:rsidRPr="00A61F3D">
        <w:rPr>
          <w:rFonts w:ascii="Arial" w:hAnsi="Arial" w:cs="Arial"/>
          <w:b/>
          <w:sz w:val="20"/>
        </w:rPr>
        <w:t>Hitelkerethez kapcsolódó debit (betéti) funkcióval rendelkező kártya</w:t>
      </w:r>
      <w:r w:rsidRPr="00A61F3D">
        <w:rPr>
          <w:rFonts w:ascii="Arial" w:hAnsi="Arial" w:cs="Arial"/>
          <w:sz w:val="20"/>
        </w:rPr>
        <w:t xml:space="preserve">: a debit funkcióval rendelkező kártyákon belül egy alkategória; egy olyan debit kártya, amely nem fizetési számlához, hanem hitelszámlához kapcsolódik, az ezen jegyzett keret erejéig vehet fel készpénzt, illetve vásárolhat a kártya birtokosa. A hitelkeret minden művelet összegével automatikusan megterhelésre kerül, nincs kamatmentes hitelperiódus. </w:t>
      </w:r>
    </w:p>
    <w:p w14:paraId="1F4BA5BB" w14:textId="402BF626"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.13.</w:t>
      </w:r>
      <w:r w:rsidRPr="00A61F3D">
        <w:rPr>
          <w:rFonts w:ascii="Arial" w:hAnsi="Arial" w:cs="Arial"/>
          <w:b/>
          <w:sz w:val="20"/>
        </w:rPr>
        <w:tab/>
        <w:t>Készpénz és fizetési funkcióval rendelkező kártya</w:t>
      </w:r>
      <w:r w:rsidRPr="00A61F3D">
        <w:rPr>
          <w:rFonts w:ascii="Arial" w:hAnsi="Arial" w:cs="Arial"/>
          <w:sz w:val="20"/>
        </w:rPr>
        <w:t>: a kártya készpénz funkcióval és fizetési funkcióval egyaránt rendelkezik.</w:t>
      </w:r>
    </w:p>
    <w:p w14:paraId="3421C23D" w14:textId="71694FFD"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.14.</w:t>
      </w:r>
      <w:r w:rsidRPr="00A61F3D">
        <w:rPr>
          <w:rFonts w:ascii="Arial" w:hAnsi="Arial" w:cs="Arial"/>
          <w:sz w:val="20"/>
        </w:rPr>
        <w:tab/>
      </w:r>
      <w:r w:rsidRPr="00A61F3D">
        <w:rPr>
          <w:rFonts w:ascii="Arial" w:hAnsi="Arial" w:cs="Arial"/>
          <w:b/>
          <w:sz w:val="20"/>
        </w:rPr>
        <w:t>Készpénz funkcióval rendelkező kártya</w:t>
      </w:r>
      <w:r w:rsidRPr="00A61F3D">
        <w:rPr>
          <w:rFonts w:ascii="Arial" w:hAnsi="Arial" w:cs="Arial"/>
          <w:sz w:val="20"/>
        </w:rPr>
        <w:t>: a kártya birtokosát készpénz felvételére és befizetésére feljogosító kártya, amelyet ATM</w:t>
      </w:r>
      <w:r w:rsidR="00243983">
        <w:rPr>
          <w:rFonts w:ascii="Arial" w:hAnsi="Arial" w:cs="Arial"/>
          <w:sz w:val="20"/>
        </w:rPr>
        <w:t>-ben</w:t>
      </w:r>
      <w:r w:rsidRPr="00A61F3D">
        <w:rPr>
          <w:rFonts w:ascii="Arial" w:hAnsi="Arial" w:cs="Arial"/>
          <w:sz w:val="20"/>
        </w:rPr>
        <w:t xml:space="preserve">, valamint bankfióki, postai és kereskedői POS berendezéseknél lehet használni. </w:t>
      </w:r>
    </w:p>
    <w:p w14:paraId="0E2566B2" w14:textId="6B2BF275"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.15.</w:t>
      </w:r>
      <w:r w:rsidRPr="00A61F3D">
        <w:rPr>
          <w:rFonts w:ascii="Arial" w:hAnsi="Arial" w:cs="Arial"/>
          <w:b/>
          <w:sz w:val="20"/>
        </w:rPr>
        <w:tab/>
        <w:t>Lakossági kártya</w:t>
      </w:r>
      <w:r w:rsidRPr="00A61F3D">
        <w:rPr>
          <w:rFonts w:ascii="Arial" w:hAnsi="Arial" w:cs="Arial"/>
          <w:sz w:val="20"/>
        </w:rPr>
        <w:t>: természetes személy ügyfelek részére kibocsátott kártya.</w:t>
      </w:r>
    </w:p>
    <w:p w14:paraId="4BE1678C" w14:textId="1EBD87FE"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.16.</w:t>
      </w:r>
      <w:r w:rsidRPr="00A61F3D">
        <w:rPr>
          <w:rFonts w:ascii="Arial" w:hAnsi="Arial" w:cs="Arial"/>
          <w:sz w:val="20"/>
        </w:rPr>
        <w:tab/>
      </w:r>
      <w:r w:rsidRPr="00A61F3D">
        <w:rPr>
          <w:rFonts w:ascii="Arial" w:hAnsi="Arial" w:cs="Arial"/>
          <w:b/>
          <w:sz w:val="20"/>
        </w:rPr>
        <w:t>Mobiltárcába regisztrált kártya</w:t>
      </w:r>
      <w:r w:rsidRPr="00A61F3D">
        <w:rPr>
          <w:rFonts w:ascii="Arial" w:hAnsi="Arial" w:cs="Arial"/>
          <w:sz w:val="20"/>
        </w:rPr>
        <w:t>: a kártyakibocsátó pénzforgalmi szolgáltató vagy vele szerződésben álló szolgáltató által nyújtott, fizikai elfogadóhelyen történt fizetésnél (pl. NFC vagy QR-kód alkalmazásával) használható mobiltelefonos fizetési alkalmazásba regisztrált kártya, amelyet fizikai formában is kibocsáthatnak.</w:t>
      </w:r>
    </w:p>
    <w:p w14:paraId="214E3822" w14:textId="4EBB8546" w:rsidR="00A61F3D" w:rsidRPr="00A61F3D" w:rsidRDefault="00A61F3D" w:rsidP="00A61F3D">
      <w:pPr>
        <w:ind w:left="993" w:hanging="567"/>
        <w:rPr>
          <w:rFonts w:ascii="Arial" w:hAnsi="Arial" w:cs="Arial"/>
          <w:sz w:val="20"/>
        </w:rPr>
      </w:pPr>
      <w:r>
        <w:rPr>
          <w:rFonts w:ascii="Arial" w:hAnsi="Arial" w:cs="Arial"/>
          <w:sz w:val="20"/>
        </w:rPr>
        <w:t>6</w:t>
      </w:r>
      <w:r w:rsidRPr="00A61F3D">
        <w:rPr>
          <w:rFonts w:ascii="Arial" w:hAnsi="Arial" w:cs="Arial"/>
          <w:sz w:val="20"/>
        </w:rPr>
        <w:t>.17.</w:t>
      </w:r>
      <w:r w:rsidRPr="00A61F3D">
        <w:rPr>
          <w:rFonts w:ascii="Arial" w:hAnsi="Arial" w:cs="Arial"/>
          <w:sz w:val="20"/>
        </w:rPr>
        <w:tab/>
      </w:r>
      <w:r w:rsidRPr="00A61F3D">
        <w:rPr>
          <w:rFonts w:ascii="Arial" w:hAnsi="Arial" w:cs="Arial"/>
          <w:b/>
          <w:sz w:val="20"/>
        </w:rPr>
        <w:t>Virtuális kártya:</w:t>
      </w:r>
      <w:r w:rsidRPr="00A61F3D">
        <w:rPr>
          <w:rFonts w:ascii="Arial" w:hAnsi="Arial" w:cs="Arial"/>
          <w:sz w:val="20"/>
        </w:rPr>
        <w:t xml:space="preserve"> kizárólag internetes tranzakciók során használható kártya, függetlenül attól, hogy a tranzakció lebonyolításához szükséges kártyaadatok milyen formában állnak az ügyfelek rendelkezésére.</w:t>
      </w:r>
    </w:p>
    <w:p w14:paraId="4510F076" w14:textId="11F8D3DD" w:rsidR="00A61F3D" w:rsidRPr="00A61F3D" w:rsidRDefault="00A61F3D" w:rsidP="00A61F3D">
      <w:pPr>
        <w:spacing w:before="120"/>
        <w:ind w:left="426" w:hanging="1"/>
        <w:rPr>
          <w:rFonts w:ascii="Arial" w:hAnsi="Arial" w:cs="Arial"/>
          <w:b/>
          <w:sz w:val="20"/>
        </w:rPr>
      </w:pPr>
      <w:r w:rsidRPr="00A61F3D">
        <w:rPr>
          <w:rFonts w:ascii="Arial" w:hAnsi="Arial" w:cs="Arial"/>
          <w:b/>
          <w:sz w:val="20"/>
        </w:rPr>
        <w:t>Fizetési kártya visszaélésekkel kapcsolatos fogalmak:</w:t>
      </w:r>
    </w:p>
    <w:p w14:paraId="35E5AD9E" w14:textId="5BE13EF9"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.1</w:t>
      </w:r>
      <w:r>
        <w:rPr>
          <w:rFonts w:ascii="Arial" w:hAnsi="Arial" w:cs="Arial"/>
          <w:sz w:val="20"/>
        </w:rPr>
        <w:t>8</w:t>
      </w:r>
      <w:r w:rsidRPr="00A61F3D">
        <w:rPr>
          <w:rFonts w:ascii="Arial" w:hAnsi="Arial" w:cs="Arial"/>
          <w:sz w:val="20"/>
        </w:rPr>
        <w:t>.</w:t>
      </w:r>
      <w:r w:rsidRPr="00A61F3D">
        <w:rPr>
          <w:rFonts w:ascii="Arial" w:hAnsi="Arial" w:cs="Arial"/>
          <w:sz w:val="20"/>
        </w:rPr>
        <w:tab/>
      </w:r>
      <w:r w:rsidRPr="00A61F3D">
        <w:rPr>
          <w:rFonts w:ascii="Arial" w:hAnsi="Arial" w:cs="Arial"/>
          <w:b/>
          <w:sz w:val="20"/>
        </w:rPr>
        <w:t>A kártyaüzletág valamely szereplőjénél jelentkező veszteség</w:t>
      </w:r>
      <w:r w:rsidRPr="00A61F3D">
        <w:rPr>
          <w:rFonts w:ascii="Arial" w:hAnsi="Arial" w:cs="Arial"/>
          <w:sz w:val="20"/>
        </w:rPr>
        <w:t>: az adott vagy egy korábbi tárgyidőszakban az adatszolgáltató kibocsátói vagy elfogadói üzletágában felmerült kár veszteségként történő leírása, kárviselőként bontva.</w:t>
      </w:r>
    </w:p>
    <w:p w14:paraId="47425C91" w14:textId="3DC0230D" w:rsidR="00A61F3D" w:rsidRPr="00A61F3D" w:rsidRDefault="00A61F3D" w:rsidP="00A61F3D">
      <w:pPr>
        <w:ind w:left="993" w:hanging="568"/>
        <w:rPr>
          <w:rFonts w:ascii="Arial" w:hAnsi="Arial" w:cs="Arial"/>
          <w:sz w:val="20"/>
        </w:rPr>
      </w:pPr>
      <w:r>
        <w:rPr>
          <w:rFonts w:ascii="Arial" w:hAnsi="Arial" w:cs="Arial"/>
          <w:sz w:val="20"/>
        </w:rPr>
        <w:lastRenderedPageBreak/>
        <w:t>6</w:t>
      </w:r>
      <w:r w:rsidRPr="00A61F3D">
        <w:rPr>
          <w:rFonts w:ascii="Arial" w:hAnsi="Arial" w:cs="Arial"/>
          <w:sz w:val="20"/>
        </w:rPr>
        <w:t>.</w:t>
      </w:r>
      <w:r>
        <w:rPr>
          <w:rFonts w:ascii="Arial" w:hAnsi="Arial" w:cs="Arial"/>
          <w:sz w:val="20"/>
        </w:rPr>
        <w:t>19</w:t>
      </w:r>
      <w:r w:rsidRPr="00A61F3D">
        <w:rPr>
          <w:rFonts w:ascii="Arial" w:hAnsi="Arial" w:cs="Arial"/>
          <w:sz w:val="20"/>
        </w:rPr>
        <w:t>.</w:t>
      </w:r>
      <w:r w:rsidRPr="00A61F3D">
        <w:rPr>
          <w:rFonts w:ascii="Arial" w:hAnsi="Arial" w:cs="Arial"/>
          <w:b/>
          <w:sz w:val="20"/>
        </w:rPr>
        <w:tab/>
        <w:t>Belföldi bankközi forgalomban felmerült kár</w:t>
      </w:r>
      <w:r w:rsidRPr="00A61F3D">
        <w:rPr>
          <w:rFonts w:ascii="Arial" w:hAnsi="Arial" w:cs="Arial"/>
          <w:sz w:val="20"/>
        </w:rPr>
        <w:t>: a kibocsátói üzletágban: az adatszolgáltató kártyáihoz kapcsolódóan más hazai bankok hálózatában felmerült kár; az elfogadói üzletágban: az elfogadó bank hálózatában más hazai bank által kibocsátott kártyák használatához tapadó kár.</w:t>
      </w:r>
    </w:p>
    <w:p w14:paraId="57E5FC2B" w14:textId="3A717AE3"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20</w:t>
      </w:r>
      <w:r w:rsidRPr="00A61F3D">
        <w:rPr>
          <w:rFonts w:ascii="Arial" w:hAnsi="Arial" w:cs="Arial"/>
          <w:sz w:val="20"/>
        </w:rPr>
        <w:t>.</w:t>
      </w:r>
      <w:r w:rsidRPr="00A61F3D">
        <w:rPr>
          <w:rFonts w:ascii="Arial" w:hAnsi="Arial" w:cs="Arial"/>
          <w:sz w:val="20"/>
        </w:rPr>
        <w:tab/>
      </w:r>
      <w:r w:rsidRPr="00A61F3D">
        <w:rPr>
          <w:rFonts w:ascii="Arial" w:hAnsi="Arial" w:cs="Arial"/>
          <w:b/>
          <w:sz w:val="20"/>
        </w:rPr>
        <w:t>Felmerült kár</w:t>
      </w:r>
      <w:r w:rsidRPr="00A61F3D">
        <w:rPr>
          <w:rFonts w:ascii="Arial" w:hAnsi="Arial" w:cs="Arial"/>
          <w:sz w:val="20"/>
        </w:rPr>
        <w:t>: a tárgyidőszakban az adatszolgáltató kibocsátói vagy elfogadói üzletágában az adatszolgáltató tudomására jutott visszaélés, amely még ugyanabban a tárgyidőszakban leírt veszteségként megjelenik a kártyaüzletág valamely szereplőjénél, vagy végleges rendezése áthúzódik egy következő tárgyidőszakra.</w:t>
      </w:r>
    </w:p>
    <w:p w14:paraId="2D07E121" w14:textId="1E8A0C30"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21</w:t>
      </w:r>
      <w:r w:rsidRPr="00A61F3D">
        <w:rPr>
          <w:rFonts w:ascii="Arial" w:hAnsi="Arial" w:cs="Arial"/>
          <w:sz w:val="20"/>
        </w:rPr>
        <w:t>.</w:t>
      </w:r>
      <w:r w:rsidRPr="00A61F3D">
        <w:rPr>
          <w:rFonts w:ascii="Arial" w:hAnsi="Arial" w:cs="Arial"/>
          <w:sz w:val="20"/>
        </w:rPr>
        <w:tab/>
      </w:r>
      <w:r w:rsidRPr="00A61F3D">
        <w:rPr>
          <w:rFonts w:ascii="Arial" w:hAnsi="Arial" w:cs="Arial"/>
          <w:b/>
          <w:sz w:val="20"/>
        </w:rPr>
        <w:t>On-us forgalomban felmerült kár</w:t>
      </w:r>
      <w:r w:rsidRPr="00A61F3D">
        <w:rPr>
          <w:rFonts w:ascii="Arial" w:hAnsi="Arial" w:cs="Arial"/>
          <w:sz w:val="20"/>
        </w:rPr>
        <w:t>: az adatszolgáltató saját hálózatában, a saját kártyái használatához kapcsolódó kár.</w:t>
      </w:r>
    </w:p>
    <w:p w14:paraId="1B94326C" w14:textId="77777777" w:rsidR="00A61F3D" w:rsidRPr="00A61F3D" w:rsidRDefault="00A61F3D" w:rsidP="00A61F3D">
      <w:pPr>
        <w:spacing w:before="120"/>
        <w:ind w:left="426"/>
        <w:rPr>
          <w:rFonts w:ascii="Arial" w:hAnsi="Arial" w:cs="Arial"/>
          <w:sz w:val="20"/>
        </w:rPr>
      </w:pPr>
      <w:r w:rsidRPr="00A61F3D">
        <w:rPr>
          <w:rFonts w:ascii="Arial" w:hAnsi="Arial" w:cs="Arial"/>
          <w:sz w:val="20"/>
        </w:rPr>
        <w:t>A következő meghatározásokban, zárójelben szerepelnek a kártyatársaságok által használt fogalmak is:</w:t>
      </w:r>
    </w:p>
    <w:p w14:paraId="1F5F0B10" w14:textId="02F8C876" w:rsidR="00A61F3D" w:rsidRPr="00A61F3D" w:rsidRDefault="00A61F3D" w:rsidP="00A61F3D">
      <w:pPr>
        <w:ind w:left="993" w:hanging="568"/>
        <w:rPr>
          <w:rFonts w:ascii="Arial" w:hAnsi="Arial" w:cs="Arial"/>
          <w:sz w:val="20"/>
        </w:rPr>
      </w:pPr>
      <w:r>
        <w:rPr>
          <w:rFonts w:ascii="Arial" w:hAnsi="Arial" w:cs="Arial"/>
          <w:sz w:val="20"/>
        </w:rPr>
        <w:t>6</w:t>
      </w:r>
      <w:r w:rsidRPr="00A61F3D">
        <w:rPr>
          <w:rFonts w:ascii="Arial" w:hAnsi="Arial" w:cs="Arial"/>
          <w:sz w:val="20"/>
        </w:rPr>
        <w:t>.</w:t>
      </w:r>
      <w:r>
        <w:rPr>
          <w:rFonts w:ascii="Arial" w:hAnsi="Arial" w:cs="Arial"/>
          <w:sz w:val="20"/>
        </w:rPr>
        <w:t>22</w:t>
      </w:r>
      <w:r w:rsidRPr="00A61F3D">
        <w:rPr>
          <w:rFonts w:ascii="Arial" w:hAnsi="Arial" w:cs="Arial"/>
          <w:sz w:val="20"/>
        </w:rPr>
        <w:t>.</w:t>
      </w:r>
      <w:r w:rsidRPr="00A61F3D">
        <w:rPr>
          <w:rFonts w:ascii="Arial" w:hAnsi="Arial" w:cs="Arial"/>
          <w:sz w:val="20"/>
        </w:rPr>
        <w:tab/>
      </w:r>
      <w:r w:rsidRPr="00A61F3D">
        <w:rPr>
          <w:rFonts w:ascii="Arial" w:hAnsi="Arial" w:cs="Arial"/>
          <w:b/>
          <w:sz w:val="20"/>
        </w:rPr>
        <w:t>Egyéb visszaélésekkel okozott kár (Other</w:t>
      </w:r>
      <w:r w:rsidRPr="00A61F3D">
        <w:rPr>
          <w:rFonts w:ascii="Arial" w:hAnsi="Arial" w:cs="Arial"/>
          <w:sz w:val="20"/>
        </w:rPr>
        <w:t xml:space="preserve">): mindazon visszaélések, amelyek a </w:t>
      </w:r>
      <w:r w:rsidR="00D804EB">
        <w:rPr>
          <w:rFonts w:ascii="Arial" w:hAnsi="Arial" w:cs="Arial"/>
          <w:sz w:val="20"/>
        </w:rPr>
        <w:t>6.23</w:t>
      </w:r>
      <w:r w:rsidR="008F56CA">
        <w:rPr>
          <w:rFonts w:ascii="Arial" w:hAnsi="Arial" w:cs="Arial"/>
          <w:sz w:val="20"/>
        </w:rPr>
        <w:t>–</w:t>
      </w:r>
      <w:r w:rsidR="00D804EB">
        <w:rPr>
          <w:rFonts w:ascii="Arial" w:hAnsi="Arial" w:cs="Arial"/>
          <w:sz w:val="20"/>
        </w:rPr>
        <w:t>6.25</w:t>
      </w:r>
      <w:r w:rsidRPr="00A61F3D">
        <w:rPr>
          <w:rFonts w:ascii="Arial" w:hAnsi="Arial" w:cs="Arial"/>
          <w:sz w:val="20"/>
        </w:rPr>
        <w:t xml:space="preserve">., </w:t>
      </w:r>
      <w:r w:rsidR="00D804EB">
        <w:rPr>
          <w:rFonts w:ascii="Arial" w:hAnsi="Arial" w:cs="Arial"/>
          <w:sz w:val="20"/>
        </w:rPr>
        <w:t>6</w:t>
      </w:r>
      <w:r w:rsidRPr="00A61F3D">
        <w:rPr>
          <w:rFonts w:ascii="Arial" w:hAnsi="Arial" w:cs="Arial"/>
          <w:sz w:val="20"/>
        </w:rPr>
        <w:t>.</w:t>
      </w:r>
      <w:r w:rsidR="00D804EB">
        <w:rPr>
          <w:rFonts w:ascii="Arial" w:hAnsi="Arial" w:cs="Arial"/>
          <w:sz w:val="20"/>
        </w:rPr>
        <w:t>30</w:t>
      </w:r>
      <w:r w:rsidRPr="00A61F3D">
        <w:rPr>
          <w:rFonts w:ascii="Arial" w:hAnsi="Arial" w:cs="Arial"/>
          <w:sz w:val="20"/>
        </w:rPr>
        <w:t xml:space="preserve">., illetve </w:t>
      </w:r>
      <w:r w:rsidR="00D804EB">
        <w:rPr>
          <w:rFonts w:ascii="Arial" w:hAnsi="Arial" w:cs="Arial"/>
          <w:sz w:val="20"/>
        </w:rPr>
        <w:t>6</w:t>
      </w:r>
      <w:r w:rsidRPr="00A61F3D">
        <w:rPr>
          <w:rFonts w:ascii="Arial" w:hAnsi="Arial" w:cs="Arial"/>
          <w:sz w:val="20"/>
        </w:rPr>
        <w:t>.</w:t>
      </w:r>
      <w:r w:rsidR="00D804EB">
        <w:rPr>
          <w:rFonts w:ascii="Arial" w:hAnsi="Arial" w:cs="Arial"/>
          <w:sz w:val="20"/>
        </w:rPr>
        <w:t>31</w:t>
      </w:r>
      <w:r w:rsidRPr="00A61F3D">
        <w:rPr>
          <w:rFonts w:ascii="Arial" w:hAnsi="Arial" w:cs="Arial"/>
          <w:sz w:val="20"/>
        </w:rPr>
        <w:t xml:space="preserve">. </w:t>
      </w:r>
      <w:r w:rsidR="008F56CA">
        <w:rPr>
          <w:rFonts w:ascii="Arial" w:hAnsi="Arial" w:cs="Arial"/>
          <w:sz w:val="20"/>
        </w:rPr>
        <w:t>al</w:t>
      </w:r>
      <w:r w:rsidRPr="00A61F3D">
        <w:rPr>
          <w:rFonts w:ascii="Arial" w:hAnsi="Arial" w:cs="Arial"/>
          <w:sz w:val="20"/>
        </w:rPr>
        <w:t xml:space="preserve">pont szerinti kárkategóriák egyikébe sem sorolhatók. Nem tartozik azonban ide a kártyabirtokos ügyfél számlaegyenleg túllépéséből eredő kár, valamint amikor a kártyabirtokos saját maga él vissza a saját kártyájával. </w:t>
      </w:r>
      <w:bookmarkStart w:id="12" w:name="_Hlk10640505"/>
      <w:r w:rsidRPr="00A61F3D">
        <w:rPr>
          <w:rFonts w:ascii="Arial" w:hAnsi="Arial" w:cs="Arial"/>
          <w:sz w:val="20"/>
        </w:rPr>
        <w:t>Ez utóbbi esetben abban a kárkategóriában kell szerepeltetni az összeget, amelybe az az ügyfél bejelentése alapján besorolható. A veszteségek között azonban egyik esetben sem kell szerepeltetni a tételt (függetlenül attól, hogy a kár értéke az ügyféltől behajtható-e vagy sem), ugyanis az ilyen esetek a hitelezési veszteség kategóriájába, és nem a  fizetési kártyás veszteségek közé tartoznak.</w:t>
      </w:r>
      <w:bookmarkEnd w:id="12"/>
    </w:p>
    <w:p w14:paraId="1C3836A3" w14:textId="36D9C6E5"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23</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Elveszett/ellopott kártyával okozott kár (Lost/Stolen)</w:t>
      </w:r>
      <w:r w:rsidR="00A61F3D" w:rsidRPr="00A61F3D">
        <w:rPr>
          <w:rFonts w:ascii="Arial" w:hAnsi="Arial" w:cs="Arial"/>
          <w:sz w:val="20"/>
        </w:rPr>
        <w:t>: azon káresemény és leírt veszteség, amelyet a kártya jogos birtokosa által elvesztett vagy a tőle ellopott kártyákkal követtek el.</w:t>
      </w:r>
    </w:p>
    <w:p w14:paraId="3394CC2E" w14:textId="05E1DD11"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24</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Hamis adatokkal igényelt kártyával okozott kár (Fraudulent application</w:t>
      </w:r>
      <w:r w:rsidR="00A61F3D" w:rsidRPr="00A61F3D">
        <w:rPr>
          <w:rFonts w:ascii="Arial" w:hAnsi="Arial" w:cs="Arial"/>
          <w:sz w:val="20"/>
        </w:rPr>
        <w:t>): a kártyabirtokos hamis adatokkal kér és kap kártyát a kibocsátótól, és ezzel jogtalan műveletet bonyolít le.</w:t>
      </w:r>
    </w:p>
    <w:p w14:paraId="6E69C6B1" w14:textId="7FD25FE5"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25</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Hamisított kártyával okozott kár (Counterfeit</w:t>
      </w:r>
      <w:r w:rsidR="00A61F3D" w:rsidRPr="00A61F3D">
        <w:rPr>
          <w:rFonts w:ascii="Arial" w:hAnsi="Arial" w:cs="Arial"/>
          <w:sz w:val="20"/>
        </w:rPr>
        <w:t>): a kártyahamisítás minden formája ideértendő (pl. duplikált – skimming – kártyákkal elkövetett visszaélések, valódi kártyák megszemélyesítési adatainak megváltoztatása).</w:t>
      </w:r>
    </w:p>
    <w:p w14:paraId="6AF8672A" w14:textId="1E47F36E"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26</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Határon átnyúló (Cross-border) forgalomban felmerült kár</w:t>
      </w:r>
      <w:r w:rsidR="00A61F3D" w:rsidRPr="00A61F3D">
        <w:rPr>
          <w:rFonts w:ascii="Arial" w:hAnsi="Arial" w:cs="Arial"/>
          <w:sz w:val="20"/>
        </w:rPr>
        <w:t xml:space="preserve">: a kibocsátói üzletágban: az adatszolgáltató kártyáinak külföldi használatához kapcsolódó kár; az elfogadói üzletágban: az elfogadó hálózatában a külföldi kibocsátású kártyák használatához tapadó kár. </w:t>
      </w:r>
    </w:p>
    <w:p w14:paraId="569AA1A1" w14:textId="29B43F0A"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27</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adatszerzés (Card Skimming</w:t>
      </w:r>
      <w:r w:rsidR="00A61F3D" w:rsidRPr="00A61F3D">
        <w:rPr>
          <w:rFonts w:ascii="Arial" w:hAnsi="Arial" w:cs="Arial"/>
          <w:sz w:val="20"/>
        </w:rPr>
        <w:t>): a  fizetési kártya használatához szükséges bármely adat (pl. mágnescsík vagy chip adatai, PIN kód) jogosulatlan megszerzése ATM-ből és POS berendezéseknél, valamint interneten abból a célból</w:t>
      </w:r>
      <w:r w:rsidR="00A61F3D" w:rsidRPr="00A61F3D">
        <w:rPr>
          <w:rFonts w:ascii="Arial" w:hAnsi="Arial" w:cs="Arial"/>
          <w:b/>
          <w:sz w:val="20"/>
        </w:rPr>
        <w:t>,</w:t>
      </w:r>
      <w:r w:rsidR="00A61F3D" w:rsidRPr="00A61F3D">
        <w:rPr>
          <w:rFonts w:ascii="Arial" w:hAnsi="Arial" w:cs="Arial"/>
          <w:sz w:val="20"/>
        </w:rPr>
        <w:t xml:space="preserve"> hogy az adatok birtokában hamisított kártyát gyártsanak, és azzal jogosulatlan műveleteket hajtsanak végre.</w:t>
      </w:r>
    </w:p>
    <w:p w14:paraId="05378292" w14:textId="6F36CA63"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28</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plasztik megszerzése (Card Trapping</w:t>
      </w:r>
      <w:r w:rsidR="00A61F3D" w:rsidRPr="00A61F3D">
        <w:rPr>
          <w:rFonts w:ascii="Arial" w:hAnsi="Arial" w:cs="Arial"/>
          <w:sz w:val="20"/>
        </w:rPr>
        <w:t xml:space="preserve">): az ATM-művelet végrehajtása során a kártya és a hozzá tartozó PIN kód fizikai megszerzése, majd a kártya készpénzfelvételre való jogosulatlan használata. </w:t>
      </w:r>
    </w:p>
    <w:p w14:paraId="3D98CFCA" w14:textId="2BF0DA5F"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29</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Készpénz illetéktelen megszerzése (Cash Trapping</w:t>
      </w:r>
      <w:r w:rsidR="00A61F3D" w:rsidRPr="00A61F3D">
        <w:rPr>
          <w:rFonts w:ascii="Arial" w:hAnsi="Arial" w:cs="Arial"/>
          <w:sz w:val="20"/>
        </w:rPr>
        <w:t>): az ATM-művelet során a kártyabirtokos nem jut hozzá a készpénzhez annak ellenére, hogy a bizonylat szerint az ATM kiadta azt. Miután a kártyabirtokos a berendezés meghibásodását feltételezve távozik, a csaló megszerzi az általa „manipulált” ATM-be ragadt pénzt.</w:t>
      </w:r>
    </w:p>
    <w:p w14:paraId="2A684D6E" w14:textId="4ACD9D21"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30</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Mail/telefon/internet útján okozott kár (Card not present</w:t>
      </w:r>
      <w:r w:rsidR="00A61F3D" w:rsidRPr="00A61F3D">
        <w:rPr>
          <w:rFonts w:ascii="Arial" w:hAnsi="Arial" w:cs="Arial"/>
          <w:sz w:val="20"/>
        </w:rPr>
        <w:t>): a kártya adatainak felhasználásával (függetlenül attól, hogy ezek az adatok esetleg lopott, elvesztett vagy hamisított kártyához tartoznak), annak nem jogos birtokosa bonyolít le műveleteket telefonon, postán vagy interneten keresztül történő vásárlás esetén, vagyis amikor a kártya fizikailag nincs jelen a tranzakciónál.</w:t>
      </w:r>
    </w:p>
    <w:p w14:paraId="7E6F2EA7" w14:textId="60F23F1B"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1</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Meg nem kapott kártyával okozott kár (Card not received</w:t>
      </w:r>
      <w:r w:rsidR="00A61F3D" w:rsidRPr="00A61F3D">
        <w:rPr>
          <w:rFonts w:ascii="Arial" w:hAnsi="Arial" w:cs="Arial"/>
          <w:sz w:val="20"/>
        </w:rPr>
        <w:t>): a kibocsátó bank által a kártyabirtokos részére postai úton továbbított, de a jogos birtokoshoz meg nem érkezett azon kártya, amellyel illetéktelen személy jogtalan tranzakciókat bonyolít le.</w:t>
      </w:r>
    </w:p>
    <w:p w14:paraId="0A5DB7A1" w14:textId="6AA1329A" w:rsidR="00A61F3D" w:rsidRPr="00A61F3D" w:rsidRDefault="00D804EB" w:rsidP="00A61F3D">
      <w:pPr>
        <w:ind w:left="993" w:hanging="568"/>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2</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Tranzakció reverzálás (Transaction reversal fraud</w:t>
      </w:r>
      <w:r w:rsidR="00A61F3D" w:rsidRPr="00A61F3D">
        <w:rPr>
          <w:rFonts w:ascii="Arial" w:hAnsi="Arial" w:cs="Arial"/>
          <w:sz w:val="20"/>
        </w:rPr>
        <w:t>): a kártyabirtokos sikeres készpénzfelvétel kapcsán az ATM működését úgy befolyásolja, hogy az a tranzakciót sikertelennek minősítse és törölje, miközben a készpénz egy része vagy a teljes összeg kiadásra kerül.</w:t>
      </w:r>
    </w:p>
    <w:p w14:paraId="3935D3A5" w14:textId="21C0CFEA" w:rsidR="004520CB" w:rsidRPr="00A61F3D" w:rsidRDefault="004520CB" w:rsidP="00D3125B">
      <w:pPr>
        <w:spacing w:before="120"/>
        <w:ind w:left="425"/>
        <w:rPr>
          <w:rFonts w:ascii="Arial" w:hAnsi="Arial" w:cs="Arial"/>
          <w:b/>
          <w:sz w:val="20"/>
        </w:rPr>
      </w:pPr>
      <w:r w:rsidRPr="00A61F3D">
        <w:rPr>
          <w:rFonts w:ascii="Arial" w:hAnsi="Arial" w:cs="Arial"/>
          <w:b/>
          <w:sz w:val="20"/>
        </w:rPr>
        <w:t>Elektronikuspénz</w:t>
      </w:r>
      <w:r>
        <w:rPr>
          <w:rFonts w:ascii="Arial" w:hAnsi="Arial" w:cs="Arial"/>
          <w:b/>
          <w:sz w:val="20"/>
        </w:rPr>
        <w:t>-</w:t>
      </w:r>
      <w:r w:rsidRPr="00A61F3D">
        <w:rPr>
          <w:rFonts w:ascii="Arial" w:hAnsi="Arial" w:cs="Arial"/>
          <w:b/>
          <w:sz w:val="20"/>
        </w:rPr>
        <w:t xml:space="preserve">kibocsátási tevékenységgel kapcsolatos fogalmak: </w:t>
      </w:r>
    </w:p>
    <w:p w14:paraId="6CC59FA6" w14:textId="59D9B266" w:rsidR="00A61F3D" w:rsidRPr="00A61F3D" w:rsidRDefault="00D804EB" w:rsidP="00A61F3D">
      <w:pPr>
        <w:ind w:left="993" w:hanging="567"/>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3</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Elektronikus pénz</w:t>
      </w:r>
      <w:r w:rsidR="00A61F3D" w:rsidRPr="00BF7D8A">
        <w:rPr>
          <w:rFonts w:ascii="Arial" w:hAnsi="Arial" w:cs="Arial"/>
          <w:sz w:val="20"/>
        </w:rPr>
        <w:t>:</w:t>
      </w:r>
      <w:r w:rsidR="00A61F3D" w:rsidRPr="00A61F3D">
        <w:rPr>
          <w:rFonts w:ascii="Arial" w:hAnsi="Arial" w:cs="Arial"/>
          <w:b/>
          <w:sz w:val="20"/>
        </w:rPr>
        <w:t xml:space="preserve"> </w:t>
      </w:r>
      <w:r w:rsidR="004520CB" w:rsidRPr="00A61F3D">
        <w:rPr>
          <w:rFonts w:ascii="Arial" w:hAnsi="Arial" w:cs="Arial"/>
          <w:sz w:val="20"/>
        </w:rPr>
        <w:t xml:space="preserve">a </w:t>
      </w:r>
      <w:r w:rsidR="004520CB">
        <w:rPr>
          <w:rFonts w:ascii="Arial" w:hAnsi="Arial" w:cs="Arial"/>
          <w:sz w:val="20"/>
        </w:rPr>
        <w:t>Hpt.-ben</w:t>
      </w:r>
      <w:r w:rsidR="004520CB" w:rsidRPr="00A61F3D">
        <w:rPr>
          <w:rFonts w:ascii="Arial" w:hAnsi="Arial" w:cs="Arial"/>
          <w:sz w:val="20"/>
        </w:rPr>
        <w:t xml:space="preserve"> ekként meghatározott fogalom.</w:t>
      </w:r>
    </w:p>
    <w:p w14:paraId="748AA620" w14:textId="3617845A" w:rsidR="00A61F3D" w:rsidRPr="00A61F3D" w:rsidRDefault="00D804EB" w:rsidP="00A61F3D">
      <w:pPr>
        <w:ind w:left="993" w:hanging="567"/>
        <w:rPr>
          <w:rFonts w:ascii="Arial" w:hAnsi="Arial" w:cs="Arial"/>
          <w:sz w:val="20"/>
        </w:rPr>
      </w:pPr>
      <w:r>
        <w:rPr>
          <w:rFonts w:ascii="Arial" w:hAnsi="Arial" w:cs="Arial"/>
          <w:sz w:val="20"/>
        </w:rPr>
        <w:lastRenderedPageBreak/>
        <w:t>6</w:t>
      </w:r>
      <w:r w:rsidR="00A61F3D" w:rsidRPr="00A61F3D">
        <w:rPr>
          <w:rFonts w:ascii="Arial" w:hAnsi="Arial" w:cs="Arial"/>
          <w:sz w:val="20"/>
        </w:rPr>
        <w:t>.</w:t>
      </w:r>
      <w:r>
        <w:rPr>
          <w:rFonts w:ascii="Arial" w:hAnsi="Arial" w:cs="Arial"/>
          <w:sz w:val="20"/>
        </w:rPr>
        <w:t>3</w:t>
      </w:r>
      <w:r w:rsidR="00184AC6">
        <w:rPr>
          <w:rFonts w:ascii="Arial" w:hAnsi="Arial" w:cs="Arial"/>
          <w:sz w:val="20"/>
        </w:rPr>
        <w:t>4</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Kártya alapú elektronikus pénzrendszer</w:t>
      </w:r>
      <w:r w:rsidR="00A61F3D" w:rsidRPr="00BF7D8A">
        <w:rPr>
          <w:rFonts w:ascii="Arial" w:hAnsi="Arial" w:cs="Arial"/>
          <w:sz w:val="20"/>
        </w:rPr>
        <w:t>:</w:t>
      </w:r>
      <w:r w:rsidR="00A61F3D" w:rsidRPr="00A61F3D">
        <w:rPr>
          <w:rFonts w:ascii="Arial" w:hAnsi="Arial" w:cs="Arial"/>
          <w:b/>
          <w:sz w:val="20"/>
        </w:rPr>
        <w:t xml:space="preserve"> </w:t>
      </w:r>
      <w:r w:rsidR="00A61F3D" w:rsidRPr="00A61F3D">
        <w:rPr>
          <w:rFonts w:ascii="Arial" w:hAnsi="Arial" w:cs="Arial"/>
          <w:sz w:val="20"/>
        </w:rPr>
        <w:t>az elektronikus pénz tárolása az ügyfél rendelkezésére bocsátott kártyán, egyéb eszközön történik, vagy a számlán tárolt elektronikus pénzhez csak ezekkel az eszközökkel lehet hozzáférni.</w:t>
      </w:r>
    </w:p>
    <w:p w14:paraId="06141F87" w14:textId="2D305DA4" w:rsidR="00A61F3D" w:rsidRPr="00A61F3D" w:rsidRDefault="00D804EB" w:rsidP="00A61F3D">
      <w:pPr>
        <w:ind w:left="993" w:hanging="567"/>
        <w:rPr>
          <w:rFonts w:ascii="Arial" w:hAnsi="Arial" w:cs="Arial"/>
          <w:sz w:val="20"/>
        </w:rPr>
      </w:pPr>
      <w:r>
        <w:rPr>
          <w:rFonts w:ascii="Arial" w:hAnsi="Arial" w:cs="Arial"/>
          <w:sz w:val="20"/>
        </w:rPr>
        <w:t>6</w:t>
      </w:r>
      <w:r w:rsidR="00A61F3D" w:rsidRPr="00A61F3D">
        <w:rPr>
          <w:rFonts w:ascii="Arial" w:hAnsi="Arial" w:cs="Arial"/>
          <w:sz w:val="20"/>
        </w:rPr>
        <w:t>.</w:t>
      </w:r>
      <w:r>
        <w:rPr>
          <w:rFonts w:ascii="Arial" w:hAnsi="Arial" w:cs="Arial"/>
          <w:sz w:val="20"/>
        </w:rPr>
        <w:t>3</w:t>
      </w:r>
      <w:r w:rsidR="00184AC6">
        <w:rPr>
          <w:rFonts w:ascii="Arial" w:hAnsi="Arial" w:cs="Arial"/>
          <w:sz w:val="20"/>
        </w:rPr>
        <w:t>5</w:t>
      </w:r>
      <w:r w:rsidR="00A61F3D" w:rsidRPr="00A61F3D">
        <w:rPr>
          <w:rFonts w:ascii="Arial" w:hAnsi="Arial" w:cs="Arial"/>
          <w:sz w:val="20"/>
        </w:rPr>
        <w:t>.</w:t>
      </w:r>
      <w:r w:rsidR="00A61F3D" w:rsidRPr="00A61F3D">
        <w:rPr>
          <w:rFonts w:ascii="Arial" w:hAnsi="Arial" w:cs="Arial"/>
          <w:sz w:val="20"/>
        </w:rPr>
        <w:tab/>
      </w:r>
      <w:r w:rsidR="00A61F3D" w:rsidRPr="00A61F3D">
        <w:rPr>
          <w:rFonts w:ascii="Arial" w:hAnsi="Arial" w:cs="Arial"/>
          <w:b/>
          <w:sz w:val="20"/>
        </w:rPr>
        <w:t>Szerver alapú elektronikus pénzrendszer</w:t>
      </w:r>
      <w:r w:rsidR="00A61F3D" w:rsidRPr="00BF7D8A">
        <w:rPr>
          <w:rFonts w:ascii="Arial" w:hAnsi="Arial" w:cs="Arial"/>
          <w:sz w:val="20"/>
        </w:rPr>
        <w:t>:</w:t>
      </w:r>
      <w:r w:rsidR="00A61F3D" w:rsidRPr="00A61F3D">
        <w:rPr>
          <w:rFonts w:ascii="Arial" w:hAnsi="Arial" w:cs="Arial"/>
          <w:b/>
          <w:sz w:val="20"/>
        </w:rPr>
        <w:t xml:space="preserve"> </w:t>
      </w:r>
      <w:r w:rsidR="00A61F3D" w:rsidRPr="00A61F3D">
        <w:rPr>
          <w:rFonts w:ascii="Arial" w:hAnsi="Arial" w:cs="Arial"/>
          <w:sz w:val="20"/>
        </w:rPr>
        <w:t>az elektronikus pénzt a kibocsátó egy központi szerveren tárolja.</w:t>
      </w:r>
    </w:p>
    <w:p w14:paraId="75F8828A" w14:textId="664A0278" w:rsidR="00AC13E5" w:rsidRPr="00A61F3D" w:rsidRDefault="00AC13E5" w:rsidP="00A61F3D">
      <w:pPr>
        <w:tabs>
          <w:tab w:val="left" w:pos="1843"/>
        </w:tabs>
        <w:rPr>
          <w:rFonts w:ascii="Arial" w:hAnsi="Arial" w:cs="Arial"/>
          <w:sz w:val="20"/>
        </w:rPr>
      </w:pPr>
      <w:r w:rsidRPr="00A61F3D">
        <w:rPr>
          <w:rFonts w:ascii="Arial" w:hAnsi="Arial" w:cs="Arial"/>
          <w:sz w:val="20"/>
        </w:rPr>
        <w:br w:type="page"/>
      </w:r>
    </w:p>
    <w:p w14:paraId="59B4D441" w14:textId="77777777" w:rsidR="00920FD0" w:rsidRPr="00A61F3D" w:rsidRDefault="00920FD0">
      <w:pPr>
        <w:rPr>
          <w:rFonts w:ascii="Arial" w:hAnsi="Arial" w:cs="Arial"/>
          <w:sz w:val="20"/>
        </w:rPr>
      </w:pPr>
    </w:p>
    <w:p w14:paraId="093F9FA7" w14:textId="77777777" w:rsidR="00184DA0" w:rsidRPr="00A61F3D" w:rsidRDefault="00184DA0">
      <w:pPr>
        <w:rPr>
          <w:rFonts w:ascii="Arial" w:hAnsi="Arial" w:cs="Arial"/>
          <w:sz w:val="20"/>
        </w:rPr>
      </w:pPr>
    </w:p>
    <w:p w14:paraId="68DC7B91" w14:textId="77777777" w:rsidR="00184DA0" w:rsidRPr="00A61F3D" w:rsidRDefault="00184DA0">
      <w:pPr>
        <w:rPr>
          <w:rFonts w:ascii="Arial" w:hAnsi="Arial" w:cs="Arial"/>
          <w:sz w:val="20"/>
        </w:rPr>
      </w:pPr>
    </w:p>
    <w:p w14:paraId="6D7D68D4" w14:textId="77777777" w:rsidR="00184DA0" w:rsidRPr="00A61F3D" w:rsidRDefault="00184DA0">
      <w:pPr>
        <w:rPr>
          <w:rFonts w:ascii="Arial" w:hAnsi="Arial" w:cs="Arial"/>
          <w:sz w:val="20"/>
        </w:rPr>
      </w:pPr>
    </w:p>
    <w:p w14:paraId="7F2B7038" w14:textId="77777777" w:rsidR="00184DA0" w:rsidRPr="00A61F3D" w:rsidRDefault="00184DA0">
      <w:pPr>
        <w:rPr>
          <w:rFonts w:ascii="Arial" w:hAnsi="Arial" w:cs="Arial"/>
          <w:sz w:val="20"/>
        </w:rPr>
      </w:pPr>
    </w:p>
    <w:p w14:paraId="407D0111" w14:textId="77777777" w:rsidR="00184DA0" w:rsidRPr="00A61F3D" w:rsidRDefault="00184DA0">
      <w:pPr>
        <w:rPr>
          <w:rFonts w:ascii="Arial" w:hAnsi="Arial" w:cs="Arial"/>
          <w:sz w:val="20"/>
        </w:rPr>
      </w:pPr>
    </w:p>
    <w:p w14:paraId="169EB23C" w14:textId="77777777" w:rsidR="00184DA0" w:rsidRPr="00A61F3D" w:rsidRDefault="00184DA0">
      <w:pPr>
        <w:rPr>
          <w:rFonts w:ascii="Arial" w:hAnsi="Arial" w:cs="Arial"/>
          <w:sz w:val="20"/>
        </w:rPr>
      </w:pPr>
    </w:p>
    <w:p w14:paraId="61285F18" w14:textId="77777777" w:rsidR="00184DA0" w:rsidRPr="00A61F3D" w:rsidRDefault="00184DA0">
      <w:pPr>
        <w:rPr>
          <w:rFonts w:ascii="Arial" w:hAnsi="Arial" w:cs="Arial"/>
          <w:sz w:val="20"/>
        </w:rPr>
      </w:pPr>
    </w:p>
    <w:p w14:paraId="64D4F781" w14:textId="77777777" w:rsidR="00184DA0" w:rsidRPr="00A61F3D" w:rsidRDefault="00184DA0">
      <w:pPr>
        <w:rPr>
          <w:rFonts w:ascii="Arial" w:hAnsi="Arial" w:cs="Arial"/>
          <w:sz w:val="20"/>
        </w:rPr>
      </w:pPr>
    </w:p>
    <w:p w14:paraId="5927FD42" w14:textId="77777777" w:rsidR="00184DA0" w:rsidRPr="00A61F3D" w:rsidRDefault="00184DA0">
      <w:pPr>
        <w:rPr>
          <w:rFonts w:ascii="Arial" w:hAnsi="Arial" w:cs="Arial"/>
          <w:sz w:val="20"/>
        </w:rPr>
      </w:pPr>
    </w:p>
    <w:p w14:paraId="6E2BAE4E" w14:textId="77777777" w:rsidR="00184DA0" w:rsidRPr="00A61F3D" w:rsidRDefault="00184DA0">
      <w:pPr>
        <w:rPr>
          <w:rFonts w:ascii="Arial" w:hAnsi="Arial" w:cs="Arial"/>
          <w:sz w:val="20"/>
        </w:rPr>
      </w:pPr>
    </w:p>
    <w:p w14:paraId="1CCAE4AB" w14:textId="77777777" w:rsidR="00184DA0" w:rsidRPr="00A61F3D" w:rsidRDefault="00184DA0">
      <w:pPr>
        <w:rPr>
          <w:rFonts w:ascii="Arial" w:hAnsi="Arial" w:cs="Arial"/>
          <w:sz w:val="20"/>
        </w:rPr>
      </w:pPr>
    </w:p>
    <w:p w14:paraId="2EB33130" w14:textId="77777777" w:rsidR="00184DA0" w:rsidRPr="00A61F3D" w:rsidRDefault="00184DA0">
      <w:pPr>
        <w:rPr>
          <w:rFonts w:ascii="Arial" w:hAnsi="Arial" w:cs="Arial"/>
          <w:sz w:val="20"/>
        </w:rPr>
      </w:pPr>
    </w:p>
    <w:p w14:paraId="2B72D9B4" w14:textId="77777777" w:rsidR="00184DA0" w:rsidRPr="00A61F3D" w:rsidRDefault="00184DA0">
      <w:pPr>
        <w:rPr>
          <w:rFonts w:ascii="Arial" w:hAnsi="Arial" w:cs="Arial"/>
          <w:sz w:val="20"/>
        </w:rPr>
      </w:pPr>
    </w:p>
    <w:p w14:paraId="70168B01" w14:textId="77777777" w:rsidR="00184DA0" w:rsidRPr="00A61F3D" w:rsidRDefault="00184DA0">
      <w:pPr>
        <w:rPr>
          <w:rFonts w:ascii="Arial" w:hAnsi="Arial" w:cs="Arial"/>
          <w:sz w:val="20"/>
        </w:rPr>
      </w:pPr>
    </w:p>
    <w:p w14:paraId="2BDFA38B" w14:textId="77777777" w:rsidR="00184DA0" w:rsidRPr="00A61F3D" w:rsidRDefault="00184DA0">
      <w:pPr>
        <w:rPr>
          <w:rFonts w:ascii="Arial" w:hAnsi="Arial" w:cs="Arial"/>
          <w:sz w:val="20"/>
        </w:rPr>
      </w:pPr>
    </w:p>
    <w:p w14:paraId="3D91E0D7" w14:textId="77777777" w:rsidR="00184DA0" w:rsidRPr="00A61F3D" w:rsidRDefault="00184DA0">
      <w:pPr>
        <w:rPr>
          <w:rFonts w:ascii="Arial" w:hAnsi="Arial" w:cs="Arial"/>
          <w:sz w:val="20"/>
        </w:rPr>
      </w:pPr>
    </w:p>
    <w:p w14:paraId="206B6DAD" w14:textId="77777777" w:rsidR="00184DA0" w:rsidRPr="00A61F3D" w:rsidRDefault="00184DA0">
      <w:pPr>
        <w:rPr>
          <w:rFonts w:ascii="Arial" w:hAnsi="Arial" w:cs="Arial"/>
          <w:sz w:val="20"/>
        </w:rPr>
      </w:pPr>
    </w:p>
    <w:p w14:paraId="545B49F5" w14:textId="77777777" w:rsidR="00184DA0" w:rsidRPr="00A61F3D" w:rsidRDefault="00184DA0">
      <w:pPr>
        <w:rPr>
          <w:rFonts w:ascii="Arial" w:hAnsi="Arial" w:cs="Arial"/>
          <w:sz w:val="20"/>
        </w:rPr>
      </w:pPr>
    </w:p>
    <w:p w14:paraId="4D311A1D" w14:textId="77777777" w:rsidR="00184DA0" w:rsidRPr="00A61F3D" w:rsidRDefault="00184DA0">
      <w:pPr>
        <w:rPr>
          <w:rFonts w:ascii="Arial" w:hAnsi="Arial" w:cs="Arial"/>
          <w:sz w:val="20"/>
        </w:rPr>
      </w:pPr>
    </w:p>
    <w:p w14:paraId="6FC3A9C4" w14:textId="77777777" w:rsidR="00184DA0" w:rsidRPr="00A61F3D" w:rsidRDefault="00184DA0">
      <w:pPr>
        <w:rPr>
          <w:rFonts w:ascii="Arial" w:hAnsi="Arial" w:cs="Arial"/>
          <w:sz w:val="20"/>
        </w:rPr>
      </w:pPr>
    </w:p>
    <w:p w14:paraId="4054BF3C" w14:textId="77777777" w:rsidR="00184DA0" w:rsidRPr="00A61F3D" w:rsidRDefault="00184DA0">
      <w:pPr>
        <w:rPr>
          <w:rFonts w:ascii="Arial" w:hAnsi="Arial" w:cs="Arial"/>
          <w:sz w:val="20"/>
        </w:rPr>
      </w:pPr>
    </w:p>
    <w:p w14:paraId="0E394488" w14:textId="77777777" w:rsidR="00184DA0" w:rsidRPr="00A61F3D" w:rsidRDefault="00184DA0">
      <w:pPr>
        <w:rPr>
          <w:rFonts w:ascii="Arial" w:hAnsi="Arial" w:cs="Arial"/>
          <w:sz w:val="20"/>
        </w:rPr>
      </w:pPr>
    </w:p>
    <w:p w14:paraId="4606BFD1" w14:textId="77777777" w:rsidR="00184DA0" w:rsidRPr="00A61F3D" w:rsidRDefault="00184DA0">
      <w:pPr>
        <w:rPr>
          <w:rFonts w:ascii="Arial" w:hAnsi="Arial" w:cs="Arial"/>
          <w:sz w:val="20"/>
        </w:rPr>
      </w:pPr>
    </w:p>
    <w:p w14:paraId="0BF9876D" w14:textId="77777777" w:rsidR="00184DA0" w:rsidRPr="00A61F3D" w:rsidRDefault="00184DA0">
      <w:pPr>
        <w:rPr>
          <w:rFonts w:ascii="Arial" w:hAnsi="Arial" w:cs="Arial"/>
          <w:sz w:val="20"/>
        </w:rPr>
      </w:pPr>
    </w:p>
    <w:p w14:paraId="7ECD138C" w14:textId="77777777" w:rsidR="006805CF" w:rsidRPr="00A61F3D" w:rsidRDefault="009D3D4F" w:rsidP="00A800BF">
      <w:pPr>
        <w:autoSpaceDE w:val="0"/>
        <w:autoSpaceDN w:val="0"/>
        <w:adjustRightInd w:val="0"/>
        <w:jc w:val="center"/>
        <w:rPr>
          <w:rFonts w:ascii="Arial" w:hAnsi="Arial" w:cs="Arial"/>
          <w:b/>
          <w:bCs/>
          <w:sz w:val="20"/>
        </w:rPr>
      </w:pPr>
      <w:r w:rsidRPr="00A61F3D">
        <w:rPr>
          <w:rFonts w:ascii="Arial" w:hAnsi="Arial" w:cs="Arial"/>
          <w:b/>
          <w:bCs/>
          <w:sz w:val="20"/>
        </w:rPr>
        <w:t>II. A SZOLGÁLTATANDÓ INFORMÁCIÓKHOZ KAPCSOLÓDÓ TÁBLÁK ÉS AZ AZOK KITÖLTÉSÉRE VONATKOZÓ RENDELKEZÉSEK</w:t>
      </w:r>
    </w:p>
    <w:p w14:paraId="1C73CF7B" w14:textId="77777777" w:rsidR="006805CF" w:rsidRPr="00A61F3D" w:rsidRDefault="009D3D4F">
      <w:pPr>
        <w:tabs>
          <w:tab w:val="left" w:pos="426"/>
        </w:tabs>
        <w:spacing w:after="120"/>
        <w:rPr>
          <w:rFonts w:ascii="Arial" w:hAnsi="Arial" w:cs="Arial"/>
          <w:sz w:val="20"/>
        </w:rPr>
      </w:pPr>
      <w:r w:rsidRPr="00A61F3D">
        <w:rPr>
          <w:rFonts w:ascii="Arial" w:hAnsi="Arial" w:cs="Arial"/>
          <w:sz w:val="20"/>
        </w:rPr>
        <w:t xml:space="preserve"> </w:t>
      </w:r>
    </w:p>
    <w:sectPr w:rsidR="006805CF" w:rsidRPr="00A61F3D" w:rsidSect="00093847">
      <w:headerReference w:type="even" r:id="rId20"/>
      <w:headerReference w:type="default" r:id="rId21"/>
      <w:footerReference w:type="even" r:id="rId22"/>
      <w:footerReference w:type="default" r:id="rId23"/>
      <w:pgSz w:w="11896" w:h="16834"/>
      <w:pgMar w:top="1417" w:right="1417" w:bottom="1417" w:left="1417" w:header="709" w:footer="709" w:gutter="0"/>
      <w:paperSrc w:first="4" w:other="4"/>
      <w:pgNumType w:start="1"/>
      <w:cols w:sep="1"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BF70E" w14:textId="77777777" w:rsidR="00DC637B" w:rsidRDefault="00DC637B">
      <w:r>
        <w:separator/>
      </w:r>
    </w:p>
  </w:endnote>
  <w:endnote w:type="continuationSeparator" w:id="0">
    <w:p w14:paraId="3B647348" w14:textId="77777777" w:rsidR="00DC637B" w:rsidRDefault="00DC637B">
      <w:r>
        <w:continuationSeparator/>
      </w:r>
    </w:p>
  </w:endnote>
  <w:endnote w:type="continuationNotice" w:id="1">
    <w:p w14:paraId="0A4DE681" w14:textId="77777777" w:rsidR="00DC637B" w:rsidRDefault="00DC63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F7B6E" w14:textId="77777777" w:rsidR="005F5106" w:rsidRDefault="005F510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w:t>
    </w:r>
    <w:r>
      <w:rPr>
        <w:rStyle w:val="Oldalszm"/>
      </w:rPr>
      <w:fldChar w:fldCharType="end"/>
    </w:r>
  </w:p>
  <w:p w14:paraId="5D7EFFEE" w14:textId="77777777" w:rsidR="005F5106" w:rsidRDefault="005F510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A182C" w14:textId="77777777" w:rsidR="00DC637B" w:rsidRDefault="00DC637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1D2A6" w14:textId="77777777" w:rsidR="00DC637B" w:rsidRDefault="00DC637B">
      <w:r>
        <w:separator/>
      </w:r>
    </w:p>
  </w:footnote>
  <w:footnote w:type="continuationSeparator" w:id="0">
    <w:p w14:paraId="54EB93F5" w14:textId="77777777" w:rsidR="00DC637B" w:rsidRDefault="00DC637B">
      <w:r>
        <w:continuationSeparator/>
      </w:r>
    </w:p>
  </w:footnote>
  <w:footnote w:type="continuationNotice" w:id="1">
    <w:p w14:paraId="1F1153DD" w14:textId="77777777" w:rsidR="00DC637B" w:rsidRDefault="00DC63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2F19B" w14:textId="77777777" w:rsidR="005F5106" w:rsidRDefault="005F5106">
    <w:pPr>
      <w:pStyle w:val="llb"/>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773BF" w14:textId="77777777" w:rsidR="005F5106" w:rsidRDefault="005F5106">
    <w:pPr>
      <w:pStyle w:val="lfej"/>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lowerLetter"/>
      <w:pStyle w:val="Cmsor1"/>
      <w:lvlText w:val="%1."/>
      <w:legacy w:legacy="1" w:legacySpace="0" w:legacyIndent="708"/>
      <w:lvlJc w:val="left"/>
      <w:pPr>
        <w:ind w:left="708" w:hanging="708"/>
      </w:pPr>
    </w:lvl>
    <w:lvl w:ilvl="1">
      <w:start w:val="1"/>
      <w:numFmt w:val="upperLetter"/>
      <w:pStyle w:val="Cmsor2"/>
      <w:lvlText w:val="%2."/>
      <w:legacy w:legacy="1" w:legacySpace="0" w:legacyIndent="708"/>
      <w:lvlJc w:val="left"/>
      <w:pPr>
        <w:ind w:left="1416" w:hanging="708"/>
      </w:pPr>
    </w:lvl>
    <w:lvl w:ilvl="2">
      <w:start w:val="1"/>
      <w:numFmt w:val="decimal"/>
      <w:pStyle w:val="Cmsor3"/>
      <w:lvlText w:val="%3."/>
      <w:legacy w:legacy="1" w:legacySpace="0" w:legacyIndent="708"/>
      <w:lvlJc w:val="left"/>
      <w:pPr>
        <w:ind w:left="2124" w:hanging="708"/>
      </w:pPr>
    </w:lvl>
    <w:lvl w:ilvl="3">
      <w:start w:val="1"/>
      <w:numFmt w:val="lowerLetter"/>
      <w:pStyle w:val="Cmsor4"/>
      <w:lvlText w:val="%4)"/>
      <w:legacy w:legacy="1" w:legacySpace="0" w:legacyIndent="708"/>
      <w:lvlJc w:val="left"/>
      <w:pPr>
        <w:ind w:left="2832" w:hanging="708"/>
      </w:pPr>
    </w:lvl>
    <w:lvl w:ilvl="4">
      <w:start w:val="1"/>
      <w:numFmt w:val="decimal"/>
      <w:pStyle w:val="Cmsor5"/>
      <w:lvlText w:val="(%5)"/>
      <w:legacy w:legacy="1" w:legacySpace="0" w:legacyIndent="708"/>
      <w:lvlJc w:val="left"/>
      <w:pPr>
        <w:ind w:left="3540" w:hanging="708"/>
      </w:pPr>
    </w:lvl>
    <w:lvl w:ilvl="5">
      <w:start w:val="1"/>
      <w:numFmt w:val="lowerLetter"/>
      <w:pStyle w:val="Cmsor6"/>
      <w:lvlText w:val="(%6)"/>
      <w:legacy w:legacy="1" w:legacySpace="0" w:legacyIndent="708"/>
      <w:lvlJc w:val="left"/>
      <w:pPr>
        <w:ind w:left="4248" w:hanging="708"/>
      </w:pPr>
    </w:lvl>
    <w:lvl w:ilvl="6">
      <w:start w:val="1"/>
      <w:numFmt w:val="lowerRoman"/>
      <w:pStyle w:val="Cmsor7"/>
      <w:lvlText w:val="(%7)"/>
      <w:legacy w:legacy="1" w:legacySpace="0" w:legacyIndent="708"/>
      <w:lvlJc w:val="left"/>
      <w:pPr>
        <w:ind w:left="4956" w:hanging="708"/>
      </w:pPr>
    </w:lvl>
    <w:lvl w:ilvl="7">
      <w:start w:val="1"/>
      <w:numFmt w:val="lowerLetter"/>
      <w:pStyle w:val="Cmsor8"/>
      <w:lvlText w:val="(%8)"/>
      <w:legacy w:legacy="1" w:legacySpace="0" w:legacyIndent="708"/>
      <w:lvlJc w:val="left"/>
      <w:pPr>
        <w:ind w:left="5664" w:hanging="708"/>
      </w:pPr>
    </w:lvl>
    <w:lvl w:ilvl="8">
      <w:start w:val="1"/>
      <w:numFmt w:val="lowerRoman"/>
      <w:pStyle w:val="Cmsor9"/>
      <w:lvlText w:val="(%9)"/>
      <w:legacy w:legacy="1" w:legacySpace="0" w:legacyIndent="708"/>
      <w:lvlJc w:val="left"/>
      <w:pPr>
        <w:ind w:left="6372" w:hanging="708"/>
      </w:pPr>
    </w:lvl>
  </w:abstractNum>
  <w:abstractNum w:abstractNumId="1" w15:restartNumberingAfterBreak="0">
    <w:nsid w:val="00000002"/>
    <w:multiLevelType w:val="multilevel"/>
    <w:tmpl w:val="00000000"/>
    <w:name w:val="Ö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6E71BF"/>
    <w:multiLevelType w:val="singleLevel"/>
    <w:tmpl w:val="23CED846"/>
    <w:lvl w:ilvl="0">
      <w:numFmt w:val="bullet"/>
      <w:lvlText w:val="-"/>
      <w:lvlJc w:val="left"/>
      <w:pPr>
        <w:tabs>
          <w:tab w:val="num" w:pos="786"/>
        </w:tabs>
        <w:ind w:left="786" w:hanging="360"/>
      </w:pPr>
      <w:rPr>
        <w:rFonts w:hint="default"/>
      </w:rPr>
    </w:lvl>
  </w:abstractNum>
  <w:abstractNum w:abstractNumId="3" w15:restartNumberingAfterBreak="0">
    <w:nsid w:val="091170A6"/>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1A1902"/>
    <w:multiLevelType w:val="hybridMultilevel"/>
    <w:tmpl w:val="E4D44C9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B8935C5"/>
    <w:multiLevelType w:val="hybridMultilevel"/>
    <w:tmpl w:val="0784A92C"/>
    <w:lvl w:ilvl="0" w:tplc="C936CD20">
      <w:numFmt w:val="bullet"/>
      <w:lvlText w:val="-"/>
      <w:lvlJc w:val="left"/>
      <w:pPr>
        <w:ind w:left="862" w:hanging="360"/>
      </w:pPr>
      <w:rPr>
        <w:rFonts w:ascii="Garamond" w:eastAsia="Times New Roman" w:hAnsi="Garamond" w:cs="Times New Roman"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 w15:restartNumberingAfterBreak="0">
    <w:nsid w:val="0C8156C0"/>
    <w:multiLevelType w:val="hybridMultilevel"/>
    <w:tmpl w:val="B0265492"/>
    <w:lvl w:ilvl="0" w:tplc="040E000F">
      <w:start w:val="1"/>
      <w:numFmt w:val="decimal"/>
      <w:lvlText w:val="%1."/>
      <w:lvlJc w:val="left"/>
      <w:pPr>
        <w:tabs>
          <w:tab w:val="num" w:pos="720"/>
        </w:tabs>
        <w:ind w:left="720" w:hanging="360"/>
      </w:pPr>
    </w:lvl>
    <w:lvl w:ilvl="1" w:tplc="C936CD20">
      <w:numFmt w:val="bullet"/>
      <w:lvlText w:val="-"/>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0D3A19A2"/>
    <w:multiLevelType w:val="hybridMultilevel"/>
    <w:tmpl w:val="7B607C64"/>
    <w:lvl w:ilvl="0" w:tplc="19E0FD1A">
      <w:start w:val="1"/>
      <w:numFmt w:val="lowerLetter"/>
      <w:lvlText w:val="%1)"/>
      <w:lvlJc w:val="left"/>
      <w:pPr>
        <w:ind w:left="1146" w:hanging="360"/>
      </w:pPr>
      <w:rPr>
        <w:rFonts w:hint="default"/>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8" w15:restartNumberingAfterBreak="0">
    <w:nsid w:val="11BB6702"/>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9" w15:restartNumberingAfterBreak="0">
    <w:nsid w:val="15365EED"/>
    <w:multiLevelType w:val="multilevel"/>
    <w:tmpl w:val="8A9E34F4"/>
    <w:lvl w:ilvl="0">
      <w:start w:val="1"/>
      <w:numFmt w:val="decimal"/>
      <w:lvlText w:val="%1."/>
      <w:lvlJc w:val="left"/>
      <w:pPr>
        <w:ind w:left="360" w:hanging="360"/>
      </w:pPr>
    </w:lvl>
    <w:lvl w:ilvl="1">
      <w:start w:val="1"/>
      <w:numFmt w:val="decimal"/>
      <w:lvlText w:val="%1.%2."/>
      <w:lvlJc w:val="left"/>
      <w:pPr>
        <w:ind w:left="2559" w:hanging="432"/>
      </w:pPr>
    </w:lvl>
    <w:lvl w:ilvl="2">
      <w:start w:val="1"/>
      <w:numFmt w:val="decimal"/>
      <w:lvlText w:val="%1.%2.%3."/>
      <w:lvlJc w:val="left"/>
      <w:pPr>
        <w:ind w:left="1224" w:hanging="504"/>
      </w:pPr>
      <w:rPr>
        <w:b w:val="0"/>
      </w:rPr>
    </w:lvl>
    <w:lvl w:ilvl="3">
      <w:start w:val="1"/>
      <w:numFmt w:val="decimal"/>
      <w:lvlText w:val="%1.%2.%3.%4."/>
      <w:lvlJc w:val="left"/>
      <w:pPr>
        <w:ind w:left="1924"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154FBF"/>
    <w:multiLevelType w:val="hybridMultilevel"/>
    <w:tmpl w:val="512EA964"/>
    <w:lvl w:ilvl="0" w:tplc="C936CD20">
      <w:numFmt w:val="bullet"/>
      <w:lvlText w:val="-"/>
      <w:lvlJc w:val="left"/>
      <w:pPr>
        <w:ind w:left="1713" w:hanging="360"/>
      </w:pPr>
      <w:rPr>
        <w:rFonts w:ascii="Garamond" w:eastAsia="Times New Roman" w:hAnsi="Garamond" w:cs="Times New Roman" w:hint="default"/>
      </w:rPr>
    </w:lvl>
    <w:lvl w:ilvl="1" w:tplc="040E0003" w:tentative="1">
      <w:start w:val="1"/>
      <w:numFmt w:val="bullet"/>
      <w:lvlText w:val="o"/>
      <w:lvlJc w:val="left"/>
      <w:pPr>
        <w:ind w:left="2433" w:hanging="360"/>
      </w:pPr>
      <w:rPr>
        <w:rFonts w:ascii="Courier New" w:hAnsi="Courier New" w:cs="Courier New" w:hint="default"/>
      </w:rPr>
    </w:lvl>
    <w:lvl w:ilvl="2" w:tplc="040E0005">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1" w15:restartNumberingAfterBreak="0">
    <w:nsid w:val="1EA26092"/>
    <w:multiLevelType w:val="hybridMultilevel"/>
    <w:tmpl w:val="2E608BDA"/>
    <w:lvl w:ilvl="0" w:tplc="C936CD20">
      <w:numFmt w:val="bullet"/>
      <w:lvlText w:val="-"/>
      <w:lvlJc w:val="left"/>
      <w:pPr>
        <w:ind w:left="1713" w:hanging="360"/>
      </w:pPr>
      <w:rPr>
        <w:rFonts w:ascii="Garamond" w:eastAsia="Times New Roman" w:hAnsi="Garamond" w:cs="Times New Roman"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2" w15:restartNumberingAfterBreak="0">
    <w:nsid w:val="20D844D1"/>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2F6E528A"/>
    <w:multiLevelType w:val="hybridMultilevel"/>
    <w:tmpl w:val="88744980"/>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F811C8D"/>
    <w:multiLevelType w:val="hybridMultilevel"/>
    <w:tmpl w:val="DFC07AAC"/>
    <w:lvl w:ilvl="0" w:tplc="5934A37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7310811"/>
    <w:multiLevelType w:val="hybridMultilevel"/>
    <w:tmpl w:val="67B6117A"/>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9E65D0E"/>
    <w:multiLevelType w:val="hybridMultilevel"/>
    <w:tmpl w:val="7CB460F6"/>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7" w15:restartNumberingAfterBreak="0">
    <w:nsid w:val="3EA50A30"/>
    <w:multiLevelType w:val="hybridMultilevel"/>
    <w:tmpl w:val="0026F8DE"/>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8" w15:restartNumberingAfterBreak="0">
    <w:nsid w:val="40F402D3"/>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19" w15:restartNumberingAfterBreak="0">
    <w:nsid w:val="43BB0D2C"/>
    <w:multiLevelType w:val="hybridMultilevel"/>
    <w:tmpl w:val="13E6BF20"/>
    <w:lvl w:ilvl="0" w:tplc="040E0017">
      <w:start w:val="1"/>
      <w:numFmt w:val="lowerLetter"/>
      <w:lvlText w:val="%1)"/>
      <w:lvlJc w:val="left"/>
      <w:pPr>
        <w:ind w:left="3808" w:hanging="360"/>
      </w:pPr>
    </w:lvl>
    <w:lvl w:ilvl="1" w:tplc="B666EB04">
      <w:numFmt w:val="bullet"/>
      <w:lvlText w:val="-"/>
      <w:lvlJc w:val="left"/>
      <w:pPr>
        <w:ind w:left="4738" w:hanging="570"/>
      </w:pPr>
      <w:rPr>
        <w:rFonts w:ascii="Arial" w:eastAsia="Times New Roman" w:hAnsi="Arial" w:cs="Arial" w:hint="default"/>
      </w:rPr>
    </w:lvl>
    <w:lvl w:ilvl="2" w:tplc="040E0017">
      <w:start w:val="1"/>
      <w:numFmt w:val="lowerLetter"/>
      <w:lvlText w:val="%3)"/>
      <w:lvlJc w:val="left"/>
      <w:pPr>
        <w:ind w:left="4008" w:hanging="180"/>
      </w:pPr>
    </w:lvl>
    <w:lvl w:ilvl="3" w:tplc="040E000F">
      <w:start w:val="1"/>
      <w:numFmt w:val="decimal"/>
      <w:lvlText w:val="%4."/>
      <w:lvlJc w:val="left"/>
      <w:pPr>
        <w:ind w:left="5968" w:hanging="360"/>
      </w:pPr>
    </w:lvl>
    <w:lvl w:ilvl="4" w:tplc="040E0019" w:tentative="1">
      <w:start w:val="1"/>
      <w:numFmt w:val="lowerLetter"/>
      <w:lvlText w:val="%5."/>
      <w:lvlJc w:val="left"/>
      <w:pPr>
        <w:ind w:left="6688" w:hanging="360"/>
      </w:pPr>
    </w:lvl>
    <w:lvl w:ilvl="5" w:tplc="040E001B" w:tentative="1">
      <w:start w:val="1"/>
      <w:numFmt w:val="lowerRoman"/>
      <w:lvlText w:val="%6."/>
      <w:lvlJc w:val="right"/>
      <w:pPr>
        <w:ind w:left="7408" w:hanging="180"/>
      </w:pPr>
    </w:lvl>
    <w:lvl w:ilvl="6" w:tplc="040E000F" w:tentative="1">
      <w:start w:val="1"/>
      <w:numFmt w:val="decimal"/>
      <w:lvlText w:val="%7."/>
      <w:lvlJc w:val="left"/>
      <w:pPr>
        <w:ind w:left="8128" w:hanging="360"/>
      </w:pPr>
    </w:lvl>
    <w:lvl w:ilvl="7" w:tplc="040E0019" w:tentative="1">
      <w:start w:val="1"/>
      <w:numFmt w:val="lowerLetter"/>
      <w:lvlText w:val="%8."/>
      <w:lvlJc w:val="left"/>
      <w:pPr>
        <w:ind w:left="8848" w:hanging="360"/>
      </w:pPr>
    </w:lvl>
    <w:lvl w:ilvl="8" w:tplc="040E001B" w:tentative="1">
      <w:start w:val="1"/>
      <w:numFmt w:val="lowerRoman"/>
      <w:lvlText w:val="%9."/>
      <w:lvlJc w:val="right"/>
      <w:pPr>
        <w:ind w:left="9568" w:hanging="180"/>
      </w:pPr>
    </w:lvl>
  </w:abstractNum>
  <w:abstractNum w:abstractNumId="20" w15:restartNumberingAfterBreak="0">
    <w:nsid w:val="446F279B"/>
    <w:multiLevelType w:val="hybridMultilevel"/>
    <w:tmpl w:val="4C5A6EE6"/>
    <w:lvl w:ilvl="0" w:tplc="040E0017">
      <w:start w:val="1"/>
      <w:numFmt w:val="lowerLetter"/>
      <w:lvlText w:val="%1)"/>
      <w:lvlJc w:val="left"/>
      <w:pPr>
        <w:tabs>
          <w:tab w:val="num" w:pos="720"/>
        </w:tabs>
        <w:ind w:left="720" w:hanging="360"/>
      </w:pPr>
      <w:rPr>
        <w:rFonts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5005FBF"/>
    <w:multiLevelType w:val="singleLevel"/>
    <w:tmpl w:val="23CED846"/>
    <w:lvl w:ilvl="0">
      <w:numFmt w:val="bullet"/>
      <w:lvlText w:val="-"/>
      <w:lvlJc w:val="left"/>
      <w:pPr>
        <w:tabs>
          <w:tab w:val="num" w:pos="786"/>
        </w:tabs>
        <w:ind w:left="786" w:hanging="360"/>
      </w:pPr>
      <w:rPr>
        <w:rFonts w:hint="default"/>
      </w:rPr>
    </w:lvl>
  </w:abstractNum>
  <w:abstractNum w:abstractNumId="22" w15:restartNumberingAfterBreak="0">
    <w:nsid w:val="476003C6"/>
    <w:multiLevelType w:val="singleLevel"/>
    <w:tmpl w:val="23CED846"/>
    <w:lvl w:ilvl="0">
      <w:numFmt w:val="bullet"/>
      <w:lvlText w:val="-"/>
      <w:lvlJc w:val="left"/>
      <w:pPr>
        <w:tabs>
          <w:tab w:val="num" w:pos="786"/>
        </w:tabs>
        <w:ind w:left="786" w:hanging="360"/>
      </w:pPr>
      <w:rPr>
        <w:rFonts w:hint="default"/>
      </w:rPr>
    </w:lvl>
  </w:abstractNum>
  <w:abstractNum w:abstractNumId="23" w15:restartNumberingAfterBreak="0">
    <w:nsid w:val="4ABC4BEA"/>
    <w:multiLevelType w:val="hybridMultilevel"/>
    <w:tmpl w:val="0ACEBE3A"/>
    <w:lvl w:ilvl="0" w:tplc="C936CD20">
      <w:numFmt w:val="bullet"/>
      <w:lvlText w:val="-"/>
      <w:lvlJc w:val="left"/>
      <w:pPr>
        <w:ind w:left="1338" w:hanging="360"/>
      </w:pPr>
      <w:rPr>
        <w:rFonts w:ascii="Garamond" w:eastAsia="Times New Roman" w:hAnsi="Garamond" w:cs="Times New Roman" w:hint="default"/>
      </w:rPr>
    </w:lvl>
    <w:lvl w:ilvl="1" w:tplc="040E0019">
      <w:start w:val="1"/>
      <w:numFmt w:val="lowerLetter"/>
      <w:lvlText w:val="%2."/>
      <w:lvlJc w:val="left"/>
      <w:pPr>
        <w:ind w:left="2058" w:hanging="360"/>
      </w:pPr>
    </w:lvl>
    <w:lvl w:ilvl="2" w:tplc="040E001B">
      <w:start w:val="1"/>
      <w:numFmt w:val="lowerRoman"/>
      <w:lvlText w:val="%3."/>
      <w:lvlJc w:val="right"/>
      <w:pPr>
        <w:ind w:left="2778" w:hanging="180"/>
      </w:pPr>
    </w:lvl>
    <w:lvl w:ilvl="3" w:tplc="040E000F">
      <w:start w:val="1"/>
      <w:numFmt w:val="decimal"/>
      <w:lvlText w:val="%4."/>
      <w:lvlJc w:val="left"/>
      <w:pPr>
        <w:ind w:left="3498" w:hanging="360"/>
      </w:pPr>
    </w:lvl>
    <w:lvl w:ilvl="4" w:tplc="040E0019">
      <w:start w:val="1"/>
      <w:numFmt w:val="lowerLetter"/>
      <w:lvlText w:val="%5."/>
      <w:lvlJc w:val="left"/>
      <w:pPr>
        <w:ind w:left="4218" w:hanging="360"/>
      </w:pPr>
    </w:lvl>
    <w:lvl w:ilvl="5" w:tplc="040E001B">
      <w:start w:val="1"/>
      <w:numFmt w:val="lowerRoman"/>
      <w:lvlText w:val="%6."/>
      <w:lvlJc w:val="right"/>
      <w:pPr>
        <w:ind w:left="4938" w:hanging="180"/>
      </w:pPr>
    </w:lvl>
    <w:lvl w:ilvl="6" w:tplc="040E000F">
      <w:start w:val="1"/>
      <w:numFmt w:val="decimal"/>
      <w:lvlText w:val="%7."/>
      <w:lvlJc w:val="left"/>
      <w:pPr>
        <w:ind w:left="5658" w:hanging="360"/>
      </w:pPr>
    </w:lvl>
    <w:lvl w:ilvl="7" w:tplc="040E0019">
      <w:start w:val="1"/>
      <w:numFmt w:val="lowerLetter"/>
      <w:lvlText w:val="%8."/>
      <w:lvlJc w:val="left"/>
      <w:pPr>
        <w:ind w:left="6378" w:hanging="360"/>
      </w:pPr>
    </w:lvl>
    <w:lvl w:ilvl="8" w:tplc="040E001B">
      <w:start w:val="1"/>
      <w:numFmt w:val="lowerRoman"/>
      <w:lvlText w:val="%9."/>
      <w:lvlJc w:val="right"/>
      <w:pPr>
        <w:ind w:left="7098" w:hanging="180"/>
      </w:pPr>
    </w:lvl>
  </w:abstractNum>
  <w:abstractNum w:abstractNumId="24" w15:restartNumberingAfterBreak="0">
    <w:nsid w:val="5E1768D6"/>
    <w:multiLevelType w:val="hybridMultilevel"/>
    <w:tmpl w:val="5002D778"/>
    <w:lvl w:ilvl="0" w:tplc="23CED846">
      <w:numFmt w:val="bullet"/>
      <w:lvlText w:val="-"/>
      <w:lvlJc w:val="left"/>
      <w:pPr>
        <w:ind w:left="1713" w:hanging="360"/>
      </w:pPr>
      <w:rPr>
        <w:rFonts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25" w15:restartNumberingAfterBreak="0">
    <w:nsid w:val="5FBD20D4"/>
    <w:multiLevelType w:val="hybridMultilevel"/>
    <w:tmpl w:val="0AB6276E"/>
    <w:lvl w:ilvl="0" w:tplc="B91CE590">
      <w:start w:val="1"/>
      <w:numFmt w:val="decimal"/>
      <w:lvlText w:val="6.%1."/>
      <w:lvlJc w:val="left"/>
      <w:pPr>
        <w:ind w:left="786" w:hanging="360"/>
      </w:pPr>
      <w:rPr>
        <w:rFonts w:hint="default"/>
        <w:b w:val="0"/>
      </w:rPr>
    </w:lvl>
    <w:lvl w:ilvl="1" w:tplc="040E0019">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6" w15:restartNumberingAfterBreak="0">
    <w:nsid w:val="62082753"/>
    <w:multiLevelType w:val="hybridMultilevel"/>
    <w:tmpl w:val="9EA8F9F2"/>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8960EE8"/>
    <w:multiLevelType w:val="multilevel"/>
    <w:tmpl w:val="B0F2B758"/>
    <w:lvl w:ilvl="0">
      <w:start w:val="2"/>
      <w:numFmt w:val="decimal"/>
      <w:lvlText w:val="%1."/>
      <w:lvlJc w:val="left"/>
      <w:pPr>
        <w:ind w:left="360" w:hanging="360"/>
      </w:pPr>
      <w:rPr>
        <w:rFonts w:hint="default"/>
      </w:rPr>
    </w:lvl>
    <w:lvl w:ilvl="1">
      <w:start w:val="3"/>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0D01D61"/>
    <w:multiLevelType w:val="multilevel"/>
    <w:tmpl w:val="95DA4A0A"/>
    <w:lvl w:ilvl="0">
      <w:start w:val="6"/>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29" w15:restartNumberingAfterBreak="0">
    <w:nsid w:val="712A18A1"/>
    <w:multiLevelType w:val="hybridMultilevel"/>
    <w:tmpl w:val="15ACBCB4"/>
    <w:lvl w:ilvl="0" w:tplc="040E0017">
      <w:start w:val="1"/>
      <w:numFmt w:val="lowerLetter"/>
      <w:lvlText w:val="%1)"/>
      <w:lvlJc w:val="left"/>
      <w:pPr>
        <w:ind w:left="1146" w:hanging="360"/>
      </w:pPr>
    </w:lvl>
    <w:lvl w:ilvl="1" w:tplc="040E0019">
      <w:start w:val="1"/>
      <w:numFmt w:val="lowerLetter"/>
      <w:lvlText w:val="%2."/>
      <w:lvlJc w:val="left"/>
      <w:pPr>
        <w:ind w:left="1866" w:hanging="360"/>
      </w:pPr>
    </w:lvl>
    <w:lvl w:ilvl="2" w:tplc="040E001B">
      <w:start w:val="1"/>
      <w:numFmt w:val="lowerRoman"/>
      <w:lvlText w:val="%3."/>
      <w:lvlJc w:val="right"/>
      <w:pPr>
        <w:ind w:left="2586" w:hanging="180"/>
      </w:pPr>
    </w:lvl>
    <w:lvl w:ilvl="3" w:tplc="040E000F">
      <w:start w:val="1"/>
      <w:numFmt w:val="decimal"/>
      <w:lvlText w:val="%4."/>
      <w:lvlJc w:val="left"/>
      <w:pPr>
        <w:ind w:left="3306" w:hanging="360"/>
      </w:pPr>
    </w:lvl>
    <w:lvl w:ilvl="4" w:tplc="040E0019">
      <w:start w:val="1"/>
      <w:numFmt w:val="lowerLetter"/>
      <w:lvlText w:val="%5."/>
      <w:lvlJc w:val="left"/>
      <w:pPr>
        <w:ind w:left="4026" w:hanging="360"/>
      </w:pPr>
    </w:lvl>
    <w:lvl w:ilvl="5" w:tplc="040E001B">
      <w:start w:val="1"/>
      <w:numFmt w:val="lowerRoman"/>
      <w:lvlText w:val="%6."/>
      <w:lvlJc w:val="right"/>
      <w:pPr>
        <w:ind w:left="4746" w:hanging="180"/>
      </w:pPr>
    </w:lvl>
    <w:lvl w:ilvl="6" w:tplc="040E000F">
      <w:start w:val="1"/>
      <w:numFmt w:val="decimal"/>
      <w:lvlText w:val="%7."/>
      <w:lvlJc w:val="left"/>
      <w:pPr>
        <w:ind w:left="5466" w:hanging="360"/>
      </w:pPr>
    </w:lvl>
    <w:lvl w:ilvl="7" w:tplc="040E0019">
      <w:start w:val="1"/>
      <w:numFmt w:val="lowerLetter"/>
      <w:lvlText w:val="%8."/>
      <w:lvlJc w:val="left"/>
      <w:pPr>
        <w:ind w:left="6186" w:hanging="360"/>
      </w:pPr>
    </w:lvl>
    <w:lvl w:ilvl="8" w:tplc="040E001B">
      <w:start w:val="1"/>
      <w:numFmt w:val="lowerRoman"/>
      <w:lvlText w:val="%9."/>
      <w:lvlJc w:val="right"/>
      <w:pPr>
        <w:ind w:left="6906" w:hanging="180"/>
      </w:pPr>
    </w:lvl>
  </w:abstractNum>
  <w:abstractNum w:abstractNumId="30" w15:restartNumberingAfterBreak="0">
    <w:nsid w:val="725C7B24"/>
    <w:multiLevelType w:val="hybridMultilevel"/>
    <w:tmpl w:val="E7AE8232"/>
    <w:lvl w:ilvl="0" w:tplc="97BEC462">
      <w:start w:val="1"/>
      <w:numFmt w:val="decimal"/>
      <w:lvlText w:val="%1."/>
      <w:lvlJc w:val="left"/>
      <w:pPr>
        <w:tabs>
          <w:tab w:val="num" w:pos="720"/>
        </w:tabs>
        <w:ind w:left="720" w:hanging="360"/>
      </w:pPr>
    </w:lvl>
    <w:lvl w:ilvl="1" w:tplc="040E0019">
      <w:numFmt w:val="bullet"/>
      <w:lvlText w:val="-"/>
      <w:lvlJc w:val="left"/>
      <w:pPr>
        <w:tabs>
          <w:tab w:val="num" w:pos="1440"/>
        </w:tabs>
        <w:ind w:left="1440" w:hanging="360"/>
      </w:pPr>
      <w:rPr>
        <w:rFonts w:ascii="Garamond" w:eastAsia="Times New Roman" w:hAnsi="Garamond"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731244BB"/>
    <w:multiLevelType w:val="multilevel"/>
    <w:tmpl w:val="B158102E"/>
    <w:lvl w:ilvl="0">
      <w:start w:val="3"/>
      <w:numFmt w:val="decimal"/>
      <w:lvlText w:val="%1."/>
      <w:lvlJc w:val="left"/>
      <w:pPr>
        <w:ind w:left="360" w:hanging="360"/>
      </w:pPr>
      <w:rPr>
        <w:rFonts w:hint="default"/>
        <w:b/>
      </w:rPr>
    </w:lvl>
    <w:lvl w:ilvl="1">
      <w:start w:val="1"/>
      <w:numFmt w:val="decimal"/>
      <w:lvlText w:val="%1.%2."/>
      <w:lvlJc w:val="left"/>
      <w:pPr>
        <w:ind w:left="1446" w:hanging="720"/>
      </w:pPr>
      <w:rPr>
        <w:rFonts w:hint="default"/>
        <w:b w:val="0"/>
      </w:rPr>
    </w:lvl>
    <w:lvl w:ilvl="2">
      <w:start w:val="1"/>
      <w:numFmt w:val="decimal"/>
      <w:lvlText w:val="%1.%2.%3."/>
      <w:lvlJc w:val="left"/>
      <w:pPr>
        <w:ind w:left="2172" w:hanging="720"/>
      </w:pPr>
      <w:rPr>
        <w:rFonts w:hint="default"/>
        <w:b/>
      </w:rPr>
    </w:lvl>
    <w:lvl w:ilvl="3">
      <w:start w:val="1"/>
      <w:numFmt w:val="decimal"/>
      <w:lvlText w:val="%1.%2.%3.%4."/>
      <w:lvlJc w:val="left"/>
      <w:pPr>
        <w:ind w:left="3258" w:hanging="1080"/>
      </w:pPr>
      <w:rPr>
        <w:rFonts w:hint="default"/>
        <w:b/>
      </w:rPr>
    </w:lvl>
    <w:lvl w:ilvl="4">
      <w:start w:val="1"/>
      <w:numFmt w:val="decimal"/>
      <w:lvlText w:val="%1.%2.%3.%4.%5."/>
      <w:lvlJc w:val="left"/>
      <w:pPr>
        <w:ind w:left="3984" w:hanging="1080"/>
      </w:pPr>
      <w:rPr>
        <w:rFonts w:hint="default"/>
        <w:b/>
      </w:rPr>
    </w:lvl>
    <w:lvl w:ilvl="5">
      <w:start w:val="1"/>
      <w:numFmt w:val="decimal"/>
      <w:lvlText w:val="%1.%2.%3.%4.%5.%6."/>
      <w:lvlJc w:val="left"/>
      <w:pPr>
        <w:ind w:left="5070" w:hanging="1440"/>
      </w:pPr>
      <w:rPr>
        <w:rFonts w:hint="default"/>
        <w:b/>
      </w:rPr>
    </w:lvl>
    <w:lvl w:ilvl="6">
      <w:start w:val="1"/>
      <w:numFmt w:val="decimal"/>
      <w:lvlText w:val="%1.%2.%3.%4.%5.%6.%7."/>
      <w:lvlJc w:val="left"/>
      <w:pPr>
        <w:ind w:left="5796" w:hanging="1440"/>
      </w:pPr>
      <w:rPr>
        <w:rFonts w:hint="default"/>
        <w:b/>
      </w:rPr>
    </w:lvl>
    <w:lvl w:ilvl="7">
      <w:start w:val="1"/>
      <w:numFmt w:val="decimal"/>
      <w:lvlText w:val="%1.%2.%3.%4.%5.%6.%7.%8."/>
      <w:lvlJc w:val="left"/>
      <w:pPr>
        <w:ind w:left="6882" w:hanging="1800"/>
      </w:pPr>
      <w:rPr>
        <w:rFonts w:hint="default"/>
        <w:b/>
      </w:rPr>
    </w:lvl>
    <w:lvl w:ilvl="8">
      <w:start w:val="1"/>
      <w:numFmt w:val="decimal"/>
      <w:lvlText w:val="%1.%2.%3.%4.%5.%6.%7.%8.%9."/>
      <w:lvlJc w:val="left"/>
      <w:pPr>
        <w:ind w:left="7608" w:hanging="1800"/>
      </w:pPr>
      <w:rPr>
        <w:rFonts w:hint="default"/>
        <w:b/>
      </w:rPr>
    </w:lvl>
  </w:abstractNum>
  <w:abstractNum w:abstractNumId="32" w15:restartNumberingAfterBreak="0">
    <w:nsid w:val="741A5D78"/>
    <w:multiLevelType w:val="hybridMultilevel"/>
    <w:tmpl w:val="2B56FE94"/>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76F90386"/>
    <w:multiLevelType w:val="multilevel"/>
    <w:tmpl w:val="4A90C42A"/>
    <w:lvl w:ilvl="0">
      <w:start w:val="1"/>
      <w:numFmt w:val="upperRoman"/>
      <w:lvlText w:val="%1."/>
      <w:lvlJc w:val="left"/>
      <w:pPr>
        <w:tabs>
          <w:tab w:val="num" w:pos="720"/>
        </w:tabs>
        <w:ind w:left="340" w:hanging="34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771E0892"/>
    <w:multiLevelType w:val="hybridMultilevel"/>
    <w:tmpl w:val="D6622B24"/>
    <w:lvl w:ilvl="0" w:tplc="040E0017">
      <w:start w:val="1"/>
      <w:numFmt w:val="lowerLetter"/>
      <w:lvlText w:val="%1)"/>
      <w:lvlJc w:val="left"/>
      <w:pPr>
        <w:tabs>
          <w:tab w:val="num" w:pos="720"/>
        </w:tabs>
        <w:ind w:left="720" w:hanging="360"/>
      </w:pPr>
      <w:rPr>
        <w:rFonts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FD55DAE"/>
    <w:multiLevelType w:val="hybridMultilevel"/>
    <w:tmpl w:val="3088219A"/>
    <w:lvl w:ilvl="0" w:tplc="06567196">
      <w:numFmt w:val="bullet"/>
      <w:lvlText w:val="-"/>
      <w:lvlJc w:val="left"/>
      <w:pPr>
        <w:ind w:left="1713" w:hanging="360"/>
      </w:pPr>
      <w:rPr>
        <w:rFonts w:ascii="Garamond" w:eastAsia="Times New Roman" w:hAnsi="Garamond" w:cs="Times New Roman" w:hint="default"/>
      </w:rPr>
    </w:lvl>
    <w:lvl w:ilvl="1" w:tplc="040E0019" w:tentative="1">
      <w:start w:val="1"/>
      <w:numFmt w:val="bullet"/>
      <w:lvlText w:val="o"/>
      <w:lvlJc w:val="left"/>
      <w:pPr>
        <w:ind w:left="2433" w:hanging="360"/>
      </w:pPr>
      <w:rPr>
        <w:rFonts w:ascii="Courier New" w:hAnsi="Courier New" w:cs="Courier New" w:hint="default"/>
      </w:rPr>
    </w:lvl>
    <w:lvl w:ilvl="2" w:tplc="040E001B">
      <w:start w:val="1"/>
      <w:numFmt w:val="bullet"/>
      <w:lvlText w:val=""/>
      <w:lvlJc w:val="left"/>
      <w:pPr>
        <w:ind w:left="3153" w:hanging="360"/>
      </w:pPr>
      <w:rPr>
        <w:rFonts w:ascii="Wingdings" w:hAnsi="Wingdings" w:hint="default"/>
      </w:rPr>
    </w:lvl>
    <w:lvl w:ilvl="3" w:tplc="040E000F" w:tentative="1">
      <w:start w:val="1"/>
      <w:numFmt w:val="bullet"/>
      <w:lvlText w:val=""/>
      <w:lvlJc w:val="left"/>
      <w:pPr>
        <w:ind w:left="3873" w:hanging="360"/>
      </w:pPr>
      <w:rPr>
        <w:rFonts w:ascii="Symbol" w:hAnsi="Symbol" w:hint="default"/>
      </w:rPr>
    </w:lvl>
    <w:lvl w:ilvl="4" w:tplc="040E0019" w:tentative="1">
      <w:start w:val="1"/>
      <w:numFmt w:val="bullet"/>
      <w:lvlText w:val="o"/>
      <w:lvlJc w:val="left"/>
      <w:pPr>
        <w:ind w:left="4593" w:hanging="360"/>
      </w:pPr>
      <w:rPr>
        <w:rFonts w:ascii="Courier New" w:hAnsi="Courier New" w:cs="Courier New" w:hint="default"/>
      </w:rPr>
    </w:lvl>
    <w:lvl w:ilvl="5" w:tplc="040E001B" w:tentative="1">
      <w:start w:val="1"/>
      <w:numFmt w:val="bullet"/>
      <w:lvlText w:val=""/>
      <w:lvlJc w:val="left"/>
      <w:pPr>
        <w:ind w:left="5313" w:hanging="360"/>
      </w:pPr>
      <w:rPr>
        <w:rFonts w:ascii="Wingdings" w:hAnsi="Wingdings" w:hint="default"/>
      </w:rPr>
    </w:lvl>
    <w:lvl w:ilvl="6" w:tplc="040E000F" w:tentative="1">
      <w:start w:val="1"/>
      <w:numFmt w:val="bullet"/>
      <w:lvlText w:val=""/>
      <w:lvlJc w:val="left"/>
      <w:pPr>
        <w:ind w:left="6033" w:hanging="360"/>
      </w:pPr>
      <w:rPr>
        <w:rFonts w:ascii="Symbol" w:hAnsi="Symbol" w:hint="default"/>
      </w:rPr>
    </w:lvl>
    <w:lvl w:ilvl="7" w:tplc="040E0019" w:tentative="1">
      <w:start w:val="1"/>
      <w:numFmt w:val="bullet"/>
      <w:lvlText w:val="o"/>
      <w:lvlJc w:val="left"/>
      <w:pPr>
        <w:ind w:left="6753" w:hanging="360"/>
      </w:pPr>
      <w:rPr>
        <w:rFonts w:ascii="Courier New" w:hAnsi="Courier New" w:cs="Courier New" w:hint="default"/>
      </w:rPr>
    </w:lvl>
    <w:lvl w:ilvl="8" w:tplc="040E001B" w:tentative="1">
      <w:start w:val="1"/>
      <w:numFmt w:val="bullet"/>
      <w:lvlText w:val=""/>
      <w:lvlJc w:val="left"/>
      <w:pPr>
        <w:ind w:left="7473" w:hanging="360"/>
      </w:pPr>
      <w:rPr>
        <w:rFonts w:ascii="Wingdings" w:hAnsi="Wingdings" w:hint="default"/>
      </w:rPr>
    </w:lvl>
  </w:abstractNum>
  <w:num w:numId="1" w16cid:durableId="834221210">
    <w:abstractNumId w:val="0"/>
  </w:num>
  <w:num w:numId="2" w16cid:durableId="1929148280">
    <w:abstractNumId w:val="33"/>
  </w:num>
  <w:num w:numId="3" w16cid:durableId="1884243344">
    <w:abstractNumId w:val="22"/>
  </w:num>
  <w:num w:numId="4" w16cid:durableId="1350252611">
    <w:abstractNumId w:val="2"/>
  </w:num>
  <w:num w:numId="5" w16cid:durableId="1134257328">
    <w:abstractNumId w:val="21"/>
  </w:num>
  <w:num w:numId="6" w16cid:durableId="506679134">
    <w:abstractNumId w:val="15"/>
  </w:num>
  <w:num w:numId="7" w16cid:durableId="454566055">
    <w:abstractNumId w:val="9"/>
  </w:num>
  <w:num w:numId="8" w16cid:durableId="1263494928">
    <w:abstractNumId w:val="18"/>
  </w:num>
  <w:num w:numId="9" w16cid:durableId="1817608146">
    <w:abstractNumId w:val="27"/>
  </w:num>
  <w:num w:numId="10" w16cid:durableId="2118597180">
    <w:abstractNumId w:val="31"/>
  </w:num>
  <w:num w:numId="11" w16cid:durableId="2082173782">
    <w:abstractNumId w:val="12"/>
  </w:num>
  <w:num w:numId="12" w16cid:durableId="1106385527">
    <w:abstractNumId w:val="5"/>
  </w:num>
  <w:num w:numId="13" w16cid:durableId="1943562962">
    <w:abstractNumId w:val="11"/>
  </w:num>
  <w:num w:numId="14" w16cid:durableId="551112260">
    <w:abstractNumId w:val="35"/>
  </w:num>
  <w:num w:numId="15" w16cid:durableId="1789858317">
    <w:abstractNumId w:val="10"/>
  </w:num>
  <w:num w:numId="16" w16cid:durableId="613173814">
    <w:abstractNumId w:val="6"/>
  </w:num>
  <w:num w:numId="17" w16cid:durableId="121266852">
    <w:abstractNumId w:val="30"/>
  </w:num>
  <w:num w:numId="18" w16cid:durableId="659963543">
    <w:abstractNumId w:val="25"/>
  </w:num>
  <w:num w:numId="19" w16cid:durableId="1891257842">
    <w:abstractNumId w:val="26"/>
  </w:num>
  <w:num w:numId="20" w16cid:durableId="1928073256">
    <w:abstractNumId w:val="13"/>
  </w:num>
  <w:num w:numId="21" w16cid:durableId="2071490265">
    <w:abstractNumId w:val="32"/>
  </w:num>
  <w:num w:numId="22" w16cid:durableId="1566381177">
    <w:abstractNumId w:val="34"/>
  </w:num>
  <w:num w:numId="23" w16cid:durableId="97870382">
    <w:abstractNumId w:val="20"/>
  </w:num>
  <w:num w:numId="24" w16cid:durableId="576747960">
    <w:abstractNumId w:val="4"/>
  </w:num>
  <w:num w:numId="25" w16cid:durableId="1185291979">
    <w:abstractNumId w:val="19"/>
  </w:num>
  <w:num w:numId="26" w16cid:durableId="1217429165">
    <w:abstractNumId w:val="16"/>
  </w:num>
  <w:num w:numId="27" w16cid:durableId="1048988075">
    <w:abstractNumId w:val="3"/>
  </w:num>
  <w:num w:numId="28" w16cid:durableId="1834635819">
    <w:abstractNumId w:val="24"/>
  </w:num>
  <w:num w:numId="29" w16cid:durableId="5242536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57302456">
    <w:abstractNumId w:val="23"/>
  </w:num>
  <w:num w:numId="31" w16cid:durableId="464781604">
    <w:abstractNumId w:val="8"/>
  </w:num>
  <w:num w:numId="32" w16cid:durableId="1257859851">
    <w:abstractNumId w:val="28"/>
  </w:num>
  <w:num w:numId="33" w16cid:durableId="407003623">
    <w:abstractNumId w:val="17"/>
  </w:num>
  <w:num w:numId="34" w16cid:durableId="1841577122">
    <w:abstractNumId w:val="14"/>
  </w:num>
  <w:num w:numId="35" w16cid:durableId="1223255250">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3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9EE"/>
    <w:rsid w:val="000009E2"/>
    <w:rsid w:val="0000156E"/>
    <w:rsid w:val="000028C6"/>
    <w:rsid w:val="00002DA0"/>
    <w:rsid w:val="0000300F"/>
    <w:rsid w:val="00005A7F"/>
    <w:rsid w:val="00006955"/>
    <w:rsid w:val="00006C62"/>
    <w:rsid w:val="00006DC8"/>
    <w:rsid w:val="000070B3"/>
    <w:rsid w:val="000102ED"/>
    <w:rsid w:val="00010454"/>
    <w:rsid w:val="00010F8C"/>
    <w:rsid w:val="00011530"/>
    <w:rsid w:val="00011DF2"/>
    <w:rsid w:val="00012039"/>
    <w:rsid w:val="00012640"/>
    <w:rsid w:val="00012B68"/>
    <w:rsid w:val="00013908"/>
    <w:rsid w:val="00013AE1"/>
    <w:rsid w:val="0001614D"/>
    <w:rsid w:val="00016F27"/>
    <w:rsid w:val="000178E0"/>
    <w:rsid w:val="00017CAE"/>
    <w:rsid w:val="00017CC4"/>
    <w:rsid w:val="00021E22"/>
    <w:rsid w:val="00023A74"/>
    <w:rsid w:val="00025F72"/>
    <w:rsid w:val="00026709"/>
    <w:rsid w:val="00030221"/>
    <w:rsid w:val="00031A58"/>
    <w:rsid w:val="00032371"/>
    <w:rsid w:val="00033869"/>
    <w:rsid w:val="000341F8"/>
    <w:rsid w:val="000344DC"/>
    <w:rsid w:val="000376DE"/>
    <w:rsid w:val="000379DD"/>
    <w:rsid w:val="00037B30"/>
    <w:rsid w:val="00040AE8"/>
    <w:rsid w:val="00043E7E"/>
    <w:rsid w:val="00044403"/>
    <w:rsid w:val="0004441D"/>
    <w:rsid w:val="00044897"/>
    <w:rsid w:val="00044FB8"/>
    <w:rsid w:val="00045155"/>
    <w:rsid w:val="0004608F"/>
    <w:rsid w:val="000471C6"/>
    <w:rsid w:val="00047BED"/>
    <w:rsid w:val="00051A79"/>
    <w:rsid w:val="00052F82"/>
    <w:rsid w:val="000531B0"/>
    <w:rsid w:val="000534B4"/>
    <w:rsid w:val="00053FFE"/>
    <w:rsid w:val="0005537C"/>
    <w:rsid w:val="00055CBB"/>
    <w:rsid w:val="00056642"/>
    <w:rsid w:val="000603CE"/>
    <w:rsid w:val="00060A7D"/>
    <w:rsid w:val="00060C4D"/>
    <w:rsid w:val="000621CA"/>
    <w:rsid w:val="0006257D"/>
    <w:rsid w:val="00062738"/>
    <w:rsid w:val="000636C5"/>
    <w:rsid w:val="00066DEB"/>
    <w:rsid w:val="000675A1"/>
    <w:rsid w:val="00070DA1"/>
    <w:rsid w:val="00071117"/>
    <w:rsid w:val="00072604"/>
    <w:rsid w:val="00072C11"/>
    <w:rsid w:val="00072F85"/>
    <w:rsid w:val="000738ED"/>
    <w:rsid w:val="00074442"/>
    <w:rsid w:val="00074741"/>
    <w:rsid w:val="00074D8E"/>
    <w:rsid w:val="00075DF7"/>
    <w:rsid w:val="000768C5"/>
    <w:rsid w:val="00076DC7"/>
    <w:rsid w:val="00077E13"/>
    <w:rsid w:val="000804CE"/>
    <w:rsid w:val="000816FF"/>
    <w:rsid w:val="00081DF4"/>
    <w:rsid w:val="00083C9F"/>
    <w:rsid w:val="00084799"/>
    <w:rsid w:val="00087D8A"/>
    <w:rsid w:val="00091118"/>
    <w:rsid w:val="000928A7"/>
    <w:rsid w:val="0009298A"/>
    <w:rsid w:val="00093847"/>
    <w:rsid w:val="00094910"/>
    <w:rsid w:val="00096653"/>
    <w:rsid w:val="00096DF9"/>
    <w:rsid w:val="0009712F"/>
    <w:rsid w:val="00097982"/>
    <w:rsid w:val="000A0AB8"/>
    <w:rsid w:val="000A1296"/>
    <w:rsid w:val="000A152D"/>
    <w:rsid w:val="000A1C1D"/>
    <w:rsid w:val="000A1CD1"/>
    <w:rsid w:val="000A2897"/>
    <w:rsid w:val="000A3194"/>
    <w:rsid w:val="000A31BE"/>
    <w:rsid w:val="000A3943"/>
    <w:rsid w:val="000A39EA"/>
    <w:rsid w:val="000A40D7"/>
    <w:rsid w:val="000A5E57"/>
    <w:rsid w:val="000B0BED"/>
    <w:rsid w:val="000B1F30"/>
    <w:rsid w:val="000B48E5"/>
    <w:rsid w:val="000B5C45"/>
    <w:rsid w:val="000B6EAC"/>
    <w:rsid w:val="000C00D8"/>
    <w:rsid w:val="000C09F2"/>
    <w:rsid w:val="000C1884"/>
    <w:rsid w:val="000C1BE9"/>
    <w:rsid w:val="000C245D"/>
    <w:rsid w:val="000C2FD7"/>
    <w:rsid w:val="000C439A"/>
    <w:rsid w:val="000C4BD2"/>
    <w:rsid w:val="000C57FA"/>
    <w:rsid w:val="000C625B"/>
    <w:rsid w:val="000C7FA9"/>
    <w:rsid w:val="000D087B"/>
    <w:rsid w:val="000D18B7"/>
    <w:rsid w:val="000D249C"/>
    <w:rsid w:val="000D2B4C"/>
    <w:rsid w:val="000D4C59"/>
    <w:rsid w:val="000D5D12"/>
    <w:rsid w:val="000D5E83"/>
    <w:rsid w:val="000D6568"/>
    <w:rsid w:val="000D6817"/>
    <w:rsid w:val="000D76F3"/>
    <w:rsid w:val="000D7896"/>
    <w:rsid w:val="000E1A34"/>
    <w:rsid w:val="000E587A"/>
    <w:rsid w:val="000E78E2"/>
    <w:rsid w:val="000E7B86"/>
    <w:rsid w:val="000E7BD7"/>
    <w:rsid w:val="000E7F6E"/>
    <w:rsid w:val="000F00B0"/>
    <w:rsid w:val="000F04AE"/>
    <w:rsid w:val="000F0D96"/>
    <w:rsid w:val="000F2468"/>
    <w:rsid w:val="000F280F"/>
    <w:rsid w:val="000F2B24"/>
    <w:rsid w:val="000F2FB6"/>
    <w:rsid w:val="000F479C"/>
    <w:rsid w:val="000F5B37"/>
    <w:rsid w:val="000F68F4"/>
    <w:rsid w:val="000F7232"/>
    <w:rsid w:val="000F7B6C"/>
    <w:rsid w:val="00100E9F"/>
    <w:rsid w:val="00102643"/>
    <w:rsid w:val="00102ECD"/>
    <w:rsid w:val="00104336"/>
    <w:rsid w:val="00104517"/>
    <w:rsid w:val="0010557B"/>
    <w:rsid w:val="00106C96"/>
    <w:rsid w:val="001113AD"/>
    <w:rsid w:val="00114DE9"/>
    <w:rsid w:val="001152E9"/>
    <w:rsid w:val="00116AD3"/>
    <w:rsid w:val="00116F39"/>
    <w:rsid w:val="00117C9A"/>
    <w:rsid w:val="0012009F"/>
    <w:rsid w:val="00120158"/>
    <w:rsid w:val="00120377"/>
    <w:rsid w:val="0012174F"/>
    <w:rsid w:val="001249AB"/>
    <w:rsid w:val="00126350"/>
    <w:rsid w:val="001300B5"/>
    <w:rsid w:val="0013098A"/>
    <w:rsid w:val="00130CCC"/>
    <w:rsid w:val="00131749"/>
    <w:rsid w:val="0013209E"/>
    <w:rsid w:val="001320D6"/>
    <w:rsid w:val="00132B82"/>
    <w:rsid w:val="0013492E"/>
    <w:rsid w:val="00135067"/>
    <w:rsid w:val="00136EE5"/>
    <w:rsid w:val="00142245"/>
    <w:rsid w:val="00143C57"/>
    <w:rsid w:val="00143F82"/>
    <w:rsid w:val="001449B3"/>
    <w:rsid w:val="00145B14"/>
    <w:rsid w:val="00145C5E"/>
    <w:rsid w:val="00145D3D"/>
    <w:rsid w:val="001474C6"/>
    <w:rsid w:val="00147984"/>
    <w:rsid w:val="00147B15"/>
    <w:rsid w:val="00147DFE"/>
    <w:rsid w:val="00150F95"/>
    <w:rsid w:val="001516FB"/>
    <w:rsid w:val="0015479B"/>
    <w:rsid w:val="00155878"/>
    <w:rsid w:val="00155E7D"/>
    <w:rsid w:val="00156B02"/>
    <w:rsid w:val="00157694"/>
    <w:rsid w:val="00161A6D"/>
    <w:rsid w:val="001620D0"/>
    <w:rsid w:val="00162848"/>
    <w:rsid w:val="001639E8"/>
    <w:rsid w:val="0016468E"/>
    <w:rsid w:val="00165573"/>
    <w:rsid w:val="001658BF"/>
    <w:rsid w:val="001660A7"/>
    <w:rsid w:val="00166B64"/>
    <w:rsid w:val="001676FF"/>
    <w:rsid w:val="001700F3"/>
    <w:rsid w:val="00170B6C"/>
    <w:rsid w:val="001716A7"/>
    <w:rsid w:val="00171FE2"/>
    <w:rsid w:val="00172409"/>
    <w:rsid w:val="00172C13"/>
    <w:rsid w:val="00174631"/>
    <w:rsid w:val="0018197A"/>
    <w:rsid w:val="00184AC6"/>
    <w:rsid w:val="00184DA0"/>
    <w:rsid w:val="00184E6E"/>
    <w:rsid w:val="00186EDA"/>
    <w:rsid w:val="001902D9"/>
    <w:rsid w:val="001923B6"/>
    <w:rsid w:val="00195D30"/>
    <w:rsid w:val="001974A3"/>
    <w:rsid w:val="0019770C"/>
    <w:rsid w:val="00197D1C"/>
    <w:rsid w:val="00197EA0"/>
    <w:rsid w:val="001A03B4"/>
    <w:rsid w:val="001A0A62"/>
    <w:rsid w:val="001A121D"/>
    <w:rsid w:val="001A1526"/>
    <w:rsid w:val="001A288F"/>
    <w:rsid w:val="001A46EE"/>
    <w:rsid w:val="001A4B4E"/>
    <w:rsid w:val="001A4BEC"/>
    <w:rsid w:val="001A5A3F"/>
    <w:rsid w:val="001A5BA7"/>
    <w:rsid w:val="001A6851"/>
    <w:rsid w:val="001A775F"/>
    <w:rsid w:val="001B0E31"/>
    <w:rsid w:val="001B1061"/>
    <w:rsid w:val="001B1208"/>
    <w:rsid w:val="001B1C2D"/>
    <w:rsid w:val="001B1C38"/>
    <w:rsid w:val="001B1D35"/>
    <w:rsid w:val="001B4B4B"/>
    <w:rsid w:val="001B4E14"/>
    <w:rsid w:val="001B6B02"/>
    <w:rsid w:val="001B71D1"/>
    <w:rsid w:val="001B76C1"/>
    <w:rsid w:val="001B7F62"/>
    <w:rsid w:val="001C16B4"/>
    <w:rsid w:val="001C2884"/>
    <w:rsid w:val="001C3C8A"/>
    <w:rsid w:val="001C51B2"/>
    <w:rsid w:val="001C65E9"/>
    <w:rsid w:val="001C714D"/>
    <w:rsid w:val="001D0AB4"/>
    <w:rsid w:val="001D161F"/>
    <w:rsid w:val="001D455A"/>
    <w:rsid w:val="001D6684"/>
    <w:rsid w:val="001D6E0A"/>
    <w:rsid w:val="001E0D8C"/>
    <w:rsid w:val="001E1A71"/>
    <w:rsid w:val="001E2697"/>
    <w:rsid w:val="001E29ED"/>
    <w:rsid w:val="001E3DD3"/>
    <w:rsid w:val="001E3F0A"/>
    <w:rsid w:val="001E4159"/>
    <w:rsid w:val="001E705B"/>
    <w:rsid w:val="001E7A9E"/>
    <w:rsid w:val="001F0449"/>
    <w:rsid w:val="001F211E"/>
    <w:rsid w:val="001F3EA0"/>
    <w:rsid w:val="001F5781"/>
    <w:rsid w:val="001F68BE"/>
    <w:rsid w:val="00200410"/>
    <w:rsid w:val="00200503"/>
    <w:rsid w:val="0020184B"/>
    <w:rsid w:val="00202FAE"/>
    <w:rsid w:val="00204CCC"/>
    <w:rsid w:val="002105C0"/>
    <w:rsid w:val="00210F6B"/>
    <w:rsid w:val="002111E4"/>
    <w:rsid w:val="002135A1"/>
    <w:rsid w:val="00215430"/>
    <w:rsid w:val="002167EE"/>
    <w:rsid w:val="00216DAF"/>
    <w:rsid w:val="00217062"/>
    <w:rsid w:val="0022050D"/>
    <w:rsid w:val="00221351"/>
    <w:rsid w:val="002232BD"/>
    <w:rsid w:val="002252F7"/>
    <w:rsid w:val="002269A6"/>
    <w:rsid w:val="00226A93"/>
    <w:rsid w:val="0022723B"/>
    <w:rsid w:val="00230A39"/>
    <w:rsid w:val="00232F1D"/>
    <w:rsid w:val="0023311A"/>
    <w:rsid w:val="00233781"/>
    <w:rsid w:val="002350C0"/>
    <w:rsid w:val="00235DC9"/>
    <w:rsid w:val="00236270"/>
    <w:rsid w:val="00237034"/>
    <w:rsid w:val="00243983"/>
    <w:rsid w:val="00243EBD"/>
    <w:rsid w:val="00244E66"/>
    <w:rsid w:val="00246BBE"/>
    <w:rsid w:val="00247C45"/>
    <w:rsid w:val="0025046A"/>
    <w:rsid w:val="002520E9"/>
    <w:rsid w:val="00252A00"/>
    <w:rsid w:val="00252C69"/>
    <w:rsid w:val="00252D00"/>
    <w:rsid w:val="0025328B"/>
    <w:rsid w:val="002548DB"/>
    <w:rsid w:val="00254F9B"/>
    <w:rsid w:val="002552A6"/>
    <w:rsid w:val="00260244"/>
    <w:rsid w:val="00261A50"/>
    <w:rsid w:val="00261AA8"/>
    <w:rsid w:val="00261EAB"/>
    <w:rsid w:val="00262082"/>
    <w:rsid w:val="002631D5"/>
    <w:rsid w:val="00264BFB"/>
    <w:rsid w:val="00266CD8"/>
    <w:rsid w:val="00266F6E"/>
    <w:rsid w:val="0026794F"/>
    <w:rsid w:val="00271BB9"/>
    <w:rsid w:val="002724FD"/>
    <w:rsid w:val="00273700"/>
    <w:rsid w:val="00273C97"/>
    <w:rsid w:val="00274F0F"/>
    <w:rsid w:val="0027632C"/>
    <w:rsid w:val="0027671B"/>
    <w:rsid w:val="0027690A"/>
    <w:rsid w:val="002769CB"/>
    <w:rsid w:val="00281242"/>
    <w:rsid w:val="00281355"/>
    <w:rsid w:val="00281FF4"/>
    <w:rsid w:val="002838AB"/>
    <w:rsid w:val="00284578"/>
    <w:rsid w:val="00286E3B"/>
    <w:rsid w:val="00287217"/>
    <w:rsid w:val="002921E5"/>
    <w:rsid w:val="00293CBC"/>
    <w:rsid w:val="00293FC2"/>
    <w:rsid w:val="00294F11"/>
    <w:rsid w:val="002950DC"/>
    <w:rsid w:val="00296D9D"/>
    <w:rsid w:val="002A0A71"/>
    <w:rsid w:val="002A1FA0"/>
    <w:rsid w:val="002A37D7"/>
    <w:rsid w:val="002A411C"/>
    <w:rsid w:val="002A6303"/>
    <w:rsid w:val="002A66AC"/>
    <w:rsid w:val="002B0D6B"/>
    <w:rsid w:val="002B2208"/>
    <w:rsid w:val="002B27B9"/>
    <w:rsid w:val="002B34B7"/>
    <w:rsid w:val="002B416E"/>
    <w:rsid w:val="002B5DDC"/>
    <w:rsid w:val="002B604D"/>
    <w:rsid w:val="002B730A"/>
    <w:rsid w:val="002B7BF7"/>
    <w:rsid w:val="002B7CBC"/>
    <w:rsid w:val="002C0A59"/>
    <w:rsid w:val="002C4E08"/>
    <w:rsid w:val="002C6484"/>
    <w:rsid w:val="002C6767"/>
    <w:rsid w:val="002D0C26"/>
    <w:rsid w:val="002D12A8"/>
    <w:rsid w:val="002D1D12"/>
    <w:rsid w:val="002D5435"/>
    <w:rsid w:val="002D6315"/>
    <w:rsid w:val="002E034B"/>
    <w:rsid w:val="002E2F92"/>
    <w:rsid w:val="002E3CE2"/>
    <w:rsid w:val="002E78AA"/>
    <w:rsid w:val="002F0485"/>
    <w:rsid w:val="002F1FDE"/>
    <w:rsid w:val="002F2A0A"/>
    <w:rsid w:val="002F4071"/>
    <w:rsid w:val="002F4674"/>
    <w:rsid w:val="002F4F8D"/>
    <w:rsid w:val="002F6029"/>
    <w:rsid w:val="002F6078"/>
    <w:rsid w:val="002F748A"/>
    <w:rsid w:val="0030152B"/>
    <w:rsid w:val="00302E77"/>
    <w:rsid w:val="003053F5"/>
    <w:rsid w:val="00306AA9"/>
    <w:rsid w:val="00313274"/>
    <w:rsid w:val="00313467"/>
    <w:rsid w:val="00315611"/>
    <w:rsid w:val="003210F4"/>
    <w:rsid w:val="00321CCD"/>
    <w:rsid w:val="00326602"/>
    <w:rsid w:val="00327E99"/>
    <w:rsid w:val="003326FC"/>
    <w:rsid w:val="0033399A"/>
    <w:rsid w:val="00334BCB"/>
    <w:rsid w:val="00335054"/>
    <w:rsid w:val="00336795"/>
    <w:rsid w:val="00337860"/>
    <w:rsid w:val="0034017D"/>
    <w:rsid w:val="0034120E"/>
    <w:rsid w:val="0034163D"/>
    <w:rsid w:val="00341E74"/>
    <w:rsid w:val="00343B09"/>
    <w:rsid w:val="00343C50"/>
    <w:rsid w:val="00343DF9"/>
    <w:rsid w:val="00345E68"/>
    <w:rsid w:val="003461E2"/>
    <w:rsid w:val="00346D7E"/>
    <w:rsid w:val="00347BBD"/>
    <w:rsid w:val="00347C91"/>
    <w:rsid w:val="0035025F"/>
    <w:rsid w:val="00351216"/>
    <w:rsid w:val="00352B4D"/>
    <w:rsid w:val="00355ECC"/>
    <w:rsid w:val="003564FD"/>
    <w:rsid w:val="00356A57"/>
    <w:rsid w:val="00356ACE"/>
    <w:rsid w:val="00357C02"/>
    <w:rsid w:val="003606F4"/>
    <w:rsid w:val="0036233C"/>
    <w:rsid w:val="00364924"/>
    <w:rsid w:val="00364A09"/>
    <w:rsid w:val="003660FE"/>
    <w:rsid w:val="003662ED"/>
    <w:rsid w:val="00366AA7"/>
    <w:rsid w:val="00366BDA"/>
    <w:rsid w:val="00367867"/>
    <w:rsid w:val="00370AD0"/>
    <w:rsid w:val="00370F26"/>
    <w:rsid w:val="00372347"/>
    <w:rsid w:val="0037342D"/>
    <w:rsid w:val="00375E75"/>
    <w:rsid w:val="00376CB1"/>
    <w:rsid w:val="00377805"/>
    <w:rsid w:val="003802F8"/>
    <w:rsid w:val="00380532"/>
    <w:rsid w:val="0038138B"/>
    <w:rsid w:val="00382385"/>
    <w:rsid w:val="00385B09"/>
    <w:rsid w:val="00386316"/>
    <w:rsid w:val="00386DC0"/>
    <w:rsid w:val="00387017"/>
    <w:rsid w:val="0038703B"/>
    <w:rsid w:val="00390C70"/>
    <w:rsid w:val="003910AE"/>
    <w:rsid w:val="00392174"/>
    <w:rsid w:val="00392575"/>
    <w:rsid w:val="003927B3"/>
    <w:rsid w:val="003931C2"/>
    <w:rsid w:val="0039334A"/>
    <w:rsid w:val="00393D7B"/>
    <w:rsid w:val="00395193"/>
    <w:rsid w:val="0039539C"/>
    <w:rsid w:val="0039570C"/>
    <w:rsid w:val="00397A5E"/>
    <w:rsid w:val="003A21CE"/>
    <w:rsid w:val="003A3199"/>
    <w:rsid w:val="003A32DA"/>
    <w:rsid w:val="003A3D8C"/>
    <w:rsid w:val="003A53E0"/>
    <w:rsid w:val="003A5584"/>
    <w:rsid w:val="003A79D0"/>
    <w:rsid w:val="003B1714"/>
    <w:rsid w:val="003B3C0E"/>
    <w:rsid w:val="003B4C58"/>
    <w:rsid w:val="003C0B5E"/>
    <w:rsid w:val="003C2751"/>
    <w:rsid w:val="003C36A7"/>
    <w:rsid w:val="003C3F54"/>
    <w:rsid w:val="003C504C"/>
    <w:rsid w:val="003C52F4"/>
    <w:rsid w:val="003C75B3"/>
    <w:rsid w:val="003D2A8C"/>
    <w:rsid w:val="003D2BE1"/>
    <w:rsid w:val="003D2CB0"/>
    <w:rsid w:val="003D2CD4"/>
    <w:rsid w:val="003D4BE6"/>
    <w:rsid w:val="003D63D6"/>
    <w:rsid w:val="003D6834"/>
    <w:rsid w:val="003E0544"/>
    <w:rsid w:val="003E14B8"/>
    <w:rsid w:val="003E3C4F"/>
    <w:rsid w:val="003E4B68"/>
    <w:rsid w:val="003F3F23"/>
    <w:rsid w:val="003F5017"/>
    <w:rsid w:val="003F505B"/>
    <w:rsid w:val="00401241"/>
    <w:rsid w:val="004012FB"/>
    <w:rsid w:val="004019EC"/>
    <w:rsid w:val="0040249E"/>
    <w:rsid w:val="00402B4E"/>
    <w:rsid w:val="00404EB8"/>
    <w:rsid w:val="0040578C"/>
    <w:rsid w:val="00406AFE"/>
    <w:rsid w:val="004109A3"/>
    <w:rsid w:val="00410D20"/>
    <w:rsid w:val="00410FF0"/>
    <w:rsid w:val="00411E7F"/>
    <w:rsid w:val="00412A87"/>
    <w:rsid w:val="00413840"/>
    <w:rsid w:val="00413AAB"/>
    <w:rsid w:val="004157A9"/>
    <w:rsid w:val="00415963"/>
    <w:rsid w:val="00416795"/>
    <w:rsid w:val="00416B21"/>
    <w:rsid w:val="00420212"/>
    <w:rsid w:val="00423451"/>
    <w:rsid w:val="00426034"/>
    <w:rsid w:val="00430DFD"/>
    <w:rsid w:val="0043156C"/>
    <w:rsid w:val="004321A8"/>
    <w:rsid w:val="00432370"/>
    <w:rsid w:val="00433B75"/>
    <w:rsid w:val="00437793"/>
    <w:rsid w:val="004400EE"/>
    <w:rsid w:val="004439B4"/>
    <w:rsid w:val="00447033"/>
    <w:rsid w:val="004477B3"/>
    <w:rsid w:val="00450053"/>
    <w:rsid w:val="00451CAC"/>
    <w:rsid w:val="004520CB"/>
    <w:rsid w:val="00454EEE"/>
    <w:rsid w:val="004554C6"/>
    <w:rsid w:val="00460593"/>
    <w:rsid w:val="004619CE"/>
    <w:rsid w:val="00462F34"/>
    <w:rsid w:val="004652F1"/>
    <w:rsid w:val="00465CE7"/>
    <w:rsid w:val="00465E24"/>
    <w:rsid w:val="004669B4"/>
    <w:rsid w:val="00467D1F"/>
    <w:rsid w:val="00470C82"/>
    <w:rsid w:val="00470CF3"/>
    <w:rsid w:val="0047187C"/>
    <w:rsid w:val="00472A44"/>
    <w:rsid w:val="00472E0D"/>
    <w:rsid w:val="00474AB4"/>
    <w:rsid w:val="00475090"/>
    <w:rsid w:val="00475614"/>
    <w:rsid w:val="004775A5"/>
    <w:rsid w:val="00477A47"/>
    <w:rsid w:val="00480682"/>
    <w:rsid w:val="00482750"/>
    <w:rsid w:val="00482CDE"/>
    <w:rsid w:val="004871F4"/>
    <w:rsid w:val="00490436"/>
    <w:rsid w:val="004915CC"/>
    <w:rsid w:val="004915D3"/>
    <w:rsid w:val="00491888"/>
    <w:rsid w:val="004926D3"/>
    <w:rsid w:val="0049519F"/>
    <w:rsid w:val="00495C7D"/>
    <w:rsid w:val="00496DAB"/>
    <w:rsid w:val="004A0BC4"/>
    <w:rsid w:val="004A2251"/>
    <w:rsid w:val="004A237F"/>
    <w:rsid w:val="004A40AB"/>
    <w:rsid w:val="004A6107"/>
    <w:rsid w:val="004A61D0"/>
    <w:rsid w:val="004A663F"/>
    <w:rsid w:val="004A7473"/>
    <w:rsid w:val="004B0DBB"/>
    <w:rsid w:val="004B167A"/>
    <w:rsid w:val="004B17C9"/>
    <w:rsid w:val="004B1A12"/>
    <w:rsid w:val="004B2574"/>
    <w:rsid w:val="004B3524"/>
    <w:rsid w:val="004B4AFD"/>
    <w:rsid w:val="004B4B99"/>
    <w:rsid w:val="004B597B"/>
    <w:rsid w:val="004B7885"/>
    <w:rsid w:val="004C4E70"/>
    <w:rsid w:val="004C5693"/>
    <w:rsid w:val="004C78E7"/>
    <w:rsid w:val="004D0857"/>
    <w:rsid w:val="004D1C8F"/>
    <w:rsid w:val="004D279B"/>
    <w:rsid w:val="004D374A"/>
    <w:rsid w:val="004D3DE7"/>
    <w:rsid w:val="004D5CB2"/>
    <w:rsid w:val="004D5DDD"/>
    <w:rsid w:val="004D6101"/>
    <w:rsid w:val="004D647C"/>
    <w:rsid w:val="004D6649"/>
    <w:rsid w:val="004D7023"/>
    <w:rsid w:val="004E0816"/>
    <w:rsid w:val="004E2A92"/>
    <w:rsid w:val="004E3130"/>
    <w:rsid w:val="004E473C"/>
    <w:rsid w:val="004E588A"/>
    <w:rsid w:val="004E5B70"/>
    <w:rsid w:val="004E70CC"/>
    <w:rsid w:val="004E718A"/>
    <w:rsid w:val="004E71B0"/>
    <w:rsid w:val="004F3EB0"/>
    <w:rsid w:val="004F492C"/>
    <w:rsid w:val="004F4F99"/>
    <w:rsid w:val="004F531C"/>
    <w:rsid w:val="004F671E"/>
    <w:rsid w:val="004F6A13"/>
    <w:rsid w:val="004F7940"/>
    <w:rsid w:val="00501524"/>
    <w:rsid w:val="00501ADB"/>
    <w:rsid w:val="005021B4"/>
    <w:rsid w:val="0050256F"/>
    <w:rsid w:val="005068C7"/>
    <w:rsid w:val="005071F1"/>
    <w:rsid w:val="00507389"/>
    <w:rsid w:val="005101A6"/>
    <w:rsid w:val="0051050C"/>
    <w:rsid w:val="005169AE"/>
    <w:rsid w:val="00520564"/>
    <w:rsid w:val="00521046"/>
    <w:rsid w:val="0052139B"/>
    <w:rsid w:val="005248FF"/>
    <w:rsid w:val="0052679E"/>
    <w:rsid w:val="00526979"/>
    <w:rsid w:val="00526B96"/>
    <w:rsid w:val="00526C64"/>
    <w:rsid w:val="00527471"/>
    <w:rsid w:val="00530D29"/>
    <w:rsid w:val="00533400"/>
    <w:rsid w:val="0053404A"/>
    <w:rsid w:val="005346D1"/>
    <w:rsid w:val="0053526B"/>
    <w:rsid w:val="005356B5"/>
    <w:rsid w:val="0053652B"/>
    <w:rsid w:val="00536AF8"/>
    <w:rsid w:val="005371DC"/>
    <w:rsid w:val="00537BC8"/>
    <w:rsid w:val="00537DA7"/>
    <w:rsid w:val="0054000B"/>
    <w:rsid w:val="005437FF"/>
    <w:rsid w:val="00545108"/>
    <w:rsid w:val="00545848"/>
    <w:rsid w:val="005549F9"/>
    <w:rsid w:val="0055584E"/>
    <w:rsid w:val="0055602D"/>
    <w:rsid w:val="005565D4"/>
    <w:rsid w:val="005601B5"/>
    <w:rsid w:val="00561326"/>
    <w:rsid w:val="00563611"/>
    <w:rsid w:val="00563E40"/>
    <w:rsid w:val="00564A26"/>
    <w:rsid w:val="00565025"/>
    <w:rsid w:val="005653E2"/>
    <w:rsid w:val="00566508"/>
    <w:rsid w:val="00571B9F"/>
    <w:rsid w:val="00571CC8"/>
    <w:rsid w:val="00573132"/>
    <w:rsid w:val="005734BF"/>
    <w:rsid w:val="00575E56"/>
    <w:rsid w:val="0058254F"/>
    <w:rsid w:val="00583490"/>
    <w:rsid w:val="00584A2A"/>
    <w:rsid w:val="00584DE2"/>
    <w:rsid w:val="00585DD8"/>
    <w:rsid w:val="00587F11"/>
    <w:rsid w:val="00590BAD"/>
    <w:rsid w:val="00591414"/>
    <w:rsid w:val="00591A72"/>
    <w:rsid w:val="00592F9E"/>
    <w:rsid w:val="00593CFE"/>
    <w:rsid w:val="00594306"/>
    <w:rsid w:val="00595E39"/>
    <w:rsid w:val="00596861"/>
    <w:rsid w:val="005972D0"/>
    <w:rsid w:val="005A0239"/>
    <w:rsid w:val="005A16DF"/>
    <w:rsid w:val="005A2DA9"/>
    <w:rsid w:val="005A30AA"/>
    <w:rsid w:val="005A33F4"/>
    <w:rsid w:val="005A3727"/>
    <w:rsid w:val="005A3AF4"/>
    <w:rsid w:val="005A4E60"/>
    <w:rsid w:val="005A5B2F"/>
    <w:rsid w:val="005A7849"/>
    <w:rsid w:val="005A7DB7"/>
    <w:rsid w:val="005B1818"/>
    <w:rsid w:val="005B3976"/>
    <w:rsid w:val="005B4641"/>
    <w:rsid w:val="005B5CCE"/>
    <w:rsid w:val="005B600B"/>
    <w:rsid w:val="005C06D0"/>
    <w:rsid w:val="005C15CB"/>
    <w:rsid w:val="005C3628"/>
    <w:rsid w:val="005C36DD"/>
    <w:rsid w:val="005C424A"/>
    <w:rsid w:val="005C59EE"/>
    <w:rsid w:val="005C5A8F"/>
    <w:rsid w:val="005D345E"/>
    <w:rsid w:val="005D483C"/>
    <w:rsid w:val="005D7D01"/>
    <w:rsid w:val="005E0038"/>
    <w:rsid w:val="005E4167"/>
    <w:rsid w:val="005E572A"/>
    <w:rsid w:val="005E6972"/>
    <w:rsid w:val="005E6AC2"/>
    <w:rsid w:val="005F147D"/>
    <w:rsid w:val="005F3002"/>
    <w:rsid w:val="005F47D8"/>
    <w:rsid w:val="005F5106"/>
    <w:rsid w:val="005F6B41"/>
    <w:rsid w:val="005F6D45"/>
    <w:rsid w:val="006002E7"/>
    <w:rsid w:val="00600A67"/>
    <w:rsid w:val="0060144C"/>
    <w:rsid w:val="006037CA"/>
    <w:rsid w:val="0060459E"/>
    <w:rsid w:val="00604B7B"/>
    <w:rsid w:val="00604CDB"/>
    <w:rsid w:val="00606A5E"/>
    <w:rsid w:val="00607025"/>
    <w:rsid w:val="00607D4E"/>
    <w:rsid w:val="00612F79"/>
    <w:rsid w:val="00615D40"/>
    <w:rsid w:val="00620158"/>
    <w:rsid w:val="00620EF7"/>
    <w:rsid w:val="00621F92"/>
    <w:rsid w:val="006228DD"/>
    <w:rsid w:val="0062298A"/>
    <w:rsid w:val="00623D62"/>
    <w:rsid w:val="00624974"/>
    <w:rsid w:val="00632966"/>
    <w:rsid w:val="006333BA"/>
    <w:rsid w:val="006338FD"/>
    <w:rsid w:val="00634434"/>
    <w:rsid w:val="0064271D"/>
    <w:rsid w:val="00643428"/>
    <w:rsid w:val="00643880"/>
    <w:rsid w:val="00644E49"/>
    <w:rsid w:val="00651D3F"/>
    <w:rsid w:val="00653C87"/>
    <w:rsid w:val="00653E59"/>
    <w:rsid w:val="00656D29"/>
    <w:rsid w:val="00657350"/>
    <w:rsid w:val="0066051F"/>
    <w:rsid w:val="00660EDC"/>
    <w:rsid w:val="00661F75"/>
    <w:rsid w:val="0066215E"/>
    <w:rsid w:val="006630A1"/>
    <w:rsid w:val="006643DA"/>
    <w:rsid w:val="00666153"/>
    <w:rsid w:val="00667E2E"/>
    <w:rsid w:val="00670C9B"/>
    <w:rsid w:val="00671DD3"/>
    <w:rsid w:val="00672175"/>
    <w:rsid w:val="006722A9"/>
    <w:rsid w:val="0067378C"/>
    <w:rsid w:val="00675C97"/>
    <w:rsid w:val="006805CF"/>
    <w:rsid w:val="00680ED0"/>
    <w:rsid w:val="00681383"/>
    <w:rsid w:val="00681B46"/>
    <w:rsid w:val="006820BE"/>
    <w:rsid w:val="006822E5"/>
    <w:rsid w:val="006826B4"/>
    <w:rsid w:val="006827CA"/>
    <w:rsid w:val="00683AD5"/>
    <w:rsid w:val="00684A72"/>
    <w:rsid w:val="0068597E"/>
    <w:rsid w:val="00686D1D"/>
    <w:rsid w:val="00686DAB"/>
    <w:rsid w:val="00687B19"/>
    <w:rsid w:val="00690F5F"/>
    <w:rsid w:val="00691D2F"/>
    <w:rsid w:val="00692DAC"/>
    <w:rsid w:val="00696F51"/>
    <w:rsid w:val="006A0724"/>
    <w:rsid w:val="006A0CF6"/>
    <w:rsid w:val="006A1BFF"/>
    <w:rsid w:val="006A3700"/>
    <w:rsid w:val="006A4704"/>
    <w:rsid w:val="006B0460"/>
    <w:rsid w:val="006B0579"/>
    <w:rsid w:val="006B0C8A"/>
    <w:rsid w:val="006B5B97"/>
    <w:rsid w:val="006B61AC"/>
    <w:rsid w:val="006B78AE"/>
    <w:rsid w:val="006C08BA"/>
    <w:rsid w:val="006C3729"/>
    <w:rsid w:val="006C4A4B"/>
    <w:rsid w:val="006C77B8"/>
    <w:rsid w:val="006D00C6"/>
    <w:rsid w:val="006D0359"/>
    <w:rsid w:val="006D03B4"/>
    <w:rsid w:val="006D18D5"/>
    <w:rsid w:val="006D1A08"/>
    <w:rsid w:val="006D489C"/>
    <w:rsid w:val="006D5CBD"/>
    <w:rsid w:val="006D6056"/>
    <w:rsid w:val="006D65DE"/>
    <w:rsid w:val="006D6CFB"/>
    <w:rsid w:val="006D7C36"/>
    <w:rsid w:val="006E0369"/>
    <w:rsid w:val="006E1DAA"/>
    <w:rsid w:val="006E71FD"/>
    <w:rsid w:val="006E753B"/>
    <w:rsid w:val="006F0AAB"/>
    <w:rsid w:val="006F1004"/>
    <w:rsid w:val="006F204C"/>
    <w:rsid w:val="006F2841"/>
    <w:rsid w:val="006F369B"/>
    <w:rsid w:val="006F52AC"/>
    <w:rsid w:val="006F57C3"/>
    <w:rsid w:val="006F6A2D"/>
    <w:rsid w:val="006F7166"/>
    <w:rsid w:val="007005E5"/>
    <w:rsid w:val="007007F7"/>
    <w:rsid w:val="00700FE7"/>
    <w:rsid w:val="00701042"/>
    <w:rsid w:val="0070106B"/>
    <w:rsid w:val="00702220"/>
    <w:rsid w:val="0070314C"/>
    <w:rsid w:val="0070495E"/>
    <w:rsid w:val="00704E10"/>
    <w:rsid w:val="007053E1"/>
    <w:rsid w:val="00705786"/>
    <w:rsid w:val="00705845"/>
    <w:rsid w:val="00707705"/>
    <w:rsid w:val="00707E83"/>
    <w:rsid w:val="00711296"/>
    <w:rsid w:val="00712C6A"/>
    <w:rsid w:val="00713615"/>
    <w:rsid w:val="00716B5F"/>
    <w:rsid w:val="00716BEB"/>
    <w:rsid w:val="00716CDE"/>
    <w:rsid w:val="00722453"/>
    <w:rsid w:val="00723264"/>
    <w:rsid w:val="00724078"/>
    <w:rsid w:val="00724CF3"/>
    <w:rsid w:val="0072641F"/>
    <w:rsid w:val="007276FB"/>
    <w:rsid w:val="00732A83"/>
    <w:rsid w:val="00734D32"/>
    <w:rsid w:val="007413ED"/>
    <w:rsid w:val="007422E9"/>
    <w:rsid w:val="00742545"/>
    <w:rsid w:val="00743101"/>
    <w:rsid w:val="0074499D"/>
    <w:rsid w:val="0075059B"/>
    <w:rsid w:val="00751594"/>
    <w:rsid w:val="0075420A"/>
    <w:rsid w:val="00754456"/>
    <w:rsid w:val="007601ED"/>
    <w:rsid w:val="0076079F"/>
    <w:rsid w:val="0076118E"/>
    <w:rsid w:val="00761910"/>
    <w:rsid w:val="00762040"/>
    <w:rsid w:val="007622F7"/>
    <w:rsid w:val="00762F1E"/>
    <w:rsid w:val="00762F46"/>
    <w:rsid w:val="00763A9B"/>
    <w:rsid w:val="00765BB6"/>
    <w:rsid w:val="00771D52"/>
    <w:rsid w:val="00771FA3"/>
    <w:rsid w:val="007737D5"/>
    <w:rsid w:val="00773E1A"/>
    <w:rsid w:val="00774C93"/>
    <w:rsid w:val="00774E3B"/>
    <w:rsid w:val="00775DDE"/>
    <w:rsid w:val="00777776"/>
    <w:rsid w:val="00781979"/>
    <w:rsid w:val="0078277D"/>
    <w:rsid w:val="00784D4B"/>
    <w:rsid w:val="00785182"/>
    <w:rsid w:val="007857C4"/>
    <w:rsid w:val="00786833"/>
    <w:rsid w:val="007871DE"/>
    <w:rsid w:val="00787723"/>
    <w:rsid w:val="00787CBD"/>
    <w:rsid w:val="00790BD6"/>
    <w:rsid w:val="00790F14"/>
    <w:rsid w:val="00793E54"/>
    <w:rsid w:val="00794524"/>
    <w:rsid w:val="0079477E"/>
    <w:rsid w:val="007952B3"/>
    <w:rsid w:val="00795A5A"/>
    <w:rsid w:val="007971E2"/>
    <w:rsid w:val="007A08E2"/>
    <w:rsid w:val="007A1B68"/>
    <w:rsid w:val="007A1EA9"/>
    <w:rsid w:val="007A26D6"/>
    <w:rsid w:val="007A2CC2"/>
    <w:rsid w:val="007A419A"/>
    <w:rsid w:val="007A5783"/>
    <w:rsid w:val="007A66BB"/>
    <w:rsid w:val="007A7701"/>
    <w:rsid w:val="007B12B6"/>
    <w:rsid w:val="007B2BFE"/>
    <w:rsid w:val="007B2F80"/>
    <w:rsid w:val="007B3C12"/>
    <w:rsid w:val="007B483A"/>
    <w:rsid w:val="007B538A"/>
    <w:rsid w:val="007B6814"/>
    <w:rsid w:val="007B7309"/>
    <w:rsid w:val="007B74E6"/>
    <w:rsid w:val="007B7B01"/>
    <w:rsid w:val="007C16DE"/>
    <w:rsid w:val="007C23C5"/>
    <w:rsid w:val="007C2ECE"/>
    <w:rsid w:val="007C41A5"/>
    <w:rsid w:val="007C5EE3"/>
    <w:rsid w:val="007C61CC"/>
    <w:rsid w:val="007C65C4"/>
    <w:rsid w:val="007D1792"/>
    <w:rsid w:val="007D31A1"/>
    <w:rsid w:val="007D35D4"/>
    <w:rsid w:val="007D5A35"/>
    <w:rsid w:val="007D6259"/>
    <w:rsid w:val="007D6C9D"/>
    <w:rsid w:val="007D75C8"/>
    <w:rsid w:val="007E2848"/>
    <w:rsid w:val="007E4507"/>
    <w:rsid w:val="007E4700"/>
    <w:rsid w:val="007E5CC6"/>
    <w:rsid w:val="007E5CCC"/>
    <w:rsid w:val="007E647A"/>
    <w:rsid w:val="007E656F"/>
    <w:rsid w:val="007E6849"/>
    <w:rsid w:val="007E6ACB"/>
    <w:rsid w:val="007E6AF1"/>
    <w:rsid w:val="007E6F35"/>
    <w:rsid w:val="007E7C61"/>
    <w:rsid w:val="007F2079"/>
    <w:rsid w:val="007F3DDD"/>
    <w:rsid w:val="007F583A"/>
    <w:rsid w:val="007F6C58"/>
    <w:rsid w:val="007F7B2D"/>
    <w:rsid w:val="0080174D"/>
    <w:rsid w:val="0080204B"/>
    <w:rsid w:val="00803975"/>
    <w:rsid w:val="00805CD6"/>
    <w:rsid w:val="00807E80"/>
    <w:rsid w:val="00810961"/>
    <w:rsid w:val="0081180F"/>
    <w:rsid w:val="008122DB"/>
    <w:rsid w:val="00813375"/>
    <w:rsid w:val="00813EDC"/>
    <w:rsid w:val="008143B2"/>
    <w:rsid w:val="00814C0A"/>
    <w:rsid w:val="00814E15"/>
    <w:rsid w:val="00815720"/>
    <w:rsid w:val="00815732"/>
    <w:rsid w:val="0081788B"/>
    <w:rsid w:val="008230EC"/>
    <w:rsid w:val="008238B1"/>
    <w:rsid w:val="00823A0D"/>
    <w:rsid w:val="00823DA4"/>
    <w:rsid w:val="00824AAE"/>
    <w:rsid w:val="00825661"/>
    <w:rsid w:val="00825F51"/>
    <w:rsid w:val="00826D97"/>
    <w:rsid w:val="00826F8B"/>
    <w:rsid w:val="008271A2"/>
    <w:rsid w:val="00830B08"/>
    <w:rsid w:val="008316BB"/>
    <w:rsid w:val="00832457"/>
    <w:rsid w:val="00832B35"/>
    <w:rsid w:val="00833A7A"/>
    <w:rsid w:val="00835100"/>
    <w:rsid w:val="00837102"/>
    <w:rsid w:val="008374D9"/>
    <w:rsid w:val="0084047F"/>
    <w:rsid w:val="008409FD"/>
    <w:rsid w:val="008416B0"/>
    <w:rsid w:val="00842E5E"/>
    <w:rsid w:val="00845183"/>
    <w:rsid w:val="0084598A"/>
    <w:rsid w:val="008459B8"/>
    <w:rsid w:val="0084727C"/>
    <w:rsid w:val="008503A8"/>
    <w:rsid w:val="00850CE1"/>
    <w:rsid w:val="008513E8"/>
    <w:rsid w:val="0085228B"/>
    <w:rsid w:val="008524DB"/>
    <w:rsid w:val="00854AE1"/>
    <w:rsid w:val="00860065"/>
    <w:rsid w:val="0086341B"/>
    <w:rsid w:val="00863E47"/>
    <w:rsid w:val="008654B8"/>
    <w:rsid w:val="00866D3A"/>
    <w:rsid w:val="00867625"/>
    <w:rsid w:val="00871B16"/>
    <w:rsid w:val="00871B4C"/>
    <w:rsid w:val="00871C7A"/>
    <w:rsid w:val="00872D37"/>
    <w:rsid w:val="00873268"/>
    <w:rsid w:val="00873288"/>
    <w:rsid w:val="008750A2"/>
    <w:rsid w:val="008759AB"/>
    <w:rsid w:val="00875E33"/>
    <w:rsid w:val="00876347"/>
    <w:rsid w:val="0087654F"/>
    <w:rsid w:val="00877477"/>
    <w:rsid w:val="00881B4F"/>
    <w:rsid w:val="00881DD9"/>
    <w:rsid w:val="008829DD"/>
    <w:rsid w:val="008848B7"/>
    <w:rsid w:val="00884E9D"/>
    <w:rsid w:val="00892FC5"/>
    <w:rsid w:val="00893A21"/>
    <w:rsid w:val="00894627"/>
    <w:rsid w:val="0089466F"/>
    <w:rsid w:val="00895429"/>
    <w:rsid w:val="00895AC6"/>
    <w:rsid w:val="00895E38"/>
    <w:rsid w:val="00895FA5"/>
    <w:rsid w:val="008960BD"/>
    <w:rsid w:val="00897F0E"/>
    <w:rsid w:val="008A10F3"/>
    <w:rsid w:val="008A2443"/>
    <w:rsid w:val="008A4188"/>
    <w:rsid w:val="008A6F1C"/>
    <w:rsid w:val="008B04A9"/>
    <w:rsid w:val="008B1836"/>
    <w:rsid w:val="008B3380"/>
    <w:rsid w:val="008B37A0"/>
    <w:rsid w:val="008B3C2C"/>
    <w:rsid w:val="008B488F"/>
    <w:rsid w:val="008B4EB6"/>
    <w:rsid w:val="008C10D5"/>
    <w:rsid w:val="008C117D"/>
    <w:rsid w:val="008C1913"/>
    <w:rsid w:val="008C3AAB"/>
    <w:rsid w:val="008C44FE"/>
    <w:rsid w:val="008C452D"/>
    <w:rsid w:val="008C65C2"/>
    <w:rsid w:val="008D1D2A"/>
    <w:rsid w:val="008D2111"/>
    <w:rsid w:val="008D2854"/>
    <w:rsid w:val="008D3F62"/>
    <w:rsid w:val="008D4411"/>
    <w:rsid w:val="008D483C"/>
    <w:rsid w:val="008D5D34"/>
    <w:rsid w:val="008E1463"/>
    <w:rsid w:val="008E2103"/>
    <w:rsid w:val="008E2257"/>
    <w:rsid w:val="008E281B"/>
    <w:rsid w:val="008E3E24"/>
    <w:rsid w:val="008E42F6"/>
    <w:rsid w:val="008E4B50"/>
    <w:rsid w:val="008E569E"/>
    <w:rsid w:val="008E645E"/>
    <w:rsid w:val="008F0452"/>
    <w:rsid w:val="008F12C3"/>
    <w:rsid w:val="008F13C4"/>
    <w:rsid w:val="008F174A"/>
    <w:rsid w:val="008F1902"/>
    <w:rsid w:val="008F44C0"/>
    <w:rsid w:val="008F5110"/>
    <w:rsid w:val="008F51F6"/>
    <w:rsid w:val="008F56CA"/>
    <w:rsid w:val="008F679F"/>
    <w:rsid w:val="0090173B"/>
    <w:rsid w:val="00901C3D"/>
    <w:rsid w:val="00902413"/>
    <w:rsid w:val="00902EF9"/>
    <w:rsid w:val="0090628F"/>
    <w:rsid w:val="0090655E"/>
    <w:rsid w:val="00907620"/>
    <w:rsid w:val="00907CD5"/>
    <w:rsid w:val="009102AD"/>
    <w:rsid w:val="0091363F"/>
    <w:rsid w:val="00915D27"/>
    <w:rsid w:val="009164E1"/>
    <w:rsid w:val="00916980"/>
    <w:rsid w:val="00920FD0"/>
    <w:rsid w:val="00930FF6"/>
    <w:rsid w:val="009316F8"/>
    <w:rsid w:val="0093245D"/>
    <w:rsid w:val="00936D1D"/>
    <w:rsid w:val="0093741D"/>
    <w:rsid w:val="0093790B"/>
    <w:rsid w:val="0093799E"/>
    <w:rsid w:val="00940AB7"/>
    <w:rsid w:val="00941D78"/>
    <w:rsid w:val="009422E9"/>
    <w:rsid w:val="00943626"/>
    <w:rsid w:val="00943CE0"/>
    <w:rsid w:val="00943F17"/>
    <w:rsid w:val="00944102"/>
    <w:rsid w:val="009443AF"/>
    <w:rsid w:val="00945916"/>
    <w:rsid w:val="00947E00"/>
    <w:rsid w:val="009505E1"/>
    <w:rsid w:val="00950889"/>
    <w:rsid w:val="00950B43"/>
    <w:rsid w:val="0095208C"/>
    <w:rsid w:val="0095324E"/>
    <w:rsid w:val="009538B6"/>
    <w:rsid w:val="00953CBA"/>
    <w:rsid w:val="009540F9"/>
    <w:rsid w:val="0095532E"/>
    <w:rsid w:val="0095584B"/>
    <w:rsid w:val="00955B49"/>
    <w:rsid w:val="009576CD"/>
    <w:rsid w:val="009605C3"/>
    <w:rsid w:val="00960E7D"/>
    <w:rsid w:val="0096117D"/>
    <w:rsid w:val="00961187"/>
    <w:rsid w:val="009613F4"/>
    <w:rsid w:val="0096256B"/>
    <w:rsid w:val="00963401"/>
    <w:rsid w:val="00963D74"/>
    <w:rsid w:val="00963E0F"/>
    <w:rsid w:val="00963EDF"/>
    <w:rsid w:val="009648F0"/>
    <w:rsid w:val="00966CF5"/>
    <w:rsid w:val="00966ED1"/>
    <w:rsid w:val="009711E4"/>
    <w:rsid w:val="00971B4C"/>
    <w:rsid w:val="00972C8E"/>
    <w:rsid w:val="009747F7"/>
    <w:rsid w:val="0097767D"/>
    <w:rsid w:val="00977DA2"/>
    <w:rsid w:val="0098096C"/>
    <w:rsid w:val="009809A3"/>
    <w:rsid w:val="00981E7A"/>
    <w:rsid w:val="00983891"/>
    <w:rsid w:val="00983A6D"/>
    <w:rsid w:val="00983C0C"/>
    <w:rsid w:val="009853DF"/>
    <w:rsid w:val="00985E35"/>
    <w:rsid w:val="009903B9"/>
    <w:rsid w:val="00990D9F"/>
    <w:rsid w:val="009939FB"/>
    <w:rsid w:val="00993B47"/>
    <w:rsid w:val="00994396"/>
    <w:rsid w:val="0099471D"/>
    <w:rsid w:val="00997518"/>
    <w:rsid w:val="009A1435"/>
    <w:rsid w:val="009A1633"/>
    <w:rsid w:val="009A204A"/>
    <w:rsid w:val="009A2A4E"/>
    <w:rsid w:val="009A2DEF"/>
    <w:rsid w:val="009A4A3E"/>
    <w:rsid w:val="009A4F35"/>
    <w:rsid w:val="009A60C0"/>
    <w:rsid w:val="009A6A0C"/>
    <w:rsid w:val="009A6B88"/>
    <w:rsid w:val="009B074C"/>
    <w:rsid w:val="009B0A8B"/>
    <w:rsid w:val="009B13B5"/>
    <w:rsid w:val="009B2873"/>
    <w:rsid w:val="009B64FB"/>
    <w:rsid w:val="009C05EB"/>
    <w:rsid w:val="009C077A"/>
    <w:rsid w:val="009C22B3"/>
    <w:rsid w:val="009C2E8C"/>
    <w:rsid w:val="009C653E"/>
    <w:rsid w:val="009C6DFD"/>
    <w:rsid w:val="009C7832"/>
    <w:rsid w:val="009D0641"/>
    <w:rsid w:val="009D168C"/>
    <w:rsid w:val="009D30E0"/>
    <w:rsid w:val="009D3D4F"/>
    <w:rsid w:val="009D46C9"/>
    <w:rsid w:val="009D5492"/>
    <w:rsid w:val="009D5692"/>
    <w:rsid w:val="009D7C95"/>
    <w:rsid w:val="009E05A3"/>
    <w:rsid w:val="009E1D50"/>
    <w:rsid w:val="009E2F5B"/>
    <w:rsid w:val="009E4388"/>
    <w:rsid w:val="009E5F50"/>
    <w:rsid w:val="009E7340"/>
    <w:rsid w:val="009F11DE"/>
    <w:rsid w:val="009F2CC7"/>
    <w:rsid w:val="009F7135"/>
    <w:rsid w:val="009F722C"/>
    <w:rsid w:val="009F77D0"/>
    <w:rsid w:val="009F7E5B"/>
    <w:rsid w:val="00A005E9"/>
    <w:rsid w:val="00A01373"/>
    <w:rsid w:val="00A016E8"/>
    <w:rsid w:val="00A033BB"/>
    <w:rsid w:val="00A055FE"/>
    <w:rsid w:val="00A05D78"/>
    <w:rsid w:val="00A05DED"/>
    <w:rsid w:val="00A0725B"/>
    <w:rsid w:val="00A072A5"/>
    <w:rsid w:val="00A077B6"/>
    <w:rsid w:val="00A109DB"/>
    <w:rsid w:val="00A11C00"/>
    <w:rsid w:val="00A12551"/>
    <w:rsid w:val="00A139DB"/>
    <w:rsid w:val="00A13EC9"/>
    <w:rsid w:val="00A14787"/>
    <w:rsid w:val="00A14BD1"/>
    <w:rsid w:val="00A16168"/>
    <w:rsid w:val="00A16607"/>
    <w:rsid w:val="00A16F0F"/>
    <w:rsid w:val="00A172D4"/>
    <w:rsid w:val="00A20A56"/>
    <w:rsid w:val="00A23E08"/>
    <w:rsid w:val="00A25E3D"/>
    <w:rsid w:val="00A27CB7"/>
    <w:rsid w:val="00A30257"/>
    <w:rsid w:val="00A333D4"/>
    <w:rsid w:val="00A33546"/>
    <w:rsid w:val="00A335AC"/>
    <w:rsid w:val="00A33C59"/>
    <w:rsid w:val="00A34EC8"/>
    <w:rsid w:val="00A3607C"/>
    <w:rsid w:val="00A4072B"/>
    <w:rsid w:val="00A40CBC"/>
    <w:rsid w:val="00A422EA"/>
    <w:rsid w:val="00A44345"/>
    <w:rsid w:val="00A45410"/>
    <w:rsid w:val="00A4636D"/>
    <w:rsid w:val="00A4776E"/>
    <w:rsid w:val="00A47FDE"/>
    <w:rsid w:val="00A50C01"/>
    <w:rsid w:val="00A51790"/>
    <w:rsid w:val="00A524E1"/>
    <w:rsid w:val="00A52CAE"/>
    <w:rsid w:val="00A53C92"/>
    <w:rsid w:val="00A54D03"/>
    <w:rsid w:val="00A55214"/>
    <w:rsid w:val="00A56AF9"/>
    <w:rsid w:val="00A577A1"/>
    <w:rsid w:val="00A600AF"/>
    <w:rsid w:val="00A61107"/>
    <w:rsid w:val="00A61F3D"/>
    <w:rsid w:val="00A62F56"/>
    <w:rsid w:val="00A6546B"/>
    <w:rsid w:val="00A659C2"/>
    <w:rsid w:val="00A7069F"/>
    <w:rsid w:val="00A7191F"/>
    <w:rsid w:val="00A73201"/>
    <w:rsid w:val="00A73BCA"/>
    <w:rsid w:val="00A7408B"/>
    <w:rsid w:val="00A76B85"/>
    <w:rsid w:val="00A76F6E"/>
    <w:rsid w:val="00A77E5F"/>
    <w:rsid w:val="00A8006C"/>
    <w:rsid w:val="00A800BF"/>
    <w:rsid w:val="00A805FF"/>
    <w:rsid w:val="00A814A9"/>
    <w:rsid w:val="00A826DD"/>
    <w:rsid w:val="00A82A27"/>
    <w:rsid w:val="00A8360F"/>
    <w:rsid w:val="00A84C0B"/>
    <w:rsid w:val="00A86839"/>
    <w:rsid w:val="00A90216"/>
    <w:rsid w:val="00A91245"/>
    <w:rsid w:val="00A9175C"/>
    <w:rsid w:val="00A92F01"/>
    <w:rsid w:val="00A95E87"/>
    <w:rsid w:val="00A96A66"/>
    <w:rsid w:val="00A97B1C"/>
    <w:rsid w:val="00AA1CFB"/>
    <w:rsid w:val="00AA205D"/>
    <w:rsid w:val="00AA31B9"/>
    <w:rsid w:val="00AA3E57"/>
    <w:rsid w:val="00AA5E91"/>
    <w:rsid w:val="00AA6EEC"/>
    <w:rsid w:val="00AA7F12"/>
    <w:rsid w:val="00AB2DF7"/>
    <w:rsid w:val="00AB4DB9"/>
    <w:rsid w:val="00AB5364"/>
    <w:rsid w:val="00AC0267"/>
    <w:rsid w:val="00AC0851"/>
    <w:rsid w:val="00AC130E"/>
    <w:rsid w:val="00AC13E5"/>
    <w:rsid w:val="00AC1EF1"/>
    <w:rsid w:val="00AC225B"/>
    <w:rsid w:val="00AC31C9"/>
    <w:rsid w:val="00AC50FE"/>
    <w:rsid w:val="00AC5868"/>
    <w:rsid w:val="00AC66AC"/>
    <w:rsid w:val="00AC7D4E"/>
    <w:rsid w:val="00AD240C"/>
    <w:rsid w:val="00AD240D"/>
    <w:rsid w:val="00AD2A3B"/>
    <w:rsid w:val="00AD37B4"/>
    <w:rsid w:val="00AD4400"/>
    <w:rsid w:val="00AD49F4"/>
    <w:rsid w:val="00AD4C91"/>
    <w:rsid w:val="00AD537B"/>
    <w:rsid w:val="00AD588B"/>
    <w:rsid w:val="00AD650A"/>
    <w:rsid w:val="00AD6C26"/>
    <w:rsid w:val="00AE00BA"/>
    <w:rsid w:val="00AE015A"/>
    <w:rsid w:val="00AE1E47"/>
    <w:rsid w:val="00AE2298"/>
    <w:rsid w:val="00AE4D12"/>
    <w:rsid w:val="00AE5AE2"/>
    <w:rsid w:val="00AF14F1"/>
    <w:rsid w:val="00AF483F"/>
    <w:rsid w:val="00AF510E"/>
    <w:rsid w:val="00AF63F0"/>
    <w:rsid w:val="00AF6C59"/>
    <w:rsid w:val="00AF7F40"/>
    <w:rsid w:val="00B02B74"/>
    <w:rsid w:val="00B0451C"/>
    <w:rsid w:val="00B046FE"/>
    <w:rsid w:val="00B05AA8"/>
    <w:rsid w:val="00B06384"/>
    <w:rsid w:val="00B070BB"/>
    <w:rsid w:val="00B07FAF"/>
    <w:rsid w:val="00B1305A"/>
    <w:rsid w:val="00B13B08"/>
    <w:rsid w:val="00B1639C"/>
    <w:rsid w:val="00B23597"/>
    <w:rsid w:val="00B243CE"/>
    <w:rsid w:val="00B244BB"/>
    <w:rsid w:val="00B255B0"/>
    <w:rsid w:val="00B26805"/>
    <w:rsid w:val="00B31B68"/>
    <w:rsid w:val="00B33808"/>
    <w:rsid w:val="00B34666"/>
    <w:rsid w:val="00B3614C"/>
    <w:rsid w:val="00B36504"/>
    <w:rsid w:val="00B37B67"/>
    <w:rsid w:val="00B40C12"/>
    <w:rsid w:val="00B40E7F"/>
    <w:rsid w:val="00B43294"/>
    <w:rsid w:val="00B4375E"/>
    <w:rsid w:val="00B46412"/>
    <w:rsid w:val="00B46CB5"/>
    <w:rsid w:val="00B52208"/>
    <w:rsid w:val="00B532E6"/>
    <w:rsid w:val="00B53912"/>
    <w:rsid w:val="00B53EA0"/>
    <w:rsid w:val="00B54EE0"/>
    <w:rsid w:val="00B563B8"/>
    <w:rsid w:val="00B56E77"/>
    <w:rsid w:val="00B579D2"/>
    <w:rsid w:val="00B61294"/>
    <w:rsid w:val="00B633F9"/>
    <w:rsid w:val="00B63B5B"/>
    <w:rsid w:val="00B70312"/>
    <w:rsid w:val="00B70B52"/>
    <w:rsid w:val="00B70DF2"/>
    <w:rsid w:val="00B71391"/>
    <w:rsid w:val="00B73D35"/>
    <w:rsid w:val="00B744AF"/>
    <w:rsid w:val="00B74DBB"/>
    <w:rsid w:val="00B75133"/>
    <w:rsid w:val="00B77602"/>
    <w:rsid w:val="00B8030A"/>
    <w:rsid w:val="00B81CD9"/>
    <w:rsid w:val="00B828CA"/>
    <w:rsid w:val="00B83653"/>
    <w:rsid w:val="00B8382A"/>
    <w:rsid w:val="00B83C12"/>
    <w:rsid w:val="00B83CF7"/>
    <w:rsid w:val="00B85169"/>
    <w:rsid w:val="00B85212"/>
    <w:rsid w:val="00B877C2"/>
    <w:rsid w:val="00B9063F"/>
    <w:rsid w:val="00B92985"/>
    <w:rsid w:val="00B92EB4"/>
    <w:rsid w:val="00B9383D"/>
    <w:rsid w:val="00B93979"/>
    <w:rsid w:val="00B93E03"/>
    <w:rsid w:val="00B96805"/>
    <w:rsid w:val="00B9793F"/>
    <w:rsid w:val="00BA2D44"/>
    <w:rsid w:val="00BA41D7"/>
    <w:rsid w:val="00BA6634"/>
    <w:rsid w:val="00BA6C6C"/>
    <w:rsid w:val="00BA6F21"/>
    <w:rsid w:val="00BA71AB"/>
    <w:rsid w:val="00BA74EB"/>
    <w:rsid w:val="00BA76CA"/>
    <w:rsid w:val="00BB03C2"/>
    <w:rsid w:val="00BB0420"/>
    <w:rsid w:val="00BB0632"/>
    <w:rsid w:val="00BB1491"/>
    <w:rsid w:val="00BB2345"/>
    <w:rsid w:val="00BB2750"/>
    <w:rsid w:val="00BB383E"/>
    <w:rsid w:val="00BB7567"/>
    <w:rsid w:val="00BC1A8C"/>
    <w:rsid w:val="00BC1CBA"/>
    <w:rsid w:val="00BC423F"/>
    <w:rsid w:val="00BC49BF"/>
    <w:rsid w:val="00BC531B"/>
    <w:rsid w:val="00BD0EAB"/>
    <w:rsid w:val="00BD202E"/>
    <w:rsid w:val="00BD3BF4"/>
    <w:rsid w:val="00BD48AA"/>
    <w:rsid w:val="00BE0FF9"/>
    <w:rsid w:val="00BE3FF6"/>
    <w:rsid w:val="00BE4FD6"/>
    <w:rsid w:val="00BE564C"/>
    <w:rsid w:val="00BE5EC3"/>
    <w:rsid w:val="00BE654A"/>
    <w:rsid w:val="00BE7128"/>
    <w:rsid w:val="00BE7757"/>
    <w:rsid w:val="00BF5F70"/>
    <w:rsid w:val="00BF7D8A"/>
    <w:rsid w:val="00C048F2"/>
    <w:rsid w:val="00C05390"/>
    <w:rsid w:val="00C10451"/>
    <w:rsid w:val="00C104DE"/>
    <w:rsid w:val="00C120C5"/>
    <w:rsid w:val="00C121E7"/>
    <w:rsid w:val="00C126CE"/>
    <w:rsid w:val="00C1278B"/>
    <w:rsid w:val="00C138CC"/>
    <w:rsid w:val="00C14BF3"/>
    <w:rsid w:val="00C1533D"/>
    <w:rsid w:val="00C15831"/>
    <w:rsid w:val="00C1593E"/>
    <w:rsid w:val="00C15A50"/>
    <w:rsid w:val="00C1602B"/>
    <w:rsid w:val="00C17011"/>
    <w:rsid w:val="00C2022A"/>
    <w:rsid w:val="00C217FA"/>
    <w:rsid w:val="00C2524A"/>
    <w:rsid w:val="00C277C0"/>
    <w:rsid w:val="00C27C23"/>
    <w:rsid w:val="00C3066F"/>
    <w:rsid w:val="00C331C0"/>
    <w:rsid w:val="00C33F6B"/>
    <w:rsid w:val="00C35992"/>
    <w:rsid w:val="00C370DD"/>
    <w:rsid w:val="00C37EAF"/>
    <w:rsid w:val="00C427D7"/>
    <w:rsid w:val="00C4308F"/>
    <w:rsid w:val="00C43629"/>
    <w:rsid w:val="00C44126"/>
    <w:rsid w:val="00C442F7"/>
    <w:rsid w:val="00C45198"/>
    <w:rsid w:val="00C45FDC"/>
    <w:rsid w:val="00C4697D"/>
    <w:rsid w:val="00C469CD"/>
    <w:rsid w:val="00C47449"/>
    <w:rsid w:val="00C50613"/>
    <w:rsid w:val="00C50991"/>
    <w:rsid w:val="00C511D1"/>
    <w:rsid w:val="00C515C4"/>
    <w:rsid w:val="00C5333A"/>
    <w:rsid w:val="00C544B2"/>
    <w:rsid w:val="00C54C39"/>
    <w:rsid w:val="00C556F2"/>
    <w:rsid w:val="00C55CE1"/>
    <w:rsid w:val="00C55FE4"/>
    <w:rsid w:val="00C6018F"/>
    <w:rsid w:val="00C60B7E"/>
    <w:rsid w:val="00C61057"/>
    <w:rsid w:val="00C62A23"/>
    <w:rsid w:val="00C63D81"/>
    <w:rsid w:val="00C66C98"/>
    <w:rsid w:val="00C679A2"/>
    <w:rsid w:val="00C70C8A"/>
    <w:rsid w:val="00C713D6"/>
    <w:rsid w:val="00C7172E"/>
    <w:rsid w:val="00C71788"/>
    <w:rsid w:val="00C744EC"/>
    <w:rsid w:val="00C751F9"/>
    <w:rsid w:val="00C75DCA"/>
    <w:rsid w:val="00C75F9E"/>
    <w:rsid w:val="00C777B1"/>
    <w:rsid w:val="00C77B8B"/>
    <w:rsid w:val="00C77BD7"/>
    <w:rsid w:val="00C80A97"/>
    <w:rsid w:val="00C812B7"/>
    <w:rsid w:val="00C834A9"/>
    <w:rsid w:val="00C84720"/>
    <w:rsid w:val="00C84D72"/>
    <w:rsid w:val="00C850C7"/>
    <w:rsid w:val="00C852EF"/>
    <w:rsid w:val="00C85CC8"/>
    <w:rsid w:val="00C86124"/>
    <w:rsid w:val="00C86CFE"/>
    <w:rsid w:val="00C91634"/>
    <w:rsid w:val="00C91F9A"/>
    <w:rsid w:val="00C956AB"/>
    <w:rsid w:val="00C96D7E"/>
    <w:rsid w:val="00C978C5"/>
    <w:rsid w:val="00CA01CD"/>
    <w:rsid w:val="00CA2F4F"/>
    <w:rsid w:val="00CA3CB2"/>
    <w:rsid w:val="00CA3DE6"/>
    <w:rsid w:val="00CA4D3D"/>
    <w:rsid w:val="00CA5218"/>
    <w:rsid w:val="00CA5A9B"/>
    <w:rsid w:val="00CA6167"/>
    <w:rsid w:val="00CA7B48"/>
    <w:rsid w:val="00CB07FA"/>
    <w:rsid w:val="00CB0927"/>
    <w:rsid w:val="00CB1B6A"/>
    <w:rsid w:val="00CB258C"/>
    <w:rsid w:val="00CB2805"/>
    <w:rsid w:val="00CB2CFE"/>
    <w:rsid w:val="00CB3215"/>
    <w:rsid w:val="00CB764D"/>
    <w:rsid w:val="00CC145D"/>
    <w:rsid w:val="00CC2939"/>
    <w:rsid w:val="00CC3BF0"/>
    <w:rsid w:val="00CC66FC"/>
    <w:rsid w:val="00CD0462"/>
    <w:rsid w:val="00CD0799"/>
    <w:rsid w:val="00CD0B70"/>
    <w:rsid w:val="00CD1B38"/>
    <w:rsid w:val="00CD2EC2"/>
    <w:rsid w:val="00CD3CD5"/>
    <w:rsid w:val="00CD405E"/>
    <w:rsid w:val="00CD6021"/>
    <w:rsid w:val="00CD6357"/>
    <w:rsid w:val="00CD66A8"/>
    <w:rsid w:val="00CD7C51"/>
    <w:rsid w:val="00CE039F"/>
    <w:rsid w:val="00CE1552"/>
    <w:rsid w:val="00CE2027"/>
    <w:rsid w:val="00CE237B"/>
    <w:rsid w:val="00CE2B7C"/>
    <w:rsid w:val="00CE2C3A"/>
    <w:rsid w:val="00CE3E3C"/>
    <w:rsid w:val="00CE43BF"/>
    <w:rsid w:val="00CE4DF3"/>
    <w:rsid w:val="00CE4FD1"/>
    <w:rsid w:val="00CE6320"/>
    <w:rsid w:val="00CE67EF"/>
    <w:rsid w:val="00CE6839"/>
    <w:rsid w:val="00CE6885"/>
    <w:rsid w:val="00CE76E2"/>
    <w:rsid w:val="00CF2E54"/>
    <w:rsid w:val="00CF2F1A"/>
    <w:rsid w:val="00CF3919"/>
    <w:rsid w:val="00CF3A4B"/>
    <w:rsid w:val="00CF4573"/>
    <w:rsid w:val="00CF4EC8"/>
    <w:rsid w:val="00CF62BC"/>
    <w:rsid w:val="00CF63EC"/>
    <w:rsid w:val="00CF67C9"/>
    <w:rsid w:val="00D01089"/>
    <w:rsid w:val="00D01112"/>
    <w:rsid w:val="00D01A8C"/>
    <w:rsid w:val="00D01B67"/>
    <w:rsid w:val="00D02756"/>
    <w:rsid w:val="00D02AF7"/>
    <w:rsid w:val="00D057D1"/>
    <w:rsid w:val="00D05AE4"/>
    <w:rsid w:val="00D05E9A"/>
    <w:rsid w:val="00D06D08"/>
    <w:rsid w:val="00D072A4"/>
    <w:rsid w:val="00D11409"/>
    <w:rsid w:val="00D1210B"/>
    <w:rsid w:val="00D13165"/>
    <w:rsid w:val="00D1377F"/>
    <w:rsid w:val="00D156A3"/>
    <w:rsid w:val="00D20060"/>
    <w:rsid w:val="00D2040A"/>
    <w:rsid w:val="00D20624"/>
    <w:rsid w:val="00D20B3C"/>
    <w:rsid w:val="00D20F73"/>
    <w:rsid w:val="00D22991"/>
    <w:rsid w:val="00D22E7E"/>
    <w:rsid w:val="00D254E5"/>
    <w:rsid w:val="00D27AAC"/>
    <w:rsid w:val="00D30DB4"/>
    <w:rsid w:val="00D30E4B"/>
    <w:rsid w:val="00D3125B"/>
    <w:rsid w:val="00D31F4F"/>
    <w:rsid w:val="00D34D16"/>
    <w:rsid w:val="00D35217"/>
    <w:rsid w:val="00D36ACF"/>
    <w:rsid w:val="00D4027E"/>
    <w:rsid w:val="00D41B51"/>
    <w:rsid w:val="00D42A6E"/>
    <w:rsid w:val="00D44EFE"/>
    <w:rsid w:val="00D45FEC"/>
    <w:rsid w:val="00D471FE"/>
    <w:rsid w:val="00D5022E"/>
    <w:rsid w:val="00D50609"/>
    <w:rsid w:val="00D50902"/>
    <w:rsid w:val="00D50C97"/>
    <w:rsid w:val="00D518CA"/>
    <w:rsid w:val="00D51EAF"/>
    <w:rsid w:val="00D522AE"/>
    <w:rsid w:val="00D52874"/>
    <w:rsid w:val="00D546FC"/>
    <w:rsid w:val="00D55825"/>
    <w:rsid w:val="00D55914"/>
    <w:rsid w:val="00D56C44"/>
    <w:rsid w:val="00D60897"/>
    <w:rsid w:val="00D60C4B"/>
    <w:rsid w:val="00D624C5"/>
    <w:rsid w:val="00D64F5F"/>
    <w:rsid w:val="00D660ED"/>
    <w:rsid w:val="00D670A9"/>
    <w:rsid w:val="00D677AB"/>
    <w:rsid w:val="00D67F29"/>
    <w:rsid w:val="00D71E9F"/>
    <w:rsid w:val="00D72627"/>
    <w:rsid w:val="00D7324D"/>
    <w:rsid w:val="00D73731"/>
    <w:rsid w:val="00D74509"/>
    <w:rsid w:val="00D74941"/>
    <w:rsid w:val="00D753B9"/>
    <w:rsid w:val="00D77164"/>
    <w:rsid w:val="00D77431"/>
    <w:rsid w:val="00D776AC"/>
    <w:rsid w:val="00D804EB"/>
    <w:rsid w:val="00D80B3E"/>
    <w:rsid w:val="00D81056"/>
    <w:rsid w:val="00D819EE"/>
    <w:rsid w:val="00D84813"/>
    <w:rsid w:val="00D8638A"/>
    <w:rsid w:val="00D864A2"/>
    <w:rsid w:val="00D869D9"/>
    <w:rsid w:val="00D87E12"/>
    <w:rsid w:val="00D904CC"/>
    <w:rsid w:val="00D90982"/>
    <w:rsid w:val="00D90F34"/>
    <w:rsid w:val="00D9128F"/>
    <w:rsid w:val="00D931E1"/>
    <w:rsid w:val="00D95530"/>
    <w:rsid w:val="00D97AAE"/>
    <w:rsid w:val="00DA02B8"/>
    <w:rsid w:val="00DA0999"/>
    <w:rsid w:val="00DA0BA4"/>
    <w:rsid w:val="00DA13AD"/>
    <w:rsid w:val="00DA455B"/>
    <w:rsid w:val="00DA62FC"/>
    <w:rsid w:val="00DA7DB2"/>
    <w:rsid w:val="00DB0911"/>
    <w:rsid w:val="00DB0977"/>
    <w:rsid w:val="00DB1517"/>
    <w:rsid w:val="00DB2957"/>
    <w:rsid w:val="00DB45DD"/>
    <w:rsid w:val="00DB4CBB"/>
    <w:rsid w:val="00DB5180"/>
    <w:rsid w:val="00DB5CCC"/>
    <w:rsid w:val="00DB63B7"/>
    <w:rsid w:val="00DB664F"/>
    <w:rsid w:val="00DC074D"/>
    <w:rsid w:val="00DC2090"/>
    <w:rsid w:val="00DC3D57"/>
    <w:rsid w:val="00DC4884"/>
    <w:rsid w:val="00DC637B"/>
    <w:rsid w:val="00DC64BD"/>
    <w:rsid w:val="00DD20B6"/>
    <w:rsid w:val="00DD382B"/>
    <w:rsid w:val="00DD5764"/>
    <w:rsid w:val="00DD622A"/>
    <w:rsid w:val="00DD6579"/>
    <w:rsid w:val="00DD6B9F"/>
    <w:rsid w:val="00DE06B4"/>
    <w:rsid w:val="00DE08A3"/>
    <w:rsid w:val="00DE19DF"/>
    <w:rsid w:val="00DE52F8"/>
    <w:rsid w:val="00DE6A71"/>
    <w:rsid w:val="00DE768F"/>
    <w:rsid w:val="00DF012E"/>
    <w:rsid w:val="00DF1157"/>
    <w:rsid w:val="00DF5C50"/>
    <w:rsid w:val="00DF6B88"/>
    <w:rsid w:val="00E006D6"/>
    <w:rsid w:val="00E042C7"/>
    <w:rsid w:val="00E04EBB"/>
    <w:rsid w:val="00E05600"/>
    <w:rsid w:val="00E059E8"/>
    <w:rsid w:val="00E078C0"/>
    <w:rsid w:val="00E107FC"/>
    <w:rsid w:val="00E13B76"/>
    <w:rsid w:val="00E13C99"/>
    <w:rsid w:val="00E14DFC"/>
    <w:rsid w:val="00E155BA"/>
    <w:rsid w:val="00E20614"/>
    <w:rsid w:val="00E22179"/>
    <w:rsid w:val="00E22908"/>
    <w:rsid w:val="00E231ED"/>
    <w:rsid w:val="00E23508"/>
    <w:rsid w:val="00E236A5"/>
    <w:rsid w:val="00E24D83"/>
    <w:rsid w:val="00E25BF6"/>
    <w:rsid w:val="00E300A4"/>
    <w:rsid w:val="00E30147"/>
    <w:rsid w:val="00E30E84"/>
    <w:rsid w:val="00E31124"/>
    <w:rsid w:val="00E31B66"/>
    <w:rsid w:val="00E326FC"/>
    <w:rsid w:val="00E335E9"/>
    <w:rsid w:val="00E35CEE"/>
    <w:rsid w:val="00E36ACC"/>
    <w:rsid w:val="00E36E58"/>
    <w:rsid w:val="00E36EBF"/>
    <w:rsid w:val="00E42017"/>
    <w:rsid w:val="00E42C8B"/>
    <w:rsid w:val="00E42F49"/>
    <w:rsid w:val="00E50290"/>
    <w:rsid w:val="00E51B55"/>
    <w:rsid w:val="00E543A2"/>
    <w:rsid w:val="00E54E40"/>
    <w:rsid w:val="00E551AA"/>
    <w:rsid w:val="00E5654D"/>
    <w:rsid w:val="00E567C4"/>
    <w:rsid w:val="00E60972"/>
    <w:rsid w:val="00E62A5E"/>
    <w:rsid w:val="00E62BB5"/>
    <w:rsid w:val="00E638FE"/>
    <w:rsid w:val="00E7048C"/>
    <w:rsid w:val="00E71370"/>
    <w:rsid w:val="00E71CAA"/>
    <w:rsid w:val="00E72EE8"/>
    <w:rsid w:val="00E7392A"/>
    <w:rsid w:val="00E77626"/>
    <w:rsid w:val="00E80313"/>
    <w:rsid w:val="00E81E51"/>
    <w:rsid w:val="00E85635"/>
    <w:rsid w:val="00E85E86"/>
    <w:rsid w:val="00E861B7"/>
    <w:rsid w:val="00E86356"/>
    <w:rsid w:val="00E8795B"/>
    <w:rsid w:val="00E907EE"/>
    <w:rsid w:val="00E90D25"/>
    <w:rsid w:val="00E91E7B"/>
    <w:rsid w:val="00E955E9"/>
    <w:rsid w:val="00E9563F"/>
    <w:rsid w:val="00E965D2"/>
    <w:rsid w:val="00E97F10"/>
    <w:rsid w:val="00E97F73"/>
    <w:rsid w:val="00EA0A0B"/>
    <w:rsid w:val="00EA2B86"/>
    <w:rsid w:val="00EA3B96"/>
    <w:rsid w:val="00EA429A"/>
    <w:rsid w:val="00EA6F32"/>
    <w:rsid w:val="00EA7F1F"/>
    <w:rsid w:val="00EB0550"/>
    <w:rsid w:val="00EB19B8"/>
    <w:rsid w:val="00EB326F"/>
    <w:rsid w:val="00EB32CC"/>
    <w:rsid w:val="00EB3CB9"/>
    <w:rsid w:val="00EB479D"/>
    <w:rsid w:val="00EB4E1A"/>
    <w:rsid w:val="00EC0C8E"/>
    <w:rsid w:val="00EC19F4"/>
    <w:rsid w:val="00EC2D77"/>
    <w:rsid w:val="00EC3AE0"/>
    <w:rsid w:val="00EC67B1"/>
    <w:rsid w:val="00ED2FF7"/>
    <w:rsid w:val="00ED4B85"/>
    <w:rsid w:val="00ED6A41"/>
    <w:rsid w:val="00ED708B"/>
    <w:rsid w:val="00EE0970"/>
    <w:rsid w:val="00EE0CD6"/>
    <w:rsid w:val="00EE2C8A"/>
    <w:rsid w:val="00EE5592"/>
    <w:rsid w:val="00EE582C"/>
    <w:rsid w:val="00EE77CC"/>
    <w:rsid w:val="00EF097C"/>
    <w:rsid w:val="00EF09D5"/>
    <w:rsid w:val="00EF0EF5"/>
    <w:rsid w:val="00EF2472"/>
    <w:rsid w:val="00EF2646"/>
    <w:rsid w:val="00EF322B"/>
    <w:rsid w:val="00EF3A41"/>
    <w:rsid w:val="00EF3BA6"/>
    <w:rsid w:val="00EF48CA"/>
    <w:rsid w:val="00EF59A4"/>
    <w:rsid w:val="00EF5A84"/>
    <w:rsid w:val="00EF5EB8"/>
    <w:rsid w:val="00EF66A3"/>
    <w:rsid w:val="00EF66BE"/>
    <w:rsid w:val="00EF6717"/>
    <w:rsid w:val="00EF7135"/>
    <w:rsid w:val="00EF7922"/>
    <w:rsid w:val="00F022AF"/>
    <w:rsid w:val="00F025D2"/>
    <w:rsid w:val="00F0286F"/>
    <w:rsid w:val="00F043E5"/>
    <w:rsid w:val="00F04653"/>
    <w:rsid w:val="00F04784"/>
    <w:rsid w:val="00F06243"/>
    <w:rsid w:val="00F07059"/>
    <w:rsid w:val="00F11FAF"/>
    <w:rsid w:val="00F125F2"/>
    <w:rsid w:val="00F1308E"/>
    <w:rsid w:val="00F142A6"/>
    <w:rsid w:val="00F1443C"/>
    <w:rsid w:val="00F14B0B"/>
    <w:rsid w:val="00F15897"/>
    <w:rsid w:val="00F16812"/>
    <w:rsid w:val="00F16B0C"/>
    <w:rsid w:val="00F16C9C"/>
    <w:rsid w:val="00F230A2"/>
    <w:rsid w:val="00F233A3"/>
    <w:rsid w:val="00F24710"/>
    <w:rsid w:val="00F25896"/>
    <w:rsid w:val="00F25E76"/>
    <w:rsid w:val="00F2765C"/>
    <w:rsid w:val="00F30845"/>
    <w:rsid w:val="00F31734"/>
    <w:rsid w:val="00F32E0B"/>
    <w:rsid w:val="00F33001"/>
    <w:rsid w:val="00F409EA"/>
    <w:rsid w:val="00F41206"/>
    <w:rsid w:val="00F42698"/>
    <w:rsid w:val="00F42959"/>
    <w:rsid w:val="00F42AFA"/>
    <w:rsid w:val="00F44ADE"/>
    <w:rsid w:val="00F44FDF"/>
    <w:rsid w:val="00F47502"/>
    <w:rsid w:val="00F51E8B"/>
    <w:rsid w:val="00F5332A"/>
    <w:rsid w:val="00F54B40"/>
    <w:rsid w:val="00F62A8A"/>
    <w:rsid w:val="00F64A31"/>
    <w:rsid w:val="00F64E86"/>
    <w:rsid w:val="00F6502A"/>
    <w:rsid w:val="00F662F6"/>
    <w:rsid w:val="00F66320"/>
    <w:rsid w:val="00F66AD8"/>
    <w:rsid w:val="00F679D5"/>
    <w:rsid w:val="00F67C45"/>
    <w:rsid w:val="00F719D1"/>
    <w:rsid w:val="00F72C86"/>
    <w:rsid w:val="00F754E6"/>
    <w:rsid w:val="00F76561"/>
    <w:rsid w:val="00F779C6"/>
    <w:rsid w:val="00F802E0"/>
    <w:rsid w:val="00F80788"/>
    <w:rsid w:val="00F82DEB"/>
    <w:rsid w:val="00F841C2"/>
    <w:rsid w:val="00F854FC"/>
    <w:rsid w:val="00F85EEA"/>
    <w:rsid w:val="00F87E69"/>
    <w:rsid w:val="00F93DC5"/>
    <w:rsid w:val="00F93EA7"/>
    <w:rsid w:val="00F9448F"/>
    <w:rsid w:val="00F94E95"/>
    <w:rsid w:val="00F96A12"/>
    <w:rsid w:val="00F96C5C"/>
    <w:rsid w:val="00F97FC6"/>
    <w:rsid w:val="00FA0D4B"/>
    <w:rsid w:val="00FA1EAF"/>
    <w:rsid w:val="00FA267F"/>
    <w:rsid w:val="00FA307E"/>
    <w:rsid w:val="00FA4308"/>
    <w:rsid w:val="00FA4C53"/>
    <w:rsid w:val="00FA4DE3"/>
    <w:rsid w:val="00FA5295"/>
    <w:rsid w:val="00FA5520"/>
    <w:rsid w:val="00FB066F"/>
    <w:rsid w:val="00FB06FC"/>
    <w:rsid w:val="00FB077C"/>
    <w:rsid w:val="00FB197D"/>
    <w:rsid w:val="00FB42EA"/>
    <w:rsid w:val="00FB43B5"/>
    <w:rsid w:val="00FB5C48"/>
    <w:rsid w:val="00FB7646"/>
    <w:rsid w:val="00FB7B14"/>
    <w:rsid w:val="00FC0F0B"/>
    <w:rsid w:val="00FC11C9"/>
    <w:rsid w:val="00FC274D"/>
    <w:rsid w:val="00FC384F"/>
    <w:rsid w:val="00FC468F"/>
    <w:rsid w:val="00FC4D09"/>
    <w:rsid w:val="00FC57FA"/>
    <w:rsid w:val="00FC5B2E"/>
    <w:rsid w:val="00FC7636"/>
    <w:rsid w:val="00FC7EFB"/>
    <w:rsid w:val="00FD1427"/>
    <w:rsid w:val="00FD15AF"/>
    <w:rsid w:val="00FD2CC5"/>
    <w:rsid w:val="00FD4249"/>
    <w:rsid w:val="00FD554E"/>
    <w:rsid w:val="00FD5ABB"/>
    <w:rsid w:val="00FD68BE"/>
    <w:rsid w:val="00FD7DEE"/>
    <w:rsid w:val="00FE235E"/>
    <w:rsid w:val="00FE2617"/>
    <w:rsid w:val="00FE31C4"/>
    <w:rsid w:val="00FE4A38"/>
    <w:rsid w:val="00FE501C"/>
    <w:rsid w:val="00FE57F9"/>
    <w:rsid w:val="00FE60C5"/>
    <w:rsid w:val="00FE6BB2"/>
    <w:rsid w:val="00FE7922"/>
    <w:rsid w:val="00FF07E4"/>
    <w:rsid w:val="00FF167F"/>
    <w:rsid w:val="00FF1E30"/>
    <w:rsid w:val="00FF5BEA"/>
    <w:rsid w:val="00FF69AC"/>
    <w:rsid w:val="00FF6F2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A8687E"/>
  <w15:chartTrackingRefBased/>
  <w15:docId w15:val="{7523CA5D-4F21-4DCC-9407-A8EC9C8D4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94524"/>
    <w:pPr>
      <w:jc w:val="both"/>
    </w:pPr>
    <w:rPr>
      <w:sz w:val="26"/>
    </w:rPr>
  </w:style>
  <w:style w:type="paragraph" w:styleId="Cmsor1">
    <w:name w:val="heading 1"/>
    <w:basedOn w:val="Norml"/>
    <w:next w:val="Norml"/>
    <w:qFormat/>
    <w:rsid w:val="00794524"/>
    <w:pPr>
      <w:keepNext/>
      <w:numPr>
        <w:numId w:val="1"/>
      </w:numPr>
      <w:spacing w:before="240" w:after="60"/>
      <w:jc w:val="left"/>
      <w:outlineLvl w:val="0"/>
    </w:pPr>
    <w:rPr>
      <w:rFonts w:ascii="Arial" w:hAnsi="Arial"/>
      <w:b/>
      <w:kern w:val="28"/>
      <w:sz w:val="28"/>
    </w:rPr>
  </w:style>
  <w:style w:type="paragraph" w:styleId="Cmsor2">
    <w:name w:val="heading 2"/>
    <w:basedOn w:val="Norml"/>
    <w:next w:val="Norml"/>
    <w:qFormat/>
    <w:rsid w:val="00794524"/>
    <w:pPr>
      <w:keepNext/>
      <w:numPr>
        <w:ilvl w:val="1"/>
        <w:numId w:val="1"/>
      </w:numPr>
      <w:spacing w:before="240" w:after="60"/>
      <w:jc w:val="left"/>
      <w:outlineLvl w:val="1"/>
    </w:pPr>
    <w:rPr>
      <w:rFonts w:ascii="Arial" w:hAnsi="Arial"/>
      <w:b/>
      <w:i/>
      <w:sz w:val="24"/>
    </w:rPr>
  </w:style>
  <w:style w:type="paragraph" w:styleId="Cmsor3">
    <w:name w:val="heading 3"/>
    <w:basedOn w:val="Norml"/>
    <w:next w:val="Norml"/>
    <w:qFormat/>
    <w:rsid w:val="00794524"/>
    <w:pPr>
      <w:keepNext/>
      <w:numPr>
        <w:ilvl w:val="2"/>
        <w:numId w:val="1"/>
      </w:numPr>
      <w:spacing w:before="240" w:after="60"/>
      <w:jc w:val="left"/>
      <w:outlineLvl w:val="2"/>
    </w:pPr>
    <w:rPr>
      <w:b/>
      <w:sz w:val="24"/>
    </w:rPr>
  </w:style>
  <w:style w:type="paragraph" w:styleId="Cmsor4">
    <w:name w:val="heading 4"/>
    <w:basedOn w:val="Norml"/>
    <w:next w:val="Norml"/>
    <w:qFormat/>
    <w:rsid w:val="00794524"/>
    <w:pPr>
      <w:keepNext/>
      <w:numPr>
        <w:ilvl w:val="3"/>
        <w:numId w:val="1"/>
      </w:numPr>
      <w:spacing w:before="240" w:after="60"/>
      <w:jc w:val="left"/>
      <w:outlineLvl w:val="3"/>
    </w:pPr>
    <w:rPr>
      <w:b/>
      <w:i/>
      <w:sz w:val="24"/>
    </w:rPr>
  </w:style>
  <w:style w:type="paragraph" w:styleId="Cmsor5">
    <w:name w:val="heading 5"/>
    <w:basedOn w:val="Norml"/>
    <w:next w:val="Norml"/>
    <w:qFormat/>
    <w:rsid w:val="00794524"/>
    <w:pPr>
      <w:numPr>
        <w:ilvl w:val="4"/>
        <w:numId w:val="1"/>
      </w:numPr>
      <w:spacing w:before="240" w:after="60"/>
      <w:jc w:val="left"/>
      <w:outlineLvl w:val="4"/>
    </w:pPr>
    <w:rPr>
      <w:rFonts w:ascii="Arial" w:hAnsi="Arial"/>
      <w:sz w:val="22"/>
    </w:rPr>
  </w:style>
  <w:style w:type="paragraph" w:styleId="Cmsor6">
    <w:name w:val="heading 6"/>
    <w:basedOn w:val="Norml"/>
    <w:next w:val="Norml"/>
    <w:qFormat/>
    <w:rsid w:val="00794524"/>
    <w:pPr>
      <w:numPr>
        <w:ilvl w:val="5"/>
        <w:numId w:val="1"/>
      </w:numPr>
      <w:spacing w:before="240" w:after="60"/>
      <w:jc w:val="left"/>
      <w:outlineLvl w:val="5"/>
    </w:pPr>
    <w:rPr>
      <w:rFonts w:ascii="Arial" w:hAnsi="Arial"/>
      <w:i/>
      <w:sz w:val="22"/>
    </w:rPr>
  </w:style>
  <w:style w:type="paragraph" w:styleId="Cmsor7">
    <w:name w:val="heading 7"/>
    <w:basedOn w:val="Norml"/>
    <w:next w:val="Norml"/>
    <w:qFormat/>
    <w:rsid w:val="00794524"/>
    <w:pPr>
      <w:numPr>
        <w:ilvl w:val="6"/>
        <w:numId w:val="1"/>
      </w:numPr>
      <w:spacing w:before="240" w:after="60"/>
      <w:jc w:val="left"/>
      <w:outlineLvl w:val="6"/>
    </w:pPr>
    <w:rPr>
      <w:rFonts w:ascii="Arial" w:hAnsi="Arial"/>
      <w:sz w:val="20"/>
    </w:rPr>
  </w:style>
  <w:style w:type="paragraph" w:styleId="Cmsor8">
    <w:name w:val="heading 8"/>
    <w:basedOn w:val="Norml"/>
    <w:next w:val="Norml"/>
    <w:qFormat/>
    <w:rsid w:val="00794524"/>
    <w:pPr>
      <w:numPr>
        <w:ilvl w:val="7"/>
        <w:numId w:val="1"/>
      </w:numPr>
      <w:spacing w:before="240" w:after="60"/>
      <w:jc w:val="left"/>
      <w:outlineLvl w:val="7"/>
    </w:pPr>
    <w:rPr>
      <w:rFonts w:ascii="Arial" w:hAnsi="Arial"/>
      <w:i/>
      <w:sz w:val="20"/>
    </w:rPr>
  </w:style>
  <w:style w:type="paragraph" w:styleId="Cmsor9">
    <w:name w:val="heading 9"/>
    <w:basedOn w:val="Norml"/>
    <w:next w:val="Norml"/>
    <w:qFormat/>
    <w:rsid w:val="00794524"/>
    <w:pPr>
      <w:numPr>
        <w:ilvl w:val="8"/>
        <w:numId w:val="1"/>
      </w:numPr>
      <w:spacing w:before="240" w:after="60"/>
      <w:jc w:val="left"/>
      <w:outlineLvl w:val="8"/>
    </w:pPr>
    <w:rPr>
      <w:rFonts w:ascii="Arial" w:hAnsi="Arial"/>
      <w:i/>
      <w:sz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794524"/>
    <w:pPr>
      <w:tabs>
        <w:tab w:val="center" w:pos="4320"/>
        <w:tab w:val="right" w:pos="8640"/>
      </w:tabs>
      <w:spacing w:before="120"/>
      <w:jc w:val="left"/>
    </w:pPr>
    <w:rPr>
      <w:rFonts w:ascii="CG Times (W1)" w:hAnsi="CG Times (W1)"/>
      <w:sz w:val="20"/>
      <w:lang w:val="x-none" w:eastAsia="x-none"/>
    </w:rPr>
  </w:style>
  <w:style w:type="paragraph" w:styleId="lfej">
    <w:name w:val="header"/>
    <w:basedOn w:val="Norml"/>
    <w:rsid w:val="00794524"/>
    <w:pPr>
      <w:pBdr>
        <w:bottom w:val="single" w:sz="6" w:space="1" w:color="auto"/>
      </w:pBdr>
      <w:jc w:val="left"/>
    </w:pPr>
    <w:rPr>
      <w:rFonts w:ascii="H-Times New Roman" w:hAnsi="H-Times New Roman"/>
      <w:sz w:val="20"/>
    </w:rPr>
  </w:style>
  <w:style w:type="character" w:styleId="Oldalszm">
    <w:name w:val="page number"/>
    <w:basedOn w:val="Bekezdsalapbettpusa"/>
    <w:rsid w:val="00794524"/>
  </w:style>
  <w:style w:type="character" w:styleId="Jegyzethivatkozs">
    <w:name w:val="annotation reference"/>
    <w:uiPriority w:val="99"/>
    <w:semiHidden/>
    <w:rsid w:val="00794524"/>
    <w:rPr>
      <w:sz w:val="16"/>
    </w:rPr>
  </w:style>
  <w:style w:type="paragraph" w:styleId="Jegyzetszveg">
    <w:name w:val="annotation text"/>
    <w:basedOn w:val="Norml"/>
    <w:link w:val="JegyzetszvegChar"/>
    <w:uiPriority w:val="99"/>
    <w:semiHidden/>
    <w:rsid w:val="00794524"/>
    <w:rPr>
      <w:sz w:val="20"/>
    </w:rPr>
  </w:style>
  <w:style w:type="character" w:styleId="Lbjegyzet-hivatkozs">
    <w:name w:val="footnote reference"/>
    <w:semiHidden/>
    <w:rsid w:val="00794524"/>
    <w:rPr>
      <w:vertAlign w:val="superscript"/>
    </w:rPr>
  </w:style>
  <w:style w:type="paragraph" w:styleId="Szvegblokk">
    <w:name w:val="Block Text"/>
    <w:basedOn w:val="Norml"/>
    <w:rsid w:val="00794524"/>
    <w:pPr>
      <w:spacing w:before="120"/>
      <w:ind w:left="283" w:right="562"/>
    </w:pPr>
    <w:rPr>
      <w:sz w:val="24"/>
    </w:rPr>
  </w:style>
  <w:style w:type="paragraph" w:styleId="Szvegtrzs">
    <w:name w:val="Body Text"/>
    <w:basedOn w:val="Norml"/>
    <w:rsid w:val="00794524"/>
    <w:pPr>
      <w:jc w:val="left"/>
    </w:pPr>
    <w:rPr>
      <w:snapToGrid w:val="0"/>
      <w:sz w:val="24"/>
      <w:lang w:val="en-AU" w:eastAsia="en-US"/>
    </w:rPr>
  </w:style>
  <w:style w:type="paragraph" w:styleId="Lbjegyzetszveg">
    <w:name w:val="footnote text"/>
    <w:basedOn w:val="Norml"/>
    <w:semiHidden/>
    <w:rsid w:val="00794524"/>
    <w:pPr>
      <w:jc w:val="left"/>
    </w:pPr>
    <w:rPr>
      <w:sz w:val="20"/>
    </w:rPr>
  </w:style>
  <w:style w:type="paragraph" w:styleId="Szvegtrzs2">
    <w:name w:val="Body Text 2"/>
    <w:basedOn w:val="Norml"/>
    <w:rsid w:val="00794524"/>
    <w:rPr>
      <w:sz w:val="24"/>
    </w:rPr>
  </w:style>
  <w:style w:type="paragraph" w:styleId="Szvegtrzs3">
    <w:name w:val="Body Text 3"/>
    <w:basedOn w:val="Norml"/>
    <w:link w:val="Szvegtrzs3Char"/>
    <w:rsid w:val="00794524"/>
    <w:pPr>
      <w:outlineLvl w:val="0"/>
    </w:pPr>
    <w:rPr>
      <w:b/>
      <w:i/>
      <w:sz w:val="24"/>
      <w:lang w:val="x-none" w:eastAsia="x-none"/>
    </w:rPr>
  </w:style>
  <w:style w:type="paragraph" w:customStyle="1" w:styleId="SzvegChar">
    <w:name w:val="Szöveg Char"/>
    <w:basedOn w:val="Norml"/>
    <w:rsid w:val="00794524"/>
    <w:pPr>
      <w:tabs>
        <w:tab w:val="left" w:pos="360"/>
      </w:tabs>
      <w:spacing w:before="120"/>
      <w:ind w:left="431" w:firstLine="289"/>
    </w:pPr>
    <w:rPr>
      <w:sz w:val="24"/>
    </w:rPr>
  </w:style>
  <w:style w:type="paragraph" w:styleId="Buborkszveg">
    <w:name w:val="Balloon Text"/>
    <w:basedOn w:val="Norml"/>
    <w:semiHidden/>
    <w:rsid w:val="00794524"/>
    <w:rPr>
      <w:rFonts w:ascii="Tahoma" w:hAnsi="Tahoma" w:cs="Tahoma"/>
      <w:sz w:val="16"/>
      <w:szCs w:val="16"/>
    </w:rPr>
  </w:style>
  <w:style w:type="paragraph" w:styleId="Megjegyzstrgya">
    <w:name w:val="annotation subject"/>
    <w:basedOn w:val="Jegyzetszveg"/>
    <w:next w:val="Jegyzetszveg"/>
    <w:semiHidden/>
    <w:rsid w:val="00794524"/>
    <w:rPr>
      <w:b/>
      <w:bCs/>
    </w:rPr>
  </w:style>
  <w:style w:type="paragraph" w:customStyle="1" w:styleId="Szveg">
    <w:name w:val="Szöveg"/>
    <w:basedOn w:val="Norml"/>
    <w:rsid w:val="00794524"/>
    <w:pPr>
      <w:tabs>
        <w:tab w:val="left" w:pos="360"/>
      </w:tabs>
      <w:overflowPunct w:val="0"/>
      <w:autoSpaceDE w:val="0"/>
      <w:autoSpaceDN w:val="0"/>
      <w:adjustRightInd w:val="0"/>
      <w:spacing w:before="120"/>
      <w:ind w:left="431" w:firstLine="289"/>
      <w:textAlignment w:val="baseline"/>
    </w:pPr>
    <w:rPr>
      <w:sz w:val="24"/>
      <w:lang w:eastAsia="en-US"/>
    </w:rPr>
  </w:style>
  <w:style w:type="paragraph" w:customStyle="1" w:styleId="CharChar1CharCharCharCharCharCharCharCharCharCharCharCharChar">
    <w:name w:val="Char Char1 Char Char Char Char Char Char Char Char Char Char Char Char Char"/>
    <w:basedOn w:val="Norml"/>
    <w:rsid w:val="00794524"/>
    <w:pPr>
      <w:spacing w:after="160" w:line="240" w:lineRule="exact"/>
      <w:jc w:val="left"/>
    </w:pPr>
    <w:rPr>
      <w:rFonts w:ascii="Verdana" w:hAnsi="Verdana"/>
      <w:sz w:val="20"/>
      <w:lang w:val="en-US" w:eastAsia="en-US"/>
    </w:rPr>
  </w:style>
  <w:style w:type="paragraph" w:styleId="Szvegtrzsbehzssal2">
    <w:name w:val="Body Text Indent 2"/>
    <w:basedOn w:val="Norml"/>
    <w:rsid w:val="00794524"/>
    <w:pPr>
      <w:ind w:left="709"/>
    </w:pPr>
    <w:rPr>
      <w:rFonts w:ascii="Garamond" w:hAnsi="Garamond"/>
      <w:sz w:val="22"/>
      <w:szCs w:val="22"/>
    </w:rPr>
  </w:style>
  <w:style w:type="paragraph" w:customStyle="1" w:styleId="ossz2">
    <w:name w:val="ossz2"/>
    <w:basedOn w:val="Norml"/>
    <w:next w:val="Norml"/>
    <w:rsid w:val="00794524"/>
    <w:pPr>
      <w:spacing w:after="120"/>
    </w:pPr>
    <w:rPr>
      <w:sz w:val="24"/>
    </w:rPr>
  </w:style>
  <w:style w:type="character" w:styleId="Kiemels2">
    <w:name w:val="Strong"/>
    <w:qFormat/>
    <w:rsid w:val="00794524"/>
    <w:rPr>
      <w:b/>
    </w:rPr>
  </w:style>
  <w:style w:type="character" w:styleId="Hiperhivatkozs">
    <w:name w:val="Hyperlink"/>
    <w:rsid w:val="00794524"/>
    <w:rPr>
      <w:color w:val="0000FF"/>
      <w:u w:val="single"/>
    </w:rPr>
  </w:style>
  <w:style w:type="paragraph" w:styleId="Szvegtrzsbehzssal">
    <w:name w:val="Body Text Indent"/>
    <w:basedOn w:val="Norml"/>
    <w:rsid w:val="00794524"/>
    <w:pPr>
      <w:spacing w:after="120"/>
      <w:ind w:left="283"/>
    </w:pPr>
  </w:style>
  <w:style w:type="paragraph" w:styleId="Vltozat">
    <w:name w:val="Revision"/>
    <w:hidden/>
    <w:uiPriority w:val="99"/>
    <w:semiHidden/>
    <w:rsid w:val="0091363F"/>
    <w:rPr>
      <w:sz w:val="26"/>
    </w:rPr>
  </w:style>
  <w:style w:type="character" w:customStyle="1" w:styleId="JegyzetszvegChar">
    <w:name w:val="Jegyzetszöveg Char"/>
    <w:basedOn w:val="Bekezdsalapbettpusa"/>
    <w:link w:val="Jegyzetszveg"/>
    <w:uiPriority w:val="99"/>
    <w:semiHidden/>
    <w:rsid w:val="007D75C8"/>
  </w:style>
  <w:style w:type="paragraph" w:styleId="Listaszerbekezds">
    <w:name w:val="List Paragraph"/>
    <w:aliases w:val="lista_2"/>
    <w:basedOn w:val="Norml"/>
    <w:link w:val="ListaszerbekezdsChar"/>
    <w:uiPriority w:val="4"/>
    <w:qFormat/>
    <w:rsid w:val="00754456"/>
    <w:pPr>
      <w:ind w:left="708"/>
    </w:pPr>
    <w:rPr>
      <w:lang w:val="x-none" w:eastAsia="x-none"/>
    </w:rPr>
  </w:style>
  <w:style w:type="character" w:customStyle="1" w:styleId="Szvegtrzs3Char">
    <w:name w:val="Szövegtörzs 3 Char"/>
    <w:link w:val="Szvegtrzs3"/>
    <w:rsid w:val="00B36504"/>
    <w:rPr>
      <w:b/>
      <w:i/>
      <w:sz w:val="24"/>
    </w:rPr>
  </w:style>
  <w:style w:type="character" w:customStyle="1" w:styleId="ListaszerbekezdsChar">
    <w:name w:val="Listaszerű bekezdés Char"/>
    <w:aliases w:val="lista_2 Char"/>
    <w:link w:val="Listaszerbekezds"/>
    <w:uiPriority w:val="4"/>
    <w:rsid w:val="00017CC4"/>
    <w:rPr>
      <w:sz w:val="26"/>
    </w:rPr>
  </w:style>
  <w:style w:type="paragraph" w:customStyle="1" w:styleId="Listaszerbekezds2szint">
    <w:name w:val="Listaszerű bekezdés 2. szint"/>
    <w:basedOn w:val="Listaszerbekezds"/>
    <w:uiPriority w:val="4"/>
    <w:qFormat/>
    <w:rsid w:val="00017CC4"/>
    <w:pPr>
      <w:ind w:left="1440" w:hanging="360"/>
      <w:contextualSpacing/>
    </w:pPr>
  </w:style>
  <w:style w:type="paragraph" w:customStyle="1" w:styleId="Listaszerbekezds3szint">
    <w:name w:val="Listaszerű bekezdés 3. szint"/>
    <w:basedOn w:val="Listaszerbekezds"/>
    <w:uiPriority w:val="4"/>
    <w:qFormat/>
    <w:rsid w:val="00017CC4"/>
    <w:pPr>
      <w:ind w:left="2160" w:hanging="360"/>
      <w:contextualSpacing/>
    </w:pPr>
  </w:style>
  <w:style w:type="character" w:customStyle="1" w:styleId="llbChar">
    <w:name w:val="Élőláb Char"/>
    <w:link w:val="llb"/>
    <w:uiPriority w:val="99"/>
    <w:rsid w:val="00C6018F"/>
    <w:rPr>
      <w:rFonts w:ascii="CG Times (W1)" w:hAnsi="CG Times (W1)"/>
    </w:rPr>
  </w:style>
  <w:style w:type="character" w:styleId="Mrltotthiperhivatkozs">
    <w:name w:val="FollowedHyperlink"/>
    <w:uiPriority w:val="99"/>
    <w:semiHidden/>
    <w:unhideWhenUsed/>
    <w:rsid w:val="007C41A5"/>
    <w:rPr>
      <w:color w:val="800080"/>
      <w:u w:val="single"/>
    </w:rPr>
  </w:style>
  <w:style w:type="paragraph" w:styleId="NormlWeb">
    <w:name w:val="Normal (Web)"/>
    <w:basedOn w:val="Norml"/>
    <w:uiPriority w:val="99"/>
    <w:unhideWhenUsed/>
    <w:rsid w:val="00380532"/>
    <w:pPr>
      <w:spacing w:after="20"/>
      <w:ind w:firstLine="180"/>
    </w:pPr>
    <w:rPr>
      <w:sz w:val="24"/>
      <w:szCs w:val="24"/>
    </w:rPr>
  </w:style>
  <w:style w:type="character" w:styleId="Feloldatlanmegemlts">
    <w:name w:val="Unresolved Mention"/>
    <w:basedOn w:val="Bekezdsalapbettpusa"/>
    <w:uiPriority w:val="99"/>
    <w:semiHidden/>
    <w:unhideWhenUsed/>
    <w:rsid w:val="00404EB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04768">
      <w:bodyDiv w:val="1"/>
      <w:marLeft w:val="0"/>
      <w:marRight w:val="0"/>
      <w:marTop w:val="0"/>
      <w:marBottom w:val="0"/>
      <w:divBdr>
        <w:top w:val="none" w:sz="0" w:space="0" w:color="auto"/>
        <w:left w:val="none" w:sz="0" w:space="0" w:color="auto"/>
        <w:bottom w:val="none" w:sz="0" w:space="0" w:color="auto"/>
        <w:right w:val="none" w:sz="0" w:space="0" w:color="auto"/>
      </w:divBdr>
    </w:div>
    <w:div w:id="148063447">
      <w:bodyDiv w:val="1"/>
      <w:marLeft w:val="0"/>
      <w:marRight w:val="0"/>
      <w:marTop w:val="0"/>
      <w:marBottom w:val="0"/>
      <w:divBdr>
        <w:top w:val="none" w:sz="0" w:space="0" w:color="auto"/>
        <w:left w:val="none" w:sz="0" w:space="0" w:color="auto"/>
        <w:bottom w:val="none" w:sz="0" w:space="0" w:color="auto"/>
        <w:right w:val="none" w:sz="0" w:space="0" w:color="auto"/>
      </w:divBdr>
      <w:divsChild>
        <w:div w:id="791632822">
          <w:marLeft w:val="0"/>
          <w:marRight w:val="0"/>
          <w:marTop w:val="0"/>
          <w:marBottom w:val="0"/>
          <w:divBdr>
            <w:top w:val="none" w:sz="0" w:space="0" w:color="auto"/>
            <w:left w:val="none" w:sz="0" w:space="0" w:color="auto"/>
            <w:bottom w:val="none" w:sz="0" w:space="0" w:color="auto"/>
            <w:right w:val="none" w:sz="0" w:space="0" w:color="auto"/>
          </w:divBdr>
          <w:divsChild>
            <w:div w:id="986322680">
              <w:marLeft w:val="0"/>
              <w:marRight w:val="0"/>
              <w:marTop w:val="0"/>
              <w:marBottom w:val="0"/>
              <w:divBdr>
                <w:top w:val="none" w:sz="0" w:space="0" w:color="auto"/>
                <w:left w:val="none" w:sz="0" w:space="0" w:color="auto"/>
                <w:bottom w:val="none" w:sz="0" w:space="0" w:color="auto"/>
                <w:right w:val="none" w:sz="0" w:space="0" w:color="auto"/>
              </w:divBdr>
              <w:divsChild>
                <w:div w:id="42245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55860">
      <w:bodyDiv w:val="1"/>
      <w:marLeft w:val="0"/>
      <w:marRight w:val="0"/>
      <w:marTop w:val="0"/>
      <w:marBottom w:val="0"/>
      <w:divBdr>
        <w:top w:val="none" w:sz="0" w:space="0" w:color="auto"/>
        <w:left w:val="none" w:sz="0" w:space="0" w:color="auto"/>
        <w:bottom w:val="none" w:sz="0" w:space="0" w:color="auto"/>
        <w:right w:val="none" w:sz="0" w:space="0" w:color="auto"/>
      </w:divBdr>
    </w:div>
    <w:div w:id="404957106">
      <w:bodyDiv w:val="1"/>
      <w:marLeft w:val="0"/>
      <w:marRight w:val="0"/>
      <w:marTop w:val="0"/>
      <w:marBottom w:val="0"/>
      <w:divBdr>
        <w:top w:val="none" w:sz="0" w:space="0" w:color="auto"/>
        <w:left w:val="none" w:sz="0" w:space="0" w:color="auto"/>
        <w:bottom w:val="none" w:sz="0" w:space="0" w:color="auto"/>
        <w:right w:val="none" w:sz="0" w:space="0" w:color="auto"/>
      </w:divBdr>
    </w:div>
    <w:div w:id="584849274">
      <w:bodyDiv w:val="1"/>
      <w:marLeft w:val="0"/>
      <w:marRight w:val="0"/>
      <w:marTop w:val="0"/>
      <w:marBottom w:val="0"/>
      <w:divBdr>
        <w:top w:val="none" w:sz="0" w:space="0" w:color="auto"/>
        <w:left w:val="none" w:sz="0" w:space="0" w:color="auto"/>
        <w:bottom w:val="none" w:sz="0" w:space="0" w:color="auto"/>
        <w:right w:val="none" w:sz="0" w:space="0" w:color="auto"/>
      </w:divBdr>
    </w:div>
    <w:div w:id="625233869">
      <w:bodyDiv w:val="1"/>
      <w:marLeft w:val="0"/>
      <w:marRight w:val="0"/>
      <w:marTop w:val="0"/>
      <w:marBottom w:val="0"/>
      <w:divBdr>
        <w:top w:val="none" w:sz="0" w:space="0" w:color="auto"/>
        <w:left w:val="none" w:sz="0" w:space="0" w:color="auto"/>
        <w:bottom w:val="none" w:sz="0" w:space="0" w:color="auto"/>
        <w:right w:val="none" w:sz="0" w:space="0" w:color="auto"/>
      </w:divBdr>
    </w:div>
    <w:div w:id="756287494">
      <w:bodyDiv w:val="1"/>
      <w:marLeft w:val="0"/>
      <w:marRight w:val="0"/>
      <w:marTop w:val="0"/>
      <w:marBottom w:val="0"/>
      <w:divBdr>
        <w:top w:val="none" w:sz="0" w:space="0" w:color="auto"/>
        <w:left w:val="none" w:sz="0" w:space="0" w:color="auto"/>
        <w:bottom w:val="none" w:sz="0" w:space="0" w:color="auto"/>
        <w:right w:val="none" w:sz="0" w:space="0" w:color="auto"/>
      </w:divBdr>
    </w:div>
    <w:div w:id="781535206">
      <w:bodyDiv w:val="1"/>
      <w:marLeft w:val="0"/>
      <w:marRight w:val="0"/>
      <w:marTop w:val="0"/>
      <w:marBottom w:val="0"/>
      <w:divBdr>
        <w:top w:val="none" w:sz="0" w:space="0" w:color="auto"/>
        <w:left w:val="none" w:sz="0" w:space="0" w:color="auto"/>
        <w:bottom w:val="none" w:sz="0" w:space="0" w:color="auto"/>
        <w:right w:val="none" w:sz="0" w:space="0" w:color="auto"/>
      </w:divBdr>
    </w:div>
    <w:div w:id="896358833">
      <w:bodyDiv w:val="1"/>
      <w:marLeft w:val="0"/>
      <w:marRight w:val="0"/>
      <w:marTop w:val="0"/>
      <w:marBottom w:val="0"/>
      <w:divBdr>
        <w:top w:val="none" w:sz="0" w:space="0" w:color="auto"/>
        <w:left w:val="none" w:sz="0" w:space="0" w:color="auto"/>
        <w:bottom w:val="none" w:sz="0" w:space="0" w:color="auto"/>
        <w:right w:val="none" w:sz="0" w:space="0" w:color="auto"/>
      </w:divBdr>
    </w:div>
    <w:div w:id="933131269">
      <w:bodyDiv w:val="1"/>
      <w:marLeft w:val="0"/>
      <w:marRight w:val="0"/>
      <w:marTop w:val="0"/>
      <w:marBottom w:val="0"/>
      <w:divBdr>
        <w:top w:val="none" w:sz="0" w:space="0" w:color="auto"/>
        <w:left w:val="none" w:sz="0" w:space="0" w:color="auto"/>
        <w:bottom w:val="none" w:sz="0" w:space="0" w:color="auto"/>
        <w:right w:val="none" w:sz="0" w:space="0" w:color="auto"/>
      </w:divBdr>
    </w:div>
    <w:div w:id="990671460">
      <w:bodyDiv w:val="1"/>
      <w:marLeft w:val="0"/>
      <w:marRight w:val="0"/>
      <w:marTop w:val="0"/>
      <w:marBottom w:val="0"/>
      <w:divBdr>
        <w:top w:val="none" w:sz="0" w:space="0" w:color="auto"/>
        <w:left w:val="none" w:sz="0" w:space="0" w:color="auto"/>
        <w:bottom w:val="none" w:sz="0" w:space="0" w:color="auto"/>
        <w:right w:val="none" w:sz="0" w:space="0" w:color="auto"/>
      </w:divBdr>
    </w:div>
    <w:div w:id="1087384005">
      <w:bodyDiv w:val="1"/>
      <w:marLeft w:val="0"/>
      <w:marRight w:val="0"/>
      <w:marTop w:val="0"/>
      <w:marBottom w:val="0"/>
      <w:divBdr>
        <w:top w:val="none" w:sz="0" w:space="0" w:color="auto"/>
        <w:left w:val="none" w:sz="0" w:space="0" w:color="auto"/>
        <w:bottom w:val="none" w:sz="0" w:space="0" w:color="auto"/>
        <w:right w:val="none" w:sz="0" w:space="0" w:color="auto"/>
      </w:divBdr>
    </w:div>
    <w:div w:id="1087654270">
      <w:bodyDiv w:val="1"/>
      <w:marLeft w:val="0"/>
      <w:marRight w:val="0"/>
      <w:marTop w:val="0"/>
      <w:marBottom w:val="0"/>
      <w:divBdr>
        <w:top w:val="none" w:sz="0" w:space="0" w:color="auto"/>
        <w:left w:val="none" w:sz="0" w:space="0" w:color="auto"/>
        <w:bottom w:val="none" w:sz="0" w:space="0" w:color="auto"/>
        <w:right w:val="none" w:sz="0" w:space="0" w:color="auto"/>
      </w:divBdr>
    </w:div>
    <w:div w:id="1095436579">
      <w:bodyDiv w:val="1"/>
      <w:marLeft w:val="0"/>
      <w:marRight w:val="0"/>
      <w:marTop w:val="0"/>
      <w:marBottom w:val="0"/>
      <w:divBdr>
        <w:top w:val="none" w:sz="0" w:space="0" w:color="auto"/>
        <w:left w:val="none" w:sz="0" w:space="0" w:color="auto"/>
        <w:bottom w:val="none" w:sz="0" w:space="0" w:color="auto"/>
        <w:right w:val="none" w:sz="0" w:space="0" w:color="auto"/>
      </w:divBdr>
    </w:div>
    <w:div w:id="1134906886">
      <w:bodyDiv w:val="1"/>
      <w:marLeft w:val="0"/>
      <w:marRight w:val="0"/>
      <w:marTop w:val="0"/>
      <w:marBottom w:val="0"/>
      <w:divBdr>
        <w:top w:val="none" w:sz="0" w:space="0" w:color="auto"/>
        <w:left w:val="none" w:sz="0" w:space="0" w:color="auto"/>
        <w:bottom w:val="none" w:sz="0" w:space="0" w:color="auto"/>
        <w:right w:val="none" w:sz="0" w:space="0" w:color="auto"/>
      </w:divBdr>
    </w:div>
    <w:div w:id="1151364188">
      <w:bodyDiv w:val="1"/>
      <w:marLeft w:val="0"/>
      <w:marRight w:val="0"/>
      <w:marTop w:val="0"/>
      <w:marBottom w:val="0"/>
      <w:divBdr>
        <w:top w:val="none" w:sz="0" w:space="0" w:color="auto"/>
        <w:left w:val="none" w:sz="0" w:space="0" w:color="auto"/>
        <w:bottom w:val="none" w:sz="0" w:space="0" w:color="auto"/>
        <w:right w:val="none" w:sz="0" w:space="0" w:color="auto"/>
      </w:divBdr>
    </w:div>
    <w:div w:id="1360742642">
      <w:bodyDiv w:val="1"/>
      <w:marLeft w:val="0"/>
      <w:marRight w:val="0"/>
      <w:marTop w:val="0"/>
      <w:marBottom w:val="0"/>
      <w:divBdr>
        <w:top w:val="none" w:sz="0" w:space="0" w:color="auto"/>
        <w:left w:val="none" w:sz="0" w:space="0" w:color="auto"/>
        <w:bottom w:val="none" w:sz="0" w:space="0" w:color="auto"/>
        <w:right w:val="none" w:sz="0" w:space="0" w:color="auto"/>
      </w:divBdr>
    </w:div>
    <w:div w:id="1394618304">
      <w:bodyDiv w:val="1"/>
      <w:marLeft w:val="0"/>
      <w:marRight w:val="0"/>
      <w:marTop w:val="0"/>
      <w:marBottom w:val="0"/>
      <w:divBdr>
        <w:top w:val="none" w:sz="0" w:space="0" w:color="auto"/>
        <w:left w:val="none" w:sz="0" w:space="0" w:color="auto"/>
        <w:bottom w:val="none" w:sz="0" w:space="0" w:color="auto"/>
        <w:right w:val="none" w:sz="0" w:space="0" w:color="auto"/>
      </w:divBdr>
    </w:div>
    <w:div w:id="1402632900">
      <w:bodyDiv w:val="1"/>
      <w:marLeft w:val="0"/>
      <w:marRight w:val="0"/>
      <w:marTop w:val="0"/>
      <w:marBottom w:val="0"/>
      <w:divBdr>
        <w:top w:val="none" w:sz="0" w:space="0" w:color="auto"/>
        <w:left w:val="none" w:sz="0" w:space="0" w:color="auto"/>
        <w:bottom w:val="none" w:sz="0" w:space="0" w:color="auto"/>
        <w:right w:val="none" w:sz="0" w:space="0" w:color="auto"/>
      </w:divBdr>
    </w:div>
    <w:div w:id="1643079741">
      <w:bodyDiv w:val="1"/>
      <w:marLeft w:val="0"/>
      <w:marRight w:val="0"/>
      <w:marTop w:val="0"/>
      <w:marBottom w:val="0"/>
      <w:divBdr>
        <w:top w:val="none" w:sz="0" w:space="0" w:color="auto"/>
        <w:left w:val="none" w:sz="0" w:space="0" w:color="auto"/>
        <w:bottom w:val="none" w:sz="0" w:space="0" w:color="auto"/>
        <w:right w:val="none" w:sz="0" w:space="0" w:color="auto"/>
      </w:divBdr>
    </w:div>
    <w:div w:id="1679045069">
      <w:bodyDiv w:val="1"/>
      <w:marLeft w:val="0"/>
      <w:marRight w:val="0"/>
      <w:marTop w:val="0"/>
      <w:marBottom w:val="0"/>
      <w:divBdr>
        <w:top w:val="none" w:sz="0" w:space="0" w:color="auto"/>
        <w:left w:val="none" w:sz="0" w:space="0" w:color="auto"/>
        <w:bottom w:val="none" w:sz="0" w:space="0" w:color="auto"/>
        <w:right w:val="none" w:sz="0" w:space="0" w:color="auto"/>
      </w:divBdr>
    </w:div>
    <w:div w:id="1983584169">
      <w:bodyDiv w:val="1"/>
      <w:marLeft w:val="0"/>
      <w:marRight w:val="0"/>
      <w:marTop w:val="0"/>
      <w:marBottom w:val="0"/>
      <w:divBdr>
        <w:top w:val="none" w:sz="0" w:space="0" w:color="auto"/>
        <w:left w:val="none" w:sz="0" w:space="0" w:color="auto"/>
        <w:bottom w:val="none" w:sz="0" w:space="0" w:color="auto"/>
        <w:right w:val="none" w:sz="0" w:space="0" w:color="auto"/>
      </w:divBdr>
      <w:divsChild>
        <w:div w:id="1945381143">
          <w:marLeft w:val="0"/>
          <w:marRight w:val="0"/>
          <w:marTop w:val="0"/>
          <w:marBottom w:val="0"/>
          <w:divBdr>
            <w:top w:val="none" w:sz="0" w:space="0" w:color="auto"/>
            <w:left w:val="none" w:sz="0" w:space="0" w:color="auto"/>
            <w:bottom w:val="none" w:sz="0" w:space="0" w:color="auto"/>
            <w:right w:val="none" w:sz="0" w:space="0" w:color="auto"/>
          </w:divBdr>
          <w:divsChild>
            <w:div w:id="197198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atadatszolg@mnb.hu" TargetMode="Externa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statadatszolg@mnb.hu" TargetMode="Externa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ankihitel.hu/?us=fogalomtar&amp;id=455"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zp.mnb.hu/nyito/adatszolgaltatasi-eloirasok/szektormeghatarozast-segito-informaciok"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bankihitel.hu/?us=fogalomtar&amp;id=349"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nkihitel.hu/?us=fogalomtar&amp;id=211" TargetMode="External"/><Relationship Id="rId22"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77FB8-FD7F-4BA6-8DC3-E3B1E18D8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E15492E-5BD3-40A9-B59C-AEFA0E0BD1AB}">
  <ds:schemaRefs>
    <ds:schemaRef ds:uri="http://schemas.microsoft.com/sharepoint/v3/contenttype/forms"/>
  </ds:schemaRefs>
</ds:datastoreItem>
</file>

<file path=customXml/itemProps3.xml><?xml version="1.0" encoding="utf-8"?>
<ds:datastoreItem xmlns:ds="http://schemas.openxmlformats.org/officeDocument/2006/customXml" ds:itemID="{EBF019D1-1EAF-45A5-9F2D-3700F8B834D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D816A6E-15F1-44C5-894A-45113712A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26</Pages>
  <Words>12513</Words>
  <Characters>89488</Characters>
  <Application>Microsoft Office Word</Application>
  <DocSecurity>0</DocSecurity>
  <Lines>745</Lines>
  <Paragraphs>203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/2004</vt:lpstr>
      <vt:lpstr>/2004</vt:lpstr>
    </vt:vector>
  </TitlesOfParts>
  <Company>Magyar Nemzeti Bank</Company>
  <LinksUpToDate>false</LinksUpToDate>
  <CharactersWithSpaces>101798</CharactersWithSpaces>
  <SharedDoc>false</SharedDoc>
  <HLinks>
    <vt:vector size="18" baseType="variant">
      <vt:variant>
        <vt:i4>7798819</vt:i4>
      </vt:variant>
      <vt:variant>
        <vt:i4>6</vt:i4>
      </vt:variant>
      <vt:variant>
        <vt:i4>0</vt:i4>
      </vt:variant>
      <vt:variant>
        <vt:i4>5</vt:i4>
      </vt:variant>
      <vt:variant>
        <vt:lpwstr>http://www.bankihitel.hu/?us=fogalomtar&amp;id=455</vt:lpwstr>
      </vt:variant>
      <vt:variant>
        <vt:lpwstr/>
      </vt:variant>
      <vt:variant>
        <vt:i4>8126498</vt:i4>
      </vt:variant>
      <vt:variant>
        <vt:i4>3</vt:i4>
      </vt:variant>
      <vt:variant>
        <vt:i4>0</vt:i4>
      </vt:variant>
      <vt:variant>
        <vt:i4>5</vt:i4>
      </vt:variant>
      <vt:variant>
        <vt:lpwstr>http://www.bankihitel.hu/?us=fogalomtar&amp;id=349</vt:lpwstr>
      </vt:variant>
      <vt:variant>
        <vt:lpwstr/>
      </vt:variant>
      <vt:variant>
        <vt:i4>7667751</vt:i4>
      </vt:variant>
      <vt:variant>
        <vt:i4>0</vt:i4>
      </vt:variant>
      <vt:variant>
        <vt:i4>0</vt:i4>
      </vt:variant>
      <vt:variant>
        <vt:i4>5</vt:i4>
      </vt:variant>
      <vt:variant>
        <vt:lpwstr>http://www.bankihitel.hu/?us=fogalomtar&amp;id=211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dc:title>
  <dc:subject/>
  <dc:creator>Harangi Sándor</dc:creator>
  <cp:keywords/>
  <dc:description/>
  <cp:lastModifiedBy>STA</cp:lastModifiedBy>
  <cp:revision>5</cp:revision>
  <cp:lastPrinted>2019-07-12T05:34:00Z</cp:lastPrinted>
  <dcterms:created xsi:type="dcterms:W3CDTF">2024-10-11T13:09:00Z</dcterms:created>
  <dcterms:modified xsi:type="dcterms:W3CDTF">2024-10-13T16:07:00Z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2018-09-17T10:08:49.4943743+02:00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2024-07-12T05:52:14Z</vt:filetime>
  </property>
  <property fmtid="{D5CDD505-2E9C-101B-9397-08002B2CF9AE}" pid="13" name="Érvényességet beállító">
    <vt:lpwstr>gubeknei</vt:lpwstr>
  </property>
  <property fmtid="{D5CDD505-2E9C-101B-9397-08002B2CF9AE}" pid="14" name="Érvényességi idő első beállítása">
    <vt:filetime>2019-07-12T05:52:16Z</vt:filetime>
  </property>
</Properties>
</file>