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21A2" w14:textId="4F3EB13B" w:rsidR="003861A1" w:rsidRPr="008E4C88" w:rsidRDefault="009677C4" w:rsidP="00322CD5">
      <w:pPr>
        <w:spacing w:after="0" w:line="240" w:lineRule="auto"/>
        <w:jc w:val="left"/>
        <w:rPr>
          <w:rFonts w:ascii="Arial" w:eastAsia="Times New Roman" w:hAnsi="Arial" w:cs="Arial"/>
          <w:i/>
        </w:rPr>
      </w:pPr>
      <w:r>
        <w:rPr>
          <w:rFonts w:ascii="Arial" w:eastAsia="Times New Roman" w:hAnsi="Arial" w:cs="Arial"/>
        </w:rPr>
        <w:t>20</w:t>
      </w:r>
      <w:r w:rsidR="001E1F61" w:rsidRPr="008E4C88">
        <w:rPr>
          <w:rFonts w:ascii="Arial" w:eastAsia="Times New Roman" w:hAnsi="Arial" w:cs="Arial"/>
        </w:rPr>
        <w:t>. melléklet az</w:t>
      </w:r>
      <w:proofErr w:type="gramStart"/>
      <w:r w:rsidR="001E1F61" w:rsidRPr="008E4C88">
        <w:rPr>
          <w:rFonts w:ascii="Arial" w:eastAsia="Times New Roman" w:hAnsi="Arial" w:cs="Arial"/>
        </w:rPr>
        <w:t xml:space="preserve"> </w:t>
      </w:r>
      <w:r w:rsidR="00CF3396">
        <w:rPr>
          <w:rFonts w:ascii="Arial" w:eastAsia="Times New Roman" w:hAnsi="Arial" w:cs="Arial"/>
        </w:rPr>
        <w:t>..</w:t>
      </w:r>
      <w:proofErr w:type="gramEnd"/>
      <w:r w:rsidR="001E1F61" w:rsidRPr="008E4C88">
        <w:rPr>
          <w:rFonts w:ascii="Arial" w:hAnsi="Arial" w:cs="Arial"/>
        </w:rPr>
        <w:t>/202</w:t>
      </w:r>
      <w:r w:rsidR="00CF3396">
        <w:rPr>
          <w:rFonts w:ascii="Arial" w:hAnsi="Arial" w:cs="Arial"/>
        </w:rPr>
        <w:t>4</w:t>
      </w:r>
      <w:r w:rsidR="001E1F61" w:rsidRPr="008E4C88">
        <w:rPr>
          <w:rFonts w:ascii="Arial" w:hAnsi="Arial" w:cs="Arial"/>
        </w:rPr>
        <w:t>. (</w:t>
      </w:r>
      <w:r w:rsidR="00CF3396">
        <w:rPr>
          <w:rFonts w:ascii="Arial" w:hAnsi="Arial" w:cs="Arial"/>
        </w:rPr>
        <w:t>..</w:t>
      </w:r>
      <w:r w:rsidR="001E1F61" w:rsidRPr="008E4C88">
        <w:rPr>
          <w:rFonts w:ascii="Arial" w:hAnsi="Arial" w:cs="Arial"/>
        </w:rPr>
        <w:t xml:space="preserve">. </w:t>
      </w:r>
      <w:r w:rsidR="00CF3396">
        <w:rPr>
          <w:rFonts w:ascii="Arial" w:hAnsi="Arial" w:cs="Arial"/>
        </w:rPr>
        <w:t>..</w:t>
      </w:r>
      <w:r w:rsidR="001E1F61" w:rsidRPr="008E4C88">
        <w:rPr>
          <w:rFonts w:ascii="Arial" w:hAnsi="Arial" w:cs="Arial"/>
        </w:rPr>
        <w:t>.) MNB rendelethez</w:t>
      </w:r>
    </w:p>
    <w:p w14:paraId="4328214A" w14:textId="77777777" w:rsidR="00E93DDD" w:rsidRPr="008E4C88" w:rsidRDefault="00E93DDD" w:rsidP="00C6766F">
      <w:pPr>
        <w:spacing w:after="0" w:line="240" w:lineRule="auto"/>
        <w:jc w:val="center"/>
        <w:rPr>
          <w:rFonts w:ascii="Arial" w:eastAsia="Times New Roman" w:hAnsi="Arial" w:cs="Arial"/>
          <w:b/>
        </w:rPr>
      </w:pPr>
    </w:p>
    <w:p w14:paraId="1207735A" w14:textId="254B3A94" w:rsidR="00693422" w:rsidRPr="00B251F9" w:rsidRDefault="00693422" w:rsidP="00693422">
      <w:pPr>
        <w:rPr>
          <w:rFonts w:ascii="Arial" w:hAnsi="Arial" w:cs="Arial"/>
        </w:rPr>
      </w:pPr>
      <w:r w:rsidRPr="0032002E">
        <w:rPr>
          <w:rFonts w:ascii="Arial" w:hAnsi="Arial" w:cs="Arial"/>
        </w:rPr>
        <w:t xml:space="preserve">A </w:t>
      </w:r>
      <w:r w:rsidR="009314ED">
        <w:rPr>
          <w:rFonts w:ascii="Arial" w:hAnsi="Arial" w:cs="Arial"/>
        </w:rPr>
        <w:t>7</w:t>
      </w:r>
      <w:r w:rsidRPr="0032002E">
        <w:rPr>
          <w:rFonts w:ascii="Arial" w:hAnsi="Arial" w:cs="Arial"/>
        </w:rPr>
        <w:t xml:space="preserve">. melléklet </w:t>
      </w:r>
      <w:r>
        <w:rPr>
          <w:rFonts w:ascii="Arial" w:hAnsi="Arial" w:cs="Arial"/>
        </w:rPr>
        <w:t>III</w:t>
      </w:r>
      <w:r w:rsidRPr="0032002E">
        <w:rPr>
          <w:rFonts w:ascii="Arial" w:hAnsi="Arial" w:cs="Arial"/>
        </w:rPr>
        <w:t xml:space="preserve">. pont </w:t>
      </w:r>
      <w:r w:rsidRPr="00693422">
        <w:rPr>
          <w:rFonts w:ascii="Arial" w:hAnsi="Arial" w:cs="Arial"/>
        </w:rPr>
        <w:t>14</w:t>
      </w:r>
      <w:r w:rsidRPr="0032002E">
        <w:rPr>
          <w:rFonts w:ascii="Arial" w:hAnsi="Arial" w:cs="Arial"/>
        </w:rPr>
        <w:t xml:space="preserve">. </w:t>
      </w:r>
      <w:r w:rsidR="00060B63">
        <w:rPr>
          <w:rFonts w:ascii="Arial" w:hAnsi="Arial" w:cs="Arial"/>
        </w:rPr>
        <w:t>al</w:t>
      </w:r>
      <w:r w:rsidRPr="0032002E">
        <w:rPr>
          <w:rFonts w:ascii="Arial" w:hAnsi="Arial" w:cs="Arial"/>
        </w:rPr>
        <w:t>pontja helyébe a következő rendelkezés lép:</w:t>
      </w:r>
    </w:p>
    <w:p w14:paraId="3E20F3C0" w14:textId="77777777" w:rsidR="00322CD5" w:rsidRPr="008E4C88" w:rsidRDefault="00322CD5" w:rsidP="00C6766F">
      <w:pPr>
        <w:spacing w:after="0" w:line="240" w:lineRule="auto"/>
        <w:rPr>
          <w:rFonts w:ascii="Arial" w:eastAsia="Times New Roman" w:hAnsi="Arial" w:cs="Arial"/>
          <w:b/>
        </w:rPr>
      </w:pPr>
    </w:p>
    <w:p w14:paraId="2E86DE12" w14:textId="4AA01279" w:rsidR="00322CD5" w:rsidRPr="008E4C88" w:rsidRDefault="00322CD5" w:rsidP="00322CD5">
      <w:pPr>
        <w:spacing w:before="120" w:after="0" w:line="240" w:lineRule="auto"/>
        <w:rPr>
          <w:rFonts w:ascii="Arial" w:eastAsia="Times New Roman" w:hAnsi="Arial" w:cs="Arial"/>
          <w:b/>
        </w:rPr>
      </w:pPr>
      <w:r>
        <w:rPr>
          <w:rFonts w:ascii="Arial" w:hAnsi="Arial" w:cs="Arial"/>
          <w:b/>
          <w:bCs/>
          <w:iCs/>
        </w:rPr>
        <w:t>„</w:t>
      </w: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1D217A4A" w14:textId="77777777" w:rsidR="00322CD5" w:rsidRDefault="00322CD5" w:rsidP="00C6766F">
      <w:pPr>
        <w:spacing w:after="0" w:line="240" w:lineRule="auto"/>
        <w:rPr>
          <w:rFonts w:ascii="Arial" w:eastAsia="Times New Roman" w:hAnsi="Arial" w:cs="Arial"/>
          <w:b/>
        </w:rPr>
      </w:pPr>
    </w:p>
    <w:p w14:paraId="147A745B" w14:textId="09E123A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0"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12A6EA57"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w:t>
      </w:r>
      <w:proofErr w:type="gramStart"/>
      <w:r w:rsidRPr="008E4C88">
        <w:rPr>
          <w:rFonts w:ascii="Arial" w:hAnsi="Arial" w:cs="Arial"/>
          <w:bCs/>
          <w:color w:val="auto"/>
          <w:sz w:val="20"/>
          <w:szCs w:val="20"/>
        </w:rPr>
        <w:t>1)</w:t>
      </w:r>
      <w:r w:rsidR="00060B63">
        <w:rPr>
          <w:rFonts w:ascii="Arial" w:hAnsi="Arial" w:cs="Arial"/>
          <w:bCs/>
          <w:color w:val="auto"/>
          <w:sz w:val="20"/>
          <w:szCs w:val="20"/>
        </w:rPr>
        <w:t>–</w:t>
      </w:r>
      <w:proofErr w:type="gramEnd"/>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4AB652FB"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származás: az ügyfél bármilyen kimutatható, a</w:t>
      </w:r>
      <w:r w:rsidR="00693422">
        <w:rPr>
          <w:rFonts w:ascii="Arial" w:eastAsia="Calibri" w:hAnsi="Arial" w:cs="Arial"/>
          <w:bCs/>
          <w:iCs/>
        </w:rPr>
        <w:t xml:space="preserve"> </w:t>
      </w:r>
      <w:r w:rsidR="009314ED">
        <w:rPr>
          <w:rFonts w:ascii="Arial" w:eastAsia="Calibri" w:hAnsi="Arial" w:cs="Arial"/>
          <w:bCs/>
          <w:iCs/>
        </w:rPr>
        <w:t>biztosító</w:t>
      </w:r>
      <w:r w:rsidR="009314ED" w:rsidRPr="008E4C88">
        <w:rPr>
          <w:rFonts w:ascii="Arial" w:eastAsia="Calibri" w:hAnsi="Arial" w:cs="Arial"/>
          <w:bCs/>
          <w:iCs/>
        </w:rPr>
        <w:t xml:space="preserve"> által</w:t>
      </w:r>
      <w:r w:rsidRPr="008E4C88">
        <w:rPr>
          <w:rFonts w:ascii="Arial" w:eastAsia="Calibri" w:hAnsi="Arial" w:cs="Arial"/>
          <w:bCs/>
          <w:iCs/>
        </w:rPr>
        <w:t xml:space="preserve">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0"/>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w:t>
      </w:r>
      <w:proofErr w:type="spellStart"/>
      <w:r w:rsidRPr="008E4C88">
        <w:rPr>
          <w:rFonts w:ascii="Arial" w:hAnsi="Arial" w:cs="Arial"/>
          <w:color w:val="auto"/>
          <w:sz w:val="20"/>
          <w:szCs w:val="20"/>
        </w:rPr>
        <w:t>ában</w:t>
      </w:r>
      <w:proofErr w:type="spellEnd"/>
      <w:r w:rsidRPr="008E4C88">
        <w:rPr>
          <w:rFonts w:ascii="Arial" w:hAnsi="Arial" w:cs="Arial"/>
          <w:color w:val="auto"/>
          <w:sz w:val="20"/>
          <w:szCs w:val="20"/>
        </w:rPr>
        <w:t xml:space="preserve">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w:t>
      </w:r>
      <w:proofErr w:type="spellStart"/>
      <w:r w:rsidRPr="008E4C88">
        <w:rPr>
          <w:rFonts w:ascii="Arial" w:hAnsi="Arial" w:cs="Arial"/>
        </w:rPr>
        <w:t>ában</w:t>
      </w:r>
      <w:proofErr w:type="spellEnd"/>
      <w:r w:rsidRPr="008E4C88">
        <w:rPr>
          <w:rFonts w:ascii="Arial" w:hAnsi="Arial" w:cs="Arial"/>
        </w:rPr>
        <w:t xml:space="preserve">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10. §-</w:t>
      </w:r>
      <w:proofErr w:type="spellStart"/>
      <w:r w:rsidRPr="008E4C88">
        <w:rPr>
          <w:rFonts w:ascii="Arial" w:hAnsi="Arial" w:cs="Arial"/>
        </w:rPr>
        <w:t>ában</w:t>
      </w:r>
      <w:proofErr w:type="spellEnd"/>
      <w:r w:rsidRPr="008E4C88">
        <w:rPr>
          <w:rFonts w:ascii="Arial" w:hAnsi="Arial" w:cs="Arial"/>
        </w:rPr>
        <w:t xml:space="preserve">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lastRenderedPageBreak/>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E52FB6">
        <w:rPr>
          <w:rFonts w:ascii="Arial" w:hAnsi="Arial" w:cs="Arial"/>
          <w:i/>
          <w:iCs/>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 Egyedileg a százmillió forintot elérő vagy meghaladó összegű ügyletek</w:t>
      </w:r>
    </w:p>
    <w:p w14:paraId="397994DD" w14:textId="77777777" w:rsidR="000B7C02" w:rsidRPr="00E52FB6" w:rsidRDefault="000B7C02" w:rsidP="000B7C02">
      <w:pPr>
        <w:spacing w:after="0" w:line="240" w:lineRule="auto"/>
        <w:rPr>
          <w:rFonts w:ascii="Arial" w:hAnsi="Arial" w:cs="Arial"/>
        </w:rPr>
      </w:pPr>
    </w:p>
    <w:p w14:paraId="0850C1D3" w14:textId="77777777" w:rsidR="000B7C02" w:rsidRPr="00E52FB6" w:rsidRDefault="000B7C02" w:rsidP="000B7C02">
      <w:pPr>
        <w:spacing w:after="0" w:line="240" w:lineRule="auto"/>
        <w:rPr>
          <w:rFonts w:ascii="Arial" w:hAnsi="Arial" w:cs="Arial"/>
        </w:rPr>
      </w:pPr>
      <w:r w:rsidRPr="00E52FB6">
        <w:rPr>
          <w:rFonts w:ascii="Arial" w:hAnsi="Arial" w:cs="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E52FB6" w:rsidRDefault="000B7C02" w:rsidP="000B7C02">
      <w:pPr>
        <w:spacing w:after="0" w:line="240" w:lineRule="auto"/>
        <w:rPr>
          <w:rFonts w:ascii="Arial" w:hAnsi="Arial" w:cs="Arial"/>
        </w:rPr>
      </w:pPr>
    </w:p>
    <w:p w14:paraId="30E351B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42Q19051 42Q1905-ből: egyedileg az egymilliárd forintot elérő vagy meghaladó összegű ügyletek</w:t>
      </w:r>
    </w:p>
    <w:p w14:paraId="1BC1B7A3" w14:textId="77777777" w:rsidR="000B7C02" w:rsidRPr="00E52FB6" w:rsidRDefault="000B7C02" w:rsidP="000B7C02">
      <w:pPr>
        <w:spacing w:after="0" w:line="240" w:lineRule="auto"/>
        <w:rPr>
          <w:rFonts w:ascii="Arial" w:hAnsi="Arial" w:cs="Arial"/>
        </w:rPr>
      </w:pPr>
    </w:p>
    <w:p w14:paraId="71AEB4DD" w14:textId="77777777" w:rsidR="000B7C02" w:rsidRPr="00E52FB6" w:rsidRDefault="000B7C02" w:rsidP="000B7C02">
      <w:pPr>
        <w:spacing w:after="0" w:line="240" w:lineRule="auto"/>
        <w:rPr>
          <w:rFonts w:ascii="Arial" w:hAnsi="Arial" w:cs="Arial"/>
        </w:rPr>
      </w:pPr>
      <w:r w:rsidRPr="00E52FB6">
        <w:rPr>
          <w:rFonts w:ascii="Arial" w:hAnsi="Arial" w:cs="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E52FB6" w:rsidRDefault="000B7C02" w:rsidP="000B7C02">
      <w:pPr>
        <w:spacing w:after="0" w:line="240" w:lineRule="auto"/>
        <w:rPr>
          <w:rFonts w:ascii="Arial" w:hAnsi="Arial" w:cs="Arial"/>
        </w:rPr>
      </w:pPr>
    </w:p>
    <w:p w14:paraId="5B587342"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38F9D6DA"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r w:rsidR="007B6AC4" w:rsidRPr="007B6AC4">
        <w:rPr>
          <w:rFonts w:ascii="Arial" w:hAnsi="Arial" w:cs="Arial"/>
        </w:rPr>
        <w:t xml:space="preserve">30/2024. (VI. 24.)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1"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1"/>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lastRenderedPageBreak/>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63B43F70"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p>
    <w:p w14:paraId="3FE20556" w14:textId="77777777" w:rsidR="00D344F3" w:rsidRPr="008E4C88" w:rsidRDefault="00D344F3" w:rsidP="00C6766F">
      <w:pPr>
        <w:spacing w:after="0" w:line="240" w:lineRule="auto"/>
        <w:rPr>
          <w:rFonts w:ascii="Arial" w:hAnsi="Arial" w:cs="Arial"/>
          <w:b/>
          <w:bCs/>
        </w:rPr>
      </w:pPr>
    </w:p>
    <w:p w14:paraId="5CF399D8" w14:textId="526A14D4"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r w:rsidR="0076777D">
        <w:rPr>
          <w:rFonts w:ascii="Arial" w:hAnsi="Arial" w:cs="Arial"/>
          <w:i/>
          <w:iCs/>
        </w:rPr>
        <w:t>M</w:t>
      </w:r>
      <w:r w:rsidRPr="008E4C88">
        <w:rPr>
          <w:rFonts w:ascii="Arial" w:hAnsi="Arial" w:cs="Arial"/>
          <w:i/>
          <w:iCs/>
        </w:rPr>
        <w:t>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4AADDCB6"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4E085F6C"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DB6FF9">
        <w:rPr>
          <w:rFonts w:ascii="Arial" w:hAnsi="Arial" w:cs="Arial"/>
          <w:i/>
          <w:iCs/>
        </w:rPr>
        <w:t xml:space="preserve"> </w:t>
      </w:r>
      <w:r w:rsidR="0076777D">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324192F8"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41ACACE4"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r w:rsidR="005230AE">
        <w:rPr>
          <w:rFonts w:ascii="Arial" w:hAnsi="Arial" w:cs="Arial"/>
          <w:i/>
          <w:iCs/>
        </w:rPr>
        <w:t>M</w:t>
      </w:r>
      <w:r w:rsidRPr="008E4C88">
        <w:rPr>
          <w:rFonts w:ascii="Arial" w:hAnsi="Arial" w:cs="Arial"/>
          <w:i/>
          <w:iCs/>
        </w:rPr>
        <w:t>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5E6E8449" w:rsidR="00741290" w:rsidRPr="008E4C88" w:rsidRDefault="00286159" w:rsidP="00C6766F">
      <w:pPr>
        <w:spacing w:after="0" w:line="240" w:lineRule="auto"/>
        <w:rPr>
          <w:rFonts w:ascii="Arial" w:hAnsi="Arial" w:cs="Arial"/>
        </w:rPr>
      </w:pPr>
      <w:r w:rsidRPr="008E4C88">
        <w:rPr>
          <w:rFonts w:ascii="Arial" w:hAnsi="Arial" w:cs="Arial"/>
        </w:rPr>
        <w:lastRenderedPageBreak/>
        <w:t>Azon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r w:rsidR="00804533" w:rsidRPr="005230AE">
        <w:rPr>
          <w:rFonts w:ascii="Arial" w:hAnsi="Arial" w:cs="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2C676569"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r w:rsidR="00805983">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52A59AD1" w:rsidR="00286159" w:rsidRPr="008E4C88" w:rsidRDefault="00286159" w:rsidP="00C6766F">
      <w:pPr>
        <w:spacing w:after="0" w:line="240" w:lineRule="auto"/>
        <w:rPr>
          <w:rFonts w:ascii="Arial" w:hAnsi="Arial" w:cs="Arial"/>
        </w:rPr>
      </w:pPr>
      <w:r w:rsidRPr="008E4C88">
        <w:rPr>
          <w:rFonts w:ascii="Arial" w:hAnsi="Arial" w:cs="Arial"/>
        </w:rPr>
        <w:t>Azon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2" w:name="_Hlk40856204"/>
      <w:r w:rsidRPr="008E4C88">
        <w:rPr>
          <w:rFonts w:ascii="Arial" w:hAnsi="Arial" w:cs="Arial"/>
          <w:i/>
          <w:iCs/>
        </w:rPr>
        <w:t>3 hónapon belüli visszavásárlások</w:t>
      </w:r>
      <w:bookmarkEnd w:id="2"/>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3C150142" w14:textId="77777777" w:rsidR="00356079"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w:t>
      </w:r>
      <w:r w:rsidR="00356079" w:rsidRPr="008E4C88">
        <w:rPr>
          <w:rFonts w:ascii="Arial" w:hAnsi="Arial" w:cs="Arial"/>
          <w:i/>
          <w:iCs/>
        </w:rPr>
        <w:t>Kockázatos ügyfél és szokatlan ügylet kiszűrését biztosító szűrőrendszer riasztásai</w:t>
      </w:r>
      <w:r w:rsidR="00356079" w:rsidRPr="00693422">
        <w:rPr>
          <w:rFonts w:ascii="Arial" w:hAnsi="Arial" w:cs="Arial"/>
          <w:i/>
          <w:iCs/>
        </w:rPr>
        <w:t xml:space="preserve"> </w:t>
      </w:r>
    </w:p>
    <w:p w14:paraId="42E70A27" w14:textId="514E18AA" w:rsidR="00D344F3" w:rsidRPr="008E4C88" w:rsidRDefault="00693422" w:rsidP="00C6766F">
      <w:pPr>
        <w:spacing w:after="0" w:line="240" w:lineRule="auto"/>
        <w:rPr>
          <w:rFonts w:ascii="Arial" w:hAnsi="Arial" w:cs="Arial"/>
          <w:i/>
          <w:iCs/>
        </w:rPr>
      </w:pPr>
      <w:r w:rsidRPr="00693422">
        <w:rPr>
          <w:rFonts w:ascii="Arial" w:hAnsi="Arial" w:cs="Arial"/>
          <w:i/>
          <w:iCs/>
        </w:rPr>
        <w:t xml:space="preserve"> </w:t>
      </w:r>
    </w:p>
    <w:p w14:paraId="2A193CB0" w14:textId="77777777" w:rsidR="00356079" w:rsidRPr="00322CD5" w:rsidRDefault="00693422" w:rsidP="00356079">
      <w:pPr>
        <w:spacing w:after="0" w:line="240" w:lineRule="auto"/>
        <w:rPr>
          <w:rFonts w:ascii="Arial" w:hAnsi="Arial" w:cs="Arial"/>
        </w:rPr>
      </w:pPr>
      <w:r w:rsidRPr="006060AD">
        <w:rPr>
          <w:rFonts w:ascii="Arial" w:hAnsi="Arial" w:cs="Arial"/>
          <w:bCs/>
        </w:rPr>
        <w:t xml:space="preserve">A </w:t>
      </w:r>
      <w:r w:rsidRPr="00DA15D4">
        <w:rPr>
          <w:rFonts w:ascii="Arial" w:hAnsi="Arial" w:cs="Arial"/>
          <w:bCs/>
        </w:rPr>
        <w:t xml:space="preserve">biztosító </w:t>
      </w:r>
      <w:r w:rsidRPr="006060AD">
        <w:rPr>
          <w:rFonts w:ascii="Arial" w:hAnsi="Arial" w:cs="Arial"/>
          <w:bCs/>
        </w:rPr>
        <w:t xml:space="preserve">által kockázatosnak minősített ügyfél vagy szokatlan ügylet vonatkozásában azon riasztások tárgynegyedévi darabszáma, amelyeknek szűrési feltételeit a </w:t>
      </w:r>
      <w:r w:rsidRPr="00DA15D4">
        <w:rPr>
          <w:rFonts w:ascii="Arial" w:hAnsi="Arial" w:cs="Arial"/>
          <w:bCs/>
        </w:rPr>
        <w:t xml:space="preserve">biztosító </w:t>
      </w:r>
      <w:r w:rsidRPr="006060AD">
        <w:rPr>
          <w:rFonts w:ascii="Arial" w:hAnsi="Arial" w:cs="Arial"/>
          <w:bCs/>
        </w:rPr>
        <w:t>határozta meg.</w:t>
      </w:r>
      <w:r w:rsidR="00356079">
        <w:rPr>
          <w:rFonts w:ascii="Arial" w:hAnsi="Arial" w:cs="Arial"/>
          <w:bCs/>
        </w:rPr>
        <w:t xml:space="preserve"> </w:t>
      </w:r>
      <w:r w:rsidR="00356079">
        <w:rPr>
          <w:rFonts w:ascii="Arial" w:hAnsi="Arial" w:cs="Arial"/>
          <w:bCs/>
        </w:rPr>
        <w:t>A biztosító által meghatározott szűrési feltételnek minősülnek azon szűrési feltételek is, amelyeket a biztosító a 30/2024. (VI. 24.) MNB rendelet 31. § (3) bekezdésében hivatkozott MNB tájékoztatás (a továbbiakban: MNB tájékoztatás) alapján épített be belső kockázatértékelésébe.</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3"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3"/>
    <w:p w14:paraId="313AFC76" w14:textId="32D0DFF5" w:rsidR="00D344F3" w:rsidRPr="008E4C88" w:rsidRDefault="004A7E9E" w:rsidP="00C6766F">
      <w:pPr>
        <w:spacing w:after="0" w:line="240" w:lineRule="auto"/>
        <w:rPr>
          <w:rFonts w:ascii="Arial" w:hAnsi="Arial" w:cs="Arial"/>
          <w:b/>
          <w:bCs/>
        </w:rPr>
      </w:pPr>
      <w:r w:rsidRPr="006060AD">
        <w:rPr>
          <w:rFonts w:ascii="Arial" w:hAnsi="Arial" w:cs="Arial"/>
          <w:bCs/>
        </w:rPr>
        <w:t xml:space="preserve">Azon riasztások tárgynegyedévi darabszáma, amelyeknek az elemzését és értékelését a </w:t>
      </w:r>
      <w:r>
        <w:rPr>
          <w:rFonts w:ascii="Arial" w:hAnsi="Arial" w:cs="Arial"/>
          <w:bCs/>
        </w:rPr>
        <w:t>biztosító</w:t>
      </w:r>
      <w:r w:rsidRPr="006060AD">
        <w:rPr>
          <w:rFonts w:ascii="Arial" w:hAnsi="Arial" w:cs="Arial"/>
          <w:bCs/>
        </w:rPr>
        <w:t xml:space="preserve"> a 30/2024. (VI. 24.) MNB rendelet 31. § (2) bekezdésében</w:t>
      </w:r>
      <w:r w:rsidR="00356079">
        <w:rPr>
          <w:rFonts w:ascii="Arial" w:hAnsi="Arial" w:cs="Arial"/>
          <w:bCs/>
        </w:rPr>
        <w:t>,</w:t>
      </w:r>
      <w:r w:rsidR="00356079">
        <w:rPr>
          <w:rFonts w:ascii="Arial" w:hAnsi="Arial" w:cs="Arial"/>
          <w:bCs/>
        </w:rPr>
        <w:t xml:space="preserve"> illetve az MNB tájékoztatás alapján a belső kockázatértékelésében</w:t>
      </w:r>
      <w:r w:rsidRPr="006060AD">
        <w:rPr>
          <w:rFonts w:ascii="Arial" w:hAnsi="Arial" w:cs="Arial"/>
          <w:bCs/>
        </w:rPr>
        <w:t xml:space="preserve"> meghatározott határidőn belül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1 A Pmt.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2 A Pmt.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[Pmt.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ügyletek darabszámát és összegét kell megadni, amelyek teljesítését bejelentés alapjául szolgáló adat, tény, körülmény felmerülése miatt a biztosító a Pmt. 34. § (1) bekezdése szerint saját hatáskörben, vagy</w:t>
      </w:r>
      <w:r w:rsidR="0063248F" w:rsidRPr="008E4C88">
        <w:rPr>
          <w:rFonts w:ascii="Arial" w:hAnsi="Arial" w:cs="Arial"/>
        </w:rPr>
        <w:t xml:space="preserve"> a Pmt.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Pmt.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a Pmt.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w:t>
      </w:r>
      <w:r w:rsidRPr="008E4C88">
        <w:rPr>
          <w:rFonts w:ascii="Arial" w:hAnsi="Arial" w:cs="Arial"/>
        </w:rPr>
        <w:lastRenderedPageBreak/>
        <w:t xml:space="preserve">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r w:rsidRPr="008E4C88">
        <w:rPr>
          <w:rFonts w:ascii="Arial" w:hAnsi="Arial" w:cs="Arial"/>
          <w:bCs/>
        </w:rPr>
        <w:t>Pmt. 35. § (1) bekezdése alapján elrendelt felfüggesztés, valamint a Pmt.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 xml:space="preserve">19182 </w:t>
      </w:r>
      <w:r w:rsidRPr="008E4C88">
        <w:rPr>
          <w:rFonts w:ascii="Arial" w:hAnsi="Arial" w:cs="Arial"/>
          <w:bCs/>
        </w:rPr>
        <w:lastRenderedPageBreak/>
        <w:t>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3DBAB9D6"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r w:rsidR="00693422">
        <w:rPr>
          <w:rFonts w:ascii="Arial" w:hAnsi="Arial" w:cs="Arial"/>
        </w:rPr>
        <w:t>”</w:t>
      </w:r>
    </w:p>
    <w:p w14:paraId="7F127614" w14:textId="77777777" w:rsidR="00D344F3" w:rsidRPr="008E4C88" w:rsidRDefault="00D344F3" w:rsidP="00C6766F">
      <w:pPr>
        <w:spacing w:line="240" w:lineRule="auto"/>
        <w:rPr>
          <w:rFonts w:ascii="Arial" w:hAnsi="Arial" w:cs="Arial"/>
          <w:b/>
          <w:bCs/>
        </w:rPr>
      </w:pPr>
    </w:p>
    <w:p w14:paraId="7200AB11" w14:textId="77777777" w:rsidR="00A55B9B" w:rsidRPr="008E4C88" w:rsidRDefault="00A55B9B" w:rsidP="00C6766F">
      <w:pPr>
        <w:spacing w:before="240" w:line="240" w:lineRule="auto"/>
        <w:jc w:val="center"/>
        <w:rPr>
          <w:rFonts w:ascii="Arial" w:hAnsi="Arial" w:cs="Arial"/>
          <w:b/>
        </w:rPr>
      </w:pPr>
    </w:p>
    <w:sectPr w:rsidR="00A55B9B" w:rsidRPr="008E4C88" w:rsidSect="00CD6E8D">
      <w:headerReference w:type="default" r:id="rId11"/>
      <w:footerReference w:type="defaul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C7F66" w14:textId="77777777" w:rsidR="0001192B" w:rsidRDefault="0001192B">
      <w:r>
        <w:separator/>
      </w:r>
    </w:p>
  </w:endnote>
  <w:endnote w:type="continuationSeparator" w:id="0">
    <w:p w14:paraId="37EB5C45" w14:textId="77777777" w:rsidR="0001192B" w:rsidRDefault="0001192B">
      <w:r>
        <w:continuationSeparator/>
      </w:r>
    </w:p>
  </w:endnote>
  <w:endnote w:type="continuationNotice" w:id="1">
    <w:p w14:paraId="324B03C4" w14:textId="77777777" w:rsidR="0001192B" w:rsidRDefault="00011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B3C62" w14:textId="77777777" w:rsidR="0001192B" w:rsidRDefault="0001192B">
      <w:r>
        <w:separator/>
      </w:r>
    </w:p>
  </w:footnote>
  <w:footnote w:type="continuationSeparator" w:id="0">
    <w:p w14:paraId="7D241D02" w14:textId="77777777" w:rsidR="0001192B" w:rsidRDefault="0001192B">
      <w:r>
        <w:continuationSeparator/>
      </w:r>
    </w:p>
  </w:footnote>
  <w:footnote w:type="continuationNotice" w:id="1">
    <w:p w14:paraId="7416F3F7" w14:textId="77777777" w:rsidR="0001192B" w:rsidRDefault="00011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92B"/>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4A4D"/>
    <w:rsid w:val="00055248"/>
    <w:rsid w:val="0005577F"/>
    <w:rsid w:val="00056487"/>
    <w:rsid w:val="00056731"/>
    <w:rsid w:val="00057C08"/>
    <w:rsid w:val="00060148"/>
    <w:rsid w:val="00060688"/>
    <w:rsid w:val="00060B63"/>
    <w:rsid w:val="00062376"/>
    <w:rsid w:val="00063216"/>
    <w:rsid w:val="0006367B"/>
    <w:rsid w:val="0006374F"/>
    <w:rsid w:val="00064546"/>
    <w:rsid w:val="00064B2D"/>
    <w:rsid w:val="0006540C"/>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5824"/>
    <w:rsid w:val="000A6936"/>
    <w:rsid w:val="000A6EEF"/>
    <w:rsid w:val="000A71F3"/>
    <w:rsid w:val="000A79DE"/>
    <w:rsid w:val="000B0C3D"/>
    <w:rsid w:val="000B18DD"/>
    <w:rsid w:val="000B271A"/>
    <w:rsid w:val="000B55D0"/>
    <w:rsid w:val="000B5A29"/>
    <w:rsid w:val="000B6DF3"/>
    <w:rsid w:val="000B7581"/>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AC2"/>
    <w:rsid w:val="00126A02"/>
    <w:rsid w:val="0013061A"/>
    <w:rsid w:val="00130729"/>
    <w:rsid w:val="00130C5E"/>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5AB"/>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2CD5"/>
    <w:rsid w:val="003231ED"/>
    <w:rsid w:val="0032483C"/>
    <w:rsid w:val="00325693"/>
    <w:rsid w:val="003261E5"/>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079"/>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3722"/>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A7E9E"/>
    <w:rsid w:val="004B00B7"/>
    <w:rsid w:val="004B0B21"/>
    <w:rsid w:val="004B0F65"/>
    <w:rsid w:val="004B1A68"/>
    <w:rsid w:val="004B27F6"/>
    <w:rsid w:val="004B33C4"/>
    <w:rsid w:val="004B3926"/>
    <w:rsid w:val="004B3FF8"/>
    <w:rsid w:val="004B5CDB"/>
    <w:rsid w:val="004C0B5B"/>
    <w:rsid w:val="004C1408"/>
    <w:rsid w:val="004C25B6"/>
    <w:rsid w:val="004C2AD7"/>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3422"/>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450"/>
    <w:rsid w:val="00703E97"/>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524"/>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AC4"/>
    <w:rsid w:val="007B6E7E"/>
    <w:rsid w:val="007B7330"/>
    <w:rsid w:val="007B7FC8"/>
    <w:rsid w:val="007C0456"/>
    <w:rsid w:val="007C048D"/>
    <w:rsid w:val="007C0A8F"/>
    <w:rsid w:val="007C0F51"/>
    <w:rsid w:val="007C5364"/>
    <w:rsid w:val="007C5BE8"/>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60131"/>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0365"/>
    <w:rsid w:val="008B224F"/>
    <w:rsid w:val="008B26BA"/>
    <w:rsid w:val="008B56F9"/>
    <w:rsid w:val="008B61E3"/>
    <w:rsid w:val="008B64D4"/>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4ED"/>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677C4"/>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E0559"/>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655"/>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183F"/>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A2A45"/>
    <w:rsid w:val="00BA2F70"/>
    <w:rsid w:val="00BA3BB7"/>
    <w:rsid w:val="00BA3C00"/>
    <w:rsid w:val="00BA5150"/>
    <w:rsid w:val="00BB1037"/>
    <w:rsid w:val="00BB1899"/>
    <w:rsid w:val="00BB19D6"/>
    <w:rsid w:val="00BB23CB"/>
    <w:rsid w:val="00BB268B"/>
    <w:rsid w:val="00BB27C2"/>
    <w:rsid w:val="00BB3793"/>
    <w:rsid w:val="00BB4C9B"/>
    <w:rsid w:val="00BB58D5"/>
    <w:rsid w:val="00BB5C49"/>
    <w:rsid w:val="00BB68B2"/>
    <w:rsid w:val="00BB7B2E"/>
    <w:rsid w:val="00BB7D50"/>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06F6"/>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69C8"/>
    <w:rsid w:val="00C6766F"/>
    <w:rsid w:val="00C7054B"/>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923"/>
    <w:rsid w:val="00CC13C5"/>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6FF9"/>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C4E"/>
    <w:rsid w:val="00E4023E"/>
    <w:rsid w:val="00E40254"/>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31A3"/>
    <w:rsid w:val="00EF4597"/>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4BB3"/>
    <w:rsid w:val="00F150C9"/>
    <w:rsid w:val="00F1521A"/>
    <w:rsid w:val="00F15D09"/>
    <w:rsid w:val="00F17202"/>
    <w:rsid w:val="00F1742F"/>
    <w:rsid w:val="00F205E5"/>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56079"/>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356079"/>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356079"/>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356079"/>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356079"/>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356079"/>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356079"/>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35607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5607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5607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5607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56079"/>
  </w:style>
  <w:style w:type="table" w:customStyle="1" w:styleId="tblzat-mtrix">
    <w:name w:val="táblázat - mátrix"/>
    <w:basedOn w:val="Normltblzat"/>
    <w:uiPriority w:val="2"/>
    <w:qFormat/>
    <w:rsid w:val="00356079"/>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56079"/>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356079"/>
    <w:pPr>
      <w:numPr>
        <w:numId w:val="10"/>
      </w:numPr>
      <w:contextualSpacing/>
    </w:pPr>
  </w:style>
  <w:style w:type="character" w:styleId="Hiperhivatkozs">
    <w:name w:val="Hyperlink"/>
    <w:basedOn w:val="Vgjegyzet-hivatkozs"/>
    <w:uiPriority w:val="99"/>
    <w:rsid w:val="00356079"/>
    <w:rPr>
      <w:rFonts w:ascii="Calibri" w:hAnsi="Calibri"/>
      <w:color w:val="0000FF"/>
      <w:sz w:val="20"/>
      <w:u w:val="single"/>
      <w:vertAlign w:val="superscript"/>
    </w:rPr>
  </w:style>
  <w:style w:type="table" w:customStyle="1" w:styleId="tblzat-oldallces">
    <w:name w:val="táblázat - oldalléces"/>
    <w:basedOn w:val="Normltblzat"/>
    <w:uiPriority w:val="3"/>
    <w:qFormat/>
    <w:rsid w:val="00356079"/>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56079"/>
    <w:rPr>
      <w:vertAlign w:val="superscript"/>
    </w:rPr>
  </w:style>
  <w:style w:type="paragraph" w:styleId="Buborkszveg">
    <w:name w:val="Balloon Text"/>
    <w:basedOn w:val="Norml"/>
    <w:link w:val="BuborkszvegChar"/>
    <w:uiPriority w:val="99"/>
    <w:semiHidden/>
    <w:unhideWhenUsed/>
    <w:rsid w:val="00356079"/>
    <w:rPr>
      <w:rFonts w:ascii="Tahoma" w:hAnsi="Tahoma" w:cs="Tahoma"/>
      <w:sz w:val="16"/>
      <w:szCs w:val="16"/>
    </w:rPr>
  </w:style>
  <w:style w:type="paragraph" w:customStyle="1" w:styleId="Magyarzszveg">
    <w:name w:val="Magyarázó szöveg"/>
    <w:basedOn w:val="Norml"/>
    <w:next w:val="Norml"/>
    <w:uiPriority w:val="7"/>
    <w:rsid w:val="00356079"/>
    <w:rPr>
      <w:color w:val="5B9BD5" w:themeColor="accent5"/>
      <w:sz w:val="18"/>
    </w:rPr>
  </w:style>
  <w:style w:type="character" w:customStyle="1" w:styleId="BuborkszvegChar">
    <w:name w:val="Buborékszöveg Char"/>
    <w:basedOn w:val="Bekezdsalapbettpusa"/>
    <w:link w:val="Buborkszveg"/>
    <w:uiPriority w:val="99"/>
    <w:semiHidden/>
    <w:rsid w:val="00356079"/>
    <w:rPr>
      <w:rFonts w:ascii="Tahoma" w:eastAsiaTheme="minorHAnsi" w:hAnsi="Tahoma" w:cs="Tahoma"/>
      <w:sz w:val="16"/>
      <w:szCs w:val="16"/>
    </w:rPr>
  </w:style>
  <w:style w:type="paragraph" w:styleId="lfej">
    <w:name w:val="header"/>
    <w:basedOn w:val="Norml"/>
    <w:link w:val="lfejChar"/>
    <w:uiPriority w:val="99"/>
    <w:unhideWhenUsed/>
    <w:rsid w:val="00356079"/>
    <w:pPr>
      <w:tabs>
        <w:tab w:val="center" w:pos="4536"/>
        <w:tab w:val="right" w:pos="9072"/>
      </w:tabs>
    </w:pPr>
  </w:style>
  <w:style w:type="character" w:customStyle="1" w:styleId="lfejChar">
    <w:name w:val="Élőfej Char"/>
    <w:basedOn w:val="Bekezdsalapbettpusa"/>
    <w:link w:val="lfej"/>
    <w:uiPriority w:val="99"/>
    <w:rsid w:val="00356079"/>
    <w:rPr>
      <w:rFonts w:ascii="Calibri" w:eastAsiaTheme="minorHAnsi" w:hAnsi="Calibri" w:cstheme="minorBidi"/>
    </w:rPr>
  </w:style>
  <w:style w:type="paragraph" w:styleId="llb">
    <w:name w:val="footer"/>
    <w:basedOn w:val="Norml"/>
    <w:link w:val="llbChar"/>
    <w:uiPriority w:val="99"/>
    <w:unhideWhenUsed/>
    <w:rsid w:val="00356079"/>
    <w:pPr>
      <w:tabs>
        <w:tab w:val="center" w:pos="4536"/>
        <w:tab w:val="right" w:pos="9072"/>
      </w:tabs>
    </w:pPr>
  </w:style>
  <w:style w:type="character" w:customStyle="1" w:styleId="llbChar">
    <w:name w:val="Élőláb Char"/>
    <w:basedOn w:val="Bekezdsalapbettpusa"/>
    <w:link w:val="llb"/>
    <w:uiPriority w:val="99"/>
    <w:rsid w:val="00356079"/>
    <w:rPr>
      <w:rFonts w:ascii="Calibri" w:eastAsiaTheme="minorHAnsi" w:hAnsi="Calibri" w:cstheme="minorBidi"/>
    </w:rPr>
  </w:style>
  <w:style w:type="paragraph" w:customStyle="1" w:styleId="Szmozs">
    <w:name w:val="Számozás"/>
    <w:basedOn w:val="Norml"/>
    <w:uiPriority w:val="4"/>
    <w:qFormat/>
    <w:rsid w:val="00356079"/>
    <w:pPr>
      <w:numPr>
        <w:numId w:val="4"/>
      </w:numPr>
      <w:spacing w:before="120"/>
      <w:contextualSpacing/>
    </w:pPr>
  </w:style>
  <w:style w:type="table" w:styleId="Rcsostblzat">
    <w:name w:val="Table Grid"/>
    <w:aliases w:val="Szegély nélküli"/>
    <w:basedOn w:val="Normltblzat"/>
    <w:uiPriority w:val="59"/>
    <w:rsid w:val="00356079"/>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356079"/>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356079"/>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356079"/>
    <w:rPr>
      <w:rFonts w:ascii="Calibri" w:eastAsiaTheme="minorHAnsi" w:hAnsi="Calibri" w:cstheme="minorBidi"/>
      <w:color w:val="44546A" w:themeColor="text2"/>
    </w:rPr>
  </w:style>
  <w:style w:type="character" w:customStyle="1" w:styleId="Cmsor1Char">
    <w:name w:val="Címsor 1 Char"/>
    <w:basedOn w:val="Bekezdsalapbettpusa"/>
    <w:link w:val="Cmsor1"/>
    <w:rsid w:val="00356079"/>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356079"/>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356079"/>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356079"/>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356079"/>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356079"/>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356079"/>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356079"/>
    <w:rPr>
      <w:rFonts w:ascii="Calibri" w:eastAsiaTheme="majorEastAsia" w:hAnsi="Calibri" w:cstheme="majorBidi"/>
      <w:i/>
      <w:iCs/>
      <w:color w:val="404040" w:themeColor="text1" w:themeTint="BF"/>
    </w:rPr>
  </w:style>
  <w:style w:type="numbering" w:customStyle="1" w:styleId="Style1">
    <w:name w:val="Style1"/>
    <w:uiPriority w:val="99"/>
    <w:rsid w:val="00356079"/>
    <w:pPr>
      <w:numPr>
        <w:numId w:val="1"/>
      </w:numPr>
    </w:pPr>
  </w:style>
  <w:style w:type="paragraph" w:styleId="TJ7">
    <w:name w:val="toc 7"/>
    <w:basedOn w:val="Norml"/>
    <w:next w:val="Norml"/>
    <w:autoRedefine/>
    <w:uiPriority w:val="99"/>
    <w:semiHidden/>
    <w:locked/>
    <w:rsid w:val="00356079"/>
    <w:pPr>
      <w:spacing w:after="100"/>
      <w:ind w:left="1200"/>
    </w:pPr>
    <w:rPr>
      <w:color w:val="385623" w:themeColor="accent6" w:themeShade="80"/>
    </w:rPr>
  </w:style>
  <w:style w:type="paragraph" w:styleId="TJ8">
    <w:name w:val="toc 8"/>
    <w:basedOn w:val="Norml"/>
    <w:next w:val="Norml"/>
    <w:autoRedefine/>
    <w:uiPriority w:val="99"/>
    <w:semiHidden/>
    <w:locked/>
    <w:rsid w:val="00356079"/>
    <w:pPr>
      <w:spacing w:after="100"/>
      <w:ind w:left="1400"/>
    </w:pPr>
    <w:rPr>
      <w:color w:val="385623" w:themeColor="accent6" w:themeShade="80"/>
    </w:rPr>
  </w:style>
  <w:style w:type="paragraph" w:styleId="TJ9">
    <w:name w:val="toc 9"/>
    <w:basedOn w:val="Norml"/>
    <w:next w:val="Norml"/>
    <w:autoRedefine/>
    <w:uiPriority w:val="99"/>
    <w:semiHidden/>
    <w:locked/>
    <w:rsid w:val="00356079"/>
    <w:pPr>
      <w:spacing w:after="100"/>
      <w:ind w:left="1600"/>
    </w:pPr>
    <w:rPr>
      <w:color w:val="385623" w:themeColor="accent6" w:themeShade="80"/>
    </w:rPr>
  </w:style>
  <w:style w:type="table" w:customStyle="1" w:styleId="Calendar2">
    <w:name w:val="Calendar 2"/>
    <w:basedOn w:val="Normltblzat"/>
    <w:uiPriority w:val="99"/>
    <w:qFormat/>
    <w:rsid w:val="00356079"/>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56079"/>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356079"/>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35607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56079"/>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5607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56079"/>
    <w:rPr>
      <w:color w:val="385623" w:themeColor="accent6" w:themeShade="80"/>
    </w:rPr>
  </w:style>
  <w:style w:type="character" w:customStyle="1" w:styleId="VgjegyzetszvegeChar">
    <w:name w:val="Végjegyzet szövege Char"/>
    <w:basedOn w:val="Bekezdsalapbettpusa"/>
    <w:link w:val="Vgjegyzetszvege"/>
    <w:uiPriority w:val="99"/>
    <w:semiHidden/>
    <w:rsid w:val="00356079"/>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356079"/>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56079"/>
    <w:pPr>
      <w:numPr>
        <w:numId w:val="5"/>
      </w:numPr>
    </w:pPr>
  </w:style>
  <w:style w:type="paragraph" w:customStyle="1" w:styleId="Tblaszvegstlus">
    <w:name w:val="Tábla szöveg stílus"/>
    <w:basedOn w:val="Norml"/>
    <w:link w:val="TblaszvegstlusChar"/>
    <w:uiPriority w:val="8"/>
    <w:qFormat/>
    <w:rsid w:val="00356079"/>
  </w:style>
  <w:style w:type="character" w:customStyle="1" w:styleId="ListaszerbekezdsChar">
    <w:name w:val="Listaszerű bekezdés Char"/>
    <w:aliases w:val="lista_2 Char"/>
    <w:basedOn w:val="Bekezdsalapbettpusa"/>
    <w:link w:val="Listaszerbekezds"/>
    <w:uiPriority w:val="4"/>
    <w:rsid w:val="00356079"/>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356079"/>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356079"/>
    <w:rPr>
      <w:rFonts w:ascii="Calibri" w:eastAsiaTheme="minorHAnsi" w:hAnsi="Calibri" w:cstheme="minorBidi"/>
    </w:rPr>
  </w:style>
  <w:style w:type="character" w:styleId="Finomhivatkozs">
    <w:name w:val="Subtle Reference"/>
    <w:basedOn w:val="Bekezdsalapbettpusa"/>
    <w:uiPriority w:val="31"/>
    <w:rsid w:val="00356079"/>
    <w:rPr>
      <w:sz w:val="24"/>
      <w:szCs w:val="24"/>
      <w:u w:val="single"/>
    </w:rPr>
  </w:style>
  <w:style w:type="character" w:styleId="Ershivatkozs">
    <w:name w:val="Intense Reference"/>
    <w:basedOn w:val="Bekezdsalapbettpusa"/>
    <w:uiPriority w:val="32"/>
    <w:rsid w:val="00356079"/>
    <w:rPr>
      <w:b/>
      <w:sz w:val="24"/>
      <w:u w:val="single"/>
    </w:rPr>
  </w:style>
  <w:style w:type="paragraph" w:customStyle="1" w:styleId="Listaszerbekezds2szint">
    <w:name w:val="Listaszerű bekezdés 2. szint"/>
    <w:basedOn w:val="Listaszerbekezds"/>
    <w:link w:val="Listaszerbekezds2szintChar"/>
    <w:uiPriority w:val="4"/>
    <w:qFormat/>
    <w:rsid w:val="00356079"/>
    <w:pPr>
      <w:numPr>
        <w:numId w:val="8"/>
      </w:numPr>
    </w:pPr>
  </w:style>
  <w:style w:type="paragraph" w:customStyle="1" w:styleId="Listaszerbekezds3szint">
    <w:name w:val="Listaszerű bekezdés 3. szint"/>
    <w:basedOn w:val="Listaszerbekezds"/>
    <w:link w:val="Listaszerbekezds3szintChar"/>
    <w:uiPriority w:val="4"/>
    <w:qFormat/>
    <w:rsid w:val="00356079"/>
    <w:pPr>
      <w:numPr>
        <w:ilvl w:val="2"/>
        <w:numId w:val="18"/>
      </w:numPr>
    </w:pPr>
  </w:style>
  <w:style w:type="character" w:customStyle="1" w:styleId="Listaszerbekezds2szintChar">
    <w:name w:val="Listaszerű bekezdés 2. szint Char"/>
    <w:basedOn w:val="ListaszerbekezdsChar"/>
    <w:link w:val="Listaszerbekezds2szint"/>
    <w:uiPriority w:val="4"/>
    <w:rsid w:val="00356079"/>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356079"/>
    <w:rPr>
      <w:rFonts w:ascii="Calibri" w:eastAsiaTheme="minorHAnsi" w:hAnsi="Calibri" w:cstheme="minorBidi"/>
    </w:rPr>
  </w:style>
  <w:style w:type="paragraph" w:styleId="Alcm">
    <w:name w:val="Subtitle"/>
    <w:basedOn w:val="Norml"/>
    <w:next w:val="Norml"/>
    <w:link w:val="AlcmChar"/>
    <w:uiPriority w:val="11"/>
    <w:rsid w:val="0035607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56079"/>
    <w:rPr>
      <w:rFonts w:ascii="Calibri" w:eastAsiaTheme="majorEastAsia" w:hAnsi="Calibri" w:cstheme="majorBidi"/>
    </w:rPr>
  </w:style>
  <w:style w:type="paragraph" w:customStyle="1" w:styleId="Listabetvel">
    <w:name w:val="Lista betűvel"/>
    <w:basedOn w:val="Listaszerbekezds"/>
    <w:link w:val="ListabetvelChar"/>
    <w:uiPriority w:val="4"/>
    <w:qFormat/>
    <w:rsid w:val="00356079"/>
    <w:pPr>
      <w:numPr>
        <w:numId w:val="7"/>
      </w:numPr>
    </w:pPr>
  </w:style>
  <w:style w:type="character" w:customStyle="1" w:styleId="ListabetvelChar">
    <w:name w:val="Lista betűvel Char"/>
    <w:basedOn w:val="ListaszerbekezdsChar"/>
    <w:link w:val="Listabetvel"/>
    <w:uiPriority w:val="4"/>
    <w:rsid w:val="00356079"/>
    <w:rPr>
      <w:rFonts w:ascii="Calibri" w:eastAsiaTheme="minorHAnsi" w:hAnsi="Calibri" w:cstheme="minorBidi"/>
    </w:rPr>
  </w:style>
  <w:style w:type="paragraph" w:customStyle="1" w:styleId="Erskiemels1">
    <w:name w:val="Erős kiemelés1"/>
    <w:basedOn w:val="Norml"/>
    <w:link w:val="ErskiemelsChar"/>
    <w:uiPriority w:val="5"/>
    <w:qFormat/>
    <w:rsid w:val="00356079"/>
    <w:rPr>
      <w:b/>
      <w:i/>
    </w:rPr>
  </w:style>
  <w:style w:type="character" w:customStyle="1" w:styleId="ErskiemelsChar">
    <w:name w:val="Erős kiemelés Char"/>
    <w:basedOn w:val="Bekezdsalapbettpusa"/>
    <w:link w:val="Erskiemels1"/>
    <w:uiPriority w:val="5"/>
    <w:rsid w:val="00356079"/>
    <w:rPr>
      <w:rFonts w:ascii="Calibri" w:eastAsiaTheme="minorHAnsi" w:hAnsi="Calibri" w:cstheme="minorBidi"/>
      <w:b/>
      <w:i/>
    </w:rPr>
  </w:style>
  <w:style w:type="paragraph" w:customStyle="1" w:styleId="Bold">
    <w:name w:val="Bold"/>
    <w:basedOn w:val="Norml"/>
    <w:link w:val="BoldChar"/>
    <w:uiPriority w:val="6"/>
    <w:qFormat/>
    <w:rsid w:val="00356079"/>
    <w:rPr>
      <w:b/>
    </w:rPr>
  </w:style>
  <w:style w:type="character" w:customStyle="1" w:styleId="BoldChar">
    <w:name w:val="Bold Char"/>
    <w:basedOn w:val="Bekezdsalapbettpusa"/>
    <w:link w:val="Bold"/>
    <w:uiPriority w:val="6"/>
    <w:rsid w:val="00356079"/>
    <w:rPr>
      <w:rFonts w:ascii="Calibri" w:eastAsiaTheme="minorHAnsi" w:hAnsi="Calibri" w:cstheme="minorBidi"/>
      <w:b/>
    </w:rPr>
  </w:style>
  <w:style w:type="character" w:styleId="Mrltotthiperhivatkozs">
    <w:name w:val="FollowedHyperlink"/>
    <w:basedOn w:val="Bekezdsalapbettpusa"/>
    <w:uiPriority w:val="99"/>
    <w:semiHidden/>
    <w:unhideWhenUsed/>
    <w:rsid w:val="00356079"/>
    <w:rPr>
      <w:color w:val="954F72" w:themeColor="followedHyperlink"/>
      <w:u w:val="single"/>
    </w:rPr>
  </w:style>
  <w:style w:type="paragraph" w:styleId="Tartalomjegyzkcmsora">
    <w:name w:val="TOC Heading"/>
    <w:basedOn w:val="Cmsor1"/>
    <w:next w:val="Norml"/>
    <w:uiPriority w:val="39"/>
    <w:unhideWhenUsed/>
    <w:qFormat/>
    <w:rsid w:val="0035607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56079"/>
    <w:pPr>
      <w:spacing w:after="100"/>
      <w:ind w:left="220"/>
      <w:jc w:val="left"/>
    </w:pPr>
    <w:rPr>
      <w:rFonts w:eastAsiaTheme="minorEastAsia"/>
    </w:rPr>
  </w:style>
  <w:style w:type="paragraph" w:styleId="TJ1">
    <w:name w:val="toc 1"/>
    <w:basedOn w:val="Norml"/>
    <w:next w:val="Norml"/>
    <w:autoRedefine/>
    <w:uiPriority w:val="39"/>
    <w:unhideWhenUsed/>
    <w:qFormat/>
    <w:locked/>
    <w:rsid w:val="00356079"/>
    <w:pPr>
      <w:spacing w:after="100"/>
      <w:jc w:val="left"/>
    </w:pPr>
    <w:rPr>
      <w:rFonts w:eastAsiaTheme="minorEastAsia"/>
    </w:rPr>
  </w:style>
  <w:style w:type="paragraph" w:styleId="TJ3">
    <w:name w:val="toc 3"/>
    <w:basedOn w:val="Norml"/>
    <w:next w:val="Norml"/>
    <w:uiPriority w:val="39"/>
    <w:unhideWhenUsed/>
    <w:qFormat/>
    <w:locked/>
    <w:rsid w:val="00356079"/>
    <w:pPr>
      <w:spacing w:after="100"/>
      <w:ind w:left="400"/>
    </w:pPr>
  </w:style>
  <w:style w:type="paragraph" w:customStyle="1" w:styleId="StyleTOC2Left015">
    <w:name w:val="Style TOC 2 + Left:  0.15&quot;"/>
    <w:basedOn w:val="TJ2"/>
    <w:rsid w:val="00356079"/>
    <w:pPr>
      <w:ind w:left="216"/>
    </w:pPr>
    <w:rPr>
      <w:rFonts w:eastAsia="Times New Roman" w:cs="Times New Roman"/>
    </w:rPr>
  </w:style>
  <w:style w:type="paragraph" w:customStyle="1" w:styleId="StyleTOC3Left031">
    <w:name w:val="Style TOC 3 + Left:  0.31&quot;"/>
    <w:basedOn w:val="TJ3"/>
    <w:rsid w:val="00356079"/>
    <w:pPr>
      <w:ind w:left="446"/>
    </w:pPr>
    <w:rPr>
      <w:rFonts w:eastAsia="Times New Roman" w:cs="Times New Roman"/>
    </w:rPr>
  </w:style>
  <w:style w:type="numbering" w:customStyle="1" w:styleId="Hierarchikuslista">
    <w:name w:val="Hierarchikus lista"/>
    <w:uiPriority w:val="99"/>
    <w:rsid w:val="00356079"/>
    <w:pPr>
      <w:numPr>
        <w:numId w:val="2"/>
      </w:numPr>
    </w:pPr>
  </w:style>
  <w:style w:type="paragraph" w:customStyle="1" w:styleId="HierarchikusLista0">
    <w:name w:val="Hierarchikus Lista"/>
    <w:basedOn w:val="Listaszerbekezds"/>
    <w:link w:val="HierarchikusListaChar"/>
    <w:qFormat/>
    <w:rsid w:val="00356079"/>
    <w:pPr>
      <w:numPr>
        <w:numId w:val="0"/>
      </w:numPr>
    </w:pPr>
  </w:style>
  <w:style w:type="character" w:customStyle="1" w:styleId="HierarchikusListaChar">
    <w:name w:val="Hierarchikus Lista Char"/>
    <w:basedOn w:val="ListaszerbekezdsChar"/>
    <w:link w:val="HierarchikusLista0"/>
    <w:rsid w:val="00356079"/>
    <w:rPr>
      <w:rFonts w:ascii="Calibri" w:eastAsiaTheme="minorHAnsi" w:hAnsi="Calibri" w:cstheme="minorBidi"/>
    </w:rPr>
  </w:style>
  <w:style w:type="character" w:styleId="Kiemels2">
    <w:name w:val="Strong"/>
    <w:basedOn w:val="Bekezdsalapbettpusa"/>
    <w:uiPriority w:val="22"/>
    <w:rsid w:val="00356079"/>
    <w:rPr>
      <w:b/>
      <w:bCs/>
    </w:rPr>
  </w:style>
  <w:style w:type="character" w:styleId="Kiemels">
    <w:name w:val="Emphasis"/>
    <w:basedOn w:val="Bekezdsalapbettpusa"/>
    <w:uiPriority w:val="6"/>
    <w:qFormat/>
    <w:rsid w:val="00356079"/>
    <w:rPr>
      <w:i/>
      <w:iCs/>
    </w:rPr>
  </w:style>
  <w:style w:type="paragraph" w:styleId="Nincstrkz">
    <w:name w:val="No Spacing"/>
    <w:basedOn w:val="Norml"/>
    <w:uiPriority w:val="1"/>
    <w:rsid w:val="00356079"/>
    <w:rPr>
      <w:szCs w:val="32"/>
    </w:rPr>
  </w:style>
  <w:style w:type="paragraph" w:styleId="Idzet">
    <w:name w:val="Quote"/>
    <w:basedOn w:val="Norml"/>
    <w:next w:val="Norml"/>
    <w:link w:val="IdzetChar"/>
    <w:uiPriority w:val="29"/>
    <w:rsid w:val="00356079"/>
    <w:rPr>
      <w:i/>
    </w:rPr>
  </w:style>
  <w:style w:type="character" w:customStyle="1" w:styleId="IdzetChar">
    <w:name w:val="Idézet Char"/>
    <w:basedOn w:val="Bekezdsalapbettpusa"/>
    <w:link w:val="Idzet"/>
    <w:uiPriority w:val="29"/>
    <w:rsid w:val="00356079"/>
    <w:rPr>
      <w:rFonts w:ascii="Calibri" w:eastAsiaTheme="minorHAnsi" w:hAnsi="Calibri" w:cstheme="minorBidi"/>
      <w:i/>
    </w:rPr>
  </w:style>
  <w:style w:type="paragraph" w:styleId="Kiemeltidzet">
    <w:name w:val="Intense Quote"/>
    <w:basedOn w:val="Norml"/>
    <w:next w:val="Norml"/>
    <w:link w:val="KiemeltidzetChar"/>
    <w:uiPriority w:val="30"/>
    <w:rsid w:val="00356079"/>
    <w:pPr>
      <w:ind w:left="720" w:right="720"/>
    </w:pPr>
    <w:rPr>
      <w:b/>
      <w:i/>
    </w:rPr>
  </w:style>
  <w:style w:type="character" w:customStyle="1" w:styleId="KiemeltidzetChar">
    <w:name w:val="Kiemelt idézet Char"/>
    <w:basedOn w:val="Bekezdsalapbettpusa"/>
    <w:link w:val="Kiemeltidzet"/>
    <w:uiPriority w:val="30"/>
    <w:rsid w:val="00356079"/>
    <w:rPr>
      <w:rFonts w:ascii="Calibri" w:eastAsiaTheme="minorHAnsi" w:hAnsi="Calibri" w:cstheme="minorBidi"/>
      <w:b/>
      <w:i/>
    </w:rPr>
  </w:style>
  <w:style w:type="character" w:styleId="Erskiemels">
    <w:name w:val="Intense Emphasis"/>
    <w:basedOn w:val="Bekezdsalapbettpusa"/>
    <w:uiPriority w:val="21"/>
    <w:rsid w:val="00356079"/>
    <w:rPr>
      <w:b/>
      <w:i/>
      <w:sz w:val="24"/>
      <w:szCs w:val="24"/>
      <w:u w:val="single"/>
    </w:rPr>
  </w:style>
  <w:style w:type="character" w:styleId="Knyvcme">
    <w:name w:val="Book Title"/>
    <w:basedOn w:val="Bekezdsalapbettpusa"/>
    <w:uiPriority w:val="33"/>
    <w:rsid w:val="00356079"/>
    <w:rPr>
      <w:rFonts w:ascii="Calibri" w:eastAsiaTheme="majorEastAsia" w:hAnsi="Calibri"/>
      <w:b/>
      <w:i/>
      <w:sz w:val="24"/>
      <w:szCs w:val="24"/>
    </w:rPr>
  </w:style>
  <w:style w:type="paragraph" w:customStyle="1" w:styleId="Szvegdobozstlus">
    <w:name w:val="Szövegdoboz stílus"/>
    <w:basedOn w:val="HierarchikusLista0"/>
    <w:qFormat/>
    <w:rsid w:val="00356079"/>
    <w:rPr>
      <w:b/>
      <w:i/>
      <w:color w:val="009EE0"/>
    </w:rPr>
  </w:style>
  <w:style w:type="table" w:customStyle="1" w:styleId="Rcsos">
    <w:name w:val="Rácsos"/>
    <w:basedOn w:val="Normltblzat"/>
    <w:uiPriority w:val="99"/>
    <w:rsid w:val="00356079"/>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3560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56079"/>
    <w:pPr>
      <w:keepNext/>
      <w:spacing w:after="40"/>
      <w:jc w:val="center"/>
    </w:pPr>
    <w:rPr>
      <w:b/>
      <w:bCs/>
      <w:color w:val="808080"/>
      <w:szCs w:val="18"/>
    </w:rPr>
  </w:style>
  <w:style w:type="paragraph" w:customStyle="1" w:styleId="ENCaption2Col">
    <w:name w:val="EN_Caption_2Col"/>
    <w:basedOn w:val="Norml"/>
    <w:next w:val="Norml"/>
    <w:uiPriority w:val="1"/>
    <w:qFormat/>
    <w:rsid w:val="00356079"/>
    <w:pPr>
      <w:keepNext/>
      <w:spacing w:after="40"/>
      <w:jc w:val="left"/>
    </w:pPr>
    <w:rPr>
      <w:b/>
      <w:bCs/>
      <w:color w:val="808080"/>
      <w:szCs w:val="18"/>
    </w:rPr>
  </w:style>
  <w:style w:type="paragraph" w:customStyle="1" w:styleId="ENCaptionBox">
    <w:name w:val="EN_Caption_Box"/>
    <w:basedOn w:val="Norml"/>
    <w:next w:val="Norml"/>
    <w:uiPriority w:val="1"/>
    <w:qFormat/>
    <w:rsid w:val="003560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5607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56079"/>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56079"/>
    <w:rPr>
      <w:rFonts w:eastAsiaTheme="minorEastAsia"/>
      <w:color w:val="808080"/>
      <w:sz w:val="18"/>
    </w:rPr>
  </w:style>
  <w:style w:type="paragraph" w:customStyle="1" w:styleId="ENNormal">
    <w:name w:val="EN_Normal"/>
    <w:basedOn w:val="Norml"/>
    <w:uiPriority w:val="1"/>
    <w:qFormat/>
    <w:rsid w:val="00356079"/>
  </w:style>
  <w:style w:type="paragraph" w:customStyle="1" w:styleId="ENNormalBox">
    <w:name w:val="EN_Normal_Box"/>
    <w:basedOn w:val="Norml"/>
    <w:uiPriority w:val="1"/>
    <w:qFormat/>
    <w:rsid w:val="0035607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56079"/>
    <w:pPr>
      <w:keepLines/>
      <w:jc w:val="center"/>
    </w:pPr>
    <w:rPr>
      <w:color w:val="808080"/>
      <w:sz w:val="18"/>
    </w:rPr>
  </w:style>
  <w:style w:type="paragraph" w:customStyle="1" w:styleId="ENNote2Col">
    <w:name w:val="EN_Note_2Col"/>
    <w:basedOn w:val="Norml"/>
    <w:next w:val="ENNormal"/>
    <w:uiPriority w:val="1"/>
    <w:qFormat/>
    <w:rsid w:val="00356079"/>
    <w:pPr>
      <w:keepLines/>
    </w:pPr>
    <w:rPr>
      <w:color w:val="808080"/>
      <w:sz w:val="18"/>
    </w:rPr>
  </w:style>
  <w:style w:type="paragraph" w:customStyle="1" w:styleId="ENNoteBox">
    <w:name w:val="EN_Note_Box"/>
    <w:basedOn w:val="Norml"/>
    <w:next w:val="ENNormalBox"/>
    <w:uiPriority w:val="1"/>
    <w:qFormat/>
    <w:rsid w:val="0035607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56079"/>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56079"/>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3560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56079"/>
    <w:pPr>
      <w:keepNext/>
      <w:spacing w:after="40"/>
      <w:jc w:val="center"/>
    </w:pPr>
    <w:rPr>
      <w:sz w:val="20"/>
    </w:rPr>
  </w:style>
  <w:style w:type="paragraph" w:customStyle="1" w:styleId="HUCaption2Col">
    <w:name w:val="HU_Caption_2Col"/>
    <w:basedOn w:val="Kpalrs"/>
    <w:next w:val="Norml"/>
    <w:uiPriority w:val="1"/>
    <w:qFormat/>
    <w:rsid w:val="00356079"/>
    <w:pPr>
      <w:keepNext/>
      <w:spacing w:after="40"/>
    </w:pPr>
    <w:rPr>
      <w:sz w:val="20"/>
    </w:rPr>
  </w:style>
  <w:style w:type="paragraph" w:customStyle="1" w:styleId="HUCaptionBox">
    <w:name w:val="HU_Caption_Box"/>
    <w:basedOn w:val="Kpalrs"/>
    <w:next w:val="Norml"/>
    <w:uiPriority w:val="1"/>
    <w:qFormat/>
    <w:rsid w:val="0035607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5607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56079"/>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56079"/>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56079"/>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356079"/>
    <w:rPr>
      <w:color w:val="808080"/>
      <w:sz w:val="18"/>
    </w:rPr>
  </w:style>
  <w:style w:type="paragraph" w:customStyle="1" w:styleId="HUNormalBox">
    <w:name w:val="HU_Normal_Box"/>
    <w:basedOn w:val="Norml"/>
    <w:uiPriority w:val="1"/>
    <w:qFormat/>
    <w:rsid w:val="0035607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56079"/>
    <w:pPr>
      <w:keepLines/>
      <w:jc w:val="center"/>
    </w:pPr>
    <w:rPr>
      <w:color w:val="808080"/>
      <w:sz w:val="18"/>
    </w:rPr>
  </w:style>
  <w:style w:type="paragraph" w:customStyle="1" w:styleId="HUNote2Col">
    <w:name w:val="HU_Note_2Col"/>
    <w:basedOn w:val="Norml"/>
    <w:next w:val="Norml"/>
    <w:uiPriority w:val="1"/>
    <w:qFormat/>
    <w:rsid w:val="00356079"/>
    <w:pPr>
      <w:keepLines/>
    </w:pPr>
    <w:rPr>
      <w:color w:val="808080"/>
      <w:sz w:val="18"/>
    </w:rPr>
  </w:style>
  <w:style w:type="paragraph" w:customStyle="1" w:styleId="HUNoteBox">
    <w:name w:val="HU_Note_Box"/>
    <w:basedOn w:val="Norml"/>
    <w:next w:val="HUNormalBox"/>
    <w:link w:val="HUNoteBoxChar"/>
    <w:uiPriority w:val="1"/>
    <w:qFormat/>
    <w:rsid w:val="0035607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56079"/>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356079"/>
    <w:pPr>
      <w:keepNext/>
    </w:pPr>
  </w:style>
  <w:style w:type="character" w:customStyle="1" w:styleId="HUSectionTitleChar">
    <w:name w:val="HU_Section_Title Char"/>
    <w:basedOn w:val="Cmsor2Char"/>
    <w:link w:val="HUSectionTitle"/>
    <w:uiPriority w:val="1"/>
    <w:rsid w:val="00356079"/>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356079"/>
    <w:pPr>
      <w:keepNext/>
      <w:ind w:left="595" w:hanging="595"/>
    </w:pPr>
  </w:style>
  <w:style w:type="character" w:customStyle="1" w:styleId="HUSubsectionTitleChar">
    <w:name w:val="HU_Subsection_Title Char"/>
    <w:basedOn w:val="Cmsor3Char"/>
    <w:link w:val="HUSubsectionTitle"/>
    <w:uiPriority w:val="1"/>
    <w:rsid w:val="00356079"/>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356079"/>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A7183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2.xml><?xml version="1.0" encoding="utf-8"?>
<ds:datastoreItem xmlns:ds="http://schemas.openxmlformats.org/officeDocument/2006/customXml" ds:itemID="{FBAAE925-19E1-4370-BCF5-38F0124C0B74}">
  <ds:schemaRefs>
    <ds:schemaRef ds:uri="http://schemas.microsoft.com/office/infopath/2007/PartnerControls"/>
    <ds:schemaRef ds:uri="http://purl.org/dc/elements/1.1/"/>
    <ds:schemaRef ds:uri="http://schemas.microsoft.com/office/2006/metadata/properties"/>
    <ds:schemaRef ds:uri="105186c0-814d-4ca0-a8cd-f34ba4643a08"/>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8B14429A-951F-4544-8962-FD0E1C65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1C2744-A08A-4EE1-A32B-3FFD0FC6F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3186</Words>
  <Characters>23601</Characters>
  <Application>Microsoft Office Word</Application>
  <DocSecurity>0</DocSecurity>
  <Lines>196</Lines>
  <Paragraphs>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26734</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Tunner Tünde</cp:lastModifiedBy>
  <cp:revision>3</cp:revision>
  <cp:lastPrinted>2019-09-11T12:40:00Z</cp:lastPrinted>
  <dcterms:created xsi:type="dcterms:W3CDTF">2024-10-14T23:12:00Z</dcterms:created>
  <dcterms:modified xsi:type="dcterms:W3CDTF">2024-11-04T08:25:00Z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y fmtid="{D5CDD505-2E9C-101B-9397-08002B2CF9AE}" pid="15" name="ContentTypeId">
    <vt:lpwstr>0x01010001012851858B0B4E95FCE11964CB16B3</vt:lpwstr>
  </property>
</Properties>
</file>