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7832" w:rsidRPr="00B07832" w:rsidRDefault="00B07832" w:rsidP="00B07832">
      <w:pPr>
        <w:jc w:val="both"/>
        <w:rPr>
          <w:rFonts w:cs="Arial"/>
          <w:szCs w:val="24"/>
        </w:rPr>
      </w:pPr>
      <w:bookmarkStart w:id="0" w:name="_GoBack"/>
      <w:bookmarkEnd w:id="0"/>
    </w:p>
    <w:p w:rsidR="00B07832" w:rsidRPr="00B07832" w:rsidRDefault="00B07832" w:rsidP="00B07832">
      <w:pPr>
        <w:jc w:val="both"/>
        <w:rPr>
          <w:rFonts w:cs="Arial"/>
          <w:b/>
          <w:szCs w:val="24"/>
        </w:rPr>
      </w:pPr>
    </w:p>
    <w:p w:rsidR="00B07832" w:rsidRPr="00B07832" w:rsidRDefault="00B07832" w:rsidP="00B07832">
      <w:pPr>
        <w:jc w:val="both"/>
        <w:rPr>
          <w:rFonts w:cs="Arial"/>
          <w:b/>
          <w:szCs w:val="24"/>
        </w:rPr>
      </w:pPr>
    </w:p>
    <w:p w:rsidR="00943FCB" w:rsidRPr="00943FCB" w:rsidRDefault="00B07832" w:rsidP="00943FCB">
      <w:pPr>
        <w:ind w:right="270"/>
        <w:jc w:val="center"/>
        <w:rPr>
          <w:rFonts w:cs="Arial"/>
          <w:b/>
          <w:lang w:val="hu-HU"/>
        </w:rPr>
      </w:pPr>
      <w:r w:rsidRPr="00B07832">
        <w:rPr>
          <w:rFonts w:cs="Arial"/>
          <w:b/>
          <w:sz w:val="24"/>
          <w:szCs w:val="24"/>
        </w:rPr>
        <w:t xml:space="preserve"> </w:t>
      </w:r>
      <w:r w:rsidR="00943FCB" w:rsidRPr="00943FCB">
        <w:rPr>
          <w:rFonts w:cs="Arial"/>
          <w:b/>
          <w:lang w:val="hu-HU"/>
        </w:rPr>
        <w:t>Módszertani segédlet</w:t>
      </w:r>
    </w:p>
    <w:p w:rsidR="00943FCB" w:rsidRDefault="00943FCB" w:rsidP="00943FCB">
      <w:pPr>
        <w:ind w:right="270"/>
        <w:jc w:val="center"/>
        <w:rPr>
          <w:rFonts w:cs="Arial"/>
          <w:b/>
          <w:lang w:val="hu-HU"/>
        </w:rPr>
      </w:pPr>
      <w:r w:rsidRPr="00943FCB">
        <w:rPr>
          <w:rFonts w:cs="Arial"/>
          <w:b/>
          <w:lang w:val="hu-HU"/>
        </w:rPr>
        <w:t>az</w:t>
      </w:r>
    </w:p>
    <w:p w:rsidR="00943FCB" w:rsidRPr="00943FCB" w:rsidRDefault="00943FCB" w:rsidP="00943FCB">
      <w:pPr>
        <w:ind w:right="270"/>
        <w:jc w:val="center"/>
        <w:rPr>
          <w:rFonts w:cs="Arial"/>
          <w:b/>
          <w:lang w:val="hu-HU"/>
        </w:rPr>
      </w:pPr>
    </w:p>
    <w:p w:rsidR="007532A9" w:rsidRPr="00943FCB" w:rsidRDefault="00B07832" w:rsidP="00943FCB">
      <w:pPr>
        <w:pStyle w:val="BodyText2"/>
        <w:rPr>
          <w:rFonts w:ascii="Arial" w:hAnsi="Arial" w:cs="Arial"/>
          <w:sz w:val="22"/>
          <w:szCs w:val="22"/>
        </w:rPr>
        <w:sectPr w:rsidR="007532A9" w:rsidRPr="00943FCB">
          <w:headerReference w:type="even" r:id="rId8"/>
          <w:headerReference w:type="default" r:id="rId9"/>
          <w:footerReference w:type="even" r:id="rId10"/>
          <w:footerReference w:type="default" r:id="rId11"/>
          <w:headerReference w:type="first" r:id="rId12"/>
          <w:footerReference w:type="first" r:id="rId13"/>
          <w:pgSz w:w="11907" w:h="16840" w:code="9"/>
          <w:pgMar w:top="1418" w:right="1134" w:bottom="1418" w:left="1134" w:header="708" w:footer="708" w:gutter="567"/>
          <w:cols w:space="708"/>
        </w:sectPr>
      </w:pPr>
      <w:r w:rsidRPr="00943FCB">
        <w:rPr>
          <w:rFonts w:ascii="Arial" w:hAnsi="Arial" w:cs="Arial"/>
          <w:sz w:val="22"/>
          <w:szCs w:val="22"/>
        </w:rPr>
        <w:t>Jegybanki felmérés a devizapiac és a származékos ügyletek piacának aktivitásáról (forgalmi adatok)</w:t>
      </w:r>
      <w:r w:rsidR="00943FCB">
        <w:rPr>
          <w:rFonts w:ascii="Arial" w:hAnsi="Arial" w:cs="Arial"/>
          <w:sz w:val="22"/>
          <w:szCs w:val="22"/>
        </w:rPr>
        <w:t xml:space="preserve"> </w:t>
      </w:r>
      <w:r w:rsidR="00943FCB" w:rsidRPr="00943FCB">
        <w:rPr>
          <w:rFonts w:ascii="Arial" w:hAnsi="Arial" w:cs="Arial"/>
          <w:sz w:val="22"/>
          <w:szCs w:val="22"/>
        </w:rPr>
        <w:t>című D24 adatgyűjtéshez</w:t>
      </w:r>
    </w:p>
    <w:p w:rsidR="000D154D" w:rsidRPr="00832E8A" w:rsidRDefault="000D154D" w:rsidP="00666ADE">
      <w:pPr>
        <w:pStyle w:val="TableOfContentsTitle"/>
        <w:rPr>
          <w:b w:val="0"/>
        </w:rPr>
      </w:pPr>
      <w:r w:rsidRPr="00B05124">
        <w:lastRenderedPageBreak/>
        <w:t>Tartalom</w:t>
      </w:r>
    </w:p>
    <w:p w:rsidR="00604F40" w:rsidRPr="00604F40" w:rsidRDefault="007532A9">
      <w:pPr>
        <w:pStyle w:val="TOC1"/>
        <w:rPr>
          <w:rFonts w:ascii="Calibri" w:hAnsi="Calibri"/>
          <w:snapToGrid/>
          <w:szCs w:val="22"/>
        </w:rPr>
      </w:pPr>
      <w:r w:rsidRPr="00832E8A">
        <w:rPr>
          <w:noProof w:val="0"/>
          <w:szCs w:val="24"/>
        </w:rPr>
        <w:fldChar w:fldCharType="begin"/>
      </w:r>
      <w:r w:rsidRPr="00832E8A">
        <w:rPr>
          <w:noProof w:val="0"/>
          <w:szCs w:val="24"/>
        </w:rPr>
        <w:instrText xml:space="preserve"> TOC \o "1-3" \h \z \u </w:instrText>
      </w:r>
      <w:r w:rsidRPr="00832E8A">
        <w:rPr>
          <w:noProof w:val="0"/>
          <w:szCs w:val="24"/>
        </w:rPr>
        <w:fldChar w:fldCharType="separate"/>
      </w:r>
      <w:r w:rsidR="00604F40" w:rsidRPr="00952FFC">
        <w:rPr>
          <w:rStyle w:val="Hyperlink"/>
        </w:rPr>
        <w:fldChar w:fldCharType="begin"/>
      </w:r>
      <w:r w:rsidR="00604F40" w:rsidRPr="00952FFC">
        <w:rPr>
          <w:rStyle w:val="Hyperlink"/>
        </w:rPr>
        <w:instrText xml:space="preserve"> </w:instrText>
      </w:r>
      <w:r w:rsidR="00604F40">
        <w:instrText>HYPERLINK \l "_Toc533082305"</w:instrText>
      </w:r>
      <w:r w:rsidR="00604F40" w:rsidRPr="00952FFC">
        <w:rPr>
          <w:rStyle w:val="Hyperlink"/>
        </w:rPr>
        <w:instrText xml:space="preserve"> </w:instrText>
      </w:r>
      <w:r w:rsidR="00604F40" w:rsidRPr="00952FFC">
        <w:rPr>
          <w:rStyle w:val="Hyperlink"/>
        </w:rPr>
      </w:r>
      <w:r w:rsidR="00604F40" w:rsidRPr="00952FFC">
        <w:rPr>
          <w:rStyle w:val="Hyperlink"/>
        </w:rPr>
        <w:fldChar w:fldCharType="separate"/>
      </w:r>
      <w:r w:rsidR="00604F40" w:rsidRPr="00952FFC">
        <w:rPr>
          <w:rStyle w:val="Hyperlink"/>
          <w:rFonts w:cs="Arial"/>
          <w:b/>
        </w:rPr>
        <w:t>A.</w:t>
      </w:r>
      <w:r w:rsidR="00604F40" w:rsidRPr="00604F40">
        <w:rPr>
          <w:rFonts w:ascii="Calibri" w:hAnsi="Calibri"/>
          <w:snapToGrid/>
          <w:szCs w:val="22"/>
        </w:rPr>
        <w:tab/>
      </w:r>
      <w:r w:rsidR="00604F40" w:rsidRPr="00952FFC">
        <w:rPr>
          <w:rStyle w:val="Hyperlink"/>
          <w:rFonts w:cs="Arial"/>
          <w:b/>
        </w:rPr>
        <w:t>Bevezetés</w:t>
      </w:r>
      <w:r w:rsidR="00604F40">
        <w:rPr>
          <w:webHidden/>
        </w:rPr>
        <w:tab/>
      </w:r>
      <w:r w:rsidR="00604F40">
        <w:rPr>
          <w:webHidden/>
        </w:rPr>
        <w:fldChar w:fldCharType="begin"/>
      </w:r>
      <w:r w:rsidR="00604F40">
        <w:rPr>
          <w:webHidden/>
        </w:rPr>
        <w:instrText xml:space="preserve"> PAGEREF _Toc533082305 \h </w:instrText>
      </w:r>
      <w:r w:rsidR="00604F40">
        <w:rPr>
          <w:webHidden/>
        </w:rPr>
      </w:r>
      <w:r w:rsidR="00604F40">
        <w:rPr>
          <w:webHidden/>
        </w:rPr>
        <w:fldChar w:fldCharType="separate"/>
      </w:r>
      <w:r w:rsidR="00604F40">
        <w:rPr>
          <w:webHidden/>
        </w:rPr>
        <w:t>1</w:t>
      </w:r>
      <w:r w:rsidR="00604F40">
        <w:rPr>
          <w:webHidden/>
        </w:rPr>
        <w:fldChar w:fldCharType="end"/>
      </w:r>
      <w:r w:rsidR="00604F40" w:rsidRPr="00952FFC">
        <w:rPr>
          <w:rStyle w:val="Hyperlink"/>
        </w:rPr>
        <w:fldChar w:fldCharType="end"/>
      </w:r>
    </w:p>
    <w:p w:rsidR="00604F40" w:rsidRPr="00604F40" w:rsidRDefault="00604F40">
      <w:pPr>
        <w:pStyle w:val="TOC1"/>
        <w:rPr>
          <w:rFonts w:ascii="Calibri" w:hAnsi="Calibri"/>
          <w:snapToGrid/>
          <w:szCs w:val="22"/>
        </w:rPr>
      </w:pPr>
      <w:hyperlink w:anchor="_Toc533082306" w:history="1">
        <w:r w:rsidRPr="00952FFC">
          <w:rPr>
            <w:rStyle w:val="Hyperlink"/>
            <w:b/>
          </w:rPr>
          <w:t>B.</w:t>
        </w:r>
        <w:r w:rsidRPr="00604F40">
          <w:rPr>
            <w:rFonts w:ascii="Calibri" w:hAnsi="Calibri"/>
            <w:snapToGrid/>
            <w:szCs w:val="22"/>
          </w:rPr>
          <w:tab/>
        </w:r>
        <w:r w:rsidRPr="00952FFC">
          <w:rPr>
            <w:rStyle w:val="Hyperlink"/>
            <w:b/>
          </w:rPr>
          <w:t>Kategóriák és adatszolgáltatási konvenciók</w:t>
        </w:r>
        <w:r>
          <w:rPr>
            <w:webHidden/>
          </w:rPr>
          <w:tab/>
        </w:r>
        <w:r>
          <w:rPr>
            <w:webHidden/>
          </w:rPr>
          <w:fldChar w:fldCharType="begin"/>
        </w:r>
        <w:r>
          <w:rPr>
            <w:webHidden/>
          </w:rPr>
          <w:instrText xml:space="preserve"> PAGEREF _Toc533082306 \h </w:instrText>
        </w:r>
        <w:r>
          <w:rPr>
            <w:webHidden/>
          </w:rPr>
        </w:r>
        <w:r>
          <w:rPr>
            <w:webHidden/>
          </w:rPr>
          <w:fldChar w:fldCharType="separate"/>
        </w:r>
        <w:r>
          <w:rPr>
            <w:webHidden/>
          </w:rPr>
          <w:t>1</w:t>
        </w:r>
        <w:r>
          <w:rPr>
            <w:webHidden/>
          </w:rPr>
          <w:fldChar w:fldCharType="end"/>
        </w:r>
      </w:hyperlink>
    </w:p>
    <w:p w:rsidR="00604F40" w:rsidRPr="00604F40" w:rsidRDefault="00604F40">
      <w:pPr>
        <w:pStyle w:val="TOC2"/>
        <w:rPr>
          <w:rFonts w:ascii="Calibri" w:hAnsi="Calibri"/>
          <w:snapToGrid/>
          <w:szCs w:val="22"/>
        </w:rPr>
      </w:pPr>
      <w:hyperlink w:anchor="_Toc533082307" w:history="1">
        <w:r w:rsidRPr="00952FFC">
          <w:rPr>
            <w:rStyle w:val="Hyperlink"/>
          </w:rPr>
          <w:t>1.</w:t>
        </w:r>
        <w:r w:rsidRPr="00604F40">
          <w:rPr>
            <w:rFonts w:ascii="Calibri" w:hAnsi="Calibri"/>
            <w:snapToGrid/>
            <w:szCs w:val="22"/>
          </w:rPr>
          <w:tab/>
        </w:r>
        <w:r w:rsidRPr="00952FFC">
          <w:rPr>
            <w:rStyle w:val="Hyperlink"/>
          </w:rPr>
          <w:t>Kockázati kategóriák</w:t>
        </w:r>
        <w:r>
          <w:rPr>
            <w:webHidden/>
          </w:rPr>
          <w:tab/>
        </w:r>
        <w:r>
          <w:rPr>
            <w:webHidden/>
          </w:rPr>
          <w:fldChar w:fldCharType="begin"/>
        </w:r>
        <w:r>
          <w:rPr>
            <w:webHidden/>
          </w:rPr>
          <w:instrText xml:space="preserve"> PAGEREF _Toc533082307 \h </w:instrText>
        </w:r>
        <w:r>
          <w:rPr>
            <w:webHidden/>
          </w:rPr>
        </w:r>
        <w:r>
          <w:rPr>
            <w:webHidden/>
          </w:rPr>
          <w:fldChar w:fldCharType="separate"/>
        </w:r>
        <w:r>
          <w:rPr>
            <w:webHidden/>
          </w:rPr>
          <w:t>1</w:t>
        </w:r>
        <w:r>
          <w:rPr>
            <w:webHidden/>
          </w:rPr>
          <w:fldChar w:fldCharType="end"/>
        </w:r>
      </w:hyperlink>
    </w:p>
    <w:p w:rsidR="00604F40" w:rsidRPr="00604F40" w:rsidRDefault="00604F40">
      <w:pPr>
        <w:pStyle w:val="TOC2"/>
        <w:rPr>
          <w:rFonts w:ascii="Calibri" w:hAnsi="Calibri"/>
          <w:snapToGrid/>
          <w:szCs w:val="22"/>
        </w:rPr>
      </w:pPr>
      <w:hyperlink w:anchor="_Toc533082308" w:history="1">
        <w:r w:rsidRPr="00952FFC">
          <w:rPr>
            <w:rStyle w:val="Hyperlink"/>
            <w:rFonts w:cs="Arial"/>
          </w:rPr>
          <w:t>2.</w:t>
        </w:r>
        <w:r w:rsidRPr="00604F40">
          <w:rPr>
            <w:rFonts w:ascii="Calibri" w:hAnsi="Calibri"/>
            <w:snapToGrid/>
            <w:szCs w:val="22"/>
          </w:rPr>
          <w:tab/>
        </w:r>
        <w:r w:rsidRPr="00952FFC">
          <w:rPr>
            <w:rStyle w:val="Hyperlink"/>
            <w:rFonts w:cs="Arial"/>
          </w:rPr>
          <w:t>A bontások áttekintése</w:t>
        </w:r>
        <w:r>
          <w:rPr>
            <w:webHidden/>
          </w:rPr>
          <w:tab/>
        </w:r>
        <w:r>
          <w:rPr>
            <w:webHidden/>
          </w:rPr>
          <w:fldChar w:fldCharType="begin"/>
        </w:r>
        <w:r>
          <w:rPr>
            <w:webHidden/>
          </w:rPr>
          <w:instrText xml:space="preserve"> PAGEREF _Toc533082308 \h </w:instrText>
        </w:r>
        <w:r>
          <w:rPr>
            <w:webHidden/>
          </w:rPr>
        </w:r>
        <w:r>
          <w:rPr>
            <w:webHidden/>
          </w:rPr>
          <w:fldChar w:fldCharType="separate"/>
        </w:r>
        <w:r>
          <w:rPr>
            <w:webHidden/>
          </w:rPr>
          <w:t>2</w:t>
        </w:r>
        <w:r>
          <w:rPr>
            <w:webHidden/>
          </w:rPr>
          <w:fldChar w:fldCharType="end"/>
        </w:r>
      </w:hyperlink>
    </w:p>
    <w:p w:rsidR="00604F40" w:rsidRPr="00604F40" w:rsidRDefault="00604F40">
      <w:pPr>
        <w:pStyle w:val="TOC3"/>
        <w:rPr>
          <w:rFonts w:ascii="Calibri" w:hAnsi="Calibri"/>
          <w:snapToGrid/>
          <w:szCs w:val="22"/>
        </w:rPr>
      </w:pPr>
      <w:hyperlink w:anchor="_Toc533082309" w:history="1">
        <w:r w:rsidRPr="00952FFC">
          <w:rPr>
            <w:rStyle w:val="Hyperlink"/>
            <w:rFonts w:cs="Arial"/>
            <w:i/>
          </w:rPr>
          <w:t>2.1.</w:t>
        </w:r>
        <w:r w:rsidRPr="00604F40">
          <w:rPr>
            <w:rFonts w:ascii="Calibri" w:hAnsi="Calibri"/>
            <w:snapToGrid/>
            <w:szCs w:val="22"/>
          </w:rPr>
          <w:tab/>
        </w:r>
        <w:r w:rsidRPr="00952FFC">
          <w:rPr>
            <w:rStyle w:val="Hyperlink"/>
            <w:rFonts w:cs="Arial"/>
            <w:i/>
          </w:rPr>
          <w:t>Devizaügyletek</w:t>
        </w:r>
        <w:r>
          <w:rPr>
            <w:webHidden/>
          </w:rPr>
          <w:tab/>
        </w:r>
        <w:r>
          <w:rPr>
            <w:webHidden/>
          </w:rPr>
          <w:fldChar w:fldCharType="begin"/>
        </w:r>
        <w:r>
          <w:rPr>
            <w:webHidden/>
          </w:rPr>
          <w:instrText xml:space="preserve"> PAGEREF _Toc533082309 \h </w:instrText>
        </w:r>
        <w:r>
          <w:rPr>
            <w:webHidden/>
          </w:rPr>
        </w:r>
        <w:r>
          <w:rPr>
            <w:webHidden/>
          </w:rPr>
          <w:fldChar w:fldCharType="separate"/>
        </w:r>
        <w:r>
          <w:rPr>
            <w:webHidden/>
          </w:rPr>
          <w:t>2</w:t>
        </w:r>
        <w:r>
          <w:rPr>
            <w:webHidden/>
          </w:rPr>
          <w:fldChar w:fldCharType="end"/>
        </w:r>
      </w:hyperlink>
    </w:p>
    <w:p w:rsidR="00604F40" w:rsidRPr="00604F40" w:rsidRDefault="00604F40">
      <w:pPr>
        <w:pStyle w:val="TOC3"/>
        <w:rPr>
          <w:rFonts w:ascii="Calibri" w:hAnsi="Calibri"/>
          <w:snapToGrid/>
          <w:szCs w:val="22"/>
        </w:rPr>
      </w:pPr>
      <w:hyperlink w:anchor="_Toc533082310" w:history="1">
        <w:r w:rsidRPr="00952FFC">
          <w:rPr>
            <w:rStyle w:val="Hyperlink"/>
            <w:i/>
          </w:rPr>
          <w:t>2.2.</w:t>
        </w:r>
        <w:r w:rsidRPr="00604F40">
          <w:rPr>
            <w:rFonts w:ascii="Calibri" w:hAnsi="Calibri"/>
            <w:snapToGrid/>
            <w:szCs w:val="22"/>
          </w:rPr>
          <w:tab/>
        </w:r>
        <w:r w:rsidRPr="00952FFC">
          <w:rPr>
            <w:rStyle w:val="Hyperlink"/>
            <w:i/>
          </w:rPr>
          <w:t xml:space="preserve"> Egydevizás kamatláb-derivatívák</w:t>
        </w:r>
        <w:r>
          <w:rPr>
            <w:webHidden/>
          </w:rPr>
          <w:tab/>
        </w:r>
        <w:r>
          <w:rPr>
            <w:webHidden/>
          </w:rPr>
          <w:fldChar w:fldCharType="begin"/>
        </w:r>
        <w:r>
          <w:rPr>
            <w:webHidden/>
          </w:rPr>
          <w:instrText xml:space="preserve"> PAGEREF _Toc533082310 \h </w:instrText>
        </w:r>
        <w:r>
          <w:rPr>
            <w:webHidden/>
          </w:rPr>
        </w:r>
        <w:r>
          <w:rPr>
            <w:webHidden/>
          </w:rPr>
          <w:fldChar w:fldCharType="separate"/>
        </w:r>
        <w:r>
          <w:rPr>
            <w:webHidden/>
          </w:rPr>
          <w:t>2</w:t>
        </w:r>
        <w:r>
          <w:rPr>
            <w:webHidden/>
          </w:rPr>
          <w:fldChar w:fldCharType="end"/>
        </w:r>
      </w:hyperlink>
    </w:p>
    <w:p w:rsidR="00604F40" w:rsidRPr="00604F40" w:rsidRDefault="00604F40">
      <w:pPr>
        <w:pStyle w:val="TOC2"/>
        <w:rPr>
          <w:rFonts w:ascii="Calibri" w:hAnsi="Calibri"/>
          <w:snapToGrid/>
          <w:szCs w:val="22"/>
        </w:rPr>
      </w:pPr>
      <w:hyperlink w:anchor="_Toc533082311" w:history="1">
        <w:r w:rsidRPr="00952FFC">
          <w:rPr>
            <w:rStyle w:val="Hyperlink"/>
            <w:rFonts w:cs="Arial"/>
          </w:rPr>
          <w:t>3.</w:t>
        </w:r>
        <w:r w:rsidRPr="00604F40">
          <w:rPr>
            <w:rFonts w:ascii="Calibri" w:hAnsi="Calibri"/>
            <w:snapToGrid/>
            <w:szCs w:val="22"/>
          </w:rPr>
          <w:tab/>
        </w:r>
        <w:r w:rsidRPr="00952FFC">
          <w:rPr>
            <w:rStyle w:val="Hyperlink"/>
            <w:rFonts w:cs="Arial"/>
          </w:rPr>
          <w:t>A forgalmi adatok meghatározása</w:t>
        </w:r>
        <w:r>
          <w:rPr>
            <w:webHidden/>
          </w:rPr>
          <w:tab/>
        </w:r>
        <w:r>
          <w:rPr>
            <w:webHidden/>
          </w:rPr>
          <w:fldChar w:fldCharType="begin"/>
        </w:r>
        <w:r>
          <w:rPr>
            <w:webHidden/>
          </w:rPr>
          <w:instrText xml:space="preserve"> PAGEREF _Toc533082311 \h </w:instrText>
        </w:r>
        <w:r>
          <w:rPr>
            <w:webHidden/>
          </w:rPr>
        </w:r>
        <w:r>
          <w:rPr>
            <w:webHidden/>
          </w:rPr>
          <w:fldChar w:fldCharType="separate"/>
        </w:r>
        <w:r>
          <w:rPr>
            <w:webHidden/>
          </w:rPr>
          <w:t>3</w:t>
        </w:r>
        <w:r>
          <w:rPr>
            <w:webHidden/>
          </w:rPr>
          <w:fldChar w:fldCharType="end"/>
        </w:r>
      </w:hyperlink>
    </w:p>
    <w:p w:rsidR="00604F40" w:rsidRPr="00604F40" w:rsidRDefault="00604F40">
      <w:pPr>
        <w:pStyle w:val="TOC2"/>
        <w:rPr>
          <w:rFonts w:ascii="Calibri" w:hAnsi="Calibri"/>
          <w:snapToGrid/>
          <w:szCs w:val="22"/>
        </w:rPr>
      </w:pPr>
      <w:hyperlink w:anchor="_Toc533082312" w:history="1">
        <w:r w:rsidRPr="00952FFC">
          <w:rPr>
            <w:rStyle w:val="Hyperlink"/>
          </w:rPr>
          <w:t>4.</w:t>
        </w:r>
        <w:r w:rsidRPr="00604F40">
          <w:rPr>
            <w:rFonts w:ascii="Calibri" w:hAnsi="Calibri"/>
            <w:snapToGrid/>
            <w:szCs w:val="22"/>
          </w:rPr>
          <w:tab/>
        </w:r>
        <w:r w:rsidRPr="00952FFC">
          <w:rPr>
            <w:rStyle w:val="Hyperlink"/>
          </w:rPr>
          <w:t>Beszámolási alap és kapcsolt felekkel folytatott ügyletek</w:t>
        </w:r>
        <w:r>
          <w:rPr>
            <w:webHidden/>
          </w:rPr>
          <w:tab/>
        </w:r>
        <w:r>
          <w:rPr>
            <w:webHidden/>
          </w:rPr>
          <w:fldChar w:fldCharType="begin"/>
        </w:r>
        <w:r>
          <w:rPr>
            <w:webHidden/>
          </w:rPr>
          <w:instrText xml:space="preserve"> PAGEREF _Toc533082312 \h </w:instrText>
        </w:r>
        <w:r>
          <w:rPr>
            <w:webHidden/>
          </w:rPr>
        </w:r>
        <w:r>
          <w:rPr>
            <w:webHidden/>
          </w:rPr>
          <w:fldChar w:fldCharType="separate"/>
        </w:r>
        <w:r>
          <w:rPr>
            <w:webHidden/>
          </w:rPr>
          <w:t>3</w:t>
        </w:r>
        <w:r>
          <w:rPr>
            <w:webHidden/>
          </w:rPr>
          <w:fldChar w:fldCharType="end"/>
        </w:r>
      </w:hyperlink>
    </w:p>
    <w:p w:rsidR="00604F40" w:rsidRPr="00604F40" w:rsidRDefault="00604F40">
      <w:pPr>
        <w:pStyle w:val="TOC3"/>
        <w:rPr>
          <w:rFonts w:ascii="Calibri" w:hAnsi="Calibri"/>
          <w:i/>
          <w:snapToGrid/>
          <w:szCs w:val="22"/>
        </w:rPr>
      </w:pPr>
      <w:hyperlink w:anchor="_Toc533082313" w:history="1">
        <w:r w:rsidRPr="00604F40">
          <w:rPr>
            <w:rStyle w:val="Hyperlink"/>
            <w:i/>
            <w:lang w:eastAsia="x-none"/>
          </w:rPr>
          <w:t xml:space="preserve">4.1. </w:t>
        </w:r>
        <w:r w:rsidRPr="00604F40">
          <w:rPr>
            <w:rFonts w:ascii="Calibri" w:hAnsi="Calibri"/>
            <w:i/>
            <w:snapToGrid/>
            <w:szCs w:val="22"/>
          </w:rPr>
          <w:tab/>
        </w:r>
        <w:r w:rsidRPr="00604F40">
          <w:rPr>
            <w:rStyle w:val="Hyperlink"/>
            <w:i/>
            <w:lang w:eastAsia="x-none"/>
          </w:rPr>
          <w:t>Értékesítési helyszín (Sales desk)</w:t>
        </w:r>
        <w:r w:rsidRPr="00604F40">
          <w:rPr>
            <w:i/>
            <w:webHidden/>
          </w:rPr>
          <w:tab/>
        </w:r>
        <w:r w:rsidRPr="00604F40">
          <w:rPr>
            <w:i/>
            <w:webHidden/>
          </w:rPr>
          <w:fldChar w:fldCharType="begin"/>
        </w:r>
        <w:r w:rsidRPr="00604F40">
          <w:rPr>
            <w:i/>
            <w:webHidden/>
          </w:rPr>
          <w:instrText xml:space="preserve"> PAGEREF _Toc533082313 \h </w:instrText>
        </w:r>
        <w:r w:rsidRPr="00604F40">
          <w:rPr>
            <w:i/>
            <w:webHidden/>
          </w:rPr>
        </w:r>
        <w:r w:rsidRPr="00604F40">
          <w:rPr>
            <w:i/>
            <w:webHidden/>
          </w:rPr>
          <w:fldChar w:fldCharType="separate"/>
        </w:r>
        <w:r w:rsidRPr="00604F40">
          <w:rPr>
            <w:i/>
            <w:webHidden/>
          </w:rPr>
          <w:t>3</w:t>
        </w:r>
        <w:r w:rsidRPr="00604F40">
          <w:rPr>
            <w:i/>
            <w:webHidden/>
          </w:rPr>
          <w:fldChar w:fldCharType="end"/>
        </w:r>
      </w:hyperlink>
    </w:p>
    <w:p w:rsidR="00604F40" w:rsidRPr="00604F40" w:rsidRDefault="00604F40">
      <w:pPr>
        <w:pStyle w:val="TOC3"/>
        <w:rPr>
          <w:rFonts w:ascii="Calibri" w:hAnsi="Calibri"/>
          <w:i/>
          <w:snapToGrid/>
          <w:szCs w:val="22"/>
        </w:rPr>
      </w:pPr>
      <w:hyperlink w:anchor="_Toc533082314" w:history="1">
        <w:r w:rsidRPr="00604F40">
          <w:rPr>
            <w:rStyle w:val="Hyperlink"/>
            <w:i/>
          </w:rPr>
          <w:t>4.2.</w:t>
        </w:r>
        <w:r w:rsidRPr="00604F40">
          <w:rPr>
            <w:rFonts w:ascii="Calibri" w:hAnsi="Calibri"/>
            <w:i/>
            <w:snapToGrid/>
            <w:szCs w:val="22"/>
          </w:rPr>
          <w:tab/>
        </w:r>
        <w:r w:rsidRPr="00604F40">
          <w:rPr>
            <w:rStyle w:val="Hyperlink"/>
            <w:i/>
          </w:rPr>
          <w:t>Kapcsolt felek ügyletei</w:t>
        </w:r>
        <w:r w:rsidRPr="00604F40">
          <w:rPr>
            <w:i/>
            <w:webHidden/>
          </w:rPr>
          <w:tab/>
        </w:r>
        <w:r w:rsidRPr="00604F40">
          <w:rPr>
            <w:i/>
            <w:webHidden/>
          </w:rPr>
          <w:fldChar w:fldCharType="begin"/>
        </w:r>
        <w:r w:rsidRPr="00604F40">
          <w:rPr>
            <w:i/>
            <w:webHidden/>
          </w:rPr>
          <w:instrText xml:space="preserve"> PAGEREF _Toc533082314 \h </w:instrText>
        </w:r>
        <w:r w:rsidRPr="00604F40">
          <w:rPr>
            <w:i/>
            <w:webHidden/>
          </w:rPr>
        </w:r>
        <w:r w:rsidRPr="00604F40">
          <w:rPr>
            <w:i/>
            <w:webHidden/>
          </w:rPr>
          <w:fldChar w:fldCharType="separate"/>
        </w:r>
        <w:r w:rsidRPr="00604F40">
          <w:rPr>
            <w:i/>
            <w:webHidden/>
          </w:rPr>
          <w:t>4</w:t>
        </w:r>
        <w:r w:rsidRPr="00604F40">
          <w:rPr>
            <w:i/>
            <w:webHidden/>
          </w:rPr>
          <w:fldChar w:fldCharType="end"/>
        </w:r>
      </w:hyperlink>
    </w:p>
    <w:p w:rsidR="00604F40" w:rsidRPr="00604F40" w:rsidRDefault="00604F40">
      <w:pPr>
        <w:pStyle w:val="TOC3"/>
        <w:rPr>
          <w:rFonts w:ascii="Calibri" w:hAnsi="Calibri"/>
          <w:i/>
          <w:snapToGrid/>
          <w:szCs w:val="22"/>
        </w:rPr>
      </w:pPr>
      <w:hyperlink w:anchor="_Toc533082315" w:history="1">
        <w:r w:rsidRPr="00604F40">
          <w:rPr>
            <w:rStyle w:val="Hyperlink"/>
            <w:i/>
          </w:rPr>
          <w:t>4.3.</w:t>
        </w:r>
        <w:r w:rsidRPr="00604F40">
          <w:rPr>
            <w:rFonts w:ascii="Calibri" w:hAnsi="Calibri"/>
            <w:i/>
            <w:snapToGrid/>
            <w:szCs w:val="22"/>
          </w:rPr>
          <w:tab/>
        </w:r>
        <w:r w:rsidRPr="00604F40">
          <w:rPr>
            <w:rStyle w:val="Hyperlink"/>
            <w:i/>
          </w:rPr>
          <w:t>Back-to-back ügyletek jelentése</w:t>
        </w:r>
        <w:r w:rsidRPr="00604F40">
          <w:rPr>
            <w:i/>
            <w:webHidden/>
          </w:rPr>
          <w:tab/>
        </w:r>
        <w:r w:rsidRPr="00604F40">
          <w:rPr>
            <w:i/>
            <w:webHidden/>
          </w:rPr>
          <w:fldChar w:fldCharType="begin"/>
        </w:r>
        <w:r w:rsidRPr="00604F40">
          <w:rPr>
            <w:i/>
            <w:webHidden/>
          </w:rPr>
          <w:instrText xml:space="preserve"> PAGEREF _Toc533082315 \h </w:instrText>
        </w:r>
        <w:r w:rsidRPr="00604F40">
          <w:rPr>
            <w:i/>
            <w:webHidden/>
          </w:rPr>
        </w:r>
        <w:r w:rsidRPr="00604F40">
          <w:rPr>
            <w:i/>
            <w:webHidden/>
          </w:rPr>
          <w:fldChar w:fldCharType="separate"/>
        </w:r>
        <w:r w:rsidRPr="00604F40">
          <w:rPr>
            <w:i/>
            <w:webHidden/>
          </w:rPr>
          <w:t>4</w:t>
        </w:r>
        <w:r w:rsidRPr="00604F40">
          <w:rPr>
            <w:i/>
            <w:webHidden/>
          </w:rPr>
          <w:fldChar w:fldCharType="end"/>
        </w:r>
      </w:hyperlink>
    </w:p>
    <w:p w:rsidR="00604F40" w:rsidRPr="00604F40" w:rsidRDefault="00604F40">
      <w:pPr>
        <w:pStyle w:val="TOC2"/>
        <w:rPr>
          <w:rFonts w:ascii="Calibri" w:hAnsi="Calibri"/>
          <w:snapToGrid/>
          <w:szCs w:val="22"/>
        </w:rPr>
      </w:pPr>
      <w:hyperlink w:anchor="_Toc533082316" w:history="1">
        <w:r w:rsidRPr="00952FFC">
          <w:rPr>
            <w:rStyle w:val="Hyperlink"/>
          </w:rPr>
          <w:t>6.</w:t>
        </w:r>
        <w:r w:rsidRPr="00604F40">
          <w:rPr>
            <w:rFonts w:ascii="Calibri" w:hAnsi="Calibri"/>
            <w:snapToGrid/>
            <w:szCs w:val="22"/>
          </w:rPr>
          <w:tab/>
        </w:r>
        <w:r w:rsidRPr="00952FFC">
          <w:rPr>
            <w:rStyle w:val="Hyperlink"/>
          </w:rPr>
          <w:t>Az adatszolgáltatás pénzneme, és a devizanemek átváltása</w:t>
        </w:r>
        <w:r>
          <w:rPr>
            <w:webHidden/>
          </w:rPr>
          <w:tab/>
        </w:r>
        <w:r>
          <w:rPr>
            <w:webHidden/>
          </w:rPr>
          <w:fldChar w:fldCharType="begin"/>
        </w:r>
        <w:r>
          <w:rPr>
            <w:webHidden/>
          </w:rPr>
          <w:instrText xml:space="preserve"> PAGEREF _Toc533082316 \h </w:instrText>
        </w:r>
        <w:r>
          <w:rPr>
            <w:webHidden/>
          </w:rPr>
        </w:r>
        <w:r>
          <w:rPr>
            <w:webHidden/>
          </w:rPr>
          <w:fldChar w:fldCharType="separate"/>
        </w:r>
        <w:r>
          <w:rPr>
            <w:webHidden/>
          </w:rPr>
          <w:t>6</w:t>
        </w:r>
        <w:r>
          <w:rPr>
            <w:webHidden/>
          </w:rPr>
          <w:fldChar w:fldCharType="end"/>
        </w:r>
      </w:hyperlink>
    </w:p>
    <w:p w:rsidR="00604F40" w:rsidRPr="00604F40" w:rsidRDefault="00604F40">
      <w:pPr>
        <w:pStyle w:val="TOC2"/>
        <w:rPr>
          <w:rFonts w:ascii="Calibri" w:hAnsi="Calibri"/>
          <w:snapToGrid/>
          <w:szCs w:val="22"/>
        </w:rPr>
      </w:pPr>
      <w:hyperlink w:anchor="_Toc533082317" w:history="1">
        <w:r w:rsidRPr="00952FFC">
          <w:rPr>
            <w:rStyle w:val="Hyperlink"/>
          </w:rPr>
          <w:t>7.</w:t>
        </w:r>
        <w:r w:rsidRPr="00604F40">
          <w:rPr>
            <w:rFonts w:ascii="Calibri" w:hAnsi="Calibri"/>
            <w:snapToGrid/>
            <w:szCs w:val="22"/>
          </w:rPr>
          <w:tab/>
        </w:r>
        <w:r w:rsidRPr="00952FFC">
          <w:rPr>
            <w:rStyle w:val="Hyperlink"/>
          </w:rPr>
          <w:t>Kerekítés</w:t>
        </w:r>
        <w:r>
          <w:rPr>
            <w:webHidden/>
          </w:rPr>
          <w:tab/>
        </w:r>
        <w:r>
          <w:rPr>
            <w:webHidden/>
          </w:rPr>
          <w:fldChar w:fldCharType="begin"/>
        </w:r>
        <w:r>
          <w:rPr>
            <w:webHidden/>
          </w:rPr>
          <w:instrText xml:space="preserve"> PAGEREF _Toc533082317 \h </w:instrText>
        </w:r>
        <w:r>
          <w:rPr>
            <w:webHidden/>
          </w:rPr>
        </w:r>
        <w:r>
          <w:rPr>
            <w:webHidden/>
          </w:rPr>
          <w:fldChar w:fldCharType="separate"/>
        </w:r>
        <w:r>
          <w:rPr>
            <w:webHidden/>
          </w:rPr>
          <w:t>6</w:t>
        </w:r>
        <w:r>
          <w:rPr>
            <w:webHidden/>
          </w:rPr>
          <w:fldChar w:fldCharType="end"/>
        </w:r>
      </w:hyperlink>
    </w:p>
    <w:p w:rsidR="00604F40" w:rsidRPr="00604F40" w:rsidRDefault="00604F40">
      <w:pPr>
        <w:pStyle w:val="TOC2"/>
        <w:rPr>
          <w:rFonts w:ascii="Calibri" w:hAnsi="Calibri"/>
          <w:snapToGrid/>
          <w:szCs w:val="22"/>
        </w:rPr>
      </w:pPr>
      <w:hyperlink w:anchor="_Toc533082318" w:history="1">
        <w:r w:rsidRPr="00952FFC">
          <w:rPr>
            <w:rStyle w:val="Hyperlink"/>
          </w:rPr>
          <w:t>8.</w:t>
        </w:r>
        <w:r w:rsidRPr="00604F40">
          <w:rPr>
            <w:rFonts w:ascii="Calibri" w:hAnsi="Calibri"/>
            <w:snapToGrid/>
            <w:szCs w:val="22"/>
          </w:rPr>
          <w:tab/>
        </w:r>
        <w:r w:rsidRPr="00952FFC">
          <w:rPr>
            <w:rStyle w:val="Hyperlink"/>
          </w:rPr>
          <w:t>Az adatszolgáltatás határideje</w:t>
        </w:r>
        <w:r>
          <w:rPr>
            <w:webHidden/>
          </w:rPr>
          <w:tab/>
        </w:r>
        <w:r>
          <w:rPr>
            <w:webHidden/>
          </w:rPr>
          <w:fldChar w:fldCharType="begin"/>
        </w:r>
        <w:r>
          <w:rPr>
            <w:webHidden/>
          </w:rPr>
          <w:instrText xml:space="preserve"> PAGEREF _Toc533082318 \h </w:instrText>
        </w:r>
        <w:r>
          <w:rPr>
            <w:webHidden/>
          </w:rPr>
        </w:r>
        <w:r>
          <w:rPr>
            <w:webHidden/>
          </w:rPr>
          <w:fldChar w:fldCharType="separate"/>
        </w:r>
        <w:r>
          <w:rPr>
            <w:webHidden/>
          </w:rPr>
          <w:t>6</w:t>
        </w:r>
        <w:r>
          <w:rPr>
            <w:webHidden/>
          </w:rPr>
          <w:fldChar w:fldCharType="end"/>
        </w:r>
      </w:hyperlink>
    </w:p>
    <w:p w:rsidR="00604F40" w:rsidRPr="00604F40" w:rsidRDefault="00604F40">
      <w:pPr>
        <w:pStyle w:val="TOC2"/>
        <w:rPr>
          <w:rFonts w:ascii="Calibri" w:hAnsi="Calibri"/>
          <w:snapToGrid/>
          <w:szCs w:val="22"/>
        </w:rPr>
      </w:pPr>
      <w:hyperlink w:anchor="_Toc533082319" w:history="1">
        <w:r w:rsidRPr="00604F40">
          <w:rPr>
            <w:rStyle w:val="Hyperlink"/>
          </w:rPr>
          <w:t xml:space="preserve">9. </w:t>
        </w:r>
        <w:r w:rsidRPr="00604F40">
          <w:rPr>
            <w:rFonts w:ascii="Calibri" w:hAnsi="Calibri"/>
            <w:snapToGrid/>
            <w:szCs w:val="22"/>
          </w:rPr>
          <w:tab/>
        </w:r>
        <w:r w:rsidRPr="00604F40">
          <w:rPr>
            <w:rStyle w:val="Hyperlink"/>
          </w:rPr>
          <w:t>Törölt megállapodások</w:t>
        </w:r>
        <w:r w:rsidRPr="00604F40">
          <w:rPr>
            <w:webHidden/>
          </w:rPr>
          <w:tab/>
        </w:r>
        <w:r w:rsidRPr="00604F40">
          <w:rPr>
            <w:webHidden/>
          </w:rPr>
          <w:fldChar w:fldCharType="begin"/>
        </w:r>
        <w:r w:rsidRPr="00604F40">
          <w:rPr>
            <w:webHidden/>
          </w:rPr>
          <w:instrText xml:space="preserve"> PAGEREF _Toc533082319 \h </w:instrText>
        </w:r>
        <w:r w:rsidRPr="00604F40">
          <w:rPr>
            <w:webHidden/>
          </w:rPr>
        </w:r>
        <w:r w:rsidRPr="00604F40">
          <w:rPr>
            <w:webHidden/>
          </w:rPr>
          <w:fldChar w:fldCharType="separate"/>
        </w:r>
        <w:r w:rsidRPr="00604F40">
          <w:rPr>
            <w:webHidden/>
          </w:rPr>
          <w:t>7</w:t>
        </w:r>
        <w:r w:rsidRPr="00604F40">
          <w:rPr>
            <w:webHidden/>
          </w:rPr>
          <w:fldChar w:fldCharType="end"/>
        </w:r>
      </w:hyperlink>
    </w:p>
    <w:p w:rsidR="00604F40" w:rsidRPr="00604F40" w:rsidRDefault="00604F40">
      <w:pPr>
        <w:pStyle w:val="TOC1"/>
        <w:rPr>
          <w:rFonts w:ascii="Calibri" w:hAnsi="Calibri"/>
          <w:snapToGrid/>
          <w:szCs w:val="22"/>
        </w:rPr>
      </w:pPr>
      <w:hyperlink w:anchor="_Toc533082320" w:history="1">
        <w:r w:rsidRPr="00952FFC">
          <w:rPr>
            <w:rStyle w:val="Hyperlink"/>
            <w:rFonts w:cs="Arial"/>
            <w:b/>
          </w:rPr>
          <w:t>C.</w:t>
        </w:r>
        <w:r w:rsidRPr="00604F40">
          <w:rPr>
            <w:rFonts w:ascii="Calibri" w:hAnsi="Calibri"/>
            <w:snapToGrid/>
            <w:szCs w:val="22"/>
          </w:rPr>
          <w:tab/>
        </w:r>
        <w:r w:rsidRPr="00952FFC">
          <w:rPr>
            <w:rStyle w:val="Hyperlink"/>
            <w:rFonts w:cs="Arial"/>
            <w:b/>
          </w:rPr>
          <w:t>Partnerek</w:t>
        </w:r>
        <w:r>
          <w:rPr>
            <w:webHidden/>
          </w:rPr>
          <w:tab/>
        </w:r>
        <w:r>
          <w:rPr>
            <w:webHidden/>
          </w:rPr>
          <w:fldChar w:fldCharType="begin"/>
        </w:r>
        <w:r>
          <w:rPr>
            <w:webHidden/>
          </w:rPr>
          <w:instrText xml:space="preserve"> PAGEREF _Toc533082320 \h </w:instrText>
        </w:r>
        <w:r>
          <w:rPr>
            <w:webHidden/>
          </w:rPr>
        </w:r>
        <w:r>
          <w:rPr>
            <w:webHidden/>
          </w:rPr>
          <w:fldChar w:fldCharType="separate"/>
        </w:r>
        <w:r>
          <w:rPr>
            <w:webHidden/>
          </w:rPr>
          <w:t>7</w:t>
        </w:r>
        <w:r>
          <w:rPr>
            <w:webHidden/>
          </w:rPr>
          <w:fldChar w:fldCharType="end"/>
        </w:r>
      </w:hyperlink>
    </w:p>
    <w:p w:rsidR="00604F40" w:rsidRPr="00604F40" w:rsidRDefault="00604F40">
      <w:pPr>
        <w:pStyle w:val="TOC1"/>
        <w:rPr>
          <w:rFonts w:ascii="Calibri" w:hAnsi="Calibri"/>
          <w:snapToGrid/>
          <w:szCs w:val="22"/>
        </w:rPr>
      </w:pPr>
      <w:hyperlink w:anchor="_Toc533082321" w:history="1">
        <w:r w:rsidRPr="00952FFC">
          <w:rPr>
            <w:rStyle w:val="Hyperlink"/>
            <w:b/>
          </w:rPr>
          <w:t>D.</w:t>
        </w:r>
        <w:r w:rsidRPr="00604F40">
          <w:rPr>
            <w:rFonts w:ascii="Calibri" w:hAnsi="Calibri"/>
            <w:snapToGrid/>
            <w:szCs w:val="22"/>
          </w:rPr>
          <w:tab/>
        </w:r>
        <w:r w:rsidRPr="00952FFC">
          <w:rPr>
            <w:rStyle w:val="Hyperlink"/>
            <w:b/>
          </w:rPr>
          <w:t>Devizanemek szerinti bontás</w:t>
        </w:r>
        <w:r>
          <w:rPr>
            <w:webHidden/>
          </w:rPr>
          <w:tab/>
        </w:r>
        <w:r>
          <w:rPr>
            <w:webHidden/>
          </w:rPr>
          <w:fldChar w:fldCharType="begin"/>
        </w:r>
        <w:r>
          <w:rPr>
            <w:webHidden/>
          </w:rPr>
          <w:instrText xml:space="preserve"> PAGEREF _Toc533082321 \h </w:instrText>
        </w:r>
        <w:r>
          <w:rPr>
            <w:webHidden/>
          </w:rPr>
        </w:r>
        <w:r>
          <w:rPr>
            <w:webHidden/>
          </w:rPr>
          <w:fldChar w:fldCharType="separate"/>
        </w:r>
        <w:r>
          <w:rPr>
            <w:webHidden/>
          </w:rPr>
          <w:t>9</w:t>
        </w:r>
        <w:r>
          <w:rPr>
            <w:webHidden/>
          </w:rPr>
          <w:fldChar w:fldCharType="end"/>
        </w:r>
      </w:hyperlink>
    </w:p>
    <w:p w:rsidR="00604F40" w:rsidRPr="00604F40" w:rsidRDefault="00604F40">
      <w:pPr>
        <w:pStyle w:val="TOC2"/>
        <w:rPr>
          <w:rFonts w:ascii="Calibri" w:hAnsi="Calibri"/>
          <w:snapToGrid/>
          <w:szCs w:val="22"/>
        </w:rPr>
      </w:pPr>
      <w:hyperlink w:anchor="_Toc533082322" w:history="1">
        <w:r w:rsidRPr="00952FFC">
          <w:rPr>
            <w:rStyle w:val="Hyperlink"/>
          </w:rPr>
          <w:t xml:space="preserve">1. </w:t>
        </w:r>
        <w:r w:rsidRPr="00604F40">
          <w:rPr>
            <w:rFonts w:ascii="Calibri" w:hAnsi="Calibri"/>
            <w:snapToGrid/>
            <w:szCs w:val="22"/>
          </w:rPr>
          <w:tab/>
        </w:r>
        <w:r w:rsidRPr="00952FFC">
          <w:rPr>
            <w:rStyle w:val="Hyperlink"/>
          </w:rPr>
          <w:t>Deviza forgalom</w:t>
        </w:r>
        <w:r>
          <w:rPr>
            <w:webHidden/>
          </w:rPr>
          <w:tab/>
        </w:r>
        <w:r>
          <w:rPr>
            <w:webHidden/>
          </w:rPr>
          <w:fldChar w:fldCharType="begin"/>
        </w:r>
        <w:r>
          <w:rPr>
            <w:webHidden/>
          </w:rPr>
          <w:instrText xml:space="preserve"> PAGEREF _Toc533082322 \h </w:instrText>
        </w:r>
        <w:r>
          <w:rPr>
            <w:webHidden/>
          </w:rPr>
        </w:r>
        <w:r>
          <w:rPr>
            <w:webHidden/>
          </w:rPr>
          <w:fldChar w:fldCharType="separate"/>
        </w:r>
        <w:r>
          <w:rPr>
            <w:webHidden/>
          </w:rPr>
          <w:t>9</w:t>
        </w:r>
        <w:r>
          <w:rPr>
            <w:webHidden/>
          </w:rPr>
          <w:fldChar w:fldCharType="end"/>
        </w:r>
      </w:hyperlink>
    </w:p>
    <w:p w:rsidR="00604F40" w:rsidRPr="00604F40" w:rsidRDefault="00604F40">
      <w:pPr>
        <w:pStyle w:val="TOC2"/>
        <w:rPr>
          <w:rFonts w:ascii="Calibri" w:hAnsi="Calibri"/>
          <w:snapToGrid/>
          <w:szCs w:val="22"/>
        </w:rPr>
      </w:pPr>
      <w:hyperlink w:anchor="_Toc533082323" w:history="1">
        <w:r w:rsidRPr="00952FFC">
          <w:rPr>
            <w:rStyle w:val="Hyperlink"/>
            <w:rFonts w:cs="Arial"/>
          </w:rPr>
          <w:t xml:space="preserve">2. </w:t>
        </w:r>
        <w:r w:rsidRPr="00604F40">
          <w:rPr>
            <w:rFonts w:ascii="Calibri" w:hAnsi="Calibri"/>
            <w:snapToGrid/>
            <w:szCs w:val="22"/>
          </w:rPr>
          <w:tab/>
        </w:r>
        <w:r w:rsidRPr="00952FFC">
          <w:rPr>
            <w:rStyle w:val="Hyperlink"/>
            <w:rFonts w:cs="Arial"/>
          </w:rPr>
          <w:t>Egydevizás kamatláb-derivatívák</w:t>
        </w:r>
        <w:r>
          <w:rPr>
            <w:webHidden/>
          </w:rPr>
          <w:tab/>
        </w:r>
        <w:r>
          <w:rPr>
            <w:webHidden/>
          </w:rPr>
          <w:fldChar w:fldCharType="begin"/>
        </w:r>
        <w:r>
          <w:rPr>
            <w:webHidden/>
          </w:rPr>
          <w:instrText xml:space="preserve"> PAGEREF _Toc533082323 \h </w:instrText>
        </w:r>
        <w:r>
          <w:rPr>
            <w:webHidden/>
          </w:rPr>
        </w:r>
        <w:r>
          <w:rPr>
            <w:webHidden/>
          </w:rPr>
          <w:fldChar w:fldCharType="separate"/>
        </w:r>
        <w:r>
          <w:rPr>
            <w:webHidden/>
          </w:rPr>
          <w:t>11</w:t>
        </w:r>
        <w:r>
          <w:rPr>
            <w:webHidden/>
          </w:rPr>
          <w:fldChar w:fldCharType="end"/>
        </w:r>
      </w:hyperlink>
    </w:p>
    <w:p w:rsidR="00604F40" w:rsidRPr="00604F40" w:rsidRDefault="00604F40">
      <w:pPr>
        <w:pStyle w:val="TOC2"/>
        <w:rPr>
          <w:rFonts w:ascii="Calibri" w:hAnsi="Calibri"/>
          <w:snapToGrid/>
          <w:szCs w:val="22"/>
        </w:rPr>
      </w:pPr>
      <w:hyperlink w:anchor="_Toc533082324" w:history="1">
        <w:r w:rsidRPr="00952FFC">
          <w:rPr>
            <w:rStyle w:val="Hyperlink"/>
            <w:rFonts w:cs="Arial"/>
          </w:rPr>
          <w:t xml:space="preserve">3. </w:t>
        </w:r>
        <w:r w:rsidRPr="00604F40">
          <w:rPr>
            <w:rFonts w:ascii="Calibri" w:hAnsi="Calibri"/>
            <w:snapToGrid/>
            <w:szCs w:val="22"/>
          </w:rPr>
          <w:tab/>
        </w:r>
        <w:r w:rsidRPr="00952FFC">
          <w:rPr>
            <w:rStyle w:val="Hyperlink"/>
            <w:rFonts w:cs="Arial"/>
          </w:rPr>
          <w:t>Speciális elszámolási egységek</w:t>
        </w:r>
        <w:r>
          <w:rPr>
            <w:webHidden/>
          </w:rPr>
          <w:tab/>
        </w:r>
        <w:r>
          <w:rPr>
            <w:webHidden/>
          </w:rPr>
          <w:fldChar w:fldCharType="begin"/>
        </w:r>
        <w:r>
          <w:rPr>
            <w:webHidden/>
          </w:rPr>
          <w:instrText xml:space="preserve"> PAGEREF _Toc533082324 \h </w:instrText>
        </w:r>
        <w:r>
          <w:rPr>
            <w:webHidden/>
          </w:rPr>
        </w:r>
        <w:r>
          <w:rPr>
            <w:webHidden/>
          </w:rPr>
          <w:fldChar w:fldCharType="separate"/>
        </w:r>
        <w:r>
          <w:rPr>
            <w:webHidden/>
          </w:rPr>
          <w:t>12</w:t>
        </w:r>
        <w:r>
          <w:rPr>
            <w:webHidden/>
          </w:rPr>
          <w:fldChar w:fldCharType="end"/>
        </w:r>
      </w:hyperlink>
    </w:p>
    <w:p w:rsidR="00604F40" w:rsidRPr="00604F40" w:rsidRDefault="00604F40">
      <w:pPr>
        <w:pStyle w:val="TOC1"/>
        <w:rPr>
          <w:rFonts w:ascii="Calibri" w:hAnsi="Calibri"/>
          <w:snapToGrid/>
          <w:szCs w:val="22"/>
        </w:rPr>
      </w:pPr>
      <w:hyperlink w:anchor="_Toc533082325" w:history="1">
        <w:r w:rsidRPr="00952FFC">
          <w:rPr>
            <w:rStyle w:val="Hyperlink"/>
            <w:rFonts w:cs="Arial"/>
            <w:b/>
          </w:rPr>
          <w:t>E.</w:t>
        </w:r>
        <w:r w:rsidRPr="00604F40">
          <w:rPr>
            <w:rFonts w:ascii="Calibri" w:hAnsi="Calibri"/>
            <w:snapToGrid/>
            <w:szCs w:val="22"/>
          </w:rPr>
          <w:tab/>
        </w:r>
        <w:r w:rsidRPr="00952FFC">
          <w:rPr>
            <w:rStyle w:val="Hyperlink"/>
            <w:rFonts w:cs="Arial"/>
            <w:b/>
          </w:rPr>
          <w:t>Lejáratok</w:t>
        </w:r>
        <w:r>
          <w:rPr>
            <w:webHidden/>
          </w:rPr>
          <w:tab/>
        </w:r>
        <w:r>
          <w:rPr>
            <w:webHidden/>
          </w:rPr>
          <w:fldChar w:fldCharType="begin"/>
        </w:r>
        <w:r>
          <w:rPr>
            <w:webHidden/>
          </w:rPr>
          <w:instrText xml:space="preserve"> PAGEREF _Toc533082325 \h </w:instrText>
        </w:r>
        <w:r>
          <w:rPr>
            <w:webHidden/>
          </w:rPr>
        </w:r>
        <w:r>
          <w:rPr>
            <w:webHidden/>
          </w:rPr>
          <w:fldChar w:fldCharType="separate"/>
        </w:r>
        <w:r>
          <w:rPr>
            <w:webHidden/>
          </w:rPr>
          <w:t>12</w:t>
        </w:r>
        <w:r>
          <w:rPr>
            <w:webHidden/>
          </w:rPr>
          <w:fldChar w:fldCharType="end"/>
        </w:r>
      </w:hyperlink>
    </w:p>
    <w:p w:rsidR="00604F40" w:rsidRPr="00604F40" w:rsidRDefault="00604F40">
      <w:pPr>
        <w:pStyle w:val="TOC1"/>
        <w:rPr>
          <w:rFonts w:ascii="Calibri" w:hAnsi="Calibri"/>
          <w:snapToGrid/>
          <w:szCs w:val="22"/>
        </w:rPr>
      </w:pPr>
      <w:hyperlink w:anchor="_Toc533082326" w:history="1">
        <w:r w:rsidRPr="00952FFC">
          <w:rPr>
            <w:rStyle w:val="Hyperlink"/>
            <w:rFonts w:cs="Arial"/>
            <w:b/>
          </w:rPr>
          <w:t>F.</w:t>
        </w:r>
        <w:r w:rsidRPr="00604F40">
          <w:rPr>
            <w:rFonts w:ascii="Calibri" w:hAnsi="Calibri"/>
            <w:snapToGrid/>
            <w:szCs w:val="22"/>
          </w:rPr>
          <w:tab/>
        </w:r>
        <w:r w:rsidRPr="00952FFC">
          <w:rPr>
            <w:rStyle w:val="Hyperlink"/>
            <w:rFonts w:cs="Arial"/>
            <w:b/>
          </w:rPr>
          <w:t>Az egynél több kockázati kategóriát tartalmazó származékos instrumentumok osztályozása</w:t>
        </w:r>
        <w:r>
          <w:rPr>
            <w:webHidden/>
          </w:rPr>
          <w:tab/>
        </w:r>
        <w:r>
          <w:rPr>
            <w:webHidden/>
          </w:rPr>
          <w:fldChar w:fldCharType="begin"/>
        </w:r>
        <w:r>
          <w:rPr>
            <w:webHidden/>
          </w:rPr>
          <w:instrText xml:space="preserve"> PAGEREF _Toc533082326 \h </w:instrText>
        </w:r>
        <w:r>
          <w:rPr>
            <w:webHidden/>
          </w:rPr>
        </w:r>
        <w:r>
          <w:rPr>
            <w:webHidden/>
          </w:rPr>
          <w:fldChar w:fldCharType="separate"/>
        </w:r>
        <w:r>
          <w:rPr>
            <w:webHidden/>
          </w:rPr>
          <w:t>12</w:t>
        </w:r>
        <w:r>
          <w:rPr>
            <w:webHidden/>
          </w:rPr>
          <w:fldChar w:fldCharType="end"/>
        </w:r>
      </w:hyperlink>
    </w:p>
    <w:p w:rsidR="00604F40" w:rsidRPr="00604F40" w:rsidRDefault="00604F40">
      <w:pPr>
        <w:pStyle w:val="TOC1"/>
        <w:rPr>
          <w:rFonts w:ascii="Calibri" w:hAnsi="Calibri"/>
          <w:snapToGrid/>
          <w:szCs w:val="22"/>
        </w:rPr>
      </w:pPr>
      <w:hyperlink w:anchor="_Toc533082327" w:history="1">
        <w:r w:rsidRPr="00952FFC">
          <w:rPr>
            <w:rStyle w:val="Hyperlink"/>
            <w:rFonts w:cs="Arial"/>
            <w:b/>
          </w:rPr>
          <w:t>G.</w:t>
        </w:r>
        <w:r w:rsidRPr="00604F40">
          <w:rPr>
            <w:rFonts w:ascii="Calibri" w:hAnsi="Calibri"/>
            <w:snapToGrid/>
            <w:szCs w:val="22"/>
          </w:rPr>
          <w:tab/>
        </w:r>
        <w:r w:rsidRPr="00952FFC">
          <w:rPr>
            <w:rStyle w:val="Hyperlink"/>
            <w:rFonts w:cs="Arial"/>
            <w:b/>
          </w:rPr>
          <w:t>Az instrumentumok részletes meghatározása és besorolása</w:t>
        </w:r>
        <w:r>
          <w:rPr>
            <w:webHidden/>
          </w:rPr>
          <w:tab/>
        </w:r>
        <w:r>
          <w:rPr>
            <w:webHidden/>
          </w:rPr>
          <w:fldChar w:fldCharType="begin"/>
        </w:r>
        <w:r>
          <w:rPr>
            <w:webHidden/>
          </w:rPr>
          <w:instrText xml:space="preserve"> PAGEREF _Toc533082327 \h </w:instrText>
        </w:r>
        <w:r>
          <w:rPr>
            <w:webHidden/>
          </w:rPr>
        </w:r>
        <w:r>
          <w:rPr>
            <w:webHidden/>
          </w:rPr>
          <w:fldChar w:fldCharType="separate"/>
        </w:r>
        <w:r>
          <w:rPr>
            <w:webHidden/>
          </w:rPr>
          <w:t>13</w:t>
        </w:r>
        <w:r>
          <w:rPr>
            <w:webHidden/>
          </w:rPr>
          <w:fldChar w:fldCharType="end"/>
        </w:r>
      </w:hyperlink>
    </w:p>
    <w:p w:rsidR="00604F40" w:rsidRPr="00604F40" w:rsidRDefault="00604F40">
      <w:pPr>
        <w:pStyle w:val="TOC2"/>
        <w:rPr>
          <w:rFonts w:ascii="Calibri" w:hAnsi="Calibri"/>
          <w:snapToGrid/>
          <w:szCs w:val="22"/>
        </w:rPr>
      </w:pPr>
      <w:hyperlink w:anchor="_Toc533082328" w:history="1">
        <w:r w:rsidRPr="00952FFC">
          <w:rPr>
            <w:rStyle w:val="Hyperlink"/>
            <w:rFonts w:cs="Arial"/>
          </w:rPr>
          <w:t>1.</w:t>
        </w:r>
        <w:r w:rsidRPr="00604F40">
          <w:rPr>
            <w:rFonts w:ascii="Calibri" w:hAnsi="Calibri"/>
            <w:snapToGrid/>
            <w:szCs w:val="22"/>
          </w:rPr>
          <w:tab/>
        </w:r>
        <w:r w:rsidRPr="00952FFC">
          <w:rPr>
            <w:rStyle w:val="Hyperlink"/>
            <w:rFonts w:cs="Arial"/>
          </w:rPr>
          <w:t>Devizaügyletek</w:t>
        </w:r>
        <w:r>
          <w:rPr>
            <w:webHidden/>
          </w:rPr>
          <w:tab/>
        </w:r>
        <w:r>
          <w:rPr>
            <w:webHidden/>
          </w:rPr>
          <w:fldChar w:fldCharType="begin"/>
        </w:r>
        <w:r>
          <w:rPr>
            <w:webHidden/>
          </w:rPr>
          <w:instrText xml:space="preserve"> PAGEREF _Toc533082328 \h </w:instrText>
        </w:r>
        <w:r>
          <w:rPr>
            <w:webHidden/>
          </w:rPr>
        </w:r>
        <w:r>
          <w:rPr>
            <w:webHidden/>
          </w:rPr>
          <w:fldChar w:fldCharType="separate"/>
        </w:r>
        <w:r>
          <w:rPr>
            <w:webHidden/>
          </w:rPr>
          <w:t>13</w:t>
        </w:r>
        <w:r>
          <w:rPr>
            <w:webHidden/>
          </w:rPr>
          <w:fldChar w:fldCharType="end"/>
        </w:r>
      </w:hyperlink>
    </w:p>
    <w:p w:rsidR="00604F40" w:rsidRPr="00604F40" w:rsidRDefault="00604F40">
      <w:pPr>
        <w:pStyle w:val="TOC2"/>
        <w:rPr>
          <w:rFonts w:ascii="Calibri" w:hAnsi="Calibri"/>
          <w:snapToGrid/>
          <w:szCs w:val="22"/>
        </w:rPr>
      </w:pPr>
      <w:hyperlink w:anchor="_Toc533082329" w:history="1">
        <w:r w:rsidRPr="00952FFC">
          <w:rPr>
            <w:rStyle w:val="Hyperlink"/>
          </w:rPr>
          <w:t xml:space="preserve">2. </w:t>
        </w:r>
        <w:r w:rsidRPr="00604F40">
          <w:rPr>
            <w:rFonts w:ascii="Calibri" w:hAnsi="Calibri"/>
            <w:snapToGrid/>
            <w:szCs w:val="22"/>
          </w:rPr>
          <w:tab/>
        </w:r>
        <w:r w:rsidRPr="00952FFC">
          <w:rPr>
            <w:rStyle w:val="Hyperlink"/>
          </w:rPr>
          <w:t>Egydevizás kamatláb-derivatívák</w:t>
        </w:r>
        <w:r>
          <w:rPr>
            <w:webHidden/>
          </w:rPr>
          <w:tab/>
        </w:r>
        <w:r>
          <w:rPr>
            <w:webHidden/>
          </w:rPr>
          <w:fldChar w:fldCharType="begin"/>
        </w:r>
        <w:r>
          <w:rPr>
            <w:webHidden/>
          </w:rPr>
          <w:instrText xml:space="preserve"> PAGEREF _Toc533082329 \h </w:instrText>
        </w:r>
        <w:r>
          <w:rPr>
            <w:webHidden/>
          </w:rPr>
        </w:r>
        <w:r>
          <w:rPr>
            <w:webHidden/>
          </w:rPr>
          <w:fldChar w:fldCharType="separate"/>
        </w:r>
        <w:r>
          <w:rPr>
            <w:webHidden/>
          </w:rPr>
          <w:t>15</w:t>
        </w:r>
        <w:r>
          <w:rPr>
            <w:webHidden/>
          </w:rPr>
          <w:fldChar w:fldCharType="end"/>
        </w:r>
      </w:hyperlink>
    </w:p>
    <w:p w:rsidR="00604F40" w:rsidRPr="00604F40" w:rsidRDefault="00604F40">
      <w:pPr>
        <w:pStyle w:val="TOC1"/>
        <w:rPr>
          <w:rFonts w:ascii="Calibri" w:hAnsi="Calibri"/>
          <w:snapToGrid/>
          <w:szCs w:val="22"/>
        </w:rPr>
      </w:pPr>
      <w:hyperlink w:anchor="_Toc533082330" w:history="1">
        <w:r w:rsidRPr="00952FFC">
          <w:rPr>
            <w:rStyle w:val="Hyperlink"/>
            <w:rFonts w:cs="Arial"/>
            <w:b/>
          </w:rPr>
          <w:t>H.</w:t>
        </w:r>
        <w:r w:rsidRPr="00604F40">
          <w:rPr>
            <w:rFonts w:ascii="Calibri" w:hAnsi="Calibri"/>
            <w:snapToGrid/>
            <w:szCs w:val="22"/>
          </w:rPr>
          <w:tab/>
        </w:r>
        <w:r w:rsidRPr="00952FFC">
          <w:rPr>
            <w:rStyle w:val="Hyperlink"/>
            <w:rFonts w:cs="Arial"/>
            <w:b/>
          </w:rPr>
          <w:t>FX prime brokerage</w:t>
        </w:r>
        <w:r>
          <w:rPr>
            <w:webHidden/>
          </w:rPr>
          <w:tab/>
        </w:r>
        <w:r>
          <w:rPr>
            <w:webHidden/>
          </w:rPr>
          <w:fldChar w:fldCharType="begin"/>
        </w:r>
        <w:r>
          <w:rPr>
            <w:webHidden/>
          </w:rPr>
          <w:instrText xml:space="preserve"> PAGEREF _Toc533082330 \h </w:instrText>
        </w:r>
        <w:r>
          <w:rPr>
            <w:webHidden/>
          </w:rPr>
        </w:r>
        <w:r>
          <w:rPr>
            <w:webHidden/>
          </w:rPr>
          <w:fldChar w:fldCharType="separate"/>
        </w:r>
        <w:r>
          <w:rPr>
            <w:webHidden/>
          </w:rPr>
          <w:t>16</w:t>
        </w:r>
        <w:r>
          <w:rPr>
            <w:webHidden/>
          </w:rPr>
          <w:fldChar w:fldCharType="end"/>
        </w:r>
      </w:hyperlink>
    </w:p>
    <w:p w:rsidR="00604F40" w:rsidRPr="00604F40" w:rsidRDefault="00604F40">
      <w:pPr>
        <w:pStyle w:val="TOC2"/>
        <w:rPr>
          <w:rFonts w:ascii="Calibri" w:hAnsi="Calibri"/>
          <w:snapToGrid/>
          <w:szCs w:val="22"/>
        </w:rPr>
      </w:pPr>
      <w:hyperlink w:anchor="_Toc533082331" w:history="1">
        <w:r w:rsidRPr="00604F40">
          <w:rPr>
            <w:rStyle w:val="Hyperlink"/>
            <w:lang w:eastAsia="x-none"/>
          </w:rPr>
          <w:t xml:space="preserve">1. </w:t>
        </w:r>
        <w:r>
          <w:rPr>
            <w:rStyle w:val="Hyperlink"/>
            <w:lang w:eastAsia="x-none"/>
          </w:rPr>
          <w:tab/>
        </w:r>
        <w:r w:rsidRPr="00604F40">
          <w:rPr>
            <w:rStyle w:val="Hyperlink"/>
            <w:lang w:eastAsia="x-none"/>
          </w:rPr>
          <w:t>Hagyományos prime brokerage modell</w:t>
        </w:r>
        <w:r w:rsidRPr="00604F40">
          <w:rPr>
            <w:webHidden/>
          </w:rPr>
          <w:tab/>
        </w:r>
        <w:r w:rsidRPr="00604F40">
          <w:rPr>
            <w:webHidden/>
          </w:rPr>
          <w:fldChar w:fldCharType="begin"/>
        </w:r>
        <w:r w:rsidRPr="00604F40">
          <w:rPr>
            <w:webHidden/>
          </w:rPr>
          <w:instrText xml:space="preserve"> PAGEREF _Toc533082331 \h </w:instrText>
        </w:r>
        <w:r w:rsidRPr="00604F40">
          <w:rPr>
            <w:webHidden/>
          </w:rPr>
        </w:r>
        <w:r w:rsidRPr="00604F40">
          <w:rPr>
            <w:webHidden/>
          </w:rPr>
          <w:fldChar w:fldCharType="separate"/>
        </w:r>
        <w:r w:rsidRPr="00604F40">
          <w:rPr>
            <w:webHidden/>
          </w:rPr>
          <w:t>16</w:t>
        </w:r>
        <w:r w:rsidRPr="00604F40">
          <w:rPr>
            <w:webHidden/>
          </w:rPr>
          <w:fldChar w:fldCharType="end"/>
        </w:r>
      </w:hyperlink>
    </w:p>
    <w:p w:rsidR="00604F40" w:rsidRPr="00604F40" w:rsidRDefault="00604F40">
      <w:pPr>
        <w:pStyle w:val="TOC2"/>
        <w:rPr>
          <w:rFonts w:ascii="Calibri" w:hAnsi="Calibri"/>
          <w:snapToGrid/>
          <w:szCs w:val="22"/>
        </w:rPr>
      </w:pPr>
      <w:hyperlink w:anchor="_Toc533082332" w:history="1">
        <w:r w:rsidRPr="00604F40">
          <w:rPr>
            <w:rStyle w:val="Hyperlink"/>
          </w:rPr>
          <w:t xml:space="preserve">2. </w:t>
        </w:r>
        <w:r>
          <w:rPr>
            <w:rStyle w:val="Hyperlink"/>
          </w:rPr>
          <w:tab/>
        </w:r>
        <w:r w:rsidRPr="00604F40">
          <w:rPr>
            <w:rStyle w:val="Hyperlink"/>
          </w:rPr>
          <w:t>Carve-out üzletek</w:t>
        </w:r>
        <w:r w:rsidRPr="00604F40">
          <w:rPr>
            <w:webHidden/>
          </w:rPr>
          <w:tab/>
        </w:r>
        <w:r w:rsidRPr="00604F40">
          <w:rPr>
            <w:webHidden/>
          </w:rPr>
          <w:fldChar w:fldCharType="begin"/>
        </w:r>
        <w:r w:rsidRPr="00604F40">
          <w:rPr>
            <w:webHidden/>
          </w:rPr>
          <w:instrText xml:space="preserve"> PAGEREF _Toc533082332 \h </w:instrText>
        </w:r>
        <w:r w:rsidRPr="00604F40">
          <w:rPr>
            <w:webHidden/>
          </w:rPr>
        </w:r>
        <w:r w:rsidRPr="00604F40">
          <w:rPr>
            <w:webHidden/>
          </w:rPr>
          <w:fldChar w:fldCharType="separate"/>
        </w:r>
        <w:r w:rsidRPr="00604F40">
          <w:rPr>
            <w:webHidden/>
          </w:rPr>
          <w:t>17</w:t>
        </w:r>
        <w:r w:rsidRPr="00604F40">
          <w:rPr>
            <w:webHidden/>
          </w:rPr>
          <w:fldChar w:fldCharType="end"/>
        </w:r>
      </w:hyperlink>
    </w:p>
    <w:p w:rsidR="00604F40" w:rsidRPr="00604F40" w:rsidRDefault="00604F40">
      <w:pPr>
        <w:pStyle w:val="TOC2"/>
        <w:rPr>
          <w:rFonts w:ascii="Calibri" w:hAnsi="Calibri"/>
          <w:snapToGrid/>
          <w:szCs w:val="22"/>
        </w:rPr>
      </w:pPr>
      <w:hyperlink w:anchor="_Toc533082333" w:history="1">
        <w:r w:rsidRPr="00604F40">
          <w:rPr>
            <w:rStyle w:val="Hyperlink"/>
          </w:rPr>
          <w:t xml:space="preserve">3. </w:t>
        </w:r>
        <w:r>
          <w:rPr>
            <w:rStyle w:val="Hyperlink"/>
          </w:rPr>
          <w:tab/>
        </w:r>
        <w:r w:rsidRPr="00604F40">
          <w:rPr>
            <w:rStyle w:val="Hyperlink"/>
          </w:rPr>
          <w:t>Nem banki elektronikus piaci szereplők</w:t>
        </w:r>
        <w:r w:rsidRPr="00604F40">
          <w:rPr>
            <w:webHidden/>
          </w:rPr>
          <w:tab/>
        </w:r>
        <w:r w:rsidRPr="00604F40">
          <w:rPr>
            <w:webHidden/>
          </w:rPr>
          <w:fldChar w:fldCharType="begin"/>
        </w:r>
        <w:r w:rsidRPr="00604F40">
          <w:rPr>
            <w:webHidden/>
          </w:rPr>
          <w:instrText xml:space="preserve"> PAGEREF _Toc533082333 \h </w:instrText>
        </w:r>
        <w:r w:rsidRPr="00604F40">
          <w:rPr>
            <w:webHidden/>
          </w:rPr>
        </w:r>
        <w:r w:rsidRPr="00604F40">
          <w:rPr>
            <w:webHidden/>
          </w:rPr>
          <w:fldChar w:fldCharType="separate"/>
        </w:r>
        <w:r w:rsidRPr="00604F40">
          <w:rPr>
            <w:webHidden/>
          </w:rPr>
          <w:t>17</w:t>
        </w:r>
        <w:r w:rsidRPr="00604F40">
          <w:rPr>
            <w:webHidden/>
          </w:rPr>
          <w:fldChar w:fldCharType="end"/>
        </w:r>
      </w:hyperlink>
    </w:p>
    <w:p w:rsidR="00604F40" w:rsidRPr="00604F40" w:rsidRDefault="00604F40">
      <w:pPr>
        <w:pStyle w:val="TOC1"/>
        <w:rPr>
          <w:rFonts w:ascii="Calibri" w:hAnsi="Calibri"/>
          <w:snapToGrid/>
          <w:szCs w:val="22"/>
        </w:rPr>
      </w:pPr>
      <w:hyperlink w:anchor="_Toc533082334" w:history="1">
        <w:r w:rsidRPr="00952FFC">
          <w:rPr>
            <w:rStyle w:val="Hyperlink"/>
            <w:rFonts w:cs="Arial"/>
            <w:b/>
          </w:rPr>
          <w:t>I.</w:t>
        </w:r>
        <w:r w:rsidRPr="00604F40">
          <w:rPr>
            <w:rFonts w:ascii="Calibri" w:hAnsi="Calibri"/>
            <w:snapToGrid/>
            <w:szCs w:val="22"/>
          </w:rPr>
          <w:tab/>
        </w:r>
        <w:r w:rsidRPr="00952FFC">
          <w:rPr>
            <w:rStyle w:val="Hyperlink"/>
            <w:rFonts w:cs="Arial"/>
            <w:b/>
          </w:rPr>
          <w:t>Kisbefektetői tranzakciók</w:t>
        </w:r>
        <w:r>
          <w:rPr>
            <w:webHidden/>
          </w:rPr>
          <w:tab/>
        </w:r>
        <w:r>
          <w:rPr>
            <w:webHidden/>
          </w:rPr>
          <w:fldChar w:fldCharType="begin"/>
        </w:r>
        <w:r>
          <w:rPr>
            <w:webHidden/>
          </w:rPr>
          <w:instrText xml:space="preserve"> PAGEREF _Toc533082334 \h </w:instrText>
        </w:r>
        <w:r>
          <w:rPr>
            <w:webHidden/>
          </w:rPr>
        </w:r>
        <w:r>
          <w:rPr>
            <w:webHidden/>
          </w:rPr>
          <w:fldChar w:fldCharType="separate"/>
        </w:r>
        <w:r>
          <w:rPr>
            <w:webHidden/>
          </w:rPr>
          <w:t>17</w:t>
        </w:r>
        <w:r>
          <w:rPr>
            <w:webHidden/>
          </w:rPr>
          <w:fldChar w:fldCharType="end"/>
        </w:r>
      </w:hyperlink>
    </w:p>
    <w:p w:rsidR="00604F40" w:rsidRPr="00604F40" w:rsidRDefault="00604F40">
      <w:pPr>
        <w:pStyle w:val="TOC1"/>
        <w:rPr>
          <w:rFonts w:ascii="Calibri" w:hAnsi="Calibri"/>
          <w:snapToGrid/>
          <w:szCs w:val="22"/>
        </w:rPr>
      </w:pPr>
      <w:hyperlink w:anchor="_Toc533082335" w:history="1">
        <w:r w:rsidRPr="00952FFC">
          <w:rPr>
            <w:rStyle w:val="Hyperlink"/>
            <w:rFonts w:cs="Arial"/>
            <w:b/>
          </w:rPr>
          <w:t>J.</w:t>
        </w:r>
        <w:r w:rsidRPr="00604F40">
          <w:rPr>
            <w:rFonts w:ascii="Calibri" w:hAnsi="Calibri"/>
            <w:snapToGrid/>
            <w:szCs w:val="22"/>
          </w:rPr>
          <w:tab/>
        </w:r>
        <w:r w:rsidRPr="00952FFC">
          <w:rPr>
            <w:rStyle w:val="Hyperlink"/>
            <w:rFonts w:cs="Arial"/>
            <w:b/>
          </w:rPr>
          <w:t>A szerződéskötés lehetséges módjai</w:t>
        </w:r>
        <w:r>
          <w:rPr>
            <w:webHidden/>
          </w:rPr>
          <w:tab/>
        </w:r>
        <w:r>
          <w:rPr>
            <w:webHidden/>
          </w:rPr>
          <w:fldChar w:fldCharType="begin"/>
        </w:r>
        <w:r>
          <w:rPr>
            <w:webHidden/>
          </w:rPr>
          <w:instrText xml:space="preserve"> PAGEREF _Toc533082335 \h </w:instrText>
        </w:r>
        <w:r>
          <w:rPr>
            <w:webHidden/>
          </w:rPr>
        </w:r>
        <w:r>
          <w:rPr>
            <w:webHidden/>
          </w:rPr>
          <w:fldChar w:fldCharType="separate"/>
        </w:r>
        <w:r>
          <w:rPr>
            <w:webHidden/>
          </w:rPr>
          <w:t>19</w:t>
        </w:r>
        <w:r>
          <w:rPr>
            <w:webHidden/>
          </w:rPr>
          <w:fldChar w:fldCharType="end"/>
        </w:r>
      </w:hyperlink>
    </w:p>
    <w:p w:rsidR="00604F40" w:rsidRPr="00604F40" w:rsidRDefault="00604F40">
      <w:pPr>
        <w:pStyle w:val="TOC1"/>
        <w:rPr>
          <w:rFonts w:ascii="Calibri" w:hAnsi="Calibri"/>
          <w:snapToGrid/>
          <w:szCs w:val="22"/>
        </w:rPr>
      </w:pPr>
      <w:hyperlink w:anchor="_Toc533082336" w:history="1">
        <w:r w:rsidRPr="00952FFC">
          <w:rPr>
            <w:rStyle w:val="Hyperlink"/>
            <w:b/>
          </w:rPr>
          <w:t xml:space="preserve">K. </w:t>
        </w:r>
        <w:r w:rsidRPr="00604F40">
          <w:rPr>
            <w:rFonts w:ascii="Calibri" w:hAnsi="Calibri"/>
            <w:snapToGrid/>
            <w:szCs w:val="22"/>
          </w:rPr>
          <w:tab/>
        </w:r>
        <w:r w:rsidRPr="00952FFC">
          <w:rPr>
            <w:rStyle w:val="Hyperlink"/>
            <w:b/>
          </w:rPr>
          <w:t>Kiegészítő információk</w:t>
        </w:r>
        <w:r>
          <w:rPr>
            <w:webHidden/>
          </w:rPr>
          <w:tab/>
        </w:r>
        <w:r>
          <w:rPr>
            <w:webHidden/>
          </w:rPr>
          <w:fldChar w:fldCharType="begin"/>
        </w:r>
        <w:r>
          <w:rPr>
            <w:webHidden/>
          </w:rPr>
          <w:instrText xml:space="preserve"> PAGEREF _Toc533082336 \h </w:instrText>
        </w:r>
        <w:r>
          <w:rPr>
            <w:webHidden/>
          </w:rPr>
        </w:r>
        <w:r>
          <w:rPr>
            <w:webHidden/>
          </w:rPr>
          <w:fldChar w:fldCharType="separate"/>
        </w:r>
        <w:r>
          <w:rPr>
            <w:webHidden/>
          </w:rPr>
          <w:t>20</w:t>
        </w:r>
        <w:r>
          <w:rPr>
            <w:webHidden/>
          </w:rPr>
          <w:fldChar w:fldCharType="end"/>
        </w:r>
      </w:hyperlink>
    </w:p>
    <w:p w:rsidR="007532A9" w:rsidRPr="00B05124" w:rsidRDefault="007532A9" w:rsidP="00666ADE">
      <w:pPr>
        <w:pStyle w:val="Paragraph"/>
      </w:pPr>
      <w:r w:rsidRPr="00832E8A">
        <w:fldChar w:fldCharType="end"/>
      </w:r>
    </w:p>
    <w:p w:rsidR="007532A9" w:rsidRPr="00B05124" w:rsidRDefault="007532A9" w:rsidP="00666ADE">
      <w:pPr>
        <w:pStyle w:val="Paragraph"/>
        <w:sectPr w:rsidR="007532A9" w:rsidRPr="00B05124">
          <w:footerReference w:type="default" r:id="rId14"/>
          <w:pgSz w:w="11907" w:h="16840" w:code="9"/>
          <w:pgMar w:top="1418" w:right="1134" w:bottom="1418" w:left="1134" w:header="708" w:footer="708" w:gutter="567"/>
          <w:pgNumType w:fmt="lowerRoman" w:start="3"/>
          <w:cols w:space="708"/>
        </w:sectPr>
      </w:pPr>
    </w:p>
    <w:p w:rsidR="000D154D" w:rsidRPr="00B05124" w:rsidRDefault="000D154D" w:rsidP="000D154D">
      <w:pPr>
        <w:pStyle w:val="IndentedHeading1"/>
        <w:spacing w:before="0"/>
        <w:rPr>
          <w:rFonts w:cs="Arial"/>
          <w:b/>
          <w:sz w:val="26"/>
          <w:szCs w:val="26"/>
          <w:lang w:val="hu-HU"/>
        </w:rPr>
      </w:pPr>
      <w:bookmarkStart w:id="1" w:name="_Toc533082305"/>
      <w:r w:rsidRPr="00B05124">
        <w:rPr>
          <w:rFonts w:cs="Arial"/>
          <w:b/>
          <w:sz w:val="26"/>
          <w:szCs w:val="26"/>
          <w:lang w:val="hu-HU"/>
        </w:rPr>
        <w:lastRenderedPageBreak/>
        <w:t>A.</w:t>
      </w:r>
      <w:r w:rsidRPr="00B05124">
        <w:rPr>
          <w:rFonts w:cs="Arial"/>
          <w:b/>
          <w:sz w:val="26"/>
          <w:szCs w:val="26"/>
          <w:lang w:val="hu-HU"/>
        </w:rPr>
        <w:tab/>
        <w:t>Bevezetés</w:t>
      </w:r>
      <w:bookmarkEnd w:id="1"/>
    </w:p>
    <w:p w:rsidR="00D31EFC" w:rsidRPr="00FE5851" w:rsidRDefault="006F0FC0" w:rsidP="007B547F">
      <w:pPr>
        <w:pStyle w:val="Paragraph"/>
      </w:pPr>
      <w:bookmarkStart w:id="2" w:name="OLE_LINK10"/>
      <w:bookmarkStart w:id="3" w:name="OLE_LINK11"/>
      <w:r>
        <w:t>201</w:t>
      </w:r>
      <w:r w:rsidR="00E4141E">
        <w:t>9</w:t>
      </w:r>
      <w:r>
        <w:t>-b</w:t>
      </w:r>
      <w:r w:rsidR="00E4141E">
        <w:t>e</w:t>
      </w:r>
      <w:r>
        <w:t xml:space="preserve">n </w:t>
      </w:r>
      <w:r w:rsidR="00E4141E">
        <w:t>tizenkettedik</w:t>
      </w:r>
      <w:r>
        <w:t xml:space="preserve"> alkalommal kerül sor a deviza- és származékos ügyletek piacának nemzetközileg összehangolt felmérésére.</w:t>
      </w:r>
      <w:r w:rsidR="007B547F">
        <w:t xml:space="preserve"> </w:t>
      </w:r>
      <w:r w:rsidR="00D31EFC" w:rsidRPr="00FE5851">
        <w:t xml:space="preserve">A </w:t>
      </w:r>
      <w:r w:rsidR="00D31EFC">
        <w:t>felmérés</w:t>
      </w:r>
      <w:r w:rsidR="00D31EFC" w:rsidRPr="00FE5851">
        <w:t xml:space="preserve"> célja, hogy kellően átfogó és nemzetközileg egységes információt szerezzen a deviza- és a tőzsdén kívüli (OTC) származékos piacok méretéről</w:t>
      </w:r>
      <w:r w:rsidR="00D31EFC">
        <w:t>,</w:t>
      </w:r>
      <w:r w:rsidR="00D31EFC" w:rsidRPr="00FE5851">
        <w:t xml:space="preserve"> szerkezetéről és az e piacokon folytatott tevékenységről. Az adatgyűjtés javít</w:t>
      </w:r>
      <w:r w:rsidR="00D31EFC">
        <w:t>j</w:t>
      </w:r>
      <w:r w:rsidR="00D31EFC" w:rsidRPr="00FE5851">
        <w:t>a a piac átláthatóságát, amivel segítséget nyújt a jegybankoknak és egyéb hatóságoknak, továbbá a piaci szereplőknek, hogy hatékonyabban követhessék nyomon a nemzetközi pénzügyi rendszer</w:t>
      </w:r>
      <w:r w:rsidR="00D31EFC">
        <w:t xml:space="preserve"> működését</w:t>
      </w:r>
      <w:r w:rsidR="00D31EFC" w:rsidRPr="00FE5851">
        <w:t>.</w:t>
      </w:r>
    </w:p>
    <w:bookmarkEnd w:id="2"/>
    <w:bookmarkEnd w:id="3"/>
    <w:p w:rsidR="00D31EFC" w:rsidRPr="00FE5851" w:rsidRDefault="00D31EFC" w:rsidP="00D31EFC">
      <w:pPr>
        <w:pStyle w:val="Paragraph"/>
      </w:pPr>
      <w:r w:rsidRPr="00FE5851">
        <w:t>A</w:t>
      </w:r>
      <w:r>
        <w:t>z adatgyűjtési</w:t>
      </w:r>
      <w:r w:rsidRPr="00FE5851">
        <w:t xml:space="preserve"> </w:t>
      </w:r>
      <w:r>
        <w:t>felmérés</w:t>
      </w:r>
      <w:r w:rsidRPr="00FE5851">
        <w:t xml:space="preserve"> két részből </w:t>
      </w:r>
      <w:r>
        <w:t>áll</w:t>
      </w:r>
      <w:r w:rsidRPr="00FE5851">
        <w:t xml:space="preserve">: (i) devizaügyletek és egydevizás, származékos </w:t>
      </w:r>
      <w:r>
        <w:t>kamat</w:t>
      </w:r>
      <w:r w:rsidRPr="00FE5851">
        <w:t>ügyletek forgalmára vonatkozó piaci adatok gyűjtése</w:t>
      </w:r>
      <w:r w:rsidR="00003AD9">
        <w:t xml:space="preserve"> </w:t>
      </w:r>
      <w:r w:rsidR="00A75F35">
        <w:t>2019.</w:t>
      </w:r>
      <w:r w:rsidRPr="00FE5851">
        <w:t xml:space="preserve"> április</w:t>
      </w:r>
      <w:r w:rsidR="00942D08">
        <w:t>á</w:t>
      </w:r>
      <w:r w:rsidRPr="00FE5851">
        <w:t xml:space="preserve">ban, és (ii) deviza-, kamat-, részvény-, áru-, hitel- és „egyéb”, tőzsdén kívüli (OTC) származékos </w:t>
      </w:r>
      <w:r>
        <w:t>ügyletek</w:t>
      </w:r>
      <w:r w:rsidRPr="00FE5851">
        <w:t xml:space="preserve"> nyitott kötésállományá</w:t>
      </w:r>
      <w:r>
        <w:t>ra</w:t>
      </w:r>
      <w:r w:rsidRPr="00FE5851">
        <w:t xml:space="preserve"> és bruttó piaci értékére vonatkozó adatok gyűjtése</w:t>
      </w:r>
      <w:r w:rsidR="00A75F35">
        <w:t xml:space="preserve"> 2019.</w:t>
      </w:r>
      <w:r w:rsidRPr="00FE5851">
        <w:t xml:space="preserve"> június</w:t>
      </w:r>
      <w:r w:rsidR="00942D08">
        <w:t>á</w:t>
      </w:r>
      <w:r w:rsidRPr="00FE5851">
        <w:t>ban.</w:t>
      </w:r>
    </w:p>
    <w:p w:rsidR="002D2C20" w:rsidRPr="00B05124" w:rsidRDefault="002D2C20" w:rsidP="00666ADE">
      <w:pPr>
        <w:pStyle w:val="Paragraph"/>
      </w:pPr>
      <w:r w:rsidRPr="00B05124">
        <w:t xml:space="preserve">A jelen iránymutatás kizárólag a felmérés </w:t>
      </w:r>
      <w:r w:rsidRPr="00B05124">
        <w:rPr>
          <w:i/>
        </w:rPr>
        <w:t xml:space="preserve">forgalmi adatok </w:t>
      </w:r>
      <w:r w:rsidRPr="00B05124">
        <w:t xml:space="preserve">részére vonatkozik (a felmérés </w:t>
      </w:r>
      <w:r w:rsidRPr="00B05124">
        <w:rPr>
          <w:i/>
        </w:rPr>
        <w:t xml:space="preserve">nyitott kötésállomány </w:t>
      </w:r>
      <w:r w:rsidRPr="00B05124">
        <w:t xml:space="preserve">részére külön iránymutatás került kiadásra). A korábbi felmérésekkel való egységesség biztosítása </w:t>
      </w:r>
      <w:r w:rsidR="004B5169">
        <w:t>és a</w:t>
      </w:r>
      <w:r w:rsidR="00964BE9">
        <w:t xml:space="preserve"> </w:t>
      </w:r>
      <w:r w:rsidR="00EE246A">
        <w:t>rezidens</w:t>
      </w:r>
      <w:r w:rsidR="00964BE9">
        <w:t>/nem rezidens</w:t>
      </w:r>
      <w:r w:rsidR="004B5169">
        <w:t xml:space="preserve"> kereskedés elkülönítésének megkönnyítése </w:t>
      </w:r>
      <w:r w:rsidRPr="00B05124">
        <w:t xml:space="preserve">érdekében a felmérés </w:t>
      </w:r>
      <w:r w:rsidRPr="00B05124">
        <w:rPr>
          <w:i/>
        </w:rPr>
        <w:t>forgalomra</w:t>
      </w:r>
      <w:r w:rsidRPr="00B05124">
        <w:t xml:space="preserve"> vonatkozó részére az értékesítési helyszín szerint kerül sor </w:t>
      </w:r>
      <w:r w:rsidR="00A75F35">
        <w:t>2019.</w:t>
      </w:r>
      <w:r w:rsidRPr="00B05124">
        <w:t xml:space="preserve"> április</w:t>
      </w:r>
      <w:r w:rsidR="00942D08">
        <w:t>á</w:t>
      </w:r>
      <w:r w:rsidRPr="00B05124">
        <w:t xml:space="preserve">ban, a korábbi felmérésekéhez hasonló formában. A felmérés </w:t>
      </w:r>
      <w:r w:rsidRPr="00B05124">
        <w:rPr>
          <w:i/>
        </w:rPr>
        <w:t xml:space="preserve">forgalomra </w:t>
      </w:r>
      <w:r w:rsidRPr="00B05124">
        <w:t xml:space="preserve">vonatkozó része kizárólag a spot és OTC típusú tranzakciók adatait tartalmazza. Nem tartalmazza a tőzsdei származékos ügyletek forgalmát, mivel ezekről a termékekről bőven áll rendelkezésre naprakész adat a kereskedelmi adatforrásokból. </w:t>
      </w:r>
    </w:p>
    <w:p w:rsidR="00635EA5" w:rsidRDefault="00635EA5" w:rsidP="00666ADE">
      <w:pPr>
        <w:pStyle w:val="Paragraph"/>
      </w:pPr>
    </w:p>
    <w:p w:rsidR="00BB265D" w:rsidRDefault="00EB62E3" w:rsidP="00DB203A">
      <w:pPr>
        <w:pStyle w:val="Paragraph"/>
      </w:pPr>
      <w:r>
        <w:t>A</w:t>
      </w:r>
      <w:r w:rsidR="008A4D38">
        <w:t xml:space="preserve"> </w:t>
      </w:r>
      <w:r w:rsidR="00A75F35">
        <w:t>2019.</w:t>
      </w:r>
      <w:r w:rsidR="00AF2AFE">
        <w:t xml:space="preserve"> évi</w:t>
      </w:r>
      <w:r>
        <w:t xml:space="preserve"> felmérés forgalomra vonatkoz</w:t>
      </w:r>
      <w:r w:rsidR="00AF2AFE">
        <w:t xml:space="preserve">ó része felépítését tekintve </w:t>
      </w:r>
      <w:r w:rsidR="00751DBA">
        <w:t>java</w:t>
      </w:r>
      <w:r w:rsidR="00AF2AFE">
        <w:t>részt</w:t>
      </w:r>
      <w:r w:rsidR="00751DBA">
        <w:t xml:space="preserve"> változatlan </w:t>
      </w:r>
      <w:r w:rsidR="00AF2AFE">
        <w:t xml:space="preserve">a </w:t>
      </w:r>
      <w:r w:rsidR="00A75F35">
        <w:t xml:space="preserve">2016. </w:t>
      </w:r>
      <w:r w:rsidR="00AF2AFE">
        <w:t>évi</w:t>
      </w:r>
      <w:r>
        <w:t xml:space="preserve"> felméréshez képest. </w:t>
      </w:r>
      <w:r w:rsidR="002201A0">
        <w:t>Az alábbi</w:t>
      </w:r>
      <w:r w:rsidR="00AF2AFE">
        <w:t xml:space="preserve"> változtatásokat hajtottuk végre a</w:t>
      </w:r>
      <w:r w:rsidR="008A4D38">
        <w:t xml:space="preserve"> </w:t>
      </w:r>
      <w:r w:rsidR="00A75F35">
        <w:t>2019.</w:t>
      </w:r>
      <w:r w:rsidR="00AF2AFE">
        <w:t xml:space="preserve"> évi felmérésben:</w:t>
      </w:r>
    </w:p>
    <w:p w:rsidR="00A75F35" w:rsidRDefault="00A75F35" w:rsidP="00FC1B32">
      <w:pPr>
        <w:pStyle w:val="Bulletpoint"/>
      </w:pPr>
      <w:r>
        <w:t>A</w:t>
      </w:r>
      <w:r w:rsidR="00DF0680">
        <w:t xml:space="preserve"> kiírt és vásárolt </w:t>
      </w:r>
      <w:r>
        <w:t>opciók összevonásra kerültek</w:t>
      </w:r>
      <w:r w:rsidR="001A5405">
        <w:t>.</w:t>
      </w:r>
    </w:p>
    <w:p w:rsidR="00A75F35" w:rsidRDefault="00DF0680" w:rsidP="00FC1B32">
      <w:pPr>
        <w:pStyle w:val="Bulletpoint"/>
      </w:pPr>
      <w:proofErr w:type="spellStart"/>
      <w:r>
        <w:t>Prime</w:t>
      </w:r>
      <w:proofErr w:type="spellEnd"/>
      <w:r>
        <w:t xml:space="preserve"> </w:t>
      </w:r>
      <w:proofErr w:type="spellStart"/>
      <w:r>
        <w:t>b</w:t>
      </w:r>
      <w:r w:rsidR="003E1947">
        <w:t>rokerage</w:t>
      </w:r>
      <w:proofErr w:type="spellEnd"/>
      <w:r w:rsidR="003E1947">
        <w:t xml:space="preserve"> </w:t>
      </w:r>
      <w:r>
        <w:t>keretében kötött ügyletek</w:t>
      </w:r>
      <w:r w:rsidR="003E1947">
        <w:t xml:space="preserve"> megbontásra került</w:t>
      </w:r>
      <w:r>
        <w:t>ek</w:t>
      </w:r>
      <w:r w:rsidR="003E1947">
        <w:t xml:space="preserve"> a nem </w:t>
      </w:r>
      <w:r>
        <w:t xml:space="preserve">banki elektronikus piaci </w:t>
      </w:r>
      <w:r w:rsidR="003E1947">
        <w:t>szereplő</w:t>
      </w:r>
      <w:r w:rsidR="00E0110D">
        <w:t>höz</w:t>
      </w:r>
      <w:r>
        <w:t xml:space="preserve"> és</w:t>
      </w:r>
      <w:r w:rsidR="003E1947">
        <w:t xml:space="preserve"> egyéb </w:t>
      </w:r>
      <w:r w:rsidR="00E0110D">
        <w:t>ügyfélhez kapcsolódó kötésekre</w:t>
      </w:r>
      <w:r w:rsidR="003E1947">
        <w:t>.</w:t>
      </w:r>
    </w:p>
    <w:p w:rsidR="003E1947" w:rsidRDefault="003E1947" w:rsidP="00FC1B32">
      <w:pPr>
        <w:pStyle w:val="Bulletpoint"/>
      </w:pPr>
      <w:r>
        <w:t xml:space="preserve">A határidős </w:t>
      </w:r>
      <w:r w:rsidR="00E0110D">
        <w:t>deviza</w:t>
      </w:r>
      <w:r>
        <w:t xml:space="preserve">ügyletek és az </w:t>
      </w:r>
      <w:proofErr w:type="spellStart"/>
      <w:r>
        <w:t>FX</w:t>
      </w:r>
      <w:proofErr w:type="spellEnd"/>
      <w:r>
        <w:t xml:space="preserve"> csereügyletek lejárati megbontása bőv</w:t>
      </w:r>
      <w:r w:rsidR="009951B8">
        <w:t>ül</w:t>
      </w:r>
      <w:r>
        <w:t xml:space="preserve">t. </w:t>
      </w:r>
    </w:p>
    <w:p w:rsidR="009951B8" w:rsidRDefault="00DF0680" w:rsidP="00DF0680">
      <w:pPr>
        <w:pStyle w:val="Bulletpoint"/>
      </w:pPr>
      <w:r>
        <w:t>„</w:t>
      </w:r>
      <w:proofErr w:type="spellStart"/>
      <w:r w:rsidR="003E1947">
        <w:t>Dark</w:t>
      </w:r>
      <w:proofErr w:type="spellEnd"/>
      <w:r w:rsidR="003E1947">
        <w:t xml:space="preserve"> </w:t>
      </w:r>
      <w:proofErr w:type="spellStart"/>
      <w:r w:rsidR="003E1947">
        <w:t>pool</w:t>
      </w:r>
      <w:proofErr w:type="spellEnd"/>
      <w:r>
        <w:t>”</w:t>
      </w:r>
      <w:r w:rsidR="009951B8">
        <w:t>-</w:t>
      </w:r>
      <w:proofErr w:type="spellStart"/>
      <w:r w:rsidR="009951B8">
        <w:t>on</w:t>
      </w:r>
      <w:proofErr w:type="spellEnd"/>
      <w:r w:rsidR="00844919">
        <w:t xml:space="preserve"> és </w:t>
      </w:r>
      <w:r>
        <w:t>„Egyéb elektronikus kommunikációs hálózatok”-</w:t>
      </w:r>
      <w:proofErr w:type="spellStart"/>
      <w:r>
        <w:t>on</w:t>
      </w:r>
      <w:proofErr w:type="spellEnd"/>
      <w:r w:rsidR="009951B8">
        <w:t xml:space="preserve"> keresztül kötött ügyleteket</w:t>
      </w:r>
      <w:r>
        <w:t xml:space="preserve"> összevontan „</w:t>
      </w:r>
      <w:r w:rsidR="00A21BFB">
        <w:t>Nyilvános</w:t>
      </w:r>
      <w:r>
        <w:t xml:space="preserve"> kereskedési rendszerek”-ként szükséges jelenteni</w:t>
      </w:r>
      <w:r w:rsidR="00FA2A9E">
        <w:t>.</w:t>
      </w:r>
    </w:p>
    <w:p w:rsidR="003E1947" w:rsidRDefault="00E0110D" w:rsidP="00FC1B32">
      <w:pPr>
        <w:pStyle w:val="Bulletpoint"/>
      </w:pPr>
      <w:r>
        <w:t>Egydevizás kamatláb ügyletek esetében az</w:t>
      </w:r>
      <w:r w:rsidR="009951B8">
        <w:t xml:space="preserve"> </w:t>
      </w:r>
      <w:proofErr w:type="spellStart"/>
      <w:r w:rsidR="009951B8">
        <w:t>overnight</w:t>
      </w:r>
      <w:proofErr w:type="spellEnd"/>
      <w:r w:rsidR="009951B8">
        <w:t xml:space="preserve"> index</w:t>
      </w:r>
      <w:r w:rsidR="00036425">
        <w:t>ed</w:t>
      </w:r>
      <w:r w:rsidR="009951B8">
        <w:t xml:space="preserve"> </w:t>
      </w:r>
      <w:proofErr w:type="spellStart"/>
      <w:r w:rsidR="009951B8">
        <w:t>swapok</w:t>
      </w:r>
      <w:proofErr w:type="spellEnd"/>
      <w:r w:rsidR="009951B8">
        <w:t xml:space="preserve"> (</w:t>
      </w:r>
      <w:proofErr w:type="spellStart"/>
      <w:r w:rsidR="009951B8">
        <w:t>OIS</w:t>
      </w:r>
      <w:proofErr w:type="spellEnd"/>
      <w:r w:rsidR="009951B8">
        <w:t>) külön jelentendők a többi kamatcsere ügylettől (</w:t>
      </w:r>
      <w:proofErr w:type="spellStart"/>
      <w:r w:rsidR="009951B8">
        <w:t>IRS</w:t>
      </w:r>
      <w:proofErr w:type="spellEnd"/>
      <w:r w:rsidR="009951B8">
        <w:t>).</w:t>
      </w:r>
    </w:p>
    <w:p w:rsidR="00FA2A9E" w:rsidRPr="00B05124" w:rsidRDefault="00FA2A9E" w:rsidP="00FC1B32">
      <w:pPr>
        <w:pStyle w:val="Bulletpoint"/>
      </w:pPr>
      <w:proofErr w:type="spellStart"/>
      <w:r>
        <w:t>Internalizációs</w:t>
      </w:r>
      <w:proofErr w:type="spellEnd"/>
      <w:r>
        <w:t xml:space="preserve"> ráta</w:t>
      </w:r>
      <w:r w:rsidR="00E0110D">
        <w:t xml:space="preserve"> összevonásra és</w:t>
      </w:r>
      <w:r>
        <w:t xml:space="preserve"> számításának módja pontosításra került.</w:t>
      </w:r>
    </w:p>
    <w:p w:rsidR="00790DD9" w:rsidRPr="00B05124" w:rsidRDefault="00790DD9" w:rsidP="00790DD9">
      <w:pPr>
        <w:pStyle w:val="IndentedHeading1"/>
        <w:spacing w:after="0"/>
        <w:rPr>
          <w:b/>
          <w:sz w:val="26"/>
          <w:szCs w:val="24"/>
          <w:lang w:val="hu-HU"/>
        </w:rPr>
      </w:pPr>
      <w:bookmarkStart w:id="4" w:name="_Toc533082306"/>
      <w:r w:rsidRPr="00B05124">
        <w:rPr>
          <w:b/>
          <w:sz w:val="26"/>
          <w:szCs w:val="24"/>
          <w:lang w:val="hu-HU"/>
        </w:rPr>
        <w:t>B.</w:t>
      </w:r>
      <w:r w:rsidRPr="00B05124">
        <w:rPr>
          <w:b/>
          <w:sz w:val="26"/>
          <w:szCs w:val="24"/>
          <w:lang w:val="hu-HU"/>
        </w:rPr>
        <w:tab/>
        <w:t>Kategóriák és adatszolgáltatási konvenciók</w:t>
      </w:r>
      <w:bookmarkEnd w:id="4"/>
    </w:p>
    <w:p w:rsidR="00790DD9" w:rsidRPr="00B05124" w:rsidRDefault="00790DD9" w:rsidP="003D6785">
      <w:pPr>
        <w:pStyle w:val="IndentedHeading2"/>
        <w:ind w:left="1305"/>
        <w:rPr>
          <w:rFonts w:ascii="Arial" w:hAnsi="Arial"/>
          <w:bCs w:val="0"/>
          <w:i w:val="0"/>
          <w:iCs w:val="0"/>
          <w:sz w:val="22"/>
          <w:szCs w:val="24"/>
          <w:lang w:val="hu-HU"/>
        </w:rPr>
      </w:pPr>
      <w:bookmarkStart w:id="5" w:name="OLE_LINK7"/>
      <w:bookmarkStart w:id="6" w:name="OLE_LINK8"/>
      <w:bookmarkStart w:id="7" w:name="_Toc533082307"/>
      <w:r w:rsidRPr="00B05124">
        <w:rPr>
          <w:rFonts w:ascii="Arial" w:hAnsi="Arial"/>
          <w:bCs w:val="0"/>
          <w:i w:val="0"/>
          <w:iCs w:val="0"/>
          <w:sz w:val="22"/>
          <w:szCs w:val="24"/>
          <w:lang w:val="hu-HU"/>
        </w:rPr>
        <w:t>1.</w:t>
      </w:r>
      <w:r w:rsidRPr="00B05124">
        <w:rPr>
          <w:rFonts w:ascii="Arial" w:hAnsi="Arial"/>
          <w:bCs w:val="0"/>
          <w:i w:val="0"/>
          <w:iCs w:val="0"/>
          <w:sz w:val="22"/>
          <w:szCs w:val="24"/>
          <w:lang w:val="hu-HU"/>
        </w:rPr>
        <w:tab/>
        <w:t>Kockázati kategóriák</w:t>
      </w:r>
      <w:bookmarkEnd w:id="7"/>
    </w:p>
    <w:bookmarkEnd w:id="5"/>
    <w:bookmarkEnd w:id="6"/>
    <w:p w:rsidR="00790DD9" w:rsidRPr="00B05124" w:rsidRDefault="00790DD9" w:rsidP="00666ADE">
      <w:pPr>
        <w:pStyle w:val="Paragraph"/>
      </w:pPr>
      <w:r w:rsidRPr="00B05124">
        <w:t>A felmérés keretében az alábbi piaci osztályozás szerint kerülnek összegyűjtésre a devizaügyletekre és az OTC származékos termékekre vonatkozó adatok:</w:t>
      </w:r>
    </w:p>
    <w:p w:rsidR="004F13E1" w:rsidRPr="00B05124" w:rsidRDefault="004F13E1" w:rsidP="00F72C8A">
      <w:pPr>
        <w:pStyle w:val="Bulletpoint"/>
        <w:numPr>
          <w:ilvl w:val="0"/>
          <w:numId w:val="8"/>
        </w:numPr>
      </w:pPr>
      <w:r w:rsidRPr="00B05124">
        <w:t>devizaügyletek (A1-A4 táblák és C tábla)</w:t>
      </w:r>
    </w:p>
    <w:p w:rsidR="004F13E1" w:rsidRPr="00B05124" w:rsidRDefault="004F13E1" w:rsidP="00F72C8A">
      <w:pPr>
        <w:pStyle w:val="Bulletpoint"/>
        <w:numPr>
          <w:ilvl w:val="0"/>
          <w:numId w:val="8"/>
        </w:numPr>
      </w:pPr>
      <w:r w:rsidRPr="00B05124">
        <w:t xml:space="preserve">egydevizás kamatláb </w:t>
      </w:r>
      <w:proofErr w:type="spellStart"/>
      <w:r w:rsidRPr="00B05124">
        <w:t>derivatívák</w:t>
      </w:r>
      <w:proofErr w:type="spellEnd"/>
      <w:r w:rsidR="00666ADE">
        <w:t xml:space="preserve"> (B tábla)</w:t>
      </w:r>
    </w:p>
    <w:p w:rsidR="00790DD9" w:rsidRPr="00B05124" w:rsidRDefault="00790DD9" w:rsidP="00190E62">
      <w:pPr>
        <w:pStyle w:val="Paragraph"/>
      </w:pPr>
      <w:r w:rsidRPr="00B05124">
        <w:rPr>
          <w:i/>
        </w:rPr>
        <w:t>Devizaügyletek</w:t>
      </w:r>
      <w:r w:rsidR="00942D08">
        <w:rPr>
          <w:i/>
        </w:rPr>
        <w:t>:</w:t>
      </w:r>
      <w:r w:rsidRPr="00B05124">
        <w:t xml:space="preserve"> A devizaügyletek kategóriájába a spot ügylet, a határidős devizaügylet, az </w:t>
      </w:r>
      <w:proofErr w:type="spellStart"/>
      <w:r w:rsidRPr="00B05124">
        <w:t>FX</w:t>
      </w:r>
      <w:proofErr w:type="spellEnd"/>
      <w:r w:rsidRPr="00B05124">
        <w:t xml:space="preserve"> csereügylet (</w:t>
      </w:r>
      <w:proofErr w:type="spellStart"/>
      <w:r w:rsidRPr="00B05124">
        <w:t>FX</w:t>
      </w:r>
      <w:proofErr w:type="spellEnd"/>
      <w:r w:rsidRPr="00B05124">
        <w:t xml:space="preserve"> </w:t>
      </w:r>
      <w:proofErr w:type="spellStart"/>
      <w:r w:rsidRPr="00B05124">
        <w:t>swap</w:t>
      </w:r>
      <w:proofErr w:type="spellEnd"/>
      <w:r w:rsidRPr="00B05124">
        <w:t>), a deviza csereügylet (</w:t>
      </w:r>
      <w:proofErr w:type="spellStart"/>
      <w:r w:rsidRPr="00B05124">
        <w:t>currency</w:t>
      </w:r>
      <w:proofErr w:type="spellEnd"/>
      <w:r w:rsidRPr="00B05124">
        <w:t xml:space="preserve"> </w:t>
      </w:r>
      <w:proofErr w:type="spellStart"/>
      <w:r w:rsidRPr="00B05124">
        <w:t>swap</w:t>
      </w:r>
      <w:proofErr w:type="spellEnd"/>
      <w:r w:rsidRPr="00B05124">
        <w:t xml:space="preserve">), a devizaopció és egyéb </w:t>
      </w:r>
      <w:r w:rsidRPr="00B05124">
        <w:lastRenderedPageBreak/>
        <w:t xml:space="preserve">olyan deviza instrumentumok tartoznak, amelyek egynél több devizának való kitettséget tartalmaznak (lásd a G.1 pontot). </w:t>
      </w:r>
    </w:p>
    <w:p w:rsidR="00153BD8" w:rsidRPr="00B05124" w:rsidRDefault="00153BD8" w:rsidP="00E07307">
      <w:pPr>
        <w:pStyle w:val="Paragraph"/>
      </w:pPr>
      <w:r w:rsidRPr="00B05124">
        <w:rPr>
          <w:i/>
        </w:rPr>
        <w:t xml:space="preserve">Egydevizás kamatláb </w:t>
      </w:r>
      <w:proofErr w:type="spellStart"/>
      <w:r w:rsidRPr="00B05124">
        <w:rPr>
          <w:i/>
        </w:rPr>
        <w:t>derivatívák</w:t>
      </w:r>
      <w:proofErr w:type="spellEnd"/>
      <w:r w:rsidR="00942D08">
        <w:rPr>
          <w:i/>
        </w:rPr>
        <w:t>:</w:t>
      </w:r>
      <w:r w:rsidRPr="00B05124">
        <w:t xml:space="preserve"> A kamatlábügylet valamely kamatozó pénzügyi instrumentumra vonatkozó kötést jelent, amelynek a</w:t>
      </w:r>
      <w:r w:rsidR="0079083E">
        <w:t xml:space="preserve"> kifizetését referencia</w:t>
      </w:r>
      <w:r w:rsidR="00EB53BD">
        <w:t xml:space="preserve"> </w:t>
      </w:r>
      <w:r w:rsidRPr="00B05124">
        <w:t xml:space="preserve">kamatlábak </w:t>
      </w:r>
      <w:r w:rsidR="0079083E">
        <w:t xml:space="preserve">alakulása </w:t>
      </w:r>
      <w:r w:rsidRPr="00B05124">
        <w:t xml:space="preserve">vagy egy másik kamatlábügylet (pl. állampapír </w:t>
      </w:r>
      <w:r w:rsidR="007F035B">
        <w:t>határidős megvásárlására szóló opció)</w:t>
      </w:r>
      <w:r w:rsidRPr="00B05124">
        <w:t xml:space="preserve"> határoz meg (lásd a G.2 pontot). Ez a kategória azokra az ügyletekre korlátozódik, ahol az összes kockázat kizárólag egy adott deviza kamatlábának való kitettséget tartalmaz. Vagyis nem tartoznak ide azok a szerződések, amelyek egy vagy több devizakonverziót tartalmaznak (pl. a kétdevizás kamatláb csereügylet), sem más szerződések, amelyek uralkodó kockázattípusa az árfolyamkockázat (ezeket a devizaügyletek alatt kell jelenteni).</w:t>
      </w:r>
    </w:p>
    <w:p w:rsidR="00153BD8" w:rsidRPr="00B05124" w:rsidRDefault="00153BD8" w:rsidP="003D6785">
      <w:pPr>
        <w:pStyle w:val="IndentedHeading2"/>
        <w:ind w:left="1211"/>
        <w:rPr>
          <w:rFonts w:ascii="Arial" w:hAnsi="Arial" w:cs="Arial"/>
          <w:bCs w:val="0"/>
          <w:i w:val="0"/>
          <w:iCs w:val="0"/>
          <w:sz w:val="22"/>
          <w:szCs w:val="22"/>
          <w:lang w:val="hu-HU"/>
        </w:rPr>
      </w:pPr>
      <w:bookmarkStart w:id="8" w:name="_Toc533082308"/>
      <w:r w:rsidRPr="00B05124">
        <w:rPr>
          <w:rFonts w:ascii="Arial" w:hAnsi="Arial" w:cs="Arial"/>
          <w:bCs w:val="0"/>
          <w:i w:val="0"/>
          <w:iCs w:val="0"/>
          <w:sz w:val="22"/>
          <w:szCs w:val="22"/>
          <w:lang w:val="hu-HU"/>
        </w:rPr>
        <w:t>2.</w:t>
      </w:r>
      <w:r w:rsidRPr="00B05124">
        <w:rPr>
          <w:rFonts w:ascii="Arial" w:hAnsi="Arial" w:cs="Arial"/>
          <w:bCs w:val="0"/>
          <w:i w:val="0"/>
          <w:iCs w:val="0"/>
          <w:sz w:val="22"/>
          <w:szCs w:val="22"/>
          <w:lang w:val="hu-HU"/>
        </w:rPr>
        <w:tab/>
        <w:t>A bontások áttekintése</w:t>
      </w:r>
      <w:bookmarkEnd w:id="8"/>
    </w:p>
    <w:p w:rsidR="004F13E1" w:rsidRPr="00B05124" w:rsidRDefault="004F13E1" w:rsidP="003D6785">
      <w:pPr>
        <w:pStyle w:val="Heading3"/>
        <w:tabs>
          <w:tab w:val="left" w:pos="851"/>
        </w:tabs>
        <w:ind w:left="851"/>
        <w:rPr>
          <w:rFonts w:ascii="Arial" w:hAnsi="Arial" w:cs="Arial"/>
          <w:bCs w:val="0"/>
          <w:i/>
          <w:sz w:val="22"/>
          <w:szCs w:val="22"/>
          <w:lang w:val="hu-HU"/>
        </w:rPr>
      </w:pPr>
      <w:bookmarkStart w:id="9" w:name="_Toc533082309"/>
      <w:r w:rsidRPr="00B05124">
        <w:rPr>
          <w:rFonts w:ascii="Arial" w:hAnsi="Arial" w:cs="Arial"/>
          <w:bCs w:val="0"/>
          <w:i/>
          <w:sz w:val="22"/>
          <w:szCs w:val="22"/>
          <w:lang w:val="hu-HU"/>
        </w:rPr>
        <w:t>2.1.</w:t>
      </w:r>
      <w:r w:rsidRPr="00B05124">
        <w:rPr>
          <w:rFonts w:ascii="Arial" w:hAnsi="Arial" w:cs="Arial"/>
          <w:bCs w:val="0"/>
          <w:i/>
          <w:sz w:val="22"/>
          <w:szCs w:val="22"/>
          <w:lang w:val="hu-HU"/>
        </w:rPr>
        <w:tab/>
        <w:t>Devizaügyletek</w:t>
      </w:r>
      <w:bookmarkEnd w:id="9"/>
    </w:p>
    <w:p w:rsidR="004F13E1" w:rsidRPr="00B05124" w:rsidRDefault="004F13E1" w:rsidP="0000026F">
      <w:pPr>
        <w:pStyle w:val="Paragraph"/>
      </w:pPr>
      <w:r w:rsidRPr="00B05124">
        <w:t>A felmérés devizaforgalomra vonatkozó része több bontásban tartalmazza az adatokat:</w:t>
      </w:r>
    </w:p>
    <w:p w:rsidR="00053180" w:rsidRPr="00B05124" w:rsidRDefault="00053180" w:rsidP="0000026F">
      <w:pPr>
        <w:pStyle w:val="Paragraph"/>
      </w:pPr>
      <w:r w:rsidRPr="00B05124">
        <w:rPr>
          <w:i/>
        </w:rPr>
        <w:t>Instrumentumok szerint</w:t>
      </w:r>
      <w:r w:rsidR="00942D08">
        <w:t>:</w:t>
      </w:r>
      <w:r w:rsidRPr="00B05124">
        <w:t xml:space="preserve"> Öt alaptípus – spot, határidős ügyletek, </w:t>
      </w:r>
      <w:proofErr w:type="spellStart"/>
      <w:r w:rsidRPr="00B05124">
        <w:t>FX</w:t>
      </w:r>
      <w:proofErr w:type="spellEnd"/>
      <w:r w:rsidRPr="00B05124">
        <w:t xml:space="preserve"> csereügyletek, deviza csereügylet, OTC opciók – valamint egyéb termékek (a részletes meghatározásokat lásd a G.1 pontban). A határidős ügyleteket és </w:t>
      </w:r>
      <w:proofErr w:type="spellStart"/>
      <w:r w:rsidRPr="00B05124">
        <w:t>FX</w:t>
      </w:r>
      <w:proofErr w:type="spellEnd"/>
      <w:r w:rsidRPr="00B05124">
        <w:t xml:space="preserve"> csereügyleteket emellett lejárat szerinti bontásban is meg kell adni (lásd az E fejezetet). Tovább</w:t>
      </w:r>
      <w:r w:rsidR="00B51302">
        <w:t>á</w:t>
      </w:r>
      <w:r w:rsidRPr="00B05124">
        <w:t xml:space="preserve"> a jelentő </w:t>
      </w:r>
      <w:proofErr w:type="spellStart"/>
      <w:r w:rsidRPr="00B05124">
        <w:t>dealereknek</w:t>
      </w:r>
      <w:proofErr w:type="spellEnd"/>
      <w:r w:rsidRPr="00B05124">
        <w:t xml:space="preserve"> azt is közölniük kell, a kiválasztott devizapárokra vonatkozó határidős forgalmukból mennyit tesznek ki a nem leszállításos határidős ügyletek (</w:t>
      </w:r>
      <w:proofErr w:type="spellStart"/>
      <w:r w:rsidRPr="00B05124">
        <w:t>NDF</w:t>
      </w:r>
      <w:proofErr w:type="spellEnd"/>
      <w:r w:rsidRPr="00B05124">
        <w:t>-ek).</w:t>
      </w:r>
    </w:p>
    <w:p w:rsidR="000D5297" w:rsidRPr="00B05124" w:rsidRDefault="000D5297" w:rsidP="0000026F">
      <w:pPr>
        <w:pStyle w:val="Paragraph"/>
      </w:pPr>
      <w:r w:rsidRPr="00B05124">
        <w:rPr>
          <w:i/>
        </w:rPr>
        <w:t>Partnerek szerint</w:t>
      </w:r>
      <w:r w:rsidR="00942D08">
        <w:t>:</w:t>
      </w:r>
      <w:r w:rsidRPr="00B05124">
        <w:t xml:space="preserve"> Három alapkategória: jelentő </w:t>
      </w:r>
      <w:proofErr w:type="spellStart"/>
      <w:r w:rsidRPr="00B05124">
        <w:t>dealerek</w:t>
      </w:r>
      <w:proofErr w:type="spellEnd"/>
      <w:r w:rsidRPr="00B05124">
        <w:t xml:space="preserve">, egyéb pénzügyi intézmények és nem pénzügyi partnerek. </w:t>
      </w:r>
      <w:r w:rsidR="00765A46">
        <w:t>A</w:t>
      </w:r>
      <w:r w:rsidRPr="00B05124">
        <w:t>z „egyéb pénzügyi intézmények” kategóriája további öt alkategóriára kerül lebontásra (lásd a C fejezetet).</w:t>
      </w:r>
    </w:p>
    <w:p w:rsidR="00342182" w:rsidRPr="00B05124" w:rsidRDefault="00342182" w:rsidP="0000026F">
      <w:pPr>
        <w:pStyle w:val="Paragraph"/>
      </w:pPr>
      <w:r w:rsidRPr="00B05124">
        <w:rPr>
          <w:i/>
        </w:rPr>
        <w:t>Devizanemek és devizapárok szerint</w:t>
      </w:r>
      <w:r w:rsidR="00942D08">
        <w:t>:</w:t>
      </w:r>
      <w:r w:rsidRPr="00B05124">
        <w:t xml:space="preserve"> A sablon 40 devizanemre és 47 devizapárra tartalmaz oszlopokat. Az olyan devizapárokban realizált forgalmakat, amelyeknek nincsen saját oszlopa, összesítve kell közölni az „Egyéb” és a „Többi devizanem” oszlopokban (a részleteket lásd a D fejezetben).</w:t>
      </w:r>
    </w:p>
    <w:p w:rsidR="00367247" w:rsidRPr="00B05124" w:rsidRDefault="00367247" w:rsidP="0000026F">
      <w:pPr>
        <w:pStyle w:val="Paragraph"/>
      </w:pPr>
      <w:r w:rsidRPr="00F72C8A">
        <w:rPr>
          <w:i/>
        </w:rPr>
        <w:t>Egyedi kereskedési kapcsolatok</w:t>
      </w:r>
      <w:r w:rsidR="00942D08">
        <w:rPr>
          <w:i/>
        </w:rPr>
        <w:t xml:space="preserve"> szerint: </w:t>
      </w:r>
      <w:r w:rsidRPr="00B05124">
        <w:t xml:space="preserve">a jelentő </w:t>
      </w:r>
      <w:proofErr w:type="spellStart"/>
      <w:r w:rsidRPr="00B05124">
        <w:t>dealereknek</w:t>
      </w:r>
      <w:proofErr w:type="spellEnd"/>
      <w:r w:rsidRPr="00B05124">
        <w:t xml:space="preserve"> azt is meg kell jelölniük, </w:t>
      </w:r>
      <w:r w:rsidR="00FE4F55">
        <w:t xml:space="preserve">hogy </w:t>
      </w:r>
      <w:r w:rsidRPr="00B05124">
        <w:t xml:space="preserve">az adott instrumentumra vagy devizapárra vonatkozó teljes forgalmukból mennyi ered (i) deviza </w:t>
      </w:r>
      <w:proofErr w:type="spellStart"/>
      <w:r w:rsidRPr="00B05124">
        <w:t>prime</w:t>
      </w:r>
      <w:proofErr w:type="spellEnd"/>
      <w:r w:rsidRPr="00B05124">
        <w:t xml:space="preserve"> </w:t>
      </w:r>
      <w:proofErr w:type="spellStart"/>
      <w:r w:rsidRPr="00B05124">
        <w:t>brokerage</w:t>
      </w:r>
      <w:proofErr w:type="spellEnd"/>
      <w:r w:rsidRPr="00B05124">
        <w:t xml:space="preserve"> kapcsolatban folytatott ügyletekből (ahol a jelentő </w:t>
      </w:r>
      <w:proofErr w:type="spellStart"/>
      <w:r w:rsidRPr="00B05124">
        <w:t>dealer</w:t>
      </w:r>
      <w:proofErr w:type="spellEnd"/>
      <w:r w:rsidRPr="00B05124">
        <w:t xml:space="preserve"> a deviza </w:t>
      </w:r>
      <w:proofErr w:type="spellStart"/>
      <w:r w:rsidRPr="00B05124">
        <w:t>prime</w:t>
      </w:r>
      <w:proofErr w:type="spellEnd"/>
      <w:r w:rsidRPr="00B05124">
        <w:t xml:space="preserve"> </w:t>
      </w:r>
      <w:proofErr w:type="spellStart"/>
      <w:r w:rsidRPr="00B05124">
        <w:t>broker</w:t>
      </w:r>
      <w:proofErr w:type="spellEnd"/>
      <w:r w:rsidRPr="00B05124">
        <w:t xml:space="preserve">), valamint (ii) közvetlenül vagy közvetve </w:t>
      </w:r>
      <w:r w:rsidR="001A5999">
        <w:t>elektronikus ügyfélmegbízásokból származó</w:t>
      </w:r>
      <w:r w:rsidRPr="00B05124">
        <w:t xml:space="preserve"> ügyletekből (lásd a H illetve I fejezetekben). Amint a korábbi felmérésekben is, a jelentő </w:t>
      </w:r>
      <w:proofErr w:type="spellStart"/>
      <w:r w:rsidRPr="00B05124">
        <w:t>dealereknek</w:t>
      </w:r>
      <w:proofErr w:type="spellEnd"/>
      <w:r w:rsidRPr="00B05124">
        <w:t xml:space="preserve"> meg kell jelölniük, hogy a </w:t>
      </w:r>
      <w:r w:rsidRPr="00B05124">
        <w:rPr>
          <w:i/>
        </w:rPr>
        <w:t>teljes</w:t>
      </w:r>
      <w:r w:rsidRPr="00B05124">
        <w:t xml:space="preserve"> devizaforgalmukból mennyi ered kapcsolt vállalkozásokkal folytatott tranzakciókból (lásd a B.4 pontot).</w:t>
      </w:r>
    </w:p>
    <w:p w:rsidR="00022D43" w:rsidRPr="00B05124" w:rsidRDefault="00022D43" w:rsidP="0000026F">
      <w:pPr>
        <w:pStyle w:val="Paragraph"/>
      </w:pPr>
      <w:r w:rsidRPr="00B05124">
        <w:rPr>
          <w:i/>
        </w:rPr>
        <w:t>A szerződéskötés módja szerint</w:t>
      </w:r>
      <w:r w:rsidR="00942D08">
        <w:t>:</w:t>
      </w:r>
      <w:r w:rsidRPr="00B05124">
        <w:t xml:space="preserve"> Az egyértelműség kedvéért a </w:t>
      </w:r>
      <w:r w:rsidR="00A21BFB">
        <w:t xml:space="preserve">2019. </w:t>
      </w:r>
      <w:r w:rsidRPr="00B05124">
        <w:t>évi felmérés négy alapkategóriát tartalmaz: telefonos közvetlen, telefonos közvetett, elektronikus közvetlen és elektronikus közvetett. A két „elektronikus” kategória további bontásra kerül az elektronikus kereskedési platform konkrét típusa szerint, a korábbi felmérésekben szereplőkhöz hasonló kategóriákra</w:t>
      </w:r>
      <w:r w:rsidR="00617F4A">
        <w:t>.</w:t>
      </w:r>
      <w:r w:rsidRPr="00B05124">
        <w:t xml:space="preserve"> </w:t>
      </w:r>
      <w:r w:rsidR="00573301">
        <w:t xml:space="preserve">Újdonság a </w:t>
      </w:r>
      <w:r w:rsidR="00844919">
        <w:t xml:space="preserve">2019. </w:t>
      </w:r>
      <w:r w:rsidR="00573301">
        <w:t xml:space="preserve">évi felmérésben, hogy a </w:t>
      </w:r>
      <w:proofErr w:type="spellStart"/>
      <w:r w:rsidR="00573301">
        <w:t>dark</w:t>
      </w:r>
      <w:proofErr w:type="spellEnd"/>
      <w:r w:rsidR="00573301">
        <w:t xml:space="preserve"> </w:t>
      </w:r>
      <w:proofErr w:type="spellStart"/>
      <w:r w:rsidR="00573301">
        <w:t>pool</w:t>
      </w:r>
      <w:proofErr w:type="spellEnd"/>
      <w:r w:rsidR="00573301">
        <w:t>-okon</w:t>
      </w:r>
      <w:r w:rsidR="00A21BFB">
        <w:t xml:space="preserve"> és egyéb elektronikus hálózatokon</w:t>
      </w:r>
      <w:r w:rsidR="00573301">
        <w:t xml:space="preserve"> keresztül megkötött ügyleteket </w:t>
      </w:r>
      <w:r w:rsidR="00A21BFB">
        <w:t>összevontan</w:t>
      </w:r>
      <w:r w:rsidR="00573301">
        <w:t xml:space="preserve"> kell </w:t>
      </w:r>
      <w:r w:rsidR="00A21BFB">
        <w:t>fel</w:t>
      </w:r>
      <w:r w:rsidR="00573301">
        <w:t xml:space="preserve">tüntetni az </w:t>
      </w:r>
      <w:r w:rsidR="00A21BFB">
        <w:t>nyilvános kereskedési rendszerek</w:t>
      </w:r>
      <w:r w:rsidR="00573301">
        <w:t xml:space="preserve"> kategória alatt </w:t>
      </w:r>
      <w:r w:rsidRPr="00B05124">
        <w:t xml:space="preserve">(a részleteket lásd a J fejezetben). </w:t>
      </w:r>
    </w:p>
    <w:p w:rsidR="007D0118" w:rsidRPr="00B05124" w:rsidRDefault="007D0118" w:rsidP="003D6785">
      <w:pPr>
        <w:pStyle w:val="Heading3"/>
        <w:tabs>
          <w:tab w:val="left" w:pos="851"/>
        </w:tabs>
        <w:ind w:left="851"/>
        <w:rPr>
          <w:rFonts w:ascii="Arial" w:hAnsi="Arial"/>
          <w:bCs w:val="0"/>
          <w:i/>
          <w:sz w:val="22"/>
          <w:szCs w:val="24"/>
          <w:lang w:val="hu-HU"/>
        </w:rPr>
      </w:pPr>
      <w:bookmarkStart w:id="10" w:name="_Toc533082310"/>
      <w:r w:rsidRPr="00B05124">
        <w:rPr>
          <w:rFonts w:ascii="Arial" w:hAnsi="Arial"/>
          <w:bCs w:val="0"/>
          <w:i/>
          <w:sz w:val="22"/>
          <w:szCs w:val="24"/>
          <w:lang w:val="hu-HU"/>
        </w:rPr>
        <w:t>2.2.</w:t>
      </w:r>
      <w:r w:rsidRPr="00B05124">
        <w:rPr>
          <w:rFonts w:ascii="Arial" w:hAnsi="Arial"/>
          <w:bCs w:val="0"/>
          <w:i/>
          <w:sz w:val="22"/>
          <w:szCs w:val="24"/>
          <w:lang w:val="hu-HU"/>
        </w:rPr>
        <w:tab/>
        <w:t xml:space="preserve"> Egydevizás kamatláb-</w:t>
      </w:r>
      <w:proofErr w:type="spellStart"/>
      <w:r w:rsidRPr="00B05124">
        <w:rPr>
          <w:rFonts w:ascii="Arial" w:hAnsi="Arial"/>
          <w:bCs w:val="0"/>
          <w:i/>
          <w:sz w:val="22"/>
          <w:szCs w:val="24"/>
          <w:lang w:val="hu-HU"/>
        </w:rPr>
        <w:t>derivatívák</w:t>
      </w:r>
      <w:bookmarkEnd w:id="10"/>
      <w:proofErr w:type="spellEnd"/>
    </w:p>
    <w:p w:rsidR="007D0118" w:rsidRPr="00B05124" w:rsidRDefault="007D0118" w:rsidP="00003AD9">
      <w:pPr>
        <w:pStyle w:val="Paragraph"/>
      </w:pPr>
      <w:r w:rsidRPr="00B05124">
        <w:t>Az egydevizás kamatláb-</w:t>
      </w:r>
      <w:proofErr w:type="spellStart"/>
      <w:r w:rsidRPr="00B05124">
        <w:t>derivatívák</w:t>
      </w:r>
      <w:proofErr w:type="spellEnd"/>
      <w:r w:rsidRPr="00B05124">
        <w:t xml:space="preserve"> forgalmára vonatkozó rész az alábbiak szerint kerül lebontásra:</w:t>
      </w:r>
    </w:p>
    <w:p w:rsidR="008A4D38" w:rsidRDefault="007D0118" w:rsidP="00003AD9">
      <w:pPr>
        <w:pStyle w:val="Paragraph"/>
      </w:pPr>
      <w:r w:rsidRPr="00B05124">
        <w:rPr>
          <w:i/>
        </w:rPr>
        <w:t>Instrumentumok szerint</w:t>
      </w:r>
      <w:r w:rsidR="00424A00">
        <w:t>:</w:t>
      </w:r>
      <w:r w:rsidRPr="00B05124">
        <w:t xml:space="preserve"> Három alaptípus – határidős kamatláb megállapodás (</w:t>
      </w:r>
      <w:proofErr w:type="spellStart"/>
      <w:r w:rsidRPr="00B05124">
        <w:t>FRA</w:t>
      </w:r>
      <w:proofErr w:type="spellEnd"/>
      <w:r w:rsidRPr="00B05124">
        <w:t>), csereügyletek, OTC opciók – valamint egyéb termékek (a részletes meghatározásokat lásd a G.2 pontban).</w:t>
      </w:r>
    </w:p>
    <w:p w:rsidR="001E1D8A" w:rsidRPr="00B05124" w:rsidRDefault="001E1D8A" w:rsidP="00666ADE">
      <w:pPr>
        <w:pStyle w:val="Paragraph"/>
      </w:pPr>
      <w:r w:rsidRPr="00B05124">
        <w:rPr>
          <w:i/>
        </w:rPr>
        <w:lastRenderedPageBreak/>
        <w:t>Partnerek szerint</w:t>
      </w:r>
      <w:r w:rsidR="00424A00">
        <w:t>:</w:t>
      </w:r>
      <w:r w:rsidRPr="00B05124">
        <w:t xml:space="preserve"> Három alapkategória: jelentő </w:t>
      </w:r>
      <w:proofErr w:type="spellStart"/>
      <w:r w:rsidRPr="00B05124">
        <w:t>dealerek</w:t>
      </w:r>
      <w:proofErr w:type="spellEnd"/>
      <w:r w:rsidRPr="00B05124">
        <w:t>, egyéb pénzügyi intézmények és nem pénzügyi partnerek. Az „egyéb pénzügyi intézmények” részletesebb lebontásait itt nem alkalmazzuk.</w:t>
      </w:r>
    </w:p>
    <w:p w:rsidR="00111140" w:rsidRPr="00B05124" w:rsidRDefault="00111140" w:rsidP="00666ADE">
      <w:pPr>
        <w:pStyle w:val="Paragraph"/>
      </w:pPr>
      <w:r w:rsidRPr="00B05124">
        <w:rPr>
          <w:i/>
          <w:spacing w:val="-6"/>
        </w:rPr>
        <w:t>Devizanemek szerint</w:t>
      </w:r>
      <w:r w:rsidR="00424A00">
        <w:rPr>
          <w:spacing w:val="-6"/>
        </w:rPr>
        <w:t>:</w:t>
      </w:r>
      <w:r w:rsidRPr="00B05124">
        <w:rPr>
          <w:spacing w:val="-6"/>
        </w:rPr>
        <w:t xml:space="preserve"> A táblázatok 40 különböző devizanemben meghatározott instrumentumokra tartalmaznak oszlopokat. </w:t>
      </w:r>
      <w:r w:rsidRPr="00B05124">
        <w:t>Az olyan devizanemű instrumentumokban realizált forgalmakat, amelyeknek nincsen saját oszlopa, összesítve kell közölni az „Egyéb” oszlopban</w:t>
      </w:r>
      <w:r w:rsidRPr="00B05124">
        <w:rPr>
          <w:spacing w:val="-6"/>
        </w:rPr>
        <w:t>.</w:t>
      </w:r>
    </w:p>
    <w:p w:rsidR="00E60476" w:rsidRPr="00B05124" w:rsidRDefault="00E60476" w:rsidP="00666ADE">
      <w:pPr>
        <w:pStyle w:val="Paragraph"/>
      </w:pPr>
      <w:r w:rsidRPr="004018C7">
        <w:rPr>
          <w:i/>
        </w:rPr>
        <w:t>Egyedi kereskedési kapcsolatok</w:t>
      </w:r>
      <w:r w:rsidR="00424A00">
        <w:t>:</w:t>
      </w:r>
      <w:r w:rsidRPr="00B05124">
        <w:t xml:space="preserve"> A jelentő </w:t>
      </w:r>
      <w:proofErr w:type="spellStart"/>
      <w:r w:rsidRPr="00B05124">
        <w:t>dealereknek</w:t>
      </w:r>
      <w:proofErr w:type="spellEnd"/>
      <w:r w:rsidRPr="00B05124">
        <w:t xml:space="preserve"> meg kell jelölniük, hogy a </w:t>
      </w:r>
      <w:r w:rsidRPr="00B05124">
        <w:rPr>
          <w:i/>
        </w:rPr>
        <w:t>teljes</w:t>
      </w:r>
      <w:r w:rsidRPr="00B05124">
        <w:t xml:space="preserve"> egydevizás kamatlábügylet-forgalmukból mennyi ered kapcsolt vállalkozásokkal folytatott tranzakciókból (lásd a B.4 pontot).</w:t>
      </w:r>
    </w:p>
    <w:p w:rsidR="00914D9A" w:rsidRPr="00B05124" w:rsidRDefault="00914D9A" w:rsidP="003D6785">
      <w:pPr>
        <w:pStyle w:val="IndentedHeading2"/>
        <w:ind w:left="1078"/>
        <w:rPr>
          <w:rFonts w:ascii="Arial" w:hAnsi="Arial" w:cs="Arial"/>
          <w:bCs w:val="0"/>
          <w:i w:val="0"/>
          <w:iCs w:val="0"/>
          <w:sz w:val="22"/>
          <w:szCs w:val="22"/>
          <w:lang w:val="hu-HU"/>
        </w:rPr>
      </w:pPr>
      <w:bookmarkStart w:id="11" w:name="_Toc533082311"/>
      <w:r w:rsidRPr="00B05124">
        <w:rPr>
          <w:rFonts w:ascii="Arial" w:hAnsi="Arial" w:cs="Arial"/>
          <w:bCs w:val="0"/>
          <w:i w:val="0"/>
          <w:iCs w:val="0"/>
          <w:sz w:val="22"/>
          <w:szCs w:val="22"/>
          <w:lang w:val="hu-HU"/>
        </w:rPr>
        <w:t>3.</w:t>
      </w:r>
      <w:r w:rsidRPr="00B05124">
        <w:rPr>
          <w:rFonts w:ascii="Arial" w:hAnsi="Arial" w:cs="Arial"/>
          <w:bCs w:val="0"/>
          <w:i w:val="0"/>
          <w:iCs w:val="0"/>
          <w:sz w:val="22"/>
          <w:szCs w:val="22"/>
          <w:lang w:val="hu-HU"/>
        </w:rPr>
        <w:tab/>
        <w:t>A forgalmi adatok meghatározása</w:t>
      </w:r>
      <w:bookmarkEnd w:id="11"/>
    </w:p>
    <w:p w:rsidR="00911BFC" w:rsidRPr="00B05124" w:rsidRDefault="00911BFC" w:rsidP="00666ADE">
      <w:pPr>
        <w:pStyle w:val="Paragraph"/>
      </w:pPr>
      <w:r w:rsidRPr="00B05124">
        <w:t>A felmérés során az adatszolgáltató intézmény sajátszámlás és megbízásos ügyleteiről egyaránt közöl forgalmi adatokat. A megbízásos ügylet olyan tranzakciót jelent, amelyet az adatszolgáltató intézmény</w:t>
      </w:r>
      <w:r w:rsidR="001E4CE0">
        <w:t>,</w:t>
      </w:r>
      <w:r w:rsidRPr="00B05124">
        <w:t xml:space="preserve"> mint ügynök vagy megbízott a saját nevében, de harmadik fél – ügyfél vagy más jogi személy – javára köt. </w:t>
      </w:r>
    </w:p>
    <w:p w:rsidR="00316DF9" w:rsidRPr="00B05124" w:rsidRDefault="00316DF9" w:rsidP="00666ADE">
      <w:pPr>
        <w:pStyle w:val="Paragraph"/>
      </w:pPr>
      <w:r w:rsidRPr="00B05124">
        <w:t xml:space="preserve">A forgalmi adatok jelzik a piaci aktivitás mértékét, és durva megközelítésben a piaci likviditásra vonatkozó adatnak is </w:t>
      </w:r>
      <w:proofErr w:type="spellStart"/>
      <w:r w:rsidRPr="00B05124">
        <w:t>tekinthetőek</w:t>
      </w:r>
      <w:proofErr w:type="spellEnd"/>
      <w:r w:rsidRPr="00B05124">
        <w:t xml:space="preserve">. A forgalom az adott időszakban történt összes új ügyletkötés – a kötések névleges vagy elvi összegében mért – bruttó értékeként határozható meg. </w:t>
      </w:r>
    </w:p>
    <w:p w:rsidR="009A11FF" w:rsidRPr="00B05124" w:rsidRDefault="009A11FF" w:rsidP="00666ADE">
      <w:pPr>
        <w:pStyle w:val="Paragraph"/>
      </w:pPr>
      <w:r w:rsidRPr="00B05124">
        <w:t xml:space="preserve">Eladás és vétel között nem kell különbséget tenni (pl. egy angol fonttal szembeni 5 millió dolláros vétel és egy angol fonttal szembeni 7 millió dolláros eladás 12 millió dollár bruttó forgalmat jelent). A devizák közötti közvetlen tranzakciókat egyetlen tranzakciónak kell számítani (pl. ha egy bank 5 millió dollár értékű svájci frankot ad el svéd koronával szemben, a jelentendő forgalom 5 millió dollár); azonban amennyiben a devizák közötti tranzakció egy közvetítő devizanemen keresztül valósul meg, ezt a közvetítő devizanemmel szembeni két külön tranzakcióként kell kimutatni (pl. amennyiben a bank először euróval szemben adja el az 5 millió dollár értékű svájci frankot, majd az euróból vásárolja a koronát, a jelentendő forgalom 10 millió dollár lesz). Az adott ügylet bruttó értékét kell egyszer kimutatni, a </w:t>
      </w:r>
      <w:proofErr w:type="spellStart"/>
      <w:r w:rsidRPr="00B05124">
        <w:t>nettósítási</w:t>
      </w:r>
      <w:proofErr w:type="spellEnd"/>
      <w:r w:rsidRPr="00B05124">
        <w:t xml:space="preserve"> megállapodások és beszámítások figyelmen kívül hagyásával. Ebben az összefüggésben emlékeztetjük az adatszolgáltató intézményeket, hogy a </w:t>
      </w:r>
      <w:proofErr w:type="spellStart"/>
      <w:r w:rsidRPr="00B05124">
        <w:t>CLS</w:t>
      </w:r>
      <w:proofErr w:type="spellEnd"/>
      <w:r w:rsidRPr="00B05124">
        <w:t xml:space="preserve"> befizetési adatok nettó összegek, és ezért nem </w:t>
      </w:r>
      <w:proofErr w:type="spellStart"/>
      <w:r w:rsidRPr="00B05124">
        <w:t>használhatóak</w:t>
      </w:r>
      <w:proofErr w:type="spellEnd"/>
      <w:r w:rsidRPr="00B05124">
        <w:t xml:space="preserve"> forrásként a – bruttó alapú – felmérés kitöltésére.</w:t>
      </w:r>
    </w:p>
    <w:p w:rsidR="00A53957" w:rsidRPr="00B05124" w:rsidRDefault="00A53957" w:rsidP="00666ADE">
      <w:pPr>
        <w:pStyle w:val="Paragraph"/>
      </w:pPr>
      <w:r w:rsidRPr="00B05124">
        <w:t>A változó névleges vagy elvi tőkeösszegű tranzakciók esetében a forgalmi adatszolgáltatás alapja a kötésnapi névleges vagy elvi tőkeösszeg legyen.</w:t>
      </w:r>
    </w:p>
    <w:p w:rsidR="00331A57" w:rsidRPr="00B05124" w:rsidRDefault="00331A57" w:rsidP="00666ADE">
      <w:pPr>
        <w:pStyle w:val="Paragraph"/>
      </w:pPr>
      <w:r w:rsidRPr="00B05124">
        <w:t>A forgalmi adatokat egyhónapos időszakon keresztül kell gyűjteni annak érdekében, hogy az aktivitás nagyon rövid távú változása lehetőleg ne torzíthassa az adatokat. A felmérés során összegyűjtött adatoknak a</w:t>
      </w:r>
      <w:r w:rsidR="00524F93">
        <w:t xml:space="preserve"> 2019.</w:t>
      </w:r>
      <w:r w:rsidRPr="00B05124">
        <w:t xml:space="preserve"> április naptári hónapban kötött valamennyi tranzakciót tükrözniük kell, függetlenül attól, hogy teljesítés vagy elszámolás történik-e az adott hónapban. </w:t>
      </w:r>
    </w:p>
    <w:p w:rsidR="00816E5A" w:rsidRDefault="00816E5A" w:rsidP="003D6785">
      <w:pPr>
        <w:pStyle w:val="IndentedHeading2"/>
        <w:ind w:left="1305"/>
        <w:rPr>
          <w:rFonts w:ascii="Arial" w:hAnsi="Arial"/>
          <w:bCs w:val="0"/>
          <w:i w:val="0"/>
          <w:iCs w:val="0"/>
          <w:sz w:val="22"/>
          <w:szCs w:val="24"/>
          <w:lang w:val="hu-HU"/>
        </w:rPr>
      </w:pPr>
      <w:bookmarkStart w:id="12" w:name="_Toc533082312"/>
      <w:r w:rsidRPr="00B05124">
        <w:rPr>
          <w:rFonts w:ascii="Arial" w:hAnsi="Arial"/>
          <w:bCs w:val="0"/>
          <w:i w:val="0"/>
          <w:iCs w:val="0"/>
          <w:sz w:val="22"/>
          <w:szCs w:val="24"/>
          <w:lang w:val="hu-HU"/>
        </w:rPr>
        <w:t>4.</w:t>
      </w:r>
      <w:r w:rsidRPr="00B05124">
        <w:rPr>
          <w:rFonts w:ascii="Arial" w:hAnsi="Arial"/>
          <w:bCs w:val="0"/>
          <w:i w:val="0"/>
          <w:iCs w:val="0"/>
          <w:sz w:val="22"/>
          <w:szCs w:val="24"/>
          <w:lang w:val="hu-HU"/>
        </w:rPr>
        <w:tab/>
      </w:r>
      <w:r w:rsidR="00712AF6">
        <w:rPr>
          <w:rFonts w:ascii="Arial" w:hAnsi="Arial"/>
          <w:bCs w:val="0"/>
          <w:i w:val="0"/>
          <w:iCs w:val="0"/>
          <w:sz w:val="22"/>
          <w:szCs w:val="24"/>
          <w:lang w:val="hu-HU"/>
        </w:rPr>
        <w:t>Beszámolási alap</w:t>
      </w:r>
      <w:r w:rsidR="00781361">
        <w:rPr>
          <w:rFonts w:ascii="Arial" w:hAnsi="Arial"/>
          <w:bCs w:val="0"/>
          <w:i w:val="0"/>
          <w:iCs w:val="0"/>
          <w:sz w:val="22"/>
          <w:szCs w:val="24"/>
          <w:lang w:val="hu-HU"/>
        </w:rPr>
        <w:t xml:space="preserve"> és kapcsolt felekkel folytatott</w:t>
      </w:r>
      <w:r w:rsidR="008D76BA">
        <w:rPr>
          <w:rFonts w:ascii="Arial" w:hAnsi="Arial"/>
          <w:bCs w:val="0"/>
          <w:i w:val="0"/>
          <w:iCs w:val="0"/>
          <w:sz w:val="22"/>
          <w:szCs w:val="24"/>
          <w:lang w:val="hu-HU"/>
        </w:rPr>
        <w:t xml:space="preserve"> ügyletek</w:t>
      </w:r>
      <w:bookmarkEnd w:id="12"/>
    </w:p>
    <w:p w:rsidR="00524F93" w:rsidRDefault="00524F93" w:rsidP="00524F93">
      <w:pPr>
        <w:pStyle w:val="Paragraph"/>
        <w:rPr>
          <w:lang w:eastAsia="x-none"/>
        </w:rPr>
      </w:pPr>
    </w:p>
    <w:p w:rsidR="001D082E" w:rsidRPr="003D6785" w:rsidRDefault="001D082E" w:rsidP="003D6785">
      <w:pPr>
        <w:pStyle w:val="Paragraph"/>
        <w:ind w:left="454" w:firstLine="227"/>
        <w:outlineLvl w:val="2"/>
        <w:rPr>
          <w:b/>
          <w:lang w:eastAsia="x-none"/>
        </w:rPr>
      </w:pPr>
      <w:bookmarkStart w:id="13" w:name="_Toc533082313"/>
      <w:r w:rsidRPr="003D6785">
        <w:rPr>
          <w:b/>
          <w:lang w:eastAsia="x-none"/>
        </w:rPr>
        <w:t xml:space="preserve">4.1. </w:t>
      </w:r>
      <w:r w:rsidRPr="003D6785">
        <w:rPr>
          <w:b/>
          <w:lang w:eastAsia="x-none"/>
        </w:rPr>
        <w:tab/>
        <w:t>Értékesítési helyszín</w:t>
      </w:r>
      <w:r>
        <w:rPr>
          <w:b/>
          <w:lang w:eastAsia="x-none"/>
        </w:rPr>
        <w:t xml:space="preserve"> (</w:t>
      </w:r>
      <w:proofErr w:type="spellStart"/>
      <w:r>
        <w:rPr>
          <w:b/>
          <w:lang w:eastAsia="x-none"/>
        </w:rPr>
        <w:t>Sales</w:t>
      </w:r>
      <w:proofErr w:type="spellEnd"/>
      <w:r>
        <w:rPr>
          <w:b/>
          <w:lang w:eastAsia="x-none"/>
        </w:rPr>
        <w:t xml:space="preserve"> </w:t>
      </w:r>
      <w:proofErr w:type="spellStart"/>
      <w:r>
        <w:rPr>
          <w:b/>
          <w:lang w:eastAsia="x-none"/>
        </w:rPr>
        <w:t>desk</w:t>
      </w:r>
      <w:proofErr w:type="spellEnd"/>
      <w:r>
        <w:rPr>
          <w:b/>
          <w:lang w:eastAsia="x-none"/>
        </w:rPr>
        <w:t>)</w:t>
      </w:r>
      <w:bookmarkEnd w:id="13"/>
    </w:p>
    <w:p w:rsidR="00AF45F2" w:rsidRDefault="009A11FF" w:rsidP="003D6785">
      <w:pPr>
        <w:pStyle w:val="Paragraph"/>
        <w:ind w:left="227"/>
      </w:pPr>
      <w:r w:rsidRPr="00B05124">
        <w:t xml:space="preserve">Forgalmi adatok esetében az adatszolgáltatás alapja a tranzakció „értékesítési helyszíne” kell, hogy legyen, akkor is, ha a különböző helyszíneken kötött ügyleteket egy központi helyszínen könyvelik. Így a külföldi fiókok által kötött tranzakciók nem a központ országa szerint </w:t>
      </w:r>
      <w:proofErr w:type="spellStart"/>
      <w:r w:rsidRPr="00B05124">
        <w:t>jelentendőek</w:t>
      </w:r>
      <w:proofErr w:type="spellEnd"/>
      <w:r w:rsidRPr="00B05124">
        <w:t xml:space="preserve">, hanem a külföldi fiók országa szerint (amennyiben az utóbbi egy adatszolgáltató országban működő adatszolgáltató intézmény). </w:t>
      </w:r>
      <w:r w:rsidRPr="003551C5">
        <w:t xml:space="preserve">Amennyiben értékesítő </w:t>
      </w:r>
      <w:r w:rsidRPr="003551C5">
        <w:lastRenderedPageBreak/>
        <w:t xml:space="preserve">egység nem szerepel az adott ügyletben, </w:t>
      </w:r>
      <w:r w:rsidR="005C05F9" w:rsidRPr="003551C5">
        <w:t xml:space="preserve">különösen az elektronikus csatornákon keresztül megkötött ügyletek esetén, az ügyfelet kiszolgáló értékesítési partner helyszínét kell használni. Egyébként </w:t>
      </w:r>
      <w:r w:rsidRPr="003551C5">
        <w:t>az ügyletkötés helyszíne a kereskedő egység (</w:t>
      </w:r>
      <w:proofErr w:type="spellStart"/>
      <w:r w:rsidRPr="003551C5">
        <w:t>trading</w:t>
      </w:r>
      <w:proofErr w:type="spellEnd"/>
      <w:r w:rsidRPr="003551C5">
        <w:t xml:space="preserve"> </w:t>
      </w:r>
      <w:proofErr w:type="spellStart"/>
      <w:r w:rsidRPr="003551C5">
        <w:t>desk</w:t>
      </w:r>
      <w:proofErr w:type="spellEnd"/>
      <w:r w:rsidRPr="003551C5">
        <w:t>) alapján kerül meghatározásra.</w:t>
      </w:r>
      <w:r w:rsidR="0048767B">
        <w:t xml:space="preserve"> </w:t>
      </w:r>
    </w:p>
    <w:p w:rsidR="00AF45F2" w:rsidRPr="00B05124" w:rsidRDefault="00AF45F2" w:rsidP="003D6785">
      <w:pPr>
        <w:pStyle w:val="Paragraph"/>
        <w:ind w:left="227"/>
      </w:pPr>
      <w:r w:rsidRPr="00B05124">
        <w:t xml:space="preserve">A több központtal működő nagy pénzügyi csoportok kötelesek gondoskodni róla, hogy az iránymutatás kölcsönösen elfogadott meghatározásai az összes adatszolgáltató egységük által a lehető legegységesebben betartásra kerüljenek. A globális hálózattal rendelkező jelentő </w:t>
      </w:r>
      <w:proofErr w:type="spellStart"/>
      <w:r w:rsidRPr="00B05124">
        <w:t>dealerek</w:t>
      </w:r>
      <w:proofErr w:type="spellEnd"/>
      <w:r w:rsidRPr="00B05124">
        <w:t xml:space="preserve"> esetében is az adatszolgáltatást magának a külföldi irodának az adott ország jegybankja felé kell teljesítenie.</w:t>
      </w:r>
    </w:p>
    <w:p w:rsidR="009A11FF" w:rsidRDefault="009A11FF" w:rsidP="0048767B">
      <w:pPr>
        <w:pStyle w:val="Paragraph"/>
      </w:pPr>
    </w:p>
    <w:p w:rsidR="00524F93" w:rsidRPr="003D6785" w:rsidRDefault="00524F93" w:rsidP="003D6785">
      <w:pPr>
        <w:pStyle w:val="Paragraph"/>
        <w:ind w:left="454"/>
        <w:outlineLvl w:val="2"/>
        <w:rPr>
          <w:b/>
        </w:rPr>
      </w:pPr>
      <w:r>
        <w:tab/>
      </w:r>
      <w:bookmarkStart w:id="14" w:name="_Toc533082314"/>
      <w:r w:rsidRPr="003D6785">
        <w:rPr>
          <w:b/>
        </w:rPr>
        <w:t>4.2.</w:t>
      </w:r>
      <w:r w:rsidRPr="003D6785">
        <w:rPr>
          <w:b/>
        </w:rPr>
        <w:tab/>
        <w:t>Kapcsolt felek ügyletei</w:t>
      </w:r>
      <w:bookmarkEnd w:id="14"/>
    </w:p>
    <w:p w:rsidR="001D4E6A" w:rsidRDefault="00343293" w:rsidP="003D6785">
      <w:pPr>
        <w:pStyle w:val="Paragraph"/>
        <w:ind w:left="227"/>
      </w:pPr>
      <w:r w:rsidRPr="00B05124">
        <w:t xml:space="preserve">A jelentő </w:t>
      </w:r>
      <w:proofErr w:type="spellStart"/>
      <w:r w:rsidRPr="00B05124">
        <w:t>dealerek</w:t>
      </w:r>
      <w:proofErr w:type="spellEnd"/>
      <w:r w:rsidRPr="00B05124">
        <w:t xml:space="preserve"> kötelesek az úgynevezett </w:t>
      </w:r>
      <w:r w:rsidRPr="00B05124">
        <w:rPr>
          <w:u w:val="single"/>
        </w:rPr>
        <w:t>kapcsolt felekkel folytatott ügyleteket</w:t>
      </w:r>
      <w:r w:rsidRPr="00B05124">
        <w:t xml:space="preserve"> (pl. osztályok és irodák, saját fiókok és leánycégek, érdekeltségek közötti, illetve ezekkel folytatott ügyleteket) is szerepeltetni az általuk szolgáltatott összesített adatokban. Ezeket a kötéseket attól függetlenül szerepeltetni kell, hogy a partner ugyanabban az országban rezidens-e, mint a jelentő </w:t>
      </w:r>
      <w:proofErr w:type="spellStart"/>
      <w:r w:rsidRPr="00B05124">
        <w:t>dealer</w:t>
      </w:r>
      <w:proofErr w:type="spellEnd"/>
      <w:r w:rsidRPr="00B05124">
        <w:t xml:space="preserve">, vagy egy másik országban. Továbbá ezeket az ügyleteket külön kell szerepeltetni, „ebből: kapcsolt felekkel folytatott ügyletek” tételként. </w:t>
      </w:r>
    </w:p>
    <w:p w:rsidR="00AF45F2" w:rsidRDefault="00AF45F2" w:rsidP="003D6785">
      <w:pPr>
        <w:pStyle w:val="Paragraph"/>
        <w:ind w:left="227"/>
      </w:pPr>
      <w:r w:rsidRPr="00B05124">
        <w:t>A saját fiók</w:t>
      </w:r>
      <w:r>
        <w:t>kal</w:t>
      </w:r>
      <w:r w:rsidRPr="00B05124">
        <w:t xml:space="preserve"> és leánycég</w:t>
      </w:r>
      <w:r>
        <w:t>g</w:t>
      </w:r>
      <w:r w:rsidRPr="00B05124">
        <w:t xml:space="preserve">el folytatott, illetve kapcsolt vállalkozások közötti tranzakciókat a jelentő </w:t>
      </w:r>
      <w:proofErr w:type="spellStart"/>
      <w:r w:rsidRPr="00B05124">
        <w:t>dealerek</w:t>
      </w:r>
      <w:proofErr w:type="spellEnd"/>
      <w:r w:rsidRPr="00B05124">
        <w:t xml:space="preserve"> vagy egyéb pénzügyi intézmények kategóriájába kell besorolni, attól függően, hogy a partner is jelentő </w:t>
      </w:r>
      <w:proofErr w:type="spellStart"/>
      <w:r w:rsidRPr="00B05124">
        <w:t>dealer</w:t>
      </w:r>
      <w:proofErr w:type="spellEnd"/>
      <w:r w:rsidRPr="00B05124">
        <w:t xml:space="preserve">-e vagy sem. Például egy ugyanazon adatszolgáltató intézmény két </w:t>
      </w:r>
      <w:r w:rsidR="006A53C7">
        <w:t>cégcsoporttagja</w:t>
      </w:r>
      <w:r w:rsidR="008A1AF9">
        <w:t xml:space="preserve"> </w:t>
      </w:r>
      <w:r w:rsidRPr="00B05124">
        <w:t xml:space="preserve">közötti ügyletet </w:t>
      </w:r>
      <w:r w:rsidRPr="00B05124">
        <w:rPr>
          <w:i/>
        </w:rPr>
        <w:t>kettő</w:t>
      </w:r>
      <w:r w:rsidRPr="00B05124">
        <w:t xml:space="preserve"> ügyletként kell a helyi jelentő </w:t>
      </w:r>
      <w:proofErr w:type="spellStart"/>
      <w:r w:rsidRPr="00B05124">
        <w:t>dealer</w:t>
      </w:r>
      <w:proofErr w:type="spellEnd"/>
      <w:r w:rsidRPr="00B05124">
        <w:t xml:space="preserve"> kategóriában kimutatni, mivel a jelentő </w:t>
      </w:r>
      <w:proofErr w:type="spellStart"/>
      <w:r w:rsidRPr="00B05124">
        <w:t>dealer</w:t>
      </w:r>
      <w:proofErr w:type="spellEnd"/>
      <w:r w:rsidRPr="00B05124">
        <w:t xml:space="preserve"> kategóriát a </w:t>
      </w:r>
      <w:proofErr w:type="spellStart"/>
      <w:r w:rsidRPr="00B05124">
        <w:t>BIS</w:t>
      </w:r>
      <w:proofErr w:type="spellEnd"/>
      <w:r w:rsidRPr="00B05124">
        <w:t xml:space="preserve"> automatikusan korrigálja a </w:t>
      </w:r>
      <w:proofErr w:type="spellStart"/>
      <w:r w:rsidRPr="00B05124">
        <w:t>duplikáció</w:t>
      </w:r>
      <w:proofErr w:type="spellEnd"/>
      <w:r w:rsidRPr="00B05124">
        <w:t xml:space="preserve"> miatt. Amennyiben azonban az ügyletkötés egy külföldi </w:t>
      </w:r>
      <w:r w:rsidR="00E56BD8">
        <w:t xml:space="preserve">cégcsoporttaggal </w:t>
      </w:r>
      <w:r w:rsidRPr="00B05124">
        <w:t xml:space="preserve">történik, amely szintén </w:t>
      </w:r>
      <w:r w:rsidR="00E56BD8">
        <w:t xml:space="preserve">az </w:t>
      </w:r>
      <w:r w:rsidRPr="00B05124">
        <w:t xml:space="preserve">adatszolgáltató intézmény </w:t>
      </w:r>
      <w:r w:rsidR="00E56BD8">
        <w:t xml:space="preserve">tagja </w:t>
      </w:r>
      <w:r w:rsidRPr="00B05124">
        <w:t xml:space="preserve">a másik országban, </w:t>
      </w:r>
      <w:r w:rsidR="00E56BD8">
        <w:t xml:space="preserve">akkor </w:t>
      </w:r>
      <w:r w:rsidRPr="00B05124">
        <w:t xml:space="preserve">mindkét jelentő </w:t>
      </w:r>
      <w:proofErr w:type="spellStart"/>
      <w:r w:rsidRPr="00B05124">
        <w:t>dealernek</w:t>
      </w:r>
      <w:proofErr w:type="spellEnd"/>
      <w:r w:rsidRPr="00B05124">
        <w:t xml:space="preserve"> </w:t>
      </w:r>
      <w:r w:rsidRPr="00B05124">
        <w:rPr>
          <w:i/>
        </w:rPr>
        <w:t xml:space="preserve">egyszer </w:t>
      </w:r>
      <w:r w:rsidRPr="00B05124">
        <w:t xml:space="preserve">kell a tranzakciót kimutatnia a </w:t>
      </w:r>
      <w:r>
        <w:t>nem rezidens</w:t>
      </w:r>
      <w:r w:rsidRPr="00B05124">
        <w:t xml:space="preserve"> (</w:t>
      </w:r>
      <w:proofErr w:type="spellStart"/>
      <w:r w:rsidRPr="00B05124">
        <w:t>cross-border</w:t>
      </w:r>
      <w:proofErr w:type="spellEnd"/>
      <w:r w:rsidRPr="00B05124">
        <w:t xml:space="preserve">) jelentő </w:t>
      </w:r>
      <w:proofErr w:type="spellStart"/>
      <w:r w:rsidRPr="00B05124">
        <w:t>dealer</w:t>
      </w:r>
      <w:proofErr w:type="spellEnd"/>
      <w:r w:rsidRPr="00B05124">
        <w:t xml:space="preserve"> kategóriában.</w:t>
      </w:r>
    </w:p>
    <w:p w:rsidR="00AF45F2" w:rsidRDefault="00AF45F2" w:rsidP="00666ADE">
      <w:pPr>
        <w:pStyle w:val="Paragraph"/>
      </w:pPr>
    </w:p>
    <w:p w:rsidR="00524F93" w:rsidRPr="003D6785" w:rsidRDefault="00524F93" w:rsidP="003D6785">
      <w:pPr>
        <w:pStyle w:val="Paragraph"/>
        <w:ind w:left="454"/>
        <w:outlineLvl w:val="2"/>
        <w:rPr>
          <w:b/>
        </w:rPr>
      </w:pPr>
      <w:r w:rsidRPr="003D6785">
        <w:rPr>
          <w:b/>
        </w:rPr>
        <w:tab/>
      </w:r>
      <w:bookmarkStart w:id="15" w:name="_Toc533082315"/>
      <w:r w:rsidRPr="003D6785">
        <w:rPr>
          <w:b/>
        </w:rPr>
        <w:t>4.3.</w:t>
      </w:r>
      <w:r w:rsidRPr="003D6785">
        <w:rPr>
          <w:b/>
        </w:rPr>
        <w:tab/>
        <w:t>Back-</w:t>
      </w:r>
      <w:proofErr w:type="spellStart"/>
      <w:r w:rsidRPr="003D6785">
        <w:rPr>
          <w:b/>
        </w:rPr>
        <w:t>to</w:t>
      </w:r>
      <w:proofErr w:type="spellEnd"/>
      <w:r w:rsidRPr="003D6785">
        <w:rPr>
          <w:b/>
        </w:rPr>
        <w:t>-back ügyletek jelentése</w:t>
      </w:r>
      <w:bookmarkEnd w:id="15"/>
    </w:p>
    <w:p w:rsidR="004A3DD6" w:rsidRDefault="00343293" w:rsidP="0000026F">
      <w:pPr>
        <w:pStyle w:val="Paragraph"/>
      </w:pPr>
      <w:r w:rsidRPr="00B05124">
        <w:t>A back-</w:t>
      </w:r>
      <w:proofErr w:type="spellStart"/>
      <w:r w:rsidRPr="00B05124">
        <w:t>to</w:t>
      </w:r>
      <w:proofErr w:type="spellEnd"/>
      <w:r w:rsidRPr="00B05124">
        <w:t>-back ügyletek amelyek csupán a belső könyvelés és belső kockázatkezelés megkönnyítését szolgálják az adott intézményben, nem tartoznak az adatszolgáltatási körbe, függetlenül attól, hogy helyileg vagy nemzetközileg folytatott ügyletekről van szó.</w:t>
      </w:r>
      <w:r w:rsidR="001D4E6A">
        <w:t xml:space="preserve"> </w:t>
      </w:r>
      <w:r w:rsidR="004A3DD6">
        <w:t xml:space="preserve">Azonban a jelentő </w:t>
      </w:r>
      <w:proofErr w:type="spellStart"/>
      <w:r w:rsidR="004A3DD6">
        <w:t>dealer-ekkel</w:t>
      </w:r>
      <w:proofErr w:type="spellEnd"/>
      <w:r w:rsidR="004A3DD6">
        <w:t xml:space="preserve"> vagy a</w:t>
      </w:r>
      <w:r w:rsidR="00781361">
        <w:t>z adatszolgáltatóval azonos</w:t>
      </w:r>
      <w:r w:rsidR="004A3DD6">
        <w:t xml:space="preserve"> konszolidációba bevont más piaci szereplőkkel </w:t>
      </w:r>
      <w:r w:rsidR="00203FDF">
        <w:t xml:space="preserve">megkötött </w:t>
      </w:r>
      <w:r w:rsidR="00781361">
        <w:t xml:space="preserve">ilyen jellegű </w:t>
      </w:r>
      <w:r w:rsidR="00203FDF">
        <w:t>ügyleteket jelenteni kell.</w:t>
      </w:r>
    </w:p>
    <w:p w:rsidR="004B3482" w:rsidRDefault="004B3482" w:rsidP="00190E62">
      <w:pPr>
        <w:pStyle w:val="Paragraph"/>
        <w:rPr>
          <w:rFonts w:cs="Arial"/>
          <w:color w:val="222222"/>
        </w:rPr>
      </w:pPr>
      <w:r>
        <w:t>Az</w:t>
      </w:r>
      <w:r w:rsidR="00524101">
        <w:t xml:space="preserve"> értékesítési helyszínre (</w:t>
      </w:r>
      <w:proofErr w:type="spellStart"/>
      <w:r w:rsidR="00524101">
        <w:t>sales</w:t>
      </w:r>
      <w:proofErr w:type="spellEnd"/>
      <w:r w:rsidR="00524101">
        <w:t xml:space="preserve"> </w:t>
      </w:r>
      <w:proofErr w:type="spellStart"/>
      <w:r w:rsidR="00524101">
        <w:t>desk</w:t>
      </w:r>
      <w:proofErr w:type="spellEnd"/>
      <w:r w:rsidR="00524101">
        <w:t>) vonatkozó</w:t>
      </w:r>
      <w:r>
        <w:t xml:space="preserve"> eredeti ügyletet mindig jelenteni kell</w:t>
      </w:r>
      <w:r w:rsidR="00524101">
        <w:t xml:space="preserve">. </w:t>
      </w:r>
      <w:r w:rsidR="00524101">
        <w:rPr>
          <w:rFonts w:cs="Arial"/>
          <w:color w:val="222222"/>
        </w:rPr>
        <w:t xml:space="preserve">A második ügylet az értékesítési helyszín és az azonos konszolidált csoportba tartozó kapcsolt vállalatok között, csak akkor kell jelenteni, ha a kockázat átruházásra kerül. A második ügyletet nem kell jelenteni, ha a jelentő </w:t>
      </w:r>
      <w:proofErr w:type="spellStart"/>
      <w:r w:rsidR="00524101">
        <w:rPr>
          <w:rFonts w:cs="Arial"/>
          <w:color w:val="222222"/>
        </w:rPr>
        <w:t>dealer</w:t>
      </w:r>
      <w:proofErr w:type="spellEnd"/>
      <w:r w:rsidR="00524101">
        <w:rPr>
          <w:rFonts w:cs="Arial"/>
          <w:color w:val="222222"/>
        </w:rPr>
        <w:t xml:space="preserve"> nem továbbítja a kockázatot: például </w:t>
      </w:r>
      <w:r w:rsidR="00E621E1" w:rsidRPr="00B05124">
        <w:t xml:space="preserve">ugyanazon adatszolgáltató intézmény két </w:t>
      </w:r>
      <w:r w:rsidR="001C39D6">
        <w:t xml:space="preserve">csoporttagja </w:t>
      </w:r>
      <w:r w:rsidR="00E621E1" w:rsidRPr="00B05124">
        <w:t>között</w:t>
      </w:r>
      <w:r w:rsidR="00E621E1">
        <w:t>i ügylet</w:t>
      </w:r>
      <w:r w:rsidR="00E000D7">
        <w:rPr>
          <w:rFonts w:cs="Arial"/>
          <w:color w:val="222222"/>
        </w:rPr>
        <w:t xml:space="preserve">, </w:t>
      </w:r>
      <w:r w:rsidR="00524101">
        <w:rPr>
          <w:rFonts w:cs="Arial"/>
          <w:color w:val="222222"/>
        </w:rPr>
        <w:t xml:space="preserve">vagy </w:t>
      </w:r>
      <w:r w:rsidR="00524101">
        <w:rPr>
          <w:rFonts w:cs="Arial"/>
          <w:color w:val="222222"/>
        </w:rPr>
        <w:br/>
        <w:t>egy másik leányvállalat nevében</w:t>
      </w:r>
      <w:r w:rsidR="00E621E1">
        <w:rPr>
          <w:rFonts w:cs="Arial"/>
          <w:color w:val="222222"/>
        </w:rPr>
        <w:t xml:space="preserve"> kötött ügylet,</w:t>
      </w:r>
      <w:r w:rsidR="00524101">
        <w:rPr>
          <w:rFonts w:cs="Arial"/>
          <w:color w:val="222222"/>
        </w:rPr>
        <w:t xml:space="preserve"> </w:t>
      </w:r>
      <w:r w:rsidR="00E621E1">
        <w:rPr>
          <w:rFonts w:cs="Arial"/>
          <w:color w:val="222222"/>
        </w:rPr>
        <w:t xml:space="preserve">ami nem jelenik </w:t>
      </w:r>
      <w:r w:rsidR="00EE23BE">
        <w:rPr>
          <w:rFonts w:cs="Arial"/>
          <w:color w:val="222222"/>
        </w:rPr>
        <w:t>meg</w:t>
      </w:r>
      <w:r w:rsidR="00E621E1">
        <w:rPr>
          <w:rFonts w:cs="Arial"/>
          <w:color w:val="222222"/>
        </w:rPr>
        <w:t xml:space="preserve"> az adatszolgáltató könyveiben.</w:t>
      </w:r>
    </w:p>
    <w:p w:rsidR="00750DA8" w:rsidRDefault="00003AD9" w:rsidP="00750DA8">
      <w:pPr>
        <w:pStyle w:val="Paragraph"/>
      </w:pPr>
      <w:r>
        <w:br w:type="page"/>
      </w:r>
    </w:p>
    <w:p w:rsidR="00750DA8" w:rsidRPr="004049F3" w:rsidRDefault="002E67D0" w:rsidP="007B04D2">
      <w:pPr>
        <w:pStyle w:val="Paragraph"/>
        <w:rPr>
          <w:i/>
        </w:rPr>
      </w:pPr>
      <w:r w:rsidRPr="004049F3">
        <w:rPr>
          <w:b/>
        </w:rPr>
        <w:t>Példa</w:t>
      </w:r>
      <w:r>
        <w:t xml:space="preserve">: </w:t>
      </w:r>
      <w:r w:rsidR="00750DA8" w:rsidRPr="004049F3">
        <w:rPr>
          <w:i/>
        </w:rPr>
        <w:t xml:space="preserve">A következő példa illusztrálja 5 entitás közötti kapcsolatot és a </w:t>
      </w:r>
      <w:r w:rsidR="00E621E1" w:rsidRPr="004049F3">
        <w:rPr>
          <w:i/>
        </w:rPr>
        <w:t>kötött ügyleteket:</w:t>
      </w:r>
    </w:p>
    <w:p w:rsidR="00A2667A" w:rsidRDefault="00B2232A" w:rsidP="001D4E6A">
      <w:pPr>
        <w:pStyle w:val="Paragrap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67pt">
            <v:imagedata r:id="rId15" o:title=""/>
          </v:shape>
        </w:pict>
      </w:r>
    </w:p>
    <w:p w:rsidR="00E621E1" w:rsidRDefault="00E621E1" w:rsidP="001D4E6A">
      <w:pPr>
        <w:pStyle w:val="Paragraph"/>
      </w:pPr>
    </w:p>
    <w:p w:rsidR="00DE1804" w:rsidRPr="004049F3" w:rsidRDefault="00750DA8" w:rsidP="00003AD9">
      <w:pPr>
        <w:pStyle w:val="Paragraph"/>
        <w:ind w:left="227"/>
        <w:rPr>
          <w:i/>
        </w:rPr>
      </w:pPr>
      <w:r w:rsidRPr="004049F3">
        <w:rPr>
          <w:i/>
        </w:rPr>
        <w:t>A példában a back-</w:t>
      </w:r>
      <w:proofErr w:type="spellStart"/>
      <w:r w:rsidRPr="004049F3">
        <w:rPr>
          <w:i/>
        </w:rPr>
        <w:t>to</w:t>
      </w:r>
      <w:proofErr w:type="spellEnd"/>
      <w:r w:rsidRPr="004049F3">
        <w:rPr>
          <w:i/>
        </w:rPr>
        <w:t>-back ügyletek a következőképpen jelentendők:</w:t>
      </w:r>
    </w:p>
    <w:p w:rsidR="00003AD9" w:rsidRDefault="00003AD9" w:rsidP="004049F3">
      <w:pPr>
        <w:pStyle w:val="Paragraph"/>
        <w:ind w:left="227"/>
      </w:pPr>
    </w:p>
    <w:p w:rsidR="00DE1804" w:rsidRDefault="00003AD9" w:rsidP="00003AD9">
      <w:pPr>
        <w:pStyle w:val="Paragraph"/>
      </w:pPr>
      <w:r w:rsidRPr="008A4D38">
        <w:pict>
          <v:shape id="_x0000_i1026" type="#_x0000_t75" style="width:438.75pt;height:317.25pt">
            <v:imagedata r:id="rId16" o:title=""/>
          </v:shape>
        </w:pict>
      </w:r>
    </w:p>
    <w:p w:rsidR="00AF45F2" w:rsidRPr="004049F3" w:rsidRDefault="00AF45F2" w:rsidP="004049F3">
      <w:pPr>
        <w:pStyle w:val="Paragraph"/>
        <w:ind w:left="227"/>
        <w:rPr>
          <w:b/>
        </w:rPr>
      </w:pPr>
      <w:r w:rsidRPr="004049F3">
        <w:rPr>
          <w:b/>
        </w:rPr>
        <w:lastRenderedPageBreak/>
        <w:t xml:space="preserve">5. </w:t>
      </w:r>
      <w:r w:rsidR="008A4D38">
        <w:rPr>
          <w:b/>
        </w:rPr>
        <w:tab/>
      </w:r>
      <w:r w:rsidR="008A4D38">
        <w:rPr>
          <w:b/>
        </w:rPr>
        <w:tab/>
      </w:r>
      <w:r w:rsidR="008A4D38">
        <w:rPr>
          <w:b/>
        </w:rPr>
        <w:tab/>
      </w:r>
      <w:r w:rsidRPr="004049F3">
        <w:rPr>
          <w:b/>
        </w:rPr>
        <w:t>Központi klíring</w:t>
      </w:r>
    </w:p>
    <w:p w:rsidR="00A17ED5" w:rsidRPr="00B05124" w:rsidRDefault="00F34848" w:rsidP="00AF45F2">
      <w:pPr>
        <w:pStyle w:val="Paragraph"/>
      </w:pPr>
      <w:r>
        <w:t>A központi partnereken (</w:t>
      </w:r>
      <w:proofErr w:type="spellStart"/>
      <w:r>
        <w:t>CCP</w:t>
      </w:r>
      <w:proofErr w:type="spellEnd"/>
      <w:r>
        <w:t>-k) keresztül központilag elszámolt OTC derivatív tranzakciókat</w:t>
      </w:r>
      <w:r w:rsidR="00A6345E">
        <w:t xml:space="preserve"> </w:t>
      </w:r>
      <w:r w:rsidR="00331E71">
        <w:t xml:space="preserve">a </w:t>
      </w:r>
      <w:proofErr w:type="spellStart"/>
      <w:r w:rsidR="00504C0F">
        <w:t>CCP</w:t>
      </w:r>
      <w:proofErr w:type="spellEnd"/>
      <w:r w:rsidR="00504C0F">
        <w:t xml:space="preserve"> –vel történ</w:t>
      </w:r>
      <w:r w:rsidR="00F72C8A">
        <w:t>ő</w:t>
      </w:r>
      <w:r w:rsidR="00504C0F">
        <w:t xml:space="preserve"> szerződéskötést </w:t>
      </w:r>
      <w:r w:rsidR="00A6345E">
        <w:t>megelőzően</w:t>
      </w:r>
      <w:r>
        <w:t xml:space="preserve"> szükséges jelenteni a felmérés forgalmi részében (azaz az eredeti</w:t>
      </w:r>
      <w:r w:rsidR="00FA5312">
        <w:t xml:space="preserve"> szerződő partnert partnerként). </w:t>
      </w:r>
      <w:r w:rsidR="0098415A">
        <w:t>A kereskedést követően</w:t>
      </w:r>
      <w:r w:rsidR="000D0FEC">
        <w:t xml:space="preserve"> a központi partnereken keresztül</w:t>
      </w:r>
      <w:r w:rsidR="0098415A">
        <w:t>i központi elszámolásból fakadó tranzakciókat</w:t>
      </w:r>
      <w:r w:rsidR="000D0FEC">
        <w:t xml:space="preserve"> nem kell jelenteni.</w:t>
      </w:r>
      <w:r w:rsidR="00A17ED5">
        <w:rPr>
          <w:rStyle w:val="FootnoteReference"/>
        </w:rPr>
        <w:footnoteReference w:id="2"/>
      </w:r>
    </w:p>
    <w:p w:rsidR="00D45BB8" w:rsidRPr="00B05124" w:rsidRDefault="00DC580D" w:rsidP="004049F3">
      <w:pPr>
        <w:pStyle w:val="IndentedHeading2"/>
        <w:ind w:left="1078"/>
        <w:rPr>
          <w:rFonts w:ascii="Arial" w:hAnsi="Arial"/>
          <w:bCs w:val="0"/>
          <w:i w:val="0"/>
          <w:iCs w:val="0"/>
          <w:sz w:val="22"/>
          <w:szCs w:val="24"/>
          <w:lang w:val="hu-HU"/>
        </w:rPr>
      </w:pPr>
      <w:bookmarkStart w:id="16" w:name="_Toc533082316"/>
      <w:r>
        <w:rPr>
          <w:rFonts w:ascii="Arial" w:hAnsi="Arial"/>
          <w:bCs w:val="0"/>
          <w:i w:val="0"/>
          <w:iCs w:val="0"/>
          <w:sz w:val="22"/>
          <w:szCs w:val="24"/>
          <w:lang w:val="hu-HU"/>
        </w:rPr>
        <w:t>6</w:t>
      </w:r>
      <w:r w:rsidR="00D45BB8" w:rsidRPr="00B05124">
        <w:rPr>
          <w:rFonts w:ascii="Arial" w:hAnsi="Arial"/>
          <w:bCs w:val="0"/>
          <w:i w:val="0"/>
          <w:iCs w:val="0"/>
          <w:sz w:val="22"/>
          <w:szCs w:val="24"/>
          <w:lang w:val="hu-HU"/>
        </w:rPr>
        <w:t>.</w:t>
      </w:r>
      <w:r w:rsidR="00D45BB8" w:rsidRPr="00B05124">
        <w:rPr>
          <w:rFonts w:ascii="Arial" w:hAnsi="Arial"/>
          <w:bCs w:val="0"/>
          <w:i w:val="0"/>
          <w:iCs w:val="0"/>
          <w:sz w:val="22"/>
          <w:szCs w:val="24"/>
          <w:lang w:val="hu-HU"/>
        </w:rPr>
        <w:tab/>
        <w:t>Az adatszolgáltatás pénzneme, és a devizanemek átváltása</w:t>
      </w:r>
      <w:bookmarkEnd w:id="16"/>
    </w:p>
    <w:p w:rsidR="004775B3" w:rsidRPr="00B05124" w:rsidRDefault="004775B3" w:rsidP="00666ADE">
      <w:pPr>
        <w:pStyle w:val="Paragraph"/>
      </w:pPr>
      <w:r w:rsidRPr="00B05124">
        <w:t xml:space="preserve">Általánosságban a tranzakciók USA dollár ellenértékét kell jelenteni. A nem USA dollárban meghatározott összegeket a tranzakció napján jegyzett árfolyamon kell US dollárra átszámítani. Amennyiben ez célszerűtlen vagy lehetetlen, a forgalmi adatokat átlagos vagy időszak végi árfolyam alkalmazásával számított ellenértéken is lehet jelenteni. </w:t>
      </w:r>
    </w:p>
    <w:p w:rsidR="00FF3F0C" w:rsidRPr="00B05124" w:rsidRDefault="00FF3F0C" w:rsidP="00666ADE">
      <w:pPr>
        <w:pStyle w:val="Paragraph"/>
      </w:pPr>
      <w:r w:rsidRPr="00B05124">
        <w:t xml:space="preserve">A kötési napon jegyzett árfolyamtól eltérő árfolyam alkalmazása esetén az egyes devizanemek dollár árfolyamai között – az USA dollártól eltérő devizanemekben történő ügyletek értékének az átszámítása szempontjából – az alábbi elsőbbségi sorrendnek kell érvényesülnie: EUR, </w:t>
      </w:r>
      <w:proofErr w:type="spellStart"/>
      <w:r w:rsidRPr="00B05124">
        <w:t>JPY</w:t>
      </w:r>
      <w:proofErr w:type="spellEnd"/>
      <w:r w:rsidRPr="00B05124">
        <w:t xml:space="preserve">, </w:t>
      </w:r>
      <w:proofErr w:type="spellStart"/>
      <w:r w:rsidRPr="00B05124">
        <w:t>GBP</w:t>
      </w:r>
      <w:proofErr w:type="spellEnd"/>
      <w:r w:rsidRPr="00B05124">
        <w:t xml:space="preserve">, CHF, </w:t>
      </w:r>
      <w:proofErr w:type="spellStart"/>
      <w:r w:rsidRPr="00B05124">
        <w:t>CAD</w:t>
      </w:r>
      <w:proofErr w:type="spellEnd"/>
      <w:r w:rsidRPr="00B05124">
        <w:t xml:space="preserve">, </w:t>
      </w:r>
      <w:proofErr w:type="spellStart"/>
      <w:r w:rsidRPr="00B05124">
        <w:t>AUD</w:t>
      </w:r>
      <w:proofErr w:type="spellEnd"/>
      <w:r w:rsidRPr="00B05124">
        <w:t xml:space="preserve">, </w:t>
      </w:r>
      <w:proofErr w:type="spellStart"/>
      <w:r w:rsidRPr="00B05124">
        <w:t>SEK</w:t>
      </w:r>
      <w:proofErr w:type="spellEnd"/>
      <w:r w:rsidRPr="00B05124">
        <w:t xml:space="preserve">, ARS, </w:t>
      </w:r>
      <w:proofErr w:type="spellStart"/>
      <w:r w:rsidRPr="00B05124">
        <w:t>BGN</w:t>
      </w:r>
      <w:proofErr w:type="spellEnd"/>
      <w:r w:rsidRPr="00B05124">
        <w:t xml:space="preserve">, </w:t>
      </w:r>
      <w:proofErr w:type="spellStart"/>
      <w:r w:rsidRPr="00B05124">
        <w:t>BHD</w:t>
      </w:r>
      <w:proofErr w:type="spellEnd"/>
      <w:r w:rsidRPr="00B05124">
        <w:t xml:space="preserve">, </w:t>
      </w:r>
      <w:proofErr w:type="spellStart"/>
      <w:r w:rsidRPr="00B05124">
        <w:t>BRL</w:t>
      </w:r>
      <w:proofErr w:type="spellEnd"/>
      <w:r w:rsidRPr="00B05124">
        <w:t xml:space="preserve">, </w:t>
      </w:r>
      <w:proofErr w:type="spellStart"/>
      <w:r w:rsidRPr="00B05124">
        <w:t>CLP</w:t>
      </w:r>
      <w:proofErr w:type="spellEnd"/>
      <w:r w:rsidRPr="00B05124">
        <w:t xml:space="preserve">, </w:t>
      </w:r>
      <w:proofErr w:type="spellStart"/>
      <w:r w:rsidRPr="00B05124">
        <w:t>CNY</w:t>
      </w:r>
      <w:proofErr w:type="spellEnd"/>
      <w:r w:rsidRPr="00B05124">
        <w:t xml:space="preserve">, </w:t>
      </w:r>
      <w:proofErr w:type="spellStart"/>
      <w:r w:rsidRPr="00B05124">
        <w:t>COP</w:t>
      </w:r>
      <w:proofErr w:type="spellEnd"/>
      <w:r w:rsidRPr="00B05124">
        <w:t xml:space="preserve">, </w:t>
      </w:r>
      <w:proofErr w:type="spellStart"/>
      <w:r w:rsidRPr="00B05124">
        <w:t>CZK</w:t>
      </w:r>
      <w:proofErr w:type="spellEnd"/>
      <w:r w:rsidRPr="00B05124">
        <w:t xml:space="preserve">, </w:t>
      </w:r>
      <w:proofErr w:type="spellStart"/>
      <w:r w:rsidRPr="00B05124">
        <w:t>DKK</w:t>
      </w:r>
      <w:proofErr w:type="spellEnd"/>
      <w:r w:rsidRPr="00B05124">
        <w:t xml:space="preserve">, </w:t>
      </w:r>
      <w:proofErr w:type="spellStart"/>
      <w:r w:rsidRPr="00B05124">
        <w:t>HKD</w:t>
      </w:r>
      <w:proofErr w:type="spellEnd"/>
      <w:r w:rsidRPr="00B05124">
        <w:t xml:space="preserve">, HUF, </w:t>
      </w:r>
      <w:proofErr w:type="spellStart"/>
      <w:r w:rsidRPr="00B05124">
        <w:t>IDR</w:t>
      </w:r>
      <w:proofErr w:type="spellEnd"/>
      <w:r w:rsidRPr="00B05124">
        <w:t xml:space="preserve">, </w:t>
      </w:r>
      <w:proofErr w:type="spellStart"/>
      <w:r w:rsidRPr="00B05124">
        <w:t>ILS</w:t>
      </w:r>
      <w:proofErr w:type="spellEnd"/>
      <w:r w:rsidRPr="00B05124">
        <w:t xml:space="preserve">, </w:t>
      </w:r>
      <w:proofErr w:type="spellStart"/>
      <w:r w:rsidRPr="00B05124">
        <w:t>INR</w:t>
      </w:r>
      <w:proofErr w:type="spellEnd"/>
      <w:r w:rsidRPr="00B05124">
        <w:t xml:space="preserve">, </w:t>
      </w:r>
      <w:proofErr w:type="spellStart"/>
      <w:r w:rsidRPr="00B05124">
        <w:t>KRW</w:t>
      </w:r>
      <w:proofErr w:type="spellEnd"/>
      <w:r w:rsidRPr="00B05124">
        <w:t xml:space="preserve">, </w:t>
      </w:r>
      <w:proofErr w:type="spellStart"/>
      <w:r w:rsidRPr="00B05124">
        <w:t>MXN</w:t>
      </w:r>
      <w:proofErr w:type="spellEnd"/>
      <w:r w:rsidRPr="00B05124">
        <w:t xml:space="preserve">, </w:t>
      </w:r>
      <w:proofErr w:type="spellStart"/>
      <w:r w:rsidRPr="00B05124">
        <w:t>MYR</w:t>
      </w:r>
      <w:proofErr w:type="spellEnd"/>
      <w:r w:rsidRPr="00B05124">
        <w:t xml:space="preserve">, </w:t>
      </w:r>
      <w:proofErr w:type="spellStart"/>
      <w:r w:rsidRPr="00B05124">
        <w:t>NOK</w:t>
      </w:r>
      <w:proofErr w:type="spellEnd"/>
      <w:r w:rsidRPr="00B05124">
        <w:t xml:space="preserve">, </w:t>
      </w:r>
      <w:proofErr w:type="spellStart"/>
      <w:r w:rsidRPr="00B05124">
        <w:t>NZD</w:t>
      </w:r>
      <w:proofErr w:type="spellEnd"/>
      <w:r w:rsidRPr="00B05124">
        <w:t xml:space="preserve">, PEN, PHP, </w:t>
      </w:r>
      <w:proofErr w:type="spellStart"/>
      <w:r w:rsidRPr="00B05124">
        <w:t>PLN</w:t>
      </w:r>
      <w:proofErr w:type="spellEnd"/>
      <w:r w:rsidRPr="00B05124">
        <w:t xml:space="preserve">, RON, </w:t>
      </w:r>
      <w:proofErr w:type="spellStart"/>
      <w:r w:rsidRPr="00B05124">
        <w:t>RUB</w:t>
      </w:r>
      <w:proofErr w:type="spellEnd"/>
      <w:r w:rsidRPr="00B05124">
        <w:t xml:space="preserve">, </w:t>
      </w:r>
      <w:proofErr w:type="spellStart"/>
      <w:r w:rsidRPr="00B05124">
        <w:t>SAR</w:t>
      </w:r>
      <w:proofErr w:type="spellEnd"/>
      <w:r w:rsidRPr="00B05124">
        <w:t xml:space="preserve">, </w:t>
      </w:r>
      <w:proofErr w:type="spellStart"/>
      <w:r w:rsidRPr="00B05124">
        <w:t>SGD</w:t>
      </w:r>
      <w:proofErr w:type="spellEnd"/>
      <w:r w:rsidRPr="00B05124">
        <w:t xml:space="preserve">, </w:t>
      </w:r>
      <w:proofErr w:type="spellStart"/>
      <w:r w:rsidRPr="00B05124">
        <w:t>THB</w:t>
      </w:r>
      <w:proofErr w:type="spellEnd"/>
      <w:r w:rsidRPr="00B05124">
        <w:t xml:space="preserve">, </w:t>
      </w:r>
      <w:proofErr w:type="spellStart"/>
      <w:r w:rsidRPr="00B05124">
        <w:t>TRY</w:t>
      </w:r>
      <w:proofErr w:type="spellEnd"/>
      <w:r w:rsidRPr="00B05124">
        <w:t xml:space="preserve">, </w:t>
      </w:r>
      <w:proofErr w:type="spellStart"/>
      <w:r w:rsidRPr="00B05124">
        <w:t>TWD</w:t>
      </w:r>
      <w:proofErr w:type="spellEnd"/>
      <w:r w:rsidRPr="00B05124">
        <w:t xml:space="preserve"> és </w:t>
      </w:r>
      <w:proofErr w:type="spellStart"/>
      <w:r w:rsidRPr="00B05124">
        <w:t>ZAR</w:t>
      </w:r>
      <w:proofErr w:type="spellEnd"/>
      <w:r w:rsidRPr="00B05124">
        <w:t>.</w:t>
      </w:r>
    </w:p>
    <w:p w:rsidR="00D45BB8" w:rsidRPr="00B05124" w:rsidRDefault="00D45BB8" w:rsidP="00666ADE">
      <w:pPr>
        <w:pStyle w:val="Paragraph"/>
      </w:pPr>
      <w:r w:rsidRPr="00B05124">
        <w:t xml:space="preserve">Kettő USA dollártól eltérő devizanem közötti közvetlen adásvétel esetében csak az ügylet egyik oldalának (lehetőleg a vételi oldalnak) az USA dollárban kifejezett ellenértékét kell számítani. </w:t>
      </w:r>
    </w:p>
    <w:p w:rsidR="00D45BB8" w:rsidRPr="00B05124" w:rsidRDefault="00DC580D" w:rsidP="004049F3">
      <w:pPr>
        <w:pStyle w:val="IndentedHeading2"/>
        <w:spacing w:before="240"/>
        <w:ind w:left="1078"/>
        <w:rPr>
          <w:rFonts w:ascii="Arial" w:hAnsi="Arial"/>
          <w:bCs w:val="0"/>
          <w:i w:val="0"/>
          <w:iCs w:val="0"/>
          <w:sz w:val="22"/>
          <w:szCs w:val="24"/>
          <w:lang w:val="hu-HU"/>
        </w:rPr>
      </w:pPr>
      <w:bookmarkStart w:id="17" w:name="_Toc533082317"/>
      <w:r>
        <w:rPr>
          <w:rFonts w:ascii="Arial" w:hAnsi="Arial"/>
          <w:bCs w:val="0"/>
          <w:i w:val="0"/>
          <w:iCs w:val="0"/>
          <w:sz w:val="22"/>
          <w:szCs w:val="24"/>
          <w:lang w:val="hu-HU"/>
        </w:rPr>
        <w:t>7</w:t>
      </w:r>
      <w:r w:rsidR="00D45BB8" w:rsidRPr="00B05124">
        <w:rPr>
          <w:rFonts w:ascii="Arial" w:hAnsi="Arial"/>
          <w:bCs w:val="0"/>
          <w:i w:val="0"/>
          <w:iCs w:val="0"/>
          <w:sz w:val="22"/>
          <w:szCs w:val="24"/>
          <w:lang w:val="hu-HU"/>
        </w:rPr>
        <w:t>.</w:t>
      </w:r>
      <w:r w:rsidR="00D45BB8" w:rsidRPr="00B05124">
        <w:rPr>
          <w:rFonts w:ascii="Arial" w:hAnsi="Arial"/>
          <w:bCs w:val="0"/>
          <w:i w:val="0"/>
          <w:iCs w:val="0"/>
          <w:sz w:val="22"/>
          <w:szCs w:val="24"/>
          <w:lang w:val="hu-HU"/>
        </w:rPr>
        <w:tab/>
        <w:t>Kerekítés</w:t>
      </w:r>
      <w:bookmarkEnd w:id="17"/>
    </w:p>
    <w:p w:rsidR="00D45BB8" w:rsidRDefault="00593486" w:rsidP="00593486">
      <w:pPr>
        <w:pStyle w:val="Paragraph"/>
      </w:pPr>
      <w:r w:rsidRPr="00593486">
        <w:t xml:space="preserve"> </w:t>
      </w:r>
      <w:r w:rsidR="00B13859">
        <w:t xml:space="preserve">A statisztika </w:t>
      </w:r>
      <w:r w:rsidR="006E55F3">
        <w:t>összeállítása</w:t>
      </w:r>
      <w:r w:rsidR="00B13859">
        <w:t xml:space="preserve"> során a jelentő </w:t>
      </w:r>
      <w:proofErr w:type="spellStart"/>
      <w:r w:rsidR="00B13859">
        <w:t>dealereknek</w:t>
      </w:r>
      <w:proofErr w:type="spellEnd"/>
      <w:r w:rsidR="00B13859">
        <w:t xml:space="preserve"> – ahogyan </w:t>
      </w:r>
      <w:r w:rsidR="00F41085">
        <w:t>a jegybankoknak is – kerülni</w:t>
      </w:r>
      <w:r w:rsidR="00B13859">
        <w:t xml:space="preserve"> kell a kerekí</w:t>
      </w:r>
      <w:r w:rsidR="00C432B5">
        <w:t>tést</w:t>
      </w:r>
      <w:r w:rsidR="00B13859">
        <w:t xml:space="preserve"> és legalább 6 tizedesjegy pontossággal kell az adatokat megadni a folyamat minden szintjén. </w:t>
      </w:r>
    </w:p>
    <w:p w:rsidR="00593486" w:rsidRDefault="00B13859" w:rsidP="008E5C0F">
      <w:pPr>
        <w:autoSpaceDE w:val="0"/>
        <w:autoSpaceDN w:val="0"/>
        <w:adjustRightInd w:val="0"/>
        <w:jc w:val="both"/>
        <w:rPr>
          <w:rFonts w:cs="Arial"/>
          <w:i/>
          <w:iCs/>
          <w:snapToGrid/>
          <w:lang w:val="hu-HU"/>
        </w:rPr>
      </w:pPr>
      <w:r w:rsidRPr="002E7C13">
        <w:rPr>
          <w:rFonts w:cs="Arial"/>
          <w:b/>
          <w:i/>
          <w:iCs/>
          <w:snapToGrid/>
          <w:lang w:val="hu-HU"/>
        </w:rPr>
        <w:t>P</w:t>
      </w:r>
      <w:r w:rsidR="008E5C0F" w:rsidRPr="002E7C13">
        <w:rPr>
          <w:rFonts w:cs="Arial"/>
          <w:b/>
          <w:i/>
          <w:iCs/>
          <w:snapToGrid/>
          <w:lang w:val="hu-HU"/>
        </w:rPr>
        <w:t>élda:</w:t>
      </w:r>
      <w:r w:rsidR="008E5C0F" w:rsidRPr="002E7C13">
        <w:rPr>
          <w:rFonts w:ascii="Arial-ItalicMT" w:hAnsi="Arial-ItalicMT" w:cs="Arial-ItalicMT"/>
          <w:i/>
          <w:iCs/>
          <w:snapToGrid/>
          <w:lang w:val="hu-HU"/>
        </w:rPr>
        <w:t xml:space="preserve"> </w:t>
      </w:r>
      <w:r w:rsidR="008E5C0F" w:rsidRPr="002E7C13">
        <w:rPr>
          <w:rFonts w:cs="Arial"/>
          <w:i/>
          <w:iCs/>
          <w:snapToGrid/>
          <w:lang w:val="hu-HU"/>
        </w:rPr>
        <w:t>77</w:t>
      </w:r>
      <w:r w:rsidRPr="002E7C13">
        <w:rPr>
          <w:rFonts w:cs="Arial"/>
          <w:i/>
          <w:iCs/>
          <w:snapToGrid/>
          <w:lang w:val="hu-HU"/>
        </w:rPr>
        <w:t>327</w:t>
      </w:r>
      <w:r w:rsidR="008E5C0F" w:rsidRPr="002E7C13">
        <w:rPr>
          <w:rFonts w:cs="Arial"/>
          <w:i/>
          <w:iCs/>
          <w:snapToGrid/>
          <w:lang w:val="hu-HU"/>
        </w:rPr>
        <w:t>560</w:t>
      </w:r>
      <w:r w:rsidRPr="002E7C13">
        <w:rPr>
          <w:rFonts w:cs="Arial"/>
          <w:i/>
          <w:iCs/>
          <w:snapToGrid/>
          <w:lang w:val="hu-HU"/>
        </w:rPr>
        <w:t xml:space="preserve"> USD </w:t>
      </w:r>
      <w:r w:rsidR="00503D31" w:rsidRPr="002E7C13">
        <w:rPr>
          <w:rFonts w:cs="Arial"/>
          <w:i/>
          <w:iCs/>
          <w:snapToGrid/>
          <w:lang w:val="hu-HU"/>
        </w:rPr>
        <w:t xml:space="preserve">összeget </w:t>
      </w:r>
      <w:r w:rsidRPr="002E7C13">
        <w:rPr>
          <w:rFonts w:cs="Arial"/>
          <w:i/>
          <w:iCs/>
          <w:snapToGrid/>
          <w:lang w:val="hu-HU"/>
        </w:rPr>
        <w:t>a jelentésben a következőképpen szükséges szerepeltetni: 77.327560 millió USD.</w:t>
      </w:r>
    </w:p>
    <w:p w:rsidR="0000026F" w:rsidRPr="00B05124" w:rsidRDefault="0000026F" w:rsidP="008E5C0F">
      <w:pPr>
        <w:autoSpaceDE w:val="0"/>
        <w:autoSpaceDN w:val="0"/>
        <w:adjustRightInd w:val="0"/>
        <w:jc w:val="both"/>
      </w:pPr>
    </w:p>
    <w:p w:rsidR="00D45BB8" w:rsidRDefault="00DC580D" w:rsidP="002E7C13">
      <w:pPr>
        <w:pStyle w:val="IndentedHeading2"/>
        <w:spacing w:before="120"/>
        <w:ind w:left="1078"/>
        <w:rPr>
          <w:rFonts w:ascii="Arial" w:hAnsi="Arial"/>
          <w:bCs w:val="0"/>
          <w:i w:val="0"/>
          <w:iCs w:val="0"/>
          <w:sz w:val="22"/>
          <w:szCs w:val="24"/>
          <w:lang w:val="hu-HU"/>
        </w:rPr>
      </w:pPr>
      <w:bookmarkStart w:id="18" w:name="_Toc533082318"/>
      <w:r>
        <w:rPr>
          <w:rFonts w:ascii="Arial" w:hAnsi="Arial"/>
          <w:bCs w:val="0"/>
          <w:i w:val="0"/>
          <w:iCs w:val="0"/>
          <w:sz w:val="22"/>
          <w:szCs w:val="24"/>
          <w:lang w:val="hu-HU"/>
        </w:rPr>
        <w:t>8</w:t>
      </w:r>
      <w:r w:rsidR="00D45BB8" w:rsidRPr="00B05124">
        <w:rPr>
          <w:rFonts w:ascii="Arial" w:hAnsi="Arial"/>
          <w:bCs w:val="0"/>
          <w:i w:val="0"/>
          <w:iCs w:val="0"/>
          <w:sz w:val="22"/>
          <w:szCs w:val="24"/>
          <w:lang w:val="hu-HU"/>
        </w:rPr>
        <w:t>.</w:t>
      </w:r>
      <w:r w:rsidR="00D45BB8" w:rsidRPr="00B05124">
        <w:rPr>
          <w:rFonts w:ascii="Arial" w:hAnsi="Arial"/>
          <w:bCs w:val="0"/>
          <w:i w:val="0"/>
          <w:iCs w:val="0"/>
          <w:sz w:val="22"/>
          <w:szCs w:val="24"/>
          <w:lang w:val="hu-HU"/>
        </w:rPr>
        <w:tab/>
        <w:t>Az adatszolgáltatás határideje</w:t>
      </w:r>
      <w:bookmarkEnd w:id="18"/>
    </w:p>
    <w:p w:rsidR="00D565B2" w:rsidRDefault="00D565B2" w:rsidP="00666ADE">
      <w:pPr>
        <w:pStyle w:val="Paragraph"/>
      </w:pPr>
      <w:r w:rsidRPr="00B05124">
        <w:t xml:space="preserve">A jelentő </w:t>
      </w:r>
      <w:proofErr w:type="spellStart"/>
      <w:r w:rsidRPr="00B05124">
        <w:t>dealereknek</w:t>
      </w:r>
      <w:proofErr w:type="spellEnd"/>
      <w:r w:rsidRPr="00B05124">
        <w:t xml:space="preserve"> </w:t>
      </w:r>
      <w:r w:rsidR="00B07832">
        <w:t xml:space="preserve">(adatszolgáltatóknak) </w:t>
      </w:r>
      <w:r w:rsidRPr="00B05124">
        <w:t xml:space="preserve">az adatokat </w:t>
      </w:r>
      <w:r w:rsidR="00DC580D">
        <w:rPr>
          <w:b/>
        </w:rPr>
        <w:t>2019</w:t>
      </w:r>
      <w:r w:rsidRPr="00B05124">
        <w:rPr>
          <w:b/>
        </w:rPr>
        <w:t xml:space="preserve">. május </w:t>
      </w:r>
      <w:r w:rsidR="00DC580D">
        <w:rPr>
          <w:b/>
        </w:rPr>
        <w:t>15</w:t>
      </w:r>
      <w:r w:rsidR="00B07832">
        <w:rPr>
          <w:b/>
        </w:rPr>
        <w:t>-ig</w:t>
      </w:r>
      <w:r w:rsidRPr="00B05124">
        <w:t xml:space="preserve">, jelenteniük kell az adott ország jegybankja felé. A jegybanknak ezt követően, továbbítania kell a </w:t>
      </w:r>
      <w:proofErr w:type="spellStart"/>
      <w:r w:rsidRPr="00B05124">
        <w:t>BIS</w:t>
      </w:r>
      <w:proofErr w:type="spellEnd"/>
      <w:r w:rsidRPr="00B05124">
        <w:t xml:space="preserve"> felé az adatokat.</w:t>
      </w:r>
    </w:p>
    <w:p w:rsidR="00190E62" w:rsidRDefault="00654470" w:rsidP="004049F3">
      <w:pPr>
        <w:pStyle w:val="Paragraph"/>
        <w:ind w:left="227"/>
        <w:outlineLvl w:val="1"/>
        <w:rPr>
          <w:b/>
        </w:rPr>
      </w:pPr>
      <w:r>
        <w:rPr>
          <w:b/>
        </w:rPr>
        <w:br w:type="page"/>
      </w:r>
      <w:bookmarkStart w:id="19" w:name="_Toc533082319"/>
      <w:r w:rsidR="00DC580D" w:rsidRPr="002E7C13">
        <w:rPr>
          <w:b/>
        </w:rPr>
        <w:lastRenderedPageBreak/>
        <w:t xml:space="preserve">9. </w:t>
      </w:r>
      <w:r w:rsidR="00DC580D" w:rsidRPr="002E7C13">
        <w:rPr>
          <w:b/>
        </w:rPr>
        <w:tab/>
      </w:r>
      <w:r w:rsidR="00DC580D" w:rsidRPr="002E7C13">
        <w:rPr>
          <w:b/>
        </w:rPr>
        <w:tab/>
      </w:r>
      <w:r w:rsidR="00DC580D" w:rsidRPr="002E7C13">
        <w:rPr>
          <w:b/>
        </w:rPr>
        <w:tab/>
      </w:r>
      <w:proofErr w:type="spellStart"/>
      <w:r w:rsidR="00DC580D" w:rsidRPr="002E7C13">
        <w:rPr>
          <w:b/>
        </w:rPr>
        <w:t>Törölt</w:t>
      </w:r>
      <w:proofErr w:type="spellEnd"/>
      <w:r w:rsidR="00DC580D" w:rsidRPr="002E7C13">
        <w:rPr>
          <w:b/>
        </w:rPr>
        <w:t xml:space="preserve"> megállapodások</w:t>
      </w:r>
      <w:r w:rsidR="00B609A4">
        <w:rPr>
          <w:rStyle w:val="FootnoteReference"/>
          <w:b/>
        </w:rPr>
        <w:footnoteReference w:id="3"/>
      </w:r>
      <w:bookmarkEnd w:id="19"/>
    </w:p>
    <w:p w:rsidR="00CE303E" w:rsidRPr="002E7C13" w:rsidRDefault="00B609A4" w:rsidP="00326C79">
      <w:pPr>
        <w:pStyle w:val="Paragraph"/>
        <w:rPr>
          <w:b/>
        </w:rPr>
      </w:pPr>
      <w:r>
        <w:rPr>
          <w:rFonts w:cs="Arial"/>
          <w:color w:val="222222"/>
        </w:rPr>
        <w:t>Jelenteni kell a</w:t>
      </w:r>
      <w:r w:rsidR="00CE303E">
        <w:rPr>
          <w:rFonts w:cs="Arial"/>
          <w:color w:val="222222"/>
        </w:rPr>
        <w:t xml:space="preserve"> vizsgálati időszak alatt kezdeményezett</w:t>
      </w:r>
      <w:r>
        <w:rPr>
          <w:rFonts w:cs="Arial"/>
          <w:color w:val="222222"/>
        </w:rPr>
        <w:t xml:space="preserve"> minden</w:t>
      </w:r>
      <w:r w:rsidR="00CE303E">
        <w:rPr>
          <w:rFonts w:cs="Arial"/>
          <w:color w:val="222222"/>
        </w:rPr>
        <w:t xml:space="preserve"> új szerződés</w:t>
      </w:r>
      <w:r>
        <w:rPr>
          <w:rFonts w:cs="Arial"/>
          <w:color w:val="222222"/>
        </w:rPr>
        <w:t xml:space="preserve"> tényleges forgalmát</w:t>
      </w:r>
      <w:r w:rsidR="00CE303E">
        <w:rPr>
          <w:rFonts w:cs="Arial"/>
          <w:color w:val="222222"/>
        </w:rPr>
        <w:t xml:space="preserve">, amelyeket ezen időszak alatt nem töröltek. A </w:t>
      </w:r>
      <w:r>
        <w:rPr>
          <w:rFonts w:cs="Arial"/>
          <w:color w:val="222222"/>
        </w:rPr>
        <w:t xml:space="preserve">vizsgált időszak alatti </w:t>
      </w:r>
      <w:r w:rsidR="00CE303E">
        <w:rPr>
          <w:rFonts w:cs="Arial"/>
          <w:color w:val="222222"/>
        </w:rPr>
        <w:t xml:space="preserve">visszavonás esetén </w:t>
      </w:r>
      <w:r>
        <w:rPr>
          <w:rFonts w:cs="Arial"/>
          <w:color w:val="222222"/>
        </w:rPr>
        <w:t>(</w:t>
      </w:r>
      <w:r w:rsidR="00CE303E">
        <w:rPr>
          <w:rFonts w:cs="Arial"/>
          <w:color w:val="222222"/>
        </w:rPr>
        <w:t>például</w:t>
      </w:r>
      <w:r>
        <w:rPr>
          <w:rFonts w:cs="Arial"/>
          <w:color w:val="222222"/>
        </w:rPr>
        <w:t>:</w:t>
      </w:r>
      <w:r w:rsidR="00CE303E">
        <w:rPr>
          <w:rFonts w:cs="Arial"/>
          <w:color w:val="222222"/>
        </w:rPr>
        <w:t xml:space="preserve"> az eredeti ajánlat helytelen</w:t>
      </w:r>
      <w:r>
        <w:rPr>
          <w:rFonts w:cs="Arial"/>
          <w:color w:val="222222"/>
        </w:rPr>
        <w:t>) az ügyletet nem kell jelenteni, kivéve, ha az ügyletet újra megkötik az időszak alatt (ezesetben az új tranzakciót szükséges jelenteni).</w:t>
      </w:r>
    </w:p>
    <w:p w:rsidR="00D565B2" w:rsidRPr="00B05124" w:rsidRDefault="00D565B2" w:rsidP="00D565B2">
      <w:pPr>
        <w:pStyle w:val="IndentedHeading1"/>
        <w:spacing w:before="240" w:after="120"/>
        <w:rPr>
          <w:rFonts w:cs="Arial"/>
          <w:b/>
          <w:sz w:val="26"/>
          <w:szCs w:val="26"/>
          <w:lang w:val="hu-HU"/>
        </w:rPr>
      </w:pPr>
      <w:bookmarkStart w:id="20" w:name="_Toc533082320"/>
      <w:r w:rsidRPr="00B05124">
        <w:rPr>
          <w:rFonts w:cs="Arial"/>
          <w:b/>
          <w:sz w:val="26"/>
          <w:szCs w:val="26"/>
          <w:lang w:val="hu-HU"/>
        </w:rPr>
        <w:t>C.</w:t>
      </w:r>
      <w:r w:rsidRPr="00B05124">
        <w:rPr>
          <w:rFonts w:cs="Arial"/>
          <w:b/>
          <w:sz w:val="26"/>
          <w:szCs w:val="26"/>
          <w:lang w:val="hu-HU"/>
        </w:rPr>
        <w:tab/>
        <w:t>Partnerek</w:t>
      </w:r>
      <w:bookmarkEnd w:id="20"/>
    </w:p>
    <w:p w:rsidR="00521FD7" w:rsidRPr="00B05124" w:rsidRDefault="00521FD7" w:rsidP="00666ADE">
      <w:pPr>
        <w:pStyle w:val="Paragraph"/>
      </w:pPr>
      <w:r w:rsidRPr="00B05124">
        <w:t xml:space="preserve">Amint a korábbi felmérésekben is, a jelentő </w:t>
      </w:r>
      <w:proofErr w:type="spellStart"/>
      <w:r w:rsidRPr="00B05124">
        <w:t>dealer</w:t>
      </w:r>
      <w:proofErr w:type="spellEnd"/>
      <w:r w:rsidRPr="00B05124">
        <w:t xml:space="preserve"> köteles a devizaügyletek és kamatláb-</w:t>
      </w:r>
      <w:proofErr w:type="spellStart"/>
      <w:r w:rsidRPr="00B05124">
        <w:t>derivatívák</w:t>
      </w:r>
      <w:proofErr w:type="spellEnd"/>
      <w:r w:rsidRPr="00B05124">
        <w:t xml:space="preserve"> kategóriákban minden instrumentumra partnerek szerint is bontani a kötéseket, az alábbiak szerint: jelentő </w:t>
      </w:r>
      <w:proofErr w:type="spellStart"/>
      <w:r w:rsidRPr="00B05124">
        <w:t>dealerek</w:t>
      </w:r>
      <w:proofErr w:type="spellEnd"/>
      <w:r w:rsidRPr="00B05124">
        <w:t>, egyéb pénzügyi intézmények és nem pénzügyi partnerek (a meghatározásokat lásd a</w:t>
      </w:r>
      <w:r w:rsidR="006C1C97">
        <w:t xml:space="preserve"> 2. számú</w:t>
      </w:r>
      <w:r w:rsidRPr="00B05124">
        <w:t xml:space="preserve"> táblázatban). </w:t>
      </w:r>
    </w:p>
    <w:p w:rsidR="00721D02" w:rsidRDefault="00721D02" w:rsidP="00666ADE">
      <w:pPr>
        <w:pStyle w:val="Paragraph"/>
      </w:pPr>
      <w:r w:rsidRPr="00B05124">
        <w:t xml:space="preserve">E három alapkategórián belül a jelentő </w:t>
      </w:r>
      <w:proofErr w:type="spellStart"/>
      <w:r w:rsidRPr="00B05124">
        <w:t>dealer</w:t>
      </w:r>
      <w:proofErr w:type="spellEnd"/>
      <w:r w:rsidRPr="00B05124">
        <w:t xml:space="preserve"> köteles külön </w:t>
      </w:r>
      <w:r w:rsidR="00F15D3F">
        <w:t>rezidens</w:t>
      </w:r>
      <w:r w:rsidRPr="00B05124">
        <w:t xml:space="preserve"> és </w:t>
      </w:r>
      <w:r w:rsidR="00F15D3F">
        <w:t>nem rezidens</w:t>
      </w:r>
      <w:r w:rsidRPr="00B05124">
        <w:t xml:space="preserve"> tranzakciókra bontani az adatokat. A </w:t>
      </w:r>
      <w:r w:rsidR="00F15D3F">
        <w:t>rezidens</w:t>
      </w:r>
      <w:r w:rsidR="00EE23BE">
        <w:t>,</w:t>
      </w:r>
      <w:r w:rsidRPr="00B05124">
        <w:t xml:space="preserve"> illetve </w:t>
      </w:r>
      <w:r w:rsidR="00F15D3F">
        <w:t>nem rezidens</w:t>
      </w:r>
      <w:r w:rsidRPr="00B05124">
        <w:t xml:space="preserve"> (</w:t>
      </w:r>
      <w:proofErr w:type="spellStart"/>
      <w:r w:rsidRPr="00B05124">
        <w:t>cross-border</w:t>
      </w:r>
      <w:proofErr w:type="spellEnd"/>
      <w:r w:rsidRPr="00B05124">
        <w:t xml:space="preserve">) besorolást a partner lokációja és nem </w:t>
      </w:r>
      <w:r w:rsidR="00F15D3F">
        <w:t xml:space="preserve">a </w:t>
      </w:r>
      <w:r w:rsidRPr="00B05124">
        <w:t xml:space="preserve">nemzetisége határozza meg. </w:t>
      </w:r>
    </w:p>
    <w:p w:rsidR="00E23B4B" w:rsidRDefault="00F07894" w:rsidP="00F72C8A">
      <w:pPr>
        <w:pStyle w:val="Paragraph"/>
        <w:jc w:val="center"/>
        <w:rPr>
          <w:rFonts w:ascii="Arial-BoldMT" w:hAnsi="Arial-BoldMT" w:cs="Arial-BoldMT"/>
          <w:b/>
          <w:bCs/>
          <w:snapToGrid/>
          <w:szCs w:val="22"/>
        </w:rPr>
      </w:pPr>
      <w:r>
        <w:rPr>
          <w:rFonts w:ascii="Arial-BoldMT" w:hAnsi="Arial-BoldMT" w:cs="Arial-BoldMT"/>
          <w:b/>
          <w:bCs/>
          <w:snapToGrid/>
          <w:szCs w:val="22"/>
        </w:rPr>
        <w:t>A</w:t>
      </w:r>
      <w:r w:rsidR="00756AD5">
        <w:rPr>
          <w:rFonts w:ascii="Arial-BoldMT" w:hAnsi="Arial-BoldMT" w:cs="Arial-BoldMT"/>
          <w:b/>
          <w:bCs/>
          <w:snapToGrid/>
          <w:szCs w:val="22"/>
        </w:rPr>
        <w:t xml:space="preserve"> rezidens és a nem rezidens</w:t>
      </w:r>
      <w:r>
        <w:rPr>
          <w:rFonts w:ascii="Arial-BoldMT" w:hAnsi="Arial-BoldMT" w:cs="Arial-BoldMT"/>
          <w:b/>
          <w:bCs/>
          <w:snapToGrid/>
          <w:szCs w:val="22"/>
        </w:rPr>
        <w:t xml:space="preserve"> tranzakciók meghatározása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686"/>
        <w:tblGridChange w:id="21">
          <w:tblGrid>
            <w:gridCol w:w="1526"/>
            <w:gridCol w:w="7686"/>
          </w:tblGrid>
        </w:tblGridChange>
      </w:tblGrid>
      <w:tr w:rsidR="00E23B4B" w:rsidTr="00B86235">
        <w:tc>
          <w:tcPr>
            <w:tcW w:w="1526" w:type="dxa"/>
            <w:shd w:val="clear" w:color="auto" w:fill="auto"/>
          </w:tcPr>
          <w:p w:rsidR="00E23B4B" w:rsidRPr="00BD0B91" w:rsidRDefault="00756AD5" w:rsidP="00B86235">
            <w:pPr>
              <w:pStyle w:val="Paragraph"/>
              <w:jc w:val="left"/>
              <w:rPr>
                <w:sz w:val="18"/>
                <w:szCs w:val="18"/>
              </w:rPr>
            </w:pPr>
            <w:r>
              <w:rPr>
                <w:sz w:val="18"/>
                <w:szCs w:val="18"/>
              </w:rPr>
              <w:t>Rezidens</w:t>
            </w:r>
          </w:p>
        </w:tc>
        <w:tc>
          <w:tcPr>
            <w:tcW w:w="7686" w:type="dxa"/>
            <w:shd w:val="clear" w:color="auto" w:fill="auto"/>
          </w:tcPr>
          <w:p w:rsidR="00E23B4B" w:rsidRPr="00165C39" w:rsidRDefault="006F73B6" w:rsidP="006F73B6">
            <w:pPr>
              <w:pStyle w:val="Paragraph"/>
              <w:jc w:val="left"/>
              <w:rPr>
                <w:sz w:val="18"/>
                <w:szCs w:val="18"/>
              </w:rPr>
            </w:pPr>
            <w:r>
              <w:rPr>
                <w:sz w:val="18"/>
                <w:szCs w:val="18"/>
              </w:rPr>
              <w:t>Olyan partnerrel megkötött ügyletek, amelyeknél a partner a</w:t>
            </w:r>
            <w:r w:rsidR="00541CD7">
              <w:rPr>
                <w:sz w:val="18"/>
                <w:szCs w:val="18"/>
              </w:rPr>
              <w:t xml:space="preserve"> jelentő </w:t>
            </w:r>
            <w:proofErr w:type="spellStart"/>
            <w:r w:rsidR="00541CD7">
              <w:rPr>
                <w:sz w:val="18"/>
                <w:szCs w:val="18"/>
              </w:rPr>
              <w:t>dealerrel</w:t>
            </w:r>
            <w:proofErr w:type="spellEnd"/>
            <w:r w:rsidR="00541CD7">
              <w:rPr>
                <w:sz w:val="18"/>
                <w:szCs w:val="18"/>
              </w:rPr>
              <w:t xml:space="preserve"> megegyező joghatóságban rezidens. </w:t>
            </w:r>
          </w:p>
        </w:tc>
      </w:tr>
      <w:tr w:rsidR="00E23B4B" w:rsidTr="00B86235">
        <w:tc>
          <w:tcPr>
            <w:tcW w:w="1526" w:type="dxa"/>
            <w:shd w:val="clear" w:color="auto" w:fill="auto"/>
          </w:tcPr>
          <w:p w:rsidR="00E23B4B" w:rsidRPr="00BD0B91" w:rsidRDefault="00756AD5" w:rsidP="00B86235">
            <w:pPr>
              <w:pStyle w:val="Paragraph"/>
              <w:jc w:val="left"/>
              <w:rPr>
                <w:sz w:val="18"/>
                <w:szCs w:val="18"/>
              </w:rPr>
            </w:pPr>
            <w:r>
              <w:rPr>
                <w:sz w:val="18"/>
                <w:szCs w:val="18"/>
              </w:rPr>
              <w:t>Nem rezidens</w:t>
            </w:r>
          </w:p>
        </w:tc>
        <w:tc>
          <w:tcPr>
            <w:tcW w:w="7686" w:type="dxa"/>
            <w:shd w:val="clear" w:color="auto" w:fill="auto"/>
          </w:tcPr>
          <w:p w:rsidR="00E23B4B" w:rsidRPr="00165C39" w:rsidRDefault="006F73B6" w:rsidP="006F73B6">
            <w:pPr>
              <w:pStyle w:val="Paragraph"/>
              <w:jc w:val="left"/>
              <w:rPr>
                <w:sz w:val="18"/>
                <w:szCs w:val="18"/>
              </w:rPr>
            </w:pPr>
            <w:r>
              <w:rPr>
                <w:sz w:val="18"/>
                <w:szCs w:val="18"/>
              </w:rPr>
              <w:t xml:space="preserve">Olyan partnerrel megkötött ügyletek, amelyeknél a partner </w:t>
            </w:r>
            <w:r w:rsidR="00963774">
              <w:rPr>
                <w:sz w:val="18"/>
                <w:szCs w:val="18"/>
              </w:rPr>
              <w:t xml:space="preserve">a jelentő </w:t>
            </w:r>
            <w:proofErr w:type="spellStart"/>
            <w:r w:rsidR="00963774">
              <w:rPr>
                <w:sz w:val="18"/>
                <w:szCs w:val="18"/>
              </w:rPr>
              <w:t>dealertől</w:t>
            </w:r>
            <w:proofErr w:type="spellEnd"/>
            <w:r w:rsidR="00963774">
              <w:rPr>
                <w:sz w:val="18"/>
                <w:szCs w:val="18"/>
              </w:rPr>
              <w:t xml:space="preserve"> különböző</w:t>
            </w:r>
            <w:r>
              <w:rPr>
                <w:sz w:val="18"/>
                <w:szCs w:val="18"/>
              </w:rPr>
              <w:t xml:space="preserve"> joghatóságba</w:t>
            </w:r>
            <w:r w:rsidR="00963774">
              <w:rPr>
                <w:sz w:val="18"/>
                <w:szCs w:val="18"/>
              </w:rPr>
              <w:t>n rezidens.</w:t>
            </w:r>
            <w:r>
              <w:rPr>
                <w:sz w:val="18"/>
                <w:szCs w:val="18"/>
              </w:rPr>
              <w:t xml:space="preserve"> </w:t>
            </w:r>
          </w:p>
        </w:tc>
      </w:tr>
    </w:tbl>
    <w:p w:rsidR="00E23B4B" w:rsidRPr="003C1746" w:rsidRDefault="003C1746" w:rsidP="00F72C8A">
      <w:pPr>
        <w:pStyle w:val="Paragraph"/>
        <w:numPr>
          <w:ilvl w:val="0"/>
          <w:numId w:val="10"/>
        </w:numPr>
      </w:pPr>
      <w:r>
        <w:t>sz. táblázat</w:t>
      </w:r>
    </w:p>
    <w:p w:rsidR="00161CFF" w:rsidRPr="00B05124" w:rsidRDefault="00F55C19" w:rsidP="00666ADE">
      <w:pPr>
        <w:pStyle w:val="Paragraph"/>
        <w:rPr>
          <w:u w:val="single"/>
        </w:rPr>
      </w:pPr>
      <w:r>
        <w:t>A</w:t>
      </w:r>
      <w:r w:rsidR="00161CFF" w:rsidRPr="00B05124">
        <w:t>z „egyéb pénzügyi intézmények” partner kategória további öt alkategóriára került lebontásra (a meghatározásokat lásd a</w:t>
      </w:r>
      <w:r w:rsidR="00BD473A">
        <w:t xml:space="preserve"> 2. számú</w:t>
      </w:r>
      <w:r w:rsidR="00161CFF" w:rsidRPr="00B05124">
        <w:t xml:space="preserve"> táblázatban). Ezt az addicionális bontást csak a felmérés devizaügyletek részében használjuk (A1-A4 táblázat sablonok). </w:t>
      </w:r>
      <w:r w:rsidR="001E4CE0" w:rsidRPr="00B05124">
        <w:t xml:space="preserve">Eszerint a partnereket a fő üzleti tevékenységük és/vagy aszerint kell besorolni, </w:t>
      </w:r>
      <w:r w:rsidR="001E4CE0">
        <w:t xml:space="preserve">hogy </w:t>
      </w:r>
      <w:r w:rsidR="001E4CE0" w:rsidRPr="00B05124">
        <w:t xml:space="preserve">mi motiválja őket elsősorban a devizapiacokon való kereskedésre. </w:t>
      </w:r>
      <w:r w:rsidR="00161CFF" w:rsidRPr="00B05124">
        <w:t xml:space="preserve">Mivel egyes partnerek potenciálisan több kategóriába is beletartozhatnak, mérlegelnie kell a jelentő </w:t>
      </w:r>
      <w:proofErr w:type="spellStart"/>
      <w:r w:rsidR="00161CFF" w:rsidRPr="00B05124">
        <w:t>dealernek</w:t>
      </w:r>
      <w:proofErr w:type="spellEnd"/>
      <w:r w:rsidR="00161CFF" w:rsidRPr="00B05124">
        <w:t xml:space="preserve"> (esetleg a front munkatársak segítségével) és/vagy a jegybanknak, melyik kategória illik leginkább az adott intézményre. Ha nem egyértelmű a besorolás, a partner fő üzleti tevékenysége alapján kell eldönteni a kérdést.</w:t>
      </w:r>
    </w:p>
    <w:p w:rsidR="007532A9" w:rsidRPr="00B05124" w:rsidRDefault="00521FD7" w:rsidP="00666ADE">
      <w:pPr>
        <w:pStyle w:val="TableTitle"/>
      </w:pPr>
      <w:r w:rsidRPr="00B05124">
        <w:t>A partnerek kategóriái, alkategóriái és ezek meghatározása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195"/>
      </w:tblGrid>
      <w:tr w:rsidR="007532A9" w:rsidRPr="00B05124" w:rsidTr="007532A9">
        <w:tc>
          <w:tcPr>
            <w:tcW w:w="2093" w:type="dxa"/>
            <w:shd w:val="clear" w:color="auto" w:fill="auto"/>
          </w:tcPr>
          <w:p w:rsidR="00521FD7" w:rsidRPr="00832E8A" w:rsidRDefault="00521FD7" w:rsidP="00832E8A">
            <w:pPr>
              <w:pStyle w:val="Bulletpoint"/>
              <w:numPr>
                <w:ilvl w:val="0"/>
                <w:numId w:val="0"/>
              </w:numPr>
              <w:jc w:val="left"/>
              <w:rPr>
                <w:sz w:val="20"/>
                <w:szCs w:val="20"/>
              </w:rPr>
            </w:pPr>
            <w:r w:rsidRPr="00832E8A">
              <w:rPr>
                <w:sz w:val="20"/>
                <w:szCs w:val="20"/>
              </w:rPr>
              <w:t xml:space="preserve">Jelentő </w:t>
            </w:r>
            <w:proofErr w:type="spellStart"/>
            <w:r w:rsidRPr="00832E8A">
              <w:rPr>
                <w:sz w:val="20"/>
                <w:szCs w:val="20"/>
              </w:rPr>
              <w:t>dealerek</w:t>
            </w:r>
            <w:proofErr w:type="spellEnd"/>
          </w:p>
          <w:p w:rsidR="007532A9" w:rsidRPr="00832E8A" w:rsidRDefault="007532A9" w:rsidP="00832E8A">
            <w:pPr>
              <w:pStyle w:val="Paragraph"/>
              <w:jc w:val="left"/>
              <w:rPr>
                <w:sz w:val="20"/>
                <w:szCs w:val="20"/>
              </w:rPr>
            </w:pPr>
          </w:p>
        </w:tc>
        <w:tc>
          <w:tcPr>
            <w:tcW w:w="7195" w:type="dxa"/>
            <w:shd w:val="clear" w:color="auto" w:fill="auto"/>
          </w:tcPr>
          <w:p w:rsidR="007532A9" w:rsidRPr="00B05124" w:rsidRDefault="000E75F8" w:rsidP="00F72C8A">
            <w:pPr>
              <w:pStyle w:val="TableText"/>
              <w:framePr w:wrap="around"/>
              <w:jc w:val="both"/>
            </w:pPr>
            <w:r w:rsidRPr="00B05124">
              <w:t xml:space="preserve">A Háromévenkénti Felmérésben adatszolgáltatóként résztvevő pénzügyi intézmények. </w:t>
            </w:r>
            <w:r w:rsidR="002831DF">
              <w:t xml:space="preserve">A D25-ös jelentésben eltérő tartalma van a jelentő </w:t>
            </w:r>
            <w:proofErr w:type="spellStart"/>
            <w:r w:rsidR="002831DF">
              <w:t>dealer</w:t>
            </w:r>
            <w:proofErr w:type="spellEnd"/>
            <w:r w:rsidR="002831DF">
              <w:t xml:space="preserve"> kifejezésnek, ott a </w:t>
            </w:r>
            <w:proofErr w:type="spellStart"/>
            <w:r w:rsidR="002831DF">
              <w:t>BIS</w:t>
            </w:r>
            <w:proofErr w:type="spellEnd"/>
            <w:r w:rsidR="002831DF">
              <w:t xml:space="preserve"> által </w:t>
            </w:r>
            <w:proofErr w:type="spellStart"/>
            <w:r w:rsidR="002831DF">
              <w:t>félévente</w:t>
            </w:r>
            <w:proofErr w:type="spellEnd"/>
            <w:r w:rsidR="002831DF">
              <w:t xml:space="preserve"> megszervezett adatgyűjtésben résztvevőkre és csoport tagjaikra, (ezen belül több magyarországi hitelintézetre) vonatkozik, míg itt egy bővebb körről van szó, jelen adatszolgáltatásra kijelölt intézetek köréréről. Mindkét intézménylistát azok elkészültét követően haladéktalanul eljuttatja az MNB az adatszolgáltatókhoz a megfelelő felkészülési idő biztosítása érdekében.</w:t>
            </w:r>
          </w:p>
        </w:tc>
      </w:tr>
      <w:tr w:rsidR="007532A9" w:rsidRPr="00B05124" w:rsidTr="007532A9">
        <w:tc>
          <w:tcPr>
            <w:tcW w:w="2093" w:type="dxa"/>
            <w:shd w:val="clear" w:color="auto" w:fill="auto"/>
          </w:tcPr>
          <w:p w:rsidR="00690716" w:rsidRPr="00832E8A" w:rsidRDefault="00690716" w:rsidP="00832E8A">
            <w:pPr>
              <w:pStyle w:val="Bulletpoint"/>
              <w:numPr>
                <w:ilvl w:val="0"/>
                <w:numId w:val="0"/>
              </w:numPr>
              <w:jc w:val="left"/>
              <w:rPr>
                <w:sz w:val="20"/>
                <w:szCs w:val="20"/>
              </w:rPr>
            </w:pPr>
            <w:r w:rsidRPr="00832E8A">
              <w:rPr>
                <w:sz w:val="20"/>
                <w:szCs w:val="20"/>
              </w:rPr>
              <w:lastRenderedPageBreak/>
              <w:t>Egyéb pénzügyi intézmények</w:t>
            </w:r>
          </w:p>
          <w:p w:rsidR="007532A9" w:rsidRPr="00832E8A" w:rsidRDefault="007532A9" w:rsidP="00832E8A">
            <w:pPr>
              <w:pStyle w:val="Paragraph"/>
              <w:jc w:val="left"/>
              <w:rPr>
                <w:sz w:val="20"/>
                <w:szCs w:val="20"/>
              </w:rPr>
            </w:pPr>
          </w:p>
        </w:tc>
        <w:tc>
          <w:tcPr>
            <w:tcW w:w="7195" w:type="dxa"/>
            <w:shd w:val="clear" w:color="auto" w:fill="auto"/>
          </w:tcPr>
          <w:p w:rsidR="00B910D4" w:rsidRPr="00EE23BE" w:rsidRDefault="00B910D4" w:rsidP="002E7C13">
            <w:pPr>
              <w:pStyle w:val="TableText"/>
              <w:framePr w:wrap="around"/>
              <w:jc w:val="both"/>
            </w:pPr>
            <w:r w:rsidRPr="00EE23BE">
              <w:t xml:space="preserve">Azok a pénzügyi intézmények tartoznak ide, amelyek nem esnek a „jelentő </w:t>
            </w:r>
            <w:proofErr w:type="spellStart"/>
            <w:r w:rsidRPr="00EE23BE">
              <w:t>dealerek</w:t>
            </w:r>
            <w:proofErr w:type="spellEnd"/>
            <w:r w:rsidRPr="00EE23BE">
              <w:t>” kategóriájába a felmérésben.</w:t>
            </w:r>
          </w:p>
          <w:p w:rsidR="005F2064" w:rsidRPr="00EE23BE" w:rsidRDefault="005F2064" w:rsidP="002E7C13">
            <w:pPr>
              <w:pStyle w:val="TableText"/>
              <w:framePr w:wrap="around"/>
              <w:jc w:val="both"/>
            </w:pPr>
            <w:r w:rsidRPr="00EE23BE">
              <w:t>Ezek jellemző módon a deviza- és kamat-</w:t>
            </w:r>
            <w:proofErr w:type="spellStart"/>
            <w:r w:rsidRPr="00EE23BE">
              <w:t>derivatíva</w:t>
            </w:r>
            <w:proofErr w:type="spellEnd"/>
            <w:r w:rsidRPr="00EE23BE">
              <w:t xml:space="preserve"> piacok végfelhasználói. Ide tartozik főként az összes egyéb pénzügyi intézmény, mint a kisebb kereskedelmi bankok, befektetési bankok és értékpapír-kereskedők, valamint a befektetési alapok, nyugdíjalapok, fedezeti alapok, deviza-alapok, pénzpiaci alapok, lakás-takarékpénztárak, lízingcégek, biztosítók, valamint nagyvállalatok és jegybankok egyéb pénzügyi leányvállalatai.</w:t>
            </w:r>
          </w:p>
          <w:p w:rsidR="007532A9" w:rsidRPr="00EE23BE" w:rsidRDefault="008818CB" w:rsidP="002E7C13">
            <w:pPr>
              <w:autoSpaceDE w:val="0"/>
              <w:autoSpaceDN w:val="0"/>
              <w:adjustRightInd w:val="0"/>
              <w:jc w:val="both"/>
              <w:rPr>
                <w:rFonts w:ascii="ArialMT" w:hAnsi="ArialMT" w:cs="ArialMT"/>
                <w:snapToGrid/>
                <w:sz w:val="20"/>
                <w:lang w:val="hu-HU"/>
              </w:rPr>
            </w:pPr>
            <w:r w:rsidRPr="002E7C13">
              <w:rPr>
                <w:sz w:val="20"/>
                <w:lang w:val="hu-HU"/>
              </w:rPr>
              <w:t>Tekintve az egyéb pénzügyi intézményeknek a devizapiacokon játszott egyre fontosabb szerepét, a 2013. évi felmérés</w:t>
            </w:r>
            <w:r w:rsidR="0032664C" w:rsidRPr="002E7C13">
              <w:rPr>
                <w:sz w:val="20"/>
                <w:lang w:val="hu-HU"/>
              </w:rPr>
              <w:t>től</w:t>
            </w:r>
            <w:r w:rsidRPr="002E7C13">
              <w:rPr>
                <w:sz w:val="20"/>
                <w:lang w:val="hu-HU"/>
              </w:rPr>
              <w:t xml:space="preserve"> </w:t>
            </w:r>
            <w:r w:rsidR="0032664C" w:rsidRPr="002E7C13">
              <w:rPr>
                <w:sz w:val="20"/>
                <w:lang w:val="hu-HU"/>
              </w:rPr>
              <w:t>kezdődően</w:t>
            </w:r>
            <w:r w:rsidRPr="002E7C13">
              <w:rPr>
                <w:sz w:val="20"/>
                <w:lang w:val="hu-HU"/>
              </w:rPr>
              <w:t xml:space="preserve"> (csak a devizaügyletek tekintetében, az egydevizás kamatláb-</w:t>
            </w:r>
            <w:proofErr w:type="spellStart"/>
            <w:r w:rsidRPr="002E7C13">
              <w:rPr>
                <w:sz w:val="20"/>
                <w:lang w:val="hu-HU"/>
              </w:rPr>
              <w:t>derivatívák</w:t>
            </w:r>
            <w:proofErr w:type="spellEnd"/>
            <w:r w:rsidRPr="002E7C13">
              <w:rPr>
                <w:sz w:val="20"/>
                <w:lang w:val="hu-HU"/>
              </w:rPr>
              <w:t xml:space="preserve"> tekintetében nem) részletesebben </w:t>
            </w:r>
            <w:r w:rsidR="0032664C" w:rsidRPr="002E7C13">
              <w:rPr>
                <w:sz w:val="20"/>
                <w:lang w:val="hu-HU"/>
              </w:rPr>
              <w:t>mérjük fel</w:t>
            </w:r>
            <w:r w:rsidR="00736FFA" w:rsidRPr="002E7C13">
              <w:rPr>
                <w:sz w:val="20"/>
                <w:lang w:val="hu-HU"/>
              </w:rPr>
              <w:t xml:space="preserve"> </w:t>
            </w:r>
            <w:r w:rsidRPr="002E7C13">
              <w:rPr>
                <w:sz w:val="20"/>
                <w:lang w:val="hu-HU"/>
              </w:rPr>
              <w:t xml:space="preserve">a részesedésüket. A jelentő </w:t>
            </w:r>
            <w:proofErr w:type="spellStart"/>
            <w:r w:rsidRPr="002E7C13">
              <w:rPr>
                <w:sz w:val="20"/>
                <w:lang w:val="hu-HU"/>
              </w:rPr>
              <w:t>dealerek</w:t>
            </w:r>
            <w:proofErr w:type="spellEnd"/>
            <w:r w:rsidRPr="002E7C13">
              <w:rPr>
                <w:sz w:val="20"/>
                <w:lang w:val="hu-HU"/>
              </w:rPr>
              <w:t xml:space="preserve"> kötelesek az alábbi öt alkategóriában adatokat szolgáltatni az egyéb pénzügyi intézményekről, mint „ebből: …” tételekről.</w:t>
            </w:r>
            <w:r w:rsidR="00F405DD" w:rsidRPr="002E7C13">
              <w:rPr>
                <w:sz w:val="20"/>
                <w:lang w:val="hu-HU"/>
              </w:rPr>
              <w:t xml:space="preserve"> </w:t>
            </w:r>
          </w:p>
        </w:tc>
      </w:tr>
      <w:tr w:rsidR="007532A9" w:rsidRPr="00B05124" w:rsidTr="007532A9">
        <w:tc>
          <w:tcPr>
            <w:tcW w:w="2093" w:type="dxa"/>
            <w:shd w:val="clear" w:color="auto" w:fill="auto"/>
          </w:tcPr>
          <w:p w:rsidR="007532A9" w:rsidRPr="00832E8A" w:rsidRDefault="00B910D4" w:rsidP="00832E8A">
            <w:pPr>
              <w:pStyle w:val="Paragraph"/>
              <w:jc w:val="left"/>
              <w:rPr>
                <w:sz w:val="20"/>
                <w:szCs w:val="20"/>
              </w:rPr>
            </w:pPr>
            <w:r w:rsidRPr="00832E8A">
              <w:rPr>
                <w:sz w:val="20"/>
                <w:szCs w:val="20"/>
              </w:rPr>
              <w:t>ebből: nem adatszolgáltató bankok</w:t>
            </w:r>
          </w:p>
        </w:tc>
        <w:tc>
          <w:tcPr>
            <w:tcW w:w="7195" w:type="dxa"/>
            <w:shd w:val="clear" w:color="auto" w:fill="auto"/>
          </w:tcPr>
          <w:p w:rsidR="007532A9" w:rsidRPr="00EE23BE" w:rsidRDefault="0024416D" w:rsidP="002E7C13">
            <w:pPr>
              <w:pStyle w:val="TableText"/>
              <w:framePr w:wrap="around"/>
              <w:jc w:val="both"/>
            </w:pPr>
            <w:r w:rsidRPr="00EE23BE">
              <w:t xml:space="preserve">Kisebb vagy regionális kereskedelmi bankok, állami tulajdonú bankok, értékpapírcégek vagy befektetési bankok, amelyek nem vesznek részt közvetlenül jelentő </w:t>
            </w:r>
            <w:proofErr w:type="spellStart"/>
            <w:r w:rsidRPr="00EE23BE">
              <w:t>dealerként</w:t>
            </w:r>
            <w:proofErr w:type="spellEnd"/>
            <w:r w:rsidRPr="00EE23BE">
              <w:t xml:space="preserve"> a felmérésben.</w:t>
            </w:r>
            <w:r w:rsidR="00E11655" w:rsidRPr="00EE23BE">
              <w:rPr>
                <w:rStyle w:val="FootnoteReference"/>
              </w:rPr>
              <w:footnoteReference w:id="4"/>
            </w:r>
          </w:p>
        </w:tc>
      </w:tr>
      <w:tr w:rsidR="007532A9" w:rsidRPr="00B05124" w:rsidTr="007532A9">
        <w:tc>
          <w:tcPr>
            <w:tcW w:w="2093" w:type="dxa"/>
            <w:shd w:val="clear" w:color="auto" w:fill="auto"/>
          </w:tcPr>
          <w:p w:rsidR="007532A9" w:rsidRPr="00832E8A" w:rsidRDefault="0024416D" w:rsidP="00832E8A">
            <w:pPr>
              <w:pStyle w:val="Paragraph"/>
              <w:jc w:val="left"/>
              <w:rPr>
                <w:sz w:val="20"/>
                <w:szCs w:val="20"/>
              </w:rPr>
            </w:pPr>
            <w:r w:rsidRPr="00832E8A">
              <w:rPr>
                <w:sz w:val="20"/>
                <w:szCs w:val="20"/>
              </w:rPr>
              <w:t>ebből: intézményi befektetők</w:t>
            </w:r>
          </w:p>
        </w:tc>
        <w:tc>
          <w:tcPr>
            <w:tcW w:w="7195" w:type="dxa"/>
            <w:shd w:val="clear" w:color="auto" w:fill="auto"/>
          </w:tcPr>
          <w:p w:rsidR="007532A9" w:rsidRPr="00EE23BE" w:rsidRDefault="00AC489E" w:rsidP="002E7C13">
            <w:pPr>
              <w:pStyle w:val="TableText"/>
              <w:framePr w:wrap="around"/>
              <w:jc w:val="both"/>
            </w:pPr>
            <w:r w:rsidRPr="00EE23BE">
              <w:t xml:space="preserve">Intézményi befektetők, pl. befektetési alapok, nyugdíjalapok, biztosítók és </w:t>
            </w:r>
            <w:proofErr w:type="spellStart"/>
            <w:r w:rsidRPr="00EE23BE">
              <w:t>viszontbiztosítók</w:t>
            </w:r>
            <w:proofErr w:type="spellEnd"/>
            <w:r w:rsidRPr="00EE23BE">
              <w:t>, és alapítványok. A piaci részvételük elsődleges mozgatórugója a deviza instrumentumok kereskedése, pl. fedezeti, befektetési vagy kockázatkezelési céllal. Ezt a partner kategóriát „</w:t>
            </w:r>
            <w:proofErr w:type="spellStart"/>
            <w:r w:rsidRPr="00EE23BE">
              <w:t>real</w:t>
            </w:r>
            <w:proofErr w:type="spellEnd"/>
            <w:r w:rsidRPr="00EE23BE">
              <w:t xml:space="preserve"> </w:t>
            </w:r>
            <w:proofErr w:type="spellStart"/>
            <w:r w:rsidRPr="00EE23BE">
              <w:t>money</w:t>
            </w:r>
            <w:proofErr w:type="spellEnd"/>
            <w:r w:rsidRPr="00EE23BE">
              <w:t>” befektetőknek is nevezik.</w:t>
            </w:r>
          </w:p>
        </w:tc>
      </w:tr>
      <w:tr w:rsidR="007532A9" w:rsidRPr="00B05124" w:rsidTr="007532A9">
        <w:tc>
          <w:tcPr>
            <w:tcW w:w="2093" w:type="dxa"/>
            <w:shd w:val="clear" w:color="auto" w:fill="auto"/>
          </w:tcPr>
          <w:p w:rsidR="007532A9" w:rsidRPr="00832E8A" w:rsidRDefault="002D3164" w:rsidP="00832E8A">
            <w:pPr>
              <w:pStyle w:val="Paragraph"/>
              <w:jc w:val="left"/>
              <w:rPr>
                <w:sz w:val="20"/>
                <w:szCs w:val="20"/>
              </w:rPr>
            </w:pPr>
            <w:r w:rsidRPr="00832E8A">
              <w:rPr>
                <w:sz w:val="20"/>
                <w:szCs w:val="20"/>
              </w:rPr>
              <w:t>ebből: fedezeti alapok és saját számlás kereskedő cégek</w:t>
            </w:r>
          </w:p>
        </w:tc>
        <w:tc>
          <w:tcPr>
            <w:tcW w:w="7195" w:type="dxa"/>
            <w:shd w:val="clear" w:color="auto" w:fill="auto"/>
          </w:tcPr>
          <w:p w:rsidR="00CA5A47" w:rsidRPr="00EE23BE" w:rsidRDefault="00CA5A47" w:rsidP="004049F3">
            <w:pPr>
              <w:pStyle w:val="TableText"/>
              <w:framePr w:wrap="around"/>
              <w:jc w:val="both"/>
            </w:pPr>
            <w:r w:rsidRPr="00EE23BE">
              <w:t xml:space="preserve">(a) Befektetési alapok és a vagyonkezelők különböző típusai, beleértve a </w:t>
            </w:r>
            <w:proofErr w:type="spellStart"/>
            <w:r w:rsidRPr="00EE23BE">
              <w:t>CTA-kat</w:t>
            </w:r>
            <w:proofErr w:type="spellEnd"/>
            <w:r w:rsidRPr="00EE23BE">
              <w:t xml:space="preserve"> (</w:t>
            </w:r>
            <w:proofErr w:type="spellStart"/>
            <w:r w:rsidRPr="00EE23BE">
              <w:t>commodity</w:t>
            </w:r>
            <w:proofErr w:type="spellEnd"/>
            <w:r w:rsidRPr="00EE23BE">
              <w:t xml:space="preserve"> </w:t>
            </w:r>
            <w:proofErr w:type="spellStart"/>
            <w:r w:rsidRPr="00EE23BE">
              <w:t>trading</w:t>
            </w:r>
            <w:proofErr w:type="spellEnd"/>
            <w:r w:rsidRPr="00EE23BE">
              <w:t xml:space="preserve"> </w:t>
            </w:r>
            <w:proofErr w:type="spellStart"/>
            <w:r w:rsidRPr="00EE23BE">
              <w:t>adviser</w:t>
            </w:r>
            <w:proofErr w:type="spellEnd"/>
            <w:r w:rsidRPr="00EE23BE">
              <w:t xml:space="preserve">), amelyek az alábbi közös jellemzőkkel rendelkeznek: gyakran a befektetési stratégiák egy relatíve széles skáláján mozognak, amelyet nem kötnek hitelfelvételi és tőkeáttételre vonatkozó korlátok, és sokan közülük nagyfokú tőkeáttételt alkalmaznak; gyakran az „intézményi befektetőkétől” eltérő jogosítványokkal rendelkeznek, és tipikusan szofisztikált befektetők – pl. vagyonos magánszemélyek vagy intézmények – kiszolgálására </w:t>
            </w:r>
            <w:proofErr w:type="spellStart"/>
            <w:r w:rsidRPr="00EE23BE">
              <w:t>szakosodtak</w:t>
            </w:r>
            <w:proofErr w:type="spellEnd"/>
            <w:r w:rsidRPr="00EE23BE">
              <w:t>; gyakran tartanak hosszú és rövid pozíciót különböző piacokon, különböző eszközkategóriákban és instrumentumokban, és gyakran használják a származékos ügyleteket spekulatív célokra.</w:t>
            </w:r>
            <w:r w:rsidR="002A6DDB" w:rsidRPr="00EE23BE">
              <w:t xml:space="preserve"> </w:t>
            </w:r>
          </w:p>
          <w:p w:rsidR="007532A9" w:rsidRPr="00EE23BE" w:rsidRDefault="00FA6BB1" w:rsidP="004049F3">
            <w:pPr>
              <w:pStyle w:val="TableText"/>
              <w:framePr w:wrap="around"/>
              <w:jc w:val="both"/>
            </w:pPr>
            <w:r w:rsidRPr="00EE23BE">
              <w:t>(b) Saját számlás kereskedő cégek, amelyek saját tőkéjüket használják befektetési, fedezeti vagy spekulatív célokra. Ez a kategória tartalmazhatja pl. a szakosodott „</w:t>
            </w:r>
            <w:proofErr w:type="spellStart"/>
            <w:r w:rsidRPr="00EE23BE">
              <w:t>high</w:t>
            </w:r>
            <w:proofErr w:type="spellEnd"/>
            <w:r w:rsidRPr="00EE23BE">
              <w:t xml:space="preserve"> </w:t>
            </w:r>
            <w:proofErr w:type="spellStart"/>
            <w:r w:rsidRPr="00EE23BE">
              <w:t>frequency</w:t>
            </w:r>
            <w:proofErr w:type="spellEnd"/>
            <w:r w:rsidRPr="00EE23BE">
              <w:t xml:space="preserve"> </w:t>
            </w:r>
            <w:proofErr w:type="spellStart"/>
            <w:r w:rsidRPr="00EE23BE">
              <w:t>trading</w:t>
            </w:r>
            <w:proofErr w:type="spellEnd"/>
            <w:r w:rsidRPr="00EE23BE">
              <w:t>” (</w:t>
            </w:r>
            <w:proofErr w:type="spellStart"/>
            <w:r w:rsidRPr="00EE23BE">
              <w:t>HFT</w:t>
            </w:r>
            <w:proofErr w:type="spellEnd"/>
            <w:r w:rsidRPr="00EE23BE">
              <w:t>) cégeket is, amelyek nagysebességű algoritmikus kereskedési stratégiákat alkalmaznak, amelyeket a kötések gyakorisága és nagy száma, és a pozíciók nagyon rövid ideig való tartása jellemez.</w:t>
            </w:r>
            <w:r w:rsidR="00456482" w:rsidRPr="00EE23BE">
              <w:t xml:space="preserve"> </w:t>
            </w:r>
            <w:r w:rsidR="00456482" w:rsidRPr="00EE23BE">
              <w:rPr>
                <w:rFonts w:cs="Arial"/>
                <w:color w:val="222222"/>
              </w:rPr>
              <w:t xml:space="preserve"> Ezenkívül ez a kategória magában foglalhatja azokat a </w:t>
            </w:r>
            <w:proofErr w:type="spellStart"/>
            <w:r w:rsidR="00456482" w:rsidRPr="00EE23BE">
              <w:rPr>
                <w:rFonts w:cs="Arial"/>
                <w:color w:val="222222"/>
              </w:rPr>
              <w:t>PTF-eket</w:t>
            </w:r>
            <w:proofErr w:type="spellEnd"/>
            <w:r w:rsidR="00456482" w:rsidRPr="00EE23BE">
              <w:rPr>
                <w:rFonts w:cs="Arial"/>
                <w:color w:val="222222"/>
              </w:rPr>
              <w:t xml:space="preserve"> is, amelyek saját technológiát</w:t>
            </w:r>
            <w:r w:rsidR="00E11655" w:rsidRPr="00EE23BE">
              <w:rPr>
                <w:rFonts w:cs="Arial"/>
                <w:color w:val="222222"/>
              </w:rPr>
              <w:t xml:space="preserve"> </w:t>
            </w:r>
            <w:r w:rsidR="00EE23BE">
              <w:rPr>
                <w:rFonts w:cs="Arial"/>
                <w:color w:val="222222"/>
              </w:rPr>
              <w:t xml:space="preserve">alkalmaznak </w:t>
            </w:r>
            <w:r w:rsidR="00456482" w:rsidRPr="00EE23BE">
              <w:rPr>
                <w:rFonts w:cs="Arial"/>
                <w:color w:val="222222"/>
              </w:rPr>
              <w:t>(lásd</w:t>
            </w:r>
            <w:r w:rsidR="00E11655" w:rsidRPr="00EE23BE">
              <w:rPr>
                <w:rFonts w:cs="Arial"/>
                <w:color w:val="222222"/>
              </w:rPr>
              <w:t xml:space="preserve"> </w:t>
            </w:r>
            <w:r w:rsidR="00456482" w:rsidRPr="00EE23BE">
              <w:rPr>
                <w:rFonts w:cs="Arial"/>
                <w:color w:val="222222"/>
              </w:rPr>
              <w:t xml:space="preserve">H </w:t>
            </w:r>
            <w:r w:rsidR="00B71321">
              <w:rPr>
                <w:rFonts w:cs="Arial"/>
                <w:color w:val="222222"/>
              </w:rPr>
              <w:t>bekezdés</w:t>
            </w:r>
            <w:r w:rsidR="00456482" w:rsidRPr="00EE23BE">
              <w:rPr>
                <w:rFonts w:cs="Arial"/>
                <w:color w:val="222222"/>
              </w:rPr>
              <w:t>).</w:t>
            </w:r>
          </w:p>
        </w:tc>
      </w:tr>
      <w:tr w:rsidR="007532A9" w:rsidRPr="00B05124" w:rsidTr="007532A9">
        <w:tc>
          <w:tcPr>
            <w:tcW w:w="2093" w:type="dxa"/>
            <w:shd w:val="clear" w:color="auto" w:fill="auto"/>
          </w:tcPr>
          <w:p w:rsidR="007532A9" w:rsidRPr="00832E8A" w:rsidRDefault="00CA5A47" w:rsidP="00832E8A">
            <w:pPr>
              <w:pStyle w:val="Paragraph"/>
              <w:jc w:val="left"/>
              <w:rPr>
                <w:sz w:val="20"/>
                <w:szCs w:val="20"/>
              </w:rPr>
            </w:pPr>
            <w:r w:rsidRPr="00832E8A">
              <w:rPr>
                <w:sz w:val="20"/>
                <w:szCs w:val="20"/>
              </w:rPr>
              <w:t>ebből: hivatalos pénzügyi intézmények</w:t>
            </w:r>
          </w:p>
        </w:tc>
        <w:tc>
          <w:tcPr>
            <w:tcW w:w="7195" w:type="dxa"/>
            <w:shd w:val="clear" w:color="auto" w:fill="auto"/>
          </w:tcPr>
          <w:p w:rsidR="007532A9" w:rsidRPr="00EE23BE" w:rsidRDefault="00216D88" w:rsidP="004049F3">
            <w:pPr>
              <w:pStyle w:val="TableText"/>
              <w:framePr w:wrap="around"/>
              <w:jc w:val="both"/>
            </w:pPr>
            <w:r w:rsidRPr="00EE23BE">
              <w:t>Jegybankok, állami befektetési alapok, az állami szektorba tartozó nemzetközi pénzügyi intézmények (</w:t>
            </w:r>
            <w:proofErr w:type="spellStart"/>
            <w:r w:rsidRPr="00EE23BE">
              <w:t>BIS</w:t>
            </w:r>
            <w:proofErr w:type="spellEnd"/>
            <w:r w:rsidRPr="00EE23BE">
              <w:t>, IMF, stb.), fejlesztési bankok és ügynökségek.</w:t>
            </w:r>
          </w:p>
        </w:tc>
      </w:tr>
      <w:tr w:rsidR="007532A9" w:rsidRPr="00B05124" w:rsidTr="007532A9">
        <w:tc>
          <w:tcPr>
            <w:tcW w:w="2093" w:type="dxa"/>
            <w:shd w:val="clear" w:color="auto" w:fill="auto"/>
          </w:tcPr>
          <w:p w:rsidR="007532A9" w:rsidRPr="00832E8A" w:rsidRDefault="00216D88" w:rsidP="00832E8A">
            <w:pPr>
              <w:pStyle w:val="Paragraph"/>
              <w:jc w:val="left"/>
              <w:rPr>
                <w:sz w:val="20"/>
                <w:szCs w:val="20"/>
              </w:rPr>
            </w:pPr>
            <w:r w:rsidRPr="00832E8A">
              <w:rPr>
                <w:sz w:val="20"/>
                <w:szCs w:val="20"/>
              </w:rPr>
              <w:t>ebből: egyéb</w:t>
            </w:r>
          </w:p>
        </w:tc>
        <w:tc>
          <w:tcPr>
            <w:tcW w:w="7195" w:type="dxa"/>
            <w:shd w:val="clear" w:color="auto" w:fill="auto"/>
          </w:tcPr>
          <w:p w:rsidR="007532A9" w:rsidRPr="00B05124" w:rsidRDefault="00F47E62" w:rsidP="00666ADE">
            <w:pPr>
              <w:pStyle w:val="TableText"/>
              <w:framePr w:wrap="around"/>
            </w:pPr>
            <w:r w:rsidRPr="00B05124">
              <w:t xml:space="preserve">Az összes többi pénzügyi intézmény (pl. lakossági aggregátorok), amelyek egyik fenti alkategóriába sem </w:t>
            </w:r>
            <w:proofErr w:type="spellStart"/>
            <w:r w:rsidRPr="00B05124">
              <w:t>sorolhatóak</w:t>
            </w:r>
            <w:proofErr w:type="spellEnd"/>
            <w:r w:rsidRPr="00B05124">
              <w:t xml:space="preserve"> be. </w:t>
            </w:r>
          </w:p>
        </w:tc>
      </w:tr>
      <w:tr w:rsidR="007532A9" w:rsidRPr="00B05124" w:rsidTr="007532A9">
        <w:tc>
          <w:tcPr>
            <w:tcW w:w="2093" w:type="dxa"/>
            <w:shd w:val="clear" w:color="auto" w:fill="auto"/>
          </w:tcPr>
          <w:p w:rsidR="00F47E62" w:rsidRPr="00832E8A" w:rsidRDefault="00F47E62" w:rsidP="00832E8A">
            <w:pPr>
              <w:pStyle w:val="Bulletpoint"/>
              <w:numPr>
                <w:ilvl w:val="0"/>
                <w:numId w:val="0"/>
              </w:numPr>
              <w:jc w:val="left"/>
              <w:rPr>
                <w:sz w:val="20"/>
                <w:szCs w:val="20"/>
              </w:rPr>
            </w:pPr>
            <w:r w:rsidRPr="00832E8A">
              <w:rPr>
                <w:sz w:val="20"/>
                <w:szCs w:val="20"/>
              </w:rPr>
              <w:t>Nem pénzügyi partnerek</w:t>
            </w:r>
          </w:p>
          <w:p w:rsidR="007532A9" w:rsidRPr="00832E8A" w:rsidRDefault="007532A9" w:rsidP="00832E8A">
            <w:pPr>
              <w:pStyle w:val="Paragraph"/>
              <w:jc w:val="left"/>
              <w:rPr>
                <w:sz w:val="20"/>
                <w:szCs w:val="20"/>
              </w:rPr>
            </w:pPr>
          </w:p>
        </w:tc>
        <w:tc>
          <w:tcPr>
            <w:tcW w:w="7195" w:type="dxa"/>
            <w:shd w:val="clear" w:color="auto" w:fill="auto"/>
          </w:tcPr>
          <w:p w:rsidR="007532A9" w:rsidRPr="00B05124" w:rsidRDefault="001658AB" w:rsidP="00666ADE">
            <w:pPr>
              <w:pStyle w:val="TableText"/>
              <w:framePr w:wrap="around"/>
            </w:pPr>
            <w:r w:rsidRPr="00B05124">
              <w:lastRenderedPageBreak/>
              <w:t xml:space="preserve">Bármely partner, amely nem tartozik a fenti kategóriák egyikébe sem, vagyis elsősorban a nem pénzügyi végfelhasználók, pl. vállalatok és nem pénzügyi állami tulajdonú cégek. Ide tartozhatnak az olyan magánszemélyek is, akik </w:t>
            </w:r>
            <w:r w:rsidRPr="00B05124">
              <w:lastRenderedPageBreak/>
              <w:t xml:space="preserve">közvetlenül kereskednek jelentő </w:t>
            </w:r>
            <w:proofErr w:type="spellStart"/>
            <w:r w:rsidRPr="00B05124">
              <w:t>dealerekkel</w:t>
            </w:r>
            <w:proofErr w:type="spellEnd"/>
            <w:r w:rsidRPr="00B05124">
              <w:t xml:space="preserve"> befektetési céllal (pl. vagyonos magánszemélyek), a jelentő </w:t>
            </w:r>
            <w:proofErr w:type="spellStart"/>
            <w:r w:rsidRPr="00B05124">
              <w:t>dealer</w:t>
            </w:r>
            <w:proofErr w:type="spellEnd"/>
            <w:r w:rsidRPr="00B05124">
              <w:t xml:space="preserve"> által működtetett online </w:t>
            </w:r>
            <w:proofErr w:type="spellStart"/>
            <w:r w:rsidRPr="00B05124">
              <w:t>retail</w:t>
            </w:r>
            <w:proofErr w:type="spellEnd"/>
            <w:r w:rsidRPr="00B05124">
              <w:t xml:space="preserve"> kereskedési platformon vagy más módon (pl. telefonon adott megbízásokkal) (lásd még az I fejezetet).</w:t>
            </w:r>
          </w:p>
        </w:tc>
      </w:tr>
    </w:tbl>
    <w:p w:rsidR="001672B3" w:rsidRDefault="003C1746" w:rsidP="00F72C8A">
      <w:pPr>
        <w:pStyle w:val="Paragraph"/>
        <w:numPr>
          <w:ilvl w:val="0"/>
          <w:numId w:val="10"/>
        </w:numPr>
        <w:rPr>
          <w:i/>
        </w:rPr>
      </w:pPr>
      <w:r>
        <w:rPr>
          <w:i/>
        </w:rPr>
        <w:lastRenderedPageBreak/>
        <w:t>sz. táblázat</w:t>
      </w:r>
    </w:p>
    <w:p w:rsidR="0099300F" w:rsidRDefault="0099300F" w:rsidP="0099300F">
      <w:pPr>
        <w:pStyle w:val="Paragraph"/>
        <w:rPr>
          <w:i/>
        </w:rPr>
      </w:pPr>
    </w:p>
    <w:p w:rsidR="00081D1D" w:rsidRPr="00B05124" w:rsidRDefault="00081D1D" w:rsidP="0000026F">
      <w:pPr>
        <w:pStyle w:val="Paragraph"/>
      </w:pPr>
      <w:r w:rsidRPr="00B05124">
        <w:rPr>
          <w:i/>
        </w:rPr>
        <w:t>Minőségellenőrzés.</w:t>
      </w:r>
      <w:r w:rsidRPr="00B05124">
        <w:t xml:space="preserve"> Mivel felkészültünk arra, hogy egyes jelentő </w:t>
      </w:r>
      <w:proofErr w:type="spellStart"/>
      <w:r w:rsidRPr="00B05124">
        <w:t>dealerek</w:t>
      </w:r>
      <w:proofErr w:type="spellEnd"/>
      <w:r w:rsidRPr="00B05124">
        <w:t xml:space="preserve"> esetleg technikailag nem képesek </w:t>
      </w:r>
      <w:proofErr w:type="spellStart"/>
      <w:r w:rsidRPr="00B05124">
        <w:t>teljeskörűen</w:t>
      </w:r>
      <w:proofErr w:type="spellEnd"/>
      <w:r w:rsidRPr="00B05124">
        <w:t xml:space="preserve"> adatokat szolgáltatni az új lebontások szerint az „egyéb pénzügyi intézmények” alkategóriáiban, egy „nem lebontott” rovatot is biztosítunk a felmérés sablonban. Ebben a rovatban kell rögzíteni az olyan „egyéb pénzügyi intézmények” forgalmat, amelyet nem lehet a fenti alkategóriák egyikébe sem besorolni (a teljeskörű adatszolgáltatás alól felmentést a jegybank adhat).</w:t>
      </w:r>
    </w:p>
    <w:p w:rsidR="001301AB" w:rsidRPr="00B05124" w:rsidRDefault="001301AB" w:rsidP="0000026F">
      <w:pPr>
        <w:pStyle w:val="Paragraph"/>
      </w:pPr>
      <w:r w:rsidRPr="00B05124">
        <w:rPr>
          <w:i/>
        </w:rPr>
        <w:t>A kettős számbavétel kiküszöbölése.</w:t>
      </w:r>
      <w:r w:rsidRPr="00B05124">
        <w:t xml:space="preserve"> Kettős számbavétel abból adódik, hogy a két jelentő szervezet közötti ügyletet mindkét fél rögzíti, vagyis az ügyletet kétszer rögzítik.</w:t>
      </w:r>
      <w:r w:rsidR="002A6DDB">
        <w:t xml:space="preserve"> </w:t>
      </w:r>
      <w:r w:rsidRPr="00B05124">
        <w:t xml:space="preserve">A piac teljes méretére úgy lehet következtetni, ha elvégezzük a </w:t>
      </w:r>
      <w:proofErr w:type="spellStart"/>
      <w:r w:rsidRPr="00B05124">
        <w:t>dealerek</w:t>
      </w:r>
      <w:proofErr w:type="spellEnd"/>
      <w:r w:rsidRPr="00B05124">
        <w:t xml:space="preserve"> közötti kettős számbavétel miatti kiigazítást. Azért kell az adatközlőknek külön kategóriában jelenteni a „jelentő </w:t>
      </w:r>
      <w:proofErr w:type="spellStart"/>
      <w:r w:rsidRPr="00B05124">
        <w:t>dealerekkel</w:t>
      </w:r>
      <w:proofErr w:type="spellEnd"/>
      <w:r w:rsidRPr="00B05124">
        <w:t>” folytatott tranzakcióikat, hogy lehetővé váljon a kettős számbavétel miatt duplikálódott adatok korrekciója.</w:t>
      </w:r>
    </w:p>
    <w:p w:rsidR="005F2EFC" w:rsidRPr="00B05124" w:rsidRDefault="005F2EFC" w:rsidP="0000026F">
      <w:pPr>
        <w:pStyle w:val="Paragraph"/>
      </w:pPr>
      <w:r w:rsidRPr="00B05124">
        <w:t xml:space="preserve">Hogy biztosítsuk az adatközlők közötti ügyletek kettős számbavételének a pontos kiküszöbölését, az adatközlő intézményeknek a legjobb tudásuk szerint kell azonosítaniuk a „jelentő </w:t>
      </w:r>
      <w:proofErr w:type="spellStart"/>
      <w:r w:rsidRPr="00B05124">
        <w:t>dealerekkel</w:t>
      </w:r>
      <w:proofErr w:type="spellEnd"/>
      <w:r w:rsidRPr="00B05124">
        <w:t xml:space="preserve">” folytatott tranzakcióikat. </w:t>
      </w:r>
    </w:p>
    <w:p w:rsidR="00534B88" w:rsidRPr="00B05124" w:rsidRDefault="00534B88" w:rsidP="00534B88">
      <w:pPr>
        <w:pStyle w:val="IndentedHeading1"/>
        <w:rPr>
          <w:b/>
          <w:sz w:val="26"/>
          <w:szCs w:val="24"/>
          <w:lang w:val="hu-HU"/>
        </w:rPr>
      </w:pPr>
      <w:bookmarkStart w:id="22" w:name="_Toc533082321"/>
      <w:r w:rsidRPr="00B05124">
        <w:rPr>
          <w:b/>
          <w:sz w:val="26"/>
          <w:szCs w:val="24"/>
          <w:lang w:val="hu-HU"/>
        </w:rPr>
        <w:t>D.</w:t>
      </w:r>
      <w:r w:rsidRPr="00B05124">
        <w:rPr>
          <w:b/>
          <w:sz w:val="26"/>
          <w:szCs w:val="24"/>
          <w:lang w:val="hu-HU"/>
        </w:rPr>
        <w:tab/>
        <w:t>Devizanemek szerinti bontás</w:t>
      </w:r>
      <w:bookmarkEnd w:id="22"/>
    </w:p>
    <w:p w:rsidR="00534B88" w:rsidRPr="00B05124" w:rsidRDefault="00534B88" w:rsidP="00666ADE">
      <w:pPr>
        <w:pStyle w:val="Paragraph"/>
      </w:pPr>
      <w:r w:rsidRPr="00B05124">
        <w:t xml:space="preserve">A felmérés elvileg lefedi az összes devizanemet, amelyben a jelentő </w:t>
      </w:r>
      <w:proofErr w:type="spellStart"/>
      <w:r w:rsidRPr="00B05124">
        <w:t>dealerek</w:t>
      </w:r>
      <w:proofErr w:type="spellEnd"/>
      <w:r w:rsidRPr="00B05124">
        <w:t xml:space="preserve"> jelentendő tranzakciókat folytattak. Ezzel együtt számos devizanemet és devizapárt külön kell jelenteni (egy dedikált oszlopban) a felmérés sablonban.</w:t>
      </w:r>
    </w:p>
    <w:p w:rsidR="00534B88" w:rsidRPr="00B05124" w:rsidRDefault="00534B88" w:rsidP="004049F3">
      <w:pPr>
        <w:pStyle w:val="IndentedHeading2"/>
        <w:ind w:left="1078"/>
        <w:rPr>
          <w:rFonts w:ascii="Arial" w:hAnsi="Arial"/>
          <w:bCs w:val="0"/>
          <w:i w:val="0"/>
          <w:iCs w:val="0"/>
          <w:sz w:val="22"/>
          <w:szCs w:val="24"/>
          <w:lang w:val="hu-HU"/>
        </w:rPr>
      </w:pPr>
      <w:bookmarkStart w:id="23" w:name="_Toc533082322"/>
      <w:r w:rsidRPr="00B05124">
        <w:rPr>
          <w:rFonts w:ascii="Arial" w:hAnsi="Arial"/>
          <w:bCs w:val="0"/>
          <w:i w:val="0"/>
          <w:iCs w:val="0"/>
          <w:sz w:val="22"/>
          <w:szCs w:val="24"/>
          <w:lang w:val="hu-HU"/>
        </w:rPr>
        <w:t xml:space="preserve">1. </w:t>
      </w:r>
      <w:r w:rsidRPr="00B05124">
        <w:rPr>
          <w:rFonts w:ascii="Arial" w:hAnsi="Arial"/>
          <w:bCs w:val="0"/>
          <w:i w:val="0"/>
          <w:iCs w:val="0"/>
          <w:sz w:val="22"/>
          <w:szCs w:val="24"/>
          <w:lang w:val="hu-HU"/>
        </w:rPr>
        <w:tab/>
        <w:t>Deviza forgalom</w:t>
      </w:r>
      <w:bookmarkEnd w:id="23"/>
    </w:p>
    <w:p w:rsidR="008F3B9F" w:rsidRPr="00B05124" w:rsidRDefault="008F3B9F" w:rsidP="00666ADE">
      <w:pPr>
        <w:pStyle w:val="Paragraph"/>
      </w:pPr>
      <w:r w:rsidRPr="00B05124">
        <w:t xml:space="preserve">A jelentő </w:t>
      </w:r>
      <w:proofErr w:type="spellStart"/>
      <w:r w:rsidRPr="00B05124">
        <w:t>dealer</w:t>
      </w:r>
      <w:proofErr w:type="spellEnd"/>
      <w:r w:rsidRPr="00B05124">
        <w:t xml:space="preserve"> köteles a tevékenysége szerinti ország devizanemét érintő összes tranzakciót jelenteni az adatszolgáltatás során. Emellett valamennyi jelentő </w:t>
      </w:r>
      <w:proofErr w:type="spellStart"/>
      <w:r w:rsidRPr="00B05124">
        <w:t>dealer</w:t>
      </w:r>
      <w:proofErr w:type="spellEnd"/>
      <w:r w:rsidRPr="00B05124">
        <w:t xml:space="preserve">, függetlenül attól, mely országban folytatja a tevékenységét, köteles az alábbi </w:t>
      </w:r>
      <w:r w:rsidR="003C1746">
        <w:t>3</w:t>
      </w:r>
      <w:r w:rsidRPr="00B05124">
        <w:t>. sz. táblázatban felsorolt 24 devizanemet érintő összes tranzakciót jelenteni. A felmérésben résztvevő jegybankoknak lehetőségük van az országukban jelentős további devizanemeket is bevonni az adatszolgáltatásba.</w:t>
      </w:r>
      <w:r w:rsidR="00E11655">
        <w:t xml:space="preserve"> Az aranyra vonatkozó tranzakciókat nem kell jelenteni. </w:t>
      </w:r>
    </w:p>
    <w:p w:rsidR="007532A9" w:rsidRPr="00B05124" w:rsidRDefault="008F3B9F" w:rsidP="00666ADE">
      <w:pPr>
        <w:pStyle w:val="TableTitle"/>
      </w:pPr>
      <w:r w:rsidRPr="00B05124">
        <w:t xml:space="preserve">Kötelezően jelentendő devizanemek </w:t>
      </w:r>
    </w:p>
    <w:tbl>
      <w:tblPr>
        <w:tblW w:w="7876"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9"/>
        <w:gridCol w:w="1969"/>
        <w:gridCol w:w="1969"/>
        <w:gridCol w:w="1969"/>
      </w:tblGrid>
      <w:tr w:rsidR="007532A9" w:rsidRPr="00B05124" w:rsidTr="007532A9">
        <w:tc>
          <w:tcPr>
            <w:tcW w:w="1969" w:type="dxa"/>
            <w:shd w:val="clear" w:color="auto" w:fill="auto"/>
          </w:tcPr>
          <w:p w:rsidR="007532A9" w:rsidRPr="00B05124" w:rsidRDefault="008F3B9F" w:rsidP="00666ADE">
            <w:pPr>
              <w:pStyle w:val="Paragraph"/>
            </w:pPr>
            <w:proofErr w:type="spellStart"/>
            <w:r w:rsidRPr="00B05124">
              <w:t>AUD</w:t>
            </w:r>
            <w:proofErr w:type="spellEnd"/>
          </w:p>
        </w:tc>
        <w:tc>
          <w:tcPr>
            <w:tcW w:w="1969" w:type="dxa"/>
            <w:shd w:val="clear" w:color="auto" w:fill="auto"/>
          </w:tcPr>
          <w:p w:rsidR="007532A9" w:rsidRPr="00B05124" w:rsidRDefault="008F3B9F" w:rsidP="00666ADE">
            <w:pPr>
              <w:pStyle w:val="Paragraph"/>
            </w:pPr>
            <w:r w:rsidRPr="00B05124">
              <w:t>EUR</w:t>
            </w:r>
          </w:p>
        </w:tc>
        <w:tc>
          <w:tcPr>
            <w:tcW w:w="1969" w:type="dxa"/>
            <w:shd w:val="clear" w:color="auto" w:fill="auto"/>
          </w:tcPr>
          <w:p w:rsidR="007532A9" w:rsidRPr="00B05124" w:rsidRDefault="008F3B9F" w:rsidP="00666ADE">
            <w:pPr>
              <w:pStyle w:val="Paragraph"/>
            </w:pPr>
            <w:proofErr w:type="spellStart"/>
            <w:r w:rsidRPr="00B05124">
              <w:t>KRW</w:t>
            </w:r>
            <w:proofErr w:type="spellEnd"/>
          </w:p>
        </w:tc>
        <w:tc>
          <w:tcPr>
            <w:tcW w:w="1969" w:type="dxa"/>
            <w:shd w:val="clear" w:color="auto" w:fill="auto"/>
          </w:tcPr>
          <w:p w:rsidR="007532A9" w:rsidRPr="00B05124" w:rsidRDefault="008F3B9F" w:rsidP="00666ADE">
            <w:pPr>
              <w:pStyle w:val="Paragraph"/>
            </w:pPr>
            <w:proofErr w:type="spellStart"/>
            <w:r w:rsidRPr="00B05124">
              <w:t>SEK</w:t>
            </w:r>
            <w:proofErr w:type="spellEnd"/>
          </w:p>
        </w:tc>
      </w:tr>
      <w:tr w:rsidR="007532A9" w:rsidRPr="00B05124" w:rsidTr="007532A9">
        <w:tc>
          <w:tcPr>
            <w:tcW w:w="1969" w:type="dxa"/>
            <w:shd w:val="clear" w:color="auto" w:fill="auto"/>
          </w:tcPr>
          <w:p w:rsidR="007532A9" w:rsidRPr="00B05124" w:rsidRDefault="008F3B9F" w:rsidP="00666ADE">
            <w:pPr>
              <w:pStyle w:val="Paragraph"/>
            </w:pPr>
            <w:proofErr w:type="spellStart"/>
            <w:r w:rsidRPr="00B05124">
              <w:t>BRL</w:t>
            </w:r>
            <w:proofErr w:type="spellEnd"/>
          </w:p>
        </w:tc>
        <w:tc>
          <w:tcPr>
            <w:tcW w:w="1969" w:type="dxa"/>
            <w:shd w:val="clear" w:color="auto" w:fill="auto"/>
          </w:tcPr>
          <w:p w:rsidR="007532A9" w:rsidRPr="00B05124" w:rsidRDefault="008F3B9F" w:rsidP="00666ADE">
            <w:pPr>
              <w:pStyle w:val="Paragraph"/>
            </w:pPr>
            <w:proofErr w:type="spellStart"/>
            <w:r w:rsidRPr="00B05124">
              <w:t>GBP</w:t>
            </w:r>
            <w:proofErr w:type="spellEnd"/>
          </w:p>
        </w:tc>
        <w:tc>
          <w:tcPr>
            <w:tcW w:w="1969" w:type="dxa"/>
            <w:shd w:val="clear" w:color="auto" w:fill="auto"/>
          </w:tcPr>
          <w:p w:rsidR="007532A9" w:rsidRPr="00B05124" w:rsidRDefault="008F3B9F" w:rsidP="00666ADE">
            <w:pPr>
              <w:pStyle w:val="Paragraph"/>
            </w:pPr>
            <w:proofErr w:type="spellStart"/>
            <w:r w:rsidRPr="00B05124">
              <w:t>MXN</w:t>
            </w:r>
            <w:proofErr w:type="spellEnd"/>
          </w:p>
        </w:tc>
        <w:tc>
          <w:tcPr>
            <w:tcW w:w="1969" w:type="dxa"/>
            <w:shd w:val="clear" w:color="auto" w:fill="auto"/>
          </w:tcPr>
          <w:p w:rsidR="007532A9" w:rsidRPr="00B05124" w:rsidRDefault="008F3B9F" w:rsidP="00666ADE">
            <w:pPr>
              <w:pStyle w:val="Paragraph"/>
            </w:pPr>
            <w:proofErr w:type="spellStart"/>
            <w:r w:rsidRPr="00B05124">
              <w:t>SGD</w:t>
            </w:r>
            <w:proofErr w:type="spellEnd"/>
          </w:p>
        </w:tc>
      </w:tr>
      <w:tr w:rsidR="007532A9" w:rsidRPr="00B05124" w:rsidTr="007532A9">
        <w:tc>
          <w:tcPr>
            <w:tcW w:w="1969" w:type="dxa"/>
            <w:shd w:val="clear" w:color="auto" w:fill="auto"/>
          </w:tcPr>
          <w:p w:rsidR="007532A9" w:rsidRPr="00B05124" w:rsidRDefault="008F3B9F" w:rsidP="00666ADE">
            <w:pPr>
              <w:pStyle w:val="Paragraph"/>
            </w:pPr>
            <w:proofErr w:type="spellStart"/>
            <w:r w:rsidRPr="00B05124">
              <w:t>CAD</w:t>
            </w:r>
            <w:proofErr w:type="spellEnd"/>
          </w:p>
        </w:tc>
        <w:tc>
          <w:tcPr>
            <w:tcW w:w="1969" w:type="dxa"/>
            <w:shd w:val="clear" w:color="auto" w:fill="auto"/>
          </w:tcPr>
          <w:p w:rsidR="007532A9" w:rsidRPr="00B05124" w:rsidRDefault="008F3B9F" w:rsidP="00666ADE">
            <w:pPr>
              <w:pStyle w:val="Paragraph"/>
            </w:pPr>
            <w:proofErr w:type="spellStart"/>
            <w:r w:rsidRPr="00B05124">
              <w:t>HKD</w:t>
            </w:r>
            <w:proofErr w:type="spellEnd"/>
          </w:p>
        </w:tc>
        <w:tc>
          <w:tcPr>
            <w:tcW w:w="1969" w:type="dxa"/>
            <w:shd w:val="clear" w:color="auto" w:fill="auto"/>
          </w:tcPr>
          <w:p w:rsidR="007532A9" w:rsidRPr="00B05124" w:rsidRDefault="008F3B9F" w:rsidP="00666ADE">
            <w:pPr>
              <w:pStyle w:val="Paragraph"/>
            </w:pPr>
            <w:proofErr w:type="spellStart"/>
            <w:r w:rsidRPr="00B05124">
              <w:t>NOK</w:t>
            </w:r>
            <w:proofErr w:type="spellEnd"/>
          </w:p>
        </w:tc>
        <w:tc>
          <w:tcPr>
            <w:tcW w:w="1969" w:type="dxa"/>
            <w:shd w:val="clear" w:color="auto" w:fill="auto"/>
          </w:tcPr>
          <w:p w:rsidR="007532A9" w:rsidRPr="00B05124" w:rsidRDefault="008F3B9F" w:rsidP="00666ADE">
            <w:pPr>
              <w:pStyle w:val="Paragraph"/>
            </w:pPr>
            <w:proofErr w:type="spellStart"/>
            <w:r w:rsidRPr="00B05124">
              <w:t>TRY</w:t>
            </w:r>
            <w:proofErr w:type="spellEnd"/>
          </w:p>
        </w:tc>
      </w:tr>
      <w:tr w:rsidR="007532A9" w:rsidRPr="00B05124" w:rsidTr="007532A9">
        <w:tc>
          <w:tcPr>
            <w:tcW w:w="1969" w:type="dxa"/>
            <w:shd w:val="clear" w:color="auto" w:fill="auto"/>
          </w:tcPr>
          <w:p w:rsidR="007532A9" w:rsidRPr="00B05124" w:rsidRDefault="008F3B9F" w:rsidP="00666ADE">
            <w:pPr>
              <w:pStyle w:val="Paragraph"/>
            </w:pPr>
            <w:r w:rsidRPr="00B05124">
              <w:t>CHF</w:t>
            </w:r>
          </w:p>
        </w:tc>
        <w:tc>
          <w:tcPr>
            <w:tcW w:w="1969" w:type="dxa"/>
            <w:shd w:val="clear" w:color="auto" w:fill="auto"/>
          </w:tcPr>
          <w:p w:rsidR="007532A9" w:rsidRPr="00B05124" w:rsidRDefault="008F3B9F" w:rsidP="00666ADE">
            <w:pPr>
              <w:pStyle w:val="Paragraph"/>
            </w:pPr>
            <w:r w:rsidRPr="00B05124">
              <w:t>HUF</w:t>
            </w:r>
          </w:p>
        </w:tc>
        <w:tc>
          <w:tcPr>
            <w:tcW w:w="1969" w:type="dxa"/>
            <w:shd w:val="clear" w:color="auto" w:fill="auto"/>
          </w:tcPr>
          <w:p w:rsidR="007532A9" w:rsidRPr="00B05124" w:rsidRDefault="008F3B9F" w:rsidP="00666ADE">
            <w:pPr>
              <w:pStyle w:val="Paragraph"/>
            </w:pPr>
            <w:proofErr w:type="spellStart"/>
            <w:r w:rsidRPr="00B05124">
              <w:t>NZD</w:t>
            </w:r>
            <w:proofErr w:type="spellEnd"/>
          </w:p>
        </w:tc>
        <w:tc>
          <w:tcPr>
            <w:tcW w:w="1969" w:type="dxa"/>
            <w:shd w:val="clear" w:color="auto" w:fill="auto"/>
          </w:tcPr>
          <w:p w:rsidR="007532A9" w:rsidRPr="00B05124" w:rsidRDefault="008F3B9F" w:rsidP="00666ADE">
            <w:pPr>
              <w:pStyle w:val="Paragraph"/>
            </w:pPr>
            <w:proofErr w:type="spellStart"/>
            <w:r w:rsidRPr="00B05124">
              <w:t>TWD</w:t>
            </w:r>
            <w:proofErr w:type="spellEnd"/>
          </w:p>
        </w:tc>
      </w:tr>
      <w:tr w:rsidR="007532A9" w:rsidRPr="00B05124" w:rsidTr="007532A9">
        <w:tc>
          <w:tcPr>
            <w:tcW w:w="1969" w:type="dxa"/>
            <w:shd w:val="clear" w:color="auto" w:fill="auto"/>
          </w:tcPr>
          <w:p w:rsidR="007532A9" w:rsidRPr="00B05124" w:rsidRDefault="008F3B9F" w:rsidP="00666ADE">
            <w:pPr>
              <w:pStyle w:val="Paragraph"/>
            </w:pPr>
            <w:r w:rsidRPr="00B05124">
              <w:t>CNY</w:t>
            </w:r>
            <w:r w:rsidRPr="00B05124">
              <w:rPr>
                <w:vertAlign w:val="superscript"/>
              </w:rPr>
              <w:t>1</w:t>
            </w:r>
          </w:p>
        </w:tc>
        <w:tc>
          <w:tcPr>
            <w:tcW w:w="1969" w:type="dxa"/>
            <w:shd w:val="clear" w:color="auto" w:fill="auto"/>
          </w:tcPr>
          <w:p w:rsidR="007532A9" w:rsidRPr="00B05124" w:rsidRDefault="008F3B9F" w:rsidP="00666ADE">
            <w:pPr>
              <w:pStyle w:val="Paragraph"/>
            </w:pPr>
            <w:proofErr w:type="spellStart"/>
            <w:r w:rsidRPr="00B05124">
              <w:t>INR</w:t>
            </w:r>
            <w:proofErr w:type="spellEnd"/>
          </w:p>
        </w:tc>
        <w:tc>
          <w:tcPr>
            <w:tcW w:w="1969" w:type="dxa"/>
            <w:shd w:val="clear" w:color="auto" w:fill="auto"/>
          </w:tcPr>
          <w:p w:rsidR="007532A9" w:rsidRPr="00B05124" w:rsidRDefault="008F3B9F" w:rsidP="00666ADE">
            <w:pPr>
              <w:pStyle w:val="Paragraph"/>
            </w:pPr>
            <w:proofErr w:type="spellStart"/>
            <w:r w:rsidRPr="00B05124">
              <w:t>PLN</w:t>
            </w:r>
            <w:proofErr w:type="spellEnd"/>
          </w:p>
        </w:tc>
        <w:tc>
          <w:tcPr>
            <w:tcW w:w="1969" w:type="dxa"/>
            <w:shd w:val="clear" w:color="auto" w:fill="auto"/>
          </w:tcPr>
          <w:p w:rsidR="007532A9" w:rsidRPr="00B05124" w:rsidRDefault="008F3B9F" w:rsidP="00666ADE">
            <w:pPr>
              <w:pStyle w:val="Paragraph"/>
            </w:pPr>
            <w:r w:rsidRPr="00B05124">
              <w:t>USD</w:t>
            </w:r>
          </w:p>
        </w:tc>
      </w:tr>
      <w:tr w:rsidR="007532A9" w:rsidRPr="00B05124" w:rsidTr="007532A9">
        <w:tc>
          <w:tcPr>
            <w:tcW w:w="1969" w:type="dxa"/>
            <w:shd w:val="clear" w:color="auto" w:fill="auto"/>
          </w:tcPr>
          <w:p w:rsidR="007532A9" w:rsidRPr="00B05124" w:rsidRDefault="008F3B9F" w:rsidP="00666ADE">
            <w:pPr>
              <w:pStyle w:val="Paragraph"/>
            </w:pPr>
            <w:proofErr w:type="spellStart"/>
            <w:r w:rsidRPr="00B05124">
              <w:t>DKK</w:t>
            </w:r>
            <w:proofErr w:type="spellEnd"/>
          </w:p>
        </w:tc>
        <w:tc>
          <w:tcPr>
            <w:tcW w:w="1969" w:type="dxa"/>
            <w:shd w:val="clear" w:color="auto" w:fill="auto"/>
          </w:tcPr>
          <w:p w:rsidR="007532A9" w:rsidRPr="00B05124" w:rsidRDefault="008F3B9F" w:rsidP="00666ADE">
            <w:pPr>
              <w:pStyle w:val="Paragraph"/>
            </w:pPr>
            <w:proofErr w:type="spellStart"/>
            <w:r w:rsidRPr="00B05124">
              <w:t>JPY</w:t>
            </w:r>
            <w:proofErr w:type="spellEnd"/>
          </w:p>
        </w:tc>
        <w:tc>
          <w:tcPr>
            <w:tcW w:w="1969" w:type="dxa"/>
            <w:shd w:val="clear" w:color="auto" w:fill="auto"/>
          </w:tcPr>
          <w:p w:rsidR="007532A9" w:rsidRPr="00B05124" w:rsidRDefault="008F3B9F" w:rsidP="00666ADE">
            <w:pPr>
              <w:pStyle w:val="Paragraph"/>
            </w:pPr>
            <w:proofErr w:type="spellStart"/>
            <w:r w:rsidRPr="00B05124">
              <w:t>RUB</w:t>
            </w:r>
            <w:proofErr w:type="spellEnd"/>
          </w:p>
        </w:tc>
        <w:tc>
          <w:tcPr>
            <w:tcW w:w="1969" w:type="dxa"/>
            <w:shd w:val="clear" w:color="auto" w:fill="auto"/>
          </w:tcPr>
          <w:p w:rsidR="007532A9" w:rsidRPr="00B05124" w:rsidRDefault="008F3B9F" w:rsidP="00666ADE">
            <w:pPr>
              <w:pStyle w:val="Paragraph"/>
            </w:pPr>
            <w:proofErr w:type="spellStart"/>
            <w:r w:rsidRPr="00B05124">
              <w:t>ZAR</w:t>
            </w:r>
            <w:proofErr w:type="spellEnd"/>
          </w:p>
        </w:tc>
      </w:tr>
      <w:tr w:rsidR="007532A9" w:rsidRPr="00B05124" w:rsidTr="007532A9">
        <w:tc>
          <w:tcPr>
            <w:tcW w:w="7876" w:type="dxa"/>
            <w:gridSpan w:val="4"/>
            <w:shd w:val="clear" w:color="auto" w:fill="auto"/>
          </w:tcPr>
          <w:p w:rsidR="00700AB0" w:rsidRPr="00B05124" w:rsidRDefault="00700AB0" w:rsidP="00666ADE">
            <w:pPr>
              <w:pStyle w:val="Paragraph"/>
            </w:pPr>
            <w:r w:rsidRPr="00B05124">
              <w:rPr>
                <w:vertAlign w:val="superscript"/>
              </w:rPr>
              <w:t>1</w:t>
            </w:r>
            <w:r w:rsidRPr="00B05124">
              <w:t xml:space="preserve"> Az általában </w:t>
            </w:r>
            <w:proofErr w:type="spellStart"/>
            <w:r w:rsidRPr="00B05124">
              <w:t>CNH</w:t>
            </w:r>
            <w:proofErr w:type="spellEnd"/>
            <w:r w:rsidRPr="00B05124">
              <w:t xml:space="preserve">-ban meghatározott offshore tranzakciókat is tartalmazza. </w:t>
            </w:r>
          </w:p>
          <w:p w:rsidR="007532A9" w:rsidRPr="00B05124" w:rsidRDefault="003C1746" w:rsidP="00666ADE">
            <w:pPr>
              <w:pStyle w:val="Paragraph"/>
            </w:pPr>
            <w:r>
              <w:t>3</w:t>
            </w:r>
            <w:r w:rsidR="00700AB0" w:rsidRPr="00B05124">
              <w:t>. sz. táblázat</w:t>
            </w:r>
          </w:p>
        </w:tc>
      </w:tr>
    </w:tbl>
    <w:p w:rsidR="007532A9" w:rsidRPr="00B05124" w:rsidRDefault="007532A9" w:rsidP="00666ADE">
      <w:pPr>
        <w:pStyle w:val="Paragraph"/>
      </w:pPr>
    </w:p>
    <w:p w:rsidR="00026A60" w:rsidRPr="00B05124" w:rsidRDefault="00026A60" w:rsidP="00666ADE">
      <w:pPr>
        <w:pStyle w:val="Paragraph"/>
      </w:pPr>
      <w:r w:rsidRPr="00B05124">
        <w:t xml:space="preserve">A jelentő </w:t>
      </w:r>
      <w:proofErr w:type="spellStart"/>
      <w:r w:rsidRPr="00B05124">
        <w:t>dealerek</w:t>
      </w:r>
      <w:proofErr w:type="spellEnd"/>
      <w:r w:rsidRPr="00B05124">
        <w:t xml:space="preserve"> kötelesek az alábbi </w:t>
      </w:r>
      <w:r w:rsidR="006E2AAD">
        <w:t>4</w:t>
      </w:r>
      <w:r w:rsidRPr="00B05124">
        <w:t xml:space="preserve">. sz. táblázatban jelzett válogatott devizapárokat külön jelenteni. </w:t>
      </w:r>
    </w:p>
    <w:p w:rsidR="007532A9" w:rsidRPr="00B05124" w:rsidRDefault="00026A60" w:rsidP="00666ADE">
      <w:pPr>
        <w:pStyle w:val="TableTitle"/>
      </w:pPr>
      <w:r w:rsidRPr="00B05124">
        <w:t>Az A1-A3 táblázat sablonok devizapárjai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1545"/>
        <w:gridCol w:w="1567"/>
        <w:gridCol w:w="1546"/>
        <w:gridCol w:w="1546"/>
        <w:gridCol w:w="1422"/>
      </w:tblGrid>
      <w:tr w:rsidR="007532A9" w:rsidRPr="00B05124" w:rsidTr="007532A9">
        <w:tc>
          <w:tcPr>
            <w:tcW w:w="1662" w:type="dxa"/>
            <w:shd w:val="clear" w:color="auto" w:fill="auto"/>
            <w:vAlign w:val="center"/>
          </w:tcPr>
          <w:p w:rsidR="007532A9" w:rsidRPr="00B05124" w:rsidRDefault="007532A9" w:rsidP="00666ADE">
            <w:pPr>
              <w:pStyle w:val="Paragraph"/>
            </w:pPr>
          </w:p>
        </w:tc>
        <w:tc>
          <w:tcPr>
            <w:tcW w:w="1545" w:type="dxa"/>
            <w:shd w:val="clear" w:color="auto" w:fill="auto"/>
            <w:vAlign w:val="bottom"/>
          </w:tcPr>
          <w:p w:rsidR="00BA7F87" w:rsidRPr="00832E8A" w:rsidRDefault="00BA7F87" w:rsidP="00832E8A">
            <w:pPr>
              <w:pStyle w:val="Paragraph"/>
              <w:jc w:val="center"/>
              <w:rPr>
                <w:b/>
                <w:sz w:val="18"/>
                <w:szCs w:val="18"/>
              </w:rPr>
            </w:pPr>
            <w:r w:rsidRPr="00832E8A">
              <w:rPr>
                <w:b/>
                <w:sz w:val="18"/>
                <w:szCs w:val="18"/>
              </w:rPr>
              <w:t>Hazai valuta a következő devizákkal szemben</w:t>
            </w:r>
          </w:p>
          <w:p w:rsidR="007532A9" w:rsidRPr="00832E8A" w:rsidRDefault="00BA7F87" w:rsidP="00832E8A">
            <w:pPr>
              <w:pStyle w:val="Paragraph"/>
              <w:jc w:val="center"/>
              <w:rPr>
                <w:b/>
                <w:sz w:val="18"/>
                <w:szCs w:val="18"/>
              </w:rPr>
            </w:pPr>
            <w:r w:rsidRPr="00832E8A">
              <w:rPr>
                <w:b/>
                <w:sz w:val="18"/>
                <w:szCs w:val="18"/>
              </w:rPr>
              <w:t>(A1 táblázat)</w:t>
            </w:r>
          </w:p>
        </w:tc>
        <w:tc>
          <w:tcPr>
            <w:tcW w:w="1567" w:type="dxa"/>
            <w:shd w:val="clear" w:color="auto" w:fill="auto"/>
            <w:vAlign w:val="center"/>
          </w:tcPr>
          <w:p w:rsidR="00BA7F87" w:rsidRPr="00832E8A" w:rsidRDefault="00BA7F87" w:rsidP="00832E8A">
            <w:pPr>
              <w:pStyle w:val="Paragraph"/>
              <w:jc w:val="center"/>
              <w:rPr>
                <w:b/>
                <w:sz w:val="18"/>
                <w:szCs w:val="18"/>
              </w:rPr>
            </w:pPr>
            <w:r w:rsidRPr="00832E8A">
              <w:rPr>
                <w:b/>
                <w:sz w:val="18"/>
                <w:szCs w:val="18"/>
              </w:rPr>
              <w:t>USD a következő devizákkal szemben</w:t>
            </w:r>
          </w:p>
          <w:p w:rsidR="007532A9" w:rsidRPr="00832E8A" w:rsidRDefault="00BA7F87" w:rsidP="00832E8A">
            <w:pPr>
              <w:pStyle w:val="Paragraph"/>
              <w:jc w:val="center"/>
              <w:rPr>
                <w:b/>
                <w:sz w:val="18"/>
                <w:szCs w:val="18"/>
              </w:rPr>
            </w:pPr>
            <w:r w:rsidRPr="00832E8A">
              <w:rPr>
                <w:b/>
                <w:sz w:val="18"/>
                <w:szCs w:val="18"/>
              </w:rPr>
              <w:t>(A2 táblázat)</w:t>
            </w:r>
          </w:p>
        </w:tc>
        <w:tc>
          <w:tcPr>
            <w:tcW w:w="1546" w:type="dxa"/>
            <w:shd w:val="clear" w:color="auto" w:fill="auto"/>
            <w:vAlign w:val="center"/>
          </w:tcPr>
          <w:p w:rsidR="00BA7F87" w:rsidRPr="00832E8A" w:rsidRDefault="00BA7F87" w:rsidP="00832E8A">
            <w:pPr>
              <w:pStyle w:val="Paragraph"/>
              <w:jc w:val="center"/>
              <w:rPr>
                <w:b/>
                <w:sz w:val="18"/>
                <w:szCs w:val="18"/>
              </w:rPr>
            </w:pPr>
            <w:r w:rsidRPr="00832E8A">
              <w:rPr>
                <w:b/>
                <w:sz w:val="18"/>
                <w:szCs w:val="18"/>
              </w:rPr>
              <w:t>EUR a következő devizákkal szemben</w:t>
            </w:r>
          </w:p>
          <w:p w:rsidR="007532A9" w:rsidRPr="00832E8A" w:rsidRDefault="00BA7F87" w:rsidP="00832E8A">
            <w:pPr>
              <w:pStyle w:val="Paragraph"/>
              <w:jc w:val="center"/>
              <w:rPr>
                <w:b/>
                <w:sz w:val="18"/>
                <w:szCs w:val="18"/>
              </w:rPr>
            </w:pPr>
            <w:r w:rsidRPr="00832E8A">
              <w:rPr>
                <w:b/>
                <w:sz w:val="18"/>
                <w:szCs w:val="18"/>
              </w:rPr>
              <w:t>(A3 táblázat)</w:t>
            </w:r>
          </w:p>
        </w:tc>
        <w:tc>
          <w:tcPr>
            <w:tcW w:w="1546" w:type="dxa"/>
            <w:shd w:val="clear" w:color="auto" w:fill="auto"/>
            <w:vAlign w:val="center"/>
          </w:tcPr>
          <w:p w:rsidR="00BA7F87" w:rsidRPr="00832E8A" w:rsidRDefault="00BA7F87" w:rsidP="00832E8A">
            <w:pPr>
              <w:pStyle w:val="Paragraph"/>
              <w:jc w:val="center"/>
              <w:rPr>
                <w:b/>
                <w:sz w:val="18"/>
                <w:szCs w:val="18"/>
              </w:rPr>
            </w:pPr>
            <w:proofErr w:type="spellStart"/>
            <w:r w:rsidRPr="00832E8A">
              <w:rPr>
                <w:b/>
                <w:sz w:val="18"/>
                <w:szCs w:val="18"/>
              </w:rPr>
              <w:t>JPY</w:t>
            </w:r>
            <w:proofErr w:type="spellEnd"/>
            <w:r w:rsidRPr="00832E8A">
              <w:rPr>
                <w:b/>
                <w:sz w:val="18"/>
                <w:szCs w:val="18"/>
              </w:rPr>
              <w:t xml:space="preserve"> a következő devizákkal szemben</w:t>
            </w:r>
          </w:p>
          <w:p w:rsidR="007532A9" w:rsidRPr="00832E8A" w:rsidRDefault="00BA7F87" w:rsidP="00832E8A">
            <w:pPr>
              <w:pStyle w:val="Paragraph"/>
              <w:jc w:val="center"/>
              <w:rPr>
                <w:b/>
                <w:sz w:val="18"/>
                <w:szCs w:val="18"/>
              </w:rPr>
            </w:pPr>
            <w:r w:rsidRPr="00832E8A">
              <w:rPr>
                <w:b/>
                <w:sz w:val="18"/>
                <w:szCs w:val="18"/>
              </w:rPr>
              <w:t>(A3 táblázat)</w:t>
            </w:r>
          </w:p>
        </w:tc>
        <w:tc>
          <w:tcPr>
            <w:tcW w:w="1422" w:type="dxa"/>
            <w:shd w:val="clear" w:color="auto" w:fill="auto"/>
          </w:tcPr>
          <w:p w:rsidR="00342182" w:rsidRPr="00832E8A" w:rsidRDefault="00342182" w:rsidP="00832E8A">
            <w:pPr>
              <w:pStyle w:val="Paragraph"/>
              <w:jc w:val="center"/>
              <w:rPr>
                <w:b/>
                <w:sz w:val="18"/>
                <w:szCs w:val="18"/>
              </w:rPr>
            </w:pPr>
            <w:r w:rsidRPr="00832E8A">
              <w:rPr>
                <w:b/>
                <w:sz w:val="18"/>
                <w:szCs w:val="18"/>
              </w:rPr>
              <w:t>Többi devizanem</w:t>
            </w:r>
            <w:r w:rsidRPr="00832E8A">
              <w:rPr>
                <w:b/>
                <w:sz w:val="18"/>
                <w:szCs w:val="18"/>
                <w:vertAlign w:val="superscript"/>
              </w:rPr>
              <w:t>1</w:t>
            </w:r>
          </w:p>
          <w:p w:rsidR="007532A9" w:rsidRPr="00832E8A" w:rsidRDefault="00BA7F87" w:rsidP="00832E8A">
            <w:pPr>
              <w:pStyle w:val="Paragraph"/>
              <w:jc w:val="center"/>
              <w:rPr>
                <w:b/>
                <w:sz w:val="18"/>
                <w:szCs w:val="18"/>
              </w:rPr>
            </w:pPr>
            <w:r w:rsidRPr="00832E8A">
              <w:rPr>
                <w:b/>
                <w:sz w:val="18"/>
                <w:szCs w:val="18"/>
              </w:rPr>
              <w:t>(A3 táblázat)</w:t>
            </w:r>
          </w:p>
        </w:tc>
      </w:tr>
      <w:tr w:rsidR="007532A9" w:rsidRPr="00B05124" w:rsidTr="007532A9">
        <w:tc>
          <w:tcPr>
            <w:tcW w:w="1662" w:type="dxa"/>
            <w:shd w:val="clear" w:color="auto" w:fill="auto"/>
          </w:tcPr>
          <w:p w:rsidR="007532A9" w:rsidRPr="00832E8A" w:rsidRDefault="00BA7F87" w:rsidP="00666ADE">
            <w:pPr>
              <w:pStyle w:val="Paragraph"/>
              <w:rPr>
                <w:b/>
                <w:sz w:val="18"/>
                <w:szCs w:val="18"/>
              </w:rPr>
            </w:pPr>
            <w:r w:rsidRPr="00832E8A">
              <w:rPr>
                <w:b/>
                <w:sz w:val="18"/>
                <w:szCs w:val="18"/>
              </w:rPr>
              <w:t>G8 devizák</w:t>
            </w:r>
          </w:p>
        </w:tc>
        <w:tc>
          <w:tcPr>
            <w:tcW w:w="1545" w:type="dxa"/>
            <w:shd w:val="clear" w:color="auto" w:fill="auto"/>
          </w:tcPr>
          <w:p w:rsidR="007532A9" w:rsidRPr="00B05124" w:rsidRDefault="00BA7F87" w:rsidP="00832E8A">
            <w:pPr>
              <w:pStyle w:val="TableNote"/>
              <w:jc w:val="left"/>
            </w:pPr>
            <w:proofErr w:type="spellStart"/>
            <w:r w:rsidRPr="00B05124">
              <w:t>AUD</w:t>
            </w:r>
            <w:proofErr w:type="spellEnd"/>
            <w:r w:rsidRPr="00B05124">
              <w:t xml:space="preserve">, </w:t>
            </w:r>
            <w:proofErr w:type="spellStart"/>
            <w:r w:rsidRPr="00B05124">
              <w:t>CAD</w:t>
            </w:r>
            <w:proofErr w:type="spellEnd"/>
            <w:r w:rsidRPr="00B05124">
              <w:t xml:space="preserve">, CHF, EUR, </w:t>
            </w:r>
            <w:proofErr w:type="spellStart"/>
            <w:r w:rsidRPr="00B05124">
              <w:t>GBP</w:t>
            </w:r>
            <w:proofErr w:type="spellEnd"/>
            <w:r w:rsidRPr="00B05124">
              <w:t xml:space="preserve">, </w:t>
            </w:r>
            <w:proofErr w:type="spellStart"/>
            <w:r w:rsidRPr="00B05124">
              <w:t>JPY</w:t>
            </w:r>
            <w:proofErr w:type="spellEnd"/>
            <w:r w:rsidRPr="00B05124">
              <w:t xml:space="preserve">, </w:t>
            </w:r>
            <w:proofErr w:type="spellStart"/>
            <w:r w:rsidRPr="00B05124">
              <w:t>SEK</w:t>
            </w:r>
            <w:proofErr w:type="spellEnd"/>
            <w:r w:rsidRPr="00B05124">
              <w:t xml:space="preserve">, USD </w:t>
            </w:r>
          </w:p>
        </w:tc>
        <w:tc>
          <w:tcPr>
            <w:tcW w:w="1567" w:type="dxa"/>
            <w:shd w:val="clear" w:color="auto" w:fill="auto"/>
          </w:tcPr>
          <w:p w:rsidR="007532A9" w:rsidRPr="00B05124" w:rsidRDefault="00BA7F87" w:rsidP="00832E8A">
            <w:pPr>
              <w:pStyle w:val="TableNote"/>
              <w:jc w:val="left"/>
            </w:pPr>
            <w:proofErr w:type="spellStart"/>
            <w:r w:rsidRPr="00B05124">
              <w:t>AUD</w:t>
            </w:r>
            <w:proofErr w:type="spellEnd"/>
            <w:r w:rsidRPr="00B05124">
              <w:t xml:space="preserve">, </w:t>
            </w:r>
            <w:proofErr w:type="spellStart"/>
            <w:r w:rsidRPr="00B05124">
              <w:t>CAD</w:t>
            </w:r>
            <w:proofErr w:type="spellEnd"/>
            <w:r w:rsidRPr="00B05124">
              <w:t xml:space="preserve">, CHF, EUR, </w:t>
            </w:r>
            <w:proofErr w:type="spellStart"/>
            <w:r w:rsidRPr="00B05124">
              <w:t>GBP</w:t>
            </w:r>
            <w:proofErr w:type="spellEnd"/>
            <w:r w:rsidRPr="00B05124">
              <w:t xml:space="preserve">, </w:t>
            </w:r>
            <w:proofErr w:type="spellStart"/>
            <w:r w:rsidRPr="00B05124">
              <w:t>JPY</w:t>
            </w:r>
            <w:proofErr w:type="spellEnd"/>
            <w:r w:rsidRPr="00B05124">
              <w:t xml:space="preserve">, </w:t>
            </w:r>
            <w:proofErr w:type="spellStart"/>
            <w:r w:rsidRPr="00B05124">
              <w:t>SEK</w:t>
            </w:r>
            <w:proofErr w:type="spellEnd"/>
            <w:r w:rsidRPr="00B05124">
              <w:t xml:space="preserve">,  </w:t>
            </w:r>
          </w:p>
        </w:tc>
        <w:tc>
          <w:tcPr>
            <w:tcW w:w="1546" w:type="dxa"/>
            <w:shd w:val="clear" w:color="auto" w:fill="auto"/>
          </w:tcPr>
          <w:p w:rsidR="007532A9" w:rsidRPr="00B05124" w:rsidRDefault="00BA7F87" w:rsidP="00832E8A">
            <w:pPr>
              <w:pStyle w:val="TableNote"/>
              <w:jc w:val="left"/>
            </w:pPr>
            <w:proofErr w:type="spellStart"/>
            <w:r w:rsidRPr="00B05124">
              <w:t>AUD</w:t>
            </w:r>
            <w:proofErr w:type="spellEnd"/>
            <w:r w:rsidRPr="00B05124">
              <w:t xml:space="preserve">, </w:t>
            </w:r>
            <w:proofErr w:type="spellStart"/>
            <w:r w:rsidRPr="00B05124">
              <w:t>CAD</w:t>
            </w:r>
            <w:proofErr w:type="spellEnd"/>
            <w:r w:rsidRPr="00B05124">
              <w:t xml:space="preserve">, CHF, </w:t>
            </w:r>
            <w:proofErr w:type="spellStart"/>
            <w:r w:rsidRPr="00B05124">
              <w:t>GBP</w:t>
            </w:r>
            <w:proofErr w:type="spellEnd"/>
            <w:r w:rsidRPr="00B05124">
              <w:t xml:space="preserve">, </w:t>
            </w:r>
            <w:proofErr w:type="spellStart"/>
            <w:r w:rsidRPr="00B05124">
              <w:t>JPY</w:t>
            </w:r>
            <w:proofErr w:type="spellEnd"/>
            <w:r w:rsidRPr="00B05124">
              <w:t xml:space="preserve">, </w:t>
            </w:r>
            <w:proofErr w:type="spellStart"/>
            <w:r w:rsidRPr="00B05124">
              <w:t>SEK</w:t>
            </w:r>
            <w:proofErr w:type="spellEnd"/>
            <w:r w:rsidRPr="00B05124">
              <w:t xml:space="preserve"> </w:t>
            </w:r>
          </w:p>
        </w:tc>
        <w:tc>
          <w:tcPr>
            <w:tcW w:w="1546" w:type="dxa"/>
            <w:shd w:val="clear" w:color="auto" w:fill="auto"/>
          </w:tcPr>
          <w:p w:rsidR="007532A9" w:rsidRPr="00B05124" w:rsidRDefault="00BA7F87" w:rsidP="00832E8A">
            <w:pPr>
              <w:pStyle w:val="TableNote"/>
              <w:jc w:val="left"/>
            </w:pPr>
            <w:bookmarkStart w:id="24" w:name="OLE_LINK4"/>
            <w:bookmarkStart w:id="25" w:name="OLE_LINK5"/>
            <w:bookmarkStart w:id="26" w:name="OLE_LINK1"/>
            <w:bookmarkStart w:id="27" w:name="OLE_LINK2"/>
            <w:proofErr w:type="spellStart"/>
            <w:r w:rsidRPr="00B05124">
              <w:t>AUD</w:t>
            </w:r>
            <w:proofErr w:type="spellEnd"/>
            <w:r w:rsidRPr="00B05124">
              <w:t xml:space="preserve">, </w:t>
            </w:r>
            <w:proofErr w:type="spellStart"/>
            <w:r w:rsidRPr="00B05124">
              <w:t>CAD</w:t>
            </w:r>
            <w:bookmarkEnd w:id="24"/>
            <w:bookmarkEnd w:id="25"/>
            <w:bookmarkEnd w:id="26"/>
            <w:bookmarkEnd w:id="27"/>
            <w:proofErr w:type="spellEnd"/>
          </w:p>
        </w:tc>
        <w:tc>
          <w:tcPr>
            <w:tcW w:w="1422" w:type="dxa"/>
            <w:shd w:val="clear" w:color="auto" w:fill="auto"/>
          </w:tcPr>
          <w:p w:rsidR="007532A9" w:rsidRPr="00B05124" w:rsidRDefault="007532A9" w:rsidP="00666ADE">
            <w:pPr>
              <w:pStyle w:val="TableNote"/>
            </w:pPr>
          </w:p>
        </w:tc>
      </w:tr>
      <w:tr w:rsidR="007532A9" w:rsidRPr="00B05124" w:rsidTr="007532A9">
        <w:tc>
          <w:tcPr>
            <w:tcW w:w="1662" w:type="dxa"/>
            <w:shd w:val="clear" w:color="auto" w:fill="auto"/>
          </w:tcPr>
          <w:p w:rsidR="007532A9" w:rsidRPr="00832E8A" w:rsidRDefault="00BA7F87" w:rsidP="00666ADE">
            <w:pPr>
              <w:pStyle w:val="Paragraph"/>
              <w:rPr>
                <w:b/>
                <w:sz w:val="18"/>
                <w:szCs w:val="18"/>
              </w:rPr>
            </w:pPr>
            <w:r w:rsidRPr="00832E8A">
              <w:rPr>
                <w:b/>
                <w:sz w:val="18"/>
                <w:szCs w:val="18"/>
              </w:rPr>
              <w:t>Nem G8 devizák</w:t>
            </w:r>
          </w:p>
        </w:tc>
        <w:tc>
          <w:tcPr>
            <w:tcW w:w="1545" w:type="dxa"/>
            <w:shd w:val="clear" w:color="auto" w:fill="auto"/>
          </w:tcPr>
          <w:p w:rsidR="007532A9" w:rsidRPr="00B05124" w:rsidRDefault="007532A9" w:rsidP="00832E8A">
            <w:pPr>
              <w:pStyle w:val="Paragraph"/>
              <w:jc w:val="left"/>
            </w:pPr>
          </w:p>
        </w:tc>
        <w:tc>
          <w:tcPr>
            <w:tcW w:w="1567" w:type="dxa"/>
            <w:shd w:val="clear" w:color="auto" w:fill="auto"/>
          </w:tcPr>
          <w:p w:rsidR="007532A9" w:rsidRPr="00B05124" w:rsidRDefault="00BA7F87" w:rsidP="00832E8A">
            <w:pPr>
              <w:pStyle w:val="TableNote"/>
              <w:jc w:val="left"/>
            </w:pPr>
            <w:proofErr w:type="spellStart"/>
            <w:r w:rsidRPr="00B05124">
              <w:t>BRL</w:t>
            </w:r>
            <w:proofErr w:type="spellEnd"/>
            <w:r w:rsidRPr="00B05124">
              <w:t xml:space="preserve">, </w:t>
            </w:r>
            <w:proofErr w:type="spellStart"/>
            <w:r w:rsidRPr="00B05124">
              <w:t>CNY</w:t>
            </w:r>
            <w:proofErr w:type="spellEnd"/>
            <w:r w:rsidRPr="00B05124">
              <w:t xml:space="preserve">, </w:t>
            </w:r>
            <w:proofErr w:type="spellStart"/>
            <w:r w:rsidRPr="00B05124">
              <w:t>HKD</w:t>
            </w:r>
            <w:proofErr w:type="spellEnd"/>
            <w:r w:rsidRPr="00B05124">
              <w:t xml:space="preserve">, </w:t>
            </w:r>
            <w:proofErr w:type="spellStart"/>
            <w:r w:rsidRPr="00B05124">
              <w:t>INR</w:t>
            </w:r>
            <w:proofErr w:type="spellEnd"/>
            <w:r w:rsidRPr="00B05124">
              <w:t xml:space="preserve">, </w:t>
            </w:r>
            <w:proofErr w:type="spellStart"/>
            <w:r w:rsidRPr="00B05124">
              <w:t>KRW</w:t>
            </w:r>
            <w:proofErr w:type="spellEnd"/>
            <w:r w:rsidRPr="00B05124">
              <w:t xml:space="preserve">, </w:t>
            </w:r>
            <w:proofErr w:type="spellStart"/>
            <w:r w:rsidRPr="00B05124">
              <w:t>MXN</w:t>
            </w:r>
            <w:proofErr w:type="spellEnd"/>
            <w:r w:rsidRPr="00B05124">
              <w:t xml:space="preserve">, </w:t>
            </w:r>
            <w:proofErr w:type="spellStart"/>
            <w:r w:rsidRPr="00B05124">
              <w:t>NOK</w:t>
            </w:r>
            <w:proofErr w:type="spellEnd"/>
            <w:r w:rsidRPr="00B05124">
              <w:t xml:space="preserve">, </w:t>
            </w:r>
            <w:proofErr w:type="spellStart"/>
            <w:r w:rsidRPr="00B05124">
              <w:t>NZD</w:t>
            </w:r>
            <w:proofErr w:type="spellEnd"/>
            <w:r w:rsidRPr="00B05124">
              <w:t xml:space="preserve">, </w:t>
            </w:r>
            <w:proofErr w:type="spellStart"/>
            <w:r w:rsidRPr="00B05124">
              <w:t>PLN</w:t>
            </w:r>
            <w:proofErr w:type="spellEnd"/>
            <w:r w:rsidRPr="00B05124">
              <w:t xml:space="preserve">, </w:t>
            </w:r>
            <w:proofErr w:type="spellStart"/>
            <w:r w:rsidRPr="00B05124">
              <w:t>RUB</w:t>
            </w:r>
            <w:proofErr w:type="spellEnd"/>
            <w:r w:rsidRPr="00B05124">
              <w:t xml:space="preserve">, </w:t>
            </w:r>
            <w:proofErr w:type="spellStart"/>
            <w:r w:rsidRPr="00B05124">
              <w:t>SGD</w:t>
            </w:r>
            <w:proofErr w:type="spellEnd"/>
            <w:r w:rsidRPr="00B05124">
              <w:t xml:space="preserve">, </w:t>
            </w:r>
            <w:proofErr w:type="spellStart"/>
            <w:r w:rsidRPr="00B05124">
              <w:t>TRY</w:t>
            </w:r>
            <w:proofErr w:type="spellEnd"/>
            <w:r w:rsidRPr="00B05124">
              <w:t xml:space="preserve">, </w:t>
            </w:r>
            <w:proofErr w:type="spellStart"/>
            <w:r w:rsidRPr="00B05124">
              <w:t>TWD</w:t>
            </w:r>
            <w:proofErr w:type="spellEnd"/>
            <w:r w:rsidRPr="00B05124">
              <w:t xml:space="preserve">, </w:t>
            </w:r>
            <w:proofErr w:type="spellStart"/>
            <w:r w:rsidRPr="00B05124">
              <w:t>ZAR</w:t>
            </w:r>
            <w:proofErr w:type="spellEnd"/>
          </w:p>
        </w:tc>
        <w:tc>
          <w:tcPr>
            <w:tcW w:w="1546" w:type="dxa"/>
            <w:shd w:val="clear" w:color="auto" w:fill="auto"/>
          </w:tcPr>
          <w:p w:rsidR="007532A9" w:rsidRPr="00B05124" w:rsidRDefault="00BA7F87" w:rsidP="00832E8A">
            <w:pPr>
              <w:pStyle w:val="TableNote"/>
              <w:jc w:val="left"/>
            </w:pPr>
            <w:proofErr w:type="spellStart"/>
            <w:r w:rsidRPr="00B05124">
              <w:t>CNY</w:t>
            </w:r>
            <w:proofErr w:type="spellEnd"/>
            <w:r w:rsidRPr="00B05124">
              <w:t xml:space="preserve">, </w:t>
            </w:r>
            <w:proofErr w:type="spellStart"/>
            <w:r w:rsidRPr="00B05124">
              <w:t>DKK</w:t>
            </w:r>
            <w:proofErr w:type="spellEnd"/>
            <w:r w:rsidRPr="00B05124">
              <w:t xml:space="preserve">, HUF, </w:t>
            </w:r>
            <w:proofErr w:type="spellStart"/>
            <w:r w:rsidRPr="00B05124">
              <w:t>NOK</w:t>
            </w:r>
            <w:proofErr w:type="spellEnd"/>
            <w:r w:rsidRPr="00B05124">
              <w:t xml:space="preserve">, </w:t>
            </w:r>
            <w:proofErr w:type="spellStart"/>
            <w:r w:rsidRPr="00B05124">
              <w:t>PLN</w:t>
            </w:r>
            <w:proofErr w:type="spellEnd"/>
            <w:r w:rsidRPr="00B05124">
              <w:t xml:space="preserve">, </w:t>
            </w:r>
            <w:proofErr w:type="spellStart"/>
            <w:r w:rsidRPr="00B05124">
              <w:t>TRY</w:t>
            </w:r>
            <w:proofErr w:type="spellEnd"/>
          </w:p>
        </w:tc>
        <w:tc>
          <w:tcPr>
            <w:tcW w:w="1546" w:type="dxa"/>
            <w:shd w:val="clear" w:color="auto" w:fill="auto"/>
          </w:tcPr>
          <w:p w:rsidR="007532A9" w:rsidRPr="00B05124" w:rsidRDefault="00BA7F87" w:rsidP="00832E8A">
            <w:pPr>
              <w:pStyle w:val="TableNote"/>
              <w:jc w:val="left"/>
            </w:pPr>
            <w:proofErr w:type="spellStart"/>
            <w:r w:rsidRPr="00B05124">
              <w:t>BRL</w:t>
            </w:r>
            <w:proofErr w:type="spellEnd"/>
            <w:r w:rsidRPr="00B05124">
              <w:t xml:space="preserve">, </w:t>
            </w:r>
            <w:proofErr w:type="spellStart"/>
            <w:r w:rsidRPr="00B05124">
              <w:t>NZD</w:t>
            </w:r>
            <w:proofErr w:type="spellEnd"/>
            <w:r w:rsidRPr="00B05124">
              <w:t xml:space="preserve">, </w:t>
            </w:r>
            <w:proofErr w:type="spellStart"/>
            <w:r w:rsidRPr="00B05124">
              <w:t>TRY</w:t>
            </w:r>
            <w:proofErr w:type="spellEnd"/>
            <w:r w:rsidRPr="00B05124">
              <w:t xml:space="preserve">, </w:t>
            </w:r>
            <w:proofErr w:type="spellStart"/>
            <w:r w:rsidRPr="00B05124">
              <w:t>ZAR</w:t>
            </w:r>
            <w:proofErr w:type="spellEnd"/>
          </w:p>
        </w:tc>
        <w:tc>
          <w:tcPr>
            <w:tcW w:w="1422" w:type="dxa"/>
            <w:shd w:val="clear" w:color="auto" w:fill="auto"/>
          </w:tcPr>
          <w:p w:rsidR="007532A9" w:rsidRPr="00B05124" w:rsidRDefault="007532A9" w:rsidP="00666ADE">
            <w:pPr>
              <w:pStyle w:val="TableNote"/>
            </w:pPr>
          </w:p>
        </w:tc>
      </w:tr>
      <w:tr w:rsidR="007532A9" w:rsidRPr="00B05124" w:rsidTr="007532A9">
        <w:tc>
          <w:tcPr>
            <w:tcW w:w="1662" w:type="dxa"/>
            <w:shd w:val="clear" w:color="auto" w:fill="auto"/>
          </w:tcPr>
          <w:p w:rsidR="007532A9" w:rsidRPr="00832E8A" w:rsidRDefault="00BA7F87" w:rsidP="00666ADE">
            <w:pPr>
              <w:pStyle w:val="Paragraph"/>
              <w:rPr>
                <w:b/>
                <w:sz w:val="18"/>
                <w:szCs w:val="18"/>
              </w:rPr>
            </w:pPr>
            <w:r w:rsidRPr="00832E8A">
              <w:rPr>
                <w:b/>
                <w:sz w:val="18"/>
                <w:szCs w:val="18"/>
              </w:rPr>
              <w:t>Egyéb</w:t>
            </w:r>
          </w:p>
        </w:tc>
        <w:tc>
          <w:tcPr>
            <w:tcW w:w="1545" w:type="dxa"/>
            <w:shd w:val="clear" w:color="auto" w:fill="auto"/>
          </w:tcPr>
          <w:p w:rsidR="007532A9" w:rsidRPr="00B05124" w:rsidRDefault="00BA7F87" w:rsidP="00666ADE">
            <w:pPr>
              <w:pStyle w:val="TableNote"/>
            </w:pPr>
            <w:r w:rsidRPr="00B05124">
              <w:t>Egyéb</w:t>
            </w:r>
            <w:r w:rsidRPr="00B05124">
              <w:rPr>
                <w:vertAlign w:val="superscript"/>
              </w:rPr>
              <w:t>2</w:t>
            </w:r>
          </w:p>
        </w:tc>
        <w:tc>
          <w:tcPr>
            <w:tcW w:w="1567" w:type="dxa"/>
            <w:shd w:val="clear" w:color="auto" w:fill="auto"/>
          </w:tcPr>
          <w:p w:rsidR="007532A9" w:rsidRPr="00B05124" w:rsidRDefault="00BA7F87" w:rsidP="00666ADE">
            <w:pPr>
              <w:pStyle w:val="TableNote"/>
            </w:pPr>
            <w:r w:rsidRPr="00B05124">
              <w:t>Egyéb</w:t>
            </w:r>
            <w:r w:rsidRPr="00B05124">
              <w:rPr>
                <w:vertAlign w:val="superscript"/>
              </w:rPr>
              <w:t>2</w:t>
            </w:r>
          </w:p>
        </w:tc>
        <w:tc>
          <w:tcPr>
            <w:tcW w:w="1546" w:type="dxa"/>
            <w:shd w:val="clear" w:color="auto" w:fill="auto"/>
          </w:tcPr>
          <w:p w:rsidR="007532A9" w:rsidRPr="00B05124" w:rsidRDefault="00BA7F87" w:rsidP="00666ADE">
            <w:pPr>
              <w:pStyle w:val="TableNote"/>
            </w:pPr>
            <w:r w:rsidRPr="00B05124">
              <w:t>Egyéb</w:t>
            </w:r>
            <w:r w:rsidRPr="00B05124">
              <w:rPr>
                <w:vertAlign w:val="superscript"/>
              </w:rPr>
              <w:t>2</w:t>
            </w:r>
          </w:p>
        </w:tc>
        <w:tc>
          <w:tcPr>
            <w:tcW w:w="1546" w:type="dxa"/>
            <w:shd w:val="clear" w:color="auto" w:fill="auto"/>
          </w:tcPr>
          <w:p w:rsidR="007532A9" w:rsidRPr="00B05124" w:rsidRDefault="00BA7F87" w:rsidP="00666ADE">
            <w:pPr>
              <w:pStyle w:val="TableNote"/>
            </w:pPr>
            <w:r w:rsidRPr="00B05124">
              <w:t>Egyéb</w:t>
            </w:r>
            <w:r w:rsidRPr="00B05124">
              <w:rPr>
                <w:vertAlign w:val="superscript"/>
              </w:rPr>
              <w:t>2</w:t>
            </w:r>
          </w:p>
        </w:tc>
        <w:tc>
          <w:tcPr>
            <w:tcW w:w="1422" w:type="dxa"/>
            <w:shd w:val="clear" w:color="auto" w:fill="auto"/>
          </w:tcPr>
          <w:p w:rsidR="007532A9" w:rsidRPr="00B05124" w:rsidRDefault="007532A9" w:rsidP="00666ADE">
            <w:pPr>
              <w:pStyle w:val="TableNote"/>
            </w:pPr>
          </w:p>
        </w:tc>
      </w:tr>
      <w:tr w:rsidR="007532A9" w:rsidRPr="00B05124" w:rsidTr="007532A9">
        <w:tc>
          <w:tcPr>
            <w:tcW w:w="9288" w:type="dxa"/>
            <w:gridSpan w:val="6"/>
            <w:shd w:val="clear" w:color="auto" w:fill="auto"/>
          </w:tcPr>
          <w:p w:rsidR="008308E4" w:rsidRDefault="00BA7F87" w:rsidP="006F54F9">
            <w:pPr>
              <w:pStyle w:val="TableNote"/>
              <w:spacing w:after="0"/>
              <w:rPr>
                <w:sz w:val="16"/>
                <w:szCs w:val="16"/>
              </w:rPr>
            </w:pPr>
            <w:r w:rsidRPr="00832E8A">
              <w:rPr>
                <w:sz w:val="16"/>
                <w:szCs w:val="16"/>
                <w:vertAlign w:val="superscript"/>
              </w:rPr>
              <w:t>1</w:t>
            </w:r>
            <w:r w:rsidRPr="00832E8A">
              <w:rPr>
                <w:sz w:val="16"/>
                <w:szCs w:val="16"/>
              </w:rPr>
              <w:t xml:space="preserve"> Minden olyan tranzakció, amelynek egyik lába sem érinti a hazai valutát, az USD-t, az EUR-t vagy a </w:t>
            </w:r>
            <w:proofErr w:type="spellStart"/>
            <w:r w:rsidRPr="00832E8A">
              <w:rPr>
                <w:sz w:val="16"/>
                <w:szCs w:val="16"/>
              </w:rPr>
              <w:t>JPY</w:t>
            </w:r>
            <w:proofErr w:type="spellEnd"/>
            <w:r w:rsidRPr="00832E8A">
              <w:rPr>
                <w:sz w:val="16"/>
                <w:szCs w:val="16"/>
              </w:rPr>
              <w:t>-t.</w:t>
            </w:r>
            <w:r w:rsidR="002A6DDB" w:rsidRPr="00832E8A">
              <w:rPr>
                <w:sz w:val="16"/>
                <w:szCs w:val="16"/>
              </w:rPr>
              <w:t xml:space="preserve"> </w:t>
            </w:r>
          </w:p>
          <w:p w:rsidR="00BA7F87" w:rsidRPr="00832E8A" w:rsidRDefault="00BA7F87" w:rsidP="006F54F9">
            <w:pPr>
              <w:pStyle w:val="TableNote"/>
              <w:spacing w:after="0"/>
              <w:rPr>
                <w:sz w:val="16"/>
                <w:szCs w:val="16"/>
              </w:rPr>
            </w:pPr>
            <w:r w:rsidRPr="00832E8A">
              <w:rPr>
                <w:sz w:val="16"/>
                <w:szCs w:val="16"/>
                <w:vertAlign w:val="superscript"/>
              </w:rPr>
              <w:t>2</w:t>
            </w:r>
            <w:r w:rsidRPr="00832E8A">
              <w:rPr>
                <w:sz w:val="16"/>
                <w:szCs w:val="16"/>
              </w:rPr>
              <w:t xml:space="preserve"> Az „egyéb” a többi kereskedett valutanemet jelenti, amelyek a jelen táblázat egyik oszlopában sem kerültek nevesítésre.</w:t>
            </w:r>
          </w:p>
          <w:p w:rsidR="007532A9" w:rsidRPr="00B05124" w:rsidRDefault="006E2AAD" w:rsidP="006F54F9">
            <w:pPr>
              <w:pStyle w:val="TableNote"/>
              <w:spacing w:before="0" w:after="0"/>
              <w:jc w:val="right"/>
            </w:pPr>
            <w:r>
              <w:rPr>
                <w:sz w:val="16"/>
                <w:szCs w:val="16"/>
              </w:rPr>
              <w:t>4</w:t>
            </w:r>
            <w:r w:rsidR="00BA7F87" w:rsidRPr="00832E8A">
              <w:rPr>
                <w:sz w:val="16"/>
                <w:szCs w:val="16"/>
              </w:rPr>
              <w:t>. sz. táblázat</w:t>
            </w:r>
          </w:p>
        </w:tc>
      </w:tr>
    </w:tbl>
    <w:p w:rsidR="00832E8A" w:rsidRDefault="00832E8A" w:rsidP="00666ADE">
      <w:pPr>
        <w:pStyle w:val="Paragraph"/>
      </w:pPr>
    </w:p>
    <w:p w:rsidR="00103711" w:rsidRPr="004049F3" w:rsidRDefault="00485022" w:rsidP="007B04D2">
      <w:pPr>
        <w:pStyle w:val="Paragraph"/>
      </w:pPr>
      <w:r>
        <w:t>E</w:t>
      </w:r>
      <w:r w:rsidR="00103711" w:rsidRPr="004049F3">
        <w:t>lőfordulhat</w:t>
      </w:r>
      <w:r>
        <w:t>nak</w:t>
      </w:r>
      <w:r w:rsidR="00103711" w:rsidRPr="004049F3">
        <w:t xml:space="preserve"> olyan eset</w:t>
      </w:r>
      <w:r>
        <w:t>ek is</w:t>
      </w:r>
      <w:r w:rsidR="00103711" w:rsidRPr="004049F3">
        <w:t xml:space="preserve">, </w:t>
      </w:r>
      <w:r>
        <w:t>amelyeknél</w:t>
      </w:r>
      <w:r w:rsidR="00103711" w:rsidRPr="004049F3">
        <w:t xml:space="preserve"> az adott kötés több táblázatba is besorolható</w:t>
      </w:r>
      <w:r>
        <w:t xml:space="preserve"> </w:t>
      </w:r>
      <w:r w:rsidR="002360B8" w:rsidRPr="004049F3">
        <w:t>(A1 és A2/A3</w:t>
      </w:r>
      <w:r>
        <w:t xml:space="preserve"> táblába is</w:t>
      </w:r>
      <w:r w:rsidR="002360B8" w:rsidRPr="004049F3">
        <w:t>)</w:t>
      </w:r>
      <w:r w:rsidR="00103711" w:rsidRPr="004049F3">
        <w:t>.</w:t>
      </w:r>
    </w:p>
    <w:p w:rsidR="002360B8" w:rsidRPr="004049F3" w:rsidRDefault="00103711" w:rsidP="007B04D2">
      <w:pPr>
        <w:pStyle w:val="Paragraph"/>
        <w:rPr>
          <w:b/>
          <w:i/>
        </w:rPr>
      </w:pPr>
      <w:r w:rsidRPr="004049F3">
        <w:rPr>
          <w:b/>
          <w:i/>
        </w:rPr>
        <w:t>Pél</w:t>
      </w:r>
      <w:r w:rsidR="002E67D0" w:rsidRPr="004049F3">
        <w:rPr>
          <w:b/>
          <w:i/>
        </w:rPr>
        <w:t>da</w:t>
      </w:r>
      <w:r w:rsidRPr="004049F3">
        <w:rPr>
          <w:b/>
          <w:i/>
        </w:rPr>
        <w:t xml:space="preserve">: </w:t>
      </w:r>
    </w:p>
    <w:p w:rsidR="00FE1FD3" w:rsidRPr="004049F3" w:rsidRDefault="00103711" w:rsidP="00485022">
      <w:pPr>
        <w:pStyle w:val="Paragraph"/>
        <w:numPr>
          <w:ilvl w:val="0"/>
          <w:numId w:val="14"/>
        </w:numPr>
        <w:rPr>
          <w:i/>
          <w:sz w:val="20"/>
        </w:rPr>
      </w:pPr>
      <w:r w:rsidRPr="004049F3">
        <w:rPr>
          <w:i/>
          <w:sz w:val="20"/>
        </w:rPr>
        <w:t>HUF/EUR ügylet a hazai</w:t>
      </w:r>
      <w:r w:rsidR="002360B8" w:rsidRPr="004049F3">
        <w:rPr>
          <w:i/>
          <w:sz w:val="20"/>
        </w:rPr>
        <w:t xml:space="preserve"> (A1)</w:t>
      </w:r>
      <w:r w:rsidRPr="004049F3">
        <w:rPr>
          <w:i/>
          <w:sz w:val="20"/>
        </w:rPr>
        <w:t xml:space="preserve"> és az euróval szembeni </w:t>
      </w:r>
      <w:r w:rsidR="002360B8" w:rsidRPr="004049F3">
        <w:rPr>
          <w:i/>
          <w:sz w:val="20"/>
        </w:rPr>
        <w:t xml:space="preserve">(A3) </w:t>
      </w:r>
      <w:r w:rsidRPr="004049F3">
        <w:rPr>
          <w:i/>
          <w:sz w:val="20"/>
        </w:rPr>
        <w:t xml:space="preserve">táblázatba is sorolható, ilyen esetben az ügyletet csak a hazaivalutával szembeni </w:t>
      </w:r>
      <w:r w:rsidR="00FE1FD3">
        <w:rPr>
          <w:i/>
          <w:sz w:val="20"/>
        </w:rPr>
        <w:t>táblázatban (A1)</w:t>
      </w:r>
      <w:r w:rsidRPr="004049F3">
        <w:rPr>
          <w:i/>
          <w:sz w:val="20"/>
        </w:rPr>
        <w:t xml:space="preserve"> kell szerepeltetni.</w:t>
      </w:r>
      <w:r w:rsidR="0000026F">
        <w:rPr>
          <w:i/>
          <w:sz w:val="20"/>
        </w:rPr>
        <w:t xml:space="preserve"> </w:t>
      </w:r>
    </w:p>
    <w:p w:rsidR="00103711" w:rsidRPr="004049F3" w:rsidRDefault="002360B8" w:rsidP="004049F3">
      <w:pPr>
        <w:pStyle w:val="Paragraph"/>
        <w:numPr>
          <w:ilvl w:val="0"/>
          <w:numId w:val="14"/>
        </w:numPr>
        <w:rPr>
          <w:i/>
          <w:sz w:val="20"/>
        </w:rPr>
      </w:pPr>
      <w:r w:rsidRPr="004049F3">
        <w:rPr>
          <w:i/>
          <w:sz w:val="20"/>
        </w:rPr>
        <w:t xml:space="preserve">Az USD/EUR ügyleteket csak az USD táblázatban (A2) szükséges jelenteni. </w:t>
      </w:r>
    </w:p>
    <w:p w:rsidR="002360B8" w:rsidRPr="004049F3" w:rsidRDefault="002360B8" w:rsidP="007B04D2">
      <w:pPr>
        <w:pStyle w:val="Paragraph"/>
        <w:numPr>
          <w:ilvl w:val="0"/>
          <w:numId w:val="14"/>
        </w:numPr>
        <w:rPr>
          <w:i/>
          <w:sz w:val="20"/>
        </w:rPr>
      </w:pPr>
      <w:r w:rsidRPr="004049F3">
        <w:rPr>
          <w:i/>
          <w:sz w:val="20"/>
        </w:rPr>
        <w:t>Az EUR/</w:t>
      </w:r>
      <w:proofErr w:type="spellStart"/>
      <w:r w:rsidRPr="004049F3">
        <w:rPr>
          <w:i/>
          <w:sz w:val="20"/>
        </w:rPr>
        <w:t>JPY</w:t>
      </w:r>
      <w:proofErr w:type="spellEnd"/>
      <w:r w:rsidRPr="004049F3">
        <w:rPr>
          <w:i/>
          <w:sz w:val="20"/>
        </w:rPr>
        <w:t xml:space="preserve"> ügyleteket csak az EUR táblázatban (A3) szükséges jelenteni. </w:t>
      </w:r>
    </w:p>
    <w:p w:rsidR="00103711" w:rsidRPr="004049F3" w:rsidRDefault="00103711" w:rsidP="004049F3">
      <w:pPr>
        <w:pStyle w:val="Paragraph"/>
        <w:ind w:left="814"/>
        <w:rPr>
          <w:rFonts w:cs="Arial"/>
          <w:color w:val="222222"/>
        </w:rPr>
      </w:pPr>
    </w:p>
    <w:p w:rsidR="00AC392F" w:rsidRPr="00B05124" w:rsidRDefault="00AC392F" w:rsidP="00666ADE">
      <w:pPr>
        <w:pStyle w:val="Paragraph"/>
      </w:pPr>
      <w:r w:rsidRPr="00B05124">
        <w:t>Az “egyéb” alá (az A1, A2 és A3 táblázat sablonokban) az olyan devizapárok másik devizáját kell besorolni, amelyek az ügylet egyik oldalán a hazai valutát, az USA dollárt, az eurót</w:t>
      </w:r>
      <w:r w:rsidR="00485022">
        <w:t>,</w:t>
      </w:r>
      <w:r w:rsidRPr="00B05124">
        <w:t xml:space="preserve"> illetve a japán yent érintik, a másik oldalon pedig egy, a táblázatban nem nevesített devizanemet. Ezzel szemben a „többi devizanem” (A3 táblázat) alatt azokat a tranzakciókat kell megadni, amelyek az ügylet egyik oldalán sem érintik a hazai valutát, az USA dollárt, az eurót</w:t>
      </w:r>
      <w:r w:rsidR="00485022">
        <w:t>,</w:t>
      </w:r>
      <w:r w:rsidRPr="00B05124">
        <w:t xml:space="preserve"> illetve a japán yent. </w:t>
      </w:r>
      <w:r w:rsidR="002360B8">
        <w:t xml:space="preserve">Az összesen érték meghatározása az </w:t>
      </w:r>
      <w:r w:rsidR="006B25DC">
        <w:t>„E</w:t>
      </w:r>
      <w:r w:rsidR="002360B8">
        <w:t>gyéb</w:t>
      </w:r>
      <w:r w:rsidR="006B25DC">
        <w:t>”</w:t>
      </w:r>
      <w:r w:rsidR="002360B8">
        <w:t xml:space="preserve"> devizák figyelembevételével történik.</w:t>
      </w:r>
    </w:p>
    <w:p w:rsidR="00170E73" w:rsidRPr="00B05124" w:rsidRDefault="00170E73" w:rsidP="00666ADE">
      <w:pPr>
        <w:pStyle w:val="Paragraph"/>
      </w:pPr>
      <w:r w:rsidRPr="00B05124">
        <w:t xml:space="preserve">Mivel egyre fokozottabb az érdeklődés az összes adatszolgáltató ország (az alábbi </w:t>
      </w:r>
      <w:r w:rsidR="006E2AAD">
        <w:t>5</w:t>
      </w:r>
      <w:r w:rsidRPr="00B05124">
        <w:t xml:space="preserve">. sz. táblázatban felsorolt) devizanemében folytatott forgalom meghatározása iránt, egy további bontást is kérünk az A4 táblázatban az A1, A2 és A3 táblázat „egyéb” oszlopában, valamint az A3 táblázat „többi devizanem” oszlopában foglalt devizanemekre. </w:t>
      </w:r>
    </w:p>
    <w:p w:rsidR="007532A9" w:rsidRPr="00B05124" w:rsidRDefault="0000026F" w:rsidP="00666ADE">
      <w:pPr>
        <w:pStyle w:val="TableTitle"/>
      </w:pPr>
      <w:r>
        <w:br w:type="page"/>
      </w:r>
      <w:r w:rsidR="00170E73" w:rsidRPr="00B05124">
        <w:lastRenderedPageBreak/>
        <w:t>Az „egyéb” és „többi devizanem” bontása az A4 táblázat sablonban</w:t>
      </w:r>
    </w:p>
    <w:tbl>
      <w:tblPr>
        <w:tblW w:w="7876"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9"/>
        <w:gridCol w:w="1969"/>
        <w:gridCol w:w="1969"/>
        <w:gridCol w:w="1969"/>
      </w:tblGrid>
      <w:tr w:rsidR="002814E5" w:rsidRPr="00832E8A" w:rsidTr="007532A9">
        <w:tc>
          <w:tcPr>
            <w:tcW w:w="1969" w:type="dxa"/>
            <w:shd w:val="clear" w:color="auto" w:fill="auto"/>
            <w:vAlign w:val="bottom"/>
          </w:tcPr>
          <w:p w:rsidR="002814E5" w:rsidRPr="00832E8A" w:rsidRDefault="002814E5" w:rsidP="00666ADE">
            <w:pPr>
              <w:pStyle w:val="Paragraph"/>
              <w:rPr>
                <w:sz w:val="18"/>
                <w:szCs w:val="18"/>
              </w:rPr>
            </w:pPr>
            <w:r w:rsidRPr="00832E8A">
              <w:rPr>
                <w:sz w:val="18"/>
                <w:szCs w:val="18"/>
              </w:rPr>
              <w:t>ARS</w:t>
            </w:r>
          </w:p>
        </w:tc>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CZK</w:t>
            </w:r>
            <w:proofErr w:type="spellEnd"/>
          </w:p>
        </w:tc>
        <w:tc>
          <w:tcPr>
            <w:tcW w:w="1969" w:type="dxa"/>
            <w:shd w:val="clear" w:color="auto" w:fill="auto"/>
            <w:vAlign w:val="bottom"/>
          </w:tcPr>
          <w:p w:rsidR="002814E5" w:rsidRPr="00832E8A" w:rsidRDefault="002814E5" w:rsidP="007C3C7A">
            <w:pPr>
              <w:pStyle w:val="Paragraph"/>
              <w:rPr>
                <w:sz w:val="18"/>
                <w:szCs w:val="18"/>
              </w:rPr>
            </w:pPr>
            <w:proofErr w:type="spellStart"/>
            <w:r w:rsidRPr="00832E8A">
              <w:rPr>
                <w:sz w:val="18"/>
                <w:szCs w:val="18"/>
              </w:rPr>
              <w:t>MYR</w:t>
            </w:r>
            <w:proofErr w:type="spellEnd"/>
            <w:r w:rsidRPr="00832E8A">
              <w:rPr>
                <w:sz w:val="18"/>
                <w:szCs w:val="18"/>
              </w:rPr>
              <w:t xml:space="preserve"> </w:t>
            </w:r>
          </w:p>
        </w:tc>
        <w:tc>
          <w:tcPr>
            <w:tcW w:w="1969" w:type="dxa"/>
            <w:shd w:val="clear" w:color="auto" w:fill="auto"/>
            <w:vAlign w:val="bottom"/>
          </w:tcPr>
          <w:p w:rsidR="002814E5" w:rsidRPr="00832E8A" w:rsidRDefault="002814E5" w:rsidP="007C3C7A">
            <w:pPr>
              <w:pStyle w:val="Paragraph"/>
              <w:rPr>
                <w:sz w:val="18"/>
                <w:szCs w:val="18"/>
              </w:rPr>
            </w:pPr>
            <w:proofErr w:type="spellStart"/>
            <w:r w:rsidRPr="00832E8A">
              <w:rPr>
                <w:sz w:val="18"/>
                <w:szCs w:val="18"/>
              </w:rPr>
              <w:t>SGD</w:t>
            </w:r>
            <w:proofErr w:type="spellEnd"/>
            <w:r w:rsidRPr="00832E8A">
              <w:rPr>
                <w:sz w:val="18"/>
                <w:szCs w:val="18"/>
              </w:rPr>
              <w:t xml:space="preserve"> </w:t>
            </w:r>
          </w:p>
        </w:tc>
      </w:tr>
      <w:tr w:rsidR="002814E5" w:rsidRPr="00832E8A" w:rsidTr="007532A9">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AUD</w:t>
            </w:r>
            <w:proofErr w:type="spellEnd"/>
          </w:p>
        </w:tc>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DKK</w:t>
            </w:r>
            <w:proofErr w:type="spellEnd"/>
          </w:p>
        </w:tc>
        <w:tc>
          <w:tcPr>
            <w:tcW w:w="1969" w:type="dxa"/>
            <w:shd w:val="clear" w:color="auto" w:fill="auto"/>
            <w:vAlign w:val="bottom"/>
          </w:tcPr>
          <w:p w:rsidR="002814E5" w:rsidRPr="00832E8A" w:rsidRDefault="002814E5" w:rsidP="007C3C7A">
            <w:pPr>
              <w:pStyle w:val="Paragraph"/>
              <w:rPr>
                <w:sz w:val="18"/>
                <w:szCs w:val="18"/>
              </w:rPr>
            </w:pPr>
            <w:proofErr w:type="spellStart"/>
            <w:r w:rsidRPr="00832E8A">
              <w:rPr>
                <w:sz w:val="18"/>
                <w:szCs w:val="18"/>
              </w:rPr>
              <w:t>NOK</w:t>
            </w:r>
            <w:proofErr w:type="spellEnd"/>
            <w:r w:rsidRPr="00832E8A">
              <w:rPr>
                <w:sz w:val="18"/>
                <w:szCs w:val="18"/>
              </w:rPr>
              <w:t xml:space="preserve"> </w:t>
            </w:r>
          </w:p>
        </w:tc>
        <w:tc>
          <w:tcPr>
            <w:tcW w:w="1969" w:type="dxa"/>
            <w:shd w:val="clear" w:color="auto" w:fill="auto"/>
            <w:vAlign w:val="bottom"/>
          </w:tcPr>
          <w:p w:rsidR="002814E5" w:rsidRPr="00832E8A" w:rsidRDefault="002814E5" w:rsidP="007C3C7A">
            <w:pPr>
              <w:pStyle w:val="Paragraph"/>
              <w:rPr>
                <w:sz w:val="18"/>
                <w:szCs w:val="18"/>
              </w:rPr>
            </w:pPr>
            <w:proofErr w:type="spellStart"/>
            <w:r w:rsidRPr="00832E8A">
              <w:rPr>
                <w:sz w:val="18"/>
                <w:szCs w:val="18"/>
              </w:rPr>
              <w:t>THB</w:t>
            </w:r>
            <w:proofErr w:type="spellEnd"/>
            <w:r w:rsidRPr="00832E8A">
              <w:rPr>
                <w:sz w:val="18"/>
                <w:szCs w:val="18"/>
              </w:rPr>
              <w:t xml:space="preserve"> </w:t>
            </w:r>
          </w:p>
        </w:tc>
      </w:tr>
      <w:tr w:rsidR="002814E5" w:rsidRPr="00832E8A" w:rsidTr="007532A9">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BGN</w:t>
            </w:r>
            <w:proofErr w:type="spellEnd"/>
          </w:p>
        </w:tc>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GBP</w:t>
            </w:r>
            <w:proofErr w:type="spellEnd"/>
          </w:p>
        </w:tc>
        <w:tc>
          <w:tcPr>
            <w:tcW w:w="1969" w:type="dxa"/>
            <w:shd w:val="clear" w:color="auto" w:fill="auto"/>
            <w:vAlign w:val="bottom"/>
          </w:tcPr>
          <w:p w:rsidR="002814E5" w:rsidRPr="00832E8A" w:rsidRDefault="002814E5" w:rsidP="007C3C7A">
            <w:pPr>
              <w:pStyle w:val="Paragraph"/>
              <w:rPr>
                <w:sz w:val="18"/>
                <w:szCs w:val="18"/>
              </w:rPr>
            </w:pPr>
            <w:proofErr w:type="spellStart"/>
            <w:r w:rsidRPr="00832E8A">
              <w:rPr>
                <w:sz w:val="18"/>
                <w:szCs w:val="18"/>
              </w:rPr>
              <w:t>NZD</w:t>
            </w:r>
            <w:proofErr w:type="spellEnd"/>
            <w:r w:rsidRPr="00832E8A">
              <w:rPr>
                <w:sz w:val="18"/>
                <w:szCs w:val="18"/>
              </w:rPr>
              <w:t xml:space="preserve"> </w:t>
            </w:r>
          </w:p>
        </w:tc>
        <w:tc>
          <w:tcPr>
            <w:tcW w:w="1969" w:type="dxa"/>
            <w:shd w:val="clear" w:color="auto" w:fill="auto"/>
            <w:vAlign w:val="bottom"/>
          </w:tcPr>
          <w:p w:rsidR="002814E5" w:rsidRPr="00832E8A" w:rsidRDefault="002814E5" w:rsidP="007C3C7A">
            <w:pPr>
              <w:pStyle w:val="Paragraph"/>
              <w:rPr>
                <w:sz w:val="18"/>
                <w:szCs w:val="18"/>
              </w:rPr>
            </w:pPr>
            <w:proofErr w:type="spellStart"/>
            <w:r w:rsidRPr="00832E8A">
              <w:rPr>
                <w:sz w:val="18"/>
                <w:szCs w:val="18"/>
              </w:rPr>
              <w:t>TRY</w:t>
            </w:r>
            <w:proofErr w:type="spellEnd"/>
            <w:r w:rsidRPr="00832E8A">
              <w:rPr>
                <w:sz w:val="18"/>
                <w:szCs w:val="18"/>
              </w:rPr>
              <w:t xml:space="preserve"> </w:t>
            </w:r>
          </w:p>
        </w:tc>
      </w:tr>
      <w:tr w:rsidR="002814E5" w:rsidRPr="00832E8A" w:rsidTr="007532A9">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BHD</w:t>
            </w:r>
            <w:proofErr w:type="spellEnd"/>
          </w:p>
        </w:tc>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HKD</w:t>
            </w:r>
            <w:proofErr w:type="spellEnd"/>
          </w:p>
        </w:tc>
        <w:tc>
          <w:tcPr>
            <w:tcW w:w="1969" w:type="dxa"/>
            <w:shd w:val="clear" w:color="auto" w:fill="auto"/>
            <w:vAlign w:val="bottom"/>
          </w:tcPr>
          <w:p w:rsidR="002814E5" w:rsidRPr="00832E8A" w:rsidRDefault="002814E5" w:rsidP="007C3C7A">
            <w:pPr>
              <w:pStyle w:val="Paragraph"/>
              <w:rPr>
                <w:sz w:val="18"/>
                <w:szCs w:val="18"/>
              </w:rPr>
            </w:pPr>
            <w:r w:rsidRPr="00832E8A">
              <w:rPr>
                <w:sz w:val="18"/>
                <w:szCs w:val="18"/>
              </w:rPr>
              <w:t xml:space="preserve">PEN </w:t>
            </w:r>
          </w:p>
        </w:tc>
        <w:tc>
          <w:tcPr>
            <w:tcW w:w="1969" w:type="dxa"/>
            <w:shd w:val="clear" w:color="auto" w:fill="auto"/>
            <w:vAlign w:val="bottom"/>
          </w:tcPr>
          <w:p w:rsidR="002814E5" w:rsidRPr="00832E8A" w:rsidRDefault="002814E5" w:rsidP="007C3C7A">
            <w:pPr>
              <w:pStyle w:val="Paragraph"/>
              <w:rPr>
                <w:sz w:val="18"/>
                <w:szCs w:val="18"/>
              </w:rPr>
            </w:pPr>
            <w:proofErr w:type="spellStart"/>
            <w:r w:rsidRPr="00832E8A">
              <w:rPr>
                <w:sz w:val="18"/>
                <w:szCs w:val="18"/>
              </w:rPr>
              <w:t>TWD</w:t>
            </w:r>
            <w:proofErr w:type="spellEnd"/>
            <w:r w:rsidRPr="00832E8A">
              <w:rPr>
                <w:sz w:val="18"/>
                <w:szCs w:val="18"/>
              </w:rPr>
              <w:t xml:space="preserve"> </w:t>
            </w:r>
          </w:p>
        </w:tc>
      </w:tr>
      <w:tr w:rsidR="002814E5" w:rsidRPr="00832E8A" w:rsidTr="007532A9">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BRL</w:t>
            </w:r>
            <w:proofErr w:type="spellEnd"/>
            <w:r w:rsidRPr="00832E8A">
              <w:rPr>
                <w:sz w:val="18"/>
                <w:szCs w:val="18"/>
              </w:rPr>
              <w:t xml:space="preserve"> </w:t>
            </w:r>
          </w:p>
        </w:tc>
        <w:tc>
          <w:tcPr>
            <w:tcW w:w="1969" w:type="dxa"/>
            <w:shd w:val="clear" w:color="auto" w:fill="auto"/>
            <w:vAlign w:val="bottom"/>
          </w:tcPr>
          <w:p w:rsidR="002814E5" w:rsidRPr="00832E8A" w:rsidRDefault="002814E5" w:rsidP="00666ADE">
            <w:pPr>
              <w:pStyle w:val="Paragraph"/>
              <w:rPr>
                <w:sz w:val="18"/>
                <w:szCs w:val="18"/>
              </w:rPr>
            </w:pPr>
            <w:r w:rsidRPr="00832E8A">
              <w:rPr>
                <w:sz w:val="18"/>
                <w:szCs w:val="18"/>
              </w:rPr>
              <w:t>HUF</w:t>
            </w:r>
          </w:p>
        </w:tc>
        <w:tc>
          <w:tcPr>
            <w:tcW w:w="1969" w:type="dxa"/>
            <w:shd w:val="clear" w:color="auto" w:fill="auto"/>
            <w:vAlign w:val="bottom"/>
          </w:tcPr>
          <w:p w:rsidR="002814E5" w:rsidRPr="00832E8A" w:rsidRDefault="002814E5" w:rsidP="007C3C7A">
            <w:pPr>
              <w:pStyle w:val="Paragraph"/>
              <w:rPr>
                <w:sz w:val="18"/>
                <w:szCs w:val="18"/>
              </w:rPr>
            </w:pPr>
            <w:r w:rsidRPr="00832E8A">
              <w:rPr>
                <w:sz w:val="18"/>
                <w:szCs w:val="18"/>
              </w:rPr>
              <w:t xml:space="preserve">PHP </w:t>
            </w:r>
          </w:p>
        </w:tc>
        <w:tc>
          <w:tcPr>
            <w:tcW w:w="1969" w:type="dxa"/>
            <w:shd w:val="clear" w:color="auto" w:fill="auto"/>
            <w:vAlign w:val="bottom"/>
          </w:tcPr>
          <w:p w:rsidR="002814E5" w:rsidRPr="00832E8A" w:rsidRDefault="002814E5" w:rsidP="007C3C7A">
            <w:pPr>
              <w:pStyle w:val="Paragraph"/>
              <w:rPr>
                <w:sz w:val="18"/>
                <w:szCs w:val="18"/>
              </w:rPr>
            </w:pPr>
            <w:proofErr w:type="spellStart"/>
            <w:r w:rsidRPr="00832E8A">
              <w:rPr>
                <w:sz w:val="18"/>
                <w:szCs w:val="18"/>
              </w:rPr>
              <w:t>ZAR</w:t>
            </w:r>
            <w:proofErr w:type="spellEnd"/>
            <w:r w:rsidRPr="00832E8A">
              <w:rPr>
                <w:sz w:val="18"/>
                <w:szCs w:val="18"/>
              </w:rPr>
              <w:t xml:space="preserve"> </w:t>
            </w:r>
          </w:p>
        </w:tc>
      </w:tr>
      <w:tr w:rsidR="002814E5" w:rsidRPr="00832E8A" w:rsidTr="007532A9">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CAD</w:t>
            </w:r>
            <w:proofErr w:type="spellEnd"/>
          </w:p>
        </w:tc>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IDR</w:t>
            </w:r>
            <w:proofErr w:type="spellEnd"/>
            <w:r w:rsidRPr="00832E8A">
              <w:rPr>
                <w:sz w:val="18"/>
                <w:szCs w:val="18"/>
              </w:rPr>
              <w:t xml:space="preserve"> </w:t>
            </w:r>
          </w:p>
        </w:tc>
        <w:tc>
          <w:tcPr>
            <w:tcW w:w="1969" w:type="dxa"/>
            <w:shd w:val="clear" w:color="auto" w:fill="auto"/>
            <w:vAlign w:val="bottom"/>
          </w:tcPr>
          <w:p w:rsidR="002814E5" w:rsidRPr="00832E8A" w:rsidRDefault="002814E5" w:rsidP="007C3C7A">
            <w:pPr>
              <w:pStyle w:val="Paragraph"/>
              <w:rPr>
                <w:sz w:val="18"/>
                <w:szCs w:val="18"/>
              </w:rPr>
            </w:pPr>
            <w:proofErr w:type="spellStart"/>
            <w:r w:rsidRPr="00832E8A">
              <w:rPr>
                <w:sz w:val="18"/>
                <w:szCs w:val="18"/>
              </w:rPr>
              <w:t>PLN</w:t>
            </w:r>
            <w:proofErr w:type="spellEnd"/>
            <w:r w:rsidRPr="00832E8A">
              <w:rPr>
                <w:sz w:val="18"/>
                <w:szCs w:val="18"/>
              </w:rPr>
              <w:t xml:space="preserve"> </w:t>
            </w:r>
          </w:p>
        </w:tc>
        <w:tc>
          <w:tcPr>
            <w:tcW w:w="1969" w:type="dxa"/>
            <w:shd w:val="clear" w:color="auto" w:fill="auto"/>
            <w:vAlign w:val="bottom"/>
          </w:tcPr>
          <w:p w:rsidR="002814E5" w:rsidRPr="00832E8A" w:rsidRDefault="002814E5" w:rsidP="007C3C7A">
            <w:pPr>
              <w:pStyle w:val="Paragraph"/>
              <w:rPr>
                <w:sz w:val="18"/>
                <w:szCs w:val="18"/>
              </w:rPr>
            </w:pPr>
            <w:r w:rsidRPr="00832E8A">
              <w:rPr>
                <w:sz w:val="18"/>
                <w:szCs w:val="18"/>
              </w:rPr>
              <w:t>Egyéb</w:t>
            </w:r>
          </w:p>
        </w:tc>
      </w:tr>
      <w:tr w:rsidR="002814E5" w:rsidRPr="00832E8A" w:rsidTr="007532A9">
        <w:tc>
          <w:tcPr>
            <w:tcW w:w="1969" w:type="dxa"/>
            <w:shd w:val="clear" w:color="auto" w:fill="auto"/>
            <w:vAlign w:val="bottom"/>
          </w:tcPr>
          <w:p w:rsidR="002814E5" w:rsidRPr="00832E8A" w:rsidRDefault="002814E5" w:rsidP="00666ADE">
            <w:pPr>
              <w:pStyle w:val="Paragraph"/>
              <w:rPr>
                <w:sz w:val="18"/>
                <w:szCs w:val="18"/>
              </w:rPr>
            </w:pPr>
            <w:r w:rsidRPr="00832E8A">
              <w:rPr>
                <w:sz w:val="18"/>
                <w:szCs w:val="18"/>
              </w:rPr>
              <w:t>CHF</w:t>
            </w:r>
          </w:p>
        </w:tc>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ILS</w:t>
            </w:r>
            <w:proofErr w:type="spellEnd"/>
            <w:r w:rsidRPr="00832E8A">
              <w:rPr>
                <w:sz w:val="18"/>
                <w:szCs w:val="18"/>
              </w:rPr>
              <w:t xml:space="preserve"> </w:t>
            </w:r>
          </w:p>
        </w:tc>
        <w:tc>
          <w:tcPr>
            <w:tcW w:w="1969" w:type="dxa"/>
            <w:shd w:val="clear" w:color="auto" w:fill="auto"/>
            <w:vAlign w:val="bottom"/>
          </w:tcPr>
          <w:p w:rsidR="002814E5" w:rsidRPr="00832E8A" w:rsidRDefault="002814E5" w:rsidP="007C3C7A">
            <w:pPr>
              <w:pStyle w:val="Paragraph"/>
              <w:rPr>
                <w:sz w:val="18"/>
                <w:szCs w:val="18"/>
              </w:rPr>
            </w:pPr>
            <w:r w:rsidRPr="00832E8A">
              <w:rPr>
                <w:sz w:val="18"/>
                <w:szCs w:val="18"/>
              </w:rPr>
              <w:t xml:space="preserve">RON </w:t>
            </w:r>
          </w:p>
        </w:tc>
        <w:tc>
          <w:tcPr>
            <w:tcW w:w="1969" w:type="dxa"/>
            <w:shd w:val="clear" w:color="auto" w:fill="auto"/>
            <w:vAlign w:val="bottom"/>
          </w:tcPr>
          <w:p w:rsidR="002814E5" w:rsidRPr="00832E8A" w:rsidRDefault="00AF02AB" w:rsidP="00666ADE">
            <w:pPr>
              <w:pStyle w:val="Paragraph"/>
              <w:rPr>
                <w:sz w:val="18"/>
                <w:szCs w:val="18"/>
              </w:rPr>
            </w:pPr>
            <w:proofErr w:type="spellStart"/>
            <w:r>
              <w:rPr>
                <w:sz w:val="18"/>
                <w:szCs w:val="18"/>
              </w:rPr>
              <w:t>AED</w:t>
            </w:r>
            <w:proofErr w:type="spellEnd"/>
          </w:p>
        </w:tc>
      </w:tr>
      <w:tr w:rsidR="002814E5" w:rsidRPr="00832E8A" w:rsidTr="007532A9">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CLP</w:t>
            </w:r>
            <w:proofErr w:type="spellEnd"/>
            <w:r w:rsidRPr="00832E8A">
              <w:rPr>
                <w:sz w:val="18"/>
                <w:szCs w:val="18"/>
              </w:rPr>
              <w:t xml:space="preserve"> </w:t>
            </w:r>
          </w:p>
        </w:tc>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INR</w:t>
            </w:r>
            <w:proofErr w:type="spellEnd"/>
            <w:r w:rsidRPr="00832E8A">
              <w:rPr>
                <w:sz w:val="18"/>
                <w:szCs w:val="18"/>
              </w:rPr>
              <w:t xml:space="preserve"> </w:t>
            </w:r>
          </w:p>
        </w:tc>
        <w:tc>
          <w:tcPr>
            <w:tcW w:w="1969" w:type="dxa"/>
            <w:shd w:val="clear" w:color="auto" w:fill="auto"/>
            <w:vAlign w:val="bottom"/>
          </w:tcPr>
          <w:p w:rsidR="002814E5" w:rsidRPr="00832E8A" w:rsidRDefault="002814E5" w:rsidP="007C3C7A">
            <w:pPr>
              <w:pStyle w:val="Paragraph"/>
              <w:rPr>
                <w:sz w:val="18"/>
                <w:szCs w:val="18"/>
              </w:rPr>
            </w:pPr>
            <w:proofErr w:type="spellStart"/>
            <w:r w:rsidRPr="00832E8A">
              <w:rPr>
                <w:sz w:val="18"/>
                <w:szCs w:val="18"/>
              </w:rPr>
              <w:t>RUB</w:t>
            </w:r>
            <w:proofErr w:type="spellEnd"/>
            <w:r w:rsidRPr="00832E8A">
              <w:rPr>
                <w:sz w:val="18"/>
                <w:szCs w:val="18"/>
              </w:rPr>
              <w:t xml:space="preserve"> </w:t>
            </w:r>
          </w:p>
        </w:tc>
        <w:tc>
          <w:tcPr>
            <w:tcW w:w="1969" w:type="dxa"/>
            <w:shd w:val="clear" w:color="auto" w:fill="auto"/>
            <w:vAlign w:val="bottom"/>
          </w:tcPr>
          <w:p w:rsidR="002814E5" w:rsidRPr="00832E8A" w:rsidRDefault="002814E5" w:rsidP="00666ADE">
            <w:pPr>
              <w:pStyle w:val="Paragraph"/>
              <w:rPr>
                <w:sz w:val="18"/>
                <w:szCs w:val="18"/>
              </w:rPr>
            </w:pPr>
          </w:p>
        </w:tc>
      </w:tr>
      <w:tr w:rsidR="002814E5" w:rsidRPr="00832E8A" w:rsidTr="007532A9">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CNY</w:t>
            </w:r>
            <w:proofErr w:type="spellEnd"/>
          </w:p>
        </w:tc>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KRW</w:t>
            </w:r>
            <w:proofErr w:type="spellEnd"/>
          </w:p>
        </w:tc>
        <w:tc>
          <w:tcPr>
            <w:tcW w:w="1969" w:type="dxa"/>
            <w:shd w:val="clear" w:color="auto" w:fill="auto"/>
            <w:vAlign w:val="bottom"/>
          </w:tcPr>
          <w:p w:rsidR="002814E5" w:rsidRPr="00832E8A" w:rsidRDefault="002814E5" w:rsidP="007C3C7A">
            <w:pPr>
              <w:pStyle w:val="Paragraph"/>
              <w:rPr>
                <w:sz w:val="18"/>
                <w:szCs w:val="18"/>
              </w:rPr>
            </w:pPr>
            <w:proofErr w:type="spellStart"/>
            <w:r w:rsidRPr="00832E8A">
              <w:rPr>
                <w:sz w:val="18"/>
                <w:szCs w:val="18"/>
              </w:rPr>
              <w:t>SAR</w:t>
            </w:r>
            <w:proofErr w:type="spellEnd"/>
            <w:r w:rsidRPr="00832E8A">
              <w:rPr>
                <w:sz w:val="18"/>
                <w:szCs w:val="18"/>
              </w:rPr>
              <w:t xml:space="preserve"> </w:t>
            </w:r>
          </w:p>
        </w:tc>
        <w:tc>
          <w:tcPr>
            <w:tcW w:w="1969" w:type="dxa"/>
            <w:shd w:val="clear" w:color="auto" w:fill="auto"/>
            <w:vAlign w:val="bottom"/>
          </w:tcPr>
          <w:p w:rsidR="002814E5" w:rsidRPr="00832E8A" w:rsidRDefault="002814E5" w:rsidP="00666ADE">
            <w:pPr>
              <w:pStyle w:val="Paragraph"/>
              <w:rPr>
                <w:sz w:val="18"/>
                <w:szCs w:val="18"/>
              </w:rPr>
            </w:pPr>
          </w:p>
        </w:tc>
      </w:tr>
      <w:tr w:rsidR="002814E5" w:rsidRPr="00832E8A" w:rsidTr="007532A9">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COP</w:t>
            </w:r>
            <w:proofErr w:type="spellEnd"/>
          </w:p>
        </w:tc>
        <w:tc>
          <w:tcPr>
            <w:tcW w:w="1969" w:type="dxa"/>
            <w:shd w:val="clear" w:color="auto" w:fill="auto"/>
            <w:vAlign w:val="bottom"/>
          </w:tcPr>
          <w:p w:rsidR="002814E5" w:rsidRPr="00832E8A" w:rsidRDefault="002814E5" w:rsidP="00666ADE">
            <w:pPr>
              <w:pStyle w:val="Paragraph"/>
              <w:rPr>
                <w:sz w:val="18"/>
                <w:szCs w:val="18"/>
              </w:rPr>
            </w:pPr>
            <w:proofErr w:type="spellStart"/>
            <w:r w:rsidRPr="00832E8A">
              <w:rPr>
                <w:sz w:val="18"/>
                <w:szCs w:val="18"/>
              </w:rPr>
              <w:t>MXN</w:t>
            </w:r>
            <w:proofErr w:type="spellEnd"/>
          </w:p>
        </w:tc>
        <w:tc>
          <w:tcPr>
            <w:tcW w:w="1969" w:type="dxa"/>
            <w:shd w:val="clear" w:color="auto" w:fill="auto"/>
            <w:vAlign w:val="bottom"/>
          </w:tcPr>
          <w:p w:rsidR="002814E5" w:rsidRPr="00832E8A" w:rsidRDefault="002814E5" w:rsidP="007C3C7A">
            <w:pPr>
              <w:pStyle w:val="Paragraph"/>
              <w:rPr>
                <w:sz w:val="18"/>
                <w:szCs w:val="18"/>
              </w:rPr>
            </w:pPr>
            <w:proofErr w:type="spellStart"/>
            <w:r w:rsidRPr="00832E8A">
              <w:rPr>
                <w:sz w:val="18"/>
                <w:szCs w:val="18"/>
              </w:rPr>
              <w:t>SEK</w:t>
            </w:r>
            <w:proofErr w:type="spellEnd"/>
            <w:r w:rsidRPr="00832E8A">
              <w:rPr>
                <w:sz w:val="18"/>
                <w:szCs w:val="18"/>
              </w:rPr>
              <w:t xml:space="preserve"> </w:t>
            </w:r>
          </w:p>
        </w:tc>
        <w:tc>
          <w:tcPr>
            <w:tcW w:w="1969" w:type="dxa"/>
            <w:shd w:val="clear" w:color="auto" w:fill="auto"/>
            <w:vAlign w:val="bottom"/>
          </w:tcPr>
          <w:p w:rsidR="002814E5" w:rsidRPr="00832E8A" w:rsidRDefault="002814E5" w:rsidP="00666ADE">
            <w:pPr>
              <w:pStyle w:val="Paragraph"/>
              <w:rPr>
                <w:sz w:val="18"/>
                <w:szCs w:val="18"/>
              </w:rPr>
            </w:pPr>
          </w:p>
        </w:tc>
      </w:tr>
      <w:tr w:rsidR="002814E5" w:rsidRPr="00832E8A" w:rsidTr="007532A9">
        <w:tc>
          <w:tcPr>
            <w:tcW w:w="7876" w:type="dxa"/>
            <w:gridSpan w:val="4"/>
            <w:shd w:val="clear" w:color="auto" w:fill="auto"/>
            <w:vAlign w:val="bottom"/>
          </w:tcPr>
          <w:p w:rsidR="002814E5" w:rsidRPr="00832E8A" w:rsidRDefault="002814E5" w:rsidP="006F54F9">
            <w:pPr>
              <w:pStyle w:val="Paragraph"/>
              <w:jc w:val="right"/>
              <w:rPr>
                <w:sz w:val="18"/>
                <w:szCs w:val="18"/>
              </w:rPr>
            </w:pPr>
            <w:r>
              <w:rPr>
                <w:sz w:val="18"/>
                <w:szCs w:val="18"/>
              </w:rPr>
              <w:t>5</w:t>
            </w:r>
            <w:r w:rsidRPr="00832E8A">
              <w:rPr>
                <w:sz w:val="18"/>
                <w:szCs w:val="18"/>
              </w:rPr>
              <w:t>. sz. táblázat</w:t>
            </w:r>
          </w:p>
        </w:tc>
      </w:tr>
    </w:tbl>
    <w:p w:rsidR="007532A9" w:rsidRPr="00B05124" w:rsidRDefault="007532A9">
      <w:pPr>
        <w:autoSpaceDE w:val="0"/>
        <w:autoSpaceDN w:val="0"/>
        <w:adjustRightInd w:val="0"/>
        <w:rPr>
          <w:szCs w:val="24"/>
          <w:lang w:val="hu-HU"/>
        </w:rPr>
      </w:pPr>
    </w:p>
    <w:p w:rsidR="009F238E" w:rsidRPr="00B05124" w:rsidRDefault="009F238E" w:rsidP="007B04D2">
      <w:pPr>
        <w:pStyle w:val="Paragraph"/>
      </w:pPr>
      <w:bookmarkStart w:id="28" w:name="OLE_LINK6"/>
      <w:r w:rsidRPr="00B05124">
        <w:t xml:space="preserve">Az A1, A2 és A3 táblázat sablon „egyéb” oszlopában jelentett ügyletek esetében, tekintve, hogy a tranzakció első devizaneme már nevesítésre került (mint hazai valuta, USD, EUR vagy </w:t>
      </w:r>
      <w:proofErr w:type="spellStart"/>
      <w:r w:rsidRPr="00B05124">
        <w:t>JPY</w:t>
      </w:r>
      <w:proofErr w:type="spellEnd"/>
      <w:r w:rsidRPr="00B05124">
        <w:t xml:space="preserve">), az A4 táblázatban csak a második valutát kell jelenteni, vagyis az „egyéb” oszlopban rögzített pontos összeget kell itt tovább bontani. </w:t>
      </w:r>
    </w:p>
    <w:bookmarkEnd w:id="28"/>
    <w:p w:rsidR="009F238E" w:rsidRPr="00B05124" w:rsidRDefault="009F238E" w:rsidP="00E42FDD">
      <w:pPr>
        <w:pStyle w:val="Paragraph"/>
      </w:pPr>
      <w:r w:rsidRPr="00B05124">
        <w:t xml:space="preserve">Ezzel szemben a "többi devizanem” oszlopban jelentett ügyletek esetében – tekintve, hogy egyik devizanem sem ismert – az A4 táblázatban a tranzakciót hozzá kell rendelni mindkét devizanemhez. </w:t>
      </w:r>
      <w:r w:rsidR="007F00C2">
        <w:t xml:space="preserve"> Vagyis egyszer jelenteni kell </w:t>
      </w:r>
      <w:r w:rsidR="00367721">
        <w:t>az A3 tábla „többi devizanem” oszlopában, valamint kétszer az A4 táblában (azaz</w:t>
      </w:r>
      <w:r w:rsidR="00E07307">
        <w:t xml:space="preserve"> az</w:t>
      </w:r>
      <w:r w:rsidR="00367721">
        <w:t xml:space="preserve"> ügylet 200%-át)</w:t>
      </w:r>
    </w:p>
    <w:p w:rsidR="009F238E" w:rsidRDefault="009F238E" w:rsidP="00E42FDD">
      <w:pPr>
        <w:pStyle w:val="Paragraph"/>
      </w:pPr>
      <w:r w:rsidRPr="00B05124">
        <w:t xml:space="preserve">Amennyiben az ügyletben érintett egyik devizanem sem szerepel az A4 táblázatban, a tranzakciót </w:t>
      </w:r>
      <w:r w:rsidRPr="00B05124">
        <w:rPr>
          <w:i/>
        </w:rPr>
        <w:t xml:space="preserve">kétszer </w:t>
      </w:r>
      <w:r w:rsidRPr="00B05124">
        <w:t>kell feltüntetni az A4 táblázat „egyéb” oszlopában</w:t>
      </w:r>
      <w:r w:rsidR="00367721">
        <w:t xml:space="preserve"> (azaz az ügylet 200%-át ugyanabban az oszlopban).</w:t>
      </w:r>
    </w:p>
    <w:p w:rsidR="0051457C" w:rsidRPr="004049F3" w:rsidRDefault="0051457C" w:rsidP="00E42FDD">
      <w:pPr>
        <w:autoSpaceDE w:val="0"/>
        <w:autoSpaceDN w:val="0"/>
        <w:adjustRightInd w:val="0"/>
        <w:rPr>
          <w:rFonts w:cs="Arial"/>
          <w:i/>
          <w:snapToGrid/>
          <w:sz w:val="24"/>
          <w:lang w:val="hu-HU"/>
        </w:rPr>
      </w:pPr>
      <w:r w:rsidRPr="004049F3">
        <w:rPr>
          <w:rFonts w:cs="Arial"/>
          <w:b/>
          <w:i/>
          <w:snapToGrid/>
          <w:lang w:val="hu-HU"/>
        </w:rPr>
        <w:t>Példa:</w:t>
      </w:r>
      <w:r w:rsidRPr="004049F3">
        <w:rPr>
          <w:rFonts w:cs="Arial"/>
          <w:i/>
          <w:snapToGrid/>
          <w:lang w:val="hu-HU"/>
        </w:rPr>
        <w:t xml:space="preserve"> Brazil jelentő </w:t>
      </w:r>
      <w:proofErr w:type="spellStart"/>
      <w:r w:rsidRPr="004049F3">
        <w:rPr>
          <w:rFonts w:cs="Arial"/>
          <w:i/>
          <w:snapToGrid/>
          <w:lang w:val="hu-HU"/>
        </w:rPr>
        <w:t>dealer</w:t>
      </w:r>
      <w:proofErr w:type="spellEnd"/>
      <w:r w:rsidRPr="004049F3">
        <w:rPr>
          <w:rFonts w:cs="Arial"/>
          <w:i/>
          <w:snapToGrid/>
          <w:lang w:val="hu-HU"/>
        </w:rPr>
        <w:t xml:space="preserve"> esetében 100 millió dollár tranzakció</w:t>
      </w:r>
      <w:r w:rsidR="00D14489" w:rsidRPr="004049F3">
        <w:rPr>
          <w:rFonts w:cs="Arial"/>
          <w:i/>
          <w:snapToGrid/>
          <w:lang w:val="hu-HU"/>
        </w:rPr>
        <w:t>t a következőképpen szükséges jelenteni</w:t>
      </w:r>
      <w:r w:rsidR="00EC238C" w:rsidRPr="004049F3">
        <w:rPr>
          <w:rFonts w:cs="Arial"/>
          <w:i/>
          <w:snapToGrid/>
          <w:lang w:val="hu-HU"/>
        </w:rPr>
        <w:t xml:space="preserve"> az alábbi</w:t>
      </w:r>
      <w:r w:rsidRPr="004049F3">
        <w:rPr>
          <w:rFonts w:cs="Arial"/>
          <w:i/>
          <w:snapToGrid/>
          <w:lang w:val="hu-HU"/>
        </w:rPr>
        <w:t xml:space="preserve"> devizapárok</w:t>
      </w:r>
      <w:r w:rsidR="00EC238C" w:rsidRPr="004049F3">
        <w:rPr>
          <w:rFonts w:cs="Arial"/>
          <w:i/>
          <w:snapToGrid/>
          <w:lang w:val="hu-HU"/>
        </w:rPr>
        <w:t xml:space="preserve"> esetén</w:t>
      </w:r>
      <w:r w:rsidRPr="004049F3">
        <w:rPr>
          <w:rFonts w:cs="Arial"/>
          <w:i/>
          <w:snapToGrid/>
          <w:lang w:val="hu-HU"/>
        </w:rPr>
        <w:t xml:space="preserve">: </w:t>
      </w:r>
    </w:p>
    <w:p w:rsidR="00367721" w:rsidRPr="004049F3" w:rsidRDefault="00367721" w:rsidP="004049F3">
      <w:pPr>
        <w:autoSpaceDE w:val="0"/>
        <w:autoSpaceDN w:val="0"/>
        <w:adjustRightInd w:val="0"/>
        <w:jc w:val="both"/>
        <w:rPr>
          <w:rFonts w:cs="Arial"/>
          <w:i/>
          <w:snapToGrid/>
          <w:sz w:val="24"/>
          <w:lang w:val="hu-HU"/>
        </w:rPr>
      </w:pPr>
    </w:p>
    <w:p w:rsidR="00A05A7C" w:rsidRPr="004049F3" w:rsidRDefault="00367721" w:rsidP="004049F3">
      <w:pPr>
        <w:numPr>
          <w:ilvl w:val="0"/>
          <w:numId w:val="12"/>
        </w:numPr>
        <w:autoSpaceDE w:val="0"/>
        <w:autoSpaceDN w:val="0"/>
        <w:adjustRightInd w:val="0"/>
        <w:jc w:val="both"/>
        <w:rPr>
          <w:rFonts w:cs="Arial"/>
          <w:i/>
          <w:snapToGrid/>
          <w:lang w:val="hu-HU"/>
        </w:rPr>
      </w:pPr>
      <w:proofErr w:type="spellStart"/>
      <w:r w:rsidRPr="004049F3">
        <w:rPr>
          <w:rFonts w:cs="Arial"/>
          <w:i/>
          <w:snapToGrid/>
          <w:lang w:val="hu-HU"/>
        </w:rPr>
        <w:t>BRL</w:t>
      </w:r>
      <w:proofErr w:type="spellEnd"/>
      <w:r w:rsidRPr="004049F3">
        <w:rPr>
          <w:rFonts w:cs="Arial"/>
          <w:i/>
          <w:snapToGrid/>
          <w:lang w:val="hu-HU"/>
        </w:rPr>
        <w:t xml:space="preserve">/USD: </w:t>
      </w:r>
      <w:r w:rsidRPr="004049F3">
        <w:rPr>
          <w:rFonts w:cs="Arial"/>
          <w:i/>
          <w:snapToGrid/>
          <w:lang w:val="hu-HU"/>
        </w:rPr>
        <w:tab/>
        <w:t>100 millió dollár az A1 táblában „USD” alatt, emellett az A2 tábla „</w:t>
      </w:r>
      <w:proofErr w:type="spellStart"/>
      <w:r w:rsidRPr="004049F3">
        <w:rPr>
          <w:rFonts w:cs="Arial"/>
          <w:i/>
          <w:snapToGrid/>
          <w:lang w:val="hu-HU"/>
        </w:rPr>
        <w:t>BRL</w:t>
      </w:r>
      <w:proofErr w:type="spellEnd"/>
      <w:r w:rsidRPr="004049F3">
        <w:rPr>
          <w:rFonts w:cs="Arial"/>
          <w:i/>
          <w:snapToGrid/>
          <w:lang w:val="hu-HU"/>
        </w:rPr>
        <w:t>” oszlopát üresen kell hagyni</w:t>
      </w:r>
    </w:p>
    <w:p w:rsidR="00367721" w:rsidRPr="004049F3" w:rsidRDefault="00367721" w:rsidP="004049F3">
      <w:pPr>
        <w:numPr>
          <w:ilvl w:val="0"/>
          <w:numId w:val="12"/>
        </w:numPr>
        <w:autoSpaceDE w:val="0"/>
        <w:autoSpaceDN w:val="0"/>
        <w:adjustRightInd w:val="0"/>
        <w:jc w:val="both"/>
        <w:rPr>
          <w:rFonts w:cs="Arial"/>
          <w:i/>
          <w:snapToGrid/>
          <w:lang w:val="hu-HU"/>
        </w:rPr>
      </w:pPr>
      <w:proofErr w:type="spellStart"/>
      <w:r w:rsidRPr="004049F3">
        <w:rPr>
          <w:rFonts w:cs="Arial"/>
          <w:i/>
          <w:snapToGrid/>
          <w:lang w:val="hu-HU"/>
        </w:rPr>
        <w:t>BRL</w:t>
      </w:r>
      <w:proofErr w:type="spellEnd"/>
      <w:r w:rsidRPr="004049F3">
        <w:rPr>
          <w:rFonts w:cs="Arial"/>
          <w:i/>
          <w:snapToGrid/>
          <w:lang w:val="hu-HU"/>
        </w:rPr>
        <w:t>/</w:t>
      </w:r>
      <w:proofErr w:type="spellStart"/>
      <w:r w:rsidRPr="004049F3">
        <w:rPr>
          <w:rFonts w:cs="Arial"/>
          <w:i/>
          <w:snapToGrid/>
          <w:lang w:val="hu-HU"/>
        </w:rPr>
        <w:t>CAD</w:t>
      </w:r>
      <w:proofErr w:type="spellEnd"/>
      <w:r w:rsidRPr="004049F3">
        <w:rPr>
          <w:rFonts w:cs="Arial"/>
          <w:i/>
          <w:snapToGrid/>
          <w:lang w:val="hu-HU"/>
        </w:rPr>
        <w:t>:</w:t>
      </w:r>
      <w:r w:rsidRPr="004049F3">
        <w:rPr>
          <w:rFonts w:cs="Arial"/>
          <w:i/>
          <w:snapToGrid/>
          <w:lang w:val="hu-HU"/>
        </w:rPr>
        <w:tab/>
        <w:t>100 millió dollár az A1 táblában „</w:t>
      </w:r>
      <w:proofErr w:type="spellStart"/>
      <w:r w:rsidRPr="004049F3">
        <w:rPr>
          <w:rFonts w:cs="Arial"/>
          <w:i/>
          <w:snapToGrid/>
          <w:lang w:val="hu-HU"/>
        </w:rPr>
        <w:t>CAD</w:t>
      </w:r>
      <w:proofErr w:type="spellEnd"/>
      <w:r w:rsidRPr="004049F3">
        <w:rPr>
          <w:rFonts w:cs="Arial"/>
          <w:i/>
          <w:snapToGrid/>
          <w:lang w:val="hu-HU"/>
        </w:rPr>
        <w:t>” alatt</w:t>
      </w:r>
    </w:p>
    <w:p w:rsidR="0051457C" w:rsidRPr="004049F3" w:rsidRDefault="0051457C" w:rsidP="004049F3">
      <w:pPr>
        <w:numPr>
          <w:ilvl w:val="0"/>
          <w:numId w:val="12"/>
        </w:numPr>
        <w:autoSpaceDE w:val="0"/>
        <w:autoSpaceDN w:val="0"/>
        <w:adjustRightInd w:val="0"/>
        <w:jc w:val="both"/>
        <w:rPr>
          <w:rFonts w:cs="Arial"/>
          <w:i/>
          <w:snapToGrid/>
          <w:lang w:val="hu-HU"/>
        </w:rPr>
      </w:pPr>
      <w:proofErr w:type="spellStart"/>
      <w:r w:rsidRPr="004049F3">
        <w:rPr>
          <w:rFonts w:cs="Arial"/>
          <w:i/>
          <w:snapToGrid/>
          <w:lang w:val="hu-HU"/>
        </w:rPr>
        <w:t>BRL</w:t>
      </w:r>
      <w:proofErr w:type="spellEnd"/>
      <w:r w:rsidRPr="004049F3">
        <w:rPr>
          <w:rFonts w:cs="Arial"/>
          <w:i/>
          <w:snapToGrid/>
          <w:lang w:val="hu-HU"/>
        </w:rPr>
        <w:t>/</w:t>
      </w:r>
      <w:proofErr w:type="spellStart"/>
      <w:r w:rsidRPr="004049F3">
        <w:rPr>
          <w:rFonts w:cs="Arial"/>
          <w:i/>
          <w:snapToGrid/>
          <w:lang w:val="hu-HU"/>
        </w:rPr>
        <w:t>MXN</w:t>
      </w:r>
      <w:proofErr w:type="spellEnd"/>
      <w:r w:rsidRPr="004049F3">
        <w:rPr>
          <w:rFonts w:cs="Arial"/>
          <w:i/>
          <w:snapToGrid/>
          <w:lang w:val="hu-HU"/>
        </w:rPr>
        <w:t>:</w:t>
      </w:r>
      <w:r w:rsidR="00367721" w:rsidRPr="004049F3">
        <w:rPr>
          <w:rFonts w:cs="Arial"/>
          <w:i/>
          <w:snapToGrid/>
          <w:lang w:val="hu-HU"/>
        </w:rPr>
        <w:tab/>
      </w:r>
      <w:r w:rsidRPr="004049F3">
        <w:rPr>
          <w:rFonts w:cs="Arial"/>
          <w:i/>
          <w:snapToGrid/>
          <w:lang w:val="hu-HU"/>
        </w:rPr>
        <w:t>100 millió dollár az A1 táblában az „Egyéb” alatt és 100 millió</w:t>
      </w:r>
      <w:r w:rsidR="00D14489" w:rsidRPr="004049F3">
        <w:rPr>
          <w:rFonts w:cs="Arial"/>
          <w:i/>
          <w:snapToGrid/>
          <w:lang w:val="hu-HU"/>
        </w:rPr>
        <w:t xml:space="preserve"> dollár az A4 táblában az</w:t>
      </w:r>
      <w:r w:rsidR="00A05A7C" w:rsidRPr="004049F3">
        <w:rPr>
          <w:rFonts w:cs="Arial"/>
          <w:i/>
          <w:snapToGrid/>
          <w:lang w:val="hu-HU"/>
        </w:rPr>
        <w:t xml:space="preserve"> </w:t>
      </w:r>
      <w:proofErr w:type="spellStart"/>
      <w:r w:rsidRPr="004049F3">
        <w:rPr>
          <w:rFonts w:cs="Arial"/>
          <w:i/>
          <w:snapToGrid/>
          <w:lang w:val="hu-HU"/>
        </w:rPr>
        <w:t>MXN</w:t>
      </w:r>
      <w:proofErr w:type="spellEnd"/>
      <w:r w:rsidRPr="004049F3">
        <w:rPr>
          <w:rFonts w:cs="Arial"/>
          <w:i/>
          <w:snapToGrid/>
          <w:lang w:val="hu-HU"/>
        </w:rPr>
        <w:t>” alatt</w:t>
      </w:r>
    </w:p>
    <w:p w:rsidR="0051457C" w:rsidRPr="004049F3" w:rsidRDefault="0051457C" w:rsidP="007B04D2">
      <w:pPr>
        <w:numPr>
          <w:ilvl w:val="0"/>
          <w:numId w:val="12"/>
        </w:numPr>
        <w:autoSpaceDE w:val="0"/>
        <w:autoSpaceDN w:val="0"/>
        <w:adjustRightInd w:val="0"/>
        <w:jc w:val="both"/>
        <w:rPr>
          <w:rFonts w:cs="Arial"/>
          <w:i/>
          <w:snapToGrid/>
          <w:lang w:val="hu-HU"/>
        </w:rPr>
      </w:pPr>
      <w:r w:rsidRPr="004049F3">
        <w:rPr>
          <w:rFonts w:cs="Arial"/>
          <w:i/>
          <w:snapToGrid/>
          <w:lang w:val="hu-HU"/>
        </w:rPr>
        <w:t>ARS/</w:t>
      </w:r>
      <w:proofErr w:type="spellStart"/>
      <w:r w:rsidRPr="004049F3">
        <w:rPr>
          <w:rFonts w:cs="Arial"/>
          <w:i/>
          <w:snapToGrid/>
          <w:lang w:val="hu-HU"/>
        </w:rPr>
        <w:t>MXN</w:t>
      </w:r>
      <w:proofErr w:type="spellEnd"/>
      <w:r w:rsidRPr="004049F3">
        <w:rPr>
          <w:rFonts w:cs="Arial"/>
          <w:i/>
          <w:snapToGrid/>
          <w:lang w:val="hu-HU"/>
        </w:rPr>
        <w:t xml:space="preserve">: </w:t>
      </w:r>
      <w:r w:rsidR="00367721" w:rsidRPr="004049F3">
        <w:rPr>
          <w:rFonts w:cs="Arial"/>
          <w:i/>
          <w:snapToGrid/>
          <w:lang w:val="hu-HU"/>
        </w:rPr>
        <w:tab/>
      </w:r>
      <w:r w:rsidRPr="004049F3">
        <w:rPr>
          <w:rFonts w:cs="Arial"/>
          <w:i/>
          <w:snapToGrid/>
          <w:lang w:val="hu-HU"/>
        </w:rPr>
        <w:t>100 millió dollár az A3 táblában „Többi deviza” alatt és 100 millió dollár az A4 táblában az „ARS” alatt illetve 100 millió dollár az A4 táblában az „</w:t>
      </w:r>
      <w:proofErr w:type="spellStart"/>
      <w:r w:rsidRPr="004049F3">
        <w:rPr>
          <w:rFonts w:cs="Arial"/>
          <w:i/>
          <w:snapToGrid/>
          <w:lang w:val="hu-HU"/>
        </w:rPr>
        <w:t>MXN</w:t>
      </w:r>
      <w:proofErr w:type="spellEnd"/>
      <w:r w:rsidRPr="004049F3">
        <w:rPr>
          <w:rFonts w:cs="Arial"/>
          <w:i/>
          <w:snapToGrid/>
          <w:lang w:val="hu-HU"/>
        </w:rPr>
        <w:t xml:space="preserve">” alatt </w:t>
      </w:r>
    </w:p>
    <w:p w:rsidR="00367721" w:rsidRPr="004049F3" w:rsidRDefault="00367721" w:rsidP="007036AD">
      <w:pPr>
        <w:numPr>
          <w:ilvl w:val="0"/>
          <w:numId w:val="12"/>
        </w:numPr>
        <w:autoSpaceDE w:val="0"/>
        <w:autoSpaceDN w:val="0"/>
        <w:adjustRightInd w:val="0"/>
        <w:jc w:val="both"/>
        <w:rPr>
          <w:rFonts w:cs="Arial"/>
          <w:i/>
          <w:snapToGrid/>
          <w:lang w:val="hu-HU"/>
        </w:rPr>
      </w:pPr>
      <w:r w:rsidRPr="004049F3">
        <w:rPr>
          <w:rFonts w:cs="Arial"/>
          <w:i/>
          <w:snapToGrid/>
          <w:lang w:val="hu-HU"/>
        </w:rPr>
        <w:t>BOB/</w:t>
      </w:r>
      <w:proofErr w:type="spellStart"/>
      <w:r w:rsidRPr="004049F3">
        <w:rPr>
          <w:rFonts w:cs="Arial"/>
          <w:i/>
          <w:snapToGrid/>
          <w:lang w:val="hu-HU"/>
        </w:rPr>
        <w:t>UYU</w:t>
      </w:r>
      <w:proofErr w:type="spellEnd"/>
      <w:r w:rsidRPr="004049F3">
        <w:rPr>
          <w:rFonts w:cs="Arial"/>
          <w:i/>
          <w:snapToGrid/>
          <w:lang w:val="hu-HU"/>
        </w:rPr>
        <w:t>:</w:t>
      </w:r>
      <w:r w:rsidRPr="004049F3">
        <w:rPr>
          <w:rFonts w:cs="Arial"/>
          <w:i/>
          <w:snapToGrid/>
          <w:lang w:val="hu-HU"/>
        </w:rPr>
        <w:tab/>
      </w:r>
      <w:r w:rsidRPr="0000026F">
        <w:rPr>
          <w:rFonts w:cs="Arial"/>
          <w:i/>
          <w:snapToGrid/>
          <w:lang w:val="hu-HU"/>
        </w:rPr>
        <w:t>100 millió dollár az A3 táblában „többi devizanem” alatt és 200 millió dollár az A4 táblában az „Egyéb” alatt.</w:t>
      </w:r>
    </w:p>
    <w:p w:rsidR="0000026F" w:rsidRPr="004049F3" w:rsidRDefault="0000026F" w:rsidP="004049F3">
      <w:pPr>
        <w:autoSpaceDE w:val="0"/>
        <w:autoSpaceDN w:val="0"/>
        <w:adjustRightInd w:val="0"/>
        <w:ind w:left="360"/>
        <w:jc w:val="both"/>
        <w:rPr>
          <w:rFonts w:cs="Arial"/>
          <w:i/>
          <w:snapToGrid/>
          <w:lang w:val="hu-HU"/>
        </w:rPr>
      </w:pPr>
    </w:p>
    <w:p w:rsidR="0051457C" w:rsidRPr="004049F3" w:rsidRDefault="0051457C" w:rsidP="004049F3">
      <w:pPr>
        <w:autoSpaceDE w:val="0"/>
        <w:autoSpaceDN w:val="0"/>
        <w:adjustRightInd w:val="0"/>
        <w:jc w:val="both"/>
        <w:rPr>
          <w:rFonts w:cs="Arial"/>
          <w:i/>
          <w:snapToGrid/>
          <w:lang w:val="hu-HU"/>
        </w:rPr>
      </w:pPr>
      <w:r w:rsidRPr="004049F3">
        <w:rPr>
          <w:rFonts w:cs="Arial"/>
          <w:i/>
          <w:snapToGrid/>
          <w:lang w:val="hu-HU"/>
        </w:rPr>
        <w:t xml:space="preserve">Brazil jelentő </w:t>
      </w:r>
      <w:proofErr w:type="spellStart"/>
      <w:r w:rsidRPr="004049F3">
        <w:rPr>
          <w:rFonts w:cs="Arial"/>
          <w:i/>
          <w:snapToGrid/>
          <w:lang w:val="hu-HU"/>
        </w:rPr>
        <w:t>dealer</w:t>
      </w:r>
      <w:proofErr w:type="spellEnd"/>
      <w:r w:rsidRPr="004049F3">
        <w:rPr>
          <w:rFonts w:cs="Arial"/>
          <w:i/>
          <w:snapToGrid/>
          <w:lang w:val="hu-HU"/>
        </w:rPr>
        <w:t xml:space="preserve"> nem jelenthet adatot az A4 táblában a „</w:t>
      </w:r>
      <w:proofErr w:type="spellStart"/>
      <w:r w:rsidRPr="004049F3">
        <w:rPr>
          <w:rFonts w:cs="Arial"/>
          <w:i/>
          <w:snapToGrid/>
          <w:lang w:val="hu-HU"/>
        </w:rPr>
        <w:t>BRL</w:t>
      </w:r>
      <w:proofErr w:type="spellEnd"/>
      <w:r w:rsidRPr="004049F3">
        <w:rPr>
          <w:rFonts w:cs="Arial"/>
          <w:i/>
          <w:snapToGrid/>
          <w:lang w:val="hu-HU"/>
        </w:rPr>
        <w:t xml:space="preserve">” alatt. </w:t>
      </w:r>
    </w:p>
    <w:p w:rsidR="009F238E" w:rsidRPr="00B05124" w:rsidRDefault="009F238E" w:rsidP="007B04D2">
      <w:pPr>
        <w:pStyle w:val="IndentedHeading2"/>
        <w:rPr>
          <w:rFonts w:ascii="Arial" w:hAnsi="Arial" w:cs="Arial"/>
          <w:bCs w:val="0"/>
          <w:i w:val="0"/>
          <w:iCs w:val="0"/>
          <w:sz w:val="22"/>
          <w:szCs w:val="22"/>
          <w:lang w:val="hu-HU"/>
        </w:rPr>
      </w:pPr>
      <w:bookmarkStart w:id="29" w:name="_Toc533082323"/>
      <w:r w:rsidRPr="00B05124">
        <w:rPr>
          <w:rFonts w:ascii="Arial" w:hAnsi="Arial" w:cs="Arial"/>
          <w:bCs w:val="0"/>
          <w:i w:val="0"/>
          <w:iCs w:val="0"/>
          <w:sz w:val="22"/>
          <w:szCs w:val="22"/>
          <w:lang w:val="hu-HU"/>
        </w:rPr>
        <w:t xml:space="preserve">2. </w:t>
      </w:r>
      <w:r w:rsidRPr="00B05124">
        <w:rPr>
          <w:rFonts w:ascii="Arial" w:hAnsi="Arial" w:cs="Arial"/>
          <w:bCs w:val="0"/>
          <w:i w:val="0"/>
          <w:iCs w:val="0"/>
          <w:sz w:val="22"/>
          <w:szCs w:val="22"/>
          <w:lang w:val="hu-HU"/>
        </w:rPr>
        <w:tab/>
        <w:t>Egydevizás kamatláb-</w:t>
      </w:r>
      <w:proofErr w:type="spellStart"/>
      <w:r w:rsidRPr="00B05124">
        <w:rPr>
          <w:rFonts w:ascii="Arial" w:hAnsi="Arial" w:cs="Arial"/>
          <w:bCs w:val="0"/>
          <w:i w:val="0"/>
          <w:iCs w:val="0"/>
          <w:sz w:val="22"/>
          <w:szCs w:val="22"/>
          <w:lang w:val="hu-HU"/>
        </w:rPr>
        <w:t>derivatívák</w:t>
      </w:r>
      <w:bookmarkEnd w:id="29"/>
      <w:proofErr w:type="spellEnd"/>
      <w:r w:rsidRPr="00B05124">
        <w:rPr>
          <w:rFonts w:ascii="Arial" w:hAnsi="Arial" w:cs="Arial"/>
          <w:bCs w:val="0"/>
          <w:i w:val="0"/>
          <w:iCs w:val="0"/>
          <w:sz w:val="22"/>
          <w:szCs w:val="22"/>
          <w:lang w:val="hu-HU"/>
        </w:rPr>
        <w:t xml:space="preserve"> </w:t>
      </w:r>
    </w:p>
    <w:p w:rsidR="0015180B" w:rsidRPr="00B05124" w:rsidRDefault="0015180B" w:rsidP="00E42FDD">
      <w:pPr>
        <w:pStyle w:val="Paragraph"/>
      </w:pPr>
      <w:r w:rsidRPr="00B05124">
        <w:t xml:space="preserve">Az egydevizás kamatlábügyletek esetében az adatszolgáltatók kötelesek ugyanabban a kibővített devizanem szerinti bontásban megadni a </w:t>
      </w:r>
      <w:r w:rsidRPr="00B05124">
        <w:rPr>
          <w:i/>
        </w:rPr>
        <w:t xml:space="preserve">forgalmi </w:t>
      </w:r>
      <w:r w:rsidRPr="00B05124">
        <w:t xml:space="preserve">adatokat: </w:t>
      </w:r>
      <w:proofErr w:type="spellStart"/>
      <w:r w:rsidR="00AF02AB">
        <w:t>AED</w:t>
      </w:r>
      <w:proofErr w:type="spellEnd"/>
      <w:r w:rsidR="00AF02AB">
        <w:t xml:space="preserve">, </w:t>
      </w:r>
      <w:r w:rsidRPr="00B05124">
        <w:t xml:space="preserve">ARS, </w:t>
      </w:r>
      <w:proofErr w:type="spellStart"/>
      <w:r w:rsidRPr="00B05124">
        <w:t>AUD</w:t>
      </w:r>
      <w:proofErr w:type="spellEnd"/>
      <w:r w:rsidRPr="00B05124">
        <w:t xml:space="preserve">, </w:t>
      </w:r>
      <w:proofErr w:type="spellStart"/>
      <w:r w:rsidRPr="00B05124">
        <w:t>BGN</w:t>
      </w:r>
      <w:proofErr w:type="spellEnd"/>
      <w:r w:rsidRPr="00B05124">
        <w:t xml:space="preserve">, </w:t>
      </w:r>
      <w:proofErr w:type="spellStart"/>
      <w:r w:rsidRPr="00B05124">
        <w:t>BHD</w:t>
      </w:r>
      <w:proofErr w:type="spellEnd"/>
      <w:r w:rsidRPr="00B05124">
        <w:t xml:space="preserve">, </w:t>
      </w:r>
      <w:proofErr w:type="spellStart"/>
      <w:r w:rsidRPr="00B05124">
        <w:t>BRL</w:t>
      </w:r>
      <w:proofErr w:type="spellEnd"/>
      <w:r w:rsidRPr="00B05124">
        <w:t xml:space="preserve">, </w:t>
      </w:r>
      <w:proofErr w:type="spellStart"/>
      <w:r w:rsidRPr="00B05124">
        <w:t>CAD</w:t>
      </w:r>
      <w:proofErr w:type="spellEnd"/>
      <w:r w:rsidRPr="00B05124">
        <w:t xml:space="preserve">, CHF, </w:t>
      </w:r>
      <w:proofErr w:type="spellStart"/>
      <w:r w:rsidRPr="00B05124">
        <w:t>CLP</w:t>
      </w:r>
      <w:proofErr w:type="spellEnd"/>
      <w:r w:rsidRPr="00B05124">
        <w:t xml:space="preserve">, </w:t>
      </w:r>
      <w:proofErr w:type="spellStart"/>
      <w:r w:rsidRPr="00B05124">
        <w:t>CNY</w:t>
      </w:r>
      <w:proofErr w:type="spellEnd"/>
      <w:r w:rsidRPr="00B05124">
        <w:t xml:space="preserve">, </w:t>
      </w:r>
      <w:proofErr w:type="spellStart"/>
      <w:r w:rsidRPr="00B05124">
        <w:t>COP</w:t>
      </w:r>
      <w:proofErr w:type="spellEnd"/>
      <w:r w:rsidRPr="00B05124">
        <w:t xml:space="preserve">, </w:t>
      </w:r>
      <w:proofErr w:type="spellStart"/>
      <w:r w:rsidRPr="00B05124">
        <w:t>CZK</w:t>
      </w:r>
      <w:proofErr w:type="spellEnd"/>
      <w:r w:rsidRPr="00B05124">
        <w:t xml:space="preserve">, </w:t>
      </w:r>
      <w:proofErr w:type="spellStart"/>
      <w:r w:rsidRPr="00B05124">
        <w:t>DKK</w:t>
      </w:r>
      <w:proofErr w:type="spellEnd"/>
      <w:r w:rsidRPr="00B05124">
        <w:t xml:space="preserve">, EUR, </w:t>
      </w:r>
      <w:proofErr w:type="spellStart"/>
      <w:r w:rsidRPr="00B05124">
        <w:t>GBP</w:t>
      </w:r>
      <w:proofErr w:type="spellEnd"/>
      <w:r w:rsidRPr="00B05124">
        <w:t xml:space="preserve">, </w:t>
      </w:r>
      <w:proofErr w:type="spellStart"/>
      <w:r w:rsidRPr="00B05124">
        <w:t>HKD</w:t>
      </w:r>
      <w:proofErr w:type="spellEnd"/>
      <w:r w:rsidRPr="00B05124">
        <w:t xml:space="preserve">, HUF, </w:t>
      </w:r>
      <w:proofErr w:type="spellStart"/>
      <w:r w:rsidRPr="00B05124">
        <w:t>IDR</w:t>
      </w:r>
      <w:proofErr w:type="spellEnd"/>
      <w:r w:rsidRPr="00B05124">
        <w:t xml:space="preserve">, </w:t>
      </w:r>
      <w:proofErr w:type="spellStart"/>
      <w:r w:rsidRPr="00B05124">
        <w:t>ILS</w:t>
      </w:r>
      <w:proofErr w:type="spellEnd"/>
      <w:r w:rsidRPr="00B05124">
        <w:t xml:space="preserve">, </w:t>
      </w:r>
      <w:proofErr w:type="spellStart"/>
      <w:r w:rsidRPr="00B05124">
        <w:t>INR</w:t>
      </w:r>
      <w:proofErr w:type="spellEnd"/>
      <w:r w:rsidRPr="00B05124">
        <w:t xml:space="preserve">, </w:t>
      </w:r>
      <w:proofErr w:type="spellStart"/>
      <w:r w:rsidRPr="00B05124">
        <w:t>JPY</w:t>
      </w:r>
      <w:proofErr w:type="spellEnd"/>
      <w:r w:rsidRPr="00B05124">
        <w:t xml:space="preserve">, </w:t>
      </w:r>
      <w:proofErr w:type="spellStart"/>
      <w:r w:rsidRPr="00B05124">
        <w:t>KRW</w:t>
      </w:r>
      <w:proofErr w:type="spellEnd"/>
      <w:r w:rsidRPr="00B05124">
        <w:t xml:space="preserve">,, </w:t>
      </w:r>
      <w:proofErr w:type="spellStart"/>
      <w:r w:rsidRPr="00B05124">
        <w:t>MXN</w:t>
      </w:r>
      <w:proofErr w:type="spellEnd"/>
      <w:r w:rsidRPr="00B05124">
        <w:t xml:space="preserve">, </w:t>
      </w:r>
      <w:proofErr w:type="spellStart"/>
      <w:r w:rsidRPr="00B05124">
        <w:t>MYR</w:t>
      </w:r>
      <w:proofErr w:type="spellEnd"/>
      <w:r w:rsidRPr="00B05124">
        <w:t xml:space="preserve">, </w:t>
      </w:r>
      <w:proofErr w:type="spellStart"/>
      <w:r w:rsidRPr="00B05124">
        <w:t>NOK</w:t>
      </w:r>
      <w:proofErr w:type="spellEnd"/>
      <w:r w:rsidRPr="00B05124">
        <w:t xml:space="preserve">, </w:t>
      </w:r>
      <w:proofErr w:type="spellStart"/>
      <w:r w:rsidRPr="00B05124">
        <w:t>NZD</w:t>
      </w:r>
      <w:proofErr w:type="spellEnd"/>
      <w:r w:rsidRPr="00B05124">
        <w:t xml:space="preserve">, PEN, PHP, </w:t>
      </w:r>
      <w:proofErr w:type="spellStart"/>
      <w:r w:rsidRPr="00B05124">
        <w:t>PLN</w:t>
      </w:r>
      <w:proofErr w:type="spellEnd"/>
      <w:r w:rsidRPr="00B05124">
        <w:t xml:space="preserve">, RON, </w:t>
      </w:r>
      <w:proofErr w:type="spellStart"/>
      <w:r w:rsidRPr="00B05124">
        <w:t>RUB</w:t>
      </w:r>
      <w:proofErr w:type="spellEnd"/>
      <w:r w:rsidRPr="00B05124">
        <w:t xml:space="preserve">, </w:t>
      </w:r>
      <w:proofErr w:type="spellStart"/>
      <w:r w:rsidRPr="00B05124">
        <w:t>SAR</w:t>
      </w:r>
      <w:proofErr w:type="spellEnd"/>
      <w:r w:rsidRPr="00B05124">
        <w:t xml:space="preserve">, </w:t>
      </w:r>
      <w:proofErr w:type="spellStart"/>
      <w:r w:rsidRPr="00B05124">
        <w:t>SEK</w:t>
      </w:r>
      <w:proofErr w:type="spellEnd"/>
      <w:r w:rsidRPr="00B05124">
        <w:t xml:space="preserve">, </w:t>
      </w:r>
      <w:proofErr w:type="spellStart"/>
      <w:r w:rsidRPr="00B05124">
        <w:t>SGD</w:t>
      </w:r>
      <w:proofErr w:type="spellEnd"/>
      <w:r w:rsidRPr="00B05124">
        <w:t xml:space="preserve">, </w:t>
      </w:r>
      <w:proofErr w:type="spellStart"/>
      <w:r w:rsidRPr="00B05124">
        <w:t>THB</w:t>
      </w:r>
      <w:proofErr w:type="spellEnd"/>
      <w:r w:rsidRPr="00B05124">
        <w:t xml:space="preserve">, </w:t>
      </w:r>
      <w:proofErr w:type="spellStart"/>
      <w:r w:rsidRPr="00B05124">
        <w:t>TRY</w:t>
      </w:r>
      <w:proofErr w:type="spellEnd"/>
      <w:r w:rsidRPr="00B05124">
        <w:t xml:space="preserve">, </w:t>
      </w:r>
      <w:proofErr w:type="spellStart"/>
      <w:r w:rsidRPr="00B05124">
        <w:t>TWD</w:t>
      </w:r>
      <w:proofErr w:type="spellEnd"/>
      <w:r w:rsidRPr="00B05124">
        <w:t xml:space="preserve">, USD, </w:t>
      </w:r>
      <w:proofErr w:type="spellStart"/>
      <w:r w:rsidRPr="00B05124">
        <w:t>ZAR</w:t>
      </w:r>
      <w:proofErr w:type="spellEnd"/>
      <w:r w:rsidRPr="00B05124">
        <w:t xml:space="preserve"> és egyéb. </w:t>
      </w:r>
      <w:r w:rsidR="002E67D0">
        <w:t xml:space="preserve"> A devizanem a mögöttes eszköz devizájára vonatkozik és nem az elszámolási devizára. </w:t>
      </w:r>
    </w:p>
    <w:p w:rsidR="00E6743C" w:rsidRDefault="00E6743C" w:rsidP="00E42FDD">
      <w:pPr>
        <w:pStyle w:val="Paragraph"/>
      </w:pPr>
      <w:r w:rsidRPr="00B05124">
        <w:lastRenderedPageBreak/>
        <w:t xml:space="preserve">A felmérésben résztvevő jegybankoknak lehetőségük van bármely hasznosnak ítélt egyéb devizanemre vagy devizapárra is megadni adatokat. </w:t>
      </w:r>
    </w:p>
    <w:p w:rsidR="002E67D0" w:rsidRPr="004049F3" w:rsidRDefault="002E67D0" w:rsidP="0000026F">
      <w:pPr>
        <w:pStyle w:val="Paragraph"/>
        <w:rPr>
          <w:b/>
          <w:i/>
        </w:rPr>
      </w:pPr>
      <w:r>
        <w:rPr>
          <w:b/>
          <w:i/>
        </w:rPr>
        <w:t>Példa:</w:t>
      </w:r>
      <w:r w:rsidRPr="002E67D0">
        <w:rPr>
          <w:b/>
          <w:i/>
        </w:rPr>
        <w:t xml:space="preserve"> </w:t>
      </w:r>
      <w:r w:rsidRPr="004049F3">
        <w:rPr>
          <w:i/>
        </w:rPr>
        <w:t>egy hároméves</w:t>
      </w:r>
      <w:r w:rsidRPr="0000026F">
        <w:rPr>
          <w:i/>
        </w:rPr>
        <w:t xml:space="preserve"> </w:t>
      </w:r>
      <w:proofErr w:type="spellStart"/>
      <w:r w:rsidRPr="0000026F">
        <w:rPr>
          <w:i/>
        </w:rPr>
        <w:t>swapot</w:t>
      </w:r>
      <w:proofErr w:type="spellEnd"/>
      <w:r w:rsidRPr="0000026F">
        <w:rPr>
          <w:i/>
        </w:rPr>
        <w:t>, ami</w:t>
      </w:r>
      <w:r w:rsidRPr="004049F3">
        <w:rPr>
          <w:i/>
        </w:rPr>
        <w:t xml:space="preserve"> </w:t>
      </w:r>
      <w:proofErr w:type="spellStart"/>
      <w:r w:rsidRPr="004049F3">
        <w:rPr>
          <w:i/>
        </w:rPr>
        <w:t>KRW</w:t>
      </w:r>
      <w:proofErr w:type="spellEnd"/>
      <w:r w:rsidRPr="004049F3">
        <w:rPr>
          <w:i/>
        </w:rPr>
        <w:t xml:space="preserve"> fix kamat</w:t>
      </w:r>
      <w:r w:rsidRPr="0000026F">
        <w:rPr>
          <w:i/>
        </w:rPr>
        <w:t>ot cserél</w:t>
      </w:r>
      <w:r w:rsidRPr="004049F3">
        <w:rPr>
          <w:i/>
        </w:rPr>
        <w:t xml:space="preserve"> 3 hónapos </w:t>
      </w:r>
      <w:proofErr w:type="spellStart"/>
      <w:r w:rsidRPr="004049F3">
        <w:rPr>
          <w:i/>
        </w:rPr>
        <w:t>KRW</w:t>
      </w:r>
      <w:proofErr w:type="spellEnd"/>
      <w:r w:rsidRPr="004049F3">
        <w:rPr>
          <w:i/>
        </w:rPr>
        <w:t>-</w:t>
      </w:r>
      <w:r w:rsidRPr="0000026F">
        <w:rPr>
          <w:i/>
        </w:rPr>
        <w:t>re</w:t>
      </w:r>
      <w:r w:rsidRPr="004049F3">
        <w:rPr>
          <w:i/>
        </w:rPr>
        <w:t>, amelyet USD-ben rendeznek</w:t>
      </w:r>
      <w:r w:rsidRPr="0000026F">
        <w:rPr>
          <w:i/>
        </w:rPr>
        <w:t>, a</w:t>
      </w:r>
      <w:r w:rsidRPr="004049F3">
        <w:rPr>
          <w:i/>
        </w:rPr>
        <w:t xml:space="preserve"> "</w:t>
      </w:r>
      <w:proofErr w:type="spellStart"/>
      <w:r w:rsidRPr="004049F3">
        <w:rPr>
          <w:i/>
        </w:rPr>
        <w:t>KRW</w:t>
      </w:r>
      <w:proofErr w:type="spellEnd"/>
      <w:r w:rsidRPr="004049F3">
        <w:rPr>
          <w:i/>
        </w:rPr>
        <w:t>" oszlop</w:t>
      </w:r>
      <w:r w:rsidRPr="0000026F">
        <w:rPr>
          <w:i/>
        </w:rPr>
        <w:t>ban kell</w:t>
      </w:r>
      <w:r w:rsidRPr="004049F3">
        <w:rPr>
          <w:i/>
        </w:rPr>
        <w:t xml:space="preserve"> jelente</w:t>
      </w:r>
      <w:r w:rsidRPr="0000026F">
        <w:rPr>
          <w:i/>
        </w:rPr>
        <w:t>ni</w:t>
      </w:r>
      <w:r w:rsidRPr="004049F3">
        <w:rPr>
          <w:i/>
        </w:rPr>
        <w:t>.</w:t>
      </w:r>
    </w:p>
    <w:p w:rsidR="00F314C2" w:rsidRPr="00B05124" w:rsidRDefault="00F314C2" w:rsidP="004049F3">
      <w:pPr>
        <w:pStyle w:val="IndentedHeading2"/>
        <w:ind w:left="1078"/>
        <w:rPr>
          <w:rFonts w:ascii="Arial" w:hAnsi="Arial" w:cs="Arial"/>
          <w:bCs w:val="0"/>
          <w:i w:val="0"/>
          <w:iCs w:val="0"/>
          <w:sz w:val="22"/>
          <w:szCs w:val="22"/>
          <w:lang w:val="hu-HU"/>
        </w:rPr>
      </w:pPr>
      <w:bookmarkStart w:id="30" w:name="_Toc533082324"/>
      <w:r w:rsidRPr="00B05124">
        <w:rPr>
          <w:rFonts w:ascii="Arial" w:hAnsi="Arial" w:cs="Arial"/>
          <w:bCs w:val="0"/>
          <w:i w:val="0"/>
          <w:iCs w:val="0"/>
          <w:sz w:val="22"/>
          <w:szCs w:val="22"/>
          <w:lang w:val="hu-HU"/>
        </w:rPr>
        <w:t xml:space="preserve">3. </w:t>
      </w:r>
      <w:r w:rsidRPr="00B05124">
        <w:rPr>
          <w:rFonts w:ascii="Arial" w:hAnsi="Arial" w:cs="Arial"/>
          <w:bCs w:val="0"/>
          <w:i w:val="0"/>
          <w:iCs w:val="0"/>
          <w:sz w:val="22"/>
          <w:szCs w:val="22"/>
          <w:lang w:val="hu-HU"/>
        </w:rPr>
        <w:tab/>
        <w:t>Speciális elszámolási egységek</w:t>
      </w:r>
      <w:bookmarkEnd w:id="30"/>
    </w:p>
    <w:p w:rsidR="00F314C2" w:rsidRPr="00B05124" w:rsidRDefault="00F314C2" w:rsidP="00666ADE">
      <w:pPr>
        <w:pStyle w:val="Paragraph"/>
      </w:pPr>
      <w:r w:rsidRPr="00B05124">
        <w:t xml:space="preserve">Minden inflációkövető speciális elszámolási egységben (pl. </w:t>
      </w:r>
      <w:proofErr w:type="spellStart"/>
      <w:r w:rsidRPr="00B05124">
        <w:t>CLF</w:t>
      </w:r>
      <w:proofErr w:type="spellEnd"/>
      <w:r w:rsidRPr="00B05124">
        <w:t xml:space="preserve">, </w:t>
      </w:r>
      <w:proofErr w:type="spellStart"/>
      <w:r w:rsidRPr="00B05124">
        <w:t>COU</w:t>
      </w:r>
      <w:proofErr w:type="spellEnd"/>
      <w:r w:rsidRPr="00B05124">
        <w:t xml:space="preserve"> és MXV) végrehajtott tranzakciót úgy kell tekinteni, mintha a fő valutanemben (</w:t>
      </w:r>
      <w:proofErr w:type="spellStart"/>
      <w:r w:rsidRPr="00B05124">
        <w:t>CLP</w:t>
      </w:r>
      <w:proofErr w:type="spellEnd"/>
      <w:r w:rsidRPr="00B05124">
        <w:t xml:space="preserve">, </w:t>
      </w:r>
      <w:proofErr w:type="spellStart"/>
      <w:r w:rsidRPr="00B05124">
        <w:t>COP</w:t>
      </w:r>
      <w:proofErr w:type="spellEnd"/>
      <w:r w:rsidRPr="00B05124">
        <w:t xml:space="preserve"> illetve </w:t>
      </w:r>
      <w:proofErr w:type="spellStart"/>
      <w:r w:rsidRPr="00B05124">
        <w:t>MXN</w:t>
      </w:r>
      <w:proofErr w:type="spellEnd"/>
      <w:r w:rsidRPr="00B05124">
        <w:t xml:space="preserve">) történt volna. </w:t>
      </w:r>
    </w:p>
    <w:p w:rsidR="00F314C2" w:rsidRPr="00B05124" w:rsidRDefault="00F314C2" w:rsidP="00F314C2">
      <w:pPr>
        <w:pStyle w:val="IndentedHeading1"/>
        <w:rPr>
          <w:rFonts w:cs="Arial"/>
          <w:b/>
          <w:sz w:val="26"/>
          <w:szCs w:val="26"/>
          <w:lang w:val="hu-HU"/>
        </w:rPr>
      </w:pPr>
      <w:bookmarkStart w:id="31" w:name="_Toc533082325"/>
      <w:r w:rsidRPr="00B05124">
        <w:rPr>
          <w:rFonts w:cs="Arial"/>
          <w:b/>
          <w:sz w:val="26"/>
          <w:szCs w:val="26"/>
          <w:lang w:val="hu-HU"/>
        </w:rPr>
        <w:t>E.</w:t>
      </w:r>
      <w:r w:rsidRPr="00B05124">
        <w:rPr>
          <w:rFonts w:cs="Arial"/>
          <w:b/>
          <w:sz w:val="26"/>
          <w:szCs w:val="26"/>
          <w:lang w:val="hu-HU"/>
        </w:rPr>
        <w:tab/>
        <w:t>Lejáratok</w:t>
      </w:r>
      <w:bookmarkEnd w:id="31"/>
    </w:p>
    <w:p w:rsidR="00150427" w:rsidRPr="00B05124" w:rsidRDefault="00150427" w:rsidP="00666ADE">
      <w:pPr>
        <w:pStyle w:val="Paragraph"/>
      </w:pPr>
      <w:r w:rsidRPr="00B05124">
        <w:t xml:space="preserve">A felmérés forgalmi adatok részében a határidős ügyletek és </w:t>
      </w:r>
      <w:proofErr w:type="spellStart"/>
      <w:r w:rsidRPr="00B05124">
        <w:t>FX</w:t>
      </w:r>
      <w:proofErr w:type="spellEnd"/>
      <w:r w:rsidRPr="00B05124">
        <w:t xml:space="preserve"> csereügyletek forgalmát eredeti lejárat alapján kell jelenteni, az alábbi lejárati sávok szerint:</w:t>
      </w:r>
    </w:p>
    <w:p w:rsidR="00150427" w:rsidRPr="00B05124" w:rsidRDefault="00150427" w:rsidP="00DB203A">
      <w:pPr>
        <w:pStyle w:val="Bulletpoint"/>
        <w:numPr>
          <w:ilvl w:val="0"/>
          <w:numId w:val="11"/>
        </w:numPr>
      </w:pPr>
      <w:r w:rsidRPr="00B05124">
        <w:t>hét nap vagy annál rövidebb</w:t>
      </w:r>
    </w:p>
    <w:p w:rsidR="00150427" w:rsidRDefault="00150427" w:rsidP="00DB203A">
      <w:pPr>
        <w:pStyle w:val="Bulletpoint"/>
        <w:numPr>
          <w:ilvl w:val="0"/>
          <w:numId w:val="11"/>
        </w:numPr>
      </w:pPr>
      <w:r w:rsidRPr="00B05124">
        <w:t xml:space="preserve">hét napnál hosszabb, maximum egy </w:t>
      </w:r>
      <w:r w:rsidR="007036AD">
        <w:t>hónap</w:t>
      </w:r>
    </w:p>
    <w:p w:rsidR="007036AD" w:rsidRDefault="007036AD" w:rsidP="00DB203A">
      <w:pPr>
        <w:pStyle w:val="Bulletpoint"/>
        <w:numPr>
          <w:ilvl w:val="0"/>
          <w:numId w:val="11"/>
        </w:numPr>
      </w:pPr>
      <w:r>
        <w:t>egy hónapnál hosszabb, maximum három hónap</w:t>
      </w:r>
    </w:p>
    <w:p w:rsidR="007036AD" w:rsidRPr="00B05124" w:rsidRDefault="007036AD" w:rsidP="007B04D2">
      <w:pPr>
        <w:pStyle w:val="Bulletpoint"/>
        <w:numPr>
          <w:ilvl w:val="0"/>
          <w:numId w:val="11"/>
        </w:numPr>
      </w:pPr>
      <w:r>
        <w:t>három hónapnál hosszabb, maximum hat hónap</w:t>
      </w:r>
    </w:p>
    <w:p w:rsidR="00150427" w:rsidRPr="00B05124" w:rsidRDefault="007036AD" w:rsidP="00DB203A">
      <w:pPr>
        <w:pStyle w:val="Bulletpoint"/>
        <w:numPr>
          <w:ilvl w:val="0"/>
          <w:numId w:val="11"/>
        </w:numPr>
      </w:pPr>
      <w:r>
        <w:t>hat hónap</w:t>
      </w:r>
      <w:r w:rsidR="00150427" w:rsidRPr="00B05124">
        <w:t xml:space="preserve"> felett.</w:t>
      </w:r>
    </w:p>
    <w:p w:rsidR="007036AD" w:rsidRDefault="001A5999" w:rsidP="00666ADE">
      <w:pPr>
        <w:pStyle w:val="Paragraph"/>
      </w:pPr>
      <w:r>
        <w:rPr>
          <w:i/>
        </w:rPr>
        <w:t>Az egyszerű h</w:t>
      </w:r>
      <w:r w:rsidR="00B62E7B" w:rsidRPr="00B05124">
        <w:rPr>
          <w:i/>
        </w:rPr>
        <w:t xml:space="preserve">atáridős ügyletek </w:t>
      </w:r>
      <w:r>
        <w:rPr>
          <w:i/>
        </w:rPr>
        <w:t>(</w:t>
      </w:r>
      <w:proofErr w:type="spellStart"/>
      <w:r>
        <w:rPr>
          <w:i/>
        </w:rPr>
        <w:t>outright</w:t>
      </w:r>
      <w:proofErr w:type="spellEnd"/>
      <w:r>
        <w:rPr>
          <w:i/>
        </w:rPr>
        <w:t xml:space="preserve"> </w:t>
      </w:r>
      <w:proofErr w:type="spellStart"/>
      <w:r>
        <w:rPr>
          <w:i/>
        </w:rPr>
        <w:t>forward</w:t>
      </w:r>
      <w:proofErr w:type="spellEnd"/>
      <w:r>
        <w:rPr>
          <w:i/>
        </w:rPr>
        <w:t xml:space="preserve">) </w:t>
      </w:r>
      <w:r w:rsidR="00B62E7B" w:rsidRPr="00B05124">
        <w:t xml:space="preserve">esetében a lejárati sávot a szerződéskötés és a teljesítés napja közötti időszak hossza határozza meg. </w:t>
      </w:r>
    </w:p>
    <w:p w:rsidR="00B62E7B" w:rsidRDefault="00B62E7B" w:rsidP="00666ADE">
      <w:pPr>
        <w:pStyle w:val="Paragraph"/>
      </w:pPr>
      <w:r w:rsidRPr="00B05124">
        <w:rPr>
          <w:i/>
        </w:rPr>
        <w:t>Spot/</w:t>
      </w:r>
      <w:proofErr w:type="spellStart"/>
      <w:r w:rsidRPr="00B05124">
        <w:rPr>
          <w:i/>
        </w:rPr>
        <w:t>forward</w:t>
      </w:r>
      <w:proofErr w:type="spellEnd"/>
      <w:r w:rsidRPr="00B05124">
        <w:t xml:space="preserve"> és </w:t>
      </w:r>
      <w:proofErr w:type="spellStart"/>
      <w:r w:rsidRPr="00B05124">
        <w:rPr>
          <w:i/>
        </w:rPr>
        <w:t>forward</w:t>
      </w:r>
      <w:proofErr w:type="spellEnd"/>
      <w:r w:rsidRPr="00B05124">
        <w:rPr>
          <w:i/>
        </w:rPr>
        <w:t>/</w:t>
      </w:r>
      <w:proofErr w:type="spellStart"/>
      <w:r w:rsidRPr="00B05124">
        <w:rPr>
          <w:i/>
        </w:rPr>
        <w:t>forward</w:t>
      </w:r>
      <w:proofErr w:type="spellEnd"/>
      <w:r w:rsidRPr="00B05124">
        <w:t xml:space="preserve"> </w:t>
      </w:r>
      <w:proofErr w:type="spellStart"/>
      <w:r w:rsidRPr="00B05124">
        <w:rPr>
          <w:i/>
        </w:rPr>
        <w:t>FX</w:t>
      </w:r>
      <w:proofErr w:type="spellEnd"/>
      <w:r w:rsidRPr="00B05124">
        <w:rPr>
          <w:i/>
        </w:rPr>
        <w:t xml:space="preserve"> csereügyletek</w:t>
      </w:r>
      <w:r w:rsidRPr="00B05124">
        <w:t xml:space="preserve"> esetében egyaránt a kötés lejárati sávját a szerződéskötés és a második vagy hosszú láb teljesítési napja közötti időszak hossza határozza meg.</w:t>
      </w:r>
    </w:p>
    <w:p w:rsidR="007036AD" w:rsidRPr="00B05124" w:rsidRDefault="007036AD" w:rsidP="00666ADE">
      <w:pPr>
        <w:pStyle w:val="Paragraph"/>
      </w:pPr>
      <w:r>
        <w:t>A lejáratokat naptári nap alapján szükséges meghatározni, vagyis a „hét nap” naptári nap és nem hét munkanap.</w:t>
      </w:r>
    </w:p>
    <w:p w:rsidR="00B62E7B" w:rsidRPr="00B05124" w:rsidRDefault="00B62E7B" w:rsidP="00B62E7B">
      <w:pPr>
        <w:pStyle w:val="IndentedHeading1"/>
        <w:rPr>
          <w:rFonts w:cs="Arial"/>
          <w:b/>
          <w:sz w:val="26"/>
          <w:szCs w:val="26"/>
          <w:lang w:val="hu-HU"/>
        </w:rPr>
      </w:pPr>
      <w:bookmarkStart w:id="32" w:name="_Toc533082326"/>
      <w:r w:rsidRPr="00B05124">
        <w:rPr>
          <w:rFonts w:cs="Arial"/>
          <w:b/>
          <w:sz w:val="26"/>
          <w:szCs w:val="26"/>
          <w:lang w:val="hu-HU"/>
        </w:rPr>
        <w:t>F.</w:t>
      </w:r>
      <w:r w:rsidRPr="00B05124">
        <w:rPr>
          <w:rFonts w:cs="Arial"/>
          <w:b/>
          <w:sz w:val="26"/>
          <w:szCs w:val="26"/>
          <w:lang w:val="hu-HU"/>
        </w:rPr>
        <w:tab/>
        <w:t xml:space="preserve">Az egynél több kockázati kategóriát tartalmazó származékos </w:t>
      </w:r>
      <w:r w:rsidR="006B27C6">
        <w:rPr>
          <w:rFonts w:cs="Arial"/>
          <w:b/>
          <w:sz w:val="26"/>
          <w:szCs w:val="26"/>
          <w:lang w:val="hu-HU"/>
        </w:rPr>
        <w:t>instrumentumok</w:t>
      </w:r>
      <w:r w:rsidR="006B27C6" w:rsidRPr="00B05124">
        <w:rPr>
          <w:rFonts w:cs="Arial"/>
          <w:b/>
          <w:sz w:val="26"/>
          <w:szCs w:val="26"/>
          <w:lang w:val="hu-HU"/>
        </w:rPr>
        <w:t xml:space="preserve"> </w:t>
      </w:r>
      <w:r w:rsidRPr="00B05124">
        <w:rPr>
          <w:rFonts w:cs="Arial"/>
          <w:b/>
          <w:sz w:val="26"/>
          <w:szCs w:val="26"/>
          <w:lang w:val="hu-HU"/>
        </w:rPr>
        <w:t>osztályozása</w:t>
      </w:r>
      <w:bookmarkEnd w:id="32"/>
    </w:p>
    <w:p w:rsidR="003B1161" w:rsidRPr="00B05124" w:rsidRDefault="003B1161" w:rsidP="00666ADE">
      <w:pPr>
        <w:pStyle w:val="Paragraph"/>
      </w:pPr>
      <w:r w:rsidRPr="00B05124">
        <w:t xml:space="preserve">Az egyes származékos ügyleteket a kezelendő kockázat szempontjából az alábbi két kategória egyikébe sorolhatjuk: </w:t>
      </w:r>
      <w:r w:rsidRPr="00B05124">
        <w:rPr>
          <w:i/>
        </w:rPr>
        <w:t xml:space="preserve">devizaügyletek </w:t>
      </w:r>
      <w:r w:rsidRPr="00B05124">
        <w:t xml:space="preserve">és </w:t>
      </w:r>
      <w:r w:rsidRPr="00B05124">
        <w:rPr>
          <w:i/>
        </w:rPr>
        <w:t>egydevizás kamatlábügyletek.</w:t>
      </w:r>
      <w:r w:rsidRPr="00B05124">
        <w:t xml:space="preserve"> A gyakorlatban azonban egy adott származékos ügylet több kockázati kategóriára is kiterjedhet. Ilyen esetben, amennyiben az ügylet a kockázati kitettségek egyszerű kombinációja, akkor az ügyletet az egyes komponensekre szétbontva kell jelenteni, az alábbi G fejezetben foglaltak szerint. Azokat az ügyleteket, amelyeket nem lehet egyszerűen lebontani különálló kockázati összetevőkre, egyetlen kockázati kategóriában kell jelenteni. Az ilyen többszörös kitettségű termékek besorolását a legjelentősebb mögöttes kockázati összetevő alapján célszerű megállapítani. Azonban</w:t>
      </w:r>
      <w:r w:rsidR="00E07307">
        <w:t>,</w:t>
      </w:r>
      <w:r w:rsidRPr="00B05124">
        <w:t xml:space="preserve"> ha az adatszolgáltató gyakorlati okokból nem tudja eldönteni, mi a többszörös kitettségű származékos ügyletek helyes besorolása, a következő fontossági sorrend alapján kell allokálnia az ügyleteket:</w:t>
      </w:r>
    </w:p>
    <w:p w:rsidR="00A40D45" w:rsidRPr="00B05124" w:rsidRDefault="00A40D45" w:rsidP="00666ADE">
      <w:pPr>
        <w:pStyle w:val="Paragraph"/>
      </w:pPr>
      <w:r w:rsidRPr="00B05124">
        <w:rPr>
          <w:i/>
        </w:rPr>
        <w:t>Devizaügyletek.</w:t>
      </w:r>
      <w:r w:rsidRPr="00B05124">
        <w:t xml:space="preserve"> Ez a kategória az összes olyan származékos ügyletet tartalmazza, ahol egynél több devizanemmel szemben áll fenn kitettség, függetlenül attól, hogy kamat- vagy árfolyamkockázatról van-e szó.</w:t>
      </w:r>
    </w:p>
    <w:p w:rsidR="00A40D45" w:rsidRPr="00B05124" w:rsidRDefault="00A40D45" w:rsidP="0000026F">
      <w:pPr>
        <w:pStyle w:val="Paragraph"/>
      </w:pPr>
      <w:r w:rsidRPr="00B05124">
        <w:rPr>
          <w:i/>
        </w:rPr>
        <w:lastRenderedPageBreak/>
        <w:t xml:space="preserve">Egydevizás kamatlábügyletek. </w:t>
      </w:r>
      <w:r w:rsidRPr="00B05124">
        <w:t>Ebbe a kategóriába azok a származékos ügyletek tartoznak, ahol a kitettség csak egy devizanem kamatlábával szemben áll fenn. Ebben a kategóriában kell szerepeltetni valamennyi fix/változó és változó/változó kamatokat tartalmazó egydevizás kamatlábügyletet, beleértve a határidős ügyleteket, csereügyleteket és opciókat.</w:t>
      </w:r>
    </w:p>
    <w:p w:rsidR="00A40D45" w:rsidRPr="00B05124" w:rsidRDefault="00A40D45" w:rsidP="00A40D45">
      <w:pPr>
        <w:pStyle w:val="IndentedHeading1"/>
        <w:rPr>
          <w:rFonts w:cs="Arial"/>
          <w:b/>
          <w:sz w:val="26"/>
          <w:szCs w:val="26"/>
          <w:lang w:val="hu-HU"/>
        </w:rPr>
      </w:pPr>
      <w:bookmarkStart w:id="33" w:name="_Toc533082327"/>
      <w:r w:rsidRPr="00B05124">
        <w:rPr>
          <w:rFonts w:cs="Arial"/>
          <w:b/>
          <w:sz w:val="26"/>
          <w:szCs w:val="26"/>
          <w:lang w:val="hu-HU"/>
        </w:rPr>
        <w:t>G.</w:t>
      </w:r>
      <w:r w:rsidRPr="00B05124">
        <w:rPr>
          <w:rFonts w:cs="Arial"/>
          <w:b/>
          <w:sz w:val="26"/>
          <w:szCs w:val="26"/>
          <w:lang w:val="hu-HU"/>
        </w:rPr>
        <w:tab/>
        <w:t>Az instrumentumok részletes meghatározása és besorolása</w:t>
      </w:r>
      <w:bookmarkEnd w:id="33"/>
    </w:p>
    <w:p w:rsidR="00537964" w:rsidRPr="00B05124" w:rsidRDefault="00537964" w:rsidP="00537964">
      <w:pPr>
        <w:pStyle w:val="IndentedHeading2"/>
        <w:rPr>
          <w:rFonts w:ascii="Arial" w:hAnsi="Arial" w:cs="Arial"/>
          <w:bCs w:val="0"/>
          <w:i w:val="0"/>
          <w:iCs w:val="0"/>
          <w:sz w:val="22"/>
          <w:szCs w:val="22"/>
          <w:lang w:val="hu-HU"/>
        </w:rPr>
      </w:pPr>
      <w:bookmarkStart w:id="34" w:name="_Toc533082328"/>
      <w:r w:rsidRPr="00B05124">
        <w:rPr>
          <w:rFonts w:ascii="Arial" w:hAnsi="Arial" w:cs="Arial"/>
          <w:bCs w:val="0"/>
          <w:i w:val="0"/>
          <w:iCs w:val="0"/>
          <w:sz w:val="22"/>
          <w:szCs w:val="22"/>
          <w:lang w:val="hu-HU"/>
        </w:rPr>
        <w:t>1.</w:t>
      </w:r>
      <w:r w:rsidRPr="00B05124">
        <w:rPr>
          <w:rFonts w:ascii="Arial" w:hAnsi="Arial" w:cs="Arial"/>
          <w:bCs w:val="0"/>
          <w:i w:val="0"/>
          <w:iCs w:val="0"/>
          <w:sz w:val="22"/>
          <w:szCs w:val="22"/>
          <w:lang w:val="hu-HU"/>
        </w:rPr>
        <w:tab/>
        <w:t>Devizaügyletek</w:t>
      </w:r>
      <w:bookmarkEnd w:id="34"/>
    </w:p>
    <w:p w:rsidR="007532A9" w:rsidRPr="00B05124" w:rsidRDefault="001A1879" w:rsidP="00666ADE">
      <w:pPr>
        <w:pStyle w:val="Paragraph"/>
      </w:pPr>
      <w:r w:rsidRPr="00B05124">
        <w:t>A felmérés devizaforgalmi részében szereplő instrumentumok meghatározását és besorolását az alábbi táblázat tartalmazza: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804"/>
      </w:tblGrid>
      <w:tr w:rsidR="007532A9" w:rsidRPr="00B05124">
        <w:tblPrEx>
          <w:tblCellMar>
            <w:top w:w="0" w:type="dxa"/>
            <w:bottom w:w="0" w:type="dxa"/>
          </w:tblCellMar>
        </w:tblPrEx>
        <w:trPr>
          <w:cantSplit/>
          <w:trHeight w:val="1205"/>
        </w:trPr>
        <w:tc>
          <w:tcPr>
            <w:tcW w:w="2376" w:type="dxa"/>
          </w:tcPr>
          <w:p w:rsidR="007532A9" w:rsidRPr="00B05124" w:rsidRDefault="001A1879" w:rsidP="00666ADE">
            <w:pPr>
              <w:pStyle w:val="TableRowHeading"/>
            </w:pPr>
            <w:r w:rsidRPr="00B05124">
              <w:t>Spot</w:t>
            </w:r>
          </w:p>
        </w:tc>
        <w:tc>
          <w:tcPr>
            <w:tcW w:w="6804" w:type="dxa"/>
          </w:tcPr>
          <w:p w:rsidR="007036AD" w:rsidRDefault="001F5D73" w:rsidP="004049F3">
            <w:pPr>
              <w:pStyle w:val="TableText"/>
              <w:framePr w:wrap="around"/>
              <w:jc w:val="both"/>
            </w:pPr>
            <w:r w:rsidRPr="00B05124">
              <w:t>Egyszerű deviza adás-vétel két devizanem között, ahol az árfolyamot az üzletkötés napján határozzák meg, és a leszállítás</w:t>
            </w:r>
            <w:r w:rsidR="00036425">
              <w:t>,</w:t>
            </w:r>
            <w:r w:rsidRPr="00B05124">
              <w:t xml:space="preserve"> illetve a különbözet pénzbeli elszámolása két munkanapon belül történik.</w:t>
            </w:r>
          </w:p>
          <w:p w:rsidR="007532A9" w:rsidRDefault="001F5D73" w:rsidP="004049F3">
            <w:pPr>
              <w:pStyle w:val="TableText"/>
              <w:framePr w:wrap="around"/>
              <w:jc w:val="both"/>
            </w:pPr>
            <w:r w:rsidRPr="00B05124">
              <w:t xml:space="preserve"> A csereügyletek (</w:t>
            </w:r>
            <w:proofErr w:type="spellStart"/>
            <w:r w:rsidRPr="00B05124">
              <w:t>swap</w:t>
            </w:r>
            <w:proofErr w:type="spellEnd"/>
            <w:r w:rsidRPr="00B05124">
              <w:t>) rövid lábát nem lehet a spot tranzakciók között szerepeltetni, hanem csereügyletként kell jelenteni, akkor is, ha az elszámolás két munkanapon belül esedékes. Ez azt jelenti, hogy az „</w:t>
            </w:r>
            <w:proofErr w:type="spellStart"/>
            <w:r w:rsidRPr="00B05124">
              <w:t>overnight</w:t>
            </w:r>
            <w:proofErr w:type="spellEnd"/>
            <w:r w:rsidRPr="00B05124">
              <w:t xml:space="preserve">” és „spot </w:t>
            </w:r>
            <w:proofErr w:type="spellStart"/>
            <w:r w:rsidRPr="00B05124">
              <w:t>next</w:t>
            </w:r>
            <w:proofErr w:type="spellEnd"/>
            <w:r w:rsidRPr="00B05124">
              <w:t xml:space="preserve">” </w:t>
            </w:r>
            <w:proofErr w:type="spellStart"/>
            <w:r w:rsidRPr="00B05124">
              <w:t>swap</w:t>
            </w:r>
            <w:proofErr w:type="spellEnd"/>
            <w:r w:rsidRPr="00B05124">
              <w:t xml:space="preserve"> ügyletek és egyéb „</w:t>
            </w:r>
            <w:proofErr w:type="spellStart"/>
            <w:r w:rsidRPr="00B05124">
              <w:t>tomorrow</w:t>
            </w:r>
            <w:proofErr w:type="spellEnd"/>
            <w:r w:rsidRPr="00B05124">
              <w:t>/</w:t>
            </w:r>
            <w:proofErr w:type="spellStart"/>
            <w:r w:rsidRPr="00B05124">
              <w:t>next</w:t>
            </w:r>
            <w:proofErr w:type="spellEnd"/>
            <w:r w:rsidRPr="00B05124">
              <w:t xml:space="preserve"> </w:t>
            </w:r>
            <w:proofErr w:type="spellStart"/>
            <w:r w:rsidRPr="00B05124">
              <w:t>day</w:t>
            </w:r>
            <w:proofErr w:type="spellEnd"/>
            <w:r w:rsidRPr="00B05124">
              <w:t xml:space="preserve">” ügyletek nem tartoznak a spot ügyletek kategóriájába. </w:t>
            </w:r>
          </w:p>
          <w:p w:rsidR="007036AD" w:rsidRPr="00B05124" w:rsidRDefault="007036AD" w:rsidP="004049F3">
            <w:pPr>
              <w:pStyle w:val="TableText"/>
              <w:framePr w:wrap="around"/>
              <w:jc w:val="both"/>
            </w:pPr>
            <w:r>
              <w:t>A készpénz/</w:t>
            </w:r>
            <w:proofErr w:type="spellStart"/>
            <w:r>
              <w:t>same</w:t>
            </w:r>
            <w:proofErr w:type="spellEnd"/>
            <w:r>
              <w:t xml:space="preserve"> </w:t>
            </w:r>
            <w:proofErr w:type="spellStart"/>
            <w:r>
              <w:t>day</w:t>
            </w:r>
            <w:proofErr w:type="spellEnd"/>
            <w:r>
              <w:rPr>
                <w:rStyle w:val="FootnoteReference"/>
              </w:rPr>
              <w:footnoteReference w:id="5"/>
            </w:r>
            <w:r>
              <w:t xml:space="preserve"> tranzakciók is spot-ként jelentendők.</w:t>
            </w:r>
          </w:p>
        </w:tc>
      </w:tr>
      <w:tr w:rsidR="007532A9" w:rsidRPr="00B05124">
        <w:tblPrEx>
          <w:tblCellMar>
            <w:top w:w="0" w:type="dxa"/>
            <w:bottom w:w="0" w:type="dxa"/>
          </w:tblCellMar>
        </w:tblPrEx>
        <w:trPr>
          <w:cantSplit/>
          <w:trHeight w:val="1114"/>
        </w:trPr>
        <w:tc>
          <w:tcPr>
            <w:tcW w:w="2376" w:type="dxa"/>
          </w:tcPr>
          <w:p w:rsidR="007532A9" w:rsidRPr="00B05124" w:rsidRDefault="00C602D8" w:rsidP="00C602D8">
            <w:pPr>
              <w:pStyle w:val="TableRowHeading"/>
            </w:pPr>
            <w:r>
              <w:t>Egyszerű h</w:t>
            </w:r>
            <w:r w:rsidR="00453382" w:rsidRPr="00B05124">
              <w:t xml:space="preserve">atáridős </w:t>
            </w:r>
            <w:r>
              <w:t>(</w:t>
            </w:r>
            <w:proofErr w:type="spellStart"/>
            <w:r>
              <w:t>outright</w:t>
            </w:r>
            <w:proofErr w:type="spellEnd"/>
            <w:r>
              <w:t xml:space="preserve"> </w:t>
            </w:r>
            <w:proofErr w:type="spellStart"/>
            <w:r>
              <w:t>forward</w:t>
            </w:r>
            <w:proofErr w:type="spellEnd"/>
            <w:r>
              <w:t xml:space="preserve">) </w:t>
            </w:r>
            <w:r w:rsidR="00453382" w:rsidRPr="00B05124">
              <w:t>ügyletek</w:t>
            </w:r>
          </w:p>
        </w:tc>
        <w:tc>
          <w:tcPr>
            <w:tcW w:w="6804" w:type="dxa"/>
          </w:tcPr>
          <w:p w:rsidR="001F5D73" w:rsidRPr="00B05124" w:rsidRDefault="001F5D73" w:rsidP="004049F3">
            <w:pPr>
              <w:pStyle w:val="TableText"/>
              <w:framePr w:wrap="around"/>
              <w:jc w:val="both"/>
            </w:pPr>
            <w:r w:rsidRPr="00B05124">
              <w:t>Deviza adás-vétel két devizanem között, ahol az árfolyamot az üzletkötés napján határozzák meg, és a leszállítás</w:t>
            </w:r>
            <w:r w:rsidR="00036425">
              <w:t>,</w:t>
            </w:r>
            <w:r w:rsidRPr="00B05124">
              <w:t xml:space="preserve"> illetve a különbözet pénzbeli elszámolása egy jövőbeni (két munkanapon túli) időpontban történik. Ez a kategória magában foglalja a határidős árfolyam megállapodást (</w:t>
            </w:r>
            <w:proofErr w:type="spellStart"/>
            <w:r w:rsidRPr="00B05124">
              <w:t>FXA</w:t>
            </w:r>
            <w:proofErr w:type="spellEnd"/>
            <w:r w:rsidRPr="00B05124">
              <w:t>), a nem leszállítások határidős ügyleteket és egyéb határidős kötéseket is, ahol a különbözet elszámolása történik</w:t>
            </w:r>
            <w:r w:rsidRPr="00B05124">
              <w:rPr>
                <w:rStyle w:val="FootnoteReference"/>
              </w:rPr>
              <w:footnoteReference w:id="6"/>
            </w:r>
            <w:r w:rsidRPr="00B05124">
              <w:t>.</w:t>
            </w:r>
          </w:p>
          <w:p w:rsidR="00B5592E" w:rsidRPr="00B05124" w:rsidRDefault="00B5592E" w:rsidP="004049F3">
            <w:pPr>
              <w:pStyle w:val="TableText"/>
              <w:framePr w:wrap="around"/>
              <w:jc w:val="both"/>
            </w:pPr>
            <w:r w:rsidRPr="00B05124">
              <w:t xml:space="preserve">A sima határidős termékekkel általában nem kereskednek szervezett tőzsdéken, és azok szerződéses feltételei nem szabványosítottak. </w:t>
            </w:r>
          </w:p>
          <w:p w:rsidR="007532A9" w:rsidRPr="00B05124" w:rsidRDefault="003D47B6" w:rsidP="004049F3">
            <w:pPr>
              <w:pStyle w:val="TableText"/>
              <w:framePr w:wrap="around"/>
              <w:jc w:val="both"/>
            </w:pPr>
            <w:r w:rsidRPr="00B05124">
              <w:t xml:space="preserve">A jelentő </w:t>
            </w:r>
            <w:proofErr w:type="spellStart"/>
            <w:r w:rsidRPr="00B05124">
              <w:t>dealerek</w:t>
            </w:r>
            <w:proofErr w:type="spellEnd"/>
            <w:r w:rsidRPr="00B05124">
              <w:t xml:space="preserve"> kötelesek – külön „ebből: …” tételként – megadni a nem leszállításos határidős (</w:t>
            </w:r>
            <w:proofErr w:type="spellStart"/>
            <w:r w:rsidRPr="00B05124">
              <w:t>NDF</w:t>
            </w:r>
            <w:proofErr w:type="spellEnd"/>
            <w:r w:rsidR="00C34EBD">
              <w:rPr>
                <w:rStyle w:val="FootnoteReference"/>
              </w:rPr>
              <w:footnoteReference w:id="7"/>
            </w:r>
            <w:r w:rsidRPr="00B05124">
              <w:t xml:space="preserve">) ügyletek forgalmát hat jelentős </w:t>
            </w:r>
            <w:proofErr w:type="spellStart"/>
            <w:r w:rsidRPr="00B05124">
              <w:t>NDF</w:t>
            </w:r>
            <w:proofErr w:type="spellEnd"/>
            <w:r w:rsidRPr="00B05124">
              <w:t xml:space="preserve"> forgalommal rendelkező feltörekvő piaci devizapárra: USD/</w:t>
            </w:r>
            <w:proofErr w:type="spellStart"/>
            <w:r w:rsidRPr="00B05124">
              <w:t>CNY</w:t>
            </w:r>
            <w:proofErr w:type="spellEnd"/>
            <w:r w:rsidRPr="00B05124">
              <w:t>, USD/</w:t>
            </w:r>
            <w:proofErr w:type="spellStart"/>
            <w:r w:rsidRPr="00B05124">
              <w:t>INR</w:t>
            </w:r>
            <w:proofErr w:type="spellEnd"/>
            <w:r w:rsidRPr="00B05124">
              <w:t>, USD/</w:t>
            </w:r>
            <w:proofErr w:type="spellStart"/>
            <w:r w:rsidRPr="00B05124">
              <w:t>KRW</w:t>
            </w:r>
            <w:proofErr w:type="spellEnd"/>
            <w:r w:rsidRPr="00B05124">
              <w:t>, USD/</w:t>
            </w:r>
            <w:proofErr w:type="spellStart"/>
            <w:r w:rsidRPr="00B05124">
              <w:t>BRL</w:t>
            </w:r>
            <w:proofErr w:type="spellEnd"/>
            <w:r w:rsidRPr="00B05124">
              <w:t>, USD/</w:t>
            </w:r>
            <w:proofErr w:type="spellStart"/>
            <w:r w:rsidRPr="00B05124">
              <w:t>RUB</w:t>
            </w:r>
            <w:proofErr w:type="spellEnd"/>
            <w:r w:rsidRPr="00B05124">
              <w:t xml:space="preserve"> és USD/</w:t>
            </w:r>
            <w:proofErr w:type="spellStart"/>
            <w:r w:rsidRPr="00B05124">
              <w:t>TWD</w:t>
            </w:r>
            <w:proofErr w:type="spellEnd"/>
            <w:r w:rsidRPr="00B05124">
              <w:t xml:space="preserve">. Ezen kevésbé kereskedett párok </w:t>
            </w:r>
            <w:proofErr w:type="spellStart"/>
            <w:r w:rsidRPr="00B05124">
              <w:t>NDF</w:t>
            </w:r>
            <w:proofErr w:type="spellEnd"/>
            <w:r w:rsidRPr="00B05124">
              <w:t xml:space="preserve"> forgalmát szintén rögzíteni kell, de csak összesített értékben. </w:t>
            </w:r>
          </w:p>
        </w:tc>
      </w:tr>
      <w:tr w:rsidR="007532A9" w:rsidRPr="00B05124">
        <w:tblPrEx>
          <w:tblCellMar>
            <w:top w:w="0" w:type="dxa"/>
            <w:bottom w:w="0" w:type="dxa"/>
          </w:tblCellMar>
        </w:tblPrEx>
        <w:trPr>
          <w:cantSplit/>
          <w:trHeight w:val="2245"/>
        </w:trPr>
        <w:tc>
          <w:tcPr>
            <w:tcW w:w="2376" w:type="dxa"/>
          </w:tcPr>
          <w:p w:rsidR="007532A9" w:rsidRPr="00B05124" w:rsidRDefault="00822504" w:rsidP="00666ADE">
            <w:pPr>
              <w:pStyle w:val="TableRowHeading"/>
            </w:pPr>
            <w:proofErr w:type="spellStart"/>
            <w:r w:rsidRPr="00B05124">
              <w:t>FX-swap</w:t>
            </w:r>
            <w:proofErr w:type="spellEnd"/>
            <w:r w:rsidRPr="00B05124">
              <w:t xml:space="preserve"> (</w:t>
            </w:r>
            <w:proofErr w:type="spellStart"/>
            <w:r w:rsidRPr="00B05124">
              <w:t>FX</w:t>
            </w:r>
            <w:proofErr w:type="spellEnd"/>
            <w:r w:rsidRPr="00B05124">
              <w:t>-csereügylet)</w:t>
            </w:r>
          </w:p>
        </w:tc>
        <w:tc>
          <w:tcPr>
            <w:tcW w:w="6804" w:type="dxa"/>
          </w:tcPr>
          <w:p w:rsidR="007B04D2" w:rsidRDefault="00822504" w:rsidP="004049F3">
            <w:pPr>
              <w:pStyle w:val="TableText"/>
              <w:framePr w:wrap="around"/>
              <w:jc w:val="both"/>
            </w:pPr>
            <w:r w:rsidRPr="00B05124">
              <w:t xml:space="preserve">Két deviza (csak a tőkeösszeg) tényleges, egy adott napon, a szerződéskötéskor kölcsönösen elfogadott árfolyamon történő cseréjét jelentő ügylet („rövid láb”) és ugyanezen két devizának a fordított cseréje későbbi időpontban, a szerződéskötéskor kölcsönösen elfogadott árfolyamon (amely általában más, mint a rövid lábra alkalmazott árfolyam) („hosszú láb”). Mind a spot (azonnali)/tőzsdén kívüli határidős, mind a tőzsdén kívüli határidős/tőzsdén kívüli határidős </w:t>
            </w:r>
            <w:proofErr w:type="spellStart"/>
            <w:r w:rsidRPr="00B05124">
              <w:t>swapokat</w:t>
            </w:r>
            <w:proofErr w:type="spellEnd"/>
            <w:r w:rsidRPr="00B05124">
              <w:t xml:space="preserve"> figyelembe kell venni. </w:t>
            </w:r>
            <w:proofErr w:type="spellStart"/>
            <w:r w:rsidR="007B04D2">
              <w:t>FX-swap</w:t>
            </w:r>
            <w:r w:rsidR="00AB678C">
              <w:t>ok</w:t>
            </w:r>
            <w:proofErr w:type="spellEnd"/>
            <w:r w:rsidR="007B04D2">
              <w:t xml:space="preserve"> mag</w:t>
            </w:r>
            <w:r w:rsidR="00AB678C">
              <w:t>uk</w:t>
            </w:r>
            <w:r w:rsidR="007B04D2">
              <w:t>ba foglalj</w:t>
            </w:r>
            <w:r w:rsidR="00AB678C">
              <w:t>ák</w:t>
            </w:r>
            <w:r w:rsidR="007B04D2">
              <w:t xml:space="preserve"> a spot/</w:t>
            </w:r>
            <w:proofErr w:type="spellStart"/>
            <w:r w:rsidR="007B04D2">
              <w:t>forward</w:t>
            </w:r>
            <w:proofErr w:type="spellEnd"/>
            <w:r w:rsidR="007B04D2">
              <w:t xml:space="preserve"> és </w:t>
            </w:r>
            <w:proofErr w:type="spellStart"/>
            <w:r w:rsidR="007B04D2">
              <w:t>forward</w:t>
            </w:r>
            <w:proofErr w:type="spellEnd"/>
            <w:r w:rsidR="007B04D2">
              <w:t>/</w:t>
            </w:r>
            <w:proofErr w:type="spellStart"/>
            <w:r w:rsidR="007B04D2">
              <w:t>forward</w:t>
            </w:r>
            <w:proofErr w:type="spellEnd"/>
            <w:r w:rsidR="007B04D2">
              <w:t xml:space="preserve"> </w:t>
            </w:r>
            <w:proofErr w:type="spellStart"/>
            <w:r w:rsidR="007B04D2">
              <w:t>swapokat</w:t>
            </w:r>
            <w:proofErr w:type="spellEnd"/>
            <w:r w:rsidR="007B04D2">
              <w:t xml:space="preserve">, valamint a rövid lejáratú </w:t>
            </w:r>
            <w:proofErr w:type="spellStart"/>
            <w:r w:rsidR="007B04D2">
              <w:t>swapokat</w:t>
            </w:r>
            <w:proofErr w:type="spellEnd"/>
            <w:r w:rsidR="007B04D2">
              <w:t xml:space="preserve"> is, mint például az </w:t>
            </w:r>
            <w:proofErr w:type="spellStart"/>
            <w:r w:rsidR="007B04D2">
              <w:t>overnight</w:t>
            </w:r>
            <w:proofErr w:type="spellEnd"/>
            <w:r w:rsidR="007B04D2">
              <w:t xml:space="preserve"> vagy spot </w:t>
            </w:r>
            <w:proofErr w:type="spellStart"/>
            <w:r w:rsidR="007B04D2">
              <w:t>next</w:t>
            </w:r>
            <w:proofErr w:type="spellEnd"/>
            <w:r w:rsidR="007B04D2">
              <w:t xml:space="preserve"> </w:t>
            </w:r>
            <w:proofErr w:type="spellStart"/>
            <w:r w:rsidR="007B04D2">
              <w:t>s</w:t>
            </w:r>
            <w:r w:rsidR="00AB678C">
              <w:t>wapok</w:t>
            </w:r>
            <w:proofErr w:type="spellEnd"/>
            <w:r w:rsidR="00AB678C">
              <w:t xml:space="preserve"> és más </w:t>
            </w:r>
            <w:proofErr w:type="spellStart"/>
            <w:r w:rsidR="00AB678C">
              <w:t>tomorrow</w:t>
            </w:r>
            <w:proofErr w:type="spellEnd"/>
            <w:r w:rsidR="00AB678C">
              <w:t>/</w:t>
            </w:r>
            <w:proofErr w:type="spellStart"/>
            <w:r w:rsidR="00AB678C">
              <w:t>next</w:t>
            </w:r>
            <w:proofErr w:type="spellEnd"/>
            <w:r w:rsidR="00AB678C">
              <w:t xml:space="preserve"> </w:t>
            </w:r>
            <w:proofErr w:type="spellStart"/>
            <w:r w:rsidR="00AB678C">
              <w:t>day</w:t>
            </w:r>
            <w:proofErr w:type="spellEnd"/>
            <w:r w:rsidR="00AB678C">
              <w:t xml:space="preserve"> tranzakciókat.</w:t>
            </w:r>
          </w:p>
          <w:p w:rsidR="007036AD" w:rsidRDefault="00822504" w:rsidP="004049F3">
            <w:pPr>
              <w:pStyle w:val="TableText"/>
              <w:framePr w:wrap="around"/>
              <w:jc w:val="both"/>
            </w:pPr>
            <w:r w:rsidRPr="00B05124">
              <w:rPr>
                <w:i/>
              </w:rPr>
              <w:t>Forgalmi adatok</w:t>
            </w:r>
            <w:r w:rsidRPr="00B05124">
              <w:t xml:space="preserve"> szempontjából kizárólag a határidős lábat kell ekként jelenteni. A spotlábat egyáltalán nem kell jelenteni, azaz sem spot-, sem deviza-csereügyletként. </w:t>
            </w:r>
          </w:p>
          <w:p w:rsidR="007532A9" w:rsidRDefault="00822504" w:rsidP="004049F3">
            <w:pPr>
              <w:pStyle w:val="TableText"/>
              <w:framePr w:wrap="around"/>
              <w:jc w:val="both"/>
            </w:pPr>
            <w:r w:rsidRPr="00B05124">
              <w:t>A „tom/</w:t>
            </w:r>
            <w:proofErr w:type="spellStart"/>
            <w:r w:rsidRPr="00B05124">
              <w:t>next</w:t>
            </w:r>
            <w:proofErr w:type="spellEnd"/>
            <w:r w:rsidRPr="00B05124">
              <w:t xml:space="preserve">” tranzakcióként végrehajtott rövid lejáratú csereügyleteket is ebbe a kategóriába kell sorolni. </w:t>
            </w:r>
          </w:p>
          <w:p w:rsidR="00AB678C" w:rsidRPr="00B05124" w:rsidRDefault="00AB678C" w:rsidP="004049F3">
            <w:pPr>
              <w:pStyle w:val="TableText"/>
              <w:framePr w:wrap="around"/>
              <w:jc w:val="both"/>
            </w:pPr>
            <w:proofErr w:type="spellStart"/>
            <w:r>
              <w:t>CLS</w:t>
            </w:r>
            <w:proofErr w:type="spellEnd"/>
            <w:r>
              <w:t xml:space="preserve"> tagok közötti </w:t>
            </w:r>
            <w:r w:rsidR="00FD36E3">
              <w:t xml:space="preserve">in/out </w:t>
            </w:r>
            <w:proofErr w:type="spellStart"/>
            <w:r>
              <w:t>swapokat</w:t>
            </w:r>
            <w:proofErr w:type="spellEnd"/>
            <w:r>
              <w:t xml:space="preserve"> nem kell jelenteni.</w:t>
            </w:r>
            <w:r w:rsidR="00FD36E3">
              <w:rPr>
                <w:rStyle w:val="FootnoteReference"/>
              </w:rPr>
              <w:footnoteReference w:id="8"/>
            </w:r>
          </w:p>
        </w:tc>
      </w:tr>
      <w:tr w:rsidR="007532A9" w:rsidRPr="00B05124">
        <w:tblPrEx>
          <w:tblCellMar>
            <w:top w:w="0" w:type="dxa"/>
            <w:bottom w:w="0" w:type="dxa"/>
          </w:tblCellMar>
        </w:tblPrEx>
        <w:trPr>
          <w:cantSplit/>
        </w:trPr>
        <w:tc>
          <w:tcPr>
            <w:tcW w:w="2376" w:type="dxa"/>
          </w:tcPr>
          <w:p w:rsidR="007532A9" w:rsidRPr="00B05124" w:rsidRDefault="00822504" w:rsidP="004049F3">
            <w:pPr>
              <w:pStyle w:val="TableRowHeading"/>
              <w:jc w:val="both"/>
            </w:pPr>
            <w:r w:rsidRPr="00B05124">
              <w:t>Deviza-csereügyletek</w:t>
            </w:r>
          </w:p>
        </w:tc>
        <w:tc>
          <w:tcPr>
            <w:tcW w:w="6804" w:type="dxa"/>
          </w:tcPr>
          <w:p w:rsidR="007532A9" w:rsidRPr="00B05124" w:rsidRDefault="00822504" w:rsidP="004049F3">
            <w:pPr>
              <w:pStyle w:val="TableText"/>
              <w:framePr w:wrap="around"/>
              <w:jc w:val="both"/>
            </w:pPr>
            <w:r w:rsidRPr="00B05124">
              <w:t>Kontraktus, amely két felet két különböző pénznemben történő kamatfizetés-áramlás cseréjére kötelez egy adott időperiódusban, illetve lejáratkori tőkecserére kötelezi őket egy előre meghatározott árfolyamon.</w:t>
            </w:r>
          </w:p>
        </w:tc>
      </w:tr>
      <w:tr w:rsidR="007532A9" w:rsidRPr="00B05124">
        <w:tblPrEx>
          <w:tblCellMar>
            <w:top w:w="0" w:type="dxa"/>
            <w:bottom w:w="0" w:type="dxa"/>
          </w:tblCellMar>
        </w:tblPrEx>
        <w:trPr>
          <w:cantSplit/>
        </w:trPr>
        <w:tc>
          <w:tcPr>
            <w:tcW w:w="2376" w:type="dxa"/>
          </w:tcPr>
          <w:p w:rsidR="007532A9" w:rsidRPr="00B05124" w:rsidRDefault="00822504" w:rsidP="00666ADE">
            <w:pPr>
              <w:pStyle w:val="TableRowHeading"/>
            </w:pPr>
            <w:r w:rsidRPr="00B05124">
              <w:t>Tőzsdén kívüli (OTC) opciós ügylet</w:t>
            </w:r>
          </w:p>
        </w:tc>
        <w:tc>
          <w:tcPr>
            <w:tcW w:w="6804" w:type="dxa"/>
          </w:tcPr>
          <w:p w:rsidR="00822504" w:rsidRPr="00B05124" w:rsidRDefault="00822504" w:rsidP="004049F3">
            <w:pPr>
              <w:pStyle w:val="TableText"/>
              <w:framePr w:wrap="around"/>
              <w:jc w:val="both"/>
            </w:pPr>
            <w:r w:rsidRPr="00B05124">
              <w:t xml:space="preserve">Az opciós szerződés jogot biztosít deviza vételére vagy eladására egy másik deviza ellenében, meghatározott árfolyamon és meghatározott időszakban. Ebbe a kategóriába tartoznak az egzotikus devizaárfolyam-opciók, például az átlagáras opciók és a </w:t>
            </w:r>
            <w:proofErr w:type="spellStart"/>
            <w:r w:rsidRPr="00B05124">
              <w:t>limitáras</w:t>
            </w:r>
            <w:proofErr w:type="spellEnd"/>
            <w:r w:rsidRPr="00B05124">
              <w:t xml:space="preserve"> (</w:t>
            </w:r>
            <w:proofErr w:type="spellStart"/>
            <w:r w:rsidRPr="00B05124">
              <w:t>barrier</w:t>
            </w:r>
            <w:proofErr w:type="spellEnd"/>
            <w:r w:rsidRPr="00B05124">
              <w:t xml:space="preserve">) opciók. </w:t>
            </w:r>
          </w:p>
          <w:p w:rsidR="00822504" w:rsidRPr="00B05124" w:rsidRDefault="00822504" w:rsidP="004049F3">
            <w:pPr>
              <w:pStyle w:val="TableText"/>
              <w:framePr w:wrap="around"/>
              <w:jc w:val="both"/>
            </w:pPr>
            <w:r w:rsidRPr="00B05124">
              <w:t>Tőzsdén kívüli (OTC) opciós ügyletek fajtái:</w:t>
            </w:r>
          </w:p>
          <w:p w:rsidR="00822504" w:rsidRPr="00B05124" w:rsidRDefault="00822504" w:rsidP="004049F3">
            <w:pPr>
              <w:pStyle w:val="TableText"/>
              <w:framePr w:wrap="around"/>
              <w:numPr>
                <w:ilvl w:val="0"/>
                <w:numId w:val="14"/>
              </w:numPr>
              <w:jc w:val="both"/>
            </w:pPr>
            <w:r w:rsidRPr="00B05124">
              <w:t>Devizacsere ügyletre szóló opció (</w:t>
            </w:r>
            <w:proofErr w:type="spellStart"/>
            <w:r w:rsidRPr="00B05124">
              <w:t>swaption</w:t>
            </w:r>
            <w:proofErr w:type="spellEnd"/>
            <w:r w:rsidRPr="00B05124">
              <w:t>): OTC opció deviza-csereügylet kötésére</w:t>
            </w:r>
          </w:p>
          <w:p w:rsidR="007532A9" w:rsidRDefault="00822504" w:rsidP="004049F3">
            <w:pPr>
              <w:pStyle w:val="TableText"/>
              <w:framePr w:wrap="around"/>
              <w:numPr>
                <w:ilvl w:val="0"/>
                <w:numId w:val="14"/>
              </w:numPr>
              <w:jc w:val="both"/>
            </w:pPr>
            <w:r w:rsidRPr="00B05124">
              <w:t>Deviza opciós utalvány (</w:t>
            </w:r>
            <w:proofErr w:type="spellStart"/>
            <w:r w:rsidRPr="00B05124">
              <w:t>warrant</w:t>
            </w:r>
            <w:proofErr w:type="spellEnd"/>
            <w:r w:rsidRPr="00B05124">
              <w:t>):</w:t>
            </w:r>
            <w:r w:rsidR="002A6DDB">
              <w:t xml:space="preserve"> </w:t>
            </w:r>
            <w:r w:rsidRPr="00B05124">
              <w:t>Hosszú (éven túli) lejáratú tőzsdén kívüli (OTC) devizaopció.</w:t>
            </w:r>
          </w:p>
          <w:p w:rsidR="007036AD" w:rsidRPr="00B05124" w:rsidRDefault="007036AD" w:rsidP="004049F3">
            <w:pPr>
              <w:pStyle w:val="TableText"/>
              <w:framePr w:wrap="around"/>
              <w:jc w:val="both"/>
            </w:pPr>
            <w:r>
              <w:t>A</w:t>
            </w:r>
            <w:r w:rsidR="00036425">
              <w:t>z</w:t>
            </w:r>
            <w:r>
              <w:t xml:space="preserve"> összetett opciós pozíciókat külön bontva kell jelenteni</w:t>
            </w:r>
            <w:r w:rsidR="007B04D2">
              <w:t xml:space="preserve"> (például: terpesz, pillangó)</w:t>
            </w:r>
          </w:p>
        </w:tc>
      </w:tr>
      <w:tr w:rsidR="007532A9" w:rsidRPr="00B05124">
        <w:tblPrEx>
          <w:tblCellMar>
            <w:top w:w="0" w:type="dxa"/>
            <w:bottom w:w="0" w:type="dxa"/>
          </w:tblCellMar>
        </w:tblPrEx>
        <w:trPr>
          <w:cantSplit/>
        </w:trPr>
        <w:tc>
          <w:tcPr>
            <w:tcW w:w="2376" w:type="dxa"/>
          </w:tcPr>
          <w:p w:rsidR="00822504" w:rsidRPr="00B05124" w:rsidRDefault="00822504" w:rsidP="00666ADE">
            <w:pPr>
              <w:pStyle w:val="TableRowHeading"/>
            </w:pPr>
            <w:r w:rsidRPr="00B05124">
              <w:t>Egyéb termékek</w:t>
            </w:r>
          </w:p>
          <w:p w:rsidR="007532A9" w:rsidRPr="00B05124" w:rsidRDefault="007532A9" w:rsidP="00666ADE">
            <w:pPr>
              <w:pStyle w:val="TableRowHeading"/>
            </w:pPr>
          </w:p>
        </w:tc>
        <w:tc>
          <w:tcPr>
            <w:tcW w:w="6804" w:type="dxa"/>
          </w:tcPr>
          <w:p w:rsidR="007532A9" w:rsidRPr="00B05124" w:rsidRDefault="00822504" w:rsidP="004049F3">
            <w:pPr>
              <w:pStyle w:val="TableText"/>
              <w:framePr w:wrap="around"/>
              <w:jc w:val="both"/>
            </w:pPr>
            <w:r w:rsidRPr="00B05124">
              <w:t>Az egyéb származékos termékek olyan instrumentumok, amelyeket nem lehet lebontani egyedi „</w:t>
            </w:r>
            <w:proofErr w:type="spellStart"/>
            <w:r w:rsidRPr="00B05124">
              <w:t>plain</w:t>
            </w:r>
            <w:proofErr w:type="spellEnd"/>
            <w:r w:rsidRPr="00B05124">
              <w:t xml:space="preserve"> </w:t>
            </w:r>
            <w:proofErr w:type="spellStart"/>
            <w:r w:rsidRPr="00B05124">
              <w:t>vanilla</w:t>
            </w:r>
            <w:proofErr w:type="spellEnd"/>
            <w:r w:rsidRPr="00B05124">
              <w:t xml:space="preserve">” </w:t>
            </w:r>
            <w:r w:rsidR="006B27C6">
              <w:t>instrumentumokra</w:t>
            </w:r>
            <w:r w:rsidRPr="00B05124">
              <w:t>, például tőzsdén kívüli határidős, csere- vagy opciós ügyletekre, vagy az célszerűtlen, a gyakorlatban megvalósíthatatlan lenne</w:t>
            </w:r>
            <w:r w:rsidRPr="00C602D8">
              <w:t>. Az „egyéb” termékek például azok a csereügyletek, amelyek mögöttes eszköze</w:t>
            </w:r>
            <w:r w:rsidR="00C13B7C">
              <w:t>, a</w:t>
            </w:r>
            <w:r w:rsidRPr="00C602D8">
              <w:t xml:space="preserve"> névleges tőke egy adott devizában</w:t>
            </w:r>
            <w:r w:rsidR="00A24960">
              <w:t xml:space="preserve"> kerül meghatározásra,</w:t>
            </w:r>
            <w:r w:rsidRPr="00C602D8">
              <w:t xml:space="preserve"> a rögzített- vagy változókamat-fizetés </w:t>
            </w:r>
            <w:r w:rsidR="00A24960">
              <w:t xml:space="preserve">azonban </w:t>
            </w:r>
            <w:r w:rsidRPr="00C602D8">
              <w:t xml:space="preserve">a névlegesétől eltérő pénznemben kifejezett kamatok alapján (különbözeti </w:t>
            </w:r>
            <w:proofErr w:type="spellStart"/>
            <w:r w:rsidRPr="00C602D8">
              <w:t>swapok</w:t>
            </w:r>
            <w:proofErr w:type="spellEnd"/>
            <w:r w:rsidRPr="00C602D8">
              <w:t>)</w:t>
            </w:r>
            <w:r w:rsidR="00393317">
              <w:t xml:space="preserve"> történik</w:t>
            </w:r>
            <w:r w:rsidRPr="00C602D8">
              <w:t>.</w:t>
            </w:r>
          </w:p>
        </w:tc>
      </w:tr>
    </w:tbl>
    <w:p w:rsidR="00832E8A" w:rsidRDefault="00DB203A" w:rsidP="00DB203A">
      <w:pPr>
        <w:pStyle w:val="Paragraph"/>
        <w:tabs>
          <w:tab w:val="left" w:pos="5801"/>
        </w:tabs>
      </w:pPr>
      <w:r>
        <w:tab/>
      </w:r>
    </w:p>
    <w:p w:rsidR="00822504" w:rsidRPr="00B05124" w:rsidRDefault="00822504" w:rsidP="00666ADE">
      <w:pPr>
        <w:pStyle w:val="Paragraph"/>
      </w:pPr>
      <w:r w:rsidRPr="00B05124">
        <w:t>A tőzsdén kívüli (OTC) származtatott devizaügyletek, elvben, három „</w:t>
      </w:r>
      <w:proofErr w:type="spellStart"/>
      <w:r w:rsidRPr="00B05124">
        <w:t>plain</w:t>
      </w:r>
      <w:proofErr w:type="spellEnd"/>
      <w:r w:rsidRPr="00B05124">
        <w:t xml:space="preserve"> </w:t>
      </w:r>
      <w:proofErr w:type="spellStart"/>
      <w:r w:rsidRPr="00B05124">
        <w:t>vanilla</w:t>
      </w:r>
      <w:proofErr w:type="spellEnd"/>
      <w:r w:rsidRPr="00B05124">
        <w:t xml:space="preserve">” instrumentumra (tőzsdén kívüli határidős, </w:t>
      </w:r>
      <w:proofErr w:type="spellStart"/>
      <w:r w:rsidRPr="00B05124">
        <w:t>swap</w:t>
      </w:r>
      <w:proofErr w:type="spellEnd"/>
      <w:r w:rsidRPr="00B05124">
        <w:t>- és opciós ügyletre) bonthatók. A „</w:t>
      </w:r>
      <w:proofErr w:type="spellStart"/>
      <w:r w:rsidRPr="00B05124">
        <w:t>plain</w:t>
      </w:r>
      <w:proofErr w:type="spellEnd"/>
      <w:r w:rsidRPr="00B05124">
        <w:t xml:space="preserve"> </w:t>
      </w:r>
      <w:proofErr w:type="spellStart"/>
      <w:r w:rsidRPr="00B05124">
        <w:t>vanilla</w:t>
      </w:r>
      <w:proofErr w:type="spellEnd"/>
      <w:r w:rsidRPr="00B05124">
        <w:t xml:space="preserve">” instrumentumok likvid piacokon, többé-kevésbé szabványosított szerződések és piaci konvenciók szerint kereskedett </w:t>
      </w:r>
      <w:r w:rsidR="006B27C6">
        <w:t>instrumentumok</w:t>
      </w:r>
      <w:r w:rsidRPr="00B05124">
        <w:t>. Amennyiben egy ügyletnek több „</w:t>
      </w:r>
      <w:proofErr w:type="spellStart"/>
      <w:r w:rsidRPr="00B05124">
        <w:t>plain</w:t>
      </w:r>
      <w:proofErr w:type="spellEnd"/>
      <w:r w:rsidRPr="00B05124">
        <w:t xml:space="preserve"> </w:t>
      </w:r>
      <w:proofErr w:type="spellStart"/>
      <w:r w:rsidRPr="00B05124">
        <w:t>vanilla</w:t>
      </w:r>
      <w:proofErr w:type="spellEnd"/>
      <w:r w:rsidRPr="00B05124">
        <w:t>” összetevője van, elvben minden összetevőt külön-külön kell jelenteni.</w:t>
      </w:r>
      <w:r w:rsidR="002A6DDB">
        <w:t xml:space="preserve"> </w:t>
      </w:r>
    </w:p>
    <w:p w:rsidR="00822504" w:rsidRPr="00B05124" w:rsidRDefault="00822504" w:rsidP="00666ADE">
      <w:pPr>
        <w:pStyle w:val="Paragraph"/>
      </w:pPr>
      <w:r w:rsidRPr="00B05124">
        <w:t>Elvben a nem „</w:t>
      </w:r>
      <w:proofErr w:type="spellStart"/>
      <w:r w:rsidRPr="00B05124">
        <w:t>plain</w:t>
      </w:r>
      <w:proofErr w:type="spellEnd"/>
      <w:r w:rsidRPr="00B05124">
        <w:t xml:space="preserve"> </w:t>
      </w:r>
      <w:proofErr w:type="spellStart"/>
      <w:r w:rsidRPr="00B05124">
        <w:t>vanilla</w:t>
      </w:r>
      <w:proofErr w:type="spellEnd"/>
      <w:r w:rsidRPr="00B05124">
        <w:t>” termékek is felbonthatók „</w:t>
      </w:r>
      <w:proofErr w:type="spellStart"/>
      <w:r w:rsidRPr="00B05124">
        <w:t>plain</w:t>
      </w:r>
      <w:proofErr w:type="spellEnd"/>
      <w:r w:rsidRPr="00B05124">
        <w:t xml:space="preserve"> </w:t>
      </w:r>
      <w:proofErr w:type="spellStart"/>
      <w:r w:rsidRPr="00B05124">
        <w:t>vanilla</w:t>
      </w:r>
      <w:proofErr w:type="spellEnd"/>
      <w:r w:rsidRPr="00B05124">
        <w:t xml:space="preserve">” összetevőikre. Ha ez nem lehetséges, akkor a tőzsdén kívüli opciókra vonatkozó rész élvez elsőbbséget az eszközbesorolásban, ezért minden, beágyazott opcióval rendelkező deviza származtatott terméket tőzsdén kívüli (OTC) opcióként kell jelenteni. Az összes többi tőzsdén kívüli (OTC) deviza származtatott terméket a tőzsdén kívüli határidős ügyletek vagy csereügyletek részben kell jelenteni. </w:t>
      </w:r>
    </w:p>
    <w:p w:rsidR="0043240A" w:rsidRPr="00B05124" w:rsidRDefault="0043240A" w:rsidP="004049F3">
      <w:pPr>
        <w:pStyle w:val="IndentedHeading2"/>
        <w:ind w:left="1078"/>
        <w:rPr>
          <w:rFonts w:ascii="Arial" w:hAnsi="Arial"/>
          <w:bCs w:val="0"/>
          <w:i w:val="0"/>
          <w:iCs w:val="0"/>
          <w:sz w:val="22"/>
          <w:szCs w:val="24"/>
          <w:lang w:val="hu-HU"/>
        </w:rPr>
      </w:pPr>
      <w:bookmarkStart w:id="35" w:name="_Toc533082329"/>
      <w:r w:rsidRPr="00B05124">
        <w:rPr>
          <w:rFonts w:ascii="Arial" w:hAnsi="Arial"/>
          <w:bCs w:val="0"/>
          <w:i w:val="0"/>
          <w:iCs w:val="0"/>
          <w:sz w:val="22"/>
          <w:szCs w:val="24"/>
          <w:lang w:val="hu-HU"/>
        </w:rPr>
        <w:t xml:space="preserve">2. </w:t>
      </w:r>
      <w:r w:rsidRPr="00B05124">
        <w:rPr>
          <w:rFonts w:ascii="Arial" w:hAnsi="Arial"/>
          <w:bCs w:val="0"/>
          <w:i w:val="0"/>
          <w:iCs w:val="0"/>
          <w:sz w:val="22"/>
          <w:szCs w:val="24"/>
          <w:lang w:val="hu-HU"/>
        </w:rPr>
        <w:tab/>
        <w:t>Egydevizás kamatláb-</w:t>
      </w:r>
      <w:proofErr w:type="spellStart"/>
      <w:r w:rsidRPr="00B05124">
        <w:rPr>
          <w:rFonts w:ascii="Arial" w:hAnsi="Arial"/>
          <w:bCs w:val="0"/>
          <w:i w:val="0"/>
          <w:iCs w:val="0"/>
          <w:sz w:val="22"/>
          <w:szCs w:val="24"/>
          <w:lang w:val="hu-HU"/>
        </w:rPr>
        <w:t>derivatívák</w:t>
      </w:r>
      <w:bookmarkEnd w:id="35"/>
      <w:proofErr w:type="spellEnd"/>
    </w:p>
    <w:p w:rsidR="007532A9" w:rsidRPr="00B05124" w:rsidRDefault="007C1202" w:rsidP="00666ADE">
      <w:pPr>
        <w:pStyle w:val="Paragraph"/>
      </w:pPr>
      <w:r w:rsidRPr="00B05124">
        <w:t>A felmérés devizaforgalmi részében szereplő instrumentumok meghatározását és besorolását az alábbi táblázat tartalmazza:</w:t>
      </w:r>
    </w:p>
    <w:tbl>
      <w:tblPr>
        <w:tblW w:w="95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
        <w:gridCol w:w="2376"/>
        <w:gridCol w:w="454"/>
        <w:gridCol w:w="6240"/>
        <w:gridCol w:w="454"/>
      </w:tblGrid>
      <w:tr w:rsidR="007532A9" w:rsidRPr="00B05124" w:rsidTr="004049F3">
        <w:tblPrEx>
          <w:tblCellMar>
            <w:top w:w="0" w:type="dxa"/>
            <w:bottom w:w="0" w:type="dxa"/>
          </w:tblCellMar>
        </w:tblPrEx>
        <w:trPr>
          <w:gridBefore w:val="1"/>
          <w:gridAfter w:val="1"/>
          <w:wBefore w:w="34" w:type="dxa"/>
          <w:wAfter w:w="454" w:type="dxa"/>
          <w:cantSplit/>
        </w:trPr>
        <w:tc>
          <w:tcPr>
            <w:tcW w:w="2376" w:type="dxa"/>
          </w:tcPr>
          <w:p w:rsidR="007532A9" w:rsidRPr="00B05124" w:rsidRDefault="007C1202" w:rsidP="00666ADE">
            <w:pPr>
              <w:pStyle w:val="TableRowHeading"/>
            </w:pPr>
            <w:r w:rsidRPr="00B05124">
              <w:t>Határidős kamatláb-megállapodás (</w:t>
            </w:r>
            <w:proofErr w:type="spellStart"/>
            <w:r w:rsidRPr="00B05124">
              <w:t>FRA</w:t>
            </w:r>
            <w:proofErr w:type="spellEnd"/>
            <w:r w:rsidRPr="00B05124">
              <w:t>)</w:t>
            </w:r>
          </w:p>
        </w:tc>
        <w:tc>
          <w:tcPr>
            <w:tcW w:w="6694" w:type="dxa"/>
            <w:gridSpan w:val="2"/>
          </w:tcPr>
          <w:p w:rsidR="007532A9" w:rsidRPr="00190E62" w:rsidRDefault="007C1202" w:rsidP="004049F3">
            <w:pPr>
              <w:pStyle w:val="TableText"/>
              <w:framePr w:wrap="around"/>
              <w:jc w:val="both"/>
              <w:rPr>
                <w:rFonts w:cs="Arial"/>
                <w:szCs w:val="20"/>
              </w:rPr>
            </w:pPr>
            <w:r w:rsidRPr="00E42FDD">
              <w:rPr>
                <w:rFonts w:cs="Arial"/>
                <w:szCs w:val="20"/>
              </w:rPr>
              <w:t xml:space="preserve">Határidős kamatlábkontraktus, amelyben egy konkrét kötelezettség után rögzített ideig, valamely jövőbeli időponttól kezdődően fizetendő vagy kapott kamat mértékét a szerződés kezdeményezésekor határozzák meg. </w:t>
            </w:r>
          </w:p>
        </w:tc>
      </w:tr>
      <w:tr w:rsidR="007532A9" w:rsidRPr="00832E8A" w:rsidTr="004049F3">
        <w:tblPrEx>
          <w:tblCellMar>
            <w:top w:w="0" w:type="dxa"/>
            <w:bottom w:w="0" w:type="dxa"/>
          </w:tblCellMar>
        </w:tblPrEx>
        <w:trPr>
          <w:gridBefore w:val="1"/>
          <w:gridAfter w:val="1"/>
          <w:wBefore w:w="34" w:type="dxa"/>
          <w:wAfter w:w="454" w:type="dxa"/>
          <w:cantSplit/>
        </w:trPr>
        <w:tc>
          <w:tcPr>
            <w:tcW w:w="2376" w:type="dxa"/>
          </w:tcPr>
          <w:p w:rsidR="007532A9" w:rsidRPr="00832E8A" w:rsidRDefault="00036425" w:rsidP="00666ADE">
            <w:pPr>
              <w:pStyle w:val="TableRowHeading"/>
              <w:rPr>
                <w:sz w:val="18"/>
                <w:szCs w:val="18"/>
              </w:rPr>
            </w:pPr>
            <w:proofErr w:type="spellStart"/>
            <w:r>
              <w:rPr>
                <w:sz w:val="18"/>
                <w:szCs w:val="18"/>
              </w:rPr>
              <w:t>Overnight</w:t>
            </w:r>
            <w:proofErr w:type="spellEnd"/>
            <w:r>
              <w:rPr>
                <w:sz w:val="18"/>
                <w:szCs w:val="18"/>
              </w:rPr>
              <w:t xml:space="preserve"> indexed </w:t>
            </w:r>
            <w:proofErr w:type="spellStart"/>
            <w:r>
              <w:rPr>
                <w:sz w:val="18"/>
                <w:szCs w:val="18"/>
              </w:rPr>
              <w:t>swapok</w:t>
            </w:r>
            <w:proofErr w:type="spellEnd"/>
            <w:r w:rsidRPr="00832E8A">
              <w:rPr>
                <w:sz w:val="18"/>
                <w:szCs w:val="18"/>
              </w:rPr>
              <w:t xml:space="preserve"> </w:t>
            </w:r>
            <w:r w:rsidR="00861FCA">
              <w:rPr>
                <w:sz w:val="18"/>
                <w:szCs w:val="18"/>
              </w:rPr>
              <w:t xml:space="preserve"> (</w:t>
            </w:r>
            <w:proofErr w:type="spellStart"/>
            <w:r w:rsidR="00861FCA">
              <w:rPr>
                <w:sz w:val="18"/>
                <w:szCs w:val="18"/>
              </w:rPr>
              <w:t>OIS</w:t>
            </w:r>
            <w:proofErr w:type="spellEnd"/>
            <w:r w:rsidR="00861FCA">
              <w:rPr>
                <w:sz w:val="18"/>
                <w:szCs w:val="18"/>
              </w:rPr>
              <w:t>)</w:t>
            </w:r>
          </w:p>
        </w:tc>
        <w:tc>
          <w:tcPr>
            <w:tcW w:w="6694" w:type="dxa"/>
            <w:gridSpan w:val="2"/>
          </w:tcPr>
          <w:p w:rsidR="007532A9" w:rsidRPr="004049F3" w:rsidRDefault="007C1202" w:rsidP="004049F3">
            <w:pPr>
              <w:pStyle w:val="TableText"/>
              <w:framePr w:wrap="around"/>
              <w:jc w:val="both"/>
              <w:rPr>
                <w:rFonts w:cs="Arial"/>
                <w:szCs w:val="20"/>
              </w:rPr>
            </w:pPr>
            <w:r w:rsidRPr="004049F3">
              <w:rPr>
                <w:rFonts w:cs="Arial"/>
                <w:szCs w:val="20"/>
              </w:rPr>
              <w:t xml:space="preserve">Megállapodás időszakos fizetések cseréjéről fizetendő kamatokhoz kapcsolódóan egyetlen devizában; lehet rögzített </w:t>
            </w:r>
            <w:r w:rsidR="00036425">
              <w:rPr>
                <w:rFonts w:cs="Arial"/>
                <w:szCs w:val="20"/>
              </w:rPr>
              <w:t xml:space="preserve">vagy változó </w:t>
            </w:r>
            <w:r w:rsidRPr="004049F3">
              <w:rPr>
                <w:rFonts w:cs="Arial"/>
                <w:szCs w:val="20"/>
              </w:rPr>
              <w:t>kamatozású</w:t>
            </w:r>
            <w:r w:rsidR="00036425">
              <w:rPr>
                <w:rFonts w:cs="Arial"/>
                <w:szCs w:val="20"/>
              </w:rPr>
              <w:t>, ahol</w:t>
            </w:r>
            <w:r w:rsidR="00861FCA">
              <w:rPr>
                <w:rFonts w:cs="Arial"/>
                <w:szCs w:val="20"/>
              </w:rPr>
              <w:t xml:space="preserve"> a változó kamat </w:t>
            </w:r>
            <w:proofErr w:type="spellStart"/>
            <w:r w:rsidR="00861FCA">
              <w:rPr>
                <w:rFonts w:cs="Arial"/>
                <w:szCs w:val="20"/>
              </w:rPr>
              <w:t>overnight</w:t>
            </w:r>
            <w:proofErr w:type="spellEnd"/>
            <w:r w:rsidR="00861FCA">
              <w:rPr>
                <w:rFonts w:cs="Arial"/>
                <w:szCs w:val="20"/>
              </w:rPr>
              <w:t xml:space="preserve"> kamat vagy </w:t>
            </w:r>
            <w:proofErr w:type="spellStart"/>
            <w:r w:rsidR="00861FCA">
              <w:rPr>
                <w:rFonts w:cs="Arial"/>
                <w:szCs w:val="20"/>
              </w:rPr>
              <w:t>overnight</w:t>
            </w:r>
            <w:proofErr w:type="spellEnd"/>
            <w:r w:rsidR="00861FCA">
              <w:rPr>
                <w:rFonts w:cs="Arial"/>
                <w:szCs w:val="20"/>
              </w:rPr>
              <w:t xml:space="preserve"> index kamat).</w:t>
            </w:r>
          </w:p>
        </w:tc>
      </w:tr>
      <w:tr w:rsidR="00861FCA" w:rsidRPr="00832E8A" w:rsidTr="004049F3">
        <w:tblPrEx>
          <w:tblCellMar>
            <w:top w:w="0" w:type="dxa"/>
            <w:bottom w:w="0" w:type="dxa"/>
          </w:tblCellMar>
        </w:tblPrEx>
        <w:trPr>
          <w:gridBefore w:val="1"/>
          <w:gridAfter w:val="1"/>
          <w:wBefore w:w="34" w:type="dxa"/>
          <w:wAfter w:w="454" w:type="dxa"/>
          <w:cantSplit/>
        </w:trPr>
        <w:tc>
          <w:tcPr>
            <w:tcW w:w="2376" w:type="dxa"/>
          </w:tcPr>
          <w:p w:rsidR="00861FCA" w:rsidRPr="00832E8A" w:rsidDel="00036425" w:rsidRDefault="00861FCA" w:rsidP="00666ADE">
            <w:pPr>
              <w:pStyle w:val="TableRowHeading"/>
              <w:rPr>
                <w:sz w:val="18"/>
                <w:szCs w:val="18"/>
              </w:rPr>
            </w:pPr>
            <w:r>
              <w:rPr>
                <w:sz w:val="18"/>
                <w:szCs w:val="18"/>
              </w:rPr>
              <w:t>Egyéb csereügyletek</w:t>
            </w:r>
          </w:p>
        </w:tc>
        <w:tc>
          <w:tcPr>
            <w:tcW w:w="6694" w:type="dxa"/>
            <w:gridSpan w:val="2"/>
          </w:tcPr>
          <w:p w:rsidR="00861FCA" w:rsidRPr="00861FCA" w:rsidRDefault="00861FCA" w:rsidP="00036425">
            <w:pPr>
              <w:pStyle w:val="TableText"/>
              <w:framePr w:wrap="around"/>
              <w:jc w:val="both"/>
              <w:rPr>
                <w:rFonts w:cs="Arial"/>
                <w:szCs w:val="20"/>
              </w:rPr>
            </w:pPr>
            <w:r w:rsidRPr="004B56BB">
              <w:rPr>
                <w:rFonts w:cs="Arial"/>
                <w:szCs w:val="20"/>
              </w:rPr>
              <w:t xml:space="preserve">Megállapodás időszakos fizetések cseréjéről fizetendő kamatokhoz kapcsolódóan egyetlen devizában; lehet rögzített </w:t>
            </w:r>
            <w:r w:rsidR="00712D7D">
              <w:rPr>
                <w:rFonts w:cs="Arial"/>
                <w:szCs w:val="20"/>
              </w:rPr>
              <w:t>és</w:t>
            </w:r>
            <w:r>
              <w:rPr>
                <w:rFonts w:cs="Arial"/>
                <w:szCs w:val="20"/>
              </w:rPr>
              <w:t xml:space="preserve"> változó </w:t>
            </w:r>
            <w:r w:rsidRPr="004B56BB">
              <w:rPr>
                <w:rFonts w:cs="Arial"/>
                <w:szCs w:val="20"/>
              </w:rPr>
              <w:t>kamatozású</w:t>
            </w:r>
            <w:r>
              <w:rPr>
                <w:rFonts w:cs="Arial"/>
                <w:szCs w:val="20"/>
              </w:rPr>
              <w:t>,</w:t>
            </w:r>
            <w:r w:rsidR="00712D7D">
              <w:rPr>
                <w:rFonts w:cs="Arial"/>
                <w:szCs w:val="20"/>
              </w:rPr>
              <w:t xml:space="preserve"> vagy</w:t>
            </w:r>
            <w:r>
              <w:rPr>
                <w:rFonts w:cs="Arial"/>
                <w:szCs w:val="20"/>
              </w:rPr>
              <w:t xml:space="preserve"> két változó cseréje. Az </w:t>
            </w:r>
            <w:proofErr w:type="spellStart"/>
            <w:r>
              <w:rPr>
                <w:rFonts w:cs="Arial"/>
                <w:szCs w:val="20"/>
              </w:rPr>
              <w:t>OIS</w:t>
            </w:r>
            <w:proofErr w:type="spellEnd"/>
            <w:r>
              <w:rPr>
                <w:rFonts w:cs="Arial"/>
                <w:szCs w:val="20"/>
              </w:rPr>
              <w:t xml:space="preserve"> ügyletek</w:t>
            </w:r>
            <w:r w:rsidR="00A90BB6">
              <w:rPr>
                <w:rFonts w:cs="Arial"/>
                <w:szCs w:val="20"/>
              </w:rPr>
              <w:t>et</w:t>
            </w:r>
            <w:r>
              <w:rPr>
                <w:rFonts w:cs="Arial"/>
                <w:szCs w:val="20"/>
              </w:rPr>
              <w:t xml:space="preserve"> nem, </w:t>
            </w:r>
            <w:r w:rsidR="00A90BB6">
              <w:rPr>
                <w:rFonts w:cs="Arial"/>
                <w:szCs w:val="20"/>
              </w:rPr>
              <w:t xml:space="preserve">de </w:t>
            </w:r>
            <w:r>
              <w:rPr>
                <w:rFonts w:cs="Arial"/>
                <w:szCs w:val="20"/>
              </w:rPr>
              <w:t>az amortizálódó ügyleteket viszont tartalmazza.</w:t>
            </w:r>
          </w:p>
        </w:tc>
      </w:tr>
      <w:tr w:rsidR="007532A9" w:rsidRPr="00832E8A" w:rsidTr="004049F3">
        <w:tblPrEx>
          <w:tblCellMar>
            <w:top w:w="0" w:type="dxa"/>
            <w:bottom w:w="0" w:type="dxa"/>
          </w:tblCellMar>
        </w:tblPrEx>
        <w:trPr>
          <w:gridBefore w:val="1"/>
          <w:gridAfter w:val="1"/>
          <w:wBefore w:w="34" w:type="dxa"/>
          <w:wAfter w:w="454" w:type="dxa"/>
          <w:cantSplit/>
        </w:trPr>
        <w:tc>
          <w:tcPr>
            <w:tcW w:w="2376" w:type="dxa"/>
          </w:tcPr>
          <w:p w:rsidR="007532A9" w:rsidRPr="00832E8A" w:rsidRDefault="007C1202" w:rsidP="00666ADE">
            <w:pPr>
              <w:pStyle w:val="TableRowHeading"/>
              <w:rPr>
                <w:sz w:val="18"/>
                <w:szCs w:val="18"/>
              </w:rPr>
            </w:pPr>
            <w:r w:rsidRPr="00832E8A">
              <w:rPr>
                <w:sz w:val="18"/>
                <w:szCs w:val="18"/>
              </w:rPr>
              <w:t>OTC opciók</w:t>
            </w:r>
          </w:p>
        </w:tc>
        <w:tc>
          <w:tcPr>
            <w:tcW w:w="6694" w:type="dxa"/>
            <w:gridSpan w:val="2"/>
          </w:tcPr>
          <w:p w:rsidR="007C1202" w:rsidRPr="004049F3" w:rsidRDefault="007C1202" w:rsidP="004049F3">
            <w:pPr>
              <w:pStyle w:val="TableText"/>
              <w:framePr w:wrap="around"/>
              <w:jc w:val="both"/>
              <w:rPr>
                <w:rFonts w:cs="Arial"/>
                <w:szCs w:val="20"/>
              </w:rPr>
            </w:pPr>
            <w:r w:rsidRPr="004049F3">
              <w:rPr>
                <w:rFonts w:cs="Arial"/>
                <w:szCs w:val="20"/>
              </w:rPr>
              <w:t>Opciós szerződés, amely, rögzített időn át, előre meghatározott tőke utáni egyedi kamat megfizetésére vagy egyedi kamatra (kapott kamatra) jogosít.</w:t>
            </w:r>
            <w:r w:rsidR="002A6DDB" w:rsidRPr="004049F3">
              <w:rPr>
                <w:rFonts w:cs="Arial"/>
                <w:szCs w:val="20"/>
              </w:rPr>
              <w:t xml:space="preserve"> </w:t>
            </w:r>
          </w:p>
          <w:p w:rsidR="007C1202" w:rsidRPr="004049F3" w:rsidRDefault="007C1202" w:rsidP="004049F3">
            <w:pPr>
              <w:pStyle w:val="TableText"/>
              <w:framePr w:wrap="around"/>
              <w:jc w:val="both"/>
              <w:rPr>
                <w:rFonts w:cs="Arial"/>
                <w:szCs w:val="20"/>
              </w:rPr>
            </w:pPr>
            <w:r w:rsidRPr="004049F3">
              <w:rPr>
                <w:rFonts w:cs="Arial"/>
                <w:szCs w:val="20"/>
              </w:rPr>
              <w:t>Tőzsdén kívüli (OTC) opciós ügyletek fajtái:</w:t>
            </w:r>
          </w:p>
          <w:p w:rsidR="007C1202" w:rsidRPr="004049F3" w:rsidRDefault="007C1202" w:rsidP="00E42FDD">
            <w:pPr>
              <w:pStyle w:val="Paragraph"/>
              <w:rPr>
                <w:rFonts w:cs="Arial"/>
                <w:sz w:val="20"/>
                <w:szCs w:val="20"/>
              </w:rPr>
            </w:pPr>
            <w:r w:rsidRPr="004049F3">
              <w:rPr>
                <w:rFonts w:cs="Arial"/>
                <w:spacing w:val="-3"/>
                <w:sz w:val="20"/>
                <w:szCs w:val="20"/>
              </w:rPr>
              <w:t>Kamatplafonügylet</w:t>
            </w:r>
            <w:r w:rsidRPr="004049F3">
              <w:rPr>
                <w:rFonts w:cs="Arial"/>
                <w:sz w:val="20"/>
                <w:szCs w:val="20"/>
              </w:rPr>
              <w:t>: Tőzsdén kívüli opciós ügylet, amely a változó kamat és a kamatplafon közötti különbséget fizeti ki.</w:t>
            </w:r>
          </w:p>
          <w:p w:rsidR="007C1202" w:rsidRPr="004049F3" w:rsidRDefault="007C1202" w:rsidP="00E42FDD">
            <w:pPr>
              <w:pStyle w:val="Paragraph"/>
              <w:rPr>
                <w:rFonts w:cs="Arial"/>
                <w:sz w:val="20"/>
                <w:szCs w:val="20"/>
              </w:rPr>
            </w:pPr>
            <w:r w:rsidRPr="004049F3">
              <w:rPr>
                <w:rFonts w:cs="Arial"/>
                <w:spacing w:val="-3"/>
                <w:sz w:val="20"/>
                <w:szCs w:val="20"/>
              </w:rPr>
              <w:t>Kamatpadlóügylet</w:t>
            </w:r>
            <w:r w:rsidRPr="004049F3">
              <w:rPr>
                <w:rFonts w:cs="Arial"/>
                <w:sz w:val="20"/>
                <w:szCs w:val="20"/>
              </w:rPr>
              <w:t>: Tőzsdén kívüli opciós ügylet, amely a</w:t>
            </w:r>
            <w:r w:rsidR="00AD1EDA" w:rsidRPr="004049F3">
              <w:rPr>
                <w:rFonts w:cs="Arial"/>
                <w:sz w:val="20"/>
                <w:szCs w:val="20"/>
              </w:rPr>
              <w:t xml:space="preserve"> kamatpadló és a</w:t>
            </w:r>
            <w:r w:rsidRPr="004049F3">
              <w:rPr>
                <w:rFonts w:cs="Arial"/>
                <w:sz w:val="20"/>
                <w:szCs w:val="20"/>
              </w:rPr>
              <w:t xml:space="preserve"> változó kamat közötti különbséget fizeti ki.</w:t>
            </w:r>
          </w:p>
          <w:p w:rsidR="007C1202" w:rsidRPr="004049F3" w:rsidRDefault="007C1202" w:rsidP="00190E62">
            <w:pPr>
              <w:pStyle w:val="Paragraph"/>
              <w:rPr>
                <w:rFonts w:cs="Arial"/>
                <w:sz w:val="20"/>
                <w:szCs w:val="20"/>
              </w:rPr>
            </w:pPr>
            <w:r w:rsidRPr="004049F3">
              <w:rPr>
                <w:rFonts w:cs="Arial"/>
                <w:spacing w:val="-3"/>
                <w:sz w:val="20"/>
                <w:szCs w:val="20"/>
              </w:rPr>
              <w:t>Kamatgallérügylet</w:t>
            </w:r>
            <w:r w:rsidRPr="004049F3">
              <w:rPr>
                <w:rFonts w:cs="Arial"/>
                <w:sz w:val="20"/>
                <w:szCs w:val="20"/>
              </w:rPr>
              <w:t>: a plafon és a padló kombinációja</w:t>
            </w:r>
          </w:p>
          <w:p w:rsidR="007C1202" w:rsidRPr="004049F3" w:rsidRDefault="007C1202" w:rsidP="00190E62">
            <w:pPr>
              <w:pStyle w:val="Paragraph"/>
              <w:rPr>
                <w:rFonts w:cs="Arial"/>
                <w:sz w:val="20"/>
                <w:szCs w:val="20"/>
              </w:rPr>
            </w:pPr>
            <w:r w:rsidRPr="004049F3">
              <w:rPr>
                <w:rFonts w:cs="Arial"/>
                <w:spacing w:val="-3"/>
                <w:sz w:val="20"/>
                <w:szCs w:val="20"/>
              </w:rPr>
              <w:t>Kamatfolyosó-ügylet</w:t>
            </w:r>
            <w:r w:rsidRPr="004049F3">
              <w:rPr>
                <w:rFonts w:cs="Arial"/>
                <w:sz w:val="20"/>
                <w:szCs w:val="20"/>
              </w:rPr>
              <w:t>: 1) Két kamatplafonügylet kombinációja: az egyiket egy kölcsön felvevője vásárolja meg egy adott lehívási áron, míg a másikat ő maga adja el egy magasabb lehívási áron, amivel az elsőért fizetett prémiumot valójában ellentételezi. 2) Egy csereügyletre (</w:t>
            </w:r>
            <w:proofErr w:type="spellStart"/>
            <w:r w:rsidRPr="004049F3">
              <w:rPr>
                <w:rFonts w:cs="Arial"/>
                <w:sz w:val="20"/>
                <w:szCs w:val="20"/>
              </w:rPr>
              <w:t>swapra</w:t>
            </w:r>
            <w:proofErr w:type="spellEnd"/>
            <w:r w:rsidRPr="004049F3">
              <w:rPr>
                <w:rFonts w:cs="Arial"/>
                <w:sz w:val="20"/>
                <w:szCs w:val="20"/>
              </w:rPr>
              <w:t xml:space="preserve">) létrehozott gallér, két kamatcserére vonatkozó opció adás-vételével – a </w:t>
            </w:r>
            <w:proofErr w:type="spellStart"/>
            <w:r w:rsidRPr="004049F3">
              <w:rPr>
                <w:rFonts w:cs="Arial"/>
                <w:sz w:val="20"/>
                <w:szCs w:val="20"/>
              </w:rPr>
              <w:t>swapció</w:t>
            </w:r>
            <w:proofErr w:type="spellEnd"/>
            <w:r w:rsidRPr="004049F3">
              <w:rPr>
                <w:rFonts w:cs="Arial"/>
                <w:sz w:val="20"/>
                <w:szCs w:val="20"/>
              </w:rPr>
              <w:t xml:space="preserve"> lehívási ára és típusa határozza meg a struktúrát és a részvételi (részesedési) időközt.</w:t>
            </w:r>
            <w:r w:rsidR="002A6DDB" w:rsidRPr="004049F3">
              <w:rPr>
                <w:rFonts w:cs="Arial"/>
                <w:sz w:val="20"/>
                <w:szCs w:val="20"/>
              </w:rPr>
              <w:t xml:space="preserve"> </w:t>
            </w:r>
            <w:r w:rsidRPr="004049F3">
              <w:rPr>
                <w:rFonts w:cs="Arial"/>
                <w:sz w:val="20"/>
                <w:szCs w:val="20"/>
              </w:rPr>
              <w:t xml:space="preserve">3) Digitális „knock-out” opció, amelynél az alsó és a felső korlátot egy hosszú távú kamatláb jelenlegi szintje köré állapítják meg. </w:t>
            </w:r>
          </w:p>
          <w:p w:rsidR="007C1202" w:rsidRPr="004049F3" w:rsidRDefault="007C1202" w:rsidP="00E07307">
            <w:pPr>
              <w:pStyle w:val="Paragraph"/>
              <w:rPr>
                <w:rFonts w:cs="Arial"/>
                <w:sz w:val="20"/>
                <w:szCs w:val="20"/>
              </w:rPr>
            </w:pPr>
            <w:r w:rsidRPr="004049F3">
              <w:rPr>
                <w:rFonts w:cs="Arial"/>
                <w:spacing w:val="-3"/>
                <w:sz w:val="20"/>
                <w:szCs w:val="20"/>
              </w:rPr>
              <w:t>Kamatcserére vonatkozó opció</w:t>
            </w:r>
            <w:r w:rsidRPr="004049F3">
              <w:rPr>
                <w:rFonts w:cs="Arial"/>
                <w:sz w:val="20"/>
                <w:szCs w:val="20"/>
              </w:rPr>
              <w:t>: kamatcsereügyletre (</w:t>
            </w:r>
            <w:proofErr w:type="spellStart"/>
            <w:r w:rsidRPr="004049F3">
              <w:rPr>
                <w:rFonts w:cs="Arial"/>
                <w:sz w:val="20"/>
                <w:szCs w:val="20"/>
              </w:rPr>
              <w:t>swapra</w:t>
            </w:r>
            <w:proofErr w:type="spellEnd"/>
            <w:r w:rsidRPr="004049F3">
              <w:rPr>
                <w:rFonts w:cs="Arial"/>
                <w:sz w:val="20"/>
                <w:szCs w:val="20"/>
              </w:rPr>
              <w:t xml:space="preserve">) vonatkozó tőzsdén kívüli (OTC) opció, amelynél lehetőség nyílik fix kamat fizetésére vagy elfogadására vonatkozó jog megvásárlására. </w:t>
            </w:r>
          </w:p>
          <w:p w:rsidR="007532A9" w:rsidRDefault="007C1202" w:rsidP="00E07307">
            <w:pPr>
              <w:pStyle w:val="Paragraph"/>
              <w:rPr>
                <w:rFonts w:cs="Arial"/>
                <w:sz w:val="20"/>
                <w:szCs w:val="20"/>
              </w:rPr>
            </w:pPr>
            <w:r w:rsidRPr="004049F3">
              <w:rPr>
                <w:rFonts w:cs="Arial"/>
                <w:sz w:val="20"/>
                <w:szCs w:val="20"/>
              </w:rPr>
              <w:t>Kamatra vonatkozó opciós utalvány (</w:t>
            </w:r>
            <w:proofErr w:type="spellStart"/>
            <w:r w:rsidRPr="004049F3">
              <w:rPr>
                <w:rFonts w:cs="Arial"/>
                <w:sz w:val="20"/>
                <w:szCs w:val="20"/>
              </w:rPr>
              <w:t>warrant</w:t>
            </w:r>
            <w:proofErr w:type="spellEnd"/>
            <w:r w:rsidRPr="004049F3">
              <w:rPr>
                <w:rFonts w:cs="Arial"/>
                <w:sz w:val="20"/>
                <w:szCs w:val="20"/>
              </w:rPr>
              <w:t>): egy évnél hosszabb távra vonatkozó tőzsdén kívüli (OTC-) kamatopció.</w:t>
            </w:r>
            <w:r w:rsidR="002A6DDB" w:rsidRPr="004049F3">
              <w:rPr>
                <w:rFonts w:cs="Arial"/>
                <w:sz w:val="20"/>
                <w:szCs w:val="20"/>
              </w:rPr>
              <w:t xml:space="preserve"> </w:t>
            </w:r>
          </w:p>
          <w:p w:rsidR="00485022" w:rsidRPr="004049F3" w:rsidRDefault="00485022" w:rsidP="00E07307">
            <w:pPr>
              <w:pStyle w:val="Paragraph"/>
              <w:rPr>
                <w:rFonts w:cs="Arial"/>
                <w:sz w:val="20"/>
                <w:szCs w:val="20"/>
              </w:rPr>
            </w:pPr>
            <w:r w:rsidRPr="004049F3">
              <w:rPr>
                <w:sz w:val="20"/>
              </w:rPr>
              <w:t>Az összetett opciós pozíciókat külön bontva kell jelenteni</w:t>
            </w:r>
            <w:r>
              <w:rPr>
                <w:sz w:val="20"/>
              </w:rPr>
              <w:t>.</w:t>
            </w:r>
          </w:p>
        </w:tc>
      </w:tr>
      <w:tr w:rsidR="007532A9" w:rsidRPr="00B05124" w:rsidTr="004049F3">
        <w:tblPrEx>
          <w:tblCellMar>
            <w:top w:w="0" w:type="dxa"/>
            <w:bottom w:w="0" w:type="dxa"/>
          </w:tblCellMar>
        </w:tblPrEx>
        <w:trPr>
          <w:cantSplit/>
        </w:trPr>
        <w:tc>
          <w:tcPr>
            <w:tcW w:w="2864" w:type="dxa"/>
            <w:gridSpan w:val="3"/>
          </w:tcPr>
          <w:p w:rsidR="007532A9" w:rsidRPr="00B05124" w:rsidRDefault="007C1202" w:rsidP="00666ADE">
            <w:pPr>
              <w:pStyle w:val="TableRowHeading"/>
            </w:pPr>
            <w:r w:rsidRPr="00B05124">
              <w:t>Egyéb termékek</w:t>
            </w:r>
          </w:p>
        </w:tc>
        <w:tc>
          <w:tcPr>
            <w:tcW w:w="6694" w:type="dxa"/>
            <w:gridSpan w:val="2"/>
          </w:tcPr>
          <w:p w:rsidR="007532A9" w:rsidRDefault="007C1202" w:rsidP="00036425">
            <w:pPr>
              <w:pStyle w:val="TableText"/>
              <w:framePr w:wrap="around"/>
              <w:jc w:val="both"/>
              <w:rPr>
                <w:rFonts w:cs="Arial"/>
                <w:szCs w:val="20"/>
              </w:rPr>
            </w:pPr>
            <w:r w:rsidRPr="00E42FDD">
              <w:rPr>
                <w:rFonts w:cs="Arial"/>
                <w:szCs w:val="20"/>
              </w:rPr>
              <w:t>Az egyéb származékos termékek olyan instrumentumok, amelyeket nem lehet egyedi „</w:t>
            </w:r>
            <w:proofErr w:type="spellStart"/>
            <w:r w:rsidRPr="00E42FDD">
              <w:rPr>
                <w:rFonts w:cs="Arial"/>
                <w:szCs w:val="20"/>
              </w:rPr>
              <w:t>plain</w:t>
            </w:r>
            <w:proofErr w:type="spellEnd"/>
            <w:r w:rsidRPr="00E42FDD">
              <w:rPr>
                <w:rFonts w:cs="Arial"/>
                <w:szCs w:val="20"/>
              </w:rPr>
              <w:t xml:space="preserve"> </w:t>
            </w:r>
            <w:proofErr w:type="spellStart"/>
            <w:r w:rsidRPr="00E42FDD">
              <w:rPr>
                <w:rFonts w:cs="Arial"/>
                <w:szCs w:val="20"/>
              </w:rPr>
              <w:t>vanilla</w:t>
            </w:r>
            <w:proofErr w:type="spellEnd"/>
            <w:r w:rsidRPr="00E42FDD">
              <w:rPr>
                <w:rFonts w:cs="Arial"/>
                <w:szCs w:val="20"/>
              </w:rPr>
              <w:t xml:space="preserve">” </w:t>
            </w:r>
            <w:r w:rsidR="006B27C6" w:rsidRPr="00E42FDD">
              <w:rPr>
                <w:rFonts w:cs="Arial"/>
                <w:szCs w:val="20"/>
              </w:rPr>
              <w:t>instrumentumokra</w:t>
            </w:r>
            <w:r w:rsidRPr="00E42FDD">
              <w:rPr>
                <w:rFonts w:cs="Arial"/>
                <w:szCs w:val="20"/>
              </w:rPr>
              <w:t xml:space="preserve">, például tőzsdén kívüli határidős kamatláb-megállapodásra, csere- vagy opciós ügyletekre </w:t>
            </w:r>
            <w:r w:rsidRPr="00190E62">
              <w:rPr>
                <w:rFonts w:cs="Arial"/>
                <w:szCs w:val="20"/>
              </w:rPr>
              <w:t xml:space="preserve">bontani, vagy az célszerűtlen, a gyakorlatban megvalósíthatatlan lenne. Az „egyéb” termékek például a tőkeáttételes </w:t>
            </w:r>
            <w:proofErr w:type="spellStart"/>
            <w:r w:rsidRPr="00190E62">
              <w:rPr>
                <w:rFonts w:cs="Arial"/>
                <w:szCs w:val="20"/>
              </w:rPr>
              <w:t>payoff</w:t>
            </w:r>
            <w:proofErr w:type="spellEnd"/>
            <w:r w:rsidRPr="00190E62">
              <w:rPr>
                <w:rFonts w:cs="Arial"/>
                <w:szCs w:val="20"/>
              </w:rPr>
              <w:t xml:space="preserve"> </w:t>
            </w:r>
            <w:r w:rsidR="006B27C6" w:rsidRPr="00190E62">
              <w:rPr>
                <w:rFonts w:cs="Arial"/>
                <w:szCs w:val="20"/>
              </w:rPr>
              <w:t>instrumentumok</w:t>
            </w:r>
            <w:r w:rsidRPr="00190E62">
              <w:rPr>
                <w:rFonts w:cs="Arial"/>
                <w:szCs w:val="20"/>
              </w:rPr>
              <w:t xml:space="preserve"> és/vagy azok az instrumentumok, amelyek névleges tőkéje a kamat függvényében változik, pl. LIBOR</w:t>
            </w:r>
            <w:r w:rsidRPr="004049F3">
              <w:rPr>
                <w:rFonts w:cs="Arial"/>
                <w:szCs w:val="20"/>
              </w:rPr>
              <w:t>²</w:t>
            </w:r>
            <w:r w:rsidRPr="00E42FDD">
              <w:rPr>
                <w:rFonts w:cs="Arial"/>
                <w:szCs w:val="20"/>
              </w:rPr>
              <w:t xml:space="preserve">-csereügylet vagy a névértéket egy előre meghatározott ráta mozgásának megfelelően folyamatosan csökkentő csereügylet (index </w:t>
            </w:r>
            <w:proofErr w:type="spellStart"/>
            <w:r w:rsidRPr="00E42FDD">
              <w:rPr>
                <w:rFonts w:cs="Arial"/>
                <w:szCs w:val="20"/>
              </w:rPr>
              <w:t>amortising</w:t>
            </w:r>
            <w:proofErr w:type="spellEnd"/>
            <w:r w:rsidRPr="00E42FDD">
              <w:rPr>
                <w:rFonts w:cs="Arial"/>
                <w:szCs w:val="20"/>
              </w:rPr>
              <w:t xml:space="preserve"> </w:t>
            </w:r>
            <w:proofErr w:type="spellStart"/>
            <w:r w:rsidRPr="00E42FDD">
              <w:rPr>
                <w:rFonts w:cs="Arial"/>
                <w:szCs w:val="20"/>
              </w:rPr>
              <w:t>rate</w:t>
            </w:r>
            <w:proofErr w:type="spellEnd"/>
            <w:r w:rsidRPr="00E42FDD">
              <w:rPr>
                <w:rFonts w:cs="Arial"/>
                <w:szCs w:val="20"/>
              </w:rPr>
              <w:t xml:space="preserve"> </w:t>
            </w:r>
            <w:proofErr w:type="spellStart"/>
            <w:r w:rsidRPr="00E42FDD">
              <w:rPr>
                <w:rFonts w:cs="Arial"/>
                <w:szCs w:val="20"/>
              </w:rPr>
              <w:t>swap</w:t>
            </w:r>
            <w:proofErr w:type="spellEnd"/>
            <w:r w:rsidRPr="00E42FDD">
              <w:rPr>
                <w:rFonts w:cs="Arial"/>
                <w:szCs w:val="20"/>
              </w:rPr>
              <w:t>).</w:t>
            </w:r>
          </w:p>
          <w:p w:rsidR="003D1AF2" w:rsidRPr="00E42FDD" w:rsidRDefault="00822A8A" w:rsidP="004049F3">
            <w:pPr>
              <w:pStyle w:val="TableText"/>
              <w:framePr w:wrap="around"/>
              <w:jc w:val="both"/>
              <w:rPr>
                <w:rFonts w:cs="Arial"/>
                <w:szCs w:val="20"/>
              </w:rPr>
            </w:pPr>
            <w:r>
              <w:rPr>
                <w:rFonts w:cs="Arial"/>
                <w:szCs w:val="20"/>
              </w:rPr>
              <w:t>Magába foglalja a határidős kötvényre szóló megállapodásokat is (</w:t>
            </w:r>
            <w:proofErr w:type="spellStart"/>
            <w:r>
              <w:rPr>
                <w:rFonts w:cs="Arial"/>
                <w:szCs w:val="20"/>
              </w:rPr>
              <w:t>bond</w:t>
            </w:r>
            <w:proofErr w:type="spellEnd"/>
            <w:r>
              <w:rPr>
                <w:rFonts w:cs="Arial"/>
                <w:szCs w:val="20"/>
              </w:rPr>
              <w:t xml:space="preserve"> </w:t>
            </w:r>
            <w:proofErr w:type="spellStart"/>
            <w:r>
              <w:rPr>
                <w:rFonts w:cs="Arial"/>
                <w:szCs w:val="20"/>
              </w:rPr>
              <w:t>forward</w:t>
            </w:r>
            <w:proofErr w:type="spellEnd"/>
            <w:r>
              <w:rPr>
                <w:rFonts w:cs="Arial"/>
                <w:szCs w:val="20"/>
              </w:rPr>
              <w:t>).</w:t>
            </w:r>
          </w:p>
        </w:tc>
      </w:tr>
    </w:tbl>
    <w:p w:rsidR="00832E8A" w:rsidRDefault="00832E8A" w:rsidP="00666ADE">
      <w:pPr>
        <w:pStyle w:val="Paragraph"/>
      </w:pPr>
    </w:p>
    <w:p w:rsidR="007C1202" w:rsidRPr="00B05124" w:rsidRDefault="007C1202" w:rsidP="004049F3">
      <w:pPr>
        <w:pStyle w:val="Paragraph"/>
        <w:ind w:left="227"/>
      </w:pPr>
      <w:r w:rsidRPr="00B05124">
        <w:t>Az egydevizás kamatlábalapú származtatott devizaügyletek, elvben, három „</w:t>
      </w:r>
      <w:proofErr w:type="spellStart"/>
      <w:r w:rsidRPr="00B05124">
        <w:t>plain</w:t>
      </w:r>
      <w:proofErr w:type="spellEnd"/>
      <w:r w:rsidRPr="00B05124">
        <w:t xml:space="preserve"> </w:t>
      </w:r>
      <w:proofErr w:type="spellStart"/>
      <w:r w:rsidRPr="00B05124">
        <w:t>vanilla</w:t>
      </w:r>
      <w:proofErr w:type="spellEnd"/>
      <w:r w:rsidRPr="00B05124">
        <w:t xml:space="preserve">” instrumentumra, határidős kamatláb-megállapodásra, </w:t>
      </w:r>
      <w:proofErr w:type="spellStart"/>
      <w:r w:rsidRPr="00B05124">
        <w:t>swap</w:t>
      </w:r>
      <w:proofErr w:type="spellEnd"/>
      <w:r w:rsidRPr="00B05124">
        <w:t>- és opciós ügyletre, bonthatók. A „</w:t>
      </w:r>
      <w:proofErr w:type="spellStart"/>
      <w:r w:rsidRPr="00B05124">
        <w:t>plain</w:t>
      </w:r>
      <w:proofErr w:type="spellEnd"/>
      <w:r w:rsidRPr="00B05124">
        <w:t xml:space="preserve"> </w:t>
      </w:r>
      <w:proofErr w:type="spellStart"/>
      <w:r w:rsidRPr="00B05124">
        <w:t>vanilla</w:t>
      </w:r>
      <w:proofErr w:type="spellEnd"/>
      <w:r w:rsidRPr="00B05124">
        <w:t>” instrumentumok likvid piacokon, többé-kevésbé szabványosított szerződések és piaci konvenciók szerint kereskedett eszközök. Amennyiben egy ügyletnek több „</w:t>
      </w:r>
      <w:proofErr w:type="spellStart"/>
      <w:r w:rsidRPr="00B05124">
        <w:t>plain</w:t>
      </w:r>
      <w:proofErr w:type="spellEnd"/>
      <w:r w:rsidRPr="00B05124">
        <w:t xml:space="preserve"> </w:t>
      </w:r>
      <w:proofErr w:type="spellStart"/>
      <w:r w:rsidRPr="00B05124">
        <w:t>vanilla</w:t>
      </w:r>
      <w:proofErr w:type="spellEnd"/>
      <w:r w:rsidRPr="00B05124">
        <w:t>” összetevője van, elvben minden összetevőt külön-külön kell jelenteni.</w:t>
      </w:r>
      <w:r w:rsidR="002A6DDB">
        <w:t xml:space="preserve"> </w:t>
      </w:r>
    </w:p>
    <w:p w:rsidR="007C1202" w:rsidRDefault="007C1202" w:rsidP="00822A8A">
      <w:pPr>
        <w:pStyle w:val="Paragraph"/>
        <w:ind w:left="227"/>
      </w:pPr>
      <w:r w:rsidRPr="00B05124">
        <w:t>Elvben a nem „</w:t>
      </w:r>
      <w:proofErr w:type="spellStart"/>
      <w:r w:rsidRPr="00B05124">
        <w:t>plain</w:t>
      </w:r>
      <w:proofErr w:type="spellEnd"/>
      <w:r w:rsidRPr="00B05124">
        <w:t xml:space="preserve"> </w:t>
      </w:r>
      <w:proofErr w:type="spellStart"/>
      <w:r w:rsidRPr="00B05124">
        <w:t>vanilla</w:t>
      </w:r>
      <w:proofErr w:type="spellEnd"/>
      <w:r w:rsidRPr="00B05124">
        <w:t>” termékek is felbonthatók „</w:t>
      </w:r>
      <w:proofErr w:type="spellStart"/>
      <w:r w:rsidRPr="00B05124">
        <w:t>plain</w:t>
      </w:r>
      <w:proofErr w:type="spellEnd"/>
      <w:r w:rsidRPr="00B05124">
        <w:t xml:space="preserve"> </w:t>
      </w:r>
      <w:proofErr w:type="spellStart"/>
      <w:r w:rsidRPr="00B05124">
        <w:t>vanilla</w:t>
      </w:r>
      <w:proofErr w:type="spellEnd"/>
      <w:r w:rsidRPr="00B05124">
        <w:t xml:space="preserve">” összetevőikre. Ha ez nem lehetséges, akkor a tőzsdén kívüli opciókra vonatkozó rész élvez elsőbbséget az eszközbesorolásban, ezért minden, beágyazott opcióval rendelkező kamatlábalapú származtatott terméket tőzsdén kívüli (OTC) opcióként kell jelenteni. Az összes többi tőzsdén kívüli (OTC) kamatláb </w:t>
      </w:r>
      <w:proofErr w:type="spellStart"/>
      <w:r w:rsidRPr="00B05124">
        <w:t>derivatívát</w:t>
      </w:r>
      <w:proofErr w:type="spellEnd"/>
      <w:r w:rsidRPr="00B05124">
        <w:t xml:space="preserve"> a határidős kamatláb-megállapodás vagy csereügyletek részben kell jelenteni. </w:t>
      </w:r>
    </w:p>
    <w:p w:rsidR="007C1202" w:rsidRDefault="007C1202" w:rsidP="007C1202">
      <w:pPr>
        <w:pStyle w:val="IndentedHeading1"/>
        <w:rPr>
          <w:rFonts w:cs="Arial"/>
          <w:b/>
          <w:sz w:val="26"/>
          <w:szCs w:val="26"/>
          <w:lang w:val="hu-HU"/>
        </w:rPr>
      </w:pPr>
      <w:bookmarkStart w:id="36" w:name="_Toc533082330"/>
      <w:r w:rsidRPr="00B05124">
        <w:rPr>
          <w:rFonts w:cs="Arial"/>
          <w:b/>
          <w:sz w:val="26"/>
          <w:szCs w:val="26"/>
          <w:lang w:val="hu-HU"/>
        </w:rPr>
        <w:t>H.</w:t>
      </w:r>
      <w:r w:rsidRPr="00B05124">
        <w:rPr>
          <w:rFonts w:cs="Arial"/>
          <w:b/>
          <w:sz w:val="26"/>
          <w:szCs w:val="26"/>
          <w:lang w:val="hu-HU"/>
        </w:rPr>
        <w:tab/>
      </w:r>
      <w:proofErr w:type="spellStart"/>
      <w:r w:rsidRPr="00B05124">
        <w:rPr>
          <w:rFonts w:cs="Arial"/>
          <w:b/>
          <w:sz w:val="26"/>
          <w:szCs w:val="26"/>
          <w:lang w:val="hu-HU"/>
        </w:rPr>
        <w:t>FX</w:t>
      </w:r>
      <w:proofErr w:type="spellEnd"/>
      <w:r w:rsidRPr="00B05124">
        <w:rPr>
          <w:rFonts w:cs="Arial"/>
          <w:b/>
          <w:sz w:val="26"/>
          <w:szCs w:val="26"/>
          <w:lang w:val="hu-HU"/>
        </w:rPr>
        <w:t xml:space="preserve"> </w:t>
      </w:r>
      <w:proofErr w:type="spellStart"/>
      <w:r w:rsidRPr="00B05124">
        <w:rPr>
          <w:rFonts w:cs="Arial"/>
          <w:b/>
          <w:sz w:val="26"/>
          <w:szCs w:val="26"/>
          <w:lang w:val="hu-HU"/>
        </w:rPr>
        <w:t>prime</w:t>
      </w:r>
      <w:proofErr w:type="spellEnd"/>
      <w:r w:rsidRPr="00B05124">
        <w:rPr>
          <w:rFonts w:cs="Arial"/>
          <w:b/>
          <w:sz w:val="26"/>
          <w:szCs w:val="26"/>
          <w:lang w:val="hu-HU"/>
        </w:rPr>
        <w:t xml:space="preserve"> </w:t>
      </w:r>
      <w:proofErr w:type="spellStart"/>
      <w:r w:rsidRPr="00B05124">
        <w:rPr>
          <w:rFonts w:cs="Arial"/>
          <w:b/>
          <w:sz w:val="26"/>
          <w:szCs w:val="26"/>
          <w:lang w:val="hu-HU"/>
        </w:rPr>
        <w:t>brokerage</w:t>
      </w:r>
      <w:bookmarkEnd w:id="36"/>
      <w:proofErr w:type="spellEnd"/>
      <w:r w:rsidRPr="00B05124">
        <w:rPr>
          <w:rFonts w:cs="Arial"/>
          <w:b/>
          <w:sz w:val="26"/>
          <w:szCs w:val="26"/>
          <w:lang w:val="hu-HU"/>
        </w:rPr>
        <w:t xml:space="preserve"> </w:t>
      </w:r>
    </w:p>
    <w:p w:rsidR="00822A8A" w:rsidRPr="004049F3" w:rsidRDefault="00822A8A" w:rsidP="004049F3">
      <w:pPr>
        <w:pStyle w:val="Paragraph"/>
        <w:outlineLvl w:val="1"/>
        <w:rPr>
          <w:b/>
          <w:lang w:eastAsia="x-none"/>
        </w:rPr>
      </w:pPr>
      <w:r>
        <w:rPr>
          <w:lang w:eastAsia="x-none"/>
        </w:rPr>
        <w:tab/>
      </w:r>
      <w:bookmarkStart w:id="37" w:name="_Toc533082331"/>
      <w:r w:rsidRPr="004049F3">
        <w:rPr>
          <w:b/>
          <w:lang w:eastAsia="x-none"/>
        </w:rPr>
        <w:t xml:space="preserve">1. Hagyományos </w:t>
      </w:r>
      <w:proofErr w:type="spellStart"/>
      <w:r w:rsidRPr="004049F3">
        <w:rPr>
          <w:b/>
          <w:lang w:eastAsia="x-none"/>
        </w:rPr>
        <w:t>prime</w:t>
      </w:r>
      <w:proofErr w:type="spellEnd"/>
      <w:r w:rsidRPr="004049F3">
        <w:rPr>
          <w:b/>
          <w:lang w:eastAsia="x-none"/>
        </w:rPr>
        <w:t xml:space="preserve"> </w:t>
      </w:r>
      <w:proofErr w:type="spellStart"/>
      <w:r w:rsidRPr="004049F3">
        <w:rPr>
          <w:b/>
          <w:lang w:eastAsia="x-none"/>
        </w:rPr>
        <w:t>brokerage</w:t>
      </w:r>
      <w:proofErr w:type="spellEnd"/>
      <w:r w:rsidRPr="004049F3">
        <w:rPr>
          <w:b/>
          <w:lang w:eastAsia="x-none"/>
        </w:rPr>
        <w:t xml:space="preserve"> modell</w:t>
      </w:r>
      <w:bookmarkEnd w:id="37"/>
    </w:p>
    <w:p w:rsidR="005D79BB" w:rsidRPr="00B05124" w:rsidRDefault="005D79BB" w:rsidP="00666ADE">
      <w:pPr>
        <w:pStyle w:val="Paragraph"/>
      </w:pPr>
      <w:r w:rsidRPr="00B05124">
        <w:t xml:space="preserve">Tekintve a </w:t>
      </w:r>
      <w:proofErr w:type="spellStart"/>
      <w:r w:rsidRPr="00B05124">
        <w:t>prime</w:t>
      </w:r>
      <w:proofErr w:type="spellEnd"/>
      <w:r w:rsidRPr="00B05124">
        <w:t xml:space="preserve"> </w:t>
      </w:r>
      <w:proofErr w:type="spellStart"/>
      <w:r w:rsidRPr="00B05124">
        <w:t>brokerage</w:t>
      </w:r>
      <w:proofErr w:type="spellEnd"/>
      <w:r w:rsidRPr="00B05124">
        <w:t xml:space="preserve"> kapcsolatban létrejött devizapiaci tranzakciók növekvő fontosságát és hatását az összesített jelentett forgalmi számok nagyságára, </w:t>
      </w:r>
      <w:r w:rsidR="00EF6888">
        <w:t>a</w:t>
      </w:r>
      <w:r w:rsidR="00822A8A">
        <w:t xml:space="preserve"> </w:t>
      </w:r>
      <w:r w:rsidR="00EF6888">
        <w:t>f</w:t>
      </w:r>
      <w:r w:rsidRPr="00B05124">
        <w:t>elmérés tartalmaz</w:t>
      </w:r>
      <w:r w:rsidR="00EF6888">
        <w:t>za</w:t>
      </w:r>
      <w:r w:rsidRPr="00B05124">
        <w:t xml:space="preserve"> </w:t>
      </w:r>
      <w:r w:rsidR="00EF6888">
        <w:t>az</w:t>
      </w:r>
      <w:r w:rsidR="00822A8A">
        <w:t xml:space="preserve"> </w:t>
      </w:r>
      <w:r w:rsidRPr="00B05124">
        <w:t xml:space="preserve">„ebből: </w:t>
      </w:r>
      <w:proofErr w:type="spellStart"/>
      <w:r w:rsidRPr="00B05124">
        <w:t>prime</w:t>
      </w:r>
      <w:proofErr w:type="spellEnd"/>
      <w:r w:rsidRPr="00B05124">
        <w:t xml:space="preserve"> </w:t>
      </w:r>
      <w:proofErr w:type="spellStart"/>
      <w:r w:rsidRPr="00B05124">
        <w:t>brokerage</w:t>
      </w:r>
      <w:proofErr w:type="spellEnd"/>
      <w:r w:rsidRPr="00B05124">
        <w:t xml:space="preserve"> kapcsolatban létrejött”</w:t>
      </w:r>
      <w:r w:rsidR="00EF6888">
        <w:t xml:space="preserve"> tételt</w:t>
      </w:r>
      <w:r w:rsidRPr="00B05124">
        <w:t xml:space="preserve">, amelynek révén felmérhető, az adott instrumentum és devizapár forgalmából mennyi tulajdonítható deviza </w:t>
      </w:r>
      <w:proofErr w:type="spellStart"/>
      <w:r w:rsidRPr="00B05124">
        <w:t>prime</w:t>
      </w:r>
      <w:proofErr w:type="spellEnd"/>
      <w:r w:rsidRPr="00B05124">
        <w:t xml:space="preserve"> </w:t>
      </w:r>
      <w:proofErr w:type="spellStart"/>
      <w:r w:rsidRPr="00B05124">
        <w:t>brokerage</w:t>
      </w:r>
      <w:proofErr w:type="spellEnd"/>
      <w:r w:rsidRPr="00B05124">
        <w:t xml:space="preserve"> kapcsolaton keresztül létrejött tranzakcióknak.</w:t>
      </w:r>
    </w:p>
    <w:p w:rsidR="005D79BB" w:rsidRDefault="005D79BB" w:rsidP="00666ADE">
      <w:pPr>
        <w:pStyle w:val="Paragraph"/>
      </w:pPr>
      <w:r w:rsidRPr="00B05124">
        <w:t>A „</w:t>
      </w:r>
      <w:proofErr w:type="spellStart"/>
      <w:r w:rsidRPr="00B05124">
        <w:t>prime</w:t>
      </w:r>
      <w:proofErr w:type="spellEnd"/>
      <w:r w:rsidRPr="00B05124">
        <w:t xml:space="preserve"> </w:t>
      </w:r>
      <w:proofErr w:type="spellStart"/>
      <w:r w:rsidRPr="00B05124">
        <w:t>broker</w:t>
      </w:r>
      <w:proofErr w:type="spellEnd"/>
      <w:r w:rsidRPr="00B05124">
        <w:t xml:space="preserve">” olyan pénzügyi intézmény (általában nagy, jó minősítéssel rendelkező bank), amely az ügyfelei (gyakran intézményi alapok, fedezeti alapok és más saját számlás kereskedést folytató cégek) ügyleteihez nyújt szolgáltatásokat. A </w:t>
      </w:r>
      <w:proofErr w:type="spellStart"/>
      <w:r w:rsidRPr="00B05124">
        <w:t>prime</w:t>
      </w:r>
      <w:proofErr w:type="spellEnd"/>
      <w:r w:rsidRPr="00B05124">
        <w:t xml:space="preserve"> </w:t>
      </w:r>
      <w:proofErr w:type="spellStart"/>
      <w:r w:rsidRPr="00B05124">
        <w:t>broker</w:t>
      </w:r>
      <w:proofErr w:type="spellEnd"/>
      <w:r w:rsidRPr="00B05124">
        <w:t xml:space="preserve"> – egy bizonyos hitelkereten belül – lehetővé teszi az ügyfelei számára a kereskedést a </w:t>
      </w:r>
      <w:proofErr w:type="spellStart"/>
      <w:r w:rsidRPr="00B05124">
        <w:t>prime</w:t>
      </w:r>
      <w:proofErr w:type="spellEnd"/>
      <w:r w:rsidRPr="00B05124">
        <w:t xml:space="preserve"> </w:t>
      </w:r>
      <w:proofErr w:type="spellStart"/>
      <w:r w:rsidRPr="00B05124">
        <w:t>broker</w:t>
      </w:r>
      <w:proofErr w:type="spellEnd"/>
      <w:r w:rsidRPr="00B05124">
        <w:t xml:space="preserve"> nevében harmadik fél bankok egy előre meghatározott csoportjával. Ennek a részeként az ügyfél hozzáférhet olyan elektronikus platformokhoz is, amelyek hagyományosan csak nagy </w:t>
      </w:r>
      <w:proofErr w:type="spellStart"/>
      <w:r w:rsidRPr="00B05124">
        <w:t>dealerek</w:t>
      </w:r>
      <w:proofErr w:type="spellEnd"/>
      <w:r w:rsidRPr="00B05124">
        <w:t xml:space="preserve"> számára elérhetőek.</w:t>
      </w:r>
      <w:r w:rsidR="00822A8A">
        <w:rPr>
          <w:rStyle w:val="FootnoteReference"/>
        </w:rPr>
        <w:footnoteReference w:id="9"/>
      </w:r>
      <w:r w:rsidRPr="00B05124">
        <w:t xml:space="preserve"> Egy deviza </w:t>
      </w:r>
      <w:proofErr w:type="spellStart"/>
      <w:r w:rsidRPr="00B05124">
        <w:t>prime</w:t>
      </w:r>
      <w:proofErr w:type="spellEnd"/>
      <w:r w:rsidRPr="00B05124">
        <w:t xml:space="preserve"> </w:t>
      </w:r>
      <w:proofErr w:type="spellStart"/>
      <w:r w:rsidRPr="00B05124">
        <w:t>brokerage</w:t>
      </w:r>
      <w:proofErr w:type="spellEnd"/>
      <w:r w:rsidRPr="00B05124">
        <w:t xml:space="preserve"> kapcsolatban az ügyfél tranzakciót általában a </w:t>
      </w:r>
      <w:proofErr w:type="spellStart"/>
      <w:r w:rsidRPr="00B05124">
        <w:t>prime</w:t>
      </w:r>
      <w:proofErr w:type="spellEnd"/>
      <w:r w:rsidRPr="00B05124">
        <w:t xml:space="preserve"> </w:t>
      </w:r>
      <w:proofErr w:type="spellStart"/>
      <w:r w:rsidRPr="00B05124">
        <w:t>broker</w:t>
      </w:r>
      <w:proofErr w:type="spellEnd"/>
      <w:r w:rsidRPr="00B05124">
        <w:t xml:space="preserve"> bonyolítja, amely a harmadik fél bank és az ügyfél között áll, és így az ügylet mindkét lábában partner funkciót tölt be.</w:t>
      </w:r>
    </w:p>
    <w:p w:rsidR="005C630B" w:rsidRPr="004049F3" w:rsidRDefault="005C630B" w:rsidP="004049F3">
      <w:pPr>
        <w:pStyle w:val="Paragraph"/>
        <w:ind w:left="227"/>
        <w:outlineLvl w:val="1"/>
        <w:rPr>
          <w:b/>
        </w:rPr>
      </w:pPr>
      <w:bookmarkStart w:id="38" w:name="_Toc533082332"/>
      <w:r w:rsidRPr="004049F3">
        <w:rPr>
          <w:b/>
        </w:rPr>
        <w:t xml:space="preserve">2. </w:t>
      </w:r>
      <w:proofErr w:type="spellStart"/>
      <w:r w:rsidRPr="004049F3">
        <w:rPr>
          <w:b/>
        </w:rPr>
        <w:t>Ca</w:t>
      </w:r>
      <w:r>
        <w:rPr>
          <w:b/>
        </w:rPr>
        <w:t>r</w:t>
      </w:r>
      <w:r w:rsidRPr="004049F3">
        <w:rPr>
          <w:b/>
        </w:rPr>
        <w:t>ve</w:t>
      </w:r>
      <w:proofErr w:type="spellEnd"/>
      <w:r w:rsidRPr="004049F3">
        <w:rPr>
          <w:b/>
        </w:rPr>
        <w:t>-out üzletek</w:t>
      </w:r>
      <w:bookmarkEnd w:id="38"/>
    </w:p>
    <w:p w:rsidR="005C630B" w:rsidRDefault="005C630B" w:rsidP="00666ADE">
      <w:pPr>
        <w:pStyle w:val="Paragraph"/>
        <w:rPr>
          <w:rFonts w:cs="Arial"/>
          <w:color w:val="222222"/>
        </w:rPr>
      </w:pPr>
      <w:r>
        <w:rPr>
          <w:rFonts w:cs="Arial"/>
          <w:color w:val="222222"/>
        </w:rPr>
        <w:t xml:space="preserve">A </w:t>
      </w:r>
      <w:proofErr w:type="spellStart"/>
      <w:r>
        <w:rPr>
          <w:rFonts w:cs="Arial"/>
          <w:color w:val="222222"/>
        </w:rPr>
        <w:t>carve</w:t>
      </w:r>
      <w:proofErr w:type="spellEnd"/>
      <w:r>
        <w:rPr>
          <w:rFonts w:cs="Arial"/>
          <w:color w:val="222222"/>
        </w:rPr>
        <w:t xml:space="preserve">-out modell szerint a likviditás szolgáltató (jellemzően egy harmadik fél bank vagy egy </w:t>
      </w:r>
      <w:proofErr w:type="spellStart"/>
      <w:r>
        <w:rPr>
          <w:rFonts w:cs="Arial"/>
          <w:color w:val="222222"/>
        </w:rPr>
        <w:t>PTF</w:t>
      </w:r>
      <w:proofErr w:type="spellEnd"/>
      <w:r>
        <w:rPr>
          <w:rFonts w:cs="Arial"/>
          <w:color w:val="222222"/>
        </w:rPr>
        <w:t xml:space="preserve">) működik </w:t>
      </w:r>
      <w:proofErr w:type="spellStart"/>
      <w:r>
        <w:rPr>
          <w:rFonts w:cs="Arial"/>
          <w:color w:val="222222"/>
        </w:rPr>
        <w:t>prime</w:t>
      </w:r>
      <w:proofErr w:type="spellEnd"/>
      <w:r>
        <w:rPr>
          <w:rFonts w:cs="Arial"/>
          <w:color w:val="222222"/>
        </w:rPr>
        <w:t xml:space="preserve"> </w:t>
      </w:r>
      <w:proofErr w:type="spellStart"/>
      <w:r>
        <w:rPr>
          <w:rFonts w:cs="Arial"/>
          <w:color w:val="222222"/>
        </w:rPr>
        <w:t>broker</w:t>
      </w:r>
      <w:proofErr w:type="spellEnd"/>
      <w:r>
        <w:rPr>
          <w:rFonts w:cs="Arial"/>
          <w:color w:val="222222"/>
        </w:rPr>
        <w:t xml:space="preserve">-ként, míg az ügyfélnek ugyanabból a bankból van hitelkerete, de önmagában nem </w:t>
      </w:r>
      <w:proofErr w:type="spellStart"/>
      <w:r>
        <w:rPr>
          <w:rFonts w:cs="Arial"/>
          <w:color w:val="222222"/>
        </w:rPr>
        <w:t>prime</w:t>
      </w:r>
      <w:proofErr w:type="spellEnd"/>
      <w:r>
        <w:rPr>
          <w:rFonts w:cs="Arial"/>
          <w:color w:val="222222"/>
        </w:rPr>
        <w:t xml:space="preserve"> </w:t>
      </w:r>
      <w:proofErr w:type="spellStart"/>
      <w:r>
        <w:rPr>
          <w:rFonts w:cs="Arial"/>
          <w:color w:val="222222"/>
        </w:rPr>
        <w:t>broker</w:t>
      </w:r>
      <w:r w:rsidR="00C923AE">
        <w:rPr>
          <w:rFonts w:cs="Arial"/>
          <w:color w:val="222222"/>
        </w:rPr>
        <w:t>-rel</w:t>
      </w:r>
      <w:proofErr w:type="spellEnd"/>
      <w:r w:rsidR="00C923AE">
        <w:rPr>
          <w:rFonts w:cs="Arial"/>
          <w:color w:val="222222"/>
        </w:rPr>
        <w:t xml:space="preserve"> kezelt</w:t>
      </w:r>
      <w:r>
        <w:rPr>
          <w:rFonts w:cs="Arial"/>
          <w:color w:val="222222"/>
        </w:rPr>
        <w:t xml:space="preserve">. A likviditási szolgáltató </w:t>
      </w:r>
      <w:r w:rsidR="00C923AE">
        <w:rPr>
          <w:rFonts w:cs="Arial"/>
          <w:color w:val="222222"/>
        </w:rPr>
        <w:t xml:space="preserve">áll szemben </w:t>
      </w:r>
      <w:r>
        <w:rPr>
          <w:rFonts w:cs="Arial"/>
          <w:color w:val="222222"/>
        </w:rPr>
        <w:t xml:space="preserve">közvetlenül az ügyféllel, és saját </w:t>
      </w:r>
      <w:r w:rsidR="00C923AE">
        <w:rPr>
          <w:rFonts w:cs="Arial"/>
          <w:color w:val="222222"/>
        </w:rPr>
        <w:t xml:space="preserve">nevében </w:t>
      </w:r>
      <w:r>
        <w:rPr>
          <w:rFonts w:cs="Arial"/>
          <w:color w:val="222222"/>
        </w:rPr>
        <w:t>kereskedi</w:t>
      </w:r>
      <w:r w:rsidR="00C923AE">
        <w:rPr>
          <w:rFonts w:cs="Arial"/>
          <w:color w:val="222222"/>
        </w:rPr>
        <w:t>k</w:t>
      </w:r>
      <w:r>
        <w:rPr>
          <w:rFonts w:cs="Arial"/>
          <w:color w:val="222222"/>
        </w:rPr>
        <w:t>.</w:t>
      </w:r>
    </w:p>
    <w:p w:rsidR="00C923AE" w:rsidRDefault="00C923AE" w:rsidP="004049F3">
      <w:pPr>
        <w:pStyle w:val="Paragraph"/>
        <w:ind w:left="227"/>
        <w:outlineLvl w:val="1"/>
        <w:rPr>
          <w:b/>
        </w:rPr>
      </w:pPr>
      <w:bookmarkStart w:id="39" w:name="_Toc533082333"/>
      <w:r w:rsidRPr="00E42FDD">
        <w:rPr>
          <w:b/>
        </w:rPr>
        <w:t>3.</w:t>
      </w:r>
      <w:r>
        <w:rPr>
          <w:b/>
        </w:rPr>
        <w:t xml:space="preserve"> </w:t>
      </w:r>
      <w:r w:rsidRPr="004049F3">
        <w:rPr>
          <w:b/>
        </w:rPr>
        <w:t xml:space="preserve">Nem banki elektronikus piaci </w:t>
      </w:r>
      <w:r>
        <w:rPr>
          <w:b/>
        </w:rPr>
        <w:t>szereplők</w:t>
      </w:r>
      <w:bookmarkEnd w:id="39"/>
    </w:p>
    <w:p w:rsidR="00BE3B9F" w:rsidRDefault="00E2216B" w:rsidP="004049F3">
      <w:pPr>
        <w:pStyle w:val="Paragraph"/>
        <w:rPr>
          <w:rFonts w:cs="Arial"/>
          <w:color w:val="222222"/>
        </w:rPr>
      </w:pPr>
      <w:r>
        <w:rPr>
          <w:rFonts w:cs="Arial"/>
          <w:color w:val="222222"/>
        </w:rPr>
        <w:t xml:space="preserve">A nem banki elektronikus piaci szereplők </w:t>
      </w:r>
      <w:r w:rsidR="00BE3B9F">
        <w:rPr>
          <w:rFonts w:cs="Arial"/>
          <w:color w:val="222222"/>
        </w:rPr>
        <w:t>olyan</w:t>
      </w:r>
      <w:r>
        <w:rPr>
          <w:rFonts w:cs="Arial"/>
          <w:color w:val="222222"/>
        </w:rPr>
        <w:t xml:space="preserve"> nem banki likviditási szolgáltatók (például </w:t>
      </w:r>
      <w:proofErr w:type="spellStart"/>
      <w:r>
        <w:rPr>
          <w:rFonts w:cs="Arial"/>
          <w:color w:val="222222"/>
        </w:rPr>
        <w:t>PTF</w:t>
      </w:r>
      <w:proofErr w:type="spellEnd"/>
      <w:r>
        <w:rPr>
          <w:rFonts w:cs="Arial"/>
          <w:color w:val="222222"/>
        </w:rPr>
        <w:t>-ek), amelyek legalább részben érintettek az e-kereskedelemben, ahol névvel vagy címkével (tag-</w:t>
      </w:r>
      <w:proofErr w:type="spellStart"/>
      <w:r>
        <w:rPr>
          <w:rFonts w:cs="Arial"/>
          <w:color w:val="222222"/>
        </w:rPr>
        <w:t>gel</w:t>
      </w:r>
      <w:proofErr w:type="spellEnd"/>
      <w:r>
        <w:rPr>
          <w:rFonts w:cs="Arial"/>
          <w:color w:val="222222"/>
        </w:rPr>
        <w:t>) azonosít</w:t>
      </w:r>
      <w:r w:rsidR="00BE3B9F">
        <w:rPr>
          <w:rFonts w:cs="Arial"/>
          <w:color w:val="222222"/>
        </w:rPr>
        <w:t>ot</w:t>
      </w:r>
      <w:r>
        <w:rPr>
          <w:rFonts w:cs="Arial"/>
          <w:color w:val="222222"/>
        </w:rPr>
        <w:t>tak (p</w:t>
      </w:r>
      <w:r w:rsidR="00BE3B9F">
        <w:rPr>
          <w:rFonts w:cs="Arial"/>
          <w:color w:val="222222"/>
        </w:rPr>
        <w:t>éldául</w:t>
      </w:r>
      <w:r>
        <w:rPr>
          <w:rFonts w:cs="Arial"/>
          <w:color w:val="222222"/>
        </w:rPr>
        <w:t xml:space="preserve"> </w:t>
      </w:r>
      <w:proofErr w:type="spellStart"/>
      <w:r>
        <w:rPr>
          <w:rFonts w:cs="Arial"/>
          <w:color w:val="222222"/>
        </w:rPr>
        <w:t>API</w:t>
      </w:r>
      <w:proofErr w:type="spellEnd"/>
      <w:r>
        <w:rPr>
          <w:rFonts w:cs="Arial"/>
          <w:color w:val="222222"/>
        </w:rPr>
        <w:t xml:space="preserve">-n keresztül vagy más elektronikus-közvetlen módon, teljesen nyilvánosságra hozott árfolyamok az </w:t>
      </w:r>
      <w:proofErr w:type="spellStart"/>
      <w:r>
        <w:rPr>
          <w:rFonts w:cs="Arial"/>
          <w:color w:val="222222"/>
        </w:rPr>
        <w:t>ECN</w:t>
      </w:r>
      <w:proofErr w:type="spellEnd"/>
      <w:r>
        <w:rPr>
          <w:rFonts w:cs="Arial"/>
          <w:color w:val="222222"/>
        </w:rPr>
        <w:t xml:space="preserve"> - </w:t>
      </w:r>
      <w:proofErr w:type="spellStart"/>
      <w:r>
        <w:rPr>
          <w:rFonts w:cs="Arial"/>
          <w:color w:val="222222"/>
        </w:rPr>
        <w:t>eken</w:t>
      </w:r>
      <w:proofErr w:type="spellEnd"/>
      <w:r>
        <w:rPr>
          <w:rFonts w:cs="Arial"/>
          <w:color w:val="222222"/>
        </w:rPr>
        <w:t xml:space="preserve">, vagy kereskedelem </w:t>
      </w:r>
      <w:r w:rsidR="00BE3B9F">
        <w:rPr>
          <w:rFonts w:cs="Arial"/>
          <w:color w:val="222222"/>
        </w:rPr>
        <w:t>olyan</w:t>
      </w:r>
      <w:r>
        <w:rPr>
          <w:rFonts w:cs="Arial"/>
          <w:color w:val="222222"/>
        </w:rPr>
        <w:t xml:space="preserve"> hely</w:t>
      </w:r>
      <w:r w:rsidR="00BE3B9F">
        <w:rPr>
          <w:rFonts w:cs="Arial"/>
          <w:color w:val="222222"/>
        </w:rPr>
        <w:t>eken</w:t>
      </w:r>
      <w:r>
        <w:rPr>
          <w:rFonts w:cs="Arial"/>
          <w:color w:val="222222"/>
        </w:rPr>
        <w:t>, amely</w:t>
      </w:r>
      <w:r w:rsidR="00BE3B9F">
        <w:rPr>
          <w:rFonts w:cs="Arial"/>
          <w:color w:val="222222"/>
        </w:rPr>
        <w:t>ek</w:t>
      </w:r>
      <w:r>
        <w:rPr>
          <w:rFonts w:cs="Arial"/>
          <w:color w:val="222222"/>
        </w:rPr>
        <w:t xml:space="preserve"> lehetővé teszi</w:t>
      </w:r>
      <w:r w:rsidR="00BE3B9F">
        <w:rPr>
          <w:rFonts w:cs="Arial"/>
          <w:color w:val="222222"/>
        </w:rPr>
        <w:t>k a likviditás anonim megosztását</w:t>
      </w:r>
      <w:r w:rsidR="00242D86">
        <w:rPr>
          <w:rFonts w:cs="Arial"/>
          <w:color w:val="222222"/>
        </w:rPr>
        <w:t>,</w:t>
      </w:r>
      <w:r w:rsidR="00BE3B9F">
        <w:rPr>
          <w:rFonts w:cs="Arial"/>
          <w:color w:val="222222"/>
        </w:rPr>
        <w:t xml:space="preserve"> </w:t>
      </w:r>
      <w:r>
        <w:rPr>
          <w:rFonts w:cs="Arial"/>
          <w:color w:val="222222"/>
        </w:rPr>
        <w:t>mint p</w:t>
      </w:r>
      <w:r w:rsidR="00BE3B9F">
        <w:rPr>
          <w:rFonts w:cs="Arial"/>
          <w:color w:val="222222"/>
        </w:rPr>
        <w:t>éldául</w:t>
      </w:r>
      <w:r>
        <w:rPr>
          <w:rFonts w:cs="Arial"/>
          <w:color w:val="222222"/>
        </w:rPr>
        <w:t xml:space="preserve"> a </w:t>
      </w:r>
      <w:proofErr w:type="spellStart"/>
      <w:r>
        <w:rPr>
          <w:rFonts w:cs="Arial"/>
          <w:color w:val="222222"/>
        </w:rPr>
        <w:t>Currenex</w:t>
      </w:r>
      <w:proofErr w:type="spellEnd"/>
      <w:r>
        <w:rPr>
          <w:rFonts w:cs="Arial"/>
          <w:color w:val="222222"/>
        </w:rPr>
        <w:t xml:space="preserve"> vagy a </w:t>
      </w:r>
      <w:proofErr w:type="spellStart"/>
      <w:r>
        <w:rPr>
          <w:rFonts w:cs="Arial"/>
          <w:color w:val="222222"/>
        </w:rPr>
        <w:t>Fastmatch</w:t>
      </w:r>
      <w:proofErr w:type="spellEnd"/>
      <w:r>
        <w:rPr>
          <w:rFonts w:cs="Arial"/>
          <w:color w:val="222222"/>
        </w:rPr>
        <w:t xml:space="preserve">), és </w:t>
      </w:r>
      <w:r w:rsidR="00BE3B9F">
        <w:rPr>
          <w:rFonts w:cs="Arial"/>
          <w:color w:val="222222"/>
        </w:rPr>
        <w:t>magukra vállalják az ügyfél</w:t>
      </w:r>
      <w:r>
        <w:rPr>
          <w:rFonts w:cs="Arial"/>
          <w:color w:val="222222"/>
        </w:rPr>
        <w:t xml:space="preserve"> kockázatá</w:t>
      </w:r>
      <w:r w:rsidR="00BE3B9F">
        <w:rPr>
          <w:rFonts w:cs="Arial"/>
          <w:color w:val="222222"/>
        </w:rPr>
        <w:t>nak legalább egy</w:t>
      </w:r>
      <w:r w:rsidR="00F4706E">
        <w:rPr>
          <w:rFonts w:cs="Arial"/>
          <w:color w:val="222222"/>
        </w:rPr>
        <w:t xml:space="preserve"> </w:t>
      </w:r>
      <w:r w:rsidR="00BE3B9F">
        <w:rPr>
          <w:rFonts w:cs="Arial"/>
          <w:color w:val="222222"/>
        </w:rPr>
        <w:t>részét</w:t>
      </w:r>
      <w:r>
        <w:rPr>
          <w:rFonts w:cs="Arial"/>
          <w:color w:val="222222"/>
        </w:rPr>
        <w:t xml:space="preserve">. </w:t>
      </w:r>
    </w:p>
    <w:p w:rsidR="00C923AE" w:rsidRPr="004049F3" w:rsidRDefault="00E2216B" w:rsidP="00190E62">
      <w:pPr>
        <w:pStyle w:val="Paragraph"/>
        <w:rPr>
          <w:b/>
          <w:i/>
        </w:rPr>
      </w:pPr>
      <w:r w:rsidRPr="004049F3">
        <w:rPr>
          <w:rFonts w:cs="Arial"/>
          <w:b/>
          <w:i/>
          <w:color w:val="222222"/>
        </w:rPr>
        <w:t>Péld</w:t>
      </w:r>
      <w:r w:rsidR="00BE3B9F" w:rsidRPr="004049F3">
        <w:rPr>
          <w:rFonts w:cs="Arial"/>
          <w:b/>
          <w:i/>
          <w:color w:val="222222"/>
        </w:rPr>
        <w:t>a</w:t>
      </w:r>
      <w:r w:rsidR="00BE3B9F" w:rsidRPr="004049F3">
        <w:rPr>
          <w:rFonts w:cs="Arial"/>
          <w:i/>
          <w:color w:val="222222"/>
        </w:rPr>
        <w:t>:</w:t>
      </w:r>
      <w:r w:rsidRPr="004049F3">
        <w:rPr>
          <w:rFonts w:cs="Arial"/>
          <w:i/>
          <w:color w:val="222222"/>
        </w:rPr>
        <w:t xml:space="preserve"> </w:t>
      </w:r>
      <w:proofErr w:type="spellStart"/>
      <w:r w:rsidRPr="004049F3">
        <w:rPr>
          <w:rFonts w:cs="Arial"/>
          <w:i/>
          <w:color w:val="222222"/>
        </w:rPr>
        <w:t>Citadel</w:t>
      </w:r>
      <w:proofErr w:type="spellEnd"/>
      <w:r w:rsidRPr="004049F3">
        <w:rPr>
          <w:rFonts w:cs="Arial"/>
          <w:i/>
          <w:color w:val="222222"/>
        </w:rPr>
        <w:t xml:space="preserve"> </w:t>
      </w:r>
      <w:proofErr w:type="spellStart"/>
      <w:r w:rsidRPr="004049F3">
        <w:rPr>
          <w:rFonts w:cs="Arial"/>
          <w:i/>
          <w:color w:val="222222"/>
        </w:rPr>
        <w:t>Securities</w:t>
      </w:r>
      <w:proofErr w:type="spellEnd"/>
      <w:r w:rsidRPr="004049F3">
        <w:rPr>
          <w:rFonts w:cs="Arial"/>
          <w:i/>
          <w:color w:val="222222"/>
        </w:rPr>
        <w:t xml:space="preserve">, </w:t>
      </w:r>
      <w:proofErr w:type="spellStart"/>
      <w:r w:rsidRPr="004049F3">
        <w:rPr>
          <w:rFonts w:cs="Arial"/>
          <w:i/>
          <w:color w:val="222222"/>
        </w:rPr>
        <w:t>Jump</w:t>
      </w:r>
      <w:proofErr w:type="spellEnd"/>
      <w:r w:rsidRPr="004049F3">
        <w:rPr>
          <w:rFonts w:cs="Arial"/>
          <w:i/>
          <w:color w:val="222222"/>
        </w:rPr>
        <w:t xml:space="preserve"> </w:t>
      </w:r>
      <w:proofErr w:type="spellStart"/>
      <w:r w:rsidRPr="004049F3">
        <w:rPr>
          <w:rFonts w:cs="Arial"/>
          <w:i/>
          <w:color w:val="222222"/>
        </w:rPr>
        <w:t>Trading</w:t>
      </w:r>
      <w:proofErr w:type="spellEnd"/>
      <w:r w:rsidRPr="004049F3">
        <w:rPr>
          <w:rFonts w:cs="Arial"/>
          <w:i/>
          <w:color w:val="222222"/>
        </w:rPr>
        <w:t xml:space="preserve">, </w:t>
      </w:r>
      <w:proofErr w:type="spellStart"/>
      <w:r w:rsidRPr="004049F3">
        <w:rPr>
          <w:rFonts w:cs="Arial"/>
          <w:i/>
          <w:color w:val="222222"/>
        </w:rPr>
        <w:t>XTX</w:t>
      </w:r>
      <w:proofErr w:type="spellEnd"/>
      <w:r w:rsidR="00BE3B9F" w:rsidRPr="00E42FDD">
        <w:rPr>
          <w:rFonts w:cs="Arial"/>
          <w:i/>
          <w:color w:val="222222"/>
        </w:rPr>
        <w:t xml:space="preserve"> </w:t>
      </w:r>
      <w:proofErr w:type="spellStart"/>
      <w:r w:rsidR="00BE3B9F" w:rsidRPr="004049F3">
        <w:rPr>
          <w:rFonts w:cs="Arial"/>
          <w:i/>
          <w:snapToGrid/>
          <w:szCs w:val="22"/>
        </w:rPr>
        <w:t>Markets</w:t>
      </w:r>
      <w:proofErr w:type="spellEnd"/>
      <w:r w:rsidR="00BE3B9F" w:rsidRPr="004049F3">
        <w:rPr>
          <w:rFonts w:cs="Arial"/>
          <w:i/>
          <w:snapToGrid/>
          <w:szCs w:val="22"/>
        </w:rPr>
        <w:t xml:space="preserve">, Global </w:t>
      </w:r>
      <w:proofErr w:type="spellStart"/>
      <w:r w:rsidR="00BE3B9F" w:rsidRPr="004049F3">
        <w:rPr>
          <w:rFonts w:cs="Arial"/>
          <w:i/>
          <w:snapToGrid/>
          <w:szCs w:val="22"/>
        </w:rPr>
        <w:t>Trading</w:t>
      </w:r>
      <w:proofErr w:type="spellEnd"/>
      <w:r w:rsidR="00BE3B9F" w:rsidRPr="004049F3">
        <w:rPr>
          <w:rFonts w:cs="Arial"/>
          <w:i/>
          <w:snapToGrid/>
          <w:szCs w:val="22"/>
        </w:rPr>
        <w:t xml:space="preserve"> Systems</w:t>
      </w:r>
    </w:p>
    <w:p w:rsidR="00C923AE" w:rsidRPr="00B05124" w:rsidRDefault="00BE3B9F" w:rsidP="00E42FDD">
      <w:pPr>
        <w:pStyle w:val="Paragraph"/>
      </w:pPr>
      <w:r>
        <w:t>A nem banki elektronikus piaci szereplők nem tartalmazzák a</w:t>
      </w:r>
      <w:r w:rsidR="00242D86">
        <w:t>zokat a</w:t>
      </w:r>
      <w:r>
        <w:t xml:space="preserve"> </w:t>
      </w:r>
      <w:proofErr w:type="spellStart"/>
      <w:r>
        <w:t>PTF-eket</w:t>
      </w:r>
      <w:proofErr w:type="spellEnd"/>
      <w:r>
        <w:t xml:space="preserve">, amelyek teljesen anonim módon működnek és nem kereskednek az ügyfeleik nevében </w:t>
      </w:r>
      <w:r w:rsidR="00CE3EDC">
        <w:t xml:space="preserve">(például </w:t>
      </w:r>
      <w:proofErr w:type="spellStart"/>
      <w:r w:rsidR="00CE3EDC">
        <w:t>pure</w:t>
      </w:r>
      <w:proofErr w:type="spellEnd"/>
      <w:r w:rsidR="00CE3EDC">
        <w:t xml:space="preserve"> </w:t>
      </w:r>
      <w:proofErr w:type="spellStart"/>
      <w:r w:rsidR="00CE3EDC">
        <w:t>HTF</w:t>
      </w:r>
      <w:proofErr w:type="spellEnd"/>
      <w:r w:rsidR="00CE3EDC">
        <w:t>-ek, amelyek késleltetett arbitrázs orientáltak).</w:t>
      </w:r>
    </w:p>
    <w:p w:rsidR="005D79BB" w:rsidRPr="00B05124" w:rsidRDefault="005D79BB" w:rsidP="00666ADE">
      <w:pPr>
        <w:pStyle w:val="Paragraph"/>
      </w:pPr>
      <w:r w:rsidRPr="00B05124">
        <w:t xml:space="preserve">Azok a jelentő </w:t>
      </w:r>
      <w:proofErr w:type="spellStart"/>
      <w:r w:rsidRPr="00B05124">
        <w:t>dealerek</w:t>
      </w:r>
      <w:proofErr w:type="spellEnd"/>
      <w:r w:rsidRPr="00B05124">
        <w:t xml:space="preserve">, amelyek </w:t>
      </w:r>
      <w:r w:rsidRPr="00B05124">
        <w:rPr>
          <w:i/>
        </w:rPr>
        <w:t xml:space="preserve">deviza </w:t>
      </w:r>
      <w:proofErr w:type="spellStart"/>
      <w:r w:rsidRPr="00B05124">
        <w:rPr>
          <w:i/>
        </w:rPr>
        <w:t>prime</w:t>
      </w:r>
      <w:proofErr w:type="spellEnd"/>
      <w:r w:rsidRPr="00B05124">
        <w:rPr>
          <w:i/>
        </w:rPr>
        <w:t xml:space="preserve"> </w:t>
      </w:r>
      <w:proofErr w:type="spellStart"/>
      <w:r w:rsidRPr="00B05124">
        <w:rPr>
          <w:i/>
        </w:rPr>
        <w:t>brokerként</w:t>
      </w:r>
      <w:proofErr w:type="spellEnd"/>
      <w:r w:rsidRPr="00B05124">
        <w:rPr>
          <w:i/>
        </w:rPr>
        <w:t xml:space="preserve"> jártak el,</w:t>
      </w:r>
      <w:r w:rsidRPr="00B05124">
        <w:t xml:space="preserve"> kétféleképpen kötelesek jelenteni az érintett tranzakciókat: </w:t>
      </w:r>
    </w:p>
    <w:p w:rsidR="00782EC0" w:rsidRPr="00B05124" w:rsidRDefault="00A12BBC" w:rsidP="004049F3">
      <w:pPr>
        <w:pStyle w:val="Paragraph"/>
        <w:ind w:left="454"/>
      </w:pPr>
      <w:r>
        <w:t xml:space="preserve">i) </w:t>
      </w:r>
      <w:r w:rsidR="00782EC0" w:rsidRPr="00B05124">
        <w:t xml:space="preserve">a szokásos módon, az ügylet két lábát külön-külön ügyletnek tekintve, és azokat instrumentum, devizapár és partner szerint besorolva; és </w:t>
      </w:r>
    </w:p>
    <w:p w:rsidR="005D79BB" w:rsidRPr="00B05124" w:rsidRDefault="00A12BBC" w:rsidP="004049F3">
      <w:pPr>
        <w:pStyle w:val="Paragraph"/>
        <w:ind w:left="454"/>
      </w:pPr>
      <w:r>
        <w:t xml:space="preserve">ii) </w:t>
      </w:r>
      <w:r w:rsidR="005D79BB" w:rsidRPr="00B05124">
        <w:t xml:space="preserve">az „ebből: </w:t>
      </w:r>
      <w:proofErr w:type="spellStart"/>
      <w:r w:rsidR="005D79BB" w:rsidRPr="00B05124">
        <w:t>prime</w:t>
      </w:r>
      <w:proofErr w:type="spellEnd"/>
      <w:r w:rsidR="005D79BB" w:rsidRPr="00B05124">
        <w:t xml:space="preserve"> </w:t>
      </w:r>
      <w:proofErr w:type="spellStart"/>
      <w:r w:rsidR="005D79BB" w:rsidRPr="00B05124">
        <w:t>brokerage</w:t>
      </w:r>
      <w:proofErr w:type="spellEnd"/>
      <w:r w:rsidR="005D79BB" w:rsidRPr="00B05124">
        <w:t xml:space="preserve"> kapcsolatban létrejött” tételben az adott instrumentumra és devizapárra jelentett teljes forgalom alatt (mindkét lábat itt kell szerepeltetni). </w:t>
      </w:r>
    </w:p>
    <w:p w:rsidR="00144402" w:rsidRDefault="00144402" w:rsidP="00666ADE">
      <w:pPr>
        <w:pStyle w:val="Paragraph"/>
      </w:pPr>
      <w:r w:rsidRPr="00B05124">
        <w:t xml:space="preserve">Azokat a tranzakciókat, amelyek </w:t>
      </w:r>
      <w:r w:rsidRPr="00B05124">
        <w:rPr>
          <w:i/>
        </w:rPr>
        <w:t xml:space="preserve">nem </w:t>
      </w:r>
      <w:proofErr w:type="spellStart"/>
      <w:r w:rsidRPr="00B05124">
        <w:rPr>
          <w:i/>
        </w:rPr>
        <w:t>prime</w:t>
      </w:r>
      <w:proofErr w:type="spellEnd"/>
      <w:r w:rsidRPr="00B05124">
        <w:rPr>
          <w:i/>
        </w:rPr>
        <w:t xml:space="preserve"> </w:t>
      </w:r>
      <w:proofErr w:type="spellStart"/>
      <w:r w:rsidRPr="00B05124">
        <w:rPr>
          <w:i/>
        </w:rPr>
        <w:t>brokerage</w:t>
      </w:r>
      <w:proofErr w:type="spellEnd"/>
      <w:r w:rsidRPr="00B05124">
        <w:rPr>
          <w:i/>
        </w:rPr>
        <w:t xml:space="preserve"> </w:t>
      </w:r>
      <w:r w:rsidRPr="00B05124">
        <w:t xml:space="preserve">relációban keletkeztek, csak egyszer kell jelenteni, a szokásos módon. Ez azt is jelenti, hogy azok a jelentő </w:t>
      </w:r>
      <w:proofErr w:type="spellStart"/>
      <w:r w:rsidRPr="00B05124">
        <w:t>dealerek</w:t>
      </w:r>
      <w:proofErr w:type="spellEnd"/>
      <w:r w:rsidRPr="00B05124">
        <w:t xml:space="preserve">, amelyek nem jártak el </w:t>
      </w:r>
      <w:proofErr w:type="spellStart"/>
      <w:r w:rsidRPr="00B05124">
        <w:t>FX</w:t>
      </w:r>
      <w:proofErr w:type="spellEnd"/>
      <w:r w:rsidRPr="00B05124">
        <w:t xml:space="preserve"> </w:t>
      </w:r>
      <w:proofErr w:type="spellStart"/>
      <w:r w:rsidRPr="00B05124">
        <w:t>prime</w:t>
      </w:r>
      <w:proofErr w:type="spellEnd"/>
      <w:r w:rsidRPr="00B05124">
        <w:t xml:space="preserve"> </w:t>
      </w:r>
      <w:proofErr w:type="spellStart"/>
      <w:r w:rsidRPr="00B05124">
        <w:t>brokerként</w:t>
      </w:r>
      <w:proofErr w:type="spellEnd"/>
      <w:r w:rsidRPr="00B05124">
        <w:t>, elég, ha a szokásos módon sorolják be az ügyleteiket, és nem töltik ki az „ebből: …” sort.</w:t>
      </w:r>
    </w:p>
    <w:p w:rsidR="00FE1FD3" w:rsidRDefault="006F7B4B" w:rsidP="00DB203A">
      <w:pPr>
        <w:autoSpaceDE w:val="0"/>
        <w:autoSpaceDN w:val="0"/>
        <w:adjustRightInd w:val="0"/>
        <w:jc w:val="both"/>
        <w:rPr>
          <w:rFonts w:cs="Arial"/>
          <w:i/>
          <w:iCs/>
          <w:snapToGrid/>
          <w:lang w:val="hu-HU"/>
        </w:rPr>
      </w:pPr>
      <w:r w:rsidRPr="004049F3">
        <w:rPr>
          <w:rFonts w:cs="Arial"/>
          <w:b/>
          <w:i/>
          <w:iCs/>
          <w:snapToGrid/>
          <w:lang w:val="hu-HU"/>
        </w:rPr>
        <w:t>Példa</w:t>
      </w:r>
      <w:r w:rsidRPr="004049F3">
        <w:rPr>
          <w:rFonts w:cs="Arial"/>
          <w:i/>
          <w:iCs/>
          <w:snapToGrid/>
          <w:lang w:val="hu-HU"/>
        </w:rPr>
        <w:t xml:space="preserve">: </w:t>
      </w:r>
      <w:r w:rsidR="003407E0" w:rsidRPr="004049F3">
        <w:rPr>
          <w:rFonts w:cs="Arial"/>
          <w:i/>
          <w:iCs/>
          <w:snapToGrid/>
          <w:lang w:val="hu-HU"/>
        </w:rPr>
        <w:t>Egy fedezeti alap 100 millió dollár értékű ügyle</w:t>
      </w:r>
      <w:r w:rsidR="004D2B83" w:rsidRPr="004049F3">
        <w:rPr>
          <w:rFonts w:cs="Arial"/>
          <w:i/>
          <w:iCs/>
          <w:snapToGrid/>
          <w:lang w:val="hu-HU"/>
        </w:rPr>
        <w:t xml:space="preserve">tet köt egy jelentő </w:t>
      </w:r>
      <w:proofErr w:type="spellStart"/>
      <w:r w:rsidR="004D2B83" w:rsidRPr="004049F3">
        <w:rPr>
          <w:rFonts w:cs="Arial"/>
          <w:i/>
          <w:iCs/>
          <w:snapToGrid/>
          <w:lang w:val="hu-HU"/>
        </w:rPr>
        <w:t>dealer-rel</w:t>
      </w:r>
      <w:proofErr w:type="spellEnd"/>
      <w:r w:rsidR="004D2B83" w:rsidRPr="004049F3">
        <w:rPr>
          <w:rFonts w:cs="Arial"/>
          <w:i/>
          <w:iCs/>
          <w:snapToGrid/>
          <w:lang w:val="hu-HU"/>
        </w:rPr>
        <w:t xml:space="preserve"> olyan </w:t>
      </w:r>
      <w:proofErr w:type="spellStart"/>
      <w:r w:rsidR="004D2B83" w:rsidRPr="004049F3">
        <w:rPr>
          <w:rFonts w:cs="Arial"/>
          <w:i/>
          <w:iCs/>
          <w:snapToGrid/>
          <w:lang w:val="hu-HU"/>
        </w:rPr>
        <w:t>prime</w:t>
      </w:r>
      <w:proofErr w:type="spellEnd"/>
      <w:r w:rsidR="004D2B83" w:rsidRPr="004049F3">
        <w:rPr>
          <w:rFonts w:cs="Arial"/>
          <w:i/>
          <w:iCs/>
          <w:snapToGrid/>
          <w:lang w:val="hu-HU"/>
        </w:rPr>
        <w:t xml:space="preserve"> </w:t>
      </w:r>
      <w:proofErr w:type="spellStart"/>
      <w:r w:rsidR="004D2B83" w:rsidRPr="004049F3">
        <w:rPr>
          <w:rFonts w:cs="Arial"/>
          <w:i/>
          <w:iCs/>
          <w:snapToGrid/>
          <w:lang w:val="hu-HU"/>
        </w:rPr>
        <w:t>broker</w:t>
      </w:r>
      <w:proofErr w:type="spellEnd"/>
      <w:r w:rsidR="004D2B83" w:rsidRPr="004049F3">
        <w:rPr>
          <w:rFonts w:cs="Arial"/>
          <w:i/>
          <w:iCs/>
          <w:snapToGrid/>
          <w:lang w:val="hu-HU"/>
        </w:rPr>
        <w:t xml:space="preserve">-en keresztül, aki szintén jelentő </w:t>
      </w:r>
      <w:proofErr w:type="spellStart"/>
      <w:r w:rsidR="004D2B83" w:rsidRPr="004049F3">
        <w:rPr>
          <w:rFonts w:cs="Arial"/>
          <w:i/>
          <w:iCs/>
          <w:snapToGrid/>
          <w:lang w:val="hu-HU"/>
        </w:rPr>
        <w:t>dealer</w:t>
      </w:r>
      <w:proofErr w:type="spellEnd"/>
      <w:r w:rsidR="004D2B83" w:rsidRPr="004049F3">
        <w:rPr>
          <w:rFonts w:cs="Arial"/>
          <w:i/>
          <w:iCs/>
          <w:snapToGrid/>
          <w:lang w:val="hu-HU"/>
        </w:rPr>
        <w:t xml:space="preserve">. </w:t>
      </w:r>
    </w:p>
    <w:p w:rsidR="00FE1FD3" w:rsidRPr="004049F3" w:rsidRDefault="00FE1FD3" w:rsidP="004049F3">
      <w:pPr>
        <w:autoSpaceDE w:val="0"/>
        <w:autoSpaceDN w:val="0"/>
        <w:adjustRightInd w:val="0"/>
        <w:spacing w:line="276" w:lineRule="auto"/>
        <w:jc w:val="both"/>
        <w:rPr>
          <w:rFonts w:cs="Arial"/>
          <w:iCs/>
          <w:snapToGrid/>
          <w:lang w:val="hu-HU"/>
        </w:rPr>
      </w:pPr>
      <w:r w:rsidRPr="004049F3">
        <w:rPr>
          <w:rFonts w:cs="Arial"/>
          <w:iCs/>
          <w:snapToGrid/>
          <w:lang w:val="hu-HU"/>
        </w:rPr>
        <w:t xml:space="preserve">- </w:t>
      </w:r>
      <w:r w:rsidR="004D2B83" w:rsidRPr="004049F3">
        <w:rPr>
          <w:rFonts w:cs="Arial"/>
          <w:iCs/>
          <w:snapToGrid/>
          <w:lang w:val="hu-HU"/>
        </w:rPr>
        <w:t xml:space="preserve">Az első lábon, ahol </w:t>
      </w:r>
      <w:r w:rsidR="00A20DB6" w:rsidRPr="004049F3">
        <w:rPr>
          <w:rFonts w:cs="Arial"/>
          <w:iCs/>
          <w:snapToGrid/>
          <w:lang w:val="hu-HU"/>
        </w:rPr>
        <w:t xml:space="preserve">mind a </w:t>
      </w:r>
      <w:proofErr w:type="spellStart"/>
      <w:r w:rsidR="00A20DB6" w:rsidRPr="004049F3">
        <w:rPr>
          <w:rFonts w:cs="Arial"/>
          <w:iCs/>
          <w:snapToGrid/>
          <w:lang w:val="hu-HU"/>
        </w:rPr>
        <w:t>prime</w:t>
      </w:r>
      <w:proofErr w:type="spellEnd"/>
      <w:r w:rsidR="00A20DB6" w:rsidRPr="004049F3">
        <w:rPr>
          <w:rFonts w:cs="Arial"/>
          <w:iCs/>
          <w:snapToGrid/>
          <w:lang w:val="hu-HU"/>
        </w:rPr>
        <w:t xml:space="preserve"> </w:t>
      </w:r>
      <w:proofErr w:type="spellStart"/>
      <w:r w:rsidR="00A20DB6" w:rsidRPr="004049F3">
        <w:rPr>
          <w:rFonts w:cs="Arial"/>
          <w:iCs/>
          <w:snapToGrid/>
          <w:lang w:val="hu-HU"/>
        </w:rPr>
        <w:t>broker</w:t>
      </w:r>
      <w:proofErr w:type="spellEnd"/>
      <w:r w:rsidR="00A20DB6" w:rsidRPr="004049F3">
        <w:rPr>
          <w:rFonts w:cs="Arial"/>
          <w:iCs/>
          <w:snapToGrid/>
          <w:lang w:val="hu-HU"/>
        </w:rPr>
        <w:t xml:space="preserve">, mind a harmadik fél bank </w:t>
      </w:r>
      <w:r w:rsidR="004D2B83" w:rsidRPr="004049F3">
        <w:rPr>
          <w:rFonts w:cs="Arial"/>
          <w:iCs/>
          <w:snapToGrid/>
          <w:lang w:val="hu-HU"/>
        </w:rPr>
        <w:t xml:space="preserve">jelentő </w:t>
      </w:r>
      <w:proofErr w:type="spellStart"/>
      <w:r w:rsidR="004D2B83" w:rsidRPr="004049F3">
        <w:rPr>
          <w:rFonts w:cs="Arial"/>
          <w:iCs/>
          <w:snapToGrid/>
          <w:lang w:val="hu-HU"/>
        </w:rPr>
        <w:t>dealer</w:t>
      </w:r>
      <w:proofErr w:type="spellEnd"/>
      <w:r w:rsidR="004D2B83" w:rsidRPr="004049F3">
        <w:rPr>
          <w:rFonts w:cs="Arial"/>
          <w:iCs/>
          <w:snapToGrid/>
          <w:lang w:val="hu-HU"/>
        </w:rPr>
        <w:t xml:space="preserve">, </w:t>
      </w:r>
      <w:r w:rsidR="00C163C3" w:rsidRPr="004049F3">
        <w:rPr>
          <w:rFonts w:cs="Arial"/>
          <w:iCs/>
          <w:snapToGrid/>
          <w:lang w:val="hu-HU"/>
        </w:rPr>
        <w:t xml:space="preserve">a 100 millió dollár értékű tranzakciót mind a két félnek szerepeltetnie kell a jelentő </w:t>
      </w:r>
      <w:proofErr w:type="spellStart"/>
      <w:r w:rsidR="00C163C3" w:rsidRPr="004049F3">
        <w:rPr>
          <w:rFonts w:cs="Arial"/>
          <w:iCs/>
          <w:snapToGrid/>
          <w:lang w:val="hu-HU"/>
        </w:rPr>
        <w:t>dealerek</w:t>
      </w:r>
      <w:proofErr w:type="spellEnd"/>
      <w:r w:rsidR="00C163C3" w:rsidRPr="004049F3">
        <w:rPr>
          <w:rFonts w:cs="Arial"/>
          <w:iCs/>
          <w:snapToGrid/>
          <w:lang w:val="hu-HU"/>
        </w:rPr>
        <w:t xml:space="preserve">-kel megkötött ügyletek között. </w:t>
      </w:r>
    </w:p>
    <w:p w:rsidR="006F7B4B" w:rsidRPr="004049F3" w:rsidRDefault="00FE1FD3" w:rsidP="004049F3">
      <w:pPr>
        <w:autoSpaceDE w:val="0"/>
        <w:autoSpaceDN w:val="0"/>
        <w:adjustRightInd w:val="0"/>
        <w:spacing w:line="276" w:lineRule="auto"/>
        <w:jc w:val="both"/>
        <w:rPr>
          <w:rFonts w:cs="Arial"/>
          <w:iCs/>
          <w:snapToGrid/>
          <w:lang w:val="hu-HU"/>
        </w:rPr>
      </w:pPr>
      <w:r w:rsidRPr="004049F3">
        <w:rPr>
          <w:rFonts w:cs="Arial"/>
          <w:iCs/>
          <w:snapToGrid/>
          <w:lang w:val="hu-HU"/>
        </w:rPr>
        <w:t xml:space="preserve">- </w:t>
      </w:r>
      <w:r w:rsidR="00C163C3" w:rsidRPr="004049F3">
        <w:rPr>
          <w:rFonts w:cs="Arial"/>
          <w:iCs/>
          <w:snapToGrid/>
          <w:lang w:val="hu-HU"/>
        </w:rPr>
        <w:t xml:space="preserve">A második lábon, ahol a fedezeti alap nem jelentő </w:t>
      </w:r>
      <w:proofErr w:type="spellStart"/>
      <w:r w:rsidR="00C163C3" w:rsidRPr="004049F3">
        <w:rPr>
          <w:rFonts w:cs="Arial"/>
          <w:iCs/>
          <w:snapToGrid/>
          <w:lang w:val="hu-HU"/>
        </w:rPr>
        <w:t>dealer</w:t>
      </w:r>
      <w:proofErr w:type="spellEnd"/>
      <w:r w:rsidR="00C163C3" w:rsidRPr="004049F3">
        <w:rPr>
          <w:rFonts w:cs="Arial"/>
          <w:iCs/>
          <w:snapToGrid/>
          <w:lang w:val="hu-HU"/>
        </w:rPr>
        <w:t xml:space="preserve">, a </w:t>
      </w:r>
      <w:proofErr w:type="spellStart"/>
      <w:r w:rsidR="00C163C3" w:rsidRPr="004049F3">
        <w:rPr>
          <w:rFonts w:cs="Arial"/>
          <w:iCs/>
          <w:snapToGrid/>
          <w:lang w:val="hu-HU"/>
        </w:rPr>
        <w:t>prime</w:t>
      </w:r>
      <w:proofErr w:type="spellEnd"/>
      <w:r w:rsidR="00C163C3" w:rsidRPr="004049F3">
        <w:rPr>
          <w:rFonts w:cs="Arial"/>
          <w:iCs/>
          <w:snapToGrid/>
          <w:lang w:val="hu-HU"/>
        </w:rPr>
        <w:t xml:space="preserve"> </w:t>
      </w:r>
      <w:proofErr w:type="spellStart"/>
      <w:r w:rsidR="00C163C3" w:rsidRPr="004049F3">
        <w:rPr>
          <w:rFonts w:cs="Arial"/>
          <w:iCs/>
          <w:snapToGrid/>
          <w:lang w:val="hu-HU"/>
        </w:rPr>
        <w:t>broker-nek</w:t>
      </w:r>
      <w:proofErr w:type="spellEnd"/>
      <w:r w:rsidR="00C163C3" w:rsidRPr="004049F3">
        <w:rPr>
          <w:rFonts w:cs="Arial"/>
          <w:iCs/>
          <w:snapToGrid/>
          <w:lang w:val="hu-HU"/>
        </w:rPr>
        <w:t xml:space="preserve"> szükséges 100 millió dollár ér</w:t>
      </w:r>
      <w:r w:rsidR="00A20DB6" w:rsidRPr="004049F3">
        <w:rPr>
          <w:rFonts w:cs="Arial"/>
          <w:iCs/>
          <w:snapToGrid/>
          <w:lang w:val="hu-HU"/>
        </w:rPr>
        <w:t xml:space="preserve">tékű tranzakciót lejelenteni </w:t>
      </w:r>
      <w:r w:rsidR="00C163C3" w:rsidRPr="004049F3">
        <w:rPr>
          <w:rFonts w:cs="Arial"/>
          <w:iCs/>
          <w:snapToGrid/>
          <w:lang w:val="hu-HU"/>
        </w:rPr>
        <w:t>„egyéb pénzügyi intézményekkel” megkötött ügyletként.</w:t>
      </w:r>
      <w:r w:rsidR="00FE53BB" w:rsidRPr="004049F3">
        <w:rPr>
          <w:rFonts w:cs="Arial"/>
          <w:iCs/>
          <w:snapToGrid/>
          <w:lang w:val="hu-HU"/>
        </w:rPr>
        <w:t xml:space="preserve"> Emellett a </w:t>
      </w:r>
      <w:proofErr w:type="spellStart"/>
      <w:r w:rsidR="00865CCE" w:rsidRPr="004049F3">
        <w:rPr>
          <w:rFonts w:cs="Arial"/>
          <w:iCs/>
          <w:snapToGrid/>
          <w:lang w:val="hu-HU"/>
        </w:rPr>
        <w:t>prime</w:t>
      </w:r>
      <w:proofErr w:type="spellEnd"/>
      <w:r w:rsidR="00865CCE" w:rsidRPr="004049F3">
        <w:rPr>
          <w:rFonts w:cs="Arial"/>
          <w:iCs/>
          <w:snapToGrid/>
          <w:lang w:val="hu-HU"/>
        </w:rPr>
        <w:t xml:space="preserve"> </w:t>
      </w:r>
      <w:proofErr w:type="spellStart"/>
      <w:r w:rsidR="00865CCE" w:rsidRPr="004049F3">
        <w:rPr>
          <w:rFonts w:cs="Arial"/>
          <w:iCs/>
          <w:snapToGrid/>
          <w:lang w:val="hu-HU"/>
        </w:rPr>
        <w:t>brokernek</w:t>
      </w:r>
      <w:proofErr w:type="spellEnd"/>
      <w:r w:rsidR="00865CCE" w:rsidRPr="004049F3">
        <w:rPr>
          <w:rFonts w:cs="Arial"/>
          <w:iCs/>
          <w:snapToGrid/>
          <w:lang w:val="hu-HU"/>
        </w:rPr>
        <w:t xml:space="preserve"> </w:t>
      </w:r>
      <w:r w:rsidR="00754BA0" w:rsidRPr="004049F3">
        <w:rPr>
          <w:rFonts w:cs="Arial"/>
          <w:iCs/>
          <w:snapToGrid/>
          <w:lang w:val="hu-HU"/>
        </w:rPr>
        <w:t>a két tranzakciót</w:t>
      </w:r>
      <w:r w:rsidR="00CE3EDC" w:rsidRPr="004049F3">
        <w:rPr>
          <w:rFonts w:cs="Arial"/>
          <w:iCs/>
          <w:snapToGrid/>
          <w:lang w:val="hu-HU"/>
        </w:rPr>
        <w:t>,</w:t>
      </w:r>
      <w:r w:rsidR="00754BA0" w:rsidRPr="004049F3">
        <w:rPr>
          <w:rFonts w:cs="Arial"/>
          <w:iCs/>
          <w:snapToGrid/>
          <w:lang w:val="hu-HU"/>
        </w:rPr>
        <w:t xml:space="preserve"> </w:t>
      </w:r>
      <w:r w:rsidR="00A20DB6" w:rsidRPr="004049F3">
        <w:rPr>
          <w:rFonts w:cs="Arial"/>
          <w:iCs/>
          <w:snapToGrid/>
          <w:lang w:val="hu-HU"/>
        </w:rPr>
        <w:t>a</w:t>
      </w:r>
      <w:r w:rsidR="00754BA0" w:rsidRPr="004049F3">
        <w:rPr>
          <w:rFonts w:cs="Arial"/>
          <w:iCs/>
          <w:snapToGrid/>
          <w:lang w:val="hu-HU"/>
        </w:rPr>
        <w:t xml:space="preserve">vagy a 200 millió dollárt jelentenie kell az „ebből </w:t>
      </w:r>
      <w:proofErr w:type="spellStart"/>
      <w:r w:rsidR="00754BA0" w:rsidRPr="004049F3">
        <w:rPr>
          <w:rFonts w:cs="Arial"/>
          <w:iCs/>
          <w:snapToGrid/>
          <w:lang w:val="hu-HU"/>
        </w:rPr>
        <w:t>prime</w:t>
      </w:r>
      <w:proofErr w:type="spellEnd"/>
      <w:r w:rsidR="00754BA0" w:rsidRPr="004049F3">
        <w:rPr>
          <w:rFonts w:cs="Arial"/>
          <w:iCs/>
          <w:snapToGrid/>
          <w:lang w:val="hu-HU"/>
        </w:rPr>
        <w:t xml:space="preserve"> </w:t>
      </w:r>
      <w:proofErr w:type="spellStart"/>
      <w:r w:rsidR="00754BA0" w:rsidRPr="004049F3">
        <w:rPr>
          <w:rFonts w:cs="Arial"/>
          <w:iCs/>
          <w:snapToGrid/>
          <w:lang w:val="hu-HU"/>
        </w:rPr>
        <w:t>brokerage</w:t>
      </w:r>
      <w:proofErr w:type="spellEnd"/>
      <w:r w:rsidR="00754BA0" w:rsidRPr="004049F3">
        <w:rPr>
          <w:rFonts w:cs="Arial"/>
          <w:iCs/>
          <w:snapToGrid/>
          <w:lang w:val="hu-HU"/>
        </w:rPr>
        <w:t xml:space="preserve"> keretében kötött” tétel alatt.</w:t>
      </w:r>
    </w:p>
    <w:p w:rsidR="008C45EE" w:rsidRPr="00B05124" w:rsidRDefault="008C45EE" w:rsidP="008C45EE">
      <w:pPr>
        <w:pStyle w:val="IndentedHeading1"/>
        <w:spacing w:before="360" w:after="120"/>
        <w:rPr>
          <w:rFonts w:cs="Arial"/>
          <w:b/>
          <w:sz w:val="26"/>
          <w:szCs w:val="26"/>
          <w:lang w:val="hu-HU"/>
        </w:rPr>
      </w:pPr>
      <w:bookmarkStart w:id="40" w:name="_Toc533082334"/>
      <w:r w:rsidRPr="00B05124">
        <w:rPr>
          <w:rFonts w:cs="Arial"/>
          <w:b/>
          <w:sz w:val="26"/>
          <w:szCs w:val="26"/>
          <w:lang w:val="hu-HU"/>
        </w:rPr>
        <w:t>I.</w:t>
      </w:r>
      <w:r w:rsidRPr="00B05124">
        <w:rPr>
          <w:rFonts w:cs="Arial"/>
          <w:b/>
          <w:sz w:val="26"/>
          <w:szCs w:val="26"/>
          <w:lang w:val="hu-HU"/>
        </w:rPr>
        <w:tab/>
      </w:r>
      <w:proofErr w:type="spellStart"/>
      <w:r w:rsidR="00DB4CD3">
        <w:rPr>
          <w:rFonts w:cs="Arial"/>
          <w:b/>
          <w:sz w:val="26"/>
          <w:szCs w:val="26"/>
        </w:rPr>
        <w:t>Kisbefektetői</w:t>
      </w:r>
      <w:proofErr w:type="spellEnd"/>
      <w:r w:rsidR="00C602D8" w:rsidRPr="00C602D8">
        <w:rPr>
          <w:rFonts w:cs="Arial"/>
          <w:b/>
          <w:sz w:val="26"/>
          <w:szCs w:val="26"/>
        </w:rPr>
        <w:t xml:space="preserve"> </w:t>
      </w:r>
      <w:proofErr w:type="spellStart"/>
      <w:r w:rsidR="00DB4CD3">
        <w:rPr>
          <w:rFonts w:cs="Arial"/>
          <w:b/>
          <w:sz w:val="26"/>
          <w:szCs w:val="26"/>
        </w:rPr>
        <w:t>tranzakciók</w:t>
      </w:r>
      <w:bookmarkEnd w:id="40"/>
      <w:proofErr w:type="spellEnd"/>
    </w:p>
    <w:p w:rsidR="00F32066" w:rsidRDefault="00063215" w:rsidP="00666ADE">
      <w:pPr>
        <w:pStyle w:val="Paragraph"/>
      </w:pPr>
      <w:r w:rsidRPr="00B05124">
        <w:t xml:space="preserve">Az elmúlt években növekedett a </w:t>
      </w:r>
      <w:r w:rsidR="003E6CC3">
        <w:t>kis</w:t>
      </w:r>
      <w:r w:rsidRPr="00B05124">
        <w:t xml:space="preserve">befektetők részvétele a devizapiacokon, amit az </w:t>
      </w:r>
      <w:r w:rsidR="003E6CC3">
        <w:t>i</w:t>
      </w:r>
      <w:r w:rsidR="003E6CC3" w:rsidRPr="00B05124">
        <w:t>nternet</w:t>
      </w:r>
      <w:r w:rsidRPr="00B05124">
        <w:t xml:space="preserve">-alapú kereskedési platformok térnyerése is megkönnyített. A </w:t>
      </w:r>
      <w:r w:rsidR="003E6CC3">
        <w:t xml:space="preserve">kisbefektetők </w:t>
      </w:r>
      <w:r w:rsidRPr="00B05124">
        <w:t>olyan magánszemélyeket jelent, akik a saját nevükben spekulatív, tőkeáttét</w:t>
      </w:r>
      <w:r w:rsidR="005238F6">
        <w:t>el</w:t>
      </w:r>
      <w:r w:rsidRPr="00B05124">
        <w:t xml:space="preserve">es, készpénzben elszámolt deviza tranzakciókat hajtanak végre. </w:t>
      </w:r>
    </w:p>
    <w:p w:rsidR="007044A2" w:rsidRDefault="00F4706E" w:rsidP="00666ADE">
      <w:pPr>
        <w:pStyle w:val="Paragraph"/>
        <w:rPr>
          <w:rFonts w:cs="Arial"/>
          <w:color w:val="222222"/>
        </w:rPr>
      </w:pPr>
      <w:r>
        <w:rPr>
          <w:rFonts w:cs="Arial"/>
          <w:color w:val="222222"/>
        </w:rPr>
        <w:t xml:space="preserve">A jelentő </w:t>
      </w:r>
      <w:proofErr w:type="spellStart"/>
      <w:r>
        <w:rPr>
          <w:rFonts w:cs="Arial"/>
          <w:color w:val="222222"/>
        </w:rPr>
        <w:t>dealerek</w:t>
      </w:r>
      <w:proofErr w:type="spellEnd"/>
      <w:r>
        <w:rPr>
          <w:rFonts w:cs="Arial"/>
          <w:color w:val="222222"/>
        </w:rPr>
        <w:t xml:space="preserve"> szempontjából az elektronikus</w:t>
      </w:r>
      <w:r w:rsidR="007044A2">
        <w:rPr>
          <w:rFonts w:cs="Arial"/>
          <w:color w:val="222222"/>
        </w:rPr>
        <w:t xml:space="preserve"> ügyfélplatformon</w:t>
      </w:r>
      <w:r>
        <w:rPr>
          <w:rFonts w:cs="Arial"/>
          <w:color w:val="222222"/>
        </w:rPr>
        <w:t xml:space="preserve"> végrehajtott tranzakc</w:t>
      </w:r>
      <w:r w:rsidR="007044A2">
        <w:rPr>
          <w:rFonts w:cs="Arial"/>
          <w:color w:val="222222"/>
        </w:rPr>
        <w:t xml:space="preserve">iók </w:t>
      </w:r>
      <w:r>
        <w:rPr>
          <w:rFonts w:cs="Arial"/>
          <w:color w:val="222222"/>
        </w:rPr>
        <w:t>két típus</w:t>
      </w:r>
      <w:r w:rsidR="007044A2">
        <w:rPr>
          <w:rFonts w:cs="Arial"/>
          <w:color w:val="222222"/>
        </w:rPr>
        <w:t>a</w:t>
      </w:r>
      <w:r>
        <w:rPr>
          <w:rFonts w:cs="Arial"/>
          <w:color w:val="222222"/>
        </w:rPr>
        <w:t>:</w:t>
      </w:r>
    </w:p>
    <w:p w:rsidR="00F4706E" w:rsidRDefault="007044A2" w:rsidP="004049F3">
      <w:pPr>
        <w:pStyle w:val="Paragraph"/>
        <w:numPr>
          <w:ilvl w:val="0"/>
          <w:numId w:val="16"/>
        </w:numPr>
        <w:rPr>
          <w:rFonts w:cs="Arial"/>
          <w:color w:val="222222"/>
        </w:rPr>
      </w:pPr>
      <w:proofErr w:type="spellStart"/>
      <w:r w:rsidRPr="004049F3">
        <w:rPr>
          <w:rFonts w:cs="Arial"/>
          <w:b/>
          <w:color w:val="222222"/>
        </w:rPr>
        <w:t>Direct</w:t>
      </w:r>
      <w:proofErr w:type="spellEnd"/>
      <w:r>
        <w:rPr>
          <w:rFonts w:cs="Arial"/>
          <w:color w:val="222222"/>
        </w:rPr>
        <w:t xml:space="preserve">: </w:t>
      </w:r>
      <w:r w:rsidRPr="00E42FDD">
        <w:rPr>
          <w:rFonts w:cs="Arial"/>
          <w:color w:val="222222"/>
        </w:rPr>
        <w:t>Közvet</w:t>
      </w:r>
      <w:r w:rsidRPr="00190E62">
        <w:rPr>
          <w:rFonts w:cs="Arial"/>
          <w:color w:val="222222"/>
        </w:rPr>
        <w:t>len</w:t>
      </w:r>
      <w:r>
        <w:rPr>
          <w:rFonts w:cs="Arial"/>
          <w:color w:val="222222"/>
        </w:rPr>
        <w:t>ül,</w:t>
      </w:r>
      <w:r w:rsidR="00F4706E">
        <w:rPr>
          <w:rFonts w:cs="Arial"/>
          <w:color w:val="222222"/>
        </w:rPr>
        <w:t xml:space="preserve"> magánszemélyekkel ("nem </w:t>
      </w:r>
      <w:proofErr w:type="spellStart"/>
      <w:r>
        <w:rPr>
          <w:rFonts w:cs="Arial"/>
          <w:color w:val="222222"/>
        </w:rPr>
        <w:t>wholesale</w:t>
      </w:r>
      <w:proofErr w:type="spellEnd"/>
      <w:r w:rsidR="00F4706E">
        <w:rPr>
          <w:rFonts w:cs="Arial"/>
          <w:color w:val="222222"/>
        </w:rPr>
        <w:t xml:space="preserve">" befektetők) </w:t>
      </w:r>
      <w:r>
        <w:rPr>
          <w:rFonts w:cs="Arial"/>
          <w:color w:val="222222"/>
        </w:rPr>
        <w:t>kötött</w:t>
      </w:r>
      <w:r w:rsidR="00F4706E">
        <w:rPr>
          <w:rFonts w:cs="Arial"/>
          <w:color w:val="222222"/>
        </w:rPr>
        <w:t xml:space="preserve"> online vagy</w:t>
      </w:r>
      <w:r>
        <w:rPr>
          <w:rFonts w:cs="Arial"/>
          <w:color w:val="222222"/>
        </w:rPr>
        <w:t xml:space="preserve"> egyéb elektronikus </w:t>
      </w:r>
      <w:r w:rsidR="00F4706E">
        <w:rPr>
          <w:rFonts w:cs="Arial"/>
          <w:color w:val="222222"/>
        </w:rPr>
        <w:t>(p</w:t>
      </w:r>
      <w:r>
        <w:rPr>
          <w:rFonts w:cs="Arial"/>
          <w:color w:val="222222"/>
        </w:rPr>
        <w:t>éldául</w:t>
      </w:r>
      <w:r w:rsidR="00F4706E">
        <w:rPr>
          <w:rFonts w:cs="Arial"/>
          <w:color w:val="222222"/>
        </w:rPr>
        <w:t xml:space="preserve"> telefon vagy e-mail) </w:t>
      </w:r>
      <w:r>
        <w:rPr>
          <w:rFonts w:cs="Arial"/>
          <w:color w:val="222222"/>
        </w:rPr>
        <w:t>megbízások</w:t>
      </w:r>
      <w:r>
        <w:rPr>
          <w:rStyle w:val="FootnoteReference"/>
          <w:color w:val="222222"/>
        </w:rPr>
        <w:footnoteReference w:id="10"/>
      </w:r>
      <w:r>
        <w:rPr>
          <w:rFonts w:cs="Arial"/>
          <w:color w:val="222222"/>
        </w:rPr>
        <w:t>.</w:t>
      </w:r>
      <w:r w:rsidR="00F4706E">
        <w:rPr>
          <w:rFonts w:cs="Arial"/>
          <w:color w:val="222222"/>
        </w:rPr>
        <w:t xml:space="preserve"> Amikor magánbefektetők elektronikus</w:t>
      </w:r>
      <w:r w:rsidR="001B3F36">
        <w:rPr>
          <w:rFonts w:cs="Arial"/>
          <w:color w:val="222222"/>
        </w:rPr>
        <w:t xml:space="preserve"> úton</w:t>
      </w:r>
      <w:r w:rsidR="00F4706E">
        <w:rPr>
          <w:rFonts w:cs="Arial"/>
          <w:color w:val="222222"/>
        </w:rPr>
        <w:t xml:space="preserve"> </w:t>
      </w:r>
      <w:r w:rsidR="001B3F36">
        <w:rPr>
          <w:rFonts w:cs="Arial"/>
          <w:color w:val="222222"/>
        </w:rPr>
        <w:t xml:space="preserve">kereskednek </w:t>
      </w:r>
      <w:r w:rsidR="00CB62B8">
        <w:rPr>
          <w:rFonts w:cs="Arial"/>
          <w:color w:val="222222"/>
        </w:rPr>
        <w:t>a jelent</w:t>
      </w:r>
      <w:r w:rsidR="00FE1FD3">
        <w:rPr>
          <w:rFonts w:cs="Arial"/>
          <w:color w:val="222222"/>
        </w:rPr>
        <w:t xml:space="preserve">ő </w:t>
      </w:r>
      <w:proofErr w:type="spellStart"/>
      <w:r w:rsidR="00FE1FD3">
        <w:rPr>
          <w:rFonts w:cs="Arial"/>
          <w:color w:val="222222"/>
        </w:rPr>
        <w:t>dealer</w:t>
      </w:r>
      <w:proofErr w:type="spellEnd"/>
      <w:r w:rsidR="00FE1FD3">
        <w:rPr>
          <w:rFonts w:cs="Arial"/>
          <w:color w:val="222222"/>
        </w:rPr>
        <w:t xml:space="preserve"> </w:t>
      </w:r>
      <w:r w:rsidR="00CB62B8">
        <w:rPr>
          <w:rFonts w:cs="Arial"/>
          <w:color w:val="222222"/>
        </w:rPr>
        <w:t xml:space="preserve">által működtetett </w:t>
      </w:r>
      <w:r w:rsidR="001B3F36">
        <w:rPr>
          <w:rFonts w:cs="Arial"/>
          <w:color w:val="222222"/>
        </w:rPr>
        <w:t>margin közvetítési platformoko</w:t>
      </w:r>
      <w:r w:rsidR="00CB62B8">
        <w:rPr>
          <w:rFonts w:cs="Arial"/>
          <w:color w:val="222222"/>
        </w:rPr>
        <w:t>n</w:t>
      </w:r>
      <w:r w:rsidR="001B3F36">
        <w:rPr>
          <w:rFonts w:cs="Arial"/>
          <w:color w:val="222222"/>
        </w:rPr>
        <w:t>,</w:t>
      </w:r>
      <w:r w:rsidR="00CB62B8">
        <w:rPr>
          <w:rFonts w:cs="Arial"/>
          <w:color w:val="222222"/>
        </w:rPr>
        <w:t xml:space="preserve"> akkor</w:t>
      </w:r>
      <w:r w:rsidR="001B3F36">
        <w:rPr>
          <w:rFonts w:cs="Arial"/>
          <w:color w:val="222222"/>
        </w:rPr>
        <w:t xml:space="preserve"> a direkt partner</w:t>
      </w:r>
      <w:r w:rsidR="00FE1FD3">
        <w:rPr>
          <w:rFonts w:cs="Arial"/>
          <w:color w:val="222222"/>
        </w:rPr>
        <w:t xml:space="preserve"> </w:t>
      </w:r>
      <w:r w:rsidR="001B3F36">
        <w:rPr>
          <w:rFonts w:cs="Arial"/>
          <w:color w:val="222222"/>
        </w:rPr>
        <w:t>természetes személy. Az ilyen típusú kereske</w:t>
      </w:r>
      <w:r w:rsidR="00CB62B8">
        <w:rPr>
          <w:rFonts w:cs="Arial"/>
          <w:color w:val="222222"/>
        </w:rPr>
        <w:t>dést</w:t>
      </w:r>
      <w:r w:rsidR="001B3F36">
        <w:rPr>
          <w:rFonts w:cs="Arial"/>
          <w:color w:val="222222"/>
        </w:rPr>
        <w:t xml:space="preserve"> "nem pénzügyi </w:t>
      </w:r>
      <w:r w:rsidR="00DB4CD3">
        <w:rPr>
          <w:rFonts w:cs="Arial"/>
          <w:color w:val="222222"/>
        </w:rPr>
        <w:t>intézménnyel”</w:t>
      </w:r>
      <w:r w:rsidR="001B3F36">
        <w:rPr>
          <w:rFonts w:cs="Arial"/>
          <w:color w:val="222222"/>
        </w:rPr>
        <w:t xml:space="preserve"> </w:t>
      </w:r>
      <w:r w:rsidR="00CB62B8">
        <w:rPr>
          <w:rFonts w:cs="Arial"/>
          <w:color w:val="222222"/>
        </w:rPr>
        <w:t xml:space="preserve">vagy „Egyéb” </w:t>
      </w:r>
      <w:r w:rsidR="001B3F36">
        <w:rPr>
          <w:rFonts w:cs="Arial"/>
          <w:color w:val="222222"/>
        </w:rPr>
        <w:t>kategóriába kell sorolni</w:t>
      </w:r>
      <w:r w:rsidR="00DB4CD3">
        <w:rPr>
          <w:rFonts w:cs="Arial"/>
          <w:color w:val="222222"/>
        </w:rPr>
        <w:t xml:space="preserve"> (ügyfélplatformon kezdeményezett)</w:t>
      </w:r>
      <w:r w:rsidR="00396EA7">
        <w:rPr>
          <w:rFonts w:cs="Arial"/>
          <w:color w:val="222222"/>
        </w:rPr>
        <w:t>.</w:t>
      </w:r>
    </w:p>
    <w:p w:rsidR="00534447" w:rsidRPr="00E54AEA" w:rsidRDefault="00534447" w:rsidP="004049F3">
      <w:pPr>
        <w:numPr>
          <w:ilvl w:val="0"/>
          <w:numId w:val="16"/>
        </w:numPr>
        <w:autoSpaceDE w:val="0"/>
        <w:autoSpaceDN w:val="0"/>
        <w:adjustRightInd w:val="0"/>
        <w:jc w:val="both"/>
        <w:rPr>
          <w:b/>
        </w:rPr>
      </w:pPr>
      <w:r w:rsidRPr="004049F3">
        <w:rPr>
          <w:b/>
          <w:lang w:val="hu-HU"/>
        </w:rPr>
        <w:t xml:space="preserve">Indirekt: </w:t>
      </w:r>
      <w:r w:rsidR="00E54AEA" w:rsidRPr="004049F3">
        <w:rPr>
          <w:rFonts w:cs="Arial"/>
          <w:color w:val="222222"/>
          <w:lang w:val="hu-HU"/>
        </w:rPr>
        <w:t xml:space="preserve">Harmadik fél platformok, amelyek lakossági befektetők számára nyújtanak segítséget, például elektronikus </w:t>
      </w:r>
      <w:r w:rsidR="00DB4CD3">
        <w:rPr>
          <w:rFonts w:cs="Arial"/>
          <w:color w:val="222222"/>
          <w:lang w:val="hu-HU"/>
        </w:rPr>
        <w:t>ügyfél</w:t>
      </w:r>
      <w:r w:rsidR="00E54AEA" w:rsidRPr="004049F3">
        <w:rPr>
          <w:rFonts w:cs="Arial"/>
          <w:color w:val="222222"/>
          <w:lang w:val="hu-HU"/>
        </w:rPr>
        <w:t>platformok és kiskereskedelmi margin brókercégek (</w:t>
      </w:r>
      <w:proofErr w:type="spellStart"/>
      <w:r w:rsidR="00E54AEA" w:rsidRPr="004049F3">
        <w:rPr>
          <w:rFonts w:cs="Arial"/>
          <w:color w:val="222222"/>
          <w:lang w:val="hu-HU"/>
        </w:rPr>
        <w:t>wholesale</w:t>
      </w:r>
      <w:proofErr w:type="spellEnd"/>
      <w:r w:rsidR="00E54AEA" w:rsidRPr="004049F3">
        <w:rPr>
          <w:rFonts w:cs="Arial"/>
          <w:color w:val="222222"/>
          <w:lang w:val="hu-HU"/>
        </w:rPr>
        <w:t xml:space="preserve"> pénzügyi partnerek). Amikor a </w:t>
      </w:r>
      <w:proofErr w:type="spellStart"/>
      <w:r w:rsidR="00DB4CD3">
        <w:rPr>
          <w:rFonts w:cs="Arial"/>
          <w:color w:val="222222"/>
          <w:lang w:val="hu-HU"/>
        </w:rPr>
        <w:t>retail</w:t>
      </w:r>
      <w:proofErr w:type="spellEnd"/>
      <w:r w:rsidR="00E54AEA" w:rsidRPr="004049F3">
        <w:rPr>
          <w:rFonts w:cs="Arial"/>
          <w:color w:val="222222"/>
          <w:lang w:val="hu-HU"/>
        </w:rPr>
        <w:t xml:space="preserve"> befektetők a devizaeszközöket spekulatív célokra kötik elektronikus platformokon </w:t>
      </w:r>
      <w:r w:rsidR="00E54AEA" w:rsidRPr="004049F3">
        <w:rPr>
          <w:rFonts w:cs="Arial"/>
          <w:snapToGrid/>
          <w:szCs w:val="22"/>
          <w:lang w:val="hu-HU"/>
        </w:rPr>
        <w:t xml:space="preserve">(Például </w:t>
      </w:r>
      <w:proofErr w:type="spellStart"/>
      <w:r w:rsidR="00E54AEA" w:rsidRPr="004049F3">
        <w:rPr>
          <w:rFonts w:cs="Arial"/>
          <w:snapToGrid/>
          <w:szCs w:val="22"/>
          <w:lang w:val="hu-HU"/>
        </w:rPr>
        <w:t>Oanda</w:t>
      </w:r>
      <w:proofErr w:type="spellEnd"/>
      <w:r w:rsidR="00E54AEA" w:rsidRPr="004049F3">
        <w:rPr>
          <w:rFonts w:cs="Arial"/>
          <w:snapToGrid/>
          <w:szCs w:val="22"/>
          <w:lang w:val="hu-HU"/>
        </w:rPr>
        <w:t xml:space="preserve">, </w:t>
      </w:r>
      <w:proofErr w:type="spellStart"/>
      <w:r w:rsidR="00E54AEA" w:rsidRPr="004049F3">
        <w:rPr>
          <w:rFonts w:cs="Arial"/>
          <w:snapToGrid/>
          <w:szCs w:val="22"/>
          <w:lang w:val="hu-HU"/>
        </w:rPr>
        <w:t>FXCM</w:t>
      </w:r>
      <w:proofErr w:type="spellEnd"/>
      <w:r w:rsidR="00E54AEA" w:rsidRPr="004049F3">
        <w:rPr>
          <w:rFonts w:cs="Arial"/>
          <w:snapToGrid/>
          <w:szCs w:val="22"/>
          <w:lang w:val="hu-HU"/>
        </w:rPr>
        <w:t xml:space="preserve">, </w:t>
      </w:r>
      <w:proofErr w:type="spellStart"/>
      <w:r w:rsidR="00E54AEA" w:rsidRPr="004049F3">
        <w:rPr>
          <w:rFonts w:cs="Arial"/>
          <w:snapToGrid/>
          <w:szCs w:val="22"/>
          <w:lang w:val="hu-HU"/>
        </w:rPr>
        <w:t>Saxo</w:t>
      </w:r>
      <w:proofErr w:type="spellEnd"/>
      <w:r w:rsidR="00E54AEA" w:rsidRPr="004049F3">
        <w:rPr>
          <w:rFonts w:cs="Arial"/>
          <w:snapToGrid/>
          <w:szCs w:val="22"/>
          <w:lang w:val="hu-HU"/>
        </w:rPr>
        <w:t xml:space="preserve">, Gaitame.com), </w:t>
      </w:r>
      <w:r w:rsidR="00E54AEA" w:rsidRPr="004049F3">
        <w:rPr>
          <w:rFonts w:cs="Arial"/>
          <w:color w:val="222222"/>
          <w:lang w:val="hu-HU"/>
        </w:rPr>
        <w:t xml:space="preserve">a jelentő </w:t>
      </w:r>
      <w:proofErr w:type="spellStart"/>
      <w:r w:rsidR="00E54AEA" w:rsidRPr="004049F3">
        <w:rPr>
          <w:rFonts w:cs="Arial"/>
          <w:color w:val="222222"/>
          <w:lang w:val="hu-HU"/>
        </w:rPr>
        <w:t>dealer</w:t>
      </w:r>
      <w:proofErr w:type="spellEnd"/>
      <w:r w:rsidR="00E54AEA" w:rsidRPr="004049F3">
        <w:rPr>
          <w:rFonts w:cs="Arial"/>
          <w:color w:val="222222"/>
          <w:lang w:val="hu-HU"/>
        </w:rPr>
        <w:t xml:space="preserve"> közvetlen partnere tipikusan a</w:t>
      </w:r>
      <w:r w:rsidR="00E54AEA" w:rsidRPr="004049F3">
        <w:rPr>
          <w:rFonts w:cs="Arial"/>
          <w:color w:val="222222"/>
          <w:lang w:val="hu-HU"/>
        </w:rPr>
        <w:br/>
      </w:r>
      <w:proofErr w:type="spellStart"/>
      <w:r w:rsidR="00E54AEA" w:rsidRPr="004049F3">
        <w:rPr>
          <w:rFonts w:cs="Arial"/>
          <w:color w:val="222222"/>
          <w:lang w:val="hu-HU"/>
        </w:rPr>
        <w:t>wholesale</w:t>
      </w:r>
      <w:proofErr w:type="spellEnd"/>
      <w:r w:rsidR="00E54AEA" w:rsidRPr="004049F3">
        <w:rPr>
          <w:rFonts w:cs="Arial"/>
          <w:color w:val="222222"/>
          <w:lang w:val="hu-HU"/>
        </w:rPr>
        <w:t xml:space="preserve"> pénzügyi intézmény. Az ilyen típusú kereskedést a "Nem pénzügyi intézmény" vagy “Egyéb” kateg</w:t>
      </w:r>
      <w:r w:rsidR="00DB4CD3">
        <w:rPr>
          <w:rFonts w:cs="Arial"/>
          <w:color w:val="222222"/>
          <w:lang w:val="hu-HU"/>
        </w:rPr>
        <w:t>ó</w:t>
      </w:r>
      <w:r w:rsidR="00E54AEA" w:rsidRPr="004049F3">
        <w:rPr>
          <w:rFonts w:cs="Arial"/>
          <w:color w:val="222222"/>
          <w:lang w:val="hu-HU"/>
        </w:rPr>
        <w:t>riába kell soro</w:t>
      </w:r>
      <w:r w:rsidR="00DB4CD3">
        <w:rPr>
          <w:rFonts w:cs="Arial"/>
          <w:color w:val="222222"/>
          <w:lang w:val="hu-HU"/>
        </w:rPr>
        <w:t xml:space="preserve">lni </w:t>
      </w:r>
      <w:r w:rsidR="00DB4CD3" w:rsidRPr="004049F3">
        <w:rPr>
          <w:rFonts w:cs="Arial"/>
          <w:color w:val="222222"/>
          <w:lang w:val="hu-HU"/>
        </w:rPr>
        <w:t>(ügyfélplatformon kezdeményezett).</w:t>
      </w:r>
    </w:p>
    <w:p w:rsidR="00395A28" w:rsidRDefault="00395A28" w:rsidP="00395A28">
      <w:pPr>
        <w:pStyle w:val="Paragraph"/>
        <w:rPr>
          <w:b/>
        </w:rPr>
      </w:pPr>
    </w:p>
    <w:p w:rsidR="00395A28" w:rsidRDefault="00395A28" w:rsidP="00395A28">
      <w:pPr>
        <w:pStyle w:val="Paragraph"/>
      </w:pPr>
      <w:r w:rsidRPr="004049F3">
        <w:t>Az alábbi táblázat szemlélteti, hogyan kell jelenteni a direkt és indirekt elektronikus ügyfélplatformokon keresztüli forgalmat:</w:t>
      </w:r>
    </w:p>
    <w:tbl>
      <w:tblPr>
        <w:tblW w:w="9772" w:type="dxa"/>
        <w:tblInd w:w="80" w:type="dxa"/>
        <w:tblCellMar>
          <w:left w:w="70" w:type="dxa"/>
          <w:right w:w="70" w:type="dxa"/>
        </w:tblCellMar>
        <w:tblLook w:val="04A0" w:firstRow="1" w:lastRow="0" w:firstColumn="1" w:lastColumn="0" w:noHBand="0" w:noVBand="1"/>
      </w:tblPr>
      <w:tblGrid>
        <w:gridCol w:w="4966"/>
        <w:gridCol w:w="1886"/>
        <w:gridCol w:w="2920"/>
      </w:tblGrid>
      <w:tr w:rsidR="007328C2" w:rsidRPr="007328C2" w:rsidTr="004049F3">
        <w:trPr>
          <w:trHeight w:val="340"/>
        </w:trPr>
        <w:tc>
          <w:tcPr>
            <w:tcW w:w="496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328C2" w:rsidRPr="007328C2" w:rsidRDefault="007328C2" w:rsidP="007328C2">
            <w:pPr>
              <w:jc w:val="center"/>
              <w:rPr>
                <w:rFonts w:ascii="Calibri" w:hAnsi="Calibri"/>
                <w:snapToGrid/>
                <w:color w:val="000000"/>
                <w:szCs w:val="22"/>
                <w:lang w:val="hu-HU"/>
              </w:rPr>
            </w:pPr>
            <w:r w:rsidRPr="007328C2">
              <w:rPr>
                <w:rFonts w:ascii="Calibri" w:hAnsi="Calibri"/>
                <w:snapToGrid/>
                <w:color w:val="000000"/>
                <w:szCs w:val="22"/>
                <w:lang w:val="hu-HU"/>
              </w:rPr>
              <w:t> </w:t>
            </w:r>
          </w:p>
        </w:tc>
        <w:tc>
          <w:tcPr>
            <w:tcW w:w="1886" w:type="dxa"/>
            <w:tcBorders>
              <w:top w:val="single" w:sz="8" w:space="0" w:color="auto"/>
              <w:left w:val="nil"/>
              <w:bottom w:val="single" w:sz="8" w:space="0" w:color="auto"/>
              <w:right w:val="single" w:sz="4" w:space="0" w:color="auto"/>
            </w:tcBorders>
            <w:shd w:val="clear" w:color="auto" w:fill="auto"/>
            <w:noWrap/>
            <w:vAlign w:val="bottom"/>
            <w:hideMark/>
          </w:tcPr>
          <w:p w:rsidR="007328C2" w:rsidRPr="007328C2" w:rsidRDefault="007328C2" w:rsidP="007328C2">
            <w:pPr>
              <w:jc w:val="center"/>
              <w:rPr>
                <w:rFonts w:ascii="Calibri" w:hAnsi="Calibri"/>
                <w:b/>
                <w:bCs/>
                <w:snapToGrid/>
                <w:color w:val="000000"/>
                <w:szCs w:val="22"/>
                <w:lang w:val="hu-HU"/>
              </w:rPr>
            </w:pPr>
            <w:r w:rsidRPr="007328C2">
              <w:rPr>
                <w:rFonts w:ascii="Calibri" w:hAnsi="Calibri"/>
                <w:b/>
                <w:bCs/>
                <w:snapToGrid/>
                <w:color w:val="000000"/>
                <w:szCs w:val="22"/>
                <w:lang w:val="hu-HU"/>
              </w:rPr>
              <w:t>Direkt tranzakciók</w:t>
            </w:r>
          </w:p>
        </w:tc>
        <w:tc>
          <w:tcPr>
            <w:tcW w:w="2920" w:type="dxa"/>
            <w:tcBorders>
              <w:top w:val="single" w:sz="8" w:space="0" w:color="auto"/>
              <w:left w:val="nil"/>
              <w:bottom w:val="single" w:sz="8" w:space="0" w:color="auto"/>
              <w:right w:val="single" w:sz="8" w:space="0" w:color="auto"/>
            </w:tcBorders>
            <w:shd w:val="clear" w:color="auto" w:fill="auto"/>
            <w:noWrap/>
            <w:vAlign w:val="bottom"/>
            <w:hideMark/>
          </w:tcPr>
          <w:p w:rsidR="007328C2" w:rsidRPr="007328C2" w:rsidRDefault="007328C2" w:rsidP="007328C2">
            <w:pPr>
              <w:jc w:val="center"/>
              <w:rPr>
                <w:rFonts w:ascii="Calibri" w:hAnsi="Calibri"/>
                <w:b/>
                <w:bCs/>
                <w:snapToGrid/>
                <w:color w:val="000000"/>
                <w:szCs w:val="22"/>
                <w:lang w:val="hu-HU"/>
              </w:rPr>
            </w:pPr>
            <w:r w:rsidRPr="007328C2">
              <w:rPr>
                <w:rFonts w:ascii="Calibri" w:hAnsi="Calibri"/>
                <w:b/>
                <w:bCs/>
                <w:snapToGrid/>
                <w:color w:val="000000"/>
                <w:szCs w:val="22"/>
                <w:lang w:val="hu-HU"/>
              </w:rPr>
              <w:t>Indirekt tranzakciók</w:t>
            </w:r>
          </w:p>
        </w:tc>
      </w:tr>
      <w:tr w:rsidR="007328C2" w:rsidRPr="007328C2" w:rsidTr="004049F3">
        <w:trPr>
          <w:trHeight w:val="324"/>
        </w:trPr>
        <w:tc>
          <w:tcPr>
            <w:tcW w:w="4966" w:type="dxa"/>
            <w:tcBorders>
              <w:top w:val="nil"/>
              <w:left w:val="single" w:sz="8" w:space="0" w:color="auto"/>
              <w:bottom w:val="single" w:sz="4" w:space="0" w:color="auto"/>
              <w:right w:val="single" w:sz="8" w:space="0" w:color="auto"/>
            </w:tcBorders>
            <w:shd w:val="clear" w:color="auto" w:fill="auto"/>
            <w:noWrap/>
            <w:vAlign w:val="bottom"/>
            <w:hideMark/>
          </w:tcPr>
          <w:p w:rsidR="007328C2" w:rsidRPr="007328C2" w:rsidRDefault="007328C2" w:rsidP="007328C2">
            <w:pPr>
              <w:rPr>
                <w:rFonts w:ascii="Calibri" w:hAnsi="Calibri"/>
                <w:snapToGrid/>
                <w:color w:val="000000"/>
                <w:szCs w:val="22"/>
                <w:lang w:val="hu-HU"/>
              </w:rPr>
            </w:pPr>
            <w:r w:rsidRPr="007328C2">
              <w:rPr>
                <w:rFonts w:ascii="Calibri" w:hAnsi="Calibri"/>
                <w:snapToGrid/>
                <w:color w:val="000000"/>
                <w:szCs w:val="22"/>
                <w:lang w:val="hu-HU"/>
              </w:rPr>
              <w:t>Összesen</w:t>
            </w:r>
          </w:p>
        </w:tc>
        <w:tc>
          <w:tcPr>
            <w:tcW w:w="1886" w:type="dxa"/>
            <w:tcBorders>
              <w:top w:val="nil"/>
              <w:left w:val="nil"/>
              <w:bottom w:val="single" w:sz="4" w:space="0" w:color="auto"/>
              <w:right w:val="single" w:sz="4" w:space="0" w:color="auto"/>
            </w:tcBorders>
            <w:shd w:val="clear" w:color="auto" w:fill="auto"/>
            <w:noWrap/>
            <w:vAlign w:val="bottom"/>
            <w:hideMark/>
          </w:tcPr>
          <w:p w:rsidR="007328C2" w:rsidRPr="007328C2" w:rsidRDefault="007328C2" w:rsidP="007328C2">
            <w:pPr>
              <w:jc w:val="center"/>
              <w:rPr>
                <w:rFonts w:ascii="Calibri" w:hAnsi="Calibri"/>
                <w:snapToGrid/>
                <w:color w:val="000000"/>
                <w:szCs w:val="22"/>
                <w:lang w:val="hu-HU"/>
              </w:rPr>
            </w:pPr>
            <w:r w:rsidRPr="007328C2">
              <w:rPr>
                <w:rFonts w:ascii="Calibri" w:hAnsi="Calibri"/>
                <w:snapToGrid/>
                <w:color w:val="000000"/>
                <w:szCs w:val="22"/>
                <w:lang w:val="hu-HU"/>
              </w:rPr>
              <w:t>X</w:t>
            </w:r>
          </w:p>
        </w:tc>
        <w:tc>
          <w:tcPr>
            <w:tcW w:w="2920" w:type="dxa"/>
            <w:tcBorders>
              <w:top w:val="nil"/>
              <w:left w:val="nil"/>
              <w:bottom w:val="single" w:sz="4" w:space="0" w:color="auto"/>
              <w:right w:val="single" w:sz="8" w:space="0" w:color="auto"/>
            </w:tcBorders>
            <w:shd w:val="clear" w:color="auto" w:fill="auto"/>
            <w:noWrap/>
            <w:vAlign w:val="bottom"/>
            <w:hideMark/>
          </w:tcPr>
          <w:p w:rsidR="007328C2" w:rsidRPr="007328C2" w:rsidRDefault="007328C2" w:rsidP="007328C2">
            <w:pPr>
              <w:jc w:val="center"/>
              <w:rPr>
                <w:rFonts w:ascii="Calibri" w:hAnsi="Calibri"/>
                <w:snapToGrid/>
                <w:color w:val="000000"/>
                <w:szCs w:val="22"/>
                <w:lang w:val="hu-HU"/>
              </w:rPr>
            </w:pPr>
            <w:r w:rsidRPr="007328C2">
              <w:rPr>
                <w:rFonts w:ascii="Calibri" w:hAnsi="Calibri"/>
                <w:snapToGrid/>
                <w:color w:val="000000"/>
                <w:szCs w:val="22"/>
                <w:lang w:val="hu-HU"/>
              </w:rPr>
              <w:t>X</w:t>
            </w:r>
          </w:p>
        </w:tc>
      </w:tr>
      <w:tr w:rsidR="007328C2" w:rsidRPr="007328C2" w:rsidTr="004049F3">
        <w:trPr>
          <w:trHeight w:val="324"/>
        </w:trPr>
        <w:tc>
          <w:tcPr>
            <w:tcW w:w="4966" w:type="dxa"/>
            <w:tcBorders>
              <w:top w:val="nil"/>
              <w:left w:val="single" w:sz="8" w:space="0" w:color="auto"/>
              <w:bottom w:val="single" w:sz="4" w:space="0" w:color="auto"/>
              <w:right w:val="single" w:sz="8" w:space="0" w:color="auto"/>
            </w:tcBorders>
            <w:shd w:val="clear" w:color="auto" w:fill="auto"/>
            <w:noWrap/>
            <w:vAlign w:val="center"/>
            <w:hideMark/>
          </w:tcPr>
          <w:p w:rsidR="007328C2" w:rsidRPr="007328C2" w:rsidRDefault="007328C2" w:rsidP="004049F3">
            <w:pPr>
              <w:rPr>
                <w:rFonts w:ascii="Calibri" w:hAnsi="Calibri"/>
                <w:snapToGrid/>
                <w:color w:val="000000"/>
                <w:szCs w:val="22"/>
                <w:lang w:val="hu-HU"/>
              </w:rPr>
            </w:pPr>
            <w:r w:rsidRPr="007328C2">
              <w:rPr>
                <w:rFonts w:ascii="Calibri" w:hAnsi="Calibri"/>
                <w:snapToGrid/>
                <w:color w:val="000000"/>
                <w:szCs w:val="22"/>
                <w:lang w:val="hu-HU"/>
              </w:rPr>
              <w:t xml:space="preserve">Jelentő </w:t>
            </w:r>
            <w:proofErr w:type="spellStart"/>
            <w:r w:rsidRPr="007328C2">
              <w:rPr>
                <w:rFonts w:ascii="Calibri" w:hAnsi="Calibri"/>
                <w:snapToGrid/>
                <w:color w:val="000000"/>
                <w:szCs w:val="22"/>
                <w:lang w:val="hu-HU"/>
              </w:rPr>
              <w:t>dealerrel</w:t>
            </w:r>
            <w:proofErr w:type="spellEnd"/>
            <w:r w:rsidRPr="007328C2">
              <w:rPr>
                <w:rFonts w:ascii="Calibri" w:hAnsi="Calibri"/>
                <w:snapToGrid/>
                <w:color w:val="000000"/>
                <w:szCs w:val="22"/>
                <w:lang w:val="hu-HU"/>
              </w:rPr>
              <w:t xml:space="preserve"> </w:t>
            </w:r>
          </w:p>
        </w:tc>
        <w:tc>
          <w:tcPr>
            <w:tcW w:w="1886" w:type="dxa"/>
            <w:tcBorders>
              <w:top w:val="nil"/>
              <w:left w:val="nil"/>
              <w:bottom w:val="single" w:sz="4" w:space="0" w:color="auto"/>
              <w:right w:val="single" w:sz="4" w:space="0" w:color="auto"/>
            </w:tcBorders>
            <w:shd w:val="clear" w:color="auto" w:fill="auto"/>
            <w:noWrap/>
            <w:vAlign w:val="bottom"/>
            <w:hideMark/>
          </w:tcPr>
          <w:p w:rsidR="007328C2" w:rsidRPr="007328C2" w:rsidRDefault="007328C2" w:rsidP="007328C2">
            <w:pPr>
              <w:rPr>
                <w:rFonts w:ascii="Calibri" w:hAnsi="Calibri"/>
                <w:snapToGrid/>
                <w:color w:val="000000"/>
                <w:szCs w:val="22"/>
                <w:lang w:val="hu-HU"/>
              </w:rPr>
            </w:pPr>
          </w:p>
        </w:tc>
        <w:tc>
          <w:tcPr>
            <w:tcW w:w="2920" w:type="dxa"/>
            <w:tcBorders>
              <w:top w:val="nil"/>
              <w:left w:val="nil"/>
              <w:bottom w:val="single" w:sz="4" w:space="0" w:color="auto"/>
              <w:right w:val="single" w:sz="8" w:space="0" w:color="auto"/>
            </w:tcBorders>
            <w:shd w:val="clear" w:color="auto" w:fill="auto"/>
            <w:noWrap/>
            <w:vAlign w:val="bottom"/>
            <w:hideMark/>
          </w:tcPr>
          <w:p w:rsidR="007328C2" w:rsidRDefault="007328C2" w:rsidP="007328C2">
            <w:pPr>
              <w:jc w:val="center"/>
              <w:rPr>
                <w:rFonts w:ascii="Calibri" w:hAnsi="Calibri"/>
                <w:snapToGrid/>
                <w:color w:val="000000"/>
                <w:szCs w:val="22"/>
                <w:lang w:val="hu-HU"/>
              </w:rPr>
            </w:pPr>
            <w:r w:rsidRPr="007328C2">
              <w:rPr>
                <w:rFonts w:ascii="Calibri" w:hAnsi="Calibri"/>
                <w:snapToGrid/>
                <w:color w:val="000000"/>
                <w:szCs w:val="22"/>
                <w:lang w:val="hu-HU"/>
              </w:rPr>
              <w:t>X</w:t>
            </w:r>
          </w:p>
          <w:p w:rsidR="001B7279" w:rsidRPr="007328C2" w:rsidRDefault="001B7279" w:rsidP="007328C2">
            <w:pPr>
              <w:jc w:val="center"/>
              <w:rPr>
                <w:rFonts w:ascii="Calibri" w:hAnsi="Calibri"/>
                <w:snapToGrid/>
                <w:color w:val="000000"/>
                <w:szCs w:val="22"/>
                <w:lang w:val="hu-HU"/>
              </w:rPr>
            </w:pPr>
            <w:r>
              <w:rPr>
                <w:rFonts w:ascii="Calibri" w:hAnsi="Calibri"/>
                <w:snapToGrid/>
                <w:color w:val="000000"/>
                <w:szCs w:val="22"/>
                <w:lang w:val="hu-HU"/>
              </w:rPr>
              <w:t xml:space="preserve">(Ha a bróker jelentő </w:t>
            </w:r>
            <w:proofErr w:type="spellStart"/>
            <w:r>
              <w:rPr>
                <w:rFonts w:ascii="Calibri" w:hAnsi="Calibri"/>
                <w:snapToGrid/>
                <w:color w:val="000000"/>
                <w:szCs w:val="22"/>
                <w:lang w:val="hu-HU"/>
              </w:rPr>
              <w:t>dealer</w:t>
            </w:r>
            <w:proofErr w:type="spellEnd"/>
            <w:r>
              <w:rPr>
                <w:rFonts w:ascii="Calibri" w:hAnsi="Calibri"/>
                <w:snapToGrid/>
                <w:color w:val="000000"/>
                <w:szCs w:val="22"/>
                <w:lang w:val="hu-HU"/>
              </w:rPr>
              <w:t>)</w:t>
            </w:r>
          </w:p>
        </w:tc>
      </w:tr>
      <w:tr w:rsidR="007328C2" w:rsidRPr="007328C2" w:rsidTr="004049F3">
        <w:trPr>
          <w:trHeight w:val="1598"/>
        </w:trPr>
        <w:tc>
          <w:tcPr>
            <w:tcW w:w="4966" w:type="dxa"/>
            <w:tcBorders>
              <w:top w:val="nil"/>
              <w:left w:val="single" w:sz="8" w:space="0" w:color="auto"/>
              <w:bottom w:val="single" w:sz="4" w:space="0" w:color="auto"/>
              <w:right w:val="single" w:sz="8" w:space="0" w:color="auto"/>
            </w:tcBorders>
            <w:shd w:val="clear" w:color="auto" w:fill="auto"/>
            <w:vAlign w:val="bottom"/>
            <w:hideMark/>
          </w:tcPr>
          <w:p w:rsidR="007328C2" w:rsidRPr="007328C2" w:rsidRDefault="007328C2" w:rsidP="004049F3">
            <w:pPr>
              <w:rPr>
                <w:rFonts w:ascii="Calibri" w:hAnsi="Calibri"/>
                <w:snapToGrid/>
                <w:color w:val="000000"/>
                <w:szCs w:val="22"/>
                <w:lang w:val="hu-HU"/>
              </w:rPr>
            </w:pPr>
            <w:r w:rsidRPr="007328C2">
              <w:rPr>
                <w:rFonts w:ascii="Calibri" w:hAnsi="Calibri"/>
                <w:snapToGrid/>
                <w:color w:val="000000"/>
                <w:szCs w:val="22"/>
                <w:lang w:val="hu-HU"/>
              </w:rPr>
              <w:t>Egyéb pénzügyi intézménnyel</w:t>
            </w:r>
            <w:r w:rsidRPr="007328C2">
              <w:rPr>
                <w:rFonts w:ascii="Calibri" w:hAnsi="Calibri"/>
                <w:snapToGrid/>
                <w:color w:val="000000"/>
                <w:szCs w:val="22"/>
                <w:lang w:val="hu-HU"/>
              </w:rPr>
              <w:br/>
            </w:r>
            <w:r w:rsidR="00396EA7">
              <w:rPr>
                <w:rFonts w:ascii="Calibri" w:hAnsi="Calibri"/>
                <w:snapToGrid/>
                <w:color w:val="000000"/>
                <w:szCs w:val="22"/>
                <w:lang w:val="hu-HU"/>
              </w:rPr>
              <w:t xml:space="preserve">    </w:t>
            </w:r>
            <w:r w:rsidRPr="007328C2">
              <w:rPr>
                <w:rFonts w:ascii="Calibri" w:hAnsi="Calibri"/>
                <w:snapToGrid/>
                <w:color w:val="000000"/>
                <w:szCs w:val="22"/>
                <w:lang w:val="hu-HU"/>
              </w:rPr>
              <w:t>Nem jelentő bankkal</w:t>
            </w:r>
            <w:r w:rsidRPr="007328C2">
              <w:rPr>
                <w:rFonts w:ascii="Calibri" w:hAnsi="Calibri"/>
                <w:snapToGrid/>
                <w:color w:val="000000"/>
                <w:szCs w:val="22"/>
                <w:lang w:val="hu-HU"/>
              </w:rPr>
              <w:br/>
            </w:r>
            <w:r w:rsidR="00396EA7">
              <w:rPr>
                <w:rFonts w:ascii="Calibri" w:hAnsi="Calibri"/>
                <w:snapToGrid/>
                <w:color w:val="000000"/>
                <w:szCs w:val="22"/>
                <w:lang w:val="hu-HU"/>
              </w:rPr>
              <w:t xml:space="preserve">    </w:t>
            </w:r>
            <w:r w:rsidRPr="007328C2">
              <w:rPr>
                <w:rFonts w:ascii="Calibri" w:hAnsi="Calibri"/>
                <w:snapToGrid/>
                <w:color w:val="000000"/>
                <w:szCs w:val="22"/>
                <w:lang w:val="hu-HU"/>
              </w:rPr>
              <w:t>Intézményi befektetővel</w:t>
            </w:r>
            <w:r w:rsidRPr="007328C2">
              <w:rPr>
                <w:rFonts w:ascii="Calibri" w:hAnsi="Calibri"/>
                <w:snapToGrid/>
                <w:color w:val="000000"/>
                <w:szCs w:val="22"/>
                <w:lang w:val="hu-HU"/>
              </w:rPr>
              <w:br/>
            </w:r>
            <w:r w:rsidR="00396EA7">
              <w:rPr>
                <w:rFonts w:ascii="Calibri" w:hAnsi="Calibri"/>
                <w:snapToGrid/>
                <w:color w:val="000000"/>
                <w:szCs w:val="22"/>
                <w:lang w:val="hu-HU"/>
              </w:rPr>
              <w:t xml:space="preserve">    </w:t>
            </w:r>
            <w:r w:rsidRPr="007328C2">
              <w:rPr>
                <w:rFonts w:ascii="Calibri" w:hAnsi="Calibri"/>
                <w:snapToGrid/>
                <w:color w:val="000000"/>
                <w:szCs w:val="22"/>
                <w:lang w:val="hu-HU"/>
              </w:rPr>
              <w:t>Fedezeti alappal</w:t>
            </w:r>
            <w:r w:rsidR="00191A15">
              <w:rPr>
                <w:rFonts w:ascii="Calibri" w:hAnsi="Calibri"/>
                <w:snapToGrid/>
                <w:color w:val="000000"/>
                <w:szCs w:val="22"/>
                <w:lang w:val="hu-HU"/>
              </w:rPr>
              <w:t xml:space="preserve"> </w:t>
            </w:r>
            <w:r w:rsidR="00191A15" w:rsidRPr="00832E8A">
              <w:rPr>
                <w:sz w:val="20"/>
              </w:rPr>
              <w:t xml:space="preserve">és </w:t>
            </w:r>
            <w:r w:rsidR="00191A15" w:rsidRPr="004049F3">
              <w:rPr>
                <w:sz w:val="20"/>
                <w:lang w:val="hu-HU"/>
              </w:rPr>
              <w:t>saját számlás kereskedő céggel</w:t>
            </w:r>
            <w:r w:rsidRPr="007328C2">
              <w:rPr>
                <w:rFonts w:ascii="Calibri" w:hAnsi="Calibri"/>
                <w:snapToGrid/>
                <w:color w:val="000000"/>
                <w:szCs w:val="22"/>
                <w:lang w:val="hu-HU"/>
              </w:rPr>
              <w:br/>
            </w:r>
            <w:r w:rsidR="001B7279">
              <w:rPr>
                <w:rFonts w:ascii="Calibri" w:hAnsi="Calibri"/>
                <w:snapToGrid/>
                <w:color w:val="000000"/>
                <w:szCs w:val="22"/>
                <w:lang w:val="hu-HU"/>
              </w:rPr>
              <w:t xml:space="preserve">    Hivatalos pénzügyi intézménnyel</w:t>
            </w:r>
            <w:r w:rsidRPr="007328C2">
              <w:rPr>
                <w:rFonts w:ascii="Calibri" w:hAnsi="Calibri"/>
                <w:snapToGrid/>
                <w:color w:val="000000"/>
                <w:szCs w:val="22"/>
                <w:lang w:val="hu-HU"/>
              </w:rPr>
              <w:br/>
            </w:r>
            <w:r w:rsidR="00396EA7">
              <w:rPr>
                <w:rFonts w:ascii="Calibri" w:hAnsi="Calibri"/>
                <w:snapToGrid/>
                <w:color w:val="000000"/>
                <w:szCs w:val="22"/>
                <w:lang w:val="hu-HU"/>
              </w:rPr>
              <w:t xml:space="preserve">    </w:t>
            </w:r>
            <w:r w:rsidRPr="007328C2">
              <w:rPr>
                <w:rFonts w:ascii="Calibri" w:hAnsi="Calibri"/>
                <w:snapToGrid/>
                <w:color w:val="000000"/>
                <w:szCs w:val="22"/>
                <w:lang w:val="hu-HU"/>
              </w:rPr>
              <w:t>Egyéb</w:t>
            </w:r>
          </w:p>
        </w:tc>
        <w:tc>
          <w:tcPr>
            <w:tcW w:w="1886" w:type="dxa"/>
            <w:tcBorders>
              <w:top w:val="nil"/>
              <w:left w:val="nil"/>
              <w:bottom w:val="single" w:sz="4" w:space="0" w:color="auto"/>
              <w:right w:val="single" w:sz="4" w:space="0" w:color="auto"/>
            </w:tcBorders>
            <w:shd w:val="clear" w:color="auto" w:fill="auto"/>
            <w:noWrap/>
            <w:vAlign w:val="bottom"/>
            <w:hideMark/>
          </w:tcPr>
          <w:p w:rsidR="007328C2" w:rsidRPr="007328C2" w:rsidRDefault="007328C2" w:rsidP="007328C2">
            <w:pPr>
              <w:rPr>
                <w:rFonts w:ascii="Calibri" w:hAnsi="Calibri"/>
                <w:snapToGrid/>
                <w:color w:val="000000"/>
                <w:szCs w:val="22"/>
                <w:lang w:val="hu-HU"/>
              </w:rPr>
            </w:pPr>
            <w:r w:rsidRPr="007328C2">
              <w:rPr>
                <w:rFonts w:ascii="Calibri" w:hAnsi="Calibri"/>
                <w:snapToGrid/>
                <w:color w:val="000000"/>
                <w:szCs w:val="22"/>
                <w:lang w:val="hu-HU"/>
              </w:rPr>
              <w:t> </w:t>
            </w:r>
          </w:p>
        </w:tc>
        <w:tc>
          <w:tcPr>
            <w:tcW w:w="2920" w:type="dxa"/>
            <w:tcBorders>
              <w:top w:val="nil"/>
              <w:left w:val="nil"/>
              <w:bottom w:val="single" w:sz="4" w:space="0" w:color="auto"/>
              <w:right w:val="single" w:sz="8" w:space="0" w:color="auto"/>
            </w:tcBorders>
            <w:shd w:val="clear" w:color="auto" w:fill="auto"/>
            <w:noWrap/>
            <w:vAlign w:val="center"/>
            <w:hideMark/>
          </w:tcPr>
          <w:p w:rsidR="007328C2" w:rsidRDefault="001B7279" w:rsidP="007328C2">
            <w:pPr>
              <w:jc w:val="center"/>
              <w:rPr>
                <w:rFonts w:ascii="Calibri" w:hAnsi="Calibri"/>
                <w:snapToGrid/>
                <w:color w:val="000000"/>
                <w:szCs w:val="22"/>
                <w:lang w:val="hu-HU"/>
              </w:rPr>
            </w:pPr>
            <w:r>
              <w:rPr>
                <w:rFonts w:ascii="Calibri" w:hAnsi="Calibri"/>
                <w:snapToGrid/>
                <w:color w:val="000000"/>
                <w:szCs w:val="22"/>
                <w:lang w:val="hu-HU"/>
              </w:rPr>
              <w:t>X</w:t>
            </w:r>
          </w:p>
          <w:p w:rsidR="001B7279" w:rsidRDefault="001B7279" w:rsidP="007328C2">
            <w:pPr>
              <w:jc w:val="center"/>
              <w:rPr>
                <w:rFonts w:ascii="Calibri" w:hAnsi="Calibri"/>
                <w:snapToGrid/>
                <w:color w:val="000000"/>
                <w:szCs w:val="22"/>
                <w:lang w:val="hu-HU"/>
              </w:rPr>
            </w:pPr>
            <w:r>
              <w:rPr>
                <w:rFonts w:ascii="Calibri" w:hAnsi="Calibri"/>
                <w:snapToGrid/>
                <w:color w:val="000000"/>
                <w:szCs w:val="22"/>
                <w:lang w:val="hu-HU"/>
              </w:rPr>
              <w:t xml:space="preserve">(Ha a bróker nem jelentő </w:t>
            </w:r>
            <w:proofErr w:type="spellStart"/>
            <w:r>
              <w:rPr>
                <w:rFonts w:ascii="Calibri" w:hAnsi="Calibri"/>
                <w:snapToGrid/>
                <w:color w:val="000000"/>
                <w:szCs w:val="22"/>
                <w:lang w:val="hu-HU"/>
              </w:rPr>
              <w:t>dealer</w:t>
            </w:r>
            <w:proofErr w:type="spellEnd"/>
            <w:r>
              <w:rPr>
                <w:rFonts w:ascii="Calibri" w:hAnsi="Calibri"/>
                <w:snapToGrid/>
                <w:color w:val="000000"/>
                <w:szCs w:val="22"/>
                <w:lang w:val="hu-HU"/>
              </w:rPr>
              <w:t>)</w:t>
            </w:r>
          </w:p>
          <w:p w:rsidR="001B7279" w:rsidRDefault="001B7279" w:rsidP="007328C2">
            <w:pPr>
              <w:jc w:val="center"/>
              <w:rPr>
                <w:rFonts w:ascii="Calibri" w:hAnsi="Calibri"/>
                <w:snapToGrid/>
                <w:color w:val="000000"/>
                <w:szCs w:val="22"/>
                <w:lang w:val="hu-HU"/>
              </w:rPr>
            </w:pPr>
            <w:r>
              <w:rPr>
                <w:rFonts w:ascii="Calibri" w:hAnsi="Calibri"/>
                <w:snapToGrid/>
                <w:color w:val="000000"/>
                <w:szCs w:val="22"/>
                <w:lang w:val="hu-HU"/>
              </w:rPr>
              <w:t>+</w:t>
            </w:r>
          </w:p>
          <w:p w:rsidR="001B7279" w:rsidRDefault="00942D08" w:rsidP="007328C2">
            <w:pPr>
              <w:jc w:val="center"/>
              <w:rPr>
                <w:rFonts w:ascii="Calibri" w:hAnsi="Calibri"/>
                <w:snapToGrid/>
                <w:color w:val="000000"/>
                <w:szCs w:val="22"/>
                <w:lang w:val="hu-HU"/>
              </w:rPr>
            </w:pPr>
            <w:r>
              <w:rPr>
                <w:rFonts w:ascii="Calibri" w:hAnsi="Calibri"/>
                <w:snapToGrid/>
                <w:color w:val="000000"/>
                <w:szCs w:val="22"/>
                <w:lang w:val="hu-HU"/>
              </w:rPr>
              <w:t>a</w:t>
            </w:r>
            <w:r w:rsidR="001B7279">
              <w:rPr>
                <w:rFonts w:ascii="Calibri" w:hAnsi="Calibri"/>
                <w:snapToGrid/>
                <w:color w:val="000000"/>
                <w:szCs w:val="22"/>
                <w:lang w:val="hu-HU"/>
              </w:rPr>
              <w:t xml:space="preserve"> releváns alkategóri</w:t>
            </w:r>
            <w:r w:rsidR="00FE1FD3">
              <w:rPr>
                <w:rFonts w:ascii="Calibri" w:hAnsi="Calibri"/>
                <w:snapToGrid/>
                <w:color w:val="000000"/>
                <w:szCs w:val="22"/>
                <w:lang w:val="hu-HU"/>
              </w:rPr>
              <w:t>a</w:t>
            </w:r>
          </w:p>
          <w:p w:rsidR="001B7279" w:rsidRPr="007328C2" w:rsidRDefault="001B7279" w:rsidP="007328C2">
            <w:pPr>
              <w:jc w:val="center"/>
              <w:rPr>
                <w:rFonts w:ascii="Calibri" w:hAnsi="Calibri"/>
                <w:snapToGrid/>
                <w:color w:val="000000"/>
                <w:szCs w:val="22"/>
                <w:lang w:val="hu-HU"/>
              </w:rPr>
            </w:pPr>
            <w:r>
              <w:rPr>
                <w:rFonts w:ascii="Calibri" w:hAnsi="Calibri"/>
                <w:snapToGrid/>
                <w:color w:val="000000"/>
                <w:szCs w:val="22"/>
                <w:lang w:val="hu-HU"/>
              </w:rPr>
              <w:t>(jellemzően „Egyéb”)</w:t>
            </w:r>
          </w:p>
        </w:tc>
      </w:tr>
      <w:tr w:rsidR="007328C2" w:rsidRPr="007328C2" w:rsidTr="004049F3">
        <w:trPr>
          <w:trHeight w:val="324"/>
        </w:trPr>
        <w:tc>
          <w:tcPr>
            <w:tcW w:w="4966" w:type="dxa"/>
            <w:tcBorders>
              <w:top w:val="nil"/>
              <w:left w:val="single" w:sz="8" w:space="0" w:color="auto"/>
              <w:bottom w:val="single" w:sz="4" w:space="0" w:color="auto"/>
              <w:right w:val="single" w:sz="8" w:space="0" w:color="auto"/>
            </w:tcBorders>
            <w:shd w:val="clear" w:color="auto" w:fill="auto"/>
            <w:noWrap/>
            <w:vAlign w:val="bottom"/>
            <w:hideMark/>
          </w:tcPr>
          <w:p w:rsidR="007328C2" w:rsidRPr="007328C2" w:rsidRDefault="007328C2" w:rsidP="004049F3">
            <w:pPr>
              <w:rPr>
                <w:rFonts w:ascii="Calibri" w:hAnsi="Calibri"/>
                <w:snapToGrid/>
                <w:color w:val="000000"/>
                <w:szCs w:val="22"/>
                <w:lang w:val="hu-HU"/>
              </w:rPr>
            </w:pPr>
            <w:r w:rsidRPr="007328C2">
              <w:rPr>
                <w:rFonts w:ascii="Calibri" w:hAnsi="Calibri"/>
                <w:snapToGrid/>
                <w:color w:val="000000"/>
                <w:szCs w:val="22"/>
                <w:lang w:val="hu-HU"/>
              </w:rPr>
              <w:t xml:space="preserve">Nem pénzügyi </w:t>
            </w:r>
            <w:r w:rsidR="00396EA7">
              <w:rPr>
                <w:rFonts w:ascii="Calibri" w:hAnsi="Calibri"/>
                <w:snapToGrid/>
                <w:color w:val="000000"/>
                <w:szCs w:val="22"/>
                <w:lang w:val="hu-HU"/>
              </w:rPr>
              <w:t>intézménnyel</w:t>
            </w:r>
          </w:p>
        </w:tc>
        <w:tc>
          <w:tcPr>
            <w:tcW w:w="1886" w:type="dxa"/>
            <w:tcBorders>
              <w:top w:val="nil"/>
              <w:left w:val="nil"/>
              <w:bottom w:val="single" w:sz="4" w:space="0" w:color="auto"/>
              <w:right w:val="single" w:sz="4" w:space="0" w:color="auto"/>
            </w:tcBorders>
            <w:shd w:val="clear" w:color="auto" w:fill="auto"/>
            <w:noWrap/>
            <w:vAlign w:val="bottom"/>
            <w:hideMark/>
          </w:tcPr>
          <w:p w:rsidR="007328C2" w:rsidRPr="007328C2" w:rsidRDefault="007328C2" w:rsidP="007328C2">
            <w:pPr>
              <w:jc w:val="center"/>
              <w:rPr>
                <w:rFonts w:ascii="Calibri" w:hAnsi="Calibri"/>
                <w:snapToGrid/>
                <w:color w:val="000000"/>
                <w:szCs w:val="22"/>
                <w:lang w:val="hu-HU"/>
              </w:rPr>
            </w:pPr>
            <w:r w:rsidRPr="007328C2">
              <w:rPr>
                <w:rFonts w:ascii="Calibri" w:hAnsi="Calibri"/>
                <w:snapToGrid/>
                <w:color w:val="000000"/>
                <w:szCs w:val="22"/>
                <w:lang w:val="hu-HU"/>
              </w:rPr>
              <w:t>X</w:t>
            </w:r>
          </w:p>
        </w:tc>
        <w:tc>
          <w:tcPr>
            <w:tcW w:w="2920" w:type="dxa"/>
            <w:tcBorders>
              <w:top w:val="nil"/>
              <w:left w:val="nil"/>
              <w:bottom w:val="single" w:sz="4" w:space="0" w:color="auto"/>
              <w:right w:val="single" w:sz="8" w:space="0" w:color="auto"/>
            </w:tcBorders>
            <w:shd w:val="clear" w:color="auto" w:fill="auto"/>
            <w:noWrap/>
            <w:vAlign w:val="bottom"/>
            <w:hideMark/>
          </w:tcPr>
          <w:p w:rsidR="007328C2" w:rsidRPr="007328C2" w:rsidRDefault="007328C2" w:rsidP="007328C2">
            <w:pPr>
              <w:rPr>
                <w:rFonts w:ascii="Calibri" w:hAnsi="Calibri"/>
                <w:snapToGrid/>
                <w:color w:val="000000"/>
                <w:szCs w:val="22"/>
                <w:lang w:val="hu-HU"/>
              </w:rPr>
            </w:pPr>
            <w:r w:rsidRPr="007328C2">
              <w:rPr>
                <w:rFonts w:ascii="Calibri" w:hAnsi="Calibri"/>
                <w:snapToGrid/>
                <w:color w:val="000000"/>
                <w:szCs w:val="22"/>
                <w:lang w:val="hu-HU"/>
              </w:rPr>
              <w:t> </w:t>
            </w:r>
          </w:p>
        </w:tc>
      </w:tr>
      <w:tr w:rsidR="007328C2" w:rsidRPr="007328C2" w:rsidTr="004049F3">
        <w:trPr>
          <w:trHeight w:val="340"/>
        </w:trPr>
        <w:tc>
          <w:tcPr>
            <w:tcW w:w="4966" w:type="dxa"/>
            <w:tcBorders>
              <w:top w:val="nil"/>
              <w:left w:val="single" w:sz="8" w:space="0" w:color="auto"/>
              <w:bottom w:val="single" w:sz="8" w:space="0" w:color="auto"/>
              <w:right w:val="single" w:sz="8" w:space="0" w:color="auto"/>
            </w:tcBorders>
            <w:shd w:val="clear" w:color="auto" w:fill="auto"/>
            <w:noWrap/>
            <w:vAlign w:val="bottom"/>
            <w:hideMark/>
          </w:tcPr>
          <w:p w:rsidR="007328C2" w:rsidRPr="007328C2" w:rsidRDefault="00396EA7" w:rsidP="007328C2">
            <w:pPr>
              <w:rPr>
                <w:rFonts w:ascii="Calibri" w:hAnsi="Calibri"/>
                <w:snapToGrid/>
                <w:color w:val="000000"/>
                <w:szCs w:val="22"/>
                <w:lang w:val="hu-HU"/>
              </w:rPr>
            </w:pPr>
            <w:r>
              <w:rPr>
                <w:rFonts w:ascii="Calibri" w:hAnsi="Calibri"/>
                <w:snapToGrid/>
                <w:color w:val="000000"/>
                <w:szCs w:val="22"/>
                <w:lang w:val="hu-HU"/>
              </w:rPr>
              <w:t>E</w:t>
            </w:r>
            <w:r w:rsidR="00CB62B8">
              <w:rPr>
                <w:rFonts w:ascii="Calibri" w:hAnsi="Calibri"/>
                <w:snapToGrid/>
                <w:color w:val="000000"/>
                <w:szCs w:val="22"/>
                <w:lang w:val="hu-HU"/>
              </w:rPr>
              <w:t>bből ü</w:t>
            </w:r>
            <w:r w:rsidR="007328C2" w:rsidRPr="007328C2">
              <w:rPr>
                <w:rFonts w:ascii="Calibri" w:hAnsi="Calibri"/>
                <w:snapToGrid/>
                <w:color w:val="000000"/>
                <w:szCs w:val="22"/>
                <w:lang w:val="hu-HU"/>
              </w:rPr>
              <w:t>gyfélplatform</w:t>
            </w:r>
            <w:r w:rsidR="00CB62B8">
              <w:rPr>
                <w:rFonts w:ascii="Calibri" w:hAnsi="Calibri"/>
                <w:snapToGrid/>
                <w:color w:val="000000"/>
                <w:szCs w:val="22"/>
                <w:lang w:val="hu-HU"/>
              </w:rPr>
              <w:t>on kezdeményezett</w:t>
            </w:r>
          </w:p>
        </w:tc>
        <w:tc>
          <w:tcPr>
            <w:tcW w:w="1886" w:type="dxa"/>
            <w:tcBorders>
              <w:top w:val="nil"/>
              <w:left w:val="nil"/>
              <w:bottom w:val="single" w:sz="8" w:space="0" w:color="auto"/>
              <w:right w:val="single" w:sz="4" w:space="0" w:color="auto"/>
            </w:tcBorders>
            <w:shd w:val="clear" w:color="auto" w:fill="auto"/>
            <w:noWrap/>
            <w:vAlign w:val="bottom"/>
            <w:hideMark/>
          </w:tcPr>
          <w:p w:rsidR="007328C2" w:rsidRPr="007328C2" w:rsidRDefault="007328C2" w:rsidP="007328C2">
            <w:pPr>
              <w:jc w:val="center"/>
              <w:rPr>
                <w:rFonts w:ascii="Calibri" w:hAnsi="Calibri"/>
                <w:snapToGrid/>
                <w:color w:val="000000"/>
                <w:szCs w:val="22"/>
                <w:lang w:val="hu-HU"/>
              </w:rPr>
            </w:pPr>
            <w:r w:rsidRPr="007328C2">
              <w:rPr>
                <w:rFonts w:ascii="Calibri" w:hAnsi="Calibri"/>
                <w:snapToGrid/>
                <w:color w:val="000000"/>
                <w:szCs w:val="22"/>
                <w:lang w:val="hu-HU"/>
              </w:rPr>
              <w:t>X</w:t>
            </w:r>
          </w:p>
        </w:tc>
        <w:tc>
          <w:tcPr>
            <w:tcW w:w="2920" w:type="dxa"/>
            <w:tcBorders>
              <w:top w:val="nil"/>
              <w:left w:val="nil"/>
              <w:bottom w:val="single" w:sz="8" w:space="0" w:color="auto"/>
              <w:right w:val="single" w:sz="8" w:space="0" w:color="auto"/>
            </w:tcBorders>
            <w:shd w:val="clear" w:color="auto" w:fill="auto"/>
            <w:noWrap/>
            <w:vAlign w:val="bottom"/>
            <w:hideMark/>
          </w:tcPr>
          <w:p w:rsidR="007328C2" w:rsidRPr="007328C2" w:rsidRDefault="007328C2" w:rsidP="007328C2">
            <w:pPr>
              <w:jc w:val="center"/>
              <w:rPr>
                <w:rFonts w:ascii="Calibri" w:hAnsi="Calibri"/>
                <w:snapToGrid/>
                <w:color w:val="000000"/>
                <w:szCs w:val="22"/>
                <w:lang w:val="hu-HU"/>
              </w:rPr>
            </w:pPr>
            <w:r w:rsidRPr="007328C2">
              <w:rPr>
                <w:rFonts w:ascii="Calibri" w:hAnsi="Calibri"/>
                <w:snapToGrid/>
                <w:color w:val="000000"/>
                <w:szCs w:val="22"/>
                <w:lang w:val="hu-HU"/>
              </w:rPr>
              <w:t>X</w:t>
            </w:r>
          </w:p>
        </w:tc>
      </w:tr>
    </w:tbl>
    <w:p w:rsidR="00395A28" w:rsidRPr="00395A28" w:rsidRDefault="00395A28" w:rsidP="00395A28">
      <w:pPr>
        <w:pStyle w:val="Paragraph"/>
      </w:pPr>
    </w:p>
    <w:p w:rsidR="00563213" w:rsidRPr="00B05124" w:rsidRDefault="00563213" w:rsidP="00563213">
      <w:pPr>
        <w:pStyle w:val="IndentedHeading1"/>
        <w:rPr>
          <w:rFonts w:cs="Arial"/>
          <w:b/>
          <w:sz w:val="26"/>
          <w:szCs w:val="26"/>
          <w:lang w:val="hu-HU"/>
        </w:rPr>
      </w:pPr>
      <w:bookmarkStart w:id="41" w:name="OLE_LINK3"/>
      <w:bookmarkStart w:id="42" w:name="OLE_LINK9"/>
      <w:bookmarkStart w:id="43" w:name="_Toc533082335"/>
      <w:r w:rsidRPr="00B05124">
        <w:rPr>
          <w:rFonts w:cs="Arial"/>
          <w:b/>
          <w:sz w:val="26"/>
          <w:szCs w:val="26"/>
          <w:lang w:val="hu-HU"/>
        </w:rPr>
        <w:t>J.</w:t>
      </w:r>
      <w:r w:rsidRPr="00B05124">
        <w:rPr>
          <w:rFonts w:cs="Arial"/>
          <w:b/>
          <w:sz w:val="26"/>
          <w:szCs w:val="26"/>
          <w:lang w:val="hu-HU"/>
        </w:rPr>
        <w:tab/>
        <w:t>A szerződéskötés lehetséges módjai</w:t>
      </w:r>
      <w:bookmarkEnd w:id="43"/>
    </w:p>
    <w:bookmarkEnd w:id="41"/>
    <w:bookmarkEnd w:id="42"/>
    <w:p w:rsidR="00955BA7" w:rsidRPr="00B05124" w:rsidRDefault="00955BA7" w:rsidP="00666ADE">
      <w:pPr>
        <w:pStyle w:val="Paragraph"/>
      </w:pPr>
      <w:r w:rsidRPr="00B05124">
        <w:t>A deviza szerződéskötés lehetséges módjait tartalmazó táblázat</w:t>
      </w:r>
      <w:r w:rsidR="00FC36E5">
        <w:t xml:space="preserve">ban </w:t>
      </w:r>
      <w:r w:rsidRPr="00B05124">
        <w:t xml:space="preserve">(C táblázat sablon) </w:t>
      </w:r>
      <w:r w:rsidR="00FC36E5">
        <w:t xml:space="preserve">a </w:t>
      </w:r>
      <w:r w:rsidRPr="00B05124">
        <w:t xml:space="preserve">rendező elv két dimenzió mentén osztályozza az ügyletkötéseket: (i) „telefonos” vagy „elektronikus,” illetve (ii) „közvetlen” vagy „közvetett”. Ez négy alap kategóriát eredményez: telefonos közvetlen, telefonos közvetett, elektronikus közvetlen és elektronikus közvetett. </w:t>
      </w:r>
    </w:p>
    <w:p w:rsidR="00362966" w:rsidRPr="00B05124" w:rsidRDefault="00362966" w:rsidP="00666ADE">
      <w:pPr>
        <w:pStyle w:val="Paragraph"/>
      </w:pPr>
      <w:r w:rsidRPr="00B05124">
        <w:t>Hogy továbbra is úgy rögzítsük a különböző típusú elektronikus platformokon folytatott forgalmat, mint a korábbi felmérésekben, a két utóbbi „elektronikus” kategóriát alkategóriákkal egészítettük ki: az adott bank saját kereskedési rendszere, egyéb közvetlen elektronikus rendszerek,</w:t>
      </w:r>
      <w:r w:rsidR="00FE6DFD">
        <w:t xml:space="preserve"> anonim vagy nyilvános rendszerek,</w:t>
      </w:r>
      <w:r w:rsidRPr="00B05124">
        <w:t xml:space="preserve"> Reuters Matching/</w:t>
      </w:r>
      <w:proofErr w:type="spellStart"/>
      <w:r w:rsidRPr="00B05124">
        <w:t>EBS</w:t>
      </w:r>
      <w:proofErr w:type="spellEnd"/>
      <w:r w:rsidRPr="00B05124">
        <w:t>, egyéb elektronikus kommunikációs hálózatok (</w:t>
      </w:r>
      <w:proofErr w:type="spellStart"/>
      <w:r w:rsidRPr="00B05124">
        <w:t>ECN</w:t>
      </w:r>
      <w:proofErr w:type="spellEnd"/>
      <w:r w:rsidRPr="00B05124">
        <w:t xml:space="preserve">) stb. </w:t>
      </w:r>
    </w:p>
    <w:p w:rsidR="00A95C95" w:rsidRPr="00B05124" w:rsidRDefault="00A95C95" w:rsidP="00666ADE">
      <w:pPr>
        <w:pStyle w:val="Paragraph"/>
      </w:pPr>
      <w:r w:rsidRPr="00B05124">
        <w:t xml:space="preserve">A telefonon kezdeményezett kötéseket a „telefonos” kategóriába kell sorolni, függetlenül attól, hogyan kerülnek később párosításra. </w:t>
      </w:r>
    </w:p>
    <w:p w:rsidR="00747BD2" w:rsidRPr="00B05124" w:rsidRDefault="00747BD2" w:rsidP="00666ADE">
      <w:pPr>
        <w:pStyle w:val="Paragraph"/>
      </w:pPr>
      <w:r w:rsidRPr="00B05124">
        <w:t xml:space="preserve">Ezek a szerződéskötési módok további bontásra kerülnek instrumentumok és partnerek (csak a három </w:t>
      </w:r>
      <w:proofErr w:type="spellStart"/>
      <w:r w:rsidRPr="00B05124">
        <w:t>főtípus</w:t>
      </w:r>
      <w:proofErr w:type="spellEnd"/>
      <w:r w:rsidRPr="00B05124">
        <w:t>) szerint a C táblázat sablonban.</w:t>
      </w:r>
    </w:p>
    <w:p w:rsidR="007532A9" w:rsidRPr="00B05124" w:rsidRDefault="00955BA7" w:rsidP="00666ADE">
      <w:pPr>
        <w:pStyle w:val="TableTitle"/>
      </w:pPr>
      <w:r w:rsidRPr="00B05124">
        <w:t>A szerződéskötési módok kategóriái és meghatározásuk</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6237"/>
      </w:tblGrid>
      <w:tr w:rsidR="007532A9" w:rsidRPr="00B05124">
        <w:tblPrEx>
          <w:tblCellMar>
            <w:top w:w="0" w:type="dxa"/>
            <w:bottom w:w="0" w:type="dxa"/>
          </w:tblCellMar>
        </w:tblPrEx>
        <w:trPr>
          <w:cantSplit/>
        </w:trPr>
        <w:tc>
          <w:tcPr>
            <w:tcW w:w="2835" w:type="dxa"/>
            <w:tcBorders>
              <w:top w:val="single" w:sz="4" w:space="0" w:color="auto"/>
              <w:bottom w:val="single" w:sz="4" w:space="0" w:color="auto"/>
              <w:right w:val="single" w:sz="4" w:space="0" w:color="auto"/>
            </w:tcBorders>
          </w:tcPr>
          <w:p w:rsidR="007532A9" w:rsidRPr="00B05124" w:rsidRDefault="00955BA7" w:rsidP="00666ADE">
            <w:pPr>
              <w:pStyle w:val="TableColumnHeading"/>
            </w:pPr>
            <w:r w:rsidRPr="00B05124">
              <w:t>Kategória</w:t>
            </w:r>
          </w:p>
        </w:tc>
        <w:tc>
          <w:tcPr>
            <w:tcW w:w="6237" w:type="dxa"/>
            <w:tcBorders>
              <w:top w:val="single" w:sz="4" w:space="0" w:color="auto"/>
              <w:left w:val="single" w:sz="4" w:space="0" w:color="auto"/>
              <w:bottom w:val="single" w:sz="4" w:space="0" w:color="auto"/>
            </w:tcBorders>
          </w:tcPr>
          <w:p w:rsidR="007532A9" w:rsidRPr="00B05124" w:rsidRDefault="00955BA7" w:rsidP="00666ADE">
            <w:pPr>
              <w:pStyle w:val="TableColumnHeading"/>
            </w:pPr>
            <w:r w:rsidRPr="00B05124">
              <w:t>Meghatározás</w:t>
            </w:r>
          </w:p>
        </w:tc>
      </w:tr>
      <w:tr w:rsidR="007532A9" w:rsidRPr="00B05124">
        <w:tblPrEx>
          <w:tblCellMar>
            <w:top w:w="0" w:type="dxa"/>
            <w:bottom w:w="0" w:type="dxa"/>
          </w:tblCellMar>
        </w:tblPrEx>
        <w:trPr>
          <w:cantSplit/>
        </w:trPr>
        <w:tc>
          <w:tcPr>
            <w:tcW w:w="2835" w:type="dxa"/>
            <w:tcBorders>
              <w:top w:val="single" w:sz="4" w:space="0" w:color="auto"/>
              <w:bottom w:val="single" w:sz="4" w:space="0" w:color="auto"/>
              <w:right w:val="single" w:sz="4" w:space="0" w:color="auto"/>
            </w:tcBorders>
          </w:tcPr>
          <w:p w:rsidR="007532A9" w:rsidRPr="00B05124" w:rsidRDefault="00101F8F" w:rsidP="00666ADE">
            <w:pPr>
              <w:pStyle w:val="TableRowHeading"/>
            </w:pPr>
            <w:r w:rsidRPr="00B05124">
              <w:t xml:space="preserve">Telefonos–közvetlen </w:t>
            </w:r>
          </w:p>
        </w:tc>
        <w:tc>
          <w:tcPr>
            <w:tcW w:w="6237" w:type="dxa"/>
            <w:tcBorders>
              <w:top w:val="single" w:sz="4" w:space="0" w:color="auto"/>
              <w:left w:val="single" w:sz="4" w:space="0" w:color="auto"/>
              <w:bottom w:val="single" w:sz="4" w:space="0" w:color="auto"/>
            </w:tcBorders>
          </w:tcPr>
          <w:p w:rsidR="007532A9" w:rsidRPr="00C9492F" w:rsidRDefault="00405941" w:rsidP="00C9492F">
            <w:pPr>
              <w:autoSpaceDE w:val="0"/>
              <w:autoSpaceDN w:val="0"/>
              <w:adjustRightInd w:val="0"/>
              <w:rPr>
                <w:rFonts w:ascii="ArialMT" w:hAnsi="ArialMT" w:cs="ArialMT"/>
                <w:snapToGrid/>
                <w:sz w:val="20"/>
                <w:lang w:val="hu-HU"/>
              </w:rPr>
            </w:pPr>
            <w:r>
              <w:rPr>
                <w:rFonts w:ascii="ArialMT" w:hAnsi="ArialMT" w:cs="ArialMT"/>
                <w:snapToGrid/>
                <w:sz w:val="20"/>
                <w:lang w:val="hu-HU"/>
              </w:rPr>
              <w:t>Személyesen történik a kötés telefonon, telefaxon vagy általános levelezőrendszeren (</w:t>
            </w:r>
            <w:r w:rsidR="003323BD">
              <w:rPr>
                <w:rFonts w:ascii="ArialMT" w:hAnsi="ArialMT" w:cs="ArialMT"/>
                <w:snapToGrid/>
                <w:sz w:val="20"/>
                <w:lang w:val="hu-HU"/>
              </w:rPr>
              <w:t>pl. Outlook, Hotmail, Gmail vagy Yahoo mail) keresztül, függetlenül attól, hogy ezt követően az ügyleteket miként párosították</w:t>
            </w:r>
            <w:r w:rsidR="00F840CB">
              <w:rPr>
                <w:rFonts w:ascii="ArialMT" w:hAnsi="ArialMT" w:cs="ArialMT"/>
                <w:snapToGrid/>
                <w:sz w:val="20"/>
                <w:lang w:val="hu-HU"/>
              </w:rPr>
              <w:t>,</w:t>
            </w:r>
            <w:r w:rsidR="003323BD">
              <w:rPr>
                <w:rFonts w:ascii="ArialMT" w:hAnsi="ArialMT" w:cs="ArialMT"/>
                <w:snapToGrid/>
                <w:sz w:val="20"/>
                <w:lang w:val="hu-HU"/>
              </w:rPr>
              <w:t xml:space="preserve"> harmadik fél közvetítése nélkül. </w:t>
            </w:r>
          </w:p>
        </w:tc>
      </w:tr>
      <w:tr w:rsidR="007532A9" w:rsidRPr="00B05124">
        <w:tblPrEx>
          <w:tblCellMar>
            <w:top w:w="0" w:type="dxa"/>
            <w:bottom w:w="0" w:type="dxa"/>
          </w:tblCellMar>
        </w:tblPrEx>
        <w:trPr>
          <w:cantSplit/>
        </w:trPr>
        <w:tc>
          <w:tcPr>
            <w:tcW w:w="2835" w:type="dxa"/>
            <w:tcBorders>
              <w:top w:val="single" w:sz="4" w:space="0" w:color="auto"/>
              <w:bottom w:val="single" w:sz="4" w:space="0" w:color="auto"/>
              <w:right w:val="single" w:sz="4" w:space="0" w:color="auto"/>
            </w:tcBorders>
          </w:tcPr>
          <w:p w:rsidR="007532A9" w:rsidRPr="00B05124" w:rsidRDefault="00101F8F" w:rsidP="00101F8F">
            <w:pPr>
              <w:pStyle w:val="Default"/>
              <w:spacing w:before="60" w:after="60"/>
              <w:rPr>
                <w:rFonts w:cs="Times New Roman"/>
                <w:color w:val="auto"/>
                <w:lang w:val="hu-HU"/>
              </w:rPr>
            </w:pPr>
            <w:r w:rsidRPr="00B05124">
              <w:rPr>
                <w:rFonts w:cs="Times New Roman"/>
                <w:color w:val="auto"/>
                <w:sz w:val="20"/>
                <w:lang w:val="hu-HU"/>
              </w:rPr>
              <w:t xml:space="preserve">Telefonos–közvetett </w:t>
            </w:r>
          </w:p>
        </w:tc>
        <w:tc>
          <w:tcPr>
            <w:tcW w:w="6237" w:type="dxa"/>
            <w:tcBorders>
              <w:top w:val="single" w:sz="4" w:space="0" w:color="auto"/>
              <w:left w:val="single" w:sz="4" w:space="0" w:color="auto"/>
              <w:bottom w:val="single" w:sz="4" w:space="0" w:color="auto"/>
            </w:tcBorders>
          </w:tcPr>
          <w:p w:rsidR="007532A9" w:rsidRPr="00B05124" w:rsidRDefault="00101F8F" w:rsidP="00666ADE">
            <w:pPr>
              <w:pStyle w:val="TableText"/>
              <w:framePr w:wrap="around"/>
            </w:pPr>
            <w:r w:rsidRPr="00B05124">
              <w:t xml:space="preserve">Telefonon történik a kötés, harmadik személy (pl. </w:t>
            </w:r>
            <w:proofErr w:type="spellStart"/>
            <w:r w:rsidRPr="00B05124">
              <w:t>voice</w:t>
            </w:r>
            <w:proofErr w:type="spellEnd"/>
            <w:r w:rsidRPr="00B05124">
              <w:t xml:space="preserve"> </w:t>
            </w:r>
            <w:proofErr w:type="spellStart"/>
            <w:r w:rsidRPr="00B05124">
              <w:t>broker</w:t>
            </w:r>
            <w:proofErr w:type="spellEnd"/>
            <w:r w:rsidRPr="00B05124">
              <w:t>) közvetítésével.</w:t>
            </w:r>
          </w:p>
        </w:tc>
      </w:tr>
      <w:tr w:rsidR="007532A9" w:rsidRPr="00B05124">
        <w:tblPrEx>
          <w:tblCellMar>
            <w:top w:w="0" w:type="dxa"/>
            <w:bottom w:w="0" w:type="dxa"/>
          </w:tblCellMar>
        </w:tblPrEx>
        <w:trPr>
          <w:cantSplit/>
        </w:trPr>
        <w:tc>
          <w:tcPr>
            <w:tcW w:w="2835" w:type="dxa"/>
            <w:tcBorders>
              <w:top w:val="single" w:sz="4" w:space="0" w:color="auto"/>
              <w:bottom w:val="nil"/>
              <w:right w:val="single" w:sz="4" w:space="0" w:color="auto"/>
            </w:tcBorders>
          </w:tcPr>
          <w:p w:rsidR="007532A9" w:rsidRPr="00A4615C" w:rsidRDefault="00101F8F" w:rsidP="00101F8F">
            <w:pPr>
              <w:pStyle w:val="Default"/>
              <w:spacing w:before="60" w:after="60"/>
              <w:rPr>
                <w:rFonts w:cs="Times New Roman"/>
                <w:color w:val="auto"/>
                <w:lang w:val="hu-HU"/>
              </w:rPr>
            </w:pPr>
            <w:r w:rsidRPr="00A4615C">
              <w:rPr>
                <w:rFonts w:cs="Times New Roman"/>
                <w:color w:val="auto"/>
                <w:sz w:val="20"/>
                <w:lang w:val="hu-HU"/>
              </w:rPr>
              <w:t xml:space="preserve">Elektronikus–közvetlen </w:t>
            </w:r>
          </w:p>
        </w:tc>
        <w:tc>
          <w:tcPr>
            <w:tcW w:w="6237" w:type="dxa"/>
            <w:tcBorders>
              <w:top w:val="single" w:sz="4" w:space="0" w:color="auto"/>
              <w:left w:val="single" w:sz="4" w:space="0" w:color="auto"/>
              <w:bottom w:val="nil"/>
            </w:tcBorders>
          </w:tcPr>
          <w:p w:rsidR="007532A9" w:rsidRPr="004049F3" w:rsidRDefault="00101F8F" w:rsidP="004049F3">
            <w:pPr>
              <w:autoSpaceDE w:val="0"/>
              <w:autoSpaceDN w:val="0"/>
              <w:adjustRightInd w:val="0"/>
              <w:jc w:val="both"/>
              <w:rPr>
                <w:rFonts w:cs="Arial"/>
                <w:snapToGrid/>
                <w:sz w:val="20"/>
                <w:lang w:val="hu-HU"/>
              </w:rPr>
            </w:pPr>
            <w:r w:rsidRPr="004049F3">
              <w:rPr>
                <w:rFonts w:cs="Arial"/>
                <w:sz w:val="20"/>
                <w:lang w:val="hu-HU"/>
              </w:rPr>
              <w:t>Elektronikus médiumon keresztül történik a kötés, harmadik személy közvetítése nélkül.</w:t>
            </w:r>
            <w:r w:rsidR="00F32066" w:rsidRPr="004049F3">
              <w:rPr>
                <w:rFonts w:cs="Arial"/>
                <w:sz w:val="20"/>
                <w:lang w:val="hu-HU"/>
              </w:rPr>
              <w:t xml:space="preserve"> </w:t>
            </w:r>
            <w:r w:rsidR="002363CC" w:rsidRPr="004049F3">
              <w:rPr>
                <w:rFonts w:cs="Arial"/>
                <w:sz w:val="20"/>
                <w:lang w:val="hu-HU"/>
              </w:rPr>
              <w:t xml:space="preserve"> Ez </w:t>
            </w:r>
            <w:r w:rsidR="00B21D37" w:rsidRPr="004049F3">
              <w:rPr>
                <w:rFonts w:cs="Arial"/>
                <w:sz w:val="20"/>
                <w:lang w:val="hu-HU"/>
              </w:rPr>
              <w:t xml:space="preserve">a kategória </w:t>
            </w:r>
            <w:r w:rsidR="002363CC" w:rsidRPr="004049F3">
              <w:rPr>
                <w:rFonts w:cs="Arial"/>
                <w:sz w:val="20"/>
                <w:lang w:val="hu-HU"/>
              </w:rPr>
              <w:t xml:space="preserve">tartalmazza </w:t>
            </w:r>
            <w:r w:rsidR="00B21D37" w:rsidRPr="004049F3">
              <w:rPr>
                <w:rFonts w:cs="Arial"/>
                <w:sz w:val="20"/>
                <w:lang w:val="hu-HU"/>
              </w:rPr>
              <w:t>az elekt</w:t>
            </w:r>
            <w:r w:rsidR="00806BC6" w:rsidRPr="004049F3">
              <w:rPr>
                <w:rFonts w:cs="Arial"/>
                <w:sz w:val="20"/>
                <w:lang w:val="hu-HU"/>
              </w:rPr>
              <w:t>ronikus kereskedési platformokhoz</w:t>
            </w:r>
            <w:r w:rsidR="00B21D37" w:rsidRPr="004049F3">
              <w:rPr>
                <w:rFonts w:cs="Arial"/>
                <w:sz w:val="20"/>
                <w:lang w:val="hu-HU"/>
              </w:rPr>
              <w:t xml:space="preserve"> kapcsolódó speciális levelezési rendszereken keresztül megkötött ügyleteket.</w:t>
            </w:r>
          </w:p>
        </w:tc>
      </w:tr>
      <w:tr w:rsidR="007532A9" w:rsidRPr="00B05124">
        <w:tblPrEx>
          <w:tblCellMar>
            <w:top w:w="0" w:type="dxa"/>
            <w:bottom w:w="0" w:type="dxa"/>
          </w:tblCellMar>
        </w:tblPrEx>
        <w:trPr>
          <w:cantSplit/>
        </w:trPr>
        <w:tc>
          <w:tcPr>
            <w:tcW w:w="2835" w:type="dxa"/>
            <w:tcBorders>
              <w:top w:val="nil"/>
              <w:bottom w:val="nil"/>
              <w:right w:val="single" w:sz="4" w:space="0" w:color="auto"/>
            </w:tcBorders>
          </w:tcPr>
          <w:p w:rsidR="007532A9" w:rsidRPr="00B05124" w:rsidRDefault="00101F8F" w:rsidP="00101F8F">
            <w:pPr>
              <w:pStyle w:val="Default"/>
              <w:spacing w:before="60" w:after="60"/>
              <w:rPr>
                <w:rFonts w:cs="Times New Roman"/>
                <w:color w:val="auto"/>
                <w:lang w:val="hu-HU"/>
              </w:rPr>
            </w:pPr>
            <w:r w:rsidRPr="00B05124">
              <w:rPr>
                <w:rFonts w:cs="Times New Roman"/>
                <w:i/>
                <w:color w:val="auto"/>
                <w:sz w:val="20"/>
                <w:lang w:val="hu-HU"/>
              </w:rPr>
              <w:t xml:space="preserve">ebből: </w:t>
            </w:r>
          </w:p>
        </w:tc>
        <w:tc>
          <w:tcPr>
            <w:tcW w:w="6237" w:type="dxa"/>
            <w:tcBorders>
              <w:top w:val="nil"/>
              <w:left w:val="single" w:sz="4" w:space="0" w:color="auto"/>
              <w:bottom w:val="nil"/>
            </w:tcBorders>
          </w:tcPr>
          <w:p w:rsidR="007532A9" w:rsidRPr="00E42FDD" w:rsidRDefault="007532A9" w:rsidP="004049F3">
            <w:pPr>
              <w:pStyle w:val="TableText"/>
              <w:framePr w:wrap="around"/>
              <w:jc w:val="both"/>
              <w:rPr>
                <w:rFonts w:cs="Arial"/>
                <w:szCs w:val="20"/>
              </w:rPr>
            </w:pPr>
          </w:p>
        </w:tc>
      </w:tr>
      <w:tr w:rsidR="007532A9" w:rsidRPr="00B05124">
        <w:tblPrEx>
          <w:tblCellMar>
            <w:top w:w="0" w:type="dxa"/>
            <w:bottom w:w="0" w:type="dxa"/>
          </w:tblCellMar>
        </w:tblPrEx>
        <w:trPr>
          <w:cantSplit/>
        </w:trPr>
        <w:tc>
          <w:tcPr>
            <w:tcW w:w="2835" w:type="dxa"/>
            <w:tcBorders>
              <w:top w:val="nil"/>
              <w:bottom w:val="nil"/>
              <w:right w:val="single" w:sz="4" w:space="0" w:color="auto"/>
            </w:tcBorders>
          </w:tcPr>
          <w:p w:rsidR="007532A9" w:rsidRPr="00B05124" w:rsidRDefault="00362966" w:rsidP="00362966">
            <w:pPr>
              <w:pStyle w:val="Default"/>
              <w:spacing w:before="60" w:after="60"/>
              <w:ind w:left="284"/>
              <w:rPr>
                <w:rFonts w:cs="Times New Roman"/>
                <w:color w:val="auto"/>
                <w:lang w:val="hu-HU"/>
              </w:rPr>
            </w:pPr>
            <w:r w:rsidRPr="00B05124">
              <w:rPr>
                <w:rFonts w:cs="Times New Roman"/>
                <w:color w:val="auto"/>
                <w:sz w:val="20"/>
                <w:lang w:val="hu-HU"/>
              </w:rPr>
              <w:t xml:space="preserve">Az adott bank saját kereskedési rendszere </w:t>
            </w:r>
          </w:p>
        </w:tc>
        <w:tc>
          <w:tcPr>
            <w:tcW w:w="6237" w:type="dxa"/>
            <w:tcBorders>
              <w:top w:val="nil"/>
              <w:left w:val="single" w:sz="4" w:space="0" w:color="auto"/>
              <w:bottom w:val="nil"/>
            </w:tcBorders>
          </w:tcPr>
          <w:p w:rsidR="007532A9" w:rsidRPr="00E42FDD" w:rsidRDefault="00362966" w:rsidP="004049F3">
            <w:pPr>
              <w:pStyle w:val="TableText"/>
              <w:framePr w:wrap="around"/>
              <w:jc w:val="both"/>
              <w:rPr>
                <w:rFonts w:cs="Arial"/>
                <w:szCs w:val="20"/>
              </w:rPr>
            </w:pPr>
            <w:r w:rsidRPr="00E42FDD">
              <w:rPr>
                <w:rFonts w:cs="Arial"/>
                <w:szCs w:val="20"/>
              </w:rPr>
              <w:t xml:space="preserve">Az adott bank tulajdonában lévő és általa működtetett </w:t>
            </w:r>
            <w:r w:rsidR="008775B2" w:rsidRPr="00E42FDD">
              <w:rPr>
                <w:rFonts w:cs="Arial"/>
                <w:szCs w:val="20"/>
              </w:rPr>
              <w:t>(házon belüli vagy más bank</w:t>
            </w:r>
            <w:r w:rsidR="008775B2" w:rsidRPr="00190E62">
              <w:rPr>
                <w:rFonts w:cs="Arial"/>
                <w:szCs w:val="20"/>
              </w:rPr>
              <w:t xml:space="preserve">/ügyfél </w:t>
            </w:r>
            <w:proofErr w:type="spellStart"/>
            <w:r w:rsidR="008775B2" w:rsidRPr="00190E62">
              <w:rPr>
                <w:rFonts w:cs="Arial"/>
                <w:szCs w:val="20"/>
              </w:rPr>
              <w:t>white</w:t>
            </w:r>
            <w:proofErr w:type="spellEnd"/>
            <w:r w:rsidR="008775B2" w:rsidRPr="00190E62">
              <w:rPr>
                <w:rFonts w:cs="Arial"/>
                <w:szCs w:val="20"/>
              </w:rPr>
              <w:t xml:space="preserve"> </w:t>
            </w:r>
            <w:proofErr w:type="spellStart"/>
            <w:r w:rsidR="008775B2" w:rsidRPr="00190E62">
              <w:rPr>
                <w:rFonts w:cs="Arial"/>
                <w:szCs w:val="20"/>
              </w:rPr>
              <w:t>label</w:t>
            </w:r>
            <w:proofErr w:type="spellEnd"/>
            <w:r w:rsidR="008775B2" w:rsidRPr="00190E62">
              <w:rPr>
                <w:rFonts w:cs="Arial"/>
                <w:szCs w:val="20"/>
              </w:rPr>
              <w:t>/</w:t>
            </w:r>
            <w:proofErr w:type="spellStart"/>
            <w:r w:rsidR="008775B2" w:rsidRPr="00190E62">
              <w:rPr>
                <w:rFonts w:cs="Arial"/>
                <w:szCs w:val="20"/>
              </w:rPr>
              <w:t>prime</w:t>
            </w:r>
            <w:proofErr w:type="spellEnd"/>
            <w:r w:rsidR="008775B2" w:rsidRPr="00190E62">
              <w:rPr>
                <w:rFonts w:cs="Arial"/>
                <w:szCs w:val="20"/>
              </w:rPr>
              <w:t xml:space="preserve"> </w:t>
            </w:r>
            <w:proofErr w:type="spellStart"/>
            <w:r w:rsidR="008775B2" w:rsidRPr="00190E62">
              <w:rPr>
                <w:rFonts w:cs="Arial"/>
                <w:szCs w:val="20"/>
              </w:rPr>
              <w:t>brokerage</w:t>
            </w:r>
            <w:proofErr w:type="spellEnd"/>
            <w:r w:rsidR="008775B2" w:rsidRPr="00190E62">
              <w:rPr>
                <w:rFonts w:cs="Arial"/>
                <w:szCs w:val="20"/>
              </w:rPr>
              <w:t xml:space="preserve">) </w:t>
            </w:r>
            <w:r w:rsidRPr="00190E62">
              <w:rPr>
                <w:rFonts w:cs="Arial"/>
                <w:szCs w:val="20"/>
              </w:rPr>
              <w:t>elektronikus kereskedési rendszer</w:t>
            </w:r>
            <w:r w:rsidR="008775B2" w:rsidRPr="00E42FDD">
              <w:rPr>
                <w:rStyle w:val="FootnoteReference"/>
                <w:rFonts w:cs="Arial"/>
                <w:szCs w:val="20"/>
              </w:rPr>
              <w:footnoteReference w:id="11"/>
            </w:r>
            <w:r w:rsidRPr="00E42FDD">
              <w:rPr>
                <w:rFonts w:cs="Arial"/>
                <w:szCs w:val="20"/>
              </w:rPr>
              <w:t xml:space="preserve"> (pl. </w:t>
            </w:r>
            <w:proofErr w:type="spellStart"/>
            <w:r w:rsidRPr="00E42FDD">
              <w:rPr>
                <w:rFonts w:cs="Arial"/>
                <w:szCs w:val="20"/>
              </w:rPr>
              <w:t>Autobahn</w:t>
            </w:r>
            <w:proofErr w:type="spellEnd"/>
            <w:r w:rsidRPr="00E42FDD">
              <w:rPr>
                <w:rFonts w:cs="Arial"/>
                <w:szCs w:val="20"/>
              </w:rPr>
              <w:t xml:space="preserve">, </w:t>
            </w:r>
            <w:proofErr w:type="spellStart"/>
            <w:r w:rsidRPr="00E42FDD">
              <w:rPr>
                <w:rFonts w:cs="Arial"/>
                <w:szCs w:val="20"/>
              </w:rPr>
              <w:t>BARX</w:t>
            </w:r>
            <w:proofErr w:type="spellEnd"/>
            <w:r w:rsidRPr="00E42FDD">
              <w:rPr>
                <w:rFonts w:cs="Arial"/>
                <w:szCs w:val="20"/>
              </w:rPr>
              <w:t xml:space="preserve">, </w:t>
            </w:r>
            <w:proofErr w:type="spellStart"/>
            <w:r w:rsidRPr="00E42FDD">
              <w:rPr>
                <w:rFonts w:cs="Arial"/>
                <w:szCs w:val="20"/>
              </w:rPr>
              <w:t>Velocity</w:t>
            </w:r>
            <w:proofErr w:type="spellEnd"/>
            <w:r w:rsidRPr="00E42FDD">
              <w:rPr>
                <w:rFonts w:cs="Arial"/>
                <w:szCs w:val="20"/>
              </w:rPr>
              <w:t xml:space="preserve">, </w:t>
            </w:r>
            <w:proofErr w:type="spellStart"/>
            <w:r w:rsidRPr="00E42FDD">
              <w:rPr>
                <w:rFonts w:cs="Arial"/>
                <w:szCs w:val="20"/>
              </w:rPr>
              <w:t>FX</w:t>
            </w:r>
            <w:proofErr w:type="spellEnd"/>
            <w:r w:rsidRPr="00E42FDD">
              <w:rPr>
                <w:rFonts w:cs="Arial"/>
                <w:szCs w:val="20"/>
              </w:rPr>
              <w:t xml:space="preserve"> </w:t>
            </w:r>
            <w:proofErr w:type="spellStart"/>
            <w:r w:rsidRPr="00E42FDD">
              <w:rPr>
                <w:rFonts w:cs="Arial"/>
                <w:szCs w:val="20"/>
              </w:rPr>
              <w:t>Trader</w:t>
            </w:r>
            <w:proofErr w:type="spellEnd"/>
            <w:r w:rsidRPr="00E42FDD">
              <w:rPr>
                <w:rFonts w:cs="Arial"/>
                <w:szCs w:val="20"/>
              </w:rPr>
              <w:t xml:space="preserve"> Plus stb.). </w:t>
            </w:r>
          </w:p>
        </w:tc>
      </w:tr>
      <w:tr w:rsidR="007532A9" w:rsidRPr="00B05124" w:rsidTr="004049F3">
        <w:tblPrEx>
          <w:tblCellMar>
            <w:top w:w="0" w:type="dxa"/>
            <w:bottom w:w="0" w:type="dxa"/>
          </w:tblCellMar>
        </w:tblPrEx>
        <w:trPr>
          <w:cantSplit/>
        </w:trPr>
        <w:tc>
          <w:tcPr>
            <w:tcW w:w="2835" w:type="dxa"/>
            <w:tcBorders>
              <w:top w:val="nil"/>
              <w:bottom w:val="single" w:sz="4" w:space="0" w:color="auto"/>
              <w:right w:val="single" w:sz="4" w:space="0" w:color="auto"/>
            </w:tcBorders>
          </w:tcPr>
          <w:p w:rsidR="00DB203A" w:rsidRDefault="00DB203A" w:rsidP="00101F8F">
            <w:pPr>
              <w:pStyle w:val="Default"/>
              <w:spacing w:before="60" w:after="60"/>
              <w:ind w:left="284"/>
              <w:rPr>
                <w:rFonts w:cs="Times New Roman"/>
                <w:color w:val="auto"/>
                <w:sz w:val="20"/>
                <w:lang w:val="hu-HU"/>
              </w:rPr>
            </w:pPr>
          </w:p>
          <w:p w:rsidR="007532A9" w:rsidRPr="00B05124" w:rsidRDefault="00101F8F" w:rsidP="00101F8F">
            <w:pPr>
              <w:pStyle w:val="Default"/>
              <w:spacing w:before="60" w:after="60"/>
              <w:ind w:left="284"/>
              <w:rPr>
                <w:rFonts w:cs="Times New Roman"/>
                <w:color w:val="auto"/>
                <w:lang w:val="hu-HU"/>
              </w:rPr>
            </w:pPr>
            <w:r w:rsidRPr="00B05124">
              <w:rPr>
                <w:rFonts w:cs="Times New Roman"/>
                <w:color w:val="auto"/>
                <w:sz w:val="20"/>
                <w:lang w:val="hu-HU"/>
              </w:rPr>
              <w:t>Egyéb</w:t>
            </w:r>
          </w:p>
        </w:tc>
        <w:tc>
          <w:tcPr>
            <w:tcW w:w="6237" w:type="dxa"/>
            <w:tcBorders>
              <w:top w:val="nil"/>
              <w:left w:val="single" w:sz="4" w:space="0" w:color="auto"/>
              <w:bottom w:val="single" w:sz="4" w:space="0" w:color="auto"/>
            </w:tcBorders>
          </w:tcPr>
          <w:p w:rsidR="00DB203A" w:rsidRPr="004049F3" w:rsidRDefault="00DB203A" w:rsidP="004049F3">
            <w:pPr>
              <w:autoSpaceDE w:val="0"/>
              <w:autoSpaceDN w:val="0"/>
              <w:adjustRightInd w:val="0"/>
              <w:jc w:val="both"/>
              <w:rPr>
                <w:rFonts w:cs="Arial"/>
                <w:sz w:val="20"/>
                <w:lang w:val="hu-HU"/>
              </w:rPr>
            </w:pPr>
          </w:p>
          <w:p w:rsidR="007532A9" w:rsidRPr="004049F3" w:rsidRDefault="00101F8F" w:rsidP="004049F3">
            <w:pPr>
              <w:autoSpaceDE w:val="0"/>
              <w:autoSpaceDN w:val="0"/>
              <w:adjustRightInd w:val="0"/>
              <w:jc w:val="both"/>
              <w:rPr>
                <w:rFonts w:cs="Arial"/>
                <w:snapToGrid/>
                <w:sz w:val="20"/>
                <w:lang w:val="hu-HU"/>
              </w:rPr>
            </w:pPr>
            <w:r w:rsidRPr="004049F3">
              <w:rPr>
                <w:rFonts w:cs="Arial"/>
                <w:sz w:val="20"/>
                <w:lang w:val="hu-HU"/>
              </w:rPr>
              <w:t xml:space="preserve">Egyéb közvetlen elektronikus rendszerek, pl. </w:t>
            </w:r>
            <w:r w:rsidR="0086111E" w:rsidRPr="004049F3">
              <w:rPr>
                <w:rFonts w:cs="Arial"/>
                <w:sz w:val="20"/>
                <w:lang w:val="hu-HU"/>
              </w:rPr>
              <w:t xml:space="preserve">Thomson </w:t>
            </w:r>
            <w:r w:rsidRPr="004049F3">
              <w:rPr>
                <w:rFonts w:cs="Arial"/>
                <w:sz w:val="20"/>
                <w:lang w:val="hu-HU"/>
              </w:rPr>
              <w:t xml:space="preserve">Reuters </w:t>
            </w:r>
            <w:proofErr w:type="spellStart"/>
            <w:r w:rsidRPr="004049F3">
              <w:rPr>
                <w:rFonts w:cs="Arial"/>
                <w:sz w:val="20"/>
                <w:lang w:val="hu-HU"/>
              </w:rPr>
              <w:t>Conversational</w:t>
            </w:r>
            <w:proofErr w:type="spellEnd"/>
            <w:r w:rsidRPr="004049F3">
              <w:rPr>
                <w:rFonts w:cs="Arial"/>
                <w:sz w:val="20"/>
                <w:lang w:val="hu-HU"/>
              </w:rPr>
              <w:t xml:space="preserve"> </w:t>
            </w:r>
            <w:proofErr w:type="spellStart"/>
            <w:r w:rsidRPr="004049F3">
              <w:rPr>
                <w:rFonts w:cs="Arial"/>
                <w:sz w:val="20"/>
                <w:lang w:val="hu-HU"/>
              </w:rPr>
              <w:t>Dealing</w:t>
            </w:r>
            <w:proofErr w:type="spellEnd"/>
            <w:r w:rsidRPr="004049F3">
              <w:rPr>
                <w:rFonts w:cs="Arial"/>
                <w:sz w:val="20"/>
                <w:lang w:val="hu-HU"/>
              </w:rPr>
              <w:t xml:space="preserve">, </w:t>
            </w:r>
            <w:proofErr w:type="spellStart"/>
            <w:r w:rsidRPr="004049F3">
              <w:rPr>
                <w:rFonts w:cs="Arial"/>
                <w:sz w:val="20"/>
                <w:lang w:val="hu-HU"/>
              </w:rPr>
              <w:t>Bloomberg</w:t>
            </w:r>
            <w:proofErr w:type="spellEnd"/>
            <w:r w:rsidR="0086111E" w:rsidRPr="004049F3">
              <w:rPr>
                <w:rFonts w:cs="Arial"/>
                <w:sz w:val="20"/>
                <w:lang w:val="hu-HU"/>
              </w:rPr>
              <w:t xml:space="preserve"> </w:t>
            </w:r>
            <w:proofErr w:type="spellStart"/>
            <w:r w:rsidR="0086111E" w:rsidRPr="004049F3">
              <w:rPr>
                <w:rFonts w:cs="Arial"/>
                <w:sz w:val="20"/>
                <w:lang w:val="hu-HU"/>
              </w:rPr>
              <w:t>FXGO</w:t>
            </w:r>
            <w:proofErr w:type="spellEnd"/>
            <w:r w:rsidRPr="004049F3">
              <w:rPr>
                <w:rFonts w:cs="Arial"/>
                <w:sz w:val="20"/>
                <w:lang w:val="hu-HU"/>
              </w:rPr>
              <w:t>,</w:t>
            </w:r>
            <w:r w:rsidR="0086111E" w:rsidRPr="004049F3">
              <w:rPr>
                <w:rFonts w:cs="Arial"/>
                <w:sz w:val="20"/>
                <w:lang w:val="hu-HU"/>
              </w:rPr>
              <w:t xml:space="preserve"> </w:t>
            </w:r>
            <w:proofErr w:type="spellStart"/>
            <w:r w:rsidR="0086111E" w:rsidRPr="004049F3">
              <w:rPr>
                <w:rFonts w:cs="Arial"/>
                <w:sz w:val="20"/>
                <w:lang w:val="hu-HU"/>
              </w:rPr>
              <w:t>direct</w:t>
            </w:r>
            <w:proofErr w:type="spellEnd"/>
            <w:r w:rsidR="0086111E" w:rsidRPr="004049F3">
              <w:rPr>
                <w:rFonts w:cs="Arial"/>
                <w:sz w:val="20"/>
                <w:lang w:val="hu-HU"/>
              </w:rPr>
              <w:t xml:space="preserve"> </w:t>
            </w:r>
            <w:proofErr w:type="spellStart"/>
            <w:r w:rsidR="0086111E" w:rsidRPr="004049F3">
              <w:rPr>
                <w:rFonts w:cs="Arial"/>
                <w:sz w:val="20"/>
                <w:lang w:val="hu-HU"/>
              </w:rPr>
              <w:t>API</w:t>
            </w:r>
            <w:proofErr w:type="spellEnd"/>
            <w:r w:rsidR="0086111E" w:rsidRPr="004049F3">
              <w:rPr>
                <w:rFonts w:cs="Arial"/>
                <w:sz w:val="20"/>
                <w:lang w:val="hu-HU"/>
              </w:rPr>
              <w:t xml:space="preserve"> </w:t>
            </w:r>
            <w:proofErr w:type="spellStart"/>
            <w:r w:rsidR="0086111E" w:rsidRPr="004049F3">
              <w:rPr>
                <w:rFonts w:cs="Arial"/>
                <w:sz w:val="20"/>
                <w:lang w:val="hu-HU"/>
              </w:rPr>
              <w:t>price</w:t>
            </w:r>
            <w:proofErr w:type="spellEnd"/>
            <w:r w:rsidR="0086111E" w:rsidRPr="004049F3">
              <w:rPr>
                <w:rFonts w:cs="Arial"/>
                <w:sz w:val="20"/>
                <w:lang w:val="hu-HU"/>
              </w:rPr>
              <w:t xml:space="preserve"> </w:t>
            </w:r>
            <w:proofErr w:type="spellStart"/>
            <w:r w:rsidR="0086111E" w:rsidRPr="004049F3">
              <w:rPr>
                <w:rFonts w:cs="Arial"/>
                <w:sz w:val="20"/>
                <w:lang w:val="hu-HU"/>
              </w:rPr>
              <w:t>streams</w:t>
            </w:r>
            <w:proofErr w:type="spellEnd"/>
            <w:r w:rsidRPr="004049F3">
              <w:rPr>
                <w:rFonts w:cs="Arial"/>
                <w:sz w:val="20"/>
                <w:lang w:val="hu-HU"/>
              </w:rPr>
              <w:t xml:space="preserve"> stb.</w:t>
            </w:r>
            <w:r w:rsidR="00F32066" w:rsidRPr="004049F3">
              <w:rPr>
                <w:rFonts w:cs="Arial"/>
                <w:sz w:val="20"/>
                <w:lang w:val="hu-HU"/>
              </w:rPr>
              <w:t xml:space="preserve"> </w:t>
            </w:r>
            <w:r w:rsidR="00F32066" w:rsidRPr="004049F3">
              <w:rPr>
                <w:rFonts w:cs="Arial"/>
                <w:snapToGrid/>
                <w:sz w:val="20"/>
                <w:lang w:val="hu-HU"/>
              </w:rPr>
              <w:t xml:space="preserve"> </w:t>
            </w:r>
          </w:p>
        </w:tc>
      </w:tr>
      <w:tr w:rsidR="007532A9" w:rsidRPr="00B05124" w:rsidTr="004049F3">
        <w:tblPrEx>
          <w:tblCellMar>
            <w:top w:w="0" w:type="dxa"/>
            <w:bottom w:w="0" w:type="dxa"/>
          </w:tblCellMar>
        </w:tblPrEx>
        <w:trPr>
          <w:cantSplit/>
        </w:trPr>
        <w:tc>
          <w:tcPr>
            <w:tcW w:w="2835" w:type="dxa"/>
            <w:tcBorders>
              <w:top w:val="single" w:sz="4" w:space="0" w:color="auto"/>
              <w:bottom w:val="nil"/>
              <w:right w:val="single" w:sz="4" w:space="0" w:color="auto"/>
            </w:tcBorders>
          </w:tcPr>
          <w:p w:rsidR="007532A9" w:rsidRPr="00A4615C" w:rsidRDefault="00101F8F" w:rsidP="00101F8F">
            <w:pPr>
              <w:pStyle w:val="Default"/>
              <w:spacing w:before="60" w:after="60"/>
              <w:rPr>
                <w:rFonts w:cs="Times New Roman"/>
                <w:color w:val="auto"/>
                <w:lang w:val="hu-HU"/>
              </w:rPr>
            </w:pPr>
            <w:r w:rsidRPr="00A4615C">
              <w:rPr>
                <w:rFonts w:cs="Times New Roman"/>
                <w:color w:val="auto"/>
                <w:sz w:val="20"/>
                <w:lang w:val="hu-HU"/>
              </w:rPr>
              <w:t xml:space="preserve">Elektronikus–közvetett </w:t>
            </w:r>
          </w:p>
        </w:tc>
        <w:tc>
          <w:tcPr>
            <w:tcW w:w="6237" w:type="dxa"/>
            <w:tcBorders>
              <w:top w:val="single" w:sz="4" w:space="0" w:color="auto"/>
              <w:left w:val="single" w:sz="4" w:space="0" w:color="auto"/>
              <w:bottom w:val="nil"/>
            </w:tcBorders>
          </w:tcPr>
          <w:p w:rsidR="007532A9" w:rsidRPr="00190E62" w:rsidRDefault="008C7DCC" w:rsidP="004049F3">
            <w:pPr>
              <w:pStyle w:val="TableText"/>
              <w:framePr w:wrap="around"/>
              <w:jc w:val="both"/>
              <w:rPr>
                <w:rFonts w:cs="Arial"/>
                <w:szCs w:val="20"/>
              </w:rPr>
            </w:pPr>
            <w:r w:rsidRPr="00E42FDD">
              <w:rPr>
                <w:rFonts w:cs="Arial"/>
                <w:szCs w:val="20"/>
              </w:rPr>
              <w:t xml:space="preserve">Elektronikus médiumon keresztül történik a kötés, harmadik személy által működtetett elektronikus platform (pl. </w:t>
            </w:r>
            <w:proofErr w:type="spellStart"/>
            <w:r w:rsidRPr="00E42FDD">
              <w:rPr>
                <w:rFonts w:cs="Arial"/>
                <w:szCs w:val="20"/>
              </w:rPr>
              <w:t>matching</w:t>
            </w:r>
            <w:proofErr w:type="spellEnd"/>
            <w:r w:rsidRPr="00E42FDD">
              <w:rPr>
                <w:rFonts w:cs="Arial"/>
                <w:szCs w:val="20"/>
              </w:rPr>
              <w:t xml:space="preserve"> rendszer) közvetítésével.</w:t>
            </w:r>
          </w:p>
        </w:tc>
      </w:tr>
      <w:tr w:rsidR="007532A9" w:rsidRPr="00B05124" w:rsidTr="004049F3">
        <w:tblPrEx>
          <w:tblCellMar>
            <w:top w:w="0" w:type="dxa"/>
            <w:bottom w:w="0" w:type="dxa"/>
          </w:tblCellMar>
        </w:tblPrEx>
        <w:trPr>
          <w:cantSplit/>
        </w:trPr>
        <w:tc>
          <w:tcPr>
            <w:tcW w:w="2835" w:type="dxa"/>
            <w:tcBorders>
              <w:top w:val="nil"/>
              <w:bottom w:val="single" w:sz="4" w:space="0" w:color="auto"/>
              <w:right w:val="single" w:sz="4" w:space="0" w:color="auto"/>
            </w:tcBorders>
          </w:tcPr>
          <w:p w:rsidR="004830A1" w:rsidRDefault="008C7DCC" w:rsidP="004049F3">
            <w:pPr>
              <w:pStyle w:val="TableRowHeading"/>
              <w:rPr>
                <w:i/>
              </w:rPr>
            </w:pPr>
            <w:r w:rsidRPr="00B05124">
              <w:rPr>
                <w:i/>
              </w:rPr>
              <w:t xml:space="preserve">ebből: </w:t>
            </w:r>
          </w:p>
          <w:p w:rsidR="004830A1" w:rsidRDefault="004830A1" w:rsidP="00BB26A9">
            <w:pPr>
              <w:pStyle w:val="TableRowHeading"/>
              <w:ind w:left="454"/>
            </w:pPr>
            <w:r>
              <w:t>Anonim</w:t>
            </w:r>
          </w:p>
          <w:p w:rsidR="00BB26A9" w:rsidRDefault="00BB26A9" w:rsidP="00BB26A9">
            <w:pPr>
              <w:pStyle w:val="TableRowHeading"/>
              <w:ind w:left="454"/>
            </w:pPr>
          </w:p>
          <w:p w:rsidR="00BB26A9" w:rsidRDefault="00BB26A9" w:rsidP="00BB26A9">
            <w:pPr>
              <w:pStyle w:val="TableRowHeading"/>
              <w:ind w:left="454"/>
            </w:pPr>
          </w:p>
          <w:p w:rsidR="00BB26A9" w:rsidRDefault="00BB26A9" w:rsidP="00BB26A9">
            <w:pPr>
              <w:pStyle w:val="TableRowHeading"/>
              <w:ind w:left="454"/>
            </w:pPr>
          </w:p>
          <w:p w:rsidR="00BB26A9" w:rsidRDefault="00BB26A9" w:rsidP="00BB26A9">
            <w:pPr>
              <w:pStyle w:val="TableRowHeading"/>
              <w:ind w:left="454"/>
            </w:pPr>
          </w:p>
          <w:p w:rsidR="00BB26A9" w:rsidRDefault="00BB26A9" w:rsidP="004049F3">
            <w:pPr>
              <w:pStyle w:val="TableRowHeading"/>
              <w:ind w:left="454"/>
            </w:pPr>
          </w:p>
          <w:p w:rsidR="00BB26A9" w:rsidRPr="00B05124" w:rsidRDefault="00BB26A9" w:rsidP="00BB26A9">
            <w:pPr>
              <w:pStyle w:val="TableRowHeading"/>
              <w:ind w:left="454"/>
            </w:pPr>
            <w:r>
              <w:t>Nyilvános</w:t>
            </w:r>
          </w:p>
          <w:p w:rsidR="007532A9" w:rsidRPr="00B05124" w:rsidRDefault="007532A9" w:rsidP="008C7DCC">
            <w:pPr>
              <w:pStyle w:val="Default"/>
              <w:spacing w:before="60" w:after="60"/>
              <w:rPr>
                <w:rFonts w:cs="Times New Roman"/>
                <w:color w:val="auto"/>
                <w:lang w:val="hu-HU"/>
              </w:rPr>
            </w:pPr>
          </w:p>
        </w:tc>
        <w:tc>
          <w:tcPr>
            <w:tcW w:w="6237" w:type="dxa"/>
            <w:tcBorders>
              <w:top w:val="nil"/>
              <w:left w:val="single" w:sz="4" w:space="0" w:color="auto"/>
              <w:bottom w:val="single" w:sz="4" w:space="0" w:color="auto"/>
            </w:tcBorders>
          </w:tcPr>
          <w:p w:rsidR="004830A1" w:rsidRPr="004049F3" w:rsidRDefault="004830A1" w:rsidP="004830A1">
            <w:pPr>
              <w:pStyle w:val="Default"/>
              <w:spacing w:before="60" w:after="60"/>
              <w:jc w:val="both"/>
              <w:rPr>
                <w:color w:val="auto"/>
                <w:sz w:val="20"/>
                <w:szCs w:val="20"/>
                <w:lang w:val="hu-HU"/>
              </w:rPr>
            </w:pPr>
          </w:p>
          <w:p w:rsidR="004830A1" w:rsidRPr="004049F3" w:rsidRDefault="004830A1" w:rsidP="004830A1">
            <w:pPr>
              <w:pStyle w:val="Default"/>
              <w:spacing w:before="60" w:after="60"/>
              <w:jc w:val="both"/>
              <w:rPr>
                <w:color w:val="auto"/>
                <w:sz w:val="20"/>
                <w:szCs w:val="20"/>
                <w:lang w:val="hu-HU"/>
              </w:rPr>
            </w:pPr>
            <w:r w:rsidRPr="004049F3">
              <w:rPr>
                <w:color w:val="auto"/>
                <w:sz w:val="20"/>
                <w:szCs w:val="20"/>
                <w:lang w:val="hu-HU"/>
              </w:rPr>
              <w:t xml:space="preserve">Nagy elektronikus kereskedési platformok, amelyeket az </w:t>
            </w:r>
            <w:proofErr w:type="spellStart"/>
            <w:r w:rsidRPr="004049F3">
              <w:rPr>
                <w:color w:val="auto"/>
                <w:sz w:val="20"/>
                <w:szCs w:val="20"/>
                <w:lang w:val="hu-HU"/>
              </w:rPr>
              <w:t>interdealer</w:t>
            </w:r>
            <w:proofErr w:type="spellEnd"/>
            <w:r w:rsidRPr="004049F3">
              <w:rPr>
                <w:color w:val="auto"/>
                <w:sz w:val="20"/>
                <w:szCs w:val="20"/>
                <w:lang w:val="hu-HU"/>
              </w:rPr>
              <w:t xml:space="preserve"> piacra alakítottak ki és</w:t>
            </w:r>
            <w:r w:rsidRPr="004049F3">
              <w:rPr>
                <w:color w:val="222222"/>
                <w:sz w:val="20"/>
                <w:szCs w:val="20"/>
                <w:lang w:val="hu-HU"/>
              </w:rPr>
              <w:t xml:space="preserve"> minden más</w:t>
            </w:r>
            <w:r w:rsidR="00FC36E5">
              <w:rPr>
                <w:color w:val="222222"/>
                <w:sz w:val="20"/>
                <w:szCs w:val="20"/>
                <w:lang w:val="hu-HU"/>
              </w:rPr>
              <w:t xml:space="preserve"> </w:t>
            </w:r>
            <w:r w:rsidRPr="004049F3">
              <w:rPr>
                <w:color w:val="222222"/>
                <w:sz w:val="20"/>
                <w:szCs w:val="20"/>
                <w:lang w:val="hu-HU"/>
              </w:rPr>
              <w:t xml:space="preserve">központi ajánlati könyv, amely nem teszi lehetővé </w:t>
            </w:r>
            <w:r w:rsidR="00D64001" w:rsidRPr="00F243B2">
              <w:rPr>
                <w:color w:val="222222"/>
                <w:sz w:val="20"/>
                <w:szCs w:val="20"/>
                <w:lang w:val="hu-HU"/>
              </w:rPr>
              <w:t>személyre szabott címkék használatával történő kereskedést</w:t>
            </w:r>
            <w:r w:rsidR="00D64001">
              <w:rPr>
                <w:color w:val="222222"/>
                <w:sz w:val="20"/>
                <w:szCs w:val="20"/>
                <w:lang w:val="hu-HU"/>
              </w:rPr>
              <w:t>.</w:t>
            </w:r>
          </w:p>
          <w:p w:rsidR="007532A9" w:rsidRDefault="00BB26A9" w:rsidP="00BB26A9">
            <w:pPr>
              <w:pStyle w:val="Default"/>
              <w:spacing w:before="60" w:after="60"/>
              <w:jc w:val="both"/>
              <w:rPr>
                <w:i/>
                <w:iCs/>
                <w:color w:val="auto"/>
                <w:sz w:val="20"/>
                <w:szCs w:val="20"/>
                <w:lang w:val="hu-HU"/>
              </w:rPr>
            </w:pPr>
            <w:r>
              <w:rPr>
                <w:color w:val="auto"/>
                <w:sz w:val="20"/>
                <w:szCs w:val="20"/>
                <w:lang w:val="hu-HU"/>
              </w:rPr>
              <w:t xml:space="preserve">Például: </w:t>
            </w:r>
            <w:r w:rsidRPr="00BB26A9">
              <w:rPr>
                <w:i/>
                <w:iCs/>
                <w:sz w:val="20"/>
                <w:lang w:val="hu-HU"/>
              </w:rPr>
              <w:t xml:space="preserve">Reuters Matching, </w:t>
            </w:r>
            <w:proofErr w:type="spellStart"/>
            <w:r w:rsidRPr="00BB26A9">
              <w:rPr>
                <w:i/>
                <w:iCs/>
                <w:sz w:val="20"/>
                <w:lang w:val="hu-HU"/>
              </w:rPr>
              <w:t>EBS</w:t>
            </w:r>
            <w:proofErr w:type="spellEnd"/>
            <w:r w:rsidRPr="00BB26A9">
              <w:rPr>
                <w:i/>
                <w:iCs/>
                <w:sz w:val="20"/>
                <w:lang w:val="hu-HU"/>
              </w:rPr>
              <w:t xml:space="preserve"> Spot, </w:t>
            </w:r>
            <w:proofErr w:type="spellStart"/>
            <w:r w:rsidRPr="00BB26A9">
              <w:rPr>
                <w:i/>
                <w:iCs/>
                <w:sz w:val="20"/>
                <w:lang w:val="hu-HU"/>
              </w:rPr>
              <w:t>EBS</w:t>
            </w:r>
            <w:proofErr w:type="spellEnd"/>
            <w:r w:rsidRPr="00BB26A9">
              <w:rPr>
                <w:i/>
                <w:iCs/>
                <w:sz w:val="20"/>
                <w:lang w:val="hu-HU"/>
              </w:rPr>
              <w:t xml:space="preserve"> </w:t>
            </w:r>
            <w:proofErr w:type="spellStart"/>
            <w:r w:rsidRPr="00BB26A9">
              <w:rPr>
                <w:i/>
                <w:iCs/>
                <w:sz w:val="20"/>
                <w:lang w:val="hu-HU"/>
              </w:rPr>
              <w:t>Hedge</w:t>
            </w:r>
            <w:proofErr w:type="spellEnd"/>
            <w:r w:rsidRPr="00BB26A9">
              <w:rPr>
                <w:i/>
                <w:iCs/>
                <w:sz w:val="20"/>
                <w:lang w:val="hu-HU"/>
              </w:rPr>
              <w:t xml:space="preserve"> </w:t>
            </w:r>
            <w:proofErr w:type="spellStart"/>
            <w:r w:rsidRPr="00BB26A9">
              <w:rPr>
                <w:i/>
                <w:iCs/>
                <w:sz w:val="20"/>
                <w:lang w:val="hu-HU"/>
              </w:rPr>
              <w:t>Ai</w:t>
            </w:r>
            <w:proofErr w:type="spellEnd"/>
            <w:r w:rsidRPr="00BB26A9">
              <w:rPr>
                <w:i/>
                <w:iCs/>
                <w:sz w:val="20"/>
                <w:lang w:val="hu-HU"/>
              </w:rPr>
              <w:t xml:space="preserve">, </w:t>
            </w:r>
            <w:proofErr w:type="spellStart"/>
            <w:r w:rsidRPr="00BB26A9">
              <w:rPr>
                <w:i/>
                <w:iCs/>
                <w:sz w:val="20"/>
                <w:lang w:val="hu-HU"/>
              </w:rPr>
              <w:t>HotspotFX</w:t>
            </w:r>
            <w:proofErr w:type="spellEnd"/>
            <w:r>
              <w:rPr>
                <w:i/>
                <w:iCs/>
                <w:sz w:val="20"/>
                <w:lang w:val="hu-HU"/>
              </w:rPr>
              <w:t xml:space="preserve"> </w:t>
            </w:r>
            <w:proofErr w:type="spellStart"/>
            <w:r w:rsidRPr="00BB26A9">
              <w:rPr>
                <w:i/>
                <w:iCs/>
                <w:color w:val="auto"/>
                <w:sz w:val="20"/>
                <w:szCs w:val="20"/>
                <w:lang w:val="hu-HU"/>
              </w:rPr>
              <w:t>ECN,BGC</w:t>
            </w:r>
            <w:proofErr w:type="spellEnd"/>
            <w:r w:rsidRPr="00BB26A9">
              <w:rPr>
                <w:i/>
                <w:iCs/>
                <w:color w:val="auto"/>
                <w:sz w:val="20"/>
                <w:szCs w:val="20"/>
                <w:lang w:val="hu-HU"/>
              </w:rPr>
              <w:t xml:space="preserve"> mid, </w:t>
            </w:r>
            <w:proofErr w:type="spellStart"/>
            <w:r w:rsidRPr="00BB26A9">
              <w:rPr>
                <w:i/>
                <w:iCs/>
                <w:color w:val="auto"/>
                <w:sz w:val="20"/>
                <w:szCs w:val="20"/>
                <w:lang w:val="hu-HU"/>
              </w:rPr>
              <w:t>FXall</w:t>
            </w:r>
            <w:proofErr w:type="spellEnd"/>
            <w:r w:rsidRPr="00BB26A9">
              <w:rPr>
                <w:i/>
                <w:iCs/>
                <w:color w:val="auto"/>
                <w:sz w:val="20"/>
                <w:szCs w:val="20"/>
                <w:lang w:val="hu-HU"/>
              </w:rPr>
              <w:t xml:space="preserve"> </w:t>
            </w:r>
            <w:proofErr w:type="spellStart"/>
            <w:r w:rsidRPr="00BB26A9">
              <w:rPr>
                <w:i/>
                <w:iCs/>
                <w:color w:val="auto"/>
                <w:sz w:val="20"/>
                <w:szCs w:val="20"/>
                <w:lang w:val="hu-HU"/>
              </w:rPr>
              <w:t>MidBook</w:t>
            </w:r>
            <w:proofErr w:type="spellEnd"/>
            <w:r w:rsidRPr="00BB26A9">
              <w:rPr>
                <w:i/>
                <w:iCs/>
                <w:color w:val="auto"/>
                <w:sz w:val="20"/>
                <w:szCs w:val="20"/>
                <w:lang w:val="hu-HU"/>
              </w:rPr>
              <w:t>.</w:t>
            </w:r>
          </w:p>
          <w:p w:rsidR="00BB26A9" w:rsidRDefault="00BB26A9" w:rsidP="00BB26A9">
            <w:pPr>
              <w:pStyle w:val="Default"/>
              <w:spacing w:before="60" w:after="60"/>
              <w:jc w:val="both"/>
              <w:rPr>
                <w:i/>
                <w:iCs/>
                <w:color w:val="auto"/>
                <w:sz w:val="20"/>
                <w:szCs w:val="20"/>
                <w:lang w:val="hu-HU"/>
              </w:rPr>
            </w:pPr>
          </w:p>
          <w:p w:rsidR="00FC36E5" w:rsidRDefault="00BB26A9" w:rsidP="00D64001">
            <w:pPr>
              <w:pStyle w:val="Default"/>
              <w:spacing w:before="60" w:after="60"/>
              <w:jc w:val="both"/>
              <w:rPr>
                <w:snapToGrid/>
                <w:sz w:val="20"/>
                <w:szCs w:val="20"/>
                <w:lang w:val="hu-HU"/>
              </w:rPr>
            </w:pPr>
            <w:r w:rsidRPr="004049F3">
              <w:rPr>
                <w:color w:val="222222"/>
                <w:sz w:val="20"/>
                <w:szCs w:val="20"/>
                <w:lang w:val="hu-HU"/>
              </w:rPr>
              <w:t>Több bankos (multi-bank) kereskedési rendszerek, amelyek megkönnyítik a kereskedést a nyilvánossággal</w:t>
            </w:r>
            <w:r w:rsidR="00D64001">
              <w:rPr>
                <w:color w:val="222222"/>
                <w:sz w:val="20"/>
                <w:szCs w:val="20"/>
                <w:lang w:val="hu-HU"/>
              </w:rPr>
              <w:t xml:space="preserve"> </w:t>
            </w:r>
            <w:r w:rsidRPr="004049F3">
              <w:rPr>
                <w:color w:val="222222"/>
                <w:sz w:val="20"/>
                <w:szCs w:val="20"/>
                <w:lang w:val="hu-HU"/>
              </w:rPr>
              <w:t xml:space="preserve">vagy </w:t>
            </w:r>
            <w:proofErr w:type="spellStart"/>
            <w:r w:rsidRPr="004049F3">
              <w:rPr>
                <w:color w:val="222222"/>
                <w:sz w:val="20"/>
                <w:szCs w:val="20"/>
                <w:lang w:val="hu-HU"/>
              </w:rPr>
              <w:t>ármegkülönböztetéssel</w:t>
            </w:r>
            <w:proofErr w:type="spellEnd"/>
            <w:r w:rsidRPr="004049F3">
              <w:rPr>
                <w:color w:val="222222"/>
                <w:sz w:val="20"/>
                <w:szCs w:val="20"/>
                <w:lang w:val="hu-HU"/>
              </w:rPr>
              <w:t>, pl. testreszabott címkék használatával</w:t>
            </w:r>
            <w:r>
              <w:rPr>
                <w:snapToGrid/>
                <w:sz w:val="20"/>
                <w:szCs w:val="20"/>
                <w:lang w:val="hu-HU"/>
              </w:rPr>
              <w:t>.</w:t>
            </w:r>
          </w:p>
          <w:p w:rsidR="00BB26A9" w:rsidRPr="00E42FDD" w:rsidRDefault="00D64001" w:rsidP="004049F3">
            <w:pPr>
              <w:pStyle w:val="Default"/>
              <w:spacing w:before="60" w:after="60"/>
              <w:jc w:val="both"/>
              <w:rPr>
                <w:sz w:val="20"/>
                <w:lang w:val="hu-HU"/>
              </w:rPr>
            </w:pPr>
            <w:r>
              <w:rPr>
                <w:snapToGrid/>
                <w:sz w:val="20"/>
                <w:szCs w:val="20"/>
                <w:lang w:val="hu-HU"/>
              </w:rPr>
              <w:t xml:space="preserve"> </w:t>
            </w:r>
            <w:r w:rsidR="00BB26A9">
              <w:rPr>
                <w:sz w:val="20"/>
                <w:lang w:val="hu-HU"/>
              </w:rPr>
              <w:t xml:space="preserve">Például: </w:t>
            </w:r>
            <w:proofErr w:type="spellStart"/>
            <w:r w:rsidR="00BB26A9">
              <w:rPr>
                <w:rFonts w:ascii="Arial,Italic" w:hAnsi="Arial,Italic" w:cs="Arial,Italic"/>
                <w:i/>
                <w:iCs/>
                <w:snapToGrid/>
                <w:sz w:val="20"/>
                <w:lang w:val="hu-HU"/>
              </w:rPr>
              <w:t>FXall</w:t>
            </w:r>
            <w:proofErr w:type="spellEnd"/>
            <w:r w:rsidR="00BB26A9">
              <w:rPr>
                <w:rFonts w:ascii="Arial,Italic" w:hAnsi="Arial,Italic" w:cs="Arial,Italic"/>
                <w:i/>
                <w:iCs/>
                <w:snapToGrid/>
                <w:sz w:val="20"/>
                <w:lang w:val="hu-HU"/>
              </w:rPr>
              <w:t xml:space="preserve"> </w:t>
            </w:r>
            <w:proofErr w:type="spellStart"/>
            <w:r w:rsidR="00BB26A9">
              <w:rPr>
                <w:rFonts w:ascii="Arial,Italic" w:hAnsi="Arial,Italic" w:cs="Arial,Italic"/>
                <w:i/>
                <w:iCs/>
                <w:snapToGrid/>
                <w:sz w:val="20"/>
                <w:lang w:val="hu-HU"/>
              </w:rPr>
              <w:t>OrderBook</w:t>
            </w:r>
            <w:proofErr w:type="spellEnd"/>
            <w:r w:rsidR="00BB26A9">
              <w:rPr>
                <w:rFonts w:ascii="Arial,Italic" w:hAnsi="Arial,Italic" w:cs="Arial,Italic"/>
                <w:i/>
                <w:iCs/>
                <w:snapToGrid/>
                <w:sz w:val="20"/>
                <w:lang w:val="hu-HU"/>
              </w:rPr>
              <w:t xml:space="preserve">, </w:t>
            </w:r>
            <w:proofErr w:type="spellStart"/>
            <w:r w:rsidR="00BB26A9">
              <w:rPr>
                <w:rFonts w:ascii="Arial,Italic" w:hAnsi="Arial,Italic" w:cs="Arial,Italic"/>
                <w:i/>
                <w:iCs/>
                <w:snapToGrid/>
                <w:sz w:val="20"/>
                <w:lang w:val="hu-HU"/>
              </w:rPr>
              <w:t>EBS</w:t>
            </w:r>
            <w:proofErr w:type="spellEnd"/>
            <w:r w:rsidR="00BB26A9">
              <w:rPr>
                <w:rFonts w:ascii="Arial,Italic" w:hAnsi="Arial,Italic" w:cs="Arial,Italic"/>
                <w:i/>
                <w:iCs/>
                <w:snapToGrid/>
                <w:sz w:val="20"/>
                <w:lang w:val="hu-HU"/>
              </w:rPr>
              <w:t xml:space="preserve"> </w:t>
            </w:r>
            <w:proofErr w:type="spellStart"/>
            <w:r w:rsidR="00BB26A9">
              <w:rPr>
                <w:rFonts w:ascii="Arial,Italic" w:hAnsi="Arial,Italic" w:cs="Arial,Italic"/>
                <w:i/>
                <w:iCs/>
                <w:snapToGrid/>
                <w:sz w:val="20"/>
                <w:lang w:val="hu-HU"/>
              </w:rPr>
              <w:t>Direct</w:t>
            </w:r>
            <w:proofErr w:type="spellEnd"/>
            <w:r w:rsidR="00BB26A9">
              <w:rPr>
                <w:rFonts w:ascii="Arial,Italic" w:hAnsi="Arial,Italic" w:cs="Arial,Italic"/>
                <w:i/>
                <w:iCs/>
                <w:snapToGrid/>
                <w:sz w:val="20"/>
                <w:lang w:val="hu-HU"/>
              </w:rPr>
              <w:t xml:space="preserve">, </w:t>
            </w:r>
            <w:proofErr w:type="spellStart"/>
            <w:r w:rsidR="00BB26A9">
              <w:rPr>
                <w:rFonts w:ascii="Arial,Italic" w:hAnsi="Arial,Italic" w:cs="Arial,Italic"/>
                <w:i/>
                <w:iCs/>
                <w:snapToGrid/>
                <w:sz w:val="20"/>
                <w:lang w:val="hu-HU"/>
              </w:rPr>
              <w:t>Currenex</w:t>
            </w:r>
            <w:proofErr w:type="spellEnd"/>
            <w:r w:rsidR="00BB26A9">
              <w:rPr>
                <w:rFonts w:ascii="Arial,Italic" w:hAnsi="Arial,Italic" w:cs="Arial,Italic"/>
                <w:i/>
                <w:iCs/>
                <w:snapToGrid/>
                <w:sz w:val="20"/>
                <w:lang w:val="hu-HU"/>
              </w:rPr>
              <w:t xml:space="preserve"> </w:t>
            </w:r>
            <w:proofErr w:type="spellStart"/>
            <w:r w:rsidR="00BB26A9">
              <w:rPr>
                <w:rFonts w:ascii="Arial,Italic" w:hAnsi="Arial,Italic" w:cs="Arial,Italic"/>
                <w:i/>
                <w:iCs/>
                <w:snapToGrid/>
                <w:sz w:val="20"/>
                <w:lang w:val="hu-HU"/>
              </w:rPr>
              <w:t>FXTrades</w:t>
            </w:r>
            <w:proofErr w:type="spellEnd"/>
            <w:r w:rsidR="00BB26A9">
              <w:rPr>
                <w:rFonts w:ascii="Arial,Italic" w:hAnsi="Arial,Italic" w:cs="Arial,Italic"/>
                <w:i/>
                <w:iCs/>
                <w:snapToGrid/>
                <w:sz w:val="20"/>
                <w:lang w:val="hu-HU"/>
              </w:rPr>
              <w:t xml:space="preserve">, </w:t>
            </w:r>
            <w:proofErr w:type="spellStart"/>
            <w:r w:rsidR="00BB26A9">
              <w:rPr>
                <w:rFonts w:ascii="Arial,Italic" w:hAnsi="Arial,Italic" w:cs="Arial,Italic"/>
                <w:i/>
                <w:iCs/>
                <w:snapToGrid/>
                <w:sz w:val="20"/>
                <w:lang w:val="hu-HU"/>
              </w:rPr>
              <w:t>Hotspot</w:t>
            </w:r>
            <w:proofErr w:type="spellEnd"/>
            <w:r w:rsidR="00BB26A9">
              <w:rPr>
                <w:rFonts w:ascii="Arial,Italic" w:hAnsi="Arial,Italic" w:cs="Arial,Italic"/>
                <w:i/>
                <w:iCs/>
                <w:snapToGrid/>
                <w:sz w:val="20"/>
                <w:lang w:val="hu-HU"/>
              </w:rPr>
              <w:t xml:space="preserve"> Link, </w:t>
            </w:r>
            <w:proofErr w:type="spellStart"/>
            <w:r w:rsidR="00BB26A9">
              <w:rPr>
                <w:rFonts w:ascii="Arial,Italic" w:hAnsi="Arial,Italic" w:cs="Arial,Italic"/>
                <w:i/>
                <w:iCs/>
                <w:snapToGrid/>
                <w:sz w:val="20"/>
                <w:lang w:val="hu-HU"/>
              </w:rPr>
              <w:t>Bloomberg</w:t>
            </w:r>
            <w:proofErr w:type="spellEnd"/>
            <w:r w:rsidR="00BB26A9">
              <w:rPr>
                <w:rFonts w:ascii="Arial,Italic" w:hAnsi="Arial,Italic" w:cs="Arial,Italic"/>
                <w:i/>
                <w:iCs/>
                <w:snapToGrid/>
                <w:sz w:val="20"/>
                <w:lang w:val="hu-HU"/>
              </w:rPr>
              <w:t xml:space="preserve"> </w:t>
            </w:r>
            <w:proofErr w:type="spellStart"/>
            <w:r w:rsidR="00BB26A9">
              <w:rPr>
                <w:rFonts w:ascii="Arial,Italic" w:hAnsi="Arial,Italic" w:cs="Arial,Italic"/>
                <w:i/>
                <w:iCs/>
                <w:snapToGrid/>
                <w:sz w:val="20"/>
                <w:lang w:val="hu-HU"/>
              </w:rPr>
              <w:t>FXGO</w:t>
            </w:r>
            <w:proofErr w:type="spellEnd"/>
            <w:r w:rsidR="00BB26A9">
              <w:rPr>
                <w:rFonts w:ascii="Arial,Italic" w:hAnsi="Arial,Italic" w:cs="Arial,Italic"/>
                <w:i/>
                <w:iCs/>
                <w:snapToGrid/>
                <w:sz w:val="20"/>
                <w:lang w:val="hu-HU"/>
              </w:rPr>
              <w:t xml:space="preserve">, </w:t>
            </w:r>
            <w:proofErr w:type="spellStart"/>
            <w:r w:rsidR="00BB26A9">
              <w:rPr>
                <w:rFonts w:ascii="Arial,Italic" w:hAnsi="Arial,Italic" w:cs="Arial,Italic"/>
                <w:i/>
                <w:iCs/>
                <w:snapToGrid/>
                <w:sz w:val="20"/>
                <w:lang w:val="hu-HU"/>
              </w:rPr>
              <w:t>Tradebook</w:t>
            </w:r>
            <w:proofErr w:type="spellEnd"/>
            <w:r w:rsidR="00BB26A9">
              <w:rPr>
                <w:rFonts w:ascii="Arial,Italic" w:hAnsi="Arial,Italic" w:cs="Arial,Italic"/>
                <w:i/>
                <w:iCs/>
                <w:snapToGrid/>
                <w:sz w:val="20"/>
                <w:lang w:val="hu-HU"/>
              </w:rPr>
              <w:t>, 360T.</w:t>
            </w:r>
          </w:p>
        </w:tc>
      </w:tr>
    </w:tbl>
    <w:p w:rsidR="00194F8D" w:rsidRPr="00B05124" w:rsidRDefault="00194F8D" w:rsidP="00666ADE">
      <w:pPr>
        <w:pStyle w:val="Paragraph"/>
      </w:pPr>
    </w:p>
    <w:p w:rsidR="0097621B" w:rsidRPr="00B05124" w:rsidRDefault="0097621B" w:rsidP="00666ADE">
      <w:pPr>
        <w:pStyle w:val="Paragraph"/>
      </w:pPr>
      <w:r w:rsidRPr="00B05124">
        <w:t xml:space="preserve">Minőségellenőrzés. Mivel felkészültünk arra, hogy egyes jelentő </w:t>
      </w:r>
      <w:proofErr w:type="spellStart"/>
      <w:r w:rsidRPr="00B05124">
        <w:t>dealerek</w:t>
      </w:r>
      <w:proofErr w:type="spellEnd"/>
      <w:r w:rsidRPr="00B05124">
        <w:t xml:space="preserve"> esetleg technikailag nem képesek az összes tranzakciójukat megfelelően besorolni az új szerződéskötési módok szerint, egy „nem lebontott” rovatot is biztosítunk a felmérés sablonban. Ebben a rovatban kell rögzíteni az olyan instrumentumok és partnerek forgalmát, amelyeket nem lehet a fenti kötési mód kategóriák egyikébe sem besorolni (a teljeskörű adatszolgáltatás alól felmentést a jegybank adhat). </w:t>
      </w:r>
    </w:p>
    <w:p w:rsidR="00F0656A" w:rsidRPr="00B05124" w:rsidRDefault="00F0656A" w:rsidP="00666ADE">
      <w:pPr>
        <w:pStyle w:val="Paragraph"/>
      </w:pPr>
      <w:r w:rsidRPr="00B05124">
        <w:t>Annak elősegítése érdekében, hogy felmérhessük, mennyire reprezentatívak a szerződéskötési mód adatok, a jegybankok kötelesek a kiegészítő információk részben található négy minőségellenőrző kérdésre (5a, 5b, 5c és 5d) válaszolni.</w:t>
      </w:r>
    </w:p>
    <w:p w:rsidR="007532A9" w:rsidRPr="00B05124" w:rsidRDefault="00900806">
      <w:pPr>
        <w:pStyle w:val="IndentedHeading1"/>
        <w:rPr>
          <w:b/>
          <w:sz w:val="26"/>
          <w:szCs w:val="24"/>
          <w:lang w:val="hu-HU"/>
        </w:rPr>
      </w:pPr>
      <w:bookmarkStart w:id="44" w:name="_Toc533082336"/>
      <w:r w:rsidRPr="00B05124">
        <w:rPr>
          <w:b/>
          <w:sz w:val="26"/>
          <w:szCs w:val="24"/>
          <w:lang w:val="hu-HU"/>
        </w:rPr>
        <w:t xml:space="preserve">K. </w:t>
      </w:r>
      <w:r w:rsidRPr="00B05124">
        <w:rPr>
          <w:b/>
          <w:sz w:val="26"/>
          <w:szCs w:val="24"/>
          <w:lang w:val="hu-HU"/>
        </w:rPr>
        <w:tab/>
        <w:t>Kiegészítő információk</w:t>
      </w:r>
      <w:bookmarkEnd w:id="44"/>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694"/>
        <w:tblGridChange w:id="45">
          <w:tblGrid>
            <w:gridCol w:w="2660"/>
            <w:gridCol w:w="6694"/>
          </w:tblGrid>
        </w:tblGridChange>
      </w:tblGrid>
      <w:tr w:rsidR="007532A9" w:rsidRPr="00A4615C" w:rsidTr="004049F3">
        <w:tblPrEx>
          <w:tblCellMar>
            <w:top w:w="0" w:type="dxa"/>
            <w:bottom w:w="0" w:type="dxa"/>
          </w:tblCellMar>
        </w:tblPrEx>
        <w:trPr>
          <w:cantSplit/>
        </w:trPr>
        <w:tc>
          <w:tcPr>
            <w:tcW w:w="2660" w:type="dxa"/>
          </w:tcPr>
          <w:p w:rsidR="007532A9" w:rsidRPr="00A4615C" w:rsidRDefault="001F5D73" w:rsidP="00666ADE">
            <w:pPr>
              <w:pStyle w:val="TableRowHeading"/>
              <w:rPr>
                <w:szCs w:val="20"/>
              </w:rPr>
            </w:pPr>
            <w:r w:rsidRPr="00A4615C">
              <w:rPr>
                <w:szCs w:val="20"/>
              </w:rPr>
              <w:t>1. Munkanapok száma</w:t>
            </w:r>
          </w:p>
        </w:tc>
        <w:tc>
          <w:tcPr>
            <w:tcW w:w="6694" w:type="dxa"/>
          </w:tcPr>
          <w:p w:rsidR="007532A9" w:rsidRPr="00A4615C" w:rsidRDefault="00862127" w:rsidP="004049F3">
            <w:pPr>
              <w:pStyle w:val="TableText"/>
              <w:framePr w:wrap="around"/>
              <w:jc w:val="both"/>
              <w:rPr>
                <w:szCs w:val="20"/>
              </w:rPr>
            </w:pPr>
            <w:r w:rsidRPr="00A4615C">
              <w:rPr>
                <w:szCs w:val="20"/>
                <w:u w:val="single"/>
              </w:rPr>
              <w:t>Az adatszolgáltató jegybank</w:t>
            </w:r>
            <w:r w:rsidRPr="00A4615C">
              <w:rPr>
                <w:szCs w:val="20"/>
              </w:rPr>
              <w:t xml:space="preserve"> köteles közölni, hány munkanapból áll</w:t>
            </w:r>
            <w:r w:rsidR="00CE3EDC">
              <w:rPr>
                <w:szCs w:val="20"/>
              </w:rPr>
              <w:t xml:space="preserve"> 2019.</w:t>
            </w:r>
            <w:r w:rsidRPr="00A4615C">
              <w:rPr>
                <w:szCs w:val="20"/>
              </w:rPr>
              <w:t xml:space="preserve"> április hónapja az adott országban. Erre az információra a jelentett havi forgalmi adatok összehasonlítható napi átlagának a kiszámításához van szükség.</w:t>
            </w:r>
          </w:p>
        </w:tc>
      </w:tr>
      <w:tr w:rsidR="007532A9" w:rsidRPr="00A4615C" w:rsidTr="004049F3">
        <w:tblPrEx>
          <w:tblCellMar>
            <w:top w:w="0" w:type="dxa"/>
            <w:bottom w:w="0" w:type="dxa"/>
          </w:tblCellMar>
        </w:tblPrEx>
        <w:trPr>
          <w:cantSplit/>
        </w:trPr>
        <w:tc>
          <w:tcPr>
            <w:tcW w:w="2660" w:type="dxa"/>
          </w:tcPr>
          <w:p w:rsidR="007532A9" w:rsidRPr="00A4615C" w:rsidRDefault="00862127" w:rsidP="00666ADE">
            <w:pPr>
              <w:pStyle w:val="TableRowHeading"/>
              <w:rPr>
                <w:szCs w:val="20"/>
              </w:rPr>
            </w:pPr>
            <w:r w:rsidRPr="00A4615C">
              <w:rPr>
                <w:szCs w:val="20"/>
              </w:rPr>
              <w:t>2. Lefedettség és koncentráció</w:t>
            </w:r>
          </w:p>
        </w:tc>
        <w:tc>
          <w:tcPr>
            <w:tcW w:w="6694" w:type="dxa"/>
          </w:tcPr>
          <w:p w:rsidR="00862127" w:rsidRPr="00A4615C" w:rsidRDefault="00862127" w:rsidP="004049F3">
            <w:pPr>
              <w:pStyle w:val="TableText"/>
              <w:framePr w:wrap="around"/>
              <w:jc w:val="both"/>
              <w:rPr>
                <w:szCs w:val="20"/>
              </w:rPr>
            </w:pPr>
            <w:r w:rsidRPr="00A4615C">
              <w:rPr>
                <w:szCs w:val="20"/>
                <w:u w:val="single"/>
              </w:rPr>
              <w:t>Az adatszolgáltató jegybank</w:t>
            </w:r>
            <w:r w:rsidRPr="00A4615C">
              <w:rPr>
                <w:szCs w:val="20"/>
              </w:rPr>
              <w:t xml:space="preserve"> köteles megadni az alábbi információkat az adott országban végzett devizapiaci (spot, határidős ügyletek, </w:t>
            </w:r>
            <w:proofErr w:type="spellStart"/>
            <w:r w:rsidRPr="00A4615C">
              <w:rPr>
                <w:szCs w:val="20"/>
              </w:rPr>
              <w:t>FX</w:t>
            </w:r>
            <w:proofErr w:type="spellEnd"/>
            <w:r w:rsidRPr="00A4615C">
              <w:rPr>
                <w:szCs w:val="20"/>
              </w:rPr>
              <w:t xml:space="preserve"> csereügyletek, deviza csereügyletek és OTC opciók) felmérésről:</w:t>
            </w:r>
          </w:p>
          <w:p w:rsidR="00862127" w:rsidRPr="00A4615C" w:rsidRDefault="00862127" w:rsidP="004049F3">
            <w:pPr>
              <w:pStyle w:val="TableText"/>
              <w:framePr w:wrap="around"/>
              <w:jc w:val="both"/>
              <w:rPr>
                <w:szCs w:val="20"/>
              </w:rPr>
            </w:pPr>
            <w:r w:rsidRPr="00A4615C">
              <w:rPr>
                <w:szCs w:val="20"/>
              </w:rPr>
              <w:t>A résztvevő intézmények végleges száma;</w:t>
            </w:r>
          </w:p>
          <w:p w:rsidR="00D246F1" w:rsidRPr="00A4615C" w:rsidRDefault="00D246F1" w:rsidP="004049F3">
            <w:pPr>
              <w:pStyle w:val="TableText"/>
              <w:framePr w:wrap="around"/>
              <w:jc w:val="both"/>
              <w:rPr>
                <w:szCs w:val="20"/>
              </w:rPr>
            </w:pPr>
            <w:r w:rsidRPr="00A4615C">
              <w:rPr>
                <w:szCs w:val="20"/>
              </w:rPr>
              <w:t>Becslés arról, hogy a felmérés során a résztvevők által megadott forgalmi adatok az adott ország teljes piaci forgalmának hány százalékát fedik le; valamint</w:t>
            </w:r>
          </w:p>
          <w:p w:rsidR="007532A9" w:rsidRPr="00A4615C" w:rsidRDefault="00D246F1" w:rsidP="004049F3">
            <w:pPr>
              <w:pStyle w:val="TableText"/>
              <w:framePr w:wrap="around"/>
              <w:jc w:val="both"/>
              <w:rPr>
                <w:szCs w:val="20"/>
              </w:rPr>
            </w:pPr>
            <w:r w:rsidRPr="00A4615C">
              <w:rPr>
                <w:szCs w:val="20"/>
              </w:rPr>
              <w:t>Hány intézmény forgalma teszi ki a jelentett teljes forgalom 75 százalékát.</w:t>
            </w:r>
          </w:p>
        </w:tc>
      </w:tr>
      <w:tr w:rsidR="007532A9" w:rsidRPr="00A4615C" w:rsidTr="004049F3">
        <w:tblPrEx>
          <w:tblCellMar>
            <w:top w:w="0" w:type="dxa"/>
            <w:bottom w:w="0" w:type="dxa"/>
          </w:tblCellMar>
        </w:tblPrEx>
        <w:trPr>
          <w:cantSplit/>
        </w:trPr>
        <w:tc>
          <w:tcPr>
            <w:tcW w:w="2660" w:type="dxa"/>
          </w:tcPr>
          <w:p w:rsidR="007532A9" w:rsidRPr="00A4615C" w:rsidRDefault="00D246F1" w:rsidP="00666ADE">
            <w:pPr>
              <w:pStyle w:val="TableRowHeading"/>
              <w:rPr>
                <w:szCs w:val="20"/>
              </w:rPr>
            </w:pPr>
            <w:r w:rsidRPr="00A4615C">
              <w:rPr>
                <w:szCs w:val="20"/>
              </w:rPr>
              <w:t>3. A kereskedési aktivitás trendje</w:t>
            </w:r>
          </w:p>
        </w:tc>
        <w:tc>
          <w:tcPr>
            <w:tcW w:w="6694" w:type="dxa"/>
          </w:tcPr>
          <w:p w:rsidR="007532A9" w:rsidRPr="00A4615C" w:rsidRDefault="0055273E" w:rsidP="004049F3">
            <w:pPr>
              <w:pStyle w:val="TableText"/>
              <w:framePr w:wrap="around"/>
              <w:jc w:val="both"/>
              <w:rPr>
                <w:szCs w:val="20"/>
              </w:rPr>
            </w:pPr>
            <w:r w:rsidRPr="00A4615C">
              <w:rPr>
                <w:szCs w:val="20"/>
              </w:rPr>
              <w:t xml:space="preserve">A jelentő </w:t>
            </w:r>
            <w:proofErr w:type="spellStart"/>
            <w:r w:rsidRPr="00A4615C">
              <w:rPr>
                <w:szCs w:val="20"/>
              </w:rPr>
              <w:t>dealerek</w:t>
            </w:r>
            <w:proofErr w:type="spellEnd"/>
            <w:r w:rsidRPr="00A4615C">
              <w:rPr>
                <w:szCs w:val="20"/>
              </w:rPr>
              <w:t xml:space="preserve"> kötelesek közölni, hogy a tapasztalatuk szerint a devizapiaci (spot, határidős ügyletek, </w:t>
            </w:r>
            <w:proofErr w:type="spellStart"/>
            <w:r w:rsidRPr="00A4615C">
              <w:rPr>
                <w:szCs w:val="20"/>
              </w:rPr>
              <w:t>FX</w:t>
            </w:r>
            <w:proofErr w:type="spellEnd"/>
            <w:r w:rsidRPr="00A4615C">
              <w:rPr>
                <w:szCs w:val="20"/>
              </w:rPr>
              <w:t xml:space="preserve"> csereügyletek, deviza csereügyletek és OTC opciók) forgalom</w:t>
            </w:r>
            <w:r w:rsidR="00CE3EDC">
              <w:rPr>
                <w:szCs w:val="20"/>
              </w:rPr>
              <w:t xml:space="preserve"> 2019.</w:t>
            </w:r>
            <w:r w:rsidRPr="00A4615C">
              <w:rPr>
                <w:szCs w:val="20"/>
              </w:rPr>
              <w:t xml:space="preserve"> április h</w:t>
            </w:r>
            <w:r w:rsidR="00CE3EDC">
              <w:rPr>
                <w:szCs w:val="20"/>
              </w:rPr>
              <w:t>ónap</w:t>
            </w:r>
            <w:r w:rsidRPr="00A4615C">
              <w:rPr>
                <w:szCs w:val="20"/>
              </w:rPr>
              <w:t>ban normális, az alatti vagy azt meghaladó volt, és hogy az azt megelőző hat hónapban a forgalom egyenletes volt, nőtt vagy csökkent.</w:t>
            </w:r>
          </w:p>
        </w:tc>
      </w:tr>
      <w:tr w:rsidR="00222BA3" w:rsidRPr="00A4615C" w:rsidTr="00CE3EDC">
        <w:tblPrEx>
          <w:tblCellMar>
            <w:top w:w="0" w:type="dxa"/>
            <w:bottom w:w="0" w:type="dxa"/>
          </w:tblCellMar>
        </w:tblPrEx>
        <w:trPr>
          <w:cantSplit/>
        </w:trPr>
        <w:tc>
          <w:tcPr>
            <w:tcW w:w="2660" w:type="dxa"/>
          </w:tcPr>
          <w:p w:rsidR="00222BA3" w:rsidRDefault="00222BA3" w:rsidP="00666ADE">
            <w:pPr>
              <w:pStyle w:val="TableRowHeading"/>
              <w:rPr>
                <w:szCs w:val="20"/>
              </w:rPr>
            </w:pPr>
            <w:r>
              <w:rPr>
                <w:szCs w:val="20"/>
              </w:rPr>
              <w:t>5</w:t>
            </w:r>
            <w:r w:rsidRPr="00A4615C">
              <w:rPr>
                <w:szCs w:val="20"/>
              </w:rPr>
              <w:t>.</w:t>
            </w:r>
            <w:r w:rsidR="004044C1">
              <w:rPr>
                <w:szCs w:val="20"/>
              </w:rPr>
              <w:t xml:space="preserve"> </w:t>
            </w:r>
            <w:proofErr w:type="spellStart"/>
            <w:r w:rsidR="004044C1">
              <w:rPr>
                <w:szCs w:val="20"/>
              </w:rPr>
              <w:t>FX</w:t>
            </w:r>
            <w:proofErr w:type="spellEnd"/>
            <w:r w:rsidR="004044C1">
              <w:rPr>
                <w:szCs w:val="20"/>
              </w:rPr>
              <w:t xml:space="preserve"> spot forgalom </w:t>
            </w:r>
            <w:r w:rsidRPr="00A4615C">
              <w:rPr>
                <w:szCs w:val="20"/>
              </w:rPr>
              <w:t xml:space="preserve"> </w:t>
            </w:r>
            <w:proofErr w:type="spellStart"/>
            <w:r w:rsidR="004044C1">
              <w:rPr>
                <w:szCs w:val="20"/>
              </w:rPr>
              <w:t>i</w:t>
            </w:r>
            <w:r>
              <w:rPr>
                <w:szCs w:val="20"/>
              </w:rPr>
              <w:t>nternalizáció</w:t>
            </w:r>
            <w:r w:rsidR="004044C1">
              <w:rPr>
                <w:szCs w:val="20"/>
              </w:rPr>
              <w:t>ja</w:t>
            </w:r>
            <w:proofErr w:type="spellEnd"/>
          </w:p>
        </w:tc>
        <w:tc>
          <w:tcPr>
            <w:tcW w:w="6694" w:type="dxa"/>
          </w:tcPr>
          <w:p w:rsidR="00222BA3" w:rsidRPr="00884FEE" w:rsidRDefault="00222BA3" w:rsidP="00222BA3">
            <w:pPr>
              <w:autoSpaceDE w:val="0"/>
              <w:autoSpaceDN w:val="0"/>
              <w:adjustRightInd w:val="0"/>
              <w:spacing w:before="60" w:after="60"/>
              <w:jc w:val="both"/>
              <w:rPr>
                <w:sz w:val="20"/>
                <w:lang w:val="hu-HU"/>
              </w:rPr>
            </w:pPr>
            <w:r w:rsidRPr="00884FEE">
              <w:rPr>
                <w:sz w:val="20"/>
                <w:lang w:val="hu-HU"/>
              </w:rPr>
              <w:t xml:space="preserve">A kereskedelem </w:t>
            </w:r>
            <w:proofErr w:type="spellStart"/>
            <w:r w:rsidRPr="00884FEE">
              <w:rPr>
                <w:sz w:val="20"/>
                <w:lang w:val="hu-HU"/>
              </w:rPr>
              <w:t>internalizálása</w:t>
            </w:r>
            <w:proofErr w:type="spellEnd"/>
            <w:r w:rsidRPr="00884FEE">
              <w:rPr>
                <w:sz w:val="20"/>
                <w:lang w:val="hu-HU"/>
              </w:rPr>
              <w:t xml:space="preserve"> olyan folyamat, amelynek során az adatszolgáltatók ellensúlyozzák az egyik ügyfél ügyletéből származó kockázatokat a más ügyfelekkel folytatott ügyletekből származó kockázatokkal szemben. Ez az információ jellemzően e-kereskedelemben jelenik meg. Csak azokat az ügyleteket kell figyelembe venni a főkönyvi e-kereskedelemből, amelyekre vállalják, hogy saját könyvi kockázatot jelentenek.</w:t>
            </w:r>
          </w:p>
          <w:p w:rsidR="00222BA3" w:rsidRPr="00884FEE" w:rsidRDefault="00222BA3" w:rsidP="00222BA3">
            <w:pPr>
              <w:autoSpaceDE w:val="0"/>
              <w:autoSpaceDN w:val="0"/>
              <w:adjustRightInd w:val="0"/>
              <w:spacing w:before="60" w:after="60"/>
              <w:jc w:val="both"/>
              <w:rPr>
                <w:sz w:val="20"/>
                <w:lang w:val="hu-HU"/>
              </w:rPr>
            </w:pPr>
            <w:r w:rsidRPr="00884FEE">
              <w:rPr>
                <w:sz w:val="20"/>
                <w:lang w:val="hu-HU"/>
              </w:rPr>
              <w:t xml:space="preserve">Az adatszolgáltatóknak a spotforgalomhoz kell biztosítaniuk az </w:t>
            </w:r>
            <w:proofErr w:type="spellStart"/>
            <w:r w:rsidRPr="00884FEE">
              <w:rPr>
                <w:sz w:val="20"/>
                <w:lang w:val="hu-HU"/>
              </w:rPr>
              <w:t>internalizációs</w:t>
            </w:r>
            <w:proofErr w:type="spellEnd"/>
            <w:r w:rsidRPr="00884FEE">
              <w:rPr>
                <w:sz w:val="20"/>
                <w:lang w:val="hu-HU"/>
              </w:rPr>
              <w:t xml:space="preserve"> arányokat. Ezt az információt a front -</w:t>
            </w:r>
            <w:proofErr w:type="spellStart"/>
            <w:r w:rsidRPr="00884FEE">
              <w:rPr>
                <w:sz w:val="20"/>
                <w:lang w:val="hu-HU"/>
              </w:rPr>
              <w:t>office</w:t>
            </w:r>
            <w:proofErr w:type="spellEnd"/>
            <w:r w:rsidRPr="00884FEE">
              <w:rPr>
                <w:sz w:val="20"/>
                <w:lang w:val="hu-HU"/>
              </w:rPr>
              <w:t xml:space="preserve"> pult</w:t>
            </w:r>
            <w:r>
              <w:rPr>
                <w:sz w:val="20"/>
                <w:lang w:val="hu-HU"/>
              </w:rPr>
              <w:t>j</w:t>
            </w:r>
            <w:r w:rsidRPr="00884FEE">
              <w:rPr>
                <w:sz w:val="20"/>
                <w:lang w:val="hu-HU"/>
              </w:rPr>
              <w:t>uk vagy az e-kereskedési pult képviselői nyújtják. A back-</w:t>
            </w:r>
            <w:proofErr w:type="spellStart"/>
            <w:r w:rsidRPr="00884FEE">
              <w:rPr>
                <w:sz w:val="20"/>
                <w:lang w:val="hu-HU"/>
              </w:rPr>
              <w:t>office</w:t>
            </w:r>
            <w:proofErr w:type="spellEnd"/>
            <w:r w:rsidRPr="00884FEE">
              <w:rPr>
                <w:sz w:val="20"/>
                <w:lang w:val="hu-HU"/>
              </w:rPr>
              <w:t xml:space="preserve"> ügyleteket nem szabad beszámítaniuk az adatokba.</w:t>
            </w:r>
          </w:p>
          <w:p w:rsidR="00222BA3" w:rsidRPr="00884FEE" w:rsidRDefault="00222BA3" w:rsidP="00222BA3">
            <w:pPr>
              <w:autoSpaceDE w:val="0"/>
              <w:autoSpaceDN w:val="0"/>
              <w:adjustRightInd w:val="0"/>
              <w:spacing w:before="60" w:after="60"/>
              <w:jc w:val="both"/>
              <w:rPr>
                <w:sz w:val="20"/>
                <w:lang w:val="hu-HU"/>
              </w:rPr>
            </w:pPr>
            <w:r w:rsidRPr="00884FEE">
              <w:rPr>
                <w:sz w:val="20"/>
                <w:lang w:val="hu-HU"/>
              </w:rPr>
              <w:t xml:space="preserve">Az </w:t>
            </w:r>
            <w:proofErr w:type="spellStart"/>
            <w:r w:rsidRPr="00884FEE">
              <w:rPr>
                <w:sz w:val="20"/>
                <w:lang w:val="hu-HU"/>
              </w:rPr>
              <w:t>internalizálási</w:t>
            </w:r>
            <w:proofErr w:type="spellEnd"/>
            <w:r w:rsidRPr="00884FEE">
              <w:rPr>
                <w:sz w:val="20"/>
                <w:lang w:val="hu-HU"/>
              </w:rPr>
              <w:t xml:space="preserve"> arány az alábbiak szerint kerül kiszámításra</w:t>
            </w:r>
            <w:r>
              <w:rPr>
                <w:rStyle w:val="FootnoteReference"/>
                <w:sz w:val="20"/>
                <w:lang w:val="hu-HU"/>
              </w:rPr>
              <w:footnoteReference w:id="12"/>
            </w:r>
            <w:r w:rsidRPr="00884FEE">
              <w:rPr>
                <w:sz w:val="20"/>
                <w:lang w:val="hu-HU"/>
              </w:rPr>
              <w:t xml:space="preserve">: </w:t>
            </w:r>
          </w:p>
          <w:p w:rsidR="00222BA3" w:rsidRPr="00884FEE" w:rsidRDefault="00222BA3" w:rsidP="00222BA3">
            <w:pPr>
              <w:jc w:val="center"/>
              <w:rPr>
                <w:sz w:val="20"/>
                <w:lang w:val="hu-HU"/>
              </w:rPr>
            </w:pPr>
            <w:r w:rsidRPr="00884FEE">
              <w:rPr>
                <w:sz w:val="20"/>
                <w:lang w:val="hu-HU"/>
              </w:rPr>
              <w:t>(</w:t>
            </w:r>
            <w:r w:rsidRPr="00884FEE">
              <w:rPr>
                <w:sz w:val="20"/>
                <w:lang w:val="hu-HU"/>
              </w:rPr>
              <w:fldChar w:fldCharType="begin"/>
            </w:r>
            <w:r w:rsidRPr="00884FEE">
              <w:rPr>
                <w:sz w:val="20"/>
                <w:lang w:val="hu-HU"/>
              </w:rPr>
              <w:instrText xml:space="preserve"> QUOTE </w:instrText>
            </w:r>
            <w:r w:rsidRPr="00884FEE">
              <w:rPr>
                <w:position w:val="-14"/>
                <w:sz w:val="20"/>
                <w:lang w:val="hu-HU"/>
              </w:rPr>
              <w:pict>
                <v:shape id="_x0000_i1027" type="#_x0000_t75" style="width:175.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mirrorMargins/&gt;&lt;w:stylePaneFormatFilter w:val=&quot;3F01&quot;/&gt;&lt;w:defaultTabStop w:val=&quot;227&quot;/&gt;&lt;w:hyphenationZone w:val=&quot;425&quot;/&gt;&lt;w:evenAndOddHeaders/&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VarDocType&quot; w:val=&quot;BISPubli_E&quot;/&gt;&lt;w:docVar w:name=&quot;VarDotVersion&quot; w:val=&quot;BIS0.8&quot;/&gt;&lt;/w:docVars&gt;&lt;wsp:rsids&gt;&lt;wsp:rsidRoot wsp:val=&quot;00937341&quot;/&gt;&lt;wsp:rsid wsp:val=&quot;00003AD9&quot;/&gt;&lt;wsp:rsid wsp:val=&quot;00010974&quot;/&gt;&lt;wsp:rsid wsp:val=&quot;00010AFD&quot;/&gt;&lt;wsp:rsid wsp:val=&quot;00012C20&quot;/&gt;&lt;wsp:rsid wsp:val=&quot;000155AE&quot;/&gt;&lt;wsp:rsid wsp:val=&quot;00015F72&quot;/&gt;&lt;wsp:rsid wsp:val=&quot;00016081&quot;/&gt;&lt;wsp:rsid wsp:val=&quot;00020306&quot;/&gt;&lt;wsp:rsid wsp:val=&quot;00020BE2&quot;/&gt;&lt;wsp:rsid wsp:val=&quot;000211D1&quot;/&gt;&lt;wsp:rsid wsp:val=&quot;00021FA8&quot;/&gt;&lt;wsp:rsid wsp:val=&quot;00022CBC&quot;/&gt;&lt;wsp:rsid wsp:val=&quot;00022D43&quot;/&gt;&lt;wsp:rsid wsp:val=&quot;000265AE&quot;/&gt;&lt;wsp:rsid wsp:val=&quot;00026A60&quot;/&gt;&lt;wsp:rsid wsp:val=&quot;00027A6C&quot;/&gt;&lt;wsp:rsid wsp:val=&quot;00036425&quot;/&gt;&lt;wsp:rsid wsp:val=&quot;0004153B&quot;/&gt;&lt;wsp:rsid wsp:val=&quot;000512DA&quot;/&gt;&lt;wsp:rsid wsp:val=&quot;00053180&quot;/&gt;&lt;wsp:rsid wsp:val=&quot;00056D99&quot;/&gt;&lt;wsp:rsid wsp:val=&quot;000620EA&quot;/&gt;&lt;wsp:rsid wsp:val=&quot;00062C19&quot;/&gt;&lt;wsp:rsid wsp:val=&quot;00063215&quot;/&gt;&lt;wsp:rsid wsp:val=&quot;000676F3&quot;/&gt;&lt;wsp:rsid wsp:val=&quot;000706BC&quot;/&gt;&lt;wsp:rsid wsp:val=&quot;000742C6&quot;/&gt;&lt;wsp:rsid wsp:val=&quot;00076665&quot;/&gt;&lt;wsp:rsid wsp:val=&quot;00081D1D&quot;/&gt;&lt;wsp:rsid wsp:val=&quot;00090E76&quot;/&gt;&lt;wsp:rsid wsp:val=&quot;0009194D&quot;/&gt;&lt;wsp:rsid wsp:val=&quot;000938BF&quot;/&gt;&lt;wsp:rsid wsp:val=&quot;00095707&quot;/&gt;&lt;wsp:rsid wsp:val=&quot;000A2538&quot;/&gt;&lt;wsp:rsid wsp:val=&quot;000A587A&quot;/&gt;&lt;wsp:rsid wsp:val=&quot;000B698C&quot;/&gt;&lt;wsp:rsid wsp:val=&quot;000C2011&quot;/&gt;&lt;wsp:rsid wsp:val=&quot;000C2BB6&quot;/&gt;&lt;wsp:rsid wsp:val=&quot;000C54D3&quot;/&gt;&lt;wsp:rsid wsp:val=&quot;000C7890&quot;/&gt;&lt;wsp:rsid wsp:val=&quot;000C7EDD&quot;/&gt;&lt;wsp:rsid wsp:val=&quot;000D0FEC&quot;/&gt;&lt;wsp:rsid wsp:val=&quot;000D154D&quot;/&gt;&lt;wsp:rsid wsp:val=&quot;000D1988&quot;/&gt;&lt;wsp:rsid wsp:val=&quot;000D5297&quot;/&gt;&lt;wsp:rsid wsp:val=&quot;000D61EA&quot;/&gt;&lt;wsp:rsid wsp:val=&quot;000E1EFA&quot;/&gt;&lt;wsp:rsid wsp:val=&quot;000E22A6&quot;/&gt;&lt;wsp:rsid wsp:val=&quot;000E452F&quot;/&gt;&lt;wsp:rsid wsp:val=&quot;000E7279&quot;/&gt;&lt;wsp:rsid wsp:val=&quot;000E75F8&quot;/&gt;&lt;wsp:rsid wsp:val=&quot;000F13C0&quot;/&gt;&lt;wsp:rsid wsp:val=&quot;000F6C8C&quot;/&gt;&lt;wsp:rsid wsp:val=&quot;000F75AC&quot;/&gt;&lt;wsp:rsid wsp:val=&quot;0010065E&quot;/&gt;&lt;wsp:rsid wsp:val=&quot;00101F8F&quot;/&gt;&lt;wsp:rsid wsp:val=&quot;00102B66&quot;/&gt;&lt;wsp:rsid wsp:val=&quot;00102EF2&quot;/&gt;&lt;wsp:rsid wsp:val=&quot;00103711&quot;/&gt;&lt;wsp:rsid wsp:val=&quot;001057F3&quot;/&gt;&lt;wsp:rsid wsp:val=&quot;00110958&quot;/&gt;&lt;wsp:rsid wsp:val=&quot;00111140&quot;/&gt;&lt;wsp:rsid wsp:val=&quot;0011158C&quot;/&gt;&lt;wsp:rsid wsp:val=&quot;0011444E&quot;/&gt;&lt;wsp:rsid wsp:val=&quot;001237A4&quot;/&gt;&lt;wsp:rsid wsp:val=&quot;00124501&quot;/&gt;&lt;wsp:rsid wsp:val=&quot;001301AB&quot;/&gt;&lt;wsp:rsid wsp:val=&quot;00134929&quot;/&gt;&lt;wsp:rsid wsp:val=&quot;00137CB5&quot;/&gt;&lt;wsp:rsid wsp:val=&quot;00140F03&quot;/&gt;&lt;wsp:rsid wsp:val=&quot;00144402&quot;/&gt;&lt;wsp:rsid wsp:val=&quot;00147622&quot;/&gt;&lt;wsp:rsid wsp:val=&quot;00150427&quot;/&gt;&lt;wsp:rsid wsp:val=&quot;00150AB5&quot;/&gt;&lt;wsp:rsid wsp:val=&quot;0015180B&quot;/&gt;&lt;wsp:rsid wsp:val=&quot;00152FAC&quot;/&gt;&lt;wsp:rsid wsp:val=&quot;00153600&quot;/&gt;&lt;wsp:rsid wsp:val=&quot;00153BD8&quot;/&gt;&lt;wsp:rsid wsp:val=&quot;00154D9F&quot;/&gt;&lt;wsp:rsid wsp:val=&quot;001609AA&quot;/&gt;&lt;wsp:rsid wsp:val=&quot;00161CFF&quot;/&gt;&lt;wsp:rsid wsp:val=&quot;00162583&quot;/&gt;&lt;wsp:rsid wsp:val=&quot;00164E62&quot;/&gt;&lt;wsp:rsid wsp:val=&quot;001658AB&quot;/&gt;&lt;wsp:rsid wsp:val=&quot;00165C39&quot;/&gt;&lt;wsp:rsid wsp:val=&quot;001672B3&quot;/&gt;&lt;wsp:rsid wsp:val=&quot;00170E73&quot;/&gt;&lt;wsp:rsid wsp:val=&quot;00171E10&quot;/&gt;&lt;wsp:rsid wsp:val=&quot;001723DB&quot;/&gt;&lt;wsp:rsid wsp:val=&quot;00172C5F&quot;/&gt;&lt;wsp:rsid wsp:val=&quot;00174552&quot;/&gt;&lt;wsp:rsid wsp:val=&quot;001800B9&quot;/&gt;&lt;wsp:rsid wsp:val=&quot;00180194&quot;/&gt;&lt;wsp:rsid wsp:val=&quot;0018155A&quot;/&gt;&lt;wsp:rsid wsp:val=&quot;00185CF5&quot;/&gt;&lt;wsp:rsid wsp:val=&quot;00185F89&quot;/&gt;&lt;wsp:rsid wsp:val=&quot;00192BC0&quot;/&gt;&lt;wsp:rsid wsp:val=&quot;001A08A4&quot;/&gt;&lt;wsp:rsid wsp:val=&quot;001A1879&quot;/&gt;&lt;wsp:rsid wsp:val=&quot;001A5405&quot;/&gt;&lt;wsp:rsid wsp:val=&quot;001A5999&quot;/&gt;&lt;wsp:rsid wsp:val=&quot;001A6102&quot;/&gt;&lt;wsp:rsid wsp:val=&quot;001A7901&quot;/&gt;&lt;wsp:rsid wsp:val=&quot;001B246E&quot;/&gt;&lt;wsp:rsid wsp:val=&quot;001B273E&quot;/&gt;&lt;wsp:rsid wsp:val=&quot;001B6EDA&quot;/&gt;&lt;wsp:rsid wsp:val=&quot;001C064E&quot;/&gt;&lt;wsp:rsid wsp:val=&quot;001C0B9D&quot;/&gt;&lt;wsp:rsid wsp:val=&quot;001C23D2&quot;/&gt;&lt;wsp:rsid wsp:val=&quot;001C2D09&quot;/&gt;&lt;wsp:rsid wsp:val=&quot;001C3528&quot;/&gt;&lt;wsp:rsid wsp:val=&quot;001C37C6&quot;/&gt;&lt;wsp:rsid wsp:val=&quot;001C38B1&quot;/&gt;&lt;wsp:rsid wsp:val=&quot;001C5049&quot;/&gt;&lt;wsp:rsid wsp:val=&quot;001C7B23&quot;/&gt;&lt;wsp:rsid wsp:val=&quot;001C7B82&quot;/&gt;&lt;wsp:rsid wsp:val=&quot;001C7EF2&quot;/&gt;&lt;wsp:rsid wsp:val=&quot;001D082E&quot;/&gt;&lt;wsp:rsid wsp:val=&quot;001D129E&quot;/&gt;&lt;wsp:rsid wsp:val=&quot;001D141E&quot;/&gt;&lt;wsp:rsid wsp:val=&quot;001D4107&quot;/&gt;&lt;wsp:rsid wsp:val=&quot;001D4E6A&quot;/&gt;&lt;wsp:rsid wsp:val=&quot;001D701B&quot;/&gt;&lt;wsp:rsid wsp:val=&quot;001D7C7B&quot;/&gt;&lt;wsp:rsid wsp:val=&quot;001E1AEC&quot;/&gt;&lt;wsp:rsid wsp:val=&quot;001E1D8A&quot;/&gt;&lt;wsp:rsid wsp:val=&quot;001E23EA&quot;/&gt;&lt;wsp:rsid wsp:val=&quot;001E4CE0&quot;/&gt;&lt;wsp:rsid wsp:val=&quot;001E6908&quot;/&gt;&lt;wsp:rsid wsp:val=&quot;001E7A1D&quot;/&gt;&lt;wsp:rsid wsp:val=&quot;001F0D3F&quot;/&gt;&lt;wsp:rsid wsp:val=&quot;001F12C5&quot;/&gt;&lt;wsp:rsid wsp:val=&quot;001F52D0&quot;/&gt;&lt;wsp:rsid wsp:val=&quot;001F5D73&quot;/&gt;&lt;wsp:rsid wsp:val=&quot;001F69F2&quot;/&gt;&lt;wsp:rsid wsp:val=&quot;002016A4&quot;/&gt;&lt;wsp:rsid wsp:val=&quot;00203FDF&quot;/&gt;&lt;wsp:rsid wsp:val=&quot;00206087&quot;/&gt;&lt;wsp:rsid wsp:val=&quot;00211013&quot;/&gt;&lt;wsp:rsid wsp:val=&quot;002135DA&quot;/&gt;&lt;wsp:rsid wsp:val=&quot;0021494B&quot;/&gt;&lt;wsp:rsid wsp:val=&quot;002156F7&quot;/&gt;&lt;wsp:rsid wsp:val=&quot;00216D88&quot;/&gt;&lt;wsp:rsid wsp:val=&quot;002201A0&quot;/&gt;&lt;wsp:rsid wsp:val=&quot;002230F4&quot;/&gt;&lt;wsp:rsid wsp:val=&quot;00230697&quot;/&gt;&lt;wsp:rsid wsp:val=&quot;00233CAC&quot;/&gt;&lt;wsp:rsid wsp:val=&quot;00234853&quot;/&gt;&lt;wsp:rsid wsp:val=&quot;002360B8&quot;/&gt;&lt;wsp:rsid wsp:val=&quot;002363CC&quot;/&gt;&lt;wsp:rsid wsp:val=&quot;00237F19&quot;/&gt;&lt;wsp:rsid wsp:val=&quot;00240386&quot;/&gt;&lt;wsp:rsid wsp:val=&quot;00240912&quot;/&gt;&lt;wsp:rsid wsp:val=&quot;00241719&quot;/&gt;&lt;wsp:rsid wsp:val=&quot;0024416D&quot;/&gt;&lt;wsp:rsid wsp:val=&quot;00247863&quot;/&gt;&lt;wsp:rsid wsp:val=&quot;0025372E&quot;/&gt;&lt;wsp:rsid wsp:val=&quot;002570F7&quot;/&gt;&lt;wsp:rsid wsp:val=&quot;0026156B&quot;/&gt;&lt;wsp:rsid wsp:val=&quot;00263C56&quot;/&gt;&lt;wsp:rsid wsp:val=&quot;00265508&quot;/&gt;&lt;wsp:rsid wsp:val=&quot;002757DF&quot;/&gt;&lt;wsp:rsid wsp:val=&quot;002814E5&quot;/&gt;&lt;wsp:rsid wsp:val=&quot;002831DF&quot;/&gt;&lt;wsp:rsid wsp:val=&quot;00284621&quot;/&gt;&lt;wsp:rsid wsp:val=&quot;00285306&quot;/&gt;&lt;wsp:rsid wsp:val=&quot;002859D8&quot;/&gt;&lt;wsp:rsid wsp:val=&quot;00286167&quot;/&gt;&lt;wsp:rsid wsp:val=&quot;00286244&quot;/&gt;&lt;wsp:rsid wsp:val=&quot;00286591&quot;/&gt;&lt;wsp:rsid wsp:val=&quot;00293B25&quot;/&gt;&lt;wsp:rsid wsp:val=&quot;0029479D&quot;/&gt;&lt;wsp:rsid wsp:val=&quot;002952C2&quot;/&gt;&lt;wsp:rsid wsp:val=&quot;00295899&quot;/&gt;&lt;wsp:rsid wsp:val=&quot;00295AF8&quot;/&gt;&lt;wsp:rsid wsp:val=&quot;00295C00&quot;/&gt;&lt;wsp:rsid wsp:val=&quot;002973F3&quot;/&gt;&lt;wsp:rsid wsp:val=&quot;002A1EAD&quot;/&gt;&lt;wsp:rsid wsp:val=&quot;002A572D&quot;/&gt;&lt;wsp:rsid wsp:val=&quot;002A5C50&quot;/&gt;&lt;wsp:rsid wsp:val=&quot;002A6DDB&quot;/&gt;&lt;wsp:rsid wsp:val=&quot;002A70EF&quot;/&gt;&lt;wsp:rsid wsp:val=&quot;002A768A&quot;/&gt;&lt;wsp:rsid wsp:val=&quot;002B03C0&quot;/&gt;&lt;wsp:rsid wsp:val=&quot;002B2BF8&quot;/&gt;&lt;wsp:rsid wsp:val=&quot;002B37B5&quot;/&gt;&lt;wsp:rsid wsp:val=&quot;002B428D&quot;/&gt;&lt;wsp:rsid wsp:val=&quot;002B6E40&quot;/&gt;&lt;wsp:rsid wsp:val=&quot;002C1E31&quot;/&gt;&lt;wsp:rsid wsp:val=&quot;002C4A2B&quot;/&gt;&lt;wsp:rsid wsp:val=&quot;002C4D7F&quot;/&gt;&lt;wsp:rsid wsp:val=&quot;002D1905&quot;/&gt;&lt;wsp:rsid wsp:val=&quot;002D1950&quot;/&gt;&lt;wsp:rsid wsp:val=&quot;002D2109&quot;/&gt;&lt;wsp:rsid wsp:val=&quot;002D2779&quot;/&gt;&lt;wsp:rsid wsp:val=&quot;002D29D1&quot;/&gt;&lt;wsp:rsid wsp:val=&quot;002D2C20&quot;/&gt;&lt;wsp:rsid wsp:val=&quot;002D3164&quot;/&gt;&lt;wsp:rsid wsp:val=&quot;002D5F9B&quot;/&gt;&lt;wsp:rsid wsp:val=&quot;002D6584&quot;/&gt;&lt;wsp:rsid wsp:val=&quot;002E2543&quot;/&gt;&lt;wsp:rsid wsp:val=&quot;002E39F7&quot;/&gt;&lt;wsp:rsid wsp:val=&quot;002E447F&quot;/&gt;&lt;wsp:rsid wsp:val=&quot;002E5CD0&quot;/&gt;&lt;wsp:rsid wsp:val=&quot;002E67D0&quot;/&gt;&lt;wsp:rsid wsp:val=&quot;002E6968&quot;/&gt;&lt;wsp:rsid wsp:val=&quot;002E6FC7&quot;/&gt;&lt;wsp:rsid wsp:val=&quot;002E721F&quot;/&gt;&lt;wsp:rsid wsp:val=&quot;002F1954&quot;/&gt;&lt;wsp:rsid wsp:val=&quot;002F2B55&quot;/&gt;&lt;wsp:rsid wsp:val=&quot;002F5B00&quot;/&gt;&lt;wsp:rsid wsp:val=&quot;0030155D&quot;/&gt;&lt;wsp:rsid wsp:val=&quot;00303A94&quot;/&gt;&lt;wsp:rsid wsp:val=&quot;00306F93&quot;/&gt;&lt;wsp:rsid wsp:val=&quot;003117F5&quot;/&gt;&lt;wsp:rsid wsp:val=&quot;00316DF9&quot;/&gt;&lt;wsp:rsid wsp:val=&quot;00317093&quot;/&gt;&lt;wsp:rsid wsp:val=&quot;00321888&quot;/&gt;&lt;wsp:rsid wsp:val=&quot;0032664C&quot;/&gt;&lt;wsp:rsid wsp:val=&quot;00326FC2&quot;/&gt;&lt;wsp:rsid wsp:val=&quot;0033114A&quot;/&gt;&lt;wsp:rsid wsp:val=&quot;00331A57&quot;/&gt;&lt;wsp:rsid wsp:val=&quot;00331E71&quot;/&gt;&lt;wsp:rsid wsp:val=&quot;003323BD&quot;/&gt;&lt;wsp:rsid wsp:val=&quot;0033284A&quot;/&gt;&lt;wsp:rsid wsp:val=&quot;003332A2&quot;/&gt;&lt;wsp:rsid wsp:val=&quot;00334689&quot;/&gt;&lt;wsp:rsid wsp:val=&quot;00334A9C&quot;/&gt;&lt;wsp:rsid wsp:val=&quot;003366C7&quot;/&gt;&lt;wsp:rsid wsp:val=&quot;00336FBD&quot;/&gt;&lt;wsp:rsid wsp:val=&quot;003407E0&quot;/&gt;&lt;wsp:rsid wsp:val=&quot;00342182&quot;/&gt;&lt;wsp:rsid wsp:val=&quot;00342645&quot;/&gt;&lt;wsp:rsid wsp:val=&quot;00343293&quot;/&gt;&lt;wsp:rsid wsp:val=&quot;003445CC&quot;/&gt;&lt;wsp:rsid wsp:val=&quot;00344D60&quot;/&gt;&lt;wsp:rsid wsp:val=&quot;00345E1B&quot;/&gt;&lt;wsp:rsid wsp:val=&quot;003477A9&quot;/&gt;&lt;wsp:rsid wsp:val=&quot;00351672&quot;/&gt;&lt;wsp:rsid wsp:val=&quot;003551C5&quot;/&gt;&lt;wsp:rsid wsp:val=&quot;003568D1&quot;/&gt;&lt;wsp:rsid wsp:val=&quot;00357BE3&quot;/&gt;&lt;wsp:rsid wsp:val=&quot;003602D1&quot;/&gt;&lt;wsp:rsid wsp:val=&quot;00362966&quot;/&gt;&lt;wsp:rsid wsp:val=&quot;00365765&quot;/&gt;&lt;wsp:rsid wsp:val=&quot;00366DD7&quot;/&gt;&lt;wsp:rsid wsp:val=&quot;003671D0&quot;/&gt;&lt;wsp:rsid wsp:val=&quot;00367247&quot;/&gt;&lt;wsp:rsid wsp:val=&quot;00367721&quot;/&gt;&lt;wsp:rsid wsp:val=&quot;00372914&quot;/&gt;&lt;wsp:rsid wsp:val=&quot;00374586&quot;/&gt;&lt;wsp:rsid wsp:val=&quot;00375AD0&quot;/&gt;&lt;wsp:rsid wsp:val=&quot;003776CB&quot;/&gt;&lt;wsp:rsid wsp:val=&quot;00380144&quot;/&gt;&lt;wsp:rsid wsp:val=&quot;00381425&quot;/&gt;&lt;wsp:rsid wsp:val=&quot;00382D4F&quot;/&gt;&lt;wsp:rsid wsp:val=&quot;00393317&quot;/&gt;&lt;wsp:rsid wsp:val=&quot;00394DC1&quot;/&gt;&lt;wsp:rsid wsp:val=&quot;00394F3E&quot;/&gt;&lt;wsp:rsid wsp:val=&quot;003A07DD&quot;/&gt;&lt;wsp:rsid wsp:val=&quot;003A0F7E&quot;/&gt;&lt;wsp:rsid wsp:val=&quot;003A1C5B&quot;/&gt;&lt;wsp:rsid wsp:val=&quot;003A39BE&quot;/&gt;&lt;wsp:rsid wsp:val=&quot;003A4CD7&quot;/&gt;&lt;wsp:rsid wsp:val=&quot;003A5B06&quot;/&gt;&lt;wsp:rsid wsp:val=&quot;003A5D31&quot;/&gt;&lt;wsp:rsid wsp:val=&quot;003B1161&quot;/&gt;&lt;wsp:rsid wsp:val=&quot;003B1C01&quot;/&gt;&lt;wsp:rsid wsp:val=&quot;003B6904&quot;/&gt;&lt;wsp:rsid wsp:val=&quot;003C05B5&quot;/&gt;&lt;wsp:rsid wsp:val=&quot;003C1746&quot;/&gt;&lt;wsp:rsid wsp:val=&quot;003C2261&quot;/&gt;&lt;wsp:rsid wsp:val=&quot;003C2A9A&quot;/&gt;&lt;wsp:rsid wsp:val=&quot;003C2D3C&quot;/&gt;&lt;wsp:rsid wsp:val=&quot;003C3F64&quot;/&gt;&lt;wsp:rsid wsp:val=&quot;003C5943&quot;/&gt;&lt;wsp:rsid wsp:val=&quot;003D1AF2&quot;/&gt;&lt;wsp:rsid wsp:val=&quot;003D47B6&quot;/&gt;&lt;wsp:rsid wsp:val=&quot;003D48C9&quot;/&gt;&lt;wsp:rsid wsp:val=&quot;003E093D&quot;/&gt;&lt;wsp:rsid wsp:val=&quot;003E1947&quot;/&gt;&lt;wsp:rsid wsp:val=&quot;003E6CC3&quot;/&gt;&lt;wsp:rsid wsp:val=&quot;003E775B&quot;/&gt;&lt;wsp:rsid wsp:val=&quot;003F0B2D&quot;/&gt;&lt;wsp:rsid wsp:val=&quot;003F3728&quot;/&gt;&lt;wsp:rsid wsp:val=&quot;003F37CD&quot;/&gt;&lt;wsp:rsid wsp:val=&quot;004018C7&quot;/&gt;&lt;wsp:rsid wsp:val=&quot;00405941&quot;/&gt;&lt;wsp:rsid wsp:val=&quot;004063FE&quot;/&gt;&lt;wsp:rsid wsp:val=&quot;004077E6&quot;/&gt;&lt;wsp:rsid wsp:val=&quot;004134C0&quot;/&gt;&lt;wsp:rsid wsp:val=&quot;004144E2&quot;/&gt;&lt;wsp:rsid wsp:val=&quot;00414FE8&quot;/&gt;&lt;wsp:rsid wsp:val=&quot;00415D80&quot;/&gt;&lt;wsp:rsid wsp:val=&quot;00417C16&quot;/&gt;&lt;wsp:rsid wsp:val=&quot;00420497&quot;/&gt;&lt;wsp:rsid wsp:val=&quot;00424D8F&quot;/&gt;&lt;wsp:rsid wsp:val=&quot;00430412&quot;/&gt;&lt;wsp:rsid wsp:val=&quot;0043109E&quot;/&gt;&lt;wsp:rsid wsp:val=&quot;0043240A&quot;/&gt;&lt;wsp:rsid wsp:val=&quot;00434E4B&quot;/&gt;&lt;wsp:rsid wsp:val=&quot;004420F0&quot;/&gt;&lt;wsp:rsid wsp:val=&quot;0044611E&quot;/&gt;&lt;wsp:rsid wsp:val=&quot;00446137&quot;/&gt;&lt;wsp:rsid wsp:val=&quot;00447E67&quot;/&gt;&lt;wsp:rsid wsp:val=&quot;004503A2&quot;/&gt;&lt;wsp:rsid wsp:val=&quot;00451AD8&quot;/&gt;&lt;wsp:rsid wsp:val=&quot;004523E9&quot;/&gt;&lt;wsp:rsid wsp:val=&quot;0045270B&quot;/&gt;&lt;wsp:rsid wsp:val=&quot;00452E69&quot;/&gt;&lt;wsp:rsid wsp:val=&quot;00453382&quot;/&gt;&lt;wsp:rsid wsp:val=&quot;00456482&quot;/&gt;&lt;wsp:rsid wsp:val=&quot;00456CE3&quot;/&gt;&lt;wsp:rsid wsp:val=&quot;0045767C&quot;/&gt;&lt;wsp:rsid wsp:val=&quot;0046152C&quot;/&gt;&lt;wsp:rsid wsp:val=&quot;00463C1C&quot;/&gt;&lt;wsp:rsid wsp:val=&quot;00464D42&quot;/&gt;&lt;wsp:rsid wsp:val=&quot;0047014E&quot;/&gt;&lt;wsp:rsid wsp:val=&quot;00472C1D&quot;/&gt;&lt;wsp:rsid wsp:val=&quot;004737F0&quot;/&gt;&lt;wsp:rsid wsp:val=&quot;00474A7A&quot;/&gt;&lt;wsp:rsid wsp:val=&quot;004759F5&quot;/&gt;&lt;wsp:rsid wsp:val=&quot;0047663B&quot;/&gt;&lt;wsp:rsid wsp:val=&quot;00476D03&quot;/&gt;&lt;wsp:rsid wsp:val=&quot;00477201&quot;/&gt;&lt;wsp:rsid wsp:val=&quot;004775B3&quot;/&gt;&lt;wsp:rsid wsp:val=&quot;004809DC&quot;/&gt;&lt;wsp:rsid wsp:val=&quot;00482374&quot;/&gt;&lt;wsp:rsid wsp:val=&quot;0048251E&quot;/&gt;&lt;wsp:rsid wsp:val=&quot;0048426A&quot;/&gt;&lt;wsp:rsid wsp:val=&quot;00484352&quot;/&gt;&lt;wsp:rsid wsp:val=&quot;004861A7&quot;/&gt;&lt;wsp:rsid wsp:val=&quot;0048767B&quot;/&gt;&lt;wsp:rsid wsp:val=&quot;004A3DD6&quot;/&gt;&lt;wsp:rsid wsp:val=&quot;004A4424&quot;/&gt;&lt;wsp:rsid wsp:val=&quot;004A59A7&quot;/&gt;&lt;wsp:rsid wsp:val=&quot;004B1B06&quot;/&gt;&lt;wsp:rsid wsp:val=&quot;004B3482&quot;/&gt;&lt;wsp:rsid wsp:val=&quot;004B4063&quot;/&gt;&lt;wsp:rsid wsp:val=&quot;004B5169&quot;/&gt;&lt;wsp:rsid wsp:val=&quot;004B69E8&quot;/&gt;&lt;wsp:rsid wsp:val=&quot;004B7FBD&quot;/&gt;&lt;wsp:rsid wsp:val=&quot;004C2034&quot;/&gt;&lt;wsp:rsid wsp:val=&quot;004C397A&quot;/&gt;&lt;wsp:rsid wsp:val=&quot;004C6461&quot;/&gt;&lt;wsp:rsid wsp:val=&quot;004C67C6&quot;/&gt;&lt;wsp:rsid wsp:val=&quot;004D26F3&quot;/&gt;&lt;wsp:rsid wsp:val=&quot;004D2B83&quot;/&gt;&lt;wsp:rsid wsp:val=&quot;004D4654&quot;/&gt;&lt;wsp:rsid wsp:val=&quot;004D479A&quot;/&gt;&lt;wsp:rsid wsp:val=&quot;004D4D11&quot;/&gt;&lt;wsp:rsid wsp:val=&quot;004D5C2F&quot;/&gt;&lt;wsp:rsid wsp:val=&quot;004D5D00&quot;/&gt;&lt;wsp:rsid wsp:val=&quot;004D7756&quot;/&gt;&lt;wsp:rsid wsp:val=&quot;004E07A4&quot;/&gt;&lt;wsp:rsid wsp:val=&quot;004E0B58&quot;/&gt;&lt;wsp:rsid wsp:val=&quot;004E14C0&quot;/&gt;&lt;wsp:rsid wsp:val=&quot;004E1A65&quot;/&gt;&lt;wsp:rsid wsp:val=&quot;004E3E7B&quot;/&gt;&lt;wsp:rsid wsp:val=&quot;004E468A&quot;/&gt;&lt;wsp:rsid wsp:val=&quot;004E5195&quot;/&gt;&lt;wsp:rsid wsp:val=&quot;004E7ADB&quot;/&gt;&lt;wsp:rsid wsp:val=&quot;004F13E1&quot;/&gt;&lt;wsp:rsid wsp:val=&quot;004F2F0F&quot;/&gt;&lt;wsp:rsid wsp:val=&quot;004F39F3&quot;/&gt;&lt;wsp:rsid wsp:val=&quot;004F3B6D&quot;/&gt;&lt;wsp:rsid wsp:val=&quot;004F436B&quot;/&gt;&lt;wsp:rsid wsp:val=&quot;004F5866&quot;/&gt;&lt;wsp:rsid wsp:val=&quot;004F7874&quot;/&gt;&lt;wsp:rsid wsp:val=&quot;00501BC2&quot;/&gt;&lt;wsp:rsid wsp:val=&quot;00501F5C&quot;/&gt;&lt;wsp:rsid wsp:val=&quot;00503315&quot;/&gt;&lt;wsp:rsid wsp:val=&quot;00503D31&quot;/&gt;&lt;wsp:rsid wsp:val=&quot;00504C0F&quot;/&gt;&lt;wsp:rsid wsp:val=&quot;0050611B&quot;/&gt;&lt;wsp:rsid wsp:val=&quot;005061F6&quot;/&gt;&lt;wsp:rsid wsp:val=&quot;00506950&quot;/&gt;&lt;wsp:rsid wsp:val=&quot;0050697B&quot;/&gt;&lt;wsp:rsid wsp:val=&quot;00507B28&quot;/&gt;&lt;wsp:rsid wsp:val=&quot;00507C6F&quot;/&gt;&lt;wsp:rsid wsp:val=&quot;0051075E&quot;/&gt;&lt;wsp:rsid wsp:val=&quot;0051143A&quot;/&gt;&lt;wsp:rsid wsp:val=&quot;0051358B&quot;/&gt;&lt;wsp:rsid wsp:val=&quot;0051457C&quot;/&gt;&lt;wsp:rsid wsp:val=&quot;0051686A&quot;/&gt;&lt;wsp:rsid wsp:val=&quot;00521FD7&quot;/&gt;&lt;wsp:rsid wsp:val=&quot;00523DD7&quot;/&gt;&lt;wsp:rsid wsp:val=&quot;00524101&quot;/&gt;&lt;wsp:rsid wsp:val=&quot;00524C36&quot;/&gt;&lt;wsp:rsid wsp:val=&quot;00524F93&quot;/&gt;&lt;wsp:rsid wsp:val=&quot;00525168&quot;/&gt;&lt;wsp:rsid wsp:val=&quot;00530962&quot;/&gt;&lt;wsp:rsid wsp:val=&quot;00533278&quot;/&gt;&lt;wsp:rsid wsp:val=&quot;0053422D&quot;/&gt;&lt;wsp:rsid wsp:val=&quot;00534B88&quot;/&gt;&lt;wsp:rsid wsp:val=&quot;005355F8&quot;/&gt;&lt;wsp:rsid wsp:val=&quot;00535BE8&quot;/&gt;&lt;wsp:rsid wsp:val=&quot;00536B5D&quot;/&gt;&lt;wsp:rsid wsp:val=&quot;00537964&quot;/&gt;&lt;wsp:rsid wsp:val=&quot;00541CD7&quot;/&gt;&lt;wsp:rsid wsp:val=&quot;005442BB&quot;/&gt;&lt;wsp:rsid wsp:val=&quot;00544963&quot;/&gt;&lt;wsp:rsid wsp:val=&quot;00546045&quot;/&gt;&lt;wsp:rsid wsp:val=&quot;0055273E&quot;/&gt;&lt;wsp:rsid wsp:val=&quot;00553C9B&quot;/&gt;&lt;wsp:rsid wsp:val=&quot;005543C9&quot;/&gt;&lt;wsp:rsid wsp:val=&quot;00554B89&quot;/&gt;&lt;wsp:rsid wsp:val=&quot;00562AE6&quot;/&gt;&lt;wsp:rsid wsp:val=&quot;00563213&quot;/&gt;&lt;wsp:rsid wsp:val=&quot;005701BF&quot;/&gt;&lt;wsp:rsid wsp:val=&quot;00573301&quot;/&gt;&lt;wsp:rsid wsp:val=&quot;00573C22&quot;/&gt;&lt;wsp:rsid wsp:val=&quot;0057494A&quot;/&gt;&lt;wsp:rsid wsp:val=&quot;00577D21&quot;/&gt;&lt;wsp:rsid wsp:val=&quot;005800A1&quot;/&gt;&lt;wsp:rsid wsp:val=&quot;005824DE&quot;/&gt;&lt;wsp:rsid wsp:val=&quot;005868EA&quot;/&gt;&lt;wsp:rsid wsp:val=&quot;00586CD3&quot;/&gt;&lt;wsp:rsid wsp:val=&quot;00587868&quot;/&gt;&lt;wsp:rsid wsp:val=&quot;00590EED&quot;/&gt;&lt;wsp:rsid wsp:val=&quot;00592E38&quot;/&gt;&lt;wsp:rsid wsp:val=&quot;00593486&quot;/&gt;&lt;wsp:rsid wsp:val=&quot;00594446&quot;/&gt;&lt;wsp:rsid wsp:val=&quot;005948A1&quot;/&gt;&lt;wsp:rsid wsp:val=&quot;005948FA&quot;/&gt;&lt;wsp:rsid wsp:val=&quot;00594947&quot;/&gt;&lt;wsp:rsid wsp:val=&quot;005970ED&quot;/&gt;&lt;wsp:rsid wsp:val=&quot;005A061D&quot;/&gt;&lt;wsp:rsid wsp:val=&quot;005A11D9&quot;/&gt;&lt;wsp:rsid wsp:val=&quot;005A19FC&quot;/&gt;&lt;wsp:rsid wsp:val=&quot;005B4786&quot;/&gt;&lt;wsp:rsid wsp:val=&quot;005B4CE1&quot;/&gt;&lt;wsp:rsid wsp:val=&quot;005B7959&quot;/&gt;&lt;wsp:rsid wsp:val=&quot;005C05F9&quot;/&gt;&lt;wsp:rsid wsp:val=&quot;005C0F76&quot;/&gt;&lt;wsp:rsid wsp:val=&quot;005C2DAC&quot;/&gt;&lt;wsp:rsid wsp:val=&quot;005C558A&quot;/&gt;&lt;wsp:rsid wsp:val=&quot;005C630B&quot;/&gt;&lt;wsp:rsid wsp:val=&quot;005C703D&quot;/&gt;&lt;wsp:rsid wsp:val=&quot;005D004E&quot;/&gt;&lt;wsp:rsid wsp:val=&quot;005D79BB&quot;/&gt;&lt;wsp:rsid wsp:val=&quot;005E0AF0&quot;/&gt;&lt;wsp:rsid wsp:val=&quot;005E0CDF&quot;/&gt;&lt;wsp:rsid wsp:val=&quot;005E25E4&quot;/&gt;&lt;wsp:rsid wsp:val=&quot;005E26C2&quot;/&gt;&lt;wsp:rsid wsp:val=&quot;005E2B8A&quot;/&gt;&lt;wsp:rsid wsp:val=&quot;005E2D46&quot;/&gt;&lt;wsp:rsid wsp:val=&quot;005E4C97&quot;/&gt;&lt;wsp:rsid wsp:val=&quot;005E6E26&quot;/&gt;&lt;wsp:rsid wsp:val=&quot;005E7298&quot;/&gt;&lt;wsp:rsid wsp:val=&quot;005F15AD&quot;/&gt;&lt;wsp:rsid wsp:val=&quot;005F16D5&quot;/&gt;&lt;wsp:rsid wsp:val=&quot;005F2064&quot;/&gt;&lt;wsp:rsid wsp:val=&quot;005F215F&quot;/&gt;&lt;wsp:rsid wsp:val=&quot;005F2EFC&quot;/&gt;&lt;wsp:rsid wsp:val=&quot;005F4FC6&quot;/&gt;&lt;wsp:rsid wsp:val=&quot;00600D2E&quot;/&gt;&lt;wsp:rsid wsp:val=&quot;00602BC6&quot;/&gt;&lt;wsp:rsid wsp:val=&quot;006108A4&quot;/&gt;&lt;wsp:rsid wsp:val=&quot;00611350&quot;/&gt;&lt;wsp:rsid wsp:val=&quot;006119AF&quot;/&gt;&lt;wsp:rsid wsp:val=&quot;00611AD6&quot;/&gt;&lt;wsp:rsid wsp:val=&quot;00612896&quot;/&gt;&lt;wsp:rsid wsp:val=&quot;00614B2A&quot;/&gt;&lt;wsp:rsid wsp:val=&quot;00617F4A&quot;/&gt;&lt;wsp:rsid wsp:val=&quot;00621F02&quot;/&gt;&lt;wsp:rsid wsp:val=&quot;00622B69&quot;/&gt;&lt;wsp:rsid wsp:val=&quot;00625CE1&quot;/&gt;&lt;wsp:rsid wsp:val=&quot;00627994&quot;/&gt;&lt;wsp:rsid wsp:val=&quot;00631E2C&quot;/&gt;&lt;wsp:rsid wsp:val=&quot;0063525B&quot;/&gt;&lt;wsp:rsid wsp:val=&quot;006356BD&quot;/&gt;&lt;wsp:rsid wsp:val=&quot;00635B95&quot;/&gt;&lt;wsp:rsid wsp:val=&quot;00635EA5&quot;/&gt;&lt;wsp:rsid wsp:val=&quot;00637F62&quot;/&gt;&lt;wsp:rsid wsp:val=&quot;0064063B&quot;/&gt;&lt;wsp:rsid wsp:val=&quot;00641542&quot;/&gt;&lt;wsp:rsid wsp:val=&quot;006426FC&quot;/&gt;&lt;wsp:rsid wsp:val=&quot;00643927&quot;/&gt;&lt;wsp:rsid wsp:val=&quot;00645A6D&quot;/&gt;&lt;wsp:rsid wsp:val=&quot;00650C4E&quot;/&gt;&lt;wsp:rsid wsp:val=&quot;0065420C&quot;/&gt;&lt;wsp:rsid wsp:val=&quot;00654470&quot;/&gt;&lt;wsp:rsid wsp:val=&quot;00657FB6&quot;/&gt;&lt;wsp:rsid wsp:val=&quot;00661729&quot;/&gt;&lt;wsp:rsid wsp:val=&quot;006642E6&quot;/&gt;&lt;wsp:rsid wsp:val=&quot;0066442E&quot;/&gt;&lt;wsp:rsid wsp:val=&quot;00664F50&quot;/&gt;&lt;wsp:rsid wsp:val=&quot;006655EF&quot;/&gt;&lt;wsp:rsid wsp:val=&quot;00666ADE&quot;/&gt;&lt;wsp:rsid wsp:val=&quot;00672828&quot;/&gt;&lt;wsp:rsid wsp:val=&quot;00673C4C&quot;/&gt;&lt;wsp:rsid wsp:val=&quot;00674B82&quot;/&gt;&lt;wsp:rsid wsp:val=&quot;00681B98&quot;/&gt;&lt;wsp:rsid wsp:val=&quot;00683208&quot;/&gt;&lt;wsp:rsid wsp:val=&quot;00683410&quot;/&gt;&lt;wsp:rsid wsp:val=&quot;00686280&quot;/&gt;&lt;wsp:rsid wsp:val=&quot;00690716&quot;/&gt;&lt;wsp:rsid wsp:val=&quot;00692C66&quot;/&gt;&lt;wsp:rsid wsp:val=&quot;00692F1D&quot;/&gt;&lt;wsp:rsid wsp:val=&quot;00695C19&quot;/&gt;&lt;wsp:rsid wsp:val=&quot;00696231&quot;/&gt;&lt;wsp:rsid wsp:val=&quot;006A162B&quot;/&gt;&lt;wsp:rsid wsp:val=&quot;006A47B9&quot;/&gt;&lt;wsp:rsid wsp:val=&quot;006A5AA9&quot;/&gt;&lt;wsp:rsid wsp:val=&quot;006A5FB5&quot;/&gt;&lt;wsp:rsid wsp:val=&quot;006A7009&quot;/&gt;&lt;wsp:rsid wsp:val=&quot;006A7420&quot;/&gt;&lt;wsp:rsid wsp:val=&quot;006A745B&quot;/&gt;&lt;wsp:rsid wsp:val=&quot;006A7D46&quot;/&gt;&lt;wsp:rsid wsp:val=&quot;006B05BD&quot;/&gt;&lt;wsp:rsid wsp:val=&quot;006B07AA&quot;/&gt;&lt;wsp:rsid wsp:val=&quot;006B1053&quot;/&gt;&lt;wsp:rsid wsp:val=&quot;006B176D&quot;/&gt;&lt;wsp:rsid wsp:val=&quot;006B27C6&quot;/&gt;&lt;wsp:rsid wsp:val=&quot;006B2DC9&quot;/&gt;&lt;wsp:rsid wsp:val=&quot;006B4015&quot;/&gt;&lt;wsp:rsid wsp:val=&quot;006B4283&quot;/&gt;&lt;wsp:rsid wsp:val=&quot;006C01CA&quot;/&gt;&lt;wsp:rsid wsp:val=&quot;006C1C97&quot;/&gt;&lt;wsp:rsid wsp:val=&quot;006C4688&quot;/&gt;&lt;wsp:rsid wsp:val=&quot;006C4B92&quot;/&gt;&lt;wsp:rsid wsp:val=&quot;006C5350&quot;/&gt;&lt;wsp:rsid wsp:val=&quot;006D142A&quot;/&gt;&lt;wsp:rsid wsp:val=&quot;006D6F17&quot;/&gt;&lt;wsp:rsid wsp:val=&quot;006D73D7&quot;/&gt;&lt;wsp:rsid wsp:val=&quot;006E1BFC&quot;/&gt;&lt;wsp:rsid wsp:val=&quot;006E22F4&quot;/&gt;&lt;wsp:rsid wsp:val=&quot;006E247E&quot;/&gt;&lt;wsp:rsid wsp:val=&quot;006E2A2A&quot;/&gt;&lt;wsp:rsid wsp:val=&quot;006E2AAD&quot;/&gt;&lt;wsp:rsid wsp:val=&quot;006E398A&quot;/&gt;&lt;wsp:rsid wsp:val=&quot;006E3A18&quot;/&gt;&lt;wsp:rsid wsp:val=&quot;006E44E3&quot;/&gt;&lt;wsp:rsid wsp:val=&quot;006E5197&quot;/&gt;&lt;wsp:rsid wsp:val=&quot;006E55F3&quot;/&gt;&lt;wsp:rsid wsp:val=&quot;006F0FC0&quot;/&gt;&lt;wsp:rsid wsp:val=&quot;006F386E&quot;/&gt;&lt;wsp:rsid wsp:val=&quot;006F54F9&quot;/&gt;&lt;wsp:rsid wsp:val=&quot;006F5FFC&quot;/&gt;&lt;wsp:rsid wsp:val=&quot;006F6A19&quot;/&gt;&lt;wsp:rsid wsp:val=&quot;006F7008&quot;/&gt;&lt;wsp:rsid wsp:val=&quot;006F73B6&quot;/&gt;&lt;wsp:rsid wsp:val=&quot;006F7B4B&quot;/&gt;&lt;wsp:rsid wsp:val=&quot;00700AB0&quot;/&gt;&lt;wsp:rsid wsp:val=&quot;0070140C&quot;/&gt;&lt;wsp:rsid wsp:val=&quot;00701685&quot;/&gt;&lt;wsp:rsid wsp:val=&quot;007036AD&quot;/&gt;&lt;wsp:rsid wsp:val=&quot;00703847&quot;/&gt;&lt;wsp:rsid wsp:val=&quot;00704463&quot;/&gt;&lt;wsp:rsid wsp:val=&quot;00704C38&quot;/&gt;&lt;wsp:rsid wsp:val=&quot;00705038&quot;/&gt;&lt;wsp:rsid wsp:val=&quot;00706C19&quot;/&gt;&lt;wsp:rsid wsp:val=&quot;007129E1&quot;/&gt;&lt;wsp:rsid wsp:val=&quot;00712AF6&quot;/&gt;&lt;wsp:rsid wsp:val=&quot;007138E1&quot;/&gt;&lt;wsp:rsid wsp:val=&quot;007178CD&quot;/&gt;&lt;wsp:rsid wsp:val=&quot;00720C76&quot;/&gt;&lt;wsp:rsid wsp:val=&quot;00720E34&quot;/&gt;&lt;wsp:rsid wsp:val=&quot;00721D02&quot;/&gt;&lt;wsp:rsid wsp:val=&quot;00721D37&quot;/&gt;&lt;wsp:rsid wsp:val=&quot;00722159&quot;/&gt;&lt;wsp:rsid wsp:val=&quot;00723E32&quot;/&gt;&lt;wsp:rsid wsp:val=&quot;00726929&quot;/&gt;&lt;wsp:rsid wsp:val=&quot;00727836&quot;/&gt;&lt;wsp:rsid wsp:val=&quot;00730698&quot;/&gt;&lt;wsp:rsid wsp:val=&quot;00731EEB&quot;/&gt;&lt;wsp:rsid wsp:val=&quot;00732969&quot;/&gt;&lt;wsp:rsid wsp:val=&quot;00733BAE&quot;/&gt;&lt;wsp:rsid wsp:val=&quot;0073528B&quot;/&gt;&lt;wsp:rsid wsp:val=&quot;007352BA&quot;/&gt;&lt;wsp:rsid wsp:val=&quot;00735A5E&quot;/&gt;&lt;wsp:rsid wsp:val=&quot;00736FFA&quot;/&gt;&lt;wsp:rsid wsp:val=&quot;00737790&quot;/&gt;&lt;wsp:rsid wsp:val=&quot;00737EF0&quot;/&gt;&lt;wsp:rsid wsp:val=&quot;007477B2&quot;/&gt;&lt;wsp:rsid wsp:val=&quot;00747BD2&quot;/&gt;&lt;wsp:rsid wsp:val=&quot;00750DA8&quot;/&gt;&lt;wsp:rsid wsp:val=&quot;00751DBA&quot;/&gt;&lt;wsp:rsid wsp:val=&quot;007532A9&quot;/&gt;&lt;wsp:rsid wsp:val=&quot;007543C9&quot;/&gt;&lt;wsp:rsid wsp:val=&quot;00754BA0&quot;/&gt;&lt;wsp:rsid wsp:val=&quot;00756AD5&quot;/&gt;&lt;wsp:rsid wsp:val=&quot;0076194F&quot;/&gt;&lt;wsp:rsid wsp:val=&quot;0076443F&quot;/&gt;&lt;wsp:rsid wsp:val=&quot;00765A46&quot;/&gt;&lt;wsp:rsid wsp:val=&quot;00766357&quot;/&gt;&lt;wsp:rsid wsp:val=&quot;0076756E&quot;/&gt;&lt;wsp:rsid wsp:val=&quot;00767794&quot;/&gt;&lt;wsp:rsid wsp:val=&quot;00773492&quot;/&gt;&lt;wsp:rsid wsp:val=&quot;00773DAD&quot;/&gt;&lt;wsp:rsid wsp:val=&quot;00780093&quot;/&gt;&lt;wsp:rsid wsp:val=&quot;00781361&quot;/&gt;&lt;wsp:rsid wsp:val=&quot;00782EC0&quot;/&gt;&lt;wsp:rsid wsp:val=&quot;00784287&quot;/&gt;&lt;wsp:rsid wsp:val=&quot;007843D2&quot;/&gt;&lt;wsp:rsid wsp:val=&quot;00784A4B&quot;/&gt;&lt;wsp:rsid wsp:val=&quot;00786DF5&quot;/&gt;&lt;wsp:rsid wsp:val=&quot;00786EC5&quot;/&gt;&lt;wsp:rsid wsp:val=&quot;0079083E&quot;/&gt;&lt;wsp:rsid wsp:val=&quot;00790DD9&quot;/&gt;&lt;wsp:rsid wsp:val=&quot;00794A80&quot;/&gt;&lt;wsp:rsid wsp:val=&quot;007A1420&quot;/&gt;&lt;wsp:rsid wsp:val=&quot;007A41E5&quot;/&gt;&lt;wsp:rsid wsp:val=&quot;007A4E21&quot;/&gt;&lt;wsp:rsid wsp:val=&quot;007A572A&quot;/&gt;&lt;wsp:rsid wsp:val=&quot;007A5E6C&quot;/&gt;&lt;wsp:rsid wsp:val=&quot;007B04D2&quot;/&gt;&lt;wsp:rsid wsp:val=&quot;007B25C2&quot;/&gt;&lt;wsp:rsid wsp:val=&quot;007B3FF0&quot;/&gt;&lt;wsp:rsid wsp:val=&quot;007B547F&quot;/&gt;&lt;wsp:rsid wsp:val=&quot;007C1202&quot;/&gt;&lt;wsp:rsid wsp:val=&quot;007C3C7A&quot;/&gt;&lt;wsp:rsid wsp:val=&quot;007C3F83&quot;/&gt;&lt;wsp:rsid wsp:val=&quot;007C57D6&quot;/&gt;&lt;wsp:rsid wsp:val=&quot;007C5D6E&quot;/&gt;&lt;wsp:rsid wsp:val=&quot;007C79B1&quot;/&gt;&lt;wsp:rsid wsp:val=&quot;007D0118&quot;/&gt;&lt;wsp:rsid wsp:val=&quot;007D1730&quot;/&gt;&lt;wsp:rsid wsp:val=&quot;007D34F8&quot;/&gt;&lt;wsp:rsid wsp:val=&quot;007D4A67&quot;/&gt;&lt;wsp:rsid wsp:val=&quot;007D7C40&quot;/&gt;&lt;wsp:rsid wsp:val=&quot;007E08C5&quot;/&gt;&lt;wsp:rsid wsp:val=&quot;007E0CBA&quot;/&gt;&lt;wsp:rsid wsp:val=&quot;007E32E1&quot;/&gt;&lt;wsp:rsid wsp:val=&quot;007E4499&quot;/&gt;&lt;wsp:rsid wsp:val=&quot;007E6AF6&quot;/&gt;&lt;wsp:rsid wsp:val=&quot;007F00C2&quot;/&gt;&lt;wsp:rsid wsp:val=&quot;007F035B&quot;/&gt;&lt;wsp:rsid wsp:val=&quot;007F42FB&quot;/&gt;&lt;wsp:rsid wsp:val=&quot;00801788&quot;/&gt;&lt;wsp:rsid wsp:val=&quot;008043AB&quot;/&gt;&lt;wsp:rsid wsp:val=&quot;00806BC6&quot;/&gt;&lt;wsp:rsid wsp:val=&quot;00811260&quot;/&gt;&lt;wsp:rsid wsp:val=&quot;00811592&quot;/&gt;&lt;wsp:rsid wsp:val=&quot;00811664&quot;/&gt;&lt;wsp:rsid wsp:val=&quot;008128F4&quot;/&gt;&lt;wsp:rsid wsp:val=&quot;00816958&quot;/&gt;&lt;wsp:rsid wsp:val=&quot;00816E5A&quot;/&gt;&lt;wsp:rsid wsp:val=&quot;00822504&quot;/&gt;&lt;wsp:rsid wsp:val=&quot;00822A8A&quot;/&gt;&lt;wsp:rsid wsp:val=&quot;008236B4&quot;/&gt;&lt;wsp:rsid wsp:val=&quot;00826AC2&quot;/&gt;&lt;wsp:rsid wsp:val=&quot;00827EB3&quot;/&gt;&lt;wsp:rsid wsp:val=&quot;008308E4&quot;/&gt;&lt;wsp:rsid wsp:val=&quot;0083117E&quot;/&gt;&lt;wsp:rsid wsp:val=&quot;00831A2D&quot;/&gt;&lt;wsp:rsid wsp:val=&quot;00832E8A&quot;/&gt;&lt;wsp:rsid wsp:val=&quot;008336F7&quot;/&gt;&lt;wsp:rsid wsp:val=&quot;00840F73&quot;/&gt;&lt;wsp:rsid wsp:val=&quot;00844919&quot;/&gt;&lt;wsp:rsid wsp:val=&quot;00854F2C&quot;/&gt;&lt;wsp:rsid wsp:val=&quot;00855879&quot;/&gt;&lt;wsp:rsid wsp:val=&quot;008569DD&quot;/&gt;&lt;wsp:rsid wsp:val=&quot;0086111E&quot;/&gt;&lt;wsp:rsid wsp:val=&quot;00862127&quot;/&gt;&lt;wsp:rsid wsp:val=&quot;0086234C&quot;/&gt;&lt;wsp:rsid wsp:val=&quot;0086334A&quot;/&gt;&lt;wsp:rsid wsp:val=&quot;0086449E&quot;/&gt;&lt;wsp:rsid wsp:val=&quot;00865CCE&quot;/&gt;&lt;wsp:rsid wsp:val=&quot;00866043&quot;/&gt;&lt;wsp:rsid wsp:val=&quot;00867872&quot;/&gt;&lt;wsp:rsid wsp:val=&quot;00867DB3&quot;/&gt;&lt;wsp:rsid wsp:val=&quot;00871AA6&quot;/&gt;&lt;wsp:rsid wsp:val=&quot;00874177&quot;/&gt;&lt;wsp:rsid wsp:val=&quot;00877B2F&quot;/&gt;&lt;wsp:rsid wsp:val=&quot;008817D9&quot;/&gt;&lt;wsp:rsid wsp:val=&quot;008818CB&quot;/&gt;&lt;wsp:rsid wsp:val=&quot;00882938&quot;/&gt;&lt;wsp:rsid wsp:val=&quot;00883E38&quot;/&gt;&lt;wsp:rsid wsp:val=&quot;00884416&quot;/&gt;&lt;wsp:rsid wsp:val=&quot;00887FC6&quot;/&gt;&lt;wsp:rsid wsp:val=&quot;008917BF&quot;/&gt;&lt;wsp:rsid wsp:val=&quot;008A3A00&quot;/&gt;&lt;wsp:rsid wsp:val=&quot;008A4D38&quot;/&gt;&lt;wsp:rsid wsp:val=&quot;008A79F1&quot;/&gt;&lt;wsp:rsid wsp:val=&quot;008B00A5&quot;/&gt;&lt;wsp:rsid wsp:val=&quot;008B05EB&quot;/&gt;&lt;wsp:rsid wsp:val=&quot;008B270F&quot;/&gt;&lt;wsp:rsid wsp:val=&quot;008B6635&quot;/&gt;&lt;wsp:rsid wsp:val=&quot;008B7B49&quot;/&gt;&lt;wsp:rsid wsp:val=&quot;008C4052&quot;/&gt;&lt;wsp:rsid wsp:val=&quot;008C44E7&quot;/&gt;&lt;wsp:rsid wsp:val=&quot;008C45EE&quot;/&gt;&lt;wsp:rsid wsp:val=&quot;008C47AC&quot;/&gt;&lt;wsp:rsid wsp:val=&quot;008C50FD&quot;/&gt;&lt;wsp:rsid wsp:val=&quot;008C5DA4&quot;/&gt;&lt;wsp:rsid wsp:val=&quot;008C6B32&quot;/&gt;&lt;wsp:rsid wsp:val=&quot;008C6EAF&quot;/&gt;&lt;wsp:rsid wsp:val=&quot;008C7BE6&quot;/&gt;&lt;wsp:rsid wsp:val=&quot;008C7DCC&quot;/&gt;&lt;wsp:rsid wsp:val=&quot;008D059C&quot;/&gt;&lt;wsp:rsid wsp:val=&quot;008D4948&quot;/&gt;&lt;wsp:rsid wsp:val=&quot;008D6011&quot;/&gt;&lt;wsp:rsid wsp:val=&quot;008D6FE2&quot;/&gt;&lt;wsp:rsid wsp:val=&quot;008D76BA&quot;/&gt;&lt;wsp:rsid wsp:val=&quot;008D7C82&quot;/&gt;&lt;wsp:rsid wsp:val=&quot;008E290C&quot;/&gt;&lt;wsp:rsid wsp:val=&quot;008E42D0&quot;/&gt;&lt;wsp:rsid wsp:val=&quot;008E5C0F&quot;/&gt;&lt;wsp:rsid wsp:val=&quot;008E6BA0&quot;/&gt;&lt;wsp:rsid wsp:val=&quot;008E726F&quot;/&gt;&lt;wsp:rsid wsp:val=&quot;008E76EF&quot;/&gt;&lt;wsp:rsid wsp:val=&quot;008E799D&quot;/&gt;&lt;wsp:rsid wsp:val=&quot;008F03A7&quot;/&gt;&lt;wsp:rsid wsp:val=&quot;008F3152&quot;/&gt;&lt;wsp:rsid wsp:val=&quot;008F3B9F&quot;/&gt;&lt;wsp:rsid wsp:val=&quot;008F59DB&quot;/&gt;&lt;wsp:rsid wsp:val=&quot;008F6929&quot;/&gt;&lt;wsp:rsid wsp:val=&quot;008F77F0&quot;/&gt;&lt;wsp:rsid wsp:val=&quot;008F7E0A&quot;/&gt;&lt;wsp:rsid wsp:val=&quot;00900206&quot;/&gt;&lt;wsp:rsid wsp:val=&quot;009002B3&quot;/&gt;&lt;wsp:rsid wsp:val=&quot;00900350&quot;/&gt;&lt;wsp:rsid wsp:val=&quot;00900806&quot;/&gt;&lt;wsp:rsid wsp:val=&quot;009011B4&quot;/&gt;&lt;wsp:rsid wsp:val=&quot;00901A03&quot;/&gt;&lt;wsp:rsid wsp:val=&quot;0090587E&quot;/&gt;&lt;wsp:rsid wsp:val=&quot;00905977&quot;/&gt;&lt;wsp:rsid wsp:val=&quot;00905D95&quot;/&gt;&lt;wsp:rsid wsp:val=&quot;00911BFC&quot;/&gt;&lt;wsp:rsid wsp:val=&quot;009149CE&quot;/&gt;&lt;wsp:rsid wsp:val=&quot;00914D9A&quot;/&gt;&lt;wsp:rsid wsp:val=&quot;0092107D&quot;/&gt;&lt;wsp:rsid wsp:val=&quot;0092138D&quot;/&gt;&lt;wsp:rsid wsp:val=&quot;0092211D&quot;/&gt;&lt;wsp:rsid wsp:val=&quot;00924EFE&quot;/&gt;&lt;wsp:rsid wsp:val=&quot;009270A0&quot;/&gt;&lt;wsp:rsid wsp:val=&quot;00932CDF&quot;/&gt;&lt;wsp:rsid wsp:val=&quot;00934EEE&quot;/&gt;&lt;wsp:rsid wsp:val=&quot;00935681&quot;/&gt;&lt;wsp:rsid wsp:val=&quot;00935ADE&quot;/&gt;&lt;wsp:rsid wsp:val=&quot;00937341&quot;/&gt;&lt;wsp:rsid wsp:val=&quot;0094193D&quot;/&gt;&lt;wsp:rsid wsp:val=&quot;00943FCB&quot;/&gt;&lt;wsp:rsid wsp:val=&quot;009475A6&quot;/&gt;&lt;wsp:rsid wsp:val=&quot;00952433&quot;/&gt;&lt;wsp:rsid wsp:val=&quot;00952E82&quot;/&gt;&lt;wsp:rsid wsp:val=&quot;00954BF0&quot;/&gt;&lt;wsp:rsid wsp:val=&quot;009558AD&quot;/&gt;&lt;wsp:rsid wsp:val=&quot;00955BA7&quot;/&gt;&lt;wsp:rsid wsp:val=&quot;00957A74&quot;/&gt;&lt;wsp:rsid wsp:val=&quot;00963774&quot;/&gt;&lt;wsp:rsid wsp:val=&quot;00964BE9&quot;/&gt;&lt;wsp:rsid wsp:val=&quot;00966F4F&quot;/&gt;&lt;wsp:rsid wsp:val=&quot;0097357E&quot;/&gt;&lt;wsp:rsid wsp:val=&quot;009749C1&quot;/&gt;&lt;wsp:rsid wsp:val=&quot;0097621B&quot;/&gt;&lt;wsp:rsid wsp:val=&quot;00976771&quot;/&gt;&lt;wsp:rsid wsp:val=&quot;00977A9D&quot;/&gt;&lt;wsp:rsid wsp:val=&quot;00981F01&quot;/&gt;&lt;wsp:rsid wsp:val=&quot;0098415A&quot;/&gt;&lt;wsp:rsid wsp:val=&quot;00985B6E&quot;/&gt;&lt;wsp:rsid wsp:val=&quot;0099300F&quot;/&gt;&lt;wsp:rsid wsp:val=&quot;00993D4D&quot;/&gt;&lt;wsp:rsid wsp:val=&quot;009951B8&quot;/&gt;&lt;wsp:rsid wsp:val=&quot;009955A9&quot;/&gt;&lt;wsp:rsid wsp:val=&quot;0099663F&quot;/&gt;&lt;wsp:rsid wsp:val=&quot;009A11FF&quot;/&gt;&lt;wsp:rsid wsp:val=&quot;009A333B&quot;/&gt;&lt;wsp:rsid wsp:val=&quot;009A53A8&quot;/&gt;&lt;wsp:rsid wsp:val=&quot;009A67B7&quot;/&gt;&lt;wsp:rsid wsp:val=&quot;009B1486&quot;/&gt;&lt;wsp:rsid wsp:val=&quot;009B516A&quot;/&gt;&lt;wsp:rsid wsp:val=&quot;009B7F56&quot;/&gt;&lt;wsp:rsid wsp:val=&quot;009C0B5C&quot;/&gt;&lt;wsp:rsid wsp:val=&quot;009C0CA2&quot;/&gt;&lt;wsp:rsid wsp:val=&quot;009C311A&quot;/&gt;&lt;wsp:rsid wsp:val=&quot;009C5B38&quot;/&gt;&lt;wsp:rsid wsp:val=&quot;009C5DD6&quot;/&gt;&lt;wsp:rsid wsp:val=&quot;009C728F&quot;/&gt;&lt;wsp:rsid wsp:val=&quot;009D0429&quot;/&gt;&lt;wsp:rsid wsp:val=&quot;009D5DD9&quot;/&gt;&lt;wsp:rsid wsp:val=&quot;009D67A0&quot;/&gt;&lt;wsp:rsid wsp:val=&quot;009E61C3&quot;/&gt;&lt;wsp:rsid wsp:val=&quot;009E70F6&quot;/&gt;&lt;wsp:rsid wsp:val=&quot;009F238E&quot;/&gt;&lt;wsp:rsid wsp:val=&quot;009F4D0F&quot;/&gt;&lt;wsp:rsid wsp:val=&quot;009F4EFF&quot;/&gt;&lt;wsp:rsid wsp:val=&quot;009F502B&quot;/&gt;&lt;wsp:rsid wsp:val=&quot;009F6B58&quot;/&gt;&lt;wsp:rsid wsp:val=&quot;00A043E3&quot;/&gt;&lt;wsp:rsid wsp:val=&quot;00A04D10&quot;/&gt;&lt;wsp:rsid wsp:val=&quot;00A05A7C&quot;/&gt;&lt;wsp:rsid wsp:val=&quot;00A12BBC&quot;/&gt;&lt;wsp:rsid wsp:val=&quot;00A12E9C&quot;/&gt;&lt;wsp:rsid wsp:val=&quot;00A179F8&quot;/&gt;&lt;wsp:rsid wsp:val=&quot;00A17ED5&quot;/&gt;&lt;wsp:rsid wsp:val=&quot;00A20DB6&quot;/&gt;&lt;wsp:rsid wsp:val=&quot;00A21BFB&quot;/&gt;&lt;wsp:rsid wsp:val=&quot;00A21CC1&quot;/&gt;&lt;wsp:rsid wsp:val=&quot;00A22AFE&quot;/&gt;&lt;wsp:rsid wsp:val=&quot;00A24960&quot;/&gt;&lt;wsp:rsid wsp:val=&quot;00A2667A&quot;/&gt;&lt;wsp:rsid wsp:val=&quot;00A32AA1&quot;/&gt;&lt;wsp:rsid wsp:val=&quot;00A32CDD&quot;/&gt;&lt;wsp:rsid wsp:val=&quot;00A33A9D&quot;/&gt;&lt;wsp:rsid wsp:val=&quot;00A353D4&quot;/&gt;&lt;wsp:rsid wsp:val=&quot;00A37312&quot;/&gt;&lt;wsp:rsid wsp:val=&quot;00A37718&quot;/&gt;&lt;wsp:rsid wsp:val=&quot;00A40AD5&quot;/&gt;&lt;wsp:rsid wsp:val=&quot;00A40D45&quot;/&gt;&lt;wsp:rsid wsp:val=&quot;00A413E9&quot;/&gt;&lt;wsp:rsid wsp:val=&quot;00A445ED&quot;/&gt;&lt;wsp:rsid wsp:val=&quot;00A44721&quot;/&gt;&lt;wsp:rsid wsp:val=&quot;00A44861&quot;/&gt;&lt;wsp:rsid wsp:val=&quot;00A4615C&quot;/&gt;&lt;wsp:rsid wsp:val=&quot;00A4698E&quot;/&gt;&lt;wsp:rsid wsp:val=&quot;00A50B5C&quot;/&gt;&lt;wsp:rsid wsp:val=&quot;00A50F82&quot;/&gt;&lt;wsp:rsid wsp:val=&quot;00A51CC9&quot;/&gt;&lt;wsp:rsid wsp:val=&quot;00A53957&quot;/&gt;&lt;wsp:rsid wsp:val=&quot;00A5658D&quot;/&gt;&lt;wsp:rsid wsp:val=&quot;00A57A0D&quot;/&gt;&lt;wsp:rsid wsp:val=&quot;00A6148C&quot;/&gt;&lt;wsp:rsid wsp:val=&quot;00A6345E&quot;/&gt;&lt;wsp:rsid wsp:val=&quot;00A70750&quot;/&gt;&lt;wsp:rsid wsp:val=&quot;00A7287E&quot;/&gt;&lt;wsp:rsid wsp:val=&quot;00A73BE2&quot;/&gt;&lt;wsp:rsid wsp:val=&quot;00A75F35&quot;/&gt;&lt;wsp:rsid wsp:val=&quot;00A76C62&quot;/&gt;&lt;wsp:rsid wsp:val=&quot;00A76E64&quot;/&gt;&lt;wsp:rsid wsp:val=&quot;00A80569&quot;/&gt;&lt;wsp:rsid wsp:val=&quot;00A8163C&quot;/&gt;&lt;wsp:rsid wsp:val=&quot;00A81ABF&quot;/&gt;&lt;wsp:rsid wsp:val=&quot;00A8344C&quot;/&gt;&lt;wsp:rsid wsp:val=&quot;00A86351&quot;/&gt;&lt;wsp:rsid wsp:val=&quot;00A874D8&quot;/&gt;&lt;wsp:rsid wsp:val=&quot;00A905A4&quot;/&gt;&lt;wsp:rsid wsp:val=&quot;00A92548&quot;/&gt;&lt;wsp:rsid wsp:val=&quot;00A946F4&quot;/&gt;&lt;wsp:rsid wsp:val=&quot;00A95C95&quot;/&gt;&lt;wsp:rsid wsp:val=&quot;00A96D7F&quot;/&gt;&lt;wsp:rsid wsp:val=&quot;00AA0A62&quot;/&gt;&lt;wsp:rsid wsp:val=&quot;00AA2AA3&quot;/&gt;&lt;wsp:rsid wsp:val=&quot;00AB65CA&quot;/&gt;&lt;wsp:rsid wsp:val=&quot;00AB678C&quot;/&gt;&lt;wsp:rsid wsp:val=&quot;00AC2886&quot;/&gt;&lt;wsp:rsid wsp:val=&quot;00AC2A9B&quot;/&gt;&lt;wsp:rsid wsp:val=&quot;00AC2E23&quot;/&gt;&lt;wsp:rsid wsp:val=&quot;00AC392F&quot;/&gt;&lt;wsp:rsid wsp:val=&quot;00AC489E&quot;/&gt;&lt;wsp:rsid wsp:val=&quot;00AC66BC&quot;/&gt;&lt;wsp:rsid wsp:val=&quot;00AD0AF0&quot;/&gt;&lt;wsp:rsid wsp:val=&quot;00AD1EDA&quot;/&gt;&lt;wsp:rsid wsp:val=&quot;00AD51E5&quot;/&gt;&lt;wsp:rsid wsp:val=&quot;00AD5E95&quot;/&gt;&lt;wsp:rsid wsp:val=&quot;00AD7AE3&quot;/&gt;&lt;wsp:rsid wsp:val=&quot;00AE429E&quot;/&gt;&lt;wsp:rsid wsp:val=&quot;00AF11F7&quot;/&gt;&lt;wsp:rsid wsp:val=&quot;00AF18DE&quot;/&gt;&lt;wsp:rsid wsp:val=&quot;00AF2AFE&quot;/&gt;&lt;wsp:rsid wsp:val=&quot;00AF45F2&quot;/&gt;&lt;wsp:rsid wsp:val=&quot;00AF6944&quot;/&gt;&lt;wsp:rsid wsp:val=&quot;00AF6A40&quot;/&gt;&lt;wsp:rsid wsp:val=&quot;00B02C38&quot;/&gt;&lt;wsp:rsid wsp:val=&quot;00B03A88&quot;/&gt;&lt;wsp:rsid wsp:val=&quot;00B05124&quot;/&gt;&lt;wsp:rsid wsp:val=&quot;00B065ED&quot;/&gt;&lt;wsp:rsid wsp:val=&quot;00B07832&quot;/&gt;&lt;wsp:rsid wsp:val=&quot;00B13859&quot;/&gt;&lt;wsp:rsid wsp:val=&quot;00B16866&quot;/&gt;&lt;wsp:rsid wsp:val=&quot;00B21D37&quot;/&gt;&lt;wsp:rsid wsp:val=&quot;00B2232A&quot;/&gt;&lt;wsp:rsid wsp:val=&quot;00B263AB&quot;/&gt;&lt;wsp:rsid wsp:val=&quot;00B279AE&quot;/&gt;&lt;wsp:rsid wsp:val=&quot;00B27F23&quot;/&gt;&lt;wsp:rsid wsp:val=&quot;00B35117&quot;/&gt;&lt;wsp:rsid wsp:val=&quot;00B41C13&quot;/&gt;&lt;wsp:rsid wsp:val=&quot;00B42728&quot;/&gt;&lt;wsp:rsid wsp:val=&quot;00B43D08&quot;/&gt;&lt;wsp:rsid wsp:val=&quot;00B43F0A&quot;/&gt;&lt;wsp:rsid wsp:val=&quot;00B462DF&quot;/&gt;&lt;wsp:rsid wsp:val=&quot;00B4707D&quot;/&gt;&lt;wsp:rsid wsp:val=&quot;00B471F8&quot;/&gt;&lt;wsp:rsid wsp:val=&quot;00B50117&quot;/&gt;&lt;wsp:rsid wsp:val=&quot;00B5048D&quot;/&gt;&lt;wsp:rsid wsp:val=&quot;00B51302&quot;/&gt;&lt;wsp:rsid wsp:val=&quot;00B51F5A&quot;/&gt;&lt;wsp:rsid wsp:val=&quot;00B536A3&quot;/&gt;&lt;wsp:rsid wsp:val=&quot;00B5406A&quot;/&gt;&lt;wsp:rsid wsp:val=&quot;00B54FDA&quot;/&gt;&lt;wsp:rsid wsp:val=&quot;00B5592E&quot;/&gt;&lt;wsp:rsid wsp:val=&quot;00B55BFF&quot;/&gt;&lt;wsp:rsid wsp:val=&quot;00B5618B&quot;/&gt;&lt;wsp:rsid wsp:val=&quot;00B5708F&quot;/&gt;&lt;wsp:rsid wsp:val=&quot;00B579D9&quot;/&gt;&lt;wsp:rsid wsp:val=&quot;00B60407&quot;/&gt;&lt;wsp:rsid wsp:val=&quot;00B609A4&quot;/&gt;&lt;wsp:rsid wsp:val=&quot;00B62E7B&quot;/&gt;&lt;wsp:rsid wsp:val=&quot;00B648EC&quot;/&gt;&lt;wsp:rsid wsp:val=&quot;00B668D9&quot;/&gt;&lt;wsp:rsid wsp:val=&quot;00B71F95&quot;/&gt;&lt;wsp:rsid wsp:val=&quot;00B770FF&quot;/&gt;&lt;wsp:rsid wsp:val=&quot;00B801A9&quot;/&gt;&lt;wsp:rsid wsp:val=&quot;00B804BD&quot;/&gt;&lt;wsp:rsid wsp:val=&quot;00B80F58&quot;/&gt;&lt;wsp:rsid wsp:val=&quot;00B858FE&quot;/&gt;&lt;wsp:rsid wsp:val=&quot;00B86235&quot;/&gt;&lt;wsp:rsid wsp:val=&quot;00B87396&quot;/&gt;&lt;wsp:rsid wsp:val=&quot;00B910D4&quot;/&gt;&lt;wsp:rsid wsp:val=&quot;00B92431&quot;/&gt;&lt;wsp:rsid wsp:val=&quot;00B933B5&quot;/&gt;&lt;wsp:rsid wsp:val=&quot;00B935B5&quot;/&gt;&lt;wsp:rsid wsp:val=&quot;00B93D19&quot;/&gt;&lt;wsp:rsid wsp:val=&quot;00B93E5E&quot;/&gt;&lt;wsp:rsid wsp:val=&quot;00B941E5&quot;/&gt;&lt;wsp:rsid wsp:val=&quot;00B95296&quot;/&gt;&lt;wsp:rsid wsp:val=&quot;00B9534C&quot;/&gt;&lt;wsp:rsid wsp:val=&quot;00B95F86&quot;/&gt;&lt;wsp:rsid wsp:val=&quot;00BA1B48&quot;/&gt;&lt;wsp:rsid wsp:val=&quot;00BA1C40&quot;/&gt;&lt;wsp:rsid wsp:val=&quot;00BA488F&quot;/&gt;&lt;wsp:rsid wsp:val=&quot;00BA5F76&quot;/&gt;&lt;wsp:rsid wsp:val=&quot;00BA7F87&quot;/&gt;&lt;wsp:rsid wsp:val=&quot;00BB135F&quot;/&gt;&lt;wsp:rsid wsp:val=&quot;00BB265D&quot;/&gt;&lt;wsp:rsid wsp:val=&quot;00BB5174&quot;/&gt;&lt;wsp:rsid wsp:val=&quot;00BB590F&quot;/&gt;&lt;wsp:rsid wsp:val=&quot;00BC02DA&quot;/&gt;&lt;wsp:rsid wsp:val=&quot;00BC037F&quot;/&gt;&lt;wsp:rsid wsp:val=&quot;00BC04C1&quot;/&gt;&lt;wsp:rsid wsp:val=&quot;00BC04C5&quot;/&gt;&lt;wsp:rsid wsp:val=&quot;00BC0F67&quot;/&gt;&lt;wsp:rsid wsp:val=&quot;00BC0FAC&quot;/&gt;&lt;wsp:rsid wsp:val=&quot;00BC2FC0&quot;/&gt;&lt;wsp:rsid wsp:val=&quot;00BC3DB0&quot;/&gt;&lt;wsp:rsid wsp:val=&quot;00BD019E&quot;/&gt;&lt;wsp:rsid wsp:val=&quot;00BD0B91&quot;/&gt;&lt;wsp:rsid wsp:val=&quot;00BD1555&quot;/&gt;&lt;wsp:rsid wsp:val=&quot;00BD1A4D&quot;/&gt;&lt;wsp:rsid wsp:val=&quot;00BD1BC5&quot;/&gt;&lt;wsp:rsid wsp:val=&quot;00BD473A&quot;/&gt;&lt;wsp:rsid wsp:val=&quot;00BD7806&quot;/&gt;&lt;wsp:rsid wsp:val=&quot;00BE2CE5&quot;/&gt;&lt;wsp:rsid wsp:val=&quot;00BE3B9F&quot;/&gt;&lt;wsp:rsid wsp:val=&quot;00BE4FD3&quot;/&gt;&lt;wsp:rsid wsp:val=&quot;00BE635A&quot;/&gt;&lt;wsp:rsid wsp:val=&quot;00BF2F1A&quot;/&gt;&lt;wsp:rsid wsp:val=&quot;00BF6E8A&quot;/&gt;&lt;wsp:rsid wsp:val=&quot;00BF6ECE&quot;/&gt;&lt;wsp:rsid wsp:val=&quot;00C00DF5&quot;/&gt;&lt;wsp:rsid wsp:val=&quot;00C027CA&quot;/&gt;&lt;wsp:rsid wsp:val=&quot;00C042A7&quot;/&gt;&lt;wsp:rsid wsp:val=&quot;00C05DEE&quot;/&gt;&lt;wsp:rsid wsp:val=&quot;00C070A9&quot;/&gt;&lt;wsp:rsid wsp:val=&quot;00C10ADF&quot;/&gt;&lt;wsp:rsid wsp:val=&quot;00C11F6E&quot;/&gt;&lt;wsp:rsid wsp:val=&quot;00C12524&quot;/&gt;&lt;wsp:rsid wsp:val=&quot;00C12DAF&quot;/&gt;&lt;wsp:rsid wsp:val=&quot;00C1301C&quot;/&gt;&lt;wsp:rsid wsp:val=&quot;00C13807&quot;/&gt;&lt;wsp:rsid wsp:val=&quot;00C13B7C&quot;/&gt;&lt;wsp:rsid wsp:val=&quot;00C150F3&quot;/&gt;&lt;wsp:rsid wsp:val=&quot;00C163C3&quot;/&gt;&lt;wsp:rsid wsp:val=&quot;00C22A3F&quot;/&gt;&lt;wsp:rsid wsp:val=&quot;00C25736&quot;/&gt;&lt;wsp:rsid wsp:val=&quot;00C25BAE&quot;/&gt;&lt;wsp:rsid wsp:val=&quot;00C27034&quot;/&gt;&lt;wsp:rsid wsp:val=&quot;00C279D4&quot;/&gt;&lt;wsp:rsid wsp:val=&quot;00C311A2&quot;/&gt;&lt;wsp:rsid wsp:val=&quot;00C31EAF&quot;/&gt;&lt;wsp:rsid wsp:val=&quot;00C34EBD&quot;/&gt;&lt;wsp:rsid wsp:val=&quot;00C35127&quot;/&gt;&lt;wsp:rsid wsp:val=&quot;00C432B5&quot;/&gt;&lt;wsp:rsid wsp:val=&quot;00C466DA&quot;/&gt;&lt;wsp:rsid wsp:val=&quot;00C47CA3&quot;/&gt;&lt;wsp:rsid wsp:val=&quot;00C47D2C&quot;/&gt;&lt;wsp:rsid wsp:val=&quot;00C50CE0&quot;/&gt;&lt;wsp:rsid wsp:val=&quot;00C56A27&quot;/&gt;&lt;wsp:rsid wsp:val=&quot;00C602D8&quot;/&gt;&lt;wsp:rsid wsp:val=&quot;00C61E52&quot;/&gt;&lt;wsp:rsid wsp:val=&quot;00C65C3C&quot;/&gt;&lt;wsp:rsid wsp:val=&quot;00C677A0&quot;/&gt;&lt;wsp:rsid wsp:val=&quot;00C70008&quot;/&gt;&lt;wsp:rsid wsp:val=&quot;00C7011A&quot;/&gt;&lt;wsp:rsid wsp:val=&quot;00C72AEB&quot;/&gt;&lt;wsp:rsid wsp:val=&quot;00C73009&quot;/&gt;&lt;wsp:rsid wsp:val=&quot;00C73033&quot;/&gt;&lt;wsp:rsid wsp:val=&quot;00C76670&quot;/&gt;&lt;wsp:rsid wsp:val=&quot;00C8351F&quot;/&gt;&lt;wsp:rsid wsp:val=&quot;00C84477&quot;/&gt;&lt;wsp:rsid wsp:val=&quot;00C86D91&quot;/&gt;&lt;wsp:rsid wsp:val=&quot;00C86EE1&quot;/&gt;&lt;wsp:rsid wsp:val=&quot;00C91979&quot;/&gt;&lt;wsp:rsid wsp:val=&quot;00C91F4F&quot;/&gt;&lt;wsp:rsid wsp:val=&quot;00C92014&quot;/&gt;&lt;wsp:rsid wsp:val=&quot;00C923AE&quot;/&gt;&lt;wsp:rsid wsp:val=&quot;00C928F2&quot;/&gt;&lt;wsp:rsid wsp:val=&quot;00C93A67&quot;/&gt;&lt;wsp:rsid wsp:val=&quot;00C9492F&quot;/&gt;&lt;wsp:rsid wsp:val=&quot;00C955C5&quot;/&gt;&lt;wsp:rsid wsp:val=&quot;00CA1EE6&quot;/&gt;&lt;wsp:rsid wsp:val=&quot;00CA21D5&quot;/&gt;&lt;wsp:rsid wsp:val=&quot;00CA2C5A&quot;/&gt;&lt;wsp:rsid wsp:val=&quot;00CA38A4&quot;/&gt;&lt;wsp:rsid wsp:val=&quot;00CA5819&quot;/&gt;&lt;wsp:rsid wsp:val=&quot;00CA5A47&quot;/&gt;&lt;wsp:rsid wsp:val=&quot;00CB417B&quot;/&gt;&lt;wsp:rsid wsp:val=&quot;00CC078C&quot;/&gt;&lt;wsp:rsid wsp:val=&quot;00CC2C44&quot;/&gt;&lt;wsp:rsid wsp:val=&quot;00CC3636&quot;/&gt;&lt;wsp:rsid wsp:val=&quot;00CC5DAB&quot;/&gt;&lt;wsp:rsid wsp:val=&quot;00CC5E4C&quot;/&gt;&lt;wsp:rsid wsp:val=&quot;00CC7399&quot;/&gt;&lt;wsp:rsid wsp:val=&quot;00CD01BB&quot;/&gt;&lt;wsp:rsid wsp:val=&quot;00CD121A&quot;/&gt;&lt;wsp:rsid wsp:val=&quot;00CD7C01&quot;/&gt;&lt;wsp:rsid wsp:val=&quot;00CE05E2&quot;/&gt;&lt;wsp:rsid wsp:val=&quot;00CE104C&quot;/&gt;&lt;wsp:rsid wsp:val=&quot;00CE303E&quot;/&gt;&lt;wsp:rsid wsp:val=&quot;00CE3EDC&quot;/&gt;&lt;wsp:rsid wsp:val=&quot;00CE48E2&quot;/&gt;&lt;wsp:rsid wsp:val=&quot;00CE6BF6&quot;/&gt;&lt;wsp:rsid wsp:val=&quot;00CE6D9D&quot;/&gt;&lt;wsp:rsid wsp:val=&quot;00CF00D0&quot;/&gt;&lt;wsp:rsid wsp:val=&quot;00CF0F98&quot;/&gt;&lt;wsp:rsid wsp:val=&quot;00CF5257&quot;/&gt;&lt;wsp:rsid wsp:val=&quot;00CF60A2&quot;/&gt;&lt;wsp:rsid wsp:val=&quot;00D009F7&quot;/&gt;&lt;wsp:rsid wsp:val=&quot;00D019D1&quot;/&gt;&lt;wsp:rsid wsp:val=&quot;00D04467&quot;/&gt;&lt;wsp:rsid wsp:val=&quot;00D04DA5&quot;/&gt;&lt;wsp:rsid wsp:val=&quot;00D07FFB&quot;/&gt;&lt;wsp:rsid wsp:val=&quot;00D1065B&quot;/&gt;&lt;wsp:rsid wsp:val=&quot;00D12C7B&quot;/&gt;&lt;wsp:rsid wsp:val=&quot;00D137DD&quot;/&gt;&lt;wsp:rsid wsp:val=&quot;00D14489&quot;/&gt;&lt;wsp:rsid wsp:val=&quot;00D14631&quot;/&gt;&lt;wsp:rsid wsp:val=&quot;00D15727&quot;/&gt;&lt;wsp:rsid wsp:val=&quot;00D22CAE&quot;/&gt;&lt;wsp:rsid wsp:val=&quot;00D22EC1&quot;/&gt;&lt;wsp:rsid wsp:val=&quot;00D246F1&quot;/&gt;&lt;wsp:rsid wsp:val=&quot;00D24B76&quot;/&gt;&lt;wsp:rsid wsp:val=&quot;00D27E6C&quot;/&gt;&lt;wsp:rsid wsp:val=&quot;00D27EB6&quot;/&gt;&lt;wsp:rsid wsp:val=&quot;00D3096F&quot;/&gt;&lt;wsp:rsid wsp:val=&quot;00D31EFC&quot;/&gt;&lt;wsp:rsid wsp:val=&quot;00D41FA3&quot;/&gt;&lt;wsp:rsid wsp:val=&quot;00D45BB8&quot;/&gt;&lt;wsp:rsid wsp:val=&quot;00D54538&quot;/&gt;&lt;wsp:rsid wsp:val=&quot;00D565B2&quot;/&gt;&lt;wsp:rsid wsp:val=&quot;00D662BF&quot;/&gt;&lt;wsp:rsid wsp:val=&quot;00D74D84&quot;/&gt;&lt;wsp:rsid wsp:val=&quot;00D752DB&quot;/&gt;&lt;wsp:rsid wsp:val=&quot;00D754AF&quot;/&gt;&lt;wsp:rsid wsp:val=&quot;00D758D9&quot;/&gt;&lt;wsp:rsid wsp:val=&quot;00D759B6&quot;/&gt;&lt;wsp:rsid wsp:val=&quot;00D75C25&quot;/&gt;&lt;wsp:rsid wsp:val=&quot;00D7700B&quot;/&gt;&lt;wsp:rsid wsp:val=&quot;00D77F42&quot;/&gt;&lt;wsp:rsid wsp:val=&quot;00D811B2&quot;/&gt;&lt;wsp:rsid wsp:val=&quot;00D81B61&quot;/&gt;&lt;wsp:rsid wsp:val=&quot;00D84471&quot;/&gt;&lt;wsp:rsid wsp:val=&quot;00D95978&quot;/&gt;&lt;wsp:rsid wsp:val=&quot;00D95F0B&quot;/&gt;&lt;wsp:rsid wsp:val=&quot;00DA037C&quot;/&gt;&lt;wsp:rsid wsp:val=&quot;00DA6E82&quot;/&gt;&lt;wsp:rsid wsp:val=&quot;00DA71BB&quot;/&gt;&lt;wsp:rsid wsp:val=&quot;00DB0AF7&quot;/&gt;&lt;wsp:rsid wsp:val=&quot;00DB1365&quot;/&gt;&lt;wsp:rsid wsp:val=&quot;00DB203A&quot;/&gt;&lt;wsp:rsid wsp:val=&quot;00DB2267&quot;/&gt;&lt;wsp:rsid wsp:val=&quot;00DC4E57&quot;/&gt;&lt;wsp:rsid wsp:val=&quot;00DC580D&quot;/&gt;&lt;wsp:rsid wsp:val=&quot;00DC76D2&quot;/&gt;&lt;wsp:rsid wsp:val=&quot;00DD1167&quot;/&gt;&lt;wsp:rsid wsp:val=&quot;00DD3181&quot;/&gt;&lt;wsp:rsid wsp:val=&quot;00DD3DEB&quot;/&gt;&lt;wsp:rsid wsp:val=&quot;00DD5AD6&quot;/&gt;&lt;wsp:rsid wsp:val=&quot;00DD6CDF&quot;/&gt;&lt;wsp:rsid wsp:val=&quot;00DE1804&quot;/&gt;&lt;wsp:rsid wsp:val=&quot;00DE1EB7&quot;/&gt;&lt;wsp:rsid wsp:val=&quot;00DE2627&quot;/&gt;&lt;wsp:rsid wsp:val=&quot;00DE6805&quot;/&gt;&lt;wsp:rsid wsp:val=&quot;00DF0680&quot;/&gt;&lt;wsp:rsid wsp:val=&quot;00DF0E3E&quot;/&gt;&lt;wsp:rsid wsp:val=&quot;00DF3F8D&quot;/&gt;&lt;wsp:rsid wsp:val=&quot;00DF4640&quot;/&gt;&lt;wsp:rsid wsp:val=&quot;00DF482F&quot;/&gt;&lt;wsp:rsid wsp:val=&quot;00DF6051&quot;/&gt;&lt;wsp:rsid wsp:val=&quot;00DF768D&quot;/&gt;&lt;wsp:rsid wsp:val=&quot;00E000D7&quot;/&gt;&lt;wsp:rsid wsp:val=&quot;00E00765&quot;/&gt;&lt;wsp:rsid wsp:val=&quot;00E0110D&quot;/&gt;&lt;wsp:rsid wsp:val=&quot;00E0273F&quot;/&gt;&lt;wsp:rsid wsp:val=&quot;00E0282A&quot;/&gt;&lt;wsp:rsid wsp:val=&quot;00E05917&quot;/&gt;&lt;wsp:rsid wsp:val=&quot;00E077E4&quot;/&gt;&lt;wsp:rsid wsp:val=&quot;00E07CC5&quot;/&gt;&lt;wsp:rsid wsp:val=&quot;00E10D7E&quot;/&gt;&lt;wsp:rsid wsp:val=&quot;00E111A6&quot;/&gt;&lt;wsp:rsid wsp:val=&quot;00E113B7&quot;/&gt;&lt;wsp:rsid wsp:val=&quot;00E11655&quot;/&gt;&lt;wsp:rsid wsp:val=&quot;00E15098&quot;/&gt;&lt;wsp:rsid wsp:val=&quot;00E15ACF&quot;/&gt;&lt;wsp:rsid wsp:val=&quot;00E15D8A&quot;/&gt;&lt;wsp:rsid wsp:val=&quot;00E207E2&quot;/&gt;&lt;wsp:rsid wsp:val=&quot;00E21BFB&quot;/&gt;&lt;wsp:rsid wsp:val=&quot;00E2216B&quot;/&gt;&lt;wsp:rsid wsp:val=&quot;00E23B4B&quot;/&gt;&lt;wsp:rsid wsp:val=&quot;00E24E76&quot;/&gt;&lt;wsp:rsid wsp:val=&quot;00E25B5B&quot;/&gt;&lt;wsp:rsid wsp:val=&quot;00E271F9&quot;/&gt;&lt;wsp:rsid wsp:val=&quot;00E31BF3&quot;/&gt;&lt;wsp:rsid wsp:val=&quot;00E323B3&quot;/&gt;&lt;wsp:rsid wsp:val=&quot;00E33BCB&quot;/&gt;&lt;wsp:rsid wsp:val=&quot;00E37195&quot;/&gt;&lt;wsp:rsid wsp:val=&quot;00E37876&quot;/&gt;&lt;wsp:rsid wsp:val=&quot;00E40E93&quot;/&gt;&lt;wsp:rsid wsp:val=&quot;00E4141E&quot;/&gt;&lt;wsp:rsid wsp:val=&quot;00E416A5&quot;/&gt;&lt;wsp:rsid wsp:val=&quot;00E42922&quot;/&gt;&lt;wsp:rsid wsp:val=&quot;00E4334F&quot;/&gt;&lt;wsp:rsid wsp:val=&quot;00E434E6&quot;/&gt;&lt;wsp:rsid wsp:val=&quot;00E45C92&quot;/&gt;&lt;wsp:rsid wsp:val=&quot;00E542F7&quot;/&gt;&lt;wsp:rsid wsp:val=&quot;00E5645F&quot;/&gt;&lt;wsp:rsid wsp:val=&quot;00E56D9A&quot;/&gt;&lt;wsp:rsid wsp:val=&quot;00E60152&quot;/&gt;&lt;wsp:rsid wsp:val=&quot;00E60476&quot;/&gt;&lt;wsp:rsid wsp:val=&quot;00E61E0D&quot;/&gt;&lt;wsp:rsid wsp:val=&quot;00E621E1&quot;/&gt;&lt;wsp:rsid wsp:val=&quot;00E6228F&quot;/&gt;&lt;wsp:rsid wsp:val=&quot;00E63B9E&quot;/&gt;&lt;wsp:rsid wsp:val=&quot;00E6743C&quot;/&gt;&lt;wsp:rsid wsp:val=&quot;00E73B5C&quot;/&gt;&lt;wsp:rsid wsp:val=&quot;00E74803&quot;/&gt;&lt;wsp:rsid wsp:val=&quot;00E808BC&quot;/&gt;&lt;wsp:rsid wsp:val=&quot;00E828D8&quot;/&gt;&lt;wsp:rsid wsp:val=&quot;00E83064&quot;/&gt;&lt;wsp:rsid wsp:val=&quot;00E8425A&quot;/&gt;&lt;wsp:rsid wsp:val=&quot;00E84ABB&quot;/&gt;&lt;wsp:rsid wsp:val=&quot;00E91A79&quot;/&gt;&lt;wsp:rsid wsp:val=&quot;00E953A3&quot;/&gt;&lt;wsp:rsid wsp:val=&quot;00E974E4&quot;/&gt;&lt;wsp:rsid wsp:val=&quot;00EA042B&quot;/&gt;&lt;wsp:rsid wsp:val=&quot;00EA21B6&quot;/&gt;&lt;wsp:rsid wsp:val=&quot;00EA3626&quot;/&gt;&lt;wsp:rsid wsp:val=&quot;00EA6187&quot;/&gt;&lt;wsp:rsid wsp:val=&quot;00EB20A0&quot;/&gt;&lt;wsp:rsid wsp:val=&quot;00EB3428&quot;/&gt;&lt;wsp:rsid wsp:val=&quot;00EB53BD&quot;/&gt;&lt;wsp:rsid wsp:val=&quot;00EB62E3&quot;/&gt;&lt;wsp:rsid wsp:val=&quot;00EC1955&quot;/&gt;&lt;wsp:rsid wsp:val=&quot;00EC238C&quot;/&gt;&lt;wsp:rsid wsp:val=&quot;00EC3CC1&quot;/&gt;&lt;wsp:rsid wsp:val=&quot;00EC3E19&quot;/&gt;&lt;wsp:rsid wsp:val=&quot;00EC6E6B&quot;/&gt;&lt;wsp:rsid wsp:val=&quot;00EC732A&quot;/&gt;&lt;wsp:rsid wsp:val=&quot;00EC7F06&quot;/&gt;&lt;wsp:rsid wsp:val=&quot;00ED308C&quot;/&gt;&lt;wsp:rsid wsp:val=&quot;00ED34EA&quot;/&gt;&lt;wsp:rsid wsp:val=&quot;00ED56FC&quot;/&gt;&lt;wsp:rsid wsp:val=&quot;00EE08D1&quot;/&gt;&lt;wsp:rsid wsp:val=&quot;00EE246A&quot;/&gt;&lt;wsp:rsid wsp:val=&quot;00EE36F4&quot;/&gt;&lt;wsp:rsid wsp:val=&quot;00EE5AEC&quot;/&gt;&lt;wsp:rsid wsp:val=&quot;00EE5B8E&quot;/&gt;&lt;wsp:rsid wsp:val=&quot;00EF004B&quot;/&gt;&lt;wsp:rsid wsp:val=&quot;00EF03D8&quot;/&gt;&lt;wsp:rsid wsp:val=&quot;00EF48AE&quot;/&gt;&lt;wsp:rsid wsp:val=&quot;00EF6888&quot;/&gt;&lt;wsp:rsid wsp:val=&quot;00EF75ED&quot;/&gt;&lt;wsp:rsid wsp:val=&quot;00EF7B6D&quot;/&gt;&lt;wsp:rsid wsp:val=&quot;00F0021E&quot;/&gt;&lt;wsp:rsid wsp:val=&quot;00F00647&quot;/&gt;&lt;wsp:rsid wsp:val=&quot;00F05947&quot;/&gt;&lt;wsp:rsid wsp:val=&quot;00F0656A&quot;/&gt;&lt;wsp:rsid wsp:val=&quot;00F07894&quot;/&gt;&lt;wsp:rsid wsp:val=&quot;00F07D8D&quot;/&gt;&lt;wsp:rsid wsp:val=&quot;00F11E8B&quot;/&gt;&lt;wsp:rsid wsp:val=&quot;00F133AD&quot;/&gt;&lt;wsp:rsid wsp:val=&quot;00F148E4&quot;/&gt;&lt;wsp:rsid wsp:val=&quot;00F14C71&quot;/&gt;&lt;wsp:rsid wsp:val=&quot;00F14E27&quot;/&gt;&lt;wsp:rsid wsp:val=&quot;00F157C7&quot;/&gt;&lt;wsp:rsid wsp:val=&quot;00F15CBA&quot;/&gt;&lt;wsp:rsid wsp:val=&quot;00F15D3F&quot;/&gt;&lt;wsp:rsid wsp:val=&quot;00F17595&quot;/&gt;&lt;wsp:rsid wsp:val=&quot;00F235E6&quot;/&gt;&lt;wsp:rsid wsp:val=&quot;00F24B40&quot;/&gt;&lt;wsp:rsid wsp:val=&quot;00F25734&quot;/&gt;&lt;wsp:rsid wsp:val=&quot;00F27D91&quot;/&gt;&lt;wsp:rsid wsp:val=&quot;00F314C2&quot;/&gt;&lt;wsp:rsid wsp:val=&quot;00F32066&quot;/&gt;&lt;wsp:rsid wsp:val=&quot;00F34848&quot;/&gt;&lt;wsp:rsid wsp:val=&quot;00F368FE&quot;/&gt;&lt;wsp:rsid wsp:val=&quot;00F37207&quot;/&gt;&lt;wsp:rsid wsp:val=&quot;00F37B7A&quot;/&gt;&lt;wsp:rsid wsp:val=&quot;00F405DD&quot;/&gt;&lt;wsp:rsid wsp:val=&quot;00F41085&quot;/&gt;&lt;wsp:rsid wsp:val=&quot;00F41F93&quot;/&gt;&lt;wsp:rsid wsp:val=&quot;00F4327F&quot;/&gt;&lt;wsp:rsid wsp:val=&quot;00F4473C&quot;/&gt;&lt;wsp:rsid wsp:val=&quot;00F47E62&quot;/&gt;&lt;wsp:rsid wsp:val=&quot;00F507CE&quot;/&gt;&lt;wsp:rsid wsp:val=&quot;00F519CB&quot;/&gt;&lt;wsp:rsid wsp:val=&quot;00F52714&quot;/&gt;&lt;wsp:rsid wsp:val=&quot;00F55C19&quot;/&gt;&lt;wsp:rsid wsp:val=&quot;00F60FAD&quot;/&gt;&lt;wsp:rsid wsp:val=&quot;00F63047&quot;/&gt;&lt;wsp:rsid wsp:val=&quot;00F65819&quot;/&gt;&lt;wsp:rsid wsp:val=&quot;00F65A84&quot;/&gt;&lt;wsp:rsid wsp:val=&quot;00F66D0E&quot;/&gt;&lt;wsp:rsid wsp:val=&quot;00F72C8A&quot;/&gt;&lt;wsp:rsid wsp:val=&quot;00F75146&quot;/&gt;&lt;wsp:rsid wsp:val=&quot;00F80642&quot;/&gt;&lt;wsp:rsid wsp:val=&quot;00F80D87&quot;/&gt;&lt;wsp:rsid wsp:val=&quot;00F840CB&quot;/&gt;&lt;wsp:rsid wsp:val=&quot;00F91377&quot;/&gt;&lt;wsp:rsid wsp:val=&quot;00F91567&quot;/&gt;&lt;wsp:rsid wsp:val=&quot;00F93AB5&quot;/&gt;&lt;wsp:rsid wsp:val=&quot;00F94085&quot;/&gt;&lt;wsp:rsid wsp:val=&quot;00F94CC1&quot;/&gt;&lt;wsp:rsid wsp:val=&quot;00FA1A7F&quot;/&gt;&lt;wsp:rsid wsp:val=&quot;00FA23E1&quot;/&gt;&lt;wsp:rsid wsp:val=&quot;00FA2A9E&quot;/&gt;&lt;wsp:rsid wsp:val=&quot;00FA5312&quot;/&gt;&lt;wsp:rsid wsp:val=&quot;00FA6A93&quot;/&gt;&lt;wsp:rsid wsp:val=&quot;00FA6BB1&quot;/&gt;&lt;wsp:rsid wsp:val=&quot;00FB1342&quot;/&gt;&lt;wsp:rsid wsp:val=&quot;00FB2022&quot;/&gt;&lt;wsp:rsid wsp:val=&quot;00FB3C73&quot;/&gt;&lt;wsp:rsid wsp:val=&quot;00FB6166&quot;/&gt;&lt;wsp:rsid wsp:val=&quot;00FC1B32&quot;/&gt;&lt;wsp:rsid wsp:val=&quot;00FC6062&quot;/&gt;&lt;wsp:rsid wsp:val=&quot;00FC6BCB&quot;/&gt;&lt;wsp:rsid wsp:val=&quot;00FC7014&quot;/&gt;&lt;wsp:rsid wsp:val=&quot;00FC72DA&quot;/&gt;&lt;wsp:rsid wsp:val=&quot;00FD0A75&quot;/&gt;&lt;wsp:rsid wsp:val=&quot;00FD140B&quot;/&gt;&lt;wsp:rsid wsp:val=&quot;00FD154B&quot;/&gt;&lt;wsp:rsid wsp:val=&quot;00FD1EFD&quot;/&gt;&lt;wsp:rsid wsp:val=&quot;00FD36E3&quot;/&gt;&lt;wsp:rsid wsp:val=&quot;00FD49A4&quot;/&gt;&lt;wsp:rsid wsp:val=&quot;00FE04A7&quot;/&gt;&lt;wsp:rsid wsp:val=&quot;00FE1382&quot;/&gt;&lt;wsp:rsid wsp:val=&quot;00FE1E07&quot;/&gt;&lt;wsp:rsid wsp:val=&quot;00FE4F55&quot;/&gt;&lt;wsp:rsid wsp:val=&quot;00FE53BB&quot;/&gt;&lt;wsp:rsid wsp:val=&quot;00FE5C42&quot;/&gt;&lt;wsp:rsid wsp:val=&quot;00FF0079&quot;/&gt;&lt;wsp:rsid wsp:val=&quot;00FF0920&quot;/&gt;&lt;wsp:rsid wsp:val=&quot;00FF3C29&quot;/&gt;&lt;wsp:rsid wsp:val=&quot;00FF3EAE&quot;/&gt;&lt;wsp:rsid wsp:val=&quot;00FF3F0C&quot;/&gt;&lt;wsp:rsid wsp:val=&quot;00FF531E&quot;/&gt;&lt;wsp:rsid wsp:val=&quot;00FF6527&quot;/&gt;&lt;wsp:rsid wsp:val=&quot;00FF7F65&quot;/&gt;&lt;/wsp:rsids&gt;&lt;/w:docPr&gt;&lt;w:body&gt;&lt;wx:sect&gt;&lt;w:p wsp:rsidR=&quot;00000000&quot; wsp:rsidRDefault=&quot;00720C76&quot; wsp:rsidP=&quot;00720C76&quot;&gt;&lt;m:oMathPara&gt;&lt;m:oMath&gt;&lt;m:r&gt;&lt;aml:annotation aml:id=&quot;0&quot; w:type=&quot;Word.Insertion&quot; aml:author=&quot;Varga Vivien&quot; aml:createdate=&quot;2018-08-15T13:11:00Z&quot;&gt;&lt;aml:content&gt;&lt;w:rPr&gt;&lt;w:rFonts w:ascii=&quot;Cambria Math&quot; w:h-ansi=&quot;Cambria Math&quot;/&gt;&lt;wx:font wx:val=&quot;Cambria Math&quot;/&gt;&lt;w:i/&gt;&lt;/w:rPr&gt;&lt;m:t&gt;1-&lt;/m:t&gt;&lt;/aml:content&gt;&lt;/aml:annotation&gt;&lt;/m:r&gt;&lt;m:f&gt;&lt;m:fPr&gt;&lt;m:ctrlPr&gt;&lt;aml:annotation aml:id=&quot;1&quot; w:type=&quot;Word.Insertion&quot; aml:author=&quot;Varga Vivien&quot; aml:createdate=&quot;2018-08-15T13:11:00Z&quot;&gt;&lt;aml:content&gt;&lt;w:rPr&gt;&lt;w:rFonts w:ascii=&quot;Cambria Math&quot; w:fareast=&quot;Calibri&quot; w:h-ansi=&quot;Cambria Math&quot; w:cs=&quot;Times New Roman&quot;/&gt;&lt;wx:font wx:val=&quot;Cambria Math&quot;/&gt;&lt;w:i/&gt;&lt;w:snapToGrid/&gt;&lt;w:sz w:val=&quot;20&quot;/&gt;&lt;w:lang w:val=&quot;HU&quot;/&gt;&lt;/w:rPr&gt;&lt;/aml:content&gt;&lt;/aml:annotation&gt;&lt;/m:ctrlPr&gt;&lt;/m:fPr&gt;&lt;m:num&gt;&lt;m:r&gt;&lt;aml:annotation aml:id=&quot;2&quot; w:type=&quot;Word.Insertion&quot; aml:author=&quot;Varga Vivien&quot; aml:createdate=&quot;2018-08-15T13:11:00Z&quot;&gt;&lt;aml:content&gt;&lt;w:rPr&gt;&lt;w:rFonts w:ascii=&quot;Cambria Math&quot; w:h-ansi=&quot;Cambria Math&quot;/&gt;&lt;wx:font wx:val=&quot;Cambria Math&quot;/&gt;&lt;w:i/&gt;&lt;/w:rPr&gt;&lt;m:t&gt;KĂĽlsĹ‘ piacokon fedezett spot forgalma&lt;/m:t&gt;&lt;/aml:content&gt;&lt;/aml:annotation&gt;&lt;/m:r&gt;&lt;/m:num&gt;&lt;m:den&gt;&lt;m:r&gt;&lt;aml:annotation aml:id=&quot;3&quot; w:type=&quot;Word.Insertion&quot; aml:author=&quot;Varga Vivien&quot; aml:createdate=&quot;2018-08-15T13:11:00Z&quot;&gt;&lt;aml:content&gt;&lt;w:rPr&gt;&lt;w:rFonts w:ascii=&quot;Cambria Math&quot; w:h-ansi=&quot;Cambria Math&quot;/&gt;&lt;wx:font wx:val=&quot;Cambria Math&quot;/&gt;&lt;w:i/&gt;&lt;/w:rPr&gt;&lt;m:t&gt;Ă–sszes ĂĽgyfĂ©l spot forgalma&lt;/m:t&gt;&lt;/aml:content&gt;&lt;/aml:annotation&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7" o:title="" chromakey="white"/>
                </v:shape>
              </w:pict>
            </w:r>
            <w:r w:rsidRPr="00884FEE">
              <w:rPr>
                <w:sz w:val="20"/>
                <w:lang w:val="hu-HU"/>
              </w:rPr>
              <w:instrText xml:space="preserve"> </w:instrText>
            </w:r>
            <w:r w:rsidRPr="00884FEE">
              <w:rPr>
                <w:sz w:val="20"/>
                <w:lang w:val="hu-HU"/>
              </w:rPr>
              <w:fldChar w:fldCharType="separate"/>
            </w:r>
            <w:r w:rsidRPr="00884FEE">
              <w:rPr>
                <w:position w:val="-14"/>
                <w:sz w:val="20"/>
                <w:lang w:val="hu-HU"/>
              </w:rPr>
              <w:pict>
                <v:shape id="_x0000_i1028" type="#_x0000_t75" style="width:175.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mirrorMargins/&gt;&lt;w:stylePaneFormatFilter w:val=&quot;3F01&quot;/&gt;&lt;w:defaultTabStop w:val=&quot;227&quot;/&gt;&lt;w:hyphenationZone w:val=&quot;425&quot;/&gt;&lt;w:evenAndOddHeaders/&gt;&lt;w:displayHorizontalDrawingGridEvery w:val=&quot;0&quot;/&gt;&lt;w:displayVerticalDrawingGridEvery w:val=&quot;0&quot;/&gt;&lt;w:useMarginsForDrawingGridOrigin/&gt;&lt;w:characterSpacingControl w:val=&quot;DontCompress&quot;/&gt;&lt;w:optimizeForBrowser/&gt;&lt;w:allowPNG/&gt;&lt;w:validateAgainstSchema/&gt;&lt;w:saveInvalidXML w:val=&quot;off&quot;/&gt;&lt;w:ignoreMixedContent w:val=&quot;off&quot;/&gt;&lt;w:alwaysShowPlaceholderText w:val=&quot;off&quot;/&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docVars&gt;&lt;w:docVar w:name=&quot;VarDocType&quot; w:val=&quot;BISPubli_E&quot;/&gt;&lt;w:docVar w:name=&quot;VarDotVersion&quot; w:val=&quot;BIS0.8&quot;/&gt;&lt;/w:docVars&gt;&lt;wsp:rsids&gt;&lt;wsp:rsidRoot wsp:val=&quot;00937341&quot;/&gt;&lt;wsp:rsid wsp:val=&quot;00003AD9&quot;/&gt;&lt;wsp:rsid wsp:val=&quot;00010974&quot;/&gt;&lt;wsp:rsid wsp:val=&quot;00010AFD&quot;/&gt;&lt;wsp:rsid wsp:val=&quot;00012C20&quot;/&gt;&lt;wsp:rsid wsp:val=&quot;000155AE&quot;/&gt;&lt;wsp:rsid wsp:val=&quot;00015F72&quot;/&gt;&lt;wsp:rsid wsp:val=&quot;00016081&quot;/&gt;&lt;wsp:rsid wsp:val=&quot;00020306&quot;/&gt;&lt;wsp:rsid wsp:val=&quot;00020BE2&quot;/&gt;&lt;wsp:rsid wsp:val=&quot;000211D1&quot;/&gt;&lt;wsp:rsid wsp:val=&quot;00021FA8&quot;/&gt;&lt;wsp:rsid wsp:val=&quot;00022CBC&quot;/&gt;&lt;wsp:rsid wsp:val=&quot;00022D43&quot;/&gt;&lt;wsp:rsid wsp:val=&quot;000265AE&quot;/&gt;&lt;wsp:rsid wsp:val=&quot;00026A60&quot;/&gt;&lt;wsp:rsid wsp:val=&quot;00027A6C&quot;/&gt;&lt;wsp:rsid wsp:val=&quot;00036425&quot;/&gt;&lt;wsp:rsid wsp:val=&quot;0004153B&quot;/&gt;&lt;wsp:rsid wsp:val=&quot;000512DA&quot;/&gt;&lt;wsp:rsid wsp:val=&quot;00053180&quot;/&gt;&lt;wsp:rsid wsp:val=&quot;00056D99&quot;/&gt;&lt;wsp:rsid wsp:val=&quot;000620EA&quot;/&gt;&lt;wsp:rsid wsp:val=&quot;00062C19&quot;/&gt;&lt;wsp:rsid wsp:val=&quot;00063215&quot;/&gt;&lt;wsp:rsid wsp:val=&quot;000676F3&quot;/&gt;&lt;wsp:rsid wsp:val=&quot;000706BC&quot;/&gt;&lt;wsp:rsid wsp:val=&quot;000742C6&quot;/&gt;&lt;wsp:rsid wsp:val=&quot;00076665&quot;/&gt;&lt;wsp:rsid wsp:val=&quot;00081D1D&quot;/&gt;&lt;wsp:rsid wsp:val=&quot;00090E76&quot;/&gt;&lt;wsp:rsid wsp:val=&quot;0009194D&quot;/&gt;&lt;wsp:rsid wsp:val=&quot;000938BF&quot;/&gt;&lt;wsp:rsid wsp:val=&quot;00095707&quot;/&gt;&lt;wsp:rsid wsp:val=&quot;000A2538&quot;/&gt;&lt;wsp:rsid wsp:val=&quot;000A587A&quot;/&gt;&lt;wsp:rsid wsp:val=&quot;000B698C&quot;/&gt;&lt;wsp:rsid wsp:val=&quot;000C2011&quot;/&gt;&lt;wsp:rsid wsp:val=&quot;000C2BB6&quot;/&gt;&lt;wsp:rsid wsp:val=&quot;000C54D3&quot;/&gt;&lt;wsp:rsid wsp:val=&quot;000C7890&quot;/&gt;&lt;wsp:rsid wsp:val=&quot;000C7EDD&quot;/&gt;&lt;wsp:rsid wsp:val=&quot;000D0FEC&quot;/&gt;&lt;wsp:rsid wsp:val=&quot;000D154D&quot;/&gt;&lt;wsp:rsid wsp:val=&quot;000D1988&quot;/&gt;&lt;wsp:rsid wsp:val=&quot;000D5297&quot;/&gt;&lt;wsp:rsid wsp:val=&quot;000D61EA&quot;/&gt;&lt;wsp:rsid wsp:val=&quot;000E1EFA&quot;/&gt;&lt;wsp:rsid wsp:val=&quot;000E22A6&quot;/&gt;&lt;wsp:rsid wsp:val=&quot;000E452F&quot;/&gt;&lt;wsp:rsid wsp:val=&quot;000E7279&quot;/&gt;&lt;wsp:rsid wsp:val=&quot;000E75F8&quot;/&gt;&lt;wsp:rsid wsp:val=&quot;000F13C0&quot;/&gt;&lt;wsp:rsid wsp:val=&quot;000F6C8C&quot;/&gt;&lt;wsp:rsid wsp:val=&quot;000F75AC&quot;/&gt;&lt;wsp:rsid wsp:val=&quot;0010065E&quot;/&gt;&lt;wsp:rsid wsp:val=&quot;00101F8F&quot;/&gt;&lt;wsp:rsid wsp:val=&quot;00102B66&quot;/&gt;&lt;wsp:rsid wsp:val=&quot;00102EF2&quot;/&gt;&lt;wsp:rsid wsp:val=&quot;00103711&quot;/&gt;&lt;wsp:rsid wsp:val=&quot;001057F3&quot;/&gt;&lt;wsp:rsid wsp:val=&quot;00110958&quot;/&gt;&lt;wsp:rsid wsp:val=&quot;00111140&quot;/&gt;&lt;wsp:rsid wsp:val=&quot;0011158C&quot;/&gt;&lt;wsp:rsid wsp:val=&quot;0011444E&quot;/&gt;&lt;wsp:rsid wsp:val=&quot;001237A4&quot;/&gt;&lt;wsp:rsid wsp:val=&quot;00124501&quot;/&gt;&lt;wsp:rsid wsp:val=&quot;001301AB&quot;/&gt;&lt;wsp:rsid wsp:val=&quot;00134929&quot;/&gt;&lt;wsp:rsid wsp:val=&quot;00137CB5&quot;/&gt;&lt;wsp:rsid wsp:val=&quot;00140F03&quot;/&gt;&lt;wsp:rsid wsp:val=&quot;00144402&quot;/&gt;&lt;wsp:rsid wsp:val=&quot;00147622&quot;/&gt;&lt;wsp:rsid wsp:val=&quot;00150427&quot;/&gt;&lt;wsp:rsid wsp:val=&quot;00150AB5&quot;/&gt;&lt;wsp:rsid wsp:val=&quot;0015180B&quot;/&gt;&lt;wsp:rsid wsp:val=&quot;00152FAC&quot;/&gt;&lt;wsp:rsid wsp:val=&quot;00153600&quot;/&gt;&lt;wsp:rsid wsp:val=&quot;00153BD8&quot;/&gt;&lt;wsp:rsid wsp:val=&quot;00154D9F&quot;/&gt;&lt;wsp:rsid wsp:val=&quot;001609AA&quot;/&gt;&lt;wsp:rsid wsp:val=&quot;00161CFF&quot;/&gt;&lt;wsp:rsid wsp:val=&quot;00162583&quot;/&gt;&lt;wsp:rsid wsp:val=&quot;00164E62&quot;/&gt;&lt;wsp:rsid wsp:val=&quot;001658AB&quot;/&gt;&lt;wsp:rsid wsp:val=&quot;00165C39&quot;/&gt;&lt;wsp:rsid wsp:val=&quot;001672B3&quot;/&gt;&lt;wsp:rsid wsp:val=&quot;00170E73&quot;/&gt;&lt;wsp:rsid wsp:val=&quot;00171E10&quot;/&gt;&lt;wsp:rsid wsp:val=&quot;001723DB&quot;/&gt;&lt;wsp:rsid wsp:val=&quot;00172C5F&quot;/&gt;&lt;wsp:rsid wsp:val=&quot;00174552&quot;/&gt;&lt;wsp:rsid wsp:val=&quot;001800B9&quot;/&gt;&lt;wsp:rsid wsp:val=&quot;00180194&quot;/&gt;&lt;wsp:rsid wsp:val=&quot;0018155A&quot;/&gt;&lt;wsp:rsid wsp:val=&quot;00185CF5&quot;/&gt;&lt;wsp:rsid wsp:val=&quot;00185F89&quot;/&gt;&lt;wsp:rsid wsp:val=&quot;00192BC0&quot;/&gt;&lt;wsp:rsid wsp:val=&quot;001A08A4&quot;/&gt;&lt;wsp:rsid wsp:val=&quot;001A1879&quot;/&gt;&lt;wsp:rsid wsp:val=&quot;001A5405&quot;/&gt;&lt;wsp:rsid wsp:val=&quot;001A5999&quot;/&gt;&lt;wsp:rsid wsp:val=&quot;001A6102&quot;/&gt;&lt;wsp:rsid wsp:val=&quot;001A7901&quot;/&gt;&lt;wsp:rsid wsp:val=&quot;001B246E&quot;/&gt;&lt;wsp:rsid wsp:val=&quot;001B273E&quot;/&gt;&lt;wsp:rsid wsp:val=&quot;001B6EDA&quot;/&gt;&lt;wsp:rsid wsp:val=&quot;001C064E&quot;/&gt;&lt;wsp:rsid wsp:val=&quot;001C0B9D&quot;/&gt;&lt;wsp:rsid wsp:val=&quot;001C23D2&quot;/&gt;&lt;wsp:rsid wsp:val=&quot;001C2D09&quot;/&gt;&lt;wsp:rsid wsp:val=&quot;001C3528&quot;/&gt;&lt;wsp:rsid wsp:val=&quot;001C37C6&quot;/&gt;&lt;wsp:rsid wsp:val=&quot;001C38B1&quot;/&gt;&lt;wsp:rsid wsp:val=&quot;001C5049&quot;/&gt;&lt;wsp:rsid wsp:val=&quot;001C7B23&quot;/&gt;&lt;wsp:rsid wsp:val=&quot;001C7B82&quot;/&gt;&lt;wsp:rsid wsp:val=&quot;001C7EF2&quot;/&gt;&lt;wsp:rsid wsp:val=&quot;001D082E&quot;/&gt;&lt;wsp:rsid wsp:val=&quot;001D129E&quot;/&gt;&lt;wsp:rsid wsp:val=&quot;001D141E&quot;/&gt;&lt;wsp:rsid wsp:val=&quot;001D4107&quot;/&gt;&lt;wsp:rsid wsp:val=&quot;001D4E6A&quot;/&gt;&lt;wsp:rsid wsp:val=&quot;001D701B&quot;/&gt;&lt;wsp:rsid wsp:val=&quot;001D7C7B&quot;/&gt;&lt;wsp:rsid wsp:val=&quot;001E1AEC&quot;/&gt;&lt;wsp:rsid wsp:val=&quot;001E1D8A&quot;/&gt;&lt;wsp:rsid wsp:val=&quot;001E23EA&quot;/&gt;&lt;wsp:rsid wsp:val=&quot;001E4CE0&quot;/&gt;&lt;wsp:rsid wsp:val=&quot;001E6908&quot;/&gt;&lt;wsp:rsid wsp:val=&quot;001E7A1D&quot;/&gt;&lt;wsp:rsid wsp:val=&quot;001F0D3F&quot;/&gt;&lt;wsp:rsid wsp:val=&quot;001F12C5&quot;/&gt;&lt;wsp:rsid wsp:val=&quot;001F52D0&quot;/&gt;&lt;wsp:rsid wsp:val=&quot;001F5D73&quot;/&gt;&lt;wsp:rsid wsp:val=&quot;001F69F2&quot;/&gt;&lt;wsp:rsid wsp:val=&quot;002016A4&quot;/&gt;&lt;wsp:rsid wsp:val=&quot;00203FDF&quot;/&gt;&lt;wsp:rsid wsp:val=&quot;00206087&quot;/&gt;&lt;wsp:rsid wsp:val=&quot;00211013&quot;/&gt;&lt;wsp:rsid wsp:val=&quot;002135DA&quot;/&gt;&lt;wsp:rsid wsp:val=&quot;0021494B&quot;/&gt;&lt;wsp:rsid wsp:val=&quot;002156F7&quot;/&gt;&lt;wsp:rsid wsp:val=&quot;00216D88&quot;/&gt;&lt;wsp:rsid wsp:val=&quot;002201A0&quot;/&gt;&lt;wsp:rsid wsp:val=&quot;002230F4&quot;/&gt;&lt;wsp:rsid wsp:val=&quot;00230697&quot;/&gt;&lt;wsp:rsid wsp:val=&quot;00233CAC&quot;/&gt;&lt;wsp:rsid wsp:val=&quot;00234853&quot;/&gt;&lt;wsp:rsid wsp:val=&quot;002360B8&quot;/&gt;&lt;wsp:rsid wsp:val=&quot;002363CC&quot;/&gt;&lt;wsp:rsid wsp:val=&quot;00237F19&quot;/&gt;&lt;wsp:rsid wsp:val=&quot;00240386&quot;/&gt;&lt;wsp:rsid wsp:val=&quot;00240912&quot;/&gt;&lt;wsp:rsid wsp:val=&quot;00241719&quot;/&gt;&lt;wsp:rsid wsp:val=&quot;0024416D&quot;/&gt;&lt;wsp:rsid wsp:val=&quot;00247863&quot;/&gt;&lt;wsp:rsid wsp:val=&quot;0025372E&quot;/&gt;&lt;wsp:rsid wsp:val=&quot;002570F7&quot;/&gt;&lt;wsp:rsid wsp:val=&quot;0026156B&quot;/&gt;&lt;wsp:rsid wsp:val=&quot;00263C56&quot;/&gt;&lt;wsp:rsid wsp:val=&quot;00265508&quot;/&gt;&lt;wsp:rsid wsp:val=&quot;002757DF&quot;/&gt;&lt;wsp:rsid wsp:val=&quot;002814E5&quot;/&gt;&lt;wsp:rsid wsp:val=&quot;002831DF&quot;/&gt;&lt;wsp:rsid wsp:val=&quot;00284621&quot;/&gt;&lt;wsp:rsid wsp:val=&quot;00285306&quot;/&gt;&lt;wsp:rsid wsp:val=&quot;002859D8&quot;/&gt;&lt;wsp:rsid wsp:val=&quot;00286167&quot;/&gt;&lt;wsp:rsid wsp:val=&quot;00286244&quot;/&gt;&lt;wsp:rsid wsp:val=&quot;00286591&quot;/&gt;&lt;wsp:rsid wsp:val=&quot;00293B25&quot;/&gt;&lt;wsp:rsid wsp:val=&quot;0029479D&quot;/&gt;&lt;wsp:rsid wsp:val=&quot;002952C2&quot;/&gt;&lt;wsp:rsid wsp:val=&quot;00295899&quot;/&gt;&lt;wsp:rsid wsp:val=&quot;00295AF8&quot;/&gt;&lt;wsp:rsid wsp:val=&quot;00295C00&quot;/&gt;&lt;wsp:rsid wsp:val=&quot;002973F3&quot;/&gt;&lt;wsp:rsid wsp:val=&quot;002A1EAD&quot;/&gt;&lt;wsp:rsid wsp:val=&quot;002A572D&quot;/&gt;&lt;wsp:rsid wsp:val=&quot;002A5C50&quot;/&gt;&lt;wsp:rsid wsp:val=&quot;002A6DDB&quot;/&gt;&lt;wsp:rsid wsp:val=&quot;002A70EF&quot;/&gt;&lt;wsp:rsid wsp:val=&quot;002A768A&quot;/&gt;&lt;wsp:rsid wsp:val=&quot;002B03C0&quot;/&gt;&lt;wsp:rsid wsp:val=&quot;002B2BF8&quot;/&gt;&lt;wsp:rsid wsp:val=&quot;002B37B5&quot;/&gt;&lt;wsp:rsid wsp:val=&quot;002B428D&quot;/&gt;&lt;wsp:rsid wsp:val=&quot;002B6E40&quot;/&gt;&lt;wsp:rsid wsp:val=&quot;002C1E31&quot;/&gt;&lt;wsp:rsid wsp:val=&quot;002C4A2B&quot;/&gt;&lt;wsp:rsid wsp:val=&quot;002C4D7F&quot;/&gt;&lt;wsp:rsid wsp:val=&quot;002D1905&quot;/&gt;&lt;wsp:rsid wsp:val=&quot;002D1950&quot;/&gt;&lt;wsp:rsid wsp:val=&quot;002D2109&quot;/&gt;&lt;wsp:rsid wsp:val=&quot;002D2779&quot;/&gt;&lt;wsp:rsid wsp:val=&quot;002D29D1&quot;/&gt;&lt;wsp:rsid wsp:val=&quot;002D2C20&quot;/&gt;&lt;wsp:rsid wsp:val=&quot;002D3164&quot;/&gt;&lt;wsp:rsid wsp:val=&quot;002D5F9B&quot;/&gt;&lt;wsp:rsid wsp:val=&quot;002D6584&quot;/&gt;&lt;wsp:rsid wsp:val=&quot;002E2543&quot;/&gt;&lt;wsp:rsid wsp:val=&quot;002E39F7&quot;/&gt;&lt;wsp:rsid wsp:val=&quot;002E447F&quot;/&gt;&lt;wsp:rsid wsp:val=&quot;002E5CD0&quot;/&gt;&lt;wsp:rsid wsp:val=&quot;002E67D0&quot;/&gt;&lt;wsp:rsid wsp:val=&quot;002E6968&quot;/&gt;&lt;wsp:rsid wsp:val=&quot;002E6FC7&quot;/&gt;&lt;wsp:rsid wsp:val=&quot;002E721F&quot;/&gt;&lt;wsp:rsid wsp:val=&quot;002F1954&quot;/&gt;&lt;wsp:rsid wsp:val=&quot;002F2B55&quot;/&gt;&lt;wsp:rsid wsp:val=&quot;002F5B00&quot;/&gt;&lt;wsp:rsid wsp:val=&quot;0030155D&quot;/&gt;&lt;wsp:rsid wsp:val=&quot;00303A94&quot;/&gt;&lt;wsp:rsid wsp:val=&quot;00306F93&quot;/&gt;&lt;wsp:rsid wsp:val=&quot;003117F5&quot;/&gt;&lt;wsp:rsid wsp:val=&quot;00316DF9&quot;/&gt;&lt;wsp:rsid wsp:val=&quot;00317093&quot;/&gt;&lt;wsp:rsid wsp:val=&quot;00321888&quot;/&gt;&lt;wsp:rsid wsp:val=&quot;0032664C&quot;/&gt;&lt;wsp:rsid wsp:val=&quot;00326FC2&quot;/&gt;&lt;wsp:rsid wsp:val=&quot;0033114A&quot;/&gt;&lt;wsp:rsid wsp:val=&quot;00331A57&quot;/&gt;&lt;wsp:rsid wsp:val=&quot;00331E71&quot;/&gt;&lt;wsp:rsid wsp:val=&quot;003323BD&quot;/&gt;&lt;wsp:rsid wsp:val=&quot;0033284A&quot;/&gt;&lt;wsp:rsid wsp:val=&quot;003332A2&quot;/&gt;&lt;wsp:rsid wsp:val=&quot;00334689&quot;/&gt;&lt;wsp:rsid wsp:val=&quot;00334A9C&quot;/&gt;&lt;wsp:rsid wsp:val=&quot;003366C7&quot;/&gt;&lt;wsp:rsid wsp:val=&quot;00336FBD&quot;/&gt;&lt;wsp:rsid wsp:val=&quot;003407E0&quot;/&gt;&lt;wsp:rsid wsp:val=&quot;00342182&quot;/&gt;&lt;wsp:rsid wsp:val=&quot;00342645&quot;/&gt;&lt;wsp:rsid wsp:val=&quot;00343293&quot;/&gt;&lt;wsp:rsid wsp:val=&quot;003445CC&quot;/&gt;&lt;wsp:rsid wsp:val=&quot;00344D60&quot;/&gt;&lt;wsp:rsid wsp:val=&quot;00345E1B&quot;/&gt;&lt;wsp:rsid wsp:val=&quot;003477A9&quot;/&gt;&lt;wsp:rsid wsp:val=&quot;00351672&quot;/&gt;&lt;wsp:rsid wsp:val=&quot;003551C5&quot;/&gt;&lt;wsp:rsid wsp:val=&quot;003568D1&quot;/&gt;&lt;wsp:rsid wsp:val=&quot;00357BE3&quot;/&gt;&lt;wsp:rsid wsp:val=&quot;003602D1&quot;/&gt;&lt;wsp:rsid wsp:val=&quot;00362966&quot;/&gt;&lt;wsp:rsid wsp:val=&quot;00365765&quot;/&gt;&lt;wsp:rsid wsp:val=&quot;00366DD7&quot;/&gt;&lt;wsp:rsid wsp:val=&quot;003671D0&quot;/&gt;&lt;wsp:rsid wsp:val=&quot;00367247&quot;/&gt;&lt;wsp:rsid wsp:val=&quot;00367721&quot;/&gt;&lt;wsp:rsid wsp:val=&quot;00372914&quot;/&gt;&lt;wsp:rsid wsp:val=&quot;00374586&quot;/&gt;&lt;wsp:rsid wsp:val=&quot;00375AD0&quot;/&gt;&lt;wsp:rsid wsp:val=&quot;003776CB&quot;/&gt;&lt;wsp:rsid wsp:val=&quot;00380144&quot;/&gt;&lt;wsp:rsid wsp:val=&quot;00381425&quot;/&gt;&lt;wsp:rsid wsp:val=&quot;00382D4F&quot;/&gt;&lt;wsp:rsid wsp:val=&quot;00393317&quot;/&gt;&lt;wsp:rsid wsp:val=&quot;00394DC1&quot;/&gt;&lt;wsp:rsid wsp:val=&quot;00394F3E&quot;/&gt;&lt;wsp:rsid wsp:val=&quot;003A07DD&quot;/&gt;&lt;wsp:rsid wsp:val=&quot;003A0F7E&quot;/&gt;&lt;wsp:rsid wsp:val=&quot;003A1C5B&quot;/&gt;&lt;wsp:rsid wsp:val=&quot;003A39BE&quot;/&gt;&lt;wsp:rsid wsp:val=&quot;003A4CD7&quot;/&gt;&lt;wsp:rsid wsp:val=&quot;003A5B06&quot;/&gt;&lt;wsp:rsid wsp:val=&quot;003A5D31&quot;/&gt;&lt;wsp:rsid wsp:val=&quot;003B1161&quot;/&gt;&lt;wsp:rsid wsp:val=&quot;003B1C01&quot;/&gt;&lt;wsp:rsid wsp:val=&quot;003B6904&quot;/&gt;&lt;wsp:rsid wsp:val=&quot;003C05B5&quot;/&gt;&lt;wsp:rsid wsp:val=&quot;003C1746&quot;/&gt;&lt;wsp:rsid wsp:val=&quot;003C2261&quot;/&gt;&lt;wsp:rsid wsp:val=&quot;003C2A9A&quot;/&gt;&lt;wsp:rsid wsp:val=&quot;003C2D3C&quot;/&gt;&lt;wsp:rsid wsp:val=&quot;003C3F64&quot;/&gt;&lt;wsp:rsid wsp:val=&quot;003C5943&quot;/&gt;&lt;wsp:rsid wsp:val=&quot;003D1AF2&quot;/&gt;&lt;wsp:rsid wsp:val=&quot;003D47B6&quot;/&gt;&lt;wsp:rsid wsp:val=&quot;003D48C9&quot;/&gt;&lt;wsp:rsid wsp:val=&quot;003E093D&quot;/&gt;&lt;wsp:rsid wsp:val=&quot;003E1947&quot;/&gt;&lt;wsp:rsid wsp:val=&quot;003E6CC3&quot;/&gt;&lt;wsp:rsid wsp:val=&quot;003E775B&quot;/&gt;&lt;wsp:rsid wsp:val=&quot;003F0B2D&quot;/&gt;&lt;wsp:rsid wsp:val=&quot;003F3728&quot;/&gt;&lt;wsp:rsid wsp:val=&quot;003F37CD&quot;/&gt;&lt;wsp:rsid wsp:val=&quot;004018C7&quot;/&gt;&lt;wsp:rsid wsp:val=&quot;00405941&quot;/&gt;&lt;wsp:rsid wsp:val=&quot;004063FE&quot;/&gt;&lt;wsp:rsid wsp:val=&quot;004077E6&quot;/&gt;&lt;wsp:rsid wsp:val=&quot;004134C0&quot;/&gt;&lt;wsp:rsid wsp:val=&quot;004144E2&quot;/&gt;&lt;wsp:rsid wsp:val=&quot;00414FE8&quot;/&gt;&lt;wsp:rsid wsp:val=&quot;00415D80&quot;/&gt;&lt;wsp:rsid wsp:val=&quot;00417C16&quot;/&gt;&lt;wsp:rsid wsp:val=&quot;00420497&quot;/&gt;&lt;wsp:rsid wsp:val=&quot;00424D8F&quot;/&gt;&lt;wsp:rsid wsp:val=&quot;00430412&quot;/&gt;&lt;wsp:rsid wsp:val=&quot;0043109E&quot;/&gt;&lt;wsp:rsid wsp:val=&quot;0043240A&quot;/&gt;&lt;wsp:rsid wsp:val=&quot;00434E4B&quot;/&gt;&lt;wsp:rsid wsp:val=&quot;004420F0&quot;/&gt;&lt;wsp:rsid wsp:val=&quot;0044611E&quot;/&gt;&lt;wsp:rsid wsp:val=&quot;00446137&quot;/&gt;&lt;wsp:rsid wsp:val=&quot;00447E67&quot;/&gt;&lt;wsp:rsid wsp:val=&quot;004503A2&quot;/&gt;&lt;wsp:rsid wsp:val=&quot;00451AD8&quot;/&gt;&lt;wsp:rsid wsp:val=&quot;004523E9&quot;/&gt;&lt;wsp:rsid wsp:val=&quot;0045270B&quot;/&gt;&lt;wsp:rsid wsp:val=&quot;00452E69&quot;/&gt;&lt;wsp:rsid wsp:val=&quot;00453382&quot;/&gt;&lt;wsp:rsid wsp:val=&quot;00456482&quot;/&gt;&lt;wsp:rsid wsp:val=&quot;00456CE3&quot;/&gt;&lt;wsp:rsid wsp:val=&quot;0045767C&quot;/&gt;&lt;wsp:rsid wsp:val=&quot;0046152C&quot;/&gt;&lt;wsp:rsid wsp:val=&quot;00463C1C&quot;/&gt;&lt;wsp:rsid wsp:val=&quot;00464D42&quot;/&gt;&lt;wsp:rsid wsp:val=&quot;0047014E&quot;/&gt;&lt;wsp:rsid wsp:val=&quot;00472C1D&quot;/&gt;&lt;wsp:rsid wsp:val=&quot;004737F0&quot;/&gt;&lt;wsp:rsid wsp:val=&quot;00474A7A&quot;/&gt;&lt;wsp:rsid wsp:val=&quot;004759F5&quot;/&gt;&lt;wsp:rsid wsp:val=&quot;0047663B&quot;/&gt;&lt;wsp:rsid wsp:val=&quot;00476D03&quot;/&gt;&lt;wsp:rsid wsp:val=&quot;00477201&quot;/&gt;&lt;wsp:rsid wsp:val=&quot;004775B3&quot;/&gt;&lt;wsp:rsid wsp:val=&quot;004809DC&quot;/&gt;&lt;wsp:rsid wsp:val=&quot;00482374&quot;/&gt;&lt;wsp:rsid wsp:val=&quot;0048251E&quot;/&gt;&lt;wsp:rsid wsp:val=&quot;0048426A&quot;/&gt;&lt;wsp:rsid wsp:val=&quot;00484352&quot;/&gt;&lt;wsp:rsid wsp:val=&quot;004861A7&quot;/&gt;&lt;wsp:rsid wsp:val=&quot;0048767B&quot;/&gt;&lt;wsp:rsid wsp:val=&quot;004A3DD6&quot;/&gt;&lt;wsp:rsid wsp:val=&quot;004A4424&quot;/&gt;&lt;wsp:rsid wsp:val=&quot;004A59A7&quot;/&gt;&lt;wsp:rsid wsp:val=&quot;004B1B06&quot;/&gt;&lt;wsp:rsid wsp:val=&quot;004B3482&quot;/&gt;&lt;wsp:rsid wsp:val=&quot;004B4063&quot;/&gt;&lt;wsp:rsid wsp:val=&quot;004B5169&quot;/&gt;&lt;wsp:rsid wsp:val=&quot;004B69E8&quot;/&gt;&lt;wsp:rsid wsp:val=&quot;004B7FBD&quot;/&gt;&lt;wsp:rsid wsp:val=&quot;004C2034&quot;/&gt;&lt;wsp:rsid wsp:val=&quot;004C397A&quot;/&gt;&lt;wsp:rsid wsp:val=&quot;004C6461&quot;/&gt;&lt;wsp:rsid wsp:val=&quot;004C67C6&quot;/&gt;&lt;wsp:rsid wsp:val=&quot;004D26F3&quot;/&gt;&lt;wsp:rsid wsp:val=&quot;004D2B83&quot;/&gt;&lt;wsp:rsid wsp:val=&quot;004D4654&quot;/&gt;&lt;wsp:rsid wsp:val=&quot;004D479A&quot;/&gt;&lt;wsp:rsid wsp:val=&quot;004D4D11&quot;/&gt;&lt;wsp:rsid wsp:val=&quot;004D5C2F&quot;/&gt;&lt;wsp:rsid wsp:val=&quot;004D5D00&quot;/&gt;&lt;wsp:rsid wsp:val=&quot;004D7756&quot;/&gt;&lt;wsp:rsid wsp:val=&quot;004E07A4&quot;/&gt;&lt;wsp:rsid wsp:val=&quot;004E0B58&quot;/&gt;&lt;wsp:rsid wsp:val=&quot;004E14C0&quot;/&gt;&lt;wsp:rsid wsp:val=&quot;004E1A65&quot;/&gt;&lt;wsp:rsid wsp:val=&quot;004E3E7B&quot;/&gt;&lt;wsp:rsid wsp:val=&quot;004E468A&quot;/&gt;&lt;wsp:rsid wsp:val=&quot;004E5195&quot;/&gt;&lt;wsp:rsid wsp:val=&quot;004E7ADB&quot;/&gt;&lt;wsp:rsid wsp:val=&quot;004F13E1&quot;/&gt;&lt;wsp:rsid wsp:val=&quot;004F2F0F&quot;/&gt;&lt;wsp:rsid wsp:val=&quot;004F39F3&quot;/&gt;&lt;wsp:rsid wsp:val=&quot;004F3B6D&quot;/&gt;&lt;wsp:rsid wsp:val=&quot;004F436B&quot;/&gt;&lt;wsp:rsid wsp:val=&quot;004F5866&quot;/&gt;&lt;wsp:rsid wsp:val=&quot;004F7874&quot;/&gt;&lt;wsp:rsid wsp:val=&quot;00501BC2&quot;/&gt;&lt;wsp:rsid wsp:val=&quot;00501F5C&quot;/&gt;&lt;wsp:rsid wsp:val=&quot;00503315&quot;/&gt;&lt;wsp:rsid wsp:val=&quot;00503D31&quot;/&gt;&lt;wsp:rsid wsp:val=&quot;00504C0F&quot;/&gt;&lt;wsp:rsid wsp:val=&quot;0050611B&quot;/&gt;&lt;wsp:rsid wsp:val=&quot;005061F6&quot;/&gt;&lt;wsp:rsid wsp:val=&quot;00506950&quot;/&gt;&lt;wsp:rsid wsp:val=&quot;0050697B&quot;/&gt;&lt;wsp:rsid wsp:val=&quot;00507B28&quot;/&gt;&lt;wsp:rsid wsp:val=&quot;00507C6F&quot;/&gt;&lt;wsp:rsid wsp:val=&quot;0051075E&quot;/&gt;&lt;wsp:rsid wsp:val=&quot;0051143A&quot;/&gt;&lt;wsp:rsid wsp:val=&quot;0051358B&quot;/&gt;&lt;wsp:rsid wsp:val=&quot;0051457C&quot;/&gt;&lt;wsp:rsid wsp:val=&quot;0051686A&quot;/&gt;&lt;wsp:rsid wsp:val=&quot;00521FD7&quot;/&gt;&lt;wsp:rsid wsp:val=&quot;00523DD7&quot;/&gt;&lt;wsp:rsid wsp:val=&quot;00524101&quot;/&gt;&lt;wsp:rsid wsp:val=&quot;00524C36&quot;/&gt;&lt;wsp:rsid wsp:val=&quot;00524F93&quot;/&gt;&lt;wsp:rsid wsp:val=&quot;00525168&quot;/&gt;&lt;wsp:rsid wsp:val=&quot;00530962&quot;/&gt;&lt;wsp:rsid wsp:val=&quot;00533278&quot;/&gt;&lt;wsp:rsid wsp:val=&quot;0053422D&quot;/&gt;&lt;wsp:rsid wsp:val=&quot;00534B88&quot;/&gt;&lt;wsp:rsid wsp:val=&quot;005355F8&quot;/&gt;&lt;wsp:rsid wsp:val=&quot;00535BE8&quot;/&gt;&lt;wsp:rsid wsp:val=&quot;00536B5D&quot;/&gt;&lt;wsp:rsid wsp:val=&quot;00537964&quot;/&gt;&lt;wsp:rsid wsp:val=&quot;00541CD7&quot;/&gt;&lt;wsp:rsid wsp:val=&quot;005442BB&quot;/&gt;&lt;wsp:rsid wsp:val=&quot;00544963&quot;/&gt;&lt;wsp:rsid wsp:val=&quot;00546045&quot;/&gt;&lt;wsp:rsid wsp:val=&quot;0055273E&quot;/&gt;&lt;wsp:rsid wsp:val=&quot;00553C9B&quot;/&gt;&lt;wsp:rsid wsp:val=&quot;005543C9&quot;/&gt;&lt;wsp:rsid wsp:val=&quot;00554B89&quot;/&gt;&lt;wsp:rsid wsp:val=&quot;00562AE6&quot;/&gt;&lt;wsp:rsid wsp:val=&quot;00563213&quot;/&gt;&lt;wsp:rsid wsp:val=&quot;005701BF&quot;/&gt;&lt;wsp:rsid wsp:val=&quot;00573301&quot;/&gt;&lt;wsp:rsid wsp:val=&quot;00573C22&quot;/&gt;&lt;wsp:rsid wsp:val=&quot;0057494A&quot;/&gt;&lt;wsp:rsid wsp:val=&quot;00577D21&quot;/&gt;&lt;wsp:rsid wsp:val=&quot;005800A1&quot;/&gt;&lt;wsp:rsid wsp:val=&quot;005824DE&quot;/&gt;&lt;wsp:rsid wsp:val=&quot;005868EA&quot;/&gt;&lt;wsp:rsid wsp:val=&quot;00586CD3&quot;/&gt;&lt;wsp:rsid wsp:val=&quot;00587868&quot;/&gt;&lt;wsp:rsid wsp:val=&quot;00590EED&quot;/&gt;&lt;wsp:rsid wsp:val=&quot;00592E38&quot;/&gt;&lt;wsp:rsid wsp:val=&quot;00593486&quot;/&gt;&lt;wsp:rsid wsp:val=&quot;00594446&quot;/&gt;&lt;wsp:rsid wsp:val=&quot;005948A1&quot;/&gt;&lt;wsp:rsid wsp:val=&quot;005948FA&quot;/&gt;&lt;wsp:rsid wsp:val=&quot;00594947&quot;/&gt;&lt;wsp:rsid wsp:val=&quot;005970ED&quot;/&gt;&lt;wsp:rsid wsp:val=&quot;005A061D&quot;/&gt;&lt;wsp:rsid wsp:val=&quot;005A11D9&quot;/&gt;&lt;wsp:rsid wsp:val=&quot;005A19FC&quot;/&gt;&lt;wsp:rsid wsp:val=&quot;005B4786&quot;/&gt;&lt;wsp:rsid wsp:val=&quot;005B4CE1&quot;/&gt;&lt;wsp:rsid wsp:val=&quot;005B7959&quot;/&gt;&lt;wsp:rsid wsp:val=&quot;005C05F9&quot;/&gt;&lt;wsp:rsid wsp:val=&quot;005C0F76&quot;/&gt;&lt;wsp:rsid wsp:val=&quot;005C2DAC&quot;/&gt;&lt;wsp:rsid wsp:val=&quot;005C558A&quot;/&gt;&lt;wsp:rsid wsp:val=&quot;005C630B&quot;/&gt;&lt;wsp:rsid wsp:val=&quot;005C703D&quot;/&gt;&lt;wsp:rsid wsp:val=&quot;005D004E&quot;/&gt;&lt;wsp:rsid wsp:val=&quot;005D79BB&quot;/&gt;&lt;wsp:rsid wsp:val=&quot;005E0AF0&quot;/&gt;&lt;wsp:rsid wsp:val=&quot;005E0CDF&quot;/&gt;&lt;wsp:rsid wsp:val=&quot;005E25E4&quot;/&gt;&lt;wsp:rsid wsp:val=&quot;005E26C2&quot;/&gt;&lt;wsp:rsid wsp:val=&quot;005E2B8A&quot;/&gt;&lt;wsp:rsid wsp:val=&quot;005E2D46&quot;/&gt;&lt;wsp:rsid wsp:val=&quot;005E4C97&quot;/&gt;&lt;wsp:rsid wsp:val=&quot;005E6E26&quot;/&gt;&lt;wsp:rsid wsp:val=&quot;005E7298&quot;/&gt;&lt;wsp:rsid wsp:val=&quot;005F15AD&quot;/&gt;&lt;wsp:rsid wsp:val=&quot;005F16D5&quot;/&gt;&lt;wsp:rsid wsp:val=&quot;005F2064&quot;/&gt;&lt;wsp:rsid wsp:val=&quot;005F215F&quot;/&gt;&lt;wsp:rsid wsp:val=&quot;005F2EFC&quot;/&gt;&lt;wsp:rsid wsp:val=&quot;005F4FC6&quot;/&gt;&lt;wsp:rsid wsp:val=&quot;00600D2E&quot;/&gt;&lt;wsp:rsid wsp:val=&quot;00602BC6&quot;/&gt;&lt;wsp:rsid wsp:val=&quot;006108A4&quot;/&gt;&lt;wsp:rsid wsp:val=&quot;00611350&quot;/&gt;&lt;wsp:rsid wsp:val=&quot;006119AF&quot;/&gt;&lt;wsp:rsid wsp:val=&quot;00611AD6&quot;/&gt;&lt;wsp:rsid wsp:val=&quot;00612896&quot;/&gt;&lt;wsp:rsid wsp:val=&quot;00614B2A&quot;/&gt;&lt;wsp:rsid wsp:val=&quot;00617F4A&quot;/&gt;&lt;wsp:rsid wsp:val=&quot;00621F02&quot;/&gt;&lt;wsp:rsid wsp:val=&quot;00622B69&quot;/&gt;&lt;wsp:rsid wsp:val=&quot;00625CE1&quot;/&gt;&lt;wsp:rsid wsp:val=&quot;00627994&quot;/&gt;&lt;wsp:rsid wsp:val=&quot;00631E2C&quot;/&gt;&lt;wsp:rsid wsp:val=&quot;0063525B&quot;/&gt;&lt;wsp:rsid wsp:val=&quot;006356BD&quot;/&gt;&lt;wsp:rsid wsp:val=&quot;00635B95&quot;/&gt;&lt;wsp:rsid wsp:val=&quot;00635EA5&quot;/&gt;&lt;wsp:rsid wsp:val=&quot;00637F62&quot;/&gt;&lt;wsp:rsid wsp:val=&quot;0064063B&quot;/&gt;&lt;wsp:rsid wsp:val=&quot;00641542&quot;/&gt;&lt;wsp:rsid wsp:val=&quot;006426FC&quot;/&gt;&lt;wsp:rsid wsp:val=&quot;00643927&quot;/&gt;&lt;wsp:rsid wsp:val=&quot;00645A6D&quot;/&gt;&lt;wsp:rsid wsp:val=&quot;00650C4E&quot;/&gt;&lt;wsp:rsid wsp:val=&quot;0065420C&quot;/&gt;&lt;wsp:rsid wsp:val=&quot;00654470&quot;/&gt;&lt;wsp:rsid wsp:val=&quot;00657FB6&quot;/&gt;&lt;wsp:rsid wsp:val=&quot;00661729&quot;/&gt;&lt;wsp:rsid wsp:val=&quot;006642E6&quot;/&gt;&lt;wsp:rsid wsp:val=&quot;0066442E&quot;/&gt;&lt;wsp:rsid wsp:val=&quot;00664F50&quot;/&gt;&lt;wsp:rsid wsp:val=&quot;006655EF&quot;/&gt;&lt;wsp:rsid wsp:val=&quot;00666ADE&quot;/&gt;&lt;wsp:rsid wsp:val=&quot;00672828&quot;/&gt;&lt;wsp:rsid wsp:val=&quot;00673C4C&quot;/&gt;&lt;wsp:rsid wsp:val=&quot;00674B82&quot;/&gt;&lt;wsp:rsid wsp:val=&quot;00681B98&quot;/&gt;&lt;wsp:rsid wsp:val=&quot;00683208&quot;/&gt;&lt;wsp:rsid wsp:val=&quot;00683410&quot;/&gt;&lt;wsp:rsid wsp:val=&quot;00686280&quot;/&gt;&lt;wsp:rsid wsp:val=&quot;00690716&quot;/&gt;&lt;wsp:rsid wsp:val=&quot;00692C66&quot;/&gt;&lt;wsp:rsid wsp:val=&quot;00692F1D&quot;/&gt;&lt;wsp:rsid wsp:val=&quot;00695C19&quot;/&gt;&lt;wsp:rsid wsp:val=&quot;00696231&quot;/&gt;&lt;wsp:rsid wsp:val=&quot;006A162B&quot;/&gt;&lt;wsp:rsid wsp:val=&quot;006A47B9&quot;/&gt;&lt;wsp:rsid wsp:val=&quot;006A5AA9&quot;/&gt;&lt;wsp:rsid wsp:val=&quot;006A5FB5&quot;/&gt;&lt;wsp:rsid wsp:val=&quot;006A7009&quot;/&gt;&lt;wsp:rsid wsp:val=&quot;006A7420&quot;/&gt;&lt;wsp:rsid wsp:val=&quot;006A745B&quot;/&gt;&lt;wsp:rsid wsp:val=&quot;006A7D46&quot;/&gt;&lt;wsp:rsid wsp:val=&quot;006B05BD&quot;/&gt;&lt;wsp:rsid wsp:val=&quot;006B07AA&quot;/&gt;&lt;wsp:rsid wsp:val=&quot;006B1053&quot;/&gt;&lt;wsp:rsid wsp:val=&quot;006B176D&quot;/&gt;&lt;wsp:rsid wsp:val=&quot;006B27C6&quot;/&gt;&lt;wsp:rsid wsp:val=&quot;006B2DC9&quot;/&gt;&lt;wsp:rsid wsp:val=&quot;006B4015&quot;/&gt;&lt;wsp:rsid wsp:val=&quot;006B4283&quot;/&gt;&lt;wsp:rsid wsp:val=&quot;006C01CA&quot;/&gt;&lt;wsp:rsid wsp:val=&quot;006C1C97&quot;/&gt;&lt;wsp:rsid wsp:val=&quot;006C4688&quot;/&gt;&lt;wsp:rsid wsp:val=&quot;006C4B92&quot;/&gt;&lt;wsp:rsid wsp:val=&quot;006C5350&quot;/&gt;&lt;wsp:rsid wsp:val=&quot;006D142A&quot;/&gt;&lt;wsp:rsid wsp:val=&quot;006D6F17&quot;/&gt;&lt;wsp:rsid wsp:val=&quot;006D73D7&quot;/&gt;&lt;wsp:rsid wsp:val=&quot;006E1BFC&quot;/&gt;&lt;wsp:rsid wsp:val=&quot;006E22F4&quot;/&gt;&lt;wsp:rsid wsp:val=&quot;006E247E&quot;/&gt;&lt;wsp:rsid wsp:val=&quot;006E2A2A&quot;/&gt;&lt;wsp:rsid wsp:val=&quot;006E2AAD&quot;/&gt;&lt;wsp:rsid wsp:val=&quot;006E398A&quot;/&gt;&lt;wsp:rsid wsp:val=&quot;006E3A18&quot;/&gt;&lt;wsp:rsid wsp:val=&quot;006E44E3&quot;/&gt;&lt;wsp:rsid wsp:val=&quot;006E5197&quot;/&gt;&lt;wsp:rsid wsp:val=&quot;006E55F3&quot;/&gt;&lt;wsp:rsid wsp:val=&quot;006F0FC0&quot;/&gt;&lt;wsp:rsid wsp:val=&quot;006F386E&quot;/&gt;&lt;wsp:rsid wsp:val=&quot;006F54F9&quot;/&gt;&lt;wsp:rsid wsp:val=&quot;006F5FFC&quot;/&gt;&lt;wsp:rsid wsp:val=&quot;006F6A19&quot;/&gt;&lt;wsp:rsid wsp:val=&quot;006F7008&quot;/&gt;&lt;wsp:rsid wsp:val=&quot;006F73B6&quot;/&gt;&lt;wsp:rsid wsp:val=&quot;006F7B4B&quot;/&gt;&lt;wsp:rsid wsp:val=&quot;00700AB0&quot;/&gt;&lt;wsp:rsid wsp:val=&quot;0070140C&quot;/&gt;&lt;wsp:rsid wsp:val=&quot;00701685&quot;/&gt;&lt;wsp:rsid wsp:val=&quot;007036AD&quot;/&gt;&lt;wsp:rsid wsp:val=&quot;00703847&quot;/&gt;&lt;wsp:rsid wsp:val=&quot;00704463&quot;/&gt;&lt;wsp:rsid wsp:val=&quot;00704C38&quot;/&gt;&lt;wsp:rsid wsp:val=&quot;00705038&quot;/&gt;&lt;wsp:rsid wsp:val=&quot;00706C19&quot;/&gt;&lt;wsp:rsid wsp:val=&quot;007129E1&quot;/&gt;&lt;wsp:rsid wsp:val=&quot;00712AF6&quot;/&gt;&lt;wsp:rsid wsp:val=&quot;007138E1&quot;/&gt;&lt;wsp:rsid wsp:val=&quot;007178CD&quot;/&gt;&lt;wsp:rsid wsp:val=&quot;00720C76&quot;/&gt;&lt;wsp:rsid wsp:val=&quot;00720E34&quot;/&gt;&lt;wsp:rsid wsp:val=&quot;00721D02&quot;/&gt;&lt;wsp:rsid wsp:val=&quot;00721D37&quot;/&gt;&lt;wsp:rsid wsp:val=&quot;00722159&quot;/&gt;&lt;wsp:rsid wsp:val=&quot;00723E32&quot;/&gt;&lt;wsp:rsid wsp:val=&quot;00726929&quot;/&gt;&lt;wsp:rsid wsp:val=&quot;00727836&quot;/&gt;&lt;wsp:rsid wsp:val=&quot;00730698&quot;/&gt;&lt;wsp:rsid wsp:val=&quot;00731EEB&quot;/&gt;&lt;wsp:rsid wsp:val=&quot;00732969&quot;/&gt;&lt;wsp:rsid wsp:val=&quot;00733BAE&quot;/&gt;&lt;wsp:rsid wsp:val=&quot;0073528B&quot;/&gt;&lt;wsp:rsid wsp:val=&quot;007352BA&quot;/&gt;&lt;wsp:rsid wsp:val=&quot;00735A5E&quot;/&gt;&lt;wsp:rsid wsp:val=&quot;00736FFA&quot;/&gt;&lt;wsp:rsid wsp:val=&quot;00737790&quot;/&gt;&lt;wsp:rsid wsp:val=&quot;00737EF0&quot;/&gt;&lt;wsp:rsid wsp:val=&quot;007477B2&quot;/&gt;&lt;wsp:rsid wsp:val=&quot;00747BD2&quot;/&gt;&lt;wsp:rsid wsp:val=&quot;00750DA8&quot;/&gt;&lt;wsp:rsid wsp:val=&quot;00751DBA&quot;/&gt;&lt;wsp:rsid wsp:val=&quot;007532A9&quot;/&gt;&lt;wsp:rsid wsp:val=&quot;007543C9&quot;/&gt;&lt;wsp:rsid wsp:val=&quot;00754BA0&quot;/&gt;&lt;wsp:rsid wsp:val=&quot;00756AD5&quot;/&gt;&lt;wsp:rsid wsp:val=&quot;0076194F&quot;/&gt;&lt;wsp:rsid wsp:val=&quot;0076443F&quot;/&gt;&lt;wsp:rsid wsp:val=&quot;00765A46&quot;/&gt;&lt;wsp:rsid wsp:val=&quot;00766357&quot;/&gt;&lt;wsp:rsid wsp:val=&quot;0076756E&quot;/&gt;&lt;wsp:rsid wsp:val=&quot;00767794&quot;/&gt;&lt;wsp:rsid wsp:val=&quot;00773492&quot;/&gt;&lt;wsp:rsid wsp:val=&quot;00773DAD&quot;/&gt;&lt;wsp:rsid wsp:val=&quot;00780093&quot;/&gt;&lt;wsp:rsid wsp:val=&quot;00781361&quot;/&gt;&lt;wsp:rsid wsp:val=&quot;00782EC0&quot;/&gt;&lt;wsp:rsid wsp:val=&quot;00784287&quot;/&gt;&lt;wsp:rsid wsp:val=&quot;007843D2&quot;/&gt;&lt;wsp:rsid wsp:val=&quot;00784A4B&quot;/&gt;&lt;wsp:rsid wsp:val=&quot;00786DF5&quot;/&gt;&lt;wsp:rsid wsp:val=&quot;00786EC5&quot;/&gt;&lt;wsp:rsid wsp:val=&quot;0079083E&quot;/&gt;&lt;wsp:rsid wsp:val=&quot;00790DD9&quot;/&gt;&lt;wsp:rsid wsp:val=&quot;00794A80&quot;/&gt;&lt;wsp:rsid wsp:val=&quot;007A1420&quot;/&gt;&lt;wsp:rsid wsp:val=&quot;007A41E5&quot;/&gt;&lt;wsp:rsid wsp:val=&quot;007A4E21&quot;/&gt;&lt;wsp:rsid wsp:val=&quot;007A572A&quot;/&gt;&lt;wsp:rsid wsp:val=&quot;007A5E6C&quot;/&gt;&lt;wsp:rsid wsp:val=&quot;007B04D2&quot;/&gt;&lt;wsp:rsid wsp:val=&quot;007B25C2&quot;/&gt;&lt;wsp:rsid wsp:val=&quot;007B3FF0&quot;/&gt;&lt;wsp:rsid wsp:val=&quot;007B547F&quot;/&gt;&lt;wsp:rsid wsp:val=&quot;007C1202&quot;/&gt;&lt;wsp:rsid wsp:val=&quot;007C3C7A&quot;/&gt;&lt;wsp:rsid wsp:val=&quot;007C3F83&quot;/&gt;&lt;wsp:rsid wsp:val=&quot;007C57D6&quot;/&gt;&lt;wsp:rsid wsp:val=&quot;007C5D6E&quot;/&gt;&lt;wsp:rsid wsp:val=&quot;007C79B1&quot;/&gt;&lt;wsp:rsid wsp:val=&quot;007D0118&quot;/&gt;&lt;wsp:rsid wsp:val=&quot;007D1730&quot;/&gt;&lt;wsp:rsid wsp:val=&quot;007D34F8&quot;/&gt;&lt;wsp:rsid wsp:val=&quot;007D4A67&quot;/&gt;&lt;wsp:rsid wsp:val=&quot;007D7C40&quot;/&gt;&lt;wsp:rsid wsp:val=&quot;007E08C5&quot;/&gt;&lt;wsp:rsid wsp:val=&quot;007E0CBA&quot;/&gt;&lt;wsp:rsid wsp:val=&quot;007E32E1&quot;/&gt;&lt;wsp:rsid wsp:val=&quot;007E4499&quot;/&gt;&lt;wsp:rsid wsp:val=&quot;007E6AF6&quot;/&gt;&lt;wsp:rsid wsp:val=&quot;007F00C2&quot;/&gt;&lt;wsp:rsid wsp:val=&quot;007F035B&quot;/&gt;&lt;wsp:rsid wsp:val=&quot;007F42FB&quot;/&gt;&lt;wsp:rsid wsp:val=&quot;00801788&quot;/&gt;&lt;wsp:rsid wsp:val=&quot;008043AB&quot;/&gt;&lt;wsp:rsid wsp:val=&quot;00806BC6&quot;/&gt;&lt;wsp:rsid wsp:val=&quot;00811260&quot;/&gt;&lt;wsp:rsid wsp:val=&quot;00811592&quot;/&gt;&lt;wsp:rsid wsp:val=&quot;00811664&quot;/&gt;&lt;wsp:rsid wsp:val=&quot;008128F4&quot;/&gt;&lt;wsp:rsid wsp:val=&quot;00816958&quot;/&gt;&lt;wsp:rsid wsp:val=&quot;00816E5A&quot;/&gt;&lt;wsp:rsid wsp:val=&quot;00822504&quot;/&gt;&lt;wsp:rsid wsp:val=&quot;00822A8A&quot;/&gt;&lt;wsp:rsid wsp:val=&quot;008236B4&quot;/&gt;&lt;wsp:rsid wsp:val=&quot;00826AC2&quot;/&gt;&lt;wsp:rsid wsp:val=&quot;00827EB3&quot;/&gt;&lt;wsp:rsid wsp:val=&quot;008308E4&quot;/&gt;&lt;wsp:rsid wsp:val=&quot;0083117E&quot;/&gt;&lt;wsp:rsid wsp:val=&quot;00831A2D&quot;/&gt;&lt;wsp:rsid wsp:val=&quot;00832E8A&quot;/&gt;&lt;wsp:rsid wsp:val=&quot;008336F7&quot;/&gt;&lt;wsp:rsid wsp:val=&quot;00840F73&quot;/&gt;&lt;wsp:rsid wsp:val=&quot;00844919&quot;/&gt;&lt;wsp:rsid wsp:val=&quot;00854F2C&quot;/&gt;&lt;wsp:rsid wsp:val=&quot;00855879&quot;/&gt;&lt;wsp:rsid wsp:val=&quot;008569DD&quot;/&gt;&lt;wsp:rsid wsp:val=&quot;0086111E&quot;/&gt;&lt;wsp:rsid wsp:val=&quot;00862127&quot;/&gt;&lt;wsp:rsid wsp:val=&quot;0086234C&quot;/&gt;&lt;wsp:rsid wsp:val=&quot;0086334A&quot;/&gt;&lt;wsp:rsid wsp:val=&quot;0086449E&quot;/&gt;&lt;wsp:rsid wsp:val=&quot;00865CCE&quot;/&gt;&lt;wsp:rsid wsp:val=&quot;00866043&quot;/&gt;&lt;wsp:rsid wsp:val=&quot;00867872&quot;/&gt;&lt;wsp:rsid wsp:val=&quot;00867DB3&quot;/&gt;&lt;wsp:rsid wsp:val=&quot;00871AA6&quot;/&gt;&lt;wsp:rsid wsp:val=&quot;00874177&quot;/&gt;&lt;wsp:rsid wsp:val=&quot;00877B2F&quot;/&gt;&lt;wsp:rsid wsp:val=&quot;008817D9&quot;/&gt;&lt;wsp:rsid wsp:val=&quot;008818CB&quot;/&gt;&lt;wsp:rsid wsp:val=&quot;00882938&quot;/&gt;&lt;wsp:rsid wsp:val=&quot;00883E38&quot;/&gt;&lt;wsp:rsid wsp:val=&quot;00884416&quot;/&gt;&lt;wsp:rsid wsp:val=&quot;00887FC6&quot;/&gt;&lt;wsp:rsid wsp:val=&quot;008917BF&quot;/&gt;&lt;wsp:rsid wsp:val=&quot;008A3A00&quot;/&gt;&lt;wsp:rsid wsp:val=&quot;008A4D38&quot;/&gt;&lt;wsp:rsid wsp:val=&quot;008A79F1&quot;/&gt;&lt;wsp:rsid wsp:val=&quot;008B00A5&quot;/&gt;&lt;wsp:rsid wsp:val=&quot;008B05EB&quot;/&gt;&lt;wsp:rsid wsp:val=&quot;008B270F&quot;/&gt;&lt;wsp:rsid wsp:val=&quot;008B6635&quot;/&gt;&lt;wsp:rsid wsp:val=&quot;008B7B49&quot;/&gt;&lt;wsp:rsid wsp:val=&quot;008C4052&quot;/&gt;&lt;wsp:rsid wsp:val=&quot;008C44E7&quot;/&gt;&lt;wsp:rsid wsp:val=&quot;008C45EE&quot;/&gt;&lt;wsp:rsid wsp:val=&quot;008C47AC&quot;/&gt;&lt;wsp:rsid wsp:val=&quot;008C50FD&quot;/&gt;&lt;wsp:rsid wsp:val=&quot;008C5DA4&quot;/&gt;&lt;wsp:rsid wsp:val=&quot;008C6B32&quot;/&gt;&lt;wsp:rsid wsp:val=&quot;008C6EAF&quot;/&gt;&lt;wsp:rsid wsp:val=&quot;008C7BE6&quot;/&gt;&lt;wsp:rsid wsp:val=&quot;008C7DCC&quot;/&gt;&lt;wsp:rsid wsp:val=&quot;008D059C&quot;/&gt;&lt;wsp:rsid wsp:val=&quot;008D4948&quot;/&gt;&lt;wsp:rsid wsp:val=&quot;008D6011&quot;/&gt;&lt;wsp:rsid wsp:val=&quot;008D6FE2&quot;/&gt;&lt;wsp:rsid wsp:val=&quot;008D76BA&quot;/&gt;&lt;wsp:rsid wsp:val=&quot;008D7C82&quot;/&gt;&lt;wsp:rsid wsp:val=&quot;008E290C&quot;/&gt;&lt;wsp:rsid wsp:val=&quot;008E42D0&quot;/&gt;&lt;wsp:rsid wsp:val=&quot;008E5C0F&quot;/&gt;&lt;wsp:rsid wsp:val=&quot;008E6BA0&quot;/&gt;&lt;wsp:rsid wsp:val=&quot;008E726F&quot;/&gt;&lt;wsp:rsid wsp:val=&quot;008E76EF&quot;/&gt;&lt;wsp:rsid wsp:val=&quot;008E799D&quot;/&gt;&lt;wsp:rsid wsp:val=&quot;008F03A7&quot;/&gt;&lt;wsp:rsid wsp:val=&quot;008F3152&quot;/&gt;&lt;wsp:rsid wsp:val=&quot;008F3B9F&quot;/&gt;&lt;wsp:rsid wsp:val=&quot;008F59DB&quot;/&gt;&lt;wsp:rsid wsp:val=&quot;008F6929&quot;/&gt;&lt;wsp:rsid wsp:val=&quot;008F77F0&quot;/&gt;&lt;wsp:rsid wsp:val=&quot;008F7E0A&quot;/&gt;&lt;wsp:rsid wsp:val=&quot;00900206&quot;/&gt;&lt;wsp:rsid wsp:val=&quot;009002B3&quot;/&gt;&lt;wsp:rsid wsp:val=&quot;00900350&quot;/&gt;&lt;wsp:rsid wsp:val=&quot;00900806&quot;/&gt;&lt;wsp:rsid wsp:val=&quot;009011B4&quot;/&gt;&lt;wsp:rsid wsp:val=&quot;00901A03&quot;/&gt;&lt;wsp:rsid wsp:val=&quot;0090587E&quot;/&gt;&lt;wsp:rsid wsp:val=&quot;00905977&quot;/&gt;&lt;wsp:rsid wsp:val=&quot;00905D95&quot;/&gt;&lt;wsp:rsid wsp:val=&quot;00911BFC&quot;/&gt;&lt;wsp:rsid wsp:val=&quot;009149CE&quot;/&gt;&lt;wsp:rsid wsp:val=&quot;00914D9A&quot;/&gt;&lt;wsp:rsid wsp:val=&quot;0092107D&quot;/&gt;&lt;wsp:rsid wsp:val=&quot;0092138D&quot;/&gt;&lt;wsp:rsid wsp:val=&quot;0092211D&quot;/&gt;&lt;wsp:rsid wsp:val=&quot;00924EFE&quot;/&gt;&lt;wsp:rsid wsp:val=&quot;009270A0&quot;/&gt;&lt;wsp:rsid wsp:val=&quot;00932CDF&quot;/&gt;&lt;wsp:rsid wsp:val=&quot;00934EEE&quot;/&gt;&lt;wsp:rsid wsp:val=&quot;00935681&quot;/&gt;&lt;wsp:rsid wsp:val=&quot;00935ADE&quot;/&gt;&lt;wsp:rsid wsp:val=&quot;00937341&quot;/&gt;&lt;wsp:rsid wsp:val=&quot;0094193D&quot;/&gt;&lt;wsp:rsid wsp:val=&quot;00943FCB&quot;/&gt;&lt;wsp:rsid wsp:val=&quot;009475A6&quot;/&gt;&lt;wsp:rsid wsp:val=&quot;00952433&quot;/&gt;&lt;wsp:rsid wsp:val=&quot;00952E82&quot;/&gt;&lt;wsp:rsid wsp:val=&quot;00954BF0&quot;/&gt;&lt;wsp:rsid wsp:val=&quot;009558AD&quot;/&gt;&lt;wsp:rsid wsp:val=&quot;00955BA7&quot;/&gt;&lt;wsp:rsid wsp:val=&quot;00957A74&quot;/&gt;&lt;wsp:rsid wsp:val=&quot;00963774&quot;/&gt;&lt;wsp:rsid wsp:val=&quot;00964BE9&quot;/&gt;&lt;wsp:rsid wsp:val=&quot;00966F4F&quot;/&gt;&lt;wsp:rsid wsp:val=&quot;0097357E&quot;/&gt;&lt;wsp:rsid wsp:val=&quot;009749C1&quot;/&gt;&lt;wsp:rsid wsp:val=&quot;0097621B&quot;/&gt;&lt;wsp:rsid wsp:val=&quot;00976771&quot;/&gt;&lt;wsp:rsid wsp:val=&quot;00977A9D&quot;/&gt;&lt;wsp:rsid wsp:val=&quot;00981F01&quot;/&gt;&lt;wsp:rsid wsp:val=&quot;0098415A&quot;/&gt;&lt;wsp:rsid wsp:val=&quot;00985B6E&quot;/&gt;&lt;wsp:rsid wsp:val=&quot;0099300F&quot;/&gt;&lt;wsp:rsid wsp:val=&quot;00993D4D&quot;/&gt;&lt;wsp:rsid wsp:val=&quot;009951B8&quot;/&gt;&lt;wsp:rsid wsp:val=&quot;009955A9&quot;/&gt;&lt;wsp:rsid wsp:val=&quot;0099663F&quot;/&gt;&lt;wsp:rsid wsp:val=&quot;009A11FF&quot;/&gt;&lt;wsp:rsid wsp:val=&quot;009A333B&quot;/&gt;&lt;wsp:rsid wsp:val=&quot;009A53A8&quot;/&gt;&lt;wsp:rsid wsp:val=&quot;009A67B7&quot;/&gt;&lt;wsp:rsid wsp:val=&quot;009B1486&quot;/&gt;&lt;wsp:rsid wsp:val=&quot;009B516A&quot;/&gt;&lt;wsp:rsid wsp:val=&quot;009B7F56&quot;/&gt;&lt;wsp:rsid wsp:val=&quot;009C0B5C&quot;/&gt;&lt;wsp:rsid wsp:val=&quot;009C0CA2&quot;/&gt;&lt;wsp:rsid wsp:val=&quot;009C311A&quot;/&gt;&lt;wsp:rsid wsp:val=&quot;009C5B38&quot;/&gt;&lt;wsp:rsid wsp:val=&quot;009C5DD6&quot;/&gt;&lt;wsp:rsid wsp:val=&quot;009C728F&quot;/&gt;&lt;wsp:rsid wsp:val=&quot;009D0429&quot;/&gt;&lt;wsp:rsid wsp:val=&quot;009D5DD9&quot;/&gt;&lt;wsp:rsid wsp:val=&quot;009D67A0&quot;/&gt;&lt;wsp:rsid wsp:val=&quot;009E61C3&quot;/&gt;&lt;wsp:rsid wsp:val=&quot;009E70F6&quot;/&gt;&lt;wsp:rsid wsp:val=&quot;009F238E&quot;/&gt;&lt;wsp:rsid wsp:val=&quot;009F4D0F&quot;/&gt;&lt;wsp:rsid wsp:val=&quot;009F4EFF&quot;/&gt;&lt;wsp:rsid wsp:val=&quot;009F502B&quot;/&gt;&lt;wsp:rsid wsp:val=&quot;009F6B58&quot;/&gt;&lt;wsp:rsid wsp:val=&quot;00A043E3&quot;/&gt;&lt;wsp:rsid wsp:val=&quot;00A04D10&quot;/&gt;&lt;wsp:rsid wsp:val=&quot;00A05A7C&quot;/&gt;&lt;wsp:rsid wsp:val=&quot;00A12BBC&quot;/&gt;&lt;wsp:rsid wsp:val=&quot;00A12E9C&quot;/&gt;&lt;wsp:rsid wsp:val=&quot;00A179F8&quot;/&gt;&lt;wsp:rsid wsp:val=&quot;00A17ED5&quot;/&gt;&lt;wsp:rsid wsp:val=&quot;00A20DB6&quot;/&gt;&lt;wsp:rsid wsp:val=&quot;00A21BFB&quot;/&gt;&lt;wsp:rsid wsp:val=&quot;00A21CC1&quot;/&gt;&lt;wsp:rsid wsp:val=&quot;00A22AFE&quot;/&gt;&lt;wsp:rsid wsp:val=&quot;00A24960&quot;/&gt;&lt;wsp:rsid wsp:val=&quot;00A2667A&quot;/&gt;&lt;wsp:rsid wsp:val=&quot;00A32AA1&quot;/&gt;&lt;wsp:rsid wsp:val=&quot;00A32CDD&quot;/&gt;&lt;wsp:rsid wsp:val=&quot;00A33A9D&quot;/&gt;&lt;wsp:rsid wsp:val=&quot;00A353D4&quot;/&gt;&lt;wsp:rsid wsp:val=&quot;00A37312&quot;/&gt;&lt;wsp:rsid wsp:val=&quot;00A37718&quot;/&gt;&lt;wsp:rsid wsp:val=&quot;00A40AD5&quot;/&gt;&lt;wsp:rsid wsp:val=&quot;00A40D45&quot;/&gt;&lt;wsp:rsid wsp:val=&quot;00A413E9&quot;/&gt;&lt;wsp:rsid wsp:val=&quot;00A445ED&quot;/&gt;&lt;wsp:rsid wsp:val=&quot;00A44721&quot;/&gt;&lt;wsp:rsid wsp:val=&quot;00A44861&quot;/&gt;&lt;wsp:rsid wsp:val=&quot;00A4615C&quot;/&gt;&lt;wsp:rsid wsp:val=&quot;00A4698E&quot;/&gt;&lt;wsp:rsid wsp:val=&quot;00A50B5C&quot;/&gt;&lt;wsp:rsid wsp:val=&quot;00A50F82&quot;/&gt;&lt;wsp:rsid wsp:val=&quot;00A51CC9&quot;/&gt;&lt;wsp:rsid wsp:val=&quot;00A53957&quot;/&gt;&lt;wsp:rsid wsp:val=&quot;00A5658D&quot;/&gt;&lt;wsp:rsid wsp:val=&quot;00A57A0D&quot;/&gt;&lt;wsp:rsid wsp:val=&quot;00A6148C&quot;/&gt;&lt;wsp:rsid wsp:val=&quot;00A6345E&quot;/&gt;&lt;wsp:rsid wsp:val=&quot;00A70750&quot;/&gt;&lt;wsp:rsid wsp:val=&quot;00A7287E&quot;/&gt;&lt;wsp:rsid wsp:val=&quot;00A73BE2&quot;/&gt;&lt;wsp:rsid wsp:val=&quot;00A75F35&quot;/&gt;&lt;wsp:rsid wsp:val=&quot;00A76C62&quot;/&gt;&lt;wsp:rsid wsp:val=&quot;00A76E64&quot;/&gt;&lt;wsp:rsid wsp:val=&quot;00A80569&quot;/&gt;&lt;wsp:rsid wsp:val=&quot;00A8163C&quot;/&gt;&lt;wsp:rsid wsp:val=&quot;00A81ABF&quot;/&gt;&lt;wsp:rsid wsp:val=&quot;00A8344C&quot;/&gt;&lt;wsp:rsid wsp:val=&quot;00A86351&quot;/&gt;&lt;wsp:rsid wsp:val=&quot;00A874D8&quot;/&gt;&lt;wsp:rsid wsp:val=&quot;00A905A4&quot;/&gt;&lt;wsp:rsid wsp:val=&quot;00A92548&quot;/&gt;&lt;wsp:rsid wsp:val=&quot;00A946F4&quot;/&gt;&lt;wsp:rsid wsp:val=&quot;00A95C95&quot;/&gt;&lt;wsp:rsid wsp:val=&quot;00A96D7F&quot;/&gt;&lt;wsp:rsid wsp:val=&quot;00AA0A62&quot;/&gt;&lt;wsp:rsid wsp:val=&quot;00AA2AA3&quot;/&gt;&lt;wsp:rsid wsp:val=&quot;00AB65CA&quot;/&gt;&lt;wsp:rsid wsp:val=&quot;00AB678C&quot;/&gt;&lt;wsp:rsid wsp:val=&quot;00AC2886&quot;/&gt;&lt;wsp:rsid wsp:val=&quot;00AC2A9B&quot;/&gt;&lt;wsp:rsid wsp:val=&quot;00AC2E23&quot;/&gt;&lt;wsp:rsid wsp:val=&quot;00AC392F&quot;/&gt;&lt;wsp:rsid wsp:val=&quot;00AC489E&quot;/&gt;&lt;wsp:rsid wsp:val=&quot;00AC66BC&quot;/&gt;&lt;wsp:rsid wsp:val=&quot;00AD0AF0&quot;/&gt;&lt;wsp:rsid wsp:val=&quot;00AD1EDA&quot;/&gt;&lt;wsp:rsid wsp:val=&quot;00AD51E5&quot;/&gt;&lt;wsp:rsid wsp:val=&quot;00AD5E95&quot;/&gt;&lt;wsp:rsid wsp:val=&quot;00AD7AE3&quot;/&gt;&lt;wsp:rsid wsp:val=&quot;00AE429E&quot;/&gt;&lt;wsp:rsid wsp:val=&quot;00AF11F7&quot;/&gt;&lt;wsp:rsid wsp:val=&quot;00AF18DE&quot;/&gt;&lt;wsp:rsid wsp:val=&quot;00AF2AFE&quot;/&gt;&lt;wsp:rsid wsp:val=&quot;00AF45F2&quot;/&gt;&lt;wsp:rsid wsp:val=&quot;00AF6944&quot;/&gt;&lt;wsp:rsid wsp:val=&quot;00AF6A40&quot;/&gt;&lt;wsp:rsid wsp:val=&quot;00B02C38&quot;/&gt;&lt;wsp:rsid wsp:val=&quot;00B03A88&quot;/&gt;&lt;wsp:rsid wsp:val=&quot;00B05124&quot;/&gt;&lt;wsp:rsid wsp:val=&quot;00B065ED&quot;/&gt;&lt;wsp:rsid wsp:val=&quot;00B07832&quot;/&gt;&lt;wsp:rsid wsp:val=&quot;00B13859&quot;/&gt;&lt;wsp:rsid wsp:val=&quot;00B16866&quot;/&gt;&lt;wsp:rsid wsp:val=&quot;00B21D37&quot;/&gt;&lt;wsp:rsid wsp:val=&quot;00B2232A&quot;/&gt;&lt;wsp:rsid wsp:val=&quot;00B263AB&quot;/&gt;&lt;wsp:rsid wsp:val=&quot;00B279AE&quot;/&gt;&lt;wsp:rsid wsp:val=&quot;00B27F23&quot;/&gt;&lt;wsp:rsid wsp:val=&quot;00B35117&quot;/&gt;&lt;wsp:rsid wsp:val=&quot;00B41C13&quot;/&gt;&lt;wsp:rsid wsp:val=&quot;00B42728&quot;/&gt;&lt;wsp:rsid wsp:val=&quot;00B43D08&quot;/&gt;&lt;wsp:rsid wsp:val=&quot;00B43F0A&quot;/&gt;&lt;wsp:rsid wsp:val=&quot;00B462DF&quot;/&gt;&lt;wsp:rsid wsp:val=&quot;00B4707D&quot;/&gt;&lt;wsp:rsid wsp:val=&quot;00B471F8&quot;/&gt;&lt;wsp:rsid wsp:val=&quot;00B50117&quot;/&gt;&lt;wsp:rsid wsp:val=&quot;00B5048D&quot;/&gt;&lt;wsp:rsid wsp:val=&quot;00B51302&quot;/&gt;&lt;wsp:rsid wsp:val=&quot;00B51F5A&quot;/&gt;&lt;wsp:rsid wsp:val=&quot;00B536A3&quot;/&gt;&lt;wsp:rsid wsp:val=&quot;00B5406A&quot;/&gt;&lt;wsp:rsid wsp:val=&quot;00B54FDA&quot;/&gt;&lt;wsp:rsid wsp:val=&quot;00B5592E&quot;/&gt;&lt;wsp:rsid wsp:val=&quot;00B55BFF&quot;/&gt;&lt;wsp:rsid wsp:val=&quot;00B5618B&quot;/&gt;&lt;wsp:rsid wsp:val=&quot;00B5708F&quot;/&gt;&lt;wsp:rsid wsp:val=&quot;00B579D9&quot;/&gt;&lt;wsp:rsid wsp:val=&quot;00B60407&quot;/&gt;&lt;wsp:rsid wsp:val=&quot;00B609A4&quot;/&gt;&lt;wsp:rsid wsp:val=&quot;00B62E7B&quot;/&gt;&lt;wsp:rsid wsp:val=&quot;00B648EC&quot;/&gt;&lt;wsp:rsid wsp:val=&quot;00B668D9&quot;/&gt;&lt;wsp:rsid wsp:val=&quot;00B71F95&quot;/&gt;&lt;wsp:rsid wsp:val=&quot;00B770FF&quot;/&gt;&lt;wsp:rsid wsp:val=&quot;00B801A9&quot;/&gt;&lt;wsp:rsid wsp:val=&quot;00B804BD&quot;/&gt;&lt;wsp:rsid wsp:val=&quot;00B80F58&quot;/&gt;&lt;wsp:rsid wsp:val=&quot;00B858FE&quot;/&gt;&lt;wsp:rsid wsp:val=&quot;00B86235&quot;/&gt;&lt;wsp:rsid wsp:val=&quot;00B87396&quot;/&gt;&lt;wsp:rsid wsp:val=&quot;00B910D4&quot;/&gt;&lt;wsp:rsid wsp:val=&quot;00B92431&quot;/&gt;&lt;wsp:rsid wsp:val=&quot;00B933B5&quot;/&gt;&lt;wsp:rsid wsp:val=&quot;00B935B5&quot;/&gt;&lt;wsp:rsid wsp:val=&quot;00B93D19&quot;/&gt;&lt;wsp:rsid wsp:val=&quot;00B93E5E&quot;/&gt;&lt;wsp:rsid wsp:val=&quot;00B941E5&quot;/&gt;&lt;wsp:rsid wsp:val=&quot;00B95296&quot;/&gt;&lt;wsp:rsid wsp:val=&quot;00B9534C&quot;/&gt;&lt;wsp:rsid wsp:val=&quot;00B95F86&quot;/&gt;&lt;wsp:rsid wsp:val=&quot;00BA1B48&quot;/&gt;&lt;wsp:rsid wsp:val=&quot;00BA1C40&quot;/&gt;&lt;wsp:rsid wsp:val=&quot;00BA488F&quot;/&gt;&lt;wsp:rsid wsp:val=&quot;00BA5F76&quot;/&gt;&lt;wsp:rsid wsp:val=&quot;00BA7F87&quot;/&gt;&lt;wsp:rsid wsp:val=&quot;00BB135F&quot;/&gt;&lt;wsp:rsid wsp:val=&quot;00BB265D&quot;/&gt;&lt;wsp:rsid wsp:val=&quot;00BB5174&quot;/&gt;&lt;wsp:rsid wsp:val=&quot;00BB590F&quot;/&gt;&lt;wsp:rsid wsp:val=&quot;00BC02DA&quot;/&gt;&lt;wsp:rsid wsp:val=&quot;00BC037F&quot;/&gt;&lt;wsp:rsid wsp:val=&quot;00BC04C1&quot;/&gt;&lt;wsp:rsid wsp:val=&quot;00BC04C5&quot;/&gt;&lt;wsp:rsid wsp:val=&quot;00BC0F67&quot;/&gt;&lt;wsp:rsid wsp:val=&quot;00BC0FAC&quot;/&gt;&lt;wsp:rsid wsp:val=&quot;00BC2FC0&quot;/&gt;&lt;wsp:rsid wsp:val=&quot;00BC3DB0&quot;/&gt;&lt;wsp:rsid wsp:val=&quot;00BD019E&quot;/&gt;&lt;wsp:rsid wsp:val=&quot;00BD0B91&quot;/&gt;&lt;wsp:rsid wsp:val=&quot;00BD1555&quot;/&gt;&lt;wsp:rsid wsp:val=&quot;00BD1A4D&quot;/&gt;&lt;wsp:rsid wsp:val=&quot;00BD1BC5&quot;/&gt;&lt;wsp:rsid wsp:val=&quot;00BD473A&quot;/&gt;&lt;wsp:rsid wsp:val=&quot;00BD7806&quot;/&gt;&lt;wsp:rsid wsp:val=&quot;00BE2CE5&quot;/&gt;&lt;wsp:rsid wsp:val=&quot;00BE3B9F&quot;/&gt;&lt;wsp:rsid wsp:val=&quot;00BE4FD3&quot;/&gt;&lt;wsp:rsid wsp:val=&quot;00BE635A&quot;/&gt;&lt;wsp:rsid wsp:val=&quot;00BF2F1A&quot;/&gt;&lt;wsp:rsid wsp:val=&quot;00BF6E8A&quot;/&gt;&lt;wsp:rsid wsp:val=&quot;00BF6ECE&quot;/&gt;&lt;wsp:rsid wsp:val=&quot;00C00DF5&quot;/&gt;&lt;wsp:rsid wsp:val=&quot;00C027CA&quot;/&gt;&lt;wsp:rsid wsp:val=&quot;00C042A7&quot;/&gt;&lt;wsp:rsid wsp:val=&quot;00C05DEE&quot;/&gt;&lt;wsp:rsid wsp:val=&quot;00C070A9&quot;/&gt;&lt;wsp:rsid wsp:val=&quot;00C10ADF&quot;/&gt;&lt;wsp:rsid wsp:val=&quot;00C11F6E&quot;/&gt;&lt;wsp:rsid wsp:val=&quot;00C12524&quot;/&gt;&lt;wsp:rsid wsp:val=&quot;00C12DAF&quot;/&gt;&lt;wsp:rsid wsp:val=&quot;00C1301C&quot;/&gt;&lt;wsp:rsid wsp:val=&quot;00C13807&quot;/&gt;&lt;wsp:rsid wsp:val=&quot;00C13B7C&quot;/&gt;&lt;wsp:rsid wsp:val=&quot;00C150F3&quot;/&gt;&lt;wsp:rsid wsp:val=&quot;00C163C3&quot;/&gt;&lt;wsp:rsid wsp:val=&quot;00C22A3F&quot;/&gt;&lt;wsp:rsid wsp:val=&quot;00C25736&quot;/&gt;&lt;wsp:rsid wsp:val=&quot;00C25BAE&quot;/&gt;&lt;wsp:rsid wsp:val=&quot;00C27034&quot;/&gt;&lt;wsp:rsid wsp:val=&quot;00C279D4&quot;/&gt;&lt;wsp:rsid wsp:val=&quot;00C311A2&quot;/&gt;&lt;wsp:rsid wsp:val=&quot;00C31EAF&quot;/&gt;&lt;wsp:rsid wsp:val=&quot;00C34EBD&quot;/&gt;&lt;wsp:rsid wsp:val=&quot;00C35127&quot;/&gt;&lt;wsp:rsid wsp:val=&quot;00C432B5&quot;/&gt;&lt;wsp:rsid wsp:val=&quot;00C466DA&quot;/&gt;&lt;wsp:rsid wsp:val=&quot;00C47CA3&quot;/&gt;&lt;wsp:rsid wsp:val=&quot;00C47D2C&quot;/&gt;&lt;wsp:rsid wsp:val=&quot;00C50CE0&quot;/&gt;&lt;wsp:rsid wsp:val=&quot;00C56A27&quot;/&gt;&lt;wsp:rsid wsp:val=&quot;00C602D8&quot;/&gt;&lt;wsp:rsid wsp:val=&quot;00C61E52&quot;/&gt;&lt;wsp:rsid wsp:val=&quot;00C65C3C&quot;/&gt;&lt;wsp:rsid wsp:val=&quot;00C677A0&quot;/&gt;&lt;wsp:rsid wsp:val=&quot;00C70008&quot;/&gt;&lt;wsp:rsid wsp:val=&quot;00C7011A&quot;/&gt;&lt;wsp:rsid wsp:val=&quot;00C72AEB&quot;/&gt;&lt;wsp:rsid wsp:val=&quot;00C73009&quot;/&gt;&lt;wsp:rsid wsp:val=&quot;00C73033&quot;/&gt;&lt;wsp:rsid wsp:val=&quot;00C76670&quot;/&gt;&lt;wsp:rsid wsp:val=&quot;00C8351F&quot;/&gt;&lt;wsp:rsid wsp:val=&quot;00C84477&quot;/&gt;&lt;wsp:rsid wsp:val=&quot;00C86D91&quot;/&gt;&lt;wsp:rsid wsp:val=&quot;00C86EE1&quot;/&gt;&lt;wsp:rsid wsp:val=&quot;00C91979&quot;/&gt;&lt;wsp:rsid wsp:val=&quot;00C91F4F&quot;/&gt;&lt;wsp:rsid wsp:val=&quot;00C92014&quot;/&gt;&lt;wsp:rsid wsp:val=&quot;00C923AE&quot;/&gt;&lt;wsp:rsid wsp:val=&quot;00C928F2&quot;/&gt;&lt;wsp:rsid wsp:val=&quot;00C93A67&quot;/&gt;&lt;wsp:rsid wsp:val=&quot;00C9492F&quot;/&gt;&lt;wsp:rsid wsp:val=&quot;00C955C5&quot;/&gt;&lt;wsp:rsid wsp:val=&quot;00CA1EE6&quot;/&gt;&lt;wsp:rsid wsp:val=&quot;00CA21D5&quot;/&gt;&lt;wsp:rsid wsp:val=&quot;00CA2C5A&quot;/&gt;&lt;wsp:rsid wsp:val=&quot;00CA38A4&quot;/&gt;&lt;wsp:rsid wsp:val=&quot;00CA5819&quot;/&gt;&lt;wsp:rsid wsp:val=&quot;00CA5A47&quot;/&gt;&lt;wsp:rsid wsp:val=&quot;00CB417B&quot;/&gt;&lt;wsp:rsid wsp:val=&quot;00CC078C&quot;/&gt;&lt;wsp:rsid wsp:val=&quot;00CC2C44&quot;/&gt;&lt;wsp:rsid wsp:val=&quot;00CC3636&quot;/&gt;&lt;wsp:rsid wsp:val=&quot;00CC5DAB&quot;/&gt;&lt;wsp:rsid wsp:val=&quot;00CC5E4C&quot;/&gt;&lt;wsp:rsid wsp:val=&quot;00CC7399&quot;/&gt;&lt;wsp:rsid wsp:val=&quot;00CD01BB&quot;/&gt;&lt;wsp:rsid wsp:val=&quot;00CD121A&quot;/&gt;&lt;wsp:rsid wsp:val=&quot;00CD7C01&quot;/&gt;&lt;wsp:rsid wsp:val=&quot;00CE05E2&quot;/&gt;&lt;wsp:rsid wsp:val=&quot;00CE104C&quot;/&gt;&lt;wsp:rsid wsp:val=&quot;00CE303E&quot;/&gt;&lt;wsp:rsid wsp:val=&quot;00CE3EDC&quot;/&gt;&lt;wsp:rsid wsp:val=&quot;00CE48E2&quot;/&gt;&lt;wsp:rsid wsp:val=&quot;00CE6BF6&quot;/&gt;&lt;wsp:rsid wsp:val=&quot;00CE6D9D&quot;/&gt;&lt;wsp:rsid wsp:val=&quot;00CF00D0&quot;/&gt;&lt;wsp:rsid wsp:val=&quot;00CF0F98&quot;/&gt;&lt;wsp:rsid wsp:val=&quot;00CF5257&quot;/&gt;&lt;wsp:rsid wsp:val=&quot;00CF60A2&quot;/&gt;&lt;wsp:rsid wsp:val=&quot;00D009F7&quot;/&gt;&lt;wsp:rsid wsp:val=&quot;00D019D1&quot;/&gt;&lt;wsp:rsid wsp:val=&quot;00D04467&quot;/&gt;&lt;wsp:rsid wsp:val=&quot;00D04DA5&quot;/&gt;&lt;wsp:rsid wsp:val=&quot;00D07FFB&quot;/&gt;&lt;wsp:rsid wsp:val=&quot;00D1065B&quot;/&gt;&lt;wsp:rsid wsp:val=&quot;00D12C7B&quot;/&gt;&lt;wsp:rsid wsp:val=&quot;00D137DD&quot;/&gt;&lt;wsp:rsid wsp:val=&quot;00D14489&quot;/&gt;&lt;wsp:rsid wsp:val=&quot;00D14631&quot;/&gt;&lt;wsp:rsid wsp:val=&quot;00D15727&quot;/&gt;&lt;wsp:rsid wsp:val=&quot;00D22CAE&quot;/&gt;&lt;wsp:rsid wsp:val=&quot;00D22EC1&quot;/&gt;&lt;wsp:rsid wsp:val=&quot;00D246F1&quot;/&gt;&lt;wsp:rsid wsp:val=&quot;00D24B76&quot;/&gt;&lt;wsp:rsid wsp:val=&quot;00D27E6C&quot;/&gt;&lt;wsp:rsid wsp:val=&quot;00D27EB6&quot;/&gt;&lt;wsp:rsid wsp:val=&quot;00D3096F&quot;/&gt;&lt;wsp:rsid wsp:val=&quot;00D31EFC&quot;/&gt;&lt;wsp:rsid wsp:val=&quot;00D41FA3&quot;/&gt;&lt;wsp:rsid wsp:val=&quot;00D45BB8&quot;/&gt;&lt;wsp:rsid wsp:val=&quot;00D54538&quot;/&gt;&lt;wsp:rsid wsp:val=&quot;00D565B2&quot;/&gt;&lt;wsp:rsid wsp:val=&quot;00D662BF&quot;/&gt;&lt;wsp:rsid wsp:val=&quot;00D74D84&quot;/&gt;&lt;wsp:rsid wsp:val=&quot;00D752DB&quot;/&gt;&lt;wsp:rsid wsp:val=&quot;00D754AF&quot;/&gt;&lt;wsp:rsid wsp:val=&quot;00D758D9&quot;/&gt;&lt;wsp:rsid wsp:val=&quot;00D759B6&quot;/&gt;&lt;wsp:rsid wsp:val=&quot;00D75C25&quot;/&gt;&lt;wsp:rsid wsp:val=&quot;00D7700B&quot;/&gt;&lt;wsp:rsid wsp:val=&quot;00D77F42&quot;/&gt;&lt;wsp:rsid wsp:val=&quot;00D811B2&quot;/&gt;&lt;wsp:rsid wsp:val=&quot;00D81B61&quot;/&gt;&lt;wsp:rsid wsp:val=&quot;00D84471&quot;/&gt;&lt;wsp:rsid wsp:val=&quot;00D95978&quot;/&gt;&lt;wsp:rsid wsp:val=&quot;00D95F0B&quot;/&gt;&lt;wsp:rsid wsp:val=&quot;00DA037C&quot;/&gt;&lt;wsp:rsid wsp:val=&quot;00DA6E82&quot;/&gt;&lt;wsp:rsid wsp:val=&quot;00DA71BB&quot;/&gt;&lt;wsp:rsid wsp:val=&quot;00DB0AF7&quot;/&gt;&lt;wsp:rsid wsp:val=&quot;00DB1365&quot;/&gt;&lt;wsp:rsid wsp:val=&quot;00DB203A&quot;/&gt;&lt;wsp:rsid wsp:val=&quot;00DB2267&quot;/&gt;&lt;wsp:rsid wsp:val=&quot;00DC4E57&quot;/&gt;&lt;wsp:rsid wsp:val=&quot;00DC580D&quot;/&gt;&lt;wsp:rsid wsp:val=&quot;00DC76D2&quot;/&gt;&lt;wsp:rsid wsp:val=&quot;00DD1167&quot;/&gt;&lt;wsp:rsid wsp:val=&quot;00DD3181&quot;/&gt;&lt;wsp:rsid wsp:val=&quot;00DD3DEB&quot;/&gt;&lt;wsp:rsid wsp:val=&quot;00DD5AD6&quot;/&gt;&lt;wsp:rsid wsp:val=&quot;00DD6CDF&quot;/&gt;&lt;wsp:rsid wsp:val=&quot;00DE1804&quot;/&gt;&lt;wsp:rsid wsp:val=&quot;00DE1EB7&quot;/&gt;&lt;wsp:rsid wsp:val=&quot;00DE2627&quot;/&gt;&lt;wsp:rsid wsp:val=&quot;00DE6805&quot;/&gt;&lt;wsp:rsid wsp:val=&quot;00DF0680&quot;/&gt;&lt;wsp:rsid wsp:val=&quot;00DF0E3E&quot;/&gt;&lt;wsp:rsid wsp:val=&quot;00DF3F8D&quot;/&gt;&lt;wsp:rsid wsp:val=&quot;00DF4640&quot;/&gt;&lt;wsp:rsid wsp:val=&quot;00DF482F&quot;/&gt;&lt;wsp:rsid wsp:val=&quot;00DF6051&quot;/&gt;&lt;wsp:rsid wsp:val=&quot;00DF768D&quot;/&gt;&lt;wsp:rsid wsp:val=&quot;00E000D7&quot;/&gt;&lt;wsp:rsid wsp:val=&quot;00E00765&quot;/&gt;&lt;wsp:rsid wsp:val=&quot;00E0110D&quot;/&gt;&lt;wsp:rsid wsp:val=&quot;00E0273F&quot;/&gt;&lt;wsp:rsid wsp:val=&quot;00E0282A&quot;/&gt;&lt;wsp:rsid wsp:val=&quot;00E05917&quot;/&gt;&lt;wsp:rsid wsp:val=&quot;00E077E4&quot;/&gt;&lt;wsp:rsid wsp:val=&quot;00E07CC5&quot;/&gt;&lt;wsp:rsid wsp:val=&quot;00E10D7E&quot;/&gt;&lt;wsp:rsid wsp:val=&quot;00E111A6&quot;/&gt;&lt;wsp:rsid wsp:val=&quot;00E113B7&quot;/&gt;&lt;wsp:rsid wsp:val=&quot;00E11655&quot;/&gt;&lt;wsp:rsid wsp:val=&quot;00E15098&quot;/&gt;&lt;wsp:rsid wsp:val=&quot;00E15ACF&quot;/&gt;&lt;wsp:rsid wsp:val=&quot;00E15D8A&quot;/&gt;&lt;wsp:rsid wsp:val=&quot;00E207E2&quot;/&gt;&lt;wsp:rsid wsp:val=&quot;00E21BFB&quot;/&gt;&lt;wsp:rsid wsp:val=&quot;00E2216B&quot;/&gt;&lt;wsp:rsid wsp:val=&quot;00E23B4B&quot;/&gt;&lt;wsp:rsid wsp:val=&quot;00E24E76&quot;/&gt;&lt;wsp:rsid wsp:val=&quot;00E25B5B&quot;/&gt;&lt;wsp:rsid wsp:val=&quot;00E271F9&quot;/&gt;&lt;wsp:rsid wsp:val=&quot;00E31BF3&quot;/&gt;&lt;wsp:rsid wsp:val=&quot;00E323B3&quot;/&gt;&lt;wsp:rsid wsp:val=&quot;00E33BCB&quot;/&gt;&lt;wsp:rsid wsp:val=&quot;00E37195&quot;/&gt;&lt;wsp:rsid wsp:val=&quot;00E37876&quot;/&gt;&lt;wsp:rsid wsp:val=&quot;00E40E93&quot;/&gt;&lt;wsp:rsid wsp:val=&quot;00E4141E&quot;/&gt;&lt;wsp:rsid wsp:val=&quot;00E416A5&quot;/&gt;&lt;wsp:rsid wsp:val=&quot;00E42922&quot;/&gt;&lt;wsp:rsid wsp:val=&quot;00E4334F&quot;/&gt;&lt;wsp:rsid wsp:val=&quot;00E434E6&quot;/&gt;&lt;wsp:rsid wsp:val=&quot;00E45C92&quot;/&gt;&lt;wsp:rsid wsp:val=&quot;00E542F7&quot;/&gt;&lt;wsp:rsid wsp:val=&quot;00E5645F&quot;/&gt;&lt;wsp:rsid wsp:val=&quot;00E56D9A&quot;/&gt;&lt;wsp:rsid wsp:val=&quot;00E60152&quot;/&gt;&lt;wsp:rsid wsp:val=&quot;00E60476&quot;/&gt;&lt;wsp:rsid wsp:val=&quot;00E61E0D&quot;/&gt;&lt;wsp:rsid wsp:val=&quot;00E621E1&quot;/&gt;&lt;wsp:rsid wsp:val=&quot;00E6228F&quot;/&gt;&lt;wsp:rsid wsp:val=&quot;00E63B9E&quot;/&gt;&lt;wsp:rsid wsp:val=&quot;00E6743C&quot;/&gt;&lt;wsp:rsid wsp:val=&quot;00E73B5C&quot;/&gt;&lt;wsp:rsid wsp:val=&quot;00E74803&quot;/&gt;&lt;wsp:rsid wsp:val=&quot;00E808BC&quot;/&gt;&lt;wsp:rsid wsp:val=&quot;00E828D8&quot;/&gt;&lt;wsp:rsid wsp:val=&quot;00E83064&quot;/&gt;&lt;wsp:rsid wsp:val=&quot;00E8425A&quot;/&gt;&lt;wsp:rsid wsp:val=&quot;00E84ABB&quot;/&gt;&lt;wsp:rsid wsp:val=&quot;00E91A79&quot;/&gt;&lt;wsp:rsid wsp:val=&quot;00E953A3&quot;/&gt;&lt;wsp:rsid wsp:val=&quot;00E974E4&quot;/&gt;&lt;wsp:rsid wsp:val=&quot;00EA042B&quot;/&gt;&lt;wsp:rsid wsp:val=&quot;00EA21B6&quot;/&gt;&lt;wsp:rsid wsp:val=&quot;00EA3626&quot;/&gt;&lt;wsp:rsid wsp:val=&quot;00EA6187&quot;/&gt;&lt;wsp:rsid wsp:val=&quot;00EB20A0&quot;/&gt;&lt;wsp:rsid wsp:val=&quot;00EB3428&quot;/&gt;&lt;wsp:rsid wsp:val=&quot;00EB53BD&quot;/&gt;&lt;wsp:rsid wsp:val=&quot;00EB62E3&quot;/&gt;&lt;wsp:rsid wsp:val=&quot;00EC1955&quot;/&gt;&lt;wsp:rsid wsp:val=&quot;00EC238C&quot;/&gt;&lt;wsp:rsid wsp:val=&quot;00EC3CC1&quot;/&gt;&lt;wsp:rsid wsp:val=&quot;00EC3E19&quot;/&gt;&lt;wsp:rsid wsp:val=&quot;00EC6E6B&quot;/&gt;&lt;wsp:rsid wsp:val=&quot;00EC732A&quot;/&gt;&lt;wsp:rsid wsp:val=&quot;00EC7F06&quot;/&gt;&lt;wsp:rsid wsp:val=&quot;00ED308C&quot;/&gt;&lt;wsp:rsid wsp:val=&quot;00ED34EA&quot;/&gt;&lt;wsp:rsid wsp:val=&quot;00ED56FC&quot;/&gt;&lt;wsp:rsid wsp:val=&quot;00EE08D1&quot;/&gt;&lt;wsp:rsid wsp:val=&quot;00EE246A&quot;/&gt;&lt;wsp:rsid wsp:val=&quot;00EE36F4&quot;/&gt;&lt;wsp:rsid wsp:val=&quot;00EE5AEC&quot;/&gt;&lt;wsp:rsid wsp:val=&quot;00EE5B8E&quot;/&gt;&lt;wsp:rsid wsp:val=&quot;00EF004B&quot;/&gt;&lt;wsp:rsid wsp:val=&quot;00EF03D8&quot;/&gt;&lt;wsp:rsid wsp:val=&quot;00EF48AE&quot;/&gt;&lt;wsp:rsid wsp:val=&quot;00EF6888&quot;/&gt;&lt;wsp:rsid wsp:val=&quot;00EF75ED&quot;/&gt;&lt;wsp:rsid wsp:val=&quot;00EF7B6D&quot;/&gt;&lt;wsp:rsid wsp:val=&quot;00F0021E&quot;/&gt;&lt;wsp:rsid wsp:val=&quot;00F00647&quot;/&gt;&lt;wsp:rsid wsp:val=&quot;00F05947&quot;/&gt;&lt;wsp:rsid wsp:val=&quot;00F0656A&quot;/&gt;&lt;wsp:rsid wsp:val=&quot;00F07894&quot;/&gt;&lt;wsp:rsid wsp:val=&quot;00F07D8D&quot;/&gt;&lt;wsp:rsid wsp:val=&quot;00F11E8B&quot;/&gt;&lt;wsp:rsid wsp:val=&quot;00F133AD&quot;/&gt;&lt;wsp:rsid wsp:val=&quot;00F148E4&quot;/&gt;&lt;wsp:rsid wsp:val=&quot;00F14C71&quot;/&gt;&lt;wsp:rsid wsp:val=&quot;00F14E27&quot;/&gt;&lt;wsp:rsid wsp:val=&quot;00F157C7&quot;/&gt;&lt;wsp:rsid wsp:val=&quot;00F15CBA&quot;/&gt;&lt;wsp:rsid wsp:val=&quot;00F15D3F&quot;/&gt;&lt;wsp:rsid wsp:val=&quot;00F17595&quot;/&gt;&lt;wsp:rsid wsp:val=&quot;00F235E6&quot;/&gt;&lt;wsp:rsid wsp:val=&quot;00F24B40&quot;/&gt;&lt;wsp:rsid wsp:val=&quot;00F25734&quot;/&gt;&lt;wsp:rsid wsp:val=&quot;00F27D91&quot;/&gt;&lt;wsp:rsid wsp:val=&quot;00F314C2&quot;/&gt;&lt;wsp:rsid wsp:val=&quot;00F32066&quot;/&gt;&lt;wsp:rsid wsp:val=&quot;00F34848&quot;/&gt;&lt;wsp:rsid wsp:val=&quot;00F368FE&quot;/&gt;&lt;wsp:rsid wsp:val=&quot;00F37207&quot;/&gt;&lt;wsp:rsid wsp:val=&quot;00F37B7A&quot;/&gt;&lt;wsp:rsid wsp:val=&quot;00F405DD&quot;/&gt;&lt;wsp:rsid wsp:val=&quot;00F41085&quot;/&gt;&lt;wsp:rsid wsp:val=&quot;00F41F93&quot;/&gt;&lt;wsp:rsid wsp:val=&quot;00F4327F&quot;/&gt;&lt;wsp:rsid wsp:val=&quot;00F4473C&quot;/&gt;&lt;wsp:rsid wsp:val=&quot;00F47E62&quot;/&gt;&lt;wsp:rsid wsp:val=&quot;00F507CE&quot;/&gt;&lt;wsp:rsid wsp:val=&quot;00F519CB&quot;/&gt;&lt;wsp:rsid wsp:val=&quot;00F52714&quot;/&gt;&lt;wsp:rsid wsp:val=&quot;00F55C19&quot;/&gt;&lt;wsp:rsid wsp:val=&quot;00F60FAD&quot;/&gt;&lt;wsp:rsid wsp:val=&quot;00F63047&quot;/&gt;&lt;wsp:rsid wsp:val=&quot;00F65819&quot;/&gt;&lt;wsp:rsid wsp:val=&quot;00F65A84&quot;/&gt;&lt;wsp:rsid wsp:val=&quot;00F66D0E&quot;/&gt;&lt;wsp:rsid wsp:val=&quot;00F72C8A&quot;/&gt;&lt;wsp:rsid wsp:val=&quot;00F75146&quot;/&gt;&lt;wsp:rsid wsp:val=&quot;00F80642&quot;/&gt;&lt;wsp:rsid wsp:val=&quot;00F80D87&quot;/&gt;&lt;wsp:rsid wsp:val=&quot;00F840CB&quot;/&gt;&lt;wsp:rsid wsp:val=&quot;00F91377&quot;/&gt;&lt;wsp:rsid wsp:val=&quot;00F91567&quot;/&gt;&lt;wsp:rsid wsp:val=&quot;00F93AB5&quot;/&gt;&lt;wsp:rsid wsp:val=&quot;00F94085&quot;/&gt;&lt;wsp:rsid wsp:val=&quot;00F94CC1&quot;/&gt;&lt;wsp:rsid wsp:val=&quot;00FA1A7F&quot;/&gt;&lt;wsp:rsid wsp:val=&quot;00FA23E1&quot;/&gt;&lt;wsp:rsid wsp:val=&quot;00FA2A9E&quot;/&gt;&lt;wsp:rsid wsp:val=&quot;00FA5312&quot;/&gt;&lt;wsp:rsid wsp:val=&quot;00FA6A93&quot;/&gt;&lt;wsp:rsid wsp:val=&quot;00FA6BB1&quot;/&gt;&lt;wsp:rsid wsp:val=&quot;00FB1342&quot;/&gt;&lt;wsp:rsid wsp:val=&quot;00FB2022&quot;/&gt;&lt;wsp:rsid wsp:val=&quot;00FB3C73&quot;/&gt;&lt;wsp:rsid wsp:val=&quot;00FB6166&quot;/&gt;&lt;wsp:rsid wsp:val=&quot;00FC1B32&quot;/&gt;&lt;wsp:rsid wsp:val=&quot;00FC6062&quot;/&gt;&lt;wsp:rsid wsp:val=&quot;00FC6BCB&quot;/&gt;&lt;wsp:rsid wsp:val=&quot;00FC7014&quot;/&gt;&lt;wsp:rsid wsp:val=&quot;00FC72DA&quot;/&gt;&lt;wsp:rsid wsp:val=&quot;00FD0A75&quot;/&gt;&lt;wsp:rsid wsp:val=&quot;00FD140B&quot;/&gt;&lt;wsp:rsid wsp:val=&quot;00FD154B&quot;/&gt;&lt;wsp:rsid wsp:val=&quot;00FD1EFD&quot;/&gt;&lt;wsp:rsid wsp:val=&quot;00FD36E3&quot;/&gt;&lt;wsp:rsid wsp:val=&quot;00FD49A4&quot;/&gt;&lt;wsp:rsid wsp:val=&quot;00FE04A7&quot;/&gt;&lt;wsp:rsid wsp:val=&quot;00FE1382&quot;/&gt;&lt;wsp:rsid wsp:val=&quot;00FE1E07&quot;/&gt;&lt;wsp:rsid wsp:val=&quot;00FE4F55&quot;/&gt;&lt;wsp:rsid wsp:val=&quot;00FE53BB&quot;/&gt;&lt;wsp:rsid wsp:val=&quot;00FE5C42&quot;/&gt;&lt;wsp:rsid wsp:val=&quot;00FF0079&quot;/&gt;&lt;wsp:rsid wsp:val=&quot;00FF0920&quot;/&gt;&lt;wsp:rsid wsp:val=&quot;00FF3C29&quot;/&gt;&lt;wsp:rsid wsp:val=&quot;00FF3EAE&quot;/&gt;&lt;wsp:rsid wsp:val=&quot;00FF3F0C&quot;/&gt;&lt;wsp:rsid wsp:val=&quot;00FF531E&quot;/&gt;&lt;wsp:rsid wsp:val=&quot;00FF6527&quot;/&gt;&lt;wsp:rsid wsp:val=&quot;00FF7F65&quot;/&gt;&lt;/wsp:rsids&gt;&lt;/w:docPr&gt;&lt;w:body&gt;&lt;wx:sect&gt;&lt;w:p wsp:rsidR=&quot;00000000&quot; wsp:rsidRDefault=&quot;00720C76&quot; wsp:rsidP=&quot;00720C76&quot;&gt;&lt;m:oMathPara&gt;&lt;m:oMath&gt;&lt;m:r&gt;&lt;aml:annotation aml:id=&quot;0&quot; w:type=&quot;Word.Insertion&quot; aml:author=&quot;Varga Vivien&quot; aml:createdate=&quot;2018-08-15T13:11:00Z&quot;&gt;&lt;aml:content&gt;&lt;w:rPr&gt;&lt;w:rFonts w:ascii=&quot;Cambria Math&quot; w:h-ansi=&quot;Cambria Math&quot;/&gt;&lt;wx:font wx:val=&quot;Cambria Math&quot;/&gt;&lt;w:i/&gt;&lt;/w:rPr&gt;&lt;m:t&gt;1-&lt;/m:t&gt;&lt;/aml:content&gt;&lt;/aml:annotation&gt;&lt;/m:r&gt;&lt;m:f&gt;&lt;m:fPr&gt;&lt;m:ctrlPr&gt;&lt;aml:annotation aml:id=&quot;1&quot; w:type=&quot;Word.Insertion&quot; aml:author=&quot;Varga Vivien&quot; aml:createdate=&quot;2018-08-15T13:11:00Z&quot;&gt;&lt;aml:content&gt;&lt;w:rPr&gt;&lt;w:rFonts w:ascii=&quot;Cambria Math&quot; w:fareast=&quot;Calibri&quot; w:h-ansi=&quot;Cambria Math&quot; w:cs=&quot;Times New Roman&quot;/&gt;&lt;wx:font wx:val=&quot;Cambria Math&quot;/&gt;&lt;w:i/&gt;&lt;w:snapToGrid/&gt;&lt;w:sz w:val=&quot;20&quot;/&gt;&lt;w:lang w:val=&quot;HU&quot;/&gt;&lt;/w:rPr&gt;&lt;/aml:content&gt;&lt;/aml:annotation&gt;&lt;/m:ctrlPr&gt;&lt;/m:fPr&gt;&lt;m:num&gt;&lt;m:r&gt;&lt;aml:annotation aml:id=&quot;2&quot; w:type=&quot;Word.Insertion&quot; aml:author=&quot;Varga Vivien&quot; aml:createdate=&quot;2018-08-15T13:11:00Z&quot;&gt;&lt;aml:content&gt;&lt;w:rPr&gt;&lt;w:rFonts w:ascii=&quot;Cambria Math&quot; w:h-ansi=&quot;Cambria Math&quot;/&gt;&lt;wx:font wx:val=&quot;Cambria Math&quot;/&gt;&lt;w:i/&gt;&lt;/w:rPr&gt;&lt;m:t&gt;KĂĽlsĹ‘ piacokon fedezett spot forgalma&lt;/m:t&gt;&lt;/aml:content&gt;&lt;/aml:annotation&gt;&lt;/m:r&gt;&lt;/m:num&gt;&lt;m:den&gt;&lt;m:r&gt;&lt;aml:annotation aml:id=&quot;3&quot; w:type=&quot;Word.Insertion&quot; aml:author=&quot;Varga Vivien&quot; aml:createdate=&quot;2018-08-15T13:11:00Z&quot;&gt;&lt;aml:content&gt;&lt;w:rPr&gt;&lt;w:rFonts w:ascii=&quot;Cambria Math&quot; w:h-ansi=&quot;Cambria Math&quot;/&gt;&lt;wx:font wx:val=&quot;Cambria Math&quot;/&gt;&lt;w:i/&gt;&lt;/w:rPr&gt;&lt;m:t&gt;Ă–sszes ĂĽgyfĂ©l spot forgalma&lt;/m:t&gt;&lt;/aml:content&gt;&lt;/aml:annotation&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x:sect&gt;&lt;/w:body&gt;&lt;/w:wordDocument&gt;">
                  <v:imagedata r:id="rId17" o:title="" chromakey="white"/>
                </v:shape>
              </w:pict>
            </w:r>
            <w:r w:rsidRPr="00884FEE">
              <w:rPr>
                <w:sz w:val="20"/>
                <w:lang w:val="hu-HU"/>
              </w:rPr>
              <w:fldChar w:fldCharType="end"/>
            </w:r>
            <w:r w:rsidRPr="00884FEE">
              <w:rPr>
                <w:sz w:val="20"/>
                <w:lang w:val="hu-HU"/>
              </w:rPr>
              <w:t xml:space="preserve"> ) * 100</w:t>
            </w:r>
          </w:p>
          <w:p w:rsidR="00194F8D" w:rsidRDefault="00194F8D" w:rsidP="00194F8D">
            <w:pPr>
              <w:spacing w:line="276" w:lineRule="auto"/>
              <w:jc w:val="both"/>
              <w:rPr>
                <w:rFonts w:cs="Arial"/>
                <w:color w:val="222222"/>
                <w:sz w:val="20"/>
                <w:lang w:val="hu-HU"/>
              </w:rPr>
            </w:pPr>
            <w:r w:rsidRPr="007059E5">
              <w:rPr>
                <w:rFonts w:cs="Arial"/>
                <w:color w:val="222222"/>
                <w:sz w:val="20"/>
                <w:lang w:val="hu-HU"/>
              </w:rPr>
              <w:t>Ahol:</w:t>
            </w:r>
            <w:r w:rsidRPr="007059E5">
              <w:rPr>
                <w:rFonts w:cs="Arial"/>
                <w:color w:val="222222"/>
                <w:sz w:val="20"/>
                <w:lang w:val="hu-HU"/>
              </w:rPr>
              <w:br/>
            </w:r>
            <w:r w:rsidRPr="007059E5">
              <w:rPr>
                <w:rFonts w:cs="Arial"/>
                <w:color w:val="222222"/>
                <w:sz w:val="20"/>
                <w:lang w:val="hu-HU"/>
              </w:rPr>
              <w:sym w:font="Symbol" w:char="F0B7"/>
            </w:r>
            <w:r w:rsidRPr="007059E5">
              <w:rPr>
                <w:rFonts w:cs="Arial"/>
                <w:color w:val="222222"/>
                <w:sz w:val="20"/>
                <w:lang w:val="hu-HU"/>
              </w:rPr>
              <w:t xml:space="preserve"> </w:t>
            </w:r>
            <w:r w:rsidRPr="007059E5">
              <w:rPr>
                <w:rFonts w:cs="Arial"/>
                <w:b/>
                <w:color w:val="222222"/>
                <w:sz w:val="20"/>
                <w:u w:val="single"/>
                <w:lang w:val="hu-HU"/>
              </w:rPr>
              <w:t>A külső piacon fedezett spot forgalom</w:t>
            </w:r>
            <w:r w:rsidRPr="007059E5">
              <w:rPr>
                <w:rFonts w:cs="Arial"/>
                <w:color w:val="222222"/>
                <w:sz w:val="20"/>
                <w:lang w:val="hu-HU"/>
              </w:rPr>
              <w:t xml:space="preserve">: passzív vagy agresszív kereskedelem anonim </w:t>
            </w:r>
            <w:r>
              <w:rPr>
                <w:rFonts w:cs="Arial"/>
                <w:color w:val="222222"/>
                <w:sz w:val="20"/>
                <w:lang w:val="hu-HU"/>
              </w:rPr>
              <w:t>ajánlati könyv</w:t>
            </w:r>
            <w:r w:rsidRPr="007059E5">
              <w:rPr>
                <w:rFonts w:cs="Arial"/>
                <w:color w:val="222222"/>
                <w:sz w:val="20"/>
                <w:lang w:val="hu-HU"/>
              </w:rPr>
              <w:t xml:space="preserve"> vagy más, kifejezetten a belső vagy külső kockázatok</w:t>
            </w:r>
            <w:r>
              <w:rPr>
                <w:rFonts w:cs="Arial"/>
                <w:color w:val="222222"/>
                <w:sz w:val="20"/>
                <w:lang w:val="hu-HU"/>
              </w:rPr>
              <w:t>at</w:t>
            </w:r>
            <w:r w:rsidRPr="007059E5">
              <w:rPr>
                <w:rFonts w:cs="Arial"/>
                <w:color w:val="222222"/>
                <w:sz w:val="20"/>
                <w:lang w:val="hu-HU"/>
              </w:rPr>
              <w:t xml:space="preserve"> fedez</w:t>
            </w:r>
            <w:r>
              <w:rPr>
                <w:rFonts w:cs="Arial"/>
                <w:color w:val="222222"/>
                <w:sz w:val="20"/>
                <w:lang w:val="hu-HU"/>
              </w:rPr>
              <w:t>ő</w:t>
            </w:r>
            <w:r w:rsidRPr="007059E5">
              <w:rPr>
                <w:rFonts w:cs="Arial"/>
                <w:color w:val="222222"/>
                <w:sz w:val="20"/>
                <w:lang w:val="hu-HU"/>
              </w:rPr>
              <w:t xml:space="preserve"> ügyfelek</w:t>
            </w:r>
            <w:r>
              <w:rPr>
                <w:rFonts w:cs="Arial"/>
                <w:color w:val="222222"/>
                <w:sz w:val="20"/>
                <w:lang w:val="hu-HU"/>
              </w:rPr>
              <w:t>kel</w:t>
            </w:r>
            <w:r w:rsidRPr="007059E5">
              <w:rPr>
                <w:rFonts w:cs="Arial"/>
                <w:color w:val="222222"/>
                <w:sz w:val="20"/>
                <w:lang w:val="hu-HU"/>
              </w:rPr>
              <w:t xml:space="preserve">. </w:t>
            </w:r>
          </w:p>
          <w:p w:rsidR="00194F8D" w:rsidRDefault="00194F8D" w:rsidP="00194F8D">
            <w:pPr>
              <w:spacing w:line="276" w:lineRule="auto"/>
              <w:ind w:left="227"/>
              <w:jc w:val="both"/>
              <w:rPr>
                <w:rFonts w:cs="Arial"/>
                <w:color w:val="222222"/>
                <w:sz w:val="20"/>
                <w:lang w:val="hu-HU"/>
              </w:rPr>
            </w:pPr>
            <w:r w:rsidRPr="007059E5">
              <w:rPr>
                <w:rFonts w:cs="Arial"/>
                <w:color w:val="222222"/>
                <w:sz w:val="20"/>
                <w:lang w:val="hu-HU"/>
              </w:rPr>
              <w:t>Ebbe beletartozik:</w:t>
            </w:r>
          </w:p>
          <w:p w:rsidR="00194F8D" w:rsidRDefault="00194F8D" w:rsidP="00194F8D">
            <w:pPr>
              <w:numPr>
                <w:ilvl w:val="0"/>
                <w:numId w:val="14"/>
              </w:numPr>
              <w:spacing w:line="276" w:lineRule="auto"/>
              <w:jc w:val="both"/>
              <w:rPr>
                <w:rFonts w:cs="Arial"/>
                <w:color w:val="222222"/>
                <w:sz w:val="20"/>
                <w:lang w:val="hu-HU"/>
              </w:rPr>
            </w:pPr>
            <w:proofErr w:type="spellStart"/>
            <w:r w:rsidRPr="007059E5">
              <w:rPr>
                <w:rFonts w:cs="Arial"/>
                <w:color w:val="222222"/>
                <w:sz w:val="20"/>
                <w:lang w:val="hu-HU"/>
              </w:rPr>
              <w:t>EBS</w:t>
            </w:r>
            <w:proofErr w:type="spellEnd"/>
            <w:r w:rsidRPr="007059E5">
              <w:rPr>
                <w:rFonts w:cs="Arial"/>
                <w:color w:val="222222"/>
                <w:sz w:val="20"/>
                <w:lang w:val="hu-HU"/>
              </w:rPr>
              <w:t xml:space="preserve"> Market, Reuters Matching vagy </w:t>
            </w:r>
            <w:proofErr w:type="spellStart"/>
            <w:r w:rsidRPr="007059E5">
              <w:rPr>
                <w:rFonts w:cs="Arial"/>
                <w:color w:val="222222"/>
                <w:sz w:val="20"/>
                <w:lang w:val="hu-HU"/>
              </w:rPr>
              <w:t>Hotspot</w:t>
            </w:r>
            <w:proofErr w:type="spellEnd"/>
            <w:r w:rsidRPr="007059E5">
              <w:rPr>
                <w:rFonts w:cs="Arial"/>
                <w:color w:val="222222"/>
                <w:sz w:val="20"/>
                <w:lang w:val="hu-HU"/>
              </w:rPr>
              <w:t xml:space="preserve"> </w:t>
            </w:r>
            <w:proofErr w:type="spellStart"/>
            <w:r>
              <w:rPr>
                <w:rFonts w:cs="Arial"/>
                <w:color w:val="222222"/>
                <w:sz w:val="20"/>
                <w:lang w:val="hu-HU"/>
              </w:rPr>
              <w:t>Order</w:t>
            </w:r>
            <w:proofErr w:type="spellEnd"/>
            <w:r>
              <w:rPr>
                <w:rFonts w:cs="Arial"/>
                <w:color w:val="222222"/>
                <w:sz w:val="20"/>
                <w:lang w:val="hu-HU"/>
              </w:rPr>
              <w:t xml:space="preserve"> </w:t>
            </w:r>
            <w:proofErr w:type="spellStart"/>
            <w:r>
              <w:rPr>
                <w:rFonts w:cs="Arial"/>
                <w:color w:val="222222"/>
                <w:sz w:val="20"/>
                <w:lang w:val="hu-HU"/>
              </w:rPr>
              <w:t>Book</w:t>
            </w:r>
            <w:proofErr w:type="spellEnd"/>
            <w:r w:rsidRPr="007059E5">
              <w:rPr>
                <w:rFonts w:cs="Arial"/>
                <w:color w:val="222222"/>
                <w:sz w:val="20"/>
                <w:lang w:val="hu-HU"/>
              </w:rPr>
              <w:t>;</w:t>
            </w:r>
          </w:p>
          <w:p w:rsidR="00194F8D" w:rsidRPr="00E42FDD" w:rsidRDefault="00194F8D" w:rsidP="00194F8D">
            <w:pPr>
              <w:numPr>
                <w:ilvl w:val="0"/>
                <w:numId w:val="14"/>
              </w:numPr>
              <w:spacing w:line="276" w:lineRule="auto"/>
              <w:jc w:val="both"/>
              <w:rPr>
                <w:rFonts w:cs="Arial"/>
                <w:color w:val="222222"/>
                <w:sz w:val="20"/>
                <w:lang w:val="hu-HU"/>
              </w:rPr>
            </w:pPr>
            <w:r w:rsidRPr="007059E5">
              <w:rPr>
                <w:rFonts w:cs="Arial"/>
                <w:color w:val="222222"/>
                <w:sz w:val="20"/>
                <w:lang w:val="hu-HU"/>
              </w:rPr>
              <w:t>Mid-</w:t>
            </w:r>
            <w:proofErr w:type="spellStart"/>
            <w:r w:rsidRPr="00E42FDD">
              <w:rPr>
                <w:rFonts w:cs="Arial"/>
                <w:color w:val="222222"/>
                <w:sz w:val="20"/>
                <w:lang w:val="hu-HU"/>
              </w:rPr>
              <w:t>venues</w:t>
            </w:r>
            <w:proofErr w:type="spellEnd"/>
            <w:r w:rsidRPr="007059E5">
              <w:rPr>
                <w:rFonts w:cs="Arial"/>
                <w:color w:val="222222"/>
                <w:sz w:val="20"/>
                <w:lang w:val="hu-HU"/>
              </w:rPr>
              <w:t xml:space="preserve"> / </w:t>
            </w:r>
            <w:proofErr w:type="spellStart"/>
            <w:r w:rsidRPr="00E42FDD">
              <w:rPr>
                <w:rFonts w:cs="Arial"/>
                <w:color w:val="222222"/>
                <w:sz w:val="20"/>
                <w:lang w:val="hu-HU"/>
              </w:rPr>
              <w:t>dark</w:t>
            </w:r>
            <w:proofErr w:type="spellEnd"/>
            <w:r w:rsidRPr="00E42FDD">
              <w:rPr>
                <w:rFonts w:cs="Arial"/>
                <w:color w:val="222222"/>
                <w:sz w:val="20"/>
                <w:lang w:val="hu-HU"/>
              </w:rPr>
              <w:t xml:space="preserve"> </w:t>
            </w:r>
            <w:proofErr w:type="spellStart"/>
            <w:r w:rsidRPr="00E42FDD">
              <w:rPr>
                <w:rFonts w:cs="Arial"/>
                <w:color w:val="222222"/>
                <w:sz w:val="20"/>
                <w:lang w:val="hu-HU"/>
              </w:rPr>
              <w:t>pools</w:t>
            </w:r>
            <w:proofErr w:type="spellEnd"/>
            <w:r w:rsidRPr="007059E5">
              <w:rPr>
                <w:rFonts w:cs="Arial"/>
                <w:color w:val="222222"/>
                <w:sz w:val="20"/>
                <w:lang w:val="hu-HU"/>
              </w:rPr>
              <w:t xml:space="preserve">, mint a </w:t>
            </w:r>
            <w:proofErr w:type="spellStart"/>
            <w:r w:rsidRPr="007059E5">
              <w:rPr>
                <w:rFonts w:cs="Arial"/>
                <w:color w:val="222222"/>
                <w:sz w:val="20"/>
                <w:lang w:val="hu-HU"/>
              </w:rPr>
              <w:t>BGC</w:t>
            </w:r>
            <w:proofErr w:type="spellEnd"/>
            <w:r w:rsidRPr="007059E5">
              <w:rPr>
                <w:rFonts w:cs="Arial"/>
                <w:color w:val="222222"/>
                <w:sz w:val="20"/>
                <w:lang w:val="hu-HU"/>
              </w:rPr>
              <w:t xml:space="preserve"> mid;</w:t>
            </w:r>
          </w:p>
          <w:p w:rsidR="00194F8D" w:rsidRDefault="00194F8D" w:rsidP="00194F8D">
            <w:pPr>
              <w:numPr>
                <w:ilvl w:val="0"/>
                <w:numId w:val="14"/>
              </w:numPr>
              <w:spacing w:line="276" w:lineRule="auto"/>
              <w:jc w:val="both"/>
              <w:rPr>
                <w:rFonts w:cs="Arial"/>
                <w:color w:val="222222"/>
                <w:sz w:val="20"/>
                <w:lang w:val="hu-HU"/>
              </w:rPr>
            </w:pPr>
            <w:r w:rsidRPr="007059E5">
              <w:rPr>
                <w:rFonts w:cs="Arial"/>
                <w:color w:val="222222"/>
                <w:sz w:val="20"/>
                <w:lang w:val="hu-HU"/>
              </w:rPr>
              <w:t>Agresszív kereskedelem a helyszínen, amely lehetővé teszi a</w:t>
            </w:r>
            <w:r>
              <w:rPr>
                <w:rFonts w:cs="Arial"/>
                <w:color w:val="222222"/>
                <w:sz w:val="20"/>
                <w:lang w:val="hu-HU"/>
              </w:rPr>
              <w:t xml:space="preserve"> </w:t>
            </w:r>
            <w:r w:rsidRPr="007059E5">
              <w:rPr>
                <w:rFonts w:cs="Arial"/>
                <w:color w:val="222222"/>
                <w:sz w:val="20"/>
                <w:lang w:val="hu-HU"/>
              </w:rPr>
              <w:t xml:space="preserve">likviditás felosztását anonim módon, mint a </w:t>
            </w:r>
            <w:proofErr w:type="spellStart"/>
            <w:r w:rsidRPr="007059E5">
              <w:rPr>
                <w:rFonts w:cs="Arial"/>
                <w:color w:val="222222"/>
                <w:sz w:val="20"/>
                <w:lang w:val="hu-HU"/>
              </w:rPr>
              <w:t>Currenex</w:t>
            </w:r>
            <w:proofErr w:type="spellEnd"/>
            <w:r w:rsidRPr="007059E5">
              <w:rPr>
                <w:rFonts w:cs="Arial"/>
                <w:color w:val="222222"/>
                <w:sz w:val="20"/>
                <w:lang w:val="hu-HU"/>
              </w:rPr>
              <w:t xml:space="preserve"> vagy a </w:t>
            </w:r>
            <w:proofErr w:type="spellStart"/>
            <w:r w:rsidRPr="007059E5">
              <w:rPr>
                <w:rFonts w:cs="Arial"/>
                <w:color w:val="222222"/>
                <w:sz w:val="20"/>
                <w:lang w:val="hu-HU"/>
              </w:rPr>
              <w:t>Fastmatch</w:t>
            </w:r>
            <w:proofErr w:type="spellEnd"/>
            <w:r w:rsidRPr="007059E5">
              <w:rPr>
                <w:rFonts w:cs="Arial"/>
                <w:color w:val="222222"/>
                <w:sz w:val="20"/>
                <w:lang w:val="hu-HU"/>
              </w:rPr>
              <w:t>;</w:t>
            </w:r>
          </w:p>
          <w:p w:rsidR="00194F8D" w:rsidRDefault="00194F8D" w:rsidP="00194F8D">
            <w:pPr>
              <w:numPr>
                <w:ilvl w:val="0"/>
                <w:numId w:val="14"/>
              </w:numPr>
              <w:spacing w:line="276" w:lineRule="auto"/>
              <w:jc w:val="both"/>
              <w:rPr>
                <w:rFonts w:cs="Arial"/>
                <w:color w:val="222222"/>
                <w:sz w:val="20"/>
                <w:lang w:val="hu-HU"/>
              </w:rPr>
            </w:pPr>
            <w:r w:rsidRPr="007059E5">
              <w:rPr>
                <w:rFonts w:cs="Arial"/>
                <w:color w:val="222222"/>
                <w:sz w:val="20"/>
                <w:lang w:val="hu-HU"/>
              </w:rPr>
              <w:t xml:space="preserve"> Ügyfél spot forgalmának fedezése határidős ügyletekkel a CME-n;</w:t>
            </w:r>
          </w:p>
          <w:p w:rsidR="00194F8D" w:rsidRDefault="00194F8D" w:rsidP="00194F8D">
            <w:pPr>
              <w:numPr>
                <w:ilvl w:val="0"/>
                <w:numId w:val="14"/>
              </w:numPr>
              <w:spacing w:line="276" w:lineRule="auto"/>
              <w:jc w:val="both"/>
              <w:rPr>
                <w:rFonts w:cs="Arial"/>
                <w:color w:val="222222"/>
                <w:sz w:val="20"/>
                <w:lang w:val="hu-HU"/>
              </w:rPr>
            </w:pPr>
            <w:r>
              <w:rPr>
                <w:rFonts w:cs="Arial"/>
                <w:color w:val="222222"/>
                <w:sz w:val="20"/>
                <w:lang w:val="hu-HU"/>
              </w:rPr>
              <w:t>A fő</w:t>
            </w:r>
            <w:r w:rsidRPr="007059E5">
              <w:rPr>
                <w:rFonts w:cs="Arial"/>
                <w:color w:val="222222"/>
                <w:sz w:val="20"/>
                <w:lang w:val="hu-HU"/>
              </w:rPr>
              <w:t xml:space="preserve"> e-kereskedési pult kereskedelme, amely egy másik bank </w:t>
            </w:r>
            <w:proofErr w:type="spellStart"/>
            <w:r w:rsidRPr="007059E5">
              <w:rPr>
                <w:rFonts w:cs="Arial"/>
                <w:color w:val="222222"/>
                <w:sz w:val="20"/>
                <w:lang w:val="hu-HU"/>
              </w:rPr>
              <w:t>árelfogadója</w:t>
            </w:r>
            <w:proofErr w:type="spellEnd"/>
            <w:r w:rsidRPr="007059E5">
              <w:rPr>
                <w:rFonts w:cs="Arial"/>
                <w:color w:val="222222"/>
                <w:sz w:val="20"/>
                <w:lang w:val="hu-HU"/>
              </w:rPr>
              <w:t xml:space="preserve"> (p</w:t>
            </w:r>
            <w:r>
              <w:rPr>
                <w:rFonts w:cs="Arial"/>
                <w:color w:val="222222"/>
                <w:sz w:val="20"/>
                <w:lang w:val="hu-HU"/>
              </w:rPr>
              <w:t xml:space="preserve">éldául </w:t>
            </w:r>
            <w:r w:rsidRPr="007059E5">
              <w:rPr>
                <w:rFonts w:cs="Arial"/>
                <w:color w:val="222222"/>
                <w:sz w:val="20"/>
                <w:lang w:val="hu-HU"/>
              </w:rPr>
              <w:t xml:space="preserve">egy bank e-kereskedési pultjának forgalma, amely egy másik bank likviditását </w:t>
            </w:r>
            <w:proofErr w:type="spellStart"/>
            <w:r w:rsidRPr="007059E5">
              <w:rPr>
                <w:rFonts w:cs="Arial"/>
                <w:color w:val="222222"/>
                <w:sz w:val="20"/>
                <w:lang w:val="hu-HU"/>
              </w:rPr>
              <w:t>újraelosztja</w:t>
            </w:r>
            <w:proofErr w:type="spellEnd"/>
            <w:r>
              <w:rPr>
                <w:rFonts w:cs="Arial"/>
                <w:color w:val="222222"/>
                <w:sz w:val="20"/>
                <w:lang w:val="hu-HU"/>
              </w:rPr>
              <w:t xml:space="preserve"> </w:t>
            </w:r>
            <w:r w:rsidRPr="007059E5">
              <w:rPr>
                <w:rFonts w:cs="Arial"/>
                <w:color w:val="222222"/>
                <w:sz w:val="20"/>
                <w:lang w:val="hu-HU"/>
              </w:rPr>
              <w:t>vagy piaci szereplő</w:t>
            </w:r>
            <w:r>
              <w:rPr>
                <w:rFonts w:cs="Arial"/>
                <w:color w:val="222222"/>
                <w:sz w:val="20"/>
                <w:lang w:val="hu-HU"/>
              </w:rPr>
              <w:t xml:space="preserve"> (market </w:t>
            </w:r>
            <w:proofErr w:type="spellStart"/>
            <w:r>
              <w:rPr>
                <w:rFonts w:cs="Arial"/>
                <w:color w:val="222222"/>
                <w:sz w:val="20"/>
                <w:lang w:val="hu-HU"/>
              </w:rPr>
              <w:t>maker</w:t>
            </w:r>
            <w:proofErr w:type="spellEnd"/>
            <w:r>
              <w:rPr>
                <w:rFonts w:cs="Arial"/>
                <w:color w:val="222222"/>
                <w:sz w:val="20"/>
                <w:lang w:val="hu-HU"/>
              </w:rPr>
              <w:t>)</w:t>
            </w:r>
            <w:r w:rsidRPr="007059E5">
              <w:rPr>
                <w:rFonts w:cs="Arial"/>
                <w:color w:val="222222"/>
                <w:sz w:val="20"/>
                <w:lang w:val="hu-HU"/>
              </w:rPr>
              <w:t xml:space="preserve">, miközben minimalizálja a fő </w:t>
            </w:r>
            <w:r>
              <w:rPr>
                <w:rFonts w:cs="Arial"/>
                <w:color w:val="222222"/>
                <w:sz w:val="20"/>
                <w:lang w:val="hu-HU"/>
              </w:rPr>
              <w:t>k</w:t>
            </w:r>
            <w:r w:rsidRPr="007059E5">
              <w:rPr>
                <w:rFonts w:cs="Arial"/>
                <w:color w:val="222222"/>
                <w:sz w:val="20"/>
                <w:lang w:val="hu-HU"/>
              </w:rPr>
              <w:t>ockázatot); vagy</w:t>
            </w:r>
          </w:p>
          <w:p w:rsidR="00194F8D" w:rsidRDefault="00194F8D" w:rsidP="00194F8D">
            <w:pPr>
              <w:numPr>
                <w:ilvl w:val="0"/>
                <w:numId w:val="14"/>
              </w:numPr>
              <w:spacing w:line="276" w:lineRule="auto"/>
              <w:jc w:val="both"/>
              <w:rPr>
                <w:rFonts w:cs="Arial"/>
                <w:color w:val="222222"/>
                <w:sz w:val="20"/>
                <w:lang w:val="hu-HU"/>
              </w:rPr>
            </w:pPr>
            <w:r>
              <w:rPr>
                <w:rFonts w:cs="Arial"/>
                <w:color w:val="222222"/>
                <w:sz w:val="20"/>
                <w:lang w:val="hu-HU"/>
              </w:rPr>
              <w:t>U</w:t>
            </w:r>
            <w:r w:rsidRPr="007059E5">
              <w:rPr>
                <w:rFonts w:cs="Arial"/>
                <w:color w:val="222222"/>
                <w:sz w:val="20"/>
                <w:lang w:val="hu-HU"/>
              </w:rPr>
              <w:t>gyanazon bank fő kereskedelmi pultja (p</w:t>
            </w:r>
            <w:r>
              <w:rPr>
                <w:rFonts w:cs="Arial"/>
                <w:color w:val="222222"/>
                <w:sz w:val="20"/>
                <w:lang w:val="hu-HU"/>
              </w:rPr>
              <w:t xml:space="preserve">éldául nagy vevői igények átadása a </w:t>
            </w:r>
            <w:proofErr w:type="spellStart"/>
            <w:r>
              <w:rPr>
                <w:rFonts w:cs="Arial"/>
                <w:color w:val="222222"/>
                <w:sz w:val="20"/>
                <w:lang w:val="hu-HU"/>
              </w:rPr>
              <w:t>voice</w:t>
            </w:r>
            <w:proofErr w:type="spellEnd"/>
            <w:r>
              <w:rPr>
                <w:rFonts w:cs="Arial"/>
                <w:color w:val="222222"/>
                <w:sz w:val="20"/>
                <w:lang w:val="hu-HU"/>
              </w:rPr>
              <w:t xml:space="preserve"> </w:t>
            </w:r>
            <w:proofErr w:type="spellStart"/>
            <w:r>
              <w:rPr>
                <w:rFonts w:cs="Arial"/>
                <w:color w:val="222222"/>
                <w:sz w:val="20"/>
                <w:lang w:val="hu-HU"/>
              </w:rPr>
              <w:t>trading</w:t>
            </w:r>
            <w:proofErr w:type="spellEnd"/>
            <w:r>
              <w:rPr>
                <w:rFonts w:cs="Arial"/>
                <w:color w:val="222222"/>
                <w:sz w:val="20"/>
                <w:lang w:val="hu-HU"/>
              </w:rPr>
              <w:t xml:space="preserve"> </w:t>
            </w:r>
            <w:proofErr w:type="spellStart"/>
            <w:r>
              <w:rPr>
                <w:rFonts w:cs="Arial"/>
                <w:color w:val="222222"/>
                <w:sz w:val="20"/>
                <w:lang w:val="hu-HU"/>
              </w:rPr>
              <w:t>desk-nek</w:t>
            </w:r>
            <w:proofErr w:type="spellEnd"/>
            <w:r w:rsidRPr="007059E5">
              <w:rPr>
                <w:rFonts w:cs="Arial"/>
                <w:color w:val="222222"/>
                <w:sz w:val="20"/>
                <w:lang w:val="hu-HU"/>
              </w:rPr>
              <w:t>).</w:t>
            </w:r>
          </w:p>
          <w:p w:rsidR="00194F8D" w:rsidRDefault="00194F8D" w:rsidP="00194F8D">
            <w:pPr>
              <w:spacing w:line="276" w:lineRule="auto"/>
              <w:jc w:val="both"/>
              <w:rPr>
                <w:rFonts w:cs="Arial"/>
                <w:color w:val="222222"/>
                <w:sz w:val="20"/>
                <w:lang w:val="hu-HU"/>
              </w:rPr>
            </w:pPr>
            <w:r w:rsidRPr="00C111C4">
              <w:rPr>
                <w:rFonts w:cs="Arial"/>
                <w:color w:val="222222"/>
                <w:sz w:val="20"/>
                <w:lang w:val="hu-HU"/>
              </w:rPr>
              <w:sym w:font="Symbol" w:char="F0B7"/>
            </w:r>
            <w:r w:rsidRPr="00C111C4">
              <w:rPr>
                <w:rFonts w:cs="Arial"/>
                <w:color w:val="222222"/>
                <w:sz w:val="20"/>
                <w:lang w:val="hu-HU"/>
              </w:rPr>
              <w:t xml:space="preserve"> </w:t>
            </w:r>
            <w:r w:rsidRPr="00C111C4">
              <w:rPr>
                <w:rFonts w:cs="Arial"/>
                <w:b/>
                <w:color w:val="222222"/>
                <w:sz w:val="20"/>
                <w:u w:val="single"/>
                <w:lang w:val="hu-HU"/>
              </w:rPr>
              <w:t>Összes ügyfél spot forgalma</w:t>
            </w:r>
            <w:r>
              <w:rPr>
                <w:rStyle w:val="FootnoteReference"/>
                <w:b/>
                <w:color w:val="222222"/>
                <w:sz w:val="20"/>
                <w:u w:val="single"/>
                <w:lang w:val="hu-HU"/>
              </w:rPr>
              <w:footnoteReference w:id="13"/>
            </w:r>
            <w:r w:rsidRPr="00C111C4">
              <w:rPr>
                <w:rFonts w:cs="Arial"/>
                <w:b/>
                <w:color w:val="222222"/>
                <w:sz w:val="20"/>
                <w:u w:val="single"/>
                <w:lang w:val="hu-HU"/>
              </w:rPr>
              <w:t>:</w:t>
            </w:r>
            <w:r w:rsidRPr="00C111C4">
              <w:rPr>
                <w:rFonts w:cs="Arial"/>
                <w:color w:val="222222"/>
                <w:sz w:val="20"/>
                <w:lang w:val="hu-HU"/>
              </w:rPr>
              <w:t xml:space="preserve"> passzív keresked</w:t>
            </w:r>
            <w:r>
              <w:rPr>
                <w:rFonts w:cs="Arial"/>
                <w:color w:val="222222"/>
                <w:sz w:val="20"/>
                <w:lang w:val="hu-HU"/>
              </w:rPr>
              <w:t>elmi</w:t>
            </w:r>
            <w:r w:rsidRPr="00C111C4">
              <w:rPr>
                <w:rFonts w:cs="Arial"/>
                <w:color w:val="222222"/>
                <w:sz w:val="20"/>
                <w:lang w:val="hu-HU"/>
              </w:rPr>
              <w:t xml:space="preserve"> platformokon keresztül, ahol a</w:t>
            </w:r>
            <w:r>
              <w:rPr>
                <w:rFonts w:cs="Arial"/>
                <w:color w:val="222222"/>
                <w:sz w:val="20"/>
                <w:lang w:val="hu-HU"/>
              </w:rPr>
              <w:t xml:space="preserve"> partner </w:t>
            </w:r>
            <w:r w:rsidRPr="00C111C4">
              <w:rPr>
                <w:rFonts w:cs="Arial"/>
                <w:color w:val="222222"/>
                <w:sz w:val="20"/>
                <w:lang w:val="hu-HU"/>
              </w:rPr>
              <w:t xml:space="preserve">személyazonosságát névjegyzékkel vagy címkével előzetesen </w:t>
            </w:r>
            <w:r>
              <w:rPr>
                <w:rFonts w:cs="Arial"/>
                <w:color w:val="222222"/>
                <w:sz w:val="20"/>
                <w:lang w:val="hu-HU"/>
              </w:rPr>
              <w:t xml:space="preserve">ismertetik, </w:t>
            </w:r>
            <w:r w:rsidRPr="00C111C4">
              <w:rPr>
                <w:rFonts w:cs="Arial"/>
                <w:color w:val="222222"/>
                <w:sz w:val="20"/>
                <w:lang w:val="hu-HU"/>
              </w:rPr>
              <w:t>lehetővé téve a kereskedő számára, hogy felismerje a</w:t>
            </w:r>
            <w:r>
              <w:rPr>
                <w:rFonts w:cs="Arial"/>
                <w:color w:val="222222"/>
                <w:sz w:val="20"/>
                <w:lang w:val="hu-HU"/>
              </w:rPr>
              <w:t>z ügyfél további</w:t>
            </w:r>
            <w:r w:rsidRPr="00C111C4">
              <w:rPr>
                <w:rFonts w:cs="Arial"/>
                <w:color w:val="222222"/>
                <w:sz w:val="20"/>
                <w:lang w:val="hu-HU"/>
              </w:rPr>
              <w:t xml:space="preserve"> ajánlat</w:t>
            </w:r>
            <w:r>
              <w:rPr>
                <w:rFonts w:cs="Arial"/>
                <w:color w:val="222222"/>
                <w:sz w:val="20"/>
                <w:lang w:val="hu-HU"/>
              </w:rPr>
              <w:t>ait.</w:t>
            </w:r>
            <w:r w:rsidRPr="00C111C4">
              <w:rPr>
                <w:rFonts w:cs="Arial"/>
                <w:color w:val="222222"/>
                <w:sz w:val="20"/>
                <w:lang w:val="hu-HU"/>
              </w:rPr>
              <w:t xml:space="preserve"> </w:t>
            </w:r>
          </w:p>
          <w:p w:rsidR="00194F8D" w:rsidRDefault="00194F8D" w:rsidP="00194F8D">
            <w:pPr>
              <w:spacing w:line="276" w:lineRule="auto"/>
              <w:ind w:left="227"/>
              <w:jc w:val="both"/>
              <w:rPr>
                <w:rFonts w:cs="Arial"/>
                <w:color w:val="222222"/>
                <w:sz w:val="20"/>
                <w:lang w:val="hu-HU"/>
              </w:rPr>
            </w:pPr>
            <w:r w:rsidRPr="00674804">
              <w:rPr>
                <w:rFonts w:cs="Arial"/>
                <w:color w:val="222222"/>
                <w:sz w:val="20"/>
                <w:lang w:val="hu-HU"/>
              </w:rPr>
              <w:t>Ezek</w:t>
            </w:r>
            <w:r>
              <w:rPr>
                <w:rFonts w:cs="Arial"/>
                <w:color w:val="222222"/>
                <w:sz w:val="20"/>
                <w:lang w:val="hu-HU"/>
              </w:rPr>
              <w:t xml:space="preserve"> </w:t>
            </w:r>
            <w:r w:rsidRPr="00674804">
              <w:rPr>
                <w:rFonts w:cs="Arial"/>
                <w:color w:val="222222"/>
                <w:sz w:val="20"/>
                <w:lang w:val="hu-HU"/>
              </w:rPr>
              <w:t>a következők:</w:t>
            </w:r>
          </w:p>
          <w:p w:rsidR="00194F8D" w:rsidRDefault="00194F8D" w:rsidP="00194F8D">
            <w:pPr>
              <w:numPr>
                <w:ilvl w:val="0"/>
                <w:numId w:val="14"/>
              </w:numPr>
              <w:spacing w:line="276" w:lineRule="auto"/>
              <w:jc w:val="both"/>
              <w:rPr>
                <w:rFonts w:cs="Arial"/>
                <w:color w:val="222222"/>
                <w:sz w:val="20"/>
                <w:lang w:val="hu-HU"/>
              </w:rPr>
            </w:pPr>
            <w:proofErr w:type="spellStart"/>
            <w:r w:rsidRPr="00674804">
              <w:rPr>
                <w:rFonts w:cs="Arial"/>
                <w:color w:val="222222"/>
                <w:sz w:val="20"/>
                <w:lang w:val="hu-HU"/>
              </w:rPr>
              <w:t>Single-dealer</w:t>
            </w:r>
            <w:proofErr w:type="spellEnd"/>
            <w:r w:rsidRPr="00674804">
              <w:rPr>
                <w:rFonts w:cs="Arial"/>
                <w:color w:val="222222"/>
                <w:sz w:val="20"/>
                <w:lang w:val="hu-HU"/>
              </w:rPr>
              <w:t xml:space="preserve"> és multi-</w:t>
            </w:r>
            <w:proofErr w:type="spellStart"/>
            <w:r w:rsidRPr="00674804">
              <w:rPr>
                <w:rFonts w:cs="Arial"/>
                <w:color w:val="222222"/>
                <w:sz w:val="20"/>
                <w:lang w:val="hu-HU"/>
              </w:rPr>
              <w:t>dealer</w:t>
            </w:r>
            <w:proofErr w:type="spellEnd"/>
            <w:r w:rsidRPr="00674804">
              <w:rPr>
                <w:rFonts w:cs="Arial"/>
                <w:color w:val="222222"/>
                <w:sz w:val="20"/>
                <w:lang w:val="hu-HU"/>
              </w:rPr>
              <w:t xml:space="preserve"> platformok, akár képernyőn vagy </w:t>
            </w:r>
            <w:proofErr w:type="spellStart"/>
            <w:r w:rsidRPr="00674804">
              <w:rPr>
                <w:rFonts w:cs="Arial"/>
                <w:color w:val="222222"/>
                <w:sz w:val="20"/>
                <w:lang w:val="hu-HU"/>
              </w:rPr>
              <w:t>API</w:t>
            </w:r>
            <w:proofErr w:type="spellEnd"/>
            <w:r>
              <w:rPr>
                <w:rFonts w:cs="Arial"/>
                <w:color w:val="222222"/>
                <w:sz w:val="20"/>
                <w:lang w:val="hu-HU"/>
              </w:rPr>
              <w:t>-n</w:t>
            </w:r>
          </w:p>
          <w:p w:rsidR="00222BA3" w:rsidRPr="004049F3" w:rsidRDefault="00194F8D" w:rsidP="004049F3">
            <w:pPr>
              <w:numPr>
                <w:ilvl w:val="0"/>
                <w:numId w:val="14"/>
              </w:numPr>
              <w:spacing w:line="276" w:lineRule="auto"/>
              <w:jc w:val="both"/>
              <w:rPr>
                <w:rFonts w:cs="Arial"/>
                <w:color w:val="222222"/>
                <w:sz w:val="20"/>
                <w:lang w:val="hu-HU"/>
              </w:rPr>
            </w:pPr>
            <w:r>
              <w:rPr>
                <w:rFonts w:cs="Arial"/>
                <w:color w:val="222222"/>
                <w:sz w:val="20"/>
                <w:lang w:val="hu-HU"/>
              </w:rPr>
              <w:t>Nyilvános</w:t>
            </w:r>
            <w:r w:rsidRPr="00674804">
              <w:rPr>
                <w:rFonts w:cs="Arial"/>
                <w:color w:val="222222"/>
                <w:sz w:val="20"/>
                <w:lang w:val="hu-HU"/>
              </w:rPr>
              <w:t xml:space="preserve"> helyszínek</w:t>
            </w:r>
            <w:r>
              <w:rPr>
                <w:rFonts w:cs="Arial"/>
                <w:color w:val="222222"/>
                <w:sz w:val="20"/>
                <w:lang w:val="hu-HU"/>
              </w:rPr>
              <w:t xml:space="preserve"> (</w:t>
            </w:r>
            <w:proofErr w:type="spellStart"/>
            <w:r>
              <w:rPr>
                <w:rFonts w:cs="Arial"/>
                <w:color w:val="222222"/>
                <w:sz w:val="20"/>
                <w:lang w:val="hu-HU"/>
              </w:rPr>
              <w:t>disclosed</w:t>
            </w:r>
            <w:proofErr w:type="spellEnd"/>
            <w:r>
              <w:rPr>
                <w:rFonts w:cs="Arial"/>
                <w:color w:val="222222"/>
                <w:sz w:val="20"/>
                <w:lang w:val="hu-HU"/>
              </w:rPr>
              <w:t xml:space="preserve"> </w:t>
            </w:r>
            <w:proofErr w:type="spellStart"/>
            <w:r>
              <w:rPr>
                <w:rFonts w:cs="Arial"/>
                <w:color w:val="222222"/>
                <w:sz w:val="20"/>
                <w:lang w:val="hu-HU"/>
              </w:rPr>
              <w:t>venues</w:t>
            </w:r>
            <w:proofErr w:type="spellEnd"/>
            <w:r>
              <w:rPr>
                <w:rFonts w:cs="Arial"/>
                <w:color w:val="222222"/>
                <w:sz w:val="20"/>
                <w:lang w:val="hu-HU"/>
              </w:rPr>
              <w:t>)</w:t>
            </w:r>
            <w:r w:rsidRPr="00674804">
              <w:rPr>
                <w:rFonts w:cs="Arial"/>
                <w:color w:val="222222"/>
                <w:sz w:val="20"/>
                <w:lang w:val="hu-HU"/>
              </w:rPr>
              <w:t xml:space="preserve">, mint az </w:t>
            </w:r>
            <w:proofErr w:type="spellStart"/>
            <w:r w:rsidRPr="00674804">
              <w:rPr>
                <w:rFonts w:cs="Arial"/>
                <w:color w:val="222222"/>
                <w:sz w:val="20"/>
                <w:lang w:val="hu-HU"/>
              </w:rPr>
              <w:t>FXall</w:t>
            </w:r>
            <w:proofErr w:type="spellEnd"/>
            <w:r w:rsidRPr="00674804">
              <w:rPr>
                <w:rFonts w:cs="Arial"/>
                <w:color w:val="222222"/>
                <w:sz w:val="20"/>
                <w:lang w:val="hu-HU"/>
              </w:rPr>
              <w:t xml:space="preserve"> </w:t>
            </w:r>
            <w:proofErr w:type="spellStart"/>
            <w:r w:rsidRPr="00674804">
              <w:rPr>
                <w:rFonts w:cs="Arial"/>
                <w:color w:val="222222"/>
                <w:sz w:val="20"/>
                <w:lang w:val="hu-HU"/>
              </w:rPr>
              <w:t>OrderBook</w:t>
            </w:r>
            <w:proofErr w:type="spellEnd"/>
            <w:r w:rsidRPr="00674804">
              <w:rPr>
                <w:rFonts w:cs="Arial"/>
                <w:color w:val="222222"/>
                <w:sz w:val="20"/>
                <w:lang w:val="hu-HU"/>
              </w:rPr>
              <w:t xml:space="preserve">, 360T </w:t>
            </w:r>
            <w:proofErr w:type="spellStart"/>
            <w:r w:rsidRPr="00674804">
              <w:rPr>
                <w:rFonts w:cs="Arial"/>
                <w:color w:val="222222"/>
                <w:sz w:val="20"/>
                <w:lang w:val="hu-HU"/>
              </w:rPr>
              <w:t>Tex</w:t>
            </w:r>
            <w:proofErr w:type="spellEnd"/>
            <w:r w:rsidRPr="00674804">
              <w:rPr>
                <w:rFonts w:cs="Arial"/>
                <w:color w:val="222222"/>
                <w:sz w:val="20"/>
                <w:lang w:val="hu-HU"/>
              </w:rPr>
              <w:t>; és a forgalom</w:t>
            </w:r>
            <w:r>
              <w:rPr>
                <w:rFonts w:cs="Arial"/>
                <w:color w:val="222222"/>
                <w:sz w:val="20"/>
                <w:lang w:val="hu-HU"/>
              </w:rPr>
              <w:t xml:space="preserve">, </w:t>
            </w:r>
            <w:r w:rsidRPr="00674804">
              <w:rPr>
                <w:rFonts w:cs="Arial"/>
                <w:color w:val="222222"/>
                <w:sz w:val="20"/>
                <w:lang w:val="hu-HU"/>
              </w:rPr>
              <w:t>olyan helyszínek, amelyek lehetővé teszik a likviditás felosztását a</w:t>
            </w:r>
            <w:r>
              <w:rPr>
                <w:rFonts w:cs="Arial"/>
                <w:color w:val="222222"/>
                <w:sz w:val="20"/>
                <w:lang w:val="hu-HU"/>
              </w:rPr>
              <w:t xml:space="preserve">z anonim </w:t>
            </w:r>
            <w:r w:rsidRPr="00674804">
              <w:rPr>
                <w:rFonts w:cs="Arial"/>
                <w:color w:val="222222"/>
                <w:sz w:val="20"/>
                <w:lang w:val="hu-HU"/>
              </w:rPr>
              <w:t xml:space="preserve">címkék révén, mint például a </w:t>
            </w:r>
            <w:proofErr w:type="spellStart"/>
            <w:r w:rsidRPr="00674804">
              <w:rPr>
                <w:rFonts w:cs="Arial"/>
                <w:color w:val="222222"/>
                <w:sz w:val="20"/>
                <w:lang w:val="hu-HU"/>
              </w:rPr>
              <w:t>Currenex</w:t>
            </w:r>
            <w:proofErr w:type="spellEnd"/>
            <w:r>
              <w:rPr>
                <w:rFonts w:cs="Arial"/>
                <w:color w:val="222222"/>
                <w:sz w:val="20"/>
                <w:lang w:val="hu-HU"/>
              </w:rPr>
              <w:t xml:space="preserve"> </w:t>
            </w:r>
            <w:r w:rsidRPr="00674804">
              <w:rPr>
                <w:rFonts w:cs="Arial"/>
                <w:color w:val="222222"/>
                <w:sz w:val="20"/>
                <w:lang w:val="hu-HU"/>
              </w:rPr>
              <w:t xml:space="preserve">vagy </w:t>
            </w:r>
            <w:proofErr w:type="spellStart"/>
            <w:r w:rsidRPr="00674804">
              <w:rPr>
                <w:rFonts w:cs="Arial"/>
                <w:color w:val="222222"/>
                <w:sz w:val="20"/>
                <w:lang w:val="hu-HU"/>
              </w:rPr>
              <w:t>Fastmatch</w:t>
            </w:r>
            <w:proofErr w:type="spellEnd"/>
            <w:r w:rsidRPr="00674804">
              <w:rPr>
                <w:rFonts w:cs="Arial"/>
                <w:color w:val="222222"/>
                <w:sz w:val="20"/>
                <w:lang w:val="hu-HU"/>
              </w:rPr>
              <w:t>;</w:t>
            </w:r>
          </w:p>
        </w:tc>
      </w:tr>
    </w:tbl>
    <w:p w:rsidR="00102EF2" w:rsidRPr="004049F3" w:rsidRDefault="00102EF2" w:rsidP="004049F3">
      <w:pPr>
        <w:pStyle w:val="Paragraph"/>
        <w:rPr>
          <w:lang w:val="en-GB" w:eastAsia="x-none"/>
        </w:rPr>
      </w:pPr>
    </w:p>
    <w:sectPr w:rsidR="00102EF2" w:rsidRPr="004049F3">
      <w:headerReference w:type="even" r:id="rId18"/>
      <w:footerReference w:type="even" r:id="rId19"/>
      <w:footerReference w:type="default" r:id="rId20"/>
      <w:headerReference w:type="first" r:id="rId21"/>
      <w:footerReference w:type="first" r:id="rId22"/>
      <w:type w:val="oddPage"/>
      <w:pgSz w:w="11907" w:h="16840" w:code="9"/>
      <w:pgMar w:top="1418" w:right="1134" w:bottom="1418" w:left="1134" w:header="708" w:footer="708" w:gutter="567"/>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57B6" w:rsidRPr="007532A9" w:rsidRDefault="00B657B6">
      <w:pPr>
        <w:rPr>
          <w:szCs w:val="24"/>
        </w:rPr>
      </w:pPr>
      <w:r w:rsidRPr="007532A9">
        <w:rPr>
          <w:szCs w:val="24"/>
        </w:rPr>
        <w:separator/>
      </w:r>
    </w:p>
  </w:endnote>
  <w:endnote w:type="continuationSeparator" w:id="0">
    <w:p w:rsidR="00B657B6" w:rsidRPr="007532A9" w:rsidRDefault="00B657B6">
      <w:pPr>
        <w:rPr>
          <w:szCs w:val="24"/>
        </w:rPr>
      </w:pPr>
      <w:r w:rsidRPr="007532A9">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D6B5A308-9582-410A-8954-17EC69E0F755}"/>
    <w:embedBold r:id="rId2" w:fontKey="{CADB5C76-8374-413E-A924-CA94E0A1FD48}"/>
    <w:embedBoldItalic r:id="rId3" w:fontKey="{9B8428D0-36FA-44E5-BC9C-1ABD58F3DD39}"/>
  </w:font>
  <w:font w:name="Calibri">
    <w:panose1 w:val="020F0502020204030204"/>
    <w:charset w:val="EE"/>
    <w:family w:val="swiss"/>
    <w:pitch w:val="variable"/>
    <w:sig w:usb0="E4002EFF" w:usb1="C000247B" w:usb2="00000009" w:usb3="00000000" w:csb0="000001FF" w:csb1="00000000"/>
    <w:embedRegular r:id="rId4" w:fontKey="{9D3B88E7-4602-468A-B805-02A4670F592F}"/>
    <w:embedBold r:id="rId5" w:fontKey="{7AE06949-7562-46AB-99D6-3C5A6B1BC85A}"/>
    <w:embedItalic r:id="rId6" w:fontKey="{2ADF06FA-E987-4EC1-9943-A8C4CD79281C}"/>
    <w:embedBoldItalic r:id="rId7" w:fontKey="{559B0036-346C-423F-BAF1-CF5151548A20}"/>
  </w:font>
  <w:font w:name="Tahoma">
    <w:panose1 w:val="020B0604030504040204"/>
    <w:charset w:val="EE"/>
    <w:family w:val="swiss"/>
    <w:pitch w:val="variable"/>
    <w:sig w:usb0="E1002EFF" w:usb1="C000605B" w:usb2="00000029" w:usb3="00000000" w:csb0="000101FF" w:csb1="00000000"/>
    <w:embedRegular r:id="rId8" w:fontKey="{88EFA309-7639-49B6-9852-D03F543E95F8}"/>
  </w:font>
  <w:font w:name="Arial Narrow">
    <w:panose1 w:val="020B0606020202030204"/>
    <w:charset w:val="EE"/>
    <w:family w:val="swiss"/>
    <w:pitch w:val="variable"/>
    <w:sig w:usb0="00000287" w:usb1="00000800" w:usb2="00000000" w:usb3="00000000" w:csb0="0000009F" w:csb1="00000000"/>
    <w:embedRegular r:id="rId9" w:fontKey="{A44A750F-17E2-4717-A94F-07503575B291}"/>
  </w:font>
  <w:font w:name="Arial-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Italic">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10" w:fontKey="{08BF704A-53CC-4ECA-940F-84DC574A12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853"/>
      <w:gridCol w:w="8219"/>
    </w:tblGrid>
    <w:tr w:rsidR="006771C6" w:rsidRPr="007532A9">
      <w:tblPrEx>
        <w:tblCellMar>
          <w:top w:w="0" w:type="dxa"/>
          <w:left w:w="0" w:type="dxa"/>
          <w:bottom w:w="0" w:type="dxa"/>
          <w:right w:w="0" w:type="dxa"/>
        </w:tblCellMar>
      </w:tblPrEx>
      <w:trPr>
        <w:cantSplit/>
        <w:trHeight w:val="160"/>
      </w:trPr>
      <w:tc>
        <w:tcPr>
          <w:tcW w:w="853" w:type="dxa"/>
          <w:vAlign w:val="bottom"/>
        </w:tcPr>
        <w:p w:rsidR="006771C6" w:rsidRPr="007532A9" w:rsidRDefault="006771C6">
          <w:pPr>
            <w:pStyle w:val="PageNumbereven"/>
            <w:rPr>
              <w:szCs w:val="24"/>
            </w:rPr>
          </w:pPr>
        </w:p>
      </w:tc>
      <w:tc>
        <w:tcPr>
          <w:tcW w:w="8219" w:type="dxa"/>
          <w:tcBorders>
            <w:left w:val="nil"/>
          </w:tcBorders>
          <w:vAlign w:val="bottom"/>
        </w:tcPr>
        <w:p w:rsidR="006771C6" w:rsidRPr="007532A9" w:rsidRDefault="006771C6">
          <w:pPr>
            <w:pStyle w:val="FootertextEven"/>
            <w:rPr>
              <w:szCs w:val="24"/>
            </w:rPr>
          </w:pPr>
        </w:p>
      </w:tc>
    </w:tr>
  </w:tbl>
  <w:p w:rsidR="006771C6" w:rsidRPr="007532A9" w:rsidRDefault="006771C6">
    <w:pPr>
      <w:pStyle w:val="Footerempty"/>
      <w:rPr>
        <w:szCs w:val="24"/>
      </w:rPr>
    </w:pPr>
  </w:p>
  <w:p w:rsidR="006771C6" w:rsidRPr="007532A9" w:rsidRDefault="006771C6">
    <w:pPr>
      <w:pStyle w:val="Footerempty"/>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4F40" w:rsidRDefault="00604F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4F40" w:rsidRDefault="00604F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C6" w:rsidRPr="002A6DDB" w:rsidRDefault="006771C6">
    <w:pPr>
      <w:pStyle w:val="Footerempty"/>
      <w:rPr>
        <w:color w:val="auto"/>
        <w:szCs w:val="24"/>
      </w:rPr>
    </w:pPr>
  </w:p>
  <w:tbl>
    <w:tblPr>
      <w:tblW w:w="9072" w:type="dxa"/>
      <w:tblInd w:w="8" w:type="dxa"/>
      <w:tblLayout w:type="fixed"/>
      <w:tblCellMar>
        <w:left w:w="0" w:type="dxa"/>
        <w:right w:w="0" w:type="dxa"/>
      </w:tblCellMar>
      <w:tblLook w:val="0000" w:firstRow="0" w:lastRow="0" w:firstColumn="0" w:lastColumn="0" w:noHBand="0" w:noVBand="0"/>
    </w:tblPr>
    <w:tblGrid>
      <w:gridCol w:w="8229"/>
      <w:gridCol w:w="843"/>
    </w:tblGrid>
    <w:tr w:rsidR="006771C6" w:rsidRPr="002A6DDB">
      <w:tblPrEx>
        <w:tblCellMar>
          <w:top w:w="0" w:type="dxa"/>
          <w:left w:w="0" w:type="dxa"/>
          <w:bottom w:w="0" w:type="dxa"/>
          <w:right w:w="0" w:type="dxa"/>
        </w:tblCellMar>
      </w:tblPrEx>
      <w:trPr>
        <w:cantSplit/>
        <w:trHeight w:val="160"/>
      </w:trPr>
      <w:tc>
        <w:tcPr>
          <w:tcW w:w="8229" w:type="dxa"/>
          <w:vAlign w:val="bottom"/>
        </w:tcPr>
        <w:p w:rsidR="006771C6" w:rsidRPr="002A6DDB" w:rsidRDefault="006771C6">
          <w:pPr>
            <w:pStyle w:val="FootertextOdd"/>
            <w:ind w:right="360"/>
            <w:rPr>
              <w:szCs w:val="24"/>
            </w:rPr>
          </w:pPr>
        </w:p>
      </w:tc>
      <w:tc>
        <w:tcPr>
          <w:tcW w:w="843" w:type="dxa"/>
          <w:tcBorders>
            <w:left w:val="nil"/>
          </w:tcBorders>
          <w:vAlign w:val="bottom"/>
        </w:tcPr>
        <w:p w:rsidR="006771C6" w:rsidRPr="002A6DDB" w:rsidRDefault="006771C6">
          <w:pPr>
            <w:pStyle w:val="FooterPageNumber"/>
            <w:rPr>
              <w:rStyle w:val="PageNumber"/>
              <w:szCs w:val="24"/>
            </w:rPr>
          </w:pPr>
          <w:r w:rsidRPr="002A6DDB">
            <w:rPr>
              <w:rStyle w:val="PageNumber"/>
              <w:szCs w:val="24"/>
            </w:rPr>
            <w:fldChar w:fldCharType="begin"/>
          </w:r>
          <w:r w:rsidRPr="002A6DDB">
            <w:rPr>
              <w:rStyle w:val="PageNumber"/>
              <w:szCs w:val="24"/>
            </w:rPr>
            <w:instrText xml:space="preserve"> PAGE </w:instrText>
          </w:r>
          <w:r w:rsidRPr="002A6DDB">
            <w:rPr>
              <w:rStyle w:val="PageNumber"/>
              <w:szCs w:val="24"/>
            </w:rPr>
            <w:fldChar w:fldCharType="separate"/>
          </w:r>
          <w:r>
            <w:rPr>
              <w:rStyle w:val="PageNumber"/>
              <w:szCs w:val="24"/>
            </w:rPr>
            <w:t>iii</w:t>
          </w:r>
          <w:r w:rsidRPr="002A6DDB">
            <w:rPr>
              <w:rStyle w:val="PageNumber"/>
              <w:szCs w:val="24"/>
            </w:rPr>
            <w:fldChar w:fldCharType="end"/>
          </w:r>
        </w:p>
      </w:tc>
    </w:tr>
  </w:tbl>
  <w:p w:rsidR="006771C6" w:rsidRPr="002A6DDB" w:rsidRDefault="006771C6">
    <w:pPr>
      <w:pStyle w:val="Footerempty"/>
      <w:rPr>
        <w:color w:val="auto"/>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0538" w:rsidRDefault="00C60538">
    <w:pPr>
      <w:pStyle w:val="Footer"/>
      <w:jc w:val="right"/>
    </w:pPr>
    <w:r>
      <w:fldChar w:fldCharType="begin"/>
    </w:r>
    <w:r>
      <w:instrText>PAGE   \* MERGEFORMAT</w:instrText>
    </w:r>
    <w:r>
      <w:fldChar w:fldCharType="separate"/>
    </w:r>
    <w:r>
      <w:rPr>
        <w:lang w:val="hu-HU"/>
      </w:rPr>
      <w:t>2</w:t>
    </w:r>
    <w:r>
      <w:fldChar w:fldCharType="end"/>
    </w:r>
  </w:p>
  <w:p w:rsidR="006771C6" w:rsidRPr="00832E8A" w:rsidRDefault="006771C6">
    <w:pPr>
      <w:pStyle w:val="Footerempty"/>
      <w:rPr>
        <w:color w:val="auto"/>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C6" w:rsidRPr="00832E8A" w:rsidRDefault="006771C6">
    <w:pPr>
      <w:pStyle w:val="Footerempty"/>
      <w:rPr>
        <w:color w:val="auto"/>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8229"/>
      <w:gridCol w:w="843"/>
    </w:tblGrid>
    <w:tr w:rsidR="006771C6" w:rsidRPr="002A6DDB">
      <w:tblPrEx>
        <w:tblCellMar>
          <w:top w:w="0" w:type="dxa"/>
          <w:left w:w="0" w:type="dxa"/>
          <w:bottom w:w="0" w:type="dxa"/>
          <w:right w:w="0" w:type="dxa"/>
        </w:tblCellMar>
      </w:tblPrEx>
      <w:trPr>
        <w:cantSplit/>
        <w:trHeight w:val="160"/>
      </w:trPr>
      <w:tc>
        <w:tcPr>
          <w:tcW w:w="8229" w:type="dxa"/>
          <w:vAlign w:val="center"/>
        </w:tcPr>
        <w:p w:rsidR="006771C6" w:rsidRPr="002A6DDB" w:rsidRDefault="006771C6">
          <w:pPr>
            <w:pStyle w:val="FootertextOdd"/>
            <w:rPr>
              <w:szCs w:val="24"/>
            </w:rPr>
          </w:pPr>
        </w:p>
      </w:tc>
      <w:tc>
        <w:tcPr>
          <w:tcW w:w="843" w:type="dxa"/>
          <w:tcBorders>
            <w:left w:val="nil"/>
          </w:tcBorders>
          <w:vAlign w:val="bottom"/>
        </w:tcPr>
        <w:p w:rsidR="006771C6" w:rsidRPr="002A6DDB" w:rsidRDefault="006771C6">
          <w:pPr>
            <w:pStyle w:val="FooterPageNumber"/>
            <w:rPr>
              <w:szCs w:val="24"/>
            </w:rPr>
          </w:pPr>
          <w:r w:rsidRPr="002A6DDB">
            <w:rPr>
              <w:rStyle w:val="PageNumber"/>
              <w:szCs w:val="24"/>
            </w:rPr>
            <w:fldChar w:fldCharType="begin"/>
          </w:r>
          <w:r w:rsidRPr="002A6DDB">
            <w:rPr>
              <w:rStyle w:val="PageNumber"/>
              <w:szCs w:val="24"/>
            </w:rPr>
            <w:instrText xml:space="preserve"> PAGE </w:instrText>
          </w:r>
          <w:r w:rsidRPr="002A6DDB">
            <w:rPr>
              <w:rStyle w:val="PageNumber"/>
              <w:szCs w:val="24"/>
            </w:rPr>
            <w:fldChar w:fldCharType="separate"/>
          </w:r>
          <w:r>
            <w:rPr>
              <w:rStyle w:val="PageNumber"/>
              <w:szCs w:val="24"/>
            </w:rPr>
            <w:t>1</w:t>
          </w:r>
          <w:r w:rsidRPr="002A6DDB">
            <w:rPr>
              <w:rStyle w:val="PageNumber"/>
              <w:szCs w:val="24"/>
            </w:rPr>
            <w:fldChar w:fldCharType="end"/>
          </w:r>
        </w:p>
      </w:tc>
    </w:tr>
  </w:tbl>
  <w:p w:rsidR="006771C6" w:rsidRPr="002A6DDB" w:rsidRDefault="006771C6">
    <w:pPr>
      <w:pStyle w:val="Footerempty"/>
      <w:rPr>
        <w:color w:val="auto"/>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57B6" w:rsidRPr="007532A9" w:rsidRDefault="00B657B6">
      <w:pPr>
        <w:pStyle w:val="FootnoteSeparator"/>
        <w:rPr>
          <w:szCs w:val="24"/>
        </w:rPr>
      </w:pPr>
      <w:r w:rsidRPr="007532A9">
        <w:rPr>
          <w:szCs w:val="24"/>
        </w:rPr>
        <w:separator/>
      </w:r>
    </w:p>
    <w:p w:rsidR="00B657B6" w:rsidRPr="007532A9" w:rsidRDefault="00B657B6">
      <w:pPr>
        <w:rPr>
          <w:szCs w:val="24"/>
        </w:rPr>
      </w:pPr>
    </w:p>
  </w:footnote>
  <w:footnote w:type="continuationSeparator" w:id="0">
    <w:p w:rsidR="00B657B6" w:rsidRPr="007532A9" w:rsidRDefault="00B657B6">
      <w:pPr>
        <w:pStyle w:val="FootnoteSeparator"/>
        <w:rPr>
          <w:szCs w:val="24"/>
        </w:rPr>
      </w:pPr>
      <w:r w:rsidRPr="007532A9">
        <w:rPr>
          <w:szCs w:val="24"/>
        </w:rPr>
        <w:continuationSeparator/>
      </w:r>
    </w:p>
    <w:p w:rsidR="00B657B6" w:rsidRPr="007532A9" w:rsidRDefault="00B657B6">
      <w:pPr>
        <w:rPr>
          <w:szCs w:val="24"/>
        </w:rPr>
      </w:pPr>
    </w:p>
  </w:footnote>
  <w:footnote w:type="continuationNotice" w:id="1">
    <w:p w:rsidR="00B657B6" w:rsidRPr="007532A9" w:rsidRDefault="00B657B6">
      <w:pPr>
        <w:pStyle w:val="FootnoteText"/>
        <w:rPr>
          <w:szCs w:val="24"/>
        </w:rPr>
      </w:pPr>
    </w:p>
    <w:p w:rsidR="00B657B6" w:rsidRPr="007532A9" w:rsidRDefault="00B657B6">
      <w:pPr>
        <w:rPr>
          <w:szCs w:val="24"/>
        </w:rPr>
      </w:pPr>
    </w:p>
  </w:footnote>
  <w:footnote w:id="2">
    <w:p w:rsidR="006771C6" w:rsidRPr="004049F3" w:rsidRDefault="006771C6" w:rsidP="00F72C8A">
      <w:pPr>
        <w:autoSpaceDE w:val="0"/>
        <w:autoSpaceDN w:val="0"/>
        <w:adjustRightInd w:val="0"/>
        <w:jc w:val="both"/>
        <w:rPr>
          <w:rFonts w:cs="Arial"/>
          <w:sz w:val="20"/>
        </w:rPr>
      </w:pPr>
      <w:r>
        <w:rPr>
          <w:rStyle w:val="FootnoteReference"/>
        </w:rPr>
        <w:footnoteRef/>
      </w:r>
      <w:r>
        <w:t xml:space="preserve"> </w:t>
      </w:r>
      <w:proofErr w:type="spellStart"/>
      <w:r>
        <w:rPr>
          <w:sz w:val="18"/>
          <w:szCs w:val="18"/>
        </w:rPr>
        <w:t>Például</w:t>
      </w:r>
      <w:proofErr w:type="spellEnd"/>
      <w:r>
        <w:rPr>
          <w:sz w:val="18"/>
          <w:szCs w:val="18"/>
        </w:rPr>
        <w:t xml:space="preserve"> ha a </w:t>
      </w:r>
      <w:proofErr w:type="spellStart"/>
      <w:r>
        <w:rPr>
          <w:sz w:val="18"/>
          <w:szCs w:val="18"/>
        </w:rPr>
        <w:t>j</w:t>
      </w:r>
      <w:r w:rsidRPr="004049F3">
        <w:rPr>
          <w:rFonts w:cs="Arial"/>
          <w:sz w:val="20"/>
        </w:rPr>
        <w:t>elentő</w:t>
      </w:r>
      <w:proofErr w:type="spellEnd"/>
      <w:r w:rsidRPr="004049F3">
        <w:rPr>
          <w:rFonts w:cs="Arial"/>
          <w:sz w:val="20"/>
        </w:rPr>
        <w:t xml:space="preserve"> dealer </w:t>
      </w:r>
      <w:proofErr w:type="spellStart"/>
      <w:r w:rsidRPr="004049F3">
        <w:rPr>
          <w:rFonts w:cs="Arial"/>
          <w:sz w:val="20"/>
        </w:rPr>
        <w:t>nem</w:t>
      </w:r>
      <w:proofErr w:type="spellEnd"/>
      <w:r w:rsidRPr="004049F3">
        <w:rPr>
          <w:rFonts w:cs="Arial"/>
          <w:sz w:val="20"/>
        </w:rPr>
        <w:t xml:space="preserve"> </w:t>
      </w:r>
      <w:proofErr w:type="spellStart"/>
      <w:r w:rsidRPr="004049F3">
        <w:rPr>
          <w:rFonts w:cs="Arial"/>
          <w:sz w:val="20"/>
        </w:rPr>
        <w:t>leszállításos</w:t>
      </w:r>
      <w:proofErr w:type="spellEnd"/>
      <w:r w:rsidRPr="004049F3">
        <w:rPr>
          <w:rFonts w:cs="Arial"/>
          <w:sz w:val="20"/>
        </w:rPr>
        <w:t xml:space="preserve"> </w:t>
      </w:r>
      <w:proofErr w:type="spellStart"/>
      <w:r w:rsidRPr="004049F3">
        <w:rPr>
          <w:rFonts w:cs="Arial"/>
          <w:sz w:val="20"/>
        </w:rPr>
        <w:t>határidős</w:t>
      </w:r>
      <w:proofErr w:type="spellEnd"/>
      <w:r w:rsidRPr="004049F3">
        <w:rPr>
          <w:rFonts w:cs="Arial"/>
          <w:sz w:val="20"/>
        </w:rPr>
        <w:t xml:space="preserve"> </w:t>
      </w:r>
      <w:proofErr w:type="spellStart"/>
      <w:r w:rsidRPr="004049F3">
        <w:rPr>
          <w:rFonts w:cs="Arial"/>
          <w:sz w:val="20"/>
        </w:rPr>
        <w:t>ügyletet</w:t>
      </w:r>
      <w:proofErr w:type="spellEnd"/>
      <w:r w:rsidRPr="004049F3">
        <w:rPr>
          <w:rFonts w:cs="Arial"/>
          <w:sz w:val="20"/>
        </w:rPr>
        <w:t xml:space="preserve"> (</w:t>
      </w:r>
      <w:proofErr w:type="spellStart"/>
      <w:r w:rsidRPr="004049F3">
        <w:rPr>
          <w:rFonts w:cs="Arial"/>
          <w:sz w:val="20"/>
        </w:rPr>
        <w:t>NDF</w:t>
      </w:r>
      <w:proofErr w:type="spellEnd"/>
      <w:r w:rsidRPr="004049F3">
        <w:rPr>
          <w:rFonts w:cs="Arial"/>
          <w:sz w:val="20"/>
        </w:rPr>
        <w:t xml:space="preserve">) </w:t>
      </w:r>
      <w:proofErr w:type="spellStart"/>
      <w:r w:rsidRPr="004049F3">
        <w:rPr>
          <w:rFonts w:cs="Arial"/>
          <w:sz w:val="20"/>
        </w:rPr>
        <w:t>köt</w:t>
      </w:r>
      <w:proofErr w:type="spellEnd"/>
      <w:r w:rsidRPr="004049F3">
        <w:rPr>
          <w:rFonts w:cs="Arial"/>
          <w:sz w:val="20"/>
        </w:rPr>
        <w:t xml:space="preserve"> </w:t>
      </w:r>
      <w:proofErr w:type="spellStart"/>
      <w:r w:rsidRPr="004049F3">
        <w:rPr>
          <w:rFonts w:cs="Arial"/>
          <w:sz w:val="20"/>
        </w:rPr>
        <w:t>egy</w:t>
      </w:r>
      <w:proofErr w:type="spellEnd"/>
      <w:r w:rsidRPr="004049F3">
        <w:rPr>
          <w:rFonts w:cs="Arial"/>
          <w:sz w:val="20"/>
        </w:rPr>
        <w:t xml:space="preserve"> </w:t>
      </w:r>
      <w:proofErr w:type="spellStart"/>
      <w:r w:rsidRPr="004049F3">
        <w:rPr>
          <w:rFonts w:cs="Arial"/>
          <w:sz w:val="20"/>
        </w:rPr>
        <w:t>fedezeti</w:t>
      </w:r>
      <w:proofErr w:type="spellEnd"/>
      <w:r w:rsidRPr="004049F3">
        <w:rPr>
          <w:rFonts w:cs="Arial"/>
          <w:sz w:val="20"/>
        </w:rPr>
        <w:t xml:space="preserve"> </w:t>
      </w:r>
      <w:proofErr w:type="spellStart"/>
      <w:r w:rsidRPr="004049F3">
        <w:rPr>
          <w:rFonts w:cs="Arial"/>
          <w:sz w:val="20"/>
        </w:rPr>
        <w:t>alappal</w:t>
      </w:r>
      <w:proofErr w:type="spellEnd"/>
      <w:r w:rsidRPr="004049F3">
        <w:rPr>
          <w:rFonts w:cs="Arial"/>
          <w:sz w:val="20"/>
        </w:rPr>
        <w:t xml:space="preserve"> és a </w:t>
      </w:r>
      <w:proofErr w:type="spellStart"/>
      <w:r w:rsidRPr="004049F3">
        <w:rPr>
          <w:rFonts w:cs="Arial"/>
          <w:sz w:val="20"/>
        </w:rPr>
        <w:t>kereskedést</w:t>
      </w:r>
      <w:proofErr w:type="spellEnd"/>
      <w:r w:rsidRPr="004049F3">
        <w:rPr>
          <w:rFonts w:cs="Arial"/>
          <w:sz w:val="20"/>
        </w:rPr>
        <w:t xml:space="preserve"> </w:t>
      </w:r>
      <w:proofErr w:type="spellStart"/>
      <w:r w:rsidRPr="004049F3">
        <w:rPr>
          <w:rFonts w:cs="Arial"/>
          <w:sz w:val="20"/>
        </w:rPr>
        <w:t>követően</w:t>
      </w:r>
      <w:proofErr w:type="spellEnd"/>
      <w:r w:rsidRPr="004049F3">
        <w:rPr>
          <w:rFonts w:cs="Arial"/>
          <w:sz w:val="20"/>
        </w:rPr>
        <w:t xml:space="preserve"> </w:t>
      </w:r>
      <w:proofErr w:type="spellStart"/>
      <w:r w:rsidRPr="004049F3">
        <w:rPr>
          <w:rFonts w:cs="Arial"/>
          <w:sz w:val="20"/>
        </w:rPr>
        <w:t>az</w:t>
      </w:r>
      <w:proofErr w:type="spellEnd"/>
      <w:r w:rsidRPr="004049F3">
        <w:rPr>
          <w:rFonts w:cs="Arial"/>
          <w:sz w:val="20"/>
        </w:rPr>
        <w:t xml:space="preserve"> </w:t>
      </w:r>
      <w:proofErr w:type="spellStart"/>
      <w:r w:rsidRPr="004049F3">
        <w:rPr>
          <w:rFonts w:cs="Arial"/>
          <w:sz w:val="20"/>
        </w:rPr>
        <w:t>ügyletet</w:t>
      </w:r>
      <w:proofErr w:type="spellEnd"/>
      <w:r w:rsidRPr="004049F3">
        <w:rPr>
          <w:rFonts w:cs="Arial"/>
          <w:sz w:val="20"/>
        </w:rPr>
        <w:t xml:space="preserve"> </w:t>
      </w:r>
      <w:proofErr w:type="spellStart"/>
      <w:r w:rsidRPr="004049F3">
        <w:rPr>
          <w:rFonts w:cs="Arial"/>
          <w:sz w:val="20"/>
        </w:rPr>
        <w:t>továbbítja</w:t>
      </w:r>
      <w:proofErr w:type="spellEnd"/>
      <w:r w:rsidRPr="004049F3">
        <w:rPr>
          <w:rFonts w:cs="Arial"/>
          <w:sz w:val="20"/>
        </w:rPr>
        <w:t xml:space="preserve"> </w:t>
      </w:r>
      <w:proofErr w:type="spellStart"/>
      <w:r w:rsidRPr="004049F3">
        <w:rPr>
          <w:rFonts w:cs="Arial"/>
          <w:sz w:val="20"/>
        </w:rPr>
        <w:t>egy</w:t>
      </w:r>
      <w:proofErr w:type="spellEnd"/>
      <w:r w:rsidRPr="004049F3">
        <w:rPr>
          <w:rFonts w:cs="Arial"/>
          <w:sz w:val="20"/>
        </w:rPr>
        <w:t xml:space="preserve"> </w:t>
      </w:r>
      <w:proofErr w:type="spellStart"/>
      <w:r w:rsidRPr="004049F3">
        <w:rPr>
          <w:rFonts w:cs="Arial"/>
          <w:sz w:val="20"/>
        </w:rPr>
        <w:t>központi</w:t>
      </w:r>
      <w:proofErr w:type="spellEnd"/>
      <w:r w:rsidRPr="004049F3">
        <w:rPr>
          <w:rFonts w:cs="Arial"/>
          <w:sz w:val="20"/>
        </w:rPr>
        <w:t xml:space="preserve"> </w:t>
      </w:r>
      <w:proofErr w:type="spellStart"/>
      <w:r w:rsidRPr="004049F3">
        <w:rPr>
          <w:rFonts w:cs="Arial"/>
          <w:sz w:val="20"/>
        </w:rPr>
        <w:t>szerződő</w:t>
      </w:r>
      <w:proofErr w:type="spellEnd"/>
      <w:r w:rsidRPr="004049F3">
        <w:rPr>
          <w:rFonts w:cs="Arial"/>
          <w:sz w:val="20"/>
        </w:rPr>
        <w:t xml:space="preserve"> </w:t>
      </w:r>
      <w:proofErr w:type="spellStart"/>
      <w:r w:rsidRPr="004049F3">
        <w:rPr>
          <w:rFonts w:cs="Arial"/>
          <w:sz w:val="20"/>
        </w:rPr>
        <w:t>félnek</w:t>
      </w:r>
      <w:proofErr w:type="spellEnd"/>
      <w:r w:rsidRPr="004049F3">
        <w:rPr>
          <w:rFonts w:cs="Arial"/>
          <w:sz w:val="20"/>
        </w:rPr>
        <w:t xml:space="preserve"> </w:t>
      </w:r>
      <w:proofErr w:type="spellStart"/>
      <w:r w:rsidRPr="004049F3">
        <w:rPr>
          <w:rFonts w:cs="Arial"/>
          <w:sz w:val="20"/>
        </w:rPr>
        <w:t>központi</w:t>
      </w:r>
      <w:proofErr w:type="spellEnd"/>
      <w:r w:rsidRPr="004049F3">
        <w:rPr>
          <w:rFonts w:cs="Arial"/>
          <w:sz w:val="20"/>
        </w:rPr>
        <w:t xml:space="preserve"> </w:t>
      </w:r>
      <w:proofErr w:type="spellStart"/>
      <w:r w:rsidRPr="004049F3">
        <w:rPr>
          <w:rFonts w:cs="Arial"/>
          <w:sz w:val="20"/>
        </w:rPr>
        <w:t>elszámolás</w:t>
      </w:r>
      <w:proofErr w:type="spellEnd"/>
      <w:r w:rsidRPr="004049F3">
        <w:rPr>
          <w:rFonts w:cs="Arial"/>
          <w:sz w:val="20"/>
        </w:rPr>
        <w:t xml:space="preserve"> </w:t>
      </w:r>
      <w:proofErr w:type="spellStart"/>
      <w:r w:rsidRPr="004049F3">
        <w:rPr>
          <w:rFonts w:cs="Arial"/>
          <w:sz w:val="20"/>
        </w:rPr>
        <w:t>céljából</w:t>
      </w:r>
      <w:proofErr w:type="spellEnd"/>
      <w:r w:rsidRPr="004049F3">
        <w:rPr>
          <w:rFonts w:cs="Arial"/>
          <w:sz w:val="20"/>
        </w:rPr>
        <w:t xml:space="preserve">, </w:t>
      </w:r>
      <w:proofErr w:type="spellStart"/>
      <w:r w:rsidRPr="004049F3">
        <w:rPr>
          <w:rFonts w:cs="Arial"/>
          <w:sz w:val="20"/>
        </w:rPr>
        <w:t>akkor</w:t>
      </w:r>
      <w:proofErr w:type="spellEnd"/>
      <w:r w:rsidRPr="004049F3">
        <w:rPr>
          <w:rFonts w:cs="Arial"/>
          <w:sz w:val="20"/>
        </w:rPr>
        <w:t xml:space="preserve"> a </w:t>
      </w:r>
      <w:proofErr w:type="spellStart"/>
      <w:r w:rsidRPr="004049F3">
        <w:rPr>
          <w:rFonts w:cs="Arial"/>
          <w:sz w:val="20"/>
        </w:rPr>
        <w:t>jelentő</w:t>
      </w:r>
      <w:proofErr w:type="spellEnd"/>
      <w:r w:rsidRPr="004049F3">
        <w:rPr>
          <w:rFonts w:cs="Arial"/>
          <w:sz w:val="20"/>
        </w:rPr>
        <w:t xml:space="preserve"> </w:t>
      </w:r>
      <w:proofErr w:type="spellStart"/>
      <w:r w:rsidRPr="004049F3">
        <w:rPr>
          <w:rFonts w:cs="Arial"/>
          <w:sz w:val="20"/>
        </w:rPr>
        <w:t>dealernek</w:t>
      </w:r>
      <w:proofErr w:type="spellEnd"/>
      <w:r w:rsidRPr="004049F3">
        <w:rPr>
          <w:rFonts w:cs="Arial"/>
          <w:sz w:val="20"/>
        </w:rPr>
        <w:t xml:space="preserve"> </w:t>
      </w:r>
      <w:proofErr w:type="spellStart"/>
      <w:r w:rsidRPr="004049F3">
        <w:rPr>
          <w:rFonts w:cs="Arial"/>
          <w:sz w:val="20"/>
        </w:rPr>
        <w:t>csak</w:t>
      </w:r>
      <w:proofErr w:type="spellEnd"/>
      <w:r w:rsidRPr="004049F3">
        <w:rPr>
          <w:rFonts w:cs="Arial"/>
          <w:sz w:val="20"/>
        </w:rPr>
        <w:t xml:space="preserve"> a </w:t>
      </w:r>
      <w:proofErr w:type="spellStart"/>
      <w:r w:rsidRPr="004049F3">
        <w:rPr>
          <w:rFonts w:cs="Arial"/>
          <w:sz w:val="20"/>
        </w:rPr>
        <w:t>fedezeti</w:t>
      </w:r>
      <w:proofErr w:type="spellEnd"/>
      <w:r w:rsidRPr="004049F3">
        <w:rPr>
          <w:rFonts w:cs="Arial"/>
          <w:sz w:val="20"/>
        </w:rPr>
        <w:t xml:space="preserve"> </w:t>
      </w:r>
      <w:proofErr w:type="spellStart"/>
      <w:r w:rsidRPr="004049F3">
        <w:rPr>
          <w:rFonts w:cs="Arial"/>
          <w:sz w:val="20"/>
        </w:rPr>
        <w:t>alappal</w:t>
      </w:r>
      <w:proofErr w:type="spellEnd"/>
      <w:r w:rsidRPr="004049F3">
        <w:rPr>
          <w:rFonts w:cs="Arial"/>
          <w:sz w:val="20"/>
        </w:rPr>
        <w:t xml:space="preserve">, mint </w:t>
      </w:r>
      <w:proofErr w:type="spellStart"/>
      <w:r w:rsidRPr="004049F3">
        <w:rPr>
          <w:rFonts w:cs="Arial"/>
          <w:sz w:val="20"/>
        </w:rPr>
        <w:t>partnerrel</w:t>
      </w:r>
      <w:proofErr w:type="spellEnd"/>
      <w:r w:rsidRPr="004049F3">
        <w:rPr>
          <w:rFonts w:cs="Arial"/>
          <w:sz w:val="20"/>
        </w:rPr>
        <w:t xml:space="preserve"> </w:t>
      </w:r>
      <w:proofErr w:type="spellStart"/>
      <w:r w:rsidRPr="004049F3">
        <w:rPr>
          <w:rFonts w:cs="Arial"/>
          <w:sz w:val="20"/>
        </w:rPr>
        <w:t>megkötött</w:t>
      </w:r>
      <w:proofErr w:type="spellEnd"/>
      <w:r w:rsidRPr="004049F3">
        <w:rPr>
          <w:rFonts w:cs="Arial"/>
          <w:sz w:val="20"/>
        </w:rPr>
        <w:t xml:space="preserve"> </w:t>
      </w:r>
      <w:proofErr w:type="spellStart"/>
      <w:r w:rsidRPr="004049F3">
        <w:rPr>
          <w:rFonts w:cs="Arial"/>
          <w:sz w:val="20"/>
        </w:rPr>
        <w:t>NDF-hez</w:t>
      </w:r>
      <w:proofErr w:type="spellEnd"/>
      <w:r w:rsidRPr="004049F3">
        <w:rPr>
          <w:rFonts w:cs="Arial"/>
          <w:sz w:val="20"/>
        </w:rPr>
        <w:t xml:space="preserve"> </w:t>
      </w:r>
      <w:proofErr w:type="spellStart"/>
      <w:r w:rsidRPr="004049F3">
        <w:rPr>
          <w:rFonts w:cs="Arial"/>
          <w:sz w:val="20"/>
        </w:rPr>
        <w:t>kapcsolódó</w:t>
      </w:r>
      <w:proofErr w:type="spellEnd"/>
      <w:r w:rsidRPr="004049F3">
        <w:rPr>
          <w:rFonts w:cs="Arial"/>
          <w:sz w:val="20"/>
        </w:rPr>
        <w:t xml:space="preserve"> </w:t>
      </w:r>
      <w:proofErr w:type="spellStart"/>
      <w:r w:rsidRPr="004049F3">
        <w:rPr>
          <w:rFonts w:cs="Arial"/>
          <w:sz w:val="20"/>
        </w:rPr>
        <w:t>forgalmat</w:t>
      </w:r>
      <w:proofErr w:type="spellEnd"/>
      <w:r w:rsidRPr="004049F3">
        <w:rPr>
          <w:rFonts w:cs="Arial"/>
          <w:sz w:val="20"/>
        </w:rPr>
        <w:t xml:space="preserve"> </w:t>
      </w:r>
      <w:proofErr w:type="spellStart"/>
      <w:r w:rsidRPr="004049F3">
        <w:rPr>
          <w:rFonts w:cs="Arial"/>
          <w:sz w:val="20"/>
        </w:rPr>
        <w:t>szükséges</w:t>
      </w:r>
      <w:proofErr w:type="spellEnd"/>
      <w:r w:rsidRPr="004049F3">
        <w:rPr>
          <w:rFonts w:cs="Arial"/>
          <w:sz w:val="20"/>
        </w:rPr>
        <w:t xml:space="preserve"> </w:t>
      </w:r>
      <w:proofErr w:type="spellStart"/>
      <w:r w:rsidRPr="004049F3">
        <w:rPr>
          <w:rFonts w:cs="Arial"/>
          <w:sz w:val="20"/>
        </w:rPr>
        <w:t>jelentenie</w:t>
      </w:r>
      <w:proofErr w:type="spellEnd"/>
      <w:r w:rsidRPr="004049F3">
        <w:rPr>
          <w:rFonts w:cs="Arial"/>
          <w:sz w:val="20"/>
        </w:rPr>
        <w:t xml:space="preserve">. A </w:t>
      </w:r>
      <w:proofErr w:type="spellStart"/>
      <w:r w:rsidRPr="004049F3">
        <w:rPr>
          <w:rFonts w:cs="Arial"/>
          <w:sz w:val="20"/>
        </w:rPr>
        <w:t>kereskedést</w:t>
      </w:r>
      <w:proofErr w:type="spellEnd"/>
      <w:r w:rsidRPr="004049F3">
        <w:rPr>
          <w:rFonts w:cs="Arial"/>
          <w:sz w:val="20"/>
        </w:rPr>
        <w:t xml:space="preserve"> </w:t>
      </w:r>
      <w:proofErr w:type="spellStart"/>
      <w:r w:rsidRPr="004049F3">
        <w:rPr>
          <w:rFonts w:cs="Arial"/>
          <w:sz w:val="20"/>
        </w:rPr>
        <w:t>követően</w:t>
      </w:r>
      <w:proofErr w:type="spellEnd"/>
      <w:r w:rsidRPr="004049F3">
        <w:rPr>
          <w:rFonts w:cs="Arial"/>
          <w:sz w:val="20"/>
        </w:rPr>
        <w:t xml:space="preserve"> a </w:t>
      </w:r>
      <w:proofErr w:type="spellStart"/>
      <w:r w:rsidRPr="004049F3">
        <w:rPr>
          <w:rFonts w:cs="Arial"/>
          <w:sz w:val="20"/>
        </w:rPr>
        <w:t>központi</w:t>
      </w:r>
      <w:proofErr w:type="spellEnd"/>
      <w:r w:rsidRPr="004049F3">
        <w:rPr>
          <w:rFonts w:cs="Arial"/>
          <w:sz w:val="20"/>
        </w:rPr>
        <w:t xml:space="preserve"> </w:t>
      </w:r>
      <w:proofErr w:type="spellStart"/>
      <w:r w:rsidRPr="004049F3">
        <w:rPr>
          <w:rFonts w:cs="Arial"/>
          <w:sz w:val="20"/>
        </w:rPr>
        <w:t>szerződő</w:t>
      </w:r>
      <w:proofErr w:type="spellEnd"/>
      <w:r w:rsidRPr="004049F3">
        <w:rPr>
          <w:rFonts w:cs="Arial"/>
          <w:sz w:val="20"/>
        </w:rPr>
        <w:t xml:space="preserve"> </w:t>
      </w:r>
      <w:proofErr w:type="spellStart"/>
      <w:r w:rsidRPr="004049F3">
        <w:rPr>
          <w:rFonts w:cs="Arial"/>
          <w:sz w:val="20"/>
        </w:rPr>
        <w:t>féllel</w:t>
      </w:r>
      <w:proofErr w:type="spellEnd"/>
      <w:r w:rsidRPr="004049F3">
        <w:rPr>
          <w:rFonts w:cs="Arial"/>
          <w:sz w:val="20"/>
        </w:rPr>
        <w:t xml:space="preserve"> </w:t>
      </w:r>
      <w:proofErr w:type="spellStart"/>
      <w:r w:rsidRPr="004049F3">
        <w:rPr>
          <w:rFonts w:cs="Arial"/>
          <w:sz w:val="20"/>
        </w:rPr>
        <w:t>megkötött</w:t>
      </w:r>
      <w:proofErr w:type="spellEnd"/>
      <w:r w:rsidRPr="004049F3">
        <w:rPr>
          <w:rFonts w:cs="Arial"/>
          <w:sz w:val="20"/>
        </w:rPr>
        <w:t xml:space="preserve"> </w:t>
      </w:r>
      <w:proofErr w:type="spellStart"/>
      <w:r w:rsidRPr="004049F3">
        <w:rPr>
          <w:rFonts w:cs="Arial"/>
          <w:sz w:val="20"/>
        </w:rPr>
        <w:t>ügyletet</w:t>
      </w:r>
      <w:proofErr w:type="spellEnd"/>
      <w:r w:rsidRPr="004049F3">
        <w:rPr>
          <w:rFonts w:cs="Arial"/>
          <w:sz w:val="20"/>
        </w:rPr>
        <w:t xml:space="preserve"> </w:t>
      </w:r>
      <w:proofErr w:type="spellStart"/>
      <w:r w:rsidRPr="004049F3">
        <w:rPr>
          <w:rFonts w:cs="Arial"/>
          <w:sz w:val="20"/>
        </w:rPr>
        <w:t>nem</w:t>
      </w:r>
      <w:proofErr w:type="spellEnd"/>
      <w:r w:rsidRPr="004049F3">
        <w:rPr>
          <w:rFonts w:cs="Arial"/>
          <w:sz w:val="20"/>
        </w:rPr>
        <w:t xml:space="preserve"> </w:t>
      </w:r>
      <w:proofErr w:type="spellStart"/>
      <w:r w:rsidRPr="004049F3">
        <w:rPr>
          <w:rFonts w:cs="Arial"/>
          <w:sz w:val="20"/>
        </w:rPr>
        <w:t>kell</w:t>
      </w:r>
      <w:proofErr w:type="spellEnd"/>
      <w:r w:rsidRPr="004049F3">
        <w:rPr>
          <w:rFonts w:cs="Arial"/>
          <w:sz w:val="20"/>
        </w:rPr>
        <w:t xml:space="preserve"> </w:t>
      </w:r>
      <w:proofErr w:type="spellStart"/>
      <w:r w:rsidRPr="004049F3">
        <w:rPr>
          <w:rFonts w:cs="Arial"/>
          <w:sz w:val="20"/>
        </w:rPr>
        <w:t>jelenteni</w:t>
      </w:r>
      <w:proofErr w:type="spellEnd"/>
      <w:r w:rsidRPr="004049F3">
        <w:rPr>
          <w:rFonts w:cs="Arial"/>
          <w:sz w:val="20"/>
        </w:rPr>
        <w:t xml:space="preserve"> </w:t>
      </w:r>
      <w:proofErr w:type="spellStart"/>
      <w:r w:rsidRPr="004049F3">
        <w:rPr>
          <w:rFonts w:cs="Arial"/>
          <w:sz w:val="20"/>
        </w:rPr>
        <w:t>további</w:t>
      </w:r>
      <w:proofErr w:type="spellEnd"/>
      <w:r w:rsidRPr="004049F3">
        <w:rPr>
          <w:rFonts w:cs="Arial"/>
          <w:sz w:val="20"/>
        </w:rPr>
        <w:t xml:space="preserve"> </w:t>
      </w:r>
      <w:proofErr w:type="spellStart"/>
      <w:r w:rsidRPr="004049F3">
        <w:rPr>
          <w:rFonts w:cs="Arial"/>
          <w:sz w:val="20"/>
        </w:rPr>
        <w:t>forgalomként.Felhívjuk</w:t>
      </w:r>
      <w:proofErr w:type="spellEnd"/>
      <w:r w:rsidRPr="004049F3">
        <w:rPr>
          <w:rFonts w:cs="Arial"/>
          <w:sz w:val="20"/>
        </w:rPr>
        <w:t xml:space="preserve"> </w:t>
      </w:r>
      <w:proofErr w:type="spellStart"/>
      <w:r w:rsidRPr="004049F3">
        <w:rPr>
          <w:rFonts w:cs="Arial"/>
          <w:sz w:val="20"/>
        </w:rPr>
        <w:t>azonban</w:t>
      </w:r>
      <w:proofErr w:type="spellEnd"/>
      <w:r w:rsidRPr="004049F3">
        <w:rPr>
          <w:rFonts w:cs="Arial"/>
          <w:sz w:val="20"/>
        </w:rPr>
        <w:t xml:space="preserve"> </w:t>
      </w:r>
      <w:proofErr w:type="spellStart"/>
      <w:r w:rsidRPr="004049F3">
        <w:rPr>
          <w:rFonts w:cs="Arial"/>
          <w:sz w:val="20"/>
        </w:rPr>
        <w:t>figyelmüket</w:t>
      </w:r>
      <w:proofErr w:type="spellEnd"/>
      <w:r w:rsidRPr="004049F3">
        <w:rPr>
          <w:rFonts w:cs="Arial"/>
          <w:sz w:val="20"/>
        </w:rPr>
        <w:t xml:space="preserve"> </w:t>
      </w:r>
      <w:proofErr w:type="spellStart"/>
      <w:r w:rsidRPr="004049F3">
        <w:rPr>
          <w:rFonts w:cs="Arial"/>
          <w:sz w:val="20"/>
        </w:rPr>
        <w:t>arra</w:t>
      </w:r>
      <w:proofErr w:type="spellEnd"/>
      <w:r w:rsidRPr="004049F3">
        <w:rPr>
          <w:rFonts w:cs="Arial"/>
          <w:sz w:val="20"/>
        </w:rPr>
        <w:t xml:space="preserve"> </w:t>
      </w:r>
      <w:proofErr w:type="spellStart"/>
      <w:r w:rsidRPr="004049F3">
        <w:rPr>
          <w:rFonts w:cs="Arial"/>
          <w:sz w:val="20"/>
        </w:rPr>
        <w:t>vonatkozóan</w:t>
      </w:r>
      <w:proofErr w:type="spellEnd"/>
      <w:r w:rsidRPr="004049F3">
        <w:rPr>
          <w:rFonts w:cs="Arial"/>
          <w:sz w:val="20"/>
        </w:rPr>
        <w:t xml:space="preserve">, </w:t>
      </w:r>
      <w:proofErr w:type="spellStart"/>
      <w:r w:rsidRPr="004049F3">
        <w:rPr>
          <w:rFonts w:cs="Arial"/>
          <w:sz w:val="20"/>
        </w:rPr>
        <w:t>hogy</w:t>
      </w:r>
      <w:proofErr w:type="spellEnd"/>
      <w:r w:rsidRPr="004049F3">
        <w:rPr>
          <w:rFonts w:cs="Arial"/>
          <w:sz w:val="20"/>
        </w:rPr>
        <w:t xml:space="preserve"> a </w:t>
      </w:r>
      <w:proofErr w:type="spellStart"/>
      <w:r w:rsidRPr="004049F3">
        <w:rPr>
          <w:rFonts w:cs="Arial"/>
          <w:sz w:val="20"/>
        </w:rPr>
        <w:t>központilag</w:t>
      </w:r>
      <w:proofErr w:type="spellEnd"/>
      <w:r w:rsidRPr="004049F3">
        <w:rPr>
          <w:rFonts w:cs="Arial"/>
          <w:sz w:val="20"/>
        </w:rPr>
        <w:t xml:space="preserve"> </w:t>
      </w:r>
      <w:proofErr w:type="spellStart"/>
      <w:r w:rsidRPr="004049F3">
        <w:rPr>
          <w:rFonts w:cs="Arial"/>
          <w:sz w:val="20"/>
        </w:rPr>
        <w:t>elszámolt</w:t>
      </w:r>
      <w:proofErr w:type="spellEnd"/>
      <w:r w:rsidRPr="004049F3">
        <w:rPr>
          <w:rFonts w:cs="Arial"/>
          <w:sz w:val="20"/>
        </w:rPr>
        <w:t xml:space="preserve"> OTC </w:t>
      </w:r>
      <w:proofErr w:type="spellStart"/>
      <w:r w:rsidRPr="004049F3">
        <w:rPr>
          <w:rFonts w:cs="Arial"/>
          <w:sz w:val="20"/>
        </w:rPr>
        <w:t>derivatív</w:t>
      </w:r>
      <w:proofErr w:type="spellEnd"/>
      <w:r w:rsidRPr="004049F3">
        <w:rPr>
          <w:rFonts w:cs="Arial"/>
          <w:sz w:val="20"/>
        </w:rPr>
        <w:t xml:space="preserve"> </w:t>
      </w:r>
      <w:proofErr w:type="spellStart"/>
      <w:r w:rsidRPr="004049F3">
        <w:rPr>
          <w:rFonts w:cs="Arial"/>
          <w:sz w:val="20"/>
        </w:rPr>
        <w:t>tranzakciók</w:t>
      </w:r>
      <w:proofErr w:type="spellEnd"/>
      <w:r w:rsidRPr="004049F3">
        <w:rPr>
          <w:rFonts w:cs="Arial"/>
          <w:sz w:val="20"/>
        </w:rPr>
        <w:t xml:space="preserve"> </w:t>
      </w:r>
      <w:proofErr w:type="spellStart"/>
      <w:r w:rsidRPr="004049F3">
        <w:rPr>
          <w:rFonts w:cs="Arial"/>
          <w:sz w:val="20"/>
        </w:rPr>
        <w:t>kezelése</w:t>
      </w:r>
      <w:proofErr w:type="spellEnd"/>
      <w:r w:rsidRPr="004049F3">
        <w:rPr>
          <w:rFonts w:cs="Arial"/>
          <w:sz w:val="20"/>
        </w:rPr>
        <w:t xml:space="preserve"> a </w:t>
      </w:r>
      <w:proofErr w:type="spellStart"/>
      <w:r w:rsidRPr="004049F3">
        <w:rPr>
          <w:rFonts w:cs="Arial"/>
          <w:sz w:val="20"/>
        </w:rPr>
        <w:t>felmérés</w:t>
      </w:r>
      <w:proofErr w:type="spellEnd"/>
      <w:r w:rsidRPr="004049F3">
        <w:rPr>
          <w:rFonts w:cs="Arial"/>
          <w:sz w:val="20"/>
        </w:rPr>
        <w:t xml:space="preserve"> </w:t>
      </w:r>
      <w:proofErr w:type="spellStart"/>
      <w:r w:rsidRPr="004049F3">
        <w:rPr>
          <w:rFonts w:cs="Arial"/>
          <w:sz w:val="20"/>
        </w:rPr>
        <w:t>forgalmi</w:t>
      </w:r>
      <w:proofErr w:type="spellEnd"/>
      <w:r w:rsidRPr="004049F3">
        <w:rPr>
          <w:rFonts w:cs="Arial"/>
          <w:sz w:val="20"/>
        </w:rPr>
        <w:t xml:space="preserve"> </w:t>
      </w:r>
      <w:proofErr w:type="spellStart"/>
      <w:r w:rsidRPr="004049F3">
        <w:rPr>
          <w:rFonts w:cs="Arial"/>
          <w:sz w:val="20"/>
        </w:rPr>
        <w:t>adatokra</w:t>
      </w:r>
      <w:proofErr w:type="spellEnd"/>
      <w:r w:rsidRPr="004049F3">
        <w:rPr>
          <w:rFonts w:cs="Arial"/>
          <w:sz w:val="20"/>
        </w:rPr>
        <w:t xml:space="preserve"> és </w:t>
      </w:r>
      <w:proofErr w:type="spellStart"/>
      <w:r w:rsidRPr="004049F3">
        <w:rPr>
          <w:rFonts w:cs="Arial"/>
          <w:sz w:val="20"/>
        </w:rPr>
        <w:t>nyitott</w:t>
      </w:r>
      <w:proofErr w:type="spellEnd"/>
      <w:r w:rsidRPr="004049F3">
        <w:rPr>
          <w:rFonts w:cs="Arial"/>
          <w:sz w:val="20"/>
        </w:rPr>
        <w:t xml:space="preserve"> </w:t>
      </w:r>
      <w:proofErr w:type="spellStart"/>
      <w:r w:rsidRPr="004049F3">
        <w:rPr>
          <w:rFonts w:cs="Arial"/>
          <w:sz w:val="20"/>
        </w:rPr>
        <w:t>kötésállományokra</w:t>
      </w:r>
      <w:proofErr w:type="spellEnd"/>
      <w:r w:rsidRPr="004049F3">
        <w:rPr>
          <w:rFonts w:cs="Arial"/>
          <w:sz w:val="20"/>
        </w:rPr>
        <w:t xml:space="preserve"> </w:t>
      </w:r>
      <w:proofErr w:type="spellStart"/>
      <w:r w:rsidRPr="004049F3">
        <w:rPr>
          <w:rFonts w:cs="Arial"/>
          <w:sz w:val="20"/>
        </w:rPr>
        <w:t>vonatkozó</w:t>
      </w:r>
      <w:proofErr w:type="spellEnd"/>
      <w:r w:rsidRPr="004049F3">
        <w:rPr>
          <w:rFonts w:cs="Arial"/>
          <w:sz w:val="20"/>
        </w:rPr>
        <w:t xml:space="preserve"> </w:t>
      </w:r>
      <w:proofErr w:type="spellStart"/>
      <w:r w:rsidRPr="004049F3">
        <w:rPr>
          <w:rFonts w:cs="Arial"/>
          <w:sz w:val="20"/>
        </w:rPr>
        <w:t>részében</w:t>
      </w:r>
      <w:proofErr w:type="spellEnd"/>
      <w:r w:rsidRPr="004049F3">
        <w:rPr>
          <w:rFonts w:cs="Arial"/>
          <w:sz w:val="20"/>
        </w:rPr>
        <w:t xml:space="preserve"> </w:t>
      </w:r>
      <w:proofErr w:type="spellStart"/>
      <w:r w:rsidRPr="004049F3">
        <w:rPr>
          <w:rFonts w:cs="Arial"/>
          <w:sz w:val="20"/>
        </w:rPr>
        <w:t>eltérő</w:t>
      </w:r>
      <w:proofErr w:type="spellEnd"/>
      <w:r w:rsidRPr="004049F3">
        <w:rPr>
          <w:rFonts w:cs="Arial"/>
          <w:sz w:val="20"/>
        </w:rPr>
        <w:t xml:space="preserve">.    </w:t>
      </w:r>
    </w:p>
  </w:footnote>
  <w:footnote w:id="3">
    <w:p w:rsidR="006771C6" w:rsidRPr="004049F3" w:rsidRDefault="006771C6">
      <w:pPr>
        <w:pStyle w:val="FootnoteText"/>
        <w:rPr>
          <w:rFonts w:cs="Arial"/>
          <w:lang w:val="hu-HU"/>
        </w:rPr>
      </w:pPr>
      <w:r w:rsidRPr="004049F3">
        <w:rPr>
          <w:rStyle w:val="FootnoteReference"/>
          <w:rFonts w:cs="Arial"/>
        </w:rPr>
        <w:footnoteRef/>
      </w:r>
      <w:r w:rsidRPr="004049F3">
        <w:rPr>
          <w:rFonts w:cs="Arial"/>
        </w:rPr>
        <w:t xml:space="preserve"> </w:t>
      </w:r>
      <w:r w:rsidRPr="004049F3">
        <w:rPr>
          <w:rFonts w:cs="Arial"/>
          <w:color w:val="222222"/>
          <w:lang w:val="hu-HU"/>
        </w:rPr>
        <w:t>A tény, hogy az egyik szerződő fél egy, az eredeti pozíció lezárására (</w:t>
      </w:r>
      <w:proofErr w:type="spellStart"/>
      <w:r w:rsidRPr="004049F3">
        <w:rPr>
          <w:rFonts w:cs="Arial"/>
          <w:color w:val="222222"/>
          <w:lang w:val="hu-HU"/>
        </w:rPr>
        <w:t>terminálására</w:t>
      </w:r>
      <w:proofErr w:type="spellEnd"/>
      <w:r w:rsidRPr="004049F3">
        <w:rPr>
          <w:rFonts w:cs="Arial"/>
          <w:color w:val="222222"/>
          <w:lang w:val="hu-HU"/>
        </w:rPr>
        <w:t>) irányuló ellenirányú szerződést köt, nem befolyásolja az eredeti szerződés jelentését. Mind az eredeti szerződést, mind az új ellenirányú szerződést jelenteni kell. Hasonlóképpen, ha a szerződésben részt vevő felek a futamidő hosszabbításáról állapodnak meg (új szerződés megkötésével), az nem befolyásolja az eredeti szerződés jelentését. Mind az eredeti szerződést, mind az új szerződést jelenteni kell.</w:t>
      </w:r>
    </w:p>
  </w:footnote>
  <w:footnote w:id="4">
    <w:p w:rsidR="006771C6" w:rsidRPr="004049F3" w:rsidRDefault="006771C6">
      <w:pPr>
        <w:pStyle w:val="FootnoteText"/>
        <w:rPr>
          <w:rFonts w:cs="Arial"/>
          <w:lang w:val="hu-HU"/>
        </w:rPr>
      </w:pPr>
      <w:r w:rsidRPr="004049F3">
        <w:rPr>
          <w:rStyle w:val="FootnoteReference"/>
          <w:rFonts w:cs="Arial"/>
        </w:rPr>
        <w:footnoteRef/>
      </w:r>
      <w:r w:rsidRPr="004049F3">
        <w:rPr>
          <w:rFonts w:cs="Arial"/>
        </w:rPr>
        <w:t xml:space="preserve"> </w:t>
      </w:r>
      <w:r w:rsidRPr="004049F3">
        <w:rPr>
          <w:rFonts w:cs="Arial"/>
          <w:lang w:val="hu-HU"/>
        </w:rPr>
        <w:t xml:space="preserve">Azt illetően, hogy egy adott intézmény a “jelentő </w:t>
      </w:r>
      <w:proofErr w:type="spellStart"/>
      <w:r w:rsidRPr="004049F3">
        <w:rPr>
          <w:rFonts w:cs="Arial"/>
          <w:lang w:val="hu-HU"/>
        </w:rPr>
        <w:t>dealerek</w:t>
      </w:r>
      <w:proofErr w:type="spellEnd"/>
      <w:r w:rsidRPr="004049F3">
        <w:rPr>
          <w:rFonts w:cs="Arial"/>
          <w:lang w:val="hu-HU"/>
        </w:rPr>
        <w:t xml:space="preserve">” vagy “nem adatszolgáltató bankok” kategóriájába tartozik-e, lásd a jelentő </w:t>
      </w:r>
      <w:proofErr w:type="spellStart"/>
      <w:r w:rsidRPr="004049F3">
        <w:rPr>
          <w:rFonts w:cs="Arial"/>
          <w:lang w:val="hu-HU"/>
        </w:rPr>
        <w:t>dealerek</w:t>
      </w:r>
      <w:proofErr w:type="spellEnd"/>
      <w:r w:rsidRPr="004049F3">
        <w:rPr>
          <w:rFonts w:cs="Arial"/>
          <w:lang w:val="hu-HU"/>
        </w:rPr>
        <w:t xml:space="preserve"> listáját.</w:t>
      </w:r>
    </w:p>
  </w:footnote>
  <w:footnote w:id="5">
    <w:p w:rsidR="006771C6" w:rsidRPr="004049F3" w:rsidRDefault="006771C6">
      <w:pPr>
        <w:pStyle w:val="FootnoteText"/>
        <w:rPr>
          <w:rFonts w:cs="Arial"/>
          <w:lang w:val="hu-HU"/>
        </w:rPr>
      </w:pPr>
      <w:r w:rsidRPr="004049F3">
        <w:rPr>
          <w:rStyle w:val="FootnoteReference"/>
          <w:rFonts w:cs="Arial"/>
        </w:rPr>
        <w:footnoteRef/>
      </w:r>
      <w:r w:rsidRPr="004049F3">
        <w:rPr>
          <w:rFonts w:cs="Arial"/>
        </w:rPr>
        <w:t xml:space="preserve"> </w:t>
      </w:r>
      <w:r w:rsidRPr="004049F3">
        <w:rPr>
          <w:rFonts w:cs="Arial"/>
          <w:lang w:val="hu-HU"/>
        </w:rPr>
        <w:t>T+0 spot megállapodások</w:t>
      </w:r>
    </w:p>
  </w:footnote>
  <w:footnote w:id="6">
    <w:p w:rsidR="006771C6" w:rsidRPr="004049F3" w:rsidRDefault="006771C6" w:rsidP="001F5D73">
      <w:pPr>
        <w:pStyle w:val="FootnoteText"/>
        <w:rPr>
          <w:rFonts w:cs="Arial"/>
          <w:lang w:val="hu-HU"/>
        </w:rPr>
      </w:pPr>
      <w:r w:rsidRPr="004049F3">
        <w:rPr>
          <w:rStyle w:val="FootnoteReference"/>
          <w:rFonts w:cs="Arial"/>
          <w:lang w:val="hu-HU"/>
        </w:rPr>
        <w:footnoteRef/>
      </w:r>
      <w:r w:rsidRPr="004049F3">
        <w:rPr>
          <w:rFonts w:cs="Arial"/>
          <w:lang w:val="hu-HU"/>
        </w:rPr>
        <w:t xml:space="preserve"> Külön adatszolgáltatást kérünk a határidős </w:t>
      </w:r>
      <w:proofErr w:type="spellStart"/>
      <w:r w:rsidRPr="004049F3">
        <w:rPr>
          <w:rFonts w:cs="Arial"/>
          <w:lang w:val="hu-HU"/>
        </w:rPr>
        <w:t>CFD</w:t>
      </w:r>
      <w:proofErr w:type="spellEnd"/>
      <w:r w:rsidRPr="004049F3">
        <w:rPr>
          <w:rFonts w:cs="Arial"/>
          <w:lang w:val="hu-HU"/>
        </w:rPr>
        <w:t xml:space="preserve"> termékekről (beleértve a nem leszállításos határidős ügyleteket is). Lásd a K fejezet 4. pontját.</w:t>
      </w:r>
    </w:p>
  </w:footnote>
  <w:footnote w:id="7">
    <w:p w:rsidR="006771C6" w:rsidRPr="004049F3" w:rsidRDefault="006771C6" w:rsidP="00DB203A">
      <w:pPr>
        <w:autoSpaceDE w:val="0"/>
        <w:autoSpaceDN w:val="0"/>
        <w:adjustRightInd w:val="0"/>
        <w:jc w:val="both"/>
        <w:rPr>
          <w:rFonts w:cs="Arial"/>
          <w:snapToGrid/>
          <w:sz w:val="20"/>
          <w:lang w:val="hu-HU"/>
        </w:rPr>
      </w:pPr>
      <w:r w:rsidRPr="004049F3">
        <w:rPr>
          <w:rStyle w:val="FootnoteReference"/>
          <w:rFonts w:cs="Arial"/>
          <w:sz w:val="20"/>
        </w:rPr>
        <w:footnoteRef/>
      </w:r>
      <w:r w:rsidRPr="004049F3">
        <w:rPr>
          <w:rFonts w:cs="Arial"/>
          <w:sz w:val="20"/>
        </w:rPr>
        <w:t xml:space="preserve"> </w:t>
      </w:r>
      <w:r w:rsidRPr="004049F3">
        <w:rPr>
          <w:rFonts w:cs="Arial"/>
          <w:snapToGrid/>
          <w:sz w:val="20"/>
          <w:lang w:val="hu-HU"/>
        </w:rPr>
        <w:t xml:space="preserve">Az </w:t>
      </w:r>
      <w:proofErr w:type="spellStart"/>
      <w:r w:rsidRPr="004049F3">
        <w:rPr>
          <w:rFonts w:cs="Arial"/>
          <w:snapToGrid/>
          <w:sz w:val="20"/>
          <w:lang w:val="hu-HU"/>
        </w:rPr>
        <w:t>NDF</w:t>
      </w:r>
      <w:proofErr w:type="spellEnd"/>
      <w:r w:rsidRPr="004049F3">
        <w:rPr>
          <w:rFonts w:cs="Arial"/>
          <w:snapToGrid/>
          <w:sz w:val="20"/>
          <w:lang w:val="hu-HU"/>
        </w:rPr>
        <w:t xml:space="preserve"> ügyletek különböznek a leszállításos határidős ügyletektől, ezeknél a lejáratkor nem történik meg a deviza összegek fizikai leszállítása. Az </w:t>
      </w:r>
      <w:proofErr w:type="spellStart"/>
      <w:r w:rsidRPr="004049F3">
        <w:rPr>
          <w:rFonts w:cs="Arial"/>
          <w:snapToGrid/>
          <w:sz w:val="20"/>
          <w:lang w:val="hu-HU"/>
        </w:rPr>
        <w:t>NDF</w:t>
      </w:r>
      <w:proofErr w:type="spellEnd"/>
      <w:r w:rsidRPr="004049F3">
        <w:rPr>
          <w:rFonts w:cs="Arial"/>
          <w:snapToGrid/>
          <w:sz w:val="20"/>
          <w:lang w:val="hu-HU"/>
        </w:rPr>
        <w:t xml:space="preserve"> ügyleteket készpénzben számolják el (leggyakrabban USA dollárban, vagy bármely más előre meghatározott devizanemben). Az elszámolás összege a szerződött határidős árfolyam és a lejáratkori (fixing nap) azonnali árfolyam közötti különbség, valamint egy előre meghatározott nagyságú névérték alapján kerül kiszámításra.</w:t>
      </w:r>
    </w:p>
  </w:footnote>
  <w:footnote w:id="8">
    <w:p w:rsidR="006771C6" w:rsidRPr="004049F3" w:rsidRDefault="006771C6">
      <w:pPr>
        <w:pStyle w:val="FootnoteText"/>
        <w:rPr>
          <w:rFonts w:cs="Arial"/>
          <w:lang w:val="hu-HU"/>
        </w:rPr>
      </w:pPr>
      <w:r w:rsidRPr="004049F3">
        <w:rPr>
          <w:rStyle w:val="FootnoteReference"/>
          <w:rFonts w:cs="Arial"/>
        </w:rPr>
        <w:footnoteRef/>
      </w:r>
      <w:r w:rsidRPr="004049F3">
        <w:rPr>
          <w:rFonts w:cs="Arial"/>
        </w:rPr>
        <w:t xml:space="preserve"> </w:t>
      </w:r>
      <w:r w:rsidRPr="004049F3">
        <w:rPr>
          <w:rFonts w:cs="Arial"/>
          <w:color w:val="222222"/>
        </w:rPr>
        <w:t xml:space="preserve"> </w:t>
      </w:r>
      <w:r w:rsidRPr="004049F3">
        <w:rPr>
          <w:rFonts w:cs="Arial"/>
          <w:color w:val="222222"/>
          <w:lang w:val="hu-HU"/>
        </w:rPr>
        <w:t xml:space="preserve">Az ún. In / out </w:t>
      </w:r>
      <w:proofErr w:type="spellStart"/>
      <w:r w:rsidRPr="004049F3">
        <w:rPr>
          <w:rFonts w:cs="Arial"/>
          <w:color w:val="222222"/>
          <w:lang w:val="hu-HU"/>
        </w:rPr>
        <w:t>swapok</w:t>
      </w:r>
      <w:proofErr w:type="spellEnd"/>
      <w:r w:rsidRPr="004049F3">
        <w:rPr>
          <w:rFonts w:cs="Arial"/>
          <w:color w:val="222222"/>
          <w:lang w:val="hu-HU"/>
        </w:rPr>
        <w:t xml:space="preserve"> kizárólag a </w:t>
      </w:r>
      <w:proofErr w:type="spellStart"/>
      <w:r w:rsidRPr="004049F3">
        <w:rPr>
          <w:rFonts w:cs="Arial"/>
          <w:color w:val="222222"/>
          <w:lang w:val="hu-HU"/>
        </w:rPr>
        <w:t>CLS</w:t>
      </w:r>
      <w:proofErr w:type="spellEnd"/>
      <w:r w:rsidRPr="004049F3">
        <w:rPr>
          <w:rFonts w:cs="Arial"/>
          <w:color w:val="222222"/>
          <w:lang w:val="hu-HU"/>
        </w:rPr>
        <w:t xml:space="preserve"> tagjai között használatosak, annak érdekében, hogy csökkentsék a befizetéseket a </w:t>
      </w:r>
      <w:proofErr w:type="spellStart"/>
      <w:r w:rsidRPr="004049F3">
        <w:rPr>
          <w:rFonts w:cs="Arial"/>
          <w:color w:val="222222"/>
          <w:lang w:val="hu-HU"/>
        </w:rPr>
        <w:t>CLS</w:t>
      </w:r>
      <w:proofErr w:type="spellEnd"/>
      <w:r w:rsidRPr="004049F3">
        <w:rPr>
          <w:rFonts w:cs="Arial"/>
          <w:color w:val="222222"/>
          <w:lang w:val="hu-HU"/>
        </w:rPr>
        <w:t xml:space="preserve"> rendszer</w:t>
      </w:r>
      <w:r w:rsidR="00A90BB6" w:rsidRPr="004049F3">
        <w:rPr>
          <w:rFonts w:cs="Arial"/>
          <w:color w:val="222222"/>
          <w:lang w:val="hu-HU"/>
        </w:rPr>
        <w:t>be</w:t>
      </w:r>
      <w:r w:rsidRPr="004049F3">
        <w:rPr>
          <w:rFonts w:cs="Arial"/>
          <w:color w:val="222222"/>
          <w:lang w:val="hu-HU"/>
        </w:rPr>
        <w:t xml:space="preserve"> </w:t>
      </w:r>
      <w:r w:rsidR="00975509" w:rsidRPr="004049F3">
        <w:rPr>
          <w:rFonts w:cs="Arial"/>
          <w:color w:val="222222"/>
          <w:lang w:val="hu-HU"/>
        </w:rPr>
        <w:t>a</w:t>
      </w:r>
      <w:r w:rsidR="00A90BB6" w:rsidRPr="004049F3">
        <w:rPr>
          <w:rFonts w:cs="Arial"/>
          <w:color w:val="222222"/>
          <w:lang w:val="hu-HU"/>
        </w:rPr>
        <w:t xml:space="preserve">z </w:t>
      </w:r>
      <w:proofErr w:type="spellStart"/>
      <w:r w:rsidRPr="004049F3">
        <w:rPr>
          <w:rFonts w:cs="Arial"/>
          <w:color w:val="222222"/>
          <w:lang w:val="hu-HU"/>
        </w:rPr>
        <w:t>FX</w:t>
      </w:r>
      <w:proofErr w:type="spellEnd"/>
      <w:r w:rsidRPr="004049F3">
        <w:rPr>
          <w:rFonts w:cs="Arial"/>
          <w:color w:val="222222"/>
          <w:lang w:val="hu-HU"/>
        </w:rPr>
        <w:t xml:space="preserve"> tranzakcióknál. Mivel csak a likviditáskezelés céljából kerülnek végrehajtásra (és további nehézséget okoznának a korábbi évek adataival való összeméré</w:t>
      </w:r>
      <w:r w:rsidR="00485022" w:rsidRPr="004049F3">
        <w:rPr>
          <w:rFonts w:cs="Arial"/>
          <w:color w:val="222222"/>
          <w:lang w:val="hu-HU"/>
        </w:rPr>
        <w:t>s</w:t>
      </w:r>
      <w:r w:rsidRPr="004049F3">
        <w:rPr>
          <w:rFonts w:cs="Arial"/>
          <w:color w:val="222222"/>
          <w:lang w:val="hu-HU"/>
        </w:rPr>
        <w:t xml:space="preserve"> során), ezért </w:t>
      </w:r>
      <w:r w:rsidR="00485022" w:rsidRPr="004049F3">
        <w:rPr>
          <w:rFonts w:cs="Arial"/>
          <w:color w:val="222222"/>
          <w:lang w:val="hu-HU"/>
        </w:rPr>
        <w:t>ezeket az</w:t>
      </w:r>
      <w:r w:rsidRPr="004049F3">
        <w:rPr>
          <w:rFonts w:cs="Arial"/>
          <w:color w:val="222222"/>
          <w:lang w:val="hu-HU"/>
        </w:rPr>
        <w:t xml:space="preserve"> ügyleteket nem kell jelenteni.</w:t>
      </w:r>
    </w:p>
  </w:footnote>
  <w:footnote w:id="9">
    <w:p w:rsidR="006771C6" w:rsidRPr="004049F3" w:rsidRDefault="006771C6">
      <w:pPr>
        <w:pStyle w:val="FootnoteText"/>
        <w:rPr>
          <w:rFonts w:cs="Arial"/>
          <w:lang w:val="hu-HU"/>
        </w:rPr>
      </w:pPr>
      <w:r w:rsidRPr="004049F3">
        <w:rPr>
          <w:rStyle w:val="FootnoteReference"/>
          <w:rFonts w:cs="Arial"/>
        </w:rPr>
        <w:footnoteRef/>
      </w:r>
      <w:r w:rsidRPr="004049F3">
        <w:rPr>
          <w:rFonts w:cs="Arial"/>
        </w:rPr>
        <w:t xml:space="preserve"> </w:t>
      </w:r>
      <w:r w:rsidRPr="004049F3">
        <w:rPr>
          <w:rFonts w:cs="Arial"/>
          <w:lang w:val="hu-HU"/>
        </w:rPr>
        <w:t>í</w:t>
      </w:r>
      <w:r w:rsidRPr="004049F3">
        <w:rPr>
          <w:rFonts w:cs="Arial"/>
          <w:color w:val="222222"/>
          <w:lang w:val="hu-HU"/>
        </w:rPr>
        <w:t xml:space="preserve">gy az ügyfél hozzáférést kap a szűk </w:t>
      </w:r>
      <w:proofErr w:type="spellStart"/>
      <w:r w:rsidRPr="004049F3">
        <w:rPr>
          <w:rFonts w:cs="Arial"/>
          <w:color w:val="222222"/>
          <w:lang w:val="hu-HU"/>
        </w:rPr>
        <w:t>bid-ask</w:t>
      </w:r>
      <w:proofErr w:type="spellEnd"/>
      <w:r w:rsidRPr="004049F3">
        <w:rPr>
          <w:rFonts w:cs="Arial"/>
          <w:color w:val="222222"/>
          <w:lang w:val="hu-HU"/>
        </w:rPr>
        <w:t xml:space="preserve"> </w:t>
      </w:r>
      <w:proofErr w:type="spellStart"/>
      <w:r w:rsidRPr="004049F3">
        <w:rPr>
          <w:rFonts w:cs="Arial"/>
          <w:color w:val="222222"/>
          <w:lang w:val="hu-HU"/>
        </w:rPr>
        <w:t>spreadekhez</w:t>
      </w:r>
      <w:proofErr w:type="spellEnd"/>
      <w:r w:rsidRPr="004049F3">
        <w:rPr>
          <w:rFonts w:cs="Arial"/>
          <w:color w:val="222222"/>
          <w:lang w:val="hu-HU"/>
        </w:rPr>
        <w:t xml:space="preserve"> és az elektronikus kereskedési platformok mély likviditásához az </w:t>
      </w:r>
      <w:proofErr w:type="spellStart"/>
      <w:r w:rsidRPr="004049F3">
        <w:rPr>
          <w:rFonts w:cs="Arial"/>
          <w:color w:val="222222"/>
          <w:lang w:val="hu-HU"/>
        </w:rPr>
        <w:t>FX</w:t>
      </w:r>
      <w:proofErr w:type="spellEnd"/>
      <w:r w:rsidRPr="004049F3">
        <w:rPr>
          <w:rFonts w:cs="Arial"/>
          <w:color w:val="222222"/>
          <w:lang w:val="hu-HU"/>
        </w:rPr>
        <w:t xml:space="preserve"> </w:t>
      </w:r>
      <w:proofErr w:type="spellStart"/>
      <w:r w:rsidRPr="004049F3">
        <w:rPr>
          <w:rFonts w:cs="Arial"/>
          <w:color w:val="222222"/>
          <w:lang w:val="hu-HU"/>
        </w:rPr>
        <w:t>interdealer</w:t>
      </w:r>
      <w:proofErr w:type="spellEnd"/>
      <w:r w:rsidRPr="004049F3">
        <w:rPr>
          <w:rFonts w:cs="Arial"/>
          <w:color w:val="222222"/>
          <w:lang w:val="hu-HU"/>
        </w:rPr>
        <w:t xml:space="preserve"> piacon (például az </w:t>
      </w:r>
      <w:proofErr w:type="spellStart"/>
      <w:r w:rsidRPr="004049F3">
        <w:rPr>
          <w:rFonts w:cs="Arial"/>
          <w:color w:val="222222"/>
          <w:lang w:val="hu-HU"/>
        </w:rPr>
        <w:t>EBS</w:t>
      </w:r>
      <w:proofErr w:type="spellEnd"/>
      <w:r w:rsidRPr="004049F3">
        <w:rPr>
          <w:rFonts w:cs="Arial"/>
          <w:color w:val="222222"/>
          <w:lang w:val="hu-HU"/>
        </w:rPr>
        <w:t xml:space="preserve"> vagy a Thomson Reuters). A </w:t>
      </w:r>
      <w:proofErr w:type="spellStart"/>
      <w:r w:rsidRPr="004049F3">
        <w:rPr>
          <w:rFonts w:cs="Arial"/>
          <w:color w:val="222222"/>
          <w:lang w:val="hu-HU"/>
        </w:rPr>
        <w:t>prime</w:t>
      </w:r>
      <w:proofErr w:type="spellEnd"/>
      <w:r w:rsidRPr="004049F3">
        <w:rPr>
          <w:rFonts w:cs="Arial"/>
          <w:color w:val="222222"/>
          <w:lang w:val="hu-HU"/>
        </w:rPr>
        <w:t xml:space="preserve"> </w:t>
      </w:r>
      <w:proofErr w:type="spellStart"/>
      <w:r w:rsidRPr="004049F3">
        <w:rPr>
          <w:rFonts w:cs="Arial"/>
          <w:color w:val="222222"/>
          <w:lang w:val="hu-HU"/>
        </w:rPr>
        <w:t>broker</w:t>
      </w:r>
      <w:proofErr w:type="spellEnd"/>
      <w:r w:rsidRPr="004049F3">
        <w:rPr>
          <w:rFonts w:cs="Arial"/>
          <w:color w:val="222222"/>
          <w:lang w:val="hu-HU"/>
        </w:rPr>
        <w:t xml:space="preserve"> díjat kap az ügyféltől ebből a szolgáltatásáért. Továbbá a </w:t>
      </w:r>
      <w:proofErr w:type="spellStart"/>
      <w:r w:rsidRPr="004049F3">
        <w:rPr>
          <w:rFonts w:cs="Arial"/>
          <w:color w:val="222222"/>
          <w:lang w:val="hu-HU"/>
        </w:rPr>
        <w:t>prime</w:t>
      </w:r>
      <w:proofErr w:type="spellEnd"/>
      <w:r w:rsidRPr="004049F3">
        <w:rPr>
          <w:rFonts w:cs="Arial"/>
          <w:color w:val="222222"/>
          <w:lang w:val="hu-HU"/>
        </w:rPr>
        <w:t xml:space="preserve"> </w:t>
      </w:r>
      <w:proofErr w:type="spellStart"/>
      <w:r w:rsidRPr="004049F3">
        <w:rPr>
          <w:rFonts w:cs="Arial"/>
          <w:color w:val="222222"/>
          <w:lang w:val="hu-HU"/>
        </w:rPr>
        <w:t>brokerage</w:t>
      </w:r>
      <w:proofErr w:type="spellEnd"/>
      <w:r w:rsidRPr="004049F3">
        <w:rPr>
          <w:rFonts w:cs="Arial"/>
          <w:color w:val="222222"/>
          <w:lang w:val="hu-HU"/>
        </w:rPr>
        <w:t xml:space="preserve"> anonimitást biztosít az ügyfeleknek.</w:t>
      </w:r>
    </w:p>
  </w:footnote>
  <w:footnote w:id="10">
    <w:p w:rsidR="006771C6" w:rsidRPr="004049F3" w:rsidRDefault="006771C6">
      <w:pPr>
        <w:pStyle w:val="FootnoteText"/>
        <w:rPr>
          <w:rFonts w:cs="Arial"/>
          <w:lang w:val="hu-HU"/>
        </w:rPr>
      </w:pPr>
      <w:r w:rsidRPr="004049F3">
        <w:rPr>
          <w:rStyle w:val="FootnoteReference"/>
          <w:rFonts w:cs="Arial"/>
        </w:rPr>
        <w:footnoteRef/>
      </w:r>
      <w:r w:rsidRPr="004049F3">
        <w:rPr>
          <w:rFonts w:cs="Arial"/>
        </w:rPr>
        <w:t xml:space="preserve"> </w:t>
      </w:r>
      <w:r w:rsidRPr="004049F3">
        <w:rPr>
          <w:rFonts w:cs="Arial"/>
          <w:color w:val="222222"/>
          <w:lang w:val="hu-HU"/>
        </w:rPr>
        <w:t xml:space="preserve">A "nem </w:t>
      </w:r>
      <w:proofErr w:type="spellStart"/>
      <w:r w:rsidRPr="004049F3">
        <w:rPr>
          <w:rFonts w:cs="Arial"/>
          <w:color w:val="222222"/>
          <w:lang w:val="hu-HU"/>
        </w:rPr>
        <w:t>wholesale</w:t>
      </w:r>
      <w:proofErr w:type="spellEnd"/>
      <w:r w:rsidRPr="004049F3">
        <w:rPr>
          <w:rFonts w:cs="Arial"/>
          <w:color w:val="222222"/>
          <w:lang w:val="hu-HU"/>
        </w:rPr>
        <w:t>" tranzakciók nem tartalmazzák a fióktelep lakossági (</w:t>
      </w:r>
      <w:proofErr w:type="spellStart"/>
      <w:r w:rsidRPr="004049F3">
        <w:rPr>
          <w:rFonts w:cs="Arial"/>
          <w:color w:val="222222"/>
          <w:lang w:val="hu-HU"/>
        </w:rPr>
        <w:t>retail</w:t>
      </w:r>
      <w:proofErr w:type="spellEnd"/>
      <w:r w:rsidRPr="004049F3">
        <w:rPr>
          <w:rFonts w:cs="Arial"/>
          <w:color w:val="222222"/>
          <w:lang w:val="hu-HU"/>
        </w:rPr>
        <w:t xml:space="preserve">) spot tranzakcióit (mai szállítási határidőt), az alapok különböző devizában denominált ügyfélszámlák közötti pénzmozgását, valamint külföldi devizában végrehajtott </w:t>
      </w:r>
      <w:proofErr w:type="spellStart"/>
      <w:r w:rsidRPr="004049F3">
        <w:rPr>
          <w:rFonts w:cs="Arial"/>
          <w:color w:val="222222"/>
          <w:lang w:val="hu-HU"/>
        </w:rPr>
        <w:t>ATM</w:t>
      </w:r>
      <w:proofErr w:type="spellEnd"/>
      <w:r w:rsidRPr="004049F3">
        <w:rPr>
          <w:rFonts w:cs="Arial"/>
          <w:color w:val="222222"/>
          <w:lang w:val="hu-HU"/>
        </w:rPr>
        <w:t>, hitelkártya vagy tárolt értékű elektronikus tranzakciókat. Továbbá nem tartalmazzá</w:t>
      </w:r>
      <w:r w:rsidR="00FE1FD3" w:rsidRPr="004049F3">
        <w:rPr>
          <w:rFonts w:cs="Arial"/>
          <w:color w:val="222222"/>
          <w:lang w:val="hu-HU"/>
        </w:rPr>
        <w:t>k</w:t>
      </w:r>
      <w:r w:rsidRPr="004049F3">
        <w:rPr>
          <w:rFonts w:cs="Arial"/>
          <w:color w:val="222222"/>
          <w:lang w:val="hu-HU"/>
        </w:rPr>
        <w:t xml:space="preserve"> a lakossági ügyfelek kereskedelmi tranzakcióit, akkor sem, ha az külföldi devizában denominált. Ezek a tranzakciók kizárásának oka a jelentések megkönnyítés</w:t>
      </w:r>
      <w:r w:rsidR="00712D7D" w:rsidRPr="004049F3">
        <w:rPr>
          <w:rFonts w:cs="Arial"/>
          <w:color w:val="222222"/>
          <w:lang w:val="hu-HU"/>
        </w:rPr>
        <w:t>e</w:t>
      </w:r>
      <w:r w:rsidRPr="004049F3">
        <w:rPr>
          <w:rFonts w:cs="Arial"/>
          <w:color w:val="222222"/>
          <w:lang w:val="hu-HU"/>
        </w:rPr>
        <w:t>, és</w:t>
      </w:r>
      <w:r w:rsidR="00712D7D" w:rsidRPr="004049F3">
        <w:rPr>
          <w:rFonts w:cs="Arial"/>
          <w:color w:val="222222"/>
          <w:lang w:val="hu-HU"/>
        </w:rPr>
        <w:t xml:space="preserve"> </w:t>
      </w:r>
      <w:r w:rsidRPr="004049F3">
        <w:rPr>
          <w:rFonts w:cs="Arial"/>
          <w:color w:val="222222"/>
          <w:lang w:val="hu-HU"/>
        </w:rPr>
        <w:t>általában nincsenek társítva befektetési / spekulációs célú deviza kereskedéssel.</w:t>
      </w:r>
    </w:p>
  </w:footnote>
  <w:footnote w:id="11">
    <w:p w:rsidR="006771C6" w:rsidRPr="004049F3" w:rsidRDefault="006771C6">
      <w:pPr>
        <w:pStyle w:val="FootnoteText"/>
        <w:rPr>
          <w:rFonts w:cs="Arial"/>
          <w:lang w:val="hu-HU"/>
        </w:rPr>
      </w:pPr>
      <w:r w:rsidRPr="004049F3">
        <w:rPr>
          <w:rStyle w:val="FootnoteReference"/>
          <w:rFonts w:cs="Arial"/>
        </w:rPr>
        <w:footnoteRef/>
      </w:r>
      <w:r w:rsidRPr="004049F3">
        <w:rPr>
          <w:rFonts w:cs="Arial"/>
        </w:rPr>
        <w:t xml:space="preserve">  </w:t>
      </w:r>
      <w:r w:rsidRPr="004049F3">
        <w:rPr>
          <w:rFonts w:cs="Arial"/>
          <w:lang w:val="hu-HU"/>
        </w:rPr>
        <w:t>Az egyéni (</w:t>
      </w:r>
      <w:proofErr w:type="spellStart"/>
      <w:r w:rsidRPr="004049F3">
        <w:rPr>
          <w:rFonts w:cs="Arial"/>
          <w:lang w:val="hu-HU"/>
        </w:rPr>
        <w:t>single</w:t>
      </w:r>
      <w:proofErr w:type="spellEnd"/>
      <w:r w:rsidRPr="004049F3">
        <w:rPr>
          <w:rFonts w:cs="Arial"/>
          <w:lang w:val="hu-HU"/>
        </w:rPr>
        <w:t>-bank) kereskedési</w:t>
      </w:r>
      <w:r w:rsidRPr="004049F3">
        <w:rPr>
          <w:rFonts w:cs="Arial"/>
          <w:color w:val="222222"/>
          <w:lang w:val="hu-HU"/>
        </w:rPr>
        <w:t xml:space="preserve"> rendszerek abban különböznek a multi-banki kereskedési rendszertől, hogy a fő likviditást szolgáltató egyetlen bank. Ezzel ellentétben a multi-banki kereskedési rendszer egy "Multi-</w:t>
      </w:r>
      <w:proofErr w:type="spellStart"/>
      <w:r w:rsidRPr="004049F3">
        <w:rPr>
          <w:rFonts w:cs="Arial"/>
          <w:color w:val="222222"/>
          <w:lang w:val="hu-HU"/>
        </w:rPr>
        <w:t>dealer</w:t>
      </w:r>
      <w:proofErr w:type="spellEnd"/>
      <w:r w:rsidRPr="004049F3">
        <w:rPr>
          <w:rFonts w:cs="Arial"/>
          <w:color w:val="222222"/>
          <w:lang w:val="hu-HU"/>
        </w:rPr>
        <w:t>" rendszer, ahol számos bank biztosít likviditást a rendszer számára.</w:t>
      </w:r>
    </w:p>
  </w:footnote>
  <w:footnote w:id="12">
    <w:p w:rsidR="006771C6" w:rsidRPr="00C60538" w:rsidRDefault="006771C6" w:rsidP="00222BA3">
      <w:pPr>
        <w:pStyle w:val="FootnoteText"/>
        <w:rPr>
          <w:rFonts w:cs="Arial"/>
          <w:sz w:val="18"/>
          <w:szCs w:val="18"/>
          <w:lang w:val="hu-HU"/>
        </w:rPr>
      </w:pPr>
      <w:r w:rsidRPr="00C60538">
        <w:rPr>
          <w:rStyle w:val="FootnoteReference"/>
          <w:rFonts w:cs="Arial"/>
          <w:sz w:val="18"/>
          <w:szCs w:val="18"/>
        </w:rPr>
        <w:footnoteRef/>
      </w:r>
      <w:r w:rsidRPr="00C60538">
        <w:rPr>
          <w:rFonts w:cs="Arial"/>
          <w:sz w:val="18"/>
          <w:szCs w:val="18"/>
        </w:rPr>
        <w:t xml:space="preserve"> </w:t>
      </w:r>
      <w:r w:rsidRPr="00C60538">
        <w:rPr>
          <w:rFonts w:cs="Arial"/>
          <w:color w:val="222222"/>
          <w:sz w:val="18"/>
          <w:szCs w:val="18"/>
          <w:lang w:val="hu-HU"/>
        </w:rPr>
        <w:t xml:space="preserve">A meghatározás szándékosan kihagyja az elsődlegesen e-kereskedelemmel foglalkozó bankok aktív kezelésében lévő ügyfelek forgalmát, például az </w:t>
      </w:r>
      <w:proofErr w:type="spellStart"/>
      <w:r w:rsidRPr="00C60538">
        <w:rPr>
          <w:rFonts w:cs="Arial"/>
          <w:color w:val="222222"/>
          <w:sz w:val="18"/>
          <w:szCs w:val="18"/>
          <w:lang w:val="hu-HU"/>
        </w:rPr>
        <w:t>internalizációs</w:t>
      </w:r>
      <w:proofErr w:type="spellEnd"/>
      <w:r w:rsidRPr="00C60538">
        <w:rPr>
          <w:rFonts w:cs="Arial"/>
          <w:color w:val="222222"/>
          <w:sz w:val="18"/>
          <w:szCs w:val="18"/>
          <w:lang w:val="hu-HU"/>
        </w:rPr>
        <w:t xml:space="preserve"> horizont vagy</w:t>
      </w:r>
      <w:r w:rsidR="00D64001" w:rsidRPr="00C60538">
        <w:rPr>
          <w:rFonts w:cs="Arial"/>
          <w:color w:val="222222"/>
          <w:sz w:val="18"/>
          <w:szCs w:val="18"/>
          <w:lang w:val="hu-HU"/>
        </w:rPr>
        <w:t xml:space="preserve"> a</w:t>
      </w:r>
      <w:r w:rsidRPr="00C60538">
        <w:rPr>
          <w:rFonts w:cs="Arial"/>
          <w:color w:val="222222"/>
          <w:sz w:val="18"/>
          <w:szCs w:val="18"/>
          <w:lang w:val="hu-HU"/>
        </w:rPr>
        <w:t xml:space="preserve"> </w:t>
      </w:r>
      <w:proofErr w:type="spellStart"/>
      <w:r w:rsidRPr="00C60538">
        <w:rPr>
          <w:rFonts w:cs="Arial"/>
          <w:color w:val="222222"/>
          <w:sz w:val="18"/>
          <w:szCs w:val="18"/>
          <w:lang w:val="hu-HU"/>
        </w:rPr>
        <w:t>quote</w:t>
      </w:r>
      <w:proofErr w:type="spellEnd"/>
      <w:r w:rsidRPr="00C60538">
        <w:rPr>
          <w:rFonts w:cs="Arial"/>
          <w:color w:val="222222"/>
          <w:sz w:val="18"/>
          <w:szCs w:val="18"/>
          <w:lang w:val="hu-HU"/>
        </w:rPr>
        <w:t xml:space="preserve"> </w:t>
      </w:r>
      <w:proofErr w:type="spellStart"/>
      <w:r w:rsidRPr="00C60538">
        <w:rPr>
          <w:rFonts w:cs="Arial"/>
          <w:color w:val="222222"/>
          <w:sz w:val="18"/>
          <w:szCs w:val="18"/>
          <w:lang w:val="hu-HU"/>
        </w:rPr>
        <w:t>skewing</w:t>
      </w:r>
      <w:proofErr w:type="spellEnd"/>
      <w:r w:rsidRPr="00C60538">
        <w:rPr>
          <w:rFonts w:cs="Arial"/>
          <w:color w:val="222222"/>
          <w:sz w:val="18"/>
          <w:szCs w:val="18"/>
          <w:lang w:val="hu-HU"/>
        </w:rPr>
        <w:t>-ot.</w:t>
      </w:r>
    </w:p>
  </w:footnote>
  <w:footnote w:id="13">
    <w:p w:rsidR="00194F8D" w:rsidRPr="00C60538" w:rsidRDefault="00194F8D" w:rsidP="00194F8D">
      <w:pPr>
        <w:pStyle w:val="FootnoteText"/>
        <w:rPr>
          <w:sz w:val="18"/>
          <w:szCs w:val="18"/>
          <w:lang w:val="hu-HU"/>
        </w:rPr>
      </w:pPr>
      <w:r w:rsidRPr="00C60538">
        <w:rPr>
          <w:rStyle w:val="FootnoteReference"/>
          <w:rFonts w:cs="Arial"/>
          <w:sz w:val="18"/>
          <w:szCs w:val="18"/>
        </w:rPr>
        <w:footnoteRef/>
      </w:r>
      <w:r w:rsidRPr="00C60538">
        <w:rPr>
          <w:rFonts w:cs="Arial"/>
          <w:sz w:val="18"/>
          <w:szCs w:val="18"/>
        </w:rPr>
        <w:t xml:space="preserve"> </w:t>
      </w:r>
      <w:r w:rsidRPr="00C60538">
        <w:rPr>
          <w:rFonts w:cs="Arial"/>
          <w:sz w:val="18"/>
          <w:szCs w:val="18"/>
          <w:lang w:val="hu-HU"/>
        </w:rPr>
        <w:t>A fő spot e-</w:t>
      </w:r>
      <w:proofErr w:type="spellStart"/>
      <w:r w:rsidRPr="00C60538">
        <w:rPr>
          <w:rFonts w:cs="Arial"/>
          <w:sz w:val="18"/>
          <w:szCs w:val="18"/>
          <w:lang w:val="hu-HU"/>
        </w:rPr>
        <w:t>trading</w:t>
      </w:r>
      <w:proofErr w:type="spellEnd"/>
      <w:r w:rsidRPr="00C60538">
        <w:rPr>
          <w:rFonts w:cs="Arial"/>
          <w:sz w:val="18"/>
          <w:szCs w:val="18"/>
          <w:lang w:val="hu-HU"/>
        </w:rPr>
        <w:t xml:space="preserve"> </w:t>
      </w:r>
      <w:proofErr w:type="spellStart"/>
      <w:r w:rsidRPr="00C60538">
        <w:rPr>
          <w:rFonts w:cs="Arial"/>
          <w:sz w:val="18"/>
          <w:szCs w:val="18"/>
          <w:lang w:val="hu-HU"/>
        </w:rPr>
        <w:t>desk</w:t>
      </w:r>
      <w:proofErr w:type="spellEnd"/>
      <w:r w:rsidRPr="00C60538">
        <w:rPr>
          <w:rFonts w:cs="Arial"/>
          <w:sz w:val="18"/>
          <w:szCs w:val="18"/>
          <w:lang w:val="hu-HU"/>
        </w:rPr>
        <w:t xml:space="preserve"> forgalma, a </w:t>
      </w:r>
      <w:proofErr w:type="spellStart"/>
      <w:r w:rsidRPr="00C60538">
        <w:rPr>
          <w:rFonts w:cs="Arial"/>
          <w:sz w:val="18"/>
          <w:szCs w:val="18"/>
          <w:lang w:val="hu-HU"/>
        </w:rPr>
        <w:t>voice</w:t>
      </w:r>
      <w:proofErr w:type="spellEnd"/>
      <w:r w:rsidRPr="00C60538">
        <w:rPr>
          <w:rFonts w:cs="Arial"/>
          <w:sz w:val="18"/>
          <w:szCs w:val="18"/>
          <w:lang w:val="hu-HU"/>
        </w:rPr>
        <w:t xml:space="preserve"> tranzakciókat nem tartalmazza.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4F40" w:rsidRDefault="00604F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4F40" w:rsidRDefault="00604F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4F40" w:rsidRDefault="00604F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9F3" w:rsidRDefault="004049F3">
    <w:pPr>
      <w:pStyle w:val="Header"/>
    </w:pPr>
  </w:p>
  <w:p w:rsidR="006771C6" w:rsidRPr="007532A9" w:rsidRDefault="006771C6">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1C6" w:rsidRPr="007532A9" w:rsidRDefault="006771C6">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D3995"/>
    <w:multiLevelType w:val="hybridMultilevel"/>
    <w:tmpl w:val="8BCA682E"/>
    <w:lvl w:ilvl="0" w:tplc="040E0001">
      <w:start w:val="1"/>
      <w:numFmt w:val="bullet"/>
      <w:lvlText w:val=""/>
      <w:lvlJc w:val="left"/>
      <w:pPr>
        <w:ind w:left="1174" w:hanging="360"/>
      </w:pPr>
      <w:rPr>
        <w:rFonts w:ascii="Symbol" w:hAnsi="Symbol" w:hint="default"/>
      </w:rPr>
    </w:lvl>
    <w:lvl w:ilvl="1" w:tplc="040E0003" w:tentative="1">
      <w:start w:val="1"/>
      <w:numFmt w:val="bullet"/>
      <w:lvlText w:val="o"/>
      <w:lvlJc w:val="left"/>
      <w:pPr>
        <w:ind w:left="1894" w:hanging="360"/>
      </w:pPr>
      <w:rPr>
        <w:rFonts w:ascii="Courier New" w:hAnsi="Courier New" w:cs="Courier New" w:hint="default"/>
      </w:rPr>
    </w:lvl>
    <w:lvl w:ilvl="2" w:tplc="040E0005" w:tentative="1">
      <w:start w:val="1"/>
      <w:numFmt w:val="bullet"/>
      <w:lvlText w:val=""/>
      <w:lvlJc w:val="left"/>
      <w:pPr>
        <w:ind w:left="2614" w:hanging="360"/>
      </w:pPr>
      <w:rPr>
        <w:rFonts w:ascii="Wingdings" w:hAnsi="Wingdings" w:hint="default"/>
      </w:rPr>
    </w:lvl>
    <w:lvl w:ilvl="3" w:tplc="040E0001" w:tentative="1">
      <w:start w:val="1"/>
      <w:numFmt w:val="bullet"/>
      <w:lvlText w:val=""/>
      <w:lvlJc w:val="left"/>
      <w:pPr>
        <w:ind w:left="3334" w:hanging="360"/>
      </w:pPr>
      <w:rPr>
        <w:rFonts w:ascii="Symbol" w:hAnsi="Symbol" w:hint="default"/>
      </w:rPr>
    </w:lvl>
    <w:lvl w:ilvl="4" w:tplc="040E0003" w:tentative="1">
      <w:start w:val="1"/>
      <w:numFmt w:val="bullet"/>
      <w:lvlText w:val="o"/>
      <w:lvlJc w:val="left"/>
      <w:pPr>
        <w:ind w:left="4054" w:hanging="360"/>
      </w:pPr>
      <w:rPr>
        <w:rFonts w:ascii="Courier New" w:hAnsi="Courier New" w:cs="Courier New" w:hint="default"/>
      </w:rPr>
    </w:lvl>
    <w:lvl w:ilvl="5" w:tplc="040E0005" w:tentative="1">
      <w:start w:val="1"/>
      <w:numFmt w:val="bullet"/>
      <w:lvlText w:val=""/>
      <w:lvlJc w:val="left"/>
      <w:pPr>
        <w:ind w:left="4774" w:hanging="360"/>
      </w:pPr>
      <w:rPr>
        <w:rFonts w:ascii="Wingdings" w:hAnsi="Wingdings" w:hint="default"/>
      </w:rPr>
    </w:lvl>
    <w:lvl w:ilvl="6" w:tplc="040E0001" w:tentative="1">
      <w:start w:val="1"/>
      <w:numFmt w:val="bullet"/>
      <w:lvlText w:val=""/>
      <w:lvlJc w:val="left"/>
      <w:pPr>
        <w:ind w:left="5494" w:hanging="360"/>
      </w:pPr>
      <w:rPr>
        <w:rFonts w:ascii="Symbol" w:hAnsi="Symbol" w:hint="default"/>
      </w:rPr>
    </w:lvl>
    <w:lvl w:ilvl="7" w:tplc="040E0003" w:tentative="1">
      <w:start w:val="1"/>
      <w:numFmt w:val="bullet"/>
      <w:lvlText w:val="o"/>
      <w:lvlJc w:val="left"/>
      <w:pPr>
        <w:ind w:left="6214" w:hanging="360"/>
      </w:pPr>
      <w:rPr>
        <w:rFonts w:ascii="Courier New" w:hAnsi="Courier New" w:cs="Courier New" w:hint="default"/>
      </w:rPr>
    </w:lvl>
    <w:lvl w:ilvl="8" w:tplc="040E0005" w:tentative="1">
      <w:start w:val="1"/>
      <w:numFmt w:val="bullet"/>
      <w:lvlText w:val=""/>
      <w:lvlJc w:val="left"/>
      <w:pPr>
        <w:ind w:left="6934" w:hanging="360"/>
      </w:pPr>
      <w:rPr>
        <w:rFonts w:ascii="Wingdings" w:hAnsi="Wingdings" w:hint="default"/>
      </w:rPr>
    </w:lvl>
  </w:abstractNum>
  <w:abstractNum w:abstractNumId="1" w15:restartNumberingAfterBreak="0">
    <w:nsid w:val="19B73E0D"/>
    <w:multiLevelType w:val="hybridMultilevel"/>
    <w:tmpl w:val="8C4E155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A276D4E"/>
    <w:multiLevelType w:val="hybridMultilevel"/>
    <w:tmpl w:val="CB6C9F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CF63715"/>
    <w:multiLevelType w:val="hybridMultilevel"/>
    <w:tmpl w:val="78001D4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2F076F8"/>
    <w:multiLevelType w:val="hybridMultilevel"/>
    <w:tmpl w:val="D840CA9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B9E19B2"/>
    <w:multiLevelType w:val="hybridMultilevel"/>
    <w:tmpl w:val="052CBF3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357050C4"/>
    <w:multiLevelType w:val="hybridMultilevel"/>
    <w:tmpl w:val="7DA48F6C"/>
    <w:lvl w:ilvl="0" w:tplc="81F8A39E">
      <w:start w:val="4"/>
      <w:numFmt w:val="bullet"/>
      <w:lvlText w:val="-"/>
      <w:lvlJc w:val="left"/>
      <w:pPr>
        <w:ind w:left="814" w:hanging="360"/>
      </w:pPr>
      <w:rPr>
        <w:rFonts w:ascii="Arial" w:eastAsia="Times New Roman" w:hAnsi="Arial" w:cs="Arial" w:hint="default"/>
      </w:rPr>
    </w:lvl>
    <w:lvl w:ilvl="1" w:tplc="040E0003" w:tentative="1">
      <w:start w:val="1"/>
      <w:numFmt w:val="bullet"/>
      <w:lvlText w:val="o"/>
      <w:lvlJc w:val="left"/>
      <w:pPr>
        <w:ind w:left="1534" w:hanging="360"/>
      </w:pPr>
      <w:rPr>
        <w:rFonts w:ascii="Courier New" w:hAnsi="Courier New" w:cs="Courier New" w:hint="default"/>
      </w:rPr>
    </w:lvl>
    <w:lvl w:ilvl="2" w:tplc="040E0005" w:tentative="1">
      <w:start w:val="1"/>
      <w:numFmt w:val="bullet"/>
      <w:lvlText w:val=""/>
      <w:lvlJc w:val="left"/>
      <w:pPr>
        <w:ind w:left="2254" w:hanging="360"/>
      </w:pPr>
      <w:rPr>
        <w:rFonts w:ascii="Wingdings" w:hAnsi="Wingdings" w:hint="default"/>
      </w:rPr>
    </w:lvl>
    <w:lvl w:ilvl="3" w:tplc="040E0001" w:tentative="1">
      <w:start w:val="1"/>
      <w:numFmt w:val="bullet"/>
      <w:lvlText w:val=""/>
      <w:lvlJc w:val="left"/>
      <w:pPr>
        <w:ind w:left="2974" w:hanging="360"/>
      </w:pPr>
      <w:rPr>
        <w:rFonts w:ascii="Symbol" w:hAnsi="Symbol" w:hint="default"/>
      </w:rPr>
    </w:lvl>
    <w:lvl w:ilvl="4" w:tplc="040E0003" w:tentative="1">
      <w:start w:val="1"/>
      <w:numFmt w:val="bullet"/>
      <w:lvlText w:val="o"/>
      <w:lvlJc w:val="left"/>
      <w:pPr>
        <w:ind w:left="3694" w:hanging="360"/>
      </w:pPr>
      <w:rPr>
        <w:rFonts w:ascii="Courier New" w:hAnsi="Courier New" w:cs="Courier New" w:hint="default"/>
      </w:rPr>
    </w:lvl>
    <w:lvl w:ilvl="5" w:tplc="040E0005" w:tentative="1">
      <w:start w:val="1"/>
      <w:numFmt w:val="bullet"/>
      <w:lvlText w:val=""/>
      <w:lvlJc w:val="left"/>
      <w:pPr>
        <w:ind w:left="4414" w:hanging="360"/>
      </w:pPr>
      <w:rPr>
        <w:rFonts w:ascii="Wingdings" w:hAnsi="Wingdings" w:hint="default"/>
      </w:rPr>
    </w:lvl>
    <w:lvl w:ilvl="6" w:tplc="040E0001" w:tentative="1">
      <w:start w:val="1"/>
      <w:numFmt w:val="bullet"/>
      <w:lvlText w:val=""/>
      <w:lvlJc w:val="left"/>
      <w:pPr>
        <w:ind w:left="5134" w:hanging="360"/>
      </w:pPr>
      <w:rPr>
        <w:rFonts w:ascii="Symbol" w:hAnsi="Symbol" w:hint="default"/>
      </w:rPr>
    </w:lvl>
    <w:lvl w:ilvl="7" w:tplc="040E0003" w:tentative="1">
      <w:start w:val="1"/>
      <w:numFmt w:val="bullet"/>
      <w:lvlText w:val="o"/>
      <w:lvlJc w:val="left"/>
      <w:pPr>
        <w:ind w:left="5854" w:hanging="360"/>
      </w:pPr>
      <w:rPr>
        <w:rFonts w:ascii="Courier New" w:hAnsi="Courier New" w:cs="Courier New" w:hint="default"/>
      </w:rPr>
    </w:lvl>
    <w:lvl w:ilvl="8" w:tplc="040E0005" w:tentative="1">
      <w:start w:val="1"/>
      <w:numFmt w:val="bullet"/>
      <w:lvlText w:val=""/>
      <w:lvlJc w:val="left"/>
      <w:pPr>
        <w:ind w:left="6574" w:hanging="360"/>
      </w:pPr>
      <w:rPr>
        <w:rFonts w:ascii="Wingdings" w:hAnsi="Wingdings" w:hint="default"/>
      </w:rPr>
    </w:lvl>
  </w:abstractNum>
  <w:abstractNum w:abstractNumId="7" w15:restartNumberingAfterBreak="0">
    <w:nsid w:val="399674F4"/>
    <w:multiLevelType w:val="hybridMultilevel"/>
    <w:tmpl w:val="F80C8C8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459C32D0"/>
    <w:multiLevelType w:val="hybridMultilevel"/>
    <w:tmpl w:val="975A00E0"/>
    <w:lvl w:ilvl="0" w:tplc="39EC8082">
      <w:start w:val="4"/>
      <w:numFmt w:val="bullet"/>
      <w:lvlText w:val="-"/>
      <w:lvlJc w:val="left"/>
      <w:pPr>
        <w:ind w:left="814" w:hanging="360"/>
      </w:pPr>
      <w:rPr>
        <w:rFonts w:ascii="Arial" w:eastAsia="Times New Roman" w:hAnsi="Arial" w:cs="Arial" w:hint="default"/>
      </w:rPr>
    </w:lvl>
    <w:lvl w:ilvl="1" w:tplc="040E0003" w:tentative="1">
      <w:start w:val="1"/>
      <w:numFmt w:val="bullet"/>
      <w:lvlText w:val="o"/>
      <w:lvlJc w:val="left"/>
      <w:pPr>
        <w:ind w:left="1534" w:hanging="360"/>
      </w:pPr>
      <w:rPr>
        <w:rFonts w:ascii="Courier New" w:hAnsi="Courier New" w:cs="Courier New" w:hint="default"/>
      </w:rPr>
    </w:lvl>
    <w:lvl w:ilvl="2" w:tplc="040E0005" w:tentative="1">
      <w:start w:val="1"/>
      <w:numFmt w:val="bullet"/>
      <w:lvlText w:val=""/>
      <w:lvlJc w:val="left"/>
      <w:pPr>
        <w:ind w:left="2254" w:hanging="360"/>
      </w:pPr>
      <w:rPr>
        <w:rFonts w:ascii="Wingdings" w:hAnsi="Wingdings" w:hint="default"/>
      </w:rPr>
    </w:lvl>
    <w:lvl w:ilvl="3" w:tplc="040E0001" w:tentative="1">
      <w:start w:val="1"/>
      <w:numFmt w:val="bullet"/>
      <w:lvlText w:val=""/>
      <w:lvlJc w:val="left"/>
      <w:pPr>
        <w:ind w:left="2974" w:hanging="360"/>
      </w:pPr>
      <w:rPr>
        <w:rFonts w:ascii="Symbol" w:hAnsi="Symbol" w:hint="default"/>
      </w:rPr>
    </w:lvl>
    <w:lvl w:ilvl="4" w:tplc="040E0003" w:tentative="1">
      <w:start w:val="1"/>
      <w:numFmt w:val="bullet"/>
      <w:lvlText w:val="o"/>
      <w:lvlJc w:val="left"/>
      <w:pPr>
        <w:ind w:left="3694" w:hanging="360"/>
      </w:pPr>
      <w:rPr>
        <w:rFonts w:ascii="Courier New" w:hAnsi="Courier New" w:cs="Courier New" w:hint="default"/>
      </w:rPr>
    </w:lvl>
    <w:lvl w:ilvl="5" w:tplc="040E0005" w:tentative="1">
      <w:start w:val="1"/>
      <w:numFmt w:val="bullet"/>
      <w:lvlText w:val=""/>
      <w:lvlJc w:val="left"/>
      <w:pPr>
        <w:ind w:left="4414" w:hanging="360"/>
      </w:pPr>
      <w:rPr>
        <w:rFonts w:ascii="Wingdings" w:hAnsi="Wingdings" w:hint="default"/>
      </w:rPr>
    </w:lvl>
    <w:lvl w:ilvl="6" w:tplc="040E0001" w:tentative="1">
      <w:start w:val="1"/>
      <w:numFmt w:val="bullet"/>
      <w:lvlText w:val=""/>
      <w:lvlJc w:val="left"/>
      <w:pPr>
        <w:ind w:left="5134" w:hanging="360"/>
      </w:pPr>
      <w:rPr>
        <w:rFonts w:ascii="Symbol" w:hAnsi="Symbol" w:hint="default"/>
      </w:rPr>
    </w:lvl>
    <w:lvl w:ilvl="7" w:tplc="040E0003" w:tentative="1">
      <w:start w:val="1"/>
      <w:numFmt w:val="bullet"/>
      <w:lvlText w:val="o"/>
      <w:lvlJc w:val="left"/>
      <w:pPr>
        <w:ind w:left="5854" w:hanging="360"/>
      </w:pPr>
      <w:rPr>
        <w:rFonts w:ascii="Courier New" w:hAnsi="Courier New" w:cs="Courier New" w:hint="default"/>
      </w:rPr>
    </w:lvl>
    <w:lvl w:ilvl="8" w:tplc="040E0005" w:tentative="1">
      <w:start w:val="1"/>
      <w:numFmt w:val="bullet"/>
      <w:lvlText w:val=""/>
      <w:lvlJc w:val="left"/>
      <w:pPr>
        <w:ind w:left="6574" w:hanging="360"/>
      </w:pPr>
      <w:rPr>
        <w:rFonts w:ascii="Wingdings" w:hAnsi="Wingdings" w:hint="default"/>
      </w:rPr>
    </w:lvl>
  </w:abstractNum>
  <w:abstractNum w:abstractNumId="9" w15:restartNumberingAfterBreak="0">
    <w:nsid w:val="46446FB3"/>
    <w:multiLevelType w:val="hybridMultilevel"/>
    <w:tmpl w:val="EF5C40E4"/>
    <w:lvl w:ilvl="0" w:tplc="F48AEF86">
      <w:start w:val="1"/>
      <w:numFmt w:val="decimal"/>
      <w:pStyle w:val="Bulletpoint"/>
      <w:lvlText w:val="%1."/>
      <w:lvlJc w:val="left"/>
      <w:pPr>
        <w:tabs>
          <w:tab w:val="num" w:pos="1305"/>
        </w:tabs>
        <w:ind w:left="1305" w:hanging="851"/>
      </w:pPr>
      <w:rPr>
        <w:rFonts w:ascii="Arial" w:eastAsia="Times New Roman" w:hAnsi="Arial" w:cs="Times New Roman"/>
        <w:color w:val="auto"/>
      </w:rPr>
    </w:lvl>
    <w:lvl w:ilvl="1" w:tplc="B5AC37FC">
      <w:start w:val="1"/>
      <w:numFmt w:val="bullet"/>
      <w:lvlText w:val="–"/>
      <w:lvlJc w:val="left"/>
      <w:pPr>
        <w:tabs>
          <w:tab w:val="num" w:pos="2385"/>
        </w:tabs>
        <w:ind w:left="2385" w:hanging="851"/>
      </w:pPr>
      <w:rPr>
        <w:rFonts w:ascii="Arial" w:hAnsi="Arial" w:hint="default"/>
        <w:color w:val="auto"/>
      </w:rPr>
    </w:lvl>
    <w:lvl w:ilvl="2" w:tplc="08090005" w:tentative="1">
      <w:start w:val="1"/>
      <w:numFmt w:val="bullet"/>
      <w:lvlText w:val=""/>
      <w:lvlJc w:val="left"/>
      <w:pPr>
        <w:tabs>
          <w:tab w:val="num" w:pos="2614"/>
        </w:tabs>
        <w:ind w:left="2614" w:hanging="360"/>
      </w:pPr>
      <w:rPr>
        <w:rFonts w:ascii="Wingdings" w:hAnsi="Wingdings" w:hint="default"/>
      </w:rPr>
    </w:lvl>
    <w:lvl w:ilvl="3" w:tplc="08090001" w:tentative="1">
      <w:start w:val="1"/>
      <w:numFmt w:val="bullet"/>
      <w:lvlText w:val=""/>
      <w:lvlJc w:val="left"/>
      <w:pPr>
        <w:tabs>
          <w:tab w:val="num" w:pos="3334"/>
        </w:tabs>
        <w:ind w:left="3334" w:hanging="360"/>
      </w:pPr>
      <w:rPr>
        <w:rFonts w:ascii="Symbol" w:hAnsi="Symbol" w:hint="default"/>
      </w:rPr>
    </w:lvl>
    <w:lvl w:ilvl="4" w:tplc="08090003" w:tentative="1">
      <w:start w:val="1"/>
      <w:numFmt w:val="bullet"/>
      <w:lvlText w:val="o"/>
      <w:lvlJc w:val="left"/>
      <w:pPr>
        <w:tabs>
          <w:tab w:val="num" w:pos="4054"/>
        </w:tabs>
        <w:ind w:left="4054" w:hanging="360"/>
      </w:pPr>
      <w:rPr>
        <w:rFonts w:ascii="Courier New" w:hAnsi="Courier New" w:hint="default"/>
      </w:rPr>
    </w:lvl>
    <w:lvl w:ilvl="5" w:tplc="08090005" w:tentative="1">
      <w:start w:val="1"/>
      <w:numFmt w:val="bullet"/>
      <w:lvlText w:val=""/>
      <w:lvlJc w:val="left"/>
      <w:pPr>
        <w:tabs>
          <w:tab w:val="num" w:pos="4774"/>
        </w:tabs>
        <w:ind w:left="4774" w:hanging="360"/>
      </w:pPr>
      <w:rPr>
        <w:rFonts w:ascii="Wingdings" w:hAnsi="Wingdings" w:hint="default"/>
      </w:rPr>
    </w:lvl>
    <w:lvl w:ilvl="6" w:tplc="08090001" w:tentative="1">
      <w:start w:val="1"/>
      <w:numFmt w:val="bullet"/>
      <w:lvlText w:val=""/>
      <w:lvlJc w:val="left"/>
      <w:pPr>
        <w:tabs>
          <w:tab w:val="num" w:pos="5494"/>
        </w:tabs>
        <w:ind w:left="5494" w:hanging="360"/>
      </w:pPr>
      <w:rPr>
        <w:rFonts w:ascii="Symbol" w:hAnsi="Symbol" w:hint="default"/>
      </w:rPr>
    </w:lvl>
    <w:lvl w:ilvl="7" w:tplc="08090003" w:tentative="1">
      <w:start w:val="1"/>
      <w:numFmt w:val="bullet"/>
      <w:lvlText w:val="o"/>
      <w:lvlJc w:val="left"/>
      <w:pPr>
        <w:tabs>
          <w:tab w:val="num" w:pos="6214"/>
        </w:tabs>
        <w:ind w:left="6214" w:hanging="360"/>
      </w:pPr>
      <w:rPr>
        <w:rFonts w:ascii="Courier New" w:hAnsi="Courier New" w:hint="default"/>
      </w:rPr>
    </w:lvl>
    <w:lvl w:ilvl="8" w:tplc="08090005" w:tentative="1">
      <w:start w:val="1"/>
      <w:numFmt w:val="bullet"/>
      <w:lvlText w:val=""/>
      <w:lvlJc w:val="left"/>
      <w:pPr>
        <w:tabs>
          <w:tab w:val="num" w:pos="6934"/>
        </w:tabs>
        <w:ind w:left="6934" w:hanging="360"/>
      </w:pPr>
      <w:rPr>
        <w:rFonts w:ascii="Wingdings" w:hAnsi="Wingdings" w:hint="default"/>
      </w:rPr>
    </w:lvl>
  </w:abstractNum>
  <w:abstractNum w:abstractNumId="10" w15:restartNumberingAfterBreak="0">
    <w:nsid w:val="53D277C4"/>
    <w:multiLevelType w:val="hybridMultilevel"/>
    <w:tmpl w:val="55620C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552541EB"/>
    <w:multiLevelType w:val="hybridMultilevel"/>
    <w:tmpl w:val="167E5140"/>
    <w:lvl w:ilvl="0" w:tplc="040E0017">
      <w:start w:val="1"/>
      <w:numFmt w:val="lowerLetter"/>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 w15:restartNumberingAfterBreak="0">
    <w:nsid w:val="5D3D3500"/>
    <w:multiLevelType w:val="hybridMultilevel"/>
    <w:tmpl w:val="F1C26986"/>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3" w15:restartNumberingAfterBreak="0">
    <w:nsid w:val="5FBB6008"/>
    <w:multiLevelType w:val="hybridMultilevel"/>
    <w:tmpl w:val="403CABEA"/>
    <w:lvl w:ilvl="0" w:tplc="B4E0A286">
      <w:start w:val="1"/>
      <w:numFmt w:val="bullet"/>
      <w:lvlText w:val=""/>
      <w:lvlJc w:val="left"/>
      <w:pPr>
        <w:tabs>
          <w:tab w:val="num" w:pos="851"/>
        </w:tabs>
        <w:ind w:left="851" w:hanging="851"/>
      </w:pPr>
      <w:rPr>
        <w:rFonts w:ascii="Symbol" w:hAnsi="Symbol" w:hint="default"/>
        <w:color w:val="auto"/>
      </w:rPr>
    </w:lvl>
    <w:lvl w:ilvl="1" w:tplc="B602E818">
      <w:start w:val="1"/>
      <w:numFmt w:val="bullet"/>
      <w:pStyle w:val="Bullethyphen"/>
      <w:lvlText w:val="–"/>
      <w:lvlJc w:val="left"/>
      <w:pPr>
        <w:tabs>
          <w:tab w:val="num" w:pos="851"/>
        </w:tabs>
        <w:ind w:left="851" w:hanging="851"/>
      </w:pPr>
      <w:rPr>
        <w:rFonts w:ascii="Arial" w:hAnsi="Aria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3C54E7"/>
    <w:multiLevelType w:val="hybridMultilevel"/>
    <w:tmpl w:val="C166FD9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 w15:restartNumberingAfterBreak="0">
    <w:nsid w:val="7E3800C4"/>
    <w:multiLevelType w:val="hybridMultilevel"/>
    <w:tmpl w:val="BCAA7AC0"/>
    <w:lvl w:ilvl="0" w:tplc="ACFA8C36">
      <w:start w:val="1"/>
      <w:numFmt w:val="decimal"/>
      <w:pStyle w:val="Bulletnumber"/>
      <w:lvlText w:val="%1."/>
      <w:lvlJc w:val="left"/>
      <w:pPr>
        <w:tabs>
          <w:tab w:val="num" w:pos="851"/>
        </w:tabs>
        <w:ind w:left="851" w:hanging="851"/>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3"/>
  </w:num>
  <w:num w:numId="2">
    <w:abstractNumId w:val="15"/>
  </w:num>
  <w:num w:numId="3">
    <w:abstractNumId w:val="9"/>
  </w:num>
  <w:num w:numId="4">
    <w:abstractNumId w:val="7"/>
  </w:num>
  <w:num w:numId="5">
    <w:abstractNumId w:val="11"/>
  </w:num>
  <w:num w:numId="6">
    <w:abstractNumId w:val="1"/>
  </w:num>
  <w:num w:numId="7">
    <w:abstractNumId w:val="12"/>
  </w:num>
  <w:num w:numId="8">
    <w:abstractNumId w:val="10"/>
  </w:num>
  <w:num w:numId="9">
    <w:abstractNumId w:val="4"/>
  </w:num>
  <w:num w:numId="10">
    <w:abstractNumId w:val="3"/>
  </w:num>
  <w:num w:numId="11">
    <w:abstractNumId w:val="2"/>
  </w:num>
  <w:num w:numId="12">
    <w:abstractNumId w:val="14"/>
  </w:num>
  <w:num w:numId="13">
    <w:abstractNumId w:val="8"/>
  </w:num>
  <w:num w:numId="14">
    <w:abstractNumId w:val="6"/>
  </w:num>
  <w:num w:numId="15">
    <w:abstractNumId w:val="0"/>
  </w:num>
  <w:num w:numId="1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27"/>
  <w:hyphenationZone w:val="425"/>
  <w:evenAndOddHeader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 w:id="1"/>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VarDocType" w:val="BISPubli_E"/>
    <w:docVar w:name="VarDotVersion" w:val="BIS0.8"/>
  </w:docVars>
  <w:rsids>
    <w:rsidRoot w:val="00937341"/>
    <w:rsid w:val="0000026F"/>
    <w:rsid w:val="00003AD9"/>
    <w:rsid w:val="00010974"/>
    <w:rsid w:val="00010AFD"/>
    <w:rsid w:val="00012C20"/>
    <w:rsid w:val="000155AE"/>
    <w:rsid w:val="00015F72"/>
    <w:rsid w:val="00016081"/>
    <w:rsid w:val="00020306"/>
    <w:rsid w:val="00020BE2"/>
    <w:rsid w:val="000211D1"/>
    <w:rsid w:val="00021FA8"/>
    <w:rsid w:val="00022CBC"/>
    <w:rsid w:val="00022D43"/>
    <w:rsid w:val="000265AE"/>
    <w:rsid w:val="00026A60"/>
    <w:rsid w:val="00027A6C"/>
    <w:rsid w:val="00036425"/>
    <w:rsid w:val="0004153B"/>
    <w:rsid w:val="00043D73"/>
    <w:rsid w:val="000512DA"/>
    <w:rsid w:val="00053180"/>
    <w:rsid w:val="00056D99"/>
    <w:rsid w:val="000620EA"/>
    <w:rsid w:val="00062C19"/>
    <w:rsid w:val="00063215"/>
    <w:rsid w:val="000676F3"/>
    <w:rsid w:val="000706BC"/>
    <w:rsid w:val="000742C6"/>
    <w:rsid w:val="00076665"/>
    <w:rsid w:val="00081D1D"/>
    <w:rsid w:val="00090E76"/>
    <w:rsid w:val="0009194D"/>
    <w:rsid w:val="000938BF"/>
    <w:rsid w:val="00095707"/>
    <w:rsid w:val="000A2538"/>
    <w:rsid w:val="000A587A"/>
    <w:rsid w:val="000B698C"/>
    <w:rsid w:val="000C2011"/>
    <w:rsid w:val="000C2BB6"/>
    <w:rsid w:val="000C54D3"/>
    <w:rsid w:val="000C7890"/>
    <w:rsid w:val="000C7EDD"/>
    <w:rsid w:val="000D0FEC"/>
    <w:rsid w:val="000D154D"/>
    <w:rsid w:val="000D1988"/>
    <w:rsid w:val="000D5297"/>
    <w:rsid w:val="000D61EA"/>
    <w:rsid w:val="000E1EFA"/>
    <w:rsid w:val="000E22A6"/>
    <w:rsid w:val="000E452F"/>
    <w:rsid w:val="000E7279"/>
    <w:rsid w:val="000E75F8"/>
    <w:rsid w:val="000F13C0"/>
    <w:rsid w:val="000F6C8C"/>
    <w:rsid w:val="000F75AC"/>
    <w:rsid w:val="0010065E"/>
    <w:rsid w:val="00101F8F"/>
    <w:rsid w:val="00102B66"/>
    <w:rsid w:val="00102EF2"/>
    <w:rsid w:val="00103711"/>
    <w:rsid w:val="001057F3"/>
    <w:rsid w:val="00110958"/>
    <w:rsid w:val="00111140"/>
    <w:rsid w:val="0011158C"/>
    <w:rsid w:val="0011444E"/>
    <w:rsid w:val="001237A4"/>
    <w:rsid w:val="00124501"/>
    <w:rsid w:val="001301AB"/>
    <w:rsid w:val="00134929"/>
    <w:rsid w:val="00137CB5"/>
    <w:rsid w:val="00140F03"/>
    <w:rsid w:val="00144402"/>
    <w:rsid w:val="00147622"/>
    <w:rsid w:val="00150427"/>
    <w:rsid w:val="00150AB5"/>
    <w:rsid w:val="0015180B"/>
    <w:rsid w:val="00152FAC"/>
    <w:rsid w:val="00153600"/>
    <w:rsid w:val="00153BD8"/>
    <w:rsid w:val="00154D9F"/>
    <w:rsid w:val="001609AA"/>
    <w:rsid w:val="00161CFF"/>
    <w:rsid w:val="00162583"/>
    <w:rsid w:val="00164E62"/>
    <w:rsid w:val="001658AB"/>
    <w:rsid w:val="00165C39"/>
    <w:rsid w:val="001672B3"/>
    <w:rsid w:val="00170E73"/>
    <w:rsid w:val="00171E10"/>
    <w:rsid w:val="001723DB"/>
    <w:rsid w:val="00172C5F"/>
    <w:rsid w:val="00174552"/>
    <w:rsid w:val="001800B9"/>
    <w:rsid w:val="00180194"/>
    <w:rsid w:val="0018155A"/>
    <w:rsid w:val="00185CF5"/>
    <w:rsid w:val="00185F89"/>
    <w:rsid w:val="00190E62"/>
    <w:rsid w:val="00191A15"/>
    <w:rsid w:val="00192BC0"/>
    <w:rsid w:val="00194F8D"/>
    <w:rsid w:val="001A08A4"/>
    <w:rsid w:val="001A1879"/>
    <w:rsid w:val="001A5405"/>
    <w:rsid w:val="001A5999"/>
    <w:rsid w:val="001A6102"/>
    <w:rsid w:val="001A7901"/>
    <w:rsid w:val="001B246E"/>
    <w:rsid w:val="001B273E"/>
    <w:rsid w:val="001B3F36"/>
    <w:rsid w:val="001B6EDA"/>
    <w:rsid w:val="001B7279"/>
    <w:rsid w:val="001C064E"/>
    <w:rsid w:val="001C0B9D"/>
    <w:rsid w:val="001C23D2"/>
    <w:rsid w:val="001C2D09"/>
    <w:rsid w:val="001C3528"/>
    <w:rsid w:val="001C37C6"/>
    <w:rsid w:val="001C38B1"/>
    <w:rsid w:val="001C39D6"/>
    <w:rsid w:val="001C5049"/>
    <w:rsid w:val="001C7B23"/>
    <w:rsid w:val="001C7B82"/>
    <w:rsid w:val="001C7EF2"/>
    <w:rsid w:val="001D082E"/>
    <w:rsid w:val="001D129E"/>
    <w:rsid w:val="001D141E"/>
    <w:rsid w:val="001D4107"/>
    <w:rsid w:val="001D4E6A"/>
    <w:rsid w:val="001D701B"/>
    <w:rsid w:val="001D7C7B"/>
    <w:rsid w:val="001E1AEC"/>
    <w:rsid w:val="001E1D8A"/>
    <w:rsid w:val="001E23EA"/>
    <w:rsid w:val="001E4CE0"/>
    <w:rsid w:val="001E6908"/>
    <w:rsid w:val="001E7A1D"/>
    <w:rsid w:val="001F0D3F"/>
    <w:rsid w:val="001F12C5"/>
    <w:rsid w:val="001F52D0"/>
    <w:rsid w:val="001F5D73"/>
    <w:rsid w:val="001F69F2"/>
    <w:rsid w:val="002016A4"/>
    <w:rsid w:val="00203FDF"/>
    <w:rsid w:val="00206087"/>
    <w:rsid w:val="00211013"/>
    <w:rsid w:val="002135DA"/>
    <w:rsid w:val="0021494B"/>
    <w:rsid w:val="002156F7"/>
    <w:rsid w:val="00216D88"/>
    <w:rsid w:val="002201A0"/>
    <w:rsid w:val="00222BA3"/>
    <w:rsid w:val="002230F4"/>
    <w:rsid w:val="00230697"/>
    <w:rsid w:val="00233CAC"/>
    <w:rsid w:val="00234853"/>
    <w:rsid w:val="002360B8"/>
    <w:rsid w:val="002363CC"/>
    <w:rsid w:val="00237F19"/>
    <w:rsid w:val="00240386"/>
    <w:rsid w:val="00240912"/>
    <w:rsid w:val="00241719"/>
    <w:rsid w:val="00242D86"/>
    <w:rsid w:val="0024416D"/>
    <w:rsid w:val="00247863"/>
    <w:rsid w:val="00253345"/>
    <w:rsid w:val="0025372E"/>
    <w:rsid w:val="002570F7"/>
    <w:rsid w:val="0026156B"/>
    <w:rsid w:val="00262ACA"/>
    <w:rsid w:val="00263C56"/>
    <w:rsid w:val="00265508"/>
    <w:rsid w:val="002757DF"/>
    <w:rsid w:val="002814E5"/>
    <w:rsid w:val="002831DF"/>
    <w:rsid w:val="00284621"/>
    <w:rsid w:val="00285306"/>
    <w:rsid w:val="002859D8"/>
    <w:rsid w:val="00286167"/>
    <w:rsid w:val="00286244"/>
    <w:rsid w:val="00286591"/>
    <w:rsid w:val="00293B25"/>
    <w:rsid w:val="0029479D"/>
    <w:rsid w:val="002952C2"/>
    <w:rsid w:val="00295899"/>
    <w:rsid w:val="00295AF8"/>
    <w:rsid w:val="00295C00"/>
    <w:rsid w:val="002973F3"/>
    <w:rsid w:val="00297C66"/>
    <w:rsid w:val="002A1EAD"/>
    <w:rsid w:val="002A572D"/>
    <w:rsid w:val="002A5C50"/>
    <w:rsid w:val="002A6DDB"/>
    <w:rsid w:val="002A70EF"/>
    <w:rsid w:val="002A768A"/>
    <w:rsid w:val="002B03C0"/>
    <w:rsid w:val="002B2BF8"/>
    <w:rsid w:val="002B37B5"/>
    <w:rsid w:val="002B428D"/>
    <w:rsid w:val="002B6E40"/>
    <w:rsid w:val="002C1E31"/>
    <w:rsid w:val="002C4A2B"/>
    <w:rsid w:val="002C4D7F"/>
    <w:rsid w:val="002D1905"/>
    <w:rsid w:val="002D1950"/>
    <w:rsid w:val="002D2109"/>
    <w:rsid w:val="002D2779"/>
    <w:rsid w:val="002D29D1"/>
    <w:rsid w:val="002D2C20"/>
    <w:rsid w:val="002D3164"/>
    <w:rsid w:val="002D5F9B"/>
    <w:rsid w:val="002D6584"/>
    <w:rsid w:val="002E2543"/>
    <w:rsid w:val="002E39F7"/>
    <w:rsid w:val="002E447F"/>
    <w:rsid w:val="002E5CD0"/>
    <w:rsid w:val="002E67D0"/>
    <w:rsid w:val="002E6968"/>
    <w:rsid w:val="002E6FC7"/>
    <w:rsid w:val="002E721F"/>
    <w:rsid w:val="002E7C13"/>
    <w:rsid w:val="002F1954"/>
    <w:rsid w:val="002F2B55"/>
    <w:rsid w:val="002F5B00"/>
    <w:rsid w:val="0030155D"/>
    <w:rsid w:val="00303A94"/>
    <w:rsid w:val="00306F93"/>
    <w:rsid w:val="003117F5"/>
    <w:rsid w:val="00316DF9"/>
    <w:rsid w:val="00317093"/>
    <w:rsid w:val="00321888"/>
    <w:rsid w:val="003218A8"/>
    <w:rsid w:val="0032664C"/>
    <w:rsid w:val="00326C79"/>
    <w:rsid w:val="00326FC2"/>
    <w:rsid w:val="00330B6F"/>
    <w:rsid w:val="0033114A"/>
    <w:rsid w:val="00331A57"/>
    <w:rsid w:val="00331E71"/>
    <w:rsid w:val="003323BD"/>
    <w:rsid w:val="0033284A"/>
    <w:rsid w:val="003332A2"/>
    <w:rsid w:val="00334689"/>
    <w:rsid w:val="00334A9C"/>
    <w:rsid w:val="003366C7"/>
    <w:rsid w:val="00336FBD"/>
    <w:rsid w:val="003407E0"/>
    <w:rsid w:val="00342182"/>
    <w:rsid w:val="00342645"/>
    <w:rsid w:val="00343293"/>
    <w:rsid w:val="003445CC"/>
    <w:rsid w:val="00344D60"/>
    <w:rsid w:val="00345E1B"/>
    <w:rsid w:val="003477A9"/>
    <w:rsid w:val="00347A4A"/>
    <w:rsid w:val="00351672"/>
    <w:rsid w:val="003551C5"/>
    <w:rsid w:val="003558FC"/>
    <w:rsid w:val="003568D1"/>
    <w:rsid w:val="00357BE3"/>
    <w:rsid w:val="003602D1"/>
    <w:rsid w:val="00362966"/>
    <w:rsid w:val="00365765"/>
    <w:rsid w:val="00366DD7"/>
    <w:rsid w:val="003671D0"/>
    <w:rsid w:val="00367247"/>
    <w:rsid w:val="00367721"/>
    <w:rsid w:val="00372914"/>
    <w:rsid w:val="00374586"/>
    <w:rsid w:val="00375AD0"/>
    <w:rsid w:val="003776CB"/>
    <w:rsid w:val="00380144"/>
    <w:rsid w:val="00381425"/>
    <w:rsid w:val="00382D4F"/>
    <w:rsid w:val="00393317"/>
    <w:rsid w:val="00394DC1"/>
    <w:rsid w:val="00394F3E"/>
    <w:rsid w:val="00395A28"/>
    <w:rsid w:val="00396BD7"/>
    <w:rsid w:val="00396EA7"/>
    <w:rsid w:val="003A07DD"/>
    <w:rsid w:val="003A0F7E"/>
    <w:rsid w:val="003A1C5B"/>
    <w:rsid w:val="003A39BE"/>
    <w:rsid w:val="003A4CD7"/>
    <w:rsid w:val="003A5B06"/>
    <w:rsid w:val="003A5D31"/>
    <w:rsid w:val="003B1161"/>
    <w:rsid w:val="003B1C01"/>
    <w:rsid w:val="003B6904"/>
    <w:rsid w:val="003C05B5"/>
    <w:rsid w:val="003C1746"/>
    <w:rsid w:val="003C1FBA"/>
    <w:rsid w:val="003C2261"/>
    <w:rsid w:val="003C2A9A"/>
    <w:rsid w:val="003C2D3C"/>
    <w:rsid w:val="003C3F64"/>
    <w:rsid w:val="003C5943"/>
    <w:rsid w:val="003D1AF2"/>
    <w:rsid w:val="003D47B6"/>
    <w:rsid w:val="003D48C9"/>
    <w:rsid w:val="003D6785"/>
    <w:rsid w:val="003E093D"/>
    <w:rsid w:val="003E1947"/>
    <w:rsid w:val="003E6CC3"/>
    <w:rsid w:val="003E775B"/>
    <w:rsid w:val="003F0B2D"/>
    <w:rsid w:val="003F0D92"/>
    <w:rsid w:val="003F3728"/>
    <w:rsid w:val="003F37CD"/>
    <w:rsid w:val="004018C7"/>
    <w:rsid w:val="00403604"/>
    <w:rsid w:val="004044C1"/>
    <w:rsid w:val="004049F3"/>
    <w:rsid w:val="00405941"/>
    <w:rsid w:val="004063FE"/>
    <w:rsid w:val="004077E6"/>
    <w:rsid w:val="004134C0"/>
    <w:rsid w:val="004144E2"/>
    <w:rsid w:val="00414FE8"/>
    <w:rsid w:val="00415D80"/>
    <w:rsid w:val="00417C16"/>
    <w:rsid w:val="00420497"/>
    <w:rsid w:val="00424A00"/>
    <w:rsid w:val="00424D8F"/>
    <w:rsid w:val="00430412"/>
    <w:rsid w:val="0043109E"/>
    <w:rsid w:val="0043154F"/>
    <w:rsid w:val="0043240A"/>
    <w:rsid w:val="00434E4B"/>
    <w:rsid w:val="004420F0"/>
    <w:rsid w:val="0044611E"/>
    <w:rsid w:val="00446137"/>
    <w:rsid w:val="00447E67"/>
    <w:rsid w:val="004503A2"/>
    <w:rsid w:val="00451AD8"/>
    <w:rsid w:val="004523E9"/>
    <w:rsid w:val="0045270B"/>
    <w:rsid w:val="00452E69"/>
    <w:rsid w:val="00453382"/>
    <w:rsid w:val="00456482"/>
    <w:rsid w:val="00456CE3"/>
    <w:rsid w:val="0045767C"/>
    <w:rsid w:val="0046152C"/>
    <w:rsid w:val="00463C1C"/>
    <w:rsid w:val="00464D42"/>
    <w:rsid w:val="0047014E"/>
    <w:rsid w:val="00472C1D"/>
    <w:rsid w:val="004737F0"/>
    <w:rsid w:val="00474A7A"/>
    <w:rsid w:val="004759F5"/>
    <w:rsid w:val="0047663B"/>
    <w:rsid w:val="00476D03"/>
    <w:rsid w:val="00477201"/>
    <w:rsid w:val="004775B3"/>
    <w:rsid w:val="004809DC"/>
    <w:rsid w:val="00482374"/>
    <w:rsid w:val="0048251E"/>
    <w:rsid w:val="004830A1"/>
    <w:rsid w:val="0048426A"/>
    <w:rsid w:val="00484352"/>
    <w:rsid w:val="00485022"/>
    <w:rsid w:val="004861A7"/>
    <w:rsid w:val="0048767B"/>
    <w:rsid w:val="004A3DD6"/>
    <w:rsid w:val="004A4424"/>
    <w:rsid w:val="004A59A7"/>
    <w:rsid w:val="004B1B06"/>
    <w:rsid w:val="004B3482"/>
    <w:rsid w:val="004B4063"/>
    <w:rsid w:val="004B5169"/>
    <w:rsid w:val="004B69E8"/>
    <w:rsid w:val="004B7FBD"/>
    <w:rsid w:val="004C2034"/>
    <w:rsid w:val="004C397A"/>
    <w:rsid w:val="004C6461"/>
    <w:rsid w:val="004C67C6"/>
    <w:rsid w:val="004D26F3"/>
    <w:rsid w:val="004D2B83"/>
    <w:rsid w:val="004D4654"/>
    <w:rsid w:val="004D479A"/>
    <w:rsid w:val="004D4D11"/>
    <w:rsid w:val="004D5C2F"/>
    <w:rsid w:val="004D5D00"/>
    <w:rsid w:val="004D7756"/>
    <w:rsid w:val="004E07A4"/>
    <w:rsid w:val="004E0B58"/>
    <w:rsid w:val="004E14C0"/>
    <w:rsid w:val="004E1A65"/>
    <w:rsid w:val="004E3E7B"/>
    <w:rsid w:val="004E468A"/>
    <w:rsid w:val="004E5195"/>
    <w:rsid w:val="004E7ADB"/>
    <w:rsid w:val="004F13E1"/>
    <w:rsid w:val="004F2F0F"/>
    <w:rsid w:val="004F39F3"/>
    <w:rsid w:val="004F3B6D"/>
    <w:rsid w:val="004F436B"/>
    <w:rsid w:val="004F5866"/>
    <w:rsid w:val="004F7874"/>
    <w:rsid w:val="00501BC2"/>
    <w:rsid w:val="00501F5C"/>
    <w:rsid w:val="00503315"/>
    <w:rsid w:val="00503D31"/>
    <w:rsid w:val="00504C0F"/>
    <w:rsid w:val="0050611B"/>
    <w:rsid w:val="005061F6"/>
    <w:rsid w:val="00506950"/>
    <w:rsid w:val="0050697B"/>
    <w:rsid w:val="00507B28"/>
    <w:rsid w:val="00507C6F"/>
    <w:rsid w:val="0051075E"/>
    <w:rsid w:val="0051143A"/>
    <w:rsid w:val="0051358B"/>
    <w:rsid w:val="0051457C"/>
    <w:rsid w:val="0051686A"/>
    <w:rsid w:val="00521FD7"/>
    <w:rsid w:val="005238F6"/>
    <w:rsid w:val="00523DD7"/>
    <w:rsid w:val="00524101"/>
    <w:rsid w:val="00524C36"/>
    <w:rsid w:val="00524F93"/>
    <w:rsid w:val="00525168"/>
    <w:rsid w:val="00530962"/>
    <w:rsid w:val="00533278"/>
    <w:rsid w:val="0053422D"/>
    <w:rsid w:val="00534447"/>
    <w:rsid w:val="00534B88"/>
    <w:rsid w:val="005355F8"/>
    <w:rsid w:val="00535BE8"/>
    <w:rsid w:val="00536B5D"/>
    <w:rsid w:val="00537964"/>
    <w:rsid w:val="00541CD7"/>
    <w:rsid w:val="005442BB"/>
    <w:rsid w:val="00544963"/>
    <w:rsid w:val="00546045"/>
    <w:rsid w:val="0055273E"/>
    <w:rsid w:val="00553C9B"/>
    <w:rsid w:val="005543C9"/>
    <w:rsid w:val="00554B89"/>
    <w:rsid w:val="00562AE6"/>
    <w:rsid w:val="00563213"/>
    <w:rsid w:val="005701BF"/>
    <w:rsid w:val="00573301"/>
    <w:rsid w:val="00573C22"/>
    <w:rsid w:val="0057494A"/>
    <w:rsid w:val="00577D21"/>
    <w:rsid w:val="005800A1"/>
    <w:rsid w:val="005824DE"/>
    <w:rsid w:val="005868EA"/>
    <w:rsid w:val="00586CD3"/>
    <w:rsid w:val="00587868"/>
    <w:rsid w:val="00590EED"/>
    <w:rsid w:val="00592E38"/>
    <w:rsid w:val="00593486"/>
    <w:rsid w:val="00594446"/>
    <w:rsid w:val="005948A1"/>
    <w:rsid w:val="005948FA"/>
    <w:rsid w:val="00594947"/>
    <w:rsid w:val="005970ED"/>
    <w:rsid w:val="005A061D"/>
    <w:rsid w:val="005A11D9"/>
    <w:rsid w:val="005A19FC"/>
    <w:rsid w:val="005B4786"/>
    <w:rsid w:val="005B4CE1"/>
    <w:rsid w:val="005B7959"/>
    <w:rsid w:val="005C05F9"/>
    <w:rsid w:val="005C0F76"/>
    <w:rsid w:val="005C2DAC"/>
    <w:rsid w:val="005C558A"/>
    <w:rsid w:val="005C630B"/>
    <w:rsid w:val="005C6792"/>
    <w:rsid w:val="005C703D"/>
    <w:rsid w:val="005D004E"/>
    <w:rsid w:val="005D79BB"/>
    <w:rsid w:val="005E0AF0"/>
    <w:rsid w:val="005E0CDF"/>
    <w:rsid w:val="005E2341"/>
    <w:rsid w:val="005E25E4"/>
    <w:rsid w:val="005E26C2"/>
    <w:rsid w:val="005E2B8A"/>
    <w:rsid w:val="005E2D46"/>
    <w:rsid w:val="005E4C97"/>
    <w:rsid w:val="005E6E26"/>
    <w:rsid w:val="005E7298"/>
    <w:rsid w:val="005F15AD"/>
    <w:rsid w:val="005F16D5"/>
    <w:rsid w:val="005F2064"/>
    <w:rsid w:val="005F215F"/>
    <w:rsid w:val="005F2EFC"/>
    <w:rsid w:val="005F4FC6"/>
    <w:rsid w:val="00600D2E"/>
    <w:rsid w:val="00602BC6"/>
    <w:rsid w:val="00604F40"/>
    <w:rsid w:val="006107A8"/>
    <w:rsid w:val="006108A4"/>
    <w:rsid w:val="00611350"/>
    <w:rsid w:val="006119AF"/>
    <w:rsid w:val="00611AD6"/>
    <w:rsid w:val="00612896"/>
    <w:rsid w:val="00614B2A"/>
    <w:rsid w:val="00617F4A"/>
    <w:rsid w:val="00621F02"/>
    <w:rsid w:val="00622B69"/>
    <w:rsid w:val="00625CE1"/>
    <w:rsid w:val="00627994"/>
    <w:rsid w:val="00631E2C"/>
    <w:rsid w:val="0063525B"/>
    <w:rsid w:val="006356BD"/>
    <w:rsid w:val="00635B95"/>
    <w:rsid w:val="00635EA5"/>
    <w:rsid w:val="00637F62"/>
    <w:rsid w:val="0064063B"/>
    <w:rsid w:val="00641542"/>
    <w:rsid w:val="006426FC"/>
    <w:rsid w:val="00643927"/>
    <w:rsid w:val="00645A6D"/>
    <w:rsid w:val="00650C4E"/>
    <w:rsid w:val="0065420C"/>
    <w:rsid w:val="00654470"/>
    <w:rsid w:val="00654750"/>
    <w:rsid w:val="00657FB6"/>
    <w:rsid w:val="00661729"/>
    <w:rsid w:val="006642E6"/>
    <w:rsid w:val="0066442E"/>
    <w:rsid w:val="00664F50"/>
    <w:rsid w:val="006655EF"/>
    <w:rsid w:val="00666ADE"/>
    <w:rsid w:val="00672828"/>
    <w:rsid w:val="00673C4C"/>
    <w:rsid w:val="00674B82"/>
    <w:rsid w:val="006771C6"/>
    <w:rsid w:val="00681B98"/>
    <w:rsid w:val="00683208"/>
    <w:rsid w:val="00683410"/>
    <w:rsid w:val="00686280"/>
    <w:rsid w:val="00690716"/>
    <w:rsid w:val="006929E9"/>
    <w:rsid w:val="00692C66"/>
    <w:rsid w:val="00692F1D"/>
    <w:rsid w:val="00695C19"/>
    <w:rsid w:val="00696231"/>
    <w:rsid w:val="006A162B"/>
    <w:rsid w:val="006A47B9"/>
    <w:rsid w:val="006A53C7"/>
    <w:rsid w:val="006A5AA9"/>
    <w:rsid w:val="006A5FB5"/>
    <w:rsid w:val="006A7009"/>
    <w:rsid w:val="006A7420"/>
    <w:rsid w:val="006A745B"/>
    <w:rsid w:val="006A7D46"/>
    <w:rsid w:val="006B05BD"/>
    <w:rsid w:val="006B07AA"/>
    <w:rsid w:val="006B1053"/>
    <w:rsid w:val="006B176D"/>
    <w:rsid w:val="006B25DC"/>
    <w:rsid w:val="006B27C6"/>
    <w:rsid w:val="006B2DC9"/>
    <w:rsid w:val="006B4015"/>
    <w:rsid w:val="006B4283"/>
    <w:rsid w:val="006B4479"/>
    <w:rsid w:val="006C01CA"/>
    <w:rsid w:val="006C1C97"/>
    <w:rsid w:val="006C4688"/>
    <w:rsid w:val="006C4B92"/>
    <w:rsid w:val="006C5350"/>
    <w:rsid w:val="006D142A"/>
    <w:rsid w:val="006D6F17"/>
    <w:rsid w:val="006D73D7"/>
    <w:rsid w:val="006E1BFC"/>
    <w:rsid w:val="006E22F4"/>
    <w:rsid w:val="006E247E"/>
    <w:rsid w:val="006E2A2A"/>
    <w:rsid w:val="006E2AAD"/>
    <w:rsid w:val="006E398A"/>
    <w:rsid w:val="006E3A18"/>
    <w:rsid w:val="006E44E3"/>
    <w:rsid w:val="006E5197"/>
    <w:rsid w:val="006E55F3"/>
    <w:rsid w:val="006F0FC0"/>
    <w:rsid w:val="006F386E"/>
    <w:rsid w:val="006F54F9"/>
    <w:rsid w:val="006F5FFC"/>
    <w:rsid w:val="006F6A19"/>
    <w:rsid w:val="006F7008"/>
    <w:rsid w:val="006F73B6"/>
    <w:rsid w:val="006F7B4B"/>
    <w:rsid w:val="00700AB0"/>
    <w:rsid w:val="0070140C"/>
    <w:rsid w:val="00701685"/>
    <w:rsid w:val="007036AD"/>
    <w:rsid w:val="00703847"/>
    <w:rsid w:val="00704463"/>
    <w:rsid w:val="007044A2"/>
    <w:rsid w:val="00704C38"/>
    <w:rsid w:val="00705038"/>
    <w:rsid w:val="00706C19"/>
    <w:rsid w:val="007129E1"/>
    <w:rsid w:val="00712AF6"/>
    <w:rsid w:val="00712D7D"/>
    <w:rsid w:val="007138E1"/>
    <w:rsid w:val="007178CD"/>
    <w:rsid w:val="00720E34"/>
    <w:rsid w:val="00721D02"/>
    <w:rsid w:val="00721D37"/>
    <w:rsid w:val="00722159"/>
    <w:rsid w:val="00723E32"/>
    <w:rsid w:val="00726929"/>
    <w:rsid w:val="00727836"/>
    <w:rsid w:val="00730698"/>
    <w:rsid w:val="00731EEB"/>
    <w:rsid w:val="007328C2"/>
    <w:rsid w:val="00732969"/>
    <w:rsid w:val="00733BAE"/>
    <w:rsid w:val="0073528B"/>
    <w:rsid w:val="007352BA"/>
    <w:rsid w:val="00735A5E"/>
    <w:rsid w:val="00736FFA"/>
    <w:rsid w:val="00737790"/>
    <w:rsid w:val="00737EF0"/>
    <w:rsid w:val="007477B2"/>
    <w:rsid w:val="00747BD2"/>
    <w:rsid w:val="00750DA8"/>
    <w:rsid w:val="00751DBA"/>
    <w:rsid w:val="007532A9"/>
    <w:rsid w:val="007543C9"/>
    <w:rsid w:val="00754BA0"/>
    <w:rsid w:val="00756AD5"/>
    <w:rsid w:val="0076194F"/>
    <w:rsid w:val="0076443F"/>
    <w:rsid w:val="00765A46"/>
    <w:rsid w:val="00766357"/>
    <w:rsid w:val="0076756E"/>
    <w:rsid w:val="00767794"/>
    <w:rsid w:val="00773492"/>
    <w:rsid w:val="00773DAD"/>
    <w:rsid w:val="00780093"/>
    <w:rsid w:val="00781361"/>
    <w:rsid w:val="00782EC0"/>
    <w:rsid w:val="00784287"/>
    <w:rsid w:val="007843D2"/>
    <w:rsid w:val="00784A4B"/>
    <w:rsid w:val="00786DF5"/>
    <w:rsid w:val="00786EC5"/>
    <w:rsid w:val="0079083E"/>
    <w:rsid w:val="00790DD9"/>
    <w:rsid w:val="00794A80"/>
    <w:rsid w:val="007A1420"/>
    <w:rsid w:val="007A2D7F"/>
    <w:rsid w:val="007A41E5"/>
    <w:rsid w:val="007A4E21"/>
    <w:rsid w:val="007A572A"/>
    <w:rsid w:val="007A5E6C"/>
    <w:rsid w:val="007B04D2"/>
    <w:rsid w:val="007B25C2"/>
    <w:rsid w:val="007B3FF0"/>
    <w:rsid w:val="007B547F"/>
    <w:rsid w:val="007C1202"/>
    <w:rsid w:val="007C3C7A"/>
    <w:rsid w:val="007C3F83"/>
    <w:rsid w:val="007C57D6"/>
    <w:rsid w:val="007C5D6E"/>
    <w:rsid w:val="007C79B1"/>
    <w:rsid w:val="007D0118"/>
    <w:rsid w:val="007D1730"/>
    <w:rsid w:val="007D34F8"/>
    <w:rsid w:val="007D4A67"/>
    <w:rsid w:val="007D7C40"/>
    <w:rsid w:val="007E08C5"/>
    <w:rsid w:val="007E0CBA"/>
    <w:rsid w:val="007E32E1"/>
    <w:rsid w:val="007E4499"/>
    <w:rsid w:val="007E6AF6"/>
    <w:rsid w:val="007F00C2"/>
    <w:rsid w:val="007F035B"/>
    <w:rsid w:val="007F42FB"/>
    <w:rsid w:val="00801788"/>
    <w:rsid w:val="008043AB"/>
    <w:rsid w:val="00806BC6"/>
    <w:rsid w:val="00811260"/>
    <w:rsid w:val="00811592"/>
    <w:rsid w:val="00811664"/>
    <w:rsid w:val="008128F4"/>
    <w:rsid w:val="00816958"/>
    <w:rsid w:val="00816E5A"/>
    <w:rsid w:val="00822504"/>
    <w:rsid w:val="00822A8A"/>
    <w:rsid w:val="008236B4"/>
    <w:rsid w:val="00826AC2"/>
    <w:rsid w:val="00827EB3"/>
    <w:rsid w:val="008308E4"/>
    <w:rsid w:val="0083117E"/>
    <w:rsid w:val="008311DE"/>
    <w:rsid w:val="00831A2D"/>
    <w:rsid w:val="00832E8A"/>
    <w:rsid w:val="008336F7"/>
    <w:rsid w:val="00840F73"/>
    <w:rsid w:val="00844919"/>
    <w:rsid w:val="00854F2C"/>
    <w:rsid w:val="00855879"/>
    <w:rsid w:val="008569DD"/>
    <w:rsid w:val="0086111E"/>
    <w:rsid w:val="00861FCA"/>
    <w:rsid w:val="00862127"/>
    <w:rsid w:val="0086234C"/>
    <w:rsid w:val="0086334A"/>
    <w:rsid w:val="0086449E"/>
    <w:rsid w:val="00865CCE"/>
    <w:rsid w:val="00866043"/>
    <w:rsid w:val="00867872"/>
    <w:rsid w:val="00867DB3"/>
    <w:rsid w:val="00871AA6"/>
    <w:rsid w:val="00874177"/>
    <w:rsid w:val="008775B2"/>
    <w:rsid w:val="00877B2F"/>
    <w:rsid w:val="008817D9"/>
    <w:rsid w:val="008818CB"/>
    <w:rsid w:val="00882938"/>
    <w:rsid w:val="00883E38"/>
    <w:rsid w:val="00884416"/>
    <w:rsid w:val="00887FC6"/>
    <w:rsid w:val="008917BF"/>
    <w:rsid w:val="008A1AF9"/>
    <w:rsid w:val="008A2C4F"/>
    <w:rsid w:val="008A3A00"/>
    <w:rsid w:val="008A4D38"/>
    <w:rsid w:val="008A79F1"/>
    <w:rsid w:val="008B00A5"/>
    <w:rsid w:val="008B05EB"/>
    <w:rsid w:val="008B270F"/>
    <w:rsid w:val="008B6635"/>
    <w:rsid w:val="008B7B49"/>
    <w:rsid w:val="008C4052"/>
    <w:rsid w:val="008C44E7"/>
    <w:rsid w:val="008C45EE"/>
    <w:rsid w:val="008C47AC"/>
    <w:rsid w:val="008C50FD"/>
    <w:rsid w:val="008C5DA4"/>
    <w:rsid w:val="008C6B32"/>
    <w:rsid w:val="008C6EAF"/>
    <w:rsid w:val="008C7BE6"/>
    <w:rsid w:val="008C7DCC"/>
    <w:rsid w:val="008D059C"/>
    <w:rsid w:val="008D42FB"/>
    <w:rsid w:val="008D4948"/>
    <w:rsid w:val="008D6011"/>
    <w:rsid w:val="008D6FE2"/>
    <w:rsid w:val="008D76BA"/>
    <w:rsid w:val="008D7C82"/>
    <w:rsid w:val="008E290C"/>
    <w:rsid w:val="008E42D0"/>
    <w:rsid w:val="008E5C0F"/>
    <w:rsid w:val="008E6BA0"/>
    <w:rsid w:val="008E726F"/>
    <w:rsid w:val="008E76EF"/>
    <w:rsid w:val="008E799D"/>
    <w:rsid w:val="008F03A7"/>
    <w:rsid w:val="008F3152"/>
    <w:rsid w:val="008F3B9F"/>
    <w:rsid w:val="008F59DB"/>
    <w:rsid w:val="008F6929"/>
    <w:rsid w:val="008F77F0"/>
    <w:rsid w:val="008F7E0A"/>
    <w:rsid w:val="00900206"/>
    <w:rsid w:val="009002B3"/>
    <w:rsid w:val="00900350"/>
    <w:rsid w:val="00900806"/>
    <w:rsid w:val="00900818"/>
    <w:rsid w:val="009011B4"/>
    <w:rsid w:val="00901A03"/>
    <w:rsid w:val="0090587E"/>
    <w:rsid w:val="00905977"/>
    <w:rsid w:val="00905D95"/>
    <w:rsid w:val="00911BFC"/>
    <w:rsid w:val="009149CE"/>
    <w:rsid w:val="00914D9A"/>
    <w:rsid w:val="009161D1"/>
    <w:rsid w:val="0092107D"/>
    <w:rsid w:val="0092138D"/>
    <w:rsid w:val="0092211D"/>
    <w:rsid w:val="00924EFE"/>
    <w:rsid w:val="00925742"/>
    <w:rsid w:val="009270A0"/>
    <w:rsid w:val="00932CDF"/>
    <w:rsid w:val="00934EEE"/>
    <w:rsid w:val="00935681"/>
    <w:rsid w:val="00935ADE"/>
    <w:rsid w:val="00937341"/>
    <w:rsid w:val="00937ADD"/>
    <w:rsid w:val="0094193D"/>
    <w:rsid w:val="00942D08"/>
    <w:rsid w:val="00943FCB"/>
    <w:rsid w:val="009475A6"/>
    <w:rsid w:val="00952433"/>
    <w:rsid w:val="00952E82"/>
    <w:rsid w:val="00954BF0"/>
    <w:rsid w:val="009558AD"/>
    <w:rsid w:val="00955BA7"/>
    <w:rsid w:val="00957A74"/>
    <w:rsid w:val="00963774"/>
    <w:rsid w:val="00964BE9"/>
    <w:rsid w:val="00966F4F"/>
    <w:rsid w:val="0097357E"/>
    <w:rsid w:val="009749C1"/>
    <w:rsid w:val="00975509"/>
    <w:rsid w:val="0097621B"/>
    <w:rsid w:val="00976771"/>
    <w:rsid w:val="00977A9D"/>
    <w:rsid w:val="00981F01"/>
    <w:rsid w:val="0098415A"/>
    <w:rsid w:val="00985B6E"/>
    <w:rsid w:val="0099300F"/>
    <w:rsid w:val="00993D4D"/>
    <w:rsid w:val="009951B8"/>
    <w:rsid w:val="009955A9"/>
    <w:rsid w:val="0099663F"/>
    <w:rsid w:val="009A11FF"/>
    <w:rsid w:val="009A333B"/>
    <w:rsid w:val="009A53A8"/>
    <w:rsid w:val="009A67B7"/>
    <w:rsid w:val="009B1486"/>
    <w:rsid w:val="009B516A"/>
    <w:rsid w:val="009B5D36"/>
    <w:rsid w:val="009B7F56"/>
    <w:rsid w:val="009C0B5C"/>
    <w:rsid w:val="009C0CA2"/>
    <w:rsid w:val="009C311A"/>
    <w:rsid w:val="009C5B38"/>
    <w:rsid w:val="009C5DD6"/>
    <w:rsid w:val="009C728F"/>
    <w:rsid w:val="009D0429"/>
    <w:rsid w:val="009D5DD9"/>
    <w:rsid w:val="009D67A0"/>
    <w:rsid w:val="009E0441"/>
    <w:rsid w:val="009E61C3"/>
    <w:rsid w:val="009E70F6"/>
    <w:rsid w:val="009F238E"/>
    <w:rsid w:val="009F4D0F"/>
    <w:rsid w:val="009F4EFF"/>
    <w:rsid w:val="009F502B"/>
    <w:rsid w:val="009F6B58"/>
    <w:rsid w:val="00A043E3"/>
    <w:rsid w:val="00A04D10"/>
    <w:rsid w:val="00A05A7C"/>
    <w:rsid w:val="00A12BBC"/>
    <w:rsid w:val="00A12E9C"/>
    <w:rsid w:val="00A132EB"/>
    <w:rsid w:val="00A179F8"/>
    <w:rsid w:val="00A17ED5"/>
    <w:rsid w:val="00A20DB6"/>
    <w:rsid w:val="00A21BFB"/>
    <w:rsid w:val="00A21CC1"/>
    <w:rsid w:val="00A22AFE"/>
    <w:rsid w:val="00A24960"/>
    <w:rsid w:val="00A2667A"/>
    <w:rsid w:val="00A32AA1"/>
    <w:rsid w:val="00A32CDD"/>
    <w:rsid w:val="00A33A9D"/>
    <w:rsid w:val="00A353D4"/>
    <w:rsid w:val="00A37312"/>
    <w:rsid w:val="00A37718"/>
    <w:rsid w:val="00A40AD5"/>
    <w:rsid w:val="00A40D45"/>
    <w:rsid w:val="00A413E9"/>
    <w:rsid w:val="00A445ED"/>
    <w:rsid w:val="00A44721"/>
    <w:rsid w:val="00A44861"/>
    <w:rsid w:val="00A4615C"/>
    <w:rsid w:val="00A4698E"/>
    <w:rsid w:val="00A50B5C"/>
    <w:rsid w:val="00A50F82"/>
    <w:rsid w:val="00A51CC9"/>
    <w:rsid w:val="00A53957"/>
    <w:rsid w:val="00A5658D"/>
    <w:rsid w:val="00A57A0D"/>
    <w:rsid w:val="00A60B6F"/>
    <w:rsid w:val="00A6148C"/>
    <w:rsid w:val="00A6345E"/>
    <w:rsid w:val="00A70750"/>
    <w:rsid w:val="00A7287E"/>
    <w:rsid w:val="00A73BE2"/>
    <w:rsid w:val="00A75F35"/>
    <w:rsid w:val="00A76C62"/>
    <w:rsid w:val="00A76E64"/>
    <w:rsid w:val="00A80569"/>
    <w:rsid w:val="00A8163C"/>
    <w:rsid w:val="00A81ABF"/>
    <w:rsid w:val="00A8344C"/>
    <w:rsid w:val="00A86351"/>
    <w:rsid w:val="00A874D8"/>
    <w:rsid w:val="00A905A4"/>
    <w:rsid w:val="00A90BB6"/>
    <w:rsid w:val="00A92548"/>
    <w:rsid w:val="00A946F4"/>
    <w:rsid w:val="00A94D04"/>
    <w:rsid w:val="00A95C95"/>
    <w:rsid w:val="00A96D7F"/>
    <w:rsid w:val="00AA0A62"/>
    <w:rsid w:val="00AA2AA3"/>
    <w:rsid w:val="00AB65CA"/>
    <w:rsid w:val="00AB678C"/>
    <w:rsid w:val="00AC2886"/>
    <w:rsid w:val="00AC2A9B"/>
    <w:rsid w:val="00AC2E23"/>
    <w:rsid w:val="00AC392F"/>
    <w:rsid w:val="00AC489E"/>
    <w:rsid w:val="00AC66BC"/>
    <w:rsid w:val="00AD0AF0"/>
    <w:rsid w:val="00AD1EDA"/>
    <w:rsid w:val="00AD51E5"/>
    <w:rsid w:val="00AD5E95"/>
    <w:rsid w:val="00AD7AE3"/>
    <w:rsid w:val="00AE429E"/>
    <w:rsid w:val="00AE5333"/>
    <w:rsid w:val="00AF02AB"/>
    <w:rsid w:val="00AF11F7"/>
    <w:rsid w:val="00AF18DE"/>
    <w:rsid w:val="00AF2AFE"/>
    <w:rsid w:val="00AF45F2"/>
    <w:rsid w:val="00AF6944"/>
    <w:rsid w:val="00AF6A40"/>
    <w:rsid w:val="00B02C38"/>
    <w:rsid w:val="00B03A88"/>
    <w:rsid w:val="00B05124"/>
    <w:rsid w:val="00B065ED"/>
    <w:rsid w:val="00B07832"/>
    <w:rsid w:val="00B13859"/>
    <w:rsid w:val="00B16866"/>
    <w:rsid w:val="00B21D37"/>
    <w:rsid w:val="00B2232A"/>
    <w:rsid w:val="00B263AB"/>
    <w:rsid w:val="00B279AE"/>
    <w:rsid w:val="00B27F23"/>
    <w:rsid w:val="00B35117"/>
    <w:rsid w:val="00B41C13"/>
    <w:rsid w:val="00B42728"/>
    <w:rsid w:val="00B43D08"/>
    <w:rsid w:val="00B43F0A"/>
    <w:rsid w:val="00B462DF"/>
    <w:rsid w:val="00B4707D"/>
    <w:rsid w:val="00B471F8"/>
    <w:rsid w:val="00B50117"/>
    <w:rsid w:val="00B5048D"/>
    <w:rsid w:val="00B51302"/>
    <w:rsid w:val="00B51F5A"/>
    <w:rsid w:val="00B536A3"/>
    <w:rsid w:val="00B5406A"/>
    <w:rsid w:val="00B54FDA"/>
    <w:rsid w:val="00B5592E"/>
    <w:rsid w:val="00B55BFF"/>
    <w:rsid w:val="00B5618B"/>
    <w:rsid w:val="00B5708F"/>
    <w:rsid w:val="00B579D9"/>
    <w:rsid w:val="00B60407"/>
    <w:rsid w:val="00B609A4"/>
    <w:rsid w:val="00B62E7B"/>
    <w:rsid w:val="00B648EC"/>
    <w:rsid w:val="00B657B6"/>
    <w:rsid w:val="00B668D9"/>
    <w:rsid w:val="00B71321"/>
    <w:rsid w:val="00B71F95"/>
    <w:rsid w:val="00B770FF"/>
    <w:rsid w:val="00B801A9"/>
    <w:rsid w:val="00B804BD"/>
    <w:rsid w:val="00B80F58"/>
    <w:rsid w:val="00B858FE"/>
    <w:rsid w:val="00B86235"/>
    <w:rsid w:val="00B87396"/>
    <w:rsid w:val="00B910D4"/>
    <w:rsid w:val="00B92431"/>
    <w:rsid w:val="00B933B5"/>
    <w:rsid w:val="00B935B5"/>
    <w:rsid w:val="00B93D19"/>
    <w:rsid w:val="00B93E5E"/>
    <w:rsid w:val="00B941E5"/>
    <w:rsid w:val="00B95296"/>
    <w:rsid w:val="00B9534C"/>
    <w:rsid w:val="00B95F86"/>
    <w:rsid w:val="00BA1B48"/>
    <w:rsid w:val="00BA1C40"/>
    <w:rsid w:val="00BA488F"/>
    <w:rsid w:val="00BA5F76"/>
    <w:rsid w:val="00BA7F87"/>
    <w:rsid w:val="00BB135F"/>
    <w:rsid w:val="00BB265D"/>
    <w:rsid w:val="00BB26A9"/>
    <w:rsid w:val="00BB5174"/>
    <w:rsid w:val="00BB590F"/>
    <w:rsid w:val="00BC02DA"/>
    <w:rsid w:val="00BC037F"/>
    <w:rsid w:val="00BC04C1"/>
    <w:rsid w:val="00BC04C5"/>
    <w:rsid w:val="00BC0F67"/>
    <w:rsid w:val="00BC0FAC"/>
    <w:rsid w:val="00BC2FC0"/>
    <w:rsid w:val="00BC3DB0"/>
    <w:rsid w:val="00BD019E"/>
    <w:rsid w:val="00BD0B91"/>
    <w:rsid w:val="00BD1555"/>
    <w:rsid w:val="00BD1A4D"/>
    <w:rsid w:val="00BD1BC5"/>
    <w:rsid w:val="00BD473A"/>
    <w:rsid w:val="00BD7806"/>
    <w:rsid w:val="00BE2CE5"/>
    <w:rsid w:val="00BE3B9F"/>
    <w:rsid w:val="00BE4FD3"/>
    <w:rsid w:val="00BE635A"/>
    <w:rsid w:val="00BF2F1A"/>
    <w:rsid w:val="00BF6E8A"/>
    <w:rsid w:val="00BF6ECE"/>
    <w:rsid w:val="00C00DF5"/>
    <w:rsid w:val="00C027CA"/>
    <w:rsid w:val="00C042A7"/>
    <w:rsid w:val="00C05DEE"/>
    <w:rsid w:val="00C070A9"/>
    <w:rsid w:val="00C10ADF"/>
    <w:rsid w:val="00C11F6E"/>
    <w:rsid w:val="00C12524"/>
    <w:rsid w:val="00C12DAF"/>
    <w:rsid w:val="00C1301C"/>
    <w:rsid w:val="00C13807"/>
    <w:rsid w:val="00C13B7C"/>
    <w:rsid w:val="00C150F3"/>
    <w:rsid w:val="00C163C3"/>
    <w:rsid w:val="00C22A3F"/>
    <w:rsid w:val="00C25736"/>
    <w:rsid w:val="00C25BAE"/>
    <w:rsid w:val="00C27034"/>
    <w:rsid w:val="00C279D4"/>
    <w:rsid w:val="00C311A2"/>
    <w:rsid w:val="00C31EAF"/>
    <w:rsid w:val="00C34EBD"/>
    <w:rsid w:val="00C35127"/>
    <w:rsid w:val="00C432B5"/>
    <w:rsid w:val="00C466DA"/>
    <w:rsid w:val="00C47CA3"/>
    <w:rsid w:val="00C47D2C"/>
    <w:rsid w:val="00C50CE0"/>
    <w:rsid w:val="00C50E4A"/>
    <w:rsid w:val="00C56A27"/>
    <w:rsid w:val="00C602D8"/>
    <w:rsid w:val="00C60538"/>
    <w:rsid w:val="00C61E52"/>
    <w:rsid w:val="00C65C3C"/>
    <w:rsid w:val="00C677A0"/>
    <w:rsid w:val="00C70008"/>
    <w:rsid w:val="00C7011A"/>
    <w:rsid w:val="00C72AEB"/>
    <w:rsid w:val="00C73009"/>
    <w:rsid w:val="00C73033"/>
    <w:rsid w:val="00C76670"/>
    <w:rsid w:val="00C8351F"/>
    <w:rsid w:val="00C84477"/>
    <w:rsid w:val="00C86D91"/>
    <w:rsid w:val="00C86EE1"/>
    <w:rsid w:val="00C91979"/>
    <w:rsid w:val="00C91F4F"/>
    <w:rsid w:val="00C92014"/>
    <w:rsid w:val="00C923AE"/>
    <w:rsid w:val="00C928F2"/>
    <w:rsid w:val="00C93A67"/>
    <w:rsid w:val="00C9492F"/>
    <w:rsid w:val="00C955C5"/>
    <w:rsid w:val="00CA1EE6"/>
    <w:rsid w:val="00CA21D5"/>
    <w:rsid w:val="00CA2C5A"/>
    <w:rsid w:val="00CA38A4"/>
    <w:rsid w:val="00CA5819"/>
    <w:rsid w:val="00CA5A47"/>
    <w:rsid w:val="00CB417B"/>
    <w:rsid w:val="00CB62B8"/>
    <w:rsid w:val="00CC078C"/>
    <w:rsid w:val="00CC2C44"/>
    <w:rsid w:val="00CC3636"/>
    <w:rsid w:val="00CC5DAB"/>
    <w:rsid w:val="00CC5E4C"/>
    <w:rsid w:val="00CC7399"/>
    <w:rsid w:val="00CD01BB"/>
    <w:rsid w:val="00CD121A"/>
    <w:rsid w:val="00CD7C01"/>
    <w:rsid w:val="00CE05E2"/>
    <w:rsid w:val="00CE104C"/>
    <w:rsid w:val="00CE303E"/>
    <w:rsid w:val="00CE3EDC"/>
    <w:rsid w:val="00CE48E2"/>
    <w:rsid w:val="00CE6BF6"/>
    <w:rsid w:val="00CE6D9D"/>
    <w:rsid w:val="00CF00D0"/>
    <w:rsid w:val="00CF0F98"/>
    <w:rsid w:val="00CF5257"/>
    <w:rsid w:val="00CF60A2"/>
    <w:rsid w:val="00D009F7"/>
    <w:rsid w:val="00D019D1"/>
    <w:rsid w:val="00D04467"/>
    <w:rsid w:val="00D04DA5"/>
    <w:rsid w:val="00D07FFB"/>
    <w:rsid w:val="00D1065B"/>
    <w:rsid w:val="00D12C7B"/>
    <w:rsid w:val="00D137DD"/>
    <w:rsid w:val="00D14489"/>
    <w:rsid w:val="00D14631"/>
    <w:rsid w:val="00D15727"/>
    <w:rsid w:val="00D22CAE"/>
    <w:rsid w:val="00D22EC1"/>
    <w:rsid w:val="00D246F1"/>
    <w:rsid w:val="00D24B76"/>
    <w:rsid w:val="00D27E6C"/>
    <w:rsid w:val="00D27EB6"/>
    <w:rsid w:val="00D3096F"/>
    <w:rsid w:val="00D31EFC"/>
    <w:rsid w:val="00D405CF"/>
    <w:rsid w:val="00D41FA3"/>
    <w:rsid w:val="00D45BB8"/>
    <w:rsid w:val="00D54538"/>
    <w:rsid w:val="00D565B2"/>
    <w:rsid w:val="00D64001"/>
    <w:rsid w:val="00D662BF"/>
    <w:rsid w:val="00D74D84"/>
    <w:rsid w:val="00D752DB"/>
    <w:rsid w:val="00D754AF"/>
    <w:rsid w:val="00D758D9"/>
    <w:rsid w:val="00D759B6"/>
    <w:rsid w:val="00D75C25"/>
    <w:rsid w:val="00D7700B"/>
    <w:rsid w:val="00D77F42"/>
    <w:rsid w:val="00D811B2"/>
    <w:rsid w:val="00D81B61"/>
    <w:rsid w:val="00D84471"/>
    <w:rsid w:val="00D86F17"/>
    <w:rsid w:val="00D94098"/>
    <w:rsid w:val="00D95978"/>
    <w:rsid w:val="00D95F0B"/>
    <w:rsid w:val="00D96755"/>
    <w:rsid w:val="00DA037C"/>
    <w:rsid w:val="00DA6E82"/>
    <w:rsid w:val="00DA71BB"/>
    <w:rsid w:val="00DB0AF7"/>
    <w:rsid w:val="00DB1365"/>
    <w:rsid w:val="00DB203A"/>
    <w:rsid w:val="00DB2267"/>
    <w:rsid w:val="00DB4CD3"/>
    <w:rsid w:val="00DC4E57"/>
    <w:rsid w:val="00DC580D"/>
    <w:rsid w:val="00DC76D2"/>
    <w:rsid w:val="00DD1167"/>
    <w:rsid w:val="00DD3181"/>
    <w:rsid w:val="00DD3DEB"/>
    <w:rsid w:val="00DD5AD6"/>
    <w:rsid w:val="00DD6CDF"/>
    <w:rsid w:val="00DE1804"/>
    <w:rsid w:val="00DE1EB7"/>
    <w:rsid w:val="00DE2627"/>
    <w:rsid w:val="00DE6805"/>
    <w:rsid w:val="00DF0680"/>
    <w:rsid w:val="00DF0E3E"/>
    <w:rsid w:val="00DF3F8D"/>
    <w:rsid w:val="00DF4640"/>
    <w:rsid w:val="00DF482F"/>
    <w:rsid w:val="00DF6051"/>
    <w:rsid w:val="00DF768D"/>
    <w:rsid w:val="00E000D7"/>
    <w:rsid w:val="00E00765"/>
    <w:rsid w:val="00E0110D"/>
    <w:rsid w:val="00E0273F"/>
    <w:rsid w:val="00E0282A"/>
    <w:rsid w:val="00E05917"/>
    <w:rsid w:val="00E07307"/>
    <w:rsid w:val="00E077E4"/>
    <w:rsid w:val="00E07CC5"/>
    <w:rsid w:val="00E10D7E"/>
    <w:rsid w:val="00E111A6"/>
    <w:rsid w:val="00E113B7"/>
    <w:rsid w:val="00E11655"/>
    <w:rsid w:val="00E15098"/>
    <w:rsid w:val="00E15ACF"/>
    <w:rsid w:val="00E15D8A"/>
    <w:rsid w:val="00E170A8"/>
    <w:rsid w:val="00E207E2"/>
    <w:rsid w:val="00E21BFB"/>
    <w:rsid w:val="00E2216B"/>
    <w:rsid w:val="00E23B4B"/>
    <w:rsid w:val="00E24E76"/>
    <w:rsid w:val="00E25B5B"/>
    <w:rsid w:val="00E271F9"/>
    <w:rsid w:val="00E31BF3"/>
    <w:rsid w:val="00E323B3"/>
    <w:rsid w:val="00E33BCB"/>
    <w:rsid w:val="00E37195"/>
    <w:rsid w:val="00E37876"/>
    <w:rsid w:val="00E40E93"/>
    <w:rsid w:val="00E4141E"/>
    <w:rsid w:val="00E416A5"/>
    <w:rsid w:val="00E42922"/>
    <w:rsid w:val="00E42FDD"/>
    <w:rsid w:val="00E4334F"/>
    <w:rsid w:val="00E434E6"/>
    <w:rsid w:val="00E45C92"/>
    <w:rsid w:val="00E542F7"/>
    <w:rsid w:val="00E54AEA"/>
    <w:rsid w:val="00E5645F"/>
    <w:rsid w:val="00E56BD8"/>
    <w:rsid w:val="00E56D9A"/>
    <w:rsid w:val="00E60152"/>
    <w:rsid w:val="00E60476"/>
    <w:rsid w:val="00E61E0D"/>
    <w:rsid w:val="00E621E1"/>
    <w:rsid w:val="00E6228F"/>
    <w:rsid w:val="00E63B9E"/>
    <w:rsid w:val="00E6743C"/>
    <w:rsid w:val="00E73B5C"/>
    <w:rsid w:val="00E74803"/>
    <w:rsid w:val="00E808BC"/>
    <w:rsid w:val="00E828D8"/>
    <w:rsid w:val="00E83064"/>
    <w:rsid w:val="00E83866"/>
    <w:rsid w:val="00E8425A"/>
    <w:rsid w:val="00E84ABB"/>
    <w:rsid w:val="00E91A79"/>
    <w:rsid w:val="00E953A3"/>
    <w:rsid w:val="00E974E4"/>
    <w:rsid w:val="00EA042B"/>
    <w:rsid w:val="00EA21B6"/>
    <w:rsid w:val="00EA3626"/>
    <w:rsid w:val="00EA6187"/>
    <w:rsid w:val="00EB20A0"/>
    <w:rsid w:val="00EB3428"/>
    <w:rsid w:val="00EB53BD"/>
    <w:rsid w:val="00EB62E3"/>
    <w:rsid w:val="00EC1955"/>
    <w:rsid w:val="00EC238C"/>
    <w:rsid w:val="00EC24AB"/>
    <w:rsid w:val="00EC3CC1"/>
    <w:rsid w:val="00EC3E19"/>
    <w:rsid w:val="00EC6E6B"/>
    <w:rsid w:val="00EC732A"/>
    <w:rsid w:val="00EC7F06"/>
    <w:rsid w:val="00ED308C"/>
    <w:rsid w:val="00ED34EA"/>
    <w:rsid w:val="00ED56FC"/>
    <w:rsid w:val="00EE08D1"/>
    <w:rsid w:val="00EE23BE"/>
    <w:rsid w:val="00EE246A"/>
    <w:rsid w:val="00EE36F4"/>
    <w:rsid w:val="00EE5AEC"/>
    <w:rsid w:val="00EE5B8E"/>
    <w:rsid w:val="00EF004B"/>
    <w:rsid w:val="00EF03D8"/>
    <w:rsid w:val="00EF48AE"/>
    <w:rsid w:val="00EF6888"/>
    <w:rsid w:val="00EF75ED"/>
    <w:rsid w:val="00EF7B6D"/>
    <w:rsid w:val="00F0021E"/>
    <w:rsid w:val="00F00647"/>
    <w:rsid w:val="00F05947"/>
    <w:rsid w:val="00F0656A"/>
    <w:rsid w:val="00F07894"/>
    <w:rsid w:val="00F07D8D"/>
    <w:rsid w:val="00F11B80"/>
    <w:rsid w:val="00F11E8B"/>
    <w:rsid w:val="00F12E0C"/>
    <w:rsid w:val="00F133AD"/>
    <w:rsid w:val="00F148E4"/>
    <w:rsid w:val="00F14C71"/>
    <w:rsid w:val="00F14E27"/>
    <w:rsid w:val="00F157C7"/>
    <w:rsid w:val="00F15CBA"/>
    <w:rsid w:val="00F15D3F"/>
    <w:rsid w:val="00F17595"/>
    <w:rsid w:val="00F235E6"/>
    <w:rsid w:val="00F24B40"/>
    <w:rsid w:val="00F25734"/>
    <w:rsid w:val="00F27D91"/>
    <w:rsid w:val="00F314C2"/>
    <w:rsid w:val="00F32066"/>
    <w:rsid w:val="00F34848"/>
    <w:rsid w:val="00F368FE"/>
    <w:rsid w:val="00F37207"/>
    <w:rsid w:val="00F37B7A"/>
    <w:rsid w:val="00F405DD"/>
    <w:rsid w:val="00F41085"/>
    <w:rsid w:val="00F41F93"/>
    <w:rsid w:val="00F4327F"/>
    <w:rsid w:val="00F4473C"/>
    <w:rsid w:val="00F44E66"/>
    <w:rsid w:val="00F4706E"/>
    <w:rsid w:val="00F47E62"/>
    <w:rsid w:val="00F507CE"/>
    <w:rsid w:val="00F519CB"/>
    <w:rsid w:val="00F52714"/>
    <w:rsid w:val="00F55C19"/>
    <w:rsid w:val="00F60FAD"/>
    <w:rsid w:val="00F63047"/>
    <w:rsid w:val="00F65819"/>
    <w:rsid w:val="00F65A84"/>
    <w:rsid w:val="00F66D0E"/>
    <w:rsid w:val="00F71B45"/>
    <w:rsid w:val="00F72C8A"/>
    <w:rsid w:val="00F75146"/>
    <w:rsid w:val="00F80642"/>
    <w:rsid w:val="00F80D87"/>
    <w:rsid w:val="00F82C5E"/>
    <w:rsid w:val="00F840CB"/>
    <w:rsid w:val="00F91377"/>
    <w:rsid w:val="00F91567"/>
    <w:rsid w:val="00F93AB5"/>
    <w:rsid w:val="00F94085"/>
    <w:rsid w:val="00F94CC1"/>
    <w:rsid w:val="00FA1A7F"/>
    <w:rsid w:val="00FA23E1"/>
    <w:rsid w:val="00FA2A9E"/>
    <w:rsid w:val="00FA5312"/>
    <w:rsid w:val="00FA6A93"/>
    <w:rsid w:val="00FA6BB1"/>
    <w:rsid w:val="00FB1342"/>
    <w:rsid w:val="00FB2022"/>
    <w:rsid w:val="00FB3C73"/>
    <w:rsid w:val="00FB6166"/>
    <w:rsid w:val="00FC1B32"/>
    <w:rsid w:val="00FC36E5"/>
    <w:rsid w:val="00FC6062"/>
    <w:rsid w:val="00FC6BCB"/>
    <w:rsid w:val="00FC7014"/>
    <w:rsid w:val="00FC72DA"/>
    <w:rsid w:val="00FD0A75"/>
    <w:rsid w:val="00FD140B"/>
    <w:rsid w:val="00FD154B"/>
    <w:rsid w:val="00FD1EFD"/>
    <w:rsid w:val="00FD36E3"/>
    <w:rsid w:val="00FD49A4"/>
    <w:rsid w:val="00FE04A7"/>
    <w:rsid w:val="00FE1382"/>
    <w:rsid w:val="00FE1E07"/>
    <w:rsid w:val="00FE1FD3"/>
    <w:rsid w:val="00FE4F55"/>
    <w:rsid w:val="00FE53BB"/>
    <w:rsid w:val="00FE5C42"/>
    <w:rsid w:val="00FE6DFD"/>
    <w:rsid w:val="00FF0079"/>
    <w:rsid w:val="00FF0920"/>
    <w:rsid w:val="00FF3C29"/>
    <w:rsid w:val="00FF3EAE"/>
    <w:rsid w:val="00FF3F0C"/>
    <w:rsid w:val="00FF531E"/>
    <w:rsid w:val="00FF6527"/>
    <w:rsid w:val="00FF7F65"/>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urn:schemas:contacts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5:chartTrackingRefBased/>
  <w15:docId w15:val="{CE0A0075-5467-4E46-86D8-9CF0118A1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napToGrid w:val="0"/>
      <w:sz w:val="22"/>
      <w:lang w:val="en-GB"/>
    </w:rPr>
  </w:style>
  <w:style w:type="paragraph" w:styleId="Heading1">
    <w:name w:val="heading 1"/>
    <w:basedOn w:val="Normal"/>
    <w:next w:val="Paragraph"/>
    <w:link w:val="Heading1Char"/>
    <w:qFormat/>
    <w:pPr>
      <w:keepNext/>
      <w:spacing w:before="600" w:after="240"/>
      <w:outlineLvl w:val="0"/>
    </w:pPr>
    <w:rPr>
      <w:snapToGrid/>
      <w:sz w:val="14"/>
      <w:lang w:eastAsia="x-none"/>
    </w:rPr>
  </w:style>
  <w:style w:type="paragraph" w:styleId="Heading2">
    <w:name w:val="heading 2"/>
    <w:basedOn w:val="Heading1"/>
    <w:next w:val="Paragraph"/>
    <w:link w:val="Heading2Char"/>
    <w:uiPriority w:val="9"/>
    <w:qFormat/>
    <w:pPr>
      <w:spacing w:before="360" w:after="120"/>
      <w:outlineLvl w:val="1"/>
    </w:pPr>
    <w:rPr>
      <w:rFonts w:ascii="Cambria" w:hAnsi="Cambria"/>
      <w:b/>
      <w:bCs/>
      <w:i/>
      <w:iCs/>
      <w:snapToGrid w:val="0"/>
      <w:sz w:val="28"/>
      <w:szCs w:val="28"/>
    </w:rPr>
  </w:style>
  <w:style w:type="paragraph" w:styleId="Heading3">
    <w:name w:val="heading 3"/>
    <w:basedOn w:val="Heading2"/>
    <w:next w:val="Paragraph"/>
    <w:link w:val="Heading3Char"/>
    <w:uiPriority w:val="9"/>
    <w:qFormat/>
    <w:pPr>
      <w:spacing w:before="240"/>
      <w:outlineLvl w:val="2"/>
    </w:pPr>
    <w:rPr>
      <w:i w:val="0"/>
      <w:iCs w:val="0"/>
      <w:sz w:val="26"/>
      <w:szCs w:val="26"/>
    </w:rPr>
  </w:style>
  <w:style w:type="paragraph" w:styleId="Heading4">
    <w:name w:val="heading 4"/>
    <w:basedOn w:val="Heading3"/>
    <w:next w:val="Paragraph"/>
    <w:link w:val="Heading4Char"/>
    <w:uiPriority w:val="9"/>
    <w:qFormat/>
    <w:pPr>
      <w:spacing w:before="120"/>
      <w:outlineLvl w:val="3"/>
    </w:pPr>
    <w:rPr>
      <w:rFonts w:ascii="Calibri" w:hAnsi="Calibri"/>
      <w:sz w:val="28"/>
      <w:szCs w:val="28"/>
    </w:rPr>
  </w:style>
  <w:style w:type="paragraph" w:styleId="Heading5">
    <w:name w:val="heading 5"/>
    <w:basedOn w:val="Heading4"/>
    <w:next w:val="Paragraph"/>
    <w:link w:val="Heading5Char"/>
    <w:uiPriority w:val="9"/>
    <w:qFormat/>
    <w:pPr>
      <w:outlineLvl w:val="4"/>
    </w:pPr>
    <w:rPr>
      <w:i/>
      <w:iCs/>
      <w:sz w:val="26"/>
      <w:szCs w:val="26"/>
    </w:rPr>
  </w:style>
  <w:style w:type="paragraph" w:styleId="Heading6">
    <w:name w:val="heading 6"/>
    <w:basedOn w:val="Heading5"/>
    <w:next w:val="Paragraph"/>
    <w:link w:val="Heading6Char"/>
    <w:uiPriority w:val="9"/>
    <w:qFormat/>
    <w:pPr>
      <w:outlineLvl w:val="5"/>
    </w:pPr>
    <w:rPr>
      <w:i w:val="0"/>
      <w:iCs w:val="0"/>
      <w:sz w:val="22"/>
      <w:szCs w:val="22"/>
    </w:rPr>
  </w:style>
  <w:style w:type="paragraph" w:styleId="Heading7">
    <w:name w:val="heading 7"/>
    <w:basedOn w:val="Heading6"/>
    <w:next w:val="Paragraph"/>
    <w:link w:val="Heading7Char"/>
    <w:uiPriority w:val="9"/>
    <w:qFormat/>
    <w:pPr>
      <w:outlineLvl w:val="6"/>
    </w:pPr>
    <w:rPr>
      <w:b w:val="0"/>
      <w:bCs w:val="0"/>
      <w:sz w:val="24"/>
      <w:szCs w:val="24"/>
    </w:rPr>
  </w:style>
  <w:style w:type="paragraph" w:styleId="Heading8">
    <w:name w:val="heading 8"/>
    <w:basedOn w:val="Heading7"/>
    <w:next w:val="Paragraph"/>
    <w:link w:val="Heading8Char"/>
    <w:uiPriority w:val="9"/>
    <w:qFormat/>
    <w:pPr>
      <w:outlineLvl w:val="7"/>
    </w:pPr>
    <w:rPr>
      <w:i/>
      <w:iCs/>
    </w:rPr>
  </w:style>
  <w:style w:type="paragraph" w:styleId="Heading9">
    <w:name w:val="heading 9"/>
    <w:basedOn w:val="Heading8"/>
    <w:next w:val="Paragraph"/>
    <w:link w:val="Heading9Char"/>
    <w:uiPriority w:val="9"/>
    <w:qFormat/>
    <w:pPr>
      <w:outlineLvl w:val="8"/>
    </w:pPr>
    <w:rPr>
      <w:rFonts w:ascii="Cambria" w:hAnsi="Cambria"/>
      <w:i w:val="0"/>
      <w:iCs w:val="0"/>
      <w:sz w:val="22"/>
      <w:szCs w:val="22"/>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textOddChar">
    <w:name w:val="FootertextOdd Char"/>
    <w:locked/>
    <w:rPr>
      <w:rFonts w:ascii="Arial" w:hAnsi="Arial"/>
      <w:sz w:val="14"/>
      <w:lang w:val="en-GB"/>
    </w:rPr>
  </w:style>
  <w:style w:type="character" w:customStyle="1" w:styleId="Heading2Char">
    <w:name w:val="Heading 2 Char"/>
    <w:link w:val="Heading2"/>
    <w:uiPriority w:val="9"/>
    <w:semiHidden/>
    <w:rPr>
      <w:rFonts w:ascii="Cambria" w:eastAsia="Times New Roman" w:hAnsi="Cambria" w:cs="Times New Roman"/>
      <w:b/>
      <w:bCs/>
      <w:i/>
      <w:iCs/>
      <w:snapToGrid w:val="0"/>
      <w:sz w:val="28"/>
      <w:szCs w:val="28"/>
      <w:lang w:val="en-GB"/>
    </w:rPr>
  </w:style>
  <w:style w:type="character" w:customStyle="1" w:styleId="Heading3Char">
    <w:name w:val="Heading 3 Char"/>
    <w:link w:val="Heading3"/>
    <w:uiPriority w:val="9"/>
    <w:semiHidden/>
    <w:rPr>
      <w:rFonts w:ascii="Cambria" w:eastAsia="Times New Roman" w:hAnsi="Cambria" w:cs="Times New Roman"/>
      <w:b/>
      <w:bCs/>
      <w:snapToGrid w:val="0"/>
      <w:sz w:val="26"/>
      <w:szCs w:val="26"/>
      <w:lang w:val="en-GB"/>
    </w:rPr>
  </w:style>
  <w:style w:type="character" w:customStyle="1" w:styleId="Heading4Char">
    <w:name w:val="Heading 4 Char"/>
    <w:link w:val="Heading4"/>
    <w:uiPriority w:val="9"/>
    <w:semiHidden/>
    <w:rPr>
      <w:rFonts w:ascii="Calibri" w:eastAsia="Times New Roman" w:hAnsi="Calibri" w:cs="Times New Roman"/>
      <w:b/>
      <w:bCs/>
      <w:snapToGrid w:val="0"/>
      <w:sz w:val="28"/>
      <w:szCs w:val="28"/>
      <w:lang w:val="en-GB"/>
    </w:rPr>
  </w:style>
  <w:style w:type="character" w:customStyle="1" w:styleId="Heading5Char">
    <w:name w:val="Heading 5 Char"/>
    <w:link w:val="Heading5"/>
    <w:uiPriority w:val="9"/>
    <w:semiHidden/>
    <w:rPr>
      <w:rFonts w:ascii="Calibri" w:eastAsia="Times New Roman" w:hAnsi="Calibri" w:cs="Times New Roman"/>
      <w:b/>
      <w:bCs/>
      <w:i/>
      <w:iCs/>
      <w:snapToGrid w:val="0"/>
      <w:sz w:val="26"/>
      <w:szCs w:val="26"/>
      <w:lang w:val="en-GB"/>
    </w:rPr>
  </w:style>
  <w:style w:type="character" w:customStyle="1" w:styleId="Heading6Char">
    <w:name w:val="Heading 6 Char"/>
    <w:link w:val="Heading6"/>
    <w:uiPriority w:val="9"/>
    <w:semiHidden/>
    <w:rPr>
      <w:rFonts w:ascii="Calibri" w:eastAsia="Times New Roman" w:hAnsi="Calibri" w:cs="Times New Roman"/>
      <w:b/>
      <w:bCs/>
      <w:snapToGrid w:val="0"/>
      <w:sz w:val="22"/>
      <w:szCs w:val="22"/>
      <w:lang w:val="en-GB"/>
    </w:rPr>
  </w:style>
  <w:style w:type="character" w:customStyle="1" w:styleId="Heading7Char">
    <w:name w:val="Heading 7 Char"/>
    <w:link w:val="Heading7"/>
    <w:uiPriority w:val="9"/>
    <w:semiHidden/>
    <w:rPr>
      <w:rFonts w:ascii="Calibri" w:eastAsia="Times New Roman" w:hAnsi="Calibri" w:cs="Times New Roman"/>
      <w:snapToGrid w:val="0"/>
      <w:sz w:val="24"/>
      <w:szCs w:val="24"/>
      <w:lang w:val="en-GB"/>
    </w:rPr>
  </w:style>
  <w:style w:type="character" w:customStyle="1" w:styleId="Heading8Char">
    <w:name w:val="Heading 8 Char"/>
    <w:link w:val="Heading8"/>
    <w:uiPriority w:val="9"/>
    <w:semiHidden/>
    <w:rPr>
      <w:rFonts w:ascii="Calibri" w:eastAsia="Times New Roman" w:hAnsi="Calibri" w:cs="Times New Roman"/>
      <w:i/>
      <w:iCs/>
      <w:snapToGrid w:val="0"/>
      <w:sz w:val="24"/>
      <w:szCs w:val="24"/>
      <w:lang w:val="en-GB"/>
    </w:rPr>
  </w:style>
  <w:style w:type="character" w:customStyle="1" w:styleId="Heading9Char">
    <w:name w:val="Heading 9 Char"/>
    <w:link w:val="Heading9"/>
    <w:uiPriority w:val="9"/>
    <w:semiHidden/>
    <w:rPr>
      <w:rFonts w:ascii="Cambria" w:eastAsia="Times New Roman" w:hAnsi="Cambria" w:cs="Times New Roman"/>
      <w:snapToGrid w:val="0"/>
      <w:sz w:val="22"/>
      <w:szCs w:val="22"/>
      <w:lang w:val="en-GB"/>
    </w:rPr>
  </w:style>
  <w:style w:type="paragraph" w:customStyle="1" w:styleId="Paragraph">
    <w:name w:val="Paragraph"/>
    <w:basedOn w:val="Normal"/>
    <w:rsid w:val="00666ADE"/>
    <w:pPr>
      <w:spacing w:after="120"/>
      <w:jc w:val="both"/>
    </w:pPr>
    <w:rPr>
      <w:szCs w:val="24"/>
      <w:lang w:val="hu-HU"/>
    </w:rPr>
  </w:style>
  <w:style w:type="paragraph" w:styleId="Header">
    <w:name w:val="header"/>
    <w:basedOn w:val="Normal"/>
    <w:link w:val="HeaderChar"/>
    <w:uiPriority w:val="99"/>
    <w:pPr>
      <w:tabs>
        <w:tab w:val="right" w:pos="8845"/>
      </w:tabs>
      <w:spacing w:after="120"/>
      <w:jc w:val="right"/>
    </w:pPr>
    <w:rPr>
      <w:sz w:val="20"/>
    </w:rPr>
  </w:style>
  <w:style w:type="character" w:customStyle="1" w:styleId="tw4winMark">
    <w:name w:val="tw4winMark"/>
    <w:uiPriority w:val="99"/>
    <w:rPr>
      <w:rFonts w:ascii="Courier New" w:hAnsi="Courier New"/>
      <w:vanish/>
      <w:color w:val="800080"/>
      <w:vertAlign w:val="subscript"/>
    </w:rPr>
  </w:style>
  <w:style w:type="paragraph" w:styleId="Footer">
    <w:name w:val="footer"/>
    <w:basedOn w:val="Normal"/>
    <w:link w:val="FooterChar"/>
    <w:uiPriority w:val="99"/>
    <w:pPr>
      <w:tabs>
        <w:tab w:val="center" w:pos="4536"/>
        <w:tab w:val="right" w:pos="9072"/>
      </w:tabs>
    </w:pPr>
    <w:rPr>
      <w:lang w:eastAsia="x-none"/>
    </w:rPr>
  </w:style>
  <w:style w:type="character" w:customStyle="1" w:styleId="FooterChar">
    <w:name w:val="Footer Char"/>
    <w:link w:val="Footer"/>
    <w:uiPriority w:val="99"/>
    <w:rPr>
      <w:rFonts w:ascii="Arial" w:hAnsi="Arial"/>
      <w:snapToGrid w:val="0"/>
      <w:sz w:val="22"/>
      <w:lang w:val="en-GB"/>
    </w:rPr>
  </w:style>
  <w:style w:type="character" w:styleId="PageNumber">
    <w:name w:val="page number"/>
    <w:uiPriority w:val="99"/>
    <w:rPr>
      <w:rFonts w:ascii="Arial" w:hAnsi="Arial" w:cs="Times New Roman"/>
      <w:sz w:val="18"/>
    </w:rPr>
  </w:style>
  <w:style w:type="paragraph" w:customStyle="1" w:styleId="FooterPageNumber">
    <w:name w:val="FooterPageNumber"/>
    <w:basedOn w:val="FootertextOdd"/>
    <w:pPr>
      <w:jc w:val="right"/>
    </w:pPr>
    <w:rPr>
      <w:sz w:val="18"/>
    </w:rPr>
  </w:style>
  <w:style w:type="paragraph" w:customStyle="1" w:styleId="FootertextOdd">
    <w:name w:val="FootertextOdd"/>
    <w:basedOn w:val="Normal"/>
    <w:pPr>
      <w:spacing w:before="120"/>
    </w:pPr>
    <w:rPr>
      <w:sz w:val="14"/>
    </w:rPr>
  </w:style>
  <w:style w:type="paragraph" w:customStyle="1" w:styleId="FootertextEven">
    <w:name w:val="FootertextEven"/>
    <w:basedOn w:val="FootertextOdd"/>
    <w:pPr>
      <w:jc w:val="right"/>
    </w:pPr>
  </w:style>
  <w:style w:type="paragraph" w:customStyle="1" w:styleId="Footerempty">
    <w:name w:val="Footerempty"/>
    <w:basedOn w:val="Footer"/>
    <w:pPr>
      <w:tabs>
        <w:tab w:val="clear" w:pos="4536"/>
        <w:tab w:val="clear" w:pos="9072"/>
      </w:tabs>
    </w:pPr>
    <w:rPr>
      <w:color w:val="FFFFFF"/>
      <w:sz w:val="2"/>
    </w:rPr>
  </w:style>
  <w:style w:type="paragraph" w:customStyle="1" w:styleId="PageNumbereven">
    <w:name w:val="Page Numbereven"/>
    <w:basedOn w:val="FooterPageNumber"/>
    <w:pPr>
      <w:jc w:val="left"/>
    </w:pPr>
  </w:style>
  <w:style w:type="paragraph" w:customStyle="1" w:styleId="Footertext">
    <w:name w:val="Footertext"/>
    <w:basedOn w:val="Normal"/>
    <w:pPr>
      <w:spacing w:before="120"/>
    </w:pPr>
    <w:rPr>
      <w:sz w:val="14"/>
    </w:rPr>
  </w:style>
  <w:style w:type="paragraph" w:customStyle="1" w:styleId="PubliSubtitle">
    <w:name w:val="PubliSubtitle"/>
    <w:basedOn w:val="Paragraph"/>
    <w:next w:val="Paragraph"/>
    <w:pPr>
      <w:keepNext/>
      <w:spacing w:after="600"/>
      <w:jc w:val="center"/>
    </w:pPr>
    <w:rPr>
      <w:b/>
      <w:sz w:val="26"/>
    </w:rPr>
  </w:style>
  <w:style w:type="paragraph" w:styleId="FootnoteText">
    <w:name w:val="footnote text"/>
    <w:basedOn w:val="Normal"/>
    <w:link w:val="FootnoteTextChar"/>
    <w:uiPriority w:val="99"/>
    <w:pPr>
      <w:spacing w:after="120"/>
      <w:ind w:left="284" w:hanging="284"/>
      <w:jc w:val="both"/>
    </w:pPr>
    <w:rPr>
      <w:sz w:val="20"/>
      <w:lang w:eastAsia="x-none"/>
    </w:rPr>
  </w:style>
  <w:style w:type="character" w:customStyle="1" w:styleId="FootnoteTextChar">
    <w:name w:val="Footnote Text Char"/>
    <w:link w:val="FootnoteText"/>
    <w:uiPriority w:val="99"/>
    <w:rPr>
      <w:rFonts w:ascii="Arial" w:hAnsi="Arial"/>
      <w:snapToGrid w:val="0"/>
      <w:lang w:val="en-GB"/>
    </w:rPr>
  </w:style>
  <w:style w:type="paragraph" w:customStyle="1" w:styleId="IndentedParagraph">
    <w:name w:val="IndentedParagraph"/>
    <w:basedOn w:val="Paragraph"/>
    <w:pPr>
      <w:ind w:left="851" w:hanging="851"/>
    </w:pPr>
  </w:style>
  <w:style w:type="character" w:styleId="FootnoteReference">
    <w:name w:val="footnote reference"/>
    <w:uiPriority w:val="99"/>
    <w:rPr>
      <w:rFonts w:ascii="Arial" w:hAnsi="Arial" w:cs="Times New Roman"/>
      <w:vertAlign w:val="superscript"/>
    </w:rPr>
  </w:style>
  <w:style w:type="paragraph" w:customStyle="1" w:styleId="NTHeading1">
    <w:name w:val="NTHeading 1"/>
    <w:basedOn w:val="Heading1"/>
    <w:next w:val="Paragraph"/>
  </w:style>
  <w:style w:type="paragraph" w:customStyle="1" w:styleId="PubliTitle">
    <w:name w:val="PubliTitle"/>
    <w:basedOn w:val="Paragraph"/>
    <w:next w:val="Paragraph"/>
    <w:pPr>
      <w:keepNext/>
      <w:spacing w:after="600"/>
      <w:jc w:val="center"/>
    </w:pPr>
    <w:rPr>
      <w:b/>
      <w:sz w:val="30"/>
    </w:rPr>
  </w:style>
  <w:style w:type="paragraph" w:customStyle="1" w:styleId="TableColumnHeading">
    <w:name w:val="TableColumnHeading"/>
    <w:basedOn w:val="Paragraph"/>
    <w:pPr>
      <w:keepNext/>
      <w:spacing w:before="120"/>
      <w:jc w:val="center"/>
    </w:pPr>
    <w:rPr>
      <w:b/>
      <w:sz w:val="20"/>
    </w:rPr>
  </w:style>
  <w:style w:type="paragraph" w:customStyle="1" w:styleId="TableText">
    <w:name w:val="TableText"/>
    <w:basedOn w:val="Paragraph"/>
    <w:pPr>
      <w:framePr w:wrap="around" w:hAnchor="text" w:yAlign="top"/>
      <w:spacing w:before="60" w:after="60"/>
      <w:jc w:val="left"/>
    </w:pPr>
    <w:rPr>
      <w:sz w:val="20"/>
    </w:rPr>
  </w:style>
  <w:style w:type="paragraph" w:customStyle="1" w:styleId="TableRowHeading">
    <w:name w:val="TableRowHeading"/>
    <w:basedOn w:val="Paragraph"/>
    <w:pPr>
      <w:spacing w:before="60" w:after="60"/>
      <w:jc w:val="left"/>
    </w:pPr>
    <w:rPr>
      <w:sz w:val="20"/>
    </w:rPr>
  </w:style>
  <w:style w:type="paragraph" w:customStyle="1" w:styleId="TableNumber">
    <w:name w:val="TableNumber"/>
    <w:basedOn w:val="Paragraph"/>
    <w:next w:val="TableTitle"/>
    <w:pPr>
      <w:keepNext/>
      <w:spacing w:before="120" w:after="0"/>
      <w:jc w:val="center"/>
    </w:pPr>
  </w:style>
  <w:style w:type="paragraph" w:customStyle="1" w:styleId="TableTitle">
    <w:name w:val="TableTitle"/>
    <w:basedOn w:val="Paragraph"/>
    <w:next w:val="TableSubtitle"/>
    <w:pPr>
      <w:keepNext/>
      <w:spacing w:before="120"/>
      <w:jc w:val="center"/>
    </w:pPr>
    <w:rPr>
      <w:b/>
    </w:rPr>
  </w:style>
  <w:style w:type="paragraph" w:customStyle="1" w:styleId="TableNote">
    <w:name w:val="TableNote"/>
    <w:basedOn w:val="Paragraph"/>
    <w:pPr>
      <w:spacing w:before="120"/>
    </w:pPr>
    <w:rPr>
      <w:sz w:val="18"/>
    </w:rPr>
  </w:style>
  <w:style w:type="paragraph" w:customStyle="1" w:styleId="empty">
    <w:name w:val="empty"/>
    <w:basedOn w:val="Normal"/>
    <w:rPr>
      <w:color w:val="FFFFFF"/>
    </w:rPr>
  </w:style>
  <w:style w:type="paragraph" w:customStyle="1" w:styleId="FootnoteSeparator">
    <w:name w:val="FootnoteSeparator"/>
    <w:basedOn w:val="Normal"/>
    <w:pPr>
      <w:spacing w:before="240" w:after="120"/>
    </w:pPr>
  </w:style>
  <w:style w:type="paragraph" w:customStyle="1" w:styleId="IndentedHeading1">
    <w:name w:val="Indented Heading 1"/>
    <w:basedOn w:val="Heading1"/>
    <w:next w:val="Paragraph"/>
    <w:pPr>
      <w:ind w:left="851" w:hanging="851"/>
    </w:pPr>
  </w:style>
  <w:style w:type="paragraph" w:customStyle="1" w:styleId="IndentedHeading2">
    <w:name w:val="Indented Heading 2"/>
    <w:basedOn w:val="Heading2"/>
    <w:next w:val="Paragraph"/>
    <w:pPr>
      <w:ind w:left="851" w:hanging="851"/>
    </w:pPr>
  </w:style>
  <w:style w:type="paragraph" w:customStyle="1" w:styleId="IndentedHeading3">
    <w:name w:val="Indented Heading 3"/>
    <w:basedOn w:val="Heading3"/>
    <w:next w:val="Paragraph"/>
    <w:pPr>
      <w:ind w:left="851" w:hanging="851"/>
    </w:pPr>
  </w:style>
  <w:style w:type="paragraph" w:customStyle="1" w:styleId="IndentedHeading4">
    <w:name w:val="Indented Heading 4"/>
    <w:basedOn w:val="Heading4"/>
    <w:next w:val="Paragraph"/>
    <w:pPr>
      <w:ind w:left="851" w:hanging="851"/>
    </w:pPr>
  </w:style>
  <w:style w:type="paragraph" w:styleId="TOC1">
    <w:name w:val="toc 1"/>
    <w:basedOn w:val="Normal"/>
    <w:next w:val="Paragraph"/>
    <w:uiPriority w:val="39"/>
    <w:pPr>
      <w:tabs>
        <w:tab w:val="left" w:pos="567"/>
        <w:tab w:val="right" w:leader="dot" w:pos="9072"/>
      </w:tabs>
      <w:spacing w:after="120"/>
      <w:ind w:left="567" w:hanging="567"/>
    </w:pPr>
    <w:rPr>
      <w:noProof/>
      <w:lang w:val="hu-HU"/>
    </w:rPr>
  </w:style>
  <w:style w:type="paragraph" w:styleId="TOC2">
    <w:name w:val="toc 2"/>
    <w:basedOn w:val="TOC1"/>
    <w:next w:val="Paragraph"/>
    <w:uiPriority w:val="39"/>
    <w:pPr>
      <w:tabs>
        <w:tab w:val="left" w:pos="1134"/>
      </w:tabs>
      <w:ind w:left="1134"/>
    </w:pPr>
  </w:style>
  <w:style w:type="paragraph" w:styleId="TOC3">
    <w:name w:val="toc 3"/>
    <w:basedOn w:val="TOC2"/>
    <w:next w:val="Paragraph"/>
    <w:uiPriority w:val="39"/>
    <w:pPr>
      <w:tabs>
        <w:tab w:val="clear" w:pos="567"/>
        <w:tab w:val="left" w:pos="1701"/>
      </w:tabs>
      <w:ind w:left="1701"/>
    </w:pPr>
  </w:style>
  <w:style w:type="paragraph" w:styleId="TOC4">
    <w:name w:val="toc 4"/>
    <w:basedOn w:val="TOC3"/>
    <w:next w:val="Paragraph"/>
    <w:uiPriority w:val="39"/>
    <w:pPr>
      <w:tabs>
        <w:tab w:val="clear" w:pos="1134"/>
        <w:tab w:val="left" w:pos="2268"/>
      </w:tabs>
      <w:ind w:left="2268"/>
    </w:pPr>
  </w:style>
  <w:style w:type="paragraph" w:styleId="TOC5">
    <w:name w:val="toc 5"/>
    <w:basedOn w:val="TOC4"/>
    <w:next w:val="Paragraph"/>
    <w:autoRedefine/>
    <w:uiPriority w:val="39"/>
    <w:semiHidden/>
  </w:style>
  <w:style w:type="paragraph" w:styleId="TOC6">
    <w:name w:val="toc 6"/>
    <w:basedOn w:val="TOC5"/>
    <w:next w:val="Paragraph"/>
    <w:autoRedefine/>
    <w:uiPriority w:val="39"/>
    <w:semiHidden/>
  </w:style>
  <w:style w:type="paragraph" w:styleId="TOC7">
    <w:name w:val="toc 7"/>
    <w:basedOn w:val="TOC6"/>
    <w:next w:val="Paragraph"/>
    <w:autoRedefine/>
    <w:uiPriority w:val="39"/>
    <w:semiHidden/>
  </w:style>
  <w:style w:type="paragraph" w:styleId="TOC8">
    <w:name w:val="toc 8"/>
    <w:basedOn w:val="TOC7"/>
    <w:next w:val="Paragraph"/>
    <w:autoRedefine/>
    <w:uiPriority w:val="39"/>
    <w:semiHidden/>
  </w:style>
  <w:style w:type="paragraph" w:styleId="TOC9">
    <w:name w:val="toc 9"/>
    <w:basedOn w:val="TOC8"/>
    <w:next w:val="Paragraph"/>
    <w:autoRedefine/>
    <w:uiPriority w:val="39"/>
    <w:semiHidden/>
  </w:style>
  <w:style w:type="paragraph" w:customStyle="1" w:styleId="ContentsTitle">
    <w:name w:val="ContentsTitle"/>
    <w:basedOn w:val="Paragraph"/>
    <w:next w:val="Paragraph"/>
    <w:pPr>
      <w:spacing w:after="600"/>
      <w:jc w:val="center"/>
    </w:pPr>
    <w:rPr>
      <w:b/>
      <w:sz w:val="26"/>
    </w:rPr>
  </w:style>
  <w:style w:type="paragraph" w:customStyle="1" w:styleId="NTHeading2">
    <w:name w:val="NTHeading 2"/>
    <w:basedOn w:val="Heading2"/>
    <w:next w:val="Paragraph"/>
  </w:style>
  <w:style w:type="paragraph" w:customStyle="1" w:styleId="NTHeading3">
    <w:name w:val="NTHeading 3"/>
    <w:basedOn w:val="Heading3"/>
    <w:next w:val="Paragraph"/>
  </w:style>
  <w:style w:type="paragraph" w:customStyle="1" w:styleId="NTHeading4">
    <w:name w:val="NTHeading 4"/>
    <w:basedOn w:val="Heading4"/>
    <w:next w:val="Paragraph"/>
  </w:style>
  <w:style w:type="paragraph" w:customStyle="1" w:styleId="NTIndentedHeading1">
    <w:name w:val="NTIndented Heading 1"/>
    <w:basedOn w:val="IndentedHeading1"/>
    <w:next w:val="Paragraph"/>
  </w:style>
  <w:style w:type="paragraph" w:customStyle="1" w:styleId="NTIndentedHeading2">
    <w:name w:val="NTIndented Heading 2"/>
    <w:basedOn w:val="IndentedHeading2"/>
    <w:next w:val="Paragraph"/>
  </w:style>
  <w:style w:type="paragraph" w:customStyle="1" w:styleId="NTIndentedHeading3">
    <w:name w:val="NTIndented Heading 3"/>
    <w:basedOn w:val="IndentedHeading3"/>
    <w:next w:val="Paragraph"/>
  </w:style>
  <w:style w:type="paragraph" w:customStyle="1" w:styleId="NTIndentedHeading4">
    <w:name w:val="NTIndented Heading 4"/>
    <w:basedOn w:val="IndentedHeading4"/>
    <w:next w:val="Paragraph"/>
  </w:style>
  <w:style w:type="paragraph" w:customStyle="1" w:styleId="TableSubtitle">
    <w:name w:val="TableSubtitle"/>
    <w:basedOn w:val="Paragraph"/>
    <w:pPr>
      <w:keepNext/>
      <w:jc w:val="center"/>
    </w:pPr>
    <w:rPr>
      <w:sz w:val="20"/>
    </w:rPr>
  </w:style>
  <w:style w:type="character" w:styleId="Hyperlink">
    <w:name w:val="Hyperlink"/>
    <w:uiPriority w:val="99"/>
    <w:rPr>
      <w:rFonts w:ascii="Arial" w:hAnsi="Arial" w:cs="Times New Roman"/>
      <w:color w:val="auto"/>
      <w:sz w:val="22"/>
      <w:u w:val="none"/>
    </w:rPr>
  </w:style>
  <w:style w:type="character" w:styleId="FollowedHyperlink">
    <w:name w:val="FollowedHyperlink"/>
    <w:uiPriority w:val="99"/>
    <w:rPr>
      <w:rFonts w:ascii="Arial" w:hAnsi="Arial" w:cs="Times New Roman"/>
      <w:color w:val="auto"/>
      <w:sz w:val="22"/>
      <w:u w:val="none"/>
    </w:rPr>
  </w:style>
  <w:style w:type="paragraph" w:customStyle="1" w:styleId="BoxTitle">
    <w:name w:val="BoxTitle"/>
    <w:basedOn w:val="TableTitle"/>
    <w:next w:val="BoxAuthor"/>
    <w:rPr>
      <w:bCs/>
      <w:sz w:val="20"/>
    </w:rPr>
  </w:style>
  <w:style w:type="paragraph" w:customStyle="1" w:styleId="BoxText">
    <w:name w:val="BoxText"/>
    <w:basedOn w:val="TableText"/>
    <w:pPr>
      <w:framePr w:wrap="around"/>
      <w:spacing w:before="0" w:after="120"/>
    </w:pPr>
  </w:style>
  <w:style w:type="paragraph" w:customStyle="1" w:styleId="Author">
    <w:name w:val="Author"/>
    <w:basedOn w:val="Paragraph"/>
    <w:next w:val="Paragraph"/>
    <w:pPr>
      <w:spacing w:after="600"/>
      <w:jc w:val="center"/>
    </w:pPr>
  </w:style>
  <w:style w:type="paragraph" w:customStyle="1" w:styleId="BoxNumber">
    <w:name w:val="BoxNumber"/>
    <w:basedOn w:val="TableNumber"/>
    <w:next w:val="BoxTitle"/>
    <w:rPr>
      <w:sz w:val="20"/>
    </w:rPr>
  </w:style>
  <w:style w:type="paragraph" w:customStyle="1" w:styleId="ConfidentialityOdd">
    <w:name w:val="ConfidentialityOdd"/>
    <w:basedOn w:val="Header"/>
    <w:next w:val="Header"/>
    <w:pPr>
      <w:tabs>
        <w:tab w:val="right" w:pos="8902"/>
      </w:tabs>
    </w:pPr>
    <w:rPr>
      <w:rFonts w:cs="Arial"/>
      <w:b/>
      <w:bCs/>
      <w:sz w:val="18"/>
    </w:rPr>
  </w:style>
  <w:style w:type="paragraph" w:customStyle="1" w:styleId="ConfidentialityEven">
    <w:name w:val="ConfidentialityEven"/>
    <w:basedOn w:val="ConfidentialityOdd"/>
    <w:next w:val="Header"/>
    <w:pPr>
      <w:jc w:val="left"/>
    </w:pPr>
  </w:style>
  <w:style w:type="paragraph" w:styleId="BalloonText">
    <w:name w:val="Balloon Text"/>
    <w:basedOn w:val="Normal"/>
    <w:link w:val="BalloonTextChar"/>
    <w:uiPriority w:val="99"/>
    <w:semiHidden/>
    <w:rPr>
      <w:rFonts w:ascii="Tahoma" w:hAnsi="Tahoma"/>
      <w:sz w:val="16"/>
      <w:szCs w:val="16"/>
      <w:lang w:eastAsia="x-none"/>
    </w:rPr>
  </w:style>
  <w:style w:type="character" w:customStyle="1" w:styleId="BalloonTextChar">
    <w:name w:val="Balloon Text Char"/>
    <w:link w:val="BalloonText"/>
    <w:uiPriority w:val="99"/>
    <w:semiHidden/>
    <w:rPr>
      <w:rFonts w:ascii="Tahoma" w:hAnsi="Tahoma" w:cs="Tahoma"/>
      <w:snapToGrid w:val="0"/>
      <w:sz w:val="16"/>
      <w:szCs w:val="16"/>
      <w:lang w:val="en-GB"/>
    </w:rPr>
  </w:style>
  <w:style w:type="paragraph" w:customStyle="1" w:styleId="Bullethyphen">
    <w:name w:val="Bullet hyphen"/>
    <w:basedOn w:val="Paragraph"/>
    <w:pPr>
      <w:numPr>
        <w:ilvl w:val="1"/>
        <w:numId w:val="1"/>
      </w:numPr>
    </w:pPr>
  </w:style>
  <w:style w:type="paragraph" w:customStyle="1" w:styleId="Bulletnumber">
    <w:name w:val="Bullet number"/>
    <w:basedOn w:val="Paragraph"/>
    <w:pPr>
      <w:numPr>
        <w:numId w:val="2"/>
      </w:numPr>
    </w:pPr>
  </w:style>
  <w:style w:type="paragraph" w:customStyle="1" w:styleId="Bulletpoint">
    <w:name w:val="Bullet point"/>
    <w:basedOn w:val="Paragraph"/>
    <w:pPr>
      <w:numPr>
        <w:numId w:val="3"/>
      </w:numPr>
    </w:pPr>
  </w:style>
  <w:style w:type="paragraph" w:customStyle="1" w:styleId="BoxFootnoteText">
    <w:name w:val="BoxFootnoteText"/>
    <w:basedOn w:val="TableNote"/>
    <w:pPr>
      <w:spacing w:before="0"/>
      <w:ind w:left="142" w:hanging="142"/>
    </w:pPr>
  </w:style>
  <w:style w:type="paragraph" w:customStyle="1" w:styleId="BoxHeading">
    <w:name w:val="BoxHeading"/>
    <w:basedOn w:val="TableColumnHeading"/>
    <w:next w:val="BoxText"/>
    <w:pPr>
      <w:jc w:val="left"/>
    </w:pPr>
  </w:style>
  <w:style w:type="paragraph" w:customStyle="1" w:styleId="BoxAuthor">
    <w:name w:val="BoxAuthor"/>
    <w:basedOn w:val="TableSubtitle"/>
    <w:next w:val="BoxText"/>
    <w:pPr>
      <w:spacing w:after="240"/>
    </w:pPr>
  </w:style>
  <w:style w:type="paragraph" w:customStyle="1" w:styleId="CoverTitle">
    <w:name w:val="CoverTitle"/>
    <w:basedOn w:val="Normal"/>
    <w:next w:val="Normal"/>
    <w:pPr>
      <w:spacing w:after="480" w:line="440" w:lineRule="exact"/>
    </w:pPr>
    <w:rPr>
      <w:rFonts w:ascii="Arial Narrow" w:hAnsi="Arial Narrow"/>
      <w:sz w:val="44"/>
      <w:szCs w:val="48"/>
    </w:rPr>
  </w:style>
  <w:style w:type="paragraph" w:customStyle="1" w:styleId="CoverMED">
    <w:name w:val="CoverMED"/>
    <w:basedOn w:val="Normal"/>
    <w:next w:val="Normal"/>
    <w:pPr>
      <w:spacing w:line="400" w:lineRule="exact"/>
      <w:ind w:right="113"/>
    </w:pPr>
    <w:rPr>
      <w:rFonts w:ascii="Arial Narrow" w:hAnsi="Arial Narrow"/>
      <w:sz w:val="40"/>
    </w:rPr>
  </w:style>
  <w:style w:type="paragraph" w:customStyle="1" w:styleId="CoverDate">
    <w:name w:val="CoverDate"/>
    <w:basedOn w:val="Normal"/>
    <w:next w:val="Normal"/>
    <w:pPr>
      <w:spacing w:before="60"/>
      <w:jc w:val="both"/>
    </w:pPr>
    <w:rPr>
      <w:rFonts w:ascii="Arial Narrow" w:hAnsi="Arial Narrow"/>
      <w:sz w:val="20"/>
    </w:rPr>
  </w:style>
  <w:style w:type="paragraph" w:customStyle="1" w:styleId="TableOfContentsTitle">
    <w:name w:val="TableOfContentsTitle"/>
    <w:basedOn w:val="Paragraph"/>
    <w:pPr>
      <w:spacing w:after="600"/>
      <w:jc w:val="center"/>
    </w:pPr>
    <w:rPr>
      <w:b/>
      <w:sz w:val="24"/>
    </w:rPr>
  </w:style>
  <w:style w:type="table" w:styleId="TableGrid">
    <w:name w:val="Table Grid"/>
    <w:basedOn w:val="TableNormal"/>
    <w:uiPriority w:val="59"/>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ascii="Arial" w:hAnsi="Arial" w:cs="Arial"/>
      <w:snapToGrid w:val="0"/>
      <w:color w:val="000000"/>
      <w:sz w:val="24"/>
      <w:szCs w:val="24"/>
      <w:lang w:val="en-GB"/>
    </w:rPr>
  </w:style>
  <w:style w:type="paragraph" w:customStyle="1" w:styleId="msolistparagraph0">
    <w:name w:val="msolistparagraph"/>
    <w:basedOn w:val="Normal"/>
    <w:pPr>
      <w:ind w:left="720"/>
    </w:pPr>
    <w:rPr>
      <w:rFonts w:ascii="Times New Roman" w:hAnsi="Times New Roman"/>
      <w:szCs w:val="22"/>
    </w:rPr>
  </w:style>
  <w:style w:type="character" w:customStyle="1" w:styleId="ParagraphChar1">
    <w:name w:val="Paragraph Char1"/>
    <w:locked/>
    <w:rPr>
      <w:rFonts w:ascii="Arial" w:hAnsi="Arial" w:cs="Times New Roman"/>
      <w:sz w:val="22"/>
      <w:lang w:val="en-GB" w:bidi="ar-SA"/>
    </w:rPr>
  </w:style>
  <w:style w:type="character" w:styleId="CommentReference">
    <w:name w:val="annotation reference"/>
    <w:uiPriority w:val="99"/>
    <w:semiHidden/>
    <w:rPr>
      <w:rFonts w:cs="Times New Roman"/>
      <w:sz w:val="16"/>
      <w:szCs w:val="16"/>
    </w:rPr>
  </w:style>
  <w:style w:type="paragraph" w:styleId="CommentText">
    <w:name w:val="annotation text"/>
    <w:basedOn w:val="Normal"/>
    <w:link w:val="CommentTextChar"/>
    <w:uiPriority w:val="99"/>
    <w:semiHidden/>
    <w:rPr>
      <w:sz w:val="20"/>
      <w:lang w:eastAsia="x-none"/>
    </w:rPr>
  </w:style>
  <w:style w:type="character" w:customStyle="1" w:styleId="CommentTextChar">
    <w:name w:val="Comment Text Char"/>
    <w:link w:val="CommentText"/>
    <w:uiPriority w:val="99"/>
    <w:semiHidden/>
    <w:rPr>
      <w:rFonts w:ascii="Arial" w:hAnsi="Arial"/>
      <w:snapToGrid w:val="0"/>
      <w:lang w:val="en-GB"/>
    </w:rPr>
  </w:style>
  <w:style w:type="paragraph" w:styleId="DocumentMap">
    <w:name w:val="Document Map"/>
    <w:basedOn w:val="Normal"/>
    <w:link w:val="DocumentMapChar"/>
    <w:uiPriority w:val="99"/>
    <w:semiHidden/>
    <w:pPr>
      <w:shd w:val="clear" w:color="auto" w:fill="000080"/>
    </w:pPr>
    <w:rPr>
      <w:rFonts w:ascii="Tahoma" w:hAnsi="Tahoma"/>
      <w:sz w:val="16"/>
      <w:szCs w:val="16"/>
      <w:lang w:eastAsia="x-none"/>
    </w:rPr>
  </w:style>
  <w:style w:type="character" w:customStyle="1" w:styleId="DocumentMapChar">
    <w:name w:val="Document Map Char"/>
    <w:link w:val="DocumentMap"/>
    <w:uiPriority w:val="99"/>
    <w:semiHidden/>
    <w:rPr>
      <w:rFonts w:ascii="Tahoma" w:hAnsi="Tahoma" w:cs="Tahoma"/>
      <w:snapToGrid w:val="0"/>
      <w:sz w:val="16"/>
      <w:szCs w:val="16"/>
      <w:lang w:val="en-GB"/>
    </w:rPr>
  </w:style>
  <w:style w:type="paragraph" w:styleId="Index1">
    <w:name w:val="index 1"/>
    <w:basedOn w:val="Normal"/>
    <w:next w:val="Normal"/>
    <w:autoRedefine/>
    <w:uiPriority w:val="99"/>
    <w:semiHidden/>
    <w:pPr>
      <w:ind w:left="220" w:hanging="220"/>
    </w:p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Pr>
      <w:rFonts w:ascii="Arial" w:hAnsi="Arial"/>
      <w:b/>
      <w:bCs/>
      <w:snapToGrid w:val="0"/>
      <w:lang w:val="en-GB"/>
    </w:rPr>
  </w:style>
  <w:style w:type="character" w:customStyle="1" w:styleId="Heading1Char">
    <w:name w:val="Heading 1 Char"/>
    <w:link w:val="Heading1"/>
    <w:locked/>
    <w:rPr>
      <w:rFonts w:ascii="Arial" w:hAnsi="Arial" w:cs="Times New Roman"/>
      <w:sz w:val="14"/>
      <w:lang w:val="en-GB" w:bidi="ar-SA"/>
    </w:rPr>
  </w:style>
  <w:style w:type="character" w:customStyle="1" w:styleId="HeaderChar">
    <w:name w:val="Header Char"/>
    <w:link w:val="Header"/>
    <w:uiPriority w:val="99"/>
    <w:locked/>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BodyText2">
    <w:name w:val="Body Text 2"/>
    <w:basedOn w:val="Normal"/>
    <w:link w:val="BodyText2Char"/>
    <w:rsid w:val="00A51CC9"/>
    <w:pPr>
      <w:jc w:val="center"/>
    </w:pPr>
    <w:rPr>
      <w:rFonts w:ascii="Times New Roman" w:hAnsi="Times New Roman"/>
      <w:b/>
      <w:snapToGrid/>
      <w:sz w:val="28"/>
      <w:lang w:val="x-none" w:eastAsia="x-none"/>
    </w:rPr>
  </w:style>
  <w:style w:type="character" w:customStyle="1" w:styleId="BodyText2Char">
    <w:name w:val="Body Text 2 Char"/>
    <w:link w:val="BodyText2"/>
    <w:rsid w:val="00A51CC9"/>
    <w:rPr>
      <w:b/>
      <w:sz w:val="28"/>
    </w:rPr>
  </w:style>
  <w:style w:type="paragraph" w:styleId="Revision">
    <w:name w:val="Revision"/>
    <w:hidden/>
    <w:uiPriority w:val="99"/>
    <w:semiHidden/>
    <w:rsid w:val="00AB65CA"/>
    <w:rPr>
      <w:rFonts w:ascii="Arial" w:hAnsi="Arial"/>
      <w:snapToGrid w:val="0"/>
      <w:sz w:val="22"/>
      <w:lang w:val="en-GB"/>
    </w:rPr>
  </w:style>
  <w:style w:type="paragraph" w:styleId="EndnoteText">
    <w:name w:val="endnote text"/>
    <w:basedOn w:val="Normal"/>
    <w:link w:val="EndnoteTextChar"/>
    <w:rsid w:val="00A17ED5"/>
    <w:rPr>
      <w:sz w:val="20"/>
      <w:lang w:eastAsia="x-none"/>
    </w:rPr>
  </w:style>
  <w:style w:type="character" w:customStyle="1" w:styleId="EndnoteTextChar">
    <w:name w:val="Endnote Text Char"/>
    <w:link w:val="EndnoteText"/>
    <w:rsid w:val="00A17ED5"/>
    <w:rPr>
      <w:rFonts w:ascii="Arial" w:hAnsi="Arial"/>
      <w:snapToGrid w:val="0"/>
      <w:lang w:val="en-GB"/>
    </w:rPr>
  </w:style>
  <w:style w:type="character" w:styleId="EndnoteReference">
    <w:name w:val="endnote reference"/>
    <w:rsid w:val="00A17ED5"/>
    <w:rPr>
      <w:vertAlign w:val="superscript"/>
    </w:rPr>
  </w:style>
  <w:style w:type="paragraph" w:styleId="ListParagraph">
    <w:name w:val="List Paragraph"/>
    <w:basedOn w:val="Normal"/>
    <w:uiPriority w:val="34"/>
    <w:qFormat/>
    <w:rsid w:val="00472C1D"/>
    <w:pPr>
      <w:ind w:left="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343023">
      <w:bodyDiv w:val="1"/>
      <w:marLeft w:val="0"/>
      <w:marRight w:val="0"/>
      <w:marTop w:val="0"/>
      <w:marBottom w:val="0"/>
      <w:divBdr>
        <w:top w:val="none" w:sz="0" w:space="0" w:color="auto"/>
        <w:left w:val="none" w:sz="0" w:space="0" w:color="auto"/>
        <w:bottom w:val="none" w:sz="0" w:space="0" w:color="auto"/>
        <w:right w:val="none" w:sz="0" w:space="0" w:color="auto"/>
      </w:divBdr>
    </w:div>
    <w:div w:id="836845026">
      <w:bodyDiv w:val="1"/>
      <w:marLeft w:val="0"/>
      <w:marRight w:val="0"/>
      <w:marTop w:val="0"/>
      <w:marBottom w:val="0"/>
      <w:divBdr>
        <w:top w:val="none" w:sz="0" w:space="0" w:color="auto"/>
        <w:left w:val="none" w:sz="0" w:space="0" w:color="auto"/>
        <w:bottom w:val="none" w:sz="0" w:space="0" w:color="auto"/>
        <w:right w:val="none" w:sz="0" w:space="0" w:color="auto"/>
      </w:divBdr>
    </w:div>
    <w:div w:id="1257205382">
      <w:marLeft w:val="0"/>
      <w:marRight w:val="0"/>
      <w:marTop w:val="0"/>
      <w:marBottom w:val="0"/>
      <w:divBdr>
        <w:top w:val="none" w:sz="0" w:space="0" w:color="auto"/>
        <w:left w:val="none" w:sz="0" w:space="0" w:color="auto"/>
        <w:bottom w:val="none" w:sz="0" w:space="0" w:color="auto"/>
        <w:right w:val="none" w:sz="0" w:space="0" w:color="auto"/>
      </w:divBdr>
    </w:div>
    <w:div w:id="1257205383">
      <w:marLeft w:val="0"/>
      <w:marRight w:val="0"/>
      <w:marTop w:val="0"/>
      <w:marBottom w:val="0"/>
      <w:divBdr>
        <w:top w:val="none" w:sz="0" w:space="0" w:color="auto"/>
        <w:left w:val="none" w:sz="0" w:space="0" w:color="auto"/>
        <w:bottom w:val="none" w:sz="0" w:space="0" w:color="auto"/>
        <w:right w:val="none" w:sz="0" w:space="0" w:color="auto"/>
      </w:divBdr>
    </w:div>
    <w:div w:id="1257205384">
      <w:marLeft w:val="0"/>
      <w:marRight w:val="0"/>
      <w:marTop w:val="0"/>
      <w:marBottom w:val="0"/>
      <w:divBdr>
        <w:top w:val="none" w:sz="0" w:space="0" w:color="auto"/>
        <w:left w:val="none" w:sz="0" w:space="0" w:color="auto"/>
        <w:bottom w:val="none" w:sz="0" w:space="0" w:color="auto"/>
        <w:right w:val="none" w:sz="0" w:space="0" w:color="auto"/>
      </w:divBdr>
    </w:div>
    <w:div w:id="1257205385">
      <w:marLeft w:val="0"/>
      <w:marRight w:val="0"/>
      <w:marTop w:val="0"/>
      <w:marBottom w:val="0"/>
      <w:divBdr>
        <w:top w:val="none" w:sz="0" w:space="0" w:color="auto"/>
        <w:left w:val="none" w:sz="0" w:space="0" w:color="auto"/>
        <w:bottom w:val="none" w:sz="0" w:space="0" w:color="auto"/>
        <w:right w:val="none" w:sz="0" w:space="0" w:color="auto"/>
      </w:divBdr>
    </w:div>
    <w:div w:id="1257205386">
      <w:marLeft w:val="0"/>
      <w:marRight w:val="0"/>
      <w:marTop w:val="0"/>
      <w:marBottom w:val="0"/>
      <w:divBdr>
        <w:top w:val="none" w:sz="0" w:space="0" w:color="auto"/>
        <w:left w:val="none" w:sz="0" w:space="0" w:color="auto"/>
        <w:bottom w:val="none" w:sz="0" w:space="0" w:color="auto"/>
        <w:right w:val="none" w:sz="0" w:space="0" w:color="auto"/>
      </w:divBdr>
    </w:div>
    <w:div w:id="1809282708">
      <w:bodyDiv w:val="1"/>
      <w:marLeft w:val="0"/>
      <w:marRight w:val="0"/>
      <w:marTop w:val="0"/>
      <w:marBottom w:val="0"/>
      <w:divBdr>
        <w:top w:val="none" w:sz="0" w:space="0" w:color="auto"/>
        <w:left w:val="none" w:sz="0" w:space="0" w:color="auto"/>
        <w:bottom w:val="none" w:sz="0" w:space="0" w:color="auto"/>
        <w:right w:val="none" w:sz="0" w:space="0" w:color="auto"/>
      </w:divBdr>
      <w:divsChild>
        <w:div w:id="1088967598">
          <w:marLeft w:val="0"/>
          <w:marRight w:val="0"/>
          <w:marTop w:val="0"/>
          <w:marBottom w:val="0"/>
          <w:divBdr>
            <w:top w:val="none" w:sz="0" w:space="0" w:color="auto"/>
            <w:left w:val="none" w:sz="0" w:space="0" w:color="auto"/>
            <w:bottom w:val="none" w:sz="0" w:space="0" w:color="auto"/>
            <w:right w:val="none" w:sz="0" w:space="0" w:color="auto"/>
          </w:divBdr>
          <w:divsChild>
            <w:div w:id="496652392">
              <w:marLeft w:val="0"/>
              <w:marRight w:val="0"/>
              <w:marTop w:val="0"/>
              <w:marBottom w:val="0"/>
              <w:divBdr>
                <w:top w:val="none" w:sz="0" w:space="0" w:color="auto"/>
                <w:left w:val="none" w:sz="0" w:space="0" w:color="auto"/>
                <w:bottom w:val="none" w:sz="0" w:space="0" w:color="auto"/>
                <w:right w:val="none" w:sz="0" w:space="0" w:color="auto"/>
              </w:divBdr>
              <w:divsChild>
                <w:div w:id="895505047">
                  <w:marLeft w:val="0"/>
                  <w:marRight w:val="0"/>
                  <w:marTop w:val="0"/>
                  <w:marBottom w:val="0"/>
                  <w:divBdr>
                    <w:top w:val="none" w:sz="0" w:space="0" w:color="auto"/>
                    <w:left w:val="none" w:sz="0" w:space="0" w:color="auto"/>
                    <w:bottom w:val="none" w:sz="0" w:space="0" w:color="auto"/>
                    <w:right w:val="none" w:sz="0" w:space="0" w:color="auto"/>
                  </w:divBdr>
                  <w:divsChild>
                    <w:div w:id="958536397">
                      <w:marLeft w:val="0"/>
                      <w:marRight w:val="0"/>
                      <w:marTop w:val="0"/>
                      <w:marBottom w:val="0"/>
                      <w:divBdr>
                        <w:top w:val="none" w:sz="0" w:space="0" w:color="auto"/>
                        <w:left w:val="none" w:sz="0" w:space="0" w:color="auto"/>
                        <w:bottom w:val="none" w:sz="0" w:space="0" w:color="auto"/>
                        <w:right w:val="none" w:sz="0" w:space="0" w:color="auto"/>
                      </w:divBdr>
                      <w:divsChild>
                        <w:div w:id="622658118">
                          <w:marLeft w:val="0"/>
                          <w:marRight w:val="0"/>
                          <w:marTop w:val="0"/>
                          <w:marBottom w:val="0"/>
                          <w:divBdr>
                            <w:top w:val="none" w:sz="0" w:space="0" w:color="auto"/>
                            <w:left w:val="none" w:sz="0" w:space="0" w:color="auto"/>
                            <w:bottom w:val="none" w:sz="0" w:space="0" w:color="auto"/>
                            <w:right w:val="none" w:sz="0" w:space="0" w:color="auto"/>
                          </w:divBdr>
                          <w:divsChild>
                            <w:div w:id="1277638400">
                              <w:marLeft w:val="0"/>
                              <w:marRight w:val="0"/>
                              <w:marTop w:val="0"/>
                              <w:marBottom w:val="0"/>
                              <w:divBdr>
                                <w:top w:val="none" w:sz="0" w:space="0" w:color="auto"/>
                                <w:left w:val="none" w:sz="0" w:space="0" w:color="auto"/>
                                <w:bottom w:val="none" w:sz="0" w:space="0" w:color="auto"/>
                                <w:right w:val="none" w:sz="0" w:space="0" w:color="auto"/>
                              </w:divBdr>
                              <w:divsChild>
                                <w:div w:id="815880327">
                                  <w:marLeft w:val="0"/>
                                  <w:marRight w:val="0"/>
                                  <w:marTop w:val="0"/>
                                  <w:marBottom w:val="0"/>
                                  <w:divBdr>
                                    <w:top w:val="none" w:sz="0" w:space="0" w:color="auto"/>
                                    <w:left w:val="none" w:sz="0" w:space="0" w:color="auto"/>
                                    <w:bottom w:val="none" w:sz="0" w:space="0" w:color="auto"/>
                                    <w:right w:val="none" w:sz="0" w:space="0" w:color="auto"/>
                                  </w:divBdr>
                                  <w:divsChild>
                                    <w:div w:id="1816070312">
                                      <w:marLeft w:val="60"/>
                                      <w:marRight w:val="0"/>
                                      <w:marTop w:val="0"/>
                                      <w:marBottom w:val="0"/>
                                      <w:divBdr>
                                        <w:top w:val="none" w:sz="0" w:space="0" w:color="auto"/>
                                        <w:left w:val="none" w:sz="0" w:space="0" w:color="auto"/>
                                        <w:bottom w:val="none" w:sz="0" w:space="0" w:color="auto"/>
                                        <w:right w:val="none" w:sz="0" w:space="0" w:color="auto"/>
                                      </w:divBdr>
                                      <w:divsChild>
                                        <w:div w:id="323434065">
                                          <w:marLeft w:val="0"/>
                                          <w:marRight w:val="0"/>
                                          <w:marTop w:val="0"/>
                                          <w:marBottom w:val="0"/>
                                          <w:divBdr>
                                            <w:top w:val="none" w:sz="0" w:space="0" w:color="auto"/>
                                            <w:left w:val="none" w:sz="0" w:space="0" w:color="auto"/>
                                            <w:bottom w:val="none" w:sz="0" w:space="0" w:color="auto"/>
                                            <w:right w:val="none" w:sz="0" w:space="0" w:color="auto"/>
                                          </w:divBdr>
                                          <w:divsChild>
                                            <w:div w:id="248119323">
                                              <w:marLeft w:val="0"/>
                                              <w:marRight w:val="0"/>
                                              <w:marTop w:val="0"/>
                                              <w:marBottom w:val="120"/>
                                              <w:divBdr>
                                                <w:top w:val="single" w:sz="6" w:space="0" w:color="F5F5F5"/>
                                                <w:left w:val="single" w:sz="6" w:space="0" w:color="F5F5F5"/>
                                                <w:bottom w:val="single" w:sz="6" w:space="0" w:color="F5F5F5"/>
                                                <w:right w:val="single" w:sz="6" w:space="0" w:color="F5F5F5"/>
                                              </w:divBdr>
                                              <w:divsChild>
                                                <w:div w:id="872037357">
                                                  <w:marLeft w:val="0"/>
                                                  <w:marRight w:val="0"/>
                                                  <w:marTop w:val="0"/>
                                                  <w:marBottom w:val="0"/>
                                                  <w:divBdr>
                                                    <w:top w:val="none" w:sz="0" w:space="0" w:color="auto"/>
                                                    <w:left w:val="none" w:sz="0" w:space="0" w:color="auto"/>
                                                    <w:bottom w:val="none" w:sz="0" w:space="0" w:color="auto"/>
                                                    <w:right w:val="none" w:sz="0" w:space="0" w:color="auto"/>
                                                  </w:divBdr>
                                                  <w:divsChild>
                                                    <w:div w:id="13273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094558">
      <w:bodyDiv w:val="1"/>
      <w:marLeft w:val="0"/>
      <w:marRight w:val="0"/>
      <w:marTop w:val="0"/>
      <w:marBottom w:val="0"/>
      <w:divBdr>
        <w:top w:val="none" w:sz="0" w:space="0" w:color="auto"/>
        <w:left w:val="none" w:sz="0" w:space="0" w:color="auto"/>
        <w:bottom w:val="none" w:sz="0" w:space="0" w:color="auto"/>
        <w:right w:val="none" w:sz="0" w:space="0" w:color="auto"/>
      </w:divBdr>
      <w:divsChild>
        <w:div w:id="537015906">
          <w:marLeft w:val="0"/>
          <w:marRight w:val="0"/>
          <w:marTop w:val="0"/>
          <w:marBottom w:val="0"/>
          <w:divBdr>
            <w:top w:val="none" w:sz="0" w:space="0" w:color="auto"/>
            <w:left w:val="none" w:sz="0" w:space="0" w:color="auto"/>
            <w:bottom w:val="none" w:sz="0" w:space="0" w:color="auto"/>
            <w:right w:val="none" w:sz="0" w:space="0" w:color="auto"/>
          </w:divBdr>
          <w:divsChild>
            <w:div w:id="1214972555">
              <w:marLeft w:val="0"/>
              <w:marRight w:val="0"/>
              <w:marTop w:val="0"/>
              <w:marBottom w:val="0"/>
              <w:divBdr>
                <w:top w:val="none" w:sz="0" w:space="0" w:color="auto"/>
                <w:left w:val="none" w:sz="0" w:space="0" w:color="auto"/>
                <w:bottom w:val="none" w:sz="0" w:space="0" w:color="auto"/>
                <w:right w:val="none" w:sz="0" w:space="0" w:color="auto"/>
              </w:divBdr>
              <w:divsChild>
                <w:div w:id="38013354">
                  <w:marLeft w:val="0"/>
                  <w:marRight w:val="0"/>
                  <w:marTop w:val="0"/>
                  <w:marBottom w:val="0"/>
                  <w:divBdr>
                    <w:top w:val="none" w:sz="0" w:space="0" w:color="auto"/>
                    <w:left w:val="none" w:sz="0" w:space="0" w:color="auto"/>
                    <w:bottom w:val="none" w:sz="0" w:space="0" w:color="auto"/>
                    <w:right w:val="none" w:sz="0" w:space="0" w:color="auto"/>
                  </w:divBdr>
                  <w:divsChild>
                    <w:div w:id="1597514671">
                      <w:marLeft w:val="0"/>
                      <w:marRight w:val="0"/>
                      <w:marTop w:val="0"/>
                      <w:marBottom w:val="0"/>
                      <w:divBdr>
                        <w:top w:val="none" w:sz="0" w:space="0" w:color="auto"/>
                        <w:left w:val="none" w:sz="0" w:space="0" w:color="auto"/>
                        <w:bottom w:val="none" w:sz="0" w:space="0" w:color="auto"/>
                        <w:right w:val="none" w:sz="0" w:space="0" w:color="auto"/>
                      </w:divBdr>
                      <w:divsChild>
                        <w:div w:id="1425416203">
                          <w:marLeft w:val="0"/>
                          <w:marRight w:val="0"/>
                          <w:marTop w:val="0"/>
                          <w:marBottom w:val="0"/>
                          <w:divBdr>
                            <w:top w:val="none" w:sz="0" w:space="0" w:color="auto"/>
                            <w:left w:val="none" w:sz="0" w:space="0" w:color="auto"/>
                            <w:bottom w:val="none" w:sz="0" w:space="0" w:color="auto"/>
                            <w:right w:val="none" w:sz="0" w:space="0" w:color="auto"/>
                          </w:divBdr>
                          <w:divsChild>
                            <w:div w:id="1449349024">
                              <w:marLeft w:val="0"/>
                              <w:marRight w:val="0"/>
                              <w:marTop w:val="0"/>
                              <w:marBottom w:val="0"/>
                              <w:divBdr>
                                <w:top w:val="none" w:sz="0" w:space="0" w:color="auto"/>
                                <w:left w:val="none" w:sz="0" w:space="0" w:color="auto"/>
                                <w:bottom w:val="none" w:sz="0" w:space="0" w:color="auto"/>
                                <w:right w:val="none" w:sz="0" w:space="0" w:color="auto"/>
                              </w:divBdr>
                              <w:divsChild>
                                <w:div w:id="1548029378">
                                  <w:marLeft w:val="0"/>
                                  <w:marRight w:val="0"/>
                                  <w:marTop w:val="0"/>
                                  <w:marBottom w:val="0"/>
                                  <w:divBdr>
                                    <w:top w:val="none" w:sz="0" w:space="0" w:color="auto"/>
                                    <w:left w:val="none" w:sz="0" w:space="0" w:color="auto"/>
                                    <w:bottom w:val="none" w:sz="0" w:space="0" w:color="auto"/>
                                    <w:right w:val="none" w:sz="0" w:space="0" w:color="auto"/>
                                  </w:divBdr>
                                  <w:divsChild>
                                    <w:div w:id="979191048">
                                      <w:marLeft w:val="60"/>
                                      <w:marRight w:val="0"/>
                                      <w:marTop w:val="0"/>
                                      <w:marBottom w:val="0"/>
                                      <w:divBdr>
                                        <w:top w:val="none" w:sz="0" w:space="0" w:color="auto"/>
                                        <w:left w:val="none" w:sz="0" w:space="0" w:color="auto"/>
                                        <w:bottom w:val="none" w:sz="0" w:space="0" w:color="auto"/>
                                        <w:right w:val="none" w:sz="0" w:space="0" w:color="auto"/>
                                      </w:divBdr>
                                      <w:divsChild>
                                        <w:div w:id="354622414">
                                          <w:marLeft w:val="0"/>
                                          <w:marRight w:val="0"/>
                                          <w:marTop w:val="0"/>
                                          <w:marBottom w:val="0"/>
                                          <w:divBdr>
                                            <w:top w:val="none" w:sz="0" w:space="0" w:color="auto"/>
                                            <w:left w:val="none" w:sz="0" w:space="0" w:color="auto"/>
                                            <w:bottom w:val="none" w:sz="0" w:space="0" w:color="auto"/>
                                            <w:right w:val="none" w:sz="0" w:space="0" w:color="auto"/>
                                          </w:divBdr>
                                          <w:divsChild>
                                            <w:div w:id="1769424798">
                                              <w:marLeft w:val="0"/>
                                              <w:marRight w:val="0"/>
                                              <w:marTop w:val="0"/>
                                              <w:marBottom w:val="120"/>
                                              <w:divBdr>
                                                <w:top w:val="single" w:sz="6" w:space="0" w:color="F5F5F5"/>
                                                <w:left w:val="single" w:sz="6" w:space="0" w:color="F5F5F5"/>
                                                <w:bottom w:val="single" w:sz="6" w:space="0" w:color="F5F5F5"/>
                                                <w:right w:val="single" w:sz="6" w:space="0" w:color="F5F5F5"/>
                                              </w:divBdr>
                                              <w:divsChild>
                                                <w:div w:id="1087966688">
                                                  <w:marLeft w:val="0"/>
                                                  <w:marRight w:val="0"/>
                                                  <w:marTop w:val="0"/>
                                                  <w:marBottom w:val="0"/>
                                                  <w:divBdr>
                                                    <w:top w:val="none" w:sz="0" w:space="0" w:color="auto"/>
                                                    <w:left w:val="none" w:sz="0" w:space="0" w:color="auto"/>
                                                    <w:bottom w:val="none" w:sz="0" w:space="0" w:color="auto"/>
                                                    <w:right w:val="none" w:sz="0" w:space="0" w:color="auto"/>
                                                  </w:divBdr>
                                                  <w:divsChild>
                                                    <w:div w:id="17704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65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hared\BIS\nt_templates\BIS\_Publi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BC1E50-C3B3-4287-BE04-76D795D57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_Publi_E.dot</Template>
  <TotalTime>0</TotalTime>
  <Pages>17</Pages>
  <Words>7128</Words>
  <Characters>49190</Characters>
  <Application>Microsoft Office Word</Application>
  <DocSecurity>0</DocSecurity>
  <Lines>409</Lines>
  <Paragraphs>112</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Publication</vt:lpstr>
      <vt:lpstr>Publication</vt:lpstr>
    </vt:vector>
  </TitlesOfParts>
  <Company>Magyar Nemzeti Bank</Company>
  <LinksUpToDate>false</LinksUpToDate>
  <CharactersWithSpaces>56206</CharactersWithSpaces>
  <SharedDoc>false</SharedDoc>
  <HLinks>
    <vt:vector size="192" baseType="variant">
      <vt:variant>
        <vt:i4>1376317</vt:i4>
      </vt:variant>
      <vt:variant>
        <vt:i4>188</vt:i4>
      </vt:variant>
      <vt:variant>
        <vt:i4>0</vt:i4>
      </vt:variant>
      <vt:variant>
        <vt:i4>5</vt:i4>
      </vt:variant>
      <vt:variant>
        <vt:lpwstr/>
      </vt:variant>
      <vt:variant>
        <vt:lpwstr>_Toc533082336</vt:lpwstr>
      </vt:variant>
      <vt:variant>
        <vt:i4>1376317</vt:i4>
      </vt:variant>
      <vt:variant>
        <vt:i4>182</vt:i4>
      </vt:variant>
      <vt:variant>
        <vt:i4>0</vt:i4>
      </vt:variant>
      <vt:variant>
        <vt:i4>5</vt:i4>
      </vt:variant>
      <vt:variant>
        <vt:lpwstr/>
      </vt:variant>
      <vt:variant>
        <vt:lpwstr>_Toc533082335</vt:lpwstr>
      </vt:variant>
      <vt:variant>
        <vt:i4>1376317</vt:i4>
      </vt:variant>
      <vt:variant>
        <vt:i4>176</vt:i4>
      </vt:variant>
      <vt:variant>
        <vt:i4>0</vt:i4>
      </vt:variant>
      <vt:variant>
        <vt:i4>5</vt:i4>
      </vt:variant>
      <vt:variant>
        <vt:lpwstr/>
      </vt:variant>
      <vt:variant>
        <vt:lpwstr>_Toc533082334</vt:lpwstr>
      </vt:variant>
      <vt:variant>
        <vt:i4>1376317</vt:i4>
      </vt:variant>
      <vt:variant>
        <vt:i4>170</vt:i4>
      </vt:variant>
      <vt:variant>
        <vt:i4>0</vt:i4>
      </vt:variant>
      <vt:variant>
        <vt:i4>5</vt:i4>
      </vt:variant>
      <vt:variant>
        <vt:lpwstr/>
      </vt:variant>
      <vt:variant>
        <vt:lpwstr>_Toc533082333</vt:lpwstr>
      </vt:variant>
      <vt:variant>
        <vt:i4>1376317</vt:i4>
      </vt:variant>
      <vt:variant>
        <vt:i4>164</vt:i4>
      </vt:variant>
      <vt:variant>
        <vt:i4>0</vt:i4>
      </vt:variant>
      <vt:variant>
        <vt:i4>5</vt:i4>
      </vt:variant>
      <vt:variant>
        <vt:lpwstr/>
      </vt:variant>
      <vt:variant>
        <vt:lpwstr>_Toc533082332</vt:lpwstr>
      </vt:variant>
      <vt:variant>
        <vt:i4>1376317</vt:i4>
      </vt:variant>
      <vt:variant>
        <vt:i4>158</vt:i4>
      </vt:variant>
      <vt:variant>
        <vt:i4>0</vt:i4>
      </vt:variant>
      <vt:variant>
        <vt:i4>5</vt:i4>
      </vt:variant>
      <vt:variant>
        <vt:lpwstr/>
      </vt:variant>
      <vt:variant>
        <vt:lpwstr>_Toc533082331</vt:lpwstr>
      </vt:variant>
      <vt:variant>
        <vt:i4>1376317</vt:i4>
      </vt:variant>
      <vt:variant>
        <vt:i4>152</vt:i4>
      </vt:variant>
      <vt:variant>
        <vt:i4>0</vt:i4>
      </vt:variant>
      <vt:variant>
        <vt:i4>5</vt:i4>
      </vt:variant>
      <vt:variant>
        <vt:lpwstr/>
      </vt:variant>
      <vt:variant>
        <vt:lpwstr>_Toc533082330</vt:lpwstr>
      </vt:variant>
      <vt:variant>
        <vt:i4>1310781</vt:i4>
      </vt:variant>
      <vt:variant>
        <vt:i4>146</vt:i4>
      </vt:variant>
      <vt:variant>
        <vt:i4>0</vt:i4>
      </vt:variant>
      <vt:variant>
        <vt:i4>5</vt:i4>
      </vt:variant>
      <vt:variant>
        <vt:lpwstr/>
      </vt:variant>
      <vt:variant>
        <vt:lpwstr>_Toc533082329</vt:lpwstr>
      </vt:variant>
      <vt:variant>
        <vt:i4>1310781</vt:i4>
      </vt:variant>
      <vt:variant>
        <vt:i4>140</vt:i4>
      </vt:variant>
      <vt:variant>
        <vt:i4>0</vt:i4>
      </vt:variant>
      <vt:variant>
        <vt:i4>5</vt:i4>
      </vt:variant>
      <vt:variant>
        <vt:lpwstr/>
      </vt:variant>
      <vt:variant>
        <vt:lpwstr>_Toc533082328</vt:lpwstr>
      </vt:variant>
      <vt:variant>
        <vt:i4>1310781</vt:i4>
      </vt:variant>
      <vt:variant>
        <vt:i4>134</vt:i4>
      </vt:variant>
      <vt:variant>
        <vt:i4>0</vt:i4>
      </vt:variant>
      <vt:variant>
        <vt:i4>5</vt:i4>
      </vt:variant>
      <vt:variant>
        <vt:lpwstr/>
      </vt:variant>
      <vt:variant>
        <vt:lpwstr>_Toc533082327</vt:lpwstr>
      </vt:variant>
      <vt:variant>
        <vt:i4>1310781</vt:i4>
      </vt:variant>
      <vt:variant>
        <vt:i4>128</vt:i4>
      </vt:variant>
      <vt:variant>
        <vt:i4>0</vt:i4>
      </vt:variant>
      <vt:variant>
        <vt:i4>5</vt:i4>
      </vt:variant>
      <vt:variant>
        <vt:lpwstr/>
      </vt:variant>
      <vt:variant>
        <vt:lpwstr>_Toc533082326</vt:lpwstr>
      </vt:variant>
      <vt:variant>
        <vt:i4>1310781</vt:i4>
      </vt:variant>
      <vt:variant>
        <vt:i4>122</vt:i4>
      </vt:variant>
      <vt:variant>
        <vt:i4>0</vt:i4>
      </vt:variant>
      <vt:variant>
        <vt:i4>5</vt:i4>
      </vt:variant>
      <vt:variant>
        <vt:lpwstr/>
      </vt:variant>
      <vt:variant>
        <vt:lpwstr>_Toc533082325</vt:lpwstr>
      </vt:variant>
      <vt:variant>
        <vt:i4>1310781</vt:i4>
      </vt:variant>
      <vt:variant>
        <vt:i4>116</vt:i4>
      </vt:variant>
      <vt:variant>
        <vt:i4>0</vt:i4>
      </vt:variant>
      <vt:variant>
        <vt:i4>5</vt:i4>
      </vt:variant>
      <vt:variant>
        <vt:lpwstr/>
      </vt:variant>
      <vt:variant>
        <vt:lpwstr>_Toc533082324</vt:lpwstr>
      </vt:variant>
      <vt:variant>
        <vt:i4>1310781</vt:i4>
      </vt:variant>
      <vt:variant>
        <vt:i4>110</vt:i4>
      </vt:variant>
      <vt:variant>
        <vt:i4>0</vt:i4>
      </vt:variant>
      <vt:variant>
        <vt:i4>5</vt:i4>
      </vt:variant>
      <vt:variant>
        <vt:lpwstr/>
      </vt:variant>
      <vt:variant>
        <vt:lpwstr>_Toc533082323</vt:lpwstr>
      </vt:variant>
      <vt:variant>
        <vt:i4>1310781</vt:i4>
      </vt:variant>
      <vt:variant>
        <vt:i4>104</vt:i4>
      </vt:variant>
      <vt:variant>
        <vt:i4>0</vt:i4>
      </vt:variant>
      <vt:variant>
        <vt:i4>5</vt:i4>
      </vt:variant>
      <vt:variant>
        <vt:lpwstr/>
      </vt:variant>
      <vt:variant>
        <vt:lpwstr>_Toc533082322</vt:lpwstr>
      </vt:variant>
      <vt:variant>
        <vt:i4>1310781</vt:i4>
      </vt:variant>
      <vt:variant>
        <vt:i4>98</vt:i4>
      </vt:variant>
      <vt:variant>
        <vt:i4>0</vt:i4>
      </vt:variant>
      <vt:variant>
        <vt:i4>5</vt:i4>
      </vt:variant>
      <vt:variant>
        <vt:lpwstr/>
      </vt:variant>
      <vt:variant>
        <vt:lpwstr>_Toc533082321</vt:lpwstr>
      </vt:variant>
      <vt:variant>
        <vt:i4>1310781</vt:i4>
      </vt:variant>
      <vt:variant>
        <vt:i4>92</vt:i4>
      </vt:variant>
      <vt:variant>
        <vt:i4>0</vt:i4>
      </vt:variant>
      <vt:variant>
        <vt:i4>5</vt:i4>
      </vt:variant>
      <vt:variant>
        <vt:lpwstr/>
      </vt:variant>
      <vt:variant>
        <vt:lpwstr>_Toc533082320</vt:lpwstr>
      </vt:variant>
      <vt:variant>
        <vt:i4>1507389</vt:i4>
      </vt:variant>
      <vt:variant>
        <vt:i4>86</vt:i4>
      </vt:variant>
      <vt:variant>
        <vt:i4>0</vt:i4>
      </vt:variant>
      <vt:variant>
        <vt:i4>5</vt:i4>
      </vt:variant>
      <vt:variant>
        <vt:lpwstr/>
      </vt:variant>
      <vt:variant>
        <vt:lpwstr>_Toc533082319</vt:lpwstr>
      </vt:variant>
      <vt:variant>
        <vt:i4>1507389</vt:i4>
      </vt:variant>
      <vt:variant>
        <vt:i4>80</vt:i4>
      </vt:variant>
      <vt:variant>
        <vt:i4>0</vt:i4>
      </vt:variant>
      <vt:variant>
        <vt:i4>5</vt:i4>
      </vt:variant>
      <vt:variant>
        <vt:lpwstr/>
      </vt:variant>
      <vt:variant>
        <vt:lpwstr>_Toc533082318</vt:lpwstr>
      </vt:variant>
      <vt:variant>
        <vt:i4>1507389</vt:i4>
      </vt:variant>
      <vt:variant>
        <vt:i4>74</vt:i4>
      </vt:variant>
      <vt:variant>
        <vt:i4>0</vt:i4>
      </vt:variant>
      <vt:variant>
        <vt:i4>5</vt:i4>
      </vt:variant>
      <vt:variant>
        <vt:lpwstr/>
      </vt:variant>
      <vt:variant>
        <vt:lpwstr>_Toc533082317</vt:lpwstr>
      </vt:variant>
      <vt:variant>
        <vt:i4>1507389</vt:i4>
      </vt:variant>
      <vt:variant>
        <vt:i4>68</vt:i4>
      </vt:variant>
      <vt:variant>
        <vt:i4>0</vt:i4>
      </vt:variant>
      <vt:variant>
        <vt:i4>5</vt:i4>
      </vt:variant>
      <vt:variant>
        <vt:lpwstr/>
      </vt:variant>
      <vt:variant>
        <vt:lpwstr>_Toc533082316</vt:lpwstr>
      </vt:variant>
      <vt:variant>
        <vt:i4>1507389</vt:i4>
      </vt:variant>
      <vt:variant>
        <vt:i4>62</vt:i4>
      </vt:variant>
      <vt:variant>
        <vt:i4>0</vt:i4>
      </vt:variant>
      <vt:variant>
        <vt:i4>5</vt:i4>
      </vt:variant>
      <vt:variant>
        <vt:lpwstr/>
      </vt:variant>
      <vt:variant>
        <vt:lpwstr>_Toc533082315</vt:lpwstr>
      </vt:variant>
      <vt:variant>
        <vt:i4>1507389</vt:i4>
      </vt:variant>
      <vt:variant>
        <vt:i4>56</vt:i4>
      </vt:variant>
      <vt:variant>
        <vt:i4>0</vt:i4>
      </vt:variant>
      <vt:variant>
        <vt:i4>5</vt:i4>
      </vt:variant>
      <vt:variant>
        <vt:lpwstr/>
      </vt:variant>
      <vt:variant>
        <vt:lpwstr>_Toc533082314</vt:lpwstr>
      </vt:variant>
      <vt:variant>
        <vt:i4>1507389</vt:i4>
      </vt:variant>
      <vt:variant>
        <vt:i4>50</vt:i4>
      </vt:variant>
      <vt:variant>
        <vt:i4>0</vt:i4>
      </vt:variant>
      <vt:variant>
        <vt:i4>5</vt:i4>
      </vt:variant>
      <vt:variant>
        <vt:lpwstr/>
      </vt:variant>
      <vt:variant>
        <vt:lpwstr>_Toc533082313</vt:lpwstr>
      </vt:variant>
      <vt:variant>
        <vt:i4>1507389</vt:i4>
      </vt:variant>
      <vt:variant>
        <vt:i4>44</vt:i4>
      </vt:variant>
      <vt:variant>
        <vt:i4>0</vt:i4>
      </vt:variant>
      <vt:variant>
        <vt:i4>5</vt:i4>
      </vt:variant>
      <vt:variant>
        <vt:lpwstr/>
      </vt:variant>
      <vt:variant>
        <vt:lpwstr>_Toc533082312</vt:lpwstr>
      </vt:variant>
      <vt:variant>
        <vt:i4>1507389</vt:i4>
      </vt:variant>
      <vt:variant>
        <vt:i4>38</vt:i4>
      </vt:variant>
      <vt:variant>
        <vt:i4>0</vt:i4>
      </vt:variant>
      <vt:variant>
        <vt:i4>5</vt:i4>
      </vt:variant>
      <vt:variant>
        <vt:lpwstr/>
      </vt:variant>
      <vt:variant>
        <vt:lpwstr>_Toc533082311</vt:lpwstr>
      </vt:variant>
      <vt:variant>
        <vt:i4>1507389</vt:i4>
      </vt:variant>
      <vt:variant>
        <vt:i4>32</vt:i4>
      </vt:variant>
      <vt:variant>
        <vt:i4>0</vt:i4>
      </vt:variant>
      <vt:variant>
        <vt:i4>5</vt:i4>
      </vt:variant>
      <vt:variant>
        <vt:lpwstr/>
      </vt:variant>
      <vt:variant>
        <vt:lpwstr>_Toc533082310</vt:lpwstr>
      </vt:variant>
      <vt:variant>
        <vt:i4>1441853</vt:i4>
      </vt:variant>
      <vt:variant>
        <vt:i4>26</vt:i4>
      </vt:variant>
      <vt:variant>
        <vt:i4>0</vt:i4>
      </vt:variant>
      <vt:variant>
        <vt:i4>5</vt:i4>
      </vt:variant>
      <vt:variant>
        <vt:lpwstr/>
      </vt:variant>
      <vt:variant>
        <vt:lpwstr>_Toc533082309</vt:lpwstr>
      </vt:variant>
      <vt:variant>
        <vt:i4>1441853</vt:i4>
      </vt:variant>
      <vt:variant>
        <vt:i4>20</vt:i4>
      </vt:variant>
      <vt:variant>
        <vt:i4>0</vt:i4>
      </vt:variant>
      <vt:variant>
        <vt:i4>5</vt:i4>
      </vt:variant>
      <vt:variant>
        <vt:lpwstr/>
      </vt:variant>
      <vt:variant>
        <vt:lpwstr>_Toc533082308</vt:lpwstr>
      </vt:variant>
      <vt:variant>
        <vt:i4>1441853</vt:i4>
      </vt:variant>
      <vt:variant>
        <vt:i4>14</vt:i4>
      </vt:variant>
      <vt:variant>
        <vt:i4>0</vt:i4>
      </vt:variant>
      <vt:variant>
        <vt:i4>5</vt:i4>
      </vt:variant>
      <vt:variant>
        <vt:lpwstr/>
      </vt:variant>
      <vt:variant>
        <vt:lpwstr>_Toc533082307</vt:lpwstr>
      </vt:variant>
      <vt:variant>
        <vt:i4>1441853</vt:i4>
      </vt:variant>
      <vt:variant>
        <vt:i4>8</vt:i4>
      </vt:variant>
      <vt:variant>
        <vt:i4>0</vt:i4>
      </vt:variant>
      <vt:variant>
        <vt:i4>5</vt:i4>
      </vt:variant>
      <vt:variant>
        <vt:lpwstr/>
      </vt:variant>
      <vt:variant>
        <vt:lpwstr>_Toc533082306</vt:lpwstr>
      </vt:variant>
      <vt:variant>
        <vt:i4>1441853</vt:i4>
      </vt:variant>
      <vt:variant>
        <vt:i4>2</vt:i4>
      </vt:variant>
      <vt:variant>
        <vt:i4>0</vt:i4>
      </vt:variant>
      <vt:variant>
        <vt:i4>5</vt:i4>
      </vt:variant>
      <vt:variant>
        <vt:lpwstr/>
      </vt:variant>
      <vt:variant>
        <vt:lpwstr>_Toc533082305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dc:title>
  <dc:subject/>
  <dc:creator>Corporate User</dc:creator>
  <cp:keywords/>
  <cp:lastModifiedBy>Adorján Andrea</cp:lastModifiedBy>
  <cp:revision>2</cp:revision>
  <cp:lastPrinted>2012-06-28T16:26:00Z</cp:lastPrinted>
  <dcterms:created xsi:type="dcterms:W3CDTF">2022-02-24T14:16:00Z</dcterms:created>
  <dcterms:modified xsi:type="dcterms:W3CDTF">2022-02-24T14:16:00Z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d11092-50c9-4e74-84b5-b1af078dc3d0_Enabled">
    <vt:lpwstr>True</vt:lpwstr>
  </property>
  <property fmtid="{D5CDD505-2E9C-101B-9397-08002B2CF9AE}" pid="3" name="MSIP_Label_b0d11092-50c9-4e74-84b5-b1af078dc3d0_SiteId">
    <vt:lpwstr>97c01ef8-0264-4eef-9c08-fb4a9ba1c0db</vt:lpwstr>
  </property>
  <property fmtid="{D5CDD505-2E9C-101B-9397-08002B2CF9AE}" pid="4" name="MSIP_Label_b0d11092-50c9-4e74-84b5-b1af078dc3d0_Ref">
    <vt:lpwstr>https://api.informationprotection.azure.com/api/97c01ef8-0264-4eef-9c08-fb4a9ba1c0db</vt:lpwstr>
  </property>
  <property fmtid="{D5CDD505-2E9C-101B-9397-08002B2CF9AE}" pid="5" name="MSIP_Label_b0d11092-50c9-4e74-84b5-b1af078dc3d0_Owner">
    <vt:lpwstr>nemethneed@mnb.hu</vt:lpwstr>
  </property>
  <property fmtid="{D5CDD505-2E9C-101B-9397-08002B2CF9AE}" pid="6" name="MSIP_Label_b0d11092-50c9-4e74-84b5-b1af078dc3d0_SetDate">
    <vt:lpwstr>2018-09-11T14:55:23.0080319+02:00</vt:lpwstr>
  </property>
  <property fmtid="{D5CDD505-2E9C-101B-9397-08002B2CF9AE}" pid="7" name="MSIP_Label_b0d11092-50c9-4e74-84b5-b1af078dc3d0_Name">
    <vt:lpwstr>Protected</vt:lpwstr>
  </property>
  <property fmtid="{D5CDD505-2E9C-101B-9397-08002B2CF9AE}" pid="8" name="MSIP_Label_b0d11092-50c9-4e74-84b5-b1af078dc3d0_Application">
    <vt:lpwstr>Microsoft Azure Information Protection</vt:lpwstr>
  </property>
  <property fmtid="{D5CDD505-2E9C-101B-9397-08002B2CF9AE}" pid="9" name="MSIP_Label_b0d11092-50c9-4e74-84b5-b1af078dc3d0_Extended_MSFT_Method">
    <vt:lpwstr>Automatic</vt:lpwstr>
  </property>
  <property fmtid="{D5CDD505-2E9C-101B-9397-08002B2CF9AE}" pid="10" name="Sensitivity">
    <vt:lpwstr>Protected</vt:lpwstr>
  </property>
</Properties>
</file>