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1F73" w14:textId="77777777" w:rsidR="000648A2" w:rsidRPr="00B07832" w:rsidRDefault="000648A2" w:rsidP="000648A2">
      <w:pPr>
        <w:jc w:val="both"/>
        <w:rPr>
          <w:rFonts w:cs="Arial"/>
          <w:szCs w:val="24"/>
        </w:rPr>
      </w:pPr>
    </w:p>
    <w:p w14:paraId="20037AC9" w14:textId="77777777" w:rsidR="000648A2" w:rsidRPr="00867E80" w:rsidRDefault="000648A2" w:rsidP="000648A2">
      <w:pPr>
        <w:jc w:val="both"/>
        <w:rPr>
          <w:rFonts w:cs="Arial"/>
          <w:b/>
          <w:szCs w:val="22"/>
        </w:rPr>
      </w:pPr>
    </w:p>
    <w:p w14:paraId="408A3C2C" w14:textId="77777777" w:rsidR="00867E80" w:rsidRPr="00867E80" w:rsidRDefault="00867E80" w:rsidP="00867E80">
      <w:pPr>
        <w:ind w:right="270"/>
        <w:jc w:val="center"/>
        <w:rPr>
          <w:rFonts w:cs="Arial"/>
          <w:b/>
          <w:szCs w:val="22"/>
          <w:lang w:val="hu-HU"/>
        </w:rPr>
      </w:pPr>
      <w:r w:rsidRPr="00867E80">
        <w:rPr>
          <w:rFonts w:cs="Arial"/>
          <w:b/>
          <w:szCs w:val="22"/>
          <w:lang w:val="hu-HU"/>
        </w:rPr>
        <w:t>Módszertani segédlet</w:t>
      </w:r>
    </w:p>
    <w:p w14:paraId="123344F2" w14:textId="77777777" w:rsidR="00867E80" w:rsidRPr="00867E80" w:rsidRDefault="00867E80" w:rsidP="00867E80">
      <w:pPr>
        <w:ind w:right="270"/>
        <w:jc w:val="center"/>
        <w:rPr>
          <w:rFonts w:cs="Arial"/>
          <w:b/>
          <w:szCs w:val="22"/>
          <w:lang w:val="hu-HU"/>
        </w:rPr>
      </w:pPr>
      <w:r w:rsidRPr="00867E80">
        <w:rPr>
          <w:rFonts w:cs="Arial"/>
          <w:b/>
          <w:szCs w:val="22"/>
          <w:lang w:val="hu-HU"/>
        </w:rPr>
        <w:t>az</w:t>
      </w:r>
    </w:p>
    <w:p w14:paraId="53E8AD0A" w14:textId="77777777" w:rsidR="000648A2" w:rsidRPr="00867E80" w:rsidRDefault="000648A2" w:rsidP="000648A2">
      <w:pPr>
        <w:jc w:val="both"/>
        <w:rPr>
          <w:rFonts w:cs="Arial"/>
          <w:b/>
          <w:szCs w:val="22"/>
        </w:rPr>
      </w:pPr>
    </w:p>
    <w:p w14:paraId="20432A28" w14:textId="77777777" w:rsidR="000648A2" w:rsidRPr="00867E80" w:rsidRDefault="000648A2" w:rsidP="000648A2">
      <w:pPr>
        <w:jc w:val="both"/>
        <w:rPr>
          <w:rFonts w:cs="Arial"/>
          <w:b/>
          <w:szCs w:val="22"/>
        </w:rPr>
      </w:pPr>
    </w:p>
    <w:p w14:paraId="4BB50BFC" w14:textId="77777777" w:rsidR="00D313C3" w:rsidRPr="00867E80" w:rsidRDefault="000648A2" w:rsidP="00867E80">
      <w:pPr>
        <w:pStyle w:val="BodyText2"/>
        <w:rPr>
          <w:rFonts w:ascii="Arial" w:hAnsi="Arial" w:cs="Arial"/>
          <w:sz w:val="22"/>
          <w:szCs w:val="22"/>
        </w:rPr>
        <w:sectPr w:rsidR="00D313C3" w:rsidRPr="00867E8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08" w:footer="708" w:gutter="567"/>
          <w:cols w:space="708"/>
        </w:sectPr>
      </w:pPr>
      <w:r w:rsidRPr="00867E80">
        <w:rPr>
          <w:rFonts w:ascii="Arial" w:hAnsi="Arial" w:cs="Arial"/>
          <w:sz w:val="22"/>
          <w:szCs w:val="22"/>
        </w:rPr>
        <w:t>Jegybanki felmérés a devizapiac és a származékos ügyletek piacának aktivitásáról (nyitott kötésállományok</w:t>
      </w:r>
      <w:r w:rsidR="00867E80" w:rsidRPr="00867E80">
        <w:rPr>
          <w:rFonts w:ascii="Arial" w:hAnsi="Arial" w:cs="Arial"/>
          <w:sz w:val="22"/>
          <w:szCs w:val="22"/>
        </w:rPr>
        <w:t>) című D25 adatszolgáltatáshoz</w:t>
      </w:r>
    </w:p>
    <w:p w14:paraId="7B999903" w14:textId="77777777" w:rsidR="00D313C3" w:rsidRPr="00FE5851" w:rsidRDefault="00D313C3">
      <w:pPr>
        <w:pStyle w:val="TableOfContentsTitle"/>
        <w:rPr>
          <w:szCs w:val="24"/>
          <w:lang w:val="hu-HU"/>
        </w:rPr>
      </w:pPr>
      <w:r w:rsidRPr="00FE5851">
        <w:rPr>
          <w:szCs w:val="24"/>
          <w:lang w:val="hu-HU"/>
        </w:rPr>
        <w:lastRenderedPageBreak/>
        <w:t>Tartalomjegyzék</w:t>
      </w:r>
    </w:p>
    <w:p w14:paraId="4E8FF975" w14:textId="77777777" w:rsidR="00B07139" w:rsidRPr="00B07139" w:rsidRDefault="00D313C3">
      <w:pPr>
        <w:pStyle w:val="TOC1"/>
        <w:rPr>
          <w:rFonts w:ascii="Calibri" w:hAnsi="Calibri"/>
          <w:snapToGrid/>
          <w:szCs w:val="22"/>
        </w:rPr>
      </w:pPr>
      <w:r w:rsidRPr="00FE5851">
        <w:rPr>
          <w:noProof w:val="0"/>
          <w:szCs w:val="24"/>
        </w:rPr>
        <w:fldChar w:fldCharType="begin"/>
      </w:r>
      <w:r w:rsidRPr="00FE5851">
        <w:rPr>
          <w:noProof w:val="0"/>
          <w:szCs w:val="24"/>
        </w:rPr>
        <w:instrText xml:space="preserve"> TOC \o "1-3" \h \z \u </w:instrText>
      </w:r>
      <w:r w:rsidRPr="00FE5851">
        <w:rPr>
          <w:noProof w:val="0"/>
          <w:szCs w:val="24"/>
        </w:rPr>
        <w:fldChar w:fldCharType="separate"/>
      </w:r>
      <w:hyperlink w:anchor="_Toc533082660" w:history="1">
        <w:r w:rsidR="00B07139" w:rsidRPr="00331066">
          <w:rPr>
            <w:rStyle w:val="Hyperlink"/>
          </w:rPr>
          <w:t>A.</w:t>
        </w:r>
        <w:r w:rsidR="00B07139" w:rsidRPr="00B07139">
          <w:rPr>
            <w:rFonts w:ascii="Calibri" w:hAnsi="Calibri"/>
            <w:snapToGrid/>
            <w:szCs w:val="22"/>
          </w:rPr>
          <w:tab/>
        </w:r>
        <w:r w:rsidR="00B07139" w:rsidRPr="00331066">
          <w:rPr>
            <w:rStyle w:val="Hyperlink"/>
          </w:rPr>
          <w:t>Bevezetés</w:t>
        </w:r>
        <w:r w:rsidR="00B07139">
          <w:rPr>
            <w:webHidden/>
          </w:rPr>
          <w:tab/>
        </w:r>
        <w:r w:rsidR="00B07139">
          <w:rPr>
            <w:webHidden/>
          </w:rPr>
          <w:fldChar w:fldCharType="begin"/>
        </w:r>
        <w:r w:rsidR="00B07139">
          <w:rPr>
            <w:webHidden/>
          </w:rPr>
          <w:instrText xml:space="preserve"> PAGEREF _Toc533082660 \h </w:instrText>
        </w:r>
        <w:r w:rsidR="00B07139">
          <w:rPr>
            <w:webHidden/>
          </w:rPr>
        </w:r>
        <w:r w:rsidR="00B07139">
          <w:rPr>
            <w:webHidden/>
          </w:rPr>
          <w:fldChar w:fldCharType="separate"/>
        </w:r>
        <w:r w:rsidR="00B07139">
          <w:rPr>
            <w:webHidden/>
          </w:rPr>
          <w:t>1</w:t>
        </w:r>
        <w:r w:rsidR="00B07139">
          <w:rPr>
            <w:webHidden/>
          </w:rPr>
          <w:fldChar w:fldCharType="end"/>
        </w:r>
      </w:hyperlink>
    </w:p>
    <w:p w14:paraId="0461D09A" w14:textId="77777777" w:rsidR="00B07139" w:rsidRPr="00B07139" w:rsidRDefault="00B07139">
      <w:pPr>
        <w:pStyle w:val="TOC1"/>
        <w:rPr>
          <w:rFonts w:ascii="Calibri" w:hAnsi="Calibri"/>
          <w:snapToGrid/>
          <w:szCs w:val="22"/>
        </w:rPr>
      </w:pPr>
      <w:hyperlink w:anchor="_Toc533082661" w:history="1">
        <w:r w:rsidRPr="00331066">
          <w:rPr>
            <w:rStyle w:val="Hyperlink"/>
          </w:rPr>
          <w:t>B.</w:t>
        </w:r>
        <w:r w:rsidRPr="00B07139">
          <w:rPr>
            <w:rFonts w:ascii="Calibri" w:hAnsi="Calibri"/>
            <w:snapToGrid/>
            <w:szCs w:val="22"/>
          </w:rPr>
          <w:tab/>
        </w:r>
        <w:r w:rsidRPr="00331066">
          <w:rPr>
            <w:rStyle w:val="Hyperlink"/>
          </w:rPr>
          <w:t>A felmérés az alábbi területeket öleli fel:</w:t>
        </w:r>
        <w:r>
          <w:rPr>
            <w:webHidden/>
          </w:rPr>
          <w:tab/>
        </w:r>
        <w:r>
          <w:rPr>
            <w:webHidden/>
          </w:rPr>
          <w:fldChar w:fldCharType="begin"/>
        </w:r>
        <w:r>
          <w:rPr>
            <w:webHidden/>
          </w:rPr>
          <w:instrText xml:space="preserve"> PAGEREF _Toc533082661 \h </w:instrText>
        </w:r>
        <w:r>
          <w:rPr>
            <w:webHidden/>
          </w:rPr>
        </w:r>
        <w:r>
          <w:rPr>
            <w:webHidden/>
          </w:rPr>
          <w:fldChar w:fldCharType="separate"/>
        </w:r>
        <w:r>
          <w:rPr>
            <w:webHidden/>
          </w:rPr>
          <w:t>1</w:t>
        </w:r>
        <w:r>
          <w:rPr>
            <w:webHidden/>
          </w:rPr>
          <w:fldChar w:fldCharType="end"/>
        </w:r>
      </w:hyperlink>
    </w:p>
    <w:p w14:paraId="378C6848" w14:textId="77777777" w:rsidR="00B07139" w:rsidRPr="00B07139" w:rsidRDefault="00B07139">
      <w:pPr>
        <w:pStyle w:val="TOC2"/>
        <w:rPr>
          <w:rFonts w:ascii="Calibri" w:hAnsi="Calibri"/>
          <w:snapToGrid/>
          <w:szCs w:val="22"/>
        </w:rPr>
      </w:pPr>
      <w:hyperlink w:anchor="_Toc533082662" w:history="1">
        <w:r w:rsidRPr="00331066">
          <w:rPr>
            <w:rStyle w:val="Hyperlink"/>
          </w:rPr>
          <w:t>1.</w:t>
        </w:r>
        <w:r w:rsidRPr="00B07139">
          <w:rPr>
            <w:rFonts w:ascii="Calibri" w:hAnsi="Calibri"/>
            <w:snapToGrid/>
            <w:szCs w:val="22"/>
          </w:rPr>
          <w:tab/>
        </w:r>
        <w:r w:rsidRPr="00331066">
          <w:rPr>
            <w:rStyle w:val="Hyperlink"/>
          </w:rPr>
          <w:t>Kockázati kategóriák</w:t>
        </w:r>
        <w:r>
          <w:rPr>
            <w:webHidden/>
          </w:rPr>
          <w:tab/>
        </w:r>
        <w:r>
          <w:rPr>
            <w:webHidden/>
          </w:rPr>
          <w:fldChar w:fldCharType="begin"/>
        </w:r>
        <w:r>
          <w:rPr>
            <w:webHidden/>
          </w:rPr>
          <w:instrText xml:space="preserve"> PAGEREF _Toc533082662 \h </w:instrText>
        </w:r>
        <w:r>
          <w:rPr>
            <w:webHidden/>
          </w:rPr>
        </w:r>
        <w:r>
          <w:rPr>
            <w:webHidden/>
          </w:rPr>
          <w:fldChar w:fldCharType="separate"/>
        </w:r>
        <w:r>
          <w:rPr>
            <w:webHidden/>
          </w:rPr>
          <w:t>1</w:t>
        </w:r>
        <w:r>
          <w:rPr>
            <w:webHidden/>
          </w:rPr>
          <w:fldChar w:fldCharType="end"/>
        </w:r>
      </w:hyperlink>
    </w:p>
    <w:p w14:paraId="20895ECF" w14:textId="77777777" w:rsidR="00B07139" w:rsidRPr="00B07139" w:rsidRDefault="00B07139">
      <w:pPr>
        <w:pStyle w:val="TOC2"/>
        <w:rPr>
          <w:rFonts w:ascii="Calibri" w:hAnsi="Calibri"/>
          <w:snapToGrid/>
          <w:szCs w:val="22"/>
        </w:rPr>
      </w:pPr>
      <w:hyperlink w:anchor="_Toc533082663" w:history="1">
        <w:r w:rsidRPr="00331066">
          <w:rPr>
            <w:rStyle w:val="Hyperlink"/>
          </w:rPr>
          <w:t>2.</w:t>
        </w:r>
        <w:r w:rsidRPr="00B07139">
          <w:rPr>
            <w:rFonts w:ascii="Calibri" w:hAnsi="Calibri"/>
            <w:snapToGrid/>
            <w:szCs w:val="22"/>
          </w:rPr>
          <w:tab/>
        </w:r>
        <w:r w:rsidRPr="00331066">
          <w:rPr>
            <w:rStyle w:val="Hyperlink"/>
          </w:rPr>
          <w:t>Instrumentum típusok</w:t>
        </w:r>
        <w:r>
          <w:rPr>
            <w:webHidden/>
          </w:rPr>
          <w:tab/>
        </w:r>
        <w:r>
          <w:rPr>
            <w:webHidden/>
          </w:rPr>
          <w:fldChar w:fldCharType="begin"/>
        </w:r>
        <w:r>
          <w:rPr>
            <w:webHidden/>
          </w:rPr>
          <w:instrText xml:space="preserve"> PAGEREF _Toc533082663 \h </w:instrText>
        </w:r>
        <w:r>
          <w:rPr>
            <w:webHidden/>
          </w:rPr>
        </w:r>
        <w:r>
          <w:rPr>
            <w:webHidden/>
          </w:rPr>
          <w:fldChar w:fldCharType="separate"/>
        </w:r>
        <w:r>
          <w:rPr>
            <w:webHidden/>
          </w:rPr>
          <w:t>3</w:t>
        </w:r>
        <w:r>
          <w:rPr>
            <w:webHidden/>
          </w:rPr>
          <w:fldChar w:fldCharType="end"/>
        </w:r>
      </w:hyperlink>
    </w:p>
    <w:p w14:paraId="5106FE12" w14:textId="77777777" w:rsidR="00B07139" w:rsidRPr="00B07139" w:rsidRDefault="00B07139">
      <w:pPr>
        <w:pStyle w:val="TOC2"/>
        <w:rPr>
          <w:rFonts w:ascii="Calibri" w:hAnsi="Calibri"/>
          <w:snapToGrid/>
          <w:szCs w:val="22"/>
        </w:rPr>
      </w:pPr>
      <w:hyperlink w:anchor="_Toc533082664" w:history="1">
        <w:r w:rsidRPr="00331066">
          <w:rPr>
            <w:rStyle w:val="Hyperlink"/>
          </w:rPr>
          <w:t>3.</w:t>
        </w:r>
        <w:r w:rsidRPr="00B07139">
          <w:rPr>
            <w:rFonts w:ascii="Calibri" w:hAnsi="Calibri"/>
            <w:snapToGrid/>
            <w:szCs w:val="22"/>
          </w:rPr>
          <w:tab/>
        </w:r>
        <w:r w:rsidRPr="00331066">
          <w:rPr>
            <w:rStyle w:val="Hyperlink"/>
          </w:rPr>
          <w:t>Kért adattípusok</w:t>
        </w:r>
        <w:r>
          <w:rPr>
            <w:webHidden/>
          </w:rPr>
          <w:tab/>
        </w:r>
        <w:r>
          <w:rPr>
            <w:webHidden/>
          </w:rPr>
          <w:fldChar w:fldCharType="begin"/>
        </w:r>
        <w:r>
          <w:rPr>
            <w:webHidden/>
          </w:rPr>
          <w:instrText xml:space="preserve"> PAGEREF _Toc533082664 \h </w:instrText>
        </w:r>
        <w:r>
          <w:rPr>
            <w:webHidden/>
          </w:rPr>
        </w:r>
        <w:r>
          <w:rPr>
            <w:webHidden/>
          </w:rPr>
          <w:fldChar w:fldCharType="separate"/>
        </w:r>
        <w:r>
          <w:rPr>
            <w:webHidden/>
          </w:rPr>
          <w:t>4</w:t>
        </w:r>
        <w:r>
          <w:rPr>
            <w:webHidden/>
          </w:rPr>
          <w:fldChar w:fldCharType="end"/>
        </w:r>
      </w:hyperlink>
    </w:p>
    <w:p w14:paraId="144DCE56" w14:textId="77777777" w:rsidR="00B07139" w:rsidRPr="00B07139" w:rsidRDefault="00B07139">
      <w:pPr>
        <w:pStyle w:val="TOC2"/>
        <w:rPr>
          <w:rFonts w:ascii="Calibri" w:hAnsi="Calibri"/>
          <w:snapToGrid/>
          <w:szCs w:val="22"/>
        </w:rPr>
      </w:pPr>
      <w:hyperlink w:anchor="_Toc533082665" w:history="1">
        <w:r w:rsidRPr="00331066">
          <w:rPr>
            <w:rStyle w:val="Hyperlink"/>
          </w:rPr>
          <w:t>4.</w:t>
        </w:r>
        <w:r w:rsidRPr="00B07139">
          <w:rPr>
            <w:rFonts w:ascii="Calibri" w:hAnsi="Calibri"/>
            <w:snapToGrid/>
            <w:szCs w:val="22"/>
          </w:rPr>
          <w:tab/>
        </w:r>
        <w:r w:rsidRPr="00331066">
          <w:rPr>
            <w:rStyle w:val="Hyperlink"/>
          </w:rPr>
          <w:t>Konszolidált beszámolás</w:t>
        </w:r>
        <w:r>
          <w:rPr>
            <w:webHidden/>
          </w:rPr>
          <w:tab/>
        </w:r>
        <w:r>
          <w:rPr>
            <w:webHidden/>
          </w:rPr>
          <w:fldChar w:fldCharType="begin"/>
        </w:r>
        <w:r>
          <w:rPr>
            <w:webHidden/>
          </w:rPr>
          <w:instrText xml:space="preserve"> PAGEREF _Toc533082665 \h </w:instrText>
        </w:r>
        <w:r>
          <w:rPr>
            <w:webHidden/>
          </w:rPr>
        </w:r>
        <w:r>
          <w:rPr>
            <w:webHidden/>
          </w:rPr>
          <w:fldChar w:fldCharType="separate"/>
        </w:r>
        <w:r>
          <w:rPr>
            <w:webHidden/>
          </w:rPr>
          <w:t>6</w:t>
        </w:r>
        <w:r>
          <w:rPr>
            <w:webHidden/>
          </w:rPr>
          <w:fldChar w:fldCharType="end"/>
        </w:r>
      </w:hyperlink>
    </w:p>
    <w:p w14:paraId="07F16BE6" w14:textId="77777777" w:rsidR="00B07139" w:rsidRPr="00B07139" w:rsidRDefault="00B07139">
      <w:pPr>
        <w:pStyle w:val="TOC2"/>
        <w:rPr>
          <w:rFonts w:ascii="Calibri" w:hAnsi="Calibri"/>
          <w:snapToGrid/>
          <w:szCs w:val="22"/>
        </w:rPr>
      </w:pPr>
      <w:hyperlink w:anchor="_Toc533082666" w:history="1">
        <w:r w:rsidRPr="00331066">
          <w:rPr>
            <w:rStyle w:val="Hyperlink"/>
          </w:rPr>
          <w:t>5.</w:t>
        </w:r>
        <w:r w:rsidRPr="00B07139">
          <w:rPr>
            <w:rFonts w:ascii="Calibri" w:hAnsi="Calibri"/>
            <w:snapToGrid/>
            <w:szCs w:val="22"/>
          </w:rPr>
          <w:tab/>
        </w:r>
        <w:r w:rsidRPr="00331066">
          <w:rPr>
            <w:rStyle w:val="Hyperlink"/>
          </w:rPr>
          <w:t>A beszámoló pénzneme és devizakonverzió</w:t>
        </w:r>
        <w:r>
          <w:rPr>
            <w:webHidden/>
          </w:rPr>
          <w:tab/>
        </w:r>
        <w:r>
          <w:rPr>
            <w:webHidden/>
          </w:rPr>
          <w:fldChar w:fldCharType="begin"/>
        </w:r>
        <w:r>
          <w:rPr>
            <w:webHidden/>
          </w:rPr>
          <w:instrText xml:space="preserve"> PAGEREF _Toc533082666 \h </w:instrText>
        </w:r>
        <w:r>
          <w:rPr>
            <w:webHidden/>
          </w:rPr>
        </w:r>
        <w:r>
          <w:rPr>
            <w:webHidden/>
          </w:rPr>
          <w:fldChar w:fldCharType="separate"/>
        </w:r>
        <w:r>
          <w:rPr>
            <w:webHidden/>
          </w:rPr>
          <w:t>6</w:t>
        </w:r>
        <w:r>
          <w:rPr>
            <w:webHidden/>
          </w:rPr>
          <w:fldChar w:fldCharType="end"/>
        </w:r>
      </w:hyperlink>
    </w:p>
    <w:p w14:paraId="53C501F0" w14:textId="77777777" w:rsidR="00B07139" w:rsidRPr="00B07139" w:rsidRDefault="00B07139">
      <w:pPr>
        <w:pStyle w:val="TOC2"/>
        <w:rPr>
          <w:rFonts w:ascii="Calibri" w:hAnsi="Calibri"/>
          <w:snapToGrid/>
          <w:szCs w:val="22"/>
        </w:rPr>
      </w:pPr>
      <w:hyperlink w:anchor="_Toc533082667" w:history="1">
        <w:r w:rsidRPr="00331066">
          <w:rPr>
            <w:rStyle w:val="Hyperlink"/>
          </w:rPr>
          <w:t>6.</w:t>
        </w:r>
        <w:r w:rsidRPr="00B07139">
          <w:rPr>
            <w:rFonts w:ascii="Calibri" w:hAnsi="Calibri"/>
            <w:snapToGrid/>
            <w:szCs w:val="22"/>
          </w:rPr>
          <w:tab/>
        </w:r>
        <w:r w:rsidRPr="00331066">
          <w:rPr>
            <w:rStyle w:val="Hyperlink"/>
          </w:rPr>
          <w:t>Kerekítés</w:t>
        </w:r>
        <w:r>
          <w:rPr>
            <w:webHidden/>
          </w:rPr>
          <w:tab/>
        </w:r>
        <w:r>
          <w:rPr>
            <w:webHidden/>
          </w:rPr>
          <w:fldChar w:fldCharType="begin"/>
        </w:r>
        <w:r>
          <w:rPr>
            <w:webHidden/>
          </w:rPr>
          <w:instrText xml:space="preserve"> PAGEREF _Toc533082667 \h </w:instrText>
        </w:r>
        <w:r>
          <w:rPr>
            <w:webHidden/>
          </w:rPr>
        </w:r>
        <w:r>
          <w:rPr>
            <w:webHidden/>
          </w:rPr>
          <w:fldChar w:fldCharType="separate"/>
        </w:r>
        <w:r>
          <w:rPr>
            <w:webHidden/>
          </w:rPr>
          <w:t>6</w:t>
        </w:r>
        <w:r>
          <w:rPr>
            <w:webHidden/>
          </w:rPr>
          <w:fldChar w:fldCharType="end"/>
        </w:r>
      </w:hyperlink>
    </w:p>
    <w:p w14:paraId="47E8348C" w14:textId="77777777" w:rsidR="00B07139" w:rsidRPr="00B07139" w:rsidRDefault="00B07139">
      <w:pPr>
        <w:pStyle w:val="TOC2"/>
        <w:rPr>
          <w:rFonts w:ascii="Calibri" w:hAnsi="Calibri"/>
          <w:snapToGrid/>
          <w:szCs w:val="22"/>
        </w:rPr>
      </w:pPr>
      <w:hyperlink w:anchor="_Toc533082668" w:history="1">
        <w:r w:rsidRPr="00331066">
          <w:rPr>
            <w:rStyle w:val="Hyperlink"/>
          </w:rPr>
          <w:t>7.</w:t>
        </w:r>
        <w:r w:rsidRPr="00B07139">
          <w:rPr>
            <w:rFonts w:ascii="Calibri" w:hAnsi="Calibri"/>
            <w:snapToGrid/>
            <w:szCs w:val="22"/>
          </w:rPr>
          <w:tab/>
        </w:r>
        <w:r w:rsidRPr="00331066">
          <w:rPr>
            <w:rStyle w:val="Hyperlink"/>
          </w:rPr>
          <w:t>A beszámolás határideje</w:t>
        </w:r>
        <w:r>
          <w:rPr>
            <w:webHidden/>
          </w:rPr>
          <w:tab/>
        </w:r>
        <w:r>
          <w:rPr>
            <w:webHidden/>
          </w:rPr>
          <w:fldChar w:fldCharType="begin"/>
        </w:r>
        <w:r>
          <w:rPr>
            <w:webHidden/>
          </w:rPr>
          <w:instrText xml:space="preserve"> PAGEREF _Toc533082668 \h </w:instrText>
        </w:r>
        <w:r>
          <w:rPr>
            <w:webHidden/>
          </w:rPr>
        </w:r>
        <w:r>
          <w:rPr>
            <w:webHidden/>
          </w:rPr>
          <w:fldChar w:fldCharType="separate"/>
        </w:r>
        <w:r>
          <w:rPr>
            <w:webHidden/>
          </w:rPr>
          <w:t>7</w:t>
        </w:r>
        <w:r>
          <w:rPr>
            <w:webHidden/>
          </w:rPr>
          <w:fldChar w:fldCharType="end"/>
        </w:r>
      </w:hyperlink>
    </w:p>
    <w:p w14:paraId="3234A8F7" w14:textId="77777777" w:rsidR="00B07139" w:rsidRPr="00B07139" w:rsidRDefault="00B07139">
      <w:pPr>
        <w:pStyle w:val="TOC1"/>
        <w:rPr>
          <w:rFonts w:ascii="Calibri" w:hAnsi="Calibri"/>
          <w:snapToGrid/>
          <w:szCs w:val="22"/>
        </w:rPr>
      </w:pPr>
      <w:hyperlink w:anchor="_Toc533082669" w:history="1">
        <w:r w:rsidRPr="00331066">
          <w:rPr>
            <w:rStyle w:val="Hyperlink"/>
          </w:rPr>
          <w:t>C.</w:t>
        </w:r>
        <w:r w:rsidRPr="00B07139">
          <w:rPr>
            <w:rFonts w:ascii="Calibri" w:hAnsi="Calibri"/>
            <w:snapToGrid/>
            <w:szCs w:val="22"/>
          </w:rPr>
          <w:tab/>
        </w:r>
        <w:r w:rsidRPr="00331066">
          <w:rPr>
            <w:rStyle w:val="Hyperlink"/>
          </w:rPr>
          <w:t>Partnerek</w:t>
        </w:r>
        <w:r>
          <w:rPr>
            <w:webHidden/>
          </w:rPr>
          <w:tab/>
        </w:r>
        <w:r>
          <w:rPr>
            <w:webHidden/>
          </w:rPr>
          <w:fldChar w:fldCharType="begin"/>
        </w:r>
        <w:r>
          <w:rPr>
            <w:webHidden/>
          </w:rPr>
          <w:instrText xml:space="preserve"> PAGEREF _Toc533082669 \h </w:instrText>
        </w:r>
        <w:r>
          <w:rPr>
            <w:webHidden/>
          </w:rPr>
        </w:r>
        <w:r>
          <w:rPr>
            <w:webHidden/>
          </w:rPr>
          <w:fldChar w:fldCharType="separate"/>
        </w:r>
        <w:r>
          <w:rPr>
            <w:webHidden/>
          </w:rPr>
          <w:t>7</w:t>
        </w:r>
        <w:r>
          <w:rPr>
            <w:webHidden/>
          </w:rPr>
          <w:fldChar w:fldCharType="end"/>
        </w:r>
      </w:hyperlink>
    </w:p>
    <w:p w14:paraId="2942D7DC" w14:textId="77777777" w:rsidR="00B07139" w:rsidRPr="00B07139" w:rsidRDefault="00B07139">
      <w:pPr>
        <w:pStyle w:val="TOC1"/>
        <w:rPr>
          <w:rFonts w:ascii="Calibri" w:hAnsi="Calibri"/>
          <w:snapToGrid/>
          <w:szCs w:val="22"/>
        </w:rPr>
      </w:pPr>
      <w:hyperlink w:anchor="_Toc533082670" w:history="1">
        <w:r w:rsidRPr="00331066">
          <w:rPr>
            <w:rStyle w:val="Hyperlink"/>
          </w:rPr>
          <w:t>D.</w:t>
        </w:r>
        <w:r w:rsidRPr="00B07139">
          <w:rPr>
            <w:rFonts w:ascii="Calibri" w:hAnsi="Calibri"/>
            <w:snapToGrid/>
            <w:szCs w:val="22"/>
          </w:rPr>
          <w:tab/>
        </w:r>
        <w:r w:rsidRPr="00331066">
          <w:rPr>
            <w:rStyle w:val="Hyperlink"/>
          </w:rPr>
          <w:t>Devizák és egyéb kockázati tényezők bontása</w:t>
        </w:r>
        <w:r>
          <w:rPr>
            <w:webHidden/>
          </w:rPr>
          <w:tab/>
        </w:r>
        <w:r>
          <w:rPr>
            <w:webHidden/>
          </w:rPr>
          <w:fldChar w:fldCharType="begin"/>
        </w:r>
        <w:r>
          <w:rPr>
            <w:webHidden/>
          </w:rPr>
          <w:instrText xml:space="preserve"> PAGEREF _Toc533082670 \h </w:instrText>
        </w:r>
        <w:r>
          <w:rPr>
            <w:webHidden/>
          </w:rPr>
        </w:r>
        <w:r>
          <w:rPr>
            <w:webHidden/>
          </w:rPr>
          <w:fldChar w:fldCharType="separate"/>
        </w:r>
        <w:r>
          <w:rPr>
            <w:webHidden/>
          </w:rPr>
          <w:t>8</w:t>
        </w:r>
        <w:r>
          <w:rPr>
            <w:webHidden/>
          </w:rPr>
          <w:fldChar w:fldCharType="end"/>
        </w:r>
      </w:hyperlink>
    </w:p>
    <w:p w14:paraId="045FDB62" w14:textId="77777777" w:rsidR="00B07139" w:rsidRPr="00B07139" w:rsidRDefault="00B07139">
      <w:pPr>
        <w:pStyle w:val="TOC1"/>
        <w:rPr>
          <w:rFonts w:ascii="Calibri" w:hAnsi="Calibri"/>
          <w:snapToGrid/>
          <w:szCs w:val="22"/>
        </w:rPr>
      </w:pPr>
      <w:hyperlink w:anchor="_Toc533082671" w:history="1">
        <w:r w:rsidRPr="00331066">
          <w:rPr>
            <w:rStyle w:val="Hyperlink"/>
          </w:rPr>
          <w:t>E.</w:t>
        </w:r>
        <w:r w:rsidRPr="00B07139">
          <w:rPr>
            <w:rFonts w:ascii="Calibri" w:hAnsi="Calibri"/>
            <w:snapToGrid/>
            <w:szCs w:val="22"/>
          </w:rPr>
          <w:tab/>
        </w:r>
        <w:r w:rsidRPr="00331066">
          <w:rPr>
            <w:rStyle w:val="Hyperlink"/>
          </w:rPr>
          <w:t>Lejáratok</w:t>
        </w:r>
        <w:r>
          <w:rPr>
            <w:webHidden/>
          </w:rPr>
          <w:tab/>
        </w:r>
        <w:r>
          <w:rPr>
            <w:webHidden/>
          </w:rPr>
          <w:fldChar w:fldCharType="begin"/>
        </w:r>
        <w:r>
          <w:rPr>
            <w:webHidden/>
          </w:rPr>
          <w:instrText xml:space="preserve"> PAGEREF _Toc533082671 \h </w:instrText>
        </w:r>
        <w:r>
          <w:rPr>
            <w:webHidden/>
          </w:rPr>
        </w:r>
        <w:r>
          <w:rPr>
            <w:webHidden/>
          </w:rPr>
          <w:fldChar w:fldCharType="separate"/>
        </w:r>
        <w:r>
          <w:rPr>
            <w:webHidden/>
          </w:rPr>
          <w:t>8</w:t>
        </w:r>
        <w:r>
          <w:rPr>
            <w:webHidden/>
          </w:rPr>
          <w:fldChar w:fldCharType="end"/>
        </w:r>
      </w:hyperlink>
    </w:p>
    <w:p w14:paraId="6C6FE483" w14:textId="77777777" w:rsidR="00B07139" w:rsidRPr="00B07139" w:rsidRDefault="00B07139">
      <w:pPr>
        <w:pStyle w:val="TOC1"/>
        <w:rPr>
          <w:rFonts w:ascii="Calibri" w:hAnsi="Calibri"/>
          <w:snapToGrid/>
          <w:szCs w:val="22"/>
        </w:rPr>
      </w:pPr>
      <w:hyperlink w:anchor="_Toc533082672" w:history="1">
        <w:r w:rsidRPr="00331066">
          <w:rPr>
            <w:rStyle w:val="Hyperlink"/>
          </w:rPr>
          <w:t>F.</w:t>
        </w:r>
        <w:r w:rsidRPr="00B07139">
          <w:rPr>
            <w:rFonts w:ascii="Calibri" w:hAnsi="Calibri"/>
            <w:snapToGrid/>
            <w:szCs w:val="22"/>
          </w:rPr>
          <w:tab/>
        </w:r>
        <w:r w:rsidRPr="00331066">
          <w:rPr>
            <w:rStyle w:val="Hyperlink"/>
          </w:rPr>
          <w:t>Az egynél több kockázati kategóriát tartalmazó származékos instrumentumok osztályozása</w:t>
        </w:r>
        <w:r>
          <w:rPr>
            <w:webHidden/>
          </w:rPr>
          <w:tab/>
        </w:r>
        <w:r>
          <w:rPr>
            <w:webHidden/>
          </w:rPr>
          <w:fldChar w:fldCharType="begin"/>
        </w:r>
        <w:r>
          <w:rPr>
            <w:webHidden/>
          </w:rPr>
          <w:instrText xml:space="preserve"> PAGEREF _Toc533082672 \h </w:instrText>
        </w:r>
        <w:r>
          <w:rPr>
            <w:webHidden/>
          </w:rPr>
        </w:r>
        <w:r>
          <w:rPr>
            <w:webHidden/>
          </w:rPr>
          <w:fldChar w:fldCharType="separate"/>
        </w:r>
        <w:r>
          <w:rPr>
            <w:webHidden/>
          </w:rPr>
          <w:t>9</w:t>
        </w:r>
        <w:r>
          <w:rPr>
            <w:webHidden/>
          </w:rPr>
          <w:fldChar w:fldCharType="end"/>
        </w:r>
      </w:hyperlink>
    </w:p>
    <w:p w14:paraId="1B9E7259" w14:textId="77777777" w:rsidR="00B07139" w:rsidRPr="00B07139" w:rsidRDefault="00B07139">
      <w:pPr>
        <w:pStyle w:val="TOC1"/>
        <w:rPr>
          <w:rFonts w:ascii="Calibri" w:hAnsi="Calibri"/>
          <w:snapToGrid/>
          <w:szCs w:val="22"/>
        </w:rPr>
      </w:pPr>
      <w:hyperlink w:anchor="_Toc533082673" w:history="1">
        <w:r w:rsidRPr="00331066">
          <w:rPr>
            <w:rStyle w:val="Hyperlink"/>
          </w:rPr>
          <w:t>G.</w:t>
        </w:r>
        <w:r w:rsidRPr="00B07139">
          <w:rPr>
            <w:rFonts w:ascii="Calibri" w:hAnsi="Calibri"/>
            <w:snapToGrid/>
            <w:szCs w:val="22"/>
          </w:rPr>
          <w:tab/>
        </w:r>
        <w:r w:rsidRPr="00331066">
          <w:rPr>
            <w:rStyle w:val="Hyperlink"/>
          </w:rPr>
          <w:t>Részletes instrumentummeghatározás és -besorolás</w:t>
        </w:r>
        <w:r>
          <w:rPr>
            <w:webHidden/>
          </w:rPr>
          <w:tab/>
        </w:r>
        <w:r>
          <w:rPr>
            <w:webHidden/>
          </w:rPr>
          <w:fldChar w:fldCharType="begin"/>
        </w:r>
        <w:r>
          <w:rPr>
            <w:webHidden/>
          </w:rPr>
          <w:instrText xml:space="preserve"> PAGEREF _Toc533082673 \h </w:instrText>
        </w:r>
        <w:r>
          <w:rPr>
            <w:webHidden/>
          </w:rPr>
        </w:r>
        <w:r>
          <w:rPr>
            <w:webHidden/>
          </w:rPr>
          <w:fldChar w:fldCharType="separate"/>
        </w:r>
        <w:r>
          <w:rPr>
            <w:webHidden/>
          </w:rPr>
          <w:t>9</w:t>
        </w:r>
        <w:r>
          <w:rPr>
            <w:webHidden/>
          </w:rPr>
          <w:fldChar w:fldCharType="end"/>
        </w:r>
      </w:hyperlink>
    </w:p>
    <w:p w14:paraId="28958472" w14:textId="77777777" w:rsidR="00B07139" w:rsidRPr="00B07139" w:rsidRDefault="00B07139">
      <w:pPr>
        <w:pStyle w:val="TOC2"/>
        <w:rPr>
          <w:rFonts w:ascii="Calibri" w:hAnsi="Calibri"/>
          <w:snapToGrid/>
          <w:szCs w:val="22"/>
        </w:rPr>
      </w:pPr>
      <w:hyperlink w:anchor="_Toc533082674" w:history="1">
        <w:r w:rsidRPr="00331066">
          <w:rPr>
            <w:rStyle w:val="Hyperlink"/>
          </w:rPr>
          <w:t>1.</w:t>
        </w:r>
        <w:r w:rsidRPr="00B07139">
          <w:rPr>
            <w:rFonts w:ascii="Calibri" w:hAnsi="Calibri"/>
            <w:snapToGrid/>
            <w:szCs w:val="22"/>
          </w:rPr>
          <w:tab/>
        </w:r>
        <w:r w:rsidRPr="00331066">
          <w:rPr>
            <w:rStyle w:val="Hyperlink"/>
          </w:rPr>
          <w:t>FX-ügyletek</w:t>
        </w:r>
        <w:r>
          <w:rPr>
            <w:webHidden/>
          </w:rPr>
          <w:tab/>
        </w:r>
        <w:r>
          <w:rPr>
            <w:webHidden/>
          </w:rPr>
          <w:fldChar w:fldCharType="begin"/>
        </w:r>
        <w:r>
          <w:rPr>
            <w:webHidden/>
          </w:rPr>
          <w:instrText xml:space="preserve"> PAGEREF _Toc533082674 \h </w:instrText>
        </w:r>
        <w:r>
          <w:rPr>
            <w:webHidden/>
          </w:rPr>
        </w:r>
        <w:r>
          <w:rPr>
            <w:webHidden/>
          </w:rPr>
          <w:fldChar w:fldCharType="separate"/>
        </w:r>
        <w:r>
          <w:rPr>
            <w:webHidden/>
          </w:rPr>
          <w:t>9</w:t>
        </w:r>
        <w:r>
          <w:rPr>
            <w:webHidden/>
          </w:rPr>
          <w:fldChar w:fldCharType="end"/>
        </w:r>
      </w:hyperlink>
    </w:p>
    <w:p w14:paraId="0B06C12A" w14:textId="77777777" w:rsidR="00B07139" w:rsidRPr="00B07139" w:rsidRDefault="00B07139">
      <w:pPr>
        <w:pStyle w:val="TOC2"/>
        <w:rPr>
          <w:rFonts w:ascii="Calibri" w:hAnsi="Calibri"/>
          <w:snapToGrid/>
          <w:szCs w:val="22"/>
        </w:rPr>
      </w:pPr>
      <w:hyperlink w:anchor="_Toc533082675" w:history="1">
        <w:r w:rsidRPr="00331066">
          <w:rPr>
            <w:rStyle w:val="Hyperlink"/>
          </w:rPr>
          <w:t>2.</w:t>
        </w:r>
        <w:r w:rsidRPr="00B07139">
          <w:rPr>
            <w:rFonts w:ascii="Calibri" w:hAnsi="Calibri"/>
            <w:snapToGrid/>
            <w:szCs w:val="22"/>
          </w:rPr>
          <w:tab/>
        </w:r>
        <w:r w:rsidRPr="00331066">
          <w:rPr>
            <w:rStyle w:val="Hyperlink"/>
          </w:rPr>
          <w:t>Egydevizás kamatlábalapú származékos ügyletek</w:t>
        </w:r>
        <w:r>
          <w:rPr>
            <w:webHidden/>
          </w:rPr>
          <w:tab/>
        </w:r>
        <w:r>
          <w:rPr>
            <w:webHidden/>
          </w:rPr>
          <w:fldChar w:fldCharType="begin"/>
        </w:r>
        <w:r>
          <w:rPr>
            <w:webHidden/>
          </w:rPr>
          <w:instrText xml:space="preserve"> PAGEREF _Toc533082675 \h </w:instrText>
        </w:r>
        <w:r>
          <w:rPr>
            <w:webHidden/>
          </w:rPr>
        </w:r>
        <w:r>
          <w:rPr>
            <w:webHidden/>
          </w:rPr>
          <w:fldChar w:fldCharType="separate"/>
        </w:r>
        <w:r>
          <w:rPr>
            <w:webHidden/>
          </w:rPr>
          <w:t>11</w:t>
        </w:r>
        <w:r>
          <w:rPr>
            <w:webHidden/>
          </w:rPr>
          <w:fldChar w:fldCharType="end"/>
        </w:r>
      </w:hyperlink>
    </w:p>
    <w:p w14:paraId="1D2D2121" w14:textId="77777777" w:rsidR="00B07139" w:rsidRPr="00B07139" w:rsidRDefault="00B07139">
      <w:pPr>
        <w:pStyle w:val="TOC2"/>
        <w:rPr>
          <w:rFonts w:ascii="Calibri" w:hAnsi="Calibri"/>
          <w:snapToGrid/>
          <w:szCs w:val="22"/>
        </w:rPr>
      </w:pPr>
      <w:hyperlink w:anchor="_Toc533082676" w:history="1">
        <w:r w:rsidRPr="00331066">
          <w:rPr>
            <w:rStyle w:val="Hyperlink"/>
          </w:rPr>
          <w:t>3.</w:t>
        </w:r>
        <w:r w:rsidRPr="00B07139">
          <w:rPr>
            <w:rFonts w:ascii="Calibri" w:hAnsi="Calibri"/>
            <w:snapToGrid/>
            <w:szCs w:val="22"/>
          </w:rPr>
          <w:tab/>
        </w:r>
        <w:r w:rsidRPr="00331066">
          <w:rPr>
            <w:rStyle w:val="Hyperlink"/>
          </w:rPr>
          <w:t>Részvény- és tőzsdeindex-alapú származékos termékek</w:t>
        </w:r>
        <w:r>
          <w:rPr>
            <w:webHidden/>
          </w:rPr>
          <w:tab/>
        </w:r>
        <w:r>
          <w:rPr>
            <w:webHidden/>
          </w:rPr>
          <w:fldChar w:fldCharType="begin"/>
        </w:r>
        <w:r>
          <w:rPr>
            <w:webHidden/>
          </w:rPr>
          <w:instrText xml:space="preserve"> PAGEREF _Toc533082676 \h </w:instrText>
        </w:r>
        <w:r>
          <w:rPr>
            <w:webHidden/>
          </w:rPr>
        </w:r>
        <w:r>
          <w:rPr>
            <w:webHidden/>
          </w:rPr>
          <w:fldChar w:fldCharType="separate"/>
        </w:r>
        <w:r>
          <w:rPr>
            <w:webHidden/>
          </w:rPr>
          <w:t>12</w:t>
        </w:r>
        <w:r>
          <w:rPr>
            <w:webHidden/>
          </w:rPr>
          <w:fldChar w:fldCharType="end"/>
        </w:r>
      </w:hyperlink>
    </w:p>
    <w:p w14:paraId="675CC3A8" w14:textId="77777777" w:rsidR="00B07139" w:rsidRPr="00B07139" w:rsidRDefault="00B07139">
      <w:pPr>
        <w:pStyle w:val="TOC2"/>
        <w:rPr>
          <w:rFonts w:ascii="Calibri" w:hAnsi="Calibri"/>
          <w:snapToGrid/>
          <w:szCs w:val="22"/>
        </w:rPr>
      </w:pPr>
      <w:hyperlink w:anchor="_Toc533082677" w:history="1">
        <w:r w:rsidRPr="00331066">
          <w:rPr>
            <w:rStyle w:val="Hyperlink"/>
          </w:rPr>
          <w:t>4.</w:t>
        </w:r>
        <w:r w:rsidRPr="00B07139">
          <w:rPr>
            <w:rFonts w:ascii="Calibri" w:hAnsi="Calibri"/>
            <w:snapToGrid/>
            <w:szCs w:val="22"/>
          </w:rPr>
          <w:tab/>
        </w:r>
        <w:r w:rsidRPr="00331066">
          <w:rPr>
            <w:rStyle w:val="Hyperlink"/>
          </w:rPr>
          <w:t>Árualapú származékos termékek</w:t>
        </w:r>
        <w:r>
          <w:rPr>
            <w:webHidden/>
          </w:rPr>
          <w:tab/>
        </w:r>
        <w:r>
          <w:rPr>
            <w:webHidden/>
          </w:rPr>
          <w:fldChar w:fldCharType="begin"/>
        </w:r>
        <w:r>
          <w:rPr>
            <w:webHidden/>
          </w:rPr>
          <w:instrText xml:space="preserve"> PAGEREF _Toc533082677 \h </w:instrText>
        </w:r>
        <w:r>
          <w:rPr>
            <w:webHidden/>
          </w:rPr>
        </w:r>
        <w:r>
          <w:rPr>
            <w:webHidden/>
          </w:rPr>
          <w:fldChar w:fldCharType="separate"/>
        </w:r>
        <w:r>
          <w:rPr>
            <w:webHidden/>
          </w:rPr>
          <w:t>12</w:t>
        </w:r>
        <w:r>
          <w:rPr>
            <w:webHidden/>
          </w:rPr>
          <w:fldChar w:fldCharType="end"/>
        </w:r>
      </w:hyperlink>
    </w:p>
    <w:p w14:paraId="6CCAE79C" w14:textId="77777777" w:rsidR="00B07139" w:rsidRPr="00B07139" w:rsidRDefault="00B07139">
      <w:pPr>
        <w:pStyle w:val="TOC2"/>
        <w:rPr>
          <w:rFonts w:ascii="Calibri" w:hAnsi="Calibri"/>
          <w:snapToGrid/>
          <w:szCs w:val="22"/>
        </w:rPr>
      </w:pPr>
      <w:hyperlink w:anchor="_Toc533082678" w:history="1">
        <w:r w:rsidRPr="00331066">
          <w:rPr>
            <w:rStyle w:val="Hyperlink"/>
          </w:rPr>
          <w:t>5.</w:t>
        </w:r>
        <w:r w:rsidRPr="00B07139">
          <w:rPr>
            <w:rFonts w:ascii="Calibri" w:hAnsi="Calibri"/>
            <w:snapToGrid/>
            <w:szCs w:val="22"/>
          </w:rPr>
          <w:tab/>
        </w:r>
        <w:r w:rsidRPr="00331066">
          <w:rPr>
            <w:rStyle w:val="Hyperlink"/>
          </w:rPr>
          <w:t>Hitelderivatívák</w:t>
        </w:r>
        <w:r>
          <w:rPr>
            <w:webHidden/>
          </w:rPr>
          <w:tab/>
        </w:r>
        <w:r>
          <w:rPr>
            <w:webHidden/>
          </w:rPr>
          <w:fldChar w:fldCharType="begin"/>
        </w:r>
        <w:r>
          <w:rPr>
            <w:webHidden/>
          </w:rPr>
          <w:instrText xml:space="preserve"> PAGEREF _Toc533082678 \h </w:instrText>
        </w:r>
        <w:r>
          <w:rPr>
            <w:webHidden/>
          </w:rPr>
        </w:r>
        <w:r>
          <w:rPr>
            <w:webHidden/>
          </w:rPr>
          <w:fldChar w:fldCharType="separate"/>
        </w:r>
        <w:r>
          <w:rPr>
            <w:webHidden/>
          </w:rPr>
          <w:t>13</w:t>
        </w:r>
        <w:r>
          <w:rPr>
            <w:webHidden/>
          </w:rPr>
          <w:fldChar w:fldCharType="end"/>
        </w:r>
      </w:hyperlink>
    </w:p>
    <w:p w14:paraId="3F2434DF" w14:textId="77777777" w:rsidR="00B07139" w:rsidRPr="00B07139" w:rsidRDefault="00B07139">
      <w:pPr>
        <w:pStyle w:val="TOC1"/>
        <w:rPr>
          <w:rFonts w:ascii="Calibri" w:hAnsi="Calibri"/>
          <w:snapToGrid/>
          <w:szCs w:val="22"/>
        </w:rPr>
      </w:pPr>
      <w:hyperlink w:anchor="_Toc533082679" w:history="1">
        <w:r w:rsidRPr="00331066">
          <w:rPr>
            <w:rStyle w:val="Hyperlink"/>
          </w:rPr>
          <w:t>H.</w:t>
        </w:r>
        <w:r w:rsidRPr="00B07139">
          <w:rPr>
            <w:rFonts w:ascii="Calibri" w:hAnsi="Calibri"/>
            <w:snapToGrid/>
            <w:szCs w:val="22"/>
          </w:rPr>
          <w:tab/>
        </w:r>
        <w:r w:rsidRPr="00331066">
          <w:rPr>
            <w:rStyle w:val="Hyperlink"/>
          </w:rPr>
          <w:t>CDS-ek (Hitel-nemteljesítési csereügyletek)</w:t>
        </w:r>
        <w:r>
          <w:rPr>
            <w:webHidden/>
          </w:rPr>
          <w:tab/>
        </w:r>
        <w:r>
          <w:rPr>
            <w:webHidden/>
          </w:rPr>
          <w:fldChar w:fldCharType="begin"/>
        </w:r>
        <w:r>
          <w:rPr>
            <w:webHidden/>
          </w:rPr>
          <w:instrText xml:space="preserve"> PAGEREF _Toc533082679 \h </w:instrText>
        </w:r>
        <w:r>
          <w:rPr>
            <w:webHidden/>
          </w:rPr>
        </w:r>
        <w:r>
          <w:rPr>
            <w:webHidden/>
          </w:rPr>
          <w:fldChar w:fldCharType="separate"/>
        </w:r>
        <w:r>
          <w:rPr>
            <w:webHidden/>
          </w:rPr>
          <w:t>13</w:t>
        </w:r>
        <w:r>
          <w:rPr>
            <w:webHidden/>
          </w:rPr>
          <w:fldChar w:fldCharType="end"/>
        </w:r>
      </w:hyperlink>
    </w:p>
    <w:p w14:paraId="6B0D29BF" w14:textId="77777777" w:rsidR="00B07139" w:rsidRPr="00B07139" w:rsidRDefault="00B07139">
      <w:pPr>
        <w:pStyle w:val="TOC2"/>
        <w:rPr>
          <w:rFonts w:ascii="Calibri" w:hAnsi="Calibri"/>
          <w:snapToGrid/>
          <w:szCs w:val="22"/>
        </w:rPr>
      </w:pPr>
      <w:hyperlink w:anchor="_Toc533082680" w:history="1">
        <w:r w:rsidRPr="00331066">
          <w:rPr>
            <w:rStyle w:val="Hyperlink"/>
          </w:rPr>
          <w:t>1.</w:t>
        </w:r>
        <w:r w:rsidRPr="00B07139">
          <w:rPr>
            <w:rFonts w:ascii="Calibri" w:hAnsi="Calibri"/>
            <w:snapToGrid/>
            <w:szCs w:val="22"/>
          </w:rPr>
          <w:tab/>
        </w:r>
        <w:r w:rsidRPr="00331066">
          <w:rPr>
            <w:rStyle w:val="Hyperlink"/>
          </w:rPr>
          <w:t>Eszköz típusok</w:t>
        </w:r>
        <w:r>
          <w:rPr>
            <w:webHidden/>
          </w:rPr>
          <w:tab/>
        </w:r>
        <w:r>
          <w:rPr>
            <w:webHidden/>
          </w:rPr>
          <w:fldChar w:fldCharType="begin"/>
        </w:r>
        <w:r>
          <w:rPr>
            <w:webHidden/>
          </w:rPr>
          <w:instrText xml:space="preserve"> PAGEREF _Toc533082680 \h </w:instrText>
        </w:r>
        <w:r>
          <w:rPr>
            <w:webHidden/>
          </w:rPr>
        </w:r>
        <w:r>
          <w:rPr>
            <w:webHidden/>
          </w:rPr>
          <w:fldChar w:fldCharType="separate"/>
        </w:r>
        <w:r>
          <w:rPr>
            <w:webHidden/>
          </w:rPr>
          <w:t>13</w:t>
        </w:r>
        <w:r>
          <w:rPr>
            <w:webHidden/>
          </w:rPr>
          <w:fldChar w:fldCharType="end"/>
        </w:r>
      </w:hyperlink>
    </w:p>
    <w:p w14:paraId="73078350" w14:textId="77777777" w:rsidR="00B07139" w:rsidRPr="00B07139" w:rsidRDefault="00B07139">
      <w:pPr>
        <w:pStyle w:val="TOC2"/>
        <w:rPr>
          <w:rFonts w:ascii="Calibri" w:hAnsi="Calibri"/>
          <w:snapToGrid/>
          <w:szCs w:val="22"/>
        </w:rPr>
      </w:pPr>
      <w:hyperlink w:anchor="_Toc533082681" w:history="1">
        <w:r w:rsidRPr="00331066">
          <w:rPr>
            <w:rStyle w:val="Hyperlink"/>
          </w:rPr>
          <w:t>2.</w:t>
        </w:r>
        <w:r w:rsidRPr="00B07139">
          <w:rPr>
            <w:rFonts w:ascii="Calibri" w:hAnsi="Calibri"/>
            <w:snapToGrid/>
            <w:szCs w:val="22"/>
          </w:rPr>
          <w:tab/>
        </w:r>
        <w:r w:rsidRPr="00331066">
          <w:rPr>
            <w:rStyle w:val="Hyperlink"/>
          </w:rPr>
          <w:t>Kért adattípusok</w:t>
        </w:r>
        <w:r>
          <w:rPr>
            <w:webHidden/>
          </w:rPr>
          <w:tab/>
        </w:r>
        <w:r>
          <w:rPr>
            <w:webHidden/>
          </w:rPr>
          <w:fldChar w:fldCharType="begin"/>
        </w:r>
        <w:r>
          <w:rPr>
            <w:webHidden/>
          </w:rPr>
          <w:instrText xml:space="preserve"> PAGEREF _Toc533082681 \h </w:instrText>
        </w:r>
        <w:r>
          <w:rPr>
            <w:webHidden/>
          </w:rPr>
        </w:r>
        <w:r>
          <w:rPr>
            <w:webHidden/>
          </w:rPr>
          <w:fldChar w:fldCharType="separate"/>
        </w:r>
        <w:r>
          <w:rPr>
            <w:webHidden/>
          </w:rPr>
          <w:t>14</w:t>
        </w:r>
        <w:r>
          <w:rPr>
            <w:webHidden/>
          </w:rPr>
          <w:fldChar w:fldCharType="end"/>
        </w:r>
      </w:hyperlink>
    </w:p>
    <w:p w14:paraId="024588E1" w14:textId="77777777" w:rsidR="00B07139" w:rsidRPr="00B07139" w:rsidRDefault="00B07139">
      <w:pPr>
        <w:pStyle w:val="TOC3"/>
        <w:rPr>
          <w:rFonts w:ascii="Calibri" w:hAnsi="Calibri"/>
          <w:snapToGrid/>
          <w:szCs w:val="22"/>
        </w:rPr>
      </w:pPr>
      <w:hyperlink w:anchor="_Toc533082682" w:history="1">
        <w:r w:rsidRPr="00331066">
          <w:rPr>
            <w:rStyle w:val="Hyperlink"/>
          </w:rPr>
          <w:t>(a)</w:t>
        </w:r>
        <w:r w:rsidRPr="00B07139">
          <w:rPr>
            <w:rFonts w:ascii="Calibri" w:hAnsi="Calibri"/>
            <w:snapToGrid/>
            <w:szCs w:val="22"/>
          </w:rPr>
          <w:tab/>
        </w:r>
        <w:r w:rsidRPr="00331066">
          <w:rPr>
            <w:rStyle w:val="Hyperlink"/>
          </w:rPr>
          <w:t xml:space="preserve"> Vásárolt és értékesített névleges nyitott kötésállomány</w:t>
        </w:r>
        <w:r>
          <w:rPr>
            <w:webHidden/>
          </w:rPr>
          <w:tab/>
        </w:r>
        <w:r>
          <w:rPr>
            <w:webHidden/>
          </w:rPr>
          <w:fldChar w:fldCharType="begin"/>
        </w:r>
        <w:r>
          <w:rPr>
            <w:webHidden/>
          </w:rPr>
          <w:instrText xml:space="preserve"> PAGEREF _Toc533082682 \h </w:instrText>
        </w:r>
        <w:r>
          <w:rPr>
            <w:webHidden/>
          </w:rPr>
        </w:r>
        <w:r>
          <w:rPr>
            <w:webHidden/>
          </w:rPr>
          <w:fldChar w:fldCharType="separate"/>
        </w:r>
        <w:r>
          <w:rPr>
            <w:webHidden/>
          </w:rPr>
          <w:t>14</w:t>
        </w:r>
        <w:r>
          <w:rPr>
            <w:webHidden/>
          </w:rPr>
          <w:fldChar w:fldCharType="end"/>
        </w:r>
      </w:hyperlink>
    </w:p>
    <w:p w14:paraId="40A0DA1C" w14:textId="77777777" w:rsidR="00B07139" w:rsidRPr="00B07139" w:rsidRDefault="00B07139">
      <w:pPr>
        <w:pStyle w:val="TOC3"/>
        <w:rPr>
          <w:rFonts w:ascii="Calibri" w:hAnsi="Calibri"/>
          <w:snapToGrid/>
          <w:szCs w:val="22"/>
        </w:rPr>
      </w:pPr>
      <w:hyperlink w:anchor="_Toc533082683" w:history="1">
        <w:r w:rsidRPr="00331066">
          <w:rPr>
            <w:rStyle w:val="Hyperlink"/>
          </w:rPr>
          <w:t>(b)</w:t>
        </w:r>
        <w:r w:rsidRPr="00B07139">
          <w:rPr>
            <w:rFonts w:ascii="Calibri" w:hAnsi="Calibri"/>
            <w:snapToGrid/>
            <w:szCs w:val="22"/>
          </w:rPr>
          <w:tab/>
        </w:r>
        <w:r w:rsidRPr="00331066">
          <w:rPr>
            <w:rStyle w:val="Hyperlink"/>
          </w:rPr>
          <w:t xml:space="preserve"> Bruttó piaci érték</w:t>
        </w:r>
        <w:r>
          <w:rPr>
            <w:webHidden/>
          </w:rPr>
          <w:tab/>
        </w:r>
        <w:r>
          <w:rPr>
            <w:webHidden/>
          </w:rPr>
          <w:fldChar w:fldCharType="begin"/>
        </w:r>
        <w:r>
          <w:rPr>
            <w:webHidden/>
          </w:rPr>
          <w:instrText xml:space="preserve"> PAGEREF _Toc533082683 \h </w:instrText>
        </w:r>
        <w:r>
          <w:rPr>
            <w:webHidden/>
          </w:rPr>
        </w:r>
        <w:r>
          <w:rPr>
            <w:webHidden/>
          </w:rPr>
          <w:fldChar w:fldCharType="separate"/>
        </w:r>
        <w:r>
          <w:rPr>
            <w:webHidden/>
          </w:rPr>
          <w:t>14</w:t>
        </w:r>
        <w:r>
          <w:rPr>
            <w:webHidden/>
          </w:rPr>
          <w:fldChar w:fldCharType="end"/>
        </w:r>
      </w:hyperlink>
    </w:p>
    <w:p w14:paraId="75DC2AC1" w14:textId="77777777" w:rsidR="00B07139" w:rsidRPr="00B07139" w:rsidRDefault="00B07139">
      <w:pPr>
        <w:pStyle w:val="TOC2"/>
        <w:rPr>
          <w:rFonts w:ascii="Calibri" w:hAnsi="Calibri"/>
          <w:snapToGrid/>
          <w:szCs w:val="22"/>
        </w:rPr>
      </w:pPr>
      <w:hyperlink w:anchor="_Toc533082684" w:history="1">
        <w:r w:rsidRPr="00331066">
          <w:rPr>
            <w:rStyle w:val="Hyperlink"/>
          </w:rPr>
          <w:t>3.</w:t>
        </w:r>
        <w:r w:rsidRPr="00B07139">
          <w:rPr>
            <w:rFonts w:ascii="Calibri" w:hAnsi="Calibri"/>
            <w:snapToGrid/>
            <w:szCs w:val="22"/>
          </w:rPr>
          <w:tab/>
        </w:r>
        <w:r w:rsidRPr="00331066">
          <w:rPr>
            <w:rStyle w:val="Hyperlink"/>
          </w:rPr>
          <w:t>Partnerek</w:t>
        </w:r>
        <w:r>
          <w:rPr>
            <w:webHidden/>
          </w:rPr>
          <w:tab/>
        </w:r>
        <w:r>
          <w:rPr>
            <w:webHidden/>
          </w:rPr>
          <w:fldChar w:fldCharType="begin"/>
        </w:r>
        <w:r>
          <w:rPr>
            <w:webHidden/>
          </w:rPr>
          <w:instrText xml:space="preserve"> PAGEREF _Toc533082684 \h </w:instrText>
        </w:r>
        <w:r>
          <w:rPr>
            <w:webHidden/>
          </w:rPr>
        </w:r>
        <w:r>
          <w:rPr>
            <w:webHidden/>
          </w:rPr>
          <w:fldChar w:fldCharType="separate"/>
        </w:r>
        <w:r>
          <w:rPr>
            <w:webHidden/>
          </w:rPr>
          <w:t>15</w:t>
        </w:r>
        <w:r>
          <w:rPr>
            <w:webHidden/>
          </w:rPr>
          <w:fldChar w:fldCharType="end"/>
        </w:r>
      </w:hyperlink>
    </w:p>
    <w:p w14:paraId="1A612301" w14:textId="77777777" w:rsidR="00B07139" w:rsidRPr="00B07139" w:rsidRDefault="00B07139">
      <w:pPr>
        <w:pStyle w:val="TOC2"/>
        <w:rPr>
          <w:rFonts w:ascii="Calibri" w:hAnsi="Calibri"/>
          <w:snapToGrid/>
          <w:szCs w:val="22"/>
        </w:rPr>
      </w:pPr>
      <w:hyperlink w:anchor="_Toc533082685" w:history="1">
        <w:r w:rsidRPr="00331066">
          <w:rPr>
            <w:rStyle w:val="Hyperlink"/>
          </w:rPr>
          <w:t>4.</w:t>
        </w:r>
        <w:r w:rsidRPr="00B07139">
          <w:rPr>
            <w:rFonts w:ascii="Calibri" w:hAnsi="Calibri"/>
            <w:snapToGrid/>
            <w:szCs w:val="22"/>
          </w:rPr>
          <w:tab/>
        </w:r>
        <w:r w:rsidRPr="00331066">
          <w:rPr>
            <w:rStyle w:val="Hyperlink"/>
          </w:rPr>
          <w:t>Ágazat</w:t>
        </w:r>
        <w:r>
          <w:rPr>
            <w:webHidden/>
          </w:rPr>
          <w:tab/>
        </w:r>
        <w:r>
          <w:rPr>
            <w:webHidden/>
          </w:rPr>
          <w:fldChar w:fldCharType="begin"/>
        </w:r>
        <w:r>
          <w:rPr>
            <w:webHidden/>
          </w:rPr>
          <w:instrText xml:space="preserve"> PAGEREF _Toc533082685 \h </w:instrText>
        </w:r>
        <w:r>
          <w:rPr>
            <w:webHidden/>
          </w:rPr>
        </w:r>
        <w:r>
          <w:rPr>
            <w:webHidden/>
          </w:rPr>
          <w:fldChar w:fldCharType="separate"/>
        </w:r>
        <w:r>
          <w:rPr>
            <w:webHidden/>
          </w:rPr>
          <w:t>15</w:t>
        </w:r>
        <w:r>
          <w:rPr>
            <w:webHidden/>
          </w:rPr>
          <w:fldChar w:fldCharType="end"/>
        </w:r>
      </w:hyperlink>
    </w:p>
    <w:p w14:paraId="1B889EA1" w14:textId="77777777" w:rsidR="00B07139" w:rsidRPr="00B07139" w:rsidRDefault="00B07139">
      <w:pPr>
        <w:pStyle w:val="TOC1"/>
        <w:rPr>
          <w:rFonts w:ascii="Calibri" w:hAnsi="Calibri"/>
          <w:snapToGrid/>
          <w:szCs w:val="22"/>
        </w:rPr>
      </w:pPr>
      <w:hyperlink w:anchor="_Toc533082686" w:history="1">
        <w:r w:rsidRPr="00331066">
          <w:rPr>
            <w:rStyle w:val="Hyperlink"/>
          </w:rPr>
          <w:t>1. számú melléklet: Központi szerződő felek (CCP) jegyzéke</w:t>
        </w:r>
        <w:r>
          <w:rPr>
            <w:webHidden/>
          </w:rPr>
          <w:tab/>
        </w:r>
        <w:r>
          <w:rPr>
            <w:webHidden/>
          </w:rPr>
          <w:fldChar w:fldCharType="begin"/>
        </w:r>
        <w:r>
          <w:rPr>
            <w:webHidden/>
          </w:rPr>
          <w:instrText xml:space="preserve"> PAGEREF _Toc533082686 \h </w:instrText>
        </w:r>
        <w:r>
          <w:rPr>
            <w:webHidden/>
          </w:rPr>
        </w:r>
        <w:r>
          <w:rPr>
            <w:webHidden/>
          </w:rPr>
          <w:fldChar w:fldCharType="separate"/>
        </w:r>
        <w:r>
          <w:rPr>
            <w:webHidden/>
          </w:rPr>
          <w:t>17</w:t>
        </w:r>
        <w:r>
          <w:rPr>
            <w:webHidden/>
          </w:rPr>
          <w:fldChar w:fldCharType="end"/>
        </w:r>
      </w:hyperlink>
    </w:p>
    <w:p w14:paraId="633A41FB" w14:textId="77777777" w:rsidR="00D313C3" w:rsidRPr="00FE5851" w:rsidRDefault="00D313C3">
      <w:pPr>
        <w:pStyle w:val="TOC1"/>
        <w:rPr>
          <w:rStyle w:val="Hyperlink"/>
          <w:noProof w:val="0"/>
          <w:szCs w:val="24"/>
        </w:rPr>
      </w:pPr>
      <w:r w:rsidRPr="00FE5851">
        <w:rPr>
          <w:noProof w:val="0"/>
          <w:szCs w:val="24"/>
        </w:rPr>
        <w:fldChar w:fldCharType="end"/>
      </w:r>
      <w:r w:rsidRPr="00FE5851">
        <w:rPr>
          <w:rStyle w:val="Hyperlink"/>
          <w:noProof w:val="0"/>
          <w:szCs w:val="24"/>
        </w:rPr>
        <w:t xml:space="preserve"> </w:t>
      </w:r>
    </w:p>
    <w:p w14:paraId="4D021C90" w14:textId="77777777" w:rsidR="00D313C3" w:rsidRPr="00FE5851" w:rsidRDefault="00D313C3">
      <w:pPr>
        <w:pStyle w:val="TOC1"/>
        <w:rPr>
          <w:noProof w:val="0"/>
          <w:szCs w:val="24"/>
        </w:rPr>
      </w:pPr>
    </w:p>
    <w:p w14:paraId="650EAD1B" w14:textId="77777777" w:rsidR="00D313C3" w:rsidRPr="00FE5851" w:rsidRDefault="00D313C3">
      <w:pPr>
        <w:pStyle w:val="Paragraph"/>
        <w:rPr>
          <w:szCs w:val="24"/>
          <w:lang w:val="hu-HU"/>
        </w:rPr>
      </w:pPr>
    </w:p>
    <w:p w14:paraId="7F13DB1E" w14:textId="77777777" w:rsidR="00D313C3" w:rsidRPr="00FE5851" w:rsidRDefault="00D313C3">
      <w:pPr>
        <w:pStyle w:val="Paragraph"/>
        <w:rPr>
          <w:szCs w:val="24"/>
          <w:lang w:val="hu-HU"/>
        </w:rPr>
        <w:sectPr w:rsidR="00D313C3" w:rsidRPr="00FE5851">
          <w:headerReference w:type="default" r:id="rId14"/>
          <w:footerReference w:type="default" r:id="rId15"/>
          <w:pgSz w:w="11907" w:h="16840" w:code="9"/>
          <w:pgMar w:top="1418" w:right="1134" w:bottom="1418" w:left="1134" w:header="708" w:footer="708" w:gutter="567"/>
          <w:pgNumType w:fmt="lowerRoman" w:start="3"/>
          <w:cols w:space="708"/>
        </w:sectPr>
      </w:pPr>
    </w:p>
    <w:p w14:paraId="37CA06D5" w14:textId="77777777" w:rsidR="00D313C3" w:rsidRPr="00FE5851" w:rsidRDefault="00D313C3">
      <w:pPr>
        <w:pStyle w:val="IndentedHeading1"/>
        <w:spacing w:before="0"/>
        <w:rPr>
          <w:szCs w:val="24"/>
          <w:lang w:val="hu-HU"/>
        </w:rPr>
      </w:pPr>
      <w:bookmarkStart w:id="0" w:name="_Toc533082660"/>
      <w:r w:rsidRPr="00FE5851">
        <w:rPr>
          <w:szCs w:val="24"/>
          <w:lang w:val="hu-HU"/>
        </w:rPr>
        <w:lastRenderedPageBreak/>
        <w:t>A.</w:t>
      </w:r>
      <w:r w:rsidRPr="00FE5851">
        <w:rPr>
          <w:szCs w:val="24"/>
          <w:lang w:val="hu-HU"/>
        </w:rPr>
        <w:tab/>
        <w:t>Bevezetés</w:t>
      </w:r>
      <w:bookmarkEnd w:id="0"/>
    </w:p>
    <w:p w14:paraId="5C74F9CF" w14:textId="77777777" w:rsidR="00D313C3" w:rsidRPr="00FE5851" w:rsidRDefault="00C92B05">
      <w:pPr>
        <w:pStyle w:val="Paragraph"/>
        <w:rPr>
          <w:szCs w:val="24"/>
          <w:lang w:val="hu-HU"/>
        </w:rPr>
      </w:pPr>
      <w:bookmarkStart w:id="1" w:name="OLE_LINK10"/>
      <w:bookmarkStart w:id="2" w:name="OLE_LINK11"/>
      <w:r>
        <w:t>2019</w:t>
      </w:r>
      <w:r w:rsidR="00BC5BBF">
        <w:t>-ban tizen</w:t>
      </w:r>
      <w:r>
        <w:t>kettedik</w:t>
      </w:r>
      <w:r w:rsidR="00BC5BBF">
        <w:t xml:space="preserve"> alkalommal kerül sor a deviza- és származékos ügyletek piacának nemzetközileg összehangolt felmérésére.</w:t>
      </w:r>
      <w:r w:rsidR="00266365">
        <w:t xml:space="preserve"> </w:t>
      </w:r>
      <w:r w:rsidR="00D313C3" w:rsidRPr="00FE5851">
        <w:rPr>
          <w:szCs w:val="24"/>
          <w:lang w:val="hu-HU"/>
        </w:rPr>
        <w:t xml:space="preserve">A </w:t>
      </w:r>
      <w:r w:rsidR="00317F2F">
        <w:rPr>
          <w:szCs w:val="24"/>
          <w:lang w:val="hu-HU"/>
        </w:rPr>
        <w:t>felmérés</w:t>
      </w:r>
      <w:r w:rsidR="00D313C3" w:rsidRPr="00FE5851">
        <w:rPr>
          <w:szCs w:val="24"/>
          <w:lang w:val="hu-HU"/>
        </w:rPr>
        <w:t xml:space="preserve"> célja, hogy kellően átfogó és nemzetközileg egységes információt szerezzen a deviza- és a tőzsdén kívüli (OTC) származékos piacok méretéről</w:t>
      </w:r>
      <w:r w:rsidR="00317F2F">
        <w:rPr>
          <w:szCs w:val="24"/>
          <w:lang w:val="hu-HU"/>
        </w:rPr>
        <w:t>,</w:t>
      </w:r>
      <w:r w:rsidR="00D313C3" w:rsidRPr="00FE5851">
        <w:rPr>
          <w:szCs w:val="24"/>
          <w:lang w:val="hu-HU"/>
        </w:rPr>
        <w:t xml:space="preserve"> szerkezetéről és az e piacokon folytatott tevékenységről. Az adatgyűjtés javít</w:t>
      </w:r>
      <w:r w:rsidR="004D7E62">
        <w:rPr>
          <w:szCs w:val="24"/>
          <w:lang w:val="hu-HU"/>
        </w:rPr>
        <w:t>j</w:t>
      </w:r>
      <w:r w:rsidR="00D313C3" w:rsidRPr="00FE5851">
        <w:rPr>
          <w:szCs w:val="24"/>
          <w:lang w:val="hu-HU"/>
        </w:rPr>
        <w:t>a a piac átláthatóságát, amivel segítséget nyújt a jegybankoknak és egyéb hatóságoknak, továbbá a piaci szereplőknek, hogy hatékonyabban követhessék nyomon a nemzetközi pénzügyi rendszer</w:t>
      </w:r>
      <w:r w:rsidR="00317F2F">
        <w:rPr>
          <w:szCs w:val="24"/>
          <w:lang w:val="hu-HU"/>
        </w:rPr>
        <w:t xml:space="preserve"> működését</w:t>
      </w:r>
      <w:r w:rsidR="00D313C3" w:rsidRPr="00FE5851">
        <w:rPr>
          <w:szCs w:val="24"/>
          <w:lang w:val="hu-HU"/>
        </w:rPr>
        <w:t>.</w:t>
      </w:r>
    </w:p>
    <w:bookmarkEnd w:id="1"/>
    <w:bookmarkEnd w:id="2"/>
    <w:p w14:paraId="0EA071A3" w14:textId="77777777" w:rsidR="00D313C3" w:rsidRPr="00FE5851" w:rsidRDefault="00D313C3">
      <w:pPr>
        <w:pStyle w:val="Paragraph"/>
        <w:rPr>
          <w:szCs w:val="24"/>
          <w:lang w:val="hu-HU"/>
        </w:rPr>
      </w:pPr>
      <w:r w:rsidRPr="00FE5851">
        <w:rPr>
          <w:szCs w:val="24"/>
          <w:lang w:val="hu-HU"/>
        </w:rPr>
        <w:t>A</w:t>
      </w:r>
      <w:r w:rsidR="004D7E62">
        <w:rPr>
          <w:szCs w:val="24"/>
          <w:lang w:val="hu-HU"/>
        </w:rPr>
        <w:t>z adatgyűjtési</w:t>
      </w:r>
      <w:r w:rsidRPr="00FE5851">
        <w:rPr>
          <w:szCs w:val="24"/>
          <w:lang w:val="hu-HU"/>
        </w:rPr>
        <w:t xml:space="preserve"> </w:t>
      </w:r>
      <w:r w:rsidR="004D7E62">
        <w:rPr>
          <w:szCs w:val="24"/>
          <w:lang w:val="hu-HU"/>
        </w:rPr>
        <w:t>felmérés</w:t>
      </w:r>
      <w:r w:rsidR="004D7E62" w:rsidRPr="00FE5851">
        <w:rPr>
          <w:szCs w:val="24"/>
          <w:lang w:val="hu-HU"/>
        </w:rPr>
        <w:t xml:space="preserve"> </w:t>
      </w:r>
      <w:r w:rsidRPr="00FE5851">
        <w:rPr>
          <w:szCs w:val="24"/>
          <w:lang w:val="hu-HU"/>
        </w:rPr>
        <w:t xml:space="preserve">két részből </w:t>
      </w:r>
      <w:r w:rsidR="004D7E62">
        <w:rPr>
          <w:szCs w:val="24"/>
          <w:lang w:val="hu-HU"/>
        </w:rPr>
        <w:t>áll</w:t>
      </w:r>
      <w:r w:rsidRPr="00FE5851">
        <w:rPr>
          <w:szCs w:val="24"/>
          <w:lang w:val="hu-HU"/>
        </w:rPr>
        <w:t xml:space="preserve">: (i) devizaügyletek és egydevizás, származékos </w:t>
      </w:r>
      <w:r w:rsidR="004D7E62">
        <w:rPr>
          <w:szCs w:val="24"/>
          <w:lang w:val="hu-HU"/>
        </w:rPr>
        <w:t>kamat</w:t>
      </w:r>
      <w:r w:rsidRPr="00FE5851">
        <w:rPr>
          <w:szCs w:val="24"/>
          <w:lang w:val="hu-HU"/>
        </w:rPr>
        <w:t xml:space="preserve">ügyletek forgalmára vonatkozó piaci adatok gyűjtése </w:t>
      </w:r>
      <w:r w:rsidR="00C92B05">
        <w:rPr>
          <w:szCs w:val="24"/>
          <w:lang w:val="hu-HU"/>
        </w:rPr>
        <w:t>2019</w:t>
      </w:r>
      <w:r w:rsidRPr="00FE5851">
        <w:rPr>
          <w:szCs w:val="24"/>
          <w:lang w:val="hu-HU"/>
        </w:rPr>
        <w:t xml:space="preserve">. áprilisban, és (ii) deviza-, kamat-, részvény-, áru-, hitel- és „egyéb”, tőzsdén kívüli (OTC) származékos </w:t>
      </w:r>
      <w:r w:rsidR="004D7E62">
        <w:rPr>
          <w:szCs w:val="24"/>
          <w:lang w:val="hu-HU"/>
        </w:rPr>
        <w:t>ügyletek</w:t>
      </w:r>
      <w:r w:rsidR="004D7E62" w:rsidRPr="00FE5851">
        <w:rPr>
          <w:szCs w:val="24"/>
          <w:lang w:val="hu-HU"/>
        </w:rPr>
        <w:t xml:space="preserve"> </w:t>
      </w:r>
      <w:r w:rsidRPr="00FE5851">
        <w:rPr>
          <w:szCs w:val="24"/>
          <w:lang w:val="hu-HU"/>
        </w:rPr>
        <w:t xml:space="preserve">nyitott </w:t>
      </w:r>
      <w:r w:rsidR="004D7E62" w:rsidRPr="00FE5851">
        <w:rPr>
          <w:szCs w:val="24"/>
          <w:lang w:val="hu-HU"/>
        </w:rPr>
        <w:t>kötésállományá</w:t>
      </w:r>
      <w:r w:rsidR="004D7E62">
        <w:rPr>
          <w:szCs w:val="24"/>
          <w:lang w:val="hu-HU"/>
        </w:rPr>
        <w:t>ra</w:t>
      </w:r>
      <w:r w:rsidR="004D7E62" w:rsidRPr="00FE5851">
        <w:rPr>
          <w:szCs w:val="24"/>
          <w:lang w:val="hu-HU"/>
        </w:rPr>
        <w:t xml:space="preserve"> </w:t>
      </w:r>
      <w:r w:rsidRPr="00FE5851">
        <w:rPr>
          <w:szCs w:val="24"/>
          <w:lang w:val="hu-HU"/>
        </w:rPr>
        <w:t xml:space="preserve">és bruttó piaci értékére vonatkozó adatok gyűjtése </w:t>
      </w:r>
      <w:r w:rsidR="00C92B05">
        <w:rPr>
          <w:szCs w:val="24"/>
          <w:lang w:val="hu-HU"/>
        </w:rPr>
        <w:t>2019</w:t>
      </w:r>
      <w:r w:rsidRPr="00FE5851">
        <w:rPr>
          <w:szCs w:val="24"/>
          <w:lang w:val="hu-HU"/>
        </w:rPr>
        <w:t>. júniusban.</w:t>
      </w:r>
    </w:p>
    <w:p w14:paraId="3C344239" w14:textId="77777777" w:rsidR="004D7E62" w:rsidRDefault="004D7E62">
      <w:pPr>
        <w:pStyle w:val="Paragraph"/>
        <w:rPr>
          <w:szCs w:val="24"/>
          <w:lang w:val="hu-HU"/>
        </w:rPr>
      </w:pPr>
      <w:r>
        <w:rPr>
          <w:szCs w:val="24"/>
          <w:lang w:val="hu-HU"/>
        </w:rPr>
        <w:t xml:space="preserve">Ez a módszertani segédlet </w:t>
      </w:r>
      <w:r w:rsidRPr="004D7E62">
        <w:rPr>
          <w:szCs w:val="24"/>
          <w:lang w:val="hu-HU"/>
        </w:rPr>
        <w:t>a devizapiac és a származékos ügyletek piacának aktivitásáról (nyitott kötésállományok) című D25 adatszolgáltatáshoz</w:t>
      </w:r>
      <w:r>
        <w:rPr>
          <w:szCs w:val="24"/>
          <w:lang w:val="hu-HU"/>
        </w:rPr>
        <w:t xml:space="preserve"> kapcsolódik, míg </w:t>
      </w:r>
      <w:r w:rsidRPr="00943FCB">
        <w:rPr>
          <w:rFonts w:cs="Arial"/>
          <w:szCs w:val="22"/>
        </w:rPr>
        <w:t>a devizapiac és a származékos ügyletek piacának aktivitásáról (forgalmi adatok)</w:t>
      </w:r>
      <w:r>
        <w:rPr>
          <w:rFonts w:cs="Arial"/>
          <w:szCs w:val="22"/>
        </w:rPr>
        <w:t xml:space="preserve"> </w:t>
      </w:r>
      <w:r w:rsidRPr="00943FCB">
        <w:rPr>
          <w:rFonts w:cs="Arial"/>
          <w:szCs w:val="22"/>
        </w:rPr>
        <w:t xml:space="preserve">című D24 </w:t>
      </w:r>
      <w:proofErr w:type="gramStart"/>
      <w:r w:rsidRPr="00943FCB">
        <w:rPr>
          <w:rFonts w:cs="Arial"/>
          <w:szCs w:val="22"/>
        </w:rPr>
        <w:t>adatgyűjtéshez</w:t>
      </w:r>
      <w:r>
        <w:rPr>
          <w:rFonts w:cs="Arial"/>
          <w:szCs w:val="22"/>
        </w:rPr>
        <w:t xml:space="preserve">  külön</w:t>
      </w:r>
      <w:proofErr w:type="gramEnd"/>
      <w:r>
        <w:rPr>
          <w:rFonts w:cs="Arial"/>
          <w:szCs w:val="22"/>
        </w:rPr>
        <w:t xml:space="preserve"> módszertani segédlet készült.</w:t>
      </w:r>
      <w:r w:rsidRPr="004D7E62">
        <w:rPr>
          <w:szCs w:val="24"/>
          <w:lang w:val="hu-HU"/>
        </w:rPr>
        <w:t xml:space="preserve"> </w:t>
      </w:r>
      <w:r w:rsidR="00D313C3" w:rsidRPr="00FE5851">
        <w:rPr>
          <w:szCs w:val="24"/>
          <w:lang w:val="hu-HU"/>
        </w:rPr>
        <w:t xml:space="preserve"> </w:t>
      </w:r>
    </w:p>
    <w:p w14:paraId="3BDD4D8A" w14:textId="77777777" w:rsidR="00D313C3" w:rsidRPr="00FE5851" w:rsidRDefault="004D7E62">
      <w:pPr>
        <w:pStyle w:val="Paragraph"/>
        <w:rPr>
          <w:szCs w:val="24"/>
          <w:lang w:val="hu-HU"/>
        </w:rPr>
      </w:pPr>
      <w:r>
        <w:rPr>
          <w:szCs w:val="24"/>
          <w:lang w:val="hu-HU"/>
        </w:rPr>
        <w:t>A</w:t>
      </w:r>
      <w:r w:rsidR="00D313C3" w:rsidRPr="00FE5851">
        <w:rPr>
          <w:szCs w:val="24"/>
          <w:lang w:val="hu-HU"/>
        </w:rPr>
        <w:t xml:space="preserve"> nyitott származékos kötésállományra vonatkozó adatok gyűjtésére </w:t>
      </w:r>
      <w:r w:rsidR="00D313C3" w:rsidRPr="00FE5851">
        <w:rPr>
          <w:i/>
          <w:szCs w:val="24"/>
          <w:lang w:val="hu-HU"/>
        </w:rPr>
        <w:t>konszolidált</w:t>
      </w:r>
      <w:r w:rsidR="00D313C3" w:rsidRPr="00FE5851">
        <w:rPr>
          <w:szCs w:val="24"/>
          <w:lang w:val="hu-HU"/>
        </w:rPr>
        <w:t xml:space="preserve"> alapon kerül sor </w:t>
      </w:r>
      <w:r w:rsidR="00C92B05">
        <w:rPr>
          <w:szCs w:val="24"/>
          <w:lang w:val="hu-HU"/>
        </w:rPr>
        <w:t>2019</w:t>
      </w:r>
      <w:r w:rsidR="00D313C3" w:rsidRPr="00FE5851">
        <w:rPr>
          <w:szCs w:val="24"/>
          <w:lang w:val="hu-HU"/>
        </w:rPr>
        <w:t>. június végén. Korlátozandó a beszámoló</w:t>
      </w:r>
      <w:r w:rsidR="00266365">
        <w:rPr>
          <w:szCs w:val="24"/>
          <w:lang w:val="hu-HU"/>
        </w:rPr>
        <w:t xml:space="preserve"> </w:t>
      </w:r>
      <w:r w:rsidR="00D313C3" w:rsidRPr="00FE5851">
        <w:rPr>
          <w:szCs w:val="24"/>
          <w:lang w:val="hu-HU"/>
        </w:rPr>
        <w:t xml:space="preserve">készítési terheket, kizárólag aggregált adatokat kérünk a piaci értékekről, nem gyűjtünk adatokat a tőzsdén kereskedett származékos </w:t>
      </w:r>
      <w:r w:rsidR="00FE2181">
        <w:rPr>
          <w:szCs w:val="24"/>
          <w:lang w:val="hu-HU"/>
        </w:rPr>
        <w:t>instrumentumok</w:t>
      </w:r>
      <w:r w:rsidR="00D313C3" w:rsidRPr="00FE5851">
        <w:rPr>
          <w:szCs w:val="24"/>
          <w:lang w:val="hu-HU"/>
        </w:rPr>
        <w:t xml:space="preserve"> nyitott kötésállományáról, mivel ezekről </w:t>
      </w:r>
      <w:r w:rsidR="00D313C3" w:rsidRPr="00FE5851">
        <w:rPr>
          <w:rFonts w:ascii="Times New Roman" w:hAnsi="Times New Roman"/>
          <w:szCs w:val="24"/>
          <w:lang w:val="hu-HU"/>
        </w:rPr>
        <w:t>–</w:t>
      </w:r>
      <w:r w:rsidR="00D313C3" w:rsidRPr="00FE5851">
        <w:rPr>
          <w:szCs w:val="24"/>
          <w:lang w:val="hu-HU"/>
        </w:rPr>
        <w:t xml:space="preserve"> kereskedelmi forrásokból </w:t>
      </w:r>
      <w:r w:rsidR="00D313C3" w:rsidRPr="00FE5851">
        <w:rPr>
          <w:rFonts w:ascii="Times New Roman" w:hAnsi="Times New Roman"/>
          <w:szCs w:val="24"/>
          <w:lang w:val="hu-HU"/>
        </w:rPr>
        <w:t>–</w:t>
      </w:r>
      <w:r w:rsidR="00D313C3" w:rsidRPr="00FE5851">
        <w:rPr>
          <w:szCs w:val="24"/>
          <w:lang w:val="hu-HU"/>
        </w:rPr>
        <w:t xml:space="preserve"> átfogó és pontos időben nyilvánosságra hozott információ áll rendelkezésre.</w:t>
      </w:r>
    </w:p>
    <w:p w14:paraId="33F46FE4" w14:textId="77777777" w:rsidR="00D313C3" w:rsidRPr="00FE5851" w:rsidRDefault="00D313C3">
      <w:pPr>
        <w:pStyle w:val="Paragraph"/>
        <w:rPr>
          <w:szCs w:val="24"/>
          <w:lang w:val="hu-HU"/>
        </w:rPr>
      </w:pPr>
      <w:r w:rsidRPr="00FE5851">
        <w:rPr>
          <w:szCs w:val="24"/>
          <w:lang w:val="hu-HU"/>
        </w:rPr>
        <w:t xml:space="preserve">Deviza-, kamat-, részvény-, áru-, hitel- és „egyéb” alapú származékos </w:t>
      </w:r>
      <w:r w:rsidR="00FE2181">
        <w:rPr>
          <w:szCs w:val="24"/>
          <w:lang w:val="hu-HU"/>
        </w:rPr>
        <w:t>instrumentumok</w:t>
      </w:r>
      <w:r w:rsidRPr="00FE5851">
        <w:rPr>
          <w:szCs w:val="24"/>
          <w:lang w:val="hu-HU"/>
        </w:rPr>
        <w:t xml:space="preserve"> nyitott kötésállományára vonatkozó minden korábban gyűjtött adatsor formátuma változatlan. Módosításra csak a </w:t>
      </w:r>
      <w:r w:rsidR="00AA469D">
        <w:rPr>
          <w:szCs w:val="24"/>
          <w:lang w:val="hu-HU"/>
        </w:rPr>
        <w:t xml:space="preserve">CDS (credit default swapok) </w:t>
      </w:r>
      <w:r w:rsidRPr="00FE5851">
        <w:rPr>
          <w:szCs w:val="24"/>
          <w:lang w:val="hu-HU"/>
        </w:rPr>
        <w:t>esetében került sor: itt részletesebb partnerbontást kérünk az „egyéb pénzintézetek” vonatkozásában.</w:t>
      </w:r>
    </w:p>
    <w:p w14:paraId="43753F9E" w14:textId="77777777" w:rsidR="00D313C3" w:rsidRPr="00FE5851" w:rsidRDefault="00266365">
      <w:pPr>
        <w:pStyle w:val="Paragraph"/>
        <w:rPr>
          <w:szCs w:val="24"/>
          <w:lang w:val="hu-HU"/>
        </w:rPr>
      </w:pPr>
      <w:r>
        <w:t xml:space="preserve">A </w:t>
      </w:r>
      <w:r w:rsidR="00C92B05">
        <w:t>2019</w:t>
      </w:r>
      <w:r w:rsidR="003B1733">
        <w:t xml:space="preserve">. </w:t>
      </w:r>
      <w:r>
        <w:t>évi felmérés nyitott kötésállományokra vonatkozó része felépítését tekintve javarészt változatlan a 201</w:t>
      </w:r>
      <w:r w:rsidR="00C92B05">
        <w:t>6</w:t>
      </w:r>
      <w:r>
        <w:t xml:space="preserve">. évi felméréshez képest. </w:t>
      </w:r>
      <w:r w:rsidR="00956E2A">
        <w:t>Az egyetlen változtatás, hogy az egyéb pénzügyi intézményekkel megkötött ügyleteken belül külön meg kell határozni a központi szerződő felekkel (CCP) szemben megkötött ügyletek</w:t>
      </w:r>
      <w:r w:rsidR="004445BA">
        <w:t>et</w:t>
      </w:r>
      <w:r w:rsidR="00956E2A">
        <w:t xml:space="preserve"> a deviza-, kamat</w:t>
      </w:r>
      <w:r w:rsidR="00525821">
        <w:t>láb</w:t>
      </w:r>
      <w:r w:rsidR="00956E2A">
        <w:t>-, részvény-, hitel</w:t>
      </w:r>
      <w:r w:rsidR="00392247">
        <w:t xml:space="preserve">- és az egyéb </w:t>
      </w:r>
      <w:r w:rsidR="00A601EE">
        <w:t xml:space="preserve">származékos </w:t>
      </w:r>
      <w:r w:rsidR="00FF781D">
        <w:t>termékek</w:t>
      </w:r>
      <w:r w:rsidR="00956E2A">
        <w:t xml:space="preserve"> esetében.</w:t>
      </w:r>
    </w:p>
    <w:p w14:paraId="0416564F" w14:textId="77777777" w:rsidR="00D313C3" w:rsidRPr="00FE5851" w:rsidRDefault="00D313C3">
      <w:pPr>
        <w:pStyle w:val="IndentedHeading1"/>
        <w:spacing w:after="0"/>
        <w:rPr>
          <w:szCs w:val="24"/>
          <w:lang w:val="hu-HU"/>
        </w:rPr>
      </w:pPr>
      <w:bookmarkStart w:id="3" w:name="_Toc533082661"/>
      <w:r w:rsidRPr="00FE5851">
        <w:rPr>
          <w:szCs w:val="24"/>
          <w:lang w:val="hu-HU"/>
        </w:rPr>
        <w:t>B.</w:t>
      </w:r>
      <w:r w:rsidRPr="00FE5851">
        <w:rPr>
          <w:szCs w:val="24"/>
          <w:lang w:val="hu-HU"/>
        </w:rPr>
        <w:tab/>
        <w:t>A felmérés az alábbi területeket öleli fel:</w:t>
      </w:r>
      <w:bookmarkEnd w:id="3"/>
    </w:p>
    <w:p w14:paraId="67F9DA3B" w14:textId="77777777" w:rsidR="00D313C3" w:rsidRPr="00FE5851" w:rsidRDefault="00D313C3">
      <w:pPr>
        <w:pStyle w:val="IndentedHeading2"/>
        <w:rPr>
          <w:szCs w:val="24"/>
          <w:lang w:val="hu-HU"/>
        </w:rPr>
      </w:pPr>
      <w:bookmarkStart w:id="4" w:name="_Toc533082662"/>
      <w:r w:rsidRPr="00FE5851">
        <w:rPr>
          <w:szCs w:val="24"/>
          <w:lang w:val="hu-HU"/>
        </w:rPr>
        <w:t>1.</w:t>
      </w:r>
      <w:r w:rsidRPr="00FE5851">
        <w:rPr>
          <w:szCs w:val="24"/>
          <w:lang w:val="hu-HU"/>
        </w:rPr>
        <w:tab/>
        <w:t>Kockázati kategóriák</w:t>
      </w:r>
      <w:bookmarkEnd w:id="4"/>
    </w:p>
    <w:p w14:paraId="7735F8D9" w14:textId="77777777" w:rsidR="00D313C3" w:rsidRPr="00FE5851" w:rsidRDefault="00D313C3">
      <w:pPr>
        <w:pStyle w:val="Paragraph"/>
        <w:rPr>
          <w:szCs w:val="24"/>
          <w:lang w:val="hu-HU"/>
        </w:rPr>
      </w:pPr>
      <w:r w:rsidRPr="00FE5851">
        <w:rPr>
          <w:szCs w:val="24"/>
          <w:lang w:val="hu-HU"/>
        </w:rPr>
        <w:t>A felmérés a tőzsdén kívüli (OTC) származékos termékekről az alábbi szélesebb piaci osztályozás szerint gyűjt adatokat:</w:t>
      </w:r>
    </w:p>
    <w:p w14:paraId="6C98A0DA" w14:textId="77777777" w:rsidR="00D313C3" w:rsidRPr="00FE5851" w:rsidRDefault="00D313C3">
      <w:pPr>
        <w:pStyle w:val="Bulletpoint"/>
        <w:numPr>
          <w:ilvl w:val="0"/>
          <w:numId w:val="6"/>
        </w:numPr>
        <w:rPr>
          <w:szCs w:val="24"/>
          <w:lang w:val="hu-HU"/>
        </w:rPr>
      </w:pPr>
      <w:r w:rsidRPr="00FE5851">
        <w:rPr>
          <w:szCs w:val="24"/>
          <w:lang w:val="hu-HU"/>
        </w:rPr>
        <w:t>Deviza- és aranykontraktusok (O1. és O4. táblázat)</w:t>
      </w:r>
    </w:p>
    <w:p w14:paraId="365FCD7F" w14:textId="77777777" w:rsidR="00D313C3" w:rsidRPr="00FE5851" w:rsidRDefault="00D313C3">
      <w:pPr>
        <w:pStyle w:val="Bulletpoint"/>
        <w:numPr>
          <w:ilvl w:val="0"/>
          <w:numId w:val="6"/>
        </w:numPr>
        <w:rPr>
          <w:szCs w:val="24"/>
          <w:lang w:val="hu-HU"/>
        </w:rPr>
      </w:pPr>
      <w:r w:rsidRPr="00FE5851">
        <w:rPr>
          <w:szCs w:val="24"/>
          <w:lang w:val="hu-HU"/>
        </w:rPr>
        <w:t>Egydevizás, kamatlábalapú származékos termékek (O2. és O4. táblázat)</w:t>
      </w:r>
    </w:p>
    <w:p w14:paraId="145B562F" w14:textId="77777777" w:rsidR="00D313C3" w:rsidRPr="00FE5851" w:rsidRDefault="00D313C3">
      <w:pPr>
        <w:pStyle w:val="Bulletpoint"/>
        <w:numPr>
          <w:ilvl w:val="0"/>
          <w:numId w:val="6"/>
        </w:numPr>
        <w:rPr>
          <w:szCs w:val="24"/>
          <w:lang w:val="hu-HU"/>
        </w:rPr>
      </w:pPr>
      <w:r w:rsidRPr="00FE5851">
        <w:rPr>
          <w:szCs w:val="24"/>
          <w:lang w:val="hu-HU"/>
        </w:rPr>
        <w:t xml:space="preserve">Részvény-, árucikk-, hitelalapú és „egyéb” származékos termékek (O3. és O4. táblázat) </w:t>
      </w:r>
    </w:p>
    <w:p w14:paraId="0F0602C6" w14:textId="77777777" w:rsidR="00D313C3" w:rsidRPr="00FE5851" w:rsidRDefault="00B326A0">
      <w:pPr>
        <w:pStyle w:val="Bulletpoint"/>
        <w:numPr>
          <w:ilvl w:val="0"/>
          <w:numId w:val="6"/>
        </w:numPr>
        <w:rPr>
          <w:szCs w:val="24"/>
          <w:lang w:val="hu-HU"/>
        </w:rPr>
      </w:pPr>
      <w:r>
        <w:rPr>
          <w:szCs w:val="24"/>
          <w:lang w:val="hu-HU"/>
        </w:rPr>
        <w:t>CDS-ek</w:t>
      </w:r>
      <w:r w:rsidR="00525821">
        <w:rPr>
          <w:szCs w:val="24"/>
          <w:lang w:val="hu-HU"/>
        </w:rPr>
        <w:t xml:space="preserve"> </w:t>
      </w:r>
      <w:r w:rsidR="00D313C3" w:rsidRPr="00FE5851">
        <w:rPr>
          <w:szCs w:val="24"/>
          <w:lang w:val="hu-HU"/>
        </w:rPr>
        <w:t>(O5. táblázat)</w:t>
      </w:r>
    </w:p>
    <w:p w14:paraId="74A51428" w14:textId="77777777" w:rsidR="00D313C3" w:rsidRPr="00FE5851" w:rsidRDefault="00D313C3">
      <w:pPr>
        <w:pStyle w:val="Paragraph"/>
        <w:rPr>
          <w:szCs w:val="24"/>
          <w:lang w:val="hu-HU"/>
        </w:rPr>
      </w:pPr>
      <w:r w:rsidRPr="00FE5851">
        <w:rPr>
          <w:szCs w:val="24"/>
          <w:lang w:val="hu-HU"/>
        </w:rPr>
        <w:t>Az e piaci kategóriákról szolgáltatandó információk mennyisége tükrözi azok relatív jelentőségét a jegybankok szempontjából. Ezért részletesebb adatokat kell szolgáltatni a devizakontraktusokról, a kamatláb- és a részvényalapú származékos termékekről.</w:t>
      </w:r>
    </w:p>
    <w:p w14:paraId="7C034581" w14:textId="77777777" w:rsidR="00D313C3" w:rsidRPr="00FE5851" w:rsidRDefault="00D313C3">
      <w:pPr>
        <w:pStyle w:val="Paragraph"/>
        <w:rPr>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770"/>
      </w:tblGrid>
      <w:tr w:rsidR="00D313C3" w:rsidRPr="00252DF6" w14:paraId="67DCF8BA" w14:textId="77777777" w:rsidTr="00252DF6">
        <w:trPr>
          <w:cantSplit/>
        </w:trPr>
        <w:tc>
          <w:tcPr>
            <w:tcW w:w="2518" w:type="dxa"/>
            <w:shd w:val="clear" w:color="auto" w:fill="auto"/>
          </w:tcPr>
          <w:p w14:paraId="248E5330" w14:textId="77777777" w:rsidR="00D313C3" w:rsidRPr="00252DF6" w:rsidRDefault="00D313C3" w:rsidP="00252DF6">
            <w:pPr>
              <w:pStyle w:val="Paragraph"/>
              <w:jc w:val="left"/>
              <w:rPr>
                <w:szCs w:val="24"/>
                <w:lang w:val="hu-HU"/>
              </w:rPr>
            </w:pPr>
            <w:r w:rsidRPr="00252DF6">
              <w:rPr>
                <w:sz w:val="20"/>
                <w:szCs w:val="24"/>
                <w:lang w:val="hu-HU"/>
              </w:rPr>
              <w:lastRenderedPageBreak/>
              <w:t>FX- és aranykontraktusok</w:t>
            </w:r>
          </w:p>
        </w:tc>
        <w:tc>
          <w:tcPr>
            <w:tcW w:w="6770" w:type="dxa"/>
            <w:shd w:val="clear" w:color="auto" w:fill="auto"/>
          </w:tcPr>
          <w:p w14:paraId="031A0C84" w14:textId="77777777" w:rsidR="00D313C3" w:rsidRPr="00252DF6" w:rsidRDefault="00D313C3" w:rsidP="00252DF6">
            <w:pPr>
              <w:pStyle w:val="TableText"/>
              <w:framePr w:wrap="auto" w:yAlign="inline"/>
              <w:rPr>
                <w:szCs w:val="24"/>
                <w:lang w:val="hu-HU"/>
              </w:rPr>
            </w:pPr>
            <w:r w:rsidRPr="00252DF6">
              <w:rPr>
                <w:szCs w:val="24"/>
                <w:lang w:val="hu-HU"/>
              </w:rPr>
              <w:t xml:space="preserve">E kontraktusok devizáknak a tőzsdén kívüli határidős piacon történő cseréjére vonatkozó kontraktusokat tartalmaznak. Így tehát idetartoznak a sima határidős (outright forward) ügyletek, az FX-csereügyletek (FX swaps), </w:t>
            </w:r>
            <w:r w:rsidR="00B326A0">
              <w:rPr>
                <w:szCs w:val="24"/>
                <w:lang w:val="hu-HU"/>
              </w:rPr>
              <w:t xml:space="preserve">kamatozó </w:t>
            </w:r>
            <w:r w:rsidRPr="00252DF6">
              <w:rPr>
                <w:szCs w:val="24"/>
                <w:lang w:val="hu-HU"/>
              </w:rPr>
              <w:t>devizacsere-ügyletek (</w:t>
            </w:r>
            <w:r w:rsidR="00B326A0">
              <w:rPr>
                <w:szCs w:val="24"/>
                <w:lang w:val="hu-HU"/>
              </w:rPr>
              <w:t xml:space="preserve">cross </w:t>
            </w:r>
            <w:r w:rsidRPr="00252DF6">
              <w:rPr>
                <w:szCs w:val="24"/>
                <w:lang w:val="hu-HU"/>
              </w:rPr>
              <w:t xml:space="preserve">currency </w:t>
            </w:r>
            <w:r w:rsidR="00B326A0">
              <w:rPr>
                <w:szCs w:val="24"/>
                <w:lang w:val="hu-HU"/>
              </w:rPr>
              <w:t xml:space="preserve">interest rate </w:t>
            </w:r>
            <w:proofErr w:type="gramStart"/>
            <w:r w:rsidRPr="00252DF6">
              <w:rPr>
                <w:szCs w:val="24"/>
                <w:lang w:val="hu-HU"/>
              </w:rPr>
              <w:t>swaps</w:t>
            </w:r>
            <w:r w:rsidR="00B326A0">
              <w:rPr>
                <w:szCs w:val="24"/>
                <w:lang w:val="hu-HU"/>
              </w:rPr>
              <w:t>,</w:t>
            </w:r>
            <w:r w:rsidRPr="00252DF6">
              <w:rPr>
                <w:szCs w:val="24"/>
                <w:lang w:val="hu-HU"/>
              </w:rPr>
              <w:t>és</w:t>
            </w:r>
            <w:proofErr w:type="gramEnd"/>
            <w:r w:rsidRPr="00252DF6">
              <w:rPr>
                <w:szCs w:val="24"/>
                <w:lang w:val="hu-HU"/>
              </w:rPr>
              <w:t xml:space="preserve"> a devizaopciós ügyletek. Az FX-kontraktusok közé tartozik minden olyan ügylet, amely egynél több devizával szembeni kitettséget jelent, függetlenül attól, hogy az kamatban vagy devizaárfolyamban jelentkezik-e.</w:t>
            </w:r>
            <w:r w:rsidR="00FE5851" w:rsidRPr="00252DF6">
              <w:rPr>
                <w:szCs w:val="24"/>
                <w:lang w:val="hu-HU"/>
              </w:rPr>
              <w:t xml:space="preserve"> </w:t>
            </w:r>
          </w:p>
          <w:p w14:paraId="195EE0A6" w14:textId="77777777" w:rsidR="00D313C3" w:rsidRPr="00252DF6" w:rsidRDefault="00D313C3" w:rsidP="00252DF6">
            <w:pPr>
              <w:pStyle w:val="TableText"/>
              <w:framePr w:wrap="auto" w:yAlign="inline"/>
              <w:rPr>
                <w:szCs w:val="24"/>
                <w:lang w:val="hu-HU"/>
              </w:rPr>
            </w:pPr>
            <w:r w:rsidRPr="00252DF6">
              <w:rPr>
                <w:szCs w:val="24"/>
                <w:lang w:val="hu-HU"/>
              </w:rPr>
              <w:t>Az aranyra kötött kontraktusok olyan ügyletek, ahol kitettség kizárólag ezzel az árucikkel szemben áll fenn.</w:t>
            </w:r>
          </w:p>
        </w:tc>
      </w:tr>
      <w:tr w:rsidR="00D313C3" w:rsidRPr="00252DF6" w14:paraId="18C88196" w14:textId="77777777" w:rsidTr="00252DF6">
        <w:trPr>
          <w:cantSplit/>
        </w:trPr>
        <w:tc>
          <w:tcPr>
            <w:tcW w:w="2518" w:type="dxa"/>
            <w:shd w:val="clear" w:color="auto" w:fill="auto"/>
          </w:tcPr>
          <w:p w14:paraId="233EDFCC" w14:textId="77777777" w:rsidR="00D313C3" w:rsidRPr="00252DF6" w:rsidRDefault="00D313C3" w:rsidP="00252DF6">
            <w:pPr>
              <w:pStyle w:val="Paragraph"/>
              <w:jc w:val="left"/>
              <w:rPr>
                <w:szCs w:val="24"/>
                <w:lang w:val="hu-HU"/>
              </w:rPr>
            </w:pPr>
            <w:r w:rsidRPr="00252DF6">
              <w:rPr>
                <w:sz w:val="20"/>
                <w:szCs w:val="24"/>
                <w:lang w:val="hu-HU"/>
              </w:rPr>
              <w:t>Egydevizás kamatlábalapú származékos ügyletek</w:t>
            </w:r>
          </w:p>
        </w:tc>
        <w:tc>
          <w:tcPr>
            <w:tcW w:w="6770" w:type="dxa"/>
            <w:shd w:val="clear" w:color="auto" w:fill="auto"/>
          </w:tcPr>
          <w:p w14:paraId="3E1C61FC" w14:textId="77777777" w:rsidR="00D313C3" w:rsidRPr="00252DF6" w:rsidRDefault="00D313C3" w:rsidP="00252DF6">
            <w:pPr>
              <w:pStyle w:val="TableText"/>
              <w:framePr w:wrap="auto" w:yAlign="inline"/>
              <w:rPr>
                <w:szCs w:val="24"/>
                <w:lang w:val="hu-HU"/>
              </w:rPr>
            </w:pPr>
            <w:r w:rsidRPr="00252DF6">
              <w:rPr>
                <w:szCs w:val="24"/>
                <w:lang w:val="hu-HU"/>
              </w:rPr>
              <w:t xml:space="preserve">A kamatlábalapú kontraktusok kamatozó pénzügyi eszközhöz kapcsolódó szerződések. A kamatozó pénzügyi </w:t>
            </w:r>
            <w:r w:rsidR="00FE2181">
              <w:rPr>
                <w:szCs w:val="24"/>
                <w:lang w:val="hu-HU"/>
              </w:rPr>
              <w:t>instrumentumok</w:t>
            </w:r>
            <w:r w:rsidRPr="00252DF6">
              <w:rPr>
                <w:szCs w:val="24"/>
                <w:lang w:val="hu-HU"/>
              </w:rPr>
              <w:t xml:space="preserve"> pénzáramát referenciakamattal vagy egy másik kamatlábalapú kontraktussal (pl. </w:t>
            </w:r>
            <w:r w:rsidR="00E11481">
              <w:rPr>
                <w:szCs w:val="24"/>
                <w:lang w:val="hu-HU"/>
              </w:rPr>
              <w:t>állampapír határidős megvásárlására szóló opció</w:t>
            </w:r>
            <w:r w:rsidRPr="00252DF6">
              <w:rPr>
                <w:szCs w:val="24"/>
                <w:lang w:val="hu-HU"/>
              </w:rPr>
              <w:t>) határozzák meg.</w:t>
            </w:r>
            <w:r w:rsidR="00FE5851" w:rsidRPr="00252DF6">
              <w:rPr>
                <w:szCs w:val="24"/>
                <w:lang w:val="hu-HU"/>
              </w:rPr>
              <w:t xml:space="preserve"> </w:t>
            </w:r>
            <w:r w:rsidRPr="00252DF6">
              <w:rPr>
                <w:szCs w:val="24"/>
                <w:lang w:val="hu-HU"/>
              </w:rPr>
              <w:t>A kamatlábalapú kontraktusok közé tartoznak a tőzsdén kívüli határidős kamatláb-megállapodások, az egydevizás kamatcsereügyletek és kamatlábopciók, ideértve a kamatplafon-, kamatpadló-, kamatgallér- és kamatfolyosó ügyletek.</w:t>
            </w:r>
          </w:p>
          <w:p w14:paraId="61E7E852" w14:textId="77777777" w:rsidR="00D313C3" w:rsidRPr="00252DF6" w:rsidRDefault="00D313C3" w:rsidP="00B326A0">
            <w:pPr>
              <w:pStyle w:val="TableText"/>
              <w:framePr w:wrap="auto" w:yAlign="inline"/>
              <w:rPr>
                <w:szCs w:val="24"/>
                <w:lang w:val="hu-HU"/>
              </w:rPr>
            </w:pPr>
            <w:r w:rsidRPr="00252DF6">
              <w:rPr>
                <w:spacing w:val="-2"/>
                <w:szCs w:val="24"/>
                <w:lang w:val="hu-HU"/>
              </w:rPr>
              <w:t xml:space="preserve">Ebbe a kategóriába csak azok az ügyletek tartoznak, amelyeknek minden lába kizárólag egyetlen devizában denominált kamatnak van kitéve. Tehát nem tartoznak ide a </w:t>
            </w:r>
            <w:r w:rsidRPr="00252DF6">
              <w:rPr>
                <w:szCs w:val="24"/>
                <w:lang w:val="hu-HU"/>
              </w:rPr>
              <w:t xml:space="preserve">devizacsere-ügyletek (pl. </w:t>
            </w:r>
            <w:r w:rsidR="00B326A0">
              <w:rPr>
                <w:szCs w:val="24"/>
                <w:lang w:val="hu-HU"/>
              </w:rPr>
              <w:t>kamatozó</w:t>
            </w:r>
            <w:r w:rsidR="00B326A0" w:rsidRPr="00252DF6">
              <w:rPr>
                <w:szCs w:val="24"/>
                <w:lang w:val="hu-HU"/>
              </w:rPr>
              <w:t xml:space="preserve"> </w:t>
            </w:r>
            <w:r w:rsidR="00B326A0">
              <w:rPr>
                <w:szCs w:val="24"/>
                <w:lang w:val="hu-HU"/>
              </w:rPr>
              <w:t>devizacsere ügyletek</w:t>
            </w:r>
            <w:r w:rsidR="00B326A0" w:rsidRPr="00252DF6">
              <w:rPr>
                <w:szCs w:val="24"/>
                <w:lang w:val="hu-HU"/>
              </w:rPr>
              <w:t xml:space="preserve"> </w:t>
            </w:r>
            <w:r w:rsidRPr="00252DF6">
              <w:rPr>
                <w:szCs w:val="24"/>
                <w:lang w:val="hu-HU"/>
              </w:rPr>
              <w:t>és a devizaopciós ügyletek) és egyéb olyan kontraktusok, amelyek domináns kockázati jellemzője (tulajdonsága) a devizaárfolyam-kockázat, és amelyeket FX-kontraktusként kell jelenteni.</w:t>
            </w:r>
          </w:p>
        </w:tc>
      </w:tr>
      <w:tr w:rsidR="00D313C3" w:rsidRPr="00252DF6" w14:paraId="6365E0E7" w14:textId="77777777" w:rsidTr="00252DF6">
        <w:trPr>
          <w:cantSplit/>
        </w:trPr>
        <w:tc>
          <w:tcPr>
            <w:tcW w:w="2518" w:type="dxa"/>
            <w:shd w:val="clear" w:color="auto" w:fill="auto"/>
          </w:tcPr>
          <w:p w14:paraId="5F200B44" w14:textId="77777777" w:rsidR="00D313C3" w:rsidRPr="00252DF6" w:rsidRDefault="00D313C3" w:rsidP="00252DF6">
            <w:pPr>
              <w:pStyle w:val="Paragraph"/>
              <w:jc w:val="left"/>
              <w:rPr>
                <w:szCs w:val="24"/>
                <w:lang w:val="hu-HU"/>
              </w:rPr>
            </w:pPr>
            <w:r w:rsidRPr="00252DF6">
              <w:rPr>
                <w:sz w:val="20"/>
                <w:szCs w:val="24"/>
                <w:lang w:val="hu-HU"/>
              </w:rPr>
              <w:t>Részvény-, árucikk-, hitelalapú és „egyéb” származékos termékek</w:t>
            </w:r>
          </w:p>
        </w:tc>
        <w:tc>
          <w:tcPr>
            <w:tcW w:w="6770" w:type="dxa"/>
            <w:shd w:val="clear" w:color="auto" w:fill="auto"/>
          </w:tcPr>
          <w:p w14:paraId="6B5D1D3F" w14:textId="77777777" w:rsidR="00D313C3" w:rsidRPr="00252DF6" w:rsidRDefault="00D313C3" w:rsidP="00252DF6">
            <w:pPr>
              <w:pStyle w:val="TableText"/>
              <w:framePr w:wrap="auto" w:yAlign="inline"/>
              <w:rPr>
                <w:szCs w:val="24"/>
                <w:lang w:val="hu-HU"/>
              </w:rPr>
            </w:pPr>
            <w:r w:rsidRPr="00252DF6">
              <w:rPr>
                <w:szCs w:val="24"/>
                <w:lang w:val="hu-HU"/>
              </w:rPr>
              <w:t>A részvényalapú származékos kontraktusok hozama vagy annak egy része egy adott részvény árához vagy részvényárindexhez kapcsolódik.</w:t>
            </w:r>
            <w:r w:rsidR="00FE5851" w:rsidRPr="00252DF6">
              <w:rPr>
                <w:szCs w:val="24"/>
                <w:lang w:val="hu-HU"/>
              </w:rPr>
              <w:t xml:space="preserve"> </w:t>
            </w:r>
          </w:p>
          <w:p w14:paraId="6E37E927" w14:textId="77777777" w:rsidR="00D313C3" w:rsidRPr="00252DF6" w:rsidRDefault="00D313C3" w:rsidP="00252DF6">
            <w:pPr>
              <w:pStyle w:val="TableText"/>
              <w:framePr w:wrap="auto" w:yAlign="inline"/>
              <w:rPr>
                <w:szCs w:val="24"/>
                <w:lang w:val="hu-HU"/>
              </w:rPr>
            </w:pPr>
            <w:r w:rsidRPr="00252DF6">
              <w:rPr>
                <w:spacing w:val="-4"/>
                <w:szCs w:val="24"/>
                <w:lang w:val="hu-HU"/>
              </w:rPr>
              <w:t xml:space="preserve">Az árucikk alapú </w:t>
            </w:r>
            <w:r w:rsidRPr="00252DF6">
              <w:rPr>
                <w:szCs w:val="24"/>
                <w:lang w:val="hu-HU"/>
              </w:rPr>
              <w:t>kontraktusok hozama vagy annak egy része árucikkek, például nemesfém (az arany kivételével), kőolaj, fa és mezőgazdasági termékek, árához vagy árindexéhez kapcsolódik.</w:t>
            </w:r>
            <w:r w:rsidRPr="00252DF6">
              <w:rPr>
                <w:spacing w:val="-4"/>
                <w:szCs w:val="24"/>
                <w:lang w:val="hu-HU"/>
              </w:rPr>
              <w:t xml:space="preserve"> </w:t>
            </w:r>
          </w:p>
          <w:p w14:paraId="71F87354" w14:textId="77777777" w:rsidR="00D313C3" w:rsidRPr="00252DF6" w:rsidRDefault="00D313C3" w:rsidP="00252DF6">
            <w:pPr>
              <w:pStyle w:val="TableText"/>
              <w:framePr w:wrap="auto" w:yAlign="inline"/>
              <w:rPr>
                <w:szCs w:val="24"/>
                <w:lang w:val="hu-HU"/>
              </w:rPr>
            </w:pPr>
            <w:r w:rsidRPr="00252DF6">
              <w:rPr>
                <w:szCs w:val="24"/>
                <w:lang w:val="hu-HU"/>
              </w:rPr>
              <w:t>Felhívjuk figyelmüket, hogy azokat a kontraktusokat, amelyek hozama vagy annak egy része nemesfém (nem arany) árához kapcsolódik, más árucikkalapú kontraktusoktól elkülönítve kell jelenteni.</w:t>
            </w:r>
            <w:r w:rsidR="00FE5851" w:rsidRPr="00252DF6">
              <w:rPr>
                <w:szCs w:val="24"/>
                <w:lang w:val="hu-HU"/>
              </w:rPr>
              <w:t xml:space="preserve"> </w:t>
            </w:r>
            <w:r w:rsidRPr="00252DF6">
              <w:rPr>
                <w:szCs w:val="24"/>
                <w:lang w:val="hu-HU"/>
              </w:rPr>
              <w:t xml:space="preserve">Az aranytól különböző nemesfémek közé tartozik az ezüst, a platina, az irídium, a ródium, a ruténium, az ozmium és a palládium. </w:t>
            </w:r>
          </w:p>
          <w:p w14:paraId="636D4896" w14:textId="77777777" w:rsidR="00D313C3" w:rsidRPr="00252DF6" w:rsidRDefault="00D313C3" w:rsidP="00252DF6">
            <w:pPr>
              <w:pStyle w:val="TableText"/>
              <w:framePr w:wrap="auto" w:yAlign="inline"/>
              <w:rPr>
                <w:szCs w:val="24"/>
                <w:lang w:val="hu-HU"/>
              </w:rPr>
            </w:pPr>
            <w:r w:rsidRPr="00252DF6">
              <w:rPr>
                <w:szCs w:val="24"/>
                <w:lang w:val="hu-HU"/>
              </w:rPr>
              <w:t>A hitelderivatívák olyan kontraktusok, ahol a kifizetés elsődlegesen egy konkrét referenciahitel megbízhatóságának bizonyos mértékéhez kapcsolódik.</w:t>
            </w:r>
            <w:r w:rsidR="00FE5851" w:rsidRPr="00252DF6">
              <w:rPr>
                <w:szCs w:val="24"/>
                <w:lang w:val="hu-HU"/>
              </w:rPr>
              <w:t xml:space="preserve"> </w:t>
            </w:r>
            <w:r w:rsidRPr="00252DF6">
              <w:rPr>
                <w:szCs w:val="24"/>
                <w:lang w:val="hu-HU"/>
              </w:rPr>
              <w:t>A kontraktusok olyan kifizetésekre vonatkoznak, amelyek közül legalább egy a referenciahitel teljesítményétől függ.</w:t>
            </w:r>
            <w:r w:rsidR="00FE5851" w:rsidRPr="00252DF6">
              <w:rPr>
                <w:szCs w:val="24"/>
                <w:lang w:val="hu-HU"/>
              </w:rPr>
              <w:t xml:space="preserve"> </w:t>
            </w:r>
            <w:r w:rsidRPr="00252DF6">
              <w:rPr>
                <w:szCs w:val="24"/>
                <w:lang w:val="hu-HU"/>
              </w:rPr>
              <w:t>A kifizetést számos esemény kiválthatja, így nemteljesítés, leminősítés vagy a referenciaeszköz hitelszpredjének előírt módosítása.</w:t>
            </w:r>
            <w:r w:rsidR="00FE5851" w:rsidRPr="00252DF6">
              <w:rPr>
                <w:szCs w:val="24"/>
                <w:lang w:val="hu-HU"/>
              </w:rPr>
              <w:t xml:space="preserve"> </w:t>
            </w:r>
            <w:r w:rsidRPr="00252DF6">
              <w:rPr>
                <w:szCs w:val="24"/>
                <w:lang w:val="hu-HU"/>
              </w:rPr>
              <w:t>Jellemző hiteldervatívák a CDS-ek, a</w:t>
            </w:r>
            <w:r w:rsidR="00FE5851" w:rsidRPr="00252DF6">
              <w:rPr>
                <w:szCs w:val="24"/>
                <w:lang w:val="hu-HU"/>
              </w:rPr>
              <w:t xml:space="preserve"> </w:t>
            </w:r>
            <w:r w:rsidRPr="00252DF6">
              <w:rPr>
                <w:szCs w:val="24"/>
                <w:lang w:val="hu-HU"/>
              </w:rPr>
              <w:t>tőzsdén kívüli határidős hitelszpredek és hitelszpredopciók, hitelesemény- vagy hitel-nemteljesítési csereügyletek és a teljes</w:t>
            </w:r>
            <w:r w:rsidR="00AD3362">
              <w:rPr>
                <w:szCs w:val="24"/>
                <w:lang w:val="hu-HU"/>
              </w:rPr>
              <w:t xml:space="preserve"> </w:t>
            </w:r>
            <w:r w:rsidRPr="00252DF6">
              <w:rPr>
                <w:szCs w:val="24"/>
                <w:lang w:val="hu-HU"/>
              </w:rPr>
              <w:t xml:space="preserve">hozamcsere-ügyletek. </w:t>
            </w:r>
          </w:p>
          <w:p w14:paraId="7286920F" w14:textId="77777777" w:rsidR="00842D3B" w:rsidRDefault="00D313C3" w:rsidP="00A03F0A">
            <w:pPr>
              <w:pStyle w:val="TableText"/>
              <w:framePr w:wrap="around"/>
              <w:rPr>
                <w:szCs w:val="24"/>
                <w:lang w:val="hu-HU"/>
              </w:rPr>
            </w:pPr>
            <w:r w:rsidRPr="00252DF6">
              <w:rPr>
                <w:szCs w:val="24"/>
                <w:lang w:val="hu-HU"/>
              </w:rPr>
              <w:t xml:space="preserve">Az „egyéb” származékos termékek közé tartozik minden olyan származékos kontraktus, amelynek nem része devizaárfolyam-, kamat-, áru- vagy hitelkockázati kitettség. </w:t>
            </w:r>
            <w:r w:rsidR="00842D3B">
              <w:rPr>
                <w:szCs w:val="24"/>
                <w:lang w:val="hu-HU"/>
              </w:rPr>
              <w:t>Az egyéb származékos termékek közé tartoznak például a</w:t>
            </w:r>
            <w:r w:rsidR="00420EF7">
              <w:rPr>
                <w:szCs w:val="24"/>
                <w:lang w:val="hu-HU"/>
              </w:rPr>
              <w:t>z inflációkövető</w:t>
            </w:r>
            <w:r w:rsidR="00BB7ACC">
              <w:rPr>
                <w:szCs w:val="24"/>
                <w:lang w:val="hu-HU"/>
              </w:rPr>
              <w:t xml:space="preserve">, </w:t>
            </w:r>
            <w:r w:rsidR="00420EF7">
              <w:rPr>
                <w:szCs w:val="24"/>
                <w:lang w:val="hu-HU"/>
              </w:rPr>
              <w:t>volatil</w:t>
            </w:r>
            <w:r w:rsidR="00DB15AE">
              <w:rPr>
                <w:szCs w:val="24"/>
                <w:lang w:val="hu-HU"/>
              </w:rPr>
              <w:t>itás</w:t>
            </w:r>
            <w:r w:rsidR="001000ED">
              <w:rPr>
                <w:szCs w:val="24"/>
                <w:lang w:val="hu-HU"/>
              </w:rPr>
              <w:t>,</w:t>
            </w:r>
            <w:r w:rsidR="00DB15AE">
              <w:rPr>
                <w:szCs w:val="24"/>
                <w:lang w:val="hu-HU"/>
              </w:rPr>
              <w:t xml:space="preserve"> </w:t>
            </w:r>
            <w:r w:rsidR="00C571C7">
              <w:rPr>
                <w:szCs w:val="24"/>
                <w:lang w:val="hu-HU"/>
              </w:rPr>
              <w:t>osztalék</w:t>
            </w:r>
            <w:r w:rsidR="00BB7ACC">
              <w:rPr>
                <w:szCs w:val="24"/>
                <w:lang w:val="hu-HU"/>
              </w:rPr>
              <w:t xml:space="preserve">, </w:t>
            </w:r>
            <w:r w:rsidR="00C571C7">
              <w:rPr>
                <w:szCs w:val="24"/>
                <w:lang w:val="hu-HU"/>
              </w:rPr>
              <w:t>időjárás</w:t>
            </w:r>
            <w:r w:rsidR="00BB7ACC">
              <w:rPr>
                <w:szCs w:val="24"/>
                <w:lang w:val="hu-HU"/>
              </w:rPr>
              <w:t xml:space="preserve">, </w:t>
            </w:r>
            <w:r w:rsidR="00C571C7">
              <w:rPr>
                <w:szCs w:val="24"/>
                <w:lang w:val="hu-HU"/>
              </w:rPr>
              <w:t>ingatlan</w:t>
            </w:r>
            <w:r w:rsidR="00420EF7">
              <w:rPr>
                <w:szCs w:val="24"/>
                <w:lang w:val="hu-HU"/>
              </w:rPr>
              <w:t>,</w:t>
            </w:r>
            <w:r w:rsidR="00BB7ACC">
              <w:rPr>
                <w:szCs w:val="24"/>
                <w:lang w:val="hu-HU"/>
              </w:rPr>
              <w:t xml:space="preserve"> </w:t>
            </w:r>
            <w:r w:rsidR="00C571C7" w:rsidRPr="000733F0">
              <w:rPr>
                <w:szCs w:val="24"/>
                <w:lang w:val="hu-HU"/>
              </w:rPr>
              <w:t>„</w:t>
            </w:r>
            <w:r w:rsidR="00C571C7" w:rsidRPr="00A03F0A">
              <w:rPr>
                <w:szCs w:val="24"/>
                <w:lang w:val="hu-HU"/>
              </w:rPr>
              <w:t>áruszállításhoz, fuvarozáshoz kapcsolódó</w:t>
            </w:r>
            <w:r w:rsidR="00BB7ACC">
              <w:rPr>
                <w:szCs w:val="24"/>
                <w:lang w:val="hu-HU"/>
              </w:rPr>
              <w:t xml:space="preserve"> származékos ügyletek</w:t>
            </w:r>
            <w:r w:rsidR="00D945D8">
              <w:rPr>
                <w:szCs w:val="24"/>
                <w:lang w:val="hu-HU"/>
              </w:rPr>
              <w:t>,</w:t>
            </w:r>
            <w:r w:rsidR="00135E12">
              <w:rPr>
                <w:szCs w:val="24"/>
                <w:lang w:val="hu-HU"/>
              </w:rPr>
              <w:t xml:space="preserve"> ahogy</w:t>
            </w:r>
            <w:r w:rsidR="00420EF7">
              <w:rPr>
                <w:szCs w:val="24"/>
                <w:lang w:val="hu-HU"/>
              </w:rPr>
              <w:t xml:space="preserve"> minden olyan nem hagyományos mögöttes termékkel bíró származékos ügylet</w:t>
            </w:r>
            <w:r w:rsidR="00135E12">
              <w:rPr>
                <w:szCs w:val="24"/>
                <w:lang w:val="hu-HU"/>
              </w:rPr>
              <w:t xml:space="preserve"> is</w:t>
            </w:r>
            <w:r w:rsidR="00995017">
              <w:rPr>
                <w:szCs w:val="24"/>
                <w:lang w:val="hu-HU"/>
              </w:rPr>
              <w:t>, amelyet egy bizonyos ügyfélkörnek</w:t>
            </w:r>
            <w:r w:rsidR="00420EF7">
              <w:rPr>
                <w:szCs w:val="24"/>
                <w:lang w:val="hu-HU"/>
              </w:rPr>
              <w:t xml:space="preserve"> fejlesztettek ki.</w:t>
            </w:r>
          </w:p>
          <w:p w14:paraId="2F9E350C" w14:textId="77777777" w:rsidR="00D313C3" w:rsidRPr="00252DF6" w:rsidRDefault="00D313C3" w:rsidP="00A03F0A">
            <w:pPr>
              <w:pStyle w:val="TableText"/>
              <w:framePr w:wrap="around"/>
              <w:rPr>
                <w:szCs w:val="24"/>
                <w:lang w:val="hu-HU"/>
              </w:rPr>
            </w:pPr>
          </w:p>
        </w:tc>
      </w:tr>
      <w:tr w:rsidR="00D313C3" w:rsidRPr="00252DF6" w14:paraId="41C94690" w14:textId="77777777" w:rsidTr="00252DF6">
        <w:trPr>
          <w:cantSplit/>
        </w:trPr>
        <w:tc>
          <w:tcPr>
            <w:tcW w:w="2518" w:type="dxa"/>
            <w:shd w:val="clear" w:color="auto" w:fill="auto"/>
          </w:tcPr>
          <w:p w14:paraId="5671EC10" w14:textId="77777777" w:rsidR="00D313C3" w:rsidRPr="00252DF6" w:rsidRDefault="00B326A0" w:rsidP="00252DF6">
            <w:pPr>
              <w:pStyle w:val="Paragraph"/>
              <w:jc w:val="left"/>
              <w:rPr>
                <w:szCs w:val="24"/>
                <w:lang w:val="hu-HU"/>
              </w:rPr>
            </w:pPr>
            <w:r>
              <w:rPr>
                <w:sz w:val="20"/>
                <w:szCs w:val="24"/>
                <w:lang w:val="hu-HU"/>
              </w:rPr>
              <w:lastRenderedPageBreak/>
              <w:t>CDS-ek</w:t>
            </w:r>
          </w:p>
        </w:tc>
        <w:tc>
          <w:tcPr>
            <w:tcW w:w="6770" w:type="dxa"/>
            <w:shd w:val="clear" w:color="auto" w:fill="auto"/>
          </w:tcPr>
          <w:p w14:paraId="6B79FC19" w14:textId="77777777" w:rsidR="00D313C3" w:rsidRPr="00252DF6" w:rsidRDefault="00D313C3" w:rsidP="00252DF6">
            <w:pPr>
              <w:pStyle w:val="TableText"/>
              <w:framePr w:wrap="auto" w:yAlign="inline"/>
              <w:rPr>
                <w:szCs w:val="24"/>
                <w:lang w:val="hu-HU"/>
              </w:rPr>
            </w:pPr>
            <w:r w:rsidRPr="00252DF6">
              <w:rPr>
                <w:szCs w:val="24"/>
                <w:lang w:val="hu-HU"/>
              </w:rPr>
              <w:t>O</w:t>
            </w:r>
            <w:r w:rsidR="00F154C2">
              <w:rPr>
                <w:szCs w:val="24"/>
                <w:lang w:val="hu-HU"/>
              </w:rPr>
              <w:t>l</w:t>
            </w:r>
            <w:r w:rsidRPr="00252DF6">
              <w:rPr>
                <w:szCs w:val="24"/>
                <w:lang w:val="hu-HU"/>
              </w:rPr>
              <w:t>yan kétoldalú pénzügyi szerződés, amelyben az egyik fél (a kockázatot fedező) egy meghatározott ideig díjfizetési kötelezettséget, míg a másik (a kockázatviselő) fél hiteleseménykor teljesítendő, a hitelesemény bekövetkeztétől függő, feltételes fizetési kötelezettséget vállal.</w:t>
            </w:r>
            <w:r w:rsidR="00FE5851" w:rsidRPr="00252DF6">
              <w:rPr>
                <w:szCs w:val="24"/>
                <w:lang w:val="hu-HU"/>
              </w:rPr>
              <w:t xml:space="preserve"> </w:t>
            </w:r>
            <w:r w:rsidRPr="00252DF6">
              <w:rPr>
                <w:szCs w:val="24"/>
                <w:lang w:val="hu-HU"/>
              </w:rPr>
              <w:t>A CDS-kontraktusokban konkretizált események közé tartoz</w:t>
            </w:r>
            <w:r w:rsidR="00D20A65">
              <w:rPr>
                <w:szCs w:val="24"/>
                <w:lang w:val="hu-HU"/>
              </w:rPr>
              <w:t>hat</w:t>
            </w:r>
            <w:r w:rsidRPr="00252DF6">
              <w:rPr>
                <w:szCs w:val="24"/>
                <w:lang w:val="hu-HU"/>
              </w:rPr>
              <w:t xml:space="preserve"> a csőd, a nemteljesítés (nem fizetés) és az átstrukturálás. </w:t>
            </w:r>
          </w:p>
        </w:tc>
      </w:tr>
    </w:tbl>
    <w:p w14:paraId="61A4E956" w14:textId="77777777" w:rsidR="00D313C3" w:rsidRPr="00FE5851" w:rsidRDefault="00FC073F">
      <w:pPr>
        <w:pStyle w:val="IndentedHeading2"/>
        <w:rPr>
          <w:szCs w:val="24"/>
          <w:lang w:val="hu-HU"/>
        </w:rPr>
      </w:pPr>
      <w:bookmarkStart w:id="5" w:name="_Toc533082663"/>
      <w:r>
        <w:rPr>
          <w:szCs w:val="24"/>
          <w:lang w:val="hu-HU"/>
        </w:rPr>
        <w:t>2.</w:t>
      </w:r>
      <w:r>
        <w:rPr>
          <w:szCs w:val="24"/>
          <w:lang w:val="hu-HU"/>
        </w:rPr>
        <w:tab/>
      </w:r>
      <w:r w:rsidR="00522BB6">
        <w:rPr>
          <w:szCs w:val="24"/>
          <w:lang w:val="hu-HU"/>
        </w:rPr>
        <w:t xml:space="preserve">Instrumentum </w:t>
      </w:r>
      <w:r w:rsidR="00D313C3" w:rsidRPr="00FE5851">
        <w:rPr>
          <w:szCs w:val="24"/>
          <w:lang w:val="hu-HU"/>
        </w:rPr>
        <w:t>típusok</w:t>
      </w:r>
      <w:bookmarkEnd w:id="5"/>
    </w:p>
    <w:p w14:paraId="0E987F15" w14:textId="77777777" w:rsidR="00D313C3" w:rsidRDefault="00D313C3">
      <w:pPr>
        <w:pStyle w:val="Paragraph"/>
        <w:rPr>
          <w:szCs w:val="24"/>
          <w:lang w:val="hu-HU"/>
        </w:rPr>
      </w:pPr>
      <w:r w:rsidRPr="00FE5851">
        <w:rPr>
          <w:szCs w:val="24"/>
          <w:lang w:val="hu-HU"/>
        </w:rPr>
        <w:t xml:space="preserve">A tőzsdén kívüli (OTC) származékos termékeket a következő </w:t>
      </w:r>
      <w:r w:rsidR="00774002">
        <w:rPr>
          <w:szCs w:val="24"/>
          <w:lang w:val="hu-HU"/>
        </w:rPr>
        <w:t>instrumentum</w:t>
      </w:r>
      <w:r w:rsidR="00774002" w:rsidRPr="00FE5851">
        <w:rPr>
          <w:szCs w:val="24"/>
          <w:lang w:val="hu-HU"/>
        </w:rPr>
        <w:t xml:space="preserve">bontásban </w:t>
      </w:r>
      <w:r w:rsidRPr="00FE5851">
        <w:rPr>
          <w:szCs w:val="24"/>
          <w:lang w:val="hu-HU"/>
        </w:rPr>
        <w:t xml:space="preserve">kell szerepeltetni: </w:t>
      </w:r>
      <w:r w:rsidR="00522BB6">
        <w:rPr>
          <w:szCs w:val="24"/>
          <w:lang w:val="hu-HU"/>
        </w:rPr>
        <w:t xml:space="preserve">egyszerű </w:t>
      </w:r>
      <w:r w:rsidRPr="00FE5851">
        <w:rPr>
          <w:szCs w:val="24"/>
          <w:lang w:val="hu-HU"/>
        </w:rPr>
        <w:t xml:space="preserve">határidős ügyletek, </w:t>
      </w:r>
      <w:r w:rsidR="00522BB6">
        <w:rPr>
          <w:szCs w:val="24"/>
          <w:lang w:val="hu-HU"/>
        </w:rPr>
        <w:t xml:space="preserve">swap </w:t>
      </w:r>
      <w:r w:rsidR="00522BB6" w:rsidRPr="00FE5851">
        <w:rPr>
          <w:szCs w:val="24"/>
          <w:lang w:val="hu-HU"/>
        </w:rPr>
        <w:t>ügyletek</w:t>
      </w:r>
      <w:r w:rsidRPr="00FE5851">
        <w:rPr>
          <w:szCs w:val="24"/>
          <w:lang w:val="hu-HU"/>
        </w:rPr>
        <w:t>, vett és eladott opciók és egyéb termékek.</w:t>
      </w:r>
    </w:p>
    <w:p w14:paraId="0B4FFF41" w14:textId="77777777" w:rsidR="00E52B65" w:rsidRDefault="009C5B71" w:rsidP="00B81B30">
      <w:pPr>
        <w:pStyle w:val="Paragraph"/>
        <w:rPr>
          <w:szCs w:val="24"/>
          <w:lang w:val="hu-HU"/>
        </w:rPr>
      </w:pPr>
      <w:r>
        <w:rPr>
          <w:szCs w:val="24"/>
          <w:lang w:val="hu-HU"/>
        </w:rPr>
        <w:t xml:space="preserve">Határidős </w:t>
      </w:r>
      <w:r w:rsidR="000D50B2">
        <w:rPr>
          <w:szCs w:val="24"/>
          <w:lang w:val="hu-HU"/>
        </w:rPr>
        <w:t>ügylet</w:t>
      </w:r>
      <w:r w:rsidR="00FD752E">
        <w:rPr>
          <w:szCs w:val="24"/>
          <w:lang w:val="hu-HU"/>
        </w:rPr>
        <w:t xml:space="preserve">: </w:t>
      </w:r>
      <w:r>
        <w:rPr>
          <w:szCs w:val="24"/>
          <w:lang w:val="hu-HU"/>
        </w:rPr>
        <w:t xml:space="preserve">A határidős </w:t>
      </w:r>
      <w:r w:rsidR="000D50B2">
        <w:rPr>
          <w:szCs w:val="24"/>
          <w:lang w:val="hu-HU"/>
        </w:rPr>
        <w:t>ügyletek</w:t>
      </w:r>
      <w:r>
        <w:rPr>
          <w:szCs w:val="24"/>
          <w:lang w:val="hu-HU"/>
        </w:rPr>
        <w:t xml:space="preserve"> pénzügyi eszköz vagy </w:t>
      </w:r>
      <w:proofErr w:type="gramStart"/>
      <w:r>
        <w:rPr>
          <w:szCs w:val="24"/>
          <w:lang w:val="hu-HU"/>
        </w:rPr>
        <w:t>áru</w:t>
      </w:r>
      <w:proofErr w:type="gramEnd"/>
      <w:r>
        <w:rPr>
          <w:szCs w:val="24"/>
          <w:lang w:val="hu-HU"/>
        </w:rPr>
        <w:t xml:space="preserve"> későbbi leszállítására vonatkozó </w:t>
      </w:r>
      <w:r w:rsidR="006D4E4E">
        <w:rPr>
          <w:szCs w:val="24"/>
          <w:lang w:val="hu-HU"/>
        </w:rPr>
        <w:t xml:space="preserve">olyan </w:t>
      </w:r>
      <w:r>
        <w:rPr>
          <w:szCs w:val="24"/>
          <w:lang w:val="hu-HU"/>
        </w:rPr>
        <w:t xml:space="preserve">megállapodások, melyben a vevő vállalja, hogy megveszi, az eladó pedig vállalja, hogy leszállítja az előre meghatározott pénzügyi eszközt vagy árut </w:t>
      </w:r>
      <w:r w:rsidR="00D72B5F">
        <w:rPr>
          <w:szCs w:val="24"/>
          <w:lang w:val="hu-HU"/>
        </w:rPr>
        <w:t>egy előre meghatározott áron vagy hozammal, egy előre megh</w:t>
      </w:r>
      <w:r w:rsidR="006D4E4E">
        <w:rPr>
          <w:szCs w:val="24"/>
          <w:lang w:val="hu-HU"/>
        </w:rPr>
        <w:t>atározott jövőbeli időpontban</w:t>
      </w:r>
      <w:r w:rsidR="000D50B2">
        <w:rPr>
          <w:szCs w:val="24"/>
          <w:lang w:val="hu-HU"/>
        </w:rPr>
        <w:t>. A sima h</w:t>
      </w:r>
      <w:r w:rsidR="000D50B2" w:rsidRPr="000D50B2">
        <w:rPr>
          <w:szCs w:val="24"/>
          <w:lang w:val="hu-HU"/>
        </w:rPr>
        <w:t>atáridős termékekkel általában nem kereskednek szervezett tőzsdéken, és azok szerződéses feltételei nem szabványosítottak.</w:t>
      </w:r>
      <w:r w:rsidR="000D50B2">
        <w:rPr>
          <w:szCs w:val="24"/>
          <w:lang w:val="hu-HU"/>
        </w:rPr>
        <w:t xml:space="preserve"> A kategória tartalmazza azokat az</w:t>
      </w:r>
      <w:r w:rsidR="00BF3BBA">
        <w:rPr>
          <w:szCs w:val="24"/>
          <w:lang w:val="hu-HU"/>
        </w:rPr>
        <w:t xml:space="preserve"> ügyleteket is, amelyeknél lejáratkor a szerződött határidős árfolyam és az azonnali árfolyam közötti különb</w:t>
      </w:r>
      <w:r w:rsidR="00E71C5F">
        <w:rPr>
          <w:szCs w:val="24"/>
          <w:lang w:val="hu-HU"/>
        </w:rPr>
        <w:t xml:space="preserve">ség rendezésére kerül sor, mint </w:t>
      </w:r>
      <w:r w:rsidR="00BF3BBA">
        <w:rPr>
          <w:szCs w:val="24"/>
          <w:lang w:val="hu-HU"/>
        </w:rPr>
        <w:t>a nem leszállításos határidős ügyletek (azaz, ahol nem követelik meg a nem-konvertibilis deviza fizikai leszállítását)</w:t>
      </w:r>
      <w:r w:rsidR="00B53B4D">
        <w:rPr>
          <w:szCs w:val="24"/>
          <w:lang w:val="hu-HU"/>
        </w:rPr>
        <w:t xml:space="preserve"> és egyéb, különbségek rendezésére szóló szerződések</w:t>
      </w:r>
      <w:r w:rsidR="00653DA9">
        <w:rPr>
          <w:szCs w:val="24"/>
          <w:lang w:val="hu-HU"/>
        </w:rPr>
        <w:t xml:space="preserve"> esetében</w:t>
      </w:r>
      <w:r w:rsidR="00B53B4D">
        <w:rPr>
          <w:szCs w:val="24"/>
          <w:lang w:val="hu-HU"/>
        </w:rPr>
        <w:t xml:space="preserve">. </w:t>
      </w:r>
    </w:p>
    <w:p w14:paraId="1700240D" w14:textId="77777777" w:rsidR="00FC2260" w:rsidRPr="00946CF6" w:rsidRDefault="00FC2260" w:rsidP="00B81B30">
      <w:pPr>
        <w:pStyle w:val="Paragraph"/>
        <w:rPr>
          <w:szCs w:val="24"/>
          <w:lang w:val="hu-HU"/>
        </w:rPr>
      </w:pPr>
      <w:r w:rsidRPr="000733F0">
        <w:rPr>
          <w:szCs w:val="24"/>
          <w:lang w:val="hu-HU"/>
        </w:rPr>
        <w:t xml:space="preserve">A </w:t>
      </w:r>
      <w:r w:rsidR="002F0A9D" w:rsidRPr="000819A0">
        <w:rPr>
          <w:szCs w:val="24"/>
          <w:lang w:val="hu-HU"/>
        </w:rPr>
        <w:t xml:space="preserve">határidős </w:t>
      </w:r>
      <w:r w:rsidR="002F0A9D" w:rsidRPr="00A03F0A">
        <w:rPr>
          <w:szCs w:val="24"/>
          <w:lang w:val="hu-HU"/>
        </w:rPr>
        <w:t xml:space="preserve">ügyletek közül azokat szükséges jelenteni, amely szerződések már életbe léptek, és </w:t>
      </w:r>
      <w:r w:rsidR="00CE163C" w:rsidRPr="00A03F0A">
        <w:rPr>
          <w:szCs w:val="24"/>
          <w:lang w:val="hu-HU"/>
        </w:rPr>
        <w:t>a vonatkozási időpontban még fennállnak</w:t>
      </w:r>
      <w:r w:rsidR="002F0A9D" w:rsidRPr="00946CF6">
        <w:rPr>
          <w:szCs w:val="24"/>
          <w:lang w:val="hu-HU"/>
        </w:rPr>
        <w:t xml:space="preserve"> (azaz nyitott ügyl</w:t>
      </w:r>
      <w:r w:rsidR="00CE163C" w:rsidRPr="00946CF6">
        <w:rPr>
          <w:szCs w:val="24"/>
          <w:lang w:val="hu-HU"/>
        </w:rPr>
        <w:t>etek). Az ü</w:t>
      </w:r>
      <w:r w:rsidR="00180BD7" w:rsidRPr="00946CF6">
        <w:rPr>
          <w:szCs w:val="24"/>
          <w:lang w:val="hu-HU"/>
        </w:rPr>
        <w:t>gyletek egészen addig állnak fenn</w:t>
      </w:r>
      <w:r w:rsidR="00CE163C" w:rsidRPr="00946CF6">
        <w:rPr>
          <w:szCs w:val="24"/>
          <w:lang w:val="hu-HU"/>
        </w:rPr>
        <w:t xml:space="preserve"> (aza</w:t>
      </w:r>
      <w:r w:rsidR="00180BD7" w:rsidRPr="00946CF6">
        <w:rPr>
          <w:szCs w:val="24"/>
          <w:lang w:val="hu-HU"/>
        </w:rPr>
        <w:t xml:space="preserve">z addig nyitottak), amíg </w:t>
      </w:r>
      <w:r w:rsidR="000733F0" w:rsidRPr="00946CF6">
        <w:rPr>
          <w:szCs w:val="24"/>
          <w:lang w:val="hu-HU"/>
        </w:rPr>
        <w:t>időközben lezárásra nem kerül</w:t>
      </w:r>
      <w:r w:rsidR="00946CF6">
        <w:rPr>
          <w:szCs w:val="24"/>
          <w:lang w:val="hu-HU"/>
        </w:rPr>
        <w:t>nek</w:t>
      </w:r>
      <w:r w:rsidR="005A518B" w:rsidRPr="00A03F0A">
        <w:rPr>
          <w:szCs w:val="24"/>
          <w:lang w:val="hu-HU"/>
        </w:rPr>
        <w:t xml:space="preserve"> vagy </w:t>
      </w:r>
      <w:r w:rsidR="00180BD7" w:rsidRPr="00A03F0A">
        <w:rPr>
          <w:szCs w:val="24"/>
          <w:lang w:val="hu-HU"/>
        </w:rPr>
        <w:t>a szerződés ala</w:t>
      </w:r>
      <w:r w:rsidR="00285E46" w:rsidRPr="00A03F0A">
        <w:rPr>
          <w:szCs w:val="24"/>
          <w:lang w:val="hu-HU"/>
        </w:rPr>
        <w:t>pjául szolgáló pénzügyi eszközt/</w:t>
      </w:r>
      <w:r w:rsidR="00180BD7" w:rsidRPr="00946CF6">
        <w:rPr>
          <w:szCs w:val="24"/>
          <w:lang w:val="hu-HU"/>
        </w:rPr>
        <w:t>árut le nem szállították</w:t>
      </w:r>
      <w:r w:rsidR="00285E46" w:rsidRPr="00946CF6">
        <w:rPr>
          <w:szCs w:val="24"/>
          <w:lang w:val="hu-HU"/>
        </w:rPr>
        <w:t>,</w:t>
      </w:r>
      <w:r w:rsidR="00180BD7" w:rsidRPr="00946CF6">
        <w:rPr>
          <w:szCs w:val="24"/>
          <w:lang w:val="hu-HU"/>
        </w:rPr>
        <w:t xml:space="preserve"> vagy </w:t>
      </w:r>
      <w:r w:rsidR="00C85544" w:rsidRPr="00946CF6">
        <w:rPr>
          <w:szCs w:val="24"/>
          <w:lang w:val="hu-HU"/>
        </w:rPr>
        <w:t xml:space="preserve">az ügyletet </w:t>
      </w:r>
      <w:r w:rsidR="00180BD7" w:rsidRPr="00946CF6">
        <w:rPr>
          <w:szCs w:val="24"/>
          <w:lang w:val="hu-HU"/>
        </w:rPr>
        <w:t>pénzben nem rendezt</w:t>
      </w:r>
      <w:r w:rsidR="004A2F3B" w:rsidRPr="00946CF6">
        <w:rPr>
          <w:szCs w:val="24"/>
          <w:lang w:val="hu-HU"/>
        </w:rPr>
        <w:t>ék</w:t>
      </w:r>
      <w:r w:rsidR="00FC4BBF" w:rsidRPr="00946CF6">
        <w:rPr>
          <w:szCs w:val="24"/>
          <w:lang w:val="hu-HU"/>
        </w:rPr>
        <w:t>. Ezeknek</w:t>
      </w:r>
      <w:r w:rsidR="005A518B" w:rsidRPr="00946CF6">
        <w:rPr>
          <w:szCs w:val="24"/>
          <w:lang w:val="hu-HU"/>
        </w:rPr>
        <w:t xml:space="preserve"> a szerződés</w:t>
      </w:r>
      <w:r w:rsidR="00FC4BBF" w:rsidRPr="00946CF6">
        <w:rPr>
          <w:szCs w:val="24"/>
          <w:lang w:val="hu-HU"/>
        </w:rPr>
        <w:t>ek</w:t>
      </w:r>
      <w:r w:rsidR="005A518B" w:rsidRPr="00946CF6">
        <w:rPr>
          <w:szCs w:val="24"/>
          <w:lang w:val="hu-HU"/>
        </w:rPr>
        <w:t xml:space="preserve">nek a lezárása </w:t>
      </w:r>
      <w:r w:rsidR="00B2291B" w:rsidRPr="00946CF6">
        <w:rPr>
          <w:szCs w:val="24"/>
          <w:lang w:val="hu-HU"/>
        </w:rPr>
        <w:t xml:space="preserve">– az alaptermék átvételétől eltekintve </w:t>
      </w:r>
      <w:r w:rsidR="005A518B" w:rsidRPr="00946CF6">
        <w:rPr>
          <w:szCs w:val="24"/>
          <w:lang w:val="hu-HU"/>
        </w:rPr>
        <w:t>–</w:t>
      </w:r>
      <w:r w:rsidR="00B2291B" w:rsidRPr="00946CF6">
        <w:rPr>
          <w:szCs w:val="24"/>
          <w:lang w:val="hu-HU"/>
        </w:rPr>
        <w:t xml:space="preserve"> </w:t>
      </w:r>
      <w:r w:rsidR="005A518B" w:rsidRPr="00946CF6">
        <w:rPr>
          <w:szCs w:val="24"/>
          <w:lang w:val="hu-HU"/>
        </w:rPr>
        <w:t xml:space="preserve">csakis kizárólag a vevő és az eladó </w:t>
      </w:r>
      <w:r w:rsidR="00285E46" w:rsidRPr="00946CF6">
        <w:rPr>
          <w:szCs w:val="24"/>
          <w:lang w:val="hu-HU"/>
        </w:rPr>
        <w:t xml:space="preserve">közös </w:t>
      </w:r>
      <w:r w:rsidR="005A518B" w:rsidRPr="00946CF6">
        <w:rPr>
          <w:szCs w:val="24"/>
          <w:lang w:val="hu-HU"/>
        </w:rPr>
        <w:t>egyetértésével lehetséges.</w:t>
      </w:r>
    </w:p>
    <w:p w14:paraId="7B73CC7A" w14:textId="77777777" w:rsidR="00CE7C53" w:rsidRPr="00946CF6" w:rsidRDefault="00CE7C53" w:rsidP="00B81B30">
      <w:pPr>
        <w:pStyle w:val="Paragraph"/>
        <w:rPr>
          <w:szCs w:val="24"/>
          <w:lang w:val="hu-HU"/>
        </w:rPr>
      </w:pPr>
      <w:r w:rsidRPr="00946CF6">
        <w:rPr>
          <w:szCs w:val="24"/>
          <w:lang w:val="hu-HU"/>
        </w:rPr>
        <w:t xml:space="preserve">Csereügyletek (swapok): swap ügyletek esetében a felek meghatározott ideig egy meghatározott névértéken alapuló kifizetések </w:t>
      </w:r>
      <w:r w:rsidR="00E63535" w:rsidRPr="00946CF6">
        <w:rPr>
          <w:szCs w:val="24"/>
          <w:lang w:val="hu-HU"/>
        </w:rPr>
        <w:t xml:space="preserve">cseréjéről állapodnak meg. Azokat a csereügyleteket is jelenteni kell, amelyek esetében már az induló láb is tőzsdén kívüli határidős. </w:t>
      </w:r>
    </w:p>
    <w:p w14:paraId="247868A5" w14:textId="77777777" w:rsidR="00C57C99" w:rsidRPr="00946CF6" w:rsidRDefault="00C57C99" w:rsidP="00B81B30">
      <w:pPr>
        <w:pStyle w:val="Paragraph"/>
        <w:rPr>
          <w:szCs w:val="24"/>
          <w:lang w:val="hu-HU"/>
        </w:rPr>
      </w:pPr>
      <w:r w:rsidRPr="00946CF6">
        <w:rPr>
          <w:szCs w:val="24"/>
          <w:lang w:val="hu-HU"/>
        </w:rPr>
        <w:t xml:space="preserve">A tőzsdén kívüli határidős/ tőzsdén kívüli határidős swapok esetében mindkét határidős lábat külön szükséges jelenteni. Ezzel ellentétben a deviza csereügyletek esetében, amelyeket spot(azonnali)/ tőzsdén kívüli határidős ügyletek </w:t>
      </w:r>
      <w:proofErr w:type="gramStart"/>
      <w:r w:rsidRPr="00946CF6">
        <w:rPr>
          <w:szCs w:val="24"/>
          <w:lang w:val="hu-HU"/>
        </w:rPr>
        <w:t>keretében  kötnek</w:t>
      </w:r>
      <w:proofErr w:type="gramEnd"/>
      <w:r w:rsidRPr="00946CF6">
        <w:rPr>
          <w:szCs w:val="24"/>
          <w:lang w:val="hu-HU"/>
        </w:rPr>
        <w:t xml:space="preserve">,  csak az ügylet határidős lábát kell jelenteni. </w:t>
      </w:r>
    </w:p>
    <w:p w14:paraId="3A535364" w14:textId="77777777" w:rsidR="00C57C99" w:rsidRDefault="004471F9" w:rsidP="00B81B30">
      <w:pPr>
        <w:pStyle w:val="Paragraph"/>
        <w:rPr>
          <w:szCs w:val="24"/>
          <w:lang w:val="hu-HU"/>
        </w:rPr>
      </w:pPr>
      <w:r w:rsidRPr="00946CF6">
        <w:rPr>
          <w:szCs w:val="24"/>
          <w:lang w:val="hu-HU"/>
        </w:rPr>
        <w:t xml:space="preserve">OTC opciók: </w:t>
      </w:r>
      <w:r w:rsidR="00727DDA" w:rsidRPr="00946CF6">
        <w:rPr>
          <w:szCs w:val="24"/>
          <w:lang w:val="hu-HU"/>
        </w:rPr>
        <w:t>az opciós szerződések attól függően biztosítanak jogot vagy jelentenek kötelezettséget egy pénzügyi eszköz vagy áru előre meghatározott jövőbeli időpontban, előre meghatározott áron történő megvásárlására vagy eladására, hogy a jelentő intézmény az opciót megvásárolta vagy kiírta. Az OTC opciók közé ta</w:t>
      </w:r>
      <w:r w:rsidR="00AD3948" w:rsidRPr="00946CF6">
        <w:rPr>
          <w:szCs w:val="24"/>
          <w:lang w:val="hu-HU"/>
        </w:rPr>
        <w:t xml:space="preserve">rtozik az összes </w:t>
      </w:r>
      <w:r w:rsidR="00727DDA" w:rsidRPr="00946CF6">
        <w:rPr>
          <w:szCs w:val="24"/>
          <w:lang w:val="hu-HU"/>
        </w:rPr>
        <w:t xml:space="preserve">tőzsdén </w:t>
      </w:r>
      <w:r w:rsidR="00AD3948" w:rsidRPr="00946CF6">
        <w:rPr>
          <w:szCs w:val="24"/>
          <w:lang w:val="hu-HU"/>
        </w:rPr>
        <w:t xml:space="preserve">kívül </w:t>
      </w:r>
      <w:r w:rsidR="00727DDA" w:rsidRPr="00946CF6">
        <w:rPr>
          <w:szCs w:val="24"/>
          <w:lang w:val="hu-HU"/>
        </w:rPr>
        <w:t xml:space="preserve">kereskedett opció. </w:t>
      </w:r>
      <w:r w:rsidR="001D1709" w:rsidRPr="00946CF6">
        <w:rPr>
          <w:szCs w:val="24"/>
          <w:lang w:val="hu-HU"/>
        </w:rPr>
        <w:t>Ebbe a kategór</w:t>
      </w:r>
      <w:r w:rsidR="00A57337" w:rsidRPr="00946CF6">
        <w:rPr>
          <w:szCs w:val="24"/>
          <w:lang w:val="hu-HU"/>
        </w:rPr>
        <w:t xml:space="preserve">iába tartoznak például a </w:t>
      </w:r>
      <w:r w:rsidR="001D1709" w:rsidRPr="00946CF6">
        <w:rPr>
          <w:szCs w:val="24"/>
          <w:lang w:val="hu-HU"/>
        </w:rPr>
        <w:t xml:space="preserve">csereügylet </w:t>
      </w:r>
      <w:r w:rsidR="00A57337" w:rsidRPr="00946CF6">
        <w:rPr>
          <w:szCs w:val="24"/>
          <w:lang w:val="hu-HU"/>
        </w:rPr>
        <w:t>meg</w:t>
      </w:r>
      <w:r w:rsidR="001D1709" w:rsidRPr="00946CF6">
        <w:rPr>
          <w:szCs w:val="24"/>
          <w:lang w:val="hu-HU"/>
        </w:rPr>
        <w:t>kötésére szóló opciók (swaption) illetve a kamatplafon</w:t>
      </w:r>
      <w:r w:rsidR="0022750C" w:rsidRPr="00946CF6">
        <w:rPr>
          <w:szCs w:val="24"/>
          <w:lang w:val="hu-HU"/>
        </w:rPr>
        <w:t>-</w:t>
      </w:r>
      <w:r w:rsidR="001D1709" w:rsidRPr="00946CF6">
        <w:rPr>
          <w:szCs w:val="24"/>
          <w:lang w:val="hu-HU"/>
        </w:rPr>
        <w:t>, kamatpadló</w:t>
      </w:r>
      <w:r w:rsidR="0022750C" w:rsidRPr="00946CF6">
        <w:rPr>
          <w:szCs w:val="24"/>
          <w:lang w:val="hu-HU"/>
        </w:rPr>
        <w:t>-</w:t>
      </w:r>
      <w:r w:rsidR="001D1709" w:rsidRPr="00946CF6">
        <w:rPr>
          <w:szCs w:val="24"/>
          <w:lang w:val="hu-HU"/>
        </w:rPr>
        <w:t>, kamatgallér</w:t>
      </w:r>
      <w:r w:rsidR="0022750C" w:rsidRPr="00946CF6">
        <w:rPr>
          <w:szCs w:val="24"/>
          <w:lang w:val="hu-HU"/>
        </w:rPr>
        <w:t>-, kamatfolyosó-ügyletek is szintén az OTC opciók között kell feltüntetni.</w:t>
      </w:r>
      <w:r w:rsidR="005F793A" w:rsidRPr="00946CF6">
        <w:rPr>
          <w:szCs w:val="24"/>
          <w:lang w:val="hu-HU"/>
        </w:rPr>
        <w:t xml:space="preserve"> A </w:t>
      </w:r>
      <w:r w:rsidR="00A57337" w:rsidRPr="00946CF6">
        <w:rPr>
          <w:szCs w:val="24"/>
          <w:lang w:val="hu-HU"/>
        </w:rPr>
        <w:t xml:space="preserve">hitelekhez, értékpapírokhoz és más egyéb mérlegtételekhez kapcsolódó </w:t>
      </w:r>
      <w:r w:rsidR="005F793A" w:rsidRPr="00946CF6">
        <w:rPr>
          <w:szCs w:val="24"/>
          <w:lang w:val="hu-HU"/>
        </w:rPr>
        <w:t xml:space="preserve">beágyazott derivatívák nem képezik részét a jelentésnek, </w:t>
      </w:r>
      <w:r w:rsidR="00A57337" w:rsidRPr="00946CF6">
        <w:rPr>
          <w:szCs w:val="24"/>
          <w:lang w:val="hu-HU"/>
        </w:rPr>
        <w:t>ezért azokat nem kell jelenteni</w:t>
      </w:r>
      <w:r w:rsidR="00893BF3" w:rsidRPr="00946CF6">
        <w:rPr>
          <w:szCs w:val="24"/>
          <w:lang w:val="hu-HU"/>
        </w:rPr>
        <w:t>, e</w:t>
      </w:r>
      <w:r w:rsidR="0000371B" w:rsidRPr="00946CF6">
        <w:rPr>
          <w:szCs w:val="24"/>
          <w:lang w:val="hu-HU"/>
        </w:rPr>
        <w:t>z</w:t>
      </w:r>
      <w:r w:rsidR="00BC3454" w:rsidRPr="00946CF6">
        <w:rPr>
          <w:szCs w:val="24"/>
          <w:lang w:val="hu-HU"/>
        </w:rPr>
        <w:t xml:space="preserve"> alól azonban kivételt képez az az eset, amikor</w:t>
      </w:r>
      <w:r w:rsidR="005F793A" w:rsidRPr="00946CF6">
        <w:rPr>
          <w:szCs w:val="24"/>
          <w:lang w:val="hu-HU"/>
        </w:rPr>
        <w:t xml:space="preserve"> a </w:t>
      </w:r>
      <w:r w:rsidR="00BC3454" w:rsidRPr="00946CF6">
        <w:rPr>
          <w:szCs w:val="24"/>
          <w:lang w:val="hu-HU"/>
        </w:rPr>
        <w:t>beágyazott derivatívát a FAS 133 és az IAS 39 alapján el kell különíteni</w:t>
      </w:r>
      <w:r w:rsidR="0000371B" w:rsidRPr="00946CF6">
        <w:rPr>
          <w:szCs w:val="24"/>
          <w:lang w:val="hu-HU"/>
        </w:rPr>
        <w:t xml:space="preserve"> az alapszerződéstől</w:t>
      </w:r>
      <w:r w:rsidR="00BC3454" w:rsidRPr="00946CF6">
        <w:rPr>
          <w:szCs w:val="24"/>
          <w:lang w:val="hu-HU"/>
        </w:rPr>
        <w:t>. Ezek a számviteli sztenderdek megkövetelik azon derivatívák leválasztását, amelyek nem egyértelműen és szorosan kapcsolódnak az alapszerződéshez.</w:t>
      </w:r>
      <w:r w:rsidR="0000371B" w:rsidRPr="00946CF6">
        <w:rPr>
          <w:szCs w:val="24"/>
          <w:lang w:val="hu-HU"/>
        </w:rPr>
        <w:t xml:space="preserve"> A hitelnyújtásra szóló kötelezettségvállalások (commitments to </w:t>
      </w:r>
      <w:r w:rsidR="007357AC" w:rsidRPr="00946CF6">
        <w:rPr>
          <w:szCs w:val="24"/>
          <w:lang w:val="hu-HU"/>
        </w:rPr>
        <w:t>l</w:t>
      </w:r>
      <w:r w:rsidR="0000371B" w:rsidRPr="000733F0">
        <w:rPr>
          <w:szCs w:val="24"/>
          <w:lang w:val="hu-HU"/>
        </w:rPr>
        <w:t>end)</w:t>
      </w:r>
      <w:r w:rsidR="0000371B" w:rsidRPr="000819A0">
        <w:rPr>
          <w:szCs w:val="24"/>
          <w:lang w:val="hu-HU"/>
        </w:rPr>
        <w:t xml:space="preserve"> nem</w:t>
      </w:r>
      <w:r w:rsidR="0000371B">
        <w:rPr>
          <w:szCs w:val="24"/>
          <w:lang w:val="hu-HU"/>
        </w:rPr>
        <w:t xml:space="preserve"> t</w:t>
      </w:r>
      <w:r w:rsidR="007357AC">
        <w:rPr>
          <w:szCs w:val="24"/>
          <w:lang w:val="hu-HU"/>
        </w:rPr>
        <w:t xml:space="preserve">ekintendőek opcióknak ebben a jelentésben. </w:t>
      </w:r>
    </w:p>
    <w:p w14:paraId="29B2E7D0" w14:textId="77777777" w:rsidR="00B81B30" w:rsidRDefault="0095687C" w:rsidP="00B81B30">
      <w:pPr>
        <w:pStyle w:val="Paragraph"/>
        <w:rPr>
          <w:szCs w:val="24"/>
          <w:lang w:val="hu-HU"/>
        </w:rPr>
      </w:pPr>
      <w:r>
        <w:rPr>
          <w:szCs w:val="24"/>
          <w:lang w:val="hu-HU"/>
        </w:rPr>
        <w:t xml:space="preserve">Kiírt opciók: </w:t>
      </w:r>
      <w:r w:rsidR="00AF7745">
        <w:rPr>
          <w:szCs w:val="24"/>
          <w:lang w:val="hu-HU"/>
        </w:rPr>
        <w:t>a</w:t>
      </w:r>
      <w:r w:rsidR="005B4487">
        <w:rPr>
          <w:szCs w:val="24"/>
          <w:lang w:val="hu-HU"/>
        </w:rPr>
        <w:t xml:space="preserve">zokat az </w:t>
      </w:r>
      <w:r>
        <w:rPr>
          <w:szCs w:val="24"/>
          <w:lang w:val="hu-HU"/>
        </w:rPr>
        <w:t>OTC opciók</w:t>
      </w:r>
      <w:r w:rsidR="005B4487">
        <w:rPr>
          <w:szCs w:val="24"/>
          <w:lang w:val="hu-HU"/>
        </w:rPr>
        <w:t>at szükséges itt szerepeltetni</w:t>
      </w:r>
      <w:r>
        <w:rPr>
          <w:szCs w:val="24"/>
          <w:lang w:val="hu-HU"/>
        </w:rPr>
        <w:t>, amelyek esetében a jelentő bank ellentételezésért (</w:t>
      </w:r>
      <w:r w:rsidR="005B4487">
        <w:rPr>
          <w:szCs w:val="24"/>
          <w:lang w:val="hu-HU"/>
        </w:rPr>
        <w:t xml:space="preserve">opciós díj vagy opciós prémium) cserébe kötelezettséget vállal </w:t>
      </w:r>
      <w:r w:rsidR="008A7EB9">
        <w:rPr>
          <w:szCs w:val="24"/>
          <w:lang w:val="hu-HU"/>
        </w:rPr>
        <w:t xml:space="preserve">a </w:t>
      </w:r>
      <w:r w:rsidR="005B4487">
        <w:rPr>
          <w:szCs w:val="24"/>
          <w:lang w:val="hu-HU"/>
        </w:rPr>
        <w:lastRenderedPageBreak/>
        <w:t xml:space="preserve">pénzügyi eszköz vagy áru megvásárlására vagy eladására. </w:t>
      </w:r>
      <w:r w:rsidR="008A7EB9">
        <w:rPr>
          <w:szCs w:val="24"/>
          <w:lang w:val="hu-HU"/>
        </w:rPr>
        <w:t>Itt kell jelenteni a kiírt kamatplafon-, kamatpadló ügyleteket, a</w:t>
      </w:r>
      <w:r w:rsidR="00CD4D50">
        <w:rPr>
          <w:szCs w:val="24"/>
          <w:lang w:val="hu-HU"/>
        </w:rPr>
        <w:t xml:space="preserve"> csere</w:t>
      </w:r>
      <w:r w:rsidR="008A7EB9">
        <w:rPr>
          <w:szCs w:val="24"/>
          <w:lang w:val="hu-HU"/>
        </w:rPr>
        <w:t xml:space="preserve">ügylet megkötésére szóló </w:t>
      </w:r>
      <w:r w:rsidR="00AF7745">
        <w:rPr>
          <w:szCs w:val="24"/>
          <w:lang w:val="hu-HU"/>
        </w:rPr>
        <w:t xml:space="preserve">kiírt </w:t>
      </w:r>
      <w:r w:rsidR="008A7EB9">
        <w:rPr>
          <w:szCs w:val="24"/>
          <w:lang w:val="hu-HU"/>
        </w:rPr>
        <w:t>opciókat (</w:t>
      </w:r>
      <w:r w:rsidR="007F566C">
        <w:rPr>
          <w:szCs w:val="24"/>
          <w:lang w:val="hu-HU"/>
        </w:rPr>
        <w:t>swaption) valamint a</w:t>
      </w:r>
      <w:r w:rsidR="008A7EB9">
        <w:rPr>
          <w:szCs w:val="24"/>
          <w:lang w:val="hu-HU"/>
        </w:rPr>
        <w:t xml:space="preserve"> </w:t>
      </w:r>
      <w:r w:rsidR="007F566C">
        <w:rPr>
          <w:szCs w:val="24"/>
          <w:lang w:val="hu-HU"/>
        </w:rPr>
        <w:t>kamatgallér- és a kamatfoly</w:t>
      </w:r>
      <w:r w:rsidR="00A4157E">
        <w:rPr>
          <w:szCs w:val="24"/>
          <w:lang w:val="hu-HU"/>
        </w:rPr>
        <w:t>osó ügyletek kiírt opció</w:t>
      </w:r>
      <w:r w:rsidR="00EF3E8C">
        <w:rPr>
          <w:szCs w:val="24"/>
          <w:lang w:val="hu-HU"/>
        </w:rPr>
        <w:t xml:space="preserve"> komponensét</w:t>
      </w:r>
      <w:r w:rsidR="007F566C">
        <w:rPr>
          <w:szCs w:val="24"/>
          <w:lang w:val="hu-HU"/>
        </w:rPr>
        <w:t xml:space="preserve"> is.</w:t>
      </w:r>
    </w:p>
    <w:p w14:paraId="4F73F126" w14:textId="77777777" w:rsidR="0095687C" w:rsidRDefault="000D66C6" w:rsidP="00B81B30">
      <w:pPr>
        <w:pStyle w:val="Paragraph"/>
        <w:rPr>
          <w:szCs w:val="24"/>
          <w:lang w:val="hu-HU"/>
        </w:rPr>
      </w:pPr>
      <w:r>
        <w:rPr>
          <w:szCs w:val="24"/>
          <w:lang w:val="hu-HU"/>
        </w:rPr>
        <w:t xml:space="preserve">Megvásárolt opciók: </w:t>
      </w:r>
      <w:r w:rsidR="00AF7745">
        <w:rPr>
          <w:szCs w:val="24"/>
          <w:lang w:val="hu-HU"/>
        </w:rPr>
        <w:t>azokat az OTC opciókat szükséges itt szerepeltetni, amelyek esetében a jelentő bank opciós díj vagy opciós prémium fizetéséért cserébe jogot szerez a pénzügyi eszköz vagy áru megvásárlására vagy eladására. Itt kell jelenteni a megvásárolt kamatplafon-, kamatpadló ügyleteket, a devizacsere ügylet megkötésére szóló megvásárolt opciókat (swaption) valamint a kamatgallér- és a kamatfolyosó ügyletek megvásárolt</w:t>
      </w:r>
      <w:r w:rsidR="00A4157E">
        <w:rPr>
          <w:szCs w:val="24"/>
          <w:lang w:val="hu-HU"/>
        </w:rPr>
        <w:t xml:space="preserve"> opció komponensét</w:t>
      </w:r>
      <w:r w:rsidR="00AF7745">
        <w:rPr>
          <w:szCs w:val="24"/>
          <w:lang w:val="hu-HU"/>
        </w:rPr>
        <w:t xml:space="preserve"> is.</w:t>
      </w:r>
    </w:p>
    <w:p w14:paraId="2DF72FCC" w14:textId="77777777" w:rsidR="00B81B30" w:rsidRPr="00FE5851" w:rsidRDefault="00AC557B" w:rsidP="00B81B30">
      <w:pPr>
        <w:pStyle w:val="Paragraph"/>
        <w:rPr>
          <w:szCs w:val="24"/>
          <w:lang w:val="hu-HU"/>
        </w:rPr>
      </w:pPr>
      <w:r>
        <w:rPr>
          <w:szCs w:val="24"/>
          <w:lang w:val="hu-HU"/>
        </w:rPr>
        <w:t xml:space="preserve">Egyéb ügyletek: </w:t>
      </w:r>
      <w:r w:rsidRPr="00B05124">
        <w:t>Az egyéb származékos termékek olyan instrument</w:t>
      </w:r>
      <w:r w:rsidR="001C6DE2">
        <w:t>umok, amelyeket nem lehet különálló</w:t>
      </w:r>
      <w:r w:rsidRPr="00B05124">
        <w:t xml:space="preserve"> „plain vanilla” </w:t>
      </w:r>
      <w:r>
        <w:t>instrumentumokra</w:t>
      </w:r>
      <w:r w:rsidR="00D862CB">
        <w:t>, azaz</w:t>
      </w:r>
      <w:r w:rsidRPr="00B05124">
        <w:t xml:space="preserve"> tőzsdén kívüli h</w:t>
      </w:r>
      <w:r>
        <w:t>atáridős ügyletekre</w:t>
      </w:r>
      <w:r w:rsidRPr="00B05124">
        <w:t>, csere- vagy opciós ügyletekre bontani,</w:t>
      </w:r>
      <w:r>
        <w:t xml:space="preserve"> </w:t>
      </w:r>
      <w:r w:rsidRPr="00B05124">
        <w:t>vagy az célszerűtlen, a gyakorlatban megvalósíthatatlan lenne.</w:t>
      </w:r>
      <w:r>
        <w:t xml:space="preserve"> Az instrumentumtípusok meghatározására és csoportosításra vonatkozóan további információk a G részben találhatóak. </w:t>
      </w:r>
    </w:p>
    <w:p w14:paraId="7EF17BA6" w14:textId="77777777" w:rsidR="00D313C3" w:rsidRPr="00FE5851" w:rsidRDefault="00D313C3">
      <w:pPr>
        <w:pStyle w:val="IndentedHeading2"/>
        <w:rPr>
          <w:szCs w:val="24"/>
          <w:lang w:val="hu-HU"/>
        </w:rPr>
      </w:pPr>
      <w:bookmarkStart w:id="6" w:name="_Toc533082664"/>
      <w:r w:rsidRPr="00FE5851">
        <w:rPr>
          <w:szCs w:val="24"/>
          <w:lang w:val="hu-HU"/>
        </w:rPr>
        <w:t>3.</w:t>
      </w:r>
      <w:r w:rsidRPr="00FE5851">
        <w:rPr>
          <w:szCs w:val="24"/>
          <w:lang w:val="hu-HU"/>
        </w:rPr>
        <w:tab/>
        <w:t>Kért adattípusok</w:t>
      </w:r>
      <w:bookmarkEnd w:id="6"/>
    </w:p>
    <w:p w14:paraId="112187A5" w14:textId="77777777" w:rsidR="00D313C3" w:rsidRPr="00FE5851" w:rsidRDefault="00D313C3">
      <w:pPr>
        <w:pStyle w:val="Paragraph"/>
        <w:rPr>
          <w:szCs w:val="24"/>
          <w:lang w:val="hu-HU"/>
        </w:rPr>
      </w:pPr>
      <w:bookmarkStart w:id="7" w:name="_Hlt31437893"/>
      <w:bookmarkStart w:id="8" w:name="_Hlt31517867"/>
      <w:bookmarkStart w:id="9" w:name="_Hlt31437870"/>
      <w:r w:rsidRPr="00FE5851">
        <w:rPr>
          <w:szCs w:val="24"/>
          <w:lang w:val="hu-HU"/>
        </w:rPr>
        <w:t>A tőzsdén kívüli származékos piac méretének méréséhez a felmérés adatokat gyűjt nominális összegben és bruttó piaci értékben kifejezett nyitott kötésállományokról. Ezek a mérőszámok együttesen pontosabban érzékeltetik a piac méretét, mint külön-külön.</w:t>
      </w:r>
    </w:p>
    <w:bookmarkEnd w:id="7"/>
    <w:bookmarkEnd w:id="8"/>
    <w:bookmarkEnd w:id="9"/>
    <w:p w14:paraId="4E5D6DA0" w14:textId="77777777" w:rsidR="00D313C3" w:rsidRPr="00FE5851" w:rsidRDefault="00D313C3">
      <w:pPr>
        <w:pStyle w:val="Paragraph"/>
        <w:rPr>
          <w:szCs w:val="24"/>
          <w:lang w:val="hu-HU"/>
        </w:rPr>
      </w:pPr>
      <w:r w:rsidRPr="00FE5851">
        <w:rPr>
          <w:szCs w:val="24"/>
          <w:lang w:val="hu-HU"/>
        </w:rPr>
        <w:t xml:space="preserve">A </w:t>
      </w:r>
      <w:r w:rsidRPr="00FE5851">
        <w:rPr>
          <w:i/>
          <w:szCs w:val="24"/>
          <w:lang w:val="hu-HU"/>
        </w:rPr>
        <w:t>nominális vagy névleges nyitott kötésállományok</w:t>
      </w:r>
      <w:r w:rsidRPr="00FE5851">
        <w:rPr>
          <w:szCs w:val="24"/>
          <w:lang w:val="hu-HU"/>
        </w:rPr>
        <w:t xml:space="preserve"> nemcsak a piac méretét jelzik, hanem az árkockázat lehetséges átadásának durva közelítését is adják a származékos piacon.</w:t>
      </w:r>
      <w:r w:rsidR="00FE5851" w:rsidRPr="00FE5851">
        <w:rPr>
          <w:szCs w:val="24"/>
          <w:lang w:val="hu-HU"/>
        </w:rPr>
        <w:t xml:space="preserve"> </w:t>
      </w:r>
      <w:r w:rsidRPr="00FE5851">
        <w:rPr>
          <w:szCs w:val="24"/>
          <w:lang w:val="hu-HU"/>
        </w:rPr>
        <w:t>Segítségükkel mérhető a kapcsolódó mögöttes azonnali piac nagysága, továbbá hasznos bepillantást nyújt az azonnali piac és a származékos piac relatív nagyságára és növekedésére is.</w:t>
      </w:r>
    </w:p>
    <w:p w14:paraId="7143852A" w14:textId="77777777" w:rsidR="0067788A" w:rsidRDefault="00D313C3" w:rsidP="005C6555">
      <w:pPr>
        <w:pStyle w:val="Paragraph"/>
        <w:rPr>
          <w:szCs w:val="24"/>
          <w:lang w:val="hu-HU"/>
        </w:rPr>
      </w:pPr>
      <w:r w:rsidRPr="00FE5851">
        <w:rPr>
          <w:szCs w:val="24"/>
          <w:lang w:val="hu-HU"/>
        </w:rPr>
        <w:t>Nominális vagy névleges nyitott kötésállományok a már megkötött, de a beszámolás időpontjában még pénzügyileg nem teljesített (kiegyenlített) összes ügylet bruttó nominális vagy névleges értéke. Az adatokat</w:t>
      </w:r>
      <w:r w:rsidR="000B5CC6">
        <w:rPr>
          <w:szCs w:val="24"/>
          <w:lang w:val="hu-HU"/>
        </w:rPr>
        <w:t xml:space="preserve"> </w:t>
      </w:r>
      <w:r w:rsidRPr="00FE5851">
        <w:rPr>
          <w:szCs w:val="24"/>
          <w:lang w:val="hu-HU"/>
        </w:rPr>
        <w:t>konszolidált alapon kell jelenteni</w:t>
      </w:r>
      <w:r w:rsidR="00700BDA">
        <w:rPr>
          <w:szCs w:val="24"/>
          <w:lang w:val="hu-HU"/>
        </w:rPr>
        <w:t>,</w:t>
      </w:r>
      <w:r w:rsidR="000B5CC6">
        <w:rPr>
          <w:szCs w:val="24"/>
          <w:lang w:val="hu-HU"/>
        </w:rPr>
        <w:t xml:space="preserve"> </w:t>
      </w:r>
      <w:r w:rsidR="0067788A">
        <w:rPr>
          <w:szCs w:val="24"/>
          <w:lang w:val="hu-HU"/>
        </w:rPr>
        <w:t xml:space="preserve">azaz </w:t>
      </w:r>
      <w:r w:rsidR="00700BDA">
        <w:rPr>
          <w:szCs w:val="24"/>
          <w:lang w:val="hu-HU"/>
        </w:rPr>
        <w:t>a konszolidációba bevont vállalatokkal megkötött ügyleteket nem szabad figyelembe venni. A tulajdonosi érdekek alapján a konszolidáció részét ugyan nem képező, de gyakorlatilag a jelent</w:t>
      </w:r>
      <w:r w:rsidR="00EB135A">
        <w:rPr>
          <w:szCs w:val="24"/>
          <w:lang w:val="hu-HU"/>
        </w:rPr>
        <w:t xml:space="preserve">ő bank ellenőrzése alá tartozó </w:t>
      </w:r>
      <w:r w:rsidR="00700BDA">
        <w:rPr>
          <w:szCs w:val="24"/>
          <w:lang w:val="hu-HU"/>
        </w:rPr>
        <w:t>leányvállalatokkal megkö</w:t>
      </w:r>
      <w:r w:rsidR="00EC0F37">
        <w:rPr>
          <w:szCs w:val="24"/>
          <w:lang w:val="hu-HU"/>
        </w:rPr>
        <w:t xml:space="preserve">tött </w:t>
      </w:r>
      <w:r w:rsidR="00EB135A">
        <w:rPr>
          <w:szCs w:val="24"/>
          <w:lang w:val="hu-HU"/>
        </w:rPr>
        <w:t>ügyleteket sem szabad figyelembe venni.</w:t>
      </w:r>
      <w:r w:rsidR="000E435F">
        <w:rPr>
          <w:szCs w:val="24"/>
          <w:lang w:val="hu-HU"/>
        </w:rPr>
        <w:t xml:space="preserve"> </w:t>
      </w:r>
      <w:r w:rsidR="000E435F" w:rsidRPr="000E435F">
        <w:rPr>
          <w:szCs w:val="24"/>
          <w:lang w:val="hu-HU"/>
        </w:rPr>
        <w:t>A változó névleges v</w:t>
      </w:r>
      <w:r w:rsidR="000E435F">
        <w:rPr>
          <w:szCs w:val="24"/>
          <w:lang w:val="hu-HU"/>
        </w:rPr>
        <w:t xml:space="preserve">agy elvi tőkeösszegű szerződések esetében az </w:t>
      </w:r>
      <w:r w:rsidR="000E435F" w:rsidRPr="000E435F">
        <w:rPr>
          <w:szCs w:val="24"/>
          <w:lang w:val="hu-HU"/>
        </w:rPr>
        <w:t>adat</w:t>
      </w:r>
      <w:r w:rsidR="000E435F">
        <w:rPr>
          <w:szCs w:val="24"/>
          <w:lang w:val="hu-HU"/>
        </w:rPr>
        <w:t xml:space="preserve">szolgáltatás alapja a vonatkozási időpontban fennálló </w:t>
      </w:r>
      <w:proofErr w:type="gramStart"/>
      <w:r w:rsidR="000E435F" w:rsidRPr="000E435F">
        <w:rPr>
          <w:szCs w:val="24"/>
          <w:lang w:val="hu-HU"/>
        </w:rPr>
        <w:t>névleges</w:t>
      </w:r>
      <w:proofErr w:type="gramEnd"/>
      <w:r w:rsidR="000E435F" w:rsidRPr="000E435F">
        <w:rPr>
          <w:szCs w:val="24"/>
          <w:lang w:val="hu-HU"/>
        </w:rPr>
        <w:t xml:space="preserve"> vagy elvi tőkeösszeg legyen.</w:t>
      </w:r>
      <w:r w:rsidR="000E435F">
        <w:rPr>
          <w:szCs w:val="24"/>
          <w:lang w:val="hu-HU"/>
        </w:rPr>
        <w:t xml:space="preserve"> </w:t>
      </w:r>
    </w:p>
    <w:p w14:paraId="465887A1" w14:textId="77777777" w:rsidR="00D313C3" w:rsidRPr="00FE5851" w:rsidRDefault="00D313C3">
      <w:pPr>
        <w:pStyle w:val="Paragraph"/>
        <w:rPr>
          <w:szCs w:val="24"/>
          <w:lang w:val="hu-HU"/>
        </w:rPr>
      </w:pPr>
      <w:r w:rsidRPr="00FE5851">
        <w:rPr>
          <w:szCs w:val="24"/>
          <w:lang w:val="hu-HU"/>
        </w:rPr>
        <w:t xml:space="preserve">A szorzótényező-összetevőjű származékos kontraktusra vonatkozóan jelentendő nominális vagy névérték a kontraktus tényleges </w:t>
      </w:r>
      <w:proofErr w:type="gramStart"/>
      <w:r w:rsidRPr="00FE5851">
        <w:rPr>
          <w:szCs w:val="24"/>
          <w:lang w:val="hu-HU"/>
        </w:rPr>
        <w:t>nominális</w:t>
      </w:r>
      <w:proofErr w:type="gramEnd"/>
      <w:r w:rsidRPr="00FE5851">
        <w:rPr>
          <w:szCs w:val="24"/>
          <w:lang w:val="hu-HU"/>
        </w:rPr>
        <w:t xml:space="preserve"> vagy névértéke.</w:t>
      </w:r>
      <w:r w:rsidR="00FE5851" w:rsidRPr="00FE5851">
        <w:rPr>
          <w:szCs w:val="24"/>
          <w:lang w:val="hu-HU"/>
        </w:rPr>
        <w:t xml:space="preserve"> </w:t>
      </w:r>
      <w:r w:rsidRPr="00FE5851">
        <w:rPr>
          <w:szCs w:val="24"/>
          <w:lang w:val="hu-HU"/>
        </w:rPr>
        <w:t>Tehát, például, olyan csereügylet-szerződés tényleges névértéke, amelynek nyilvántartá</w:t>
      </w:r>
      <w:r w:rsidR="005D3B0B">
        <w:rPr>
          <w:szCs w:val="24"/>
          <w:lang w:val="hu-HU"/>
        </w:rPr>
        <w:t>sba vett nominális értéke 1.000.</w:t>
      </w:r>
      <w:r w:rsidRPr="00FE5851">
        <w:rPr>
          <w:szCs w:val="24"/>
          <w:lang w:val="hu-HU"/>
        </w:rPr>
        <w:t>000 USD, s amelynek feltételei 5% és a LIBOR tízszerese közötti különbség negyed</w:t>
      </w:r>
      <w:r w:rsidR="005D3B0B">
        <w:rPr>
          <w:szCs w:val="24"/>
          <w:lang w:val="hu-HU"/>
        </w:rPr>
        <w:t>éves elszámolását írják elő, 10.000.</w:t>
      </w:r>
      <w:r w:rsidRPr="00FE5851">
        <w:rPr>
          <w:szCs w:val="24"/>
          <w:lang w:val="hu-HU"/>
        </w:rPr>
        <w:t>000 USD.</w:t>
      </w:r>
      <w:r w:rsidR="00FE5851" w:rsidRPr="00FE5851">
        <w:rPr>
          <w:szCs w:val="24"/>
          <w:lang w:val="hu-HU"/>
        </w:rPr>
        <w:t xml:space="preserve"> </w:t>
      </w:r>
    </w:p>
    <w:p w14:paraId="4D581091" w14:textId="77777777" w:rsidR="00D313C3" w:rsidRPr="00FE5851" w:rsidRDefault="00D313C3">
      <w:pPr>
        <w:pStyle w:val="Paragraph"/>
        <w:rPr>
          <w:szCs w:val="24"/>
          <w:lang w:val="hu-HU"/>
        </w:rPr>
      </w:pPr>
      <w:r w:rsidRPr="00FE5851">
        <w:rPr>
          <w:szCs w:val="24"/>
          <w:lang w:val="hu-HU"/>
        </w:rPr>
        <w:t>A kontraktusok nettósítása nem engedélyezett e tétel alkalmazásában. Ezért tehát nem megengedett a nettósítás a következő esetekben: (1) a jelentő bank harmadik féllel szembeni vételi kötelezettsége és harmadik féllel szembeni eladási kötelezettsége;</w:t>
      </w:r>
      <w:r w:rsidR="00FE5851" w:rsidRPr="00FE5851">
        <w:rPr>
          <w:szCs w:val="24"/>
          <w:lang w:val="hu-HU"/>
        </w:rPr>
        <w:t xml:space="preserve"> </w:t>
      </w:r>
      <w:r w:rsidRPr="00FE5851">
        <w:rPr>
          <w:szCs w:val="24"/>
          <w:lang w:val="hu-HU"/>
        </w:rPr>
        <w:t>(2) kiírt opció a megvásárolt opcióval szemben;</w:t>
      </w:r>
      <w:r w:rsidR="00FE5851" w:rsidRPr="00FE5851">
        <w:rPr>
          <w:szCs w:val="24"/>
          <w:lang w:val="hu-HU"/>
        </w:rPr>
        <w:t xml:space="preserve"> </w:t>
      </w:r>
      <w:r w:rsidRPr="00FE5851">
        <w:rPr>
          <w:szCs w:val="24"/>
          <w:lang w:val="hu-HU"/>
        </w:rPr>
        <w:t>és (3) kétoldalú nettósítási megállapodás alá eső kontraktusok.</w:t>
      </w:r>
    </w:p>
    <w:p w14:paraId="468065CA" w14:textId="77777777" w:rsidR="00D313C3" w:rsidRPr="00FE5851" w:rsidRDefault="00D313C3">
      <w:pPr>
        <w:pStyle w:val="Paragraph"/>
        <w:rPr>
          <w:szCs w:val="24"/>
          <w:lang w:val="hu-HU"/>
        </w:rPr>
      </w:pPr>
      <w:r w:rsidRPr="00FE5851">
        <w:rPr>
          <w:i/>
          <w:szCs w:val="24"/>
          <w:lang w:val="hu-HU"/>
        </w:rPr>
        <w:t>Csereügyletek (swapok):</w:t>
      </w:r>
      <w:r w:rsidRPr="00FE5851">
        <w:rPr>
          <w:szCs w:val="24"/>
          <w:lang w:val="hu-HU"/>
        </w:rPr>
        <w:t xml:space="preserve"> A swap névleges összege a mögöttes tőkeösszeg, amelytől kamat, deviza vagy más bevétel és ráfordítás cseréje függ. </w:t>
      </w:r>
    </w:p>
    <w:p w14:paraId="46CDCB6D" w14:textId="77777777" w:rsidR="00D313C3" w:rsidRPr="00FE5851" w:rsidRDefault="00D313C3">
      <w:pPr>
        <w:pStyle w:val="Paragraph"/>
        <w:rPr>
          <w:szCs w:val="24"/>
          <w:lang w:val="hu-HU"/>
        </w:rPr>
      </w:pPr>
      <w:r w:rsidRPr="00FE5851">
        <w:rPr>
          <w:i/>
          <w:szCs w:val="24"/>
          <w:lang w:val="hu-HU"/>
        </w:rPr>
        <w:t>Részvényhez és árucikkhez kapcsolt kontraktusok:</w:t>
      </w:r>
      <w:r w:rsidR="00FE5851" w:rsidRPr="00FE5851">
        <w:rPr>
          <w:szCs w:val="24"/>
          <w:lang w:val="hu-HU"/>
        </w:rPr>
        <w:t xml:space="preserve"> </w:t>
      </w:r>
      <w:r w:rsidRPr="00FE5851">
        <w:rPr>
          <w:szCs w:val="24"/>
          <w:lang w:val="hu-HU"/>
        </w:rPr>
        <w:t>Részvény- vagy árucikk-kontraktusra vonatkozóan jelentendő szerződött összeg a mennyiség (pl. a vételre vagy értékesítésre szerződött áru vagy részvény egységeinek száma szorozva az egység szerződéses árával).</w:t>
      </w:r>
    </w:p>
    <w:p w14:paraId="6001F4A7" w14:textId="77777777" w:rsidR="00D313C3" w:rsidRPr="00FE5851" w:rsidRDefault="00D313C3">
      <w:pPr>
        <w:pStyle w:val="Paragraph"/>
        <w:rPr>
          <w:szCs w:val="24"/>
          <w:lang w:val="hu-HU"/>
        </w:rPr>
      </w:pPr>
      <w:r w:rsidRPr="00FE5851">
        <w:rPr>
          <w:szCs w:val="24"/>
          <w:lang w:val="hu-HU"/>
        </w:rPr>
        <w:lastRenderedPageBreak/>
        <w:t xml:space="preserve">A többszörös tőkecseréjű árukontraktusokra vonatkozóan jelentendő nominális összeg a szerződéses összeg szorozva a még hátralévő tőkecserék szerződésben meghatározott számával. </w:t>
      </w:r>
    </w:p>
    <w:p w14:paraId="4613A5A0" w14:textId="77777777" w:rsidR="00D313C3" w:rsidRPr="00FE5851" w:rsidRDefault="00D313C3">
      <w:pPr>
        <w:pStyle w:val="Paragraph"/>
        <w:rPr>
          <w:szCs w:val="24"/>
          <w:lang w:val="hu-HU"/>
        </w:rPr>
      </w:pPr>
      <w:r w:rsidRPr="00FE5851">
        <w:rPr>
          <w:i/>
          <w:szCs w:val="24"/>
          <w:lang w:val="hu-HU"/>
        </w:rPr>
        <w:t>Hitelderivatívák:</w:t>
      </w:r>
      <w:r w:rsidRPr="00FE5851">
        <w:rPr>
          <w:szCs w:val="24"/>
          <w:lang w:val="hu-HU"/>
        </w:rPr>
        <w:t xml:space="preserve"> A hitelderivatívákra vonatkozóan jelentendő szerződéses összeg az adott referenciahitel nominális értéke.</w:t>
      </w:r>
      <w:r w:rsidR="00FE5851" w:rsidRPr="00FE5851">
        <w:rPr>
          <w:szCs w:val="24"/>
          <w:lang w:val="hu-HU"/>
        </w:rPr>
        <w:t xml:space="preserve"> </w:t>
      </w:r>
      <w:r w:rsidRPr="00FE5851">
        <w:rPr>
          <w:szCs w:val="24"/>
          <w:lang w:val="hu-HU"/>
        </w:rPr>
        <w:t xml:space="preserve">A hitelkockázathoz kapcsolt értékpapírokra (a CLN-ekre) e felmérés nem terjed ki, ezért azokat </w:t>
      </w:r>
      <w:r w:rsidRPr="00FE5851">
        <w:rPr>
          <w:i/>
          <w:szCs w:val="24"/>
          <w:lang w:val="hu-HU"/>
        </w:rPr>
        <w:t>nem</w:t>
      </w:r>
      <w:r w:rsidRPr="00FE5851">
        <w:rPr>
          <w:szCs w:val="24"/>
          <w:lang w:val="hu-HU"/>
        </w:rPr>
        <w:t xml:space="preserve"> kell jelenteni. </w:t>
      </w:r>
    </w:p>
    <w:p w14:paraId="7AC5C7BC" w14:textId="77777777" w:rsidR="00D313C3" w:rsidRPr="00FE5851" w:rsidRDefault="00D313C3">
      <w:pPr>
        <w:pStyle w:val="Paragraph"/>
        <w:rPr>
          <w:szCs w:val="24"/>
          <w:lang w:val="hu-HU"/>
        </w:rPr>
      </w:pPr>
      <w:r w:rsidRPr="00FE5851">
        <w:rPr>
          <w:szCs w:val="24"/>
          <w:lang w:val="hu-HU"/>
        </w:rPr>
        <w:t xml:space="preserve">A származékos piac nagyságának egy másik mértékegysége </w:t>
      </w:r>
      <w:r w:rsidRPr="00FE5851">
        <w:rPr>
          <w:i/>
          <w:szCs w:val="24"/>
          <w:lang w:val="hu-HU"/>
        </w:rPr>
        <w:t>a nyitott kötésállományok bruttó piaci értéke</w:t>
      </w:r>
      <w:r w:rsidRPr="00FE5851">
        <w:rPr>
          <w:szCs w:val="24"/>
          <w:lang w:val="hu-HU"/>
        </w:rPr>
        <w:t>.</w:t>
      </w:r>
      <w:r w:rsidR="00FE5851" w:rsidRPr="00FE5851">
        <w:rPr>
          <w:szCs w:val="24"/>
          <w:lang w:val="hu-HU"/>
        </w:rPr>
        <w:t xml:space="preserve"> </w:t>
      </w:r>
      <w:r w:rsidRPr="00FE5851">
        <w:rPr>
          <w:szCs w:val="24"/>
          <w:lang w:val="hu-HU"/>
        </w:rPr>
        <w:t>A bruttó piaci érték a származékos piaci árkockázat bruttó transzferének nagyságrendjéről is információval szolgál.</w:t>
      </w:r>
      <w:r w:rsidR="00FE5851" w:rsidRPr="00FE5851">
        <w:rPr>
          <w:szCs w:val="24"/>
          <w:lang w:val="hu-HU"/>
        </w:rPr>
        <w:t xml:space="preserve"> </w:t>
      </w:r>
      <w:r w:rsidRPr="00FE5851">
        <w:rPr>
          <w:szCs w:val="24"/>
          <w:lang w:val="hu-HU"/>
        </w:rPr>
        <w:t>Ezen</w:t>
      </w:r>
      <w:r w:rsidR="00A47C18">
        <w:rPr>
          <w:szCs w:val="24"/>
          <w:lang w:val="hu-HU"/>
        </w:rPr>
        <w:t xml:space="preserve"> </w:t>
      </w:r>
      <w:r w:rsidRPr="00FE5851">
        <w:rPr>
          <w:szCs w:val="24"/>
          <w:lang w:val="hu-HU"/>
        </w:rPr>
        <w:t xml:space="preserve">kívül az aktuális piaci áras bruttó piaci érték a származékos piac nagyságának és gazdasági jelentőségének is mércéje, könnyen összehasonlítható a piacok és a termékek között. </w:t>
      </w:r>
    </w:p>
    <w:p w14:paraId="108C649F" w14:textId="77777777" w:rsidR="00D313C3" w:rsidRPr="00FE5851" w:rsidRDefault="00D313C3">
      <w:pPr>
        <w:pStyle w:val="Paragraph"/>
        <w:rPr>
          <w:szCs w:val="24"/>
          <w:lang w:val="hu-HU"/>
        </w:rPr>
      </w:pPr>
      <w:r w:rsidRPr="00FE5851">
        <w:rPr>
          <w:spacing w:val="-2"/>
          <w:szCs w:val="24"/>
          <w:lang w:val="hu-HU"/>
        </w:rPr>
        <w:t xml:space="preserve">A bruttó piaci érték minden nyitott – akár pozitív, akár negatív piaci értékű, a </w:t>
      </w:r>
      <w:r w:rsidR="00C92B05">
        <w:rPr>
          <w:spacing w:val="-2"/>
          <w:szCs w:val="24"/>
          <w:lang w:val="hu-HU"/>
        </w:rPr>
        <w:t>2019</w:t>
      </w:r>
      <w:r w:rsidR="00FE6B21">
        <w:rPr>
          <w:spacing w:val="-2"/>
          <w:szCs w:val="24"/>
          <w:lang w:val="hu-HU"/>
        </w:rPr>
        <w:t xml:space="preserve">. június hónapjának utolsó munkanapján </w:t>
      </w:r>
      <w:r w:rsidRPr="00FE5851">
        <w:rPr>
          <w:spacing w:val="-2"/>
          <w:szCs w:val="24"/>
          <w:lang w:val="hu-HU"/>
        </w:rPr>
        <w:t>aktuális piaci árakon értékelt kötésállomány abszolút értékeinek összegeként definiálható.</w:t>
      </w:r>
      <w:r w:rsidR="00FE5851" w:rsidRPr="00FE5851">
        <w:rPr>
          <w:spacing w:val="-2"/>
          <w:szCs w:val="24"/>
          <w:lang w:val="hu-HU"/>
        </w:rPr>
        <w:t xml:space="preserve"> </w:t>
      </w:r>
      <w:r w:rsidRPr="00FE5851">
        <w:rPr>
          <w:spacing w:val="-2"/>
          <w:szCs w:val="24"/>
          <w:lang w:val="hu-HU"/>
        </w:rPr>
        <w:t>A helyettesítési érték a kapható vagy fizetendő ár abban az esetben, ha az eszközt el kellene adni a piacon a beszámolás időpontjában.</w:t>
      </w:r>
      <w:r w:rsidR="00FE5851" w:rsidRPr="00FE5851">
        <w:rPr>
          <w:spacing w:val="-2"/>
          <w:szCs w:val="24"/>
          <w:lang w:val="hu-HU"/>
        </w:rPr>
        <w:t xml:space="preserve"> </w:t>
      </w:r>
      <w:r w:rsidRPr="00FE5851">
        <w:rPr>
          <w:spacing w:val="-2"/>
          <w:szCs w:val="24"/>
          <w:lang w:val="hu-HU"/>
        </w:rPr>
        <w:t>A piaci érték az az összeg, amelyért egy szerződés elcserélhető lenne egy aktuális (folyó), nem kényszerértékesítést jelentő ügyletben szerződéskötésre kész felek között.</w:t>
      </w:r>
      <w:r w:rsidR="00FE5851" w:rsidRPr="00FE5851">
        <w:rPr>
          <w:spacing w:val="-2"/>
          <w:szCs w:val="24"/>
          <w:lang w:val="hu-HU"/>
        </w:rPr>
        <w:t xml:space="preserve"> </w:t>
      </w:r>
      <w:r w:rsidRPr="00FE5851">
        <w:rPr>
          <w:spacing w:val="-2"/>
          <w:szCs w:val="24"/>
          <w:lang w:val="hu-HU"/>
        </w:rPr>
        <w:t>Amennyiben van árjegyzés a kontraktusra, a kereskedett egységek számát meg kell szorozni a piaci árral.</w:t>
      </w:r>
      <w:r w:rsidR="00FE5851" w:rsidRPr="00FE5851">
        <w:rPr>
          <w:spacing w:val="-2"/>
          <w:szCs w:val="24"/>
          <w:lang w:val="hu-HU"/>
        </w:rPr>
        <w:t xml:space="preserve"> </w:t>
      </w:r>
      <w:r w:rsidRPr="00FE5851">
        <w:rPr>
          <w:spacing w:val="-2"/>
          <w:szCs w:val="24"/>
          <w:lang w:val="hu-HU"/>
        </w:rPr>
        <w:t>Ha nincs piaci</w:t>
      </w:r>
      <w:r w:rsidR="00A36DFB">
        <w:rPr>
          <w:spacing w:val="-2"/>
          <w:szCs w:val="24"/>
          <w:lang w:val="hu-HU"/>
        </w:rPr>
        <w:t xml:space="preserve"> </w:t>
      </w:r>
      <w:r w:rsidRPr="00FE5851">
        <w:rPr>
          <w:spacing w:val="-2"/>
          <w:szCs w:val="24"/>
          <w:lang w:val="hu-HU"/>
        </w:rPr>
        <w:t xml:space="preserve">árjegyzés, a jelentő intézménynek a piaci értéket – a legjobb tudása szerint – becsléssel kell megállapítania egy hasonló kontraktus jegyzett ára alapján vagy a diszkontált cashflow-hoz hasonló értékelési módszerek segítségével. </w:t>
      </w:r>
    </w:p>
    <w:p w14:paraId="74FCDBD5" w14:textId="77777777" w:rsidR="00D313C3" w:rsidRPr="00FE5851" w:rsidRDefault="00D313C3">
      <w:pPr>
        <w:pStyle w:val="Paragraph"/>
        <w:rPr>
          <w:szCs w:val="24"/>
          <w:lang w:val="hu-HU"/>
        </w:rPr>
      </w:pPr>
      <w:r w:rsidRPr="00FE5851">
        <w:rPr>
          <w:szCs w:val="24"/>
          <w:lang w:val="hu-HU"/>
        </w:rPr>
        <w:t>A bruttó piaci érték az összes nyitott kontraktus partner- vagy egyéb nettósítás előtti értéke.</w:t>
      </w:r>
      <w:r w:rsidR="00FE5851" w:rsidRPr="00FE5851">
        <w:rPr>
          <w:szCs w:val="24"/>
          <w:lang w:val="hu-HU"/>
        </w:rPr>
        <w:t xml:space="preserve"> </w:t>
      </w:r>
      <w:r w:rsidRPr="00FE5851">
        <w:rPr>
          <w:szCs w:val="24"/>
          <w:lang w:val="hu-HU"/>
        </w:rPr>
        <w:t>Tehát a bruttó pozitív piaci érték a vállalkozás nyitott kontraktusai összes pozitív helyettesítési értékének összege.</w:t>
      </w:r>
      <w:r w:rsidR="00FE5851" w:rsidRPr="00FE5851">
        <w:rPr>
          <w:szCs w:val="24"/>
          <w:lang w:val="hu-HU"/>
        </w:rPr>
        <w:t xml:space="preserve"> </w:t>
      </w:r>
      <w:r w:rsidRPr="00FE5851">
        <w:rPr>
          <w:szCs w:val="24"/>
          <w:lang w:val="hu-HU"/>
        </w:rPr>
        <w:t xml:space="preserve">Hasonlóképpen: a bruttó negatív piaci érték a vállalkozás kontraktusai teljes negatív helyettesítési értékeinek összege. </w:t>
      </w:r>
    </w:p>
    <w:p w14:paraId="238A83CD" w14:textId="77777777" w:rsidR="00D313C3" w:rsidRPr="00FE5851" w:rsidRDefault="00D313C3">
      <w:pPr>
        <w:pStyle w:val="Paragraph"/>
        <w:rPr>
          <w:szCs w:val="24"/>
          <w:lang w:val="hu-HU"/>
        </w:rPr>
      </w:pPr>
      <w:r w:rsidRPr="00FE5851">
        <w:rPr>
          <w:szCs w:val="24"/>
          <w:lang w:val="hu-HU"/>
        </w:rPr>
        <w:t>A „bruttó” szó azt jelzi, hogy az ugyanazon partnerrel kötött, pozitív és negatív helyettesítési értékű kontraktusok nem nettósíthatók. Nem nettósíthatók a pozitív és negatív kontraktusértékek összegei sem egymással szemben a következő kockázati kategóriákban: devizaárfolyam, kamat, részvény, árucikk, hitel és „egyéb”.</w:t>
      </w:r>
    </w:p>
    <w:p w14:paraId="13EF080C" w14:textId="77777777" w:rsidR="00D313C3" w:rsidRPr="00FE5851" w:rsidRDefault="00D313C3">
      <w:pPr>
        <w:pStyle w:val="Paragraph"/>
        <w:rPr>
          <w:szCs w:val="24"/>
          <w:lang w:val="hu-HU"/>
        </w:rPr>
      </w:pPr>
      <w:r w:rsidRPr="00FE5851">
        <w:rPr>
          <w:szCs w:val="24"/>
          <w:lang w:val="hu-HU"/>
        </w:rPr>
        <w:t xml:space="preserve">Tőzsdén kívüli (OTC) határidős és csereügyletek esetében azon nyitott kontraktusok piaci (vagy helyettesítési) értéke, amelyekben a jelentő fél szerződő partner, pozitív, nulla vagy negatív, attól függően, hogyan mozdult el a mögöttes </w:t>
      </w:r>
      <w:r w:rsidR="008B24B0">
        <w:rPr>
          <w:szCs w:val="24"/>
          <w:lang w:val="hu-HU"/>
        </w:rPr>
        <w:t>instrumentumok</w:t>
      </w:r>
      <w:r w:rsidRPr="00FE5851">
        <w:rPr>
          <w:szCs w:val="24"/>
          <w:lang w:val="hu-HU"/>
        </w:rPr>
        <w:t xml:space="preserve"> ára a szerződéskötés időpontja óta. Kérjük, tekintsék meg a tőzsdén kívüli (OTC) határidős és csereügyletek piaci értéke kiszámításának a mellékletben ismertetett példáit.</w:t>
      </w:r>
    </w:p>
    <w:p w14:paraId="54146D27" w14:textId="77777777" w:rsidR="00D313C3" w:rsidRPr="00FE5851" w:rsidRDefault="00D313C3">
      <w:pPr>
        <w:pStyle w:val="Paragraph"/>
        <w:rPr>
          <w:szCs w:val="24"/>
          <w:lang w:val="hu-HU"/>
        </w:rPr>
      </w:pPr>
      <w:bookmarkStart w:id="10" w:name="_Hlt31437891"/>
      <w:r w:rsidRPr="00FE5851">
        <w:rPr>
          <w:szCs w:val="24"/>
          <w:lang w:val="hu-HU"/>
        </w:rPr>
        <w:t>A tőzsdén kívüli (OTC) határidős és csereügyletektől eltérően a tőzsdén kívüli (OTC) opciós ügyleteknek van piaci értékük a szerződéskötés időpontjában; ez az érték az opció kiírójának fizetett díj.</w:t>
      </w:r>
      <w:r w:rsidR="00FE5851" w:rsidRPr="00FE5851">
        <w:rPr>
          <w:szCs w:val="24"/>
          <w:lang w:val="hu-HU"/>
        </w:rPr>
        <w:t xml:space="preserve"> </w:t>
      </w:r>
      <w:r w:rsidRPr="00FE5851">
        <w:rPr>
          <w:szCs w:val="24"/>
          <w:lang w:val="hu-HU"/>
        </w:rPr>
        <w:t xml:space="preserve">Életciklusuk alatt az opciós szerződéseknek csak pozitív értékük lehet a vevő és negatív az eladó szempontjából. Amennyiben van piaci árjegyzés a kontraktusra, e kontraktus jelentendő piaci ára a szerződés kereskedett egységei számának és ennek a jegyzett piaci árnak a szorzata. Ha nincs jegyzett piaci ár, a nyitott opciós szerződésnek a beszámolás időpontjában fennálló piaci értéke meghatározható az ugyanolyan lehívási árú és hátralévő futamidejű opciók másodpiaci ára alapján, mint az értékelt opcióé vagy opciós árazási modellek alkalmazásával. Opciós árazási modellek estében rendszerint a mögöttes eszközre adott aktuális határidős árjegyzést (az amerikai opciókra az azonnali árat), az implikált volatilitást és az opció lejáratának szempontjából releváns piaci kamatot használják a piaci ár kiszámításához. </w:t>
      </w:r>
    </w:p>
    <w:bookmarkEnd w:id="10"/>
    <w:p w14:paraId="2EAC653C" w14:textId="77777777" w:rsidR="00D313C3" w:rsidRPr="00FE5851" w:rsidRDefault="00D313C3">
      <w:pPr>
        <w:pStyle w:val="Paragraph"/>
        <w:rPr>
          <w:szCs w:val="24"/>
          <w:lang w:val="hu-HU"/>
        </w:rPr>
      </w:pPr>
      <w:r w:rsidRPr="00FE5851">
        <w:rPr>
          <w:szCs w:val="24"/>
          <w:lang w:val="hu-HU"/>
        </w:rPr>
        <w:t xml:space="preserve">A bruttó pozitív piaci érték az összes vásárolt opció aktuális piaci értékének összege, a bruttó negatív piaci érték pedig a kiírt opciók értékének összege. A kiírt és vásárolt opciók ugyanazon partner vonatkozásában nem nettósíthatók egymással szemben, és nem megengedett a nettósítás ugyanazon mögöttes eszközre vonatkozó kiírt és vásárolt opciók esetében sem. </w:t>
      </w:r>
    </w:p>
    <w:p w14:paraId="26B47023" w14:textId="77777777" w:rsidR="00D313C3" w:rsidRPr="00FE5851" w:rsidRDefault="00D313C3">
      <w:pPr>
        <w:pStyle w:val="Paragraph"/>
        <w:rPr>
          <w:szCs w:val="24"/>
          <w:lang w:val="hu-HU"/>
        </w:rPr>
      </w:pPr>
      <w:r w:rsidRPr="00FE5851">
        <w:rPr>
          <w:szCs w:val="24"/>
          <w:lang w:val="hu-HU"/>
        </w:rPr>
        <w:lastRenderedPageBreak/>
        <w:t xml:space="preserve">A nyitott kötésállományokra vonatkozó minden adatnak </w:t>
      </w:r>
      <w:r w:rsidR="00C92B05">
        <w:rPr>
          <w:szCs w:val="24"/>
          <w:lang w:val="hu-HU"/>
        </w:rPr>
        <w:t>2019</w:t>
      </w:r>
      <w:r w:rsidRPr="00FE5851">
        <w:rPr>
          <w:szCs w:val="24"/>
          <w:lang w:val="hu-HU"/>
        </w:rPr>
        <w:t>. június végére vonatkozóan jelentett, akkor érvényes adatnak kell lennie.</w:t>
      </w:r>
    </w:p>
    <w:p w14:paraId="733EB12C" w14:textId="77777777" w:rsidR="00D313C3" w:rsidRPr="00FE5851" w:rsidRDefault="00D313C3">
      <w:pPr>
        <w:pStyle w:val="IndentedHeading2"/>
        <w:rPr>
          <w:szCs w:val="24"/>
          <w:lang w:val="hu-HU"/>
        </w:rPr>
      </w:pPr>
      <w:bookmarkStart w:id="11" w:name="_Toc533082665"/>
      <w:r w:rsidRPr="00FE5851">
        <w:rPr>
          <w:szCs w:val="24"/>
          <w:lang w:val="hu-HU"/>
        </w:rPr>
        <w:t>4.</w:t>
      </w:r>
      <w:r w:rsidRPr="00FE5851">
        <w:rPr>
          <w:szCs w:val="24"/>
          <w:lang w:val="hu-HU"/>
        </w:rPr>
        <w:tab/>
      </w:r>
      <w:r w:rsidR="000361A0">
        <w:rPr>
          <w:szCs w:val="24"/>
          <w:lang w:val="hu-HU"/>
        </w:rPr>
        <w:t>Konszolidált beszámolás</w:t>
      </w:r>
      <w:bookmarkEnd w:id="11"/>
    </w:p>
    <w:p w14:paraId="471FE99B" w14:textId="77777777" w:rsidR="00D313C3" w:rsidRPr="00FE5851" w:rsidRDefault="00D313C3">
      <w:pPr>
        <w:pStyle w:val="Paragraph"/>
        <w:rPr>
          <w:szCs w:val="24"/>
          <w:lang w:val="hu-HU"/>
        </w:rPr>
      </w:pPr>
      <w:r w:rsidRPr="00FE5851">
        <w:rPr>
          <w:szCs w:val="24"/>
          <w:lang w:val="hu-HU"/>
        </w:rPr>
        <w:t xml:space="preserve">A nyitott kötésállományokra vonatkozó adatokat </w:t>
      </w:r>
      <w:r w:rsidRPr="00FE5851">
        <w:rPr>
          <w:i/>
          <w:szCs w:val="24"/>
          <w:lang w:val="hu-HU"/>
        </w:rPr>
        <w:t>konszolidált alapon</w:t>
      </w:r>
      <w:r w:rsidRPr="00FE5851">
        <w:rPr>
          <w:szCs w:val="24"/>
          <w:lang w:val="hu-HU"/>
        </w:rPr>
        <w:t xml:space="preserve"> kell jelenteni.</w:t>
      </w:r>
      <w:r w:rsidR="00FE5851" w:rsidRPr="00FE5851">
        <w:rPr>
          <w:szCs w:val="24"/>
          <w:lang w:val="hu-HU"/>
        </w:rPr>
        <w:t xml:space="preserve"> </w:t>
      </w:r>
      <w:r w:rsidRPr="00FE5851">
        <w:rPr>
          <w:szCs w:val="24"/>
          <w:lang w:val="hu-HU"/>
        </w:rPr>
        <w:t>Ez azt jelenti, hogy egy adott intézmény összes fióktelepének és (többségi tulajdonban lévő) összes leányvállalatának adatait összesíteni kell, s az anyavállalatnak kizárólag azon ország monetáris hatóságainak kell jelentenie őket, ahol az anyavállalat székhelye található.</w:t>
      </w:r>
      <w:r w:rsidR="00FE5851" w:rsidRPr="00FE5851">
        <w:rPr>
          <w:szCs w:val="24"/>
          <w:lang w:val="hu-HU"/>
        </w:rPr>
        <w:t xml:space="preserve"> </w:t>
      </w:r>
      <w:r w:rsidRPr="00FE5851">
        <w:rPr>
          <w:szCs w:val="24"/>
          <w:lang w:val="hu-HU"/>
        </w:rPr>
        <w:t xml:space="preserve">Ugyanazon intézmény kapcsolt vállalatai (azaz fióktelepei és leányvállalatai) közötti ügyleteket tilos jelenteni. </w:t>
      </w:r>
    </w:p>
    <w:p w14:paraId="2E51CCA1" w14:textId="77777777" w:rsidR="00D313C3" w:rsidRDefault="00D313C3">
      <w:pPr>
        <w:pStyle w:val="Paragraph"/>
        <w:rPr>
          <w:szCs w:val="24"/>
          <w:lang w:val="hu-HU"/>
        </w:rPr>
      </w:pPr>
      <w:r w:rsidRPr="00FE5851">
        <w:rPr>
          <w:szCs w:val="24"/>
          <w:lang w:val="hu-HU"/>
        </w:rPr>
        <w:t>A konszolidáció meghatározásának szabályait minden ország saját belátása szerint alkotja meg.</w:t>
      </w:r>
      <w:r w:rsidR="00FE5851" w:rsidRPr="00FE5851">
        <w:rPr>
          <w:szCs w:val="24"/>
          <w:lang w:val="hu-HU"/>
        </w:rPr>
        <w:t xml:space="preserve"> </w:t>
      </w:r>
      <w:r w:rsidRPr="00FE5851">
        <w:rPr>
          <w:szCs w:val="24"/>
          <w:lang w:val="hu-HU"/>
        </w:rPr>
        <w:t>Amennyire lehet, a meghatározásoknak meg kell egyezniük a Bázeli Bankfelügyeleti Bizottság és az IOSCO „</w:t>
      </w:r>
      <w:r w:rsidRPr="00FE5851">
        <w:rPr>
          <w:i/>
          <w:szCs w:val="24"/>
          <w:lang w:val="hu-HU"/>
        </w:rPr>
        <w:t>Közös minimálisinformáció-keret</w:t>
      </w:r>
      <w:r w:rsidRPr="00FE5851">
        <w:rPr>
          <w:szCs w:val="24"/>
          <w:lang w:val="hu-HU"/>
        </w:rPr>
        <w:t>” című ajánlásában foglaltakkal.</w:t>
      </w:r>
      <w:r w:rsidR="00FE5851" w:rsidRPr="00FE5851">
        <w:rPr>
          <w:szCs w:val="24"/>
          <w:lang w:val="hu-HU"/>
        </w:rPr>
        <w:t xml:space="preserve"> </w:t>
      </w:r>
    </w:p>
    <w:p w14:paraId="132416DB" w14:textId="77777777" w:rsidR="005A6850" w:rsidRPr="005A6850" w:rsidRDefault="005A6850" w:rsidP="005A6850">
      <w:pPr>
        <w:pStyle w:val="Paragraph"/>
        <w:rPr>
          <w:szCs w:val="24"/>
          <w:lang w:val="hu-HU"/>
        </w:rPr>
      </w:pPr>
      <w:r>
        <w:rPr>
          <w:szCs w:val="24"/>
          <w:lang w:val="hu-HU"/>
        </w:rPr>
        <w:t xml:space="preserve">5.  </w:t>
      </w:r>
      <w:r w:rsidR="00D70E57">
        <w:rPr>
          <w:szCs w:val="24"/>
          <w:lang w:val="hu-HU"/>
        </w:rPr>
        <w:t>K</w:t>
      </w:r>
      <w:r w:rsidR="00C97024">
        <w:rPr>
          <w:szCs w:val="24"/>
          <w:lang w:val="hu-HU"/>
        </w:rPr>
        <w:t xml:space="preserve">özponti elszámolás </w:t>
      </w:r>
    </w:p>
    <w:p w14:paraId="6A8D8548" w14:textId="77777777" w:rsidR="005A6850" w:rsidRPr="005A6850" w:rsidRDefault="001967E4" w:rsidP="005A6850">
      <w:pPr>
        <w:pStyle w:val="Paragraph"/>
        <w:rPr>
          <w:szCs w:val="24"/>
          <w:lang w:val="hu-HU"/>
        </w:rPr>
      </w:pPr>
      <w:r>
        <w:rPr>
          <w:szCs w:val="24"/>
          <w:lang w:val="hu-HU"/>
        </w:rPr>
        <w:t xml:space="preserve">A pozíciókat </w:t>
      </w:r>
      <w:r w:rsidR="00D70E57">
        <w:rPr>
          <w:szCs w:val="24"/>
          <w:lang w:val="hu-HU"/>
        </w:rPr>
        <w:t xml:space="preserve">a CCP-vel történő szerződéskötést </w:t>
      </w:r>
      <w:r>
        <w:rPr>
          <w:szCs w:val="24"/>
          <w:lang w:val="hu-HU"/>
        </w:rPr>
        <w:t xml:space="preserve">követően szükséges jelenteni. </w:t>
      </w:r>
      <w:r w:rsidR="00D70E57">
        <w:rPr>
          <w:szCs w:val="24"/>
          <w:lang w:val="hu-HU"/>
        </w:rPr>
        <w:t>Ez</w:t>
      </w:r>
      <w:r w:rsidR="00946CF6">
        <w:rPr>
          <w:szCs w:val="24"/>
          <w:lang w:val="hu-HU"/>
        </w:rPr>
        <w:t xml:space="preserve"> </w:t>
      </w:r>
      <w:r w:rsidR="00BE2E80">
        <w:rPr>
          <w:szCs w:val="24"/>
          <w:lang w:val="hu-HU"/>
        </w:rPr>
        <w:t>ala</w:t>
      </w:r>
      <w:r w:rsidR="002C600E">
        <w:rPr>
          <w:szCs w:val="24"/>
          <w:lang w:val="hu-HU"/>
        </w:rPr>
        <w:t xml:space="preserve">tt az a folyamat értendő, </w:t>
      </w:r>
      <w:r w:rsidR="00BE2E80">
        <w:rPr>
          <w:szCs w:val="24"/>
          <w:lang w:val="hu-HU"/>
        </w:rPr>
        <w:t>a</w:t>
      </w:r>
      <w:r w:rsidR="002C600E">
        <w:rPr>
          <w:szCs w:val="24"/>
          <w:lang w:val="hu-HU"/>
        </w:rPr>
        <w:t>mikor egy darab</w:t>
      </w:r>
      <w:r w:rsidR="000D59BA">
        <w:rPr>
          <w:szCs w:val="24"/>
          <w:lang w:val="hu-HU"/>
        </w:rPr>
        <w:t>,</w:t>
      </w:r>
      <w:r w:rsidR="002C600E">
        <w:rPr>
          <w:szCs w:val="24"/>
          <w:lang w:val="hu-HU"/>
        </w:rPr>
        <w:t xml:space="preserve"> két piaci szereplő között létrejött bilaterális szerződést kettő darab</w:t>
      </w:r>
      <w:r w:rsidR="000D59BA">
        <w:rPr>
          <w:szCs w:val="24"/>
          <w:lang w:val="hu-HU"/>
        </w:rPr>
        <w:t>,</w:t>
      </w:r>
      <w:r w:rsidR="002C600E">
        <w:rPr>
          <w:szCs w:val="24"/>
          <w:lang w:val="hu-HU"/>
        </w:rPr>
        <w:t xml:space="preserve"> olyan bilaterális szerződéssel helyettesítenek, amelyek a piaci szereplők és egy</w:t>
      </w:r>
      <w:r w:rsidR="006B45F4">
        <w:rPr>
          <w:szCs w:val="24"/>
          <w:lang w:val="hu-HU"/>
        </w:rPr>
        <w:t xml:space="preserve"> központi szerződő fél</w:t>
      </w:r>
      <w:r w:rsidR="000D59BA">
        <w:rPr>
          <w:szCs w:val="24"/>
          <w:lang w:val="hu-HU"/>
        </w:rPr>
        <w:t xml:space="preserve"> (CCP)</w:t>
      </w:r>
      <w:r w:rsidR="002C600E">
        <w:rPr>
          <w:szCs w:val="24"/>
          <w:lang w:val="hu-HU"/>
        </w:rPr>
        <w:t xml:space="preserve"> között köttettek. </w:t>
      </w:r>
      <w:proofErr w:type="gramStart"/>
      <w:r w:rsidR="00FF6792">
        <w:rPr>
          <w:szCs w:val="24"/>
          <w:lang w:val="hu-HU"/>
        </w:rPr>
        <w:t>Például</w:t>
      </w:r>
      <w:proofErr w:type="gramEnd"/>
      <w:r w:rsidR="00FF6792">
        <w:rPr>
          <w:szCs w:val="24"/>
          <w:lang w:val="hu-HU"/>
        </w:rPr>
        <w:t xml:space="preserve"> ha A és B partnerek között megkötött származékos ügyletet </w:t>
      </w:r>
      <w:r w:rsidR="008004F4">
        <w:rPr>
          <w:szCs w:val="24"/>
          <w:lang w:val="hu-HU"/>
        </w:rPr>
        <w:t xml:space="preserve">A és a központi szerződő fél (CCP) illetve B és a központi szerződő fél (CCP) között megkötött szerződésekkel helyettesítenek. </w:t>
      </w:r>
    </w:p>
    <w:p w14:paraId="523EFE10" w14:textId="77777777" w:rsidR="00FA6AAE" w:rsidRDefault="00FA6AAE" w:rsidP="005A6850">
      <w:pPr>
        <w:pStyle w:val="Paragraph"/>
        <w:rPr>
          <w:szCs w:val="24"/>
          <w:lang w:val="hu-HU"/>
        </w:rPr>
      </w:pPr>
      <w:r>
        <w:rPr>
          <w:szCs w:val="24"/>
          <w:lang w:val="hu-HU"/>
        </w:rPr>
        <w:t>Amennyiben a jelentő dealer</w:t>
      </w:r>
      <w:r w:rsidR="00781255">
        <w:rPr>
          <w:szCs w:val="24"/>
          <w:lang w:val="hu-HU"/>
        </w:rPr>
        <w:t xml:space="preserve">ek CCP-n </w:t>
      </w:r>
      <w:r w:rsidR="006446F5">
        <w:rPr>
          <w:szCs w:val="24"/>
          <w:lang w:val="hu-HU"/>
        </w:rPr>
        <w:t xml:space="preserve">keresztül </w:t>
      </w:r>
      <w:r w:rsidR="00781255">
        <w:rPr>
          <w:szCs w:val="24"/>
          <w:lang w:val="hu-HU"/>
        </w:rPr>
        <w:t>szerződnek, akkor a</w:t>
      </w:r>
      <w:r>
        <w:rPr>
          <w:szCs w:val="24"/>
          <w:lang w:val="hu-HU"/>
        </w:rPr>
        <w:t xml:space="preserve"> pozíciókat </w:t>
      </w:r>
      <w:r w:rsidR="00781255">
        <w:rPr>
          <w:szCs w:val="24"/>
          <w:lang w:val="hu-HU"/>
        </w:rPr>
        <w:t xml:space="preserve">a </w:t>
      </w:r>
      <w:r w:rsidR="00D70E57">
        <w:rPr>
          <w:szCs w:val="24"/>
          <w:lang w:val="hu-HU"/>
        </w:rPr>
        <w:t xml:space="preserve">CCP-vel történő szerződéskötést </w:t>
      </w:r>
      <w:r>
        <w:rPr>
          <w:szCs w:val="24"/>
          <w:lang w:val="hu-HU"/>
        </w:rPr>
        <w:t>követően szükséges meghatározni a felmérés nyitott kötésá</w:t>
      </w:r>
      <w:r w:rsidR="00781255">
        <w:rPr>
          <w:szCs w:val="24"/>
          <w:lang w:val="hu-HU"/>
        </w:rPr>
        <w:t>llományokra vonatkozó részében (a fenti példában az A és a CCP, valamint a B és a CCP között megkötött szerződésekre)</w:t>
      </w:r>
      <w:r w:rsidR="007B3D73">
        <w:rPr>
          <w:szCs w:val="24"/>
          <w:lang w:val="hu-HU"/>
        </w:rPr>
        <w:t>.</w:t>
      </w:r>
      <w:r w:rsidR="00BC5B66">
        <w:rPr>
          <w:szCs w:val="24"/>
          <w:lang w:val="hu-HU"/>
        </w:rPr>
        <w:t xml:space="preserve"> Az eredeti ügyletet (a fenti példában az A és a B között megkötött szerződést) nem kell jelenteni. </w:t>
      </w:r>
      <w:r w:rsidR="000A0B32">
        <w:rPr>
          <w:szCs w:val="24"/>
          <w:lang w:val="hu-HU"/>
        </w:rPr>
        <w:t xml:space="preserve">Továbbá </w:t>
      </w:r>
      <w:r w:rsidR="00123DE9">
        <w:rPr>
          <w:szCs w:val="24"/>
          <w:lang w:val="hu-HU"/>
        </w:rPr>
        <w:t xml:space="preserve">a központi szerződő féllel szemben megkötött ügyleteket külön fel kell tüntetni az egyéb pénzügyi intézményekkel megkötött ügyletek részét képező „ebből központi szerződő féllel szemben megkötött </w:t>
      </w:r>
      <w:proofErr w:type="gramStart"/>
      <w:r w:rsidR="00123DE9">
        <w:rPr>
          <w:szCs w:val="24"/>
          <w:lang w:val="hu-HU"/>
        </w:rPr>
        <w:t>ügyletek”-</w:t>
      </w:r>
      <w:proofErr w:type="gramEnd"/>
      <w:r w:rsidR="00123DE9">
        <w:rPr>
          <w:szCs w:val="24"/>
          <w:lang w:val="hu-HU"/>
        </w:rPr>
        <w:t xml:space="preserve">nél is. </w:t>
      </w:r>
      <w:r w:rsidR="00FD7861">
        <w:rPr>
          <w:szCs w:val="24"/>
          <w:lang w:val="hu-HU"/>
        </w:rPr>
        <w:t>A</w:t>
      </w:r>
      <w:r w:rsidR="00470A31">
        <w:rPr>
          <w:szCs w:val="24"/>
          <w:lang w:val="hu-HU"/>
        </w:rPr>
        <w:t xml:space="preserve"> </w:t>
      </w:r>
      <w:r w:rsidR="00FD7861">
        <w:rPr>
          <w:szCs w:val="24"/>
          <w:lang w:val="hu-HU"/>
        </w:rPr>
        <w:t xml:space="preserve">központi szerződő felekre vonatkozóan egy </w:t>
      </w:r>
      <w:r w:rsidR="00470A31">
        <w:rPr>
          <w:szCs w:val="24"/>
          <w:lang w:val="hu-HU"/>
        </w:rPr>
        <w:t>nem teljes</w:t>
      </w:r>
      <w:r w:rsidR="001B0315">
        <w:rPr>
          <w:szCs w:val="24"/>
          <w:lang w:val="hu-HU"/>
        </w:rPr>
        <w:t xml:space="preserve"> </w:t>
      </w:r>
      <w:r w:rsidR="00470A31">
        <w:rPr>
          <w:szCs w:val="24"/>
          <w:lang w:val="hu-HU"/>
        </w:rPr>
        <w:t xml:space="preserve">körű lista </w:t>
      </w:r>
      <w:r w:rsidR="00FD7861">
        <w:rPr>
          <w:szCs w:val="24"/>
          <w:lang w:val="hu-HU"/>
        </w:rPr>
        <w:t xml:space="preserve">a 2. mellékletben található. </w:t>
      </w:r>
    </w:p>
    <w:p w14:paraId="55A57CA9" w14:textId="77777777" w:rsidR="005A6850" w:rsidRPr="00FE5851" w:rsidRDefault="005A6850" w:rsidP="005A6850">
      <w:pPr>
        <w:pStyle w:val="Paragraph"/>
        <w:rPr>
          <w:szCs w:val="24"/>
          <w:lang w:val="hu-HU"/>
        </w:rPr>
      </w:pPr>
    </w:p>
    <w:p w14:paraId="48AC38DC" w14:textId="77777777" w:rsidR="00D313C3" w:rsidRPr="00FE5851" w:rsidRDefault="00D313C3">
      <w:pPr>
        <w:pStyle w:val="IndentedHeading2"/>
        <w:rPr>
          <w:szCs w:val="24"/>
          <w:lang w:val="hu-HU"/>
        </w:rPr>
      </w:pPr>
      <w:bookmarkStart w:id="12" w:name="_Toc533082666"/>
      <w:r w:rsidRPr="00FE5851">
        <w:rPr>
          <w:szCs w:val="24"/>
          <w:lang w:val="hu-HU"/>
        </w:rPr>
        <w:t>5.</w:t>
      </w:r>
      <w:r w:rsidRPr="00FE5851">
        <w:rPr>
          <w:szCs w:val="24"/>
          <w:lang w:val="hu-HU"/>
        </w:rPr>
        <w:tab/>
        <w:t>A beszámoló pénzneme és devizakonverzió</w:t>
      </w:r>
      <w:bookmarkEnd w:id="12"/>
    </w:p>
    <w:p w14:paraId="120E251E" w14:textId="77777777" w:rsidR="00D313C3" w:rsidRPr="00FE5851" w:rsidRDefault="00D313C3">
      <w:pPr>
        <w:pStyle w:val="Paragraph"/>
        <w:rPr>
          <w:szCs w:val="24"/>
          <w:lang w:val="hu-HU"/>
        </w:rPr>
      </w:pPr>
      <w:r w:rsidRPr="00FE5851">
        <w:rPr>
          <w:szCs w:val="24"/>
          <w:lang w:val="hu-HU"/>
        </w:rPr>
        <w:t>Általánosságban elmondható, hogy a nyitott kötésállományok adatait USD-ben kifejezve kell jelenteni.</w:t>
      </w:r>
      <w:r w:rsidR="00FE5851" w:rsidRPr="00FE5851">
        <w:rPr>
          <w:szCs w:val="24"/>
          <w:lang w:val="hu-HU"/>
        </w:rPr>
        <w:t xml:space="preserve"> </w:t>
      </w:r>
      <w:r w:rsidRPr="00FE5851">
        <w:rPr>
          <w:szCs w:val="24"/>
          <w:lang w:val="hu-HU"/>
        </w:rPr>
        <w:t>A nem dollárban denominált kontraktusokat át kell váltani USD-re a beszámoló</w:t>
      </w:r>
      <w:r w:rsidR="00315C0D">
        <w:rPr>
          <w:szCs w:val="24"/>
          <w:lang w:val="hu-HU"/>
        </w:rPr>
        <w:t xml:space="preserve"> </w:t>
      </w:r>
      <w:r w:rsidRPr="00FE5851">
        <w:rPr>
          <w:szCs w:val="24"/>
          <w:lang w:val="hu-HU"/>
        </w:rPr>
        <w:t>készítés időpontjában érvényes időszak végi devizaárfolyamon.</w:t>
      </w:r>
      <w:r w:rsidR="00FE5851" w:rsidRPr="00FE5851">
        <w:rPr>
          <w:szCs w:val="24"/>
          <w:lang w:val="hu-HU"/>
        </w:rPr>
        <w:t xml:space="preserve"> </w:t>
      </w:r>
      <w:r w:rsidRPr="00FE5851">
        <w:rPr>
          <w:szCs w:val="24"/>
          <w:lang w:val="hu-HU"/>
        </w:rPr>
        <w:t>Gyakorlati megfontolásból a jelentő intézmények használhatják belső (számviteli) árfolyamukat a nem USD-ben denominált nyitott kötésállományok átváltására, ha ezek az árfolyamok jól követik a piaci árfolyamokat.</w:t>
      </w:r>
    </w:p>
    <w:p w14:paraId="43B2B788" w14:textId="77777777" w:rsidR="00D313C3" w:rsidRPr="00FE5851" w:rsidRDefault="00D313C3">
      <w:pPr>
        <w:pStyle w:val="IndentedHeading2"/>
        <w:rPr>
          <w:szCs w:val="24"/>
          <w:lang w:val="hu-HU"/>
        </w:rPr>
      </w:pPr>
      <w:bookmarkStart w:id="13" w:name="_Toc533082667"/>
      <w:r w:rsidRPr="00FE5851">
        <w:rPr>
          <w:szCs w:val="24"/>
          <w:lang w:val="hu-HU"/>
        </w:rPr>
        <w:t>6.</w:t>
      </w:r>
      <w:r w:rsidRPr="00FE5851">
        <w:rPr>
          <w:szCs w:val="24"/>
          <w:lang w:val="hu-HU"/>
        </w:rPr>
        <w:tab/>
        <w:t>Kerekítés</w:t>
      </w:r>
      <w:bookmarkEnd w:id="13"/>
    </w:p>
    <w:p w14:paraId="3A37A8C2" w14:textId="77777777" w:rsidR="006556A4" w:rsidRDefault="006556A4" w:rsidP="006556A4">
      <w:pPr>
        <w:pStyle w:val="Paragraph"/>
      </w:pPr>
      <w:r>
        <w:t>A</w:t>
      </w:r>
      <w:r w:rsidR="00BE2E80">
        <w:t xml:space="preserve"> statisztika összeállítása</w:t>
      </w:r>
      <w:r>
        <w:t xml:space="preserve"> során a jelentő dealereknek – ahogyan </w:t>
      </w:r>
      <w:r w:rsidR="005310DF">
        <w:t>a jegybankoknak is – kerülni</w:t>
      </w:r>
      <w:r w:rsidR="000268BC">
        <w:t xml:space="preserve"> kell a kerekítést</w:t>
      </w:r>
      <w:r>
        <w:t xml:space="preserve"> és legalább 6 tizedesjegy pontossággal kell az adatokat megadni a folyamat minden szintjén. </w:t>
      </w:r>
    </w:p>
    <w:p w14:paraId="0451F7D7" w14:textId="77777777" w:rsidR="006556A4" w:rsidRPr="00B05124" w:rsidRDefault="006556A4" w:rsidP="00946CF6">
      <w:pPr>
        <w:autoSpaceDE w:val="0"/>
        <w:autoSpaceDN w:val="0"/>
        <w:adjustRightInd w:val="0"/>
        <w:jc w:val="both"/>
      </w:pPr>
      <w:r>
        <w:rPr>
          <w:rFonts w:ascii="Arial-ItalicMT" w:hAnsi="Arial-ItalicMT" w:cs="Arial-ItalicMT"/>
          <w:i/>
          <w:iCs/>
          <w:snapToGrid/>
          <w:sz w:val="20"/>
          <w:lang w:val="hu-HU"/>
        </w:rPr>
        <w:t>P</w:t>
      </w:r>
      <w:r w:rsidR="006446F5">
        <w:rPr>
          <w:rFonts w:ascii="Arial-ItalicMT" w:hAnsi="Arial-ItalicMT" w:cs="Arial-ItalicMT"/>
          <w:i/>
          <w:iCs/>
          <w:snapToGrid/>
          <w:sz w:val="20"/>
          <w:lang w:val="hu-HU"/>
        </w:rPr>
        <w:t>élda: 77</w:t>
      </w:r>
      <w:r w:rsidR="00946CF6">
        <w:rPr>
          <w:rFonts w:ascii="Arial-ItalicMT" w:hAnsi="Arial-ItalicMT" w:cs="Arial-ItalicMT"/>
          <w:i/>
          <w:iCs/>
          <w:snapToGrid/>
          <w:sz w:val="20"/>
          <w:lang w:val="hu-HU"/>
        </w:rPr>
        <w:t>327560</w:t>
      </w:r>
      <w:r>
        <w:rPr>
          <w:rFonts w:ascii="Arial-ItalicMT" w:hAnsi="Arial-ItalicMT" w:cs="Arial-ItalicMT"/>
          <w:i/>
          <w:iCs/>
          <w:snapToGrid/>
          <w:sz w:val="20"/>
          <w:lang w:val="hu-HU"/>
        </w:rPr>
        <w:t xml:space="preserve"> USD</w:t>
      </w:r>
      <w:r w:rsidR="00946CF6">
        <w:rPr>
          <w:rFonts w:ascii="Arial-ItalicMT" w:hAnsi="Arial-ItalicMT" w:cs="Arial-ItalicMT"/>
          <w:i/>
          <w:iCs/>
          <w:snapToGrid/>
          <w:sz w:val="20"/>
          <w:lang w:val="hu-HU"/>
        </w:rPr>
        <w:t xml:space="preserve"> összeget</w:t>
      </w:r>
      <w:r>
        <w:rPr>
          <w:rFonts w:ascii="Arial-ItalicMT" w:hAnsi="Arial-ItalicMT" w:cs="Arial-ItalicMT"/>
          <w:i/>
          <w:iCs/>
          <w:snapToGrid/>
          <w:sz w:val="20"/>
          <w:lang w:val="hu-HU"/>
        </w:rPr>
        <w:t xml:space="preserve"> a jelentésben a következőképpen szükséges szerepeltetni: 77.327560 millió USD.</w:t>
      </w:r>
    </w:p>
    <w:p w14:paraId="579DB305" w14:textId="77777777" w:rsidR="00D313C3" w:rsidRPr="00FE5851" w:rsidRDefault="00D313C3">
      <w:pPr>
        <w:pStyle w:val="IndentedHeading2"/>
        <w:rPr>
          <w:szCs w:val="24"/>
          <w:lang w:val="hu-HU"/>
        </w:rPr>
      </w:pPr>
      <w:bookmarkStart w:id="14" w:name="_Toc533082668"/>
      <w:r w:rsidRPr="00FE5851">
        <w:rPr>
          <w:szCs w:val="24"/>
          <w:lang w:val="hu-HU"/>
        </w:rPr>
        <w:lastRenderedPageBreak/>
        <w:t>7.</w:t>
      </w:r>
      <w:r w:rsidRPr="00FE5851">
        <w:rPr>
          <w:szCs w:val="24"/>
          <w:lang w:val="hu-HU"/>
        </w:rPr>
        <w:tab/>
        <w:t>A beszámolás határideje</w:t>
      </w:r>
      <w:bookmarkEnd w:id="14"/>
    </w:p>
    <w:p w14:paraId="57E99E55" w14:textId="77777777" w:rsidR="00D313C3" w:rsidRPr="00FE5851" w:rsidRDefault="00D313C3">
      <w:pPr>
        <w:pStyle w:val="Paragraph"/>
        <w:rPr>
          <w:szCs w:val="24"/>
          <w:lang w:val="hu-HU"/>
        </w:rPr>
      </w:pPr>
      <w:bookmarkStart w:id="15" w:name="_Hlt30848026"/>
      <w:r w:rsidRPr="00FE5851">
        <w:rPr>
          <w:szCs w:val="24"/>
          <w:lang w:val="hu-HU"/>
        </w:rPr>
        <w:t xml:space="preserve">A nemzeti központi bankoknak szolgáltatandó adatok határideje </w:t>
      </w:r>
      <w:r w:rsidR="00C92B05">
        <w:rPr>
          <w:b/>
          <w:szCs w:val="24"/>
          <w:lang w:val="hu-HU"/>
        </w:rPr>
        <w:t>2019</w:t>
      </w:r>
      <w:r w:rsidRPr="00FE5851">
        <w:rPr>
          <w:b/>
          <w:szCs w:val="24"/>
          <w:lang w:val="hu-HU"/>
        </w:rPr>
        <w:t xml:space="preserve">. </w:t>
      </w:r>
      <w:r w:rsidR="000648A2">
        <w:rPr>
          <w:b/>
          <w:szCs w:val="24"/>
          <w:lang w:val="hu-HU"/>
        </w:rPr>
        <w:t xml:space="preserve">július </w:t>
      </w:r>
      <w:r w:rsidR="00C92B05">
        <w:rPr>
          <w:b/>
          <w:szCs w:val="24"/>
          <w:lang w:val="hu-HU"/>
        </w:rPr>
        <w:t>31</w:t>
      </w:r>
      <w:r w:rsidR="000648A2">
        <w:rPr>
          <w:b/>
          <w:szCs w:val="24"/>
          <w:lang w:val="hu-HU"/>
        </w:rPr>
        <w:t>.</w:t>
      </w:r>
      <w:r w:rsidR="00315C0D">
        <w:rPr>
          <w:szCs w:val="24"/>
          <w:lang w:val="hu-HU"/>
        </w:rPr>
        <w:t xml:space="preserve"> </w:t>
      </w:r>
      <w:r w:rsidRPr="00FE5851">
        <w:rPr>
          <w:szCs w:val="24"/>
          <w:lang w:val="hu-HU"/>
        </w:rPr>
        <w:t>Megállapodás értelmében, röviddel ezután, a jegybankok továbbítják az adatokat a BIS-nek</w:t>
      </w:r>
      <w:r w:rsidR="000648A2">
        <w:rPr>
          <w:szCs w:val="24"/>
          <w:lang w:val="hu-HU"/>
        </w:rPr>
        <w:t>.</w:t>
      </w:r>
    </w:p>
    <w:p w14:paraId="386C02B7" w14:textId="77777777" w:rsidR="00D313C3" w:rsidRPr="00FE5851" w:rsidRDefault="00D313C3">
      <w:pPr>
        <w:pStyle w:val="IndentedHeading1"/>
        <w:rPr>
          <w:szCs w:val="24"/>
          <w:lang w:val="hu-HU"/>
        </w:rPr>
      </w:pPr>
      <w:bookmarkStart w:id="16" w:name="_Toc533082669"/>
      <w:bookmarkEnd w:id="15"/>
      <w:r w:rsidRPr="00FE5851">
        <w:rPr>
          <w:szCs w:val="24"/>
          <w:lang w:val="hu-HU"/>
        </w:rPr>
        <w:t>C.</w:t>
      </w:r>
      <w:r w:rsidRPr="00FE5851">
        <w:rPr>
          <w:szCs w:val="24"/>
          <w:lang w:val="hu-HU"/>
        </w:rPr>
        <w:tab/>
        <w:t>Partnerek</w:t>
      </w:r>
      <w:bookmarkEnd w:id="16"/>
    </w:p>
    <w:p w14:paraId="22B0E62C" w14:textId="77777777" w:rsidR="00D313C3" w:rsidRPr="00FE5851" w:rsidRDefault="00D313C3">
      <w:pPr>
        <w:pStyle w:val="Paragraph"/>
        <w:rPr>
          <w:szCs w:val="24"/>
          <w:lang w:val="hu-HU"/>
        </w:rPr>
      </w:pPr>
      <w:r w:rsidRPr="00FE5851">
        <w:rPr>
          <w:szCs w:val="24"/>
          <w:lang w:val="hu-HU"/>
        </w:rPr>
        <w:t>Ahogy a korábbi felmérések esetében is történt, a jelentő intézményeknek a deviza-, kamat-, részvény-, hitel- vagy „egyéb” származékos kockázati kategóriába tartozó minden eszközt szerződésenként a következő partnerbontásban kell megadni: jelentő dealerek, egyéb pénzintézetek és nem pénzügyi ügyfelek.</w:t>
      </w:r>
      <w:r w:rsidR="008E3832">
        <w:rPr>
          <w:szCs w:val="24"/>
          <w:lang w:val="hu-HU"/>
        </w:rPr>
        <w:t xml:space="preserve"> Emellett külön meg kell határozni</w:t>
      </w:r>
      <w:r w:rsidR="008E3832">
        <w:t xml:space="preserve"> az egyéb pénzügyi intézményekkel megkötött ügyleteken belül a központi szerződő felekkel (CCP) szemben megkötött ügyleteket.</w:t>
      </w:r>
    </w:p>
    <w:p w14:paraId="777AE898" w14:textId="77777777" w:rsidR="00D313C3" w:rsidRPr="00FE5851" w:rsidRDefault="00D313C3">
      <w:pPr>
        <w:pStyle w:val="Paragraph"/>
        <w:rPr>
          <w:szCs w:val="24"/>
          <w:lang w:val="hu-HU"/>
        </w:rPr>
      </w:pPr>
      <w:r w:rsidRPr="00FE5851">
        <w:rPr>
          <w:szCs w:val="24"/>
          <w:lang w:val="hu-HU"/>
        </w:rPr>
        <w:t>Az előírt partnerbontás a következő: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5"/>
      </w:tblGrid>
      <w:tr w:rsidR="00D313C3" w:rsidRPr="00FE5851" w14:paraId="16AEBA5A" w14:textId="77777777">
        <w:tc>
          <w:tcPr>
            <w:tcW w:w="2093" w:type="dxa"/>
          </w:tcPr>
          <w:p w14:paraId="4139FB6A" w14:textId="77777777" w:rsidR="00D313C3" w:rsidRPr="00FE5851" w:rsidRDefault="00D313C3">
            <w:pPr>
              <w:pStyle w:val="Bulletpoint"/>
              <w:numPr>
                <w:ilvl w:val="0"/>
                <w:numId w:val="0"/>
              </w:numPr>
              <w:rPr>
                <w:sz w:val="20"/>
                <w:szCs w:val="24"/>
                <w:lang w:val="hu-HU"/>
              </w:rPr>
            </w:pPr>
            <w:r w:rsidRPr="00FE5851">
              <w:rPr>
                <w:sz w:val="20"/>
                <w:szCs w:val="24"/>
                <w:lang w:val="hu-HU"/>
              </w:rPr>
              <w:t>Jelentő dealerek</w:t>
            </w:r>
          </w:p>
          <w:p w14:paraId="686EF66F" w14:textId="77777777" w:rsidR="00D313C3" w:rsidRPr="00FE5851" w:rsidRDefault="00D313C3">
            <w:pPr>
              <w:pStyle w:val="Paragraph"/>
              <w:spacing w:after="100" w:afterAutospacing="1"/>
              <w:rPr>
                <w:sz w:val="20"/>
                <w:szCs w:val="24"/>
                <w:u w:val="single"/>
                <w:lang w:val="hu-HU"/>
              </w:rPr>
            </w:pPr>
          </w:p>
        </w:tc>
        <w:tc>
          <w:tcPr>
            <w:tcW w:w="7195" w:type="dxa"/>
          </w:tcPr>
          <w:p w14:paraId="03F0F3DE" w14:textId="77777777" w:rsidR="00D313C3" w:rsidRPr="00FE5851" w:rsidRDefault="00D313C3">
            <w:pPr>
              <w:pStyle w:val="TableText"/>
              <w:framePr w:wrap="auto" w:yAlign="inline"/>
              <w:rPr>
                <w:szCs w:val="24"/>
                <w:lang w:val="hu-HU"/>
              </w:rPr>
            </w:pPr>
            <w:r w:rsidRPr="00FE5851">
              <w:rPr>
                <w:szCs w:val="24"/>
                <w:lang w:val="hu-HU"/>
              </w:rPr>
              <w:t>A „jelentő dealerek” azok az intézmények, amelyek székhelye részt vesz a BIS által félévente készített származékos piaci statisztikákban (adatgyűjtésben) és a 13 jelentő ország egyikében található.</w:t>
            </w:r>
            <w:r w:rsidRPr="00FE5851">
              <w:rPr>
                <w:rStyle w:val="FootnoteReference"/>
                <w:szCs w:val="24"/>
                <w:lang w:val="hu-HU"/>
              </w:rPr>
              <w:footnoteReference w:id="2"/>
            </w:r>
            <w:r w:rsidR="00FE5851" w:rsidRPr="00FE5851">
              <w:rPr>
                <w:szCs w:val="24"/>
                <w:lang w:val="hu-HU"/>
              </w:rPr>
              <w:t xml:space="preserve"> </w:t>
            </w:r>
            <w:r w:rsidRPr="00FE5851">
              <w:rPr>
                <w:szCs w:val="24"/>
                <w:lang w:val="hu-HU"/>
              </w:rPr>
              <w:t>Ezenkívül a jelentő dealerek közé tartoznak e szervezetek</w:t>
            </w:r>
            <w:r w:rsidR="004E3AE6">
              <w:rPr>
                <w:szCs w:val="24"/>
                <w:lang w:val="hu-HU"/>
              </w:rPr>
              <w:t>nek</w:t>
            </w:r>
            <w:r w:rsidRPr="00FE5851">
              <w:rPr>
                <w:szCs w:val="24"/>
                <w:lang w:val="hu-HU"/>
              </w:rPr>
              <w:t xml:space="preserve"> a világ különböző országaiban található fióktelepei és leányvállalatai is.</w:t>
            </w:r>
            <w:r w:rsidR="00FE5851" w:rsidRPr="00FE5851">
              <w:rPr>
                <w:szCs w:val="24"/>
                <w:lang w:val="hu-HU"/>
              </w:rPr>
              <w:t xml:space="preserve"> </w:t>
            </w:r>
            <w:r w:rsidRPr="00FE5851">
              <w:rPr>
                <w:szCs w:val="24"/>
                <w:lang w:val="hu-HU"/>
              </w:rPr>
              <w:t>A felmérésben a „jelentő dealerek” főként kereskedelmi és befektetési bankok, értékpapír-forgalmazók, ideértve ezek fióktelepeit és leányvállalatait és egyéb szervezeteket, amelyek aktív dealerek.</w:t>
            </w:r>
          </w:p>
          <w:p w14:paraId="4DC84292" w14:textId="77777777" w:rsidR="00D313C3" w:rsidRPr="00FE5851" w:rsidRDefault="00D313C3">
            <w:pPr>
              <w:pStyle w:val="TableText"/>
              <w:framePr w:wrap="auto" w:yAlign="inline"/>
              <w:rPr>
                <w:szCs w:val="24"/>
                <w:lang w:val="hu-HU"/>
              </w:rPr>
            </w:pPr>
            <w:r w:rsidRPr="00FE5851">
              <w:rPr>
                <w:szCs w:val="24"/>
                <w:lang w:val="hu-HU"/>
              </w:rPr>
              <w:t xml:space="preserve">Azért nem tartozik </w:t>
            </w:r>
            <w:r w:rsidRPr="00FE5851">
              <w:rPr>
                <w:i/>
                <w:szCs w:val="24"/>
                <w:lang w:val="hu-HU"/>
              </w:rPr>
              <w:t>minden</w:t>
            </w:r>
            <w:r w:rsidRPr="00FE5851">
              <w:rPr>
                <w:szCs w:val="24"/>
                <w:lang w:val="hu-HU"/>
              </w:rPr>
              <w:t xml:space="preserve"> jelentő intézmény a „jelentő dealerek” kategóriájába, hogy biztosítani lehessen az egységességet a BIS rendszeres származékos piaci statisztikáival és hogy korlátozni lehessen a jelentő dealerekre háruló terheket.</w:t>
            </w:r>
            <w:r w:rsidR="00FE5851" w:rsidRPr="00FE5851">
              <w:rPr>
                <w:szCs w:val="24"/>
                <w:lang w:val="hu-HU"/>
              </w:rPr>
              <w:t xml:space="preserve"> </w:t>
            </w:r>
            <w:r w:rsidRPr="00FE5851">
              <w:rPr>
                <w:szCs w:val="24"/>
                <w:lang w:val="hu-HU"/>
              </w:rPr>
              <w:t>Bár ez a módszer megnehezíti majd a nem rendszeresen jelentők (lásd lenn) közötti ügyletek kétszeres számbavételének pontos kiküszöbölését, az érintett összegek valószínűleg alacsonyak és becsléssel megállapíthatók.</w:t>
            </w:r>
          </w:p>
        </w:tc>
      </w:tr>
      <w:tr w:rsidR="00D313C3" w:rsidRPr="00FE5851" w14:paraId="0389B7F5" w14:textId="77777777">
        <w:tc>
          <w:tcPr>
            <w:tcW w:w="2093" w:type="dxa"/>
          </w:tcPr>
          <w:p w14:paraId="482FC3F8" w14:textId="77777777" w:rsidR="00D313C3" w:rsidRPr="00FE5851" w:rsidRDefault="00D313C3">
            <w:pPr>
              <w:pStyle w:val="Bulletpoint"/>
              <w:numPr>
                <w:ilvl w:val="0"/>
                <w:numId w:val="0"/>
              </w:numPr>
              <w:jc w:val="left"/>
              <w:rPr>
                <w:sz w:val="20"/>
                <w:szCs w:val="24"/>
                <w:lang w:val="hu-HU"/>
              </w:rPr>
            </w:pPr>
            <w:r w:rsidRPr="00FE5851">
              <w:rPr>
                <w:sz w:val="20"/>
                <w:szCs w:val="24"/>
                <w:lang w:val="hu-HU"/>
              </w:rPr>
              <w:t>Más pénzintézetek</w:t>
            </w:r>
          </w:p>
          <w:p w14:paraId="6B7DE08D" w14:textId="77777777" w:rsidR="00D313C3" w:rsidRDefault="00D313C3">
            <w:pPr>
              <w:pStyle w:val="Paragraph"/>
              <w:spacing w:after="100" w:afterAutospacing="1"/>
              <w:rPr>
                <w:sz w:val="20"/>
                <w:szCs w:val="24"/>
                <w:u w:val="single"/>
                <w:lang w:val="hu-HU"/>
              </w:rPr>
            </w:pPr>
          </w:p>
          <w:p w14:paraId="571C6ACC" w14:textId="77777777" w:rsidR="00A23BFF" w:rsidRDefault="00A23BFF">
            <w:pPr>
              <w:pStyle w:val="Paragraph"/>
              <w:spacing w:after="100" w:afterAutospacing="1"/>
              <w:rPr>
                <w:sz w:val="20"/>
                <w:szCs w:val="24"/>
                <w:u w:val="single"/>
                <w:lang w:val="hu-HU"/>
              </w:rPr>
            </w:pPr>
          </w:p>
          <w:p w14:paraId="7839EB66" w14:textId="77777777" w:rsidR="00A23BFF" w:rsidRDefault="00A23BFF">
            <w:pPr>
              <w:pStyle w:val="Paragraph"/>
              <w:spacing w:after="100" w:afterAutospacing="1"/>
              <w:rPr>
                <w:sz w:val="20"/>
                <w:szCs w:val="24"/>
                <w:u w:val="single"/>
                <w:lang w:val="hu-HU"/>
              </w:rPr>
            </w:pPr>
          </w:p>
          <w:p w14:paraId="61089958" w14:textId="77777777" w:rsidR="00A23BFF" w:rsidRDefault="00A23BFF">
            <w:pPr>
              <w:pStyle w:val="Paragraph"/>
              <w:spacing w:after="100" w:afterAutospacing="1"/>
              <w:rPr>
                <w:sz w:val="20"/>
                <w:szCs w:val="24"/>
                <w:u w:val="single"/>
                <w:lang w:val="hu-HU"/>
              </w:rPr>
            </w:pPr>
          </w:p>
          <w:p w14:paraId="21EFB763" w14:textId="77777777" w:rsidR="00A23BFF" w:rsidRDefault="00A23BFF">
            <w:pPr>
              <w:pStyle w:val="Paragraph"/>
              <w:spacing w:after="100" w:afterAutospacing="1"/>
              <w:rPr>
                <w:sz w:val="20"/>
                <w:szCs w:val="24"/>
                <w:u w:val="single"/>
                <w:lang w:val="hu-HU"/>
              </w:rPr>
            </w:pPr>
          </w:p>
          <w:p w14:paraId="045B1275" w14:textId="77777777" w:rsidR="00A23BFF" w:rsidRPr="00CB7D0C" w:rsidRDefault="00A23BFF">
            <w:pPr>
              <w:pStyle w:val="Paragraph"/>
              <w:spacing w:after="100" w:afterAutospacing="1"/>
              <w:rPr>
                <w:sz w:val="20"/>
                <w:szCs w:val="24"/>
                <w:lang w:val="hu-HU"/>
              </w:rPr>
            </w:pPr>
            <w:r w:rsidRPr="00CB7D0C">
              <w:rPr>
                <w:sz w:val="20"/>
                <w:szCs w:val="24"/>
                <w:lang w:val="hu-HU"/>
              </w:rPr>
              <w:t>ebből: központi szerződő felek</w:t>
            </w:r>
          </w:p>
        </w:tc>
        <w:tc>
          <w:tcPr>
            <w:tcW w:w="7195" w:type="dxa"/>
          </w:tcPr>
          <w:p w14:paraId="34DFBC8A" w14:textId="77777777" w:rsidR="00D313C3" w:rsidRDefault="00D313C3" w:rsidP="00222294">
            <w:pPr>
              <w:pStyle w:val="TableText"/>
              <w:framePr w:wrap="auto" w:yAlign="inline"/>
              <w:rPr>
                <w:szCs w:val="24"/>
                <w:lang w:val="hu-HU"/>
              </w:rPr>
            </w:pPr>
            <w:r w:rsidRPr="00FE5851">
              <w:rPr>
                <w:szCs w:val="24"/>
                <w:lang w:val="hu-HU"/>
              </w:rPr>
              <w:t xml:space="preserve">Ez a kategória lefedi azon intézmények összes kategóriáit, amelyeket </w:t>
            </w:r>
            <w:r w:rsidRPr="00FE5851">
              <w:rPr>
                <w:i/>
                <w:szCs w:val="24"/>
                <w:lang w:val="hu-HU"/>
              </w:rPr>
              <w:t>nem</w:t>
            </w:r>
            <w:r w:rsidRPr="00FE5851">
              <w:rPr>
                <w:szCs w:val="24"/>
                <w:lang w:val="hu-HU"/>
              </w:rPr>
              <w:t xml:space="preserve"> „jelentő </w:t>
            </w:r>
            <w:proofErr w:type="gramStart"/>
            <w:r w:rsidRPr="00FE5851">
              <w:rPr>
                <w:szCs w:val="24"/>
                <w:lang w:val="hu-HU"/>
              </w:rPr>
              <w:t>dealer”-</w:t>
            </w:r>
            <w:proofErr w:type="gramEnd"/>
            <w:r w:rsidRPr="00FE5851">
              <w:rPr>
                <w:szCs w:val="24"/>
                <w:lang w:val="hu-HU"/>
              </w:rPr>
              <w:t xml:space="preserve">ként kategorizáltak (bankok, </w:t>
            </w:r>
            <w:r w:rsidR="00A23BFF">
              <w:rPr>
                <w:szCs w:val="24"/>
                <w:lang w:val="hu-HU"/>
              </w:rPr>
              <w:t xml:space="preserve">központi szerződő felek, </w:t>
            </w:r>
            <w:r w:rsidRPr="00FE5851">
              <w:rPr>
                <w:szCs w:val="24"/>
                <w:lang w:val="hu-HU"/>
              </w:rPr>
              <w:t>alapok és nem pénzügyi intézmények, amelyek pénzügyi végfelhasználóknak tekinthetők: pl. nyíltvégű befektetési alap, nyugdíjpénztár, fedezeti alap, devizaalap, pénzpiaci alap, lakástakarék-pénztár, lízingcég, biztosító és jegybank).</w:t>
            </w:r>
            <w:r w:rsidR="00FE5851" w:rsidRPr="00FE5851">
              <w:rPr>
                <w:szCs w:val="24"/>
                <w:lang w:val="hu-HU"/>
              </w:rPr>
              <w:t xml:space="preserve"> </w:t>
            </w:r>
          </w:p>
          <w:p w14:paraId="0650D028" w14:textId="77777777" w:rsidR="00006E68" w:rsidRDefault="00006E68" w:rsidP="004323DE">
            <w:pPr>
              <w:pStyle w:val="TableText"/>
              <w:framePr w:wrap="around"/>
              <w:rPr>
                <w:szCs w:val="24"/>
                <w:lang w:val="hu-HU"/>
              </w:rPr>
            </w:pPr>
          </w:p>
          <w:p w14:paraId="654E2FB9" w14:textId="77777777" w:rsidR="00A23BFF" w:rsidRPr="00FE5851" w:rsidRDefault="002C191B" w:rsidP="004323DE">
            <w:pPr>
              <w:pStyle w:val="TableText"/>
              <w:framePr w:wrap="around"/>
              <w:rPr>
                <w:szCs w:val="24"/>
                <w:lang w:val="hu-HU"/>
              </w:rPr>
            </w:pPr>
            <w:r>
              <w:rPr>
                <w:szCs w:val="24"/>
                <w:lang w:val="hu-HU"/>
              </w:rPr>
              <w:t xml:space="preserve">A központi szerződő fél egy olyan entitás, amely a szerződő partnerek „között” </w:t>
            </w:r>
            <w:r w:rsidR="00675856">
              <w:rPr>
                <w:szCs w:val="24"/>
                <w:lang w:val="hu-HU"/>
              </w:rPr>
              <w:t>helyezkedik el</w:t>
            </w:r>
            <w:r w:rsidR="00F860E1">
              <w:rPr>
                <w:szCs w:val="24"/>
                <w:lang w:val="hu-HU"/>
              </w:rPr>
              <w:t xml:space="preserve"> egy vagy több pénzügyi piacon k</w:t>
            </w:r>
            <w:r w:rsidR="00BD529B">
              <w:rPr>
                <w:szCs w:val="24"/>
                <w:lang w:val="hu-HU"/>
              </w:rPr>
              <w:t xml:space="preserve">ereskedett szerződések esetében, ezzel vevői oldalon jelenik meg az eladókkal szemben és eladói oldalon a </w:t>
            </w:r>
            <w:r w:rsidR="00675856">
              <w:rPr>
                <w:szCs w:val="24"/>
                <w:lang w:val="hu-HU"/>
              </w:rPr>
              <w:t>vevőkkel szemben (lásd a központi szerződő felekre (CCP) vonatkozó nem teljes</w:t>
            </w:r>
            <w:r w:rsidR="004323DE">
              <w:rPr>
                <w:szCs w:val="24"/>
                <w:lang w:val="hu-HU"/>
              </w:rPr>
              <w:t xml:space="preserve"> </w:t>
            </w:r>
            <w:r w:rsidR="00675856">
              <w:rPr>
                <w:szCs w:val="24"/>
                <w:lang w:val="hu-HU"/>
              </w:rPr>
              <w:t xml:space="preserve">körű listát a 2. mellékletben). </w:t>
            </w:r>
            <w:r>
              <w:rPr>
                <w:szCs w:val="24"/>
                <w:lang w:val="hu-HU"/>
              </w:rPr>
              <w:t xml:space="preserve">                                                 </w:t>
            </w:r>
          </w:p>
        </w:tc>
      </w:tr>
      <w:tr w:rsidR="00D313C3" w:rsidRPr="00FE5851" w14:paraId="71B9BA4B" w14:textId="77777777">
        <w:tc>
          <w:tcPr>
            <w:tcW w:w="2093" w:type="dxa"/>
          </w:tcPr>
          <w:p w14:paraId="5562ED1F" w14:textId="77777777" w:rsidR="00D313C3" w:rsidRPr="00FE5851" w:rsidRDefault="00D313C3" w:rsidP="00D20531">
            <w:pPr>
              <w:pStyle w:val="Bulletpoint"/>
              <w:numPr>
                <w:ilvl w:val="0"/>
                <w:numId w:val="0"/>
              </w:numPr>
              <w:jc w:val="left"/>
              <w:rPr>
                <w:szCs w:val="24"/>
                <w:lang w:val="hu-HU"/>
              </w:rPr>
            </w:pPr>
            <w:r w:rsidRPr="00FE5851">
              <w:rPr>
                <w:sz w:val="20"/>
                <w:szCs w:val="24"/>
                <w:lang w:val="hu-HU"/>
              </w:rPr>
              <w:t>Nem pénzügyi ügyfelek</w:t>
            </w:r>
          </w:p>
        </w:tc>
        <w:tc>
          <w:tcPr>
            <w:tcW w:w="7195" w:type="dxa"/>
          </w:tcPr>
          <w:p w14:paraId="4F2FA42A" w14:textId="77777777" w:rsidR="00D313C3" w:rsidRPr="00FE5851" w:rsidRDefault="00D313C3">
            <w:pPr>
              <w:pStyle w:val="TableText"/>
              <w:framePr w:wrap="auto" w:yAlign="inline"/>
              <w:rPr>
                <w:szCs w:val="24"/>
                <w:lang w:val="hu-HU"/>
              </w:rPr>
            </w:pPr>
            <w:r w:rsidRPr="00FE5851">
              <w:rPr>
                <w:szCs w:val="24"/>
                <w:lang w:val="hu-HU"/>
              </w:rPr>
              <w:t xml:space="preserve">A fenti kategóriák egyikébe sem tartozó partnerek, azaz főként nem pénzügyi végfelhasználók, pl. vállalatok, tehetős magánbefektetők és nem pénzügyi kormányzati szervek. </w:t>
            </w:r>
          </w:p>
        </w:tc>
      </w:tr>
    </w:tbl>
    <w:p w14:paraId="7D2CC3AE" w14:textId="77777777" w:rsidR="00D313C3" w:rsidRPr="00FE5851" w:rsidRDefault="00D313C3">
      <w:pPr>
        <w:pStyle w:val="Paragraph"/>
        <w:spacing w:before="360"/>
        <w:rPr>
          <w:szCs w:val="24"/>
          <w:lang w:val="hu-HU"/>
        </w:rPr>
      </w:pPr>
      <w:r w:rsidRPr="00FE5851">
        <w:rPr>
          <w:i/>
          <w:szCs w:val="24"/>
          <w:lang w:val="hu-HU"/>
        </w:rPr>
        <w:lastRenderedPageBreak/>
        <w:t xml:space="preserve">A kettős számbavétel kiküszöbölése: </w:t>
      </w:r>
      <w:r w:rsidRPr="00FE5851">
        <w:rPr>
          <w:szCs w:val="24"/>
          <w:lang w:val="hu-HU"/>
        </w:rPr>
        <w:t xml:space="preserve">Kettős számbavétel abból adódik, hogy két, jelentő szervezet közötti ügyletet mindkét fél rögzít, vagyis az ügyletet kétszer rögzítik. A piac teljes méretére úgy lehet következtetni, ha elvégezzük a dealerek közötti kettős számbavétel miatti kiigazítást. </w:t>
      </w:r>
    </w:p>
    <w:p w14:paraId="395BF4E7" w14:textId="77777777" w:rsidR="00D313C3" w:rsidRPr="00FE5851" w:rsidRDefault="00D313C3">
      <w:pPr>
        <w:pStyle w:val="Paragraph"/>
        <w:rPr>
          <w:szCs w:val="24"/>
          <w:lang w:val="hu-HU"/>
        </w:rPr>
      </w:pPr>
      <w:r w:rsidRPr="00FE5851">
        <w:rPr>
          <w:szCs w:val="24"/>
          <w:lang w:val="hu-HU"/>
        </w:rPr>
        <w:t xml:space="preserve">Annak érdekében, hogy pontosan lehessen kiküszöbölni két jelentő fél tranzakcióinak kétszeres számbavételét, a jelentő intézményeknek legjobb tudásuk szerint kell beazonosítani a „jelentő </w:t>
      </w:r>
      <w:proofErr w:type="gramStart"/>
      <w:r w:rsidRPr="00FE5851">
        <w:rPr>
          <w:szCs w:val="24"/>
          <w:lang w:val="hu-HU"/>
        </w:rPr>
        <w:t>dealerek”-</w:t>
      </w:r>
      <w:proofErr w:type="gramEnd"/>
      <w:r w:rsidRPr="00FE5851">
        <w:rPr>
          <w:szCs w:val="24"/>
          <w:lang w:val="hu-HU"/>
        </w:rPr>
        <w:t>kel kötött ügyleteket.</w:t>
      </w:r>
      <w:r w:rsidR="00FE5851" w:rsidRPr="00FE5851">
        <w:rPr>
          <w:szCs w:val="24"/>
          <w:lang w:val="hu-HU"/>
        </w:rPr>
        <w:t xml:space="preserve"> </w:t>
      </w:r>
      <w:r w:rsidRPr="00FE5851">
        <w:rPr>
          <w:szCs w:val="24"/>
          <w:lang w:val="hu-HU"/>
        </w:rPr>
        <w:t xml:space="preserve">Két különböző jegyzék áll majd a jelentő intézmények rendelkezésére ebben a felmérésben a „jelentő </w:t>
      </w:r>
      <w:proofErr w:type="gramStart"/>
      <w:r w:rsidRPr="00FE5851">
        <w:rPr>
          <w:szCs w:val="24"/>
          <w:lang w:val="hu-HU"/>
        </w:rPr>
        <w:t>delaerek”-</w:t>
      </w:r>
      <w:proofErr w:type="gramEnd"/>
      <w:r w:rsidRPr="00FE5851">
        <w:rPr>
          <w:szCs w:val="24"/>
          <w:lang w:val="hu-HU"/>
        </w:rPr>
        <w:t>re vonatkozóan: egy a forgalmi adatokhoz és egy másik a nyitott kötésállományokhoz</w:t>
      </w:r>
      <w:r w:rsidR="0056128C">
        <w:rPr>
          <w:szCs w:val="24"/>
          <w:lang w:val="hu-HU"/>
        </w:rPr>
        <w:t>.</w:t>
      </w:r>
      <w:r w:rsidRPr="00FE5851">
        <w:rPr>
          <w:szCs w:val="24"/>
          <w:lang w:val="hu-HU"/>
        </w:rPr>
        <w:t xml:space="preserve"> </w:t>
      </w:r>
    </w:p>
    <w:p w14:paraId="17CF2427" w14:textId="77777777" w:rsidR="00D313C3" w:rsidRPr="00FE5851" w:rsidRDefault="00D313C3">
      <w:pPr>
        <w:pStyle w:val="IndentedHeading1"/>
        <w:rPr>
          <w:szCs w:val="24"/>
          <w:lang w:val="hu-HU"/>
        </w:rPr>
      </w:pPr>
      <w:bookmarkStart w:id="17" w:name="_Toc533082670"/>
      <w:r w:rsidRPr="00FE5851">
        <w:rPr>
          <w:szCs w:val="24"/>
          <w:lang w:val="hu-HU"/>
        </w:rPr>
        <w:t>D.</w:t>
      </w:r>
      <w:r w:rsidRPr="00FE5851">
        <w:rPr>
          <w:szCs w:val="24"/>
          <w:lang w:val="hu-HU"/>
        </w:rPr>
        <w:tab/>
        <w:t>Devizák és egyéb kockázati tényezők bontása</w:t>
      </w:r>
      <w:bookmarkEnd w:id="17"/>
    </w:p>
    <w:p w14:paraId="00AAA4AB" w14:textId="77777777" w:rsidR="00D313C3" w:rsidRPr="00FE5851" w:rsidRDefault="00D313C3">
      <w:pPr>
        <w:pStyle w:val="Paragraph"/>
        <w:rPr>
          <w:szCs w:val="24"/>
          <w:lang w:val="hu-HU"/>
        </w:rPr>
      </w:pPr>
      <w:r w:rsidRPr="00FE5851">
        <w:rPr>
          <w:szCs w:val="24"/>
          <w:lang w:val="hu-HU"/>
        </w:rPr>
        <w:t xml:space="preserve">A </w:t>
      </w:r>
      <w:r w:rsidRPr="00FE5851">
        <w:rPr>
          <w:i/>
          <w:szCs w:val="24"/>
          <w:lang w:val="hu-HU"/>
        </w:rPr>
        <w:t>deviza-</w:t>
      </w:r>
      <w:r w:rsidRPr="00FE5851">
        <w:rPr>
          <w:szCs w:val="24"/>
          <w:lang w:val="hu-HU"/>
        </w:rPr>
        <w:t xml:space="preserve"> és kamat</w:t>
      </w:r>
      <w:r w:rsidRPr="00FE5851">
        <w:rPr>
          <w:i/>
          <w:szCs w:val="24"/>
          <w:lang w:val="hu-HU"/>
        </w:rPr>
        <w:t>kontraktusok</w:t>
      </w:r>
      <w:r w:rsidRPr="00FE5851">
        <w:rPr>
          <w:szCs w:val="24"/>
          <w:lang w:val="hu-HU"/>
        </w:rPr>
        <w:t xml:space="preserve"> </w:t>
      </w:r>
      <w:r w:rsidRPr="00FE5851">
        <w:rPr>
          <w:i/>
          <w:szCs w:val="24"/>
          <w:lang w:val="hu-HU"/>
        </w:rPr>
        <w:t>nyitott kötésállományát</w:t>
      </w:r>
      <w:r w:rsidRPr="00FE5851">
        <w:rPr>
          <w:szCs w:val="24"/>
          <w:lang w:val="hu-HU"/>
        </w:rPr>
        <w:t xml:space="preserve"> az alábbi devizák szerinti bontásban kell megadni: </w:t>
      </w:r>
    </w:p>
    <w:p w14:paraId="2D7BE5F3" w14:textId="77777777" w:rsidR="00D313C3" w:rsidRPr="00FE5851" w:rsidRDefault="00D313C3">
      <w:pPr>
        <w:pStyle w:val="Paragraph"/>
        <w:rPr>
          <w:szCs w:val="24"/>
          <w:lang w:val="hu-HU"/>
        </w:rPr>
      </w:pPr>
      <w:r w:rsidRPr="00FE5851">
        <w:rPr>
          <w:szCs w:val="24"/>
          <w:lang w:val="hu-HU"/>
        </w:rPr>
        <w:t>USD, EUR, JPY, GBP, CHF</w:t>
      </w:r>
      <w:r w:rsidR="00361836">
        <w:rPr>
          <w:szCs w:val="24"/>
          <w:lang w:val="hu-HU"/>
        </w:rPr>
        <w:t>, CAD, SEK</w:t>
      </w:r>
      <w:r w:rsidRPr="00FE5851">
        <w:rPr>
          <w:szCs w:val="24"/>
          <w:lang w:val="hu-HU"/>
        </w:rPr>
        <w:t xml:space="preserve"> és egyéb devizák.</w:t>
      </w:r>
    </w:p>
    <w:p w14:paraId="05316D1B" w14:textId="77777777" w:rsidR="00E941F8" w:rsidRDefault="00D313C3">
      <w:pPr>
        <w:pStyle w:val="Paragraph"/>
        <w:rPr>
          <w:szCs w:val="24"/>
          <w:lang w:val="hu-HU"/>
        </w:rPr>
      </w:pPr>
      <w:r w:rsidRPr="00FE5851">
        <w:rPr>
          <w:szCs w:val="24"/>
          <w:lang w:val="hu-HU"/>
        </w:rPr>
        <w:t>A jelentő intézményeknek külön-külön kell jelezniük az egyes egyéb devizákat</w:t>
      </w:r>
      <w:r w:rsidR="00E941F8">
        <w:rPr>
          <w:szCs w:val="24"/>
          <w:lang w:val="hu-HU"/>
        </w:rPr>
        <w:t>,</w:t>
      </w:r>
      <w:r w:rsidR="00222294" w:rsidRPr="00FE5851">
        <w:rPr>
          <w:szCs w:val="24"/>
          <w:lang w:val="hu-HU"/>
        </w:rPr>
        <w:t xml:space="preserve"> </w:t>
      </w:r>
      <w:r w:rsidR="00222294">
        <w:rPr>
          <w:szCs w:val="24"/>
          <w:lang w:val="hu-HU"/>
        </w:rPr>
        <w:t>ha</w:t>
      </w:r>
      <w:r w:rsidRPr="00FE5851">
        <w:rPr>
          <w:szCs w:val="24"/>
          <w:lang w:val="hu-HU"/>
        </w:rPr>
        <w:t xml:space="preserve"> a nyitott kötésállomány egy adott devizában denominált névleges összege egy adott instrumentumra vonatkozóan meghaladja a nyitott kötésállomány teljes névleges összegének </w:t>
      </w:r>
      <w:r w:rsidR="00E941F8">
        <w:rPr>
          <w:szCs w:val="24"/>
          <w:lang w:val="hu-HU"/>
        </w:rPr>
        <w:t>2</w:t>
      </w:r>
      <w:r w:rsidRPr="00FE5851">
        <w:rPr>
          <w:szCs w:val="24"/>
          <w:lang w:val="hu-HU"/>
        </w:rPr>
        <w:t>%-át.</w:t>
      </w:r>
      <w:r w:rsidR="00FE5851" w:rsidRPr="00FE5851">
        <w:rPr>
          <w:szCs w:val="24"/>
          <w:lang w:val="hu-HU"/>
        </w:rPr>
        <w:t xml:space="preserve"> </w:t>
      </w:r>
    </w:p>
    <w:p w14:paraId="54334AE9" w14:textId="77777777" w:rsidR="00D313C3" w:rsidRPr="00FE5851" w:rsidRDefault="00D313C3">
      <w:pPr>
        <w:pStyle w:val="Paragraph"/>
        <w:rPr>
          <w:szCs w:val="24"/>
          <w:lang w:val="hu-HU"/>
        </w:rPr>
      </w:pPr>
      <w:r w:rsidRPr="00FE5851">
        <w:rPr>
          <w:szCs w:val="24"/>
          <w:lang w:val="hu-HU"/>
        </w:rPr>
        <w:t xml:space="preserve">A </w:t>
      </w:r>
      <w:r w:rsidRPr="00FE5851">
        <w:rPr>
          <w:i/>
          <w:szCs w:val="24"/>
          <w:lang w:val="hu-HU"/>
        </w:rPr>
        <w:t>devizakontraktusok</w:t>
      </w:r>
      <w:r w:rsidRPr="00FE5851">
        <w:rPr>
          <w:szCs w:val="24"/>
          <w:lang w:val="hu-HU"/>
        </w:rPr>
        <w:t xml:space="preserve"> nyitott kötésállományát egydevizás alapon kell megbontani.</w:t>
      </w:r>
      <w:r w:rsidR="00FE5851" w:rsidRPr="00FE5851">
        <w:rPr>
          <w:szCs w:val="24"/>
          <w:lang w:val="hu-HU"/>
        </w:rPr>
        <w:t xml:space="preserve"> </w:t>
      </w:r>
      <w:r w:rsidRPr="00FE5851">
        <w:rPr>
          <w:szCs w:val="24"/>
          <w:lang w:val="hu-HU"/>
        </w:rPr>
        <w:t>Ez azt jelenti, hogy minden kontraktus névleges nyitott kötésállományát és bruttó pozitív vagy negatív piaci értékét kétszer kell jelenteni a szerződés két „</w:t>
      </w:r>
      <w:proofErr w:type="gramStart"/>
      <w:r w:rsidRPr="00FE5851">
        <w:rPr>
          <w:szCs w:val="24"/>
          <w:lang w:val="hu-HU"/>
        </w:rPr>
        <w:t>láb”-</w:t>
      </w:r>
      <w:proofErr w:type="gramEnd"/>
      <w:r w:rsidRPr="00FE5851">
        <w:rPr>
          <w:szCs w:val="24"/>
          <w:lang w:val="hu-HU"/>
        </w:rPr>
        <w:t>át alkotó devizák szerint. Az egyes devizákra vonatkozóan megadott teljes összeg tehát a teljes nyitott kötésállomány 200%-a lesz.</w:t>
      </w:r>
      <w:r w:rsidR="00FE5851" w:rsidRPr="00FE5851">
        <w:rPr>
          <w:szCs w:val="24"/>
          <w:lang w:val="hu-HU"/>
        </w:rPr>
        <w:t xml:space="preserve"> </w:t>
      </w:r>
      <w:r w:rsidRPr="00FE5851">
        <w:rPr>
          <w:szCs w:val="24"/>
          <w:lang w:val="hu-HU"/>
        </w:rPr>
        <w:t xml:space="preserve">Például, ha egy jelentő intézmény határidős kontraktust köt USD vételére euro ellenében, 100 millió USD névleges tőkeösszegben, akkor 100 millió USD-t az USD-oszlopban és egy másik 100 millió USD-t az EUR-oszlopban kell szerepeltetnie. </w:t>
      </w:r>
    </w:p>
    <w:p w14:paraId="4ECDA147" w14:textId="77777777" w:rsidR="00D313C3" w:rsidRPr="00FE5851" w:rsidRDefault="00D313C3">
      <w:pPr>
        <w:pStyle w:val="Paragraph"/>
        <w:rPr>
          <w:szCs w:val="24"/>
          <w:lang w:val="hu-HU"/>
        </w:rPr>
      </w:pPr>
      <w:r w:rsidRPr="00FE5851">
        <w:rPr>
          <w:szCs w:val="24"/>
          <w:lang w:val="hu-HU"/>
        </w:rPr>
        <w:t>A részvénykapcsolt kontraktusokat annak megfelelően kell kategorizálni, hogy az USA, Japán, (Kelet-Európa kivételével) Európa, Latin-Amerika, Ázsia vagy egyéb országok részvény- vagy tőzsdeindexeihez kapcsolódnak-e.</w:t>
      </w:r>
      <w:r w:rsidR="00FE5851" w:rsidRPr="00FE5851">
        <w:rPr>
          <w:szCs w:val="24"/>
          <w:lang w:val="hu-HU"/>
        </w:rPr>
        <w:t xml:space="preserve"> </w:t>
      </w:r>
      <w:r w:rsidRPr="00FE5851">
        <w:rPr>
          <w:szCs w:val="24"/>
          <w:lang w:val="hu-HU"/>
        </w:rPr>
        <w:t xml:space="preserve">A kontraktusokat a mögöttes eszköz kibocsátójának nemzetisége szerint kell allokálni, nem pedig a kereskedés helyszíne szerint kell besorolni az egyes kategóriákba. Az árupiaci, hitel- és „egyéb” derivatívákat nem kell kockázati tényezőnként tovább bontani. </w:t>
      </w:r>
    </w:p>
    <w:p w14:paraId="41B0EDAB" w14:textId="77777777" w:rsidR="00D313C3" w:rsidRPr="00FE5851" w:rsidRDefault="00D313C3">
      <w:pPr>
        <w:pStyle w:val="IndentedHeading1"/>
        <w:rPr>
          <w:szCs w:val="24"/>
          <w:lang w:val="hu-HU"/>
        </w:rPr>
      </w:pPr>
      <w:bookmarkStart w:id="18" w:name="_Toc533082671"/>
      <w:r w:rsidRPr="00FE5851">
        <w:rPr>
          <w:szCs w:val="24"/>
          <w:lang w:val="hu-HU"/>
        </w:rPr>
        <w:t>E.</w:t>
      </w:r>
      <w:r w:rsidRPr="00FE5851">
        <w:rPr>
          <w:szCs w:val="24"/>
          <w:lang w:val="hu-HU"/>
        </w:rPr>
        <w:tab/>
        <w:t>Lejáratok</w:t>
      </w:r>
      <w:bookmarkEnd w:id="18"/>
    </w:p>
    <w:p w14:paraId="3B9AA0E6" w14:textId="77777777" w:rsidR="00D313C3" w:rsidRPr="00FE5851" w:rsidRDefault="00D313C3">
      <w:pPr>
        <w:pStyle w:val="Paragraph"/>
        <w:rPr>
          <w:szCs w:val="24"/>
          <w:lang w:val="hu-HU"/>
        </w:rPr>
      </w:pPr>
      <w:r w:rsidRPr="00FE5851">
        <w:rPr>
          <w:szCs w:val="24"/>
          <w:lang w:val="hu-HU"/>
        </w:rPr>
        <w:t xml:space="preserve">Devizához (és aranyhoz), kamathoz és részvényhez kapcsolt nyitott kötésállományokat hátralévő futamidő szerinti bontásban kell szerepeltetni az alábbi sávok szerint: </w:t>
      </w:r>
    </w:p>
    <w:p w14:paraId="361B60FC" w14:textId="77777777" w:rsidR="00D313C3" w:rsidRPr="00FE5851" w:rsidRDefault="00D313C3">
      <w:pPr>
        <w:pStyle w:val="Bulletpoint"/>
        <w:numPr>
          <w:ilvl w:val="0"/>
          <w:numId w:val="6"/>
        </w:numPr>
        <w:rPr>
          <w:szCs w:val="24"/>
          <w:lang w:val="hu-HU"/>
        </w:rPr>
      </w:pPr>
      <w:r w:rsidRPr="00FE5851">
        <w:rPr>
          <w:szCs w:val="24"/>
          <w:lang w:val="hu-HU"/>
        </w:rPr>
        <w:t xml:space="preserve">1 év vagy annál rövidebb, </w:t>
      </w:r>
    </w:p>
    <w:p w14:paraId="53647DAF" w14:textId="77777777" w:rsidR="00D313C3" w:rsidRPr="00FE5851" w:rsidRDefault="00D313C3">
      <w:pPr>
        <w:pStyle w:val="Bulletpoint"/>
        <w:numPr>
          <w:ilvl w:val="0"/>
          <w:numId w:val="6"/>
        </w:numPr>
        <w:rPr>
          <w:szCs w:val="24"/>
          <w:lang w:val="hu-HU"/>
        </w:rPr>
      </w:pPr>
      <w:r w:rsidRPr="00FE5851">
        <w:rPr>
          <w:szCs w:val="24"/>
          <w:lang w:val="hu-HU"/>
        </w:rPr>
        <w:t xml:space="preserve">1-5 év, </w:t>
      </w:r>
    </w:p>
    <w:p w14:paraId="5136901E" w14:textId="77777777" w:rsidR="00D313C3" w:rsidRPr="00FE5851" w:rsidRDefault="00D313C3">
      <w:pPr>
        <w:pStyle w:val="Bulletpoint"/>
        <w:numPr>
          <w:ilvl w:val="0"/>
          <w:numId w:val="6"/>
        </w:numPr>
        <w:rPr>
          <w:szCs w:val="24"/>
          <w:lang w:val="hu-HU"/>
        </w:rPr>
      </w:pPr>
      <w:r w:rsidRPr="00FE5851">
        <w:rPr>
          <w:szCs w:val="24"/>
          <w:lang w:val="hu-HU"/>
        </w:rPr>
        <w:t xml:space="preserve">5 évnél hosszabb. </w:t>
      </w:r>
    </w:p>
    <w:p w14:paraId="3543BE2B" w14:textId="77777777" w:rsidR="00D313C3" w:rsidRPr="00FE5851" w:rsidRDefault="00D313C3">
      <w:pPr>
        <w:pStyle w:val="Paragraph"/>
        <w:rPr>
          <w:szCs w:val="24"/>
          <w:lang w:val="hu-HU"/>
        </w:rPr>
      </w:pPr>
      <w:r w:rsidRPr="00FE5851">
        <w:rPr>
          <w:szCs w:val="24"/>
          <w:lang w:val="hu-HU"/>
        </w:rPr>
        <w:t xml:space="preserve">Ahol az első láb még nem vált esedékessé, az egyes lábak hátralévő futamidejét a jelentés időpontja és az ügylet induló és lejárati lába kiegyenlítésének vagy esedékességének időpontja közötti különbség alapján ésszerű meghatározni. </w:t>
      </w:r>
    </w:p>
    <w:p w14:paraId="02E34759" w14:textId="77777777" w:rsidR="00D313C3" w:rsidRPr="00FE5851" w:rsidRDefault="00D313C3">
      <w:pPr>
        <w:pStyle w:val="IndentedHeading1"/>
        <w:rPr>
          <w:szCs w:val="24"/>
          <w:lang w:val="hu-HU"/>
        </w:rPr>
      </w:pPr>
      <w:bookmarkStart w:id="19" w:name="_Toc533082672"/>
      <w:r w:rsidRPr="00FE5851">
        <w:rPr>
          <w:szCs w:val="24"/>
          <w:lang w:val="hu-HU"/>
        </w:rPr>
        <w:lastRenderedPageBreak/>
        <w:t>F.</w:t>
      </w:r>
      <w:r w:rsidRPr="00FE5851">
        <w:rPr>
          <w:szCs w:val="24"/>
          <w:lang w:val="hu-HU"/>
        </w:rPr>
        <w:tab/>
        <w:t xml:space="preserve">Az egynél több kockázati kategóriát tartalmazó származékos </w:t>
      </w:r>
      <w:r w:rsidR="008B24B0">
        <w:rPr>
          <w:szCs w:val="24"/>
          <w:lang w:val="hu-HU"/>
        </w:rPr>
        <w:t>instrumentumok</w:t>
      </w:r>
      <w:r w:rsidRPr="00FE5851">
        <w:rPr>
          <w:szCs w:val="24"/>
          <w:lang w:val="hu-HU"/>
        </w:rPr>
        <w:t xml:space="preserve"> osztályozása</w:t>
      </w:r>
      <w:bookmarkEnd w:id="19"/>
    </w:p>
    <w:p w14:paraId="6434DEFF" w14:textId="77777777" w:rsidR="00D313C3" w:rsidRPr="00FE5851" w:rsidRDefault="00FC073F">
      <w:pPr>
        <w:pStyle w:val="Paragraph"/>
        <w:rPr>
          <w:szCs w:val="24"/>
          <w:lang w:val="hu-HU"/>
        </w:rPr>
      </w:pPr>
      <w:r w:rsidRPr="00FE5851">
        <w:rPr>
          <w:szCs w:val="24"/>
          <w:lang w:val="hu-HU"/>
        </w:rPr>
        <w:t>A származékos ügyleteket hat kockázati kategóriába kell sorolni:</w:t>
      </w:r>
      <w:r>
        <w:rPr>
          <w:szCs w:val="24"/>
          <w:lang w:val="hu-HU"/>
        </w:rPr>
        <w:t xml:space="preserve"> </w:t>
      </w:r>
      <w:r w:rsidRPr="00FE5851">
        <w:rPr>
          <w:szCs w:val="24"/>
          <w:lang w:val="hu-HU"/>
        </w:rPr>
        <w:t xml:space="preserve">deviza, egydevizás kamat, részvény, áru, hitel és „egyéb”. A gyakorlatban azonban a származékos ügyletek egynél több kockázati kategóriába is tartozhatnak. </w:t>
      </w:r>
      <w:r w:rsidR="00D313C3" w:rsidRPr="00FE5851">
        <w:rPr>
          <w:szCs w:val="24"/>
          <w:lang w:val="hu-HU"/>
        </w:rPr>
        <w:t xml:space="preserve">Ilyen esetekben, kitettségek egyszerű kombinációit jelentő ügyleteket külön kell jelenteni egyedi összetevőiknek megfelelően a G részben ismertetettek szerint. Azokat az ügyleteket, amelyeket nem lehet egyszerűen elkülöníthető kockázati kategóriákba sorolni, egyetlen kockázati kategóriában kell jelenteni. A többszörös kitettségű termékek allokálását a legfontosabb mögöttes kockázati komponensnek megfelelően kell besorolni. Azonban, </w:t>
      </w:r>
      <w:proofErr w:type="gramStart"/>
      <w:r w:rsidR="00D313C3" w:rsidRPr="00FE5851">
        <w:rPr>
          <w:szCs w:val="24"/>
          <w:lang w:val="hu-HU"/>
        </w:rPr>
        <w:t>ha,</w:t>
      </w:r>
      <w:proofErr w:type="gramEnd"/>
      <w:r w:rsidR="00D313C3" w:rsidRPr="00FE5851">
        <w:rPr>
          <w:szCs w:val="24"/>
          <w:lang w:val="hu-HU"/>
        </w:rPr>
        <w:t xml:space="preserve"> gyakorlati megfontolásból, a jelentő intézmények nem tudják eldönteni, mi a pontos besorolása a többszörös kitettségű származékos ügyleteknek, azokat a következő fontossági sorrend szerint kell allokálniuk:</w:t>
      </w:r>
    </w:p>
    <w:p w14:paraId="5B5BC949" w14:textId="77777777" w:rsidR="00D313C3" w:rsidRPr="00FE5851" w:rsidRDefault="00D313C3">
      <w:pPr>
        <w:pStyle w:val="Paragraph"/>
        <w:rPr>
          <w:szCs w:val="24"/>
          <w:lang w:val="hu-HU"/>
        </w:rPr>
      </w:pPr>
      <w:r w:rsidRPr="00FE5851">
        <w:rPr>
          <w:i/>
          <w:szCs w:val="24"/>
          <w:lang w:val="hu-HU"/>
        </w:rPr>
        <w:t>Árucikkek:</w:t>
      </w:r>
      <w:r w:rsidR="00FE5851" w:rsidRPr="00FE5851">
        <w:rPr>
          <w:i/>
          <w:szCs w:val="24"/>
          <w:lang w:val="hu-HU"/>
        </w:rPr>
        <w:t xml:space="preserve"> </w:t>
      </w:r>
      <w:r w:rsidRPr="00FE5851">
        <w:rPr>
          <w:szCs w:val="24"/>
          <w:lang w:val="hu-HU"/>
        </w:rPr>
        <w:t>Árucikk- vagy árucikkből képzett indexnek való kitettséget tartalmazó minden ügyletet – függetlenül attól, hogy tartalmaznak-e árucikkel vagy más kategóriával (pl. devizával, kamattal vagy részvénnyel) szemben fennálló együttes kitettséget – ebben a kategóriában kell jelenteni.</w:t>
      </w:r>
    </w:p>
    <w:p w14:paraId="6B45CE88" w14:textId="77777777" w:rsidR="00D313C3" w:rsidRPr="00FE5851" w:rsidRDefault="00D313C3">
      <w:pPr>
        <w:pStyle w:val="Paragraph"/>
        <w:rPr>
          <w:szCs w:val="24"/>
          <w:lang w:val="hu-HU"/>
        </w:rPr>
      </w:pPr>
      <w:r w:rsidRPr="00FE5851">
        <w:rPr>
          <w:i/>
          <w:szCs w:val="24"/>
          <w:lang w:val="hu-HU"/>
        </w:rPr>
        <w:t>Részvények:</w:t>
      </w:r>
      <w:r w:rsidR="00FE5851" w:rsidRPr="00FE5851">
        <w:rPr>
          <w:i/>
          <w:szCs w:val="24"/>
          <w:lang w:val="hu-HU"/>
        </w:rPr>
        <w:t xml:space="preserve"> </w:t>
      </w:r>
      <w:r w:rsidRPr="00FE5851">
        <w:rPr>
          <w:szCs w:val="24"/>
          <w:lang w:val="hu-HU"/>
        </w:rPr>
        <w:t>Azon kontraktusok kivételével, ahol jelen van árucikkel vagy részvénnyel szembeni együttes kitettség, és amelyeket árucikként kell jelenteni, a részvények vagy részvényindexek teljesítményéhez kötődő minden származékos ügyletet a részvénykategóriában kell jelenteni.</w:t>
      </w:r>
      <w:r w:rsidR="00FE5851" w:rsidRPr="00FE5851">
        <w:rPr>
          <w:szCs w:val="24"/>
          <w:lang w:val="hu-HU"/>
        </w:rPr>
        <w:t xml:space="preserve"> </w:t>
      </w:r>
      <w:r w:rsidRPr="00FE5851">
        <w:rPr>
          <w:szCs w:val="24"/>
          <w:lang w:val="hu-HU"/>
        </w:rPr>
        <w:t>Azaz a deviza- vagy kamatkitettségű részvényügyleteket ebbe a kategóriába kell sorolni.</w:t>
      </w:r>
      <w:r w:rsidR="00FE5851" w:rsidRPr="00FE5851">
        <w:rPr>
          <w:szCs w:val="24"/>
          <w:lang w:val="hu-HU"/>
        </w:rPr>
        <w:t xml:space="preserve"> </w:t>
      </w:r>
      <w:r w:rsidRPr="00FE5851">
        <w:rPr>
          <w:szCs w:val="24"/>
          <w:lang w:val="hu-HU"/>
        </w:rPr>
        <w:t>A quanto-típusú eszközök jó példái a részvénnyel és devizával szembeni együttes kitettségnek, amelyeket ebben a kategóriában kell jelenteni.</w:t>
      </w:r>
    </w:p>
    <w:p w14:paraId="70112F84" w14:textId="77777777" w:rsidR="00D313C3" w:rsidRPr="00FE5851" w:rsidRDefault="00D313C3">
      <w:pPr>
        <w:pStyle w:val="Paragraph"/>
        <w:rPr>
          <w:szCs w:val="24"/>
          <w:lang w:val="hu-HU"/>
        </w:rPr>
      </w:pPr>
      <w:r w:rsidRPr="00FE5851">
        <w:rPr>
          <w:i/>
          <w:szCs w:val="24"/>
          <w:lang w:val="hu-HU"/>
        </w:rPr>
        <w:t>Deviza:</w:t>
      </w:r>
      <w:r w:rsidRPr="00FE5851">
        <w:rPr>
          <w:szCs w:val="24"/>
          <w:lang w:val="hu-HU"/>
        </w:rPr>
        <w:t xml:space="preserve"> Idetartozik minden származékos ügylet (az árucikk- és a részvénykategóriában már jelentettek kivételével), amelyeknél egynél több devizával szemben áll fenn kitettség, legyen az kamatláb- vagy árfolyamkitettség.</w:t>
      </w:r>
    </w:p>
    <w:p w14:paraId="5E58BB62" w14:textId="77777777" w:rsidR="00D313C3" w:rsidRPr="00FE5851" w:rsidRDefault="00D313C3">
      <w:pPr>
        <w:pStyle w:val="Paragraph"/>
        <w:rPr>
          <w:szCs w:val="24"/>
          <w:lang w:val="hu-HU"/>
        </w:rPr>
      </w:pPr>
      <w:r w:rsidRPr="00FE5851">
        <w:rPr>
          <w:i/>
          <w:szCs w:val="24"/>
          <w:lang w:val="hu-HU"/>
        </w:rPr>
        <w:t>Egydevizás kamatalapú kontraktusok:</w:t>
      </w:r>
      <w:r w:rsidR="00FE5851" w:rsidRPr="00FE5851">
        <w:rPr>
          <w:i/>
          <w:szCs w:val="24"/>
          <w:lang w:val="hu-HU"/>
        </w:rPr>
        <w:t xml:space="preserve"> </w:t>
      </w:r>
      <w:r w:rsidRPr="00FE5851">
        <w:rPr>
          <w:szCs w:val="24"/>
          <w:lang w:val="hu-HU"/>
        </w:rPr>
        <w:t>Ez a kategória azokat a származékos ügyleteket tartalmazza, amelyeknél egyetlen devizában denominált kamattal szemben áll fenn kitettség.</w:t>
      </w:r>
      <w:r w:rsidR="00FE5851" w:rsidRPr="00FE5851">
        <w:rPr>
          <w:szCs w:val="24"/>
          <w:lang w:val="hu-HU"/>
        </w:rPr>
        <w:t xml:space="preserve"> </w:t>
      </w:r>
      <w:r w:rsidRPr="00FE5851">
        <w:rPr>
          <w:szCs w:val="24"/>
          <w:lang w:val="hu-HU"/>
        </w:rPr>
        <w:t>Ebbe a kategóriába tartozik minden egydevizás rögzített és/vagy változó kamatozású kontraktus, így pl. a tőzsdén kívüli határidős ügyletek, a csereügyletek és az opciók.</w:t>
      </w:r>
    </w:p>
    <w:p w14:paraId="0D19961E" w14:textId="77777777" w:rsidR="00D313C3" w:rsidRPr="00FE5851" w:rsidRDefault="00D313C3">
      <w:pPr>
        <w:pStyle w:val="IndentedHeading1"/>
        <w:rPr>
          <w:szCs w:val="24"/>
          <w:lang w:val="hu-HU"/>
        </w:rPr>
      </w:pPr>
      <w:bookmarkStart w:id="20" w:name="_Toc533082673"/>
      <w:r w:rsidRPr="00FE5851">
        <w:rPr>
          <w:szCs w:val="24"/>
          <w:lang w:val="hu-HU"/>
        </w:rPr>
        <w:t>G.</w:t>
      </w:r>
      <w:r w:rsidRPr="00FE5851">
        <w:rPr>
          <w:szCs w:val="24"/>
          <w:lang w:val="hu-HU"/>
        </w:rPr>
        <w:tab/>
        <w:t>Részletes instrumentummeghatározás és -besorolás</w:t>
      </w:r>
      <w:bookmarkEnd w:id="20"/>
      <w:r w:rsidRPr="00FE5851">
        <w:rPr>
          <w:szCs w:val="24"/>
          <w:lang w:val="hu-HU"/>
        </w:rPr>
        <w:t xml:space="preserve"> </w:t>
      </w:r>
    </w:p>
    <w:p w14:paraId="29A0A583" w14:textId="77777777" w:rsidR="00D313C3" w:rsidRPr="00FE5851" w:rsidRDefault="00D313C3">
      <w:pPr>
        <w:pStyle w:val="Paragraph"/>
        <w:rPr>
          <w:szCs w:val="24"/>
          <w:lang w:val="hu-HU"/>
        </w:rPr>
      </w:pPr>
      <w:r w:rsidRPr="00FE5851">
        <w:rPr>
          <w:szCs w:val="24"/>
          <w:lang w:val="hu-HU"/>
        </w:rPr>
        <w:t xml:space="preserve">Az OTC-derivatívok az egyes kockázati kategóriákban, elméletben, három </w:t>
      </w:r>
      <w:r w:rsidR="00CB7D0C">
        <w:rPr>
          <w:szCs w:val="24"/>
          <w:lang w:val="hu-HU"/>
        </w:rPr>
        <w:t>féle</w:t>
      </w:r>
      <w:r w:rsidR="00222294">
        <w:rPr>
          <w:szCs w:val="24"/>
          <w:lang w:val="hu-HU"/>
        </w:rPr>
        <w:t xml:space="preserve"> </w:t>
      </w:r>
      <w:r w:rsidRPr="00FE5851">
        <w:rPr>
          <w:szCs w:val="24"/>
          <w:lang w:val="hu-HU"/>
        </w:rPr>
        <w:t xml:space="preserve">„plain vanilla” </w:t>
      </w:r>
      <w:r w:rsidR="00222294">
        <w:rPr>
          <w:szCs w:val="24"/>
          <w:lang w:val="hu-HU"/>
        </w:rPr>
        <w:t>instrumentumra</w:t>
      </w:r>
      <w:r w:rsidR="00222294" w:rsidRPr="00FE5851">
        <w:rPr>
          <w:szCs w:val="24"/>
          <w:lang w:val="hu-HU"/>
        </w:rPr>
        <w:t xml:space="preserve"> </w:t>
      </w:r>
      <w:r w:rsidRPr="00FE5851">
        <w:rPr>
          <w:szCs w:val="24"/>
          <w:lang w:val="hu-HU"/>
        </w:rPr>
        <w:t>(tőzsdén kívüli határidős, csere- és opciós ügyletekre) bonthatók.</w:t>
      </w:r>
      <w:r w:rsidR="00FE5851" w:rsidRPr="00FE5851">
        <w:rPr>
          <w:szCs w:val="24"/>
          <w:lang w:val="hu-HU"/>
        </w:rPr>
        <w:t xml:space="preserve"> </w:t>
      </w:r>
      <w:r w:rsidRPr="00FE5851">
        <w:rPr>
          <w:szCs w:val="24"/>
          <w:lang w:val="hu-HU"/>
        </w:rPr>
        <w:t xml:space="preserve">A „plain vanilla” instrumentumok likvid piacokon, többé-kevésbé szabványosított szerződések és piaci konvenciók szerint kereskedett </w:t>
      </w:r>
      <w:r w:rsidR="008B24B0">
        <w:rPr>
          <w:szCs w:val="24"/>
          <w:lang w:val="hu-HU"/>
        </w:rPr>
        <w:t>instrumentumok</w:t>
      </w:r>
      <w:r w:rsidRPr="00FE5851">
        <w:rPr>
          <w:szCs w:val="24"/>
          <w:lang w:val="hu-HU"/>
        </w:rPr>
        <w:t>. Amennyiben egy ügyletnek több „plain vanilla” összetevője van, elvben, minden összetevőt külön-külön kell jelenteni.</w:t>
      </w:r>
      <w:r w:rsidR="00FE5851" w:rsidRPr="00FE5851">
        <w:rPr>
          <w:szCs w:val="24"/>
          <w:lang w:val="hu-HU"/>
        </w:rPr>
        <w:t xml:space="preserve"> </w:t>
      </w:r>
      <w:r w:rsidRPr="00FE5851">
        <w:rPr>
          <w:szCs w:val="24"/>
          <w:lang w:val="hu-HU"/>
        </w:rPr>
        <w:t xml:space="preserve">Az OTC, devizában fennálló származékos nyitott kötésállományt a következőképpen kell meghatározni és osztályozni: </w:t>
      </w:r>
    </w:p>
    <w:p w14:paraId="12FA574D" w14:textId="77777777" w:rsidR="00D313C3" w:rsidRPr="00FE5851" w:rsidRDefault="00D313C3">
      <w:pPr>
        <w:pStyle w:val="IndentedHeading2"/>
        <w:rPr>
          <w:szCs w:val="24"/>
          <w:lang w:val="hu-HU"/>
        </w:rPr>
      </w:pPr>
      <w:bookmarkStart w:id="21" w:name="_Toc533082674"/>
      <w:r w:rsidRPr="00FE5851">
        <w:rPr>
          <w:szCs w:val="24"/>
          <w:lang w:val="hu-HU"/>
        </w:rPr>
        <w:t>1.</w:t>
      </w:r>
      <w:r w:rsidRPr="00FE5851">
        <w:rPr>
          <w:szCs w:val="24"/>
          <w:lang w:val="hu-HU"/>
        </w:rPr>
        <w:tab/>
        <w:t>FX-ügyletek</w:t>
      </w:r>
      <w:bookmarkEnd w:id="21"/>
    </w:p>
    <w:p w14:paraId="28F3EE1B" w14:textId="77777777" w:rsidR="00D313C3" w:rsidRPr="00FE5851" w:rsidRDefault="00D313C3">
      <w:pPr>
        <w:pStyle w:val="Bulletpoint"/>
        <w:numPr>
          <w:ilvl w:val="0"/>
          <w:numId w:val="0"/>
        </w:numPr>
        <w:jc w:val="left"/>
        <w:rPr>
          <w:szCs w:val="24"/>
          <w:lang w:val="hu-HU"/>
        </w:rPr>
      </w:pPr>
      <w:r w:rsidRPr="00FE5851">
        <w:rPr>
          <w:szCs w:val="24"/>
          <w:lang w:val="hu-HU"/>
        </w:rPr>
        <w:t>A felmérésben szereplő FX-ügyleteket az alábbiak szerint kell meghatározni és osztályozni: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D313C3" w:rsidRPr="00FE5851" w14:paraId="36F16B3A" w14:textId="77777777">
        <w:tblPrEx>
          <w:tblCellMar>
            <w:top w:w="0" w:type="dxa"/>
            <w:bottom w:w="0" w:type="dxa"/>
          </w:tblCellMar>
        </w:tblPrEx>
        <w:trPr>
          <w:cantSplit/>
          <w:trHeight w:val="1114"/>
        </w:trPr>
        <w:tc>
          <w:tcPr>
            <w:tcW w:w="2376" w:type="dxa"/>
          </w:tcPr>
          <w:p w14:paraId="31024013" w14:textId="77777777" w:rsidR="00D313C3" w:rsidRPr="00FE5851" w:rsidRDefault="00D313C3" w:rsidP="00222294">
            <w:pPr>
              <w:pStyle w:val="TableRowHeading"/>
              <w:rPr>
                <w:szCs w:val="24"/>
                <w:lang w:val="hu-HU"/>
              </w:rPr>
            </w:pPr>
            <w:r w:rsidRPr="00FE5851">
              <w:rPr>
                <w:szCs w:val="24"/>
                <w:lang w:val="hu-HU"/>
              </w:rPr>
              <w:lastRenderedPageBreak/>
              <w:t xml:space="preserve">Tőzsdén kívüli, </w:t>
            </w:r>
            <w:r w:rsidR="00222294">
              <w:rPr>
                <w:szCs w:val="24"/>
                <w:lang w:val="hu-HU"/>
              </w:rPr>
              <w:t>egyszerű</w:t>
            </w:r>
            <w:r w:rsidR="00222294" w:rsidRPr="00FE5851">
              <w:rPr>
                <w:szCs w:val="24"/>
                <w:lang w:val="hu-HU"/>
              </w:rPr>
              <w:t xml:space="preserve"> </w:t>
            </w:r>
            <w:r w:rsidRPr="00FE5851">
              <w:rPr>
                <w:szCs w:val="24"/>
                <w:lang w:val="hu-HU"/>
              </w:rPr>
              <w:t>határidős ügyletek</w:t>
            </w:r>
            <w:r w:rsidR="00222294">
              <w:rPr>
                <w:szCs w:val="24"/>
                <w:lang w:val="hu-HU"/>
              </w:rPr>
              <w:t xml:space="preserve"> (outright forward)</w:t>
            </w:r>
          </w:p>
        </w:tc>
        <w:tc>
          <w:tcPr>
            <w:tcW w:w="6804" w:type="dxa"/>
          </w:tcPr>
          <w:p w14:paraId="3E60F092" w14:textId="77777777" w:rsidR="00D313C3" w:rsidRPr="00FE5851" w:rsidRDefault="00D313C3">
            <w:pPr>
              <w:pStyle w:val="TableText"/>
              <w:framePr w:wrap="auto" w:yAlign="inline"/>
              <w:rPr>
                <w:szCs w:val="24"/>
                <w:lang w:val="hu-HU"/>
              </w:rPr>
            </w:pPr>
            <w:r w:rsidRPr="00FE5851">
              <w:rPr>
                <w:szCs w:val="24"/>
                <w:lang w:val="hu-HU"/>
              </w:rPr>
              <w:t>Két devizának egy jövőbeli (két üzleti napnál későbbi) időpontban olyan árfolyamon történő cseréjét jelentő ügylet – adott jövőbeli dátumra vagy időszakra történő leszállítással (készpénzes kiegyenlítéssel) –, amelyben kontraktus megkötésének időpontjában megállapodnak. Ebbe a kategóriába tartoznak a tőzsdén kívüli határidős FX-megállapodások, a nem leszállítandó tőzsdén kívüli határidős termékek és egyéb különbözeti kontraktusok.</w:t>
            </w:r>
          </w:p>
          <w:p w14:paraId="27F9D873" w14:textId="77777777" w:rsidR="00D313C3" w:rsidRPr="00FE5851" w:rsidRDefault="00D313C3" w:rsidP="00E6778D">
            <w:pPr>
              <w:pStyle w:val="TableText"/>
              <w:framePr w:wrap="auto" w:yAlign="inline"/>
              <w:rPr>
                <w:szCs w:val="24"/>
                <w:lang w:val="hu-HU"/>
              </w:rPr>
            </w:pPr>
            <w:r w:rsidRPr="00FE5851">
              <w:rPr>
                <w:szCs w:val="24"/>
                <w:lang w:val="hu-HU"/>
              </w:rPr>
              <w:t xml:space="preserve">A tőzsdén kívüli </w:t>
            </w:r>
            <w:r w:rsidR="00E6778D">
              <w:rPr>
                <w:szCs w:val="24"/>
                <w:lang w:val="hu-HU"/>
              </w:rPr>
              <w:t>egyszerű</w:t>
            </w:r>
            <w:r w:rsidR="00E6778D" w:rsidRPr="00FE5851">
              <w:rPr>
                <w:szCs w:val="24"/>
                <w:lang w:val="hu-HU"/>
              </w:rPr>
              <w:t xml:space="preserve"> </w:t>
            </w:r>
            <w:r w:rsidRPr="00FE5851">
              <w:rPr>
                <w:szCs w:val="24"/>
                <w:lang w:val="hu-HU"/>
              </w:rPr>
              <w:t xml:space="preserve">határidős </w:t>
            </w:r>
            <w:r w:rsidR="00E6778D">
              <w:rPr>
                <w:szCs w:val="24"/>
                <w:lang w:val="hu-HU"/>
              </w:rPr>
              <w:t xml:space="preserve">(outright forward) </w:t>
            </w:r>
            <w:r w:rsidRPr="00FE5851">
              <w:rPr>
                <w:szCs w:val="24"/>
                <w:lang w:val="hu-HU"/>
              </w:rPr>
              <w:t xml:space="preserve">termékekkel általában nem kereskednek szervezett tőzsdéken, és azok szerződéses feltételei nem szabványosítottak. </w:t>
            </w:r>
          </w:p>
        </w:tc>
      </w:tr>
      <w:tr w:rsidR="00D313C3" w:rsidRPr="00FE5851" w14:paraId="56EEA29D" w14:textId="77777777">
        <w:tblPrEx>
          <w:tblCellMar>
            <w:top w:w="0" w:type="dxa"/>
            <w:bottom w:w="0" w:type="dxa"/>
          </w:tblCellMar>
        </w:tblPrEx>
        <w:trPr>
          <w:cantSplit/>
          <w:trHeight w:val="2245"/>
        </w:trPr>
        <w:tc>
          <w:tcPr>
            <w:tcW w:w="2376" w:type="dxa"/>
          </w:tcPr>
          <w:p w14:paraId="66AB536E" w14:textId="77777777" w:rsidR="00D313C3" w:rsidRPr="00FE5851" w:rsidRDefault="00D313C3" w:rsidP="00E6778D">
            <w:pPr>
              <w:pStyle w:val="TableRowHeading"/>
              <w:rPr>
                <w:szCs w:val="24"/>
                <w:lang w:val="hu-HU"/>
              </w:rPr>
            </w:pPr>
            <w:r w:rsidRPr="00FE5851">
              <w:rPr>
                <w:szCs w:val="24"/>
                <w:lang w:val="hu-HU"/>
              </w:rPr>
              <w:t>FX-swap (</w:t>
            </w:r>
            <w:r w:rsidR="00E6778D">
              <w:rPr>
                <w:szCs w:val="24"/>
                <w:lang w:val="hu-HU"/>
              </w:rPr>
              <w:t xml:space="preserve">deviza </w:t>
            </w:r>
            <w:r w:rsidRPr="00FE5851">
              <w:rPr>
                <w:szCs w:val="24"/>
                <w:lang w:val="hu-HU"/>
              </w:rPr>
              <w:t>csereügylet)</w:t>
            </w:r>
          </w:p>
        </w:tc>
        <w:tc>
          <w:tcPr>
            <w:tcW w:w="6804" w:type="dxa"/>
          </w:tcPr>
          <w:p w14:paraId="55AC881D" w14:textId="77777777" w:rsidR="00D313C3" w:rsidRPr="00FE5851" w:rsidRDefault="00D313C3" w:rsidP="00CB7D0C">
            <w:pPr>
              <w:pStyle w:val="TableText"/>
              <w:framePr w:wrap="around"/>
              <w:rPr>
                <w:szCs w:val="24"/>
                <w:lang w:val="hu-HU"/>
              </w:rPr>
            </w:pPr>
            <w:r w:rsidRPr="00FE5851">
              <w:rPr>
                <w:szCs w:val="24"/>
                <w:lang w:val="hu-HU"/>
              </w:rPr>
              <w:t xml:space="preserve">Két deviza (csak a tőkeösszeg) tényleges, egy adott napon, a szerződéskötéskor kölcsönösen elfogadott árfolyamon történő cseréjét jelentő ügylet („rövid láb”), és ugyanezen két devizának a fordított cseréje későbbi időpontban, a szerződéskötéskor kölcsönösen elfogadott árfolyamon (amely általában más, mint a rövid lábra alkalmazott árfolyam) („hosszú láb”). Mind a spot </w:t>
            </w:r>
            <w:r w:rsidR="00E6778D">
              <w:rPr>
                <w:szCs w:val="24"/>
                <w:lang w:val="hu-HU"/>
              </w:rPr>
              <w:t>/</w:t>
            </w:r>
            <w:r w:rsidRPr="00FE5851">
              <w:rPr>
                <w:szCs w:val="24"/>
                <w:lang w:val="hu-HU"/>
              </w:rPr>
              <w:t xml:space="preserve">határidős, mind a határidős/ határidős swapokat figyelembe kell venni. </w:t>
            </w:r>
            <w:r w:rsidRPr="00E10153">
              <w:rPr>
                <w:szCs w:val="24"/>
                <w:lang w:val="hu-HU"/>
              </w:rPr>
              <w:t>A</w:t>
            </w:r>
            <w:r w:rsidR="00E10153">
              <w:rPr>
                <w:szCs w:val="24"/>
                <w:lang w:val="hu-HU"/>
              </w:rPr>
              <w:t>z „overnight” (O/N), „spot/next”,</w:t>
            </w:r>
            <w:r w:rsidRPr="00E10153">
              <w:rPr>
                <w:szCs w:val="24"/>
                <w:lang w:val="hu-HU"/>
              </w:rPr>
              <w:t xml:space="preserve"> „tom/next” tranzakcióként végrehajtott rövid lejáratú csereügyleteket is ebbe a kategóriába kell sorolni.</w:t>
            </w:r>
          </w:p>
        </w:tc>
      </w:tr>
      <w:tr w:rsidR="00D313C3" w:rsidRPr="00FE5851" w14:paraId="6E5981A9" w14:textId="77777777">
        <w:tblPrEx>
          <w:tblCellMar>
            <w:top w:w="0" w:type="dxa"/>
            <w:bottom w:w="0" w:type="dxa"/>
          </w:tblCellMar>
        </w:tblPrEx>
        <w:trPr>
          <w:cantSplit/>
        </w:trPr>
        <w:tc>
          <w:tcPr>
            <w:tcW w:w="2376" w:type="dxa"/>
          </w:tcPr>
          <w:p w14:paraId="1BE15853" w14:textId="77777777" w:rsidR="00D313C3" w:rsidRPr="00FE5851" w:rsidRDefault="00E6778D" w:rsidP="00E6778D">
            <w:pPr>
              <w:pStyle w:val="TableRowHeading"/>
              <w:rPr>
                <w:szCs w:val="24"/>
                <w:lang w:val="hu-HU"/>
              </w:rPr>
            </w:pPr>
            <w:r>
              <w:rPr>
                <w:szCs w:val="24"/>
                <w:lang w:val="hu-HU"/>
              </w:rPr>
              <w:t>Kamatozó d</w:t>
            </w:r>
            <w:r w:rsidR="00D313C3" w:rsidRPr="00FE5851">
              <w:rPr>
                <w:szCs w:val="24"/>
                <w:lang w:val="hu-HU"/>
              </w:rPr>
              <w:t>evizacsere</w:t>
            </w:r>
            <w:r>
              <w:rPr>
                <w:szCs w:val="24"/>
                <w:lang w:val="hu-HU"/>
              </w:rPr>
              <w:t xml:space="preserve"> </w:t>
            </w:r>
            <w:r w:rsidR="00D313C3" w:rsidRPr="00FE5851">
              <w:rPr>
                <w:szCs w:val="24"/>
                <w:lang w:val="hu-HU"/>
              </w:rPr>
              <w:t>ügyletek (</w:t>
            </w:r>
            <w:r>
              <w:rPr>
                <w:szCs w:val="24"/>
                <w:lang w:val="hu-HU"/>
              </w:rPr>
              <w:t>Cross Currency Interest Rate Swaps)</w:t>
            </w:r>
          </w:p>
        </w:tc>
        <w:tc>
          <w:tcPr>
            <w:tcW w:w="6804" w:type="dxa"/>
          </w:tcPr>
          <w:p w14:paraId="2F062239" w14:textId="77777777" w:rsidR="00D313C3" w:rsidRPr="00FE5851" w:rsidRDefault="00D313C3">
            <w:pPr>
              <w:pStyle w:val="TableText"/>
              <w:framePr w:wrap="auto" w:yAlign="inline"/>
              <w:spacing w:before="0" w:after="0"/>
              <w:rPr>
                <w:szCs w:val="24"/>
                <w:lang w:val="hu-HU"/>
              </w:rPr>
            </w:pPr>
            <w:r w:rsidRPr="00FE5851">
              <w:rPr>
                <w:szCs w:val="24"/>
                <w:lang w:val="hu-HU"/>
              </w:rPr>
              <w:t>Kontraktus, amely két felet különböző devizákban történő kamatfizetés-áramlás cseréjére kötelez egy adott időperiódusban, illetve lejáratkori tőkecserére kötelezi őket egy előre meghatározott árfolyamon.</w:t>
            </w:r>
          </w:p>
          <w:p w14:paraId="195BB5C8" w14:textId="77777777" w:rsidR="00D313C3" w:rsidRPr="00FE5851" w:rsidRDefault="00D313C3">
            <w:pPr>
              <w:pStyle w:val="TableText"/>
              <w:framePr w:wrap="auto" w:yAlign="inline"/>
              <w:spacing w:before="0" w:after="0"/>
              <w:rPr>
                <w:szCs w:val="24"/>
                <w:lang w:val="hu-HU"/>
              </w:rPr>
            </w:pPr>
          </w:p>
        </w:tc>
      </w:tr>
      <w:tr w:rsidR="00D313C3" w:rsidRPr="00FE5851" w14:paraId="256C0AD5" w14:textId="77777777">
        <w:tblPrEx>
          <w:tblCellMar>
            <w:top w:w="0" w:type="dxa"/>
            <w:bottom w:w="0" w:type="dxa"/>
          </w:tblCellMar>
        </w:tblPrEx>
        <w:trPr>
          <w:cantSplit/>
        </w:trPr>
        <w:tc>
          <w:tcPr>
            <w:tcW w:w="2376" w:type="dxa"/>
          </w:tcPr>
          <w:p w14:paraId="7AD01F96" w14:textId="77777777" w:rsidR="00D313C3" w:rsidRPr="00FE5851" w:rsidRDefault="00D313C3">
            <w:pPr>
              <w:pStyle w:val="TableRowHeading"/>
              <w:rPr>
                <w:szCs w:val="24"/>
                <w:lang w:val="hu-HU"/>
              </w:rPr>
            </w:pPr>
            <w:r w:rsidRPr="00FE5851">
              <w:rPr>
                <w:szCs w:val="24"/>
                <w:lang w:val="hu-HU"/>
              </w:rPr>
              <w:t>Tőzsdén kívüli (OTC) opciós ügyletek</w:t>
            </w:r>
          </w:p>
        </w:tc>
        <w:tc>
          <w:tcPr>
            <w:tcW w:w="6804" w:type="dxa"/>
          </w:tcPr>
          <w:p w14:paraId="1D58AC9D" w14:textId="77777777" w:rsidR="00D313C3" w:rsidRPr="00FE5851" w:rsidRDefault="00D313C3">
            <w:pPr>
              <w:autoSpaceDE w:val="0"/>
              <w:autoSpaceDN w:val="0"/>
              <w:adjustRightInd w:val="0"/>
              <w:rPr>
                <w:szCs w:val="24"/>
                <w:lang w:val="hu-HU"/>
              </w:rPr>
            </w:pPr>
            <w:r w:rsidRPr="00FE5851">
              <w:rPr>
                <w:szCs w:val="24"/>
                <w:lang w:val="hu-HU"/>
              </w:rPr>
              <w:t>Vételi vagy eladási jogot / kötelezettséget biztosít egy adott devizára egy másik deviza ellenében egy, a szerződésben előre meghatározott árfolyamon, egy előre meghatározott időszak folyamán. Idetartoznak az egzotikus devizaopciók is, mint pl. az átlagáras vagy limitáras opciók.</w:t>
            </w:r>
          </w:p>
          <w:p w14:paraId="6DE2C4E5" w14:textId="77777777" w:rsidR="00D313C3" w:rsidRPr="00FE5851" w:rsidRDefault="00D313C3">
            <w:pPr>
              <w:pStyle w:val="TableText"/>
              <w:framePr w:wrap="auto" w:yAlign="inline"/>
              <w:rPr>
                <w:szCs w:val="24"/>
                <w:lang w:val="hu-HU"/>
              </w:rPr>
            </w:pPr>
            <w:r w:rsidRPr="00FE5851">
              <w:rPr>
                <w:szCs w:val="24"/>
                <w:lang w:val="hu-HU"/>
              </w:rPr>
              <w:t xml:space="preserve">Tőzsdén kívüli (OTC) opciós ügyletek </w:t>
            </w:r>
            <w:r w:rsidR="00E6778D">
              <w:rPr>
                <w:szCs w:val="24"/>
                <w:lang w:val="hu-HU"/>
              </w:rPr>
              <w:t>közé tartoznak az alábbi instrumentumok is</w:t>
            </w:r>
            <w:r w:rsidRPr="00FE5851">
              <w:rPr>
                <w:szCs w:val="24"/>
                <w:lang w:val="hu-HU"/>
              </w:rPr>
              <w:t>:</w:t>
            </w:r>
          </w:p>
          <w:p w14:paraId="2FA8786F" w14:textId="77777777" w:rsidR="00D313C3" w:rsidRPr="00FE5851" w:rsidRDefault="00D313C3">
            <w:pPr>
              <w:pStyle w:val="TableText"/>
              <w:framePr w:wrap="auto" w:yAlign="inline"/>
              <w:numPr>
                <w:ilvl w:val="0"/>
                <w:numId w:val="36"/>
              </w:numPr>
              <w:tabs>
                <w:tab w:val="clear" w:pos="710"/>
                <w:tab w:val="num" w:pos="318"/>
              </w:tabs>
              <w:ind w:hanging="676"/>
              <w:rPr>
                <w:szCs w:val="24"/>
                <w:lang w:val="hu-HU"/>
              </w:rPr>
            </w:pPr>
            <w:r w:rsidRPr="00FE5851">
              <w:rPr>
                <w:szCs w:val="24"/>
                <w:lang w:val="hu-HU"/>
              </w:rPr>
              <w:t>Deviza</w:t>
            </w:r>
            <w:r w:rsidR="00E6778D">
              <w:rPr>
                <w:szCs w:val="24"/>
                <w:lang w:val="hu-HU"/>
              </w:rPr>
              <w:t xml:space="preserve"> swa</w:t>
            </w:r>
            <w:r w:rsidRPr="00FE5851">
              <w:rPr>
                <w:szCs w:val="24"/>
                <w:lang w:val="hu-HU"/>
              </w:rPr>
              <w:t xml:space="preserve">pció: Tőzsdén kívüli (OTC) opció </w:t>
            </w:r>
            <w:r w:rsidR="00E6778D">
              <w:rPr>
                <w:szCs w:val="24"/>
                <w:lang w:val="hu-HU"/>
              </w:rPr>
              <w:t>FX swap</w:t>
            </w:r>
            <w:r w:rsidRPr="00FE5851">
              <w:rPr>
                <w:szCs w:val="24"/>
                <w:lang w:val="hu-HU"/>
              </w:rPr>
              <w:t>-szerződés megkötésére</w:t>
            </w:r>
          </w:p>
          <w:p w14:paraId="6D20FBE2" w14:textId="77777777" w:rsidR="00D313C3" w:rsidRPr="00FE5851" w:rsidRDefault="00D313C3" w:rsidP="00E6778D">
            <w:pPr>
              <w:pStyle w:val="TableText"/>
              <w:framePr w:wrap="auto" w:yAlign="inline"/>
              <w:numPr>
                <w:ilvl w:val="0"/>
                <w:numId w:val="36"/>
              </w:numPr>
              <w:tabs>
                <w:tab w:val="clear" w:pos="710"/>
                <w:tab w:val="num" w:pos="318"/>
              </w:tabs>
              <w:ind w:hanging="676"/>
              <w:rPr>
                <w:szCs w:val="24"/>
                <w:lang w:val="hu-HU"/>
              </w:rPr>
            </w:pPr>
            <w:r w:rsidRPr="00FE5851">
              <w:rPr>
                <w:szCs w:val="24"/>
                <w:lang w:val="hu-HU"/>
              </w:rPr>
              <w:t>Deviza</w:t>
            </w:r>
            <w:r w:rsidR="00E6778D">
              <w:rPr>
                <w:szCs w:val="24"/>
                <w:lang w:val="hu-HU"/>
              </w:rPr>
              <w:t xml:space="preserve"> warrant</w:t>
            </w:r>
            <w:r w:rsidRPr="00FE5851">
              <w:rPr>
                <w:szCs w:val="24"/>
                <w:lang w:val="hu-HU"/>
              </w:rPr>
              <w:t>:</w:t>
            </w:r>
            <w:r w:rsidR="00FE5851" w:rsidRPr="00FE5851">
              <w:rPr>
                <w:szCs w:val="24"/>
                <w:lang w:val="hu-HU"/>
              </w:rPr>
              <w:t xml:space="preserve"> </w:t>
            </w:r>
            <w:r w:rsidRPr="00FE5851">
              <w:rPr>
                <w:szCs w:val="24"/>
                <w:lang w:val="hu-HU"/>
              </w:rPr>
              <w:t>Hosszú (éven túli) lejáratú, tőzsdén kívüli (OTC) devizaopció.</w:t>
            </w:r>
          </w:p>
        </w:tc>
      </w:tr>
      <w:tr w:rsidR="00D313C3" w:rsidRPr="00FE5851" w14:paraId="0AAEEB38" w14:textId="77777777">
        <w:tblPrEx>
          <w:tblCellMar>
            <w:top w:w="0" w:type="dxa"/>
            <w:bottom w:w="0" w:type="dxa"/>
          </w:tblCellMar>
        </w:tblPrEx>
        <w:trPr>
          <w:cantSplit/>
        </w:trPr>
        <w:tc>
          <w:tcPr>
            <w:tcW w:w="2376" w:type="dxa"/>
          </w:tcPr>
          <w:p w14:paraId="3CE85F6D" w14:textId="77777777" w:rsidR="00D313C3" w:rsidRPr="00FE5851" w:rsidRDefault="00D313C3">
            <w:pPr>
              <w:pStyle w:val="TableRowHeading"/>
              <w:rPr>
                <w:szCs w:val="24"/>
                <w:lang w:val="hu-HU"/>
              </w:rPr>
            </w:pPr>
            <w:r w:rsidRPr="00FE5851">
              <w:rPr>
                <w:szCs w:val="24"/>
                <w:lang w:val="hu-HU"/>
              </w:rPr>
              <w:t>Egyéb termékek</w:t>
            </w:r>
          </w:p>
        </w:tc>
        <w:tc>
          <w:tcPr>
            <w:tcW w:w="6804" w:type="dxa"/>
          </w:tcPr>
          <w:p w14:paraId="39A1AE77" w14:textId="77777777" w:rsidR="00D313C3" w:rsidRPr="00FE5851" w:rsidRDefault="00D313C3" w:rsidP="007B53A5">
            <w:pPr>
              <w:pStyle w:val="TableText"/>
              <w:framePr w:wrap="auto" w:yAlign="inline"/>
              <w:rPr>
                <w:szCs w:val="24"/>
                <w:lang w:val="hu-HU"/>
              </w:rPr>
            </w:pPr>
            <w:r w:rsidRPr="00FE5851">
              <w:rPr>
                <w:szCs w:val="24"/>
                <w:lang w:val="hu-HU"/>
              </w:rPr>
              <w:t xml:space="preserve">Az egyéb származékos termékek olyan instrumentumok, amelyeket nem lehet lebontani egyedi „plain vanilla” </w:t>
            </w:r>
            <w:r w:rsidR="008B24B0">
              <w:rPr>
                <w:szCs w:val="24"/>
                <w:lang w:val="hu-HU"/>
              </w:rPr>
              <w:t>instrumentumok</w:t>
            </w:r>
            <w:r w:rsidRPr="00FE5851">
              <w:rPr>
                <w:szCs w:val="24"/>
                <w:lang w:val="hu-HU"/>
              </w:rPr>
              <w:t>r</w:t>
            </w:r>
            <w:r w:rsidR="008B24B0">
              <w:rPr>
                <w:szCs w:val="24"/>
                <w:lang w:val="hu-HU"/>
              </w:rPr>
              <w:t>a</w:t>
            </w:r>
            <w:r w:rsidRPr="00FE5851">
              <w:rPr>
                <w:szCs w:val="24"/>
                <w:lang w:val="hu-HU"/>
              </w:rPr>
              <w:t xml:space="preserve">, például tőzsdén kívüli határidős, csere- vagy opciós ügyletekre, vagy az célszerűtlen, a gyakorlatban megvalósíthatatlan lenne. Az „egyéb” termékek egy példája az a csereügylet, amelyben a névleges tőkéétől különböző devizákban denominált </w:t>
            </w:r>
            <w:r w:rsidR="007B53A5" w:rsidRPr="00FE5851">
              <w:rPr>
                <w:szCs w:val="24"/>
                <w:lang w:val="hu-HU"/>
              </w:rPr>
              <w:t>kamat</w:t>
            </w:r>
            <w:r w:rsidR="007B53A5">
              <w:rPr>
                <w:szCs w:val="24"/>
                <w:lang w:val="hu-HU"/>
              </w:rPr>
              <w:t>láb alapján</w:t>
            </w:r>
            <w:r w:rsidR="007B53A5" w:rsidRPr="00FE5851">
              <w:rPr>
                <w:szCs w:val="24"/>
                <w:lang w:val="hu-HU"/>
              </w:rPr>
              <w:t xml:space="preserve"> </w:t>
            </w:r>
            <w:r w:rsidR="007B53A5">
              <w:rPr>
                <w:szCs w:val="24"/>
                <w:lang w:val="hu-HU"/>
              </w:rPr>
              <w:t xml:space="preserve">történnek </w:t>
            </w:r>
            <w:proofErr w:type="gramStart"/>
            <w:r w:rsidR="007B53A5">
              <w:rPr>
                <w:szCs w:val="24"/>
                <w:lang w:val="hu-HU"/>
              </w:rPr>
              <w:t>fix,</w:t>
            </w:r>
            <w:proofErr w:type="gramEnd"/>
            <w:r w:rsidRPr="00FE5851">
              <w:rPr>
                <w:szCs w:val="24"/>
                <w:lang w:val="hu-HU"/>
              </w:rPr>
              <w:t xml:space="preserve"> vagy változó kamatozású kifizetések (különbözeti </w:t>
            </w:r>
            <w:r w:rsidR="007B53A5">
              <w:rPr>
                <w:szCs w:val="24"/>
                <w:lang w:val="hu-HU"/>
              </w:rPr>
              <w:t>swapok</w:t>
            </w:r>
            <w:r w:rsidRPr="00FE5851">
              <w:rPr>
                <w:szCs w:val="24"/>
                <w:lang w:val="hu-HU"/>
              </w:rPr>
              <w:t>).</w:t>
            </w:r>
          </w:p>
        </w:tc>
      </w:tr>
    </w:tbl>
    <w:p w14:paraId="73826A9A" w14:textId="77777777" w:rsidR="00D313C3" w:rsidRPr="00FE5851" w:rsidRDefault="00D313C3">
      <w:pPr>
        <w:pStyle w:val="Paragraph"/>
        <w:spacing w:before="360"/>
        <w:rPr>
          <w:szCs w:val="24"/>
          <w:lang w:val="hu-HU"/>
        </w:rPr>
      </w:pPr>
      <w:r w:rsidRPr="00FE5851">
        <w:rPr>
          <w:szCs w:val="24"/>
          <w:lang w:val="hu-HU"/>
        </w:rPr>
        <w:t>A tőzsdén kívüli (OTC) származtatott devizaügyletek</w:t>
      </w:r>
      <w:r w:rsidR="007B53A5">
        <w:rPr>
          <w:szCs w:val="24"/>
          <w:lang w:val="hu-HU"/>
        </w:rPr>
        <w:t xml:space="preserve"> általában</w:t>
      </w:r>
      <w:r w:rsidRPr="00FE5851">
        <w:rPr>
          <w:szCs w:val="24"/>
          <w:lang w:val="hu-HU"/>
        </w:rPr>
        <w:t xml:space="preserve"> három „plain vanilla” instrumentumra (</w:t>
      </w:r>
      <w:r w:rsidR="00E76B8A">
        <w:rPr>
          <w:szCs w:val="24"/>
          <w:lang w:val="hu-HU"/>
        </w:rPr>
        <w:t>egyszerű</w:t>
      </w:r>
      <w:r w:rsidRPr="00FE5851">
        <w:rPr>
          <w:szCs w:val="24"/>
          <w:lang w:val="hu-HU"/>
        </w:rPr>
        <w:t xml:space="preserve"> határidős, swap- és opciós ügyletre) bonthatók. A „plain vanilla” instrumentumok likvid piacokon, többé-kevésbé szabványosított szerződések és piaci konvenciók szerint kereskedett </w:t>
      </w:r>
      <w:r w:rsidR="008B24B0">
        <w:rPr>
          <w:szCs w:val="24"/>
          <w:lang w:val="hu-HU"/>
        </w:rPr>
        <w:t>instrumentumok</w:t>
      </w:r>
      <w:r w:rsidRPr="00FE5851">
        <w:rPr>
          <w:szCs w:val="24"/>
          <w:lang w:val="hu-HU"/>
        </w:rPr>
        <w:t xml:space="preserve">. Amennyiben egy ügyletnek több „plain vanilla” összetevője van, </w:t>
      </w:r>
      <w:r w:rsidR="007B53A5">
        <w:rPr>
          <w:szCs w:val="24"/>
          <w:lang w:val="hu-HU"/>
        </w:rPr>
        <w:t>lehetőség szerint</w:t>
      </w:r>
      <w:r w:rsidRPr="00FE5851">
        <w:rPr>
          <w:szCs w:val="24"/>
          <w:lang w:val="hu-HU"/>
        </w:rPr>
        <w:t xml:space="preserve"> minden összetevőt külön-külön kell jelenteni.</w:t>
      </w:r>
      <w:r w:rsidR="00FE5851" w:rsidRPr="00FE5851">
        <w:rPr>
          <w:szCs w:val="24"/>
          <w:lang w:val="hu-HU"/>
        </w:rPr>
        <w:t xml:space="preserve"> </w:t>
      </w:r>
    </w:p>
    <w:p w14:paraId="6D409D0A" w14:textId="77777777" w:rsidR="00D313C3" w:rsidRPr="00FE5851" w:rsidRDefault="00D313C3">
      <w:pPr>
        <w:pStyle w:val="Paragraph"/>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deviza származékos terméket tőzsdén kívüli (OTC) opcióként kell jelenteni. Az összes többi tőzsdén kívüli (OTC) deviza származékos terméket a tőzsdén kívüli határidős ügyletek vagy </w:t>
      </w:r>
      <w:r w:rsidR="007B53A5">
        <w:rPr>
          <w:szCs w:val="24"/>
          <w:lang w:val="hu-HU"/>
        </w:rPr>
        <w:t>deviza swap</w:t>
      </w:r>
      <w:r w:rsidRPr="00FE5851">
        <w:rPr>
          <w:szCs w:val="24"/>
          <w:lang w:val="hu-HU"/>
        </w:rPr>
        <w:t xml:space="preserve">ügyletek részben kell jelenteni. </w:t>
      </w:r>
    </w:p>
    <w:p w14:paraId="62D575A7" w14:textId="77777777" w:rsidR="00D313C3" w:rsidRPr="00FE5851" w:rsidRDefault="00D313C3">
      <w:pPr>
        <w:pStyle w:val="IndentedHeading2"/>
        <w:spacing w:after="240"/>
        <w:rPr>
          <w:szCs w:val="24"/>
          <w:lang w:val="hu-HU"/>
        </w:rPr>
      </w:pPr>
      <w:bookmarkStart w:id="22" w:name="_Toc533082675"/>
      <w:r w:rsidRPr="00FE5851">
        <w:rPr>
          <w:szCs w:val="24"/>
          <w:lang w:val="hu-HU"/>
        </w:rPr>
        <w:lastRenderedPageBreak/>
        <w:t>2.</w:t>
      </w:r>
      <w:r w:rsidRPr="00FE5851">
        <w:rPr>
          <w:szCs w:val="24"/>
          <w:lang w:val="hu-HU"/>
        </w:rPr>
        <w:tab/>
        <w:t>Egydevizás kamatlábalapú származékos ügyletek</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14:paraId="09984DC4" w14:textId="77777777">
        <w:tblPrEx>
          <w:tblCellMar>
            <w:top w:w="0" w:type="dxa"/>
            <w:bottom w:w="0" w:type="dxa"/>
          </w:tblCellMar>
        </w:tblPrEx>
        <w:trPr>
          <w:cantSplit/>
        </w:trPr>
        <w:tc>
          <w:tcPr>
            <w:tcW w:w="2376" w:type="dxa"/>
          </w:tcPr>
          <w:p w14:paraId="320F6C99" w14:textId="77777777" w:rsidR="00D313C3" w:rsidRPr="00FE5851" w:rsidRDefault="00D313C3">
            <w:pPr>
              <w:pStyle w:val="TableRowHeading"/>
              <w:rPr>
                <w:szCs w:val="24"/>
                <w:lang w:val="hu-HU"/>
              </w:rPr>
            </w:pPr>
            <w:r w:rsidRPr="00FE5851">
              <w:rPr>
                <w:szCs w:val="24"/>
                <w:lang w:val="hu-HU"/>
              </w:rPr>
              <w:t>Határidős kamatláb-megállapodás (FRA):</w:t>
            </w:r>
          </w:p>
        </w:tc>
        <w:tc>
          <w:tcPr>
            <w:tcW w:w="6694" w:type="dxa"/>
          </w:tcPr>
          <w:p w14:paraId="14C5F6C3" w14:textId="77777777" w:rsidR="00D313C3" w:rsidRPr="00FE5851" w:rsidRDefault="00D313C3">
            <w:pPr>
              <w:pStyle w:val="TableText"/>
              <w:framePr w:wrap="auto" w:yAlign="inline"/>
              <w:rPr>
                <w:szCs w:val="24"/>
                <w:lang w:val="hu-HU"/>
              </w:rPr>
            </w:pPr>
            <w:r w:rsidRPr="00FE5851">
              <w:rPr>
                <w:szCs w:val="24"/>
                <w:lang w:val="hu-HU"/>
              </w:rPr>
              <w:t xml:space="preserve">Határidős kamatlábkontraktus, amelyben egy konkrét kötelezettség után rögzített ideig, valamely jövőbeli időponttól kezdődően fizetendő vagy kapott kamat mértékét a szerződés kezdeményezésekor határozzák meg. </w:t>
            </w:r>
          </w:p>
        </w:tc>
      </w:tr>
      <w:tr w:rsidR="00D313C3" w:rsidRPr="00FE5851" w14:paraId="24AF6083" w14:textId="77777777">
        <w:tblPrEx>
          <w:tblCellMar>
            <w:top w:w="0" w:type="dxa"/>
            <w:bottom w:w="0" w:type="dxa"/>
          </w:tblCellMar>
        </w:tblPrEx>
        <w:trPr>
          <w:cantSplit/>
        </w:trPr>
        <w:tc>
          <w:tcPr>
            <w:tcW w:w="2376" w:type="dxa"/>
          </w:tcPr>
          <w:p w14:paraId="32EC1126" w14:textId="77777777" w:rsidR="00D313C3" w:rsidRPr="00FE5851" w:rsidRDefault="007B53A5" w:rsidP="007B53A5">
            <w:pPr>
              <w:pStyle w:val="TableRowHeading"/>
              <w:rPr>
                <w:szCs w:val="24"/>
                <w:lang w:val="hu-HU"/>
              </w:rPr>
            </w:pPr>
            <w:r>
              <w:rPr>
                <w:szCs w:val="24"/>
                <w:lang w:val="hu-HU"/>
              </w:rPr>
              <w:t>Deviza kamatc</w:t>
            </w:r>
            <w:r w:rsidR="00D313C3" w:rsidRPr="00FE5851">
              <w:rPr>
                <w:szCs w:val="24"/>
                <w:lang w:val="hu-HU"/>
              </w:rPr>
              <w:t>sere</w:t>
            </w:r>
            <w:r>
              <w:rPr>
                <w:szCs w:val="24"/>
                <w:lang w:val="hu-HU"/>
              </w:rPr>
              <w:t xml:space="preserve"> </w:t>
            </w:r>
            <w:r w:rsidR="00D313C3" w:rsidRPr="00FE5851">
              <w:rPr>
                <w:szCs w:val="24"/>
                <w:lang w:val="hu-HU"/>
              </w:rPr>
              <w:t>ügyletek (</w:t>
            </w:r>
            <w:r>
              <w:rPr>
                <w:szCs w:val="24"/>
                <w:lang w:val="hu-HU"/>
              </w:rPr>
              <w:t>kamat</w:t>
            </w:r>
            <w:r w:rsidR="00D313C3" w:rsidRPr="00FE5851">
              <w:rPr>
                <w:szCs w:val="24"/>
                <w:lang w:val="hu-HU"/>
              </w:rPr>
              <w:t>swapok):</w:t>
            </w:r>
          </w:p>
        </w:tc>
        <w:tc>
          <w:tcPr>
            <w:tcW w:w="6694" w:type="dxa"/>
          </w:tcPr>
          <w:p w14:paraId="255ABA72" w14:textId="77777777" w:rsidR="00D313C3" w:rsidRPr="00FE5851" w:rsidRDefault="00D313C3" w:rsidP="007B53A5">
            <w:pPr>
              <w:pStyle w:val="TableText"/>
              <w:framePr w:wrap="auto" w:yAlign="inline"/>
              <w:rPr>
                <w:szCs w:val="24"/>
                <w:lang w:val="hu-HU"/>
              </w:rPr>
            </w:pPr>
            <w:r w:rsidRPr="00FE5851">
              <w:rPr>
                <w:szCs w:val="24"/>
                <w:lang w:val="hu-HU"/>
              </w:rPr>
              <w:t xml:space="preserve">Megállapodás időszakos fizetések cseréjéről fizetendő kamatokhoz kapcsolódóan egyetlen devizában; lehet </w:t>
            </w:r>
            <w:r w:rsidR="007B53A5">
              <w:rPr>
                <w:szCs w:val="24"/>
                <w:lang w:val="hu-HU"/>
              </w:rPr>
              <w:t>fix/</w:t>
            </w:r>
            <w:r w:rsidRPr="00FE5851">
              <w:rPr>
                <w:szCs w:val="24"/>
                <w:lang w:val="hu-HU"/>
              </w:rPr>
              <w:t xml:space="preserve"> változó kamatozásúra vagy változó</w:t>
            </w:r>
            <w:r w:rsidR="007B53A5">
              <w:rPr>
                <w:szCs w:val="24"/>
                <w:lang w:val="hu-HU"/>
              </w:rPr>
              <w:t>/</w:t>
            </w:r>
            <w:r w:rsidRPr="00FE5851">
              <w:rPr>
                <w:szCs w:val="24"/>
                <w:lang w:val="hu-HU"/>
              </w:rPr>
              <w:t>változó kamatozásúra különféle indexek alapján. Ebbe a csoportba tartoznak azok a csereügyletek, amelyek névleges tőkéjét rögzített, a kamatokétól független fizetési ütemezés szerint fizetik vissza.</w:t>
            </w:r>
          </w:p>
        </w:tc>
      </w:tr>
      <w:tr w:rsidR="00D313C3" w:rsidRPr="00FE5851" w14:paraId="4B46D18E" w14:textId="77777777">
        <w:tblPrEx>
          <w:tblCellMar>
            <w:top w:w="0" w:type="dxa"/>
            <w:bottom w:w="0" w:type="dxa"/>
          </w:tblCellMar>
        </w:tblPrEx>
        <w:trPr>
          <w:cantSplit/>
        </w:trPr>
        <w:tc>
          <w:tcPr>
            <w:tcW w:w="2376" w:type="dxa"/>
          </w:tcPr>
          <w:p w14:paraId="771644CC" w14:textId="77777777"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14:paraId="2C5A43B1" w14:textId="77777777" w:rsidR="00D313C3" w:rsidRPr="00FE5851" w:rsidRDefault="00D313C3">
            <w:pPr>
              <w:pStyle w:val="TableText"/>
              <w:framePr w:wrap="auto" w:yAlign="inline"/>
              <w:rPr>
                <w:szCs w:val="24"/>
                <w:lang w:val="hu-HU"/>
              </w:rPr>
            </w:pPr>
            <w:r w:rsidRPr="00FE5851">
              <w:rPr>
                <w:szCs w:val="24"/>
                <w:lang w:val="hu-HU"/>
              </w:rPr>
              <w:t xml:space="preserve">Opciós szerződés, amely, rögzített időn át, előre meghatározott tőke utáni egyedi kamat megfizetésére vagy egyedi kamatra (kapott kamatra) jogosít. </w:t>
            </w:r>
          </w:p>
          <w:p w14:paraId="1DE3A143" w14:textId="77777777" w:rsidR="00D313C3" w:rsidRPr="00FE5851" w:rsidRDefault="00D313C3">
            <w:pPr>
              <w:pStyle w:val="TableText"/>
              <w:framePr w:wrap="auto" w:yAlign="inline"/>
              <w:rPr>
                <w:szCs w:val="24"/>
                <w:lang w:val="hu-HU"/>
              </w:rPr>
            </w:pPr>
            <w:r w:rsidRPr="00FE5851">
              <w:rPr>
                <w:szCs w:val="24"/>
                <w:lang w:val="hu-HU"/>
              </w:rPr>
              <w:t>Tőzsdén kívüli (OTC) opciós ügyletek fajtái:</w:t>
            </w:r>
          </w:p>
          <w:p w14:paraId="40AE5783" w14:textId="77777777" w:rsidR="00D313C3" w:rsidRPr="00FE5851" w:rsidRDefault="00D313C3">
            <w:pPr>
              <w:pStyle w:val="Paragraph"/>
              <w:numPr>
                <w:ilvl w:val="0"/>
                <w:numId w:val="31"/>
              </w:numPr>
              <w:rPr>
                <w:szCs w:val="24"/>
                <w:lang w:val="hu-HU"/>
              </w:rPr>
            </w:pPr>
            <w:r w:rsidRPr="00FE5851">
              <w:rPr>
                <w:spacing w:val="-3"/>
                <w:sz w:val="20"/>
                <w:szCs w:val="24"/>
                <w:lang w:val="hu-HU"/>
              </w:rPr>
              <w:t>Kamatplafonügylet</w:t>
            </w:r>
            <w:r w:rsidRPr="00FE5851">
              <w:rPr>
                <w:sz w:val="20"/>
                <w:szCs w:val="24"/>
                <w:lang w:val="hu-HU"/>
              </w:rPr>
              <w:t>: Tőzsdén kívüli opciós ügylet, amely a változó kamat és a kamatplafon közötti különbséget fizeti ki.</w:t>
            </w:r>
          </w:p>
          <w:p w14:paraId="7B602410" w14:textId="77777777" w:rsidR="00D313C3" w:rsidRPr="00FE5851" w:rsidRDefault="00D313C3">
            <w:pPr>
              <w:pStyle w:val="Paragraph"/>
              <w:numPr>
                <w:ilvl w:val="0"/>
                <w:numId w:val="31"/>
              </w:numPr>
              <w:rPr>
                <w:szCs w:val="24"/>
                <w:lang w:val="hu-HU"/>
              </w:rPr>
            </w:pPr>
            <w:r w:rsidRPr="00FE5851">
              <w:rPr>
                <w:spacing w:val="-3"/>
                <w:sz w:val="20"/>
                <w:szCs w:val="24"/>
                <w:lang w:val="hu-HU"/>
              </w:rPr>
              <w:t>Kamatpadlóügylet</w:t>
            </w:r>
            <w:r w:rsidRPr="00FE5851">
              <w:rPr>
                <w:sz w:val="20"/>
                <w:szCs w:val="24"/>
                <w:lang w:val="hu-HU"/>
              </w:rPr>
              <w:t>: Tőzsdén kívüli opciós ügylet, amely a változó kamat és a kamatpadló közötti különbséget fizeti ki.</w:t>
            </w:r>
          </w:p>
          <w:p w14:paraId="32547419" w14:textId="77777777" w:rsidR="00D313C3" w:rsidRPr="00FE5851" w:rsidRDefault="00D313C3">
            <w:pPr>
              <w:pStyle w:val="Paragraph"/>
              <w:numPr>
                <w:ilvl w:val="0"/>
                <w:numId w:val="31"/>
              </w:numPr>
              <w:rPr>
                <w:szCs w:val="24"/>
                <w:lang w:val="hu-HU"/>
              </w:rPr>
            </w:pPr>
            <w:r w:rsidRPr="00FE5851">
              <w:rPr>
                <w:spacing w:val="-3"/>
                <w:sz w:val="20"/>
                <w:szCs w:val="24"/>
                <w:lang w:val="hu-HU"/>
              </w:rPr>
              <w:t>Kamatgallérügylet</w:t>
            </w:r>
            <w:r w:rsidRPr="00FE5851">
              <w:rPr>
                <w:sz w:val="20"/>
                <w:szCs w:val="24"/>
                <w:lang w:val="hu-HU"/>
              </w:rPr>
              <w:t>: a plafon és a padló kombinációja</w:t>
            </w:r>
          </w:p>
          <w:p w14:paraId="6CF6A757" w14:textId="77777777" w:rsidR="00D313C3" w:rsidRPr="00FE5851" w:rsidRDefault="00D313C3">
            <w:pPr>
              <w:pStyle w:val="Paragraph"/>
              <w:numPr>
                <w:ilvl w:val="0"/>
                <w:numId w:val="31"/>
              </w:numPr>
              <w:rPr>
                <w:szCs w:val="24"/>
                <w:lang w:val="hu-HU"/>
              </w:rPr>
            </w:pPr>
            <w:r w:rsidRPr="00FE5851">
              <w:rPr>
                <w:spacing w:val="-3"/>
                <w:sz w:val="20"/>
                <w:szCs w:val="24"/>
                <w:lang w:val="hu-HU"/>
              </w:rPr>
              <w:t>Kamatfolyosó-ügylet</w:t>
            </w:r>
            <w:r w:rsidRPr="00FE5851">
              <w:rPr>
                <w:sz w:val="20"/>
                <w:szCs w:val="24"/>
                <w:lang w:val="hu-HU"/>
              </w:rPr>
              <w:t xml:space="preserve">: 1) Két kamatplafonügylet kombinációja: az egyiket egy kölcsön felvevője vásárolja meg egy adott lehívási áron, míg a másikat ő maga adja el egy magasabb lehívási áron, amivel az elsőért fizetett prémiumot valójában ellentételezi. 2) </w:t>
            </w:r>
            <w:r w:rsidR="002D74F7">
              <w:rPr>
                <w:sz w:val="20"/>
                <w:szCs w:val="24"/>
                <w:lang w:val="hu-HU"/>
              </w:rPr>
              <w:t>Két swapció kombinációjábóll álló kamatgallér</w:t>
            </w:r>
            <w:r w:rsidRPr="00FE5851">
              <w:rPr>
                <w:sz w:val="20"/>
                <w:szCs w:val="24"/>
                <w:lang w:val="hu-HU"/>
              </w:rPr>
              <w:t xml:space="preserve"> – a swapció lehívási ára és típusa határozza meg a struktúrát és </w:t>
            </w:r>
            <w:r w:rsidR="002D74F7">
              <w:rPr>
                <w:sz w:val="20"/>
                <w:szCs w:val="24"/>
                <w:lang w:val="hu-HU"/>
              </w:rPr>
              <w:t>az időszakot</w:t>
            </w:r>
            <w:r w:rsidR="00FE5851" w:rsidRPr="00FE5851">
              <w:rPr>
                <w:sz w:val="20"/>
                <w:szCs w:val="24"/>
                <w:lang w:val="hu-HU"/>
              </w:rPr>
              <w:t xml:space="preserve"> </w:t>
            </w:r>
            <w:r w:rsidRPr="00FE5851">
              <w:rPr>
                <w:sz w:val="20"/>
                <w:szCs w:val="24"/>
                <w:lang w:val="hu-HU"/>
              </w:rPr>
              <w:t xml:space="preserve">3) Digitális „knock-out” opció, amelynél az alsó és a felső korlátot egy hosszú távú kamatláb jelenlegi szintje köré állapítják meg. </w:t>
            </w:r>
          </w:p>
          <w:p w14:paraId="4D7EA0A7" w14:textId="77777777" w:rsidR="00D313C3" w:rsidRPr="00FE5851" w:rsidRDefault="00D313C3">
            <w:pPr>
              <w:pStyle w:val="Paragraph"/>
              <w:numPr>
                <w:ilvl w:val="0"/>
                <w:numId w:val="31"/>
              </w:numPr>
              <w:rPr>
                <w:szCs w:val="24"/>
                <w:lang w:val="hu-HU"/>
              </w:rPr>
            </w:pPr>
            <w:r w:rsidRPr="00FE5851">
              <w:rPr>
                <w:spacing w:val="-3"/>
                <w:sz w:val="20"/>
                <w:szCs w:val="24"/>
                <w:lang w:val="hu-HU"/>
              </w:rPr>
              <w:t>Kamatcserére vonatkozó opció</w:t>
            </w:r>
            <w:r w:rsidRPr="00FE5851">
              <w:rPr>
                <w:sz w:val="20"/>
                <w:szCs w:val="24"/>
                <w:lang w:val="hu-HU"/>
              </w:rPr>
              <w:t xml:space="preserve">: kamatcsereügyletre (swapra) vonatkozó tőzsdén kívüli (OTC) opció, amelynél lehetőség nyílik fix kamat fizetésére vagy elfogadására vonatkozó jog megvásárlására. </w:t>
            </w:r>
          </w:p>
          <w:p w14:paraId="0DE5FDD0" w14:textId="77777777" w:rsidR="00D313C3" w:rsidRPr="00FE5851" w:rsidRDefault="002D74F7" w:rsidP="002D74F7">
            <w:pPr>
              <w:pStyle w:val="Paragraph"/>
              <w:numPr>
                <w:ilvl w:val="0"/>
                <w:numId w:val="31"/>
              </w:numPr>
              <w:rPr>
                <w:szCs w:val="24"/>
                <w:lang w:val="hu-HU"/>
              </w:rPr>
            </w:pPr>
            <w:r w:rsidRPr="00FE5851">
              <w:rPr>
                <w:sz w:val="20"/>
                <w:szCs w:val="24"/>
                <w:lang w:val="hu-HU"/>
              </w:rPr>
              <w:t>Kamat</w:t>
            </w:r>
            <w:r>
              <w:rPr>
                <w:sz w:val="20"/>
                <w:szCs w:val="24"/>
                <w:lang w:val="hu-HU"/>
              </w:rPr>
              <w:t xml:space="preserve"> </w:t>
            </w:r>
            <w:r w:rsidR="00D313C3" w:rsidRPr="00FE5851">
              <w:rPr>
                <w:sz w:val="20"/>
                <w:szCs w:val="24"/>
                <w:lang w:val="hu-HU"/>
              </w:rPr>
              <w:t>warrant: egy évnél hosszabb távra szóló, tőzsdén kívüli (OTC-) kamatopció.</w:t>
            </w:r>
          </w:p>
        </w:tc>
      </w:tr>
      <w:tr w:rsidR="00D313C3" w:rsidRPr="00FE5851" w14:paraId="15F0BD8D" w14:textId="77777777">
        <w:tblPrEx>
          <w:tblCellMar>
            <w:top w:w="0" w:type="dxa"/>
            <w:bottom w:w="0" w:type="dxa"/>
          </w:tblCellMar>
        </w:tblPrEx>
        <w:trPr>
          <w:cantSplit/>
        </w:trPr>
        <w:tc>
          <w:tcPr>
            <w:tcW w:w="2376" w:type="dxa"/>
          </w:tcPr>
          <w:p w14:paraId="76E208E1" w14:textId="77777777" w:rsidR="00D313C3" w:rsidRPr="00FE5851" w:rsidRDefault="00D313C3">
            <w:pPr>
              <w:pStyle w:val="TableRowHeading"/>
              <w:rPr>
                <w:szCs w:val="24"/>
                <w:lang w:val="hu-HU"/>
              </w:rPr>
            </w:pPr>
            <w:r w:rsidRPr="00FE5851">
              <w:rPr>
                <w:szCs w:val="24"/>
                <w:lang w:val="hu-HU"/>
              </w:rPr>
              <w:t>Egyéb termékek</w:t>
            </w:r>
          </w:p>
        </w:tc>
        <w:tc>
          <w:tcPr>
            <w:tcW w:w="6694" w:type="dxa"/>
          </w:tcPr>
          <w:p w14:paraId="587B86D7" w14:textId="77777777" w:rsidR="00D313C3" w:rsidRPr="00FE5851" w:rsidRDefault="00D313C3" w:rsidP="008B24B0">
            <w:pPr>
              <w:pStyle w:val="TableText"/>
              <w:framePr w:wrap="auto" w:yAlign="inline"/>
              <w:rPr>
                <w:szCs w:val="24"/>
                <w:lang w:val="hu-HU"/>
              </w:rPr>
            </w:pPr>
            <w:r w:rsidRPr="00FE5851">
              <w:rPr>
                <w:szCs w:val="24"/>
                <w:lang w:val="hu-HU"/>
              </w:rPr>
              <w:t xml:space="preserve">Az egyéb származékos termékek olyan instrumentumok, amelyeket nem lehet lebontani egyedi „plain vanilla” </w:t>
            </w:r>
            <w:r w:rsidR="008B24B0">
              <w:rPr>
                <w:szCs w:val="24"/>
                <w:lang w:val="hu-HU"/>
              </w:rPr>
              <w:t>instrumentumok</w:t>
            </w:r>
            <w:r w:rsidRPr="00FE5851">
              <w:rPr>
                <w:szCs w:val="24"/>
                <w:lang w:val="hu-HU"/>
              </w:rPr>
              <w:t>r</w:t>
            </w:r>
            <w:r w:rsidR="008B24B0">
              <w:rPr>
                <w:szCs w:val="24"/>
                <w:lang w:val="hu-HU"/>
              </w:rPr>
              <w:t>a</w:t>
            </w:r>
            <w:r w:rsidRPr="00FE5851">
              <w:rPr>
                <w:szCs w:val="24"/>
                <w:lang w:val="hu-HU"/>
              </w:rPr>
              <w:t xml:space="preserve">, például határidős kamatláb-megállapodásra, csere- vagy opciós ügyletekre, vagy az célszerűtlen, a gyakorlatban megvalósíthatatlan lenne. Az „egyéb” termékek például a tőkeáttételes payoff </w:t>
            </w:r>
            <w:r w:rsidR="008B24B0">
              <w:rPr>
                <w:szCs w:val="24"/>
                <w:lang w:val="hu-HU"/>
              </w:rPr>
              <w:t>instrumentumok</w:t>
            </w:r>
            <w:r w:rsidRPr="00FE5851">
              <w:rPr>
                <w:szCs w:val="24"/>
                <w:lang w:val="hu-HU"/>
              </w:rPr>
              <w:t xml:space="preserve"> és/vagy azok az instrumentumok, amelyek névleges tőkéje a kamat függvényében változik, pl. LIBOR</w:t>
            </w:r>
            <w:r w:rsidRPr="00FE5851">
              <w:rPr>
                <w:rFonts w:ascii="Times New Roman" w:hAnsi="Times New Roman"/>
                <w:szCs w:val="24"/>
                <w:lang w:val="hu-HU"/>
              </w:rPr>
              <w:t>²</w:t>
            </w:r>
            <w:r w:rsidRPr="00FE5851">
              <w:rPr>
                <w:szCs w:val="24"/>
                <w:lang w:val="hu-HU"/>
              </w:rPr>
              <w:t>-csereügylet vagy a névértéket egy előre meghatározott ráta mozgásának megfelelően folyamatosan csökkentő csereügylet (index amortising rate swap).</w:t>
            </w:r>
          </w:p>
        </w:tc>
      </w:tr>
    </w:tbl>
    <w:p w14:paraId="4FA47CB9" w14:textId="77777777" w:rsidR="00E76B8A" w:rsidRPr="00FE5851" w:rsidRDefault="00E76B8A" w:rsidP="00E76B8A">
      <w:pPr>
        <w:pStyle w:val="Paragraph"/>
        <w:spacing w:before="360"/>
        <w:rPr>
          <w:szCs w:val="24"/>
          <w:lang w:val="hu-HU"/>
        </w:rPr>
      </w:pPr>
      <w:r w:rsidRPr="00FE5851">
        <w:rPr>
          <w:szCs w:val="24"/>
          <w:lang w:val="hu-HU"/>
        </w:rPr>
        <w:t xml:space="preserve">A tőzsdén kívüli (OTC) származtatott </w:t>
      </w:r>
      <w:r>
        <w:rPr>
          <w:szCs w:val="24"/>
          <w:lang w:val="hu-HU"/>
        </w:rPr>
        <w:t>kamat</w:t>
      </w:r>
      <w:r w:rsidRPr="00FE5851">
        <w:rPr>
          <w:szCs w:val="24"/>
          <w:lang w:val="hu-HU"/>
        </w:rPr>
        <w:t>ügyletek</w:t>
      </w:r>
      <w:r>
        <w:rPr>
          <w:szCs w:val="24"/>
          <w:lang w:val="hu-HU"/>
        </w:rPr>
        <w:t xml:space="preserve"> általában</w:t>
      </w:r>
      <w:r w:rsidRPr="00FE5851">
        <w:rPr>
          <w:szCs w:val="24"/>
          <w:lang w:val="hu-HU"/>
        </w:rPr>
        <w:t xml:space="preserve"> három „plain vanilla” instrumentumra (</w:t>
      </w:r>
      <w:r>
        <w:rPr>
          <w:szCs w:val="24"/>
          <w:lang w:val="hu-HU"/>
        </w:rPr>
        <w:t>egyszerű</w:t>
      </w:r>
      <w:r w:rsidRPr="00FE5851">
        <w:rPr>
          <w:szCs w:val="24"/>
          <w:lang w:val="hu-HU"/>
        </w:rPr>
        <w:t xml:space="preserve"> határidős, swap- és opciós ügyletre) bonthatók. A „plain vanilla” instrumentumok likvid piacokon, többé-kevésbé szabványosított szerződések és piaci konvenciók szerint kereskedett </w:t>
      </w:r>
      <w:r>
        <w:rPr>
          <w:szCs w:val="24"/>
          <w:lang w:val="hu-HU"/>
        </w:rPr>
        <w:t>instrumentumok</w:t>
      </w:r>
      <w:r w:rsidRPr="00FE5851">
        <w:rPr>
          <w:szCs w:val="24"/>
          <w:lang w:val="hu-HU"/>
        </w:rPr>
        <w:t xml:space="preserve">. Amennyiben egy ügyletnek több „plain vanilla” összetevője van, </w:t>
      </w:r>
      <w:r>
        <w:rPr>
          <w:szCs w:val="24"/>
          <w:lang w:val="hu-HU"/>
        </w:rPr>
        <w:t>lehetőség szerint</w:t>
      </w:r>
      <w:r w:rsidRPr="00FE5851">
        <w:rPr>
          <w:szCs w:val="24"/>
          <w:lang w:val="hu-HU"/>
        </w:rPr>
        <w:t xml:space="preserve"> minden összetevőt külön-külön kell jelenteni. </w:t>
      </w:r>
    </w:p>
    <w:p w14:paraId="7451AF61" w14:textId="77777777" w:rsidR="00D313C3" w:rsidRPr="00FE5851" w:rsidRDefault="00D313C3">
      <w:pPr>
        <w:pStyle w:val="Paragraph"/>
        <w:tabs>
          <w:tab w:val="left" w:pos="851"/>
        </w:tabs>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kamatlábalapú </w:t>
      </w:r>
      <w:r w:rsidRPr="00FE5851">
        <w:rPr>
          <w:szCs w:val="24"/>
          <w:lang w:val="hu-HU"/>
        </w:rPr>
        <w:lastRenderedPageBreak/>
        <w:t xml:space="preserve">származtatott terméket tőzsdén kívüli (OTC) opcióként kell jelenteni. Az összes többi tőzsdén kívüli (OTC) kamatlábalapú származtatott terméket határidős kamatláb-megállapodás vagy csereügyletek részben kell jelenteni. </w:t>
      </w:r>
    </w:p>
    <w:p w14:paraId="7CC204D6" w14:textId="77777777" w:rsidR="00D313C3" w:rsidRPr="00FE5851" w:rsidRDefault="00D313C3">
      <w:pPr>
        <w:pStyle w:val="IndentedHeading2"/>
        <w:spacing w:after="240"/>
        <w:rPr>
          <w:szCs w:val="24"/>
          <w:lang w:val="hu-HU"/>
        </w:rPr>
      </w:pPr>
      <w:bookmarkStart w:id="23" w:name="_Toc533082676"/>
      <w:r w:rsidRPr="00FE5851">
        <w:rPr>
          <w:szCs w:val="24"/>
          <w:lang w:val="hu-HU"/>
        </w:rPr>
        <w:t>3.</w:t>
      </w:r>
      <w:r w:rsidRPr="00FE5851">
        <w:rPr>
          <w:szCs w:val="24"/>
          <w:lang w:val="hu-HU"/>
        </w:rPr>
        <w:tab/>
        <w:t>Részvény- és tőzsdeindex-alapú származékos termékek</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14:paraId="1A6F41CF" w14:textId="77777777">
        <w:tblPrEx>
          <w:tblCellMar>
            <w:top w:w="0" w:type="dxa"/>
            <w:bottom w:w="0" w:type="dxa"/>
          </w:tblCellMar>
        </w:tblPrEx>
        <w:trPr>
          <w:cantSplit/>
        </w:trPr>
        <w:tc>
          <w:tcPr>
            <w:tcW w:w="2376" w:type="dxa"/>
          </w:tcPr>
          <w:p w14:paraId="3A407576" w14:textId="77777777" w:rsidR="00D313C3" w:rsidRPr="00FE5851" w:rsidRDefault="00D313C3">
            <w:pPr>
              <w:pStyle w:val="TableRowHeading"/>
              <w:rPr>
                <w:szCs w:val="24"/>
                <w:lang w:val="hu-HU"/>
              </w:rPr>
            </w:pPr>
            <w:r w:rsidRPr="00FE5851">
              <w:rPr>
                <w:szCs w:val="24"/>
                <w:lang w:val="hu-HU"/>
              </w:rPr>
              <w:t>Tőzsdén kívüli határidős ügyletek</w:t>
            </w:r>
          </w:p>
        </w:tc>
        <w:tc>
          <w:tcPr>
            <w:tcW w:w="6694" w:type="dxa"/>
          </w:tcPr>
          <w:p w14:paraId="55E7031D" w14:textId="77777777" w:rsidR="00D313C3" w:rsidRPr="00FE5851" w:rsidRDefault="00D313C3">
            <w:pPr>
              <w:pStyle w:val="TableText"/>
              <w:framePr w:wrap="auto" w:yAlign="inline"/>
              <w:rPr>
                <w:szCs w:val="24"/>
                <w:lang w:val="hu-HU"/>
              </w:rPr>
            </w:pPr>
            <w:r w:rsidRPr="00FE5851">
              <w:rPr>
                <w:spacing w:val="-6"/>
                <w:szCs w:val="24"/>
                <w:lang w:val="hu-HU"/>
              </w:rPr>
              <w:t>Részvény vagy részvénykosár rögzített áron és egy adott jövőbeli időpontban történő cseréjére irányuló kontraktus.</w:t>
            </w:r>
          </w:p>
        </w:tc>
      </w:tr>
      <w:tr w:rsidR="00D313C3" w:rsidRPr="00FE5851" w14:paraId="78B105FE" w14:textId="77777777">
        <w:tblPrEx>
          <w:tblCellMar>
            <w:top w:w="0" w:type="dxa"/>
            <w:bottom w:w="0" w:type="dxa"/>
          </w:tblCellMar>
        </w:tblPrEx>
        <w:trPr>
          <w:cantSplit/>
        </w:trPr>
        <w:tc>
          <w:tcPr>
            <w:tcW w:w="2376" w:type="dxa"/>
          </w:tcPr>
          <w:p w14:paraId="393C669C" w14:textId="77777777" w:rsidR="00D313C3" w:rsidRPr="00FE5851" w:rsidRDefault="00D313C3">
            <w:pPr>
              <w:pStyle w:val="TableRowHeading"/>
              <w:rPr>
                <w:szCs w:val="24"/>
                <w:lang w:val="hu-HU"/>
              </w:rPr>
            </w:pPr>
            <w:r w:rsidRPr="00FE5851">
              <w:rPr>
                <w:szCs w:val="24"/>
                <w:lang w:val="hu-HU"/>
              </w:rPr>
              <w:t>Csereügyletek (swapok):</w:t>
            </w:r>
          </w:p>
        </w:tc>
        <w:tc>
          <w:tcPr>
            <w:tcW w:w="6694" w:type="dxa"/>
          </w:tcPr>
          <w:p w14:paraId="5D39424A" w14:textId="77777777" w:rsidR="00D313C3" w:rsidRPr="00FE5851" w:rsidRDefault="00D313C3">
            <w:pPr>
              <w:pStyle w:val="TableText"/>
              <w:framePr w:wrap="auto" w:yAlign="inline"/>
              <w:rPr>
                <w:szCs w:val="24"/>
                <w:lang w:val="hu-HU"/>
              </w:rPr>
            </w:pPr>
            <w:r w:rsidRPr="00FE5851">
              <w:rPr>
                <w:szCs w:val="24"/>
                <w:lang w:val="hu-HU"/>
              </w:rPr>
              <w:t>Olyan kontraktus, ahol az egyik vagy mindkét kifizetés részvények vagy részvényekből képzett index (pl. S&amp;P 500) teljesítményéhez kötött.</w:t>
            </w:r>
            <w:r w:rsidR="00FE5851" w:rsidRPr="00FE5851">
              <w:rPr>
                <w:szCs w:val="24"/>
                <w:lang w:val="hu-HU"/>
              </w:rPr>
              <w:t xml:space="preserve"> </w:t>
            </w:r>
            <w:r w:rsidRPr="00FE5851">
              <w:rPr>
                <w:szCs w:val="24"/>
                <w:lang w:val="hu-HU"/>
              </w:rPr>
              <w:t>Az ügylet része egy adott részvény vagy részvényindex cseréje egy másikra vagy</w:t>
            </w:r>
            <w:r w:rsidR="00FE5851" w:rsidRPr="00FE5851">
              <w:rPr>
                <w:szCs w:val="24"/>
                <w:lang w:val="hu-HU"/>
              </w:rPr>
              <w:t xml:space="preserve"> </w:t>
            </w:r>
            <w:r w:rsidRPr="00FE5851">
              <w:rPr>
                <w:szCs w:val="24"/>
                <w:lang w:val="hu-HU"/>
              </w:rPr>
              <w:t>egy adott részvény vagy részvényindex cseréje változó vagy rögzített kamatra.</w:t>
            </w:r>
          </w:p>
        </w:tc>
      </w:tr>
      <w:tr w:rsidR="00D313C3" w:rsidRPr="00FE5851" w14:paraId="2C136CD5" w14:textId="77777777">
        <w:tblPrEx>
          <w:tblCellMar>
            <w:top w:w="0" w:type="dxa"/>
            <w:bottom w:w="0" w:type="dxa"/>
          </w:tblCellMar>
        </w:tblPrEx>
        <w:trPr>
          <w:cantSplit/>
        </w:trPr>
        <w:tc>
          <w:tcPr>
            <w:tcW w:w="2376" w:type="dxa"/>
          </w:tcPr>
          <w:p w14:paraId="3A3FDDCE" w14:textId="77777777"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14:paraId="3F2CFD7B" w14:textId="77777777" w:rsidR="00D313C3" w:rsidRPr="00FE5851" w:rsidRDefault="00D313C3">
            <w:pPr>
              <w:pStyle w:val="TableText"/>
              <w:framePr w:wrap="auto" w:yAlign="inline"/>
              <w:rPr>
                <w:szCs w:val="24"/>
                <w:lang w:val="hu-HU"/>
              </w:rPr>
            </w:pPr>
            <w:r w:rsidRPr="00FE5851">
              <w:rPr>
                <w:szCs w:val="24"/>
                <w:lang w:val="hu-HU"/>
              </w:rPr>
              <w:t>Az opciós szerződések egy konkrét részvény vagy részvénykosár átadására vagy átvételére biztosítanak jogot rögzített áron egy adott jövőbeli időpontban.</w:t>
            </w:r>
          </w:p>
          <w:p w14:paraId="3C0522C3" w14:textId="77777777" w:rsidR="00D313C3" w:rsidRPr="00FE5851" w:rsidRDefault="00D313C3">
            <w:pPr>
              <w:pStyle w:val="TableText"/>
              <w:framePr w:wrap="auto" w:yAlign="inline"/>
              <w:rPr>
                <w:szCs w:val="24"/>
                <w:lang w:val="hu-HU"/>
              </w:rPr>
            </w:pPr>
            <w:r w:rsidRPr="00FE5851">
              <w:rPr>
                <w:szCs w:val="24"/>
                <w:lang w:val="hu-HU"/>
              </w:rPr>
              <w:t>Az OTC-opciók közé tartoznak a részvénywarrantok, amelyek hosszú (egy évnél hosszabb) lejáratú tőzsdén kívüli részvényopciók.</w:t>
            </w:r>
          </w:p>
        </w:tc>
      </w:tr>
    </w:tbl>
    <w:p w14:paraId="0042E0A1" w14:textId="77777777" w:rsidR="00D313C3" w:rsidRPr="00FE5851" w:rsidRDefault="00D313C3">
      <w:pPr>
        <w:pStyle w:val="Paragraph"/>
        <w:spacing w:before="360"/>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részvényalapú származtatott terméket tőzsdén kívüli (OTC) opcióként kell jelenteni. Az összes többi tőzsdén kívüli (OTC) részvényalapú származtatott terméket a tőzsdén kívüli határidős ügyletek és a csereügyletek részben kell jelenteni. </w:t>
      </w:r>
    </w:p>
    <w:p w14:paraId="20B02B46" w14:textId="77777777" w:rsidR="00D313C3" w:rsidRPr="00FE5851" w:rsidRDefault="00D313C3">
      <w:pPr>
        <w:pStyle w:val="IndentedHeading2"/>
        <w:spacing w:after="240"/>
        <w:rPr>
          <w:szCs w:val="24"/>
          <w:lang w:val="hu-HU"/>
        </w:rPr>
      </w:pPr>
      <w:bookmarkStart w:id="24" w:name="_Toc533082677"/>
      <w:r w:rsidRPr="00FE5851">
        <w:rPr>
          <w:szCs w:val="24"/>
          <w:lang w:val="hu-HU"/>
        </w:rPr>
        <w:t>4.</w:t>
      </w:r>
      <w:r w:rsidRPr="00FE5851">
        <w:rPr>
          <w:szCs w:val="24"/>
          <w:lang w:val="hu-HU"/>
        </w:rPr>
        <w:tab/>
        <w:t>Árualapú származékos termékek</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14:paraId="0E5FC714" w14:textId="77777777">
        <w:tblPrEx>
          <w:tblCellMar>
            <w:top w:w="0" w:type="dxa"/>
            <w:bottom w:w="0" w:type="dxa"/>
          </w:tblCellMar>
        </w:tblPrEx>
        <w:trPr>
          <w:cantSplit/>
        </w:trPr>
        <w:tc>
          <w:tcPr>
            <w:tcW w:w="2376" w:type="dxa"/>
          </w:tcPr>
          <w:p w14:paraId="2178EB68" w14:textId="77777777" w:rsidR="00D313C3" w:rsidRPr="00FE5851" w:rsidRDefault="00D313C3">
            <w:pPr>
              <w:pStyle w:val="TableRowHeading"/>
              <w:rPr>
                <w:szCs w:val="24"/>
                <w:lang w:val="hu-HU"/>
              </w:rPr>
            </w:pPr>
            <w:r w:rsidRPr="00FE5851">
              <w:rPr>
                <w:szCs w:val="24"/>
                <w:lang w:val="hu-HU"/>
              </w:rPr>
              <w:t>Tőzsdén kívüli határidős ügyletek</w:t>
            </w:r>
          </w:p>
        </w:tc>
        <w:tc>
          <w:tcPr>
            <w:tcW w:w="6694" w:type="dxa"/>
          </w:tcPr>
          <w:p w14:paraId="36EBC7E1" w14:textId="77777777" w:rsidR="00D313C3" w:rsidRPr="00FE5851" w:rsidRDefault="00D313C3">
            <w:pPr>
              <w:pStyle w:val="TableText"/>
              <w:framePr w:wrap="auto" w:yAlign="inline"/>
              <w:rPr>
                <w:szCs w:val="24"/>
                <w:lang w:val="hu-HU"/>
              </w:rPr>
            </w:pPr>
            <w:r w:rsidRPr="00FE5851">
              <w:rPr>
                <w:szCs w:val="24"/>
                <w:lang w:val="hu-HU"/>
              </w:rPr>
              <w:t>Határidős kontraktus valamely árucikk vagy árucikkekből képzett index előre meghatározott áron a jövőben történő adásvételére.</w:t>
            </w:r>
          </w:p>
        </w:tc>
      </w:tr>
      <w:tr w:rsidR="00D313C3" w:rsidRPr="00FE5851" w14:paraId="0DCE404D" w14:textId="77777777">
        <w:tblPrEx>
          <w:tblCellMar>
            <w:top w:w="0" w:type="dxa"/>
            <w:bottom w:w="0" w:type="dxa"/>
          </w:tblCellMar>
        </w:tblPrEx>
        <w:trPr>
          <w:cantSplit/>
        </w:trPr>
        <w:tc>
          <w:tcPr>
            <w:tcW w:w="2376" w:type="dxa"/>
          </w:tcPr>
          <w:p w14:paraId="0B64F08F" w14:textId="77777777" w:rsidR="00D313C3" w:rsidRPr="00FE5851" w:rsidRDefault="00D313C3">
            <w:pPr>
              <w:pStyle w:val="TableRowHeading"/>
              <w:rPr>
                <w:szCs w:val="24"/>
                <w:lang w:val="hu-HU"/>
              </w:rPr>
            </w:pPr>
            <w:r w:rsidRPr="00FE5851">
              <w:rPr>
                <w:szCs w:val="24"/>
                <w:lang w:val="hu-HU"/>
              </w:rPr>
              <w:t>Csereügyletek (swapok):</w:t>
            </w:r>
          </w:p>
        </w:tc>
        <w:tc>
          <w:tcPr>
            <w:tcW w:w="6694" w:type="dxa"/>
          </w:tcPr>
          <w:p w14:paraId="3A6D4A75" w14:textId="77777777" w:rsidR="00D313C3" w:rsidRPr="00FE5851" w:rsidRDefault="00D313C3">
            <w:pPr>
              <w:pStyle w:val="TableText"/>
              <w:framePr w:wrap="auto" w:yAlign="inline"/>
              <w:rPr>
                <w:szCs w:val="24"/>
                <w:lang w:val="hu-HU"/>
              </w:rPr>
            </w:pPr>
            <w:r w:rsidRPr="00FE5851">
              <w:rPr>
                <w:szCs w:val="24"/>
                <w:lang w:val="hu-HU"/>
              </w:rPr>
              <w:t xml:space="preserve">Olyan kontraktus, ahol az egyik vagy mindkét kifizetés árucikk árának vagy árucikkekből képzett index teljesítményéhez kötött. Ennek része árucikk vagy árucikkekből képzett index hozamának egy másik árucikk vagy árucikkekből képzett index hozamára vagy fix/változó kamatra történő cseréje. </w:t>
            </w:r>
          </w:p>
        </w:tc>
      </w:tr>
      <w:tr w:rsidR="00D313C3" w:rsidRPr="00FE5851" w14:paraId="03086660" w14:textId="77777777">
        <w:tblPrEx>
          <w:tblCellMar>
            <w:top w:w="0" w:type="dxa"/>
            <w:bottom w:w="0" w:type="dxa"/>
          </w:tblCellMar>
        </w:tblPrEx>
        <w:trPr>
          <w:cantSplit/>
        </w:trPr>
        <w:tc>
          <w:tcPr>
            <w:tcW w:w="2376" w:type="dxa"/>
          </w:tcPr>
          <w:p w14:paraId="3C857CA0" w14:textId="77777777"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14:paraId="680AD7DF" w14:textId="77777777" w:rsidR="00D313C3" w:rsidRPr="00FE5851" w:rsidRDefault="00D313C3">
            <w:pPr>
              <w:pStyle w:val="TableText"/>
              <w:framePr w:wrap="auto" w:yAlign="inline"/>
              <w:rPr>
                <w:szCs w:val="24"/>
                <w:lang w:val="hu-HU"/>
              </w:rPr>
            </w:pPr>
            <w:r w:rsidRPr="00FE5851">
              <w:rPr>
                <w:szCs w:val="24"/>
                <w:lang w:val="hu-HU"/>
              </w:rPr>
              <w:t>Árucikk vagy árucikkekből képzett index előre meghatározott áron és jövőbeli időpontban történő vételére vagy eladására vonatkozó jog, illetve kötelezettség.</w:t>
            </w:r>
          </w:p>
        </w:tc>
      </w:tr>
    </w:tbl>
    <w:p w14:paraId="744C149D" w14:textId="77777777" w:rsidR="00D313C3" w:rsidRPr="00FE5851" w:rsidRDefault="00D313C3">
      <w:pPr>
        <w:pStyle w:val="Paragraph"/>
        <w:spacing w:before="360"/>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árucikkalapú származtatott terméket tőzsdén kívüli (OTC) opcióként kell jelenteni. Az összes többi tőzsdén kívüli (OTC) árucikkalapú származtatott terméket a tőzsdén kívüli határidős ügyletek és a csereügyletek részben kell jelenteni. </w:t>
      </w:r>
    </w:p>
    <w:p w14:paraId="25BFBD88" w14:textId="77777777" w:rsidR="00D313C3" w:rsidRPr="00FE5851" w:rsidRDefault="00D313C3">
      <w:pPr>
        <w:pStyle w:val="Paragraph"/>
        <w:spacing w:before="360"/>
        <w:rPr>
          <w:szCs w:val="24"/>
          <w:lang w:val="hu-HU"/>
        </w:rPr>
      </w:pPr>
    </w:p>
    <w:p w14:paraId="47D6C394" w14:textId="77777777" w:rsidR="00D313C3" w:rsidRPr="00FE5851" w:rsidRDefault="00D313C3">
      <w:pPr>
        <w:pStyle w:val="IndentedHeading2"/>
        <w:spacing w:after="240"/>
        <w:rPr>
          <w:szCs w:val="24"/>
          <w:lang w:val="hu-HU"/>
        </w:rPr>
      </w:pPr>
      <w:bookmarkStart w:id="25" w:name="_Toc533082678"/>
      <w:r w:rsidRPr="00FE5851">
        <w:rPr>
          <w:szCs w:val="24"/>
          <w:lang w:val="hu-HU"/>
        </w:rPr>
        <w:lastRenderedPageBreak/>
        <w:t>5.</w:t>
      </w:r>
      <w:r w:rsidRPr="00FE5851">
        <w:rPr>
          <w:szCs w:val="24"/>
          <w:lang w:val="hu-HU"/>
        </w:rPr>
        <w:tab/>
        <w:t>Hitelderivatívák</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14:paraId="15A5506D" w14:textId="77777777">
        <w:tblPrEx>
          <w:tblCellMar>
            <w:top w:w="0" w:type="dxa"/>
            <w:bottom w:w="0" w:type="dxa"/>
          </w:tblCellMar>
        </w:tblPrEx>
        <w:trPr>
          <w:cantSplit/>
        </w:trPr>
        <w:tc>
          <w:tcPr>
            <w:tcW w:w="2376" w:type="dxa"/>
          </w:tcPr>
          <w:p w14:paraId="1519CEF3" w14:textId="77777777" w:rsidR="00D313C3" w:rsidRPr="00FE5851" w:rsidRDefault="00E76B8A">
            <w:pPr>
              <w:pStyle w:val="TableRowHeading"/>
              <w:rPr>
                <w:szCs w:val="24"/>
                <w:lang w:val="hu-HU"/>
              </w:rPr>
            </w:pPr>
            <w:r>
              <w:rPr>
                <w:szCs w:val="24"/>
                <w:lang w:val="hu-HU"/>
              </w:rPr>
              <w:t>Egyszerű</w:t>
            </w:r>
            <w:r w:rsidR="00D313C3" w:rsidRPr="00FE5851">
              <w:rPr>
                <w:szCs w:val="24"/>
                <w:lang w:val="hu-HU"/>
              </w:rPr>
              <w:t xml:space="preserve"> határidős ügyletek</w:t>
            </w:r>
          </w:p>
        </w:tc>
        <w:tc>
          <w:tcPr>
            <w:tcW w:w="6694" w:type="dxa"/>
          </w:tcPr>
          <w:p w14:paraId="1A24ED03" w14:textId="77777777" w:rsidR="00D313C3" w:rsidRPr="00FE5851" w:rsidRDefault="00D313C3">
            <w:pPr>
              <w:pStyle w:val="TableText"/>
              <w:framePr w:wrap="auto" w:yAlign="inline"/>
              <w:rPr>
                <w:szCs w:val="24"/>
                <w:lang w:val="hu-HU"/>
              </w:rPr>
            </w:pPr>
            <w:r w:rsidRPr="00FE5851">
              <w:rPr>
                <w:szCs w:val="24"/>
                <w:lang w:val="hu-HU"/>
              </w:rPr>
              <w:t>Megállapodás valamely jövőbeli időpontban történő készpénzkifizetésről, amely két pénzügyi eszköz szerződéskötéskor rögzített és elszámoláskori hozamkülönbözetének eltérésétől függ</w:t>
            </w:r>
            <w:r w:rsidRPr="00FE5851">
              <w:rPr>
                <w:rFonts w:ascii="Garamond" w:hAnsi="Garamond"/>
                <w:szCs w:val="24"/>
                <w:lang w:val="hu-HU"/>
              </w:rPr>
              <w:t>.</w:t>
            </w:r>
          </w:p>
        </w:tc>
      </w:tr>
      <w:tr w:rsidR="00D313C3" w:rsidRPr="00FE5851" w14:paraId="6CE7628E" w14:textId="77777777">
        <w:tblPrEx>
          <w:tblCellMar>
            <w:top w:w="0" w:type="dxa"/>
            <w:bottom w:w="0" w:type="dxa"/>
          </w:tblCellMar>
        </w:tblPrEx>
        <w:trPr>
          <w:cantSplit/>
        </w:trPr>
        <w:tc>
          <w:tcPr>
            <w:tcW w:w="2376" w:type="dxa"/>
          </w:tcPr>
          <w:p w14:paraId="020B3241" w14:textId="77777777" w:rsidR="00D313C3" w:rsidRPr="00FE5851" w:rsidRDefault="00D313C3">
            <w:pPr>
              <w:pStyle w:val="TableRowHeading"/>
              <w:rPr>
                <w:szCs w:val="24"/>
                <w:lang w:val="hu-HU"/>
              </w:rPr>
            </w:pPr>
            <w:r w:rsidRPr="00FE5851">
              <w:rPr>
                <w:szCs w:val="24"/>
                <w:lang w:val="hu-HU"/>
              </w:rPr>
              <w:t>Csereügyletek (swapok):</w:t>
            </w:r>
          </w:p>
        </w:tc>
        <w:tc>
          <w:tcPr>
            <w:tcW w:w="6694" w:type="dxa"/>
          </w:tcPr>
          <w:p w14:paraId="02939420" w14:textId="77777777" w:rsidR="00D313C3" w:rsidRPr="00FE5851" w:rsidRDefault="00D313C3">
            <w:pPr>
              <w:pStyle w:val="TableText"/>
              <w:framePr w:wrap="auto" w:yAlign="inline"/>
              <w:rPr>
                <w:szCs w:val="24"/>
                <w:lang w:val="hu-HU"/>
              </w:rPr>
            </w:pPr>
            <w:r w:rsidRPr="00FE5851">
              <w:rPr>
                <w:szCs w:val="24"/>
                <w:lang w:val="hu-HU"/>
              </w:rPr>
              <w:t>A hitelderivatíva-csereügyletek típusai:</w:t>
            </w:r>
          </w:p>
          <w:p w14:paraId="72A63F0E" w14:textId="77777777" w:rsidR="00D313C3" w:rsidRPr="00FE5851" w:rsidRDefault="00E76B8A">
            <w:pPr>
              <w:pStyle w:val="TableText"/>
              <w:framePr w:wrap="auto" w:yAlign="inline"/>
              <w:numPr>
                <w:ilvl w:val="0"/>
                <w:numId w:val="32"/>
              </w:numPr>
              <w:tabs>
                <w:tab w:val="clear" w:pos="710"/>
                <w:tab w:val="num" w:pos="176"/>
              </w:tabs>
              <w:ind w:left="176" w:hanging="176"/>
              <w:rPr>
                <w:szCs w:val="24"/>
                <w:lang w:val="hu-HU"/>
              </w:rPr>
            </w:pPr>
            <w:r>
              <w:rPr>
                <w:szCs w:val="24"/>
                <w:lang w:val="hu-HU"/>
              </w:rPr>
              <w:t>CDS (</w:t>
            </w:r>
            <w:r w:rsidR="00D313C3" w:rsidRPr="00FE5851">
              <w:rPr>
                <w:szCs w:val="24"/>
                <w:lang w:val="hu-HU"/>
              </w:rPr>
              <w:t>Hitel-nemfizetési csereügylet</w:t>
            </w:r>
            <w:r>
              <w:rPr>
                <w:szCs w:val="24"/>
                <w:lang w:val="hu-HU"/>
              </w:rPr>
              <w:t>)</w:t>
            </w:r>
            <w:r w:rsidR="00D313C3" w:rsidRPr="00FE5851">
              <w:rPr>
                <w:szCs w:val="24"/>
                <w:lang w:val="hu-HU"/>
              </w:rPr>
              <w:t xml:space="preserve">: olyan kontraktus, amely időszakos díjfizetésre kötelez két felet nemteljesítési eseménytől vagy a referenciaeszköz hitelminőségében bekövetkező bármely egyéb, előre kikötött változástól függő fizetés ellenében egy meghatározott időn keresztül. Kérjük, ne feledje, hogy további információt kérünk a </w:t>
            </w:r>
            <w:r>
              <w:rPr>
                <w:szCs w:val="24"/>
                <w:lang w:val="hu-HU"/>
              </w:rPr>
              <w:t>CDS-ekre</w:t>
            </w:r>
            <w:r w:rsidR="00D313C3" w:rsidRPr="00FE5851">
              <w:rPr>
                <w:szCs w:val="24"/>
                <w:lang w:val="hu-HU"/>
              </w:rPr>
              <w:t xml:space="preserve"> vonatkozóan. A további részleteket lásd a H-részben.</w:t>
            </w:r>
          </w:p>
          <w:p w14:paraId="6ECDEC19" w14:textId="77777777" w:rsidR="00D313C3" w:rsidRPr="00FE5851" w:rsidRDefault="00D313C3">
            <w:pPr>
              <w:pStyle w:val="TableText"/>
              <w:framePr w:wrap="auto" w:yAlign="inline"/>
              <w:numPr>
                <w:ilvl w:val="0"/>
                <w:numId w:val="32"/>
              </w:numPr>
              <w:tabs>
                <w:tab w:val="clear" w:pos="710"/>
                <w:tab w:val="num" w:pos="176"/>
              </w:tabs>
              <w:ind w:left="176" w:hanging="176"/>
              <w:rPr>
                <w:szCs w:val="24"/>
                <w:lang w:val="hu-HU"/>
              </w:rPr>
            </w:pPr>
            <w:r w:rsidRPr="00FE5851">
              <w:rPr>
                <w:szCs w:val="24"/>
                <w:lang w:val="hu-HU"/>
              </w:rPr>
              <w:t>Teljeshozamcsere-ügyletek: Feleket egy pénzügyi eszköz teljes eredményének/hozamának (kamatoknak, díjaknak és tőkeátértékelődésnek) egy referenciaindexen alapuló változó hozamra történő cseréjére kötelező kontraktus. (A referenciaindex rendszerint a LIBOR plusz a partner hitelképességét és a mögöttes eszköz hitelminősítését és likviditását tükröző szpred.)</w:t>
            </w:r>
          </w:p>
        </w:tc>
      </w:tr>
      <w:tr w:rsidR="00D313C3" w:rsidRPr="00FE5851" w14:paraId="061892E1" w14:textId="77777777">
        <w:tblPrEx>
          <w:tblCellMar>
            <w:top w:w="0" w:type="dxa"/>
            <w:bottom w:w="0" w:type="dxa"/>
          </w:tblCellMar>
        </w:tblPrEx>
        <w:trPr>
          <w:cantSplit/>
        </w:trPr>
        <w:tc>
          <w:tcPr>
            <w:tcW w:w="2376" w:type="dxa"/>
          </w:tcPr>
          <w:p w14:paraId="03BCDBF3" w14:textId="77777777"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14:paraId="7F4E9E37" w14:textId="77777777" w:rsidR="00D313C3" w:rsidRPr="00FE5851" w:rsidRDefault="00D313C3">
            <w:pPr>
              <w:pStyle w:val="TableText"/>
              <w:framePr w:wrap="auto" w:yAlign="inline"/>
              <w:rPr>
                <w:szCs w:val="24"/>
                <w:lang w:val="hu-HU"/>
              </w:rPr>
            </w:pPr>
            <w:r w:rsidRPr="00FE5851">
              <w:rPr>
                <w:szCs w:val="24"/>
                <w:lang w:val="hu-HU"/>
              </w:rPr>
              <w:t>Tőzsdén kívüli (OTC) opciós ügyletek közé tartoznak az opciós kontraktusként meghatározható hitelkockázati hozamfelár-opciók, amelyek opciós jogot/kötelezettséget jelent egy adott pénzáram megszerzésére /kifizetésére, ha két pénzügyi eszköz hozama közötti különbség egy adott időszak alatt meghalad egy előre meghatározott szintet.</w:t>
            </w:r>
          </w:p>
        </w:tc>
      </w:tr>
    </w:tbl>
    <w:p w14:paraId="77C76E9E" w14:textId="77777777" w:rsidR="00D313C3" w:rsidRPr="00FE5851" w:rsidRDefault="00D313C3">
      <w:pPr>
        <w:pStyle w:val="empty"/>
        <w:rPr>
          <w:szCs w:val="24"/>
          <w:lang w:val="hu-HU"/>
        </w:rPr>
      </w:pPr>
    </w:p>
    <w:p w14:paraId="38EB9C09" w14:textId="77777777" w:rsidR="00D313C3" w:rsidRPr="00FE5851" w:rsidRDefault="00D313C3">
      <w:pPr>
        <w:pStyle w:val="IndentedHeading1"/>
        <w:spacing w:after="0"/>
        <w:rPr>
          <w:szCs w:val="24"/>
          <w:lang w:val="hu-HU"/>
        </w:rPr>
      </w:pPr>
      <w:bookmarkStart w:id="26" w:name="_Toc533082679"/>
      <w:r w:rsidRPr="00FE5851">
        <w:rPr>
          <w:szCs w:val="24"/>
          <w:lang w:val="hu-HU"/>
        </w:rPr>
        <w:t>H.</w:t>
      </w:r>
      <w:r w:rsidRPr="00FE5851">
        <w:rPr>
          <w:szCs w:val="24"/>
          <w:lang w:val="hu-HU"/>
        </w:rPr>
        <w:tab/>
      </w:r>
      <w:r w:rsidR="00E76B8A">
        <w:rPr>
          <w:szCs w:val="24"/>
          <w:lang w:val="hu-HU"/>
        </w:rPr>
        <w:t>CDS-ek (</w:t>
      </w:r>
      <w:r w:rsidRPr="00FE5851">
        <w:rPr>
          <w:szCs w:val="24"/>
          <w:lang w:val="hu-HU"/>
        </w:rPr>
        <w:t>Hitel-nemteljesítési csereügyletek</w:t>
      </w:r>
      <w:r w:rsidR="00E76B8A">
        <w:rPr>
          <w:szCs w:val="24"/>
          <w:lang w:val="hu-HU"/>
        </w:rPr>
        <w:t>)</w:t>
      </w:r>
      <w:bookmarkEnd w:id="26"/>
    </w:p>
    <w:p w14:paraId="41CDC9D4" w14:textId="77777777" w:rsidR="00D313C3" w:rsidRPr="00FE5851" w:rsidRDefault="00D313C3">
      <w:pPr>
        <w:pStyle w:val="Paragraph"/>
        <w:rPr>
          <w:szCs w:val="24"/>
          <w:lang w:val="hu-HU"/>
        </w:rPr>
      </w:pPr>
    </w:p>
    <w:p w14:paraId="0EC4AB93" w14:textId="77777777" w:rsidR="00D313C3" w:rsidRPr="00FE5851" w:rsidRDefault="00D313C3">
      <w:pPr>
        <w:pStyle w:val="IndentedHeading2"/>
        <w:rPr>
          <w:szCs w:val="24"/>
          <w:lang w:val="hu-HU"/>
        </w:rPr>
      </w:pPr>
      <w:bookmarkStart w:id="27" w:name="_Toc533082680"/>
      <w:r w:rsidRPr="00FE5851">
        <w:rPr>
          <w:szCs w:val="24"/>
          <w:lang w:val="hu-HU"/>
        </w:rPr>
        <w:t>1.</w:t>
      </w:r>
      <w:r w:rsidRPr="00FE5851">
        <w:rPr>
          <w:szCs w:val="24"/>
          <w:lang w:val="hu-HU"/>
        </w:rPr>
        <w:tab/>
      </w:r>
      <w:r w:rsidR="00FC073F">
        <w:rPr>
          <w:szCs w:val="24"/>
          <w:lang w:val="hu-HU"/>
        </w:rPr>
        <w:t xml:space="preserve">Eszköz </w:t>
      </w:r>
      <w:r w:rsidR="00FC073F" w:rsidRPr="00FE5851">
        <w:rPr>
          <w:szCs w:val="24"/>
          <w:lang w:val="hu-HU"/>
        </w:rPr>
        <w:t>típusok</w:t>
      </w:r>
      <w:bookmarkEnd w:id="27"/>
    </w:p>
    <w:p w14:paraId="29F6ECE9" w14:textId="77777777" w:rsidR="00D313C3" w:rsidRPr="00FE5851" w:rsidRDefault="00D313C3">
      <w:pPr>
        <w:pStyle w:val="Paragraph"/>
        <w:rPr>
          <w:szCs w:val="24"/>
          <w:lang w:val="hu-HU"/>
        </w:rPr>
      </w:pPr>
      <w:r w:rsidRPr="00FE5851">
        <w:rPr>
          <w:szCs w:val="24"/>
          <w:lang w:val="hu-HU"/>
        </w:rPr>
        <w:t>A következő eszközbontást kérjük:</w:t>
      </w:r>
    </w:p>
    <w:p w14:paraId="00EB7D91" w14:textId="77777777" w:rsidR="00D313C3" w:rsidRPr="00FE5851" w:rsidRDefault="00D313C3">
      <w:pPr>
        <w:pStyle w:val="Bulletpoint"/>
        <w:numPr>
          <w:ilvl w:val="0"/>
          <w:numId w:val="6"/>
        </w:numPr>
        <w:rPr>
          <w:szCs w:val="24"/>
          <w:lang w:val="hu-HU"/>
        </w:rPr>
      </w:pPr>
      <w:r w:rsidRPr="00FE5851">
        <w:rPr>
          <w:szCs w:val="24"/>
          <w:lang w:val="hu-HU"/>
        </w:rPr>
        <w:t>Egy kibocsátó instrumentumai</w:t>
      </w:r>
    </w:p>
    <w:p w14:paraId="653CCBC3" w14:textId="77777777" w:rsidR="00D313C3" w:rsidRPr="00FE5851" w:rsidRDefault="00D313C3">
      <w:pPr>
        <w:pStyle w:val="Bulletpoint"/>
        <w:numPr>
          <w:ilvl w:val="0"/>
          <w:numId w:val="6"/>
        </w:numPr>
        <w:rPr>
          <w:szCs w:val="24"/>
          <w:lang w:val="hu-HU"/>
        </w:rPr>
      </w:pPr>
      <w:r w:rsidRPr="00FE5851">
        <w:rPr>
          <w:szCs w:val="24"/>
          <w:lang w:val="hu-HU"/>
        </w:rPr>
        <w:t>Több kibocsátó instrumentumai</w:t>
      </w:r>
    </w:p>
    <w:p w14:paraId="6861D87F" w14:textId="77777777" w:rsidR="00D313C3" w:rsidRPr="00FE5851" w:rsidRDefault="00FC073F">
      <w:pPr>
        <w:pStyle w:val="Paragraph"/>
        <w:tabs>
          <w:tab w:val="left" w:pos="1843"/>
        </w:tabs>
        <w:spacing w:before="120"/>
        <w:rPr>
          <w:szCs w:val="24"/>
          <w:lang w:val="hu-HU"/>
        </w:rPr>
      </w:pPr>
      <w:r w:rsidRPr="00FE5851">
        <w:rPr>
          <w:i/>
          <w:szCs w:val="24"/>
          <w:lang w:val="hu-HU"/>
        </w:rPr>
        <w:t>Egy kibocsátóra vonatkozó hitel-nemteljesítési cs</w:t>
      </w:r>
      <w:r>
        <w:rPr>
          <w:i/>
          <w:szCs w:val="24"/>
          <w:lang w:val="hu-HU"/>
        </w:rPr>
        <w:t>ereügylet (CDS</w:t>
      </w:r>
      <w:r w:rsidRPr="00FE5851">
        <w:rPr>
          <w:i/>
          <w:szCs w:val="24"/>
          <w:lang w:val="hu-HU"/>
        </w:rPr>
        <w:t>)</w:t>
      </w:r>
      <w:r>
        <w:rPr>
          <w:i/>
          <w:szCs w:val="24"/>
          <w:lang w:val="hu-HU"/>
        </w:rPr>
        <w:t xml:space="preserve"> </w:t>
      </w:r>
      <w:r w:rsidRPr="00FE5851">
        <w:rPr>
          <w:i/>
          <w:szCs w:val="24"/>
          <w:lang w:val="hu-HU"/>
        </w:rPr>
        <w:t>megállapodások:</w:t>
      </w:r>
      <w:r w:rsidRPr="00FE5851">
        <w:rPr>
          <w:szCs w:val="24"/>
          <w:lang w:val="hu-HU"/>
        </w:rPr>
        <w:t xml:space="preserve"> Hitelderivatívák, amelyek esetében a referenciaszervezet egyetlen szervezet, pl. társaság. </w:t>
      </w:r>
    </w:p>
    <w:p w14:paraId="0CBB7195" w14:textId="77777777" w:rsidR="00D313C3" w:rsidRPr="00FE5851" w:rsidRDefault="00FC073F">
      <w:pPr>
        <w:pStyle w:val="Paragraph"/>
        <w:tabs>
          <w:tab w:val="left" w:pos="1843"/>
        </w:tabs>
        <w:rPr>
          <w:szCs w:val="24"/>
          <w:lang w:val="hu-HU"/>
        </w:rPr>
      </w:pPr>
      <w:r w:rsidRPr="00FE5851">
        <w:rPr>
          <w:i/>
          <w:szCs w:val="24"/>
          <w:lang w:val="hu-HU"/>
        </w:rPr>
        <w:t>Több kibocsátóra vonatkozó h</w:t>
      </w:r>
      <w:r>
        <w:rPr>
          <w:i/>
          <w:szCs w:val="24"/>
          <w:lang w:val="hu-HU"/>
        </w:rPr>
        <w:t>itel-nemteljesítési csereügylet (CDS</w:t>
      </w:r>
      <w:r w:rsidRPr="00FE5851">
        <w:rPr>
          <w:i/>
          <w:szCs w:val="24"/>
          <w:lang w:val="hu-HU"/>
        </w:rPr>
        <w:t>)</w:t>
      </w:r>
      <w:r>
        <w:rPr>
          <w:i/>
          <w:szCs w:val="24"/>
          <w:lang w:val="hu-HU"/>
        </w:rPr>
        <w:t xml:space="preserve"> </w:t>
      </w:r>
      <w:r w:rsidRPr="00FE5851">
        <w:rPr>
          <w:i/>
          <w:szCs w:val="24"/>
          <w:lang w:val="hu-HU"/>
        </w:rPr>
        <w:t xml:space="preserve">megállapodások: </w:t>
      </w:r>
      <w:r w:rsidRPr="00FE5851">
        <w:rPr>
          <w:szCs w:val="24"/>
          <w:lang w:val="hu-HU"/>
        </w:rPr>
        <w:t xml:space="preserve">Olyan CDS-kontraktusok, ahol egynél több névre történik hivatkozás, például portfólió- vagy kosár-CDS-ek vagy CDS-indexek esetében. </w:t>
      </w:r>
    </w:p>
    <w:p w14:paraId="0E0114C2" w14:textId="77777777" w:rsidR="00D313C3" w:rsidRPr="00FE5851" w:rsidRDefault="00D313C3">
      <w:pPr>
        <w:pStyle w:val="Paragraph"/>
        <w:tabs>
          <w:tab w:val="left" w:pos="1843"/>
        </w:tabs>
        <w:rPr>
          <w:szCs w:val="24"/>
          <w:lang w:val="hu-HU"/>
        </w:rPr>
      </w:pPr>
      <w:r w:rsidRPr="00FE5851">
        <w:rPr>
          <w:szCs w:val="24"/>
          <w:lang w:val="hu-HU"/>
        </w:rPr>
        <w:t xml:space="preserve">A </w:t>
      </w:r>
      <w:r w:rsidR="00E76B8A">
        <w:rPr>
          <w:szCs w:val="24"/>
          <w:lang w:val="hu-HU"/>
        </w:rPr>
        <w:t>CDS</w:t>
      </w:r>
      <w:r w:rsidRPr="00FE5851">
        <w:rPr>
          <w:szCs w:val="24"/>
          <w:lang w:val="hu-HU"/>
        </w:rPr>
        <w:t>-kosár olyan CDS, ahol a hitelesemény egy meghatározott hitelkosárban található hitelek bizonyos kombinációjának nemteljesítése. Az n-edik nemteljesítésre vonatkozó kosár konkrét esetében a referenciahitelekből álló kosár n-edik hitelének nemteljesítése a kifizetés alapja.</w:t>
      </w:r>
      <w:r w:rsidR="00FE5851" w:rsidRPr="00FE5851">
        <w:rPr>
          <w:szCs w:val="24"/>
          <w:lang w:val="hu-HU"/>
        </w:rPr>
        <w:t xml:space="preserve"> </w:t>
      </w:r>
      <w:r w:rsidRPr="00FE5851">
        <w:rPr>
          <w:szCs w:val="24"/>
          <w:lang w:val="hu-HU"/>
        </w:rPr>
        <w:t>A több kibocsátóra vonatkozó hitel-nemteljesítési csereügyleteknek egy másik gyakori formája a részletekre bontott hitel-nemteljesítés csereügylet. A változatok egyedileg kialakított veszteségkorlátozások szerint működnek – ezek az „első veszteség” („first loss”), a „mezzanine” és az első helyi („senior”) (vagy más néven „szuper első helyi”), részletekre bontott (tranched) hitel-nemteljesítési csereügyletek.</w:t>
      </w:r>
    </w:p>
    <w:p w14:paraId="5A860FB8" w14:textId="77777777" w:rsidR="00D313C3" w:rsidRPr="00FE5851" w:rsidRDefault="00D313C3">
      <w:pPr>
        <w:pStyle w:val="Paragraph"/>
        <w:tabs>
          <w:tab w:val="left" w:pos="1843"/>
        </w:tabs>
        <w:rPr>
          <w:szCs w:val="24"/>
          <w:lang w:val="hu-HU"/>
        </w:rPr>
      </w:pPr>
      <w:r w:rsidRPr="00FE5851">
        <w:rPr>
          <w:i/>
          <w:szCs w:val="24"/>
          <w:lang w:val="hu-HU"/>
        </w:rPr>
        <w:t>Kizárások:</w:t>
      </w:r>
      <w:r w:rsidRPr="00FE5851">
        <w:rPr>
          <w:szCs w:val="24"/>
          <w:lang w:val="hu-HU"/>
        </w:rPr>
        <w:t xml:space="preserve"> a </w:t>
      </w:r>
      <w:r w:rsidR="00E76B8A">
        <w:rPr>
          <w:szCs w:val="24"/>
          <w:lang w:val="hu-HU"/>
        </w:rPr>
        <w:t xml:space="preserve">hitelkockázathoz kötött </w:t>
      </w:r>
      <w:proofErr w:type="gramStart"/>
      <w:r w:rsidR="00E76B8A">
        <w:rPr>
          <w:szCs w:val="24"/>
          <w:lang w:val="hu-HU"/>
        </w:rPr>
        <w:t>értékpapírok(</w:t>
      </w:r>
      <w:proofErr w:type="gramEnd"/>
      <w:r w:rsidRPr="00FE5851">
        <w:rPr>
          <w:szCs w:val="24"/>
          <w:lang w:val="hu-HU"/>
        </w:rPr>
        <w:t>CLN-ek</w:t>
      </w:r>
      <w:r w:rsidR="00E76B8A">
        <w:rPr>
          <w:szCs w:val="24"/>
          <w:lang w:val="hu-HU"/>
        </w:rPr>
        <w:t>)</w:t>
      </w:r>
      <w:r w:rsidRPr="00FE5851">
        <w:rPr>
          <w:szCs w:val="24"/>
          <w:lang w:val="hu-HU"/>
        </w:rPr>
        <w:t xml:space="preserve">, a CDS-ekre szóló opciók és a teljeshozamcsere-ügyletek nem sorolandók a </w:t>
      </w:r>
      <w:r w:rsidR="00B326A0">
        <w:rPr>
          <w:szCs w:val="24"/>
          <w:lang w:val="hu-HU"/>
        </w:rPr>
        <w:t>CDS-ek</w:t>
      </w:r>
      <w:r w:rsidR="00E76B8A">
        <w:rPr>
          <w:szCs w:val="24"/>
          <w:lang w:val="hu-HU"/>
        </w:rPr>
        <w:t xml:space="preserve"> </w:t>
      </w:r>
      <w:r w:rsidRPr="00FE5851">
        <w:rPr>
          <w:szCs w:val="24"/>
          <w:lang w:val="hu-HU"/>
        </w:rPr>
        <w:t>közé.</w:t>
      </w:r>
    </w:p>
    <w:p w14:paraId="6415FD5A" w14:textId="77777777" w:rsidR="00D313C3" w:rsidRPr="00FE5851" w:rsidRDefault="00D313C3">
      <w:pPr>
        <w:pStyle w:val="IndentedHeading2"/>
        <w:rPr>
          <w:szCs w:val="24"/>
          <w:lang w:val="hu-HU"/>
        </w:rPr>
      </w:pPr>
      <w:bookmarkStart w:id="28" w:name="_Toc533082681"/>
      <w:r w:rsidRPr="00FE5851">
        <w:rPr>
          <w:szCs w:val="24"/>
          <w:lang w:val="hu-HU"/>
        </w:rPr>
        <w:lastRenderedPageBreak/>
        <w:t>2.</w:t>
      </w:r>
      <w:r w:rsidRPr="00FE5851">
        <w:rPr>
          <w:szCs w:val="24"/>
          <w:lang w:val="hu-HU"/>
        </w:rPr>
        <w:tab/>
        <w:t>Kért adattípusok</w:t>
      </w:r>
      <w:bookmarkEnd w:id="28"/>
    </w:p>
    <w:p w14:paraId="3AA55B09" w14:textId="77777777" w:rsidR="00D313C3" w:rsidRPr="00FE5851" w:rsidRDefault="00D313C3">
      <w:pPr>
        <w:pStyle w:val="Paragraph"/>
        <w:rPr>
          <w:szCs w:val="24"/>
          <w:lang w:val="hu-HU"/>
        </w:rPr>
      </w:pPr>
      <w:r w:rsidRPr="00FE5851">
        <w:rPr>
          <w:szCs w:val="24"/>
          <w:lang w:val="hu-HU"/>
        </w:rPr>
        <w:t xml:space="preserve">A </w:t>
      </w:r>
      <w:r w:rsidR="00822734">
        <w:rPr>
          <w:szCs w:val="24"/>
          <w:lang w:val="hu-HU"/>
        </w:rPr>
        <w:t>CDS piaci aktivitás</w:t>
      </w:r>
      <w:r w:rsidRPr="00FE5851">
        <w:rPr>
          <w:szCs w:val="24"/>
          <w:lang w:val="hu-HU"/>
        </w:rPr>
        <w:t xml:space="preserve"> nagyságának és a belőlük fakadó kitettségek méréséhez, a jelentés felbontása a jelentő intézmény sajátszámlás és megbízásos tevékenységére vonatkozó adatok alábbi típusait fedi le:</w:t>
      </w:r>
    </w:p>
    <w:p w14:paraId="74A22CFA" w14:textId="77777777" w:rsidR="00D313C3" w:rsidRPr="00FE5851" w:rsidRDefault="00D313C3">
      <w:pPr>
        <w:pStyle w:val="Bulletpoint"/>
        <w:numPr>
          <w:ilvl w:val="0"/>
          <w:numId w:val="6"/>
        </w:numPr>
        <w:rPr>
          <w:szCs w:val="24"/>
          <w:lang w:val="hu-HU"/>
        </w:rPr>
      </w:pPr>
      <w:r w:rsidRPr="00FE5851">
        <w:rPr>
          <w:szCs w:val="24"/>
          <w:lang w:val="hu-HU"/>
        </w:rPr>
        <w:t xml:space="preserve"> Vásárolt és értékesített névleges nyitott kötésállomány</w:t>
      </w:r>
    </w:p>
    <w:p w14:paraId="0CA46251" w14:textId="77777777" w:rsidR="00D313C3" w:rsidRPr="00FE5851" w:rsidRDefault="00D313C3">
      <w:pPr>
        <w:pStyle w:val="Bulletpoint"/>
        <w:numPr>
          <w:ilvl w:val="0"/>
          <w:numId w:val="6"/>
        </w:numPr>
        <w:rPr>
          <w:szCs w:val="24"/>
          <w:lang w:val="hu-HU"/>
        </w:rPr>
      </w:pPr>
      <w:r w:rsidRPr="00FE5851">
        <w:rPr>
          <w:szCs w:val="24"/>
          <w:lang w:val="hu-HU"/>
        </w:rPr>
        <w:t xml:space="preserve"> Bruttó piaci érték: pozitív és negatív.</w:t>
      </w:r>
    </w:p>
    <w:p w14:paraId="195C7BB2" w14:textId="77777777" w:rsidR="00D313C3" w:rsidRPr="00CB7D0C" w:rsidRDefault="00D601F6" w:rsidP="00DB73F6">
      <w:pPr>
        <w:pStyle w:val="Bulletpoint"/>
        <w:numPr>
          <w:ilvl w:val="0"/>
          <w:numId w:val="0"/>
        </w:numPr>
        <w:rPr>
          <w:snapToGrid/>
          <w:lang w:val="hu-HU"/>
        </w:rPr>
      </w:pPr>
      <w:r>
        <w:rPr>
          <w:snapToGrid/>
          <w:lang w:val="hu-HU"/>
        </w:rPr>
        <w:t xml:space="preserve">A jelentett adatoknak tükröznie kell mind a jelentő dealer-ek kereskedési könyvét mind a banki könyvét, amennyiben van ilyen megkülönböztetés. </w:t>
      </w:r>
      <w:r w:rsidR="00D313C3" w:rsidRPr="00FE5851">
        <w:rPr>
          <w:lang w:val="hu-HU"/>
        </w:rPr>
        <w:t xml:space="preserve">A szolgáltatott adatoknak a </w:t>
      </w:r>
      <w:r w:rsidR="00C92B05">
        <w:rPr>
          <w:lang w:val="hu-HU"/>
        </w:rPr>
        <w:t>2019</w:t>
      </w:r>
      <w:r w:rsidR="00D313C3" w:rsidRPr="00FE5851">
        <w:rPr>
          <w:lang w:val="hu-HU"/>
        </w:rPr>
        <w:t>. június utolsó munkanapján fennálló pozíciókat kell tükrözniük.</w:t>
      </w:r>
    </w:p>
    <w:p w14:paraId="0C020CF8" w14:textId="77777777" w:rsidR="00D313C3" w:rsidRPr="00FE5851" w:rsidRDefault="00D313C3">
      <w:pPr>
        <w:pStyle w:val="IndentedHeading3"/>
        <w:rPr>
          <w:szCs w:val="24"/>
          <w:lang w:val="hu-HU"/>
        </w:rPr>
      </w:pPr>
      <w:bookmarkStart w:id="29" w:name="_Toc533082682"/>
      <w:r w:rsidRPr="00FE5851">
        <w:rPr>
          <w:szCs w:val="24"/>
          <w:lang w:val="hu-HU"/>
        </w:rPr>
        <w:t>(a)</w:t>
      </w:r>
      <w:r w:rsidRPr="00FE5851">
        <w:rPr>
          <w:szCs w:val="24"/>
          <w:lang w:val="hu-HU"/>
        </w:rPr>
        <w:tab/>
        <w:t xml:space="preserve"> Vásárolt és értékesített névleges nyitott kötésállomány</w:t>
      </w:r>
      <w:bookmarkEnd w:id="29"/>
    </w:p>
    <w:p w14:paraId="45B84D80" w14:textId="77777777" w:rsidR="00D313C3" w:rsidRPr="00FE5851" w:rsidRDefault="00D313C3">
      <w:pPr>
        <w:pStyle w:val="Paragraph"/>
        <w:rPr>
          <w:szCs w:val="24"/>
          <w:lang w:val="hu-HU"/>
        </w:rPr>
      </w:pPr>
      <w:r w:rsidRPr="00FE5851">
        <w:rPr>
          <w:szCs w:val="24"/>
          <w:lang w:val="hu-HU"/>
        </w:rPr>
        <w:t xml:space="preserve"> A névleges nyitott kötésállomány segítségével megmérhető a piac nagysága. Segítségükkel mérhető a kapcsolódó mögöttes azonnali piac nagysága, továbbá hasznos bepillantást nyújt a </w:t>
      </w:r>
      <w:r w:rsidR="00B326A0">
        <w:rPr>
          <w:szCs w:val="24"/>
          <w:lang w:val="hu-HU"/>
        </w:rPr>
        <w:t>CDS-ek</w:t>
      </w:r>
      <w:r w:rsidRPr="00FE5851">
        <w:rPr>
          <w:szCs w:val="24"/>
          <w:lang w:val="hu-HU"/>
        </w:rPr>
        <w:t>p</w:t>
      </w:r>
      <w:r w:rsidR="00822734">
        <w:rPr>
          <w:szCs w:val="24"/>
          <w:lang w:val="hu-HU"/>
        </w:rPr>
        <w:t xml:space="preserve"> </w:t>
      </w:r>
      <w:r w:rsidRPr="00FE5851">
        <w:rPr>
          <w:szCs w:val="24"/>
          <w:lang w:val="hu-HU"/>
        </w:rPr>
        <w:t>iacának relatív nagyságára és növekedésére is.</w:t>
      </w:r>
    </w:p>
    <w:p w14:paraId="4A82054F" w14:textId="77777777" w:rsidR="00D313C3" w:rsidRPr="00FE5851" w:rsidRDefault="00D313C3">
      <w:pPr>
        <w:pStyle w:val="Paragraph"/>
        <w:rPr>
          <w:szCs w:val="24"/>
          <w:lang w:val="hu-HU"/>
        </w:rPr>
      </w:pPr>
      <w:r w:rsidRPr="00FE5851">
        <w:rPr>
          <w:szCs w:val="24"/>
          <w:lang w:val="hu-HU"/>
        </w:rPr>
        <w:t>Nominális vagy névleges nyitott kötésállományok a már megkötött, de a beszámolás időpontjában még pénzügyileg nem teljesített (kiegyenlített) összes ügylet bruttó nominális vagy névleges értéke.</w:t>
      </w:r>
    </w:p>
    <w:p w14:paraId="7912916B" w14:textId="77777777" w:rsidR="00D313C3" w:rsidRPr="00FE5851" w:rsidRDefault="00D313C3">
      <w:pPr>
        <w:pStyle w:val="Paragraph"/>
        <w:rPr>
          <w:szCs w:val="24"/>
          <w:lang w:val="hu-HU"/>
        </w:rPr>
      </w:pPr>
      <w:r w:rsidRPr="00FE5851">
        <w:rPr>
          <w:szCs w:val="24"/>
          <w:lang w:val="hu-HU"/>
        </w:rPr>
        <w:t xml:space="preserve"> E tétellel kapcsolatban a kontraktusok nettósítása nem engedélyezett.</w:t>
      </w:r>
      <w:r w:rsidR="00FE5851" w:rsidRPr="00FE5851">
        <w:rPr>
          <w:szCs w:val="24"/>
          <w:lang w:val="hu-HU"/>
        </w:rPr>
        <w:t xml:space="preserve"> </w:t>
      </w:r>
      <w:r w:rsidRPr="00FE5851">
        <w:rPr>
          <w:szCs w:val="24"/>
          <w:lang w:val="hu-HU"/>
        </w:rPr>
        <w:t>Ebből következően</w:t>
      </w:r>
    </w:p>
    <w:p w14:paraId="5861C163" w14:textId="77777777" w:rsidR="00D313C3" w:rsidRPr="00FE5851" w:rsidRDefault="00D313C3">
      <w:pPr>
        <w:pStyle w:val="Bulletnumber"/>
        <w:numPr>
          <w:ilvl w:val="0"/>
          <w:numId w:val="5"/>
        </w:numPr>
        <w:rPr>
          <w:szCs w:val="24"/>
          <w:lang w:val="hu-HU"/>
        </w:rPr>
      </w:pPr>
      <w:r w:rsidRPr="00FE5851">
        <w:rPr>
          <w:szCs w:val="24"/>
          <w:lang w:val="hu-HU"/>
        </w:rPr>
        <w:t xml:space="preserve"> a jelentő bank által harmadik fél részére értékesített védelem nem számítható be a jelentő bank által harmadik féltől vásárolt védelembe, és</w:t>
      </w:r>
    </w:p>
    <w:p w14:paraId="3944D532" w14:textId="77777777" w:rsidR="00D313C3" w:rsidRPr="00FE5851" w:rsidRDefault="00D313C3">
      <w:pPr>
        <w:pStyle w:val="Bulletnumber"/>
        <w:numPr>
          <w:ilvl w:val="0"/>
          <w:numId w:val="5"/>
        </w:numPr>
        <w:rPr>
          <w:szCs w:val="24"/>
          <w:lang w:val="hu-HU"/>
        </w:rPr>
      </w:pPr>
      <w:r w:rsidRPr="00FE5851">
        <w:rPr>
          <w:szCs w:val="24"/>
          <w:lang w:val="hu-HU"/>
        </w:rPr>
        <w:t>a kétoldalú nettósítási megállapodás alá eső kontraktusok nem nettósíthatók beszámolási célból.</w:t>
      </w:r>
    </w:p>
    <w:p w14:paraId="20B3BE07" w14:textId="77777777" w:rsidR="00D313C3" w:rsidRPr="00FE5851" w:rsidRDefault="00D313C3">
      <w:pPr>
        <w:pStyle w:val="Paragraph"/>
        <w:rPr>
          <w:szCs w:val="24"/>
          <w:lang w:val="hu-HU"/>
        </w:rPr>
      </w:pPr>
      <w:r w:rsidRPr="00FE5851">
        <w:rPr>
          <w:szCs w:val="24"/>
          <w:lang w:val="hu-HU"/>
        </w:rPr>
        <w:t xml:space="preserve"> A jelentendő nominális érték maximális nemteljesítési védelem értéke</w:t>
      </w:r>
      <w:r w:rsidRPr="00FE5851">
        <w:rPr>
          <w:rStyle w:val="FootnoteReference"/>
          <w:szCs w:val="24"/>
          <w:lang w:val="hu-HU"/>
        </w:rPr>
        <w:footnoteReference w:id="3"/>
      </w:r>
      <w:r w:rsidRPr="00FE5851">
        <w:rPr>
          <w:szCs w:val="24"/>
          <w:lang w:val="hu-HU"/>
        </w:rPr>
        <w:t>, amely magában a kontraktusban szerepel, nem pedig a leszállítani kívánt pénzügyi instrumentum névértéke.</w:t>
      </w:r>
    </w:p>
    <w:p w14:paraId="2A8DC45F" w14:textId="77777777" w:rsidR="00D313C3" w:rsidRPr="00FE5851" w:rsidRDefault="00D313C3">
      <w:pPr>
        <w:pStyle w:val="IndentedHeading3"/>
        <w:rPr>
          <w:szCs w:val="24"/>
          <w:lang w:val="hu-HU"/>
        </w:rPr>
      </w:pPr>
      <w:bookmarkStart w:id="30" w:name="_Toc533082683"/>
      <w:r w:rsidRPr="00FE5851">
        <w:rPr>
          <w:szCs w:val="24"/>
          <w:lang w:val="hu-HU"/>
        </w:rPr>
        <w:t>(b)</w:t>
      </w:r>
      <w:r w:rsidRPr="00FE5851">
        <w:rPr>
          <w:szCs w:val="24"/>
          <w:lang w:val="hu-HU"/>
        </w:rPr>
        <w:tab/>
        <w:t xml:space="preserve"> Bruttó piaci érték</w:t>
      </w:r>
      <w:bookmarkEnd w:id="30"/>
    </w:p>
    <w:p w14:paraId="1BB34256" w14:textId="77777777" w:rsidR="00D313C3" w:rsidRPr="00FE5851" w:rsidRDefault="00D313C3">
      <w:pPr>
        <w:pStyle w:val="Paragraph"/>
        <w:rPr>
          <w:szCs w:val="24"/>
          <w:lang w:val="hu-HU"/>
        </w:rPr>
      </w:pPr>
      <w:r w:rsidRPr="00FE5851">
        <w:rPr>
          <w:szCs w:val="24"/>
          <w:lang w:val="hu-HU"/>
        </w:rPr>
        <w:t>A jelentő intézményeknek adatot kell szolgáltatniuk a nyitott CDS-szerződés</w:t>
      </w:r>
      <w:r w:rsidR="004F1023">
        <w:rPr>
          <w:szCs w:val="24"/>
          <w:lang w:val="hu-HU"/>
        </w:rPr>
        <w:t xml:space="preserve"> </w:t>
      </w:r>
      <w:r w:rsidRPr="00FE5851">
        <w:rPr>
          <w:szCs w:val="24"/>
          <w:lang w:val="hu-HU"/>
        </w:rPr>
        <w:t>állományokból eredő bruttó pozitív és bruttó negatív piaci értékekről.</w:t>
      </w:r>
      <w:r w:rsidR="00FE5851" w:rsidRPr="00FE5851">
        <w:rPr>
          <w:szCs w:val="24"/>
          <w:lang w:val="hu-HU"/>
        </w:rPr>
        <w:t xml:space="preserve"> </w:t>
      </w:r>
      <w:r w:rsidRPr="00FE5851">
        <w:rPr>
          <w:szCs w:val="24"/>
          <w:lang w:val="hu-HU"/>
        </w:rPr>
        <w:t xml:space="preserve">Szintetikus termékekből, például a </w:t>
      </w:r>
      <w:r w:rsidR="00822734">
        <w:rPr>
          <w:szCs w:val="24"/>
          <w:lang w:val="hu-HU"/>
        </w:rPr>
        <w:t>„</w:t>
      </w:r>
      <w:r w:rsidR="00822734" w:rsidRPr="006930E8">
        <w:t>super senior tranche</w:t>
      </w:r>
      <w:r w:rsidR="00822734">
        <w:t>”</w:t>
      </w:r>
      <w:r w:rsidR="00822734" w:rsidRPr="00FE5851" w:rsidDel="00822734">
        <w:rPr>
          <w:szCs w:val="24"/>
          <w:lang w:val="hu-HU"/>
        </w:rPr>
        <w:t xml:space="preserve"> </w:t>
      </w:r>
      <w:r w:rsidR="00822734">
        <w:rPr>
          <w:szCs w:val="24"/>
          <w:lang w:val="hu-HU"/>
        </w:rPr>
        <w:t>típusú</w:t>
      </w:r>
      <w:r w:rsidR="00822734" w:rsidRPr="00FE5851">
        <w:rPr>
          <w:szCs w:val="24"/>
          <w:lang w:val="hu-HU"/>
        </w:rPr>
        <w:t xml:space="preserve"> </w:t>
      </w:r>
      <w:r w:rsidRPr="00FE5851">
        <w:rPr>
          <w:szCs w:val="24"/>
          <w:lang w:val="hu-HU"/>
        </w:rPr>
        <w:t>CDS-ekből, kialakított portfólióhoz kapcsolódó ügyletek esetében nehéz piaci értéket kalkulálni.</w:t>
      </w:r>
      <w:r w:rsidR="00FE5851" w:rsidRPr="00FE5851">
        <w:rPr>
          <w:szCs w:val="24"/>
          <w:lang w:val="hu-HU"/>
        </w:rPr>
        <w:t xml:space="preserve"> </w:t>
      </w:r>
      <w:r w:rsidRPr="00FE5851">
        <w:rPr>
          <w:szCs w:val="24"/>
          <w:lang w:val="hu-HU"/>
        </w:rPr>
        <w:t>Ilyenkor az adatok részben becsléssel is megállapíthatók, és azokat a „legnagyobb körültekintés elve” alapon kell jelenteni.</w:t>
      </w:r>
    </w:p>
    <w:p w14:paraId="47049E34" w14:textId="77777777" w:rsidR="00D313C3" w:rsidRPr="00FE5851" w:rsidRDefault="00D313C3">
      <w:pPr>
        <w:pStyle w:val="Paragraph"/>
        <w:rPr>
          <w:szCs w:val="24"/>
          <w:lang w:val="hu-HU"/>
        </w:rPr>
      </w:pPr>
      <w:r w:rsidRPr="00FE5851">
        <w:rPr>
          <w:szCs w:val="24"/>
          <w:lang w:val="hu-HU"/>
        </w:rPr>
        <w:t>A biztosítékkal történő fedezés nem vehető figyelembe a névleges nyitott kötésállományok és a bruttó piaci értékek kiszámításához.</w:t>
      </w:r>
    </w:p>
    <w:p w14:paraId="17361D3D" w14:textId="77777777" w:rsidR="00D313C3" w:rsidRPr="00FE5851" w:rsidRDefault="00D313C3">
      <w:pPr>
        <w:pStyle w:val="Paragraph"/>
        <w:rPr>
          <w:szCs w:val="24"/>
          <w:highlight w:val="green"/>
          <w:lang w:val="hu-HU"/>
        </w:rPr>
      </w:pPr>
    </w:p>
    <w:p w14:paraId="120C79AA" w14:textId="77777777" w:rsidR="00D313C3" w:rsidRPr="00FE5851" w:rsidRDefault="00D313C3">
      <w:pPr>
        <w:pStyle w:val="IndentedHeading2"/>
        <w:rPr>
          <w:szCs w:val="24"/>
          <w:lang w:val="hu-HU"/>
        </w:rPr>
      </w:pPr>
      <w:bookmarkStart w:id="31" w:name="_Toc533082684"/>
      <w:r w:rsidRPr="00FE5851">
        <w:rPr>
          <w:szCs w:val="24"/>
          <w:lang w:val="hu-HU"/>
        </w:rPr>
        <w:lastRenderedPageBreak/>
        <w:t>3.</w:t>
      </w:r>
      <w:r w:rsidRPr="00FE5851">
        <w:rPr>
          <w:szCs w:val="24"/>
          <w:lang w:val="hu-HU"/>
        </w:rPr>
        <w:tab/>
        <w:t>Partnerek</w:t>
      </w:r>
      <w:bookmarkEnd w:id="31"/>
    </w:p>
    <w:p w14:paraId="03A433B2" w14:textId="77777777" w:rsidR="00D313C3" w:rsidRPr="00FE5851" w:rsidRDefault="00D313C3">
      <w:pPr>
        <w:pStyle w:val="Paragraph"/>
        <w:rPr>
          <w:szCs w:val="24"/>
          <w:lang w:val="hu-HU"/>
        </w:rPr>
      </w:pPr>
      <w:r w:rsidRPr="00FE5851">
        <w:rPr>
          <w:szCs w:val="24"/>
          <w:lang w:val="hu-HU"/>
        </w:rPr>
        <w:t xml:space="preserve"> A jelentő intézményeknek részletes partnerbontást kell adniuk a CDS-ekkel kapcsolatban.</w:t>
      </w:r>
    </w:p>
    <w:p w14:paraId="4D5FEB56" w14:textId="77777777" w:rsidR="00D313C3" w:rsidRPr="00FE5851" w:rsidRDefault="00D313C3">
      <w:pPr>
        <w:pStyle w:val="Bulletpoint"/>
        <w:numPr>
          <w:ilvl w:val="0"/>
          <w:numId w:val="6"/>
        </w:numPr>
        <w:rPr>
          <w:szCs w:val="24"/>
          <w:lang w:val="hu-HU"/>
        </w:rPr>
      </w:pPr>
      <w:r w:rsidRPr="00FE5851">
        <w:rPr>
          <w:szCs w:val="24"/>
          <w:lang w:val="hu-HU"/>
        </w:rPr>
        <w:t>Jelentő dealerek (lásd a C részt)</w:t>
      </w:r>
    </w:p>
    <w:p w14:paraId="73D41A81" w14:textId="77777777" w:rsidR="00D313C3" w:rsidRPr="00FE5851" w:rsidRDefault="00D313C3">
      <w:pPr>
        <w:pStyle w:val="Bulletpoint"/>
        <w:numPr>
          <w:ilvl w:val="0"/>
          <w:numId w:val="6"/>
        </w:numPr>
        <w:rPr>
          <w:szCs w:val="24"/>
          <w:lang w:val="hu-HU"/>
        </w:rPr>
      </w:pPr>
      <w:r w:rsidRPr="00FE5851">
        <w:rPr>
          <w:szCs w:val="24"/>
          <w:lang w:val="hu-HU"/>
        </w:rPr>
        <w:t>Egyéb pénzintézetek:</w:t>
      </w:r>
      <w:r w:rsidR="00FE5851" w:rsidRPr="00FE5851">
        <w:rPr>
          <w:szCs w:val="24"/>
          <w:lang w:val="hu-HU"/>
        </w:rPr>
        <w:t xml:space="preserve"> </w:t>
      </w:r>
      <w:r w:rsidRPr="00FE5851">
        <w:rPr>
          <w:szCs w:val="24"/>
          <w:lang w:val="hu-HU"/>
        </w:rPr>
        <w:t xml:space="preserve">(lásd a C részt). Az egyéb pénzintézeteket további bontásban kell szerepeltetni az alábbiak szerint: </w:t>
      </w:r>
    </w:p>
    <w:p w14:paraId="2B09C605" w14:textId="77777777" w:rsidR="00D313C3" w:rsidRPr="00FE5851" w:rsidRDefault="00D313C3">
      <w:pPr>
        <w:pStyle w:val="Bulletpoint"/>
        <w:numPr>
          <w:ilvl w:val="1"/>
          <w:numId w:val="35"/>
        </w:numPr>
        <w:rPr>
          <w:szCs w:val="24"/>
          <w:lang w:val="hu-HU"/>
        </w:rPr>
      </w:pPr>
      <w:r w:rsidRPr="00FE5851">
        <w:rPr>
          <w:szCs w:val="24"/>
          <w:lang w:val="hu-HU"/>
        </w:rPr>
        <w:t>Központi szerződő fél (</w:t>
      </w:r>
      <w:r w:rsidR="00222294">
        <w:rPr>
          <w:szCs w:val="24"/>
          <w:lang w:val="hu-HU"/>
        </w:rPr>
        <w:t>CCP</w:t>
      </w:r>
      <w:r w:rsidRPr="00FE5851">
        <w:rPr>
          <w:szCs w:val="24"/>
          <w:lang w:val="hu-HU"/>
        </w:rPr>
        <w:t>): A központi szerződő fél egy vagy több pénzügyi piacon kereskedett kontraktus szerződő felei között elhelyezkedő közbülső szervezet, amely az eladókkal szemben vevőként, a vevőkkel szemben eladóként jár el (a központi szerződő felek aktuális jegyzékét lásd a 2. mellékletben).</w:t>
      </w:r>
    </w:p>
    <w:p w14:paraId="30FE6ABC" w14:textId="77777777" w:rsidR="00D313C3" w:rsidRPr="00FE5851" w:rsidRDefault="00D313C3">
      <w:pPr>
        <w:pStyle w:val="Bulletpoint"/>
        <w:numPr>
          <w:ilvl w:val="1"/>
          <w:numId w:val="35"/>
        </w:numPr>
        <w:rPr>
          <w:szCs w:val="24"/>
          <w:lang w:val="hu-HU"/>
        </w:rPr>
      </w:pPr>
      <w:r w:rsidRPr="00FE5851">
        <w:rPr>
          <w:szCs w:val="24"/>
          <w:lang w:val="hu-HU"/>
        </w:rPr>
        <w:t xml:space="preserve"> Bankok és értékpapír-kereskedő társaságok</w:t>
      </w:r>
    </w:p>
    <w:p w14:paraId="2B517BA0" w14:textId="77777777" w:rsidR="00D313C3" w:rsidRPr="00FE5851" w:rsidRDefault="00D313C3">
      <w:pPr>
        <w:pStyle w:val="Bulletpoint"/>
        <w:numPr>
          <w:ilvl w:val="1"/>
          <w:numId w:val="35"/>
        </w:numPr>
        <w:rPr>
          <w:szCs w:val="24"/>
          <w:lang w:val="hu-HU"/>
        </w:rPr>
      </w:pPr>
      <w:r w:rsidRPr="00FE5851">
        <w:rPr>
          <w:szCs w:val="24"/>
          <w:lang w:val="hu-HU"/>
        </w:rPr>
        <w:t>Biztosítók (ideértve a nyugdíjpénztárakat)</w:t>
      </w:r>
      <w:r w:rsidRPr="00FE5851">
        <w:rPr>
          <w:rStyle w:val="FootnoteReference"/>
          <w:szCs w:val="24"/>
          <w:lang w:val="hu-HU"/>
        </w:rPr>
        <w:footnoteReference w:id="4"/>
      </w:r>
      <w:r w:rsidRPr="00FE5851">
        <w:rPr>
          <w:szCs w:val="24"/>
          <w:lang w:val="hu-HU"/>
        </w:rPr>
        <w:t>, viszontbiztosítók és pénzügyigarancia-szolgáltatók</w:t>
      </w:r>
    </w:p>
    <w:p w14:paraId="70006DFB" w14:textId="77777777" w:rsidR="00D313C3" w:rsidRPr="00FE5851" w:rsidRDefault="00D313C3">
      <w:pPr>
        <w:pStyle w:val="Bulletpoint"/>
        <w:numPr>
          <w:ilvl w:val="1"/>
          <w:numId w:val="35"/>
        </w:numPr>
        <w:rPr>
          <w:szCs w:val="24"/>
          <w:lang w:val="hu-HU"/>
        </w:rPr>
      </w:pPr>
      <w:r w:rsidRPr="00FE5851">
        <w:rPr>
          <w:szCs w:val="24"/>
          <w:lang w:val="hu-HU"/>
        </w:rPr>
        <w:t xml:space="preserve">Speciális célú vállalatok, speciális </w:t>
      </w:r>
      <w:r w:rsidR="00D8006F">
        <w:rPr>
          <w:szCs w:val="24"/>
          <w:lang w:val="hu-HU"/>
        </w:rPr>
        <w:t xml:space="preserve">értékpapírosítást végző </w:t>
      </w:r>
      <w:r w:rsidRPr="00FE5851">
        <w:rPr>
          <w:szCs w:val="24"/>
          <w:lang w:val="hu-HU"/>
        </w:rPr>
        <w:t>pénzügyi közvetítő</w:t>
      </w:r>
      <w:r w:rsidR="00D8006F">
        <w:rPr>
          <w:szCs w:val="24"/>
          <w:lang w:val="hu-HU"/>
        </w:rPr>
        <w:t>k</w:t>
      </w:r>
      <w:r w:rsidRPr="00FE5851">
        <w:rPr>
          <w:szCs w:val="24"/>
          <w:lang w:val="hu-HU"/>
        </w:rPr>
        <w:t xml:space="preserve"> (financial vehicle corporations, FVC) és speciális célú gazdasági szervezetek (special purpose entities, SPE)</w:t>
      </w:r>
      <w:r w:rsidRPr="00FE5851">
        <w:rPr>
          <w:rStyle w:val="FootnoteReference"/>
          <w:szCs w:val="24"/>
          <w:lang w:val="hu-HU"/>
        </w:rPr>
        <w:footnoteReference w:id="5"/>
      </w:r>
      <w:r w:rsidRPr="00FE5851">
        <w:rPr>
          <w:szCs w:val="24"/>
          <w:lang w:val="hu-HU"/>
        </w:rPr>
        <w:t>: jogi személyiséggel rendelkező szervezetek, amelyeket kizárólag egyedi ügyletek lebonyolítására hoznak létre, például eszköz-értékpapírosítás összefüggésében eszköz- és jelzálogfedezetű értékpapírok kibocsátása. Ezeknek a szervezeteknek gyakran saját munkatársaik sincsenek.</w:t>
      </w:r>
      <w:r w:rsidR="00FE5851" w:rsidRPr="00FE5851">
        <w:rPr>
          <w:szCs w:val="24"/>
          <w:lang w:val="hu-HU"/>
        </w:rPr>
        <w:t xml:space="preserve"> </w:t>
      </w:r>
    </w:p>
    <w:p w14:paraId="5B88339D" w14:textId="77777777" w:rsidR="00D313C3" w:rsidRPr="00FE5851" w:rsidRDefault="00D8006F">
      <w:pPr>
        <w:pStyle w:val="Bulletpoint"/>
        <w:numPr>
          <w:ilvl w:val="1"/>
          <w:numId w:val="35"/>
        </w:numPr>
        <w:rPr>
          <w:szCs w:val="24"/>
          <w:lang w:val="hu-HU"/>
        </w:rPr>
      </w:pPr>
      <w:r>
        <w:rPr>
          <w:spacing w:val="2"/>
          <w:szCs w:val="24"/>
          <w:lang w:val="hu-HU"/>
        </w:rPr>
        <w:t>Hedge fund-ok</w:t>
      </w:r>
      <w:r w:rsidR="00D313C3" w:rsidRPr="00FE5851">
        <w:rPr>
          <w:spacing w:val="2"/>
          <w:szCs w:val="24"/>
          <w:lang w:val="hu-HU"/>
        </w:rPr>
        <w:t>:</w:t>
      </w:r>
      <w:r w:rsidR="00D313C3" w:rsidRPr="00FE5851">
        <w:rPr>
          <w:i/>
          <w:color w:val="1F497D"/>
          <w:spacing w:val="2"/>
          <w:szCs w:val="24"/>
          <w:lang w:val="hu-HU"/>
        </w:rPr>
        <w:t xml:space="preserve"> </w:t>
      </w:r>
      <w:r w:rsidR="00D313C3" w:rsidRPr="00FE5851">
        <w:rPr>
          <w:spacing w:val="2"/>
          <w:szCs w:val="24"/>
          <w:lang w:val="hu-HU"/>
        </w:rPr>
        <w:t xml:space="preserve">Többnyire szabályozatlan befektetési alapok, amelyek – jellemzően – hosszú vagy rövid árucikk- vagy pénzügyieszköz-pozíciót tartanak több különböző piacon, előre meghatározott befektetési stratégia szerint, s amelyek igen nagy tőkeáttételűek lehetnek. Mivel ez az iránymutatás nem nyújt átfogó meghatározást a </w:t>
      </w:r>
      <w:r>
        <w:rPr>
          <w:spacing w:val="2"/>
          <w:szCs w:val="24"/>
          <w:lang w:val="hu-HU"/>
        </w:rPr>
        <w:t xml:space="preserve">hedge fund-okról, </w:t>
      </w:r>
      <w:r w:rsidR="00D313C3" w:rsidRPr="00FE5851">
        <w:rPr>
          <w:spacing w:val="2"/>
          <w:szCs w:val="24"/>
          <w:lang w:val="hu-HU"/>
        </w:rPr>
        <w:t xml:space="preserve">a jelentő intézmények használhatják a saját </w:t>
      </w:r>
      <w:r>
        <w:rPr>
          <w:spacing w:val="2"/>
          <w:szCs w:val="24"/>
          <w:lang w:val="hu-HU"/>
        </w:rPr>
        <w:t>definíciójukat is.</w:t>
      </w:r>
    </w:p>
    <w:p w14:paraId="1330EA93" w14:textId="77777777" w:rsidR="00D313C3" w:rsidRPr="00FE5851" w:rsidRDefault="00D313C3">
      <w:pPr>
        <w:pStyle w:val="Bulletpoint"/>
        <w:numPr>
          <w:ilvl w:val="1"/>
          <w:numId w:val="35"/>
        </w:numPr>
        <w:rPr>
          <w:szCs w:val="24"/>
          <w:lang w:val="hu-HU"/>
        </w:rPr>
      </w:pPr>
      <w:r w:rsidRPr="00FE5851">
        <w:rPr>
          <w:szCs w:val="24"/>
          <w:lang w:val="hu-HU"/>
        </w:rPr>
        <w:t>Egyéb pénzintézetek: Ezek lefedik a fent fel nem sorolt összes többi pénzintézetet.</w:t>
      </w:r>
      <w:r w:rsidR="00FE5851" w:rsidRPr="00FE5851">
        <w:rPr>
          <w:szCs w:val="24"/>
          <w:lang w:val="hu-HU"/>
        </w:rPr>
        <w:t xml:space="preserve"> </w:t>
      </w:r>
      <w:r w:rsidRPr="00FE5851">
        <w:rPr>
          <w:szCs w:val="24"/>
          <w:lang w:val="hu-HU"/>
        </w:rPr>
        <w:t>A gyakorlatban ez azt jelenti, hogy ide főként a nyíltvégű befektetési alapok tartoznak.</w:t>
      </w:r>
    </w:p>
    <w:p w14:paraId="56A3C964" w14:textId="77777777" w:rsidR="00D313C3" w:rsidRPr="00FE5851" w:rsidRDefault="00D313C3">
      <w:pPr>
        <w:pStyle w:val="Bulletpoint"/>
        <w:numPr>
          <w:ilvl w:val="0"/>
          <w:numId w:val="6"/>
        </w:numPr>
        <w:rPr>
          <w:szCs w:val="24"/>
          <w:lang w:val="hu-HU"/>
        </w:rPr>
      </w:pPr>
      <w:r w:rsidRPr="00FE5851">
        <w:rPr>
          <w:i/>
          <w:szCs w:val="24"/>
          <w:lang w:val="hu-HU"/>
        </w:rPr>
        <w:t>Nem pénzügyi ügyfelek</w:t>
      </w:r>
      <w:r w:rsidRPr="00FE5851">
        <w:rPr>
          <w:szCs w:val="24"/>
          <w:lang w:val="hu-HU"/>
        </w:rPr>
        <w:t>:</w:t>
      </w:r>
      <w:r w:rsidR="00FE5851" w:rsidRPr="00FE5851">
        <w:rPr>
          <w:szCs w:val="24"/>
          <w:lang w:val="hu-HU"/>
        </w:rPr>
        <w:t xml:space="preserve"> </w:t>
      </w:r>
      <w:r w:rsidRPr="00FE5851">
        <w:rPr>
          <w:szCs w:val="24"/>
          <w:lang w:val="hu-HU"/>
        </w:rPr>
        <w:t xml:space="preserve">A fentebb fel nem sorolt összes partner. </w:t>
      </w:r>
    </w:p>
    <w:p w14:paraId="6471DFD0" w14:textId="77777777" w:rsidR="00D313C3" w:rsidRPr="00FE5851" w:rsidRDefault="00D313C3">
      <w:pPr>
        <w:pStyle w:val="Paragraph"/>
        <w:spacing w:before="120"/>
        <w:rPr>
          <w:szCs w:val="24"/>
          <w:lang w:val="hu-HU"/>
        </w:rPr>
      </w:pPr>
      <w:r w:rsidRPr="00FE5851">
        <w:rPr>
          <w:szCs w:val="24"/>
          <w:lang w:val="hu-HU"/>
        </w:rPr>
        <w:t xml:space="preserve">E kategóriák további részleteit és meghatározását lásd a C-részben. </w:t>
      </w:r>
    </w:p>
    <w:p w14:paraId="7FA40A45" w14:textId="77777777" w:rsidR="00D313C3" w:rsidRPr="00FE5851" w:rsidRDefault="00D313C3">
      <w:pPr>
        <w:pStyle w:val="IndentedHeading2"/>
        <w:rPr>
          <w:szCs w:val="24"/>
          <w:lang w:val="hu-HU"/>
        </w:rPr>
      </w:pPr>
      <w:bookmarkStart w:id="32" w:name="_Toc533082685"/>
      <w:r w:rsidRPr="00FE5851">
        <w:rPr>
          <w:szCs w:val="24"/>
          <w:lang w:val="hu-HU"/>
        </w:rPr>
        <w:t>4.</w:t>
      </w:r>
      <w:r w:rsidRPr="00FE5851">
        <w:rPr>
          <w:szCs w:val="24"/>
          <w:lang w:val="hu-HU"/>
        </w:rPr>
        <w:tab/>
        <w:t>Ágazat</w:t>
      </w:r>
      <w:bookmarkEnd w:id="32"/>
    </w:p>
    <w:p w14:paraId="532B05DB" w14:textId="77777777" w:rsidR="00D313C3" w:rsidRPr="00FE5851" w:rsidRDefault="00D313C3">
      <w:pPr>
        <w:pStyle w:val="Paragraph"/>
        <w:rPr>
          <w:szCs w:val="24"/>
          <w:lang w:val="hu-HU"/>
        </w:rPr>
      </w:pPr>
      <w:r w:rsidRPr="00FE5851">
        <w:rPr>
          <w:szCs w:val="24"/>
          <w:lang w:val="hu-HU"/>
        </w:rPr>
        <w:t>A mögöttes kötelezettség kötelezettjének bontása gazdasági szektoronként a következőképpen:</w:t>
      </w:r>
    </w:p>
    <w:p w14:paraId="348C8816" w14:textId="77777777" w:rsidR="00D313C3" w:rsidRPr="00FE5851" w:rsidRDefault="00D313C3">
      <w:pPr>
        <w:pStyle w:val="Bulletpoint"/>
        <w:numPr>
          <w:ilvl w:val="0"/>
          <w:numId w:val="6"/>
        </w:numPr>
        <w:rPr>
          <w:szCs w:val="24"/>
          <w:lang w:val="hu-HU"/>
        </w:rPr>
      </w:pPr>
      <w:r w:rsidRPr="00FE5851">
        <w:rPr>
          <w:i/>
          <w:szCs w:val="24"/>
          <w:lang w:val="hu-HU"/>
        </w:rPr>
        <w:lastRenderedPageBreak/>
        <w:t>Kormányzati (állami) szektor:</w:t>
      </w:r>
      <w:r w:rsidRPr="00FE5851">
        <w:rPr>
          <w:szCs w:val="24"/>
          <w:lang w:val="hu-HU"/>
        </w:rPr>
        <w:t xml:space="preserve"> Elvben egy adott ország központi, állami vagy helyi kormánya/(ön)kormányzata, kivéve az állami tulajdonú pénzügyi és nem pénzügyi</w:t>
      </w:r>
      <w:r w:rsidR="00FE5851" w:rsidRPr="00FE5851">
        <w:rPr>
          <w:szCs w:val="24"/>
          <w:lang w:val="hu-HU"/>
        </w:rPr>
        <w:t xml:space="preserve"> </w:t>
      </w:r>
      <w:r w:rsidR="00D8006F">
        <w:rPr>
          <w:szCs w:val="24"/>
          <w:lang w:val="hu-HU"/>
        </w:rPr>
        <w:t>vállalatokat</w:t>
      </w:r>
      <w:r w:rsidRPr="00FE5851">
        <w:rPr>
          <w:szCs w:val="24"/>
          <w:lang w:val="hu-HU"/>
        </w:rPr>
        <w:t xml:space="preserve">, nemzetközi szervezeteket. </w:t>
      </w:r>
    </w:p>
    <w:p w14:paraId="0E4D928E" w14:textId="77777777" w:rsidR="00D313C3" w:rsidRPr="00FE5851" w:rsidRDefault="00D313C3">
      <w:pPr>
        <w:pStyle w:val="Bulletpoint"/>
        <w:numPr>
          <w:ilvl w:val="0"/>
          <w:numId w:val="6"/>
        </w:numPr>
        <w:rPr>
          <w:szCs w:val="24"/>
          <w:lang w:val="hu-HU"/>
        </w:rPr>
      </w:pPr>
      <w:r w:rsidRPr="00FE5851">
        <w:rPr>
          <w:i/>
          <w:szCs w:val="24"/>
          <w:lang w:val="hu-HU"/>
        </w:rPr>
        <w:t>Nem kormányzati (állami) szektor</w:t>
      </w:r>
      <w:r w:rsidRPr="00FE5851">
        <w:rPr>
          <w:szCs w:val="24"/>
          <w:lang w:val="hu-HU"/>
        </w:rPr>
        <w:t>:</w:t>
      </w:r>
      <w:r w:rsidR="00FE5851" w:rsidRPr="00FE5851">
        <w:rPr>
          <w:szCs w:val="24"/>
          <w:lang w:val="hu-HU"/>
        </w:rPr>
        <w:t xml:space="preserve"> </w:t>
      </w:r>
      <w:r w:rsidRPr="00FE5851">
        <w:rPr>
          <w:szCs w:val="24"/>
          <w:lang w:val="hu-HU"/>
        </w:rPr>
        <w:t>Minden intézmény a fentiek kivételével.</w:t>
      </w:r>
    </w:p>
    <w:p w14:paraId="50FC0DE7" w14:textId="77777777" w:rsidR="00D313C3" w:rsidRPr="00FE5851" w:rsidRDefault="00D313C3" w:rsidP="00653ECD">
      <w:pPr>
        <w:pStyle w:val="Heading1"/>
        <w:spacing w:before="0" w:after="600"/>
        <w:rPr>
          <w:szCs w:val="24"/>
          <w:lang w:val="hu-HU"/>
        </w:rPr>
      </w:pPr>
      <w:r w:rsidRPr="00FE5851">
        <w:rPr>
          <w:szCs w:val="24"/>
          <w:lang w:val="hu-HU"/>
        </w:rPr>
        <w:br w:type="page"/>
      </w:r>
      <w:bookmarkStart w:id="33" w:name="_Toc533082686"/>
      <w:r w:rsidR="00653ECD">
        <w:rPr>
          <w:szCs w:val="24"/>
          <w:lang w:val="hu-HU"/>
        </w:rPr>
        <w:lastRenderedPageBreak/>
        <w:t>1</w:t>
      </w:r>
      <w:r w:rsidRPr="00FE5851">
        <w:rPr>
          <w:szCs w:val="24"/>
          <w:lang w:val="hu-HU"/>
        </w:rPr>
        <w:t xml:space="preserve">. számú melléklet: Központi szerződő felek </w:t>
      </w:r>
      <w:r w:rsidR="003B1768">
        <w:rPr>
          <w:szCs w:val="24"/>
          <w:lang w:val="hu-HU"/>
        </w:rPr>
        <w:t xml:space="preserve">(CCP) </w:t>
      </w:r>
      <w:r w:rsidRPr="00FE5851">
        <w:rPr>
          <w:szCs w:val="24"/>
          <w:lang w:val="hu-HU"/>
        </w:rPr>
        <w:t>jegyzéke</w:t>
      </w:r>
      <w:bookmarkEnd w:id="33"/>
      <w:r w:rsidRPr="00FE5851">
        <w:rPr>
          <w:szCs w:val="24"/>
          <w:lang w:val="hu-HU"/>
        </w:rPr>
        <w:t xml:space="preserve"> </w:t>
      </w:r>
    </w:p>
    <w:p w14:paraId="70AE3939" w14:textId="77777777" w:rsidR="00C92B05" w:rsidRDefault="004F1023" w:rsidP="00CB7D0C">
      <w:pPr>
        <w:spacing w:before="120" w:after="240"/>
        <w:rPr>
          <w:szCs w:val="24"/>
          <w:lang w:val="hu-HU"/>
        </w:rPr>
      </w:pPr>
      <w:r>
        <w:rPr>
          <w:szCs w:val="24"/>
          <w:lang w:val="hu-HU"/>
        </w:rPr>
        <w:t>A lista nem teljes körű</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1307"/>
      </w:tblGrid>
      <w:tr w:rsidR="003B1768" w:rsidRPr="005B5271" w14:paraId="38ADA5AB" w14:textId="77777777" w:rsidTr="00CB7D0C">
        <w:trPr>
          <w:trHeight w:val="615"/>
        </w:trPr>
        <w:tc>
          <w:tcPr>
            <w:tcW w:w="4644" w:type="dxa"/>
            <w:shd w:val="clear" w:color="auto" w:fill="auto"/>
          </w:tcPr>
          <w:p w14:paraId="66D62588" w14:textId="77777777"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Név</w:t>
            </w:r>
          </w:p>
        </w:tc>
        <w:tc>
          <w:tcPr>
            <w:tcW w:w="3261" w:type="dxa"/>
            <w:shd w:val="clear" w:color="auto" w:fill="auto"/>
          </w:tcPr>
          <w:p w14:paraId="406ACCEA" w14:textId="77777777"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Azonosító kód (LEI)</w:t>
            </w:r>
          </w:p>
        </w:tc>
        <w:tc>
          <w:tcPr>
            <w:tcW w:w="1307" w:type="dxa"/>
            <w:shd w:val="clear" w:color="auto" w:fill="auto"/>
          </w:tcPr>
          <w:p w14:paraId="5C44062C" w14:textId="77777777"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Ország</w:t>
            </w:r>
          </w:p>
        </w:tc>
      </w:tr>
      <w:tr w:rsidR="003B1768" w:rsidRPr="005B5271" w14:paraId="72462DAF" w14:textId="77777777" w:rsidTr="00806EC0">
        <w:trPr>
          <w:trHeight w:val="567"/>
        </w:trPr>
        <w:tc>
          <w:tcPr>
            <w:tcW w:w="4644" w:type="dxa"/>
            <w:shd w:val="clear" w:color="auto" w:fill="auto"/>
          </w:tcPr>
          <w:p w14:paraId="78B9693C" w14:textId="77777777"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Argentina Clearing S.A.</w:t>
            </w:r>
          </w:p>
        </w:tc>
        <w:tc>
          <w:tcPr>
            <w:tcW w:w="3261" w:type="dxa"/>
            <w:shd w:val="clear" w:color="auto" w:fill="auto"/>
          </w:tcPr>
          <w:p w14:paraId="7C071403"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697A29D" w14:textId="77777777"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AR</w:t>
            </w:r>
          </w:p>
        </w:tc>
      </w:tr>
      <w:tr w:rsidR="003B1768" w:rsidRPr="005B5271" w14:paraId="47534269" w14:textId="77777777" w:rsidTr="00806EC0">
        <w:trPr>
          <w:trHeight w:val="567"/>
        </w:trPr>
        <w:tc>
          <w:tcPr>
            <w:tcW w:w="4644" w:type="dxa"/>
            <w:shd w:val="clear" w:color="auto" w:fill="auto"/>
          </w:tcPr>
          <w:p w14:paraId="09538BD0" w14:textId="77777777"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Asigna Compensacion y Liquidacion</w:t>
            </w:r>
          </w:p>
        </w:tc>
        <w:tc>
          <w:tcPr>
            <w:tcW w:w="3261" w:type="dxa"/>
            <w:shd w:val="clear" w:color="auto" w:fill="auto"/>
          </w:tcPr>
          <w:p w14:paraId="65275A24"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1B9FE08" w14:textId="77777777"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MX</w:t>
            </w:r>
          </w:p>
        </w:tc>
      </w:tr>
      <w:tr w:rsidR="003B1768" w:rsidRPr="005B5271" w14:paraId="5C0E4F30" w14:textId="77777777" w:rsidTr="00806EC0">
        <w:trPr>
          <w:trHeight w:val="567"/>
        </w:trPr>
        <w:tc>
          <w:tcPr>
            <w:tcW w:w="4644" w:type="dxa"/>
            <w:shd w:val="clear" w:color="auto" w:fill="auto"/>
          </w:tcPr>
          <w:p w14:paraId="60279740" w14:textId="77777777" w:rsidR="003B1768" w:rsidRPr="005B5271" w:rsidRDefault="00B76A4D" w:rsidP="005B5271">
            <w:pPr>
              <w:spacing w:before="360" w:after="240"/>
              <w:rPr>
                <w:rStyle w:val="CommentReference"/>
                <w:snapToGrid/>
                <w:sz w:val="22"/>
                <w:szCs w:val="22"/>
                <w:lang w:eastAsia="en-US"/>
              </w:rPr>
            </w:pPr>
            <w:r w:rsidRPr="00DB18D6">
              <w:rPr>
                <w:rStyle w:val="CommentReference"/>
                <w:sz w:val="22"/>
                <w:szCs w:val="22"/>
                <w:lang w:eastAsia="en-US"/>
              </w:rPr>
              <w:t>ASX Clear (Futures) Pty Limited</w:t>
            </w:r>
          </w:p>
        </w:tc>
        <w:tc>
          <w:tcPr>
            <w:tcW w:w="3261" w:type="dxa"/>
            <w:shd w:val="clear" w:color="auto" w:fill="auto"/>
          </w:tcPr>
          <w:p w14:paraId="69E25BAC" w14:textId="77777777"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549300ZD7BBOVZFVHK49</w:t>
            </w:r>
          </w:p>
        </w:tc>
        <w:tc>
          <w:tcPr>
            <w:tcW w:w="1307" w:type="dxa"/>
            <w:shd w:val="clear" w:color="auto" w:fill="auto"/>
          </w:tcPr>
          <w:p w14:paraId="2BE3C521" w14:textId="77777777"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AU</w:t>
            </w:r>
          </w:p>
        </w:tc>
      </w:tr>
      <w:tr w:rsidR="003B1768" w:rsidRPr="005B5271" w14:paraId="3D8E469F" w14:textId="77777777" w:rsidTr="00806EC0">
        <w:trPr>
          <w:trHeight w:val="567"/>
        </w:trPr>
        <w:tc>
          <w:tcPr>
            <w:tcW w:w="4644" w:type="dxa"/>
            <w:shd w:val="clear" w:color="auto" w:fill="auto"/>
          </w:tcPr>
          <w:p w14:paraId="2C00DA3A" w14:textId="77777777"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ASX Clear Pty Limited</w:t>
            </w:r>
          </w:p>
        </w:tc>
        <w:tc>
          <w:tcPr>
            <w:tcW w:w="3261" w:type="dxa"/>
            <w:shd w:val="clear" w:color="auto" w:fill="auto"/>
          </w:tcPr>
          <w:p w14:paraId="37C0AB3A" w14:textId="77777777"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549300JQL1BXTGCCGP11</w:t>
            </w:r>
          </w:p>
        </w:tc>
        <w:tc>
          <w:tcPr>
            <w:tcW w:w="1307" w:type="dxa"/>
            <w:shd w:val="clear" w:color="auto" w:fill="auto"/>
          </w:tcPr>
          <w:p w14:paraId="7575A6D6"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AU</w:t>
            </w:r>
          </w:p>
        </w:tc>
      </w:tr>
      <w:tr w:rsidR="003B1768" w:rsidRPr="005B5271" w14:paraId="145AF6D4" w14:textId="77777777" w:rsidTr="00806EC0">
        <w:trPr>
          <w:trHeight w:val="567"/>
        </w:trPr>
        <w:tc>
          <w:tcPr>
            <w:tcW w:w="4644" w:type="dxa"/>
            <w:shd w:val="clear" w:color="auto" w:fill="auto"/>
          </w:tcPr>
          <w:p w14:paraId="16380460"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Athens Exchange Clearing House (Athex Clear)</w:t>
            </w:r>
          </w:p>
        </w:tc>
        <w:tc>
          <w:tcPr>
            <w:tcW w:w="3261" w:type="dxa"/>
            <w:shd w:val="clear" w:color="auto" w:fill="auto"/>
          </w:tcPr>
          <w:p w14:paraId="7E0C9CB4"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213800IW53U9JMJ4QR40</w:t>
            </w:r>
          </w:p>
        </w:tc>
        <w:tc>
          <w:tcPr>
            <w:tcW w:w="1307" w:type="dxa"/>
            <w:shd w:val="clear" w:color="auto" w:fill="auto"/>
          </w:tcPr>
          <w:p w14:paraId="44E4B0AF"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GR</w:t>
            </w:r>
          </w:p>
        </w:tc>
      </w:tr>
      <w:tr w:rsidR="003B1768" w:rsidRPr="005B5271" w14:paraId="15B473B6" w14:textId="77777777" w:rsidTr="00806EC0">
        <w:trPr>
          <w:trHeight w:val="567"/>
        </w:trPr>
        <w:tc>
          <w:tcPr>
            <w:tcW w:w="4644" w:type="dxa"/>
            <w:shd w:val="clear" w:color="auto" w:fill="auto"/>
          </w:tcPr>
          <w:p w14:paraId="00BBE0E9"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BME Clearing</w:t>
            </w:r>
          </w:p>
        </w:tc>
        <w:tc>
          <w:tcPr>
            <w:tcW w:w="3261" w:type="dxa"/>
            <w:shd w:val="clear" w:color="auto" w:fill="auto"/>
          </w:tcPr>
          <w:p w14:paraId="42AFFF78" w14:textId="77777777"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5299009QA8BBE2OOB349</w:t>
            </w:r>
          </w:p>
        </w:tc>
        <w:tc>
          <w:tcPr>
            <w:tcW w:w="1307" w:type="dxa"/>
            <w:shd w:val="clear" w:color="auto" w:fill="auto"/>
          </w:tcPr>
          <w:p w14:paraId="74E87A9B"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ES</w:t>
            </w:r>
          </w:p>
        </w:tc>
      </w:tr>
      <w:tr w:rsidR="003B1768" w:rsidRPr="005B5271" w14:paraId="052D4397" w14:textId="77777777" w:rsidTr="00806EC0">
        <w:trPr>
          <w:trHeight w:val="567"/>
        </w:trPr>
        <w:tc>
          <w:tcPr>
            <w:tcW w:w="4644" w:type="dxa"/>
            <w:shd w:val="clear" w:color="auto" w:fill="auto"/>
          </w:tcPr>
          <w:p w14:paraId="46C7DA12"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BMF Bovespa SA</w:t>
            </w:r>
          </w:p>
        </w:tc>
        <w:tc>
          <w:tcPr>
            <w:tcW w:w="3261" w:type="dxa"/>
            <w:shd w:val="clear" w:color="auto" w:fill="auto"/>
          </w:tcPr>
          <w:p w14:paraId="7C05ACEB"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0C79F0C"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BR</w:t>
            </w:r>
          </w:p>
        </w:tc>
      </w:tr>
      <w:tr w:rsidR="003B1768" w:rsidRPr="005B5271" w14:paraId="4087F0B9" w14:textId="77777777" w:rsidTr="00806EC0">
        <w:trPr>
          <w:trHeight w:val="567"/>
        </w:trPr>
        <w:tc>
          <w:tcPr>
            <w:tcW w:w="4644" w:type="dxa"/>
            <w:shd w:val="clear" w:color="auto" w:fill="auto"/>
          </w:tcPr>
          <w:p w14:paraId="34869C1F"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Bursa Malaysia Derivatives Clearing Berhad (BMDC)</w:t>
            </w:r>
          </w:p>
        </w:tc>
        <w:tc>
          <w:tcPr>
            <w:tcW w:w="3261" w:type="dxa"/>
            <w:shd w:val="clear" w:color="auto" w:fill="auto"/>
          </w:tcPr>
          <w:p w14:paraId="2B20334D"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D5CE9F4"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MY</w:t>
            </w:r>
          </w:p>
        </w:tc>
      </w:tr>
      <w:tr w:rsidR="003B1768" w:rsidRPr="005B5271" w14:paraId="6A76E132" w14:textId="77777777" w:rsidTr="00806EC0">
        <w:trPr>
          <w:trHeight w:val="567"/>
        </w:trPr>
        <w:tc>
          <w:tcPr>
            <w:tcW w:w="4644" w:type="dxa"/>
            <w:shd w:val="clear" w:color="auto" w:fill="auto"/>
          </w:tcPr>
          <w:p w14:paraId="3A2AB872"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Canadian Derivatives Clearing Corporation</w:t>
            </w:r>
          </w:p>
        </w:tc>
        <w:tc>
          <w:tcPr>
            <w:tcW w:w="3261" w:type="dxa"/>
            <w:shd w:val="clear" w:color="auto" w:fill="auto"/>
          </w:tcPr>
          <w:p w14:paraId="13F2B74C"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16E95D4"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14:paraId="48F42C6F" w14:textId="77777777" w:rsidTr="00806EC0">
        <w:trPr>
          <w:trHeight w:val="567"/>
        </w:trPr>
        <w:tc>
          <w:tcPr>
            <w:tcW w:w="4644" w:type="dxa"/>
            <w:shd w:val="clear" w:color="auto" w:fill="auto"/>
          </w:tcPr>
          <w:p w14:paraId="6DAA2CAE"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Cassa di Compensazione e Garanzia S.p.A. (CCG)</w:t>
            </w:r>
          </w:p>
        </w:tc>
        <w:tc>
          <w:tcPr>
            <w:tcW w:w="3261" w:type="dxa"/>
            <w:shd w:val="clear" w:color="auto" w:fill="auto"/>
          </w:tcPr>
          <w:p w14:paraId="3480F02B"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8156006407E264D2C725</w:t>
            </w:r>
          </w:p>
        </w:tc>
        <w:tc>
          <w:tcPr>
            <w:tcW w:w="1307" w:type="dxa"/>
            <w:shd w:val="clear" w:color="auto" w:fill="auto"/>
          </w:tcPr>
          <w:p w14:paraId="518A7D42" w14:textId="77777777"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14:paraId="37052F01" w14:textId="77777777" w:rsidTr="00806EC0">
        <w:trPr>
          <w:trHeight w:val="567"/>
        </w:trPr>
        <w:tc>
          <w:tcPr>
            <w:tcW w:w="4644" w:type="dxa"/>
            <w:shd w:val="clear" w:color="auto" w:fill="auto"/>
          </w:tcPr>
          <w:p w14:paraId="5A5987E6" w14:textId="77777777"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CCP Austria Abwicklungsstelle für Börsengeschäfte GmbH (CCP.A)</w:t>
            </w:r>
          </w:p>
        </w:tc>
        <w:tc>
          <w:tcPr>
            <w:tcW w:w="3261" w:type="dxa"/>
            <w:shd w:val="clear" w:color="auto" w:fill="auto"/>
          </w:tcPr>
          <w:p w14:paraId="37BF59C6" w14:textId="77777777"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29900QF6QY66QULSI15</w:t>
            </w:r>
          </w:p>
        </w:tc>
        <w:tc>
          <w:tcPr>
            <w:tcW w:w="1307" w:type="dxa"/>
            <w:shd w:val="clear" w:color="auto" w:fill="auto"/>
          </w:tcPr>
          <w:p w14:paraId="42E3C4E4" w14:textId="77777777"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AT</w:t>
            </w:r>
          </w:p>
        </w:tc>
      </w:tr>
      <w:tr w:rsidR="003B1768" w:rsidRPr="005B5271" w14:paraId="4137D8C7" w14:textId="77777777" w:rsidTr="00806EC0">
        <w:trPr>
          <w:trHeight w:val="567"/>
        </w:trPr>
        <w:tc>
          <w:tcPr>
            <w:tcW w:w="4644" w:type="dxa"/>
            <w:shd w:val="clear" w:color="auto" w:fill="auto"/>
          </w:tcPr>
          <w:p w14:paraId="5CE8FA79" w14:textId="77777777"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CDS Clearing and Depository Services Inc.</w:t>
            </w:r>
          </w:p>
        </w:tc>
        <w:tc>
          <w:tcPr>
            <w:tcW w:w="3261" w:type="dxa"/>
            <w:shd w:val="clear" w:color="auto" w:fill="auto"/>
          </w:tcPr>
          <w:p w14:paraId="70DDEE3D"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D0984C9"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14:paraId="1867BB6B" w14:textId="77777777" w:rsidTr="00806EC0">
        <w:trPr>
          <w:trHeight w:val="567"/>
        </w:trPr>
        <w:tc>
          <w:tcPr>
            <w:tcW w:w="4644" w:type="dxa"/>
            <w:shd w:val="clear" w:color="auto" w:fill="auto"/>
          </w:tcPr>
          <w:p w14:paraId="16842842"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lastRenderedPageBreak/>
              <w:t>Central Depository (Pte) Limited</w:t>
            </w:r>
          </w:p>
        </w:tc>
        <w:tc>
          <w:tcPr>
            <w:tcW w:w="3261" w:type="dxa"/>
            <w:shd w:val="clear" w:color="auto" w:fill="auto"/>
          </w:tcPr>
          <w:p w14:paraId="670916E9"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549300CMH3J8ASUM8N29</w:t>
            </w:r>
          </w:p>
        </w:tc>
        <w:tc>
          <w:tcPr>
            <w:tcW w:w="1307" w:type="dxa"/>
            <w:shd w:val="clear" w:color="auto" w:fill="auto"/>
          </w:tcPr>
          <w:p w14:paraId="62C0C58E"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SG</w:t>
            </w:r>
          </w:p>
        </w:tc>
      </w:tr>
      <w:tr w:rsidR="003B1768" w:rsidRPr="005B5271" w14:paraId="1D4BC8F8" w14:textId="77777777" w:rsidTr="00806EC0">
        <w:trPr>
          <w:trHeight w:val="567"/>
        </w:trPr>
        <w:tc>
          <w:tcPr>
            <w:tcW w:w="4644" w:type="dxa"/>
            <w:shd w:val="clear" w:color="auto" w:fill="auto"/>
          </w:tcPr>
          <w:p w14:paraId="5E8DC1C0"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Chicago Mercantile Exchange Inc</w:t>
            </w:r>
          </w:p>
        </w:tc>
        <w:tc>
          <w:tcPr>
            <w:tcW w:w="3261" w:type="dxa"/>
            <w:shd w:val="clear" w:color="auto" w:fill="auto"/>
          </w:tcPr>
          <w:p w14:paraId="7F4EC055"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B357811"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14:paraId="6C418A95" w14:textId="77777777" w:rsidTr="00806EC0">
        <w:trPr>
          <w:trHeight w:val="567"/>
        </w:trPr>
        <w:tc>
          <w:tcPr>
            <w:tcW w:w="4644" w:type="dxa"/>
            <w:shd w:val="clear" w:color="auto" w:fill="auto"/>
          </w:tcPr>
          <w:p w14:paraId="7F698CAF"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CME Clearing Europe Ltd</w:t>
            </w:r>
          </w:p>
        </w:tc>
        <w:tc>
          <w:tcPr>
            <w:tcW w:w="3261" w:type="dxa"/>
            <w:shd w:val="clear" w:color="auto" w:fill="auto"/>
          </w:tcPr>
          <w:p w14:paraId="0F47176E"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6SI7IOVECKBHVYBTB459</w:t>
            </w:r>
          </w:p>
        </w:tc>
        <w:tc>
          <w:tcPr>
            <w:tcW w:w="1307" w:type="dxa"/>
            <w:shd w:val="clear" w:color="auto" w:fill="auto"/>
          </w:tcPr>
          <w:p w14:paraId="355A8232"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14:paraId="1A4E08E0" w14:textId="77777777" w:rsidTr="00806EC0">
        <w:trPr>
          <w:trHeight w:val="567"/>
        </w:trPr>
        <w:tc>
          <w:tcPr>
            <w:tcW w:w="4644" w:type="dxa"/>
            <w:shd w:val="clear" w:color="auto" w:fill="auto"/>
          </w:tcPr>
          <w:p w14:paraId="296E6ED7"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Deutsche Börse</w:t>
            </w:r>
          </w:p>
        </w:tc>
        <w:tc>
          <w:tcPr>
            <w:tcW w:w="3261" w:type="dxa"/>
            <w:shd w:val="clear" w:color="auto" w:fill="auto"/>
          </w:tcPr>
          <w:p w14:paraId="0C9EF990"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49D8B96B"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w:t>
            </w:r>
          </w:p>
        </w:tc>
      </w:tr>
      <w:tr w:rsidR="003B1768" w:rsidRPr="005B5271" w14:paraId="46F95139" w14:textId="77777777" w:rsidTr="00806EC0">
        <w:trPr>
          <w:trHeight w:val="567"/>
        </w:trPr>
        <w:tc>
          <w:tcPr>
            <w:tcW w:w="4644" w:type="dxa"/>
            <w:shd w:val="clear" w:color="auto" w:fill="auto"/>
          </w:tcPr>
          <w:p w14:paraId="3EB74C65"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DTCC</w:t>
            </w:r>
          </w:p>
        </w:tc>
        <w:tc>
          <w:tcPr>
            <w:tcW w:w="3261" w:type="dxa"/>
            <w:shd w:val="clear" w:color="auto" w:fill="auto"/>
          </w:tcPr>
          <w:p w14:paraId="18FAA26C"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235DA01" w14:textId="77777777" w:rsidR="003B1768" w:rsidRPr="005B5271" w:rsidRDefault="003B1768" w:rsidP="005B5271">
            <w:pPr>
              <w:spacing w:before="360" w:after="240"/>
              <w:rPr>
                <w:rStyle w:val="CommentReference"/>
                <w:snapToGrid/>
                <w:sz w:val="22"/>
                <w:szCs w:val="22"/>
                <w:lang w:eastAsia="en-US"/>
              </w:rPr>
            </w:pPr>
          </w:p>
        </w:tc>
      </w:tr>
      <w:tr w:rsidR="003B1768" w:rsidRPr="005B5271" w14:paraId="4D9581EA" w14:textId="77777777" w:rsidTr="00806EC0">
        <w:trPr>
          <w:trHeight w:val="567"/>
        </w:trPr>
        <w:tc>
          <w:tcPr>
            <w:tcW w:w="4644" w:type="dxa"/>
            <w:shd w:val="clear" w:color="auto" w:fill="auto"/>
          </w:tcPr>
          <w:p w14:paraId="65ADD105"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Dubai Commodities Clearing Corporation DMCC</w:t>
            </w:r>
          </w:p>
        </w:tc>
        <w:tc>
          <w:tcPr>
            <w:tcW w:w="3261" w:type="dxa"/>
            <w:shd w:val="clear" w:color="auto" w:fill="auto"/>
          </w:tcPr>
          <w:p w14:paraId="58389A6F"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E898A90"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AE</w:t>
            </w:r>
          </w:p>
        </w:tc>
      </w:tr>
      <w:tr w:rsidR="003B1768" w:rsidRPr="005B5271" w14:paraId="7971B74C" w14:textId="77777777" w:rsidTr="00806EC0">
        <w:trPr>
          <w:trHeight w:val="567"/>
        </w:trPr>
        <w:tc>
          <w:tcPr>
            <w:tcW w:w="4644" w:type="dxa"/>
            <w:shd w:val="clear" w:color="auto" w:fill="auto"/>
          </w:tcPr>
          <w:p w14:paraId="7BA5D269"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Eurex</w:t>
            </w:r>
          </w:p>
        </w:tc>
        <w:tc>
          <w:tcPr>
            <w:tcW w:w="3261" w:type="dxa"/>
            <w:shd w:val="clear" w:color="auto" w:fill="auto"/>
          </w:tcPr>
          <w:p w14:paraId="2385EF45"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438FDE9" w14:textId="77777777" w:rsidR="003B1768" w:rsidRPr="005B5271" w:rsidRDefault="003B1768" w:rsidP="005B5271">
            <w:pPr>
              <w:spacing w:before="360" w:after="240"/>
              <w:rPr>
                <w:rStyle w:val="CommentReference"/>
                <w:snapToGrid/>
                <w:sz w:val="22"/>
                <w:szCs w:val="22"/>
                <w:lang w:eastAsia="en-US"/>
              </w:rPr>
            </w:pPr>
          </w:p>
        </w:tc>
      </w:tr>
      <w:tr w:rsidR="003B1768" w:rsidRPr="005B5271" w14:paraId="63047429" w14:textId="77777777" w:rsidTr="00806EC0">
        <w:trPr>
          <w:trHeight w:val="567"/>
        </w:trPr>
        <w:tc>
          <w:tcPr>
            <w:tcW w:w="4644" w:type="dxa"/>
            <w:shd w:val="clear" w:color="auto" w:fill="auto"/>
          </w:tcPr>
          <w:p w14:paraId="1A91CEC8"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Eurex Clearing AG</w:t>
            </w:r>
          </w:p>
        </w:tc>
        <w:tc>
          <w:tcPr>
            <w:tcW w:w="3261" w:type="dxa"/>
            <w:shd w:val="clear" w:color="auto" w:fill="auto"/>
          </w:tcPr>
          <w:p w14:paraId="66B67EFC"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529900LN3S50JPU47S06</w:t>
            </w:r>
          </w:p>
        </w:tc>
        <w:tc>
          <w:tcPr>
            <w:tcW w:w="1307" w:type="dxa"/>
            <w:shd w:val="clear" w:color="auto" w:fill="auto"/>
          </w:tcPr>
          <w:p w14:paraId="02326976"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w:t>
            </w:r>
          </w:p>
        </w:tc>
      </w:tr>
      <w:tr w:rsidR="003B1768" w:rsidRPr="005B5271" w14:paraId="3E14D383" w14:textId="77777777" w:rsidTr="00806EC0">
        <w:trPr>
          <w:trHeight w:val="567"/>
        </w:trPr>
        <w:tc>
          <w:tcPr>
            <w:tcW w:w="4644" w:type="dxa"/>
            <w:shd w:val="clear" w:color="auto" w:fill="auto"/>
          </w:tcPr>
          <w:p w14:paraId="3CE92DC0"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Euroclear</w:t>
            </w:r>
          </w:p>
        </w:tc>
        <w:tc>
          <w:tcPr>
            <w:tcW w:w="3261" w:type="dxa"/>
            <w:shd w:val="clear" w:color="auto" w:fill="auto"/>
          </w:tcPr>
          <w:p w14:paraId="588CFBF6"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3AAE4B5" w14:textId="77777777" w:rsidR="003B1768" w:rsidRPr="005B5271" w:rsidRDefault="003B1768" w:rsidP="005B5271">
            <w:pPr>
              <w:spacing w:before="360" w:after="240"/>
              <w:rPr>
                <w:rStyle w:val="CommentReference"/>
                <w:snapToGrid/>
                <w:sz w:val="22"/>
                <w:szCs w:val="22"/>
                <w:lang w:eastAsia="en-US"/>
              </w:rPr>
            </w:pPr>
          </w:p>
        </w:tc>
      </w:tr>
      <w:tr w:rsidR="003B1768" w:rsidRPr="005B5271" w14:paraId="78AAC5F0" w14:textId="77777777" w:rsidTr="00806EC0">
        <w:trPr>
          <w:trHeight w:val="567"/>
        </w:trPr>
        <w:tc>
          <w:tcPr>
            <w:tcW w:w="4644" w:type="dxa"/>
            <w:shd w:val="clear" w:color="auto" w:fill="auto"/>
          </w:tcPr>
          <w:p w14:paraId="400327AD"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European Central Counterparty N.V.</w:t>
            </w:r>
          </w:p>
        </w:tc>
        <w:tc>
          <w:tcPr>
            <w:tcW w:w="3261" w:type="dxa"/>
            <w:shd w:val="clear" w:color="auto" w:fill="auto"/>
          </w:tcPr>
          <w:p w14:paraId="5415DE94"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724500937F740MHCX307</w:t>
            </w:r>
          </w:p>
        </w:tc>
        <w:tc>
          <w:tcPr>
            <w:tcW w:w="1307" w:type="dxa"/>
            <w:shd w:val="clear" w:color="auto" w:fill="auto"/>
          </w:tcPr>
          <w:p w14:paraId="6608BF96" w14:textId="77777777"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NL</w:t>
            </w:r>
          </w:p>
        </w:tc>
      </w:tr>
      <w:tr w:rsidR="003B1768" w:rsidRPr="005B5271" w14:paraId="5B61A4F0" w14:textId="77777777" w:rsidTr="00806EC0">
        <w:trPr>
          <w:trHeight w:val="567"/>
        </w:trPr>
        <w:tc>
          <w:tcPr>
            <w:tcW w:w="4644" w:type="dxa"/>
            <w:shd w:val="clear" w:color="auto" w:fill="auto"/>
          </w:tcPr>
          <w:p w14:paraId="4A789055"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European Central Counterparty (EuroCCP) Ltd</w:t>
            </w:r>
          </w:p>
        </w:tc>
        <w:tc>
          <w:tcPr>
            <w:tcW w:w="3261" w:type="dxa"/>
            <w:shd w:val="clear" w:color="auto" w:fill="auto"/>
          </w:tcPr>
          <w:p w14:paraId="0E45E85F"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AF02FAC"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14:paraId="6D7C939C" w14:textId="77777777" w:rsidTr="00806EC0">
        <w:trPr>
          <w:trHeight w:val="567"/>
        </w:trPr>
        <w:tc>
          <w:tcPr>
            <w:tcW w:w="4644" w:type="dxa"/>
            <w:shd w:val="clear" w:color="auto" w:fill="auto"/>
          </w:tcPr>
          <w:p w14:paraId="4C0161A8"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Fixed Income Clearing Corporation</w:t>
            </w:r>
          </w:p>
        </w:tc>
        <w:tc>
          <w:tcPr>
            <w:tcW w:w="3261" w:type="dxa"/>
            <w:shd w:val="clear" w:color="auto" w:fill="auto"/>
          </w:tcPr>
          <w:p w14:paraId="6C0C350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B5B6D4B"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14:paraId="51860E5F" w14:textId="77777777" w:rsidTr="00806EC0">
        <w:trPr>
          <w:trHeight w:val="567"/>
        </w:trPr>
        <w:tc>
          <w:tcPr>
            <w:tcW w:w="4644" w:type="dxa"/>
            <w:shd w:val="clear" w:color="auto" w:fill="auto"/>
          </w:tcPr>
          <w:p w14:paraId="5F37BECE"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Holland Clearing House B.V.</w:t>
            </w:r>
          </w:p>
        </w:tc>
        <w:tc>
          <w:tcPr>
            <w:tcW w:w="3261" w:type="dxa"/>
            <w:shd w:val="clear" w:color="auto" w:fill="auto"/>
          </w:tcPr>
          <w:p w14:paraId="789FDDD8"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245003TLNC4R9XFDX32</w:t>
            </w:r>
          </w:p>
        </w:tc>
        <w:tc>
          <w:tcPr>
            <w:tcW w:w="1307" w:type="dxa"/>
            <w:shd w:val="clear" w:color="auto" w:fill="auto"/>
          </w:tcPr>
          <w:p w14:paraId="280E8EB9"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NL</w:t>
            </w:r>
          </w:p>
        </w:tc>
      </w:tr>
      <w:tr w:rsidR="003B1768" w:rsidRPr="005B5271" w14:paraId="39342622" w14:textId="77777777" w:rsidTr="00806EC0">
        <w:trPr>
          <w:trHeight w:val="567"/>
        </w:trPr>
        <w:tc>
          <w:tcPr>
            <w:tcW w:w="4644" w:type="dxa"/>
            <w:shd w:val="clear" w:color="auto" w:fill="auto"/>
          </w:tcPr>
          <w:p w14:paraId="1EE23113"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Hong Kong Exchanges and Clearing</w:t>
            </w:r>
          </w:p>
        </w:tc>
        <w:tc>
          <w:tcPr>
            <w:tcW w:w="3261" w:type="dxa"/>
            <w:shd w:val="clear" w:color="auto" w:fill="auto"/>
          </w:tcPr>
          <w:p w14:paraId="6681623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CA1E0A7"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14:paraId="3E0924F2" w14:textId="77777777" w:rsidTr="00806EC0">
        <w:trPr>
          <w:trHeight w:val="567"/>
        </w:trPr>
        <w:tc>
          <w:tcPr>
            <w:tcW w:w="4644" w:type="dxa"/>
            <w:shd w:val="clear" w:color="auto" w:fill="auto"/>
          </w:tcPr>
          <w:p w14:paraId="20A7BA6C"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HKFE Clearing Corporation Limited</w:t>
            </w:r>
          </w:p>
        </w:tc>
        <w:tc>
          <w:tcPr>
            <w:tcW w:w="3261" w:type="dxa"/>
            <w:shd w:val="clear" w:color="auto" w:fill="auto"/>
          </w:tcPr>
          <w:p w14:paraId="5DA7936E"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213800WPJUJBAVXI5162</w:t>
            </w:r>
          </w:p>
        </w:tc>
        <w:tc>
          <w:tcPr>
            <w:tcW w:w="1307" w:type="dxa"/>
            <w:shd w:val="clear" w:color="auto" w:fill="auto"/>
          </w:tcPr>
          <w:p w14:paraId="00CFC6C5"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14:paraId="11E6165D" w14:textId="77777777" w:rsidTr="00806EC0">
        <w:trPr>
          <w:trHeight w:val="567"/>
        </w:trPr>
        <w:tc>
          <w:tcPr>
            <w:tcW w:w="4644" w:type="dxa"/>
            <w:shd w:val="clear" w:color="auto" w:fill="auto"/>
          </w:tcPr>
          <w:p w14:paraId="7FDB2649"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lastRenderedPageBreak/>
              <w:t>Hong Kong Securities Clearing Company Limited</w:t>
            </w:r>
          </w:p>
        </w:tc>
        <w:tc>
          <w:tcPr>
            <w:tcW w:w="3261" w:type="dxa"/>
            <w:shd w:val="clear" w:color="auto" w:fill="auto"/>
          </w:tcPr>
          <w:p w14:paraId="1558CA0A"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213800NM8ZN1F16ARD34</w:t>
            </w:r>
          </w:p>
        </w:tc>
        <w:tc>
          <w:tcPr>
            <w:tcW w:w="1307" w:type="dxa"/>
            <w:shd w:val="clear" w:color="auto" w:fill="auto"/>
          </w:tcPr>
          <w:p w14:paraId="0A4B9D81"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14:paraId="089AD574" w14:textId="77777777" w:rsidTr="00806EC0">
        <w:trPr>
          <w:trHeight w:val="567"/>
        </w:trPr>
        <w:tc>
          <w:tcPr>
            <w:tcW w:w="4644" w:type="dxa"/>
            <w:shd w:val="clear" w:color="auto" w:fill="auto"/>
          </w:tcPr>
          <w:p w14:paraId="42F49F9D"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ICBPI</w:t>
            </w:r>
          </w:p>
        </w:tc>
        <w:tc>
          <w:tcPr>
            <w:tcW w:w="3261" w:type="dxa"/>
            <w:shd w:val="clear" w:color="auto" w:fill="auto"/>
          </w:tcPr>
          <w:p w14:paraId="3D9C1BDB"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8E587E3"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14:paraId="3EEC3898" w14:textId="77777777" w:rsidTr="00806EC0">
        <w:trPr>
          <w:trHeight w:val="567"/>
        </w:trPr>
        <w:tc>
          <w:tcPr>
            <w:tcW w:w="4644" w:type="dxa"/>
            <w:shd w:val="clear" w:color="auto" w:fill="auto"/>
          </w:tcPr>
          <w:p w14:paraId="36FB6948"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Canada Inc.</w:t>
            </w:r>
          </w:p>
        </w:tc>
        <w:tc>
          <w:tcPr>
            <w:tcW w:w="3261" w:type="dxa"/>
            <w:shd w:val="clear" w:color="auto" w:fill="auto"/>
          </w:tcPr>
          <w:p w14:paraId="6602B417"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10C3B465"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14:paraId="62456E0D" w14:textId="77777777" w:rsidTr="00806EC0">
        <w:trPr>
          <w:trHeight w:val="567"/>
        </w:trPr>
        <w:tc>
          <w:tcPr>
            <w:tcW w:w="4644" w:type="dxa"/>
            <w:shd w:val="clear" w:color="auto" w:fill="auto"/>
          </w:tcPr>
          <w:p w14:paraId="0743F803"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Credit LLC</w:t>
            </w:r>
          </w:p>
        </w:tc>
        <w:tc>
          <w:tcPr>
            <w:tcW w:w="3261" w:type="dxa"/>
            <w:shd w:val="clear" w:color="auto" w:fill="auto"/>
          </w:tcPr>
          <w:p w14:paraId="558E47EE"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4E6A622E"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14:paraId="4003C7B7" w14:textId="77777777" w:rsidTr="00806EC0">
        <w:trPr>
          <w:trHeight w:val="567"/>
        </w:trPr>
        <w:tc>
          <w:tcPr>
            <w:tcW w:w="4644" w:type="dxa"/>
            <w:shd w:val="clear" w:color="auto" w:fill="auto"/>
          </w:tcPr>
          <w:p w14:paraId="1C9BE5C8"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Europe Ltd</w:t>
            </w:r>
          </w:p>
        </w:tc>
        <w:tc>
          <w:tcPr>
            <w:tcW w:w="3261" w:type="dxa"/>
            <w:shd w:val="clear" w:color="auto" w:fill="auto"/>
          </w:tcPr>
          <w:p w14:paraId="23CAE334"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97B088C"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14:paraId="6A890D26" w14:textId="77777777" w:rsidTr="00806EC0">
        <w:trPr>
          <w:trHeight w:val="567"/>
        </w:trPr>
        <w:tc>
          <w:tcPr>
            <w:tcW w:w="4644" w:type="dxa"/>
            <w:shd w:val="clear" w:color="auto" w:fill="auto"/>
          </w:tcPr>
          <w:p w14:paraId="6C117DB0"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Singapore</w:t>
            </w:r>
          </w:p>
        </w:tc>
        <w:tc>
          <w:tcPr>
            <w:tcW w:w="3261" w:type="dxa"/>
            <w:shd w:val="clear" w:color="auto" w:fill="auto"/>
          </w:tcPr>
          <w:p w14:paraId="760FAA57"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5206D0E7"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SG</w:t>
            </w:r>
          </w:p>
        </w:tc>
      </w:tr>
      <w:tr w:rsidR="003B1768" w:rsidRPr="005B5271" w14:paraId="22CF44A7" w14:textId="77777777" w:rsidTr="00806EC0">
        <w:trPr>
          <w:trHeight w:val="567"/>
        </w:trPr>
        <w:tc>
          <w:tcPr>
            <w:tcW w:w="4644" w:type="dxa"/>
            <w:shd w:val="clear" w:color="auto" w:fill="auto"/>
          </w:tcPr>
          <w:p w14:paraId="26CA65D7"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U.S. Inc.</w:t>
            </w:r>
          </w:p>
        </w:tc>
        <w:tc>
          <w:tcPr>
            <w:tcW w:w="3261" w:type="dxa"/>
            <w:shd w:val="clear" w:color="auto" w:fill="auto"/>
          </w:tcPr>
          <w:p w14:paraId="3DB1A653"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34680FD" w14:textId="77777777"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14:paraId="1756F6E1" w14:textId="77777777" w:rsidTr="00806EC0">
        <w:trPr>
          <w:trHeight w:val="567"/>
        </w:trPr>
        <w:tc>
          <w:tcPr>
            <w:tcW w:w="4644" w:type="dxa"/>
            <w:shd w:val="clear" w:color="auto" w:fill="auto"/>
          </w:tcPr>
          <w:p w14:paraId="04896CE0" w14:textId="77777777"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Indian Clearing Corporation limited</w:t>
            </w:r>
          </w:p>
        </w:tc>
        <w:tc>
          <w:tcPr>
            <w:tcW w:w="3261" w:type="dxa"/>
            <w:shd w:val="clear" w:color="auto" w:fill="auto"/>
          </w:tcPr>
          <w:p w14:paraId="27227550"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FFB50C8" w14:textId="77777777"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IN</w:t>
            </w:r>
          </w:p>
        </w:tc>
      </w:tr>
      <w:tr w:rsidR="003B1768" w:rsidRPr="005B5271" w14:paraId="28FB35C5" w14:textId="77777777" w:rsidTr="00806EC0">
        <w:trPr>
          <w:trHeight w:val="567"/>
        </w:trPr>
        <w:tc>
          <w:tcPr>
            <w:tcW w:w="4644" w:type="dxa"/>
            <w:shd w:val="clear" w:color="auto" w:fill="auto"/>
          </w:tcPr>
          <w:p w14:paraId="7E49D0B4" w14:textId="77777777"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Italian Stock Exchange</w:t>
            </w:r>
          </w:p>
        </w:tc>
        <w:tc>
          <w:tcPr>
            <w:tcW w:w="3261" w:type="dxa"/>
            <w:shd w:val="clear" w:color="auto" w:fill="auto"/>
          </w:tcPr>
          <w:p w14:paraId="70D887B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DDB8146" w14:textId="77777777"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14:paraId="4F229169" w14:textId="77777777" w:rsidTr="00806EC0">
        <w:trPr>
          <w:trHeight w:val="567"/>
        </w:trPr>
        <w:tc>
          <w:tcPr>
            <w:tcW w:w="4644" w:type="dxa"/>
            <w:shd w:val="clear" w:color="auto" w:fill="auto"/>
          </w:tcPr>
          <w:p w14:paraId="484A8A27"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Japan Commodity Clearing House Co.</w:t>
            </w:r>
          </w:p>
        </w:tc>
        <w:tc>
          <w:tcPr>
            <w:tcW w:w="3261" w:type="dxa"/>
            <w:shd w:val="clear" w:color="auto" w:fill="auto"/>
          </w:tcPr>
          <w:p w14:paraId="6EA2CDDC"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76C06D00"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JP</w:t>
            </w:r>
          </w:p>
        </w:tc>
      </w:tr>
      <w:tr w:rsidR="003B1768" w:rsidRPr="005B5271" w14:paraId="19B1DFB9" w14:textId="77777777" w:rsidTr="00806EC0">
        <w:trPr>
          <w:trHeight w:val="567"/>
        </w:trPr>
        <w:tc>
          <w:tcPr>
            <w:tcW w:w="4644" w:type="dxa"/>
            <w:shd w:val="clear" w:color="auto" w:fill="auto"/>
          </w:tcPr>
          <w:p w14:paraId="7C313F15"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Japan Securities Clearing Corporation</w:t>
            </w:r>
          </w:p>
        </w:tc>
        <w:tc>
          <w:tcPr>
            <w:tcW w:w="3261" w:type="dxa"/>
            <w:shd w:val="clear" w:color="auto" w:fill="auto"/>
          </w:tcPr>
          <w:p w14:paraId="084E15F3"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549300JHM7D8P3TS4S86</w:t>
            </w:r>
          </w:p>
        </w:tc>
        <w:tc>
          <w:tcPr>
            <w:tcW w:w="1307" w:type="dxa"/>
            <w:shd w:val="clear" w:color="auto" w:fill="auto"/>
          </w:tcPr>
          <w:p w14:paraId="36ACAE92"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JP</w:t>
            </w:r>
          </w:p>
        </w:tc>
      </w:tr>
      <w:tr w:rsidR="003B1768" w:rsidRPr="005B5271" w14:paraId="6943D5E3" w14:textId="77777777" w:rsidTr="00806EC0">
        <w:trPr>
          <w:trHeight w:val="567"/>
        </w:trPr>
        <w:tc>
          <w:tcPr>
            <w:tcW w:w="4644" w:type="dxa"/>
            <w:shd w:val="clear" w:color="auto" w:fill="auto"/>
          </w:tcPr>
          <w:p w14:paraId="57E07706" w14:textId="77777777" w:rsidR="003B1768" w:rsidRPr="005B5271" w:rsidRDefault="00DB18D6" w:rsidP="00DB18D6">
            <w:pPr>
              <w:spacing w:before="360" w:after="240"/>
              <w:rPr>
                <w:rStyle w:val="CommentReference"/>
                <w:snapToGrid/>
                <w:sz w:val="22"/>
                <w:szCs w:val="22"/>
                <w:lang w:eastAsia="en-US"/>
              </w:rPr>
            </w:pPr>
            <w:r w:rsidRPr="00DB18D6">
              <w:rPr>
                <w:rStyle w:val="CommentReference"/>
                <w:snapToGrid/>
                <w:sz w:val="22"/>
                <w:szCs w:val="22"/>
                <w:lang w:eastAsia="en-US"/>
              </w:rPr>
              <w:t>JSE Clear (Pty) Ltd (previously the Safex Clearing</w:t>
            </w:r>
            <w:r>
              <w:rPr>
                <w:rStyle w:val="CommentReference"/>
                <w:snapToGrid/>
                <w:sz w:val="22"/>
                <w:szCs w:val="22"/>
                <w:lang w:eastAsia="en-US"/>
              </w:rPr>
              <w:t xml:space="preserve"> </w:t>
            </w:r>
            <w:r w:rsidRPr="00DB18D6">
              <w:rPr>
                <w:rStyle w:val="CommentReference"/>
                <w:snapToGrid/>
                <w:sz w:val="22"/>
                <w:szCs w:val="22"/>
                <w:lang w:eastAsia="en-US"/>
              </w:rPr>
              <w:t>Company (Pty) Ltd)</w:t>
            </w:r>
          </w:p>
        </w:tc>
        <w:tc>
          <w:tcPr>
            <w:tcW w:w="3261" w:type="dxa"/>
            <w:shd w:val="clear" w:color="auto" w:fill="auto"/>
          </w:tcPr>
          <w:p w14:paraId="59431192"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7D05F98F"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ZA</w:t>
            </w:r>
          </w:p>
        </w:tc>
      </w:tr>
      <w:tr w:rsidR="003B1768" w:rsidRPr="005B5271" w14:paraId="72E92AA1" w14:textId="77777777" w:rsidTr="00806EC0">
        <w:trPr>
          <w:trHeight w:val="567"/>
        </w:trPr>
        <w:tc>
          <w:tcPr>
            <w:tcW w:w="4644" w:type="dxa"/>
            <w:shd w:val="clear" w:color="auto" w:fill="auto"/>
          </w:tcPr>
          <w:p w14:paraId="6A7157E1"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KDPW_CCP</w:t>
            </w:r>
          </w:p>
        </w:tc>
        <w:tc>
          <w:tcPr>
            <w:tcW w:w="3261" w:type="dxa"/>
            <w:shd w:val="clear" w:color="auto" w:fill="auto"/>
          </w:tcPr>
          <w:p w14:paraId="19453A97"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2594000K576D5CQXI987</w:t>
            </w:r>
          </w:p>
        </w:tc>
        <w:tc>
          <w:tcPr>
            <w:tcW w:w="1307" w:type="dxa"/>
            <w:shd w:val="clear" w:color="auto" w:fill="auto"/>
          </w:tcPr>
          <w:p w14:paraId="0FE58342"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PL</w:t>
            </w:r>
          </w:p>
        </w:tc>
      </w:tr>
      <w:tr w:rsidR="003B1768" w:rsidRPr="005B5271" w14:paraId="47224958" w14:textId="77777777" w:rsidTr="00806EC0">
        <w:trPr>
          <w:trHeight w:val="567"/>
        </w:trPr>
        <w:tc>
          <w:tcPr>
            <w:tcW w:w="4644" w:type="dxa"/>
            <w:shd w:val="clear" w:color="auto" w:fill="auto"/>
          </w:tcPr>
          <w:p w14:paraId="76155068"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Keler CCP</w:t>
            </w:r>
          </w:p>
        </w:tc>
        <w:tc>
          <w:tcPr>
            <w:tcW w:w="3261" w:type="dxa"/>
            <w:shd w:val="clear" w:color="auto" w:fill="auto"/>
          </w:tcPr>
          <w:p w14:paraId="2ABA919B"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529900MHIW6Z8OTOAH28</w:t>
            </w:r>
          </w:p>
        </w:tc>
        <w:tc>
          <w:tcPr>
            <w:tcW w:w="1307" w:type="dxa"/>
            <w:shd w:val="clear" w:color="auto" w:fill="auto"/>
          </w:tcPr>
          <w:p w14:paraId="5270A978"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HU</w:t>
            </w:r>
          </w:p>
        </w:tc>
      </w:tr>
      <w:tr w:rsidR="003B1768" w:rsidRPr="005B5271" w14:paraId="0D3016D4" w14:textId="77777777" w:rsidTr="00806EC0">
        <w:trPr>
          <w:trHeight w:val="567"/>
        </w:trPr>
        <w:tc>
          <w:tcPr>
            <w:tcW w:w="4644" w:type="dxa"/>
            <w:shd w:val="clear" w:color="auto" w:fill="auto"/>
          </w:tcPr>
          <w:p w14:paraId="09648C44"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Korea Exchange Inc.</w:t>
            </w:r>
          </w:p>
        </w:tc>
        <w:tc>
          <w:tcPr>
            <w:tcW w:w="3261" w:type="dxa"/>
            <w:shd w:val="clear" w:color="auto" w:fill="auto"/>
          </w:tcPr>
          <w:p w14:paraId="7165B144"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54E701E"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KR</w:t>
            </w:r>
          </w:p>
        </w:tc>
      </w:tr>
      <w:tr w:rsidR="003B1768" w:rsidRPr="005B5271" w14:paraId="444DA55F" w14:textId="77777777" w:rsidTr="00806EC0">
        <w:trPr>
          <w:trHeight w:val="567"/>
        </w:trPr>
        <w:tc>
          <w:tcPr>
            <w:tcW w:w="4644" w:type="dxa"/>
            <w:shd w:val="clear" w:color="auto" w:fill="auto"/>
          </w:tcPr>
          <w:p w14:paraId="08E87406"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lastRenderedPageBreak/>
              <w:t>Korea Securities Depository</w:t>
            </w:r>
          </w:p>
        </w:tc>
        <w:tc>
          <w:tcPr>
            <w:tcW w:w="3261" w:type="dxa"/>
            <w:shd w:val="clear" w:color="auto" w:fill="auto"/>
          </w:tcPr>
          <w:p w14:paraId="58B7B5B6"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1AC2F56A" w14:textId="77777777"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KR</w:t>
            </w:r>
          </w:p>
        </w:tc>
      </w:tr>
      <w:tr w:rsidR="003B1768" w:rsidRPr="005B5271" w14:paraId="11905D27" w14:textId="77777777" w:rsidTr="00806EC0">
        <w:trPr>
          <w:trHeight w:val="567"/>
        </w:trPr>
        <w:tc>
          <w:tcPr>
            <w:tcW w:w="4644" w:type="dxa"/>
            <w:shd w:val="clear" w:color="auto" w:fill="auto"/>
          </w:tcPr>
          <w:p w14:paraId="71CDFA63"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LLC</w:t>
            </w:r>
          </w:p>
        </w:tc>
        <w:tc>
          <w:tcPr>
            <w:tcW w:w="3261" w:type="dxa"/>
            <w:shd w:val="clear" w:color="auto" w:fill="auto"/>
          </w:tcPr>
          <w:p w14:paraId="060B8FBF"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4963588" w14:textId="77777777"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14:paraId="69E9F512" w14:textId="77777777" w:rsidTr="00806EC0">
        <w:trPr>
          <w:trHeight w:val="567"/>
        </w:trPr>
        <w:tc>
          <w:tcPr>
            <w:tcW w:w="4644" w:type="dxa"/>
            <w:shd w:val="clear" w:color="auto" w:fill="auto"/>
          </w:tcPr>
          <w:p w14:paraId="6A52643A"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Ltd</w:t>
            </w:r>
          </w:p>
        </w:tc>
        <w:tc>
          <w:tcPr>
            <w:tcW w:w="3261" w:type="dxa"/>
            <w:shd w:val="clear" w:color="auto" w:fill="auto"/>
          </w:tcPr>
          <w:p w14:paraId="75DBF4B6"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F226TOH6YD6XJB17KS62</w:t>
            </w:r>
          </w:p>
        </w:tc>
        <w:tc>
          <w:tcPr>
            <w:tcW w:w="1307" w:type="dxa"/>
            <w:shd w:val="clear" w:color="auto" w:fill="auto"/>
          </w:tcPr>
          <w:p w14:paraId="1247DCB0"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GB</w:t>
            </w:r>
          </w:p>
        </w:tc>
      </w:tr>
      <w:tr w:rsidR="003B1768" w:rsidRPr="005B5271" w14:paraId="3DAD6177" w14:textId="77777777" w:rsidTr="00806EC0">
        <w:trPr>
          <w:trHeight w:val="567"/>
        </w:trPr>
        <w:tc>
          <w:tcPr>
            <w:tcW w:w="4644" w:type="dxa"/>
            <w:shd w:val="clear" w:color="auto" w:fill="auto"/>
          </w:tcPr>
          <w:p w14:paraId="4F6BA907"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SA</w:t>
            </w:r>
          </w:p>
        </w:tc>
        <w:tc>
          <w:tcPr>
            <w:tcW w:w="3261" w:type="dxa"/>
            <w:shd w:val="clear" w:color="auto" w:fill="auto"/>
          </w:tcPr>
          <w:p w14:paraId="70404430"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R1IO4YJ0O79SMWVCHB58</w:t>
            </w:r>
          </w:p>
        </w:tc>
        <w:tc>
          <w:tcPr>
            <w:tcW w:w="1307" w:type="dxa"/>
            <w:shd w:val="clear" w:color="auto" w:fill="auto"/>
          </w:tcPr>
          <w:p w14:paraId="6C84CCB0" w14:textId="77777777"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FR</w:t>
            </w:r>
          </w:p>
        </w:tc>
      </w:tr>
      <w:tr w:rsidR="003B1768" w:rsidRPr="005B5271" w14:paraId="0A09F4EF" w14:textId="77777777" w:rsidTr="00806EC0">
        <w:trPr>
          <w:trHeight w:val="567"/>
        </w:trPr>
        <w:tc>
          <w:tcPr>
            <w:tcW w:w="4644" w:type="dxa"/>
            <w:shd w:val="clear" w:color="auto" w:fill="auto"/>
          </w:tcPr>
          <w:p w14:paraId="3F80F0DE"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LME Clear Ltd</w:t>
            </w:r>
          </w:p>
        </w:tc>
        <w:tc>
          <w:tcPr>
            <w:tcW w:w="3261" w:type="dxa"/>
            <w:shd w:val="clear" w:color="auto" w:fill="auto"/>
          </w:tcPr>
          <w:p w14:paraId="50A537EF"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213800L8AQD59D3JRW81</w:t>
            </w:r>
          </w:p>
        </w:tc>
        <w:tc>
          <w:tcPr>
            <w:tcW w:w="1307" w:type="dxa"/>
            <w:shd w:val="clear" w:color="auto" w:fill="auto"/>
          </w:tcPr>
          <w:p w14:paraId="6D5FAA02" w14:textId="77777777"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GB</w:t>
            </w:r>
          </w:p>
        </w:tc>
      </w:tr>
      <w:tr w:rsidR="003B1768" w:rsidRPr="005B5271" w14:paraId="0748540A" w14:textId="77777777" w:rsidTr="00806EC0">
        <w:trPr>
          <w:trHeight w:val="567"/>
        </w:trPr>
        <w:tc>
          <w:tcPr>
            <w:tcW w:w="4644" w:type="dxa"/>
            <w:shd w:val="clear" w:color="auto" w:fill="auto"/>
          </w:tcPr>
          <w:p w14:paraId="3B061F02"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MAOF Clearing House Limited</w:t>
            </w:r>
          </w:p>
        </w:tc>
        <w:tc>
          <w:tcPr>
            <w:tcW w:w="3261" w:type="dxa"/>
            <w:shd w:val="clear" w:color="auto" w:fill="auto"/>
          </w:tcPr>
          <w:p w14:paraId="74E073AE"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1C2BFE3"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IL</w:t>
            </w:r>
          </w:p>
        </w:tc>
      </w:tr>
      <w:tr w:rsidR="003B1768" w:rsidRPr="005B5271" w14:paraId="3E6D337F" w14:textId="77777777" w:rsidTr="00806EC0">
        <w:trPr>
          <w:trHeight w:val="567"/>
        </w:trPr>
        <w:tc>
          <w:tcPr>
            <w:tcW w:w="4644" w:type="dxa"/>
            <w:shd w:val="clear" w:color="auto" w:fill="auto"/>
          </w:tcPr>
          <w:p w14:paraId="7CCCBEAC"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MCX-SX Clearing Corporation Ltd.</w:t>
            </w:r>
          </w:p>
        </w:tc>
        <w:tc>
          <w:tcPr>
            <w:tcW w:w="3261" w:type="dxa"/>
            <w:shd w:val="clear" w:color="auto" w:fill="auto"/>
          </w:tcPr>
          <w:p w14:paraId="55BBD1C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16BC4E4"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14:paraId="32D252D8" w14:textId="77777777" w:rsidTr="00806EC0">
        <w:trPr>
          <w:trHeight w:val="567"/>
        </w:trPr>
        <w:tc>
          <w:tcPr>
            <w:tcW w:w="4644" w:type="dxa"/>
            <w:shd w:val="clear" w:color="auto" w:fill="auto"/>
          </w:tcPr>
          <w:p w14:paraId="7E5D72B7"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Minneapolis Grain Exchange Inc.</w:t>
            </w:r>
          </w:p>
        </w:tc>
        <w:tc>
          <w:tcPr>
            <w:tcW w:w="3261" w:type="dxa"/>
            <w:shd w:val="clear" w:color="auto" w:fill="auto"/>
          </w:tcPr>
          <w:p w14:paraId="6206BFAE"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7F450F3"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14:paraId="2FF4BFEB" w14:textId="77777777" w:rsidTr="00806EC0">
        <w:trPr>
          <w:trHeight w:val="567"/>
        </w:trPr>
        <w:tc>
          <w:tcPr>
            <w:tcW w:w="4644" w:type="dxa"/>
            <w:shd w:val="clear" w:color="auto" w:fill="auto"/>
          </w:tcPr>
          <w:p w14:paraId="49C0F6C5"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NASDAQ Dubai Limited</w:t>
            </w:r>
          </w:p>
        </w:tc>
        <w:tc>
          <w:tcPr>
            <w:tcW w:w="3261" w:type="dxa"/>
            <w:shd w:val="clear" w:color="auto" w:fill="auto"/>
          </w:tcPr>
          <w:p w14:paraId="0AC7B64A"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AA8FCBE"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AE</w:t>
            </w:r>
          </w:p>
        </w:tc>
      </w:tr>
      <w:tr w:rsidR="003B1768" w:rsidRPr="005B5271" w14:paraId="1D8DB8CE" w14:textId="77777777" w:rsidTr="00806EC0">
        <w:trPr>
          <w:trHeight w:val="567"/>
        </w:trPr>
        <w:tc>
          <w:tcPr>
            <w:tcW w:w="4644" w:type="dxa"/>
            <w:shd w:val="clear" w:color="auto" w:fill="auto"/>
          </w:tcPr>
          <w:p w14:paraId="5B736B5E"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Nasdaq OMX Clearing AB</w:t>
            </w:r>
          </w:p>
        </w:tc>
        <w:tc>
          <w:tcPr>
            <w:tcW w:w="3261" w:type="dxa"/>
            <w:shd w:val="clear" w:color="auto" w:fill="auto"/>
          </w:tcPr>
          <w:p w14:paraId="75EADC8C"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54930002A8LR1AAUCU78</w:t>
            </w:r>
          </w:p>
        </w:tc>
        <w:tc>
          <w:tcPr>
            <w:tcW w:w="1307" w:type="dxa"/>
            <w:shd w:val="clear" w:color="auto" w:fill="auto"/>
          </w:tcPr>
          <w:p w14:paraId="4E1BDA2C"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SE</w:t>
            </w:r>
          </w:p>
        </w:tc>
      </w:tr>
      <w:tr w:rsidR="003B1768" w:rsidRPr="005B5271" w14:paraId="29AC8248" w14:textId="77777777" w:rsidTr="00806EC0">
        <w:trPr>
          <w:trHeight w:val="567"/>
        </w:trPr>
        <w:tc>
          <w:tcPr>
            <w:tcW w:w="4644" w:type="dxa"/>
            <w:shd w:val="clear" w:color="auto" w:fill="auto"/>
          </w:tcPr>
          <w:p w14:paraId="60F7831C"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National Securities Clearing Corporation</w:t>
            </w:r>
          </w:p>
        </w:tc>
        <w:tc>
          <w:tcPr>
            <w:tcW w:w="3261" w:type="dxa"/>
            <w:shd w:val="clear" w:color="auto" w:fill="auto"/>
          </w:tcPr>
          <w:p w14:paraId="126DC5EE"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184EFF80"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14:paraId="2D4F2B85" w14:textId="77777777" w:rsidTr="00806EC0">
        <w:trPr>
          <w:trHeight w:val="567"/>
        </w:trPr>
        <w:tc>
          <w:tcPr>
            <w:tcW w:w="4644" w:type="dxa"/>
            <w:shd w:val="clear" w:color="auto" w:fill="auto"/>
          </w:tcPr>
          <w:p w14:paraId="5A0EC126"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National Securities Clearing Corporation Limited</w:t>
            </w:r>
          </w:p>
        </w:tc>
        <w:tc>
          <w:tcPr>
            <w:tcW w:w="3261" w:type="dxa"/>
            <w:shd w:val="clear" w:color="auto" w:fill="auto"/>
          </w:tcPr>
          <w:p w14:paraId="0314A31A"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49C1DD2F"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IN</w:t>
            </w:r>
          </w:p>
        </w:tc>
      </w:tr>
      <w:tr w:rsidR="003B1768" w:rsidRPr="005B5271" w14:paraId="3C1B3341" w14:textId="77777777" w:rsidTr="00806EC0">
        <w:trPr>
          <w:trHeight w:val="567"/>
        </w:trPr>
        <w:tc>
          <w:tcPr>
            <w:tcW w:w="4644" w:type="dxa"/>
            <w:shd w:val="clear" w:color="auto" w:fill="auto"/>
          </w:tcPr>
          <w:p w14:paraId="514556D2"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Natural Gas Exchange Inc.</w:t>
            </w:r>
          </w:p>
        </w:tc>
        <w:tc>
          <w:tcPr>
            <w:tcW w:w="3261" w:type="dxa"/>
            <w:shd w:val="clear" w:color="auto" w:fill="auto"/>
          </w:tcPr>
          <w:p w14:paraId="6C209765"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95CE71E"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CA</w:t>
            </w:r>
          </w:p>
        </w:tc>
      </w:tr>
      <w:tr w:rsidR="003B1768" w:rsidRPr="005B5271" w14:paraId="06C171B2" w14:textId="77777777" w:rsidTr="00806EC0">
        <w:trPr>
          <w:trHeight w:val="567"/>
        </w:trPr>
        <w:tc>
          <w:tcPr>
            <w:tcW w:w="4644" w:type="dxa"/>
            <w:shd w:val="clear" w:color="auto" w:fill="auto"/>
          </w:tcPr>
          <w:p w14:paraId="7A8A17C8"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New Zealand Clearing and Depository Ltd.</w:t>
            </w:r>
          </w:p>
        </w:tc>
        <w:tc>
          <w:tcPr>
            <w:tcW w:w="3261" w:type="dxa"/>
            <w:shd w:val="clear" w:color="auto" w:fill="auto"/>
          </w:tcPr>
          <w:p w14:paraId="1EBF4553"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AD349C2"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NZ</w:t>
            </w:r>
          </w:p>
        </w:tc>
      </w:tr>
      <w:tr w:rsidR="003B1768" w:rsidRPr="005B5271" w14:paraId="049D9DAD" w14:textId="77777777" w:rsidTr="00806EC0">
        <w:trPr>
          <w:trHeight w:val="567"/>
        </w:trPr>
        <w:tc>
          <w:tcPr>
            <w:tcW w:w="4644" w:type="dxa"/>
            <w:shd w:val="clear" w:color="auto" w:fill="auto"/>
          </w:tcPr>
          <w:p w14:paraId="46336173" w14:textId="77777777"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NSE India</w:t>
            </w:r>
          </w:p>
        </w:tc>
        <w:tc>
          <w:tcPr>
            <w:tcW w:w="3261" w:type="dxa"/>
            <w:shd w:val="clear" w:color="auto" w:fill="auto"/>
          </w:tcPr>
          <w:p w14:paraId="3C2E63ED"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5ABC4B32" w14:textId="77777777"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14:paraId="1348DD5C" w14:textId="77777777" w:rsidTr="00806EC0">
        <w:trPr>
          <w:trHeight w:val="567"/>
        </w:trPr>
        <w:tc>
          <w:tcPr>
            <w:tcW w:w="4644" w:type="dxa"/>
            <w:shd w:val="clear" w:color="auto" w:fill="auto"/>
          </w:tcPr>
          <w:p w14:paraId="2DB6A787"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lastRenderedPageBreak/>
              <w:t>OMIClear - C.C., S.A.</w:t>
            </w:r>
          </w:p>
        </w:tc>
        <w:tc>
          <w:tcPr>
            <w:tcW w:w="3261" w:type="dxa"/>
            <w:shd w:val="clear" w:color="auto" w:fill="auto"/>
          </w:tcPr>
          <w:p w14:paraId="5345A9ED"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5299001PSXO7X2JX4W10</w:t>
            </w:r>
          </w:p>
        </w:tc>
        <w:tc>
          <w:tcPr>
            <w:tcW w:w="1307" w:type="dxa"/>
            <w:shd w:val="clear" w:color="auto" w:fill="auto"/>
          </w:tcPr>
          <w:p w14:paraId="3294D8AB" w14:textId="77777777"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PT</w:t>
            </w:r>
          </w:p>
        </w:tc>
      </w:tr>
      <w:tr w:rsidR="003B1768" w:rsidRPr="005B5271" w14:paraId="633A37CD" w14:textId="77777777" w:rsidTr="00806EC0">
        <w:trPr>
          <w:trHeight w:val="567"/>
        </w:trPr>
        <w:tc>
          <w:tcPr>
            <w:tcW w:w="4644" w:type="dxa"/>
            <w:shd w:val="clear" w:color="auto" w:fill="auto"/>
          </w:tcPr>
          <w:p w14:paraId="6D60BF9A"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Options Clearing Corp</w:t>
            </w:r>
          </w:p>
        </w:tc>
        <w:tc>
          <w:tcPr>
            <w:tcW w:w="3261" w:type="dxa"/>
            <w:shd w:val="clear" w:color="auto" w:fill="auto"/>
          </w:tcPr>
          <w:p w14:paraId="33A36517"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1E69FDCC" w14:textId="77777777"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14:paraId="689A2B8B" w14:textId="77777777" w:rsidTr="00806EC0">
        <w:trPr>
          <w:trHeight w:val="567"/>
        </w:trPr>
        <w:tc>
          <w:tcPr>
            <w:tcW w:w="4644" w:type="dxa"/>
            <w:shd w:val="clear" w:color="auto" w:fill="auto"/>
          </w:tcPr>
          <w:p w14:paraId="4B7B9242"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Osaka Securities Exchange</w:t>
            </w:r>
          </w:p>
        </w:tc>
        <w:tc>
          <w:tcPr>
            <w:tcW w:w="3261" w:type="dxa"/>
            <w:shd w:val="clear" w:color="auto" w:fill="auto"/>
          </w:tcPr>
          <w:p w14:paraId="5EA6BF33"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E01DD78" w14:textId="77777777"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JP</w:t>
            </w:r>
          </w:p>
        </w:tc>
      </w:tr>
      <w:tr w:rsidR="003B1768" w:rsidRPr="005B5271" w14:paraId="7DB909E4" w14:textId="77777777" w:rsidTr="00806EC0">
        <w:trPr>
          <w:trHeight w:val="567"/>
        </w:trPr>
        <w:tc>
          <w:tcPr>
            <w:tcW w:w="4644" w:type="dxa"/>
            <w:shd w:val="clear" w:color="auto" w:fill="auto"/>
          </w:tcPr>
          <w:p w14:paraId="7D85635C"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OTC Clearing Hong Kong Limited</w:t>
            </w:r>
          </w:p>
        </w:tc>
        <w:tc>
          <w:tcPr>
            <w:tcW w:w="3261" w:type="dxa"/>
            <w:shd w:val="clear" w:color="auto" w:fill="auto"/>
          </w:tcPr>
          <w:p w14:paraId="0141C7E5"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213800CKBBZUAHHARH83</w:t>
            </w:r>
          </w:p>
        </w:tc>
        <w:tc>
          <w:tcPr>
            <w:tcW w:w="1307" w:type="dxa"/>
            <w:shd w:val="clear" w:color="auto" w:fill="auto"/>
          </w:tcPr>
          <w:p w14:paraId="539E5F40" w14:textId="77777777"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HK</w:t>
            </w:r>
          </w:p>
        </w:tc>
      </w:tr>
      <w:tr w:rsidR="003B1768" w:rsidRPr="005B5271" w14:paraId="42E669A8" w14:textId="77777777" w:rsidTr="00806EC0">
        <w:trPr>
          <w:trHeight w:val="567"/>
        </w:trPr>
        <w:tc>
          <w:tcPr>
            <w:tcW w:w="4644" w:type="dxa"/>
            <w:shd w:val="clear" w:color="auto" w:fill="auto"/>
          </w:tcPr>
          <w:p w14:paraId="3EBD6DDC"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Singapore Exchange Derivatives Clearing</w:t>
            </w:r>
          </w:p>
        </w:tc>
        <w:tc>
          <w:tcPr>
            <w:tcW w:w="3261" w:type="dxa"/>
            <w:shd w:val="clear" w:color="auto" w:fill="auto"/>
          </w:tcPr>
          <w:p w14:paraId="042C587B" w14:textId="77777777"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549300ZLWT3FK3F0FW61</w:t>
            </w:r>
          </w:p>
        </w:tc>
        <w:tc>
          <w:tcPr>
            <w:tcW w:w="1307" w:type="dxa"/>
            <w:shd w:val="clear" w:color="auto" w:fill="auto"/>
          </w:tcPr>
          <w:p w14:paraId="344B2C11" w14:textId="77777777"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SG</w:t>
            </w:r>
          </w:p>
        </w:tc>
      </w:tr>
      <w:tr w:rsidR="003B1768" w:rsidRPr="005B5271" w14:paraId="366FBF9A" w14:textId="77777777" w:rsidTr="00806EC0">
        <w:trPr>
          <w:trHeight w:val="567"/>
        </w:trPr>
        <w:tc>
          <w:tcPr>
            <w:tcW w:w="4644" w:type="dxa"/>
            <w:shd w:val="clear" w:color="auto" w:fill="auto"/>
          </w:tcPr>
          <w:p w14:paraId="1C7037F0"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SIX x-clear Ltd.</w:t>
            </w:r>
          </w:p>
        </w:tc>
        <w:tc>
          <w:tcPr>
            <w:tcW w:w="3261" w:type="dxa"/>
            <w:shd w:val="clear" w:color="auto" w:fill="auto"/>
          </w:tcPr>
          <w:p w14:paraId="181EA6DD"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AF43A5C"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CH</w:t>
            </w:r>
          </w:p>
        </w:tc>
      </w:tr>
      <w:tr w:rsidR="003B1768" w:rsidRPr="005B5271" w14:paraId="2B55A886" w14:textId="77777777" w:rsidTr="00806EC0">
        <w:trPr>
          <w:trHeight w:val="567"/>
        </w:trPr>
        <w:tc>
          <w:tcPr>
            <w:tcW w:w="4644" w:type="dxa"/>
            <w:shd w:val="clear" w:color="auto" w:fill="auto"/>
          </w:tcPr>
          <w:p w14:paraId="78164B3D"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Taiwan Futures Exchange Corporation</w:t>
            </w:r>
          </w:p>
        </w:tc>
        <w:tc>
          <w:tcPr>
            <w:tcW w:w="3261" w:type="dxa"/>
            <w:shd w:val="clear" w:color="auto" w:fill="auto"/>
          </w:tcPr>
          <w:p w14:paraId="0A514A44"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6B9AC3C7"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TW</w:t>
            </w:r>
          </w:p>
        </w:tc>
      </w:tr>
      <w:tr w:rsidR="003B1768" w:rsidRPr="005B5271" w14:paraId="00437912" w14:textId="77777777" w:rsidTr="00806EC0">
        <w:trPr>
          <w:trHeight w:val="567"/>
        </w:trPr>
        <w:tc>
          <w:tcPr>
            <w:tcW w:w="4644" w:type="dxa"/>
            <w:shd w:val="clear" w:color="auto" w:fill="auto"/>
          </w:tcPr>
          <w:p w14:paraId="102EE0A5"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Tel-Aviv Stock Exchange Clearing House Limited</w:t>
            </w:r>
          </w:p>
        </w:tc>
        <w:tc>
          <w:tcPr>
            <w:tcW w:w="3261" w:type="dxa"/>
            <w:shd w:val="clear" w:color="auto" w:fill="auto"/>
          </w:tcPr>
          <w:p w14:paraId="716CC3C0"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749E8439"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IL</w:t>
            </w:r>
          </w:p>
        </w:tc>
      </w:tr>
      <w:tr w:rsidR="003B1768" w:rsidRPr="005B5271" w14:paraId="29914284" w14:textId="77777777" w:rsidTr="00806EC0">
        <w:trPr>
          <w:trHeight w:val="567"/>
        </w:trPr>
        <w:tc>
          <w:tcPr>
            <w:tcW w:w="4644" w:type="dxa"/>
            <w:shd w:val="clear" w:color="auto" w:fill="auto"/>
          </w:tcPr>
          <w:p w14:paraId="37884C7B"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Central Depository (Pte) Limited</w:t>
            </w:r>
          </w:p>
        </w:tc>
        <w:tc>
          <w:tcPr>
            <w:tcW w:w="3261" w:type="dxa"/>
            <w:shd w:val="clear" w:color="auto" w:fill="auto"/>
          </w:tcPr>
          <w:p w14:paraId="02EAD33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05B5C69E"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SG</w:t>
            </w:r>
          </w:p>
        </w:tc>
      </w:tr>
      <w:tr w:rsidR="003B1768" w:rsidRPr="005B5271" w14:paraId="3EE90537" w14:textId="77777777" w:rsidTr="00806EC0">
        <w:trPr>
          <w:trHeight w:val="567"/>
        </w:trPr>
        <w:tc>
          <w:tcPr>
            <w:tcW w:w="4644" w:type="dxa"/>
            <w:shd w:val="clear" w:color="auto" w:fill="auto"/>
          </w:tcPr>
          <w:p w14:paraId="44B18561"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Clearing Corporation of India Ltd.</w:t>
            </w:r>
          </w:p>
        </w:tc>
        <w:tc>
          <w:tcPr>
            <w:tcW w:w="3261" w:type="dxa"/>
            <w:shd w:val="clear" w:color="auto" w:fill="auto"/>
          </w:tcPr>
          <w:p w14:paraId="6956B71C"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3EBB9FAA"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14:paraId="3A942300" w14:textId="77777777" w:rsidTr="00806EC0">
        <w:trPr>
          <w:trHeight w:val="567"/>
        </w:trPr>
        <w:tc>
          <w:tcPr>
            <w:tcW w:w="4644" w:type="dxa"/>
            <w:shd w:val="clear" w:color="auto" w:fill="auto"/>
          </w:tcPr>
          <w:p w14:paraId="0C79DB43"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Options Clearing Corporation</w:t>
            </w:r>
          </w:p>
        </w:tc>
        <w:tc>
          <w:tcPr>
            <w:tcW w:w="3261" w:type="dxa"/>
            <w:shd w:val="clear" w:color="auto" w:fill="auto"/>
          </w:tcPr>
          <w:p w14:paraId="39DD495F"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7954858B"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14:paraId="7B0021C0" w14:textId="77777777" w:rsidTr="00806EC0">
        <w:trPr>
          <w:trHeight w:val="567"/>
        </w:trPr>
        <w:tc>
          <w:tcPr>
            <w:tcW w:w="4644" w:type="dxa"/>
            <w:shd w:val="clear" w:color="auto" w:fill="auto"/>
          </w:tcPr>
          <w:p w14:paraId="600F9A6E"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SEHK Options Clearing House Limited</w:t>
            </w:r>
          </w:p>
        </w:tc>
        <w:tc>
          <w:tcPr>
            <w:tcW w:w="3261" w:type="dxa"/>
            <w:shd w:val="clear" w:color="auto" w:fill="auto"/>
          </w:tcPr>
          <w:p w14:paraId="51A44939"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213800NAOHHKRD9IHE35</w:t>
            </w:r>
          </w:p>
        </w:tc>
        <w:tc>
          <w:tcPr>
            <w:tcW w:w="1307" w:type="dxa"/>
            <w:shd w:val="clear" w:color="auto" w:fill="auto"/>
          </w:tcPr>
          <w:p w14:paraId="2699F2B0"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HK</w:t>
            </w:r>
          </w:p>
        </w:tc>
      </w:tr>
      <w:tr w:rsidR="003B1768" w:rsidRPr="005B5271" w14:paraId="5986483D" w14:textId="77777777" w:rsidTr="00806EC0">
        <w:trPr>
          <w:trHeight w:val="567"/>
        </w:trPr>
        <w:tc>
          <w:tcPr>
            <w:tcW w:w="4644" w:type="dxa"/>
            <w:shd w:val="clear" w:color="auto" w:fill="auto"/>
          </w:tcPr>
          <w:p w14:paraId="4F1BBE75"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TMX Group</w:t>
            </w:r>
          </w:p>
        </w:tc>
        <w:tc>
          <w:tcPr>
            <w:tcW w:w="3261" w:type="dxa"/>
            <w:shd w:val="clear" w:color="auto" w:fill="auto"/>
          </w:tcPr>
          <w:p w14:paraId="76666425"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511CD0E2"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CA</w:t>
            </w:r>
          </w:p>
        </w:tc>
      </w:tr>
      <w:tr w:rsidR="003B1768" w:rsidRPr="005B5271" w14:paraId="670A5EED" w14:textId="77777777" w:rsidTr="00806EC0">
        <w:trPr>
          <w:trHeight w:val="567"/>
        </w:trPr>
        <w:tc>
          <w:tcPr>
            <w:tcW w:w="4644" w:type="dxa"/>
            <w:shd w:val="clear" w:color="auto" w:fill="auto"/>
          </w:tcPr>
          <w:p w14:paraId="0F8E39B5"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Tokyo Exchange Grp</w:t>
            </w:r>
          </w:p>
        </w:tc>
        <w:tc>
          <w:tcPr>
            <w:tcW w:w="3261" w:type="dxa"/>
            <w:shd w:val="clear" w:color="auto" w:fill="auto"/>
          </w:tcPr>
          <w:p w14:paraId="5E489DA8"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22D52C1F"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JP</w:t>
            </w:r>
          </w:p>
        </w:tc>
      </w:tr>
      <w:tr w:rsidR="003B1768" w:rsidRPr="005B5271" w14:paraId="1B6DF22F" w14:textId="77777777" w:rsidTr="00806EC0">
        <w:trPr>
          <w:trHeight w:val="567"/>
        </w:trPr>
        <w:tc>
          <w:tcPr>
            <w:tcW w:w="4644" w:type="dxa"/>
            <w:shd w:val="clear" w:color="auto" w:fill="auto"/>
          </w:tcPr>
          <w:p w14:paraId="13E896BF" w14:textId="77777777"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Tokyo Financial Exchange, Inc.</w:t>
            </w:r>
          </w:p>
        </w:tc>
        <w:tc>
          <w:tcPr>
            <w:tcW w:w="3261" w:type="dxa"/>
            <w:shd w:val="clear" w:color="auto" w:fill="auto"/>
          </w:tcPr>
          <w:p w14:paraId="5CEBDF66" w14:textId="77777777"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14:paraId="5FE626DE" w14:textId="77777777"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JP</w:t>
            </w:r>
          </w:p>
        </w:tc>
      </w:tr>
    </w:tbl>
    <w:p w14:paraId="63F0BF40" w14:textId="77777777" w:rsidR="00806EC0" w:rsidRPr="009452AF" w:rsidRDefault="00806EC0" w:rsidP="00CB7D0C">
      <w:pPr>
        <w:spacing w:before="360" w:after="240"/>
        <w:rPr>
          <w:rStyle w:val="CommentReference"/>
          <w:snapToGrid/>
          <w:sz w:val="22"/>
          <w:szCs w:val="22"/>
          <w:lang w:eastAsia="en-US"/>
        </w:rPr>
      </w:pPr>
    </w:p>
    <w:sectPr w:rsidR="00806EC0" w:rsidRPr="009452AF">
      <w:footerReference w:type="even" r:id="rId16"/>
      <w:footerReference w:type="default" r:id="rId17"/>
      <w:footerReference w:type="first" r:id="rId18"/>
      <w:pgSz w:w="11907" w:h="16840" w:code="9"/>
      <w:pgMar w:top="1418" w:right="1134" w:bottom="1418" w:left="1134" w:header="708" w:footer="708" w:gutter="567"/>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D8CE" w14:textId="77777777" w:rsidR="00C939C4" w:rsidRDefault="00C939C4">
      <w:pPr>
        <w:rPr>
          <w:szCs w:val="24"/>
        </w:rPr>
      </w:pPr>
      <w:r>
        <w:rPr>
          <w:szCs w:val="24"/>
        </w:rPr>
        <w:separator/>
      </w:r>
    </w:p>
  </w:endnote>
  <w:endnote w:type="continuationSeparator" w:id="0">
    <w:p w14:paraId="6636AAF4" w14:textId="77777777" w:rsidR="00C939C4" w:rsidRDefault="00C939C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853"/>
      <w:gridCol w:w="8219"/>
    </w:tblGrid>
    <w:tr w:rsidR="000733F0" w14:paraId="6F7CC816" w14:textId="77777777">
      <w:tblPrEx>
        <w:tblCellMar>
          <w:top w:w="0" w:type="dxa"/>
          <w:left w:w="0" w:type="dxa"/>
          <w:bottom w:w="0" w:type="dxa"/>
          <w:right w:w="0" w:type="dxa"/>
        </w:tblCellMar>
      </w:tblPrEx>
      <w:trPr>
        <w:cantSplit/>
        <w:trHeight w:val="160"/>
      </w:trPr>
      <w:tc>
        <w:tcPr>
          <w:tcW w:w="853" w:type="dxa"/>
          <w:vAlign w:val="bottom"/>
        </w:tcPr>
        <w:p w14:paraId="69DB3052" w14:textId="77777777" w:rsidR="000733F0" w:rsidRDefault="000733F0">
          <w:pPr>
            <w:pStyle w:val="PageNumbereven"/>
            <w:rPr>
              <w:szCs w:val="24"/>
            </w:rPr>
          </w:pPr>
        </w:p>
      </w:tc>
      <w:tc>
        <w:tcPr>
          <w:tcW w:w="8219" w:type="dxa"/>
          <w:tcBorders>
            <w:left w:val="nil"/>
          </w:tcBorders>
          <w:vAlign w:val="bottom"/>
        </w:tcPr>
        <w:p w14:paraId="18D99D85" w14:textId="77777777" w:rsidR="000733F0" w:rsidRDefault="000733F0">
          <w:pPr>
            <w:pStyle w:val="FootertextEven"/>
            <w:rPr>
              <w:szCs w:val="24"/>
            </w:rPr>
          </w:pPr>
        </w:p>
      </w:tc>
    </w:tr>
  </w:tbl>
  <w:p w14:paraId="2114ECDB" w14:textId="77777777" w:rsidR="000733F0" w:rsidRDefault="000733F0">
    <w:pPr>
      <w:pStyle w:val="Footerempty"/>
      <w:rPr>
        <w:szCs w:val="24"/>
      </w:rPr>
    </w:pPr>
  </w:p>
  <w:p w14:paraId="3ACF4096" w14:textId="77777777" w:rsidR="000733F0" w:rsidRDefault="000733F0">
    <w:pPr>
      <w:pStyle w:val="Footerempty"/>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C699" w14:textId="77777777" w:rsidR="000733F0" w:rsidRDefault="00073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3132" w14:textId="77777777" w:rsidR="000733F0" w:rsidRDefault="00073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C7D" w14:textId="77777777" w:rsidR="000733F0" w:rsidRDefault="000733F0">
    <w:pPr>
      <w:pStyle w:val="Footer"/>
      <w:jc w:val="right"/>
    </w:pPr>
    <w:r>
      <w:fldChar w:fldCharType="begin"/>
    </w:r>
    <w:r>
      <w:instrText xml:space="preserve"> PAGE   \* MERGEFORMAT </w:instrText>
    </w:r>
    <w:r>
      <w:fldChar w:fldCharType="separate"/>
    </w:r>
    <w:r w:rsidR="00C1180A">
      <w:rPr>
        <w:noProof/>
      </w:rPr>
      <w:t>iii</w:t>
    </w:r>
    <w:r>
      <w:fldChar w:fldCharType="end"/>
    </w:r>
  </w:p>
  <w:p w14:paraId="0E42ECC0" w14:textId="77777777" w:rsidR="000733F0" w:rsidRDefault="000733F0">
    <w:pPr>
      <w:pStyle w:val="Footerempty"/>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853"/>
      <w:gridCol w:w="8219"/>
    </w:tblGrid>
    <w:tr w:rsidR="000733F0" w14:paraId="6FA6A45E" w14:textId="77777777">
      <w:tblPrEx>
        <w:tblCellMar>
          <w:top w:w="0" w:type="dxa"/>
          <w:left w:w="0" w:type="dxa"/>
          <w:bottom w:w="0" w:type="dxa"/>
          <w:right w:w="0" w:type="dxa"/>
        </w:tblCellMar>
      </w:tblPrEx>
      <w:trPr>
        <w:cantSplit/>
        <w:trHeight w:val="160"/>
      </w:trPr>
      <w:tc>
        <w:tcPr>
          <w:tcW w:w="853" w:type="dxa"/>
          <w:vAlign w:val="bottom"/>
        </w:tcPr>
        <w:p w14:paraId="5278E5FF" w14:textId="77777777" w:rsidR="000733F0" w:rsidRDefault="000733F0">
          <w:pPr>
            <w:pStyle w:val="PageNumbereven"/>
            <w:rPr>
              <w:szCs w:val="24"/>
              <w:lang w:val="hu-HU"/>
            </w:rPr>
          </w:pPr>
        </w:p>
      </w:tc>
      <w:tc>
        <w:tcPr>
          <w:tcW w:w="8219" w:type="dxa"/>
          <w:tcBorders>
            <w:left w:val="nil"/>
          </w:tcBorders>
          <w:vAlign w:val="bottom"/>
        </w:tcPr>
        <w:p w14:paraId="031C4C45" w14:textId="77777777" w:rsidR="000733F0" w:rsidRDefault="000733F0">
          <w:pPr>
            <w:pStyle w:val="FootertextEven"/>
            <w:rPr>
              <w:szCs w:val="24"/>
              <w:lang w:val="hu-HU"/>
            </w:rPr>
          </w:pPr>
        </w:p>
      </w:tc>
    </w:tr>
  </w:tbl>
  <w:p w14:paraId="66FC97EB" w14:textId="77777777" w:rsidR="000733F0" w:rsidRDefault="000733F0">
    <w:pPr>
      <w:pStyle w:val="Footerempty"/>
      <w:rPr>
        <w:szCs w:val="24"/>
        <w:lang w:val="hu-HU"/>
      </w:rPr>
    </w:pPr>
  </w:p>
  <w:p w14:paraId="035D0730" w14:textId="77777777" w:rsidR="000733F0" w:rsidRPr="009452AF" w:rsidRDefault="000733F0">
    <w:pPr>
      <w:pStyle w:val="Footerempty"/>
      <w:rPr>
        <w:szCs w:val="24"/>
        <w:lang w:val="hu-H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C9E9" w14:textId="77777777" w:rsidR="000733F0" w:rsidRDefault="000733F0">
    <w:pPr>
      <w:pStyle w:val="Footer"/>
      <w:jc w:val="right"/>
    </w:pPr>
    <w:r>
      <w:fldChar w:fldCharType="begin"/>
    </w:r>
    <w:r>
      <w:instrText xml:space="preserve"> PAGE   \* MERGEFORMAT </w:instrText>
    </w:r>
    <w:r>
      <w:fldChar w:fldCharType="separate"/>
    </w:r>
    <w:r w:rsidR="00C1180A">
      <w:rPr>
        <w:noProof/>
      </w:rPr>
      <w:t>19</w:t>
    </w:r>
    <w:r>
      <w:fldChar w:fldCharType="end"/>
    </w:r>
  </w:p>
  <w:p w14:paraId="5B5AD1A6" w14:textId="77777777" w:rsidR="000733F0" w:rsidRDefault="000733F0">
    <w:pPr>
      <w:pStyle w:val="Footerempty"/>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6151" w14:textId="77777777" w:rsidR="000733F0" w:rsidRDefault="000733F0">
    <w:pPr>
      <w:pStyle w:val="Footer"/>
      <w:jc w:val="right"/>
    </w:pPr>
    <w:r>
      <w:fldChar w:fldCharType="begin"/>
    </w:r>
    <w:r>
      <w:instrText xml:space="preserve"> PAGE   \* MERGEFORMAT </w:instrText>
    </w:r>
    <w:r>
      <w:fldChar w:fldCharType="separate"/>
    </w:r>
    <w:r w:rsidR="00C1180A">
      <w:rPr>
        <w:noProof/>
      </w:rPr>
      <w:t>1</w:t>
    </w:r>
    <w:r>
      <w:fldChar w:fldCharType="end"/>
    </w:r>
  </w:p>
  <w:p w14:paraId="550E311F" w14:textId="77777777" w:rsidR="000733F0" w:rsidRDefault="000733F0">
    <w:pPr>
      <w:pStyle w:val="Footerempty"/>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F3B6" w14:textId="77777777" w:rsidR="00C939C4" w:rsidRDefault="00C939C4">
      <w:pPr>
        <w:pStyle w:val="FootnoteSeparator"/>
        <w:rPr>
          <w:szCs w:val="24"/>
        </w:rPr>
      </w:pPr>
      <w:r>
        <w:rPr>
          <w:szCs w:val="24"/>
        </w:rPr>
        <w:separator/>
      </w:r>
    </w:p>
    <w:p w14:paraId="01C35175" w14:textId="77777777" w:rsidR="00C939C4" w:rsidRDefault="00C939C4">
      <w:pPr>
        <w:rPr>
          <w:szCs w:val="24"/>
        </w:rPr>
      </w:pPr>
    </w:p>
  </w:footnote>
  <w:footnote w:type="continuationSeparator" w:id="0">
    <w:p w14:paraId="741D8D9E" w14:textId="77777777" w:rsidR="00C939C4" w:rsidRDefault="00C939C4">
      <w:pPr>
        <w:pStyle w:val="FootnoteSeparator"/>
        <w:rPr>
          <w:szCs w:val="24"/>
        </w:rPr>
      </w:pPr>
      <w:r>
        <w:rPr>
          <w:szCs w:val="24"/>
        </w:rPr>
        <w:continuationSeparator/>
      </w:r>
    </w:p>
    <w:p w14:paraId="2CCED332" w14:textId="77777777" w:rsidR="00C939C4" w:rsidRDefault="00C939C4">
      <w:pPr>
        <w:rPr>
          <w:szCs w:val="24"/>
        </w:rPr>
      </w:pPr>
    </w:p>
  </w:footnote>
  <w:footnote w:type="continuationNotice" w:id="1">
    <w:p w14:paraId="42302C1B" w14:textId="77777777" w:rsidR="00C939C4" w:rsidRDefault="00C939C4">
      <w:pPr>
        <w:pStyle w:val="FootnoteText"/>
        <w:rPr>
          <w:szCs w:val="24"/>
        </w:rPr>
      </w:pPr>
    </w:p>
    <w:p w14:paraId="4D18E817" w14:textId="77777777" w:rsidR="00C939C4" w:rsidRDefault="00C939C4">
      <w:pPr>
        <w:rPr>
          <w:szCs w:val="24"/>
        </w:rPr>
      </w:pPr>
    </w:p>
  </w:footnote>
  <w:footnote w:id="2">
    <w:p w14:paraId="40A74631" w14:textId="77777777" w:rsidR="000733F0" w:rsidRDefault="000733F0">
      <w:pPr>
        <w:pStyle w:val="FootnoteText"/>
        <w:rPr>
          <w:szCs w:val="24"/>
        </w:rPr>
      </w:pPr>
      <w:r>
        <w:rPr>
          <w:rStyle w:val="FootnoteReference"/>
          <w:szCs w:val="24"/>
        </w:rPr>
        <w:footnoteRef/>
      </w:r>
      <w:r>
        <w:rPr>
          <w:szCs w:val="24"/>
        </w:rPr>
        <w:tab/>
      </w:r>
      <w:r>
        <w:rPr>
          <w:szCs w:val="24"/>
          <w:lang w:val="hu-HU"/>
        </w:rPr>
        <w:t>Ausztrália, Belgium, Kanada, Franciaország, Németország, Olaszország, Japán, Hollandia, Spanyolország, Svédország, Svájc, Egyesült Királyság és az Egyesült Államok.</w:t>
      </w:r>
      <w:r>
        <w:rPr>
          <w:szCs w:val="24"/>
        </w:rPr>
        <w:t xml:space="preserve"> </w:t>
      </w:r>
    </w:p>
  </w:footnote>
  <w:footnote w:id="3">
    <w:p w14:paraId="6C3C9932" w14:textId="77777777" w:rsidR="000733F0" w:rsidRDefault="000733F0">
      <w:pPr>
        <w:pStyle w:val="FootnoteText"/>
        <w:rPr>
          <w:szCs w:val="24"/>
        </w:rPr>
      </w:pPr>
      <w:r>
        <w:rPr>
          <w:rStyle w:val="FootnoteReference"/>
          <w:szCs w:val="24"/>
        </w:rPr>
        <w:footnoteRef/>
      </w:r>
      <w:r>
        <w:rPr>
          <w:szCs w:val="24"/>
        </w:rPr>
        <w:t xml:space="preserve"> </w:t>
      </w:r>
      <w:r>
        <w:rPr>
          <w:szCs w:val="24"/>
        </w:rPr>
        <w:tab/>
      </w:r>
      <w:r>
        <w:rPr>
          <w:szCs w:val="24"/>
          <w:lang w:val="hu-HU"/>
        </w:rPr>
        <w:t>Lásd a 2003. évi ISDA hitelderivatíva-meghatározásait, amelyek értelmében a névleges összeget készpénzes elszámoláskor (7.3. rész) és fizikai szállításos teljesítéskor (8.5. rész) minden esetben külön kell meghatározni az alábbiak szerint:</w:t>
      </w:r>
      <w:r>
        <w:rPr>
          <w:szCs w:val="24"/>
        </w:rPr>
        <w:t xml:space="preserve"> </w:t>
      </w:r>
      <w:r>
        <w:rPr>
          <w:szCs w:val="24"/>
          <w:lang w:val="hu-HU"/>
        </w:rPr>
        <w:t>Készpénzes elszámoláshoz az ekként meghatározott összeg a kapcsolódó visszaigazolásban összeg vagy, ha az összeg nincs meghatározva, akkor az (a) (i) változó kamatozású összeg szorozva (ii) a referenciaárral mínusz a végleges ár és (b) nulla közül a nagyobb.</w:t>
      </w:r>
      <w:r>
        <w:rPr>
          <w:szCs w:val="24"/>
        </w:rPr>
        <w:t xml:space="preserve"> </w:t>
      </w:r>
      <w:r>
        <w:rPr>
          <w:szCs w:val="24"/>
          <w:lang w:val="hu-HU"/>
        </w:rPr>
        <w:t>Fizikai szállítással történő elszámoláshoz a változó kamatozású összeg szorozva a referenciaárral.</w:t>
      </w:r>
    </w:p>
  </w:footnote>
  <w:footnote w:id="4">
    <w:p w14:paraId="6BCDF35F" w14:textId="77777777" w:rsidR="000733F0" w:rsidRPr="009452AF" w:rsidRDefault="000733F0">
      <w:pPr>
        <w:pStyle w:val="FootnoteText"/>
        <w:rPr>
          <w:szCs w:val="24"/>
          <w:lang w:val="hu-HU"/>
        </w:rPr>
      </w:pPr>
      <w:r>
        <w:rPr>
          <w:rStyle w:val="FootnoteReference"/>
          <w:szCs w:val="24"/>
        </w:rPr>
        <w:footnoteRef/>
      </w:r>
      <w:r>
        <w:rPr>
          <w:szCs w:val="24"/>
          <w:lang w:val="hu-HU"/>
        </w:rPr>
        <w:t xml:space="preserve"> </w:t>
      </w:r>
      <w:r>
        <w:rPr>
          <w:szCs w:val="24"/>
          <w:lang w:val="hu-HU"/>
        </w:rPr>
        <w:tab/>
        <w:t>Általános szabályként elmondható, hogy a nyugdíjpénztárakat a biztosítóknál kell jelenteni. Azonban, ha nem nyújtanak megtakarítási konstrukciót, amelynek része a várható élettartamhoz kapcsolódó kockázatmegosztás, akkor inkább a nyíltvégű befektetési alapokra hasonlítanak és az utóbbi kategóriába kell sorolni őket „egyéb” pénzintézetek címszó alatt. A javasolt utóbbi megkülönböztetés azonban adott esetben csak „a legnagyobb körültekintés elve” alapon valósulhat meg.</w:t>
      </w:r>
    </w:p>
  </w:footnote>
  <w:footnote w:id="5">
    <w:p w14:paraId="56FE660B" w14:textId="77777777" w:rsidR="000733F0" w:rsidRDefault="000733F0" w:rsidP="00F154C2">
      <w:pPr>
        <w:pStyle w:val="FootnoteText"/>
        <w:ind w:left="0" w:firstLine="0"/>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7EBD" w14:textId="77777777" w:rsidR="000733F0" w:rsidRDefault="0007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F070" w14:textId="77777777" w:rsidR="000733F0" w:rsidRDefault="00073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F9D5" w14:textId="77777777" w:rsidR="000733F0" w:rsidRDefault="000733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E04C" w14:textId="77777777" w:rsidR="000733F0" w:rsidRDefault="000733F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0C2872"/>
    <w:lvl w:ilvl="0">
      <w:start w:val="1"/>
      <w:numFmt w:val="decimal"/>
      <w:lvlText w:val="%1."/>
      <w:lvlJc w:val="left"/>
      <w:pPr>
        <w:tabs>
          <w:tab w:val="num" w:pos="1492"/>
        </w:tabs>
        <w:ind w:left="1492" w:hanging="360"/>
      </w:pPr>
      <w:rPr>
        <w:rFonts w:cs="Times New Roman"/>
      </w:rPr>
    </w:lvl>
  </w:abstractNum>
  <w:abstractNum w:abstractNumId="1" w15:restartNumberingAfterBreak="0">
    <w:nsid w:val="102B7F94"/>
    <w:multiLevelType w:val="hybridMultilevel"/>
    <w:tmpl w:val="4D80B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74FE"/>
    <w:multiLevelType w:val="hybridMultilevel"/>
    <w:tmpl w:val="FE3AA17C"/>
    <w:lvl w:ilvl="0" w:tplc="35BAAE08">
      <w:start w:val="1"/>
      <w:numFmt w:val="decimal"/>
      <w:lvlText w:val="%1."/>
      <w:lvlJc w:val="left"/>
      <w:pPr>
        <w:tabs>
          <w:tab w:val="num" w:pos="1215"/>
        </w:tabs>
        <w:ind w:left="1215" w:hanging="85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C1426"/>
    <w:multiLevelType w:val="hybridMultilevel"/>
    <w:tmpl w:val="F0128FDC"/>
    <w:lvl w:ilvl="0" w:tplc="BA22576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5301E7"/>
    <w:multiLevelType w:val="hybridMultilevel"/>
    <w:tmpl w:val="48AC7758"/>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31C9"/>
    <w:multiLevelType w:val="hybridMultilevel"/>
    <w:tmpl w:val="5A500176"/>
    <w:lvl w:ilvl="0" w:tplc="08A0411C">
      <w:start w:val="1"/>
      <w:numFmt w:val="bullet"/>
      <w:lvlText w:val=""/>
      <w:lvlJc w:val="left"/>
      <w:pPr>
        <w:tabs>
          <w:tab w:val="num" w:pos="851"/>
        </w:tabs>
        <w:ind w:left="851" w:hanging="851"/>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D3058"/>
    <w:multiLevelType w:val="multilevel"/>
    <w:tmpl w:val="F2CC1226"/>
    <w:lvl w:ilvl="0">
      <w:start w:val="1"/>
      <w:numFmt w:val="decimal"/>
      <w:pStyle w:val="IndentedHeading1"/>
      <w:lvlText w:val="%1"/>
      <w:lvlJc w:val="left"/>
      <w:pPr>
        <w:tabs>
          <w:tab w:val="num" w:pos="851"/>
        </w:tabs>
        <w:ind w:left="851" w:hanging="851"/>
      </w:pPr>
      <w:rPr>
        <w:rFonts w:ascii="Arial" w:hAnsi="Arial" w:cs="Times New Roman" w:hint="default"/>
      </w:rPr>
    </w:lvl>
    <w:lvl w:ilvl="1">
      <w:start w:val="1"/>
      <w:numFmt w:val="decimal"/>
      <w:pStyle w:val="IndentedHeading2"/>
      <w:lvlText w:val="%1.%2"/>
      <w:lvlJc w:val="left"/>
      <w:pPr>
        <w:tabs>
          <w:tab w:val="num" w:pos="851"/>
        </w:tabs>
        <w:ind w:left="851" w:hanging="851"/>
      </w:pPr>
      <w:rPr>
        <w:rFonts w:ascii="Arial" w:hAnsi="Arial" w:cs="Times New Roman" w:hint="default"/>
      </w:rPr>
    </w:lvl>
    <w:lvl w:ilvl="2">
      <w:start w:val="1"/>
      <w:numFmt w:val="decimal"/>
      <w:pStyle w:val="IndentedHeading3"/>
      <w:lvlText w:val="%1.%2.%3"/>
      <w:lvlJc w:val="left"/>
      <w:pPr>
        <w:tabs>
          <w:tab w:val="num" w:pos="851"/>
        </w:tabs>
        <w:ind w:left="851" w:hanging="851"/>
      </w:pPr>
      <w:rPr>
        <w:rFonts w:ascii="Arial" w:hAnsi="Arial" w:cs="Times New Roman" w:hint="default"/>
      </w:rPr>
    </w:lvl>
    <w:lvl w:ilvl="3">
      <w:start w:val="1"/>
      <w:numFmt w:val="decimal"/>
      <w:pStyle w:val="IndentedHeading4"/>
      <w:lvlText w:val="%1.%2.%3.%4"/>
      <w:lvlJc w:val="left"/>
      <w:pPr>
        <w:tabs>
          <w:tab w:val="num" w:pos="851"/>
        </w:tabs>
        <w:ind w:left="851" w:hanging="851"/>
      </w:pPr>
      <w:rPr>
        <w:rFonts w:ascii="Arial" w:hAnsi="Arial" w:cs="Times New Roman" w:hint="default"/>
      </w:rPr>
    </w:lvl>
    <w:lvl w:ilvl="4">
      <w:start w:val="1"/>
      <w:numFmt w:val="decimal"/>
      <w:lvlText w:val="%1.%2.%3.%4.%5"/>
      <w:lvlJc w:val="left"/>
      <w:pPr>
        <w:tabs>
          <w:tab w:val="num" w:pos="1080"/>
        </w:tabs>
        <w:ind w:left="851" w:hanging="851"/>
      </w:pPr>
      <w:rPr>
        <w:rFonts w:ascii="Arial" w:hAnsi="Arial" w:cs="Times New Roman" w:hint="default"/>
      </w:rPr>
    </w:lvl>
    <w:lvl w:ilvl="5">
      <w:start w:val="1"/>
      <w:numFmt w:val="decimal"/>
      <w:lvlText w:val="%1.%2.%3.%4.%5.%6"/>
      <w:lvlJc w:val="left"/>
      <w:pPr>
        <w:tabs>
          <w:tab w:val="num" w:pos="1440"/>
        </w:tabs>
        <w:ind w:left="851" w:hanging="851"/>
      </w:pPr>
      <w:rPr>
        <w:rFonts w:ascii="Arial" w:hAnsi="Arial" w:cs="Times New Roman" w:hint="default"/>
      </w:rPr>
    </w:lvl>
    <w:lvl w:ilvl="6">
      <w:start w:val="1"/>
      <w:numFmt w:val="decimal"/>
      <w:lvlText w:val="%1.%2.%3.%4.%5.%6.%7"/>
      <w:lvlJc w:val="left"/>
      <w:pPr>
        <w:tabs>
          <w:tab w:val="num" w:pos="1440"/>
        </w:tabs>
        <w:ind w:left="851" w:hanging="851"/>
      </w:pPr>
      <w:rPr>
        <w:rFonts w:ascii="Arial" w:hAnsi="Arial" w:cs="Times New Roman" w:hint="default"/>
      </w:rPr>
    </w:lvl>
    <w:lvl w:ilvl="7">
      <w:start w:val="1"/>
      <w:numFmt w:val="decimal"/>
      <w:lvlText w:val="%1.%2.%3.%4.%5.%6.%7.%8"/>
      <w:lvlJc w:val="left"/>
      <w:pPr>
        <w:tabs>
          <w:tab w:val="num" w:pos="1800"/>
        </w:tabs>
        <w:ind w:left="851" w:hanging="851"/>
      </w:pPr>
      <w:rPr>
        <w:rFonts w:ascii="Arial" w:hAnsi="Arial" w:cs="Times New Roman" w:hint="default"/>
      </w:rPr>
    </w:lvl>
    <w:lvl w:ilvl="8">
      <w:start w:val="1"/>
      <w:numFmt w:val="decimal"/>
      <w:lvlText w:val="%1.%2.%3.%4.%5.%6.%7.%8.%9"/>
      <w:lvlJc w:val="left"/>
      <w:pPr>
        <w:tabs>
          <w:tab w:val="num" w:pos="1800"/>
        </w:tabs>
        <w:ind w:left="851" w:hanging="851"/>
      </w:pPr>
      <w:rPr>
        <w:rFonts w:ascii="Arial" w:hAnsi="Arial" w:cs="Times New Roman" w:hint="default"/>
      </w:rPr>
    </w:lvl>
  </w:abstractNum>
  <w:abstractNum w:abstractNumId="7" w15:restartNumberingAfterBreak="0">
    <w:nsid w:val="25FE3948"/>
    <w:multiLevelType w:val="multilevel"/>
    <w:tmpl w:val="86E69B4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right"/>
      <w:pPr>
        <w:tabs>
          <w:tab w:val="num" w:pos="1008"/>
        </w:tabs>
        <w:ind w:left="1008" w:hanging="720"/>
      </w:pPr>
      <w:rPr>
        <w:rFonts w:cs="Times New Roman"/>
      </w:rPr>
    </w:lvl>
    <w:lvl w:ilvl="5">
      <w:start w:val="1"/>
      <w:numFmt w:val="decimal"/>
      <w:lvlText w:val="%1.%2.%3.%4.%5.%6"/>
      <w:lvlJc w:val="right"/>
      <w:pPr>
        <w:tabs>
          <w:tab w:val="num" w:pos="1152"/>
        </w:tabs>
        <w:ind w:left="1152" w:hanging="864"/>
      </w:pPr>
      <w:rPr>
        <w:rFonts w:cs="Times New Roman"/>
      </w:rPr>
    </w:lvl>
    <w:lvl w:ilvl="6">
      <w:start w:val="1"/>
      <w:numFmt w:val="decimal"/>
      <w:lvlText w:val="%1.%2.%3.%4.%5.%6.%7"/>
      <w:lvlJc w:val="right"/>
      <w:pPr>
        <w:tabs>
          <w:tab w:val="num" w:pos="1296"/>
        </w:tabs>
        <w:ind w:left="1296" w:hanging="1008"/>
      </w:pPr>
      <w:rPr>
        <w:rFonts w:cs="Times New Roman"/>
      </w:rPr>
    </w:lvl>
    <w:lvl w:ilvl="7">
      <w:start w:val="1"/>
      <w:numFmt w:val="decimal"/>
      <w:lvlText w:val="%1.%2.%3.%4.%5.%6.%7.%8"/>
      <w:lvlJc w:val="right"/>
      <w:pPr>
        <w:tabs>
          <w:tab w:val="num" w:pos="1440"/>
        </w:tabs>
        <w:ind w:left="1440" w:hanging="1152"/>
      </w:pPr>
      <w:rPr>
        <w:rFonts w:cs="Times New Roman"/>
      </w:rPr>
    </w:lvl>
    <w:lvl w:ilvl="8">
      <w:start w:val="1"/>
      <w:numFmt w:val="decimal"/>
      <w:lvlText w:val="%1.%2.%3.%4.%5.%6.%7.%8.%9"/>
      <w:lvlJc w:val="right"/>
      <w:pPr>
        <w:tabs>
          <w:tab w:val="num" w:pos="1584"/>
        </w:tabs>
        <w:ind w:left="1584" w:hanging="1296"/>
      </w:pPr>
      <w:rPr>
        <w:rFonts w:cs="Times New Roman"/>
      </w:rPr>
    </w:lvl>
  </w:abstractNum>
  <w:abstractNum w:abstractNumId="8" w15:restartNumberingAfterBreak="0">
    <w:nsid w:val="267C2A43"/>
    <w:multiLevelType w:val="hybridMultilevel"/>
    <w:tmpl w:val="1B002556"/>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430"/>
        </w:tabs>
        <w:ind w:left="1430" w:hanging="360"/>
      </w:pPr>
      <w:rPr>
        <w:rFonts w:ascii="Courier New" w:hAnsi="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9" w15:restartNumberingAfterBreak="0">
    <w:nsid w:val="28E92180"/>
    <w:multiLevelType w:val="hybridMultilevel"/>
    <w:tmpl w:val="D06A161C"/>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006FA"/>
    <w:multiLevelType w:val="hybridMultilevel"/>
    <w:tmpl w:val="B096FC02"/>
    <w:lvl w:ilvl="0" w:tplc="BA2257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F2150"/>
    <w:multiLevelType w:val="multilevel"/>
    <w:tmpl w:val="403CABEA"/>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851"/>
        </w:tabs>
        <w:ind w:left="85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41E37"/>
    <w:multiLevelType w:val="multilevel"/>
    <w:tmpl w:val="9F54F868"/>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6FB3"/>
    <w:multiLevelType w:val="hybridMultilevel"/>
    <w:tmpl w:val="9F54F868"/>
    <w:lvl w:ilvl="0" w:tplc="08A0411C">
      <w:start w:val="1"/>
      <w:numFmt w:val="bullet"/>
      <w:pStyle w:val="Bulletpoint"/>
      <w:lvlText w:val=""/>
      <w:lvlJc w:val="left"/>
      <w:pPr>
        <w:tabs>
          <w:tab w:val="num" w:pos="851"/>
        </w:tabs>
        <w:ind w:left="851" w:hanging="851"/>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C57DC"/>
    <w:multiLevelType w:val="hybridMultilevel"/>
    <w:tmpl w:val="97088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D1299A"/>
    <w:multiLevelType w:val="hybridMultilevel"/>
    <w:tmpl w:val="5FC6B874"/>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430"/>
        </w:tabs>
        <w:ind w:left="1430" w:hanging="360"/>
      </w:pPr>
      <w:rPr>
        <w:rFonts w:ascii="Courier New" w:hAnsi="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5A7F07B0"/>
    <w:multiLevelType w:val="hybridMultilevel"/>
    <w:tmpl w:val="283010F8"/>
    <w:lvl w:ilvl="0" w:tplc="08A0411C">
      <w:start w:val="1"/>
      <w:numFmt w:val="bullet"/>
      <w:lvlText w:val=""/>
      <w:lvlJc w:val="left"/>
      <w:pPr>
        <w:tabs>
          <w:tab w:val="num" w:pos="851"/>
        </w:tabs>
        <w:ind w:left="851" w:hanging="851"/>
      </w:pPr>
      <w:rPr>
        <w:rFonts w:ascii="Symbol" w:hAnsi="Symbol" w:hint="default"/>
        <w:color w:val="auto"/>
      </w:rPr>
    </w:lvl>
    <w:lvl w:ilvl="1" w:tplc="524CC25A">
      <w:start w:val="1"/>
      <w:numFmt w:val="bullet"/>
      <w:lvlText w:val=""/>
      <w:lvlJc w:val="left"/>
      <w:pPr>
        <w:tabs>
          <w:tab w:val="num" w:pos="1440"/>
        </w:tabs>
        <w:ind w:left="1440" w:hanging="360"/>
      </w:pPr>
      <w:rPr>
        <w:rFonts w:ascii="Symbol" w:hAnsi="Symbol"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B6008"/>
    <w:multiLevelType w:val="hybridMultilevel"/>
    <w:tmpl w:val="403CABEA"/>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pStyle w:val="Bullethyphen"/>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96D84"/>
    <w:multiLevelType w:val="multilevel"/>
    <w:tmpl w:val="9F54F868"/>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E6361"/>
    <w:multiLevelType w:val="hybridMultilevel"/>
    <w:tmpl w:val="85BCE492"/>
    <w:lvl w:ilvl="0" w:tplc="BA2257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7674B"/>
    <w:multiLevelType w:val="multilevel"/>
    <w:tmpl w:val="BCAA7AC0"/>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4CE51E9"/>
    <w:multiLevelType w:val="hybridMultilevel"/>
    <w:tmpl w:val="3F60B810"/>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44084"/>
    <w:multiLevelType w:val="hybridMultilevel"/>
    <w:tmpl w:val="894A61E4"/>
    <w:lvl w:ilvl="0" w:tplc="8F96D31E">
      <w:numFmt w:val="bullet"/>
      <w:lvlText w:val="-"/>
      <w:lvlJc w:val="left"/>
      <w:pPr>
        <w:tabs>
          <w:tab w:val="num" w:pos="1199"/>
        </w:tabs>
        <w:ind w:left="1199" w:hanging="360"/>
      </w:pPr>
      <w:rPr>
        <w:rFonts w:ascii="TimesNewRomanPS" w:hAnsi="TimesNewRomanP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B272E"/>
    <w:multiLevelType w:val="hybridMultilevel"/>
    <w:tmpl w:val="71D0CFB0"/>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800C4"/>
    <w:multiLevelType w:val="hybridMultilevel"/>
    <w:tmpl w:val="BCAA7AC0"/>
    <w:lvl w:ilvl="0" w:tplc="ACFA8C36">
      <w:start w:val="1"/>
      <w:numFmt w:val="decimal"/>
      <w:pStyle w:val="Bulletnumber"/>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0"/>
  </w:num>
  <w:num w:numId="4">
    <w:abstractNumId w:val="17"/>
  </w:num>
  <w:num w:numId="5">
    <w:abstractNumId w:val="24"/>
  </w:num>
  <w:num w:numId="6">
    <w:abstractNumId w:val="13"/>
  </w:num>
  <w:num w:numId="7">
    <w:abstractNumId w:val="20"/>
  </w:num>
  <w:num w:numId="8">
    <w:abstractNumId w:val="11"/>
  </w:num>
  <w:num w:numId="9">
    <w:abstractNumId w:val="9"/>
  </w:num>
  <w:num w:numId="10">
    <w:abstractNumId w:val="17"/>
  </w:num>
  <w:num w:numId="11">
    <w:abstractNumId w:val="24"/>
  </w:num>
  <w:num w:numId="12">
    <w:abstractNumId w:val="13"/>
  </w:num>
  <w:num w:numId="13">
    <w:abstractNumId w:val="17"/>
  </w:num>
  <w:num w:numId="14">
    <w:abstractNumId w:val="24"/>
  </w:num>
  <w:num w:numId="15">
    <w:abstractNumId w:val="13"/>
  </w:num>
  <w:num w:numId="16">
    <w:abstractNumId w:val="22"/>
  </w:num>
  <w:num w:numId="17">
    <w:abstractNumId w:val="4"/>
  </w:num>
  <w:num w:numId="18">
    <w:abstractNumId w:val="23"/>
  </w:num>
  <w:num w:numId="19">
    <w:abstractNumId w:val="24"/>
    <w:lvlOverride w:ilvl="0">
      <w:startOverride w:val="1"/>
    </w:lvlOverride>
  </w:num>
  <w:num w:numId="20">
    <w:abstractNumId w:val="13"/>
  </w:num>
  <w:num w:numId="21">
    <w:abstractNumId w:val="13"/>
  </w:num>
  <w:num w:numId="22">
    <w:abstractNumId w:val="10"/>
  </w:num>
  <w:num w:numId="23">
    <w:abstractNumId w:val="19"/>
  </w:num>
  <w:num w:numId="24">
    <w:abstractNumId w:val="3"/>
  </w:num>
  <w:num w:numId="25">
    <w:abstractNumId w:val="18"/>
  </w:num>
  <w:num w:numId="26">
    <w:abstractNumId w:val="5"/>
  </w:num>
  <w:num w:numId="27">
    <w:abstractNumId w:val="13"/>
  </w:num>
  <w:num w:numId="28">
    <w:abstractNumId w:val="21"/>
  </w:num>
  <w:num w:numId="29">
    <w:abstractNumId w:val="13"/>
  </w:num>
  <w:num w:numId="30">
    <w:abstractNumId w:val="2"/>
  </w:num>
  <w:num w:numId="31">
    <w:abstractNumId w:val="14"/>
  </w:num>
  <w:num w:numId="32">
    <w:abstractNumId w:val="15"/>
  </w:num>
  <w:num w:numId="33">
    <w:abstractNumId w:val="1"/>
  </w:num>
  <w:num w:numId="34">
    <w:abstractNumId w:val="12"/>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VarDocType" w:val="BISPubli_E"/>
    <w:docVar w:name="VarDotVersion" w:val="BIS0.8"/>
  </w:docVars>
  <w:rsids>
    <w:rsidRoot w:val="00937341"/>
    <w:rsid w:val="0000371B"/>
    <w:rsid w:val="00006E68"/>
    <w:rsid w:val="000123D2"/>
    <w:rsid w:val="0001367B"/>
    <w:rsid w:val="000162C2"/>
    <w:rsid w:val="000201FB"/>
    <w:rsid w:val="000265AE"/>
    <w:rsid w:val="000268BC"/>
    <w:rsid w:val="000361A0"/>
    <w:rsid w:val="00050DAF"/>
    <w:rsid w:val="00050F9B"/>
    <w:rsid w:val="000548BA"/>
    <w:rsid w:val="00060A2A"/>
    <w:rsid w:val="00062846"/>
    <w:rsid w:val="0006386E"/>
    <w:rsid w:val="00063A7A"/>
    <w:rsid w:val="00064092"/>
    <w:rsid w:val="000648A2"/>
    <w:rsid w:val="00064F62"/>
    <w:rsid w:val="000733F0"/>
    <w:rsid w:val="00074540"/>
    <w:rsid w:val="00080AFD"/>
    <w:rsid w:val="000819A0"/>
    <w:rsid w:val="0008671E"/>
    <w:rsid w:val="00086E64"/>
    <w:rsid w:val="00096B14"/>
    <w:rsid w:val="00097AF2"/>
    <w:rsid w:val="000A0B32"/>
    <w:rsid w:val="000A1C98"/>
    <w:rsid w:val="000B5CC6"/>
    <w:rsid w:val="000B5D62"/>
    <w:rsid w:val="000B6E21"/>
    <w:rsid w:val="000C0125"/>
    <w:rsid w:val="000C7C5E"/>
    <w:rsid w:val="000D1E93"/>
    <w:rsid w:val="000D50B2"/>
    <w:rsid w:val="000D59BA"/>
    <w:rsid w:val="000D66C6"/>
    <w:rsid w:val="000D6E7F"/>
    <w:rsid w:val="000E0E82"/>
    <w:rsid w:val="000E435F"/>
    <w:rsid w:val="000E6BAD"/>
    <w:rsid w:val="000E6E82"/>
    <w:rsid w:val="000F100F"/>
    <w:rsid w:val="001000ED"/>
    <w:rsid w:val="001012E0"/>
    <w:rsid w:val="001131B9"/>
    <w:rsid w:val="00123DE9"/>
    <w:rsid w:val="00134193"/>
    <w:rsid w:val="00135E12"/>
    <w:rsid w:val="00136D72"/>
    <w:rsid w:val="001609AA"/>
    <w:rsid w:val="0016640F"/>
    <w:rsid w:val="00166441"/>
    <w:rsid w:val="00170859"/>
    <w:rsid w:val="00172C5F"/>
    <w:rsid w:val="00180BD7"/>
    <w:rsid w:val="00184FCF"/>
    <w:rsid w:val="00186BD1"/>
    <w:rsid w:val="00192BC0"/>
    <w:rsid w:val="001967E4"/>
    <w:rsid w:val="001A2097"/>
    <w:rsid w:val="001A3626"/>
    <w:rsid w:val="001A4DED"/>
    <w:rsid w:val="001A53C8"/>
    <w:rsid w:val="001A5AD9"/>
    <w:rsid w:val="001A6A48"/>
    <w:rsid w:val="001A77F4"/>
    <w:rsid w:val="001B0315"/>
    <w:rsid w:val="001B2626"/>
    <w:rsid w:val="001B4F06"/>
    <w:rsid w:val="001C2D09"/>
    <w:rsid w:val="001C6DE2"/>
    <w:rsid w:val="001D1709"/>
    <w:rsid w:val="00200661"/>
    <w:rsid w:val="00202798"/>
    <w:rsid w:val="00206A85"/>
    <w:rsid w:val="00211E33"/>
    <w:rsid w:val="0021415A"/>
    <w:rsid w:val="0021494B"/>
    <w:rsid w:val="00222294"/>
    <w:rsid w:val="0022750C"/>
    <w:rsid w:val="00235AF7"/>
    <w:rsid w:val="002377C6"/>
    <w:rsid w:val="002460B4"/>
    <w:rsid w:val="00250494"/>
    <w:rsid w:val="00252DF6"/>
    <w:rsid w:val="00252FF3"/>
    <w:rsid w:val="002648A9"/>
    <w:rsid w:val="00266365"/>
    <w:rsid w:val="0026639C"/>
    <w:rsid w:val="00266BDE"/>
    <w:rsid w:val="00273071"/>
    <w:rsid w:val="00274B79"/>
    <w:rsid w:val="00274FC3"/>
    <w:rsid w:val="00277C1D"/>
    <w:rsid w:val="002847F2"/>
    <w:rsid w:val="002850C4"/>
    <w:rsid w:val="00285E46"/>
    <w:rsid w:val="0028669A"/>
    <w:rsid w:val="00290070"/>
    <w:rsid w:val="00291A3E"/>
    <w:rsid w:val="00291B56"/>
    <w:rsid w:val="002A304E"/>
    <w:rsid w:val="002A7FB2"/>
    <w:rsid w:val="002C0DCC"/>
    <w:rsid w:val="002C191B"/>
    <w:rsid w:val="002C4587"/>
    <w:rsid w:val="002C600E"/>
    <w:rsid w:val="002D521B"/>
    <w:rsid w:val="002D74F7"/>
    <w:rsid w:val="002E5CD0"/>
    <w:rsid w:val="002F0A9D"/>
    <w:rsid w:val="002F174D"/>
    <w:rsid w:val="002F220F"/>
    <w:rsid w:val="002F7B60"/>
    <w:rsid w:val="00300E8F"/>
    <w:rsid w:val="00302BC6"/>
    <w:rsid w:val="00304B1E"/>
    <w:rsid w:val="00315C0D"/>
    <w:rsid w:val="00317F2F"/>
    <w:rsid w:val="003206F0"/>
    <w:rsid w:val="00340C9A"/>
    <w:rsid w:val="00346497"/>
    <w:rsid w:val="00351725"/>
    <w:rsid w:val="00354327"/>
    <w:rsid w:val="00354B4B"/>
    <w:rsid w:val="00361836"/>
    <w:rsid w:val="00364B8A"/>
    <w:rsid w:val="00366DC4"/>
    <w:rsid w:val="00370AC9"/>
    <w:rsid w:val="00372914"/>
    <w:rsid w:val="00372976"/>
    <w:rsid w:val="003746E3"/>
    <w:rsid w:val="003756F8"/>
    <w:rsid w:val="00381425"/>
    <w:rsid w:val="00382D4F"/>
    <w:rsid w:val="00385619"/>
    <w:rsid w:val="00392247"/>
    <w:rsid w:val="00394A94"/>
    <w:rsid w:val="00394EE0"/>
    <w:rsid w:val="003953D9"/>
    <w:rsid w:val="003A0F7E"/>
    <w:rsid w:val="003A1D8E"/>
    <w:rsid w:val="003A4184"/>
    <w:rsid w:val="003A4CD7"/>
    <w:rsid w:val="003A5811"/>
    <w:rsid w:val="003B1733"/>
    <w:rsid w:val="003B1768"/>
    <w:rsid w:val="003B25F5"/>
    <w:rsid w:val="003C1A5E"/>
    <w:rsid w:val="003C1C6D"/>
    <w:rsid w:val="003C7665"/>
    <w:rsid w:val="003D4BB6"/>
    <w:rsid w:val="003D4CAA"/>
    <w:rsid w:val="003E238C"/>
    <w:rsid w:val="003E3397"/>
    <w:rsid w:val="003E3DCA"/>
    <w:rsid w:val="003E4C85"/>
    <w:rsid w:val="003F09F9"/>
    <w:rsid w:val="003F5FE1"/>
    <w:rsid w:val="003F7978"/>
    <w:rsid w:val="00411430"/>
    <w:rsid w:val="00415D80"/>
    <w:rsid w:val="00416BB2"/>
    <w:rsid w:val="00416E29"/>
    <w:rsid w:val="00417920"/>
    <w:rsid w:val="00420EF7"/>
    <w:rsid w:val="004213C9"/>
    <w:rsid w:val="00422D78"/>
    <w:rsid w:val="00426769"/>
    <w:rsid w:val="004323DE"/>
    <w:rsid w:val="004406A4"/>
    <w:rsid w:val="004445BA"/>
    <w:rsid w:val="004471F9"/>
    <w:rsid w:val="00451AD8"/>
    <w:rsid w:val="00453F4D"/>
    <w:rsid w:val="00456CE3"/>
    <w:rsid w:val="004640B1"/>
    <w:rsid w:val="00466F5D"/>
    <w:rsid w:val="00470A31"/>
    <w:rsid w:val="00475FE2"/>
    <w:rsid w:val="0047722B"/>
    <w:rsid w:val="004821E7"/>
    <w:rsid w:val="0048251E"/>
    <w:rsid w:val="00482AAB"/>
    <w:rsid w:val="0048334F"/>
    <w:rsid w:val="00486B57"/>
    <w:rsid w:val="00492275"/>
    <w:rsid w:val="00492EF5"/>
    <w:rsid w:val="004A2F3B"/>
    <w:rsid w:val="004A7CEC"/>
    <w:rsid w:val="004B33BE"/>
    <w:rsid w:val="004D114D"/>
    <w:rsid w:val="004D3BEE"/>
    <w:rsid w:val="004D7E62"/>
    <w:rsid w:val="004E25D0"/>
    <w:rsid w:val="004E3AE6"/>
    <w:rsid w:val="004F1023"/>
    <w:rsid w:val="004F3C9D"/>
    <w:rsid w:val="00500356"/>
    <w:rsid w:val="00515290"/>
    <w:rsid w:val="005172A4"/>
    <w:rsid w:val="005174B2"/>
    <w:rsid w:val="00522BB6"/>
    <w:rsid w:val="00525821"/>
    <w:rsid w:val="00530B42"/>
    <w:rsid w:val="005310DF"/>
    <w:rsid w:val="0053561E"/>
    <w:rsid w:val="00536B5D"/>
    <w:rsid w:val="005406A5"/>
    <w:rsid w:val="00541CF8"/>
    <w:rsid w:val="005421CA"/>
    <w:rsid w:val="00542335"/>
    <w:rsid w:val="0054352D"/>
    <w:rsid w:val="00546524"/>
    <w:rsid w:val="00553BFB"/>
    <w:rsid w:val="0056128C"/>
    <w:rsid w:val="00561A66"/>
    <w:rsid w:val="00562DBA"/>
    <w:rsid w:val="005640E0"/>
    <w:rsid w:val="005701BF"/>
    <w:rsid w:val="00572563"/>
    <w:rsid w:val="00573BD7"/>
    <w:rsid w:val="00576816"/>
    <w:rsid w:val="005828EC"/>
    <w:rsid w:val="00583F07"/>
    <w:rsid w:val="00585CAC"/>
    <w:rsid w:val="00585E8A"/>
    <w:rsid w:val="005A061D"/>
    <w:rsid w:val="005A393C"/>
    <w:rsid w:val="005A4AE4"/>
    <w:rsid w:val="005A518B"/>
    <w:rsid w:val="005A6850"/>
    <w:rsid w:val="005B34DD"/>
    <w:rsid w:val="005B3AE9"/>
    <w:rsid w:val="005B4487"/>
    <w:rsid w:val="005B47B6"/>
    <w:rsid w:val="005B5271"/>
    <w:rsid w:val="005C0CE3"/>
    <w:rsid w:val="005C1C6B"/>
    <w:rsid w:val="005C45DE"/>
    <w:rsid w:val="005C6555"/>
    <w:rsid w:val="005C703D"/>
    <w:rsid w:val="005D004E"/>
    <w:rsid w:val="005D2F8C"/>
    <w:rsid w:val="005D3B0B"/>
    <w:rsid w:val="005E1077"/>
    <w:rsid w:val="005E3530"/>
    <w:rsid w:val="005E43BC"/>
    <w:rsid w:val="005F0384"/>
    <w:rsid w:val="005F15AD"/>
    <w:rsid w:val="005F215F"/>
    <w:rsid w:val="005F4320"/>
    <w:rsid w:val="005F51D6"/>
    <w:rsid w:val="005F793A"/>
    <w:rsid w:val="006143C4"/>
    <w:rsid w:val="006151A2"/>
    <w:rsid w:val="006176E6"/>
    <w:rsid w:val="006211AB"/>
    <w:rsid w:val="006276B9"/>
    <w:rsid w:val="0062770F"/>
    <w:rsid w:val="006314F4"/>
    <w:rsid w:val="0063453E"/>
    <w:rsid w:val="006366EF"/>
    <w:rsid w:val="006446F5"/>
    <w:rsid w:val="006458C1"/>
    <w:rsid w:val="00647012"/>
    <w:rsid w:val="00651DFB"/>
    <w:rsid w:val="00653174"/>
    <w:rsid w:val="00653DA9"/>
    <w:rsid w:val="00653ECD"/>
    <w:rsid w:val="006556A4"/>
    <w:rsid w:val="00656D00"/>
    <w:rsid w:val="006608B9"/>
    <w:rsid w:val="0066411B"/>
    <w:rsid w:val="00664278"/>
    <w:rsid w:val="00667F81"/>
    <w:rsid w:val="00671DF2"/>
    <w:rsid w:val="00673965"/>
    <w:rsid w:val="00673C4C"/>
    <w:rsid w:val="00675856"/>
    <w:rsid w:val="0067788A"/>
    <w:rsid w:val="00685A8E"/>
    <w:rsid w:val="00687B4D"/>
    <w:rsid w:val="00694029"/>
    <w:rsid w:val="006B45F4"/>
    <w:rsid w:val="006B56DE"/>
    <w:rsid w:val="006B5E6B"/>
    <w:rsid w:val="006C1A8F"/>
    <w:rsid w:val="006D148A"/>
    <w:rsid w:val="006D4E4E"/>
    <w:rsid w:val="006F30C2"/>
    <w:rsid w:val="006F70D6"/>
    <w:rsid w:val="00700BDA"/>
    <w:rsid w:val="00701AC1"/>
    <w:rsid w:val="00702518"/>
    <w:rsid w:val="0070484C"/>
    <w:rsid w:val="007070E2"/>
    <w:rsid w:val="007102CF"/>
    <w:rsid w:val="007142E9"/>
    <w:rsid w:val="00727836"/>
    <w:rsid w:val="00727DDA"/>
    <w:rsid w:val="00732969"/>
    <w:rsid w:val="007357AC"/>
    <w:rsid w:val="00742C29"/>
    <w:rsid w:val="0074561E"/>
    <w:rsid w:val="00747180"/>
    <w:rsid w:val="00747E48"/>
    <w:rsid w:val="00751502"/>
    <w:rsid w:val="00754975"/>
    <w:rsid w:val="00756D68"/>
    <w:rsid w:val="00761327"/>
    <w:rsid w:val="00762C99"/>
    <w:rsid w:val="00771586"/>
    <w:rsid w:val="00774002"/>
    <w:rsid w:val="00781255"/>
    <w:rsid w:val="0078187E"/>
    <w:rsid w:val="00783A4A"/>
    <w:rsid w:val="00784C6A"/>
    <w:rsid w:val="00787BD4"/>
    <w:rsid w:val="00796477"/>
    <w:rsid w:val="007A1FFE"/>
    <w:rsid w:val="007B123D"/>
    <w:rsid w:val="007B3D73"/>
    <w:rsid w:val="007B4529"/>
    <w:rsid w:val="007B53A5"/>
    <w:rsid w:val="007C33CD"/>
    <w:rsid w:val="007D1E6A"/>
    <w:rsid w:val="007E1471"/>
    <w:rsid w:val="007E2D5A"/>
    <w:rsid w:val="007F3C16"/>
    <w:rsid w:val="007F566C"/>
    <w:rsid w:val="008004F4"/>
    <w:rsid w:val="00800618"/>
    <w:rsid w:val="00805609"/>
    <w:rsid w:val="00806EC0"/>
    <w:rsid w:val="0080796F"/>
    <w:rsid w:val="0081517F"/>
    <w:rsid w:val="00816D5A"/>
    <w:rsid w:val="0082213E"/>
    <w:rsid w:val="0082214A"/>
    <w:rsid w:val="008225ED"/>
    <w:rsid w:val="00822734"/>
    <w:rsid w:val="00822AB3"/>
    <w:rsid w:val="00823640"/>
    <w:rsid w:val="008259CA"/>
    <w:rsid w:val="00825AD3"/>
    <w:rsid w:val="00831633"/>
    <w:rsid w:val="00833FF9"/>
    <w:rsid w:val="0083409E"/>
    <w:rsid w:val="00835DF1"/>
    <w:rsid w:val="00842D3B"/>
    <w:rsid w:val="00845CF1"/>
    <w:rsid w:val="008504D2"/>
    <w:rsid w:val="00852C05"/>
    <w:rsid w:val="00852E47"/>
    <w:rsid w:val="00857D41"/>
    <w:rsid w:val="0086234C"/>
    <w:rsid w:val="00863F30"/>
    <w:rsid w:val="008653DC"/>
    <w:rsid w:val="00867E80"/>
    <w:rsid w:val="008702D8"/>
    <w:rsid w:val="00872F43"/>
    <w:rsid w:val="0087427C"/>
    <w:rsid w:val="008764FF"/>
    <w:rsid w:val="00881740"/>
    <w:rsid w:val="0088322A"/>
    <w:rsid w:val="008832E1"/>
    <w:rsid w:val="0089175B"/>
    <w:rsid w:val="00893BF3"/>
    <w:rsid w:val="0089770D"/>
    <w:rsid w:val="008A02A5"/>
    <w:rsid w:val="008A3E96"/>
    <w:rsid w:val="008A48BE"/>
    <w:rsid w:val="008A66F1"/>
    <w:rsid w:val="008A6ED8"/>
    <w:rsid w:val="008A7EB9"/>
    <w:rsid w:val="008B24B0"/>
    <w:rsid w:val="008B48B7"/>
    <w:rsid w:val="008B4C63"/>
    <w:rsid w:val="008C21AF"/>
    <w:rsid w:val="008C54FB"/>
    <w:rsid w:val="008C77F2"/>
    <w:rsid w:val="008D10A9"/>
    <w:rsid w:val="008D2A5B"/>
    <w:rsid w:val="008E3832"/>
    <w:rsid w:val="008E615F"/>
    <w:rsid w:val="008E6777"/>
    <w:rsid w:val="00915B6C"/>
    <w:rsid w:val="00917493"/>
    <w:rsid w:val="009256B0"/>
    <w:rsid w:val="00926494"/>
    <w:rsid w:val="00927243"/>
    <w:rsid w:val="009278D4"/>
    <w:rsid w:val="00937341"/>
    <w:rsid w:val="0094239B"/>
    <w:rsid w:val="009452AF"/>
    <w:rsid w:val="0094616C"/>
    <w:rsid w:val="00946CF6"/>
    <w:rsid w:val="00950857"/>
    <w:rsid w:val="00950F11"/>
    <w:rsid w:val="00952E82"/>
    <w:rsid w:val="009562EC"/>
    <w:rsid w:val="0095687C"/>
    <w:rsid w:val="00956E2A"/>
    <w:rsid w:val="00957FEE"/>
    <w:rsid w:val="0096022F"/>
    <w:rsid w:val="0096399C"/>
    <w:rsid w:val="00964C4D"/>
    <w:rsid w:val="009657C5"/>
    <w:rsid w:val="00980E9F"/>
    <w:rsid w:val="00982377"/>
    <w:rsid w:val="00984B18"/>
    <w:rsid w:val="009855C4"/>
    <w:rsid w:val="00985A30"/>
    <w:rsid w:val="00995017"/>
    <w:rsid w:val="00997130"/>
    <w:rsid w:val="009A3F33"/>
    <w:rsid w:val="009A67B7"/>
    <w:rsid w:val="009B1D95"/>
    <w:rsid w:val="009B35BF"/>
    <w:rsid w:val="009C0CA2"/>
    <w:rsid w:val="009C272F"/>
    <w:rsid w:val="009C43C1"/>
    <w:rsid w:val="009C5B71"/>
    <w:rsid w:val="009D59A1"/>
    <w:rsid w:val="009E56AB"/>
    <w:rsid w:val="009E61C3"/>
    <w:rsid w:val="009F0167"/>
    <w:rsid w:val="009F31A0"/>
    <w:rsid w:val="009F4EFF"/>
    <w:rsid w:val="00A01095"/>
    <w:rsid w:val="00A03F0A"/>
    <w:rsid w:val="00A1110C"/>
    <w:rsid w:val="00A12E9C"/>
    <w:rsid w:val="00A1382C"/>
    <w:rsid w:val="00A1406D"/>
    <w:rsid w:val="00A14443"/>
    <w:rsid w:val="00A172A1"/>
    <w:rsid w:val="00A23BFF"/>
    <w:rsid w:val="00A31A46"/>
    <w:rsid w:val="00A34E73"/>
    <w:rsid w:val="00A36DFB"/>
    <w:rsid w:val="00A37872"/>
    <w:rsid w:val="00A40303"/>
    <w:rsid w:val="00A4139D"/>
    <w:rsid w:val="00A4157E"/>
    <w:rsid w:val="00A43276"/>
    <w:rsid w:val="00A44422"/>
    <w:rsid w:val="00A44A5F"/>
    <w:rsid w:val="00A4522B"/>
    <w:rsid w:val="00A45BF8"/>
    <w:rsid w:val="00A45E03"/>
    <w:rsid w:val="00A47C18"/>
    <w:rsid w:val="00A50B5C"/>
    <w:rsid w:val="00A50F82"/>
    <w:rsid w:val="00A57337"/>
    <w:rsid w:val="00A601EE"/>
    <w:rsid w:val="00A603C5"/>
    <w:rsid w:val="00A6063B"/>
    <w:rsid w:val="00A61C8C"/>
    <w:rsid w:val="00A62CD4"/>
    <w:rsid w:val="00A65F40"/>
    <w:rsid w:val="00A662AD"/>
    <w:rsid w:val="00A774F9"/>
    <w:rsid w:val="00A82917"/>
    <w:rsid w:val="00A86AA5"/>
    <w:rsid w:val="00A95281"/>
    <w:rsid w:val="00A9654B"/>
    <w:rsid w:val="00AA0CD3"/>
    <w:rsid w:val="00AA24A9"/>
    <w:rsid w:val="00AA2AA3"/>
    <w:rsid w:val="00AA393A"/>
    <w:rsid w:val="00AA469D"/>
    <w:rsid w:val="00AA76DF"/>
    <w:rsid w:val="00AB25F2"/>
    <w:rsid w:val="00AB5EA7"/>
    <w:rsid w:val="00AC54C6"/>
    <w:rsid w:val="00AC557B"/>
    <w:rsid w:val="00AD3362"/>
    <w:rsid w:val="00AD3948"/>
    <w:rsid w:val="00AE060C"/>
    <w:rsid w:val="00AE3899"/>
    <w:rsid w:val="00AE7DA3"/>
    <w:rsid w:val="00AF4D1A"/>
    <w:rsid w:val="00AF7452"/>
    <w:rsid w:val="00AF7745"/>
    <w:rsid w:val="00AF7F0A"/>
    <w:rsid w:val="00B064C5"/>
    <w:rsid w:val="00B07139"/>
    <w:rsid w:val="00B07AC0"/>
    <w:rsid w:val="00B16BDB"/>
    <w:rsid w:val="00B22462"/>
    <w:rsid w:val="00B2291B"/>
    <w:rsid w:val="00B307EC"/>
    <w:rsid w:val="00B31AA8"/>
    <w:rsid w:val="00B326A0"/>
    <w:rsid w:val="00B32E4A"/>
    <w:rsid w:val="00B33B5F"/>
    <w:rsid w:val="00B35117"/>
    <w:rsid w:val="00B41768"/>
    <w:rsid w:val="00B42333"/>
    <w:rsid w:val="00B45A66"/>
    <w:rsid w:val="00B53492"/>
    <w:rsid w:val="00B53B4D"/>
    <w:rsid w:val="00B6176C"/>
    <w:rsid w:val="00B63367"/>
    <w:rsid w:val="00B75A0B"/>
    <w:rsid w:val="00B766FA"/>
    <w:rsid w:val="00B7693C"/>
    <w:rsid w:val="00B76A4D"/>
    <w:rsid w:val="00B779DF"/>
    <w:rsid w:val="00B8060D"/>
    <w:rsid w:val="00B80768"/>
    <w:rsid w:val="00B81B30"/>
    <w:rsid w:val="00B8685F"/>
    <w:rsid w:val="00B9053A"/>
    <w:rsid w:val="00BA1402"/>
    <w:rsid w:val="00BA2769"/>
    <w:rsid w:val="00BA3945"/>
    <w:rsid w:val="00BB0FA5"/>
    <w:rsid w:val="00BB3B8B"/>
    <w:rsid w:val="00BB4700"/>
    <w:rsid w:val="00BB6A2B"/>
    <w:rsid w:val="00BB6B4A"/>
    <w:rsid w:val="00BB7ACC"/>
    <w:rsid w:val="00BC28EF"/>
    <w:rsid w:val="00BC3454"/>
    <w:rsid w:val="00BC357C"/>
    <w:rsid w:val="00BC5B66"/>
    <w:rsid w:val="00BC5BBF"/>
    <w:rsid w:val="00BC5F4D"/>
    <w:rsid w:val="00BC6169"/>
    <w:rsid w:val="00BD529B"/>
    <w:rsid w:val="00BE2E80"/>
    <w:rsid w:val="00BE4107"/>
    <w:rsid w:val="00BF09AD"/>
    <w:rsid w:val="00BF3BBA"/>
    <w:rsid w:val="00C03F71"/>
    <w:rsid w:val="00C05204"/>
    <w:rsid w:val="00C107A5"/>
    <w:rsid w:val="00C1180A"/>
    <w:rsid w:val="00C12AD8"/>
    <w:rsid w:val="00C12DAF"/>
    <w:rsid w:val="00C15095"/>
    <w:rsid w:val="00C16661"/>
    <w:rsid w:val="00C21A39"/>
    <w:rsid w:val="00C2275E"/>
    <w:rsid w:val="00C22EAC"/>
    <w:rsid w:val="00C245F2"/>
    <w:rsid w:val="00C26D28"/>
    <w:rsid w:val="00C3094C"/>
    <w:rsid w:val="00C36EC8"/>
    <w:rsid w:val="00C37672"/>
    <w:rsid w:val="00C5074E"/>
    <w:rsid w:val="00C56639"/>
    <w:rsid w:val="00C571C7"/>
    <w:rsid w:val="00C57C99"/>
    <w:rsid w:val="00C63121"/>
    <w:rsid w:val="00C72AEB"/>
    <w:rsid w:val="00C73983"/>
    <w:rsid w:val="00C7443A"/>
    <w:rsid w:val="00C7492D"/>
    <w:rsid w:val="00C75C55"/>
    <w:rsid w:val="00C84477"/>
    <w:rsid w:val="00C85544"/>
    <w:rsid w:val="00C92B05"/>
    <w:rsid w:val="00C939C4"/>
    <w:rsid w:val="00C9409B"/>
    <w:rsid w:val="00C950BD"/>
    <w:rsid w:val="00C955C5"/>
    <w:rsid w:val="00C967DA"/>
    <w:rsid w:val="00C97024"/>
    <w:rsid w:val="00CB265A"/>
    <w:rsid w:val="00CB417B"/>
    <w:rsid w:val="00CB7D0C"/>
    <w:rsid w:val="00CC0FDC"/>
    <w:rsid w:val="00CC584F"/>
    <w:rsid w:val="00CC6F75"/>
    <w:rsid w:val="00CD01BB"/>
    <w:rsid w:val="00CD375D"/>
    <w:rsid w:val="00CD46E2"/>
    <w:rsid w:val="00CD4D50"/>
    <w:rsid w:val="00CD7461"/>
    <w:rsid w:val="00CE163C"/>
    <w:rsid w:val="00CE1864"/>
    <w:rsid w:val="00CE7C53"/>
    <w:rsid w:val="00CF3C90"/>
    <w:rsid w:val="00D01BCC"/>
    <w:rsid w:val="00D13EE5"/>
    <w:rsid w:val="00D17898"/>
    <w:rsid w:val="00D20531"/>
    <w:rsid w:val="00D20A65"/>
    <w:rsid w:val="00D212F5"/>
    <w:rsid w:val="00D21FA9"/>
    <w:rsid w:val="00D27BBE"/>
    <w:rsid w:val="00D313C3"/>
    <w:rsid w:val="00D31CB9"/>
    <w:rsid w:val="00D340D5"/>
    <w:rsid w:val="00D355A2"/>
    <w:rsid w:val="00D445A0"/>
    <w:rsid w:val="00D46ABF"/>
    <w:rsid w:val="00D5334E"/>
    <w:rsid w:val="00D568BE"/>
    <w:rsid w:val="00D601F6"/>
    <w:rsid w:val="00D623C4"/>
    <w:rsid w:val="00D63B96"/>
    <w:rsid w:val="00D6589E"/>
    <w:rsid w:val="00D70E57"/>
    <w:rsid w:val="00D72B5F"/>
    <w:rsid w:val="00D76C42"/>
    <w:rsid w:val="00D8006F"/>
    <w:rsid w:val="00D81B61"/>
    <w:rsid w:val="00D83D5E"/>
    <w:rsid w:val="00D862CB"/>
    <w:rsid w:val="00D86A1E"/>
    <w:rsid w:val="00D902DA"/>
    <w:rsid w:val="00D903BE"/>
    <w:rsid w:val="00D937DD"/>
    <w:rsid w:val="00D945D8"/>
    <w:rsid w:val="00D947EE"/>
    <w:rsid w:val="00D964C2"/>
    <w:rsid w:val="00D96A1A"/>
    <w:rsid w:val="00D9784D"/>
    <w:rsid w:val="00DA4EC6"/>
    <w:rsid w:val="00DB15AE"/>
    <w:rsid w:val="00DB18D6"/>
    <w:rsid w:val="00DB4331"/>
    <w:rsid w:val="00DB5F21"/>
    <w:rsid w:val="00DB73F6"/>
    <w:rsid w:val="00DC6F43"/>
    <w:rsid w:val="00DE6805"/>
    <w:rsid w:val="00DF1AE3"/>
    <w:rsid w:val="00DF6F13"/>
    <w:rsid w:val="00E012AF"/>
    <w:rsid w:val="00E027E1"/>
    <w:rsid w:val="00E0641F"/>
    <w:rsid w:val="00E06EC3"/>
    <w:rsid w:val="00E10153"/>
    <w:rsid w:val="00E11481"/>
    <w:rsid w:val="00E15F85"/>
    <w:rsid w:val="00E23976"/>
    <w:rsid w:val="00E2583B"/>
    <w:rsid w:val="00E26D9B"/>
    <w:rsid w:val="00E27495"/>
    <w:rsid w:val="00E337BC"/>
    <w:rsid w:val="00E36012"/>
    <w:rsid w:val="00E37DBB"/>
    <w:rsid w:val="00E52B65"/>
    <w:rsid w:val="00E52B90"/>
    <w:rsid w:val="00E532E4"/>
    <w:rsid w:val="00E54358"/>
    <w:rsid w:val="00E55BD3"/>
    <w:rsid w:val="00E55CDA"/>
    <w:rsid w:val="00E57FAC"/>
    <w:rsid w:val="00E62621"/>
    <w:rsid w:val="00E63535"/>
    <w:rsid w:val="00E66355"/>
    <w:rsid w:val="00E672C1"/>
    <w:rsid w:val="00E6778D"/>
    <w:rsid w:val="00E70168"/>
    <w:rsid w:val="00E71C5F"/>
    <w:rsid w:val="00E76B8A"/>
    <w:rsid w:val="00E84ABB"/>
    <w:rsid w:val="00E9232C"/>
    <w:rsid w:val="00E935AA"/>
    <w:rsid w:val="00E93D7B"/>
    <w:rsid w:val="00E941F8"/>
    <w:rsid w:val="00E954C3"/>
    <w:rsid w:val="00E9728C"/>
    <w:rsid w:val="00EA0B26"/>
    <w:rsid w:val="00EA4821"/>
    <w:rsid w:val="00EB135A"/>
    <w:rsid w:val="00EB28EF"/>
    <w:rsid w:val="00EB3038"/>
    <w:rsid w:val="00EB308E"/>
    <w:rsid w:val="00EC0DD2"/>
    <w:rsid w:val="00EC0F37"/>
    <w:rsid w:val="00EC4A2B"/>
    <w:rsid w:val="00EC4C0A"/>
    <w:rsid w:val="00ED3711"/>
    <w:rsid w:val="00ED654B"/>
    <w:rsid w:val="00ED6995"/>
    <w:rsid w:val="00EE2B90"/>
    <w:rsid w:val="00EE655C"/>
    <w:rsid w:val="00EF07F7"/>
    <w:rsid w:val="00EF111D"/>
    <w:rsid w:val="00EF3E8C"/>
    <w:rsid w:val="00EF4F28"/>
    <w:rsid w:val="00F01DEE"/>
    <w:rsid w:val="00F11E8B"/>
    <w:rsid w:val="00F13EA8"/>
    <w:rsid w:val="00F154C2"/>
    <w:rsid w:val="00F21A5D"/>
    <w:rsid w:val="00F25C23"/>
    <w:rsid w:val="00F42DF5"/>
    <w:rsid w:val="00F51DAB"/>
    <w:rsid w:val="00F5583B"/>
    <w:rsid w:val="00F65A84"/>
    <w:rsid w:val="00F66479"/>
    <w:rsid w:val="00F67546"/>
    <w:rsid w:val="00F67B23"/>
    <w:rsid w:val="00F76726"/>
    <w:rsid w:val="00F8028B"/>
    <w:rsid w:val="00F80A72"/>
    <w:rsid w:val="00F81A8E"/>
    <w:rsid w:val="00F82750"/>
    <w:rsid w:val="00F860E1"/>
    <w:rsid w:val="00F96BDE"/>
    <w:rsid w:val="00F97833"/>
    <w:rsid w:val="00FA0E57"/>
    <w:rsid w:val="00FA1A7F"/>
    <w:rsid w:val="00FA6A93"/>
    <w:rsid w:val="00FA6AAE"/>
    <w:rsid w:val="00FB430D"/>
    <w:rsid w:val="00FB46A8"/>
    <w:rsid w:val="00FB5ED8"/>
    <w:rsid w:val="00FC073F"/>
    <w:rsid w:val="00FC2260"/>
    <w:rsid w:val="00FC4BBF"/>
    <w:rsid w:val="00FC54E9"/>
    <w:rsid w:val="00FD00A2"/>
    <w:rsid w:val="00FD0495"/>
    <w:rsid w:val="00FD140B"/>
    <w:rsid w:val="00FD3C47"/>
    <w:rsid w:val="00FD752E"/>
    <w:rsid w:val="00FD7861"/>
    <w:rsid w:val="00FE0A33"/>
    <w:rsid w:val="00FE18B4"/>
    <w:rsid w:val="00FE2181"/>
    <w:rsid w:val="00FE5851"/>
    <w:rsid w:val="00FE6B21"/>
    <w:rsid w:val="00FE78BA"/>
    <w:rsid w:val="00FF2C31"/>
    <w:rsid w:val="00FF6527"/>
    <w:rsid w:val="00FF6792"/>
    <w:rsid w:val="00FF781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1C1FEB"/>
  <w15:chartTrackingRefBased/>
  <w15:docId w15:val="{F6F39AFC-8C86-469F-91F1-B1858E8A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sz w:val="22"/>
      <w:lang w:val="en-GB"/>
    </w:rPr>
  </w:style>
  <w:style w:type="paragraph" w:styleId="Heading1">
    <w:name w:val="heading 1"/>
    <w:basedOn w:val="Normal"/>
    <w:next w:val="Paragraph"/>
    <w:qFormat/>
    <w:pPr>
      <w:keepNext/>
      <w:spacing w:before="600" w:after="240"/>
      <w:outlineLvl w:val="0"/>
    </w:pPr>
    <w:rPr>
      <w:b/>
      <w:sz w:val="26"/>
    </w:rPr>
  </w:style>
  <w:style w:type="paragraph" w:styleId="Heading2">
    <w:name w:val="heading 2"/>
    <w:basedOn w:val="Heading1"/>
    <w:next w:val="Paragraph"/>
    <w:qFormat/>
    <w:pPr>
      <w:spacing w:before="360" w:after="120"/>
      <w:outlineLvl w:val="1"/>
    </w:pPr>
    <w:rPr>
      <w:sz w:val="22"/>
    </w:rPr>
  </w:style>
  <w:style w:type="paragraph" w:styleId="Heading3">
    <w:name w:val="heading 3"/>
    <w:basedOn w:val="Heading2"/>
    <w:next w:val="Paragraph"/>
    <w:qFormat/>
    <w:pPr>
      <w:spacing w:before="240"/>
      <w:outlineLvl w:val="2"/>
    </w:pPr>
    <w:rPr>
      <w:i/>
    </w:rPr>
  </w:style>
  <w:style w:type="paragraph" w:styleId="Heading4">
    <w:name w:val="heading 4"/>
    <w:basedOn w:val="Heading3"/>
    <w:next w:val="Paragraph"/>
    <w:qFormat/>
    <w:pPr>
      <w:spacing w:before="120"/>
      <w:outlineLvl w:val="3"/>
    </w:pPr>
    <w:rPr>
      <w:b w:val="0"/>
    </w:rPr>
  </w:style>
  <w:style w:type="paragraph" w:styleId="Heading5">
    <w:name w:val="heading 5"/>
    <w:basedOn w:val="Heading4"/>
    <w:next w:val="Paragraph"/>
    <w:qFormat/>
    <w:pPr>
      <w:outlineLvl w:val="4"/>
    </w:pPr>
  </w:style>
  <w:style w:type="paragraph" w:styleId="Heading6">
    <w:name w:val="heading 6"/>
    <w:basedOn w:val="Heading5"/>
    <w:next w:val="Paragraph"/>
    <w:qFormat/>
    <w:pPr>
      <w:outlineLvl w:val="5"/>
    </w:pPr>
  </w:style>
  <w:style w:type="paragraph" w:styleId="Heading7">
    <w:name w:val="heading 7"/>
    <w:basedOn w:val="Heading6"/>
    <w:next w:val="Paragraph"/>
    <w:qFormat/>
    <w:pPr>
      <w:outlineLvl w:val="6"/>
    </w:pPr>
  </w:style>
  <w:style w:type="paragraph" w:styleId="Heading8">
    <w:name w:val="heading 8"/>
    <w:basedOn w:val="Heading7"/>
    <w:next w:val="Paragraph"/>
    <w:qFormat/>
    <w:pPr>
      <w:outlineLvl w:val="7"/>
    </w:pPr>
  </w:style>
  <w:style w:type="paragraph" w:styleId="Heading9">
    <w:name w:val="heading 9"/>
    <w:basedOn w:val="Heading8"/>
    <w:next w:val="Paragraph"/>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Normal"/>
    <w:pPr>
      <w:spacing w:after="120"/>
      <w:jc w:val="both"/>
    </w:pPr>
  </w:style>
  <w:style w:type="paragraph" w:styleId="Header">
    <w:name w:val="header"/>
    <w:basedOn w:val="Normal"/>
    <w:pPr>
      <w:tabs>
        <w:tab w:val="right" w:pos="8845"/>
      </w:tabs>
      <w:spacing w:after="120"/>
      <w:jc w:val="right"/>
    </w:pPr>
    <w:rPr>
      <w:sz w:val="20"/>
    </w:rPr>
  </w:style>
  <w:style w:type="paragraph" w:styleId="Footer">
    <w:name w:val="footer"/>
    <w:basedOn w:val="Normal"/>
    <w:link w:val="FooterChar"/>
    <w:uiPriority w:val="99"/>
    <w:pPr>
      <w:tabs>
        <w:tab w:val="center" w:pos="4536"/>
        <w:tab w:val="right" w:pos="9072"/>
      </w:tabs>
    </w:pPr>
    <w:rPr>
      <w:sz w:val="18"/>
      <w:lang w:eastAsia="x-none"/>
    </w:rPr>
  </w:style>
  <w:style w:type="character" w:styleId="PageNumber">
    <w:name w:val="page number"/>
    <w:rPr>
      <w:rFonts w:ascii="Arial" w:hAnsi="Arial" w:cs="Times New Roman"/>
      <w:sz w:val="18"/>
    </w:rPr>
  </w:style>
  <w:style w:type="paragraph" w:customStyle="1" w:styleId="FooterPageNumber">
    <w:name w:val="FooterPageNumber"/>
    <w:basedOn w:val="FootertextOdd"/>
    <w:pPr>
      <w:jc w:val="right"/>
    </w:pPr>
    <w:rPr>
      <w:sz w:val="18"/>
    </w:rPr>
  </w:style>
  <w:style w:type="paragraph" w:customStyle="1" w:styleId="FootertextOdd">
    <w:name w:val="FootertextOdd"/>
    <w:basedOn w:val="Normal"/>
    <w:pPr>
      <w:spacing w:before="120"/>
    </w:pPr>
    <w:rPr>
      <w:sz w:val="14"/>
    </w:rPr>
  </w:style>
  <w:style w:type="paragraph" w:customStyle="1" w:styleId="FootertextEven">
    <w:name w:val="FootertextEven"/>
    <w:basedOn w:val="FootertextOdd"/>
    <w:pPr>
      <w:jc w:val="right"/>
    </w:pPr>
  </w:style>
  <w:style w:type="paragraph" w:customStyle="1" w:styleId="Footerempty">
    <w:name w:val="Footerempty"/>
    <w:basedOn w:val="Footer"/>
    <w:pPr>
      <w:tabs>
        <w:tab w:val="clear" w:pos="4536"/>
        <w:tab w:val="clear" w:pos="9072"/>
      </w:tabs>
    </w:pPr>
    <w:rPr>
      <w:color w:val="FFFFFF"/>
      <w:sz w:val="2"/>
    </w:rPr>
  </w:style>
  <w:style w:type="paragraph" w:customStyle="1" w:styleId="PageNumbereven">
    <w:name w:val="Page Numbereven"/>
    <w:basedOn w:val="FooterPageNumber"/>
    <w:pPr>
      <w:jc w:val="left"/>
    </w:pPr>
  </w:style>
  <w:style w:type="paragraph" w:customStyle="1" w:styleId="Footertext">
    <w:name w:val="Footertext"/>
    <w:basedOn w:val="Normal"/>
    <w:pPr>
      <w:spacing w:before="120"/>
    </w:pPr>
    <w:rPr>
      <w:sz w:val="14"/>
    </w:rPr>
  </w:style>
  <w:style w:type="paragraph" w:customStyle="1" w:styleId="PubliSubtitle">
    <w:name w:val="PubliSubtitle"/>
    <w:basedOn w:val="Paragraph"/>
    <w:next w:val="Paragraph"/>
    <w:pPr>
      <w:keepNext/>
      <w:spacing w:after="600"/>
      <w:jc w:val="center"/>
    </w:pPr>
    <w:rPr>
      <w:b/>
      <w:sz w:val="26"/>
    </w:rPr>
  </w:style>
  <w:style w:type="paragraph" w:styleId="FootnoteText">
    <w:name w:val="footnote text"/>
    <w:basedOn w:val="Normal"/>
    <w:pPr>
      <w:spacing w:after="120"/>
      <w:ind w:left="284" w:hanging="284"/>
      <w:jc w:val="both"/>
    </w:pPr>
    <w:rPr>
      <w:sz w:val="18"/>
    </w:rPr>
  </w:style>
  <w:style w:type="paragraph" w:customStyle="1" w:styleId="IndentedParagraph">
    <w:name w:val="IndentedParagraph"/>
    <w:basedOn w:val="Paragraph"/>
    <w:pPr>
      <w:ind w:left="851" w:hanging="851"/>
    </w:pPr>
  </w:style>
  <w:style w:type="character" w:styleId="FootnoteReference">
    <w:name w:val="footnote reference"/>
    <w:rPr>
      <w:rFonts w:ascii="Arial" w:hAnsi="Arial" w:cs="Times New Roman"/>
      <w:vertAlign w:val="superscript"/>
    </w:rPr>
  </w:style>
  <w:style w:type="paragraph" w:customStyle="1" w:styleId="NTHeading1">
    <w:name w:val="NTHeading 1"/>
    <w:basedOn w:val="Heading1"/>
    <w:next w:val="Paragraph"/>
  </w:style>
  <w:style w:type="paragraph" w:customStyle="1" w:styleId="PubliTitle">
    <w:name w:val="PubliTitle"/>
    <w:basedOn w:val="Paragraph"/>
    <w:next w:val="Paragraph"/>
    <w:pPr>
      <w:keepNext/>
      <w:spacing w:after="600"/>
      <w:jc w:val="center"/>
    </w:pPr>
    <w:rPr>
      <w:b/>
      <w:sz w:val="30"/>
    </w:rPr>
  </w:style>
  <w:style w:type="paragraph" w:customStyle="1" w:styleId="TableColumnHeading">
    <w:name w:val="TableColumnHeading"/>
    <w:basedOn w:val="Paragraph"/>
    <w:pPr>
      <w:keepNext/>
      <w:spacing w:before="120"/>
      <w:jc w:val="center"/>
    </w:pPr>
    <w:rPr>
      <w:b/>
      <w:sz w:val="20"/>
    </w:rPr>
  </w:style>
  <w:style w:type="paragraph" w:customStyle="1" w:styleId="TableText">
    <w:name w:val="TableText"/>
    <w:basedOn w:val="Paragraph"/>
    <w:pPr>
      <w:framePr w:wrap="around" w:hAnchor="text" w:yAlign="top"/>
      <w:spacing w:before="60" w:after="60"/>
    </w:pPr>
    <w:rPr>
      <w:sz w:val="20"/>
    </w:rPr>
  </w:style>
  <w:style w:type="paragraph" w:customStyle="1" w:styleId="TableRowHeading">
    <w:name w:val="TableRowHeading"/>
    <w:basedOn w:val="Paragraph"/>
    <w:pPr>
      <w:spacing w:before="60" w:after="60"/>
      <w:jc w:val="left"/>
    </w:pPr>
    <w:rPr>
      <w:sz w:val="20"/>
    </w:rPr>
  </w:style>
  <w:style w:type="paragraph" w:customStyle="1" w:styleId="TableNumber">
    <w:name w:val="TableNumber"/>
    <w:basedOn w:val="Paragraph"/>
    <w:next w:val="TableTitle"/>
    <w:pPr>
      <w:keepNext/>
      <w:spacing w:before="120" w:after="0"/>
      <w:jc w:val="center"/>
    </w:pPr>
  </w:style>
  <w:style w:type="paragraph" w:customStyle="1" w:styleId="TableTitle">
    <w:name w:val="TableTitle"/>
    <w:basedOn w:val="Paragraph"/>
    <w:next w:val="TableSubtitle"/>
    <w:pPr>
      <w:keepNext/>
      <w:spacing w:before="120"/>
      <w:jc w:val="center"/>
    </w:pPr>
    <w:rPr>
      <w:b/>
    </w:rPr>
  </w:style>
  <w:style w:type="paragraph" w:customStyle="1" w:styleId="TableNote">
    <w:name w:val="TableNote"/>
    <w:basedOn w:val="Paragraph"/>
    <w:pPr>
      <w:spacing w:before="120"/>
    </w:pPr>
    <w:rPr>
      <w:sz w:val="18"/>
    </w:rPr>
  </w:style>
  <w:style w:type="paragraph" w:customStyle="1" w:styleId="empty">
    <w:name w:val="empty"/>
    <w:basedOn w:val="Normal"/>
    <w:rPr>
      <w:color w:val="FFFFFF"/>
    </w:rPr>
  </w:style>
  <w:style w:type="paragraph" w:customStyle="1" w:styleId="FootnoteSeparator">
    <w:name w:val="FootnoteSeparator"/>
    <w:basedOn w:val="Normal"/>
    <w:pPr>
      <w:spacing w:before="240" w:after="120"/>
    </w:pPr>
  </w:style>
  <w:style w:type="paragraph" w:customStyle="1" w:styleId="IndentedHeading1">
    <w:name w:val="Indented Heading 1"/>
    <w:basedOn w:val="Heading1"/>
    <w:next w:val="Paragraph"/>
    <w:pPr>
      <w:ind w:left="851" w:hanging="851"/>
    </w:pPr>
  </w:style>
  <w:style w:type="paragraph" w:customStyle="1" w:styleId="IndentedHeading2">
    <w:name w:val="Indented Heading 2"/>
    <w:basedOn w:val="Heading2"/>
    <w:next w:val="Paragraph"/>
    <w:pPr>
      <w:ind w:left="851" w:hanging="851"/>
    </w:pPr>
  </w:style>
  <w:style w:type="paragraph" w:customStyle="1" w:styleId="IndentedHeading3">
    <w:name w:val="Indented Heading 3"/>
    <w:basedOn w:val="Heading3"/>
    <w:next w:val="Paragraph"/>
    <w:pPr>
      <w:ind w:left="851" w:hanging="851"/>
    </w:pPr>
  </w:style>
  <w:style w:type="paragraph" w:customStyle="1" w:styleId="IndentedHeading4">
    <w:name w:val="Indented Heading 4"/>
    <w:basedOn w:val="Heading4"/>
    <w:next w:val="Paragraph"/>
    <w:pPr>
      <w:ind w:left="851" w:hanging="851"/>
    </w:pPr>
  </w:style>
  <w:style w:type="paragraph" w:styleId="TOC1">
    <w:name w:val="toc 1"/>
    <w:basedOn w:val="Normal"/>
    <w:next w:val="Paragraph"/>
    <w:uiPriority w:val="39"/>
    <w:pPr>
      <w:tabs>
        <w:tab w:val="left" w:pos="567"/>
        <w:tab w:val="right" w:leader="dot" w:pos="9072"/>
      </w:tabs>
      <w:spacing w:after="120"/>
      <w:ind w:left="567" w:hanging="567"/>
    </w:pPr>
    <w:rPr>
      <w:noProof/>
      <w:lang w:val="hu-HU"/>
    </w:rPr>
  </w:style>
  <w:style w:type="paragraph" w:styleId="TOC2">
    <w:name w:val="toc 2"/>
    <w:basedOn w:val="TOC1"/>
    <w:next w:val="Paragraph"/>
    <w:uiPriority w:val="39"/>
    <w:pPr>
      <w:tabs>
        <w:tab w:val="left" w:pos="1134"/>
      </w:tabs>
      <w:ind w:left="1134"/>
    </w:pPr>
  </w:style>
  <w:style w:type="paragraph" w:styleId="TOC3">
    <w:name w:val="toc 3"/>
    <w:basedOn w:val="TOC2"/>
    <w:next w:val="Paragraph"/>
    <w:uiPriority w:val="39"/>
    <w:pPr>
      <w:tabs>
        <w:tab w:val="clear" w:pos="567"/>
        <w:tab w:val="left" w:pos="1701"/>
      </w:tabs>
      <w:ind w:left="1701"/>
    </w:pPr>
  </w:style>
  <w:style w:type="paragraph" w:styleId="TOC4">
    <w:name w:val="toc 4"/>
    <w:basedOn w:val="TOC3"/>
    <w:next w:val="Paragraph"/>
    <w:pPr>
      <w:tabs>
        <w:tab w:val="clear" w:pos="1134"/>
        <w:tab w:val="left" w:pos="2268"/>
      </w:tabs>
      <w:ind w:left="2268"/>
    </w:pPr>
  </w:style>
  <w:style w:type="paragraph" w:styleId="TOC5">
    <w:name w:val="toc 5"/>
    <w:basedOn w:val="TOC4"/>
    <w:next w:val="Paragraph"/>
    <w:autoRedefine/>
    <w:semiHidden/>
  </w:style>
  <w:style w:type="paragraph" w:styleId="TOC6">
    <w:name w:val="toc 6"/>
    <w:basedOn w:val="TOC5"/>
    <w:next w:val="Paragraph"/>
    <w:autoRedefine/>
    <w:semiHidden/>
  </w:style>
  <w:style w:type="paragraph" w:styleId="TOC7">
    <w:name w:val="toc 7"/>
    <w:basedOn w:val="TOC6"/>
    <w:next w:val="Paragraph"/>
    <w:autoRedefine/>
    <w:semiHidden/>
  </w:style>
  <w:style w:type="paragraph" w:styleId="TOC8">
    <w:name w:val="toc 8"/>
    <w:basedOn w:val="TOC7"/>
    <w:next w:val="Paragraph"/>
    <w:autoRedefine/>
    <w:semiHidden/>
  </w:style>
  <w:style w:type="paragraph" w:styleId="TOC9">
    <w:name w:val="toc 9"/>
    <w:basedOn w:val="TOC8"/>
    <w:next w:val="Paragraph"/>
    <w:autoRedefine/>
    <w:semiHidden/>
  </w:style>
  <w:style w:type="paragraph" w:customStyle="1" w:styleId="ContentsTitle">
    <w:name w:val="ContentsTitle"/>
    <w:basedOn w:val="Paragraph"/>
    <w:next w:val="Paragraph"/>
    <w:pPr>
      <w:spacing w:after="600"/>
      <w:jc w:val="center"/>
    </w:pPr>
    <w:rPr>
      <w:b/>
      <w:sz w:val="26"/>
    </w:rPr>
  </w:style>
  <w:style w:type="paragraph" w:customStyle="1" w:styleId="NTHeading2">
    <w:name w:val="NTHeading 2"/>
    <w:basedOn w:val="Heading2"/>
    <w:next w:val="Paragraph"/>
  </w:style>
  <w:style w:type="paragraph" w:customStyle="1" w:styleId="NTHeading3">
    <w:name w:val="NTHeading 3"/>
    <w:basedOn w:val="Heading3"/>
    <w:next w:val="Paragraph"/>
  </w:style>
  <w:style w:type="paragraph" w:customStyle="1" w:styleId="NTHeading4">
    <w:name w:val="NTHeading 4"/>
    <w:basedOn w:val="Heading4"/>
    <w:next w:val="Paragraph"/>
  </w:style>
  <w:style w:type="paragraph" w:customStyle="1" w:styleId="NTIndentedHeading1">
    <w:name w:val="NTIndented Heading 1"/>
    <w:basedOn w:val="IndentedHeading1"/>
    <w:next w:val="Paragraph"/>
  </w:style>
  <w:style w:type="paragraph" w:customStyle="1" w:styleId="NTIndentedHeading2">
    <w:name w:val="NTIndented Heading 2"/>
    <w:basedOn w:val="IndentedHeading2"/>
    <w:next w:val="Paragraph"/>
  </w:style>
  <w:style w:type="paragraph" w:customStyle="1" w:styleId="NTIndentedHeading3">
    <w:name w:val="NTIndented Heading 3"/>
    <w:basedOn w:val="IndentedHeading3"/>
    <w:next w:val="Paragraph"/>
  </w:style>
  <w:style w:type="paragraph" w:customStyle="1" w:styleId="NTIndentedHeading4">
    <w:name w:val="NTIndented Heading 4"/>
    <w:basedOn w:val="IndentedHeading4"/>
    <w:next w:val="Paragraph"/>
  </w:style>
  <w:style w:type="paragraph" w:customStyle="1" w:styleId="TableSubtitle">
    <w:name w:val="TableSubtitle"/>
    <w:basedOn w:val="Paragraph"/>
    <w:pPr>
      <w:keepNext/>
      <w:jc w:val="center"/>
    </w:pPr>
    <w:rPr>
      <w:sz w:val="20"/>
    </w:rPr>
  </w:style>
  <w:style w:type="character" w:styleId="Hyperlink">
    <w:name w:val="Hyperlink"/>
    <w:uiPriority w:val="99"/>
    <w:rPr>
      <w:rFonts w:ascii="Arial" w:hAnsi="Arial" w:cs="Times New Roman"/>
      <w:color w:val="auto"/>
      <w:sz w:val="22"/>
      <w:u w:val="none"/>
    </w:rPr>
  </w:style>
  <w:style w:type="character" w:styleId="FollowedHyperlink">
    <w:name w:val="FollowedHyperlink"/>
    <w:rPr>
      <w:rFonts w:ascii="Arial" w:hAnsi="Arial" w:cs="Times New Roman"/>
      <w:color w:val="auto"/>
      <w:sz w:val="22"/>
      <w:u w:val="none"/>
    </w:rPr>
  </w:style>
  <w:style w:type="paragraph" w:customStyle="1" w:styleId="BoxTitle">
    <w:name w:val="BoxTitle"/>
    <w:basedOn w:val="TableTitle"/>
    <w:next w:val="BoxAuthor"/>
    <w:rPr>
      <w:bCs/>
      <w:sz w:val="20"/>
    </w:rPr>
  </w:style>
  <w:style w:type="paragraph" w:customStyle="1" w:styleId="BoxText">
    <w:name w:val="BoxText"/>
    <w:basedOn w:val="TableText"/>
    <w:pPr>
      <w:framePr w:wrap="around"/>
      <w:spacing w:before="0" w:after="120"/>
    </w:pPr>
  </w:style>
  <w:style w:type="paragraph" w:customStyle="1" w:styleId="Author">
    <w:name w:val="Author"/>
    <w:basedOn w:val="Paragraph"/>
    <w:next w:val="Paragraph"/>
    <w:pPr>
      <w:spacing w:after="600"/>
      <w:jc w:val="center"/>
    </w:pPr>
  </w:style>
  <w:style w:type="paragraph" w:customStyle="1" w:styleId="BoxNumber">
    <w:name w:val="BoxNumber"/>
    <w:basedOn w:val="TableNumber"/>
    <w:next w:val="BoxTitle"/>
    <w:rPr>
      <w:sz w:val="20"/>
    </w:rPr>
  </w:style>
  <w:style w:type="paragraph" w:customStyle="1" w:styleId="ConfidentialityOdd">
    <w:name w:val="ConfidentialityOdd"/>
    <w:basedOn w:val="Header"/>
    <w:next w:val="Header"/>
    <w:pPr>
      <w:tabs>
        <w:tab w:val="right" w:pos="8902"/>
      </w:tabs>
    </w:pPr>
    <w:rPr>
      <w:rFonts w:cs="Arial"/>
      <w:b/>
      <w:bCs/>
      <w:sz w:val="18"/>
    </w:rPr>
  </w:style>
  <w:style w:type="paragraph" w:customStyle="1" w:styleId="ConfidentialityEven">
    <w:name w:val="ConfidentialityEven"/>
    <w:basedOn w:val="ConfidentialityOdd"/>
    <w:next w:val="Header"/>
    <w:pPr>
      <w:jc w:val="left"/>
    </w:pPr>
  </w:style>
  <w:style w:type="paragraph" w:styleId="BalloonText">
    <w:name w:val="Balloon Text"/>
    <w:basedOn w:val="Normal"/>
    <w:semiHidden/>
    <w:rPr>
      <w:rFonts w:ascii="Times New Roman" w:hAnsi="Times New Roman"/>
      <w:sz w:val="16"/>
      <w:szCs w:val="16"/>
    </w:rPr>
  </w:style>
  <w:style w:type="paragraph" w:customStyle="1" w:styleId="Bullethyphen">
    <w:name w:val="Bullet hyphen"/>
    <w:basedOn w:val="Paragraph"/>
    <w:pPr>
      <w:numPr>
        <w:ilvl w:val="1"/>
        <w:numId w:val="13"/>
      </w:numPr>
    </w:pPr>
  </w:style>
  <w:style w:type="paragraph" w:customStyle="1" w:styleId="Bulletnumber">
    <w:name w:val="Bullet number"/>
    <w:basedOn w:val="Paragraph"/>
    <w:pPr>
      <w:numPr>
        <w:numId w:val="14"/>
      </w:numPr>
    </w:pPr>
  </w:style>
  <w:style w:type="paragraph" w:customStyle="1" w:styleId="Bulletpoint">
    <w:name w:val="Bullet point"/>
    <w:basedOn w:val="Paragraph"/>
    <w:pPr>
      <w:numPr>
        <w:numId w:val="15"/>
      </w:numPr>
    </w:pPr>
  </w:style>
  <w:style w:type="paragraph" w:customStyle="1" w:styleId="BoxFootnoteText">
    <w:name w:val="BoxFootnoteText"/>
    <w:basedOn w:val="TableNote"/>
    <w:pPr>
      <w:spacing w:before="0"/>
      <w:ind w:left="142" w:hanging="142"/>
    </w:pPr>
  </w:style>
  <w:style w:type="paragraph" w:customStyle="1" w:styleId="BoxHeading">
    <w:name w:val="BoxHeading"/>
    <w:basedOn w:val="TableColumnHeading"/>
    <w:next w:val="BoxText"/>
    <w:pPr>
      <w:jc w:val="left"/>
    </w:pPr>
  </w:style>
  <w:style w:type="paragraph" w:customStyle="1" w:styleId="BoxAuthor">
    <w:name w:val="BoxAuthor"/>
    <w:basedOn w:val="TableSubtitle"/>
    <w:next w:val="BoxText"/>
    <w:pPr>
      <w:spacing w:after="240"/>
    </w:pPr>
  </w:style>
  <w:style w:type="paragraph" w:customStyle="1" w:styleId="CoverTitle">
    <w:name w:val="CoverTitle"/>
    <w:basedOn w:val="Normal"/>
    <w:next w:val="Normal"/>
    <w:pPr>
      <w:spacing w:after="480" w:line="440" w:lineRule="exact"/>
    </w:pPr>
    <w:rPr>
      <w:rFonts w:ascii="Arial Narrow" w:hAnsi="Arial Narrow"/>
      <w:sz w:val="44"/>
      <w:szCs w:val="48"/>
    </w:rPr>
  </w:style>
  <w:style w:type="paragraph" w:customStyle="1" w:styleId="CoverMED">
    <w:name w:val="CoverMED"/>
    <w:basedOn w:val="Normal"/>
    <w:next w:val="Normal"/>
    <w:pPr>
      <w:spacing w:line="400" w:lineRule="exact"/>
      <w:ind w:right="113"/>
    </w:pPr>
    <w:rPr>
      <w:rFonts w:ascii="Arial Narrow" w:hAnsi="Arial Narrow"/>
      <w:sz w:val="40"/>
    </w:rPr>
  </w:style>
  <w:style w:type="paragraph" w:customStyle="1" w:styleId="CoverDate">
    <w:name w:val="CoverDate"/>
    <w:basedOn w:val="Normal"/>
    <w:next w:val="Normal"/>
    <w:pPr>
      <w:spacing w:before="60"/>
      <w:jc w:val="both"/>
    </w:pPr>
    <w:rPr>
      <w:rFonts w:ascii="Arial Narrow" w:hAnsi="Arial Narrow"/>
      <w:sz w:val="20"/>
    </w:rPr>
  </w:style>
  <w:style w:type="paragraph" w:customStyle="1" w:styleId="TableOfContentsTitle">
    <w:name w:val="TableOfContentsTitle"/>
    <w:basedOn w:val="Paragraph"/>
    <w:pPr>
      <w:spacing w:after="600"/>
      <w:jc w:val="center"/>
    </w:pPr>
    <w:rPr>
      <w:b/>
      <w:sz w:val="24"/>
    </w:rPr>
  </w:style>
  <w:style w:type="character" w:customStyle="1" w:styleId="CharChar1">
    <w:name w:val="Char Char1"/>
    <w:locked/>
    <w:rPr>
      <w:rFonts w:ascii="Arial" w:hAnsi="Arial" w:cs="Times New Roman"/>
      <w:b/>
      <w:sz w:val="26"/>
      <w:lang w:val="en-GB" w:bidi="ar-SA"/>
    </w:rPr>
  </w:style>
  <w:style w:type="character" w:customStyle="1" w:styleId="CharChar">
    <w:name w:val="Char Char"/>
    <w:locked/>
    <w:rPr>
      <w:rFonts w:ascii="Arial" w:hAnsi="Arial" w:cs="Times New Roman"/>
      <w:b/>
      <w:i/>
      <w:sz w:val="22"/>
      <w:lang w:val="en-GB" w:bidi="ar-SA"/>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lang w:eastAsia="x-none"/>
    </w:rPr>
  </w:style>
  <w:style w:type="paragraph" w:styleId="CommentSubject">
    <w:name w:val="annotation subject"/>
    <w:basedOn w:val="CommentText"/>
    <w:next w:val="CommentText"/>
    <w:semiHidden/>
    <w:rPr>
      <w:b/>
      <w:bCs/>
    </w:rPr>
  </w:style>
  <w:style w:type="character" w:customStyle="1" w:styleId="ParagraphChar1">
    <w:name w:val="Paragraph Char1"/>
    <w:locked/>
    <w:rPr>
      <w:rFonts w:ascii="Arial" w:hAnsi="Arial" w:cs="Times New Roman"/>
      <w:sz w:val="22"/>
      <w:lang w:val="en-GB" w:bidi="ar-SA"/>
    </w:rPr>
  </w:style>
  <w:style w:type="character" w:customStyle="1" w:styleId="CharChar2">
    <w:name w:val="Char Char2"/>
    <w:locked/>
    <w:rPr>
      <w:rFonts w:ascii="Arial" w:hAnsi="Arial" w:cs="Times New Roman"/>
      <w:b/>
      <w:sz w:val="22"/>
      <w:lang w:val="en-GB" w:bidi="ar-SA"/>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basedOn w:val="ParagraphChar1"/>
    <w:locked/>
    <w:rPr>
      <w:rFonts w:ascii="Arial" w:hAnsi="Arial" w:cs="Times New Roman"/>
      <w:sz w:val="22"/>
      <w:lang w:val="en-GB" w:bidi="ar-SA"/>
    </w:rPr>
  </w:style>
  <w:style w:type="character" w:customStyle="1" w:styleId="FootertextOddChar">
    <w:name w:val="FootertextOdd Char"/>
    <w:locked/>
    <w:rPr>
      <w:rFonts w:ascii="Arial" w:hAnsi="Arial"/>
      <w:sz w:val="1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2">
    <w:name w:val="Body Text 2"/>
    <w:basedOn w:val="Normal"/>
    <w:link w:val="BodyText2Char"/>
    <w:rsid w:val="000648A2"/>
    <w:pPr>
      <w:jc w:val="center"/>
    </w:pPr>
    <w:rPr>
      <w:rFonts w:ascii="Times New Roman" w:hAnsi="Times New Roman"/>
      <w:b/>
      <w:snapToGrid/>
      <w:sz w:val="28"/>
      <w:lang w:val="x-none" w:eastAsia="x-none"/>
    </w:rPr>
  </w:style>
  <w:style w:type="character" w:customStyle="1" w:styleId="BodyText2Char">
    <w:name w:val="Body Text 2 Char"/>
    <w:link w:val="BodyText2"/>
    <w:rsid w:val="000648A2"/>
    <w:rPr>
      <w:b/>
      <w:sz w:val="28"/>
    </w:rPr>
  </w:style>
  <w:style w:type="character" w:customStyle="1" w:styleId="FooterChar">
    <w:name w:val="Footer Char"/>
    <w:link w:val="Footer"/>
    <w:uiPriority w:val="99"/>
    <w:rsid w:val="00315C0D"/>
    <w:rPr>
      <w:rFonts w:ascii="Arial" w:hAnsi="Arial"/>
      <w:snapToGrid w:val="0"/>
      <w:sz w:val="18"/>
      <w:lang w:val="en-GB"/>
    </w:rPr>
  </w:style>
  <w:style w:type="character" w:customStyle="1" w:styleId="CommentTextChar">
    <w:name w:val="Comment Text Char"/>
    <w:link w:val="CommentText"/>
    <w:uiPriority w:val="99"/>
    <w:semiHidden/>
    <w:rsid w:val="006556A4"/>
    <w:rPr>
      <w:rFonts w:ascii="Arial" w:hAnsi="Arial"/>
      <w:snapToGrid w:val="0"/>
      <w:lang w:val="en-GB"/>
    </w:rPr>
  </w:style>
  <w:style w:type="paragraph" w:styleId="Revision">
    <w:name w:val="Revision"/>
    <w:hidden/>
    <w:uiPriority w:val="99"/>
    <w:semiHidden/>
    <w:rsid w:val="007357AC"/>
    <w:rPr>
      <w:rFonts w:ascii="Arial" w:hAnsi="Arial"/>
      <w:snapToGrid w:val="0"/>
      <w:sz w:val="22"/>
      <w:lang w:val="en-GB"/>
    </w:rPr>
  </w:style>
  <w:style w:type="paragraph" w:customStyle="1" w:styleId="Default">
    <w:name w:val="Default"/>
    <w:rsid w:val="00C92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nt_templates\BIS\_Publi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C1DA-AA4A-491C-95DA-B48CBD08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_Publi_E.dot</Template>
  <TotalTime>1</TotalTime>
  <Pages>25</Pages>
  <Words>6583</Words>
  <Characters>45425</Characters>
  <Application>Microsoft Office Word</Application>
  <DocSecurity>0</DocSecurity>
  <Lines>378</Lines>
  <Paragraphs>103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Publication</vt:lpstr>
      <vt:lpstr>Publication</vt:lpstr>
    </vt:vector>
  </TitlesOfParts>
  <Company>Magyar Nemzeti Bank</Company>
  <LinksUpToDate>false</LinksUpToDate>
  <CharactersWithSpaces>51905</CharactersWithSpaces>
  <SharedDoc>false</SharedDoc>
  <HLinks>
    <vt:vector size="162" baseType="variant">
      <vt:variant>
        <vt:i4>1966136</vt:i4>
      </vt:variant>
      <vt:variant>
        <vt:i4>158</vt:i4>
      </vt:variant>
      <vt:variant>
        <vt:i4>0</vt:i4>
      </vt:variant>
      <vt:variant>
        <vt:i4>5</vt:i4>
      </vt:variant>
      <vt:variant>
        <vt:lpwstr/>
      </vt:variant>
      <vt:variant>
        <vt:lpwstr>_Toc533082686</vt:lpwstr>
      </vt:variant>
      <vt:variant>
        <vt:i4>1966136</vt:i4>
      </vt:variant>
      <vt:variant>
        <vt:i4>152</vt:i4>
      </vt:variant>
      <vt:variant>
        <vt:i4>0</vt:i4>
      </vt:variant>
      <vt:variant>
        <vt:i4>5</vt:i4>
      </vt:variant>
      <vt:variant>
        <vt:lpwstr/>
      </vt:variant>
      <vt:variant>
        <vt:lpwstr>_Toc533082685</vt:lpwstr>
      </vt:variant>
      <vt:variant>
        <vt:i4>1966136</vt:i4>
      </vt:variant>
      <vt:variant>
        <vt:i4>146</vt:i4>
      </vt:variant>
      <vt:variant>
        <vt:i4>0</vt:i4>
      </vt:variant>
      <vt:variant>
        <vt:i4>5</vt:i4>
      </vt:variant>
      <vt:variant>
        <vt:lpwstr/>
      </vt:variant>
      <vt:variant>
        <vt:lpwstr>_Toc533082684</vt:lpwstr>
      </vt:variant>
      <vt:variant>
        <vt:i4>1966136</vt:i4>
      </vt:variant>
      <vt:variant>
        <vt:i4>140</vt:i4>
      </vt:variant>
      <vt:variant>
        <vt:i4>0</vt:i4>
      </vt:variant>
      <vt:variant>
        <vt:i4>5</vt:i4>
      </vt:variant>
      <vt:variant>
        <vt:lpwstr/>
      </vt:variant>
      <vt:variant>
        <vt:lpwstr>_Toc533082683</vt:lpwstr>
      </vt:variant>
      <vt:variant>
        <vt:i4>1966136</vt:i4>
      </vt:variant>
      <vt:variant>
        <vt:i4>134</vt:i4>
      </vt:variant>
      <vt:variant>
        <vt:i4>0</vt:i4>
      </vt:variant>
      <vt:variant>
        <vt:i4>5</vt:i4>
      </vt:variant>
      <vt:variant>
        <vt:lpwstr/>
      </vt:variant>
      <vt:variant>
        <vt:lpwstr>_Toc533082682</vt:lpwstr>
      </vt:variant>
      <vt:variant>
        <vt:i4>1966136</vt:i4>
      </vt:variant>
      <vt:variant>
        <vt:i4>128</vt:i4>
      </vt:variant>
      <vt:variant>
        <vt:i4>0</vt:i4>
      </vt:variant>
      <vt:variant>
        <vt:i4>5</vt:i4>
      </vt:variant>
      <vt:variant>
        <vt:lpwstr/>
      </vt:variant>
      <vt:variant>
        <vt:lpwstr>_Toc533082681</vt:lpwstr>
      </vt:variant>
      <vt:variant>
        <vt:i4>1966136</vt:i4>
      </vt:variant>
      <vt:variant>
        <vt:i4>122</vt:i4>
      </vt:variant>
      <vt:variant>
        <vt:i4>0</vt:i4>
      </vt:variant>
      <vt:variant>
        <vt:i4>5</vt:i4>
      </vt:variant>
      <vt:variant>
        <vt:lpwstr/>
      </vt:variant>
      <vt:variant>
        <vt:lpwstr>_Toc533082680</vt:lpwstr>
      </vt:variant>
      <vt:variant>
        <vt:i4>1114168</vt:i4>
      </vt:variant>
      <vt:variant>
        <vt:i4>116</vt:i4>
      </vt:variant>
      <vt:variant>
        <vt:i4>0</vt:i4>
      </vt:variant>
      <vt:variant>
        <vt:i4>5</vt:i4>
      </vt:variant>
      <vt:variant>
        <vt:lpwstr/>
      </vt:variant>
      <vt:variant>
        <vt:lpwstr>_Toc533082679</vt:lpwstr>
      </vt:variant>
      <vt:variant>
        <vt:i4>1114168</vt:i4>
      </vt:variant>
      <vt:variant>
        <vt:i4>110</vt:i4>
      </vt:variant>
      <vt:variant>
        <vt:i4>0</vt:i4>
      </vt:variant>
      <vt:variant>
        <vt:i4>5</vt:i4>
      </vt:variant>
      <vt:variant>
        <vt:lpwstr/>
      </vt:variant>
      <vt:variant>
        <vt:lpwstr>_Toc533082678</vt:lpwstr>
      </vt:variant>
      <vt:variant>
        <vt:i4>1114168</vt:i4>
      </vt:variant>
      <vt:variant>
        <vt:i4>104</vt:i4>
      </vt:variant>
      <vt:variant>
        <vt:i4>0</vt:i4>
      </vt:variant>
      <vt:variant>
        <vt:i4>5</vt:i4>
      </vt:variant>
      <vt:variant>
        <vt:lpwstr/>
      </vt:variant>
      <vt:variant>
        <vt:lpwstr>_Toc533082677</vt:lpwstr>
      </vt:variant>
      <vt:variant>
        <vt:i4>1114168</vt:i4>
      </vt:variant>
      <vt:variant>
        <vt:i4>98</vt:i4>
      </vt:variant>
      <vt:variant>
        <vt:i4>0</vt:i4>
      </vt:variant>
      <vt:variant>
        <vt:i4>5</vt:i4>
      </vt:variant>
      <vt:variant>
        <vt:lpwstr/>
      </vt:variant>
      <vt:variant>
        <vt:lpwstr>_Toc533082676</vt:lpwstr>
      </vt:variant>
      <vt:variant>
        <vt:i4>1114168</vt:i4>
      </vt:variant>
      <vt:variant>
        <vt:i4>92</vt:i4>
      </vt:variant>
      <vt:variant>
        <vt:i4>0</vt:i4>
      </vt:variant>
      <vt:variant>
        <vt:i4>5</vt:i4>
      </vt:variant>
      <vt:variant>
        <vt:lpwstr/>
      </vt:variant>
      <vt:variant>
        <vt:lpwstr>_Toc533082675</vt:lpwstr>
      </vt:variant>
      <vt:variant>
        <vt:i4>1114168</vt:i4>
      </vt:variant>
      <vt:variant>
        <vt:i4>86</vt:i4>
      </vt:variant>
      <vt:variant>
        <vt:i4>0</vt:i4>
      </vt:variant>
      <vt:variant>
        <vt:i4>5</vt:i4>
      </vt:variant>
      <vt:variant>
        <vt:lpwstr/>
      </vt:variant>
      <vt:variant>
        <vt:lpwstr>_Toc533082674</vt:lpwstr>
      </vt:variant>
      <vt:variant>
        <vt:i4>1114168</vt:i4>
      </vt:variant>
      <vt:variant>
        <vt:i4>80</vt:i4>
      </vt:variant>
      <vt:variant>
        <vt:i4>0</vt:i4>
      </vt:variant>
      <vt:variant>
        <vt:i4>5</vt:i4>
      </vt:variant>
      <vt:variant>
        <vt:lpwstr/>
      </vt:variant>
      <vt:variant>
        <vt:lpwstr>_Toc533082673</vt:lpwstr>
      </vt:variant>
      <vt:variant>
        <vt:i4>1114168</vt:i4>
      </vt:variant>
      <vt:variant>
        <vt:i4>74</vt:i4>
      </vt:variant>
      <vt:variant>
        <vt:i4>0</vt:i4>
      </vt:variant>
      <vt:variant>
        <vt:i4>5</vt:i4>
      </vt:variant>
      <vt:variant>
        <vt:lpwstr/>
      </vt:variant>
      <vt:variant>
        <vt:lpwstr>_Toc533082672</vt:lpwstr>
      </vt:variant>
      <vt:variant>
        <vt:i4>1114168</vt:i4>
      </vt:variant>
      <vt:variant>
        <vt:i4>68</vt:i4>
      </vt:variant>
      <vt:variant>
        <vt:i4>0</vt:i4>
      </vt:variant>
      <vt:variant>
        <vt:i4>5</vt:i4>
      </vt:variant>
      <vt:variant>
        <vt:lpwstr/>
      </vt:variant>
      <vt:variant>
        <vt:lpwstr>_Toc533082671</vt:lpwstr>
      </vt:variant>
      <vt:variant>
        <vt:i4>1114168</vt:i4>
      </vt:variant>
      <vt:variant>
        <vt:i4>62</vt:i4>
      </vt:variant>
      <vt:variant>
        <vt:i4>0</vt:i4>
      </vt:variant>
      <vt:variant>
        <vt:i4>5</vt:i4>
      </vt:variant>
      <vt:variant>
        <vt:lpwstr/>
      </vt:variant>
      <vt:variant>
        <vt:lpwstr>_Toc533082670</vt:lpwstr>
      </vt:variant>
      <vt:variant>
        <vt:i4>1048632</vt:i4>
      </vt:variant>
      <vt:variant>
        <vt:i4>56</vt:i4>
      </vt:variant>
      <vt:variant>
        <vt:i4>0</vt:i4>
      </vt:variant>
      <vt:variant>
        <vt:i4>5</vt:i4>
      </vt:variant>
      <vt:variant>
        <vt:lpwstr/>
      </vt:variant>
      <vt:variant>
        <vt:lpwstr>_Toc533082669</vt:lpwstr>
      </vt:variant>
      <vt:variant>
        <vt:i4>1048632</vt:i4>
      </vt:variant>
      <vt:variant>
        <vt:i4>50</vt:i4>
      </vt:variant>
      <vt:variant>
        <vt:i4>0</vt:i4>
      </vt:variant>
      <vt:variant>
        <vt:i4>5</vt:i4>
      </vt:variant>
      <vt:variant>
        <vt:lpwstr/>
      </vt:variant>
      <vt:variant>
        <vt:lpwstr>_Toc533082668</vt:lpwstr>
      </vt:variant>
      <vt:variant>
        <vt:i4>1048632</vt:i4>
      </vt:variant>
      <vt:variant>
        <vt:i4>44</vt:i4>
      </vt:variant>
      <vt:variant>
        <vt:i4>0</vt:i4>
      </vt:variant>
      <vt:variant>
        <vt:i4>5</vt:i4>
      </vt:variant>
      <vt:variant>
        <vt:lpwstr/>
      </vt:variant>
      <vt:variant>
        <vt:lpwstr>_Toc533082667</vt:lpwstr>
      </vt:variant>
      <vt:variant>
        <vt:i4>1048632</vt:i4>
      </vt:variant>
      <vt:variant>
        <vt:i4>38</vt:i4>
      </vt:variant>
      <vt:variant>
        <vt:i4>0</vt:i4>
      </vt:variant>
      <vt:variant>
        <vt:i4>5</vt:i4>
      </vt:variant>
      <vt:variant>
        <vt:lpwstr/>
      </vt:variant>
      <vt:variant>
        <vt:lpwstr>_Toc533082666</vt:lpwstr>
      </vt:variant>
      <vt:variant>
        <vt:i4>1048632</vt:i4>
      </vt:variant>
      <vt:variant>
        <vt:i4>32</vt:i4>
      </vt:variant>
      <vt:variant>
        <vt:i4>0</vt:i4>
      </vt:variant>
      <vt:variant>
        <vt:i4>5</vt:i4>
      </vt:variant>
      <vt:variant>
        <vt:lpwstr/>
      </vt:variant>
      <vt:variant>
        <vt:lpwstr>_Toc533082665</vt:lpwstr>
      </vt:variant>
      <vt:variant>
        <vt:i4>1048632</vt:i4>
      </vt:variant>
      <vt:variant>
        <vt:i4>26</vt:i4>
      </vt:variant>
      <vt:variant>
        <vt:i4>0</vt:i4>
      </vt:variant>
      <vt:variant>
        <vt:i4>5</vt:i4>
      </vt:variant>
      <vt:variant>
        <vt:lpwstr/>
      </vt:variant>
      <vt:variant>
        <vt:lpwstr>_Toc533082664</vt:lpwstr>
      </vt:variant>
      <vt:variant>
        <vt:i4>1048632</vt:i4>
      </vt:variant>
      <vt:variant>
        <vt:i4>20</vt:i4>
      </vt:variant>
      <vt:variant>
        <vt:i4>0</vt:i4>
      </vt:variant>
      <vt:variant>
        <vt:i4>5</vt:i4>
      </vt:variant>
      <vt:variant>
        <vt:lpwstr/>
      </vt:variant>
      <vt:variant>
        <vt:lpwstr>_Toc533082663</vt:lpwstr>
      </vt:variant>
      <vt:variant>
        <vt:i4>1048632</vt:i4>
      </vt:variant>
      <vt:variant>
        <vt:i4>14</vt:i4>
      </vt:variant>
      <vt:variant>
        <vt:i4>0</vt:i4>
      </vt:variant>
      <vt:variant>
        <vt:i4>5</vt:i4>
      </vt:variant>
      <vt:variant>
        <vt:lpwstr/>
      </vt:variant>
      <vt:variant>
        <vt:lpwstr>_Toc533082662</vt:lpwstr>
      </vt:variant>
      <vt:variant>
        <vt:i4>1048632</vt:i4>
      </vt:variant>
      <vt:variant>
        <vt:i4>8</vt:i4>
      </vt:variant>
      <vt:variant>
        <vt:i4>0</vt:i4>
      </vt:variant>
      <vt:variant>
        <vt:i4>5</vt:i4>
      </vt:variant>
      <vt:variant>
        <vt:lpwstr/>
      </vt:variant>
      <vt:variant>
        <vt:lpwstr>_Toc533082661</vt:lpwstr>
      </vt:variant>
      <vt:variant>
        <vt:i4>1048632</vt:i4>
      </vt:variant>
      <vt:variant>
        <vt:i4>2</vt:i4>
      </vt:variant>
      <vt:variant>
        <vt:i4>0</vt:i4>
      </vt:variant>
      <vt:variant>
        <vt:i4>5</vt:i4>
      </vt:variant>
      <vt:variant>
        <vt:lpwstr/>
      </vt:variant>
      <vt:variant>
        <vt:lpwstr>_Toc533082660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subject/>
  <dc:creator>Corporate User</dc:creator>
  <cp:keywords/>
  <cp:lastModifiedBy>Czinege-Gyalog Éva</cp:lastModifiedBy>
  <cp:revision>2</cp:revision>
  <cp:lastPrinted>2012-06-14T13:43:00Z</cp:lastPrinted>
  <dcterms:created xsi:type="dcterms:W3CDTF">2022-03-31T09:00:00Z</dcterms:created>
  <dcterms:modified xsi:type="dcterms:W3CDTF">2022-03-31T09:00:00Z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2018-12-20T14:30:29.5685517+01:00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2027-03-31T08:59:59Z</vt:filetime>
  </property>
  <property fmtid="{D5CDD505-2E9C-101B-9397-08002B2CF9AE}" pid="12" name="Érvényességet beállító">
    <vt:lpwstr>gyaloge</vt:lpwstr>
  </property>
  <property fmtid="{D5CDD505-2E9C-101B-9397-08002B2CF9AE}" pid="13" name="Érvényességi idő első beállítása">
    <vt:filetime>2022-03-31T08:59:59Z</vt:filetime>
  </property>
</Properties>
</file>