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C44E5" w14:textId="77777777" w:rsidR="00C8603B" w:rsidRPr="00C1150C" w:rsidRDefault="00C8603B">
      <w:pPr>
        <w:jc w:val="both"/>
        <w:rPr>
          <w:rFonts w:ascii="Arial" w:hAnsi="Arial" w:cs="Arial"/>
          <w:b/>
          <w:color w:val="000000" w:themeColor="text1"/>
          <w:sz w:val="20"/>
          <w:lang w:val="en-GB"/>
        </w:rPr>
      </w:pPr>
      <w:r w:rsidRPr="00C1150C">
        <w:rPr>
          <w:rFonts w:ascii="Arial" w:hAnsi="Arial" w:cs="Arial"/>
          <w:b/>
          <w:bCs/>
          <w:color w:val="000000" w:themeColor="text1"/>
          <w:sz w:val="20"/>
          <w:lang w:val="en-GB"/>
        </w:rPr>
        <w:t>MNB identification code: D23, D24, D25</w:t>
      </w:r>
    </w:p>
    <w:p w14:paraId="013BE6FA" w14:textId="77777777" w:rsidR="00C8603B" w:rsidRPr="00C1150C" w:rsidRDefault="00C8603B">
      <w:pPr>
        <w:jc w:val="both"/>
        <w:rPr>
          <w:rFonts w:ascii="Arial" w:hAnsi="Arial" w:cs="Arial"/>
          <w:color w:val="000000" w:themeColor="text1"/>
          <w:sz w:val="20"/>
          <w:lang w:val="en-GB"/>
        </w:rPr>
      </w:pPr>
    </w:p>
    <w:p w14:paraId="7218B9DE" w14:textId="77777777" w:rsidR="00C8603B" w:rsidRPr="00C1150C" w:rsidRDefault="00C8603B">
      <w:pPr>
        <w:jc w:val="both"/>
        <w:rPr>
          <w:rFonts w:ascii="Arial" w:hAnsi="Arial" w:cs="Arial"/>
          <w:b/>
          <w:color w:val="000000" w:themeColor="text1"/>
          <w:sz w:val="20"/>
          <w:lang w:val="en-GB"/>
        </w:rPr>
      </w:pPr>
    </w:p>
    <w:p w14:paraId="399F6A91" w14:textId="77777777" w:rsidR="00C8603B" w:rsidRPr="00C1150C" w:rsidRDefault="00C8603B">
      <w:pPr>
        <w:jc w:val="both"/>
        <w:rPr>
          <w:rFonts w:ascii="Arial" w:hAnsi="Arial" w:cs="Arial"/>
          <w:b/>
          <w:color w:val="000000" w:themeColor="text1"/>
          <w:sz w:val="20"/>
          <w:lang w:val="en-GB"/>
        </w:rPr>
      </w:pPr>
    </w:p>
    <w:p w14:paraId="33C817DD" w14:textId="7797E175" w:rsidR="00C8603B" w:rsidRPr="00C1150C" w:rsidRDefault="00C8603B">
      <w:pPr>
        <w:pStyle w:val="Cmsor1"/>
        <w:jc w:val="center"/>
        <w:rPr>
          <w:rFonts w:cs="Arial"/>
          <w:color w:val="000000" w:themeColor="text1"/>
          <w:sz w:val="20"/>
          <w:lang w:val="en-GB"/>
        </w:rPr>
      </w:pPr>
      <w:r w:rsidRPr="00C1150C">
        <w:rPr>
          <w:rFonts w:cs="Arial"/>
          <w:bCs/>
          <w:color w:val="000000" w:themeColor="text1"/>
          <w:sz w:val="20"/>
          <w:lang w:val="en-GB"/>
        </w:rPr>
        <w:t>Completion instructions</w:t>
      </w:r>
    </w:p>
    <w:p w14:paraId="7F864F47" w14:textId="03395826" w:rsidR="00B02FA7" w:rsidRPr="00C1150C" w:rsidRDefault="008259A3" w:rsidP="00AF49FF">
      <w:pPr>
        <w:jc w:val="center"/>
        <w:rPr>
          <w:rFonts w:ascii="Arial" w:hAnsi="Arial" w:cs="Arial"/>
          <w:b/>
          <w:color w:val="000000" w:themeColor="text1"/>
          <w:sz w:val="20"/>
          <w:lang w:val="en-GB"/>
        </w:rPr>
      </w:pPr>
      <w:r w:rsidRPr="00C1150C">
        <w:rPr>
          <w:rFonts w:ascii="Arial" w:hAnsi="Arial" w:cs="Arial"/>
          <w:b/>
          <w:bCs/>
          <w:color w:val="000000" w:themeColor="text1"/>
          <w:sz w:val="20"/>
          <w:lang w:val="en-GB"/>
        </w:rPr>
        <w:t>Central Bank survey on foreign exchange and derivatives market activity</w:t>
      </w:r>
    </w:p>
    <w:p w14:paraId="57FD208C" w14:textId="211B7867" w:rsidR="00C8603B" w:rsidRPr="00C1150C" w:rsidRDefault="008259A3" w:rsidP="00866805">
      <w:pPr>
        <w:jc w:val="center"/>
        <w:rPr>
          <w:rFonts w:ascii="Arial" w:hAnsi="Arial" w:cs="Arial"/>
          <w:b/>
          <w:color w:val="000000" w:themeColor="text1"/>
          <w:sz w:val="20"/>
          <w:lang w:val="en-GB"/>
        </w:rPr>
      </w:pPr>
      <w:r w:rsidRPr="00C1150C">
        <w:rPr>
          <w:rFonts w:ascii="Arial" w:hAnsi="Arial" w:cs="Arial"/>
          <w:b/>
          <w:bCs/>
          <w:color w:val="000000" w:themeColor="text1"/>
          <w:sz w:val="20"/>
          <w:lang w:val="en-GB"/>
        </w:rPr>
        <w:t>(settlement data)</w:t>
      </w:r>
    </w:p>
    <w:p w14:paraId="4DF8468A" w14:textId="460A7748" w:rsidR="00B02FA7" w:rsidRPr="00C1150C" w:rsidRDefault="00C8603B" w:rsidP="00AF49FF">
      <w:pPr>
        <w:pStyle w:val="Szvegtrzs2"/>
        <w:rPr>
          <w:rFonts w:ascii="Arial" w:hAnsi="Arial" w:cs="Arial"/>
          <w:color w:val="000000" w:themeColor="text1"/>
          <w:sz w:val="20"/>
          <w:lang w:val="en-GB"/>
        </w:rPr>
      </w:pPr>
      <w:r w:rsidRPr="00C1150C">
        <w:rPr>
          <w:rFonts w:ascii="Arial" w:hAnsi="Arial" w:cs="Arial"/>
          <w:bCs/>
          <w:color w:val="000000" w:themeColor="text1"/>
          <w:sz w:val="20"/>
          <w:lang w:val="en-GB"/>
        </w:rPr>
        <w:t>Central Bank survey on foreign exchange and derivatives market activity</w:t>
      </w:r>
    </w:p>
    <w:p w14:paraId="24D66FD4" w14:textId="13449AD6" w:rsidR="00DE7EC7" w:rsidRPr="00C1150C" w:rsidRDefault="00C8603B">
      <w:pPr>
        <w:pStyle w:val="Szvegtrzs2"/>
        <w:rPr>
          <w:rFonts w:ascii="Arial" w:hAnsi="Arial" w:cs="Arial"/>
          <w:color w:val="000000" w:themeColor="text1"/>
          <w:sz w:val="20"/>
          <w:lang w:val="en-GB"/>
        </w:rPr>
      </w:pPr>
      <w:r w:rsidRPr="00C1150C">
        <w:rPr>
          <w:rFonts w:ascii="Arial" w:hAnsi="Arial" w:cs="Arial"/>
          <w:bCs/>
          <w:color w:val="000000" w:themeColor="text1"/>
          <w:sz w:val="20"/>
          <w:lang w:val="en-GB"/>
        </w:rPr>
        <w:t>(turnover data)</w:t>
      </w:r>
    </w:p>
    <w:p w14:paraId="689B43A5" w14:textId="1A8EF1F4" w:rsidR="00B02FA7" w:rsidRPr="00C1150C" w:rsidRDefault="00DE7EC7" w:rsidP="00AF49FF">
      <w:pPr>
        <w:pStyle w:val="Szvegtrzs2"/>
        <w:rPr>
          <w:rFonts w:ascii="Arial" w:hAnsi="Arial" w:cs="Arial"/>
          <w:color w:val="000000" w:themeColor="text1"/>
          <w:sz w:val="20"/>
          <w:lang w:val="en-GB"/>
        </w:rPr>
      </w:pPr>
      <w:r w:rsidRPr="00C1150C">
        <w:rPr>
          <w:rFonts w:ascii="Arial" w:hAnsi="Arial" w:cs="Arial"/>
          <w:bCs/>
          <w:color w:val="000000" w:themeColor="text1"/>
          <w:sz w:val="20"/>
          <w:lang w:val="en-GB"/>
        </w:rPr>
        <w:t>Central Bank survey on foreign exchange and derivatives market activity</w:t>
      </w:r>
    </w:p>
    <w:p w14:paraId="518CF11B" w14:textId="7F832DD2" w:rsidR="00C8603B" w:rsidRPr="00C1150C" w:rsidRDefault="00DE7EC7">
      <w:pPr>
        <w:pStyle w:val="Szvegtrzs2"/>
        <w:rPr>
          <w:rFonts w:ascii="Arial" w:hAnsi="Arial" w:cs="Arial"/>
          <w:color w:val="000000" w:themeColor="text1"/>
          <w:sz w:val="20"/>
          <w:lang w:val="en-GB"/>
        </w:rPr>
      </w:pPr>
      <w:r w:rsidRPr="00C1150C">
        <w:rPr>
          <w:rFonts w:ascii="Arial" w:hAnsi="Arial" w:cs="Arial"/>
          <w:bCs/>
          <w:color w:val="000000" w:themeColor="text1"/>
          <w:sz w:val="20"/>
          <w:lang w:val="en-GB"/>
        </w:rPr>
        <w:t>(</w:t>
      </w:r>
      <w:r w:rsidR="000229A1" w:rsidRPr="00C1150C">
        <w:rPr>
          <w:rFonts w:ascii="Arial" w:hAnsi="Arial" w:cs="Arial"/>
          <w:bCs/>
          <w:color w:val="000000" w:themeColor="text1"/>
          <w:sz w:val="20"/>
          <w:lang w:val="en-GB"/>
        </w:rPr>
        <w:t>outstanding</w:t>
      </w:r>
      <w:r w:rsidR="007D2083" w:rsidRPr="00C1150C">
        <w:rPr>
          <w:rFonts w:ascii="Arial" w:hAnsi="Arial" w:cs="Arial"/>
          <w:bCs/>
          <w:color w:val="000000" w:themeColor="text1"/>
          <w:sz w:val="20"/>
          <w:lang w:val="en-GB"/>
        </w:rPr>
        <w:t xml:space="preserve"> amount</w:t>
      </w:r>
      <w:r w:rsidRPr="00C1150C">
        <w:rPr>
          <w:rFonts w:ascii="Arial" w:hAnsi="Arial" w:cs="Arial"/>
          <w:bCs/>
          <w:color w:val="000000" w:themeColor="text1"/>
          <w:sz w:val="20"/>
          <w:lang w:val="en-GB"/>
        </w:rPr>
        <w:t>)</w:t>
      </w:r>
    </w:p>
    <w:p w14:paraId="270A7187" w14:textId="77777777" w:rsidR="00EF1DAE" w:rsidRPr="00C1150C" w:rsidRDefault="00EF1DAE">
      <w:pPr>
        <w:pStyle w:val="Szvegtrzs2"/>
        <w:rPr>
          <w:rFonts w:ascii="Arial" w:hAnsi="Arial" w:cs="Arial"/>
          <w:color w:val="000000" w:themeColor="text1"/>
          <w:sz w:val="20"/>
          <w:lang w:val="en-GB"/>
        </w:rPr>
      </w:pPr>
    </w:p>
    <w:p w14:paraId="241FD2D7" w14:textId="77777777" w:rsidR="00657037" w:rsidRPr="00C1150C" w:rsidRDefault="00657037">
      <w:pPr>
        <w:pStyle w:val="Szvegtrzs2"/>
        <w:rPr>
          <w:rFonts w:ascii="Arial" w:hAnsi="Arial" w:cs="Arial"/>
          <w:color w:val="000000" w:themeColor="text1"/>
          <w:sz w:val="20"/>
          <w:lang w:val="en-GB"/>
        </w:rPr>
      </w:pPr>
    </w:p>
    <w:p w14:paraId="56B1FDEA" w14:textId="375CBAD1" w:rsidR="00C8603B" w:rsidRPr="00C1150C" w:rsidRDefault="00C8603B">
      <w:pPr>
        <w:pStyle w:val="Cmsor1"/>
        <w:rPr>
          <w:rFonts w:cs="Arial"/>
          <w:color w:val="000000" w:themeColor="text1"/>
          <w:sz w:val="20"/>
          <w:lang w:val="en-GB"/>
        </w:rPr>
      </w:pPr>
      <w:r w:rsidRPr="00C1150C">
        <w:rPr>
          <w:rFonts w:cs="Arial"/>
          <w:bCs/>
          <w:color w:val="000000" w:themeColor="text1"/>
          <w:sz w:val="20"/>
          <w:lang w:val="en-GB"/>
        </w:rPr>
        <w:t>I</w:t>
      </w:r>
      <w:r w:rsidR="00F51ABA" w:rsidRPr="00C1150C">
        <w:rPr>
          <w:rFonts w:cs="Arial"/>
          <w:bCs/>
          <w:color w:val="000000" w:themeColor="text1"/>
          <w:sz w:val="20"/>
          <w:lang w:val="en-GB"/>
        </w:rPr>
        <w:t>.</w:t>
      </w:r>
      <w:r w:rsidRPr="00C1150C">
        <w:rPr>
          <w:rFonts w:cs="Arial"/>
          <w:bCs/>
          <w:color w:val="000000" w:themeColor="text1"/>
          <w:sz w:val="20"/>
          <w:lang w:val="en-GB"/>
        </w:rPr>
        <w:t xml:space="preserve"> General instructions</w:t>
      </w:r>
    </w:p>
    <w:p w14:paraId="0566EADB" w14:textId="29426D27" w:rsidR="00C8603B" w:rsidRPr="00C1150C" w:rsidRDefault="00C8603B" w:rsidP="00EF1DAE">
      <w:pPr>
        <w:spacing w:before="120"/>
        <w:jc w:val="both"/>
        <w:rPr>
          <w:rFonts w:ascii="Arial" w:hAnsi="Arial" w:cs="Arial"/>
          <w:color w:val="000000" w:themeColor="text1"/>
          <w:sz w:val="20"/>
          <w:lang w:val="en-GB"/>
        </w:rPr>
      </w:pPr>
      <w:r w:rsidRPr="00C1150C">
        <w:rPr>
          <w:rFonts w:ascii="Arial" w:hAnsi="Arial" w:cs="Arial"/>
          <w:color w:val="000000" w:themeColor="text1"/>
          <w:sz w:val="20"/>
          <w:lang w:val="en-GB"/>
        </w:rPr>
        <w:t>1. The MNB shall notify in writing the designated data provider of its obligation to report data.</w:t>
      </w:r>
    </w:p>
    <w:p w14:paraId="17E7287E" w14:textId="4AF09AB7" w:rsidR="00322004" w:rsidRPr="00C1150C" w:rsidRDefault="00335424" w:rsidP="00AF49FF">
      <w:pPr>
        <w:spacing w:before="120"/>
        <w:jc w:val="both"/>
        <w:rPr>
          <w:rFonts w:ascii="Arial" w:hAnsi="Arial" w:cs="Arial"/>
          <w:color w:val="000000" w:themeColor="text1"/>
          <w:sz w:val="20"/>
          <w:lang w:val="en-GB"/>
        </w:rPr>
      </w:pPr>
      <w:r w:rsidRPr="00C1150C">
        <w:rPr>
          <w:rFonts w:ascii="Arial" w:hAnsi="Arial" w:cs="Arial"/>
          <w:color w:val="000000" w:themeColor="text1"/>
          <w:sz w:val="20"/>
          <w:lang w:val="en-GB"/>
        </w:rPr>
        <w:t>2. Under MNB identification code D23, the settlement data for two-way FX transactions settled in April 2025 with a value date (settlement) in April 2025 must be reported.</w:t>
      </w:r>
    </w:p>
    <w:p w14:paraId="39FA14E2" w14:textId="4B12DC1C" w:rsidR="00322004" w:rsidRPr="00C1150C" w:rsidRDefault="00322004" w:rsidP="00322004">
      <w:pPr>
        <w:spacing w:before="120"/>
        <w:jc w:val="both"/>
        <w:rPr>
          <w:rFonts w:ascii="Arial" w:hAnsi="Arial" w:cs="Arial"/>
          <w:color w:val="000000" w:themeColor="text1"/>
          <w:sz w:val="20"/>
          <w:lang w:val="en-GB"/>
        </w:rPr>
      </w:pPr>
      <w:r w:rsidRPr="00C1150C">
        <w:rPr>
          <w:rFonts w:ascii="Arial" w:hAnsi="Arial" w:cs="Arial"/>
          <w:color w:val="000000" w:themeColor="text1"/>
          <w:sz w:val="20"/>
          <w:lang w:val="en-GB"/>
        </w:rPr>
        <w:t>The paid leg of settled transactions should be reported, and both spot and forward legs should be taken into account if both are settled within the same month. Transactions should be reported on a gross basis, except for row (3)(a). Settlement data must be reported by global group, which includes majority-owned subsidiaries and branches. All transactions settled globally by a reporting dealer must be reported, regardless of the jurisdiction in which the transaction was executed.</w:t>
      </w:r>
    </w:p>
    <w:p w14:paraId="2D601AA6" w14:textId="2D92EAD3" w:rsidR="00322004" w:rsidRPr="00C1150C" w:rsidRDefault="009E0F99" w:rsidP="00322004">
      <w:pPr>
        <w:spacing w:before="120"/>
        <w:jc w:val="both"/>
        <w:rPr>
          <w:rFonts w:ascii="Arial" w:hAnsi="Arial" w:cs="Arial"/>
          <w:color w:val="000000" w:themeColor="text1"/>
          <w:sz w:val="20"/>
          <w:lang w:val="en-GB"/>
        </w:rPr>
      </w:pPr>
      <w:r w:rsidRPr="00C1150C">
        <w:rPr>
          <w:rFonts w:ascii="Arial" w:hAnsi="Arial" w:cs="Arial"/>
          <w:color w:val="000000" w:themeColor="text1"/>
          <w:sz w:val="20"/>
          <w:lang w:val="en-GB"/>
        </w:rPr>
        <w:t>3. Transactions entered into in April 2025 must be included in the data reported with MNB identification code D24, regardless of when the transactions are closed. Both own account and agency transaction data should be included (on a consolidated basis). Transactions within the group (e.g. branches, subsidiaries) must also be reported. Internal transactions for accounting purposes do not need to be included in the tables.</w:t>
      </w:r>
    </w:p>
    <w:p w14:paraId="66EC66D3" w14:textId="5AD675AC" w:rsidR="00322004" w:rsidRPr="00C1150C" w:rsidRDefault="009E0F99" w:rsidP="00EF1DAE">
      <w:pPr>
        <w:spacing w:before="120"/>
        <w:jc w:val="both"/>
        <w:rPr>
          <w:rFonts w:ascii="Arial" w:hAnsi="Arial" w:cs="Arial"/>
          <w:color w:val="000000" w:themeColor="text1"/>
          <w:sz w:val="20"/>
          <w:lang w:val="en-GB"/>
        </w:rPr>
      </w:pPr>
      <w:r w:rsidRPr="00C1150C">
        <w:rPr>
          <w:rFonts w:ascii="Arial" w:hAnsi="Arial" w:cs="Arial"/>
          <w:color w:val="000000" w:themeColor="text1"/>
          <w:sz w:val="20"/>
          <w:lang w:val="en-GB"/>
        </w:rPr>
        <w:t xml:space="preserve">4. Under MNB identification code D25, </w:t>
      </w:r>
      <w:r w:rsidR="000229A1" w:rsidRPr="00C1150C">
        <w:rPr>
          <w:rFonts w:ascii="Arial" w:hAnsi="Arial" w:cs="Arial"/>
          <w:color w:val="000000" w:themeColor="text1"/>
          <w:sz w:val="20"/>
          <w:lang w:val="en-GB"/>
        </w:rPr>
        <w:t>the</w:t>
      </w:r>
      <w:r w:rsidR="007D2083" w:rsidRPr="00C1150C">
        <w:rPr>
          <w:rFonts w:ascii="Arial" w:hAnsi="Arial" w:cs="Arial"/>
          <w:color w:val="000000" w:themeColor="text1"/>
          <w:sz w:val="20"/>
          <w:lang w:val="en-GB"/>
        </w:rPr>
        <w:t xml:space="preserve"> </w:t>
      </w:r>
      <w:r w:rsidR="000229A1" w:rsidRPr="00C1150C">
        <w:rPr>
          <w:rFonts w:ascii="Arial" w:hAnsi="Arial" w:cs="Arial"/>
          <w:color w:val="000000" w:themeColor="text1"/>
          <w:sz w:val="20"/>
          <w:lang w:val="en-GB"/>
        </w:rPr>
        <w:t>outstanding</w:t>
      </w:r>
      <w:r w:rsidR="007D2083" w:rsidRPr="00C1150C">
        <w:rPr>
          <w:rFonts w:ascii="Arial" w:hAnsi="Arial" w:cs="Arial"/>
          <w:color w:val="000000" w:themeColor="text1"/>
          <w:sz w:val="20"/>
          <w:lang w:val="en-GB"/>
        </w:rPr>
        <w:t xml:space="preserve"> amount</w:t>
      </w:r>
      <w:r w:rsidRPr="00C1150C">
        <w:rPr>
          <w:rFonts w:ascii="Arial" w:hAnsi="Arial" w:cs="Arial"/>
          <w:color w:val="000000" w:themeColor="text1"/>
          <w:sz w:val="20"/>
          <w:lang w:val="en-GB"/>
        </w:rPr>
        <w:t xml:space="preserve"> </w:t>
      </w:r>
      <w:r w:rsidR="000229A1" w:rsidRPr="00C1150C">
        <w:rPr>
          <w:rFonts w:ascii="Arial" w:hAnsi="Arial" w:cs="Arial"/>
          <w:color w:val="000000" w:themeColor="text1"/>
          <w:sz w:val="20"/>
          <w:lang w:val="en-GB"/>
        </w:rPr>
        <w:t>at</w:t>
      </w:r>
      <w:r w:rsidRPr="00C1150C">
        <w:rPr>
          <w:rFonts w:ascii="Arial" w:hAnsi="Arial" w:cs="Arial"/>
          <w:color w:val="000000" w:themeColor="text1"/>
          <w:sz w:val="20"/>
          <w:lang w:val="en-GB"/>
        </w:rPr>
        <w:t>30 June 2025 must be reported, regardless of when the transactions were concluded.</w:t>
      </w:r>
    </w:p>
    <w:p w14:paraId="3B7E5CE6" w14:textId="6A631692" w:rsidR="00C8603B" w:rsidRPr="00C1150C" w:rsidRDefault="00322004" w:rsidP="00EF1DAE">
      <w:pPr>
        <w:spacing w:before="120"/>
        <w:jc w:val="both"/>
        <w:rPr>
          <w:rFonts w:ascii="Arial" w:hAnsi="Arial" w:cs="Arial"/>
          <w:color w:val="000000" w:themeColor="text1"/>
          <w:sz w:val="20"/>
          <w:lang w:val="en-GB"/>
        </w:rPr>
      </w:pPr>
      <w:r w:rsidRPr="00C1150C">
        <w:rPr>
          <w:rFonts w:ascii="Arial" w:hAnsi="Arial" w:cs="Arial"/>
          <w:color w:val="000000" w:themeColor="text1"/>
          <w:sz w:val="20"/>
          <w:lang w:val="en-GB"/>
        </w:rPr>
        <w:t xml:space="preserve">5. The </w:t>
      </w:r>
      <w:r w:rsidR="000229A1" w:rsidRPr="00C1150C">
        <w:rPr>
          <w:rFonts w:ascii="Arial" w:hAnsi="Arial" w:cs="Arial"/>
          <w:color w:val="000000" w:themeColor="text1"/>
          <w:sz w:val="20"/>
          <w:lang w:val="en-GB"/>
        </w:rPr>
        <w:t>outstanding</w:t>
      </w:r>
      <w:r w:rsidR="007D2083" w:rsidRPr="00C1150C">
        <w:rPr>
          <w:rFonts w:ascii="Arial" w:hAnsi="Arial" w:cs="Arial"/>
          <w:color w:val="000000" w:themeColor="text1"/>
          <w:sz w:val="20"/>
          <w:lang w:val="en-GB"/>
        </w:rPr>
        <w:t xml:space="preserve"> amount</w:t>
      </w:r>
      <w:r w:rsidRPr="00C1150C">
        <w:rPr>
          <w:rFonts w:ascii="Arial" w:hAnsi="Arial" w:cs="Arial"/>
          <w:color w:val="000000" w:themeColor="text1"/>
          <w:sz w:val="20"/>
          <w:lang w:val="en-GB"/>
        </w:rPr>
        <w:t xml:space="preserve"> of group members (e.g. branches, subsidiaries) must be reported on a consolidated basis by the reporting parent company. </w:t>
      </w:r>
      <w:r w:rsidR="000229A1" w:rsidRPr="00C1150C">
        <w:rPr>
          <w:rFonts w:ascii="Arial" w:hAnsi="Arial" w:cs="Arial"/>
          <w:color w:val="000000" w:themeColor="text1"/>
          <w:sz w:val="20"/>
          <w:lang w:val="en-GB"/>
        </w:rPr>
        <w:t>The</w:t>
      </w:r>
      <w:r w:rsidR="007D2083" w:rsidRPr="00C1150C">
        <w:rPr>
          <w:rFonts w:ascii="Arial" w:hAnsi="Arial" w:cs="Arial"/>
          <w:color w:val="000000" w:themeColor="text1"/>
          <w:sz w:val="20"/>
          <w:lang w:val="en-GB"/>
        </w:rPr>
        <w:t xml:space="preserve"> </w:t>
      </w:r>
      <w:r w:rsidR="000229A1" w:rsidRPr="00C1150C">
        <w:rPr>
          <w:rFonts w:ascii="Arial" w:hAnsi="Arial" w:cs="Arial"/>
          <w:color w:val="000000" w:themeColor="text1"/>
          <w:sz w:val="20"/>
          <w:lang w:val="en-GB"/>
        </w:rPr>
        <w:t xml:space="preserve">outstanding </w:t>
      </w:r>
      <w:proofErr w:type="spellStart"/>
      <w:r w:rsidR="007D2083" w:rsidRPr="00C1150C">
        <w:rPr>
          <w:rFonts w:ascii="Arial" w:hAnsi="Arial" w:cs="Arial"/>
          <w:color w:val="000000" w:themeColor="text1"/>
          <w:sz w:val="20"/>
          <w:lang w:val="en-GB"/>
        </w:rPr>
        <w:t>amount</w:t>
      </w:r>
      <w:r w:rsidRPr="00C1150C">
        <w:rPr>
          <w:rFonts w:ascii="Arial" w:hAnsi="Arial" w:cs="Arial"/>
          <w:color w:val="000000" w:themeColor="text1"/>
          <w:sz w:val="20"/>
          <w:lang w:val="en-GB"/>
        </w:rPr>
        <w:t>arising</w:t>
      </w:r>
      <w:proofErr w:type="spellEnd"/>
      <w:r w:rsidRPr="00C1150C">
        <w:rPr>
          <w:rFonts w:ascii="Arial" w:hAnsi="Arial" w:cs="Arial"/>
          <w:color w:val="000000" w:themeColor="text1"/>
          <w:sz w:val="20"/>
          <w:lang w:val="en-GB"/>
        </w:rPr>
        <w:t xml:space="preserve"> from transactions within a company or group should not be included in the tables.</w:t>
      </w:r>
    </w:p>
    <w:p w14:paraId="79BEA843" w14:textId="3539CEE7" w:rsidR="00C8603B" w:rsidRPr="00C1150C" w:rsidRDefault="00322004" w:rsidP="00EF1DAE">
      <w:pPr>
        <w:spacing w:before="120"/>
        <w:jc w:val="both"/>
        <w:rPr>
          <w:rFonts w:ascii="Arial" w:hAnsi="Arial" w:cs="Arial"/>
          <w:color w:val="000000" w:themeColor="text1"/>
          <w:sz w:val="20"/>
          <w:lang w:val="en-GB"/>
        </w:rPr>
      </w:pPr>
      <w:r w:rsidRPr="00C1150C">
        <w:rPr>
          <w:rFonts w:ascii="Arial" w:hAnsi="Arial" w:cs="Arial"/>
          <w:color w:val="000000" w:themeColor="text1"/>
          <w:sz w:val="20"/>
          <w:lang w:val="en-GB"/>
        </w:rPr>
        <w:t>6. Reporting does not cover stock exchange trade.</w:t>
      </w:r>
    </w:p>
    <w:p w14:paraId="224A01D6" w14:textId="72A12BF2" w:rsidR="00C8603B" w:rsidRPr="00C1150C" w:rsidRDefault="00322004" w:rsidP="00EF1DAE">
      <w:pPr>
        <w:tabs>
          <w:tab w:val="left" w:pos="8931"/>
        </w:tabs>
        <w:spacing w:before="120"/>
        <w:jc w:val="both"/>
        <w:rPr>
          <w:rFonts w:ascii="Arial" w:hAnsi="Arial" w:cs="Arial"/>
          <w:color w:val="000000" w:themeColor="text1"/>
          <w:sz w:val="20"/>
          <w:lang w:val="en-GB"/>
        </w:rPr>
      </w:pPr>
      <w:r w:rsidRPr="00C1150C">
        <w:rPr>
          <w:rFonts w:ascii="Arial" w:hAnsi="Arial" w:cs="Arial"/>
          <w:color w:val="000000" w:themeColor="text1"/>
          <w:sz w:val="20"/>
          <w:lang w:val="en-GB"/>
        </w:rPr>
        <w:t>7. Under MNB identification codes D23 and D24, each transaction must be considered separately and may not be netted (offset against each other in any way). So, for example, buying USD 1 million for EUR and selling USD 2 million for EUR qualifies as turnover of USD 3 million.</w:t>
      </w:r>
    </w:p>
    <w:p w14:paraId="0C352D03" w14:textId="7E5D3205" w:rsidR="00C8603B" w:rsidRPr="00C1150C" w:rsidRDefault="00322004" w:rsidP="00EF1DAE">
      <w:pPr>
        <w:spacing w:before="120"/>
        <w:jc w:val="both"/>
        <w:rPr>
          <w:rFonts w:ascii="Arial" w:hAnsi="Arial" w:cs="Arial"/>
          <w:color w:val="000000" w:themeColor="text1"/>
          <w:sz w:val="20"/>
          <w:lang w:val="en-GB"/>
        </w:rPr>
      </w:pPr>
      <w:r w:rsidRPr="00C1150C">
        <w:rPr>
          <w:rFonts w:ascii="Arial" w:hAnsi="Arial" w:cs="Arial"/>
          <w:color w:val="000000" w:themeColor="text1"/>
          <w:sz w:val="20"/>
          <w:lang w:val="en-GB"/>
        </w:rPr>
        <w:t>8. Data must be provided in millions of USD, rounded to at least 6 decimal places. Negative values and non-numeric data should not be included in the tables.</w:t>
      </w:r>
    </w:p>
    <w:p w14:paraId="6F0C7D64" w14:textId="11E3AE41" w:rsidR="00C8603B" w:rsidRPr="00C1150C" w:rsidRDefault="00322004" w:rsidP="00EF1DAE">
      <w:pPr>
        <w:spacing w:before="120"/>
        <w:jc w:val="both"/>
        <w:rPr>
          <w:rFonts w:ascii="Arial" w:hAnsi="Arial" w:cs="Arial"/>
          <w:color w:val="000000" w:themeColor="text1"/>
          <w:sz w:val="20"/>
          <w:lang w:val="en-GB"/>
        </w:rPr>
      </w:pPr>
      <w:r w:rsidRPr="00C1150C">
        <w:rPr>
          <w:rFonts w:ascii="Arial" w:hAnsi="Arial" w:cs="Arial"/>
          <w:color w:val="000000" w:themeColor="text1"/>
          <w:sz w:val="20"/>
          <w:lang w:val="en-GB"/>
        </w:rPr>
        <w:t>9. Under MNB identification codes D23 and D24, conversions to USD should be made at the official MNB exchange rate applicable on the date of the transaction. If there is no USD on either side of a transaction, only the USD value of one side must be specified, with the buy side preferred.</w:t>
      </w:r>
    </w:p>
    <w:p w14:paraId="4D335319" w14:textId="7FC682B7" w:rsidR="00C8603B" w:rsidRPr="00C1150C" w:rsidRDefault="00322004" w:rsidP="00EF1DAE">
      <w:pPr>
        <w:spacing w:before="120"/>
        <w:jc w:val="both"/>
        <w:rPr>
          <w:rFonts w:ascii="Arial" w:hAnsi="Arial" w:cs="Arial"/>
          <w:color w:val="000000" w:themeColor="text1"/>
          <w:sz w:val="20"/>
          <w:u w:val="single"/>
          <w:lang w:val="en-GB"/>
        </w:rPr>
      </w:pPr>
      <w:r w:rsidRPr="00C1150C">
        <w:rPr>
          <w:rFonts w:ascii="Arial" w:hAnsi="Arial" w:cs="Arial"/>
          <w:color w:val="000000" w:themeColor="text1"/>
          <w:sz w:val="20"/>
          <w:lang w:val="en-GB"/>
        </w:rPr>
        <w:t xml:space="preserve">10. Under MNB identification code D25, conversions must be made at the official MNB exchange rate of 30 June 2025. Data providers may use their own internal exchange rates, </w:t>
      </w:r>
      <w:proofErr w:type="gramStart"/>
      <w:r w:rsidRPr="00C1150C">
        <w:rPr>
          <w:rFonts w:ascii="Arial" w:hAnsi="Arial" w:cs="Arial"/>
          <w:color w:val="000000" w:themeColor="text1"/>
          <w:sz w:val="20"/>
          <w:lang w:val="en-GB"/>
        </w:rPr>
        <w:t>provided that</w:t>
      </w:r>
      <w:proofErr w:type="gramEnd"/>
      <w:r w:rsidRPr="00C1150C">
        <w:rPr>
          <w:rFonts w:ascii="Arial" w:hAnsi="Arial" w:cs="Arial"/>
          <w:color w:val="000000" w:themeColor="text1"/>
          <w:sz w:val="20"/>
          <w:lang w:val="en-GB"/>
        </w:rPr>
        <w:t xml:space="preserve"> these do not differ significantly from market rates.</w:t>
      </w:r>
    </w:p>
    <w:p w14:paraId="4507C3F8" w14:textId="505ADF80" w:rsidR="00C8603B" w:rsidRPr="00C1150C" w:rsidRDefault="00C8603B" w:rsidP="00EF1DAE">
      <w:pPr>
        <w:spacing w:before="120"/>
        <w:jc w:val="both"/>
        <w:rPr>
          <w:rFonts w:ascii="Arial" w:hAnsi="Arial" w:cs="Arial"/>
          <w:color w:val="000000" w:themeColor="text1"/>
          <w:sz w:val="20"/>
          <w:lang w:val="en-GB"/>
        </w:rPr>
      </w:pPr>
      <w:r w:rsidRPr="00C1150C">
        <w:rPr>
          <w:rFonts w:ascii="Arial" w:hAnsi="Arial" w:cs="Arial"/>
          <w:color w:val="000000" w:themeColor="text1"/>
          <w:sz w:val="20"/>
          <w:lang w:val="en-GB"/>
        </w:rPr>
        <w:t>11. Data can only be entered in cells left blank (uncoloured). (Data in the yellow cells containing the aggregate values are generated automatically.)</w:t>
      </w:r>
    </w:p>
    <w:p w14:paraId="5189CF44" w14:textId="61F63135" w:rsidR="00C8603B" w:rsidRPr="00C1150C" w:rsidRDefault="00C8603B" w:rsidP="00EF1DAE">
      <w:pPr>
        <w:spacing w:before="120"/>
        <w:jc w:val="both"/>
        <w:rPr>
          <w:rFonts w:ascii="Arial" w:hAnsi="Arial" w:cs="Arial"/>
          <w:color w:val="000000" w:themeColor="text1"/>
          <w:sz w:val="20"/>
          <w:lang w:val="en-GB"/>
        </w:rPr>
      </w:pPr>
      <w:r w:rsidRPr="00C1150C">
        <w:rPr>
          <w:rFonts w:ascii="Arial" w:hAnsi="Arial" w:cs="Arial"/>
          <w:color w:val="000000" w:themeColor="text1"/>
          <w:sz w:val="20"/>
          <w:lang w:val="en-GB"/>
        </w:rPr>
        <w:t xml:space="preserve">12. Compulsory intra-table and inter-table relations are presented in the technical guidelines set out in Section 5 of Annex 3, published on the </w:t>
      </w:r>
      <w:proofErr w:type="spellStart"/>
      <w:r w:rsidRPr="00C1150C">
        <w:rPr>
          <w:rFonts w:ascii="Arial" w:hAnsi="Arial" w:cs="Arial"/>
          <w:color w:val="000000" w:themeColor="text1"/>
          <w:sz w:val="20"/>
          <w:lang w:val="en-GB"/>
        </w:rPr>
        <w:t>MNB’s</w:t>
      </w:r>
      <w:proofErr w:type="spellEnd"/>
      <w:r w:rsidRPr="00C1150C">
        <w:rPr>
          <w:rFonts w:ascii="Arial" w:hAnsi="Arial" w:cs="Arial"/>
          <w:color w:val="000000" w:themeColor="text1"/>
          <w:sz w:val="20"/>
          <w:lang w:val="en-GB"/>
        </w:rPr>
        <w:t xml:space="preserve"> website.</w:t>
      </w:r>
    </w:p>
    <w:p w14:paraId="3E3337B6" w14:textId="77777777" w:rsidR="0042684F" w:rsidRPr="00C1150C" w:rsidRDefault="0042684F" w:rsidP="00EF1DAE">
      <w:pPr>
        <w:spacing w:before="120"/>
        <w:jc w:val="both"/>
        <w:rPr>
          <w:rFonts w:ascii="Arial" w:hAnsi="Arial" w:cs="Arial"/>
          <w:color w:val="000000" w:themeColor="text1"/>
          <w:sz w:val="20"/>
          <w:lang w:val="en-GB"/>
        </w:rPr>
      </w:pPr>
    </w:p>
    <w:p w14:paraId="18F6FFCC" w14:textId="77777777" w:rsidR="0042684F" w:rsidRPr="00C1150C" w:rsidRDefault="0042684F" w:rsidP="00EF1DAE">
      <w:pPr>
        <w:spacing w:before="120"/>
        <w:jc w:val="both"/>
        <w:rPr>
          <w:rFonts w:ascii="Arial" w:hAnsi="Arial" w:cs="Arial"/>
          <w:color w:val="000000" w:themeColor="text1"/>
          <w:sz w:val="20"/>
          <w:lang w:val="en-GB"/>
        </w:rPr>
      </w:pPr>
    </w:p>
    <w:p w14:paraId="2EE14629" w14:textId="77777777" w:rsidR="00C8603B" w:rsidRPr="00C1150C" w:rsidRDefault="00C8603B">
      <w:pPr>
        <w:jc w:val="both"/>
        <w:rPr>
          <w:rFonts w:ascii="Arial" w:hAnsi="Arial" w:cs="Arial"/>
          <w:color w:val="000000" w:themeColor="text1"/>
          <w:sz w:val="20"/>
          <w:lang w:val="en-GB"/>
        </w:rPr>
      </w:pPr>
    </w:p>
    <w:p w14:paraId="134D604C" w14:textId="77777777" w:rsidR="00C8603B" w:rsidRPr="00C1150C" w:rsidRDefault="00C8603B">
      <w:pPr>
        <w:jc w:val="both"/>
        <w:rPr>
          <w:rFonts w:ascii="Arial" w:hAnsi="Arial" w:cs="Arial"/>
          <w:color w:val="000000" w:themeColor="text1"/>
          <w:sz w:val="20"/>
          <w:lang w:val="en-GB"/>
        </w:rPr>
      </w:pPr>
    </w:p>
    <w:p w14:paraId="1A740F70" w14:textId="3CCAABBA" w:rsidR="00C8603B" w:rsidRPr="00C1150C" w:rsidRDefault="00C8603B">
      <w:pPr>
        <w:jc w:val="both"/>
        <w:rPr>
          <w:rFonts w:ascii="Arial" w:hAnsi="Arial" w:cs="Arial"/>
          <w:b/>
          <w:color w:val="000000" w:themeColor="text1"/>
          <w:sz w:val="20"/>
          <w:lang w:val="en-GB"/>
        </w:rPr>
      </w:pPr>
      <w:r w:rsidRPr="00C1150C">
        <w:rPr>
          <w:rFonts w:ascii="Arial" w:hAnsi="Arial" w:cs="Arial"/>
          <w:b/>
          <w:bCs/>
          <w:color w:val="000000" w:themeColor="text1"/>
          <w:sz w:val="20"/>
          <w:lang w:val="en-GB"/>
        </w:rPr>
        <w:t>II. Detailed instructions for completing the tables, how to compile the data</w:t>
      </w:r>
    </w:p>
    <w:p w14:paraId="71810EA1" w14:textId="2F70DED7" w:rsidR="00CF7F70" w:rsidRPr="00C1150C" w:rsidRDefault="00657037" w:rsidP="00AF49FF">
      <w:pPr>
        <w:pStyle w:val="Listaszerbekezds"/>
        <w:spacing w:before="120"/>
        <w:ind w:left="0"/>
        <w:jc w:val="both"/>
        <w:rPr>
          <w:rFonts w:ascii="Arial" w:hAnsi="Arial" w:cs="Arial"/>
          <w:color w:val="000000" w:themeColor="text1"/>
          <w:sz w:val="20"/>
          <w:lang w:val="en-GB"/>
        </w:rPr>
      </w:pPr>
      <w:r w:rsidRPr="00C1150C">
        <w:rPr>
          <w:rFonts w:ascii="Arial" w:hAnsi="Arial" w:cs="Arial"/>
          <w:color w:val="000000" w:themeColor="text1"/>
          <w:sz w:val="20"/>
          <w:lang w:val="en-GB"/>
        </w:rPr>
        <w:t xml:space="preserve">1. Reporting dealer: the data provider designated by the MNB in accordance with Section I.1. The list of reporting dealers is contained in the technical guidelines set out in Section 10 of Annex 3, published on the </w:t>
      </w:r>
      <w:proofErr w:type="spellStart"/>
      <w:r w:rsidRPr="00C1150C">
        <w:rPr>
          <w:rFonts w:ascii="Arial" w:hAnsi="Arial" w:cs="Arial"/>
          <w:color w:val="000000" w:themeColor="text1"/>
          <w:sz w:val="20"/>
          <w:lang w:val="en-GB"/>
        </w:rPr>
        <w:t>MNB’s</w:t>
      </w:r>
      <w:proofErr w:type="spellEnd"/>
      <w:r w:rsidRPr="00C1150C">
        <w:rPr>
          <w:rFonts w:ascii="Arial" w:hAnsi="Arial" w:cs="Arial"/>
          <w:color w:val="000000" w:themeColor="text1"/>
          <w:sz w:val="20"/>
          <w:lang w:val="en-GB"/>
        </w:rPr>
        <w:t xml:space="preserve"> website.</w:t>
      </w:r>
    </w:p>
    <w:p w14:paraId="7162B231" w14:textId="77777777" w:rsidR="00322004" w:rsidRPr="00C1150C" w:rsidRDefault="00322004" w:rsidP="004B34BB">
      <w:pPr>
        <w:spacing w:before="120"/>
        <w:jc w:val="both"/>
        <w:rPr>
          <w:rFonts w:ascii="Arial" w:hAnsi="Arial" w:cs="Arial"/>
          <w:color w:val="000000" w:themeColor="text1"/>
          <w:sz w:val="20"/>
          <w:lang w:val="en-GB"/>
        </w:rPr>
      </w:pPr>
      <w:r w:rsidRPr="00C1150C">
        <w:rPr>
          <w:rFonts w:ascii="Arial" w:hAnsi="Arial" w:cs="Arial"/>
          <w:color w:val="000000" w:themeColor="text1"/>
          <w:sz w:val="20"/>
          <w:lang w:val="en-GB"/>
        </w:rPr>
        <w:t xml:space="preserve">2. When filling in the tables, it is also necessary to </w:t>
      </w:r>
      <w:proofErr w:type="gramStart"/>
      <w:r w:rsidRPr="00C1150C">
        <w:rPr>
          <w:rFonts w:ascii="Arial" w:hAnsi="Arial" w:cs="Arial"/>
          <w:color w:val="000000" w:themeColor="text1"/>
          <w:sz w:val="20"/>
          <w:lang w:val="en-GB"/>
        </w:rPr>
        <w:t>take into account</w:t>
      </w:r>
      <w:proofErr w:type="gramEnd"/>
      <w:r w:rsidRPr="00C1150C">
        <w:rPr>
          <w:rFonts w:ascii="Arial" w:hAnsi="Arial" w:cs="Arial"/>
          <w:color w:val="000000" w:themeColor="text1"/>
          <w:sz w:val="20"/>
          <w:lang w:val="en-GB"/>
        </w:rPr>
        <w:t xml:space="preserve"> the footnotes to the tables.</w:t>
      </w:r>
    </w:p>
    <w:p w14:paraId="7F1B399C" w14:textId="3AA3162F" w:rsidR="00352527" w:rsidRPr="00C1150C" w:rsidRDefault="00866805" w:rsidP="00AF49FF">
      <w:pPr>
        <w:spacing w:before="120"/>
        <w:jc w:val="both"/>
        <w:rPr>
          <w:rFonts w:ascii="Arial" w:hAnsi="Arial" w:cs="Arial"/>
          <w:color w:val="000000" w:themeColor="text1"/>
          <w:sz w:val="20"/>
          <w:lang w:val="en-GB"/>
        </w:rPr>
      </w:pPr>
      <w:r w:rsidRPr="00C1150C">
        <w:rPr>
          <w:rFonts w:ascii="Arial" w:hAnsi="Arial" w:cs="Arial"/>
          <w:color w:val="000000" w:themeColor="text1"/>
          <w:sz w:val="20"/>
          <w:lang w:val="en-GB"/>
        </w:rPr>
        <w:t xml:space="preserve">3. The BIS reporting guidelines (for information purposes only) and the resulting methodological guide for completing the tables are contained in the technical guidelines set out in Section 11 of Annex 3, published on the </w:t>
      </w:r>
      <w:proofErr w:type="spellStart"/>
      <w:r w:rsidRPr="00C1150C">
        <w:rPr>
          <w:rFonts w:ascii="Arial" w:hAnsi="Arial" w:cs="Arial"/>
          <w:color w:val="000000" w:themeColor="text1"/>
          <w:sz w:val="20"/>
          <w:lang w:val="en-GB"/>
        </w:rPr>
        <w:t>MNB’s</w:t>
      </w:r>
      <w:proofErr w:type="spellEnd"/>
      <w:r w:rsidRPr="00C1150C">
        <w:rPr>
          <w:rFonts w:ascii="Arial" w:hAnsi="Arial" w:cs="Arial"/>
          <w:color w:val="000000" w:themeColor="text1"/>
          <w:sz w:val="20"/>
          <w:lang w:val="en-GB"/>
        </w:rPr>
        <w:t xml:space="preserve"> website.</w:t>
      </w:r>
    </w:p>
    <w:sectPr w:rsidR="00352527" w:rsidRPr="00C1150C" w:rsidSect="004B34BB">
      <w:headerReference w:type="even" r:id="rId7"/>
      <w:headerReference w:type="default" r:id="rId8"/>
      <w:footerReference w:type="default" r:id="rId9"/>
      <w:pgSz w:w="11907" w:h="16840" w:code="9"/>
      <w:pgMar w:top="1418" w:right="1230" w:bottom="1418" w:left="1230"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B2EE4" w14:textId="77777777" w:rsidR="006A7470" w:rsidRDefault="006A7470" w:rsidP="00A7024E">
      <w:r>
        <w:separator/>
      </w:r>
    </w:p>
  </w:endnote>
  <w:endnote w:type="continuationSeparator" w:id="0">
    <w:p w14:paraId="49558D9F" w14:textId="77777777" w:rsidR="006A7470" w:rsidRDefault="006A7470" w:rsidP="00A7024E">
      <w:r>
        <w:continuationSeparator/>
      </w:r>
    </w:p>
  </w:endnote>
  <w:endnote w:type="continuationNotice" w:id="1">
    <w:p w14:paraId="5A49A987" w14:textId="77777777" w:rsidR="006A7470" w:rsidRDefault="006A74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145EF" w14:textId="77777777" w:rsidR="006863E4" w:rsidRDefault="006863E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2D804" w14:textId="77777777" w:rsidR="006A7470" w:rsidRDefault="006A7470" w:rsidP="00A7024E">
      <w:r>
        <w:separator/>
      </w:r>
    </w:p>
  </w:footnote>
  <w:footnote w:type="continuationSeparator" w:id="0">
    <w:p w14:paraId="15087633" w14:textId="77777777" w:rsidR="006A7470" w:rsidRDefault="006A7470" w:rsidP="00A7024E">
      <w:r>
        <w:continuationSeparator/>
      </w:r>
    </w:p>
  </w:footnote>
  <w:footnote w:type="continuationNotice" w:id="1">
    <w:p w14:paraId="427A5F17" w14:textId="77777777" w:rsidR="006A7470" w:rsidRDefault="006A74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69CA8" w14:textId="77777777" w:rsidR="00352527" w:rsidRDefault="00CF7F70">
    <w:pPr>
      <w:pStyle w:val="lfej"/>
      <w:framePr w:wrap="around" w:vAnchor="text" w:hAnchor="margin" w:xAlign="center" w:y="1"/>
      <w:rPr>
        <w:rStyle w:val="Oldalszm"/>
      </w:rPr>
    </w:pPr>
    <w:r>
      <w:rPr>
        <w:rStyle w:val="Oldalszm"/>
        <w:lang w:val="en"/>
      </w:rPr>
      <w:fldChar w:fldCharType="begin"/>
    </w:r>
    <w:r>
      <w:rPr>
        <w:rStyle w:val="Oldalszm"/>
        <w:lang w:val="en"/>
      </w:rPr>
      <w:instrText xml:space="preserve">PAGE  </w:instrText>
    </w:r>
    <w:r>
      <w:rPr>
        <w:rStyle w:val="Oldalszm"/>
        <w:lang w:val="en"/>
      </w:rPr>
      <w:fldChar w:fldCharType="separate"/>
    </w:r>
    <w:r>
      <w:rPr>
        <w:rStyle w:val="Oldalszm"/>
        <w:noProof/>
        <w:lang w:val="en"/>
      </w:rPr>
      <w:t>3</w:t>
    </w:r>
    <w:r>
      <w:rPr>
        <w:rStyle w:val="Oldalszm"/>
        <w:lang w:val="en"/>
      </w:rPr>
      <w:fldChar w:fldCharType="end"/>
    </w:r>
  </w:p>
  <w:p w14:paraId="5D7495A6" w14:textId="77777777" w:rsidR="00352527" w:rsidRDefault="00352527">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3C4A2" w14:textId="77777777" w:rsidR="006863E4" w:rsidRDefault="006863E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506580"/>
    <w:multiLevelType w:val="hybridMultilevel"/>
    <w:tmpl w:val="32FE954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705D59"/>
    <w:multiLevelType w:val="hybridMultilevel"/>
    <w:tmpl w:val="7E3C61B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D42C24"/>
    <w:multiLevelType w:val="hybridMultilevel"/>
    <w:tmpl w:val="6B540248"/>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045816"/>
    <w:multiLevelType w:val="singleLevel"/>
    <w:tmpl w:val="0C09000F"/>
    <w:lvl w:ilvl="0">
      <w:start w:val="1"/>
      <w:numFmt w:val="decimal"/>
      <w:lvlText w:val="%1."/>
      <w:lvlJc w:val="left"/>
      <w:pPr>
        <w:tabs>
          <w:tab w:val="num" w:pos="360"/>
        </w:tabs>
        <w:ind w:left="360" w:hanging="360"/>
      </w:pPr>
    </w:lvl>
  </w:abstractNum>
  <w:abstractNum w:abstractNumId="5" w15:restartNumberingAfterBreak="0">
    <w:nsid w:val="17D03E48"/>
    <w:multiLevelType w:val="hybridMultilevel"/>
    <w:tmpl w:val="09A6956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131338"/>
    <w:multiLevelType w:val="hybridMultilevel"/>
    <w:tmpl w:val="03B0F6D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1D1F92"/>
    <w:multiLevelType w:val="hybridMultilevel"/>
    <w:tmpl w:val="ACF23F7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3A63E3"/>
    <w:multiLevelType w:val="hybridMultilevel"/>
    <w:tmpl w:val="9C24C1C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3B2575"/>
    <w:multiLevelType w:val="hybridMultilevel"/>
    <w:tmpl w:val="821E38F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000704"/>
    <w:multiLevelType w:val="hybridMultilevel"/>
    <w:tmpl w:val="0880633A"/>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8235EC3"/>
    <w:multiLevelType w:val="hybridMultilevel"/>
    <w:tmpl w:val="48488518"/>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3376C4"/>
    <w:multiLevelType w:val="hybridMultilevel"/>
    <w:tmpl w:val="8984087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3" w15:restartNumberingAfterBreak="0">
    <w:nsid w:val="3CCD48C3"/>
    <w:multiLevelType w:val="hybridMultilevel"/>
    <w:tmpl w:val="3C6C69C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FE6407"/>
    <w:multiLevelType w:val="hybridMultilevel"/>
    <w:tmpl w:val="43B0322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0D1D46"/>
    <w:multiLevelType w:val="hybridMultilevel"/>
    <w:tmpl w:val="817AAF7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474B67"/>
    <w:multiLevelType w:val="hybridMultilevel"/>
    <w:tmpl w:val="8EB2C320"/>
    <w:lvl w:ilvl="0" w:tplc="040E0001">
      <w:start w:val="1"/>
      <w:numFmt w:val="bullet"/>
      <w:lvlText w:val=""/>
      <w:lvlJc w:val="left"/>
      <w:pPr>
        <w:tabs>
          <w:tab w:val="num" w:pos="780"/>
        </w:tabs>
        <w:ind w:left="780" w:hanging="360"/>
      </w:pPr>
      <w:rPr>
        <w:rFonts w:ascii="Symbol" w:hAnsi="Symbol" w:hint="default"/>
      </w:rPr>
    </w:lvl>
    <w:lvl w:ilvl="1" w:tplc="040E0003" w:tentative="1">
      <w:start w:val="1"/>
      <w:numFmt w:val="bullet"/>
      <w:lvlText w:val="o"/>
      <w:lvlJc w:val="left"/>
      <w:pPr>
        <w:tabs>
          <w:tab w:val="num" w:pos="1500"/>
        </w:tabs>
        <w:ind w:left="1500" w:hanging="360"/>
      </w:pPr>
      <w:rPr>
        <w:rFonts w:ascii="Courier New" w:hAnsi="Courier New" w:cs="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702B695D"/>
    <w:multiLevelType w:val="hybridMultilevel"/>
    <w:tmpl w:val="DF8A65C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1">
      <w:start w:val="1"/>
      <w:numFmt w:val="bullet"/>
      <w:lvlText w:val=""/>
      <w:lvlJc w:val="left"/>
      <w:pPr>
        <w:tabs>
          <w:tab w:val="num" w:pos="2160"/>
        </w:tabs>
        <w:ind w:left="2160" w:hanging="360"/>
      </w:pPr>
      <w:rPr>
        <w:rFonts w:ascii="Symbol" w:hAnsi="Symbol"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97225F"/>
    <w:multiLevelType w:val="hybridMultilevel"/>
    <w:tmpl w:val="82AA341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DF292A"/>
    <w:multiLevelType w:val="hybridMultilevel"/>
    <w:tmpl w:val="D36EB31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F6B7ED9"/>
    <w:multiLevelType w:val="hybridMultilevel"/>
    <w:tmpl w:val="565A376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16cid:durableId="1043746810">
    <w:abstractNumId w:val="0"/>
    <w:lvlOverride w:ilvl="0">
      <w:lvl w:ilvl="0">
        <w:start w:val="1"/>
        <w:numFmt w:val="bullet"/>
        <w:lvlText w:val=""/>
        <w:legacy w:legacy="1" w:legacySpace="0" w:legacyIndent="360"/>
        <w:lvlJc w:val="left"/>
        <w:pPr>
          <w:ind w:left="1211" w:hanging="360"/>
        </w:pPr>
        <w:rPr>
          <w:rFonts w:ascii="Symbol" w:hAnsi="Symbol" w:hint="default"/>
        </w:rPr>
      </w:lvl>
    </w:lvlOverride>
  </w:num>
  <w:num w:numId="2" w16cid:durableId="953248286">
    <w:abstractNumId w:val="4"/>
  </w:num>
  <w:num w:numId="3" w16cid:durableId="1772124185">
    <w:abstractNumId w:val="10"/>
  </w:num>
  <w:num w:numId="4" w16cid:durableId="947347901">
    <w:abstractNumId w:val="3"/>
  </w:num>
  <w:num w:numId="5" w16cid:durableId="780295631">
    <w:abstractNumId w:val="17"/>
  </w:num>
  <w:num w:numId="6" w16cid:durableId="177744324">
    <w:abstractNumId w:val="19"/>
  </w:num>
  <w:num w:numId="7" w16cid:durableId="1335062492">
    <w:abstractNumId w:val="2"/>
  </w:num>
  <w:num w:numId="8" w16cid:durableId="419640710">
    <w:abstractNumId w:val="16"/>
  </w:num>
  <w:num w:numId="9" w16cid:durableId="384985591">
    <w:abstractNumId w:val="15"/>
  </w:num>
  <w:num w:numId="10" w16cid:durableId="1689911793">
    <w:abstractNumId w:val="9"/>
  </w:num>
  <w:num w:numId="11" w16cid:durableId="627901185">
    <w:abstractNumId w:val="11"/>
  </w:num>
  <w:num w:numId="12" w16cid:durableId="1301231892">
    <w:abstractNumId w:val="5"/>
  </w:num>
  <w:num w:numId="13" w16cid:durableId="248582276">
    <w:abstractNumId w:val="7"/>
  </w:num>
  <w:num w:numId="14" w16cid:durableId="252711114">
    <w:abstractNumId w:val="8"/>
  </w:num>
  <w:num w:numId="15" w16cid:durableId="495920204">
    <w:abstractNumId w:val="14"/>
  </w:num>
  <w:num w:numId="16" w16cid:durableId="1170871796">
    <w:abstractNumId w:val="6"/>
  </w:num>
  <w:num w:numId="17" w16cid:durableId="1706566369">
    <w:abstractNumId w:val="18"/>
  </w:num>
  <w:num w:numId="18" w16cid:durableId="2057048073">
    <w:abstractNumId w:val="1"/>
  </w:num>
  <w:num w:numId="19" w16cid:durableId="1309672214">
    <w:abstractNumId w:val="20"/>
  </w:num>
  <w:num w:numId="20" w16cid:durableId="475680234">
    <w:abstractNumId w:val="13"/>
  </w:num>
  <w:num w:numId="21" w16cid:durableId="14783033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hu-HU" w:vendorID="7" w:dllVersion="522" w:checkStyle="1"/>
  <w:activeWritingStyle w:appName="MSWord" w:lang="hu-HU" w:vendorID="7"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3E7"/>
    <w:rsid w:val="00001C27"/>
    <w:rsid w:val="00001EA9"/>
    <w:rsid w:val="000155C6"/>
    <w:rsid w:val="000229A1"/>
    <w:rsid w:val="00036B9E"/>
    <w:rsid w:val="000438D6"/>
    <w:rsid w:val="00055E5F"/>
    <w:rsid w:val="0006165E"/>
    <w:rsid w:val="000A113B"/>
    <w:rsid w:val="000B7C23"/>
    <w:rsid w:val="000C2341"/>
    <w:rsid w:val="00130796"/>
    <w:rsid w:val="00136189"/>
    <w:rsid w:val="00141D8D"/>
    <w:rsid w:val="00164325"/>
    <w:rsid w:val="00176398"/>
    <w:rsid w:val="00176544"/>
    <w:rsid w:val="001D39F5"/>
    <w:rsid w:val="001E37D2"/>
    <w:rsid w:val="001F000C"/>
    <w:rsid w:val="001F0674"/>
    <w:rsid w:val="00202977"/>
    <w:rsid w:val="002123E7"/>
    <w:rsid w:val="00240FA9"/>
    <w:rsid w:val="002601F4"/>
    <w:rsid w:val="00280413"/>
    <w:rsid w:val="00285F81"/>
    <w:rsid w:val="00293B6B"/>
    <w:rsid w:val="002B5F41"/>
    <w:rsid w:val="002F07E9"/>
    <w:rsid w:val="00322004"/>
    <w:rsid w:val="00327EF4"/>
    <w:rsid w:val="00335424"/>
    <w:rsid w:val="00352527"/>
    <w:rsid w:val="003678A0"/>
    <w:rsid w:val="003706A9"/>
    <w:rsid w:val="00370A02"/>
    <w:rsid w:val="003D5944"/>
    <w:rsid w:val="003F5307"/>
    <w:rsid w:val="004134C8"/>
    <w:rsid w:val="0042684F"/>
    <w:rsid w:val="00440335"/>
    <w:rsid w:val="00461E80"/>
    <w:rsid w:val="004A65AA"/>
    <w:rsid w:val="004B34BB"/>
    <w:rsid w:val="004B3A34"/>
    <w:rsid w:val="004E4611"/>
    <w:rsid w:val="005018B5"/>
    <w:rsid w:val="00550C26"/>
    <w:rsid w:val="00566E2E"/>
    <w:rsid w:val="0056721F"/>
    <w:rsid w:val="00582357"/>
    <w:rsid w:val="005E08D2"/>
    <w:rsid w:val="00600632"/>
    <w:rsid w:val="00611164"/>
    <w:rsid w:val="00617BA8"/>
    <w:rsid w:val="006271D9"/>
    <w:rsid w:val="006352E0"/>
    <w:rsid w:val="006557D9"/>
    <w:rsid w:val="00657037"/>
    <w:rsid w:val="006863E4"/>
    <w:rsid w:val="00687492"/>
    <w:rsid w:val="006A7470"/>
    <w:rsid w:val="006C2A24"/>
    <w:rsid w:val="006C56E4"/>
    <w:rsid w:val="006E7EC0"/>
    <w:rsid w:val="006F3179"/>
    <w:rsid w:val="006F39DC"/>
    <w:rsid w:val="00711EC8"/>
    <w:rsid w:val="0072118D"/>
    <w:rsid w:val="00753C7A"/>
    <w:rsid w:val="007636F9"/>
    <w:rsid w:val="00763E7A"/>
    <w:rsid w:val="00771547"/>
    <w:rsid w:val="007A4036"/>
    <w:rsid w:val="007D2083"/>
    <w:rsid w:val="007F778E"/>
    <w:rsid w:val="00803C1C"/>
    <w:rsid w:val="00821EE5"/>
    <w:rsid w:val="008259A3"/>
    <w:rsid w:val="008404A6"/>
    <w:rsid w:val="008554A8"/>
    <w:rsid w:val="00866805"/>
    <w:rsid w:val="008754CF"/>
    <w:rsid w:val="0088294F"/>
    <w:rsid w:val="008B57AE"/>
    <w:rsid w:val="008D67C4"/>
    <w:rsid w:val="00905D4D"/>
    <w:rsid w:val="00917AAC"/>
    <w:rsid w:val="00946C45"/>
    <w:rsid w:val="0099693A"/>
    <w:rsid w:val="009A4942"/>
    <w:rsid w:val="009A506B"/>
    <w:rsid w:val="009A76B2"/>
    <w:rsid w:val="009E0F99"/>
    <w:rsid w:val="009E61D3"/>
    <w:rsid w:val="00A20C57"/>
    <w:rsid w:val="00A31F07"/>
    <w:rsid w:val="00A3379A"/>
    <w:rsid w:val="00A41858"/>
    <w:rsid w:val="00A7024E"/>
    <w:rsid w:val="00A77F2B"/>
    <w:rsid w:val="00AD3C6F"/>
    <w:rsid w:val="00AD711C"/>
    <w:rsid w:val="00AE58EC"/>
    <w:rsid w:val="00AF3189"/>
    <w:rsid w:val="00AF34BB"/>
    <w:rsid w:val="00AF49FF"/>
    <w:rsid w:val="00B02FA7"/>
    <w:rsid w:val="00B046BB"/>
    <w:rsid w:val="00B156E8"/>
    <w:rsid w:val="00B24677"/>
    <w:rsid w:val="00B4669C"/>
    <w:rsid w:val="00B84797"/>
    <w:rsid w:val="00B86A88"/>
    <w:rsid w:val="00B8720A"/>
    <w:rsid w:val="00B95525"/>
    <w:rsid w:val="00BB7961"/>
    <w:rsid w:val="00BE77B3"/>
    <w:rsid w:val="00C1150C"/>
    <w:rsid w:val="00C153DA"/>
    <w:rsid w:val="00C36665"/>
    <w:rsid w:val="00C521E3"/>
    <w:rsid w:val="00C85433"/>
    <w:rsid w:val="00C8603B"/>
    <w:rsid w:val="00C93330"/>
    <w:rsid w:val="00CA67DC"/>
    <w:rsid w:val="00CE11A4"/>
    <w:rsid w:val="00CF075C"/>
    <w:rsid w:val="00CF2C91"/>
    <w:rsid w:val="00CF7F70"/>
    <w:rsid w:val="00D31181"/>
    <w:rsid w:val="00D31A67"/>
    <w:rsid w:val="00D43032"/>
    <w:rsid w:val="00D63E63"/>
    <w:rsid w:val="00D8288A"/>
    <w:rsid w:val="00D93C48"/>
    <w:rsid w:val="00DB2389"/>
    <w:rsid w:val="00DC31CD"/>
    <w:rsid w:val="00DE14F6"/>
    <w:rsid w:val="00DE7EC7"/>
    <w:rsid w:val="00E33D28"/>
    <w:rsid w:val="00E42806"/>
    <w:rsid w:val="00E676E2"/>
    <w:rsid w:val="00EF1DAE"/>
    <w:rsid w:val="00F32D3E"/>
    <w:rsid w:val="00F44149"/>
    <w:rsid w:val="00F51ABA"/>
    <w:rsid w:val="00F56661"/>
    <w:rsid w:val="00F571FB"/>
    <w:rsid w:val="00F62594"/>
    <w:rsid w:val="00F83960"/>
    <w:rsid w:val="00FB0057"/>
    <w:rsid w:val="00FB5BA2"/>
    <w:rsid w:val="00FB6028"/>
    <w:rsid w:val="00FC39B2"/>
    <w:rsid w:val="00FE6049"/>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AE9F5D8"/>
  <w15:chartTrackingRefBased/>
  <w15:docId w15:val="{385DCB72-B3C5-4B95-93C1-24BC45292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8288A"/>
    <w:rPr>
      <w:sz w:val="24"/>
    </w:rPr>
  </w:style>
  <w:style w:type="paragraph" w:styleId="Cmsor1">
    <w:name w:val="heading 1"/>
    <w:basedOn w:val="Norml"/>
    <w:next w:val="Norml"/>
    <w:qFormat/>
    <w:rsid w:val="00D8288A"/>
    <w:pPr>
      <w:keepNext/>
      <w:spacing w:before="240" w:after="60"/>
      <w:outlineLvl w:val="0"/>
    </w:pPr>
    <w:rPr>
      <w:rFonts w:ascii="Arial" w:hAnsi="Arial"/>
      <w:b/>
      <w:kern w:val="28"/>
      <w:sz w:val="28"/>
    </w:rPr>
  </w:style>
  <w:style w:type="paragraph" w:styleId="Cmsor2">
    <w:name w:val="heading 2"/>
    <w:basedOn w:val="Norml"/>
    <w:next w:val="Norml"/>
    <w:qFormat/>
    <w:rsid w:val="00D8288A"/>
    <w:pPr>
      <w:keepNext/>
      <w:jc w:val="both"/>
      <w:outlineLvl w:val="1"/>
    </w:pPr>
    <w:rPr>
      <w:b/>
      <w:u w:val="single"/>
    </w:rPr>
  </w:style>
  <w:style w:type="paragraph" w:styleId="Cmsor3">
    <w:name w:val="heading 3"/>
    <w:basedOn w:val="Norml"/>
    <w:next w:val="Norml"/>
    <w:qFormat/>
    <w:rsid w:val="00D8288A"/>
    <w:pPr>
      <w:keepNext/>
      <w:jc w:val="center"/>
      <w:outlineLvl w:val="2"/>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D8288A"/>
    <w:pPr>
      <w:tabs>
        <w:tab w:val="center" w:pos="4320"/>
        <w:tab w:val="right" w:pos="8640"/>
      </w:tabs>
    </w:pPr>
  </w:style>
  <w:style w:type="paragraph" w:styleId="llb">
    <w:name w:val="footer"/>
    <w:basedOn w:val="Norml"/>
    <w:rsid w:val="00D8288A"/>
    <w:pPr>
      <w:tabs>
        <w:tab w:val="center" w:pos="4320"/>
        <w:tab w:val="right" w:pos="8640"/>
      </w:tabs>
    </w:pPr>
  </w:style>
  <w:style w:type="character" w:styleId="Oldalszm">
    <w:name w:val="page number"/>
    <w:basedOn w:val="Bekezdsalapbettpusa"/>
    <w:rsid w:val="00D8288A"/>
  </w:style>
  <w:style w:type="paragraph" w:styleId="Lbjegyzetszveg">
    <w:name w:val="footnote text"/>
    <w:basedOn w:val="Norml"/>
    <w:semiHidden/>
    <w:rsid w:val="00D8288A"/>
    <w:rPr>
      <w:sz w:val="20"/>
    </w:rPr>
  </w:style>
  <w:style w:type="character" w:styleId="Lbjegyzet-hivatkozs">
    <w:name w:val="footnote reference"/>
    <w:semiHidden/>
    <w:rsid w:val="00D8288A"/>
    <w:rPr>
      <w:vertAlign w:val="superscript"/>
    </w:rPr>
  </w:style>
  <w:style w:type="paragraph" w:styleId="Szvegtrzs">
    <w:name w:val="Body Text"/>
    <w:basedOn w:val="Norml"/>
    <w:rsid w:val="00D8288A"/>
    <w:pPr>
      <w:jc w:val="both"/>
    </w:pPr>
  </w:style>
  <w:style w:type="character" w:styleId="Hiperhivatkozs">
    <w:name w:val="Hyperlink"/>
    <w:rsid w:val="00D8288A"/>
    <w:rPr>
      <w:color w:val="0000FF"/>
      <w:u w:val="single"/>
    </w:rPr>
  </w:style>
  <w:style w:type="paragraph" w:styleId="Szvegtrzs2">
    <w:name w:val="Body Text 2"/>
    <w:basedOn w:val="Norml"/>
    <w:rsid w:val="00D8288A"/>
    <w:pPr>
      <w:jc w:val="center"/>
    </w:pPr>
    <w:rPr>
      <w:b/>
      <w:sz w:val="28"/>
    </w:rPr>
  </w:style>
  <w:style w:type="paragraph" w:styleId="Buborkszveg">
    <w:name w:val="Balloon Text"/>
    <w:basedOn w:val="Norml"/>
    <w:semiHidden/>
    <w:rsid w:val="00D8288A"/>
    <w:rPr>
      <w:rFonts w:ascii="Tahoma" w:hAnsi="Tahoma" w:cs="Tahoma"/>
      <w:sz w:val="16"/>
      <w:szCs w:val="16"/>
    </w:rPr>
  </w:style>
  <w:style w:type="character" w:styleId="Jegyzethivatkozs">
    <w:name w:val="annotation reference"/>
    <w:semiHidden/>
    <w:rsid w:val="00D8288A"/>
    <w:rPr>
      <w:sz w:val="16"/>
      <w:szCs w:val="16"/>
    </w:rPr>
  </w:style>
  <w:style w:type="paragraph" w:styleId="Jegyzetszveg">
    <w:name w:val="annotation text"/>
    <w:basedOn w:val="Norml"/>
    <w:link w:val="JegyzetszvegChar"/>
    <w:semiHidden/>
    <w:rsid w:val="00D8288A"/>
    <w:rPr>
      <w:sz w:val="20"/>
    </w:rPr>
  </w:style>
  <w:style w:type="paragraph" w:styleId="Megjegyzstrgya">
    <w:name w:val="annotation subject"/>
    <w:basedOn w:val="Jegyzetszveg"/>
    <w:next w:val="Jegyzetszveg"/>
    <w:link w:val="MegjegyzstrgyaChar"/>
    <w:uiPriority w:val="99"/>
    <w:semiHidden/>
    <w:unhideWhenUsed/>
    <w:rsid w:val="003F5307"/>
    <w:rPr>
      <w:b/>
      <w:bCs/>
    </w:rPr>
  </w:style>
  <w:style w:type="character" w:customStyle="1" w:styleId="JegyzetszvegChar">
    <w:name w:val="Jegyzetszöveg Char"/>
    <w:basedOn w:val="Bekezdsalapbettpusa"/>
    <w:link w:val="Jegyzetszveg"/>
    <w:semiHidden/>
    <w:rsid w:val="003F5307"/>
  </w:style>
  <w:style w:type="character" w:customStyle="1" w:styleId="MegjegyzstrgyaChar">
    <w:name w:val="Megjegyzés tárgya Char"/>
    <w:basedOn w:val="JegyzetszvegChar"/>
    <w:link w:val="Megjegyzstrgya"/>
    <w:rsid w:val="003F5307"/>
  </w:style>
  <w:style w:type="paragraph" w:styleId="Vltozat">
    <w:name w:val="Revision"/>
    <w:hidden/>
    <w:uiPriority w:val="99"/>
    <w:semiHidden/>
    <w:rsid w:val="00582357"/>
    <w:rPr>
      <w:sz w:val="24"/>
    </w:rPr>
  </w:style>
  <w:style w:type="character" w:customStyle="1" w:styleId="rynqvb">
    <w:name w:val="rynqvb"/>
    <w:basedOn w:val="Bekezdsalapbettpusa"/>
    <w:rsid w:val="00001C27"/>
  </w:style>
  <w:style w:type="paragraph" w:styleId="Listaszerbekezds">
    <w:name w:val="List Paragraph"/>
    <w:basedOn w:val="Norml"/>
    <w:uiPriority w:val="34"/>
    <w:qFormat/>
    <w:rsid w:val="00285F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625</Words>
  <Characters>3295</Characters>
  <Application>Microsoft Office Word</Application>
  <DocSecurity>0</DocSecurity>
  <Lines>27</Lines>
  <Paragraphs>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Tudnivalók</vt:lpstr>
      <vt:lpstr>Tudnivalók</vt:lpstr>
    </vt:vector>
  </TitlesOfParts>
  <Company>Magyar Nemzeti Bank</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Tudnivalók</dc:title>
  <dc:subject/>
  <dc:creator>Office 4.2</dc:creator>
  <cp:keywords/>
  <cp:lastModifiedBy>Juhász Katalin</cp:lastModifiedBy>
  <cp:revision>4</cp:revision>
  <cp:lastPrinted>2006-08-28T10:22:00Z</cp:lastPrinted>
  <dcterms:created xsi:type="dcterms:W3CDTF">2025-03-25T14:17:00Z</dcterms:created>
  <dcterms:modified xsi:type="dcterms:W3CDTF">2025-03-27T12:48:00Z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2026-06-09T13:48:24Z</vt:filetime>
  </property>
  <property fmtid="{D5CDD505-2E9C-101B-9397-08002B2CF9AE}" pid="3" name="Érvényességet beállító">
    <vt:lpwstr>vargaviv</vt:lpwstr>
  </property>
  <property fmtid="{D5CDD505-2E9C-101B-9397-08002B2CF9AE}" pid="4" name="Érvényességi idő első beállítása">
    <vt:filetime>2021-06-09T13:48:24Z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vargaviv@mnb.hu</vt:lpwstr>
  </property>
  <property fmtid="{D5CDD505-2E9C-101B-9397-08002B2CF9AE}" pid="8" name="MSIP_Label_b0d11092-50c9-4e74-84b5-b1af078dc3d0_SetDate">
    <vt:lpwstr>2021-06-09T13:50:04.4061431Z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e8704de1-a5ab-4c17-ac36-0ccc0a7d1fe5</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y fmtid="{D5CDD505-2E9C-101B-9397-08002B2CF9AE}" pid="14" name="MSIP_Label_b0d11092-50c9-4e74-84b5-b1af078dc3d0_Ref">
    <vt:lpwstr>https://api.informationprotection.azure.com/api/97c01ef8-0264-4eef-9c08-fb4a9ba1c0db</vt:lpwstr>
  </property>
</Properties>
</file>