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7FD9C" w14:textId="77777777" w:rsidR="00D64D4F" w:rsidRPr="001349CE" w:rsidRDefault="00D64D4F">
      <w:pPr>
        <w:jc w:val="both"/>
        <w:rPr>
          <w:rFonts w:ascii="Arial" w:hAnsi="Arial" w:cs="Arial"/>
          <w:b/>
          <w:sz w:val="20"/>
          <w:szCs w:val="20"/>
          <w:lang w:val="en-GB"/>
        </w:rPr>
      </w:pPr>
      <w:r w:rsidRPr="001349CE">
        <w:rPr>
          <w:rFonts w:ascii="Arial" w:hAnsi="Arial" w:cs="Arial"/>
          <w:b/>
          <w:bCs/>
          <w:sz w:val="20"/>
          <w:szCs w:val="20"/>
          <w:lang w:val="en-GB"/>
        </w:rPr>
        <w:t>MNB identification code: F98</w:t>
      </w:r>
    </w:p>
    <w:p w14:paraId="04690B50" w14:textId="77777777" w:rsidR="00D64D4F" w:rsidRPr="001349CE" w:rsidRDefault="00D64D4F">
      <w:pPr>
        <w:rPr>
          <w:rFonts w:ascii="Arial" w:hAnsi="Arial" w:cs="Arial"/>
          <w:sz w:val="20"/>
          <w:szCs w:val="20"/>
          <w:lang w:val="en-GB"/>
        </w:rPr>
      </w:pPr>
    </w:p>
    <w:p w14:paraId="4CE3B409" w14:textId="77777777" w:rsidR="00D64D4F" w:rsidRPr="001349CE" w:rsidRDefault="00D64D4F">
      <w:pPr>
        <w:rPr>
          <w:rFonts w:ascii="Arial" w:hAnsi="Arial" w:cs="Arial"/>
          <w:sz w:val="20"/>
          <w:szCs w:val="20"/>
          <w:lang w:val="en-GB"/>
        </w:rPr>
      </w:pPr>
    </w:p>
    <w:p w14:paraId="567E8B0B" w14:textId="77777777" w:rsidR="00D64D4F" w:rsidRPr="001349CE" w:rsidRDefault="00D64D4F">
      <w:pPr>
        <w:jc w:val="center"/>
        <w:rPr>
          <w:rFonts w:ascii="Arial" w:hAnsi="Arial" w:cs="Arial"/>
          <w:b/>
          <w:sz w:val="20"/>
          <w:szCs w:val="20"/>
          <w:lang w:val="en-GB"/>
        </w:rPr>
      </w:pPr>
      <w:r w:rsidRPr="001349CE">
        <w:rPr>
          <w:rFonts w:ascii="Arial" w:hAnsi="Arial" w:cs="Arial"/>
          <w:b/>
          <w:bCs/>
          <w:sz w:val="20"/>
          <w:szCs w:val="20"/>
          <w:lang w:val="en-GB"/>
        </w:rPr>
        <w:t>Completion instructions for the report</w:t>
      </w:r>
    </w:p>
    <w:p w14:paraId="4FA913AA" w14:textId="77777777" w:rsidR="00D64D4F" w:rsidRPr="001349CE" w:rsidRDefault="00D64D4F" w:rsidP="00D1305F">
      <w:pPr>
        <w:jc w:val="center"/>
        <w:rPr>
          <w:rFonts w:ascii="Arial" w:hAnsi="Arial" w:cs="Arial"/>
          <w:sz w:val="20"/>
          <w:szCs w:val="20"/>
          <w:lang w:val="en-GB"/>
        </w:rPr>
      </w:pPr>
      <w:r w:rsidRPr="001349CE">
        <w:rPr>
          <w:rFonts w:ascii="Arial" w:hAnsi="Arial" w:cs="Arial"/>
          <w:b/>
          <w:bCs/>
          <w:sz w:val="20"/>
          <w:szCs w:val="20"/>
          <w:lang w:val="en-GB"/>
        </w:rPr>
        <w:t>Balance sheet of corporations preparing detailed annual reports</w:t>
      </w:r>
    </w:p>
    <w:p w14:paraId="24644577" w14:textId="77777777" w:rsidR="00D64D4F" w:rsidRPr="001349CE" w:rsidRDefault="00D64D4F">
      <w:pPr>
        <w:jc w:val="center"/>
        <w:rPr>
          <w:rFonts w:ascii="Arial" w:hAnsi="Arial" w:cs="Arial"/>
          <w:sz w:val="20"/>
          <w:szCs w:val="20"/>
          <w:lang w:val="en-GB"/>
        </w:rPr>
      </w:pPr>
    </w:p>
    <w:p w14:paraId="35C99E81" w14:textId="77777777" w:rsidR="00D64D4F" w:rsidRPr="001349CE" w:rsidRDefault="00D64D4F">
      <w:pPr>
        <w:rPr>
          <w:rFonts w:ascii="Arial" w:hAnsi="Arial" w:cs="Arial"/>
          <w:b/>
          <w:sz w:val="20"/>
          <w:szCs w:val="20"/>
          <w:lang w:val="en-GB"/>
        </w:rPr>
      </w:pPr>
      <w:r w:rsidRPr="001349CE">
        <w:rPr>
          <w:rFonts w:ascii="Arial" w:hAnsi="Arial" w:cs="Arial"/>
          <w:b/>
          <w:bCs/>
          <w:sz w:val="20"/>
          <w:szCs w:val="20"/>
          <w:lang w:val="en-GB"/>
        </w:rPr>
        <w:t>General instructions</w:t>
      </w:r>
    </w:p>
    <w:p w14:paraId="12D27E27" w14:textId="77777777" w:rsidR="00D64D4F" w:rsidRPr="001349CE" w:rsidRDefault="00D64D4F">
      <w:pPr>
        <w:rPr>
          <w:rFonts w:ascii="Arial" w:hAnsi="Arial" w:cs="Arial"/>
          <w:sz w:val="20"/>
          <w:szCs w:val="20"/>
          <w:lang w:val="en-GB"/>
        </w:rPr>
      </w:pPr>
    </w:p>
    <w:p w14:paraId="303E55FE" w14:textId="12D1627F" w:rsidR="00D64D4F" w:rsidRPr="001349CE" w:rsidRDefault="00D64D4F" w:rsidP="00E6149C">
      <w:pPr>
        <w:jc w:val="both"/>
        <w:rPr>
          <w:rFonts w:ascii="Arial" w:hAnsi="Arial" w:cs="Arial"/>
          <w:sz w:val="20"/>
          <w:szCs w:val="20"/>
          <w:lang w:val="en-GB"/>
        </w:rPr>
      </w:pPr>
      <w:r w:rsidRPr="001349CE">
        <w:rPr>
          <w:rFonts w:ascii="Arial" w:hAnsi="Arial" w:cs="Arial"/>
          <w:sz w:val="20"/>
          <w:szCs w:val="20"/>
          <w:lang w:val="en-GB"/>
        </w:rPr>
        <w:t xml:space="preserve">In this data supply the Ministry of Justice is required to submit balance sheets according to Annex 1 and 4 of Act C of 2000 on Accounting and profit and loss accounts according to Annex 2, 3 and 5 of Act on Accounting of normal (not simplified), not consolidated annual corporate reports it processed electronically in a text format, in CSV format. The data for the (standard, non-simplified) annual accounts, as well as the balance sheets and profit and loss accounts for other forms of statements, including the annual simplified accounts of micro-enterprises, shall be reported in separate files. The data shall include the </w:t>
      </w:r>
      <w:proofErr w:type="spellStart"/>
      <w:r w:rsidRPr="001349CE">
        <w:rPr>
          <w:rFonts w:ascii="Arial" w:hAnsi="Arial" w:cs="Arial"/>
          <w:sz w:val="20"/>
          <w:szCs w:val="20"/>
          <w:lang w:val="en-GB"/>
        </w:rPr>
        <w:t>KSH</w:t>
      </w:r>
      <w:proofErr w:type="spellEnd"/>
      <w:r w:rsidRPr="001349CE">
        <w:rPr>
          <w:rFonts w:ascii="Arial" w:hAnsi="Arial" w:cs="Arial"/>
          <w:sz w:val="20"/>
          <w:szCs w:val="20"/>
          <w:lang w:val="en-GB"/>
        </w:rPr>
        <w:t xml:space="preserve"> register numbers (first eight digits of the tax number), the date of the start and the end of the business year, the reception date of the report, the type, currency and currency unit of the report, the average number of employees in the business year, and balance sheet and profit and loss accounts data pertaining to the reference year in a separate row for each corporations.</w:t>
      </w:r>
    </w:p>
    <w:sectPr w:rsidR="00D64D4F" w:rsidRPr="001349C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912A0" w14:textId="77777777" w:rsidR="00631223" w:rsidRDefault="00631223" w:rsidP="006D2FE9">
      <w:r>
        <w:separator/>
      </w:r>
    </w:p>
  </w:endnote>
  <w:endnote w:type="continuationSeparator" w:id="0">
    <w:p w14:paraId="2E148EB7" w14:textId="77777777" w:rsidR="00631223" w:rsidRDefault="00631223" w:rsidP="006D2FE9">
      <w:r>
        <w:continuationSeparator/>
      </w:r>
    </w:p>
  </w:endnote>
  <w:endnote w:type="continuationNotice" w:id="1">
    <w:p w14:paraId="3E5A7B82" w14:textId="77777777" w:rsidR="00631223" w:rsidRDefault="006312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3DF56" w14:textId="77777777" w:rsidR="002E450B" w:rsidRDefault="002E450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BF87B" w14:textId="77777777" w:rsidR="002E450B" w:rsidRDefault="002E450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7B9A" w14:textId="77777777" w:rsidR="002E450B" w:rsidRDefault="002E450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FB2F8" w14:textId="77777777" w:rsidR="00631223" w:rsidRDefault="00631223" w:rsidP="006D2FE9">
      <w:r>
        <w:separator/>
      </w:r>
    </w:p>
  </w:footnote>
  <w:footnote w:type="continuationSeparator" w:id="0">
    <w:p w14:paraId="5E41AA39" w14:textId="77777777" w:rsidR="00631223" w:rsidRDefault="00631223" w:rsidP="006D2FE9">
      <w:r>
        <w:continuationSeparator/>
      </w:r>
    </w:p>
  </w:footnote>
  <w:footnote w:type="continuationNotice" w:id="1">
    <w:p w14:paraId="7128B685" w14:textId="77777777" w:rsidR="00631223" w:rsidRDefault="006312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5B11C" w14:textId="77777777" w:rsidR="002E450B" w:rsidRDefault="002E450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E795" w14:textId="77777777" w:rsidR="002E450B" w:rsidRDefault="002E450B">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97DD1" w14:textId="77777777" w:rsidR="002E450B" w:rsidRDefault="002E450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F8179C"/>
    <w:multiLevelType w:val="hybridMultilevel"/>
    <w:tmpl w:val="EA14AC1E"/>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16cid:durableId="107938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A0"/>
    <w:rsid w:val="00022BFB"/>
    <w:rsid w:val="00053188"/>
    <w:rsid w:val="00055DFB"/>
    <w:rsid w:val="0010412D"/>
    <w:rsid w:val="001349CE"/>
    <w:rsid w:val="0017066D"/>
    <w:rsid w:val="001742A8"/>
    <w:rsid w:val="001C2620"/>
    <w:rsid w:val="00225ED5"/>
    <w:rsid w:val="00233543"/>
    <w:rsid w:val="0028081D"/>
    <w:rsid w:val="002961B6"/>
    <w:rsid w:val="002D11B5"/>
    <w:rsid w:val="002E450B"/>
    <w:rsid w:val="00365377"/>
    <w:rsid w:val="003907B7"/>
    <w:rsid w:val="00435A0A"/>
    <w:rsid w:val="00457A54"/>
    <w:rsid w:val="00472B97"/>
    <w:rsid w:val="00485A09"/>
    <w:rsid w:val="004B3AEE"/>
    <w:rsid w:val="004B3E84"/>
    <w:rsid w:val="00527E88"/>
    <w:rsid w:val="005C180A"/>
    <w:rsid w:val="005D4358"/>
    <w:rsid w:val="00631223"/>
    <w:rsid w:val="006423AA"/>
    <w:rsid w:val="00664CB4"/>
    <w:rsid w:val="00671B65"/>
    <w:rsid w:val="006C45CB"/>
    <w:rsid w:val="006D2F43"/>
    <w:rsid w:val="006D2FE9"/>
    <w:rsid w:val="006D5475"/>
    <w:rsid w:val="006D6F30"/>
    <w:rsid w:val="006E5904"/>
    <w:rsid w:val="007129D2"/>
    <w:rsid w:val="007209CE"/>
    <w:rsid w:val="00730968"/>
    <w:rsid w:val="007476C3"/>
    <w:rsid w:val="007A472D"/>
    <w:rsid w:val="007B5BD3"/>
    <w:rsid w:val="007B7169"/>
    <w:rsid w:val="00830DF0"/>
    <w:rsid w:val="008729E0"/>
    <w:rsid w:val="00894A60"/>
    <w:rsid w:val="008976E2"/>
    <w:rsid w:val="008B7E21"/>
    <w:rsid w:val="00923E28"/>
    <w:rsid w:val="009562CB"/>
    <w:rsid w:val="00964E83"/>
    <w:rsid w:val="009B76E3"/>
    <w:rsid w:val="009D3D84"/>
    <w:rsid w:val="00A3474D"/>
    <w:rsid w:val="00A41940"/>
    <w:rsid w:val="00A54141"/>
    <w:rsid w:val="00AC5BAD"/>
    <w:rsid w:val="00AD2B45"/>
    <w:rsid w:val="00B207ED"/>
    <w:rsid w:val="00B543BF"/>
    <w:rsid w:val="00B604CB"/>
    <w:rsid w:val="00B64729"/>
    <w:rsid w:val="00B9663D"/>
    <w:rsid w:val="00BC68FE"/>
    <w:rsid w:val="00BD32FB"/>
    <w:rsid w:val="00C7542F"/>
    <w:rsid w:val="00CD32BB"/>
    <w:rsid w:val="00D118A0"/>
    <w:rsid w:val="00D1305F"/>
    <w:rsid w:val="00D21390"/>
    <w:rsid w:val="00D64D4F"/>
    <w:rsid w:val="00DE10BF"/>
    <w:rsid w:val="00E33C63"/>
    <w:rsid w:val="00E6149C"/>
    <w:rsid w:val="00EA5131"/>
    <w:rsid w:val="00EB6C97"/>
    <w:rsid w:val="00F15901"/>
    <w:rsid w:val="00F26C51"/>
    <w:rsid w:val="00F457DA"/>
    <w:rsid w:val="00F73757"/>
    <w:rsid w:val="00FF0D28"/>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98D2B536-3ECC-4E26-BE79-D134ECE33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snapToGrid w:val="0"/>
      <w:sz w:val="24"/>
      <w:szCs w:val="24"/>
    </w:rPr>
  </w:style>
  <w:style w:type="paragraph" w:styleId="Cmsor1">
    <w:name w:val="heading 1"/>
    <w:basedOn w:val="Norml"/>
    <w:next w:val="Norml"/>
    <w:link w:val="Cmsor1Char"/>
    <w:uiPriority w:val="9"/>
    <w:qFormat/>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uiPriority w:val="9"/>
    <w:qFormat/>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
    <w:qFormat/>
    <w:pPr>
      <w:keepNext/>
      <w:spacing w:before="240" w:after="60"/>
      <w:outlineLvl w:val="2"/>
    </w:pPr>
    <w:rPr>
      <w:rFonts w:ascii="Arial" w:hAnsi="Arial" w:cs="Arial"/>
      <w:b/>
      <w:bCs/>
      <w:sz w:val="26"/>
      <w:szCs w:val="26"/>
    </w:rPr>
  </w:style>
  <w:style w:type="paragraph" w:styleId="Cmsor4">
    <w:name w:val="heading 4"/>
    <w:basedOn w:val="Norml"/>
    <w:next w:val="Norml"/>
    <w:link w:val="Cmsor4Char"/>
    <w:uiPriority w:val="9"/>
    <w:qFormat/>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Pr>
      <w:rFonts w:ascii="Cambria" w:eastAsia="Times New Roman" w:hAnsi="Cambria" w:cs="Times New Roman"/>
      <w:b/>
      <w:bCs/>
      <w:snapToGrid w:val="0"/>
      <w:kern w:val="32"/>
      <w:sz w:val="32"/>
      <w:szCs w:val="32"/>
    </w:rPr>
  </w:style>
  <w:style w:type="character" w:customStyle="1" w:styleId="Cmsor2Char">
    <w:name w:val="Címsor 2 Char"/>
    <w:link w:val="Cmsor2"/>
    <w:uiPriority w:val="9"/>
    <w:semiHidden/>
    <w:rPr>
      <w:rFonts w:ascii="Cambria" w:eastAsia="Times New Roman" w:hAnsi="Cambria" w:cs="Times New Roman"/>
      <w:b/>
      <w:bCs/>
      <w:i/>
      <w:iCs/>
      <w:snapToGrid w:val="0"/>
      <w:sz w:val="28"/>
      <w:szCs w:val="28"/>
    </w:rPr>
  </w:style>
  <w:style w:type="character" w:customStyle="1" w:styleId="Cmsor3Char">
    <w:name w:val="Címsor 3 Char"/>
    <w:link w:val="Cmsor3"/>
    <w:uiPriority w:val="9"/>
    <w:semiHidden/>
    <w:rPr>
      <w:rFonts w:ascii="Cambria" w:eastAsia="Times New Roman" w:hAnsi="Cambria" w:cs="Times New Roman"/>
      <w:b/>
      <w:bCs/>
      <w:snapToGrid w:val="0"/>
      <w:sz w:val="26"/>
      <w:szCs w:val="26"/>
    </w:rPr>
  </w:style>
  <w:style w:type="character" w:customStyle="1" w:styleId="Cmsor4Char">
    <w:name w:val="Címsor 4 Char"/>
    <w:link w:val="Cmsor4"/>
    <w:uiPriority w:val="9"/>
    <w:semiHidden/>
    <w:rPr>
      <w:rFonts w:ascii="Calibri" w:eastAsia="Times New Roman" w:hAnsi="Calibri" w:cs="Times New Roman"/>
      <w:b/>
      <w:bCs/>
      <w:snapToGrid w:val="0"/>
      <w:sz w:val="28"/>
      <w:szCs w:val="28"/>
    </w:rPr>
  </w:style>
  <w:style w:type="paragraph" w:customStyle="1" w:styleId="CharCharCharChar">
    <w:name w:val="Char Char Char Char"/>
    <w:basedOn w:val="Norml"/>
    <w:pPr>
      <w:spacing w:after="160" w:line="240" w:lineRule="exact"/>
    </w:pPr>
    <w:rPr>
      <w:sz w:val="20"/>
      <w:szCs w:val="20"/>
      <w:lang w:val="en-US"/>
    </w:rPr>
  </w:style>
  <w:style w:type="paragraph" w:styleId="Szvegtrzs">
    <w:name w:val="Body Text"/>
    <w:basedOn w:val="Norml"/>
    <w:link w:val="SzvegtrzsChar"/>
    <w:uiPriority w:val="99"/>
    <w:pPr>
      <w:jc w:val="both"/>
    </w:pPr>
    <w:rPr>
      <w:szCs w:val="20"/>
    </w:rPr>
  </w:style>
  <w:style w:type="character" w:customStyle="1" w:styleId="SzvegtrzsChar">
    <w:name w:val="Szövegtörzs Char"/>
    <w:link w:val="Szvegtrzs"/>
    <w:uiPriority w:val="99"/>
    <w:semiHidden/>
    <w:rPr>
      <w:rFonts w:ascii="Times New Roman" w:hAnsi="Times New Roman" w:cs="Times New Roman"/>
      <w:snapToGrid w:val="0"/>
      <w:sz w:val="24"/>
      <w:szCs w:val="24"/>
    </w:rPr>
  </w:style>
  <w:style w:type="paragraph" w:styleId="Buborkszveg">
    <w:name w:val="Balloon Text"/>
    <w:basedOn w:val="Norml"/>
    <w:link w:val="BuborkszvegChar"/>
    <w:uiPriority w:val="99"/>
    <w:semiHidden/>
    <w:rPr>
      <w:sz w:val="16"/>
      <w:szCs w:val="16"/>
    </w:rPr>
  </w:style>
  <w:style w:type="character" w:customStyle="1" w:styleId="BuborkszvegChar">
    <w:name w:val="Buborékszöveg Char"/>
    <w:link w:val="Buborkszveg"/>
    <w:uiPriority w:val="99"/>
    <w:semiHidden/>
    <w:rPr>
      <w:rFonts w:ascii="Tahoma" w:hAnsi="Tahoma" w:cs="Tahoma"/>
      <w:snapToGrid w:val="0"/>
      <w:sz w:val="16"/>
      <w:szCs w:val="16"/>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lfej">
    <w:name w:val="header"/>
    <w:basedOn w:val="Norml"/>
    <w:link w:val="lfejChar"/>
    <w:uiPriority w:val="99"/>
    <w:unhideWhenUsed/>
    <w:rsid w:val="002E450B"/>
    <w:pPr>
      <w:tabs>
        <w:tab w:val="center" w:pos="4536"/>
        <w:tab w:val="right" w:pos="9072"/>
      </w:tabs>
    </w:pPr>
  </w:style>
  <w:style w:type="character" w:customStyle="1" w:styleId="lfejChar">
    <w:name w:val="Élőfej Char"/>
    <w:basedOn w:val="Bekezdsalapbettpusa"/>
    <w:link w:val="lfej"/>
    <w:uiPriority w:val="99"/>
    <w:rsid w:val="002E450B"/>
    <w:rPr>
      <w:snapToGrid w:val="0"/>
      <w:sz w:val="24"/>
      <w:szCs w:val="24"/>
    </w:rPr>
  </w:style>
  <w:style w:type="paragraph" w:styleId="llb">
    <w:name w:val="footer"/>
    <w:basedOn w:val="Norml"/>
    <w:link w:val="llbChar"/>
    <w:uiPriority w:val="99"/>
    <w:unhideWhenUsed/>
    <w:rsid w:val="002E450B"/>
    <w:pPr>
      <w:tabs>
        <w:tab w:val="center" w:pos="4536"/>
        <w:tab w:val="right" w:pos="9072"/>
      </w:tabs>
    </w:pPr>
  </w:style>
  <w:style w:type="character" w:customStyle="1" w:styleId="llbChar">
    <w:name w:val="Élőláb Char"/>
    <w:basedOn w:val="Bekezdsalapbettpusa"/>
    <w:link w:val="llb"/>
    <w:uiPriority w:val="99"/>
    <w:rsid w:val="002E450B"/>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190</Words>
  <Characters>978</Characters>
  <Application>Microsoft Office Word</Application>
  <DocSecurity>0</DocSecurity>
  <Lines>8</Lines>
  <Paragraphs>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azonosító: F20</vt:lpstr>
      <vt:lpstr>MNB azonosító: F20</vt:lpstr>
    </vt:vector>
  </TitlesOfParts>
  <Company>Magyar Nemzeti Bank</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F20</dc:title>
  <dc:subject/>
  <dc:creator>nemetnek</dc:creator>
  <cp:keywords/>
  <dc:description/>
  <cp:lastModifiedBy>GK</cp:lastModifiedBy>
  <cp:revision>3</cp:revision>
  <dcterms:created xsi:type="dcterms:W3CDTF">2025-02-19T14:48:00Z</dcterms:created>
  <dcterms:modified xsi:type="dcterms:W3CDTF">2025-05-14T09:51:00Z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juhaszk@mnb.hu</vt:lpwstr>
  </property>
  <property fmtid="{D5CDD505-2E9C-101B-9397-08002B2CF9AE}" pid="6" name="MSIP_Label_b0d11092-50c9-4e74-84b5-b1af078dc3d0_SetDate">
    <vt:lpwstr>2019-01-21T15:18:55.8626110+01:00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