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8D72D" w14:textId="77777777" w:rsidR="00E471B0" w:rsidRPr="007B2120" w:rsidRDefault="009C4A89" w:rsidP="00A31055">
      <w:pPr>
        <w:pStyle w:val="Szvegtrzs3"/>
        <w:tabs>
          <w:tab w:val="clear" w:pos="8222"/>
        </w:tabs>
        <w:spacing w:after="240"/>
        <w:rPr>
          <w:rFonts w:ascii="Arial" w:hAnsi="Arial" w:cs="Arial"/>
          <w:b/>
          <w:noProof w:val="0"/>
          <w:sz w:val="20"/>
        </w:rPr>
      </w:pPr>
      <w:r>
        <w:rPr>
          <w:rFonts w:ascii="Arial" w:hAnsi="Arial" w:cs="Arial"/>
          <w:noProof w:val="0"/>
          <w:sz w:val="20"/>
          <w:lang w:val="en-GB"/>
        </w:rPr>
        <w:t>MNB identification number:</w:t>
      </w:r>
      <w:r>
        <w:rPr>
          <w:rFonts w:ascii="Arial" w:hAnsi="Arial" w:cs="Arial"/>
          <w:b/>
          <w:bCs/>
          <w:noProof w:val="0"/>
          <w:sz w:val="20"/>
          <w:lang w:val="en-GB"/>
        </w:rPr>
        <w:t xml:space="preserve"> E64</w:t>
      </w:r>
    </w:p>
    <w:p w14:paraId="5A539DD5" w14:textId="5CB3FA8A" w:rsidR="00E471B0" w:rsidRPr="007B2120" w:rsidRDefault="009C4A89" w:rsidP="00A31055">
      <w:pPr>
        <w:pStyle w:val="Cm"/>
        <w:spacing w:before="240"/>
        <w:rPr>
          <w:rFonts w:ascii="Arial" w:hAnsi="Arial" w:cs="Arial"/>
          <w:sz w:val="20"/>
        </w:rPr>
      </w:pPr>
      <w:r>
        <w:rPr>
          <w:rFonts w:ascii="Arial" w:hAnsi="Arial" w:cs="Arial"/>
          <w:bCs/>
          <w:sz w:val="20"/>
          <w:lang w:val="en-GB"/>
        </w:rPr>
        <w:t>Completion instructions</w:t>
      </w:r>
    </w:p>
    <w:p w14:paraId="54DACEF7" w14:textId="774BFD9F" w:rsidR="00E471B0" w:rsidRPr="007B2120" w:rsidRDefault="009C4A89" w:rsidP="00A31055">
      <w:pPr>
        <w:pStyle w:val="Szvegtrzs"/>
        <w:spacing w:after="240"/>
        <w:rPr>
          <w:rFonts w:ascii="Arial" w:hAnsi="Arial" w:cs="Arial"/>
          <w:sz w:val="20"/>
        </w:rPr>
      </w:pPr>
      <w:r>
        <w:rPr>
          <w:rFonts w:ascii="Arial" w:hAnsi="Arial" w:cs="Arial"/>
          <w:bCs/>
          <w:sz w:val="20"/>
          <w:lang w:val="en-GB"/>
        </w:rPr>
        <w:t xml:space="preserve">Information </w:t>
      </w:r>
      <w:r w:rsidR="00574830">
        <w:rPr>
          <w:rFonts w:ascii="Arial" w:hAnsi="Arial" w:cs="Arial"/>
          <w:bCs/>
          <w:sz w:val="20"/>
          <w:lang w:val="en-GB"/>
        </w:rPr>
        <w:t>on</w:t>
      </w:r>
      <w:r w:rsidR="00BD7910">
        <w:rPr>
          <w:rFonts w:ascii="Arial" w:hAnsi="Arial" w:cs="Arial"/>
          <w:bCs/>
          <w:sz w:val="20"/>
          <w:lang w:val="en-GB"/>
        </w:rPr>
        <w:t xml:space="preserve"> </w:t>
      </w:r>
      <w:r>
        <w:rPr>
          <w:rFonts w:ascii="Arial" w:hAnsi="Arial" w:cs="Arial"/>
          <w:bCs/>
          <w:sz w:val="20"/>
          <w:lang w:val="en-GB"/>
        </w:rPr>
        <w:t xml:space="preserve">debt securities issued by credit institutions and firms pursuing investment services, and price information </w:t>
      </w:r>
      <w:r w:rsidR="00BD7910">
        <w:rPr>
          <w:rFonts w:ascii="Arial" w:hAnsi="Arial" w:cs="Arial"/>
          <w:bCs/>
          <w:sz w:val="20"/>
          <w:lang w:val="en-GB"/>
        </w:rPr>
        <w:t xml:space="preserve">on </w:t>
      </w:r>
      <w:r>
        <w:rPr>
          <w:rFonts w:ascii="Arial" w:hAnsi="Arial" w:cs="Arial"/>
          <w:bCs/>
          <w:sz w:val="20"/>
          <w:lang w:val="en-GB"/>
        </w:rPr>
        <w:t>debt securities owned by and placed in the custody of custodian investment firms</w:t>
      </w:r>
    </w:p>
    <w:p w14:paraId="6942CAB8" w14:textId="77777777" w:rsidR="00E471B0" w:rsidRPr="007B2120" w:rsidRDefault="009C4A89" w:rsidP="00A31055">
      <w:pPr>
        <w:spacing w:before="240" w:after="240"/>
        <w:rPr>
          <w:rFonts w:ascii="Arial" w:hAnsi="Arial" w:cs="Arial"/>
          <w:b/>
        </w:rPr>
      </w:pPr>
      <w:r>
        <w:rPr>
          <w:rFonts w:ascii="Arial" w:hAnsi="Arial" w:cs="Arial"/>
          <w:b/>
          <w:bCs/>
          <w:lang w:val="en-GB"/>
        </w:rPr>
        <w:t>I. General instructions</w:t>
      </w:r>
    </w:p>
    <w:p w14:paraId="4267F1C0" w14:textId="77777777" w:rsidR="00E471B0" w:rsidRPr="007B2120" w:rsidRDefault="009C4A89" w:rsidP="00542083">
      <w:pPr>
        <w:ind w:left="357" w:hanging="357"/>
        <w:jc w:val="both"/>
        <w:rPr>
          <w:rFonts w:ascii="Arial" w:hAnsi="Arial" w:cs="Arial"/>
        </w:rPr>
      </w:pPr>
      <w:r>
        <w:rPr>
          <w:rFonts w:ascii="Arial" w:hAnsi="Arial" w:cs="Arial"/>
          <w:lang w:val="en-GB"/>
        </w:rPr>
        <w:t xml:space="preserve">1. </w:t>
      </w:r>
      <w:r>
        <w:rPr>
          <w:rFonts w:ascii="Arial" w:hAnsi="Arial" w:cs="Arial"/>
          <w:lang w:val="en-GB"/>
        </w:rPr>
        <w:tab/>
        <w:t>This report shall be prepared by the end of each month, the last day of the month being the reference day.</w:t>
      </w:r>
    </w:p>
    <w:p w14:paraId="28B224B9" w14:textId="0EDCD186" w:rsidR="00825878" w:rsidRPr="007B2120" w:rsidRDefault="009C4A89" w:rsidP="00542083">
      <w:pPr>
        <w:ind w:left="357" w:hanging="357"/>
        <w:jc w:val="both"/>
        <w:rPr>
          <w:rFonts w:ascii="Arial" w:hAnsi="Arial" w:cs="Arial"/>
        </w:rPr>
      </w:pPr>
      <w:r>
        <w:rPr>
          <w:rFonts w:ascii="Arial" w:hAnsi="Arial" w:cs="Arial"/>
          <w:lang w:val="en-GB"/>
        </w:rPr>
        <w:t xml:space="preserve">2. </w:t>
      </w:r>
      <w:r>
        <w:rPr>
          <w:rFonts w:ascii="Arial" w:hAnsi="Arial" w:cs="Arial"/>
          <w:lang w:val="en-GB"/>
        </w:rPr>
        <w:tab/>
        <w:t xml:space="preserve">A glossary of terms used in the tables and in these </w:t>
      </w:r>
      <w:proofErr w:type="gramStart"/>
      <w:r>
        <w:rPr>
          <w:rFonts w:ascii="Arial" w:hAnsi="Arial" w:cs="Arial"/>
          <w:lang w:val="en-GB"/>
        </w:rPr>
        <w:t>completion</w:t>
      </w:r>
      <w:proofErr w:type="gramEnd"/>
      <w:r>
        <w:rPr>
          <w:rFonts w:ascii="Arial" w:hAnsi="Arial" w:cs="Arial"/>
          <w:lang w:val="en-GB"/>
        </w:rPr>
        <w:t xml:space="preserve"> instructions </w:t>
      </w:r>
      <w:r w:rsidR="00F72CB9">
        <w:rPr>
          <w:rFonts w:ascii="Arial" w:hAnsi="Arial" w:cs="Arial"/>
          <w:lang w:val="en-GB"/>
        </w:rPr>
        <w:t>are</w:t>
      </w:r>
      <w:r>
        <w:rPr>
          <w:rFonts w:ascii="Arial" w:hAnsi="Arial" w:cs="Arial"/>
          <w:lang w:val="en-GB"/>
        </w:rPr>
        <w:t xml:space="preserve"> located in point I.</w:t>
      </w:r>
      <w:r w:rsidR="00F72CB9">
        <w:rPr>
          <w:rFonts w:ascii="Arial" w:hAnsi="Arial" w:cs="Arial"/>
          <w:lang w:val="en-GB"/>
        </w:rPr>
        <w:t xml:space="preserve"> E</w:t>
      </w:r>
      <w:r>
        <w:rPr>
          <w:rFonts w:ascii="Arial" w:hAnsi="Arial" w:cs="Arial"/>
          <w:lang w:val="en-GB"/>
        </w:rPr>
        <w:t>.</w:t>
      </w:r>
      <w:r w:rsidR="00A176D8">
        <w:rPr>
          <w:rFonts w:ascii="Arial" w:hAnsi="Arial" w:cs="Arial"/>
          <w:lang w:val="en-GB"/>
        </w:rPr>
        <w:t xml:space="preserve"> </w:t>
      </w:r>
      <w:r>
        <w:rPr>
          <w:rFonts w:ascii="Arial" w:hAnsi="Arial" w:cs="Arial"/>
          <w:lang w:val="en-GB"/>
        </w:rPr>
        <w:t>2 of this Annex.</w:t>
      </w:r>
    </w:p>
    <w:p w14:paraId="55379C1B" w14:textId="77777777" w:rsidR="00E471B0" w:rsidRPr="007B2120" w:rsidRDefault="009C4A89" w:rsidP="00A31055">
      <w:pPr>
        <w:pStyle w:val="Szvegtrzs3"/>
        <w:tabs>
          <w:tab w:val="clear" w:pos="8222"/>
        </w:tabs>
        <w:spacing w:before="240" w:after="240"/>
        <w:rPr>
          <w:rFonts w:ascii="Arial" w:hAnsi="Arial" w:cs="Arial"/>
          <w:b/>
          <w:noProof w:val="0"/>
          <w:sz w:val="20"/>
        </w:rPr>
      </w:pPr>
      <w:r>
        <w:rPr>
          <w:rFonts w:ascii="Arial" w:hAnsi="Arial" w:cs="Arial"/>
          <w:b/>
          <w:bCs/>
          <w:noProof w:val="0"/>
          <w:sz w:val="20"/>
          <w:lang w:val="en-GB"/>
        </w:rPr>
        <w:t>II. Detailed instructions for the completion of the tables</w:t>
      </w:r>
    </w:p>
    <w:p w14:paraId="516C9BE9" w14:textId="1E0983E3" w:rsidR="00C57B3C" w:rsidRDefault="009C4A89">
      <w:pPr>
        <w:numPr>
          <w:ilvl w:val="0"/>
          <w:numId w:val="2"/>
        </w:numPr>
        <w:ind w:left="426" w:hanging="426"/>
        <w:jc w:val="both"/>
        <w:rPr>
          <w:rFonts w:ascii="Arial" w:hAnsi="Arial" w:cs="Arial"/>
        </w:rPr>
      </w:pPr>
      <w:r>
        <w:rPr>
          <w:rFonts w:ascii="Arial" w:hAnsi="Arial" w:cs="Arial"/>
          <w:lang w:val="en-GB"/>
        </w:rPr>
        <w:t>For debt securities must be contained in the report in nominal value, in thousand units, in the original denomination of the securities. The codes to be used for the denomination as per point 4.1 of Annex 3 are listed in the technical guidelines available on the official website of the MNB.</w:t>
      </w:r>
    </w:p>
    <w:p w14:paraId="5823213B" w14:textId="77777777" w:rsidR="00C57B3C" w:rsidRDefault="009C4A89">
      <w:pPr>
        <w:numPr>
          <w:ilvl w:val="0"/>
          <w:numId w:val="2"/>
        </w:numPr>
        <w:ind w:left="426" w:hanging="426"/>
        <w:jc w:val="both"/>
        <w:rPr>
          <w:rFonts w:ascii="Arial" w:hAnsi="Arial" w:cs="Arial"/>
        </w:rPr>
      </w:pPr>
      <w:r>
        <w:rPr>
          <w:rFonts w:ascii="Arial" w:hAnsi="Arial" w:cs="Arial"/>
          <w:lang w:val="en-GB"/>
        </w:rPr>
        <w:t>Verificatory rules to send correct reports are listed in point 5 of Annex 3 (technical guidelines) available on the MNB website.</w:t>
      </w:r>
    </w:p>
    <w:p w14:paraId="56BEAF9F" w14:textId="68529DB3" w:rsidR="00E471B0" w:rsidRPr="007B2120" w:rsidRDefault="009C4A89" w:rsidP="00A31055">
      <w:pPr>
        <w:pStyle w:val="Szvegtrzs3"/>
        <w:tabs>
          <w:tab w:val="clear" w:pos="8222"/>
        </w:tabs>
        <w:spacing w:before="120"/>
        <w:rPr>
          <w:rFonts w:ascii="Arial" w:hAnsi="Arial" w:cs="Arial"/>
          <w:b/>
          <w:noProof w:val="0"/>
          <w:sz w:val="20"/>
        </w:rPr>
      </w:pPr>
      <w:r>
        <w:rPr>
          <w:rFonts w:ascii="Arial" w:hAnsi="Arial" w:cs="Arial"/>
          <w:b/>
          <w:bCs/>
          <w:noProof w:val="0"/>
          <w:sz w:val="20"/>
          <w:lang w:val="en-GB"/>
        </w:rPr>
        <w:t xml:space="preserve">Table 01: Information </w:t>
      </w:r>
      <w:r w:rsidR="00574830">
        <w:rPr>
          <w:rFonts w:ascii="Arial" w:hAnsi="Arial" w:cs="Arial"/>
          <w:b/>
          <w:bCs/>
          <w:noProof w:val="0"/>
          <w:sz w:val="20"/>
          <w:lang w:val="en-GB"/>
        </w:rPr>
        <w:t>on</w:t>
      </w:r>
      <w:r>
        <w:rPr>
          <w:rFonts w:ascii="Arial" w:hAnsi="Arial" w:cs="Arial"/>
          <w:b/>
          <w:bCs/>
          <w:noProof w:val="0"/>
          <w:sz w:val="20"/>
          <w:lang w:val="en-GB"/>
        </w:rPr>
        <w:t xml:space="preserve"> debt securities issued by credit institutions and firms pursuing investment services</w:t>
      </w:r>
    </w:p>
    <w:p w14:paraId="6C6442C5" w14:textId="77777777" w:rsidR="00E471B0" w:rsidRPr="007B2120" w:rsidRDefault="009C4A89" w:rsidP="003F73CD">
      <w:pPr>
        <w:numPr>
          <w:ilvl w:val="0"/>
          <w:numId w:val="1"/>
        </w:numPr>
        <w:tabs>
          <w:tab w:val="clear" w:pos="720"/>
          <w:tab w:val="num" w:pos="360"/>
        </w:tabs>
        <w:ind w:left="360"/>
        <w:jc w:val="both"/>
        <w:rPr>
          <w:rFonts w:ascii="Arial" w:hAnsi="Arial" w:cs="Arial"/>
          <w:u w:val="single"/>
        </w:rPr>
      </w:pPr>
      <w:r>
        <w:rPr>
          <w:rFonts w:ascii="Arial" w:hAnsi="Arial" w:cs="Arial"/>
          <w:lang w:val="en-GB"/>
        </w:rPr>
        <w:t>The report shall contain all debt securities issued by the data supplier (credit institution or investment firm) in Hungary or elsewhere (denominated in forint or in another currency).</w:t>
      </w:r>
    </w:p>
    <w:p w14:paraId="5D6281DE" w14:textId="77777777" w:rsidR="00E471B0" w:rsidRPr="007B2120" w:rsidRDefault="009C4A89" w:rsidP="003F73CD">
      <w:pPr>
        <w:numPr>
          <w:ilvl w:val="0"/>
          <w:numId w:val="1"/>
        </w:numPr>
        <w:tabs>
          <w:tab w:val="clear" w:pos="720"/>
          <w:tab w:val="num" w:pos="360"/>
        </w:tabs>
        <w:ind w:left="360"/>
        <w:jc w:val="both"/>
        <w:rPr>
          <w:rFonts w:ascii="Arial" w:hAnsi="Arial" w:cs="Arial"/>
        </w:rPr>
      </w:pPr>
      <w:r>
        <w:rPr>
          <w:rFonts w:ascii="Arial" w:hAnsi="Arial" w:cs="Arial"/>
          <w:lang w:val="en-GB"/>
        </w:rPr>
        <w:t>The report shall indicate all securities, whether issued publicly or privately.</w:t>
      </w:r>
    </w:p>
    <w:p w14:paraId="271CF6B2" w14:textId="77777777" w:rsidR="00E471B0" w:rsidRPr="007B2120" w:rsidRDefault="00E471B0" w:rsidP="003F73CD">
      <w:pPr>
        <w:tabs>
          <w:tab w:val="num" w:pos="360"/>
        </w:tabs>
        <w:ind w:left="360" w:hanging="360"/>
        <w:jc w:val="both"/>
        <w:rPr>
          <w:rFonts w:ascii="Arial" w:hAnsi="Arial" w:cs="Arial"/>
          <w:b/>
        </w:rPr>
      </w:pPr>
    </w:p>
    <w:p w14:paraId="1D30C45C" w14:textId="77777777" w:rsidR="00E471B0" w:rsidRPr="007B2120" w:rsidRDefault="009C4A89">
      <w:pPr>
        <w:rPr>
          <w:rFonts w:ascii="Arial" w:hAnsi="Arial" w:cs="Arial"/>
        </w:rPr>
      </w:pPr>
      <w:r>
        <w:rPr>
          <w:rFonts w:ascii="Arial" w:hAnsi="Arial" w:cs="Arial"/>
          <w:lang w:val="en-GB"/>
        </w:rPr>
        <w:t>Contents of the fields of individual columns:</w:t>
      </w:r>
    </w:p>
    <w:p w14:paraId="72E9D203" w14:textId="064B4C5C" w:rsidR="00C57B3C" w:rsidRDefault="009C4A89">
      <w:pPr>
        <w:pStyle w:val="Szvegtrzs3"/>
        <w:tabs>
          <w:tab w:val="clear" w:pos="8222"/>
        </w:tabs>
        <w:spacing w:after="0"/>
        <w:rPr>
          <w:rFonts w:ascii="Arial" w:hAnsi="Arial" w:cs="Arial"/>
          <w:noProof w:val="0"/>
          <w:snapToGrid w:val="0"/>
          <w:color w:val="000000"/>
          <w:sz w:val="20"/>
        </w:rPr>
      </w:pPr>
      <w:r>
        <w:rPr>
          <w:rFonts w:ascii="Arial" w:hAnsi="Arial" w:cs="Arial"/>
          <w:b/>
          <w:bCs/>
          <w:noProof w:val="0"/>
          <w:snapToGrid w:val="0"/>
          <w:color w:val="000000"/>
          <w:sz w:val="20"/>
          <w:lang w:val="en-GB"/>
        </w:rPr>
        <w:t>f/</w:t>
      </w:r>
      <w:r>
        <w:rPr>
          <w:rFonts w:ascii="Arial" w:hAnsi="Arial" w:cs="Arial"/>
          <w:noProof w:val="0"/>
          <w:snapToGrid w:val="0"/>
          <w:color w:val="000000"/>
          <w:sz w:val="20"/>
          <w:lang w:val="en-GB"/>
        </w:rPr>
        <w:t xml:space="preserve"> Volume of securities issued by the data supplier which are not managed by a resident </w:t>
      </w:r>
      <w:proofErr w:type="gramStart"/>
      <w:r>
        <w:rPr>
          <w:rFonts w:ascii="Arial" w:hAnsi="Arial" w:cs="Arial"/>
          <w:noProof w:val="0"/>
          <w:snapToGrid w:val="0"/>
          <w:color w:val="000000"/>
          <w:sz w:val="20"/>
          <w:lang w:val="en-GB"/>
        </w:rPr>
        <w:t>custodian, or</w:t>
      </w:r>
      <w:proofErr w:type="gramEnd"/>
      <w:r>
        <w:rPr>
          <w:rFonts w:ascii="Arial" w:hAnsi="Arial" w:cs="Arial"/>
          <w:noProof w:val="0"/>
          <w:snapToGrid w:val="0"/>
          <w:color w:val="000000"/>
          <w:sz w:val="20"/>
          <w:lang w:val="en-GB"/>
        </w:rPr>
        <w:t xml:space="preserve"> placed in the custody of non-resident custodians. In the other columns, these volumes should be broken down into two parts, securities held by the data supplier (issuer) and securities </w:t>
      </w:r>
      <w:r>
        <w:rPr>
          <w:rFonts w:ascii="Arial" w:hAnsi="Arial" w:cs="Arial"/>
          <w:sz w:val="20"/>
          <w:lang w:val="en-GB"/>
        </w:rPr>
        <w:t>not held by the</w:t>
      </w:r>
      <w:r>
        <w:rPr>
          <w:rFonts w:ascii="Arial" w:hAnsi="Arial" w:cs="Arial"/>
          <w:color w:val="1F497D"/>
          <w:sz w:val="20"/>
          <w:lang w:val="en-GB"/>
        </w:rPr>
        <w:t xml:space="preserve"> </w:t>
      </w:r>
      <w:r>
        <w:rPr>
          <w:rFonts w:ascii="Arial" w:hAnsi="Arial" w:cs="Arial"/>
          <w:noProof w:val="0"/>
          <w:snapToGrid w:val="0"/>
          <w:color w:val="000000"/>
          <w:sz w:val="20"/>
          <w:lang w:val="en-GB"/>
        </w:rPr>
        <w:t>issuer.</w:t>
      </w:r>
    </w:p>
    <w:p w14:paraId="0F2AC011" w14:textId="41643EA5" w:rsidR="00C57B3C" w:rsidRDefault="009C4A89">
      <w:pPr>
        <w:pStyle w:val="Szvegtrzs3"/>
        <w:tabs>
          <w:tab w:val="clear" w:pos="8222"/>
        </w:tabs>
        <w:spacing w:after="0"/>
        <w:rPr>
          <w:rFonts w:ascii="Arial" w:hAnsi="Arial" w:cs="Arial"/>
          <w:sz w:val="20"/>
        </w:rPr>
      </w:pPr>
      <w:r>
        <w:rPr>
          <w:rFonts w:ascii="Arial" w:hAnsi="Arial" w:cs="Arial"/>
          <w:b/>
          <w:bCs/>
          <w:noProof w:val="0"/>
          <w:sz w:val="20"/>
          <w:lang w:val="en-GB"/>
        </w:rPr>
        <w:t>i/</w:t>
      </w:r>
      <w:r>
        <w:rPr>
          <w:rFonts w:ascii="Arial" w:hAnsi="Arial" w:cs="Arial"/>
          <w:noProof w:val="0"/>
          <w:sz w:val="20"/>
          <w:lang w:val="en-GB"/>
        </w:rPr>
        <w:t xml:space="preserve"> Last known gross (market) price (including accrued interest) in percentage of the nominal value, expressed in the original denomination, with four decimal </w:t>
      </w:r>
      <w:r w:rsidR="00F72CB9">
        <w:rPr>
          <w:rFonts w:ascii="Arial" w:hAnsi="Arial" w:cs="Arial"/>
          <w:noProof w:val="0"/>
          <w:sz w:val="20"/>
          <w:lang w:val="en-GB"/>
        </w:rPr>
        <w:t>accuracies</w:t>
      </w:r>
      <w:r>
        <w:rPr>
          <w:rFonts w:ascii="Arial" w:hAnsi="Arial" w:cs="Arial"/>
          <w:noProof w:val="0"/>
          <w:sz w:val="20"/>
          <w:lang w:val="en-GB"/>
        </w:rPr>
        <w:t>.</w:t>
      </w:r>
      <w:r>
        <w:rPr>
          <w:rFonts w:ascii="Arial" w:hAnsi="Arial" w:cs="Arial"/>
          <w:sz w:val="20"/>
          <w:lang w:val="en-GB"/>
        </w:rPr>
        <w:t xml:space="preserve"> </w:t>
      </w:r>
    </w:p>
    <w:p w14:paraId="76171321" w14:textId="77777777" w:rsidR="00C57B3C" w:rsidRDefault="009C4A89">
      <w:pPr>
        <w:tabs>
          <w:tab w:val="left" w:pos="8222"/>
        </w:tabs>
        <w:jc w:val="both"/>
        <w:rPr>
          <w:rFonts w:ascii="Arial" w:hAnsi="Arial" w:cs="Arial"/>
          <w:noProof/>
        </w:rPr>
      </w:pPr>
      <w:r>
        <w:rPr>
          <w:rFonts w:ascii="Arial" w:hAnsi="Arial" w:cs="Arial"/>
          <w:b/>
          <w:bCs/>
          <w:noProof/>
          <w:lang w:val="en-GB"/>
        </w:rPr>
        <w:t>j</w:t>
      </w:r>
      <w:r>
        <w:rPr>
          <w:rFonts w:ascii="Arial" w:hAnsi="Arial" w:cs="Arial"/>
          <w:noProof/>
          <w:lang w:val="en-GB"/>
        </w:rPr>
        <w:t xml:space="preserve">/ The codes are listed in point 4.5 of Annex 3. available in the official website of MNB. The codes are indicated in hierarchical order and always the first available price source and the corresponding price data should be reported. </w:t>
      </w:r>
    </w:p>
    <w:p w14:paraId="6E45D9B6" w14:textId="08BD2C61" w:rsidR="00E471B0" w:rsidRPr="007B2120" w:rsidRDefault="009C4A89" w:rsidP="00A31055">
      <w:pPr>
        <w:pStyle w:val="Szvegtrzs3"/>
        <w:tabs>
          <w:tab w:val="clear" w:pos="8222"/>
        </w:tabs>
        <w:spacing w:before="120"/>
        <w:rPr>
          <w:rFonts w:ascii="Arial" w:hAnsi="Arial" w:cs="Arial"/>
          <w:b/>
          <w:sz w:val="20"/>
        </w:rPr>
      </w:pPr>
      <w:r>
        <w:rPr>
          <w:rFonts w:ascii="Arial" w:hAnsi="Arial" w:cs="Arial"/>
          <w:b/>
          <w:bCs/>
          <w:sz w:val="20"/>
          <w:lang w:val="en-GB"/>
        </w:rPr>
        <w:t xml:space="preserve">Table 02: Net price information in connection with securities managed and held </w:t>
      </w:r>
      <w:r w:rsidR="00BD7910">
        <w:rPr>
          <w:rFonts w:ascii="Arial" w:hAnsi="Arial" w:cs="Arial"/>
          <w:b/>
          <w:bCs/>
          <w:sz w:val="20"/>
          <w:lang w:val="en-GB"/>
        </w:rPr>
        <w:t xml:space="preserve">by </w:t>
      </w:r>
      <w:r>
        <w:rPr>
          <w:rFonts w:ascii="Arial" w:hAnsi="Arial" w:cs="Arial"/>
          <w:b/>
          <w:bCs/>
          <w:sz w:val="20"/>
          <w:lang w:val="en-GB"/>
        </w:rPr>
        <w:t>credit institutions and custodian investment firms</w:t>
      </w:r>
    </w:p>
    <w:p w14:paraId="08BE1DB9" w14:textId="5C5C320B" w:rsidR="00E471B0" w:rsidRDefault="009C4A89" w:rsidP="003A7128">
      <w:pPr>
        <w:pStyle w:val="Szvegtrzs3"/>
        <w:tabs>
          <w:tab w:val="clear" w:pos="8222"/>
        </w:tabs>
        <w:spacing w:before="120" w:after="0"/>
        <w:ind w:left="360" w:hanging="360"/>
        <w:rPr>
          <w:rFonts w:ascii="Arial" w:hAnsi="Arial" w:cs="Arial"/>
          <w:sz w:val="20"/>
        </w:rPr>
      </w:pPr>
      <w:r>
        <w:rPr>
          <w:rFonts w:ascii="Arial" w:hAnsi="Arial" w:cs="Arial"/>
          <w:sz w:val="20"/>
          <w:lang w:val="en-GB"/>
        </w:rPr>
        <w:t xml:space="preserve">1. </w:t>
      </w:r>
      <w:r>
        <w:rPr>
          <w:rFonts w:ascii="Arial" w:hAnsi="Arial" w:cs="Arial"/>
          <w:sz w:val="20"/>
          <w:lang w:val="en-GB"/>
        </w:rPr>
        <w:tab/>
        <w:t>In Table 02 government papers, investment notes and shares should not be indicated</w:t>
      </w:r>
      <w:r w:rsidR="00574830">
        <w:rPr>
          <w:rFonts w:ascii="Arial" w:hAnsi="Arial" w:cs="Arial"/>
          <w:sz w:val="20"/>
          <w:lang w:val="en-GB"/>
        </w:rPr>
        <w:t xml:space="preserve"> here. </w:t>
      </w:r>
      <w:r>
        <w:rPr>
          <w:rFonts w:ascii="Arial" w:hAnsi="Arial" w:cs="Arial"/>
          <w:sz w:val="20"/>
          <w:lang w:val="en-GB"/>
        </w:rPr>
        <w:t>Only the price data of securities issued by residents shall be reported here. Expired securities should not be reported in Table 02.</w:t>
      </w:r>
    </w:p>
    <w:p w14:paraId="0086E667" w14:textId="77777777" w:rsidR="002F457B" w:rsidRDefault="009C4A89" w:rsidP="003A7128">
      <w:pPr>
        <w:pStyle w:val="Szvegtrzs3"/>
        <w:tabs>
          <w:tab w:val="clear" w:pos="8222"/>
        </w:tabs>
        <w:spacing w:before="120" w:after="0"/>
        <w:ind w:left="360" w:hanging="360"/>
        <w:rPr>
          <w:rFonts w:ascii="Arial" w:hAnsi="Arial" w:cs="Arial"/>
          <w:sz w:val="20"/>
        </w:rPr>
      </w:pPr>
      <w:r>
        <w:rPr>
          <w:rFonts w:ascii="Arial" w:hAnsi="Arial" w:cs="Arial"/>
          <w:sz w:val="20"/>
          <w:lang w:val="en-GB"/>
        </w:rPr>
        <w:t>2. In the case of securities owned by the data supplier, which cannot be classified into the types specified in point 1, if the data supplier has the fair market value concerning the security, the price corresponding to this calculation excluding the accrued interest shall be given here. If that price is unavailable, the net price serving as the basis for the book value of the security shall be reported.</w:t>
      </w:r>
    </w:p>
    <w:p w14:paraId="5241A6A1" w14:textId="77777777" w:rsidR="00E471B0" w:rsidRPr="007B2120" w:rsidRDefault="009C4A89" w:rsidP="00745BC9">
      <w:pPr>
        <w:pStyle w:val="Szvegtrzs3"/>
        <w:tabs>
          <w:tab w:val="clear" w:pos="8222"/>
        </w:tabs>
        <w:ind w:left="357" w:hanging="357"/>
        <w:rPr>
          <w:rFonts w:ascii="Arial" w:hAnsi="Arial" w:cs="Arial"/>
          <w:sz w:val="20"/>
        </w:rPr>
      </w:pPr>
      <w:r>
        <w:rPr>
          <w:rFonts w:ascii="Arial" w:hAnsi="Arial" w:cs="Arial"/>
          <w:sz w:val="20"/>
          <w:lang w:val="en-GB"/>
        </w:rPr>
        <w:t xml:space="preserve">3. </w:t>
      </w:r>
      <w:r>
        <w:rPr>
          <w:rFonts w:ascii="Arial" w:hAnsi="Arial" w:cs="Arial"/>
          <w:sz w:val="20"/>
          <w:lang w:val="en-GB"/>
        </w:rPr>
        <w:tab/>
        <w:t>In the case of securities in the data supplier’s custody, which cannot be classified into the types specified in point 1, upon determining the prices, if the data supplier has real market price for the security, the price corresponding to this calculation excluding the accrued interest shall be given here. Failing this, if the paper was in fact sold during the reference month, the price quoted shall be the average price of the transactions calculated for the number of transactions. In the absence of this, the average selling price in over-the-counter transactions concluded during the period to which the report pertains; failing this, the average purchase price; failing this the best public offer. If the price of a security cannot be determined by the procedures specified above, the nominal value (or failing this the book value) of the security shall be indicated.</w:t>
      </w:r>
    </w:p>
    <w:p w14:paraId="3BA24495" w14:textId="77777777" w:rsidR="00E471B0" w:rsidRPr="007B2120" w:rsidRDefault="009C4A89" w:rsidP="00C5313F">
      <w:pPr>
        <w:keepNext/>
        <w:rPr>
          <w:rFonts w:ascii="Arial" w:hAnsi="Arial" w:cs="Arial"/>
        </w:rPr>
      </w:pPr>
      <w:r>
        <w:rPr>
          <w:rFonts w:ascii="Arial" w:hAnsi="Arial" w:cs="Arial"/>
          <w:lang w:val="en-GB"/>
        </w:rPr>
        <w:t>Contents of the fields of individual columns:</w:t>
      </w:r>
    </w:p>
    <w:p w14:paraId="5B2DE21E" w14:textId="57F8C1A9" w:rsidR="00C57B3C" w:rsidRDefault="009C4A89">
      <w:pPr>
        <w:pStyle w:val="Szvegtrzs3"/>
        <w:tabs>
          <w:tab w:val="clear" w:pos="8222"/>
        </w:tabs>
        <w:spacing w:after="0"/>
        <w:rPr>
          <w:rFonts w:ascii="Arial" w:hAnsi="Arial" w:cs="Arial"/>
          <w:noProof w:val="0"/>
          <w:sz w:val="20"/>
        </w:rPr>
      </w:pPr>
      <w:r>
        <w:rPr>
          <w:rFonts w:ascii="Arial" w:hAnsi="Arial" w:cs="Arial"/>
          <w:b/>
          <w:bCs/>
          <w:noProof w:val="0"/>
          <w:sz w:val="20"/>
          <w:lang w:val="en-GB"/>
        </w:rPr>
        <w:t>d/</w:t>
      </w:r>
      <w:r>
        <w:rPr>
          <w:rFonts w:ascii="Arial" w:hAnsi="Arial" w:cs="Arial"/>
          <w:noProof w:val="0"/>
          <w:sz w:val="20"/>
          <w:lang w:val="en-GB"/>
        </w:rPr>
        <w:t xml:space="preserve"> The price of securities shall be indicated as a percentage of the actual nominal value (adjusted with the capital redemption) must be filled with 4 decimals. (For example, if the price is 98.2547% of the nominal value, the reported number should be 98.2547, if the price is 100% of the nominal value, 100.0000 shall be indicated.)</w:t>
      </w:r>
    </w:p>
    <w:p w14:paraId="0A487883" w14:textId="77777777" w:rsidR="00C57B3C" w:rsidRDefault="009C4A89">
      <w:pPr>
        <w:pStyle w:val="Szvegtrzs3"/>
        <w:tabs>
          <w:tab w:val="clear" w:pos="8222"/>
        </w:tabs>
        <w:spacing w:after="0"/>
        <w:rPr>
          <w:rFonts w:ascii="Arial" w:hAnsi="Arial" w:cs="Arial"/>
          <w:sz w:val="20"/>
        </w:rPr>
      </w:pPr>
      <w:r>
        <w:rPr>
          <w:rFonts w:ascii="Arial" w:hAnsi="Arial" w:cs="Arial"/>
          <w:b/>
          <w:bCs/>
          <w:noProof w:val="0"/>
          <w:sz w:val="20"/>
          <w:lang w:val="en-GB"/>
        </w:rPr>
        <w:lastRenderedPageBreak/>
        <w:t>e/</w:t>
      </w:r>
      <w:r>
        <w:rPr>
          <w:rFonts w:ascii="Arial" w:hAnsi="Arial" w:cs="Arial"/>
          <w:noProof w:val="0"/>
          <w:sz w:val="20"/>
          <w:lang w:val="en-GB"/>
        </w:rPr>
        <w:t xml:space="preserve"> </w:t>
      </w:r>
      <w:r>
        <w:rPr>
          <w:rFonts w:ascii="Arial" w:hAnsi="Arial" w:cs="Arial"/>
          <w:sz w:val="20"/>
          <w:lang w:val="en-GB"/>
        </w:rPr>
        <w:t xml:space="preserve">The type of the security price reported in column ‘d’. The codes are listed in point 4.5 of Annex 3. available in the official website of MNB. </w:t>
      </w:r>
    </w:p>
    <w:p w14:paraId="1943E460" w14:textId="77777777" w:rsidR="00C57B3C" w:rsidRDefault="009C4A89">
      <w:pPr>
        <w:pStyle w:val="Szvegtrzs3"/>
        <w:tabs>
          <w:tab w:val="clear" w:pos="8222"/>
        </w:tabs>
        <w:spacing w:after="0"/>
        <w:rPr>
          <w:rFonts w:ascii="Arial" w:hAnsi="Arial" w:cs="Arial"/>
          <w:sz w:val="20"/>
        </w:rPr>
      </w:pPr>
      <w:r>
        <w:rPr>
          <w:rFonts w:ascii="Arial" w:hAnsi="Arial" w:cs="Arial"/>
          <w:b/>
          <w:bCs/>
          <w:sz w:val="20"/>
          <w:lang w:val="en-GB"/>
        </w:rPr>
        <w:t>f/</w:t>
      </w:r>
      <w:r>
        <w:rPr>
          <w:rFonts w:ascii="Arial" w:hAnsi="Arial" w:cs="Arial"/>
          <w:sz w:val="20"/>
          <w:lang w:val="en-GB"/>
        </w:rPr>
        <w:t xml:space="preserve"> In the case of securities held in custody, the number of actual transactions for a security during the reference period.</w:t>
      </w:r>
    </w:p>
    <w:p w14:paraId="5C9D05D9" w14:textId="77777777" w:rsidR="00C57B3C" w:rsidRDefault="009C4A89">
      <w:pPr>
        <w:pStyle w:val="Szvegtrzs3"/>
        <w:tabs>
          <w:tab w:val="clear" w:pos="8222"/>
        </w:tabs>
        <w:spacing w:after="0"/>
        <w:rPr>
          <w:rFonts w:ascii="Arial" w:hAnsi="Arial" w:cs="Arial"/>
          <w:sz w:val="20"/>
        </w:rPr>
      </w:pPr>
      <w:r>
        <w:rPr>
          <w:rFonts w:ascii="Arial" w:hAnsi="Arial" w:cs="Arial"/>
          <w:b/>
          <w:bCs/>
          <w:sz w:val="20"/>
          <w:lang w:val="en-GB"/>
        </w:rPr>
        <w:t>g/</w:t>
      </w:r>
      <w:r>
        <w:rPr>
          <w:rFonts w:ascii="Arial" w:hAnsi="Arial" w:cs="Arial"/>
          <w:sz w:val="20"/>
          <w:lang w:val="en-GB"/>
        </w:rPr>
        <w:t xml:space="preserve"> In the case of securities held in custody, the volume of actual transactions for a security during the reference period, number of pieces or thousand currency.</w:t>
      </w:r>
    </w:p>
    <w:sectPr w:rsidR="00C57B3C" w:rsidSect="008D34CB">
      <w:headerReference w:type="default" r:id="rId8"/>
      <w:footerReference w:type="even" r:id="rId9"/>
      <w:footerReference w:type="default" r:id="rId10"/>
      <w:pgSz w:w="11906" w:h="16838"/>
      <w:pgMar w:top="1247" w:right="1418" w:bottom="1191"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A88B88" w14:textId="77777777" w:rsidR="009C4A89" w:rsidRDefault="009C4A89">
      <w:r>
        <w:separator/>
      </w:r>
    </w:p>
  </w:endnote>
  <w:endnote w:type="continuationSeparator" w:id="0">
    <w:p w14:paraId="17FE1C1E" w14:textId="77777777" w:rsidR="009C4A89" w:rsidRDefault="009C4A89">
      <w:r>
        <w:continuationSeparator/>
      </w:r>
    </w:p>
  </w:endnote>
  <w:endnote w:type="continuationNotice" w:id="1">
    <w:p w14:paraId="56EA2D06" w14:textId="77777777" w:rsidR="009C4A89" w:rsidRDefault="009C4A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A5518" w14:textId="7D2A5F49" w:rsidR="00C82130" w:rsidRDefault="009C4A89">
    <w:pPr>
      <w:pStyle w:val="llb"/>
      <w:framePr w:wrap="around" w:vAnchor="text" w:hAnchor="margin" w:xAlign="right" w:y="1"/>
      <w:rPr>
        <w:rStyle w:val="Oldalszm"/>
      </w:rPr>
    </w:pPr>
    <w:r>
      <w:rPr>
        <w:rStyle w:val="Oldalszm"/>
        <w:lang w:val="en-GB"/>
      </w:rPr>
      <w:fldChar w:fldCharType="begin"/>
    </w:r>
    <w:r>
      <w:rPr>
        <w:rStyle w:val="Oldalszm"/>
        <w:lang w:val="en-GB"/>
      </w:rPr>
      <w:instrText xml:space="preserve">PAGE  </w:instrText>
    </w:r>
    <w:r w:rsidR="00A176D8">
      <w:rPr>
        <w:rStyle w:val="Oldalszm"/>
        <w:lang w:val="en-GB"/>
      </w:rPr>
      <w:fldChar w:fldCharType="separate"/>
    </w:r>
    <w:r>
      <w:rPr>
        <w:rStyle w:val="Oldalszm"/>
        <w:lang w:val="en-GB"/>
      </w:rPr>
      <w:fldChar w:fldCharType="end"/>
    </w:r>
  </w:p>
  <w:p w14:paraId="797F7100" w14:textId="77777777" w:rsidR="00C82130" w:rsidRDefault="00C82130">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74A42" w14:textId="77777777" w:rsidR="00C82130" w:rsidRDefault="00C82130">
    <w:pPr>
      <w:pStyle w:val="ll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DC60F" w14:textId="77777777" w:rsidR="009C4A89" w:rsidRDefault="009C4A89">
      <w:r>
        <w:separator/>
      </w:r>
    </w:p>
  </w:footnote>
  <w:footnote w:type="continuationSeparator" w:id="0">
    <w:p w14:paraId="74718524" w14:textId="77777777" w:rsidR="009C4A89" w:rsidRDefault="009C4A89">
      <w:r>
        <w:continuationSeparator/>
      </w:r>
    </w:p>
  </w:footnote>
  <w:footnote w:type="continuationNotice" w:id="1">
    <w:p w14:paraId="20CC544A" w14:textId="77777777" w:rsidR="009C4A89" w:rsidRDefault="009C4A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D3077" w14:textId="77777777" w:rsidR="00086378" w:rsidRDefault="00086378">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10D6A"/>
    <w:multiLevelType w:val="hybridMultilevel"/>
    <w:tmpl w:val="F3FE0C28"/>
    <w:lvl w:ilvl="0" w:tplc="06E8545C">
      <w:start w:val="1"/>
      <w:numFmt w:val="decimal"/>
      <w:lvlText w:val="%1."/>
      <w:lvlJc w:val="left"/>
      <w:pPr>
        <w:ind w:left="720" w:hanging="360"/>
      </w:pPr>
      <w:rPr>
        <w:rFonts w:hint="default"/>
      </w:rPr>
    </w:lvl>
    <w:lvl w:ilvl="1" w:tplc="D1AC3E24" w:tentative="1">
      <w:start w:val="1"/>
      <w:numFmt w:val="lowerLetter"/>
      <w:lvlText w:val="%2."/>
      <w:lvlJc w:val="left"/>
      <w:pPr>
        <w:ind w:left="1440" w:hanging="360"/>
      </w:pPr>
    </w:lvl>
    <w:lvl w:ilvl="2" w:tplc="4DA4FF4E" w:tentative="1">
      <w:start w:val="1"/>
      <w:numFmt w:val="lowerRoman"/>
      <w:lvlText w:val="%3."/>
      <w:lvlJc w:val="right"/>
      <w:pPr>
        <w:ind w:left="2160" w:hanging="180"/>
      </w:pPr>
    </w:lvl>
    <w:lvl w:ilvl="3" w:tplc="F1BC8288" w:tentative="1">
      <w:start w:val="1"/>
      <w:numFmt w:val="decimal"/>
      <w:lvlText w:val="%4."/>
      <w:lvlJc w:val="left"/>
      <w:pPr>
        <w:ind w:left="2880" w:hanging="360"/>
      </w:pPr>
    </w:lvl>
    <w:lvl w:ilvl="4" w:tplc="0C42A5C4" w:tentative="1">
      <w:start w:val="1"/>
      <w:numFmt w:val="lowerLetter"/>
      <w:lvlText w:val="%5."/>
      <w:lvlJc w:val="left"/>
      <w:pPr>
        <w:ind w:left="3600" w:hanging="360"/>
      </w:pPr>
    </w:lvl>
    <w:lvl w:ilvl="5" w:tplc="FD9CF8DE" w:tentative="1">
      <w:start w:val="1"/>
      <w:numFmt w:val="lowerRoman"/>
      <w:lvlText w:val="%6."/>
      <w:lvlJc w:val="right"/>
      <w:pPr>
        <w:ind w:left="4320" w:hanging="180"/>
      </w:pPr>
    </w:lvl>
    <w:lvl w:ilvl="6" w:tplc="03169BA6" w:tentative="1">
      <w:start w:val="1"/>
      <w:numFmt w:val="decimal"/>
      <w:lvlText w:val="%7."/>
      <w:lvlJc w:val="left"/>
      <w:pPr>
        <w:ind w:left="5040" w:hanging="360"/>
      </w:pPr>
    </w:lvl>
    <w:lvl w:ilvl="7" w:tplc="D618E724" w:tentative="1">
      <w:start w:val="1"/>
      <w:numFmt w:val="lowerLetter"/>
      <w:lvlText w:val="%8."/>
      <w:lvlJc w:val="left"/>
      <w:pPr>
        <w:ind w:left="5760" w:hanging="360"/>
      </w:pPr>
    </w:lvl>
    <w:lvl w:ilvl="8" w:tplc="D2746B9E" w:tentative="1">
      <w:start w:val="1"/>
      <w:numFmt w:val="lowerRoman"/>
      <w:lvlText w:val="%9."/>
      <w:lvlJc w:val="right"/>
      <w:pPr>
        <w:ind w:left="6480" w:hanging="180"/>
      </w:pPr>
    </w:lvl>
  </w:abstractNum>
  <w:abstractNum w:abstractNumId="1" w15:restartNumberingAfterBreak="0">
    <w:nsid w:val="5B674A35"/>
    <w:multiLevelType w:val="hybridMultilevel"/>
    <w:tmpl w:val="E4C4F1D8"/>
    <w:lvl w:ilvl="0" w:tplc="E592C160">
      <w:start w:val="1"/>
      <w:numFmt w:val="decimal"/>
      <w:lvlText w:val="%1."/>
      <w:lvlJc w:val="left"/>
      <w:pPr>
        <w:tabs>
          <w:tab w:val="num" w:pos="720"/>
        </w:tabs>
        <w:ind w:left="720" w:hanging="360"/>
      </w:pPr>
      <w:rPr>
        <w:rFonts w:hint="default"/>
      </w:rPr>
    </w:lvl>
    <w:lvl w:ilvl="1" w:tplc="365272B0" w:tentative="1">
      <w:start w:val="1"/>
      <w:numFmt w:val="bullet"/>
      <w:lvlText w:val="o"/>
      <w:lvlJc w:val="left"/>
      <w:pPr>
        <w:tabs>
          <w:tab w:val="num" w:pos="1440"/>
        </w:tabs>
        <w:ind w:left="1440" w:hanging="360"/>
      </w:pPr>
      <w:rPr>
        <w:rFonts w:ascii="Courier New" w:hAnsi="Courier New" w:cs="Courier New" w:hint="default"/>
      </w:rPr>
    </w:lvl>
    <w:lvl w:ilvl="2" w:tplc="2A8EFF38" w:tentative="1">
      <w:start w:val="1"/>
      <w:numFmt w:val="bullet"/>
      <w:lvlText w:val=""/>
      <w:lvlJc w:val="left"/>
      <w:pPr>
        <w:tabs>
          <w:tab w:val="num" w:pos="2160"/>
        </w:tabs>
        <w:ind w:left="2160" w:hanging="360"/>
      </w:pPr>
      <w:rPr>
        <w:rFonts w:ascii="Wingdings" w:hAnsi="Wingdings" w:hint="default"/>
      </w:rPr>
    </w:lvl>
    <w:lvl w:ilvl="3" w:tplc="B5AABCC4" w:tentative="1">
      <w:start w:val="1"/>
      <w:numFmt w:val="bullet"/>
      <w:lvlText w:val=""/>
      <w:lvlJc w:val="left"/>
      <w:pPr>
        <w:tabs>
          <w:tab w:val="num" w:pos="2880"/>
        </w:tabs>
        <w:ind w:left="2880" w:hanging="360"/>
      </w:pPr>
      <w:rPr>
        <w:rFonts w:ascii="Symbol" w:hAnsi="Symbol" w:hint="default"/>
      </w:rPr>
    </w:lvl>
    <w:lvl w:ilvl="4" w:tplc="443C3D94" w:tentative="1">
      <w:start w:val="1"/>
      <w:numFmt w:val="bullet"/>
      <w:lvlText w:val="o"/>
      <w:lvlJc w:val="left"/>
      <w:pPr>
        <w:tabs>
          <w:tab w:val="num" w:pos="3600"/>
        </w:tabs>
        <w:ind w:left="3600" w:hanging="360"/>
      </w:pPr>
      <w:rPr>
        <w:rFonts w:ascii="Courier New" w:hAnsi="Courier New" w:cs="Courier New" w:hint="default"/>
      </w:rPr>
    </w:lvl>
    <w:lvl w:ilvl="5" w:tplc="B5A86D5C" w:tentative="1">
      <w:start w:val="1"/>
      <w:numFmt w:val="bullet"/>
      <w:lvlText w:val=""/>
      <w:lvlJc w:val="left"/>
      <w:pPr>
        <w:tabs>
          <w:tab w:val="num" w:pos="4320"/>
        </w:tabs>
        <w:ind w:left="4320" w:hanging="360"/>
      </w:pPr>
      <w:rPr>
        <w:rFonts w:ascii="Wingdings" w:hAnsi="Wingdings" w:hint="default"/>
      </w:rPr>
    </w:lvl>
    <w:lvl w:ilvl="6" w:tplc="0562D624" w:tentative="1">
      <w:start w:val="1"/>
      <w:numFmt w:val="bullet"/>
      <w:lvlText w:val=""/>
      <w:lvlJc w:val="left"/>
      <w:pPr>
        <w:tabs>
          <w:tab w:val="num" w:pos="5040"/>
        </w:tabs>
        <w:ind w:left="5040" w:hanging="360"/>
      </w:pPr>
      <w:rPr>
        <w:rFonts w:ascii="Symbol" w:hAnsi="Symbol" w:hint="default"/>
      </w:rPr>
    </w:lvl>
    <w:lvl w:ilvl="7" w:tplc="CD28151A" w:tentative="1">
      <w:start w:val="1"/>
      <w:numFmt w:val="bullet"/>
      <w:lvlText w:val="o"/>
      <w:lvlJc w:val="left"/>
      <w:pPr>
        <w:tabs>
          <w:tab w:val="num" w:pos="5760"/>
        </w:tabs>
        <w:ind w:left="5760" w:hanging="360"/>
      </w:pPr>
      <w:rPr>
        <w:rFonts w:ascii="Courier New" w:hAnsi="Courier New" w:cs="Courier New" w:hint="default"/>
      </w:rPr>
    </w:lvl>
    <w:lvl w:ilvl="8" w:tplc="D764948A" w:tentative="1">
      <w:start w:val="1"/>
      <w:numFmt w:val="bullet"/>
      <w:lvlText w:val=""/>
      <w:lvlJc w:val="left"/>
      <w:pPr>
        <w:tabs>
          <w:tab w:val="num" w:pos="6480"/>
        </w:tabs>
        <w:ind w:left="6480" w:hanging="360"/>
      </w:pPr>
      <w:rPr>
        <w:rFonts w:ascii="Wingdings" w:hAnsi="Wingdings" w:hint="default"/>
      </w:rPr>
    </w:lvl>
  </w:abstractNum>
  <w:num w:numId="1" w16cid:durableId="1919363017">
    <w:abstractNumId w:val="1"/>
  </w:num>
  <w:num w:numId="2" w16cid:durableId="11529844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940"/>
    <w:rsid w:val="00017F6E"/>
    <w:rsid w:val="0003598F"/>
    <w:rsid w:val="00037B67"/>
    <w:rsid w:val="000438C9"/>
    <w:rsid w:val="00051AD8"/>
    <w:rsid w:val="00053EF9"/>
    <w:rsid w:val="0006070C"/>
    <w:rsid w:val="000614CA"/>
    <w:rsid w:val="000641B4"/>
    <w:rsid w:val="000703E6"/>
    <w:rsid w:val="000766CA"/>
    <w:rsid w:val="00086378"/>
    <w:rsid w:val="00091C80"/>
    <w:rsid w:val="00093DC3"/>
    <w:rsid w:val="000B0136"/>
    <w:rsid w:val="000B6C99"/>
    <w:rsid w:val="000D1E76"/>
    <w:rsid w:val="000E5201"/>
    <w:rsid w:val="000F053E"/>
    <w:rsid w:val="000F1361"/>
    <w:rsid w:val="00114000"/>
    <w:rsid w:val="00126BA6"/>
    <w:rsid w:val="00132812"/>
    <w:rsid w:val="00141BCF"/>
    <w:rsid w:val="001568DD"/>
    <w:rsid w:val="0019520C"/>
    <w:rsid w:val="001B66D8"/>
    <w:rsid w:val="001C4320"/>
    <w:rsid w:val="001D0172"/>
    <w:rsid w:val="001E2B52"/>
    <w:rsid w:val="002211F3"/>
    <w:rsid w:val="0022407B"/>
    <w:rsid w:val="002569D1"/>
    <w:rsid w:val="00273BDB"/>
    <w:rsid w:val="00284425"/>
    <w:rsid w:val="00287206"/>
    <w:rsid w:val="00294790"/>
    <w:rsid w:val="002E1A5B"/>
    <w:rsid w:val="002E2AD7"/>
    <w:rsid w:val="002E3BE3"/>
    <w:rsid w:val="002F457B"/>
    <w:rsid w:val="002F5885"/>
    <w:rsid w:val="003167F6"/>
    <w:rsid w:val="00322B65"/>
    <w:rsid w:val="003274DF"/>
    <w:rsid w:val="00333022"/>
    <w:rsid w:val="00334AAE"/>
    <w:rsid w:val="00347090"/>
    <w:rsid w:val="00361F62"/>
    <w:rsid w:val="003667E7"/>
    <w:rsid w:val="003A4618"/>
    <w:rsid w:val="003A7128"/>
    <w:rsid w:val="003C2B70"/>
    <w:rsid w:val="003C5A11"/>
    <w:rsid w:val="003C6AC2"/>
    <w:rsid w:val="003E0C01"/>
    <w:rsid w:val="003F73CD"/>
    <w:rsid w:val="0040126A"/>
    <w:rsid w:val="00407FE6"/>
    <w:rsid w:val="0041433E"/>
    <w:rsid w:val="0042626C"/>
    <w:rsid w:val="00436540"/>
    <w:rsid w:val="004536D1"/>
    <w:rsid w:val="004547F2"/>
    <w:rsid w:val="00491B60"/>
    <w:rsid w:val="00494053"/>
    <w:rsid w:val="00495A2D"/>
    <w:rsid w:val="004A35F9"/>
    <w:rsid w:val="004A67E4"/>
    <w:rsid w:val="004B112E"/>
    <w:rsid w:val="004C66C1"/>
    <w:rsid w:val="004D3CB4"/>
    <w:rsid w:val="004E696B"/>
    <w:rsid w:val="0050620A"/>
    <w:rsid w:val="005109F6"/>
    <w:rsid w:val="00515E6B"/>
    <w:rsid w:val="00523F52"/>
    <w:rsid w:val="00542083"/>
    <w:rsid w:val="005451C9"/>
    <w:rsid w:val="005533EF"/>
    <w:rsid w:val="00571CF6"/>
    <w:rsid w:val="00574830"/>
    <w:rsid w:val="00576940"/>
    <w:rsid w:val="00585A6A"/>
    <w:rsid w:val="005A6FF0"/>
    <w:rsid w:val="005B791F"/>
    <w:rsid w:val="005C0CFC"/>
    <w:rsid w:val="005C479F"/>
    <w:rsid w:val="005F3EE6"/>
    <w:rsid w:val="00600D13"/>
    <w:rsid w:val="0060564B"/>
    <w:rsid w:val="006134BD"/>
    <w:rsid w:val="00616109"/>
    <w:rsid w:val="00626B88"/>
    <w:rsid w:val="00634085"/>
    <w:rsid w:val="00646DE5"/>
    <w:rsid w:val="006568F1"/>
    <w:rsid w:val="0065736E"/>
    <w:rsid w:val="00662D71"/>
    <w:rsid w:val="00665AC5"/>
    <w:rsid w:val="00680D4A"/>
    <w:rsid w:val="00683238"/>
    <w:rsid w:val="0068744E"/>
    <w:rsid w:val="0069708B"/>
    <w:rsid w:val="006975D2"/>
    <w:rsid w:val="006B0AD1"/>
    <w:rsid w:val="006B1565"/>
    <w:rsid w:val="006D467E"/>
    <w:rsid w:val="006D502E"/>
    <w:rsid w:val="006F185B"/>
    <w:rsid w:val="006F3D20"/>
    <w:rsid w:val="006F4EE5"/>
    <w:rsid w:val="00700A1D"/>
    <w:rsid w:val="0070295E"/>
    <w:rsid w:val="007107E9"/>
    <w:rsid w:val="00716381"/>
    <w:rsid w:val="00722AA1"/>
    <w:rsid w:val="007331D1"/>
    <w:rsid w:val="0073687E"/>
    <w:rsid w:val="00743B06"/>
    <w:rsid w:val="00745BC9"/>
    <w:rsid w:val="00750A19"/>
    <w:rsid w:val="00761498"/>
    <w:rsid w:val="00763C6F"/>
    <w:rsid w:val="0078562E"/>
    <w:rsid w:val="007B2120"/>
    <w:rsid w:val="007E4464"/>
    <w:rsid w:val="007F0ED7"/>
    <w:rsid w:val="007F1EC1"/>
    <w:rsid w:val="007F5116"/>
    <w:rsid w:val="00812B20"/>
    <w:rsid w:val="00825878"/>
    <w:rsid w:val="00840BF1"/>
    <w:rsid w:val="0086120C"/>
    <w:rsid w:val="008613F0"/>
    <w:rsid w:val="008B187F"/>
    <w:rsid w:val="008C7BE9"/>
    <w:rsid w:val="008D34CB"/>
    <w:rsid w:val="008D4B14"/>
    <w:rsid w:val="008E6863"/>
    <w:rsid w:val="00903426"/>
    <w:rsid w:val="00903C90"/>
    <w:rsid w:val="0090737E"/>
    <w:rsid w:val="00930DE0"/>
    <w:rsid w:val="00944563"/>
    <w:rsid w:val="009528CD"/>
    <w:rsid w:val="00960E8D"/>
    <w:rsid w:val="0096333C"/>
    <w:rsid w:val="0098204B"/>
    <w:rsid w:val="00994327"/>
    <w:rsid w:val="009A1B0D"/>
    <w:rsid w:val="009A26F2"/>
    <w:rsid w:val="009C4A89"/>
    <w:rsid w:val="009D3500"/>
    <w:rsid w:val="009D3D60"/>
    <w:rsid w:val="009E2DAF"/>
    <w:rsid w:val="009E4FB5"/>
    <w:rsid w:val="00A022DD"/>
    <w:rsid w:val="00A05513"/>
    <w:rsid w:val="00A16325"/>
    <w:rsid w:val="00A176D8"/>
    <w:rsid w:val="00A2206C"/>
    <w:rsid w:val="00A27275"/>
    <w:rsid w:val="00A300D1"/>
    <w:rsid w:val="00A31055"/>
    <w:rsid w:val="00A34C10"/>
    <w:rsid w:val="00A415B3"/>
    <w:rsid w:val="00A5169A"/>
    <w:rsid w:val="00A51DFC"/>
    <w:rsid w:val="00A557B8"/>
    <w:rsid w:val="00A7036A"/>
    <w:rsid w:val="00A73D6D"/>
    <w:rsid w:val="00A8335A"/>
    <w:rsid w:val="00A8602C"/>
    <w:rsid w:val="00A86EA8"/>
    <w:rsid w:val="00A92C87"/>
    <w:rsid w:val="00A95EF3"/>
    <w:rsid w:val="00AB2882"/>
    <w:rsid w:val="00AB54C2"/>
    <w:rsid w:val="00AC6423"/>
    <w:rsid w:val="00B01F10"/>
    <w:rsid w:val="00B03408"/>
    <w:rsid w:val="00B0389E"/>
    <w:rsid w:val="00B20EFF"/>
    <w:rsid w:val="00B27D4E"/>
    <w:rsid w:val="00B37E90"/>
    <w:rsid w:val="00B42635"/>
    <w:rsid w:val="00B5350A"/>
    <w:rsid w:val="00B54F68"/>
    <w:rsid w:val="00B77D03"/>
    <w:rsid w:val="00B830CB"/>
    <w:rsid w:val="00B85D54"/>
    <w:rsid w:val="00B92BC6"/>
    <w:rsid w:val="00BA079A"/>
    <w:rsid w:val="00BA5B56"/>
    <w:rsid w:val="00BD7910"/>
    <w:rsid w:val="00BE345C"/>
    <w:rsid w:val="00BE62C8"/>
    <w:rsid w:val="00C05DC1"/>
    <w:rsid w:val="00C07F8C"/>
    <w:rsid w:val="00C10862"/>
    <w:rsid w:val="00C36AF2"/>
    <w:rsid w:val="00C51C7C"/>
    <w:rsid w:val="00C525CD"/>
    <w:rsid w:val="00C527BC"/>
    <w:rsid w:val="00C530AB"/>
    <w:rsid w:val="00C5313F"/>
    <w:rsid w:val="00C533F3"/>
    <w:rsid w:val="00C57B3C"/>
    <w:rsid w:val="00C82130"/>
    <w:rsid w:val="00C83B7B"/>
    <w:rsid w:val="00C9381D"/>
    <w:rsid w:val="00C94792"/>
    <w:rsid w:val="00C950A6"/>
    <w:rsid w:val="00C97623"/>
    <w:rsid w:val="00CA1E8E"/>
    <w:rsid w:val="00CB0F26"/>
    <w:rsid w:val="00CC3A50"/>
    <w:rsid w:val="00CC6B5C"/>
    <w:rsid w:val="00CC7F05"/>
    <w:rsid w:val="00CD1794"/>
    <w:rsid w:val="00CF708C"/>
    <w:rsid w:val="00D03B99"/>
    <w:rsid w:val="00D10C5C"/>
    <w:rsid w:val="00D25FD4"/>
    <w:rsid w:val="00D30624"/>
    <w:rsid w:val="00D34D05"/>
    <w:rsid w:val="00D50C0A"/>
    <w:rsid w:val="00D629A0"/>
    <w:rsid w:val="00D62A61"/>
    <w:rsid w:val="00D80533"/>
    <w:rsid w:val="00DA60BC"/>
    <w:rsid w:val="00DC7DB4"/>
    <w:rsid w:val="00DD7481"/>
    <w:rsid w:val="00DE0FCC"/>
    <w:rsid w:val="00DF1AA2"/>
    <w:rsid w:val="00E02F94"/>
    <w:rsid w:val="00E03F79"/>
    <w:rsid w:val="00E15490"/>
    <w:rsid w:val="00E21F04"/>
    <w:rsid w:val="00E30E48"/>
    <w:rsid w:val="00E312E0"/>
    <w:rsid w:val="00E406EC"/>
    <w:rsid w:val="00E447AA"/>
    <w:rsid w:val="00E471B0"/>
    <w:rsid w:val="00E608C5"/>
    <w:rsid w:val="00E667EA"/>
    <w:rsid w:val="00E726E2"/>
    <w:rsid w:val="00E72DD5"/>
    <w:rsid w:val="00E863A9"/>
    <w:rsid w:val="00EB0E8C"/>
    <w:rsid w:val="00EB51CC"/>
    <w:rsid w:val="00EF0D6F"/>
    <w:rsid w:val="00EF1211"/>
    <w:rsid w:val="00EF4816"/>
    <w:rsid w:val="00EF7217"/>
    <w:rsid w:val="00F026C9"/>
    <w:rsid w:val="00F12991"/>
    <w:rsid w:val="00F27C0B"/>
    <w:rsid w:val="00F317E1"/>
    <w:rsid w:val="00F47EB4"/>
    <w:rsid w:val="00F53FF0"/>
    <w:rsid w:val="00F60EDB"/>
    <w:rsid w:val="00F61E12"/>
    <w:rsid w:val="00F72CB9"/>
    <w:rsid w:val="00F826FA"/>
    <w:rsid w:val="00F93ABA"/>
    <w:rsid w:val="00F94193"/>
    <w:rsid w:val="00FB3858"/>
    <w:rsid w:val="00FB7F11"/>
    <w:rsid w:val="00FC6960"/>
    <w:rsid w:val="00FD0663"/>
    <w:rsid w:val="00FD1E09"/>
    <w:rsid w:val="00FE19CD"/>
    <w:rsid w:val="00FE2291"/>
    <w:rsid w:val="00FE2A3C"/>
    <w:rsid w:val="00FE37EA"/>
    <w:rsid w:val="00FE54A5"/>
    <w:rsid w:val="00FF078A"/>
    <w:rsid w:val="00FF5E9E"/>
    <w:rsid w:val="00FF7012"/>
  </w:rsids>
  <m:mathPr>
    <m:mathFont m:val="Cambria Math"/>
    <m:brkBin m:val="before"/>
    <m:brkBinSub m:val="--"/>
    <m:smallFrac m:val="0"/>
    <m:dispDef/>
    <m:lMargin m:val="0"/>
    <m:rMargin m:val="0"/>
    <m:defJc m:val="centerGroup"/>
    <m:wrapIndent m:val="1440"/>
    <m:intLim m:val="subSup"/>
    <m:naryLim m:val="undOvr"/>
  </m:mathPr>
  <w:themeFontLang w:val="hu-H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C3A8E5"/>
  <w15:chartTrackingRefBased/>
  <w15:docId w15:val="{7DFD9BC5-4283-419A-8732-B5E386826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8D34CB"/>
    <w:rPr>
      <w:lang w:val="en-AU"/>
    </w:rPr>
  </w:style>
  <w:style w:type="paragraph" w:styleId="Cmsor1">
    <w:name w:val="heading 1"/>
    <w:basedOn w:val="Norml"/>
    <w:next w:val="Norml"/>
    <w:qFormat/>
    <w:rsid w:val="008D34CB"/>
    <w:pPr>
      <w:keepNext/>
      <w:outlineLvl w:val="0"/>
    </w:pPr>
    <w:rPr>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qFormat/>
    <w:rsid w:val="008D34CB"/>
    <w:pPr>
      <w:jc w:val="center"/>
    </w:pPr>
    <w:rPr>
      <w:b/>
      <w:sz w:val="24"/>
    </w:rPr>
  </w:style>
  <w:style w:type="paragraph" w:styleId="Szvegtrzs">
    <w:name w:val="Body Text"/>
    <w:basedOn w:val="Norml"/>
    <w:rsid w:val="008D34CB"/>
    <w:pPr>
      <w:jc w:val="center"/>
    </w:pPr>
    <w:rPr>
      <w:b/>
      <w:sz w:val="24"/>
    </w:rPr>
  </w:style>
  <w:style w:type="paragraph" w:styleId="Szvegtrzs3">
    <w:name w:val="Body Text 3"/>
    <w:basedOn w:val="Norml"/>
    <w:rsid w:val="008D34CB"/>
    <w:pPr>
      <w:tabs>
        <w:tab w:val="left" w:pos="8222"/>
      </w:tabs>
      <w:spacing w:after="120"/>
      <w:jc w:val="both"/>
    </w:pPr>
    <w:rPr>
      <w:noProof/>
      <w:sz w:val="24"/>
    </w:rPr>
  </w:style>
  <w:style w:type="character" w:styleId="Hiperhivatkozs">
    <w:name w:val="Hyperlink"/>
    <w:rsid w:val="008D34CB"/>
    <w:rPr>
      <w:color w:val="0000FF"/>
      <w:u w:val="single"/>
    </w:rPr>
  </w:style>
  <w:style w:type="paragraph" w:styleId="llb">
    <w:name w:val="footer"/>
    <w:basedOn w:val="Norml"/>
    <w:rsid w:val="008D34CB"/>
    <w:pPr>
      <w:tabs>
        <w:tab w:val="center" w:pos="4536"/>
        <w:tab w:val="right" w:pos="9072"/>
      </w:tabs>
    </w:pPr>
  </w:style>
  <w:style w:type="character" w:styleId="Oldalszm">
    <w:name w:val="page number"/>
    <w:basedOn w:val="Bekezdsalapbettpusa"/>
    <w:rsid w:val="008D34CB"/>
  </w:style>
  <w:style w:type="paragraph" w:styleId="Lbjegyzetszveg">
    <w:name w:val="footnote text"/>
    <w:basedOn w:val="Norml"/>
    <w:semiHidden/>
    <w:rsid w:val="008D34CB"/>
  </w:style>
  <w:style w:type="character" w:styleId="Lbjegyzet-hivatkozs">
    <w:name w:val="footnote reference"/>
    <w:semiHidden/>
    <w:rsid w:val="008D34CB"/>
    <w:rPr>
      <w:vertAlign w:val="superscript"/>
    </w:rPr>
  </w:style>
  <w:style w:type="paragraph" w:styleId="Buborkszveg">
    <w:name w:val="Balloon Text"/>
    <w:basedOn w:val="Norml"/>
    <w:semiHidden/>
    <w:rsid w:val="008D34CB"/>
    <w:rPr>
      <w:rFonts w:ascii="Tahoma" w:hAnsi="Tahoma" w:cs="Tahoma"/>
      <w:sz w:val="16"/>
      <w:szCs w:val="16"/>
    </w:rPr>
  </w:style>
  <w:style w:type="paragraph" w:styleId="lfej">
    <w:name w:val="header"/>
    <w:basedOn w:val="Norml"/>
    <w:rsid w:val="008D34CB"/>
    <w:pPr>
      <w:tabs>
        <w:tab w:val="center" w:pos="4536"/>
        <w:tab w:val="right" w:pos="9072"/>
      </w:tabs>
    </w:pPr>
  </w:style>
  <w:style w:type="paragraph" w:customStyle="1" w:styleId="CharChar1CharCharCharCharCharCharCharCharCharCharCharCharChar">
    <w:name w:val="Char Char1 Char Char Char Char Char Char Char Char Char Char Char Char Char"/>
    <w:basedOn w:val="Norml"/>
    <w:rsid w:val="009E4FB5"/>
    <w:pPr>
      <w:spacing w:after="160" w:line="240" w:lineRule="exact"/>
    </w:pPr>
    <w:rPr>
      <w:rFonts w:ascii="Verdana" w:hAnsi="Verdana"/>
      <w:lang w:val="en-US" w:eastAsia="en-US"/>
    </w:rPr>
  </w:style>
  <w:style w:type="character" w:styleId="Jegyzethivatkozs">
    <w:name w:val="annotation reference"/>
    <w:semiHidden/>
    <w:rsid w:val="00B03408"/>
    <w:rPr>
      <w:sz w:val="16"/>
      <w:szCs w:val="16"/>
    </w:rPr>
  </w:style>
  <w:style w:type="paragraph" w:styleId="Jegyzetszveg">
    <w:name w:val="annotation text"/>
    <w:basedOn w:val="Norml"/>
    <w:semiHidden/>
    <w:rsid w:val="00B03408"/>
  </w:style>
  <w:style w:type="paragraph" w:styleId="Megjegyzstrgya">
    <w:name w:val="annotation subject"/>
    <w:basedOn w:val="Jegyzetszveg"/>
    <w:next w:val="Jegyzetszveg"/>
    <w:semiHidden/>
    <w:rsid w:val="00B03408"/>
    <w:rPr>
      <w:b/>
      <w:bCs/>
    </w:rPr>
  </w:style>
  <w:style w:type="paragraph" w:styleId="Vltozat">
    <w:name w:val="Revision"/>
    <w:hidden/>
    <w:uiPriority w:val="99"/>
    <w:semiHidden/>
    <w:rsid w:val="003667E7"/>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8E6BF9-3EFD-4777-B77F-727DEFEC2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756</Words>
  <Characters>3845</Characters>
  <Application>Microsoft Office Word</Application>
  <DocSecurity>0</DocSecurity>
  <Lines>32</Lines>
  <Paragraphs>9</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MNB adatgyűjtés azonosító: E64</vt:lpstr>
      <vt:lpstr>MNB adatgyűjtés azonosító: E64</vt:lpstr>
    </vt:vector>
  </TitlesOfParts>
  <Company>Magyar Nemzeti Bank</Company>
  <LinksUpToDate>false</LinksUpToDate>
  <CharactersWithSpaces>4592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MNB adatgyűjtés azonosító: E64</dc:title>
  <dc:creator>schindleri</dc:creator>
  <cp:lastModifiedBy>GK</cp:lastModifiedBy>
  <cp:revision>6</cp:revision>
  <cp:lastPrinted>2006-06-07T12:42:00Z</cp:lastPrinted>
  <dcterms:created xsi:type="dcterms:W3CDTF">2021-06-24T12:09:00Z</dcterms:created>
  <dcterms:modified xsi:type="dcterms:W3CDTF">2025-05-14T09:46:00Z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Application">
    <vt:lpwstr>Microsoft Azure Information Protection</vt:lpwstr>
  </property>
  <property fmtid="{D5CDD505-2E9C-101B-9397-08002B2CF9AE}" pid="3" name="MSIP_Label_b0d11092-50c9-4e74-84b5-b1af078dc3d0_Enabled">
    <vt:lpwstr>True</vt:lpwstr>
  </property>
  <property fmtid="{D5CDD505-2E9C-101B-9397-08002B2CF9AE}" pid="4" name="MSIP_Label_b0d11092-50c9-4e74-84b5-b1af078dc3d0_Extended_MSFT_Method">
    <vt:lpwstr>Automatic</vt:lpwstr>
  </property>
  <property fmtid="{D5CDD505-2E9C-101B-9397-08002B2CF9AE}" pid="5" name="MSIP_Label_b0d11092-50c9-4e74-84b5-b1af078dc3d0_Name">
    <vt:lpwstr>Protected</vt:lpwstr>
  </property>
  <property fmtid="{D5CDD505-2E9C-101B-9397-08002B2CF9AE}" pid="6" name="MSIP_Label_b0d11092-50c9-4e74-84b5-b1af078dc3d0_Owner">
    <vt:lpwstr>husztie@mnb.hu</vt:lpwstr>
  </property>
  <property fmtid="{D5CDD505-2E9C-101B-9397-08002B2CF9AE}" pid="7" name="MSIP_Label_b0d11092-50c9-4e74-84b5-b1af078dc3d0_Ref">
    <vt:lpwstr>https://api.informationprotection.azure.com/api/97c01ef8-0264-4eef-9c08-fb4a9ba1c0db</vt:lpwstr>
  </property>
  <property fmtid="{D5CDD505-2E9C-101B-9397-08002B2CF9AE}" pid="8" name="MSIP_Label_b0d11092-50c9-4e74-84b5-b1af078dc3d0_SetDate">
    <vt:lpwstr>2020-03-09T13:27:39.2523571+01:00</vt:lpwstr>
  </property>
  <property fmtid="{D5CDD505-2E9C-101B-9397-08002B2CF9AE}" pid="9" name="MSIP_Label_b0d11092-50c9-4e74-84b5-b1af078dc3d0_SiteId">
    <vt:lpwstr>97c01ef8-0264-4eef-9c08-fb4a9ba1c0db</vt:lpwstr>
  </property>
  <property fmtid="{D5CDD505-2E9C-101B-9397-08002B2CF9AE}" pid="10" name="Sensitivity">
    <vt:lpwstr>Protected</vt:lpwstr>
  </property>
  <property fmtid="{D5CDD505-2E9C-101B-9397-08002B2CF9AE}" pid="11" name="Érvényességet beállító">
    <vt:lpwstr>gubeknei</vt:lpwstr>
  </property>
  <property fmtid="{D5CDD505-2E9C-101B-9397-08002B2CF9AE}" pid="12" name="Érvényességi idő">
    <vt:filetime>2025-07-03T10:17:24Z</vt:filetime>
  </property>
  <property fmtid="{D5CDD505-2E9C-101B-9397-08002B2CF9AE}" pid="13" name="Érvényességi idő első beállítása">
    <vt:filetime>2020-07-03T10:17:24Z</vt:filetime>
  </property>
</Properties>
</file>