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0F1C9" w14:textId="77777777" w:rsidR="00DD4D22" w:rsidRPr="00F7159B" w:rsidRDefault="00DD4D22" w:rsidP="00382C4C">
      <w:pPr>
        <w:spacing w:after="240"/>
        <w:rPr>
          <w:rFonts w:ascii="Arial" w:hAnsi="Arial" w:cs="Arial"/>
          <w:b/>
        </w:rPr>
      </w:pPr>
      <w:proofErr w:type="spellStart"/>
      <w:r w:rsidRPr="00F7159B">
        <w:rPr>
          <w:rFonts w:ascii="Arial" w:hAnsi="Arial" w:cs="Arial"/>
          <w:lang w:val="en"/>
        </w:rPr>
        <w:t>MNB</w:t>
      </w:r>
      <w:proofErr w:type="spellEnd"/>
      <w:r w:rsidRPr="00F7159B">
        <w:rPr>
          <w:rFonts w:ascii="Arial" w:hAnsi="Arial" w:cs="Arial"/>
          <w:lang w:val="en"/>
        </w:rPr>
        <w:t xml:space="preserve"> identification number:</w:t>
      </w:r>
      <w:r w:rsidRPr="00F7159B">
        <w:rPr>
          <w:rFonts w:ascii="Arial" w:hAnsi="Arial" w:cs="Arial"/>
          <w:b/>
          <w:bCs/>
          <w:lang w:val="en"/>
        </w:rPr>
        <w:t xml:space="preserve"> E23</w:t>
      </w:r>
    </w:p>
    <w:p w14:paraId="7B588076" w14:textId="77777777" w:rsidR="00DD4D22" w:rsidRPr="00F7159B" w:rsidRDefault="00DD4D22" w:rsidP="00382C4C">
      <w:pPr>
        <w:spacing w:before="240"/>
        <w:jc w:val="center"/>
        <w:rPr>
          <w:rFonts w:ascii="Arial" w:hAnsi="Arial" w:cs="Arial"/>
          <w:b/>
        </w:rPr>
      </w:pPr>
      <w:r w:rsidRPr="00F7159B">
        <w:rPr>
          <w:rFonts w:ascii="Arial" w:hAnsi="Arial" w:cs="Arial"/>
          <w:b/>
          <w:bCs/>
          <w:lang w:val="en"/>
        </w:rPr>
        <w:t>Completion instructions for the report</w:t>
      </w:r>
    </w:p>
    <w:p w14:paraId="0D4523E9" w14:textId="77777777" w:rsidR="00DD4D22" w:rsidRPr="00F7159B" w:rsidRDefault="00DD4D22" w:rsidP="00382C4C">
      <w:pPr>
        <w:spacing w:after="240"/>
        <w:jc w:val="center"/>
        <w:rPr>
          <w:rFonts w:ascii="Arial" w:hAnsi="Arial" w:cs="Arial"/>
          <w:b/>
        </w:rPr>
      </w:pPr>
      <w:r w:rsidRPr="00F7159B">
        <w:rPr>
          <w:rFonts w:ascii="Arial" w:hAnsi="Arial" w:cs="Arial"/>
          <w:b/>
          <w:bCs/>
          <w:lang w:val="en"/>
        </w:rPr>
        <w:t xml:space="preserve">Securities on consolidated aggregate securities accounts and collateral securities deposit accounts kept by </w:t>
      </w:r>
      <w:proofErr w:type="spellStart"/>
      <w:r w:rsidRPr="00F7159B">
        <w:rPr>
          <w:rFonts w:ascii="Arial" w:hAnsi="Arial" w:cs="Arial"/>
          <w:b/>
          <w:bCs/>
          <w:lang w:val="en"/>
        </w:rPr>
        <w:t>KELER</w:t>
      </w:r>
      <w:proofErr w:type="spellEnd"/>
      <w:r w:rsidRPr="00F7159B">
        <w:rPr>
          <w:rFonts w:ascii="Arial" w:hAnsi="Arial" w:cs="Arial"/>
          <w:b/>
          <w:bCs/>
          <w:lang w:val="en"/>
        </w:rPr>
        <w:t xml:space="preserve"> </w:t>
      </w:r>
      <w:proofErr w:type="spellStart"/>
      <w:r w:rsidRPr="00F7159B">
        <w:rPr>
          <w:rFonts w:ascii="Arial" w:hAnsi="Arial" w:cs="Arial"/>
          <w:b/>
          <w:bCs/>
          <w:lang w:val="en"/>
        </w:rPr>
        <w:t>Zrt</w:t>
      </w:r>
      <w:proofErr w:type="spellEnd"/>
      <w:r w:rsidRPr="00F7159B">
        <w:rPr>
          <w:rFonts w:ascii="Arial" w:hAnsi="Arial" w:cs="Arial"/>
          <w:b/>
          <w:bCs/>
          <w:lang w:val="en"/>
        </w:rPr>
        <w:t>.</w:t>
      </w:r>
    </w:p>
    <w:p w14:paraId="307F4AA2" w14:textId="77777777" w:rsidR="00DD4D22" w:rsidRPr="00F7159B" w:rsidRDefault="00DD4D22" w:rsidP="00382C4C">
      <w:pPr>
        <w:spacing w:before="240" w:after="240"/>
        <w:jc w:val="both"/>
        <w:rPr>
          <w:rFonts w:ascii="Arial" w:hAnsi="Arial" w:cs="Arial"/>
        </w:rPr>
      </w:pPr>
      <w:r w:rsidRPr="00F7159B">
        <w:rPr>
          <w:rFonts w:ascii="Arial" w:hAnsi="Arial" w:cs="Arial"/>
          <w:b/>
          <w:bCs/>
          <w:lang w:val="en"/>
        </w:rPr>
        <w:t>General instructions</w:t>
      </w:r>
    </w:p>
    <w:p w14:paraId="1E5EEA0B" w14:textId="77777777" w:rsidR="00DD4D22" w:rsidRPr="00F7159B" w:rsidRDefault="00DD4D22">
      <w:pPr>
        <w:jc w:val="both"/>
        <w:rPr>
          <w:rFonts w:ascii="Arial" w:hAnsi="Arial" w:cs="Arial"/>
        </w:rPr>
      </w:pPr>
      <w:r w:rsidRPr="00F7159B">
        <w:rPr>
          <w:rFonts w:ascii="Arial" w:hAnsi="Arial" w:cs="Arial"/>
          <w:lang w:val="en"/>
        </w:rPr>
        <w:t xml:space="preserve">1. Table 01 contains all securities of economic </w:t>
      </w:r>
      <w:proofErr w:type="spellStart"/>
      <w:r w:rsidRPr="00F7159B">
        <w:rPr>
          <w:rFonts w:ascii="Arial" w:hAnsi="Arial" w:cs="Arial"/>
          <w:lang w:val="en"/>
        </w:rPr>
        <w:t>organisations</w:t>
      </w:r>
      <w:proofErr w:type="spellEnd"/>
      <w:r w:rsidRPr="00F7159B">
        <w:rPr>
          <w:rFonts w:ascii="Arial" w:hAnsi="Arial" w:cs="Arial"/>
          <w:lang w:val="en"/>
        </w:rPr>
        <w:t xml:space="preserve"> kept in their combined aggregate securities accounts and collateral securities deposit accounts maintained at </w:t>
      </w:r>
      <w:proofErr w:type="spellStart"/>
      <w:r w:rsidRPr="00F7159B">
        <w:rPr>
          <w:rFonts w:ascii="Arial" w:hAnsi="Arial" w:cs="Arial"/>
          <w:lang w:val="en"/>
        </w:rPr>
        <w:t>Keler</w:t>
      </w:r>
      <w:proofErr w:type="spellEnd"/>
      <w:r w:rsidRPr="00F7159B">
        <w:rPr>
          <w:rFonts w:ascii="Arial" w:hAnsi="Arial" w:cs="Arial"/>
          <w:lang w:val="en"/>
        </w:rPr>
        <w:t xml:space="preserve"> </w:t>
      </w:r>
      <w:proofErr w:type="spellStart"/>
      <w:r w:rsidRPr="00F7159B">
        <w:rPr>
          <w:rFonts w:ascii="Arial" w:hAnsi="Arial" w:cs="Arial"/>
          <w:lang w:val="en"/>
        </w:rPr>
        <w:t>Zrt</w:t>
      </w:r>
      <w:proofErr w:type="spellEnd"/>
      <w:r w:rsidRPr="00F7159B">
        <w:rPr>
          <w:rFonts w:ascii="Arial" w:hAnsi="Arial" w:cs="Arial"/>
          <w:lang w:val="en"/>
        </w:rPr>
        <w:t xml:space="preserve">. Stocks of securities maturing on the reporting date, stocks securities without an </w:t>
      </w:r>
      <w:proofErr w:type="spellStart"/>
      <w:r w:rsidRPr="00F7159B">
        <w:rPr>
          <w:rFonts w:ascii="Arial" w:hAnsi="Arial" w:cs="Arial"/>
          <w:lang w:val="en"/>
        </w:rPr>
        <w:t>ISIN</w:t>
      </w:r>
      <w:proofErr w:type="spellEnd"/>
      <w:r w:rsidRPr="00F7159B">
        <w:rPr>
          <w:rFonts w:ascii="Arial" w:hAnsi="Arial" w:cs="Arial"/>
          <w:lang w:val="en"/>
        </w:rPr>
        <w:t xml:space="preserve"> code or securities with a non-real (technical) </w:t>
      </w:r>
      <w:proofErr w:type="spellStart"/>
      <w:r w:rsidRPr="00F7159B">
        <w:rPr>
          <w:rFonts w:ascii="Arial" w:hAnsi="Arial" w:cs="Arial"/>
          <w:lang w:val="en"/>
        </w:rPr>
        <w:t>ISIN</w:t>
      </w:r>
      <w:proofErr w:type="spellEnd"/>
      <w:r w:rsidRPr="00F7159B">
        <w:rPr>
          <w:rFonts w:ascii="Arial" w:hAnsi="Arial" w:cs="Arial"/>
          <w:lang w:val="en"/>
        </w:rPr>
        <w:t xml:space="preserve"> code are not to be reported.</w:t>
      </w:r>
    </w:p>
    <w:p w14:paraId="3A455C86" w14:textId="77777777" w:rsidR="00DD4D22" w:rsidRPr="00F7159B" w:rsidRDefault="00DD4D22">
      <w:pPr>
        <w:jc w:val="both"/>
        <w:rPr>
          <w:rFonts w:ascii="Arial" w:hAnsi="Arial" w:cs="Arial"/>
        </w:rPr>
      </w:pPr>
    </w:p>
    <w:p w14:paraId="11FB40D2" w14:textId="77777777" w:rsidR="00DD4D22" w:rsidRPr="00F7159B" w:rsidRDefault="00DD4D22">
      <w:pPr>
        <w:jc w:val="both"/>
        <w:rPr>
          <w:rFonts w:ascii="Arial" w:hAnsi="Arial" w:cs="Arial"/>
        </w:rPr>
      </w:pPr>
      <w:r w:rsidRPr="00F7159B">
        <w:rPr>
          <w:rFonts w:ascii="Arial" w:hAnsi="Arial" w:cs="Arial"/>
          <w:lang w:val="en"/>
        </w:rPr>
        <w:t xml:space="preserve">2. The securities </w:t>
      </w:r>
      <w:proofErr w:type="gramStart"/>
      <w:r w:rsidRPr="00F7159B">
        <w:rPr>
          <w:rFonts w:ascii="Arial" w:hAnsi="Arial" w:cs="Arial"/>
          <w:lang w:val="en"/>
        </w:rPr>
        <w:t>have to</w:t>
      </w:r>
      <w:proofErr w:type="gramEnd"/>
      <w:r w:rsidRPr="00F7159B">
        <w:rPr>
          <w:rFonts w:ascii="Arial" w:hAnsi="Arial" w:cs="Arial"/>
          <w:lang w:val="en"/>
        </w:rPr>
        <w:t xml:space="preserve"> be listed according to securities series and main account holders. </w:t>
      </w:r>
    </w:p>
    <w:p w14:paraId="6EF27E58" w14:textId="77777777" w:rsidR="00DD4D22" w:rsidRPr="00F7159B" w:rsidRDefault="00DD4D22">
      <w:pPr>
        <w:jc w:val="both"/>
        <w:rPr>
          <w:rFonts w:ascii="Arial" w:hAnsi="Arial" w:cs="Arial"/>
        </w:rPr>
      </w:pPr>
    </w:p>
    <w:p w14:paraId="67E5EFCD" w14:textId="77777777" w:rsidR="00DD4D22" w:rsidRPr="00F7159B" w:rsidRDefault="00DD4D22">
      <w:pPr>
        <w:jc w:val="both"/>
        <w:rPr>
          <w:rFonts w:ascii="Arial" w:hAnsi="Arial" w:cs="Arial"/>
        </w:rPr>
      </w:pPr>
      <w:r w:rsidRPr="00F7159B">
        <w:rPr>
          <w:rFonts w:ascii="Arial" w:hAnsi="Arial" w:cs="Arial"/>
          <w:lang w:val="en"/>
        </w:rPr>
        <w:t xml:space="preserve">3. The report must contain the closing securities stocks at the end of the month, accounted in the combined aggregate securities accounts and collateral securities deposit accounts. </w:t>
      </w:r>
    </w:p>
    <w:p w14:paraId="7B2D72CC" w14:textId="77777777" w:rsidR="00DD4D22" w:rsidRPr="00F7159B" w:rsidRDefault="00DD4D22">
      <w:pPr>
        <w:jc w:val="both"/>
        <w:rPr>
          <w:rFonts w:ascii="Arial" w:hAnsi="Arial" w:cs="Arial"/>
        </w:rPr>
      </w:pPr>
    </w:p>
    <w:p w14:paraId="1999E875" w14:textId="77777777" w:rsidR="00DD4D22" w:rsidRPr="00F7159B" w:rsidRDefault="00DD4D22">
      <w:pPr>
        <w:jc w:val="both"/>
        <w:rPr>
          <w:rFonts w:ascii="Arial" w:hAnsi="Arial" w:cs="Arial"/>
        </w:rPr>
      </w:pPr>
      <w:r w:rsidRPr="00F7159B">
        <w:rPr>
          <w:rFonts w:ascii="Arial" w:hAnsi="Arial" w:cs="Arial"/>
          <w:lang w:val="en"/>
        </w:rPr>
        <w:t>4. The securities shall be reported as follows:</w:t>
      </w:r>
    </w:p>
    <w:p w14:paraId="40779D28" w14:textId="77777777" w:rsidR="00DD4D22" w:rsidRPr="00F7159B" w:rsidRDefault="00DD4D22">
      <w:pPr>
        <w:numPr>
          <w:ilvl w:val="0"/>
          <w:numId w:val="3"/>
        </w:numPr>
        <w:jc w:val="both"/>
        <w:rPr>
          <w:rFonts w:ascii="Arial" w:hAnsi="Arial" w:cs="Arial"/>
        </w:rPr>
      </w:pPr>
      <w:r w:rsidRPr="00F7159B">
        <w:rPr>
          <w:rFonts w:ascii="Arial" w:hAnsi="Arial" w:cs="Arial"/>
          <w:lang w:val="en"/>
        </w:rPr>
        <w:t xml:space="preserve">for equity securities the securities </w:t>
      </w:r>
      <w:proofErr w:type="gramStart"/>
      <w:r w:rsidRPr="00F7159B">
        <w:rPr>
          <w:rFonts w:ascii="Arial" w:hAnsi="Arial" w:cs="Arial"/>
          <w:lang w:val="en"/>
        </w:rPr>
        <w:t>have to</w:t>
      </w:r>
      <w:proofErr w:type="gramEnd"/>
      <w:r w:rsidRPr="00F7159B">
        <w:rPr>
          <w:rFonts w:ascii="Arial" w:hAnsi="Arial" w:cs="Arial"/>
          <w:lang w:val="en"/>
        </w:rPr>
        <w:t xml:space="preserve"> be reported by items,</w:t>
      </w:r>
    </w:p>
    <w:p w14:paraId="47D4DA67" w14:textId="63F49635" w:rsidR="00DD4D22" w:rsidRPr="00F7159B" w:rsidRDefault="00DD4D22">
      <w:pPr>
        <w:numPr>
          <w:ilvl w:val="0"/>
          <w:numId w:val="3"/>
        </w:numPr>
        <w:jc w:val="both"/>
        <w:rPr>
          <w:rFonts w:ascii="Arial" w:hAnsi="Arial" w:cs="Arial"/>
        </w:rPr>
      </w:pPr>
      <w:r w:rsidRPr="00F7159B">
        <w:rPr>
          <w:rFonts w:ascii="Arial" w:hAnsi="Arial" w:cs="Arial"/>
          <w:lang w:val="en"/>
        </w:rPr>
        <w:t xml:space="preserve">debt securities (bonds) must be reported in nominal value, in the original denomination of the securities. (Securities denominated in the currencies of the EMU states must be reported as if they were denominated in euro, and the balances </w:t>
      </w:r>
      <w:proofErr w:type="gramStart"/>
      <w:r w:rsidRPr="00F7159B">
        <w:rPr>
          <w:rFonts w:ascii="Arial" w:hAnsi="Arial" w:cs="Arial"/>
          <w:lang w:val="en"/>
        </w:rPr>
        <w:t>have to</w:t>
      </w:r>
      <w:proofErr w:type="gramEnd"/>
      <w:r w:rsidRPr="00F7159B">
        <w:rPr>
          <w:rFonts w:ascii="Arial" w:hAnsi="Arial" w:cs="Arial"/>
          <w:lang w:val="en"/>
        </w:rPr>
        <w:t xml:space="preserve"> be calculated on the basis of the exchange rate of euro member currencies linked to the euro) The exchange rates as per point 2 of Annex 3 are listed in the technical guidelines available on the </w:t>
      </w:r>
      <w:proofErr w:type="spellStart"/>
      <w:r w:rsidRPr="00F7159B">
        <w:rPr>
          <w:rFonts w:ascii="Arial" w:hAnsi="Arial" w:cs="Arial"/>
          <w:lang w:val="en"/>
        </w:rPr>
        <w:t>MNB</w:t>
      </w:r>
      <w:proofErr w:type="spellEnd"/>
      <w:r w:rsidRPr="00F7159B">
        <w:rPr>
          <w:rFonts w:ascii="Arial" w:hAnsi="Arial" w:cs="Arial"/>
          <w:lang w:val="en"/>
        </w:rPr>
        <w:t xml:space="preserve"> website.</w:t>
      </w:r>
    </w:p>
    <w:p w14:paraId="4BCB7736" w14:textId="77777777" w:rsidR="00DD4D22" w:rsidRPr="00F7159B" w:rsidRDefault="00DD4D22">
      <w:pPr>
        <w:jc w:val="both"/>
        <w:rPr>
          <w:rFonts w:ascii="Arial" w:hAnsi="Arial" w:cs="Arial"/>
        </w:rPr>
      </w:pPr>
    </w:p>
    <w:p w14:paraId="57A92BA2" w14:textId="77777777" w:rsidR="00DD4D22" w:rsidRPr="00F7159B" w:rsidRDefault="00DD4D22">
      <w:pPr>
        <w:jc w:val="both"/>
        <w:rPr>
          <w:rFonts w:ascii="Arial" w:hAnsi="Arial" w:cs="Arial"/>
        </w:rPr>
      </w:pPr>
      <w:r w:rsidRPr="00F7159B">
        <w:rPr>
          <w:rFonts w:ascii="Arial" w:hAnsi="Arial" w:cs="Arial"/>
          <w:lang w:val="en"/>
        </w:rPr>
        <w:t xml:space="preserve">5. For equity securities, the code of the observation unit of the code is the DB code (number of pieces or items), while for debt securities it is the ISO code of the currency of the denomination of the security. (The foreign currency codes as per point 4.1 of Annex 3 are listed in the technical guidelines available on the </w:t>
      </w:r>
      <w:proofErr w:type="spellStart"/>
      <w:r w:rsidRPr="00F7159B">
        <w:rPr>
          <w:rFonts w:ascii="Arial" w:hAnsi="Arial" w:cs="Arial"/>
          <w:lang w:val="en"/>
        </w:rPr>
        <w:t>MNB</w:t>
      </w:r>
      <w:proofErr w:type="spellEnd"/>
      <w:r w:rsidRPr="00F7159B">
        <w:rPr>
          <w:rFonts w:ascii="Arial" w:hAnsi="Arial" w:cs="Arial"/>
          <w:lang w:val="en"/>
        </w:rPr>
        <w:t xml:space="preserve"> website.)</w:t>
      </w:r>
    </w:p>
    <w:p w14:paraId="0FFBB79A" w14:textId="77777777" w:rsidR="00DD4D22" w:rsidRPr="00F7159B" w:rsidRDefault="00DD4D22">
      <w:pPr>
        <w:jc w:val="both"/>
        <w:rPr>
          <w:rFonts w:ascii="Arial" w:hAnsi="Arial" w:cs="Arial"/>
        </w:rPr>
      </w:pPr>
    </w:p>
    <w:p w14:paraId="46BF48F1" w14:textId="77777777" w:rsidR="00DD4D22" w:rsidRPr="00F7159B" w:rsidRDefault="00DD4D22">
      <w:pPr>
        <w:jc w:val="both"/>
        <w:rPr>
          <w:rFonts w:ascii="Arial" w:hAnsi="Arial" w:cs="Arial"/>
        </w:rPr>
      </w:pPr>
      <w:r w:rsidRPr="00F7159B">
        <w:rPr>
          <w:rFonts w:ascii="Arial" w:hAnsi="Arial" w:cs="Arial"/>
          <w:lang w:val="en"/>
        </w:rPr>
        <w:t>6. The total securities account stock shall be broken down as own (own securities) and third-party (owned by customers).</w:t>
      </w:r>
    </w:p>
    <w:p w14:paraId="335E0FA8" w14:textId="77777777" w:rsidR="00DD4D22" w:rsidRPr="00F7159B" w:rsidRDefault="00DD4D22">
      <w:pPr>
        <w:pStyle w:val="Cmsor1"/>
        <w:rPr>
          <w:rFonts w:ascii="Arial" w:hAnsi="Arial" w:cs="Arial"/>
          <w:b w:val="0"/>
          <w:sz w:val="20"/>
        </w:rPr>
      </w:pPr>
    </w:p>
    <w:p w14:paraId="3A8B6C29" w14:textId="77777777" w:rsidR="00DD4D22" w:rsidRPr="00F7159B" w:rsidRDefault="00DD4D22">
      <w:pPr>
        <w:pStyle w:val="Cmsor1"/>
        <w:rPr>
          <w:rFonts w:ascii="Arial" w:hAnsi="Arial" w:cs="Arial"/>
          <w:b w:val="0"/>
          <w:sz w:val="20"/>
        </w:rPr>
      </w:pPr>
      <w:r w:rsidRPr="00F7159B">
        <w:rPr>
          <w:rFonts w:ascii="Arial" w:hAnsi="Arial" w:cs="Arial"/>
          <w:b w:val="0"/>
          <w:sz w:val="20"/>
          <w:lang w:val="en"/>
        </w:rPr>
        <w:t>7. Of the total securities account balance (</w:t>
      </w:r>
      <w:proofErr w:type="spellStart"/>
      <w:r w:rsidRPr="00F7159B">
        <w:rPr>
          <w:rFonts w:ascii="Arial" w:hAnsi="Arial" w:cs="Arial"/>
          <w:b w:val="0"/>
          <w:sz w:val="20"/>
          <w:lang w:val="en"/>
        </w:rPr>
        <w:t>f+g</w:t>
      </w:r>
      <w:proofErr w:type="spellEnd"/>
      <w:r w:rsidRPr="00F7159B">
        <w:rPr>
          <w:rFonts w:ascii="Arial" w:hAnsi="Arial" w:cs="Arial"/>
          <w:b w:val="0"/>
          <w:sz w:val="20"/>
          <w:lang w:val="en"/>
        </w:rPr>
        <w:t>) the balances included in buffer accounts (repurchased by the issuer or not traded) must be reported separately (in column h).</w:t>
      </w:r>
    </w:p>
    <w:p w14:paraId="11C1295A" w14:textId="77777777" w:rsidR="00DD4D22" w:rsidRPr="00F7159B" w:rsidRDefault="00DD4D22">
      <w:pPr>
        <w:jc w:val="both"/>
        <w:rPr>
          <w:rFonts w:ascii="Arial" w:hAnsi="Arial" w:cs="Arial"/>
          <w:b/>
        </w:rPr>
      </w:pPr>
    </w:p>
    <w:p w14:paraId="3A5C2DF9" w14:textId="3C63E482" w:rsidR="00C52364" w:rsidRPr="00053126" w:rsidRDefault="00C52364">
      <w:pPr>
        <w:jc w:val="both"/>
        <w:rPr>
          <w:rFonts w:ascii="Arial" w:hAnsi="Arial" w:cs="Arial"/>
        </w:rPr>
      </w:pPr>
      <w:r w:rsidRPr="00F7159B">
        <w:rPr>
          <w:rStyle w:val="Kiemels2"/>
          <w:rFonts w:ascii="Arial" w:hAnsi="Arial" w:cs="Arial"/>
          <w:b w:val="0"/>
          <w:bCs w:val="0"/>
          <w:lang w:val="en"/>
        </w:rPr>
        <w:t xml:space="preserve">8. A glossary of terms used in the tables and in this </w:t>
      </w:r>
      <w:proofErr w:type="gramStart"/>
      <w:r w:rsidRPr="00F7159B">
        <w:rPr>
          <w:rStyle w:val="Kiemels2"/>
          <w:rFonts w:ascii="Arial" w:hAnsi="Arial" w:cs="Arial"/>
          <w:b w:val="0"/>
          <w:bCs w:val="0"/>
          <w:lang w:val="en"/>
        </w:rPr>
        <w:t>completion</w:t>
      </w:r>
      <w:proofErr w:type="gramEnd"/>
      <w:r w:rsidRPr="00F7159B">
        <w:rPr>
          <w:rStyle w:val="Kiemels2"/>
          <w:rFonts w:ascii="Arial" w:hAnsi="Arial" w:cs="Arial"/>
          <w:b w:val="0"/>
          <w:bCs w:val="0"/>
          <w:lang w:val="en"/>
        </w:rPr>
        <w:t xml:space="preserve"> instruction is located in point I.</w:t>
      </w:r>
      <w:r w:rsidR="00403EA4">
        <w:rPr>
          <w:rStyle w:val="Kiemels2"/>
          <w:rFonts w:ascii="Arial" w:hAnsi="Arial" w:cs="Arial"/>
          <w:b w:val="0"/>
          <w:bCs w:val="0"/>
          <w:lang w:val="en"/>
        </w:rPr>
        <w:t xml:space="preserve"> E</w:t>
      </w:r>
      <w:r w:rsidRPr="00F7159B">
        <w:rPr>
          <w:rStyle w:val="Kiemels2"/>
          <w:rFonts w:ascii="Arial" w:hAnsi="Arial" w:cs="Arial"/>
          <w:b w:val="0"/>
          <w:bCs w:val="0"/>
          <w:lang w:val="en"/>
        </w:rPr>
        <w:t>.</w:t>
      </w:r>
      <w:r w:rsidR="00403EA4">
        <w:rPr>
          <w:rStyle w:val="Kiemels2"/>
          <w:rFonts w:ascii="Arial" w:hAnsi="Arial" w:cs="Arial"/>
          <w:b w:val="0"/>
          <w:bCs w:val="0"/>
          <w:lang w:val="en"/>
        </w:rPr>
        <w:t xml:space="preserve"> </w:t>
      </w:r>
      <w:r w:rsidRPr="00F7159B">
        <w:rPr>
          <w:rStyle w:val="Kiemels2"/>
          <w:rFonts w:ascii="Arial" w:hAnsi="Arial" w:cs="Arial"/>
          <w:b w:val="0"/>
          <w:bCs w:val="0"/>
          <w:lang w:val="en"/>
        </w:rPr>
        <w:t>2 of this Annex.</w:t>
      </w:r>
    </w:p>
    <w:sectPr w:rsidR="00C52364" w:rsidRPr="00053126">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34292" w14:textId="77777777" w:rsidR="00833FB6" w:rsidRDefault="00833FB6">
      <w:r>
        <w:separator/>
      </w:r>
    </w:p>
  </w:endnote>
  <w:endnote w:type="continuationSeparator" w:id="0">
    <w:p w14:paraId="5F59B261" w14:textId="77777777" w:rsidR="00833FB6" w:rsidRDefault="00833FB6">
      <w:r>
        <w:continuationSeparator/>
      </w:r>
    </w:p>
  </w:endnote>
  <w:endnote w:type="continuationNotice" w:id="1">
    <w:p w14:paraId="6BA21D60" w14:textId="77777777" w:rsidR="00833FB6" w:rsidRDefault="00833F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09F5B" w14:textId="77777777" w:rsidR="00665739" w:rsidRDefault="00665739">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2F115" w14:textId="77777777" w:rsidR="00665739" w:rsidRDefault="00665739">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1D8CE" w14:textId="77777777" w:rsidR="00665739" w:rsidRDefault="0066573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B8D70" w14:textId="77777777" w:rsidR="00833FB6" w:rsidRDefault="00833FB6">
      <w:r>
        <w:separator/>
      </w:r>
    </w:p>
  </w:footnote>
  <w:footnote w:type="continuationSeparator" w:id="0">
    <w:p w14:paraId="38ECA947" w14:textId="77777777" w:rsidR="00833FB6" w:rsidRDefault="00833FB6">
      <w:r>
        <w:continuationSeparator/>
      </w:r>
    </w:p>
  </w:footnote>
  <w:footnote w:type="continuationNotice" w:id="1">
    <w:p w14:paraId="715B2C50" w14:textId="77777777" w:rsidR="00833FB6" w:rsidRDefault="00833F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FBF98" w14:textId="77777777" w:rsidR="00665739" w:rsidRDefault="00665739">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A6839" w14:textId="77777777" w:rsidR="00665739" w:rsidRDefault="00665739">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FC12C" w14:textId="77777777" w:rsidR="00665739" w:rsidRDefault="0066573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2" w15:restartNumberingAfterBreak="0">
    <w:nsid w:val="57E127B0"/>
    <w:multiLevelType w:val="hybridMultilevel"/>
    <w:tmpl w:val="A9047CD6"/>
    <w:lvl w:ilvl="0" w:tplc="CEC26938">
      <w:start w:val="1"/>
      <w:numFmt w:val="lowerLetter"/>
      <w:lvlText w:val="%1)"/>
      <w:lvlJc w:val="left"/>
      <w:pPr>
        <w:tabs>
          <w:tab w:val="num" w:pos="360"/>
        </w:tabs>
        <w:ind w:left="360" w:hanging="360"/>
      </w:pPr>
    </w:lvl>
    <w:lvl w:ilvl="1" w:tplc="E4EA8A62" w:tentative="1">
      <w:start w:val="1"/>
      <w:numFmt w:val="lowerLetter"/>
      <w:lvlText w:val="%2."/>
      <w:lvlJc w:val="left"/>
      <w:pPr>
        <w:tabs>
          <w:tab w:val="num" w:pos="1080"/>
        </w:tabs>
        <w:ind w:left="1080" w:hanging="360"/>
      </w:pPr>
    </w:lvl>
    <w:lvl w:ilvl="2" w:tplc="6688DF56" w:tentative="1">
      <w:start w:val="1"/>
      <w:numFmt w:val="lowerRoman"/>
      <w:lvlText w:val="%3."/>
      <w:lvlJc w:val="right"/>
      <w:pPr>
        <w:tabs>
          <w:tab w:val="num" w:pos="1800"/>
        </w:tabs>
        <w:ind w:left="1800" w:hanging="180"/>
      </w:pPr>
    </w:lvl>
    <w:lvl w:ilvl="3" w:tplc="9D485780" w:tentative="1">
      <w:start w:val="1"/>
      <w:numFmt w:val="decimal"/>
      <w:lvlText w:val="%4."/>
      <w:lvlJc w:val="left"/>
      <w:pPr>
        <w:tabs>
          <w:tab w:val="num" w:pos="2520"/>
        </w:tabs>
        <w:ind w:left="2520" w:hanging="360"/>
      </w:pPr>
    </w:lvl>
    <w:lvl w:ilvl="4" w:tplc="61825362" w:tentative="1">
      <w:start w:val="1"/>
      <w:numFmt w:val="lowerLetter"/>
      <w:lvlText w:val="%5."/>
      <w:lvlJc w:val="left"/>
      <w:pPr>
        <w:tabs>
          <w:tab w:val="num" w:pos="3240"/>
        </w:tabs>
        <w:ind w:left="3240" w:hanging="360"/>
      </w:pPr>
    </w:lvl>
    <w:lvl w:ilvl="5" w:tplc="363AA61A" w:tentative="1">
      <w:start w:val="1"/>
      <w:numFmt w:val="lowerRoman"/>
      <w:lvlText w:val="%6."/>
      <w:lvlJc w:val="right"/>
      <w:pPr>
        <w:tabs>
          <w:tab w:val="num" w:pos="3960"/>
        </w:tabs>
        <w:ind w:left="3960" w:hanging="180"/>
      </w:pPr>
    </w:lvl>
    <w:lvl w:ilvl="6" w:tplc="CFB86E90" w:tentative="1">
      <w:start w:val="1"/>
      <w:numFmt w:val="decimal"/>
      <w:lvlText w:val="%7."/>
      <w:lvlJc w:val="left"/>
      <w:pPr>
        <w:tabs>
          <w:tab w:val="num" w:pos="4680"/>
        </w:tabs>
        <w:ind w:left="4680" w:hanging="360"/>
      </w:pPr>
    </w:lvl>
    <w:lvl w:ilvl="7" w:tplc="276CA114" w:tentative="1">
      <w:start w:val="1"/>
      <w:numFmt w:val="lowerLetter"/>
      <w:lvlText w:val="%8."/>
      <w:lvlJc w:val="left"/>
      <w:pPr>
        <w:tabs>
          <w:tab w:val="num" w:pos="5400"/>
        </w:tabs>
        <w:ind w:left="5400" w:hanging="360"/>
      </w:pPr>
    </w:lvl>
    <w:lvl w:ilvl="8" w:tplc="2E1A0CBA" w:tentative="1">
      <w:start w:val="1"/>
      <w:numFmt w:val="lowerRoman"/>
      <w:lvlText w:val="%9."/>
      <w:lvlJc w:val="right"/>
      <w:pPr>
        <w:tabs>
          <w:tab w:val="num" w:pos="6120"/>
        </w:tabs>
        <w:ind w:left="6120" w:hanging="180"/>
      </w:pPr>
    </w:lvl>
  </w:abstractNum>
  <w:num w:numId="1" w16cid:durableId="10886527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299459113">
    <w:abstractNumId w:val="1"/>
  </w:num>
  <w:num w:numId="3" w16cid:durableId="8478644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1B1"/>
    <w:rsid w:val="0000295A"/>
    <w:rsid w:val="0001050D"/>
    <w:rsid w:val="00043891"/>
    <w:rsid w:val="00053126"/>
    <w:rsid w:val="00055334"/>
    <w:rsid w:val="00067BB8"/>
    <w:rsid w:val="00140F36"/>
    <w:rsid w:val="00191A51"/>
    <w:rsid w:val="001D0172"/>
    <w:rsid w:val="001E7571"/>
    <w:rsid w:val="00215A98"/>
    <w:rsid w:val="0021776C"/>
    <w:rsid w:val="00245C27"/>
    <w:rsid w:val="00260A3E"/>
    <w:rsid w:val="00293F0A"/>
    <w:rsid w:val="00297469"/>
    <w:rsid w:val="002A71DF"/>
    <w:rsid w:val="002B7B2E"/>
    <w:rsid w:val="002C5BBB"/>
    <w:rsid w:val="002E2C53"/>
    <w:rsid w:val="003533D3"/>
    <w:rsid w:val="00355800"/>
    <w:rsid w:val="0037776E"/>
    <w:rsid w:val="00382C4C"/>
    <w:rsid w:val="00386D32"/>
    <w:rsid w:val="00387A08"/>
    <w:rsid w:val="003E544B"/>
    <w:rsid w:val="003F5FCA"/>
    <w:rsid w:val="00403EA4"/>
    <w:rsid w:val="00411C06"/>
    <w:rsid w:val="00421083"/>
    <w:rsid w:val="00457040"/>
    <w:rsid w:val="00475AA4"/>
    <w:rsid w:val="004A0748"/>
    <w:rsid w:val="004A3941"/>
    <w:rsid w:val="004B5D44"/>
    <w:rsid w:val="004C19DC"/>
    <w:rsid w:val="00506D3B"/>
    <w:rsid w:val="005678C2"/>
    <w:rsid w:val="005C08C3"/>
    <w:rsid w:val="005D18B3"/>
    <w:rsid w:val="005E095A"/>
    <w:rsid w:val="0060261F"/>
    <w:rsid w:val="00665739"/>
    <w:rsid w:val="00671C33"/>
    <w:rsid w:val="006813BD"/>
    <w:rsid w:val="006D51A8"/>
    <w:rsid w:val="006E411E"/>
    <w:rsid w:val="006F0241"/>
    <w:rsid w:val="00713638"/>
    <w:rsid w:val="00714125"/>
    <w:rsid w:val="00747D44"/>
    <w:rsid w:val="00757949"/>
    <w:rsid w:val="007636A4"/>
    <w:rsid w:val="007C5B45"/>
    <w:rsid w:val="007D0886"/>
    <w:rsid w:val="007D31B3"/>
    <w:rsid w:val="007E471E"/>
    <w:rsid w:val="007F4F53"/>
    <w:rsid w:val="0081268A"/>
    <w:rsid w:val="00833FB6"/>
    <w:rsid w:val="00847E81"/>
    <w:rsid w:val="00853EE9"/>
    <w:rsid w:val="008A5386"/>
    <w:rsid w:val="008F63DD"/>
    <w:rsid w:val="00976995"/>
    <w:rsid w:val="00993A08"/>
    <w:rsid w:val="009A5C3C"/>
    <w:rsid w:val="009A6809"/>
    <w:rsid w:val="009C43D7"/>
    <w:rsid w:val="009D704E"/>
    <w:rsid w:val="009E5DB2"/>
    <w:rsid w:val="009F7BE1"/>
    <w:rsid w:val="00A06D35"/>
    <w:rsid w:val="00A242CE"/>
    <w:rsid w:val="00A84868"/>
    <w:rsid w:val="00AA1090"/>
    <w:rsid w:val="00AA603D"/>
    <w:rsid w:val="00AD5020"/>
    <w:rsid w:val="00AF4FE4"/>
    <w:rsid w:val="00B118C8"/>
    <w:rsid w:val="00B311B1"/>
    <w:rsid w:val="00B40866"/>
    <w:rsid w:val="00B5327F"/>
    <w:rsid w:val="00B956B7"/>
    <w:rsid w:val="00BC6CCF"/>
    <w:rsid w:val="00BE6F36"/>
    <w:rsid w:val="00C01F1C"/>
    <w:rsid w:val="00C52364"/>
    <w:rsid w:val="00CA0EFE"/>
    <w:rsid w:val="00CB4BA2"/>
    <w:rsid w:val="00CC7B51"/>
    <w:rsid w:val="00D01BD4"/>
    <w:rsid w:val="00D04C09"/>
    <w:rsid w:val="00D1195D"/>
    <w:rsid w:val="00D1444F"/>
    <w:rsid w:val="00D45D23"/>
    <w:rsid w:val="00D810FC"/>
    <w:rsid w:val="00DD4D22"/>
    <w:rsid w:val="00E00505"/>
    <w:rsid w:val="00E01AE4"/>
    <w:rsid w:val="00E27285"/>
    <w:rsid w:val="00E32934"/>
    <w:rsid w:val="00E45E34"/>
    <w:rsid w:val="00E51954"/>
    <w:rsid w:val="00E53E14"/>
    <w:rsid w:val="00E774FA"/>
    <w:rsid w:val="00EB3AA7"/>
    <w:rsid w:val="00F2571E"/>
    <w:rsid w:val="00F417AE"/>
    <w:rsid w:val="00F7159B"/>
    <w:rsid w:val="00F74637"/>
    <w:rsid w:val="00F938D7"/>
    <w:rsid w:val="00FA0169"/>
    <w:rsid w:val="00FA34F2"/>
    <w:rsid w:val="00FA3F13"/>
    <w:rsid w:val="00FC0D26"/>
    <w:rsid w:val="00FF7272"/>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809186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qFormat/>
    <w:pPr>
      <w:keepNext/>
      <w:jc w:val="both"/>
      <w:outlineLvl w:val="0"/>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pPr>
      <w:tabs>
        <w:tab w:val="center" w:pos="4153"/>
        <w:tab w:val="right" w:pos="8306"/>
      </w:tabs>
    </w:pPr>
  </w:style>
  <w:style w:type="paragraph" w:styleId="llb">
    <w:name w:val="footer"/>
    <w:basedOn w:val="Norml"/>
    <w:pPr>
      <w:tabs>
        <w:tab w:val="center" w:pos="4153"/>
        <w:tab w:val="right" w:pos="8306"/>
      </w:tabs>
    </w:pPr>
  </w:style>
  <w:style w:type="paragraph" w:styleId="Lbjegyzetszveg">
    <w:name w:val="footnote text"/>
    <w:basedOn w:val="Norml"/>
    <w:semiHidden/>
  </w:style>
  <w:style w:type="character" w:styleId="Lbjegyzet-hivatkozs">
    <w:name w:val="footnote reference"/>
    <w:semiHidden/>
    <w:rPr>
      <w:vertAlign w:val="superscript"/>
    </w:rPr>
  </w:style>
  <w:style w:type="paragraph" w:styleId="Szvegtrzs3">
    <w:name w:val="Body Text 3"/>
    <w:basedOn w:val="Norml"/>
    <w:pPr>
      <w:tabs>
        <w:tab w:val="left" w:pos="8222"/>
      </w:tabs>
      <w:spacing w:after="120"/>
      <w:jc w:val="both"/>
    </w:pPr>
    <w:rPr>
      <w:noProof/>
      <w:sz w:val="24"/>
    </w:rPr>
  </w:style>
  <w:style w:type="paragraph" w:styleId="Szvegtrzs2">
    <w:name w:val="Body Text 2"/>
    <w:basedOn w:val="Norml"/>
    <w:pPr>
      <w:jc w:val="both"/>
    </w:pPr>
    <w:rPr>
      <w:sz w:val="24"/>
    </w:rPr>
  </w:style>
  <w:style w:type="paragraph" w:styleId="Buborkszveg">
    <w:name w:val="Balloon Text"/>
    <w:basedOn w:val="Norm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l"/>
    <w:rsid w:val="00387A08"/>
    <w:pPr>
      <w:spacing w:after="160" w:line="240" w:lineRule="exact"/>
    </w:pPr>
    <w:rPr>
      <w:rFonts w:ascii="Verdana" w:hAnsi="Verdana"/>
      <w:lang w:val="en-US" w:eastAsia="en-US"/>
    </w:rPr>
  </w:style>
  <w:style w:type="character" w:styleId="Kiemels2">
    <w:name w:val="Strong"/>
    <w:qFormat/>
    <w:rsid w:val="00C52364"/>
    <w:rPr>
      <w:b/>
      <w:bCs/>
    </w:rPr>
  </w:style>
  <w:style w:type="character" w:styleId="Jegyzethivatkozs">
    <w:name w:val="annotation reference"/>
    <w:uiPriority w:val="99"/>
    <w:semiHidden/>
    <w:unhideWhenUsed/>
    <w:rsid w:val="00BC6CCF"/>
    <w:rPr>
      <w:sz w:val="16"/>
      <w:szCs w:val="16"/>
    </w:rPr>
  </w:style>
  <w:style w:type="paragraph" w:styleId="Jegyzetszveg">
    <w:name w:val="annotation text"/>
    <w:basedOn w:val="Norml"/>
    <w:link w:val="JegyzetszvegChar"/>
    <w:uiPriority w:val="99"/>
    <w:semiHidden/>
    <w:unhideWhenUsed/>
    <w:rsid w:val="00BC6CCF"/>
  </w:style>
  <w:style w:type="character" w:customStyle="1" w:styleId="JegyzetszvegChar">
    <w:name w:val="Jegyzetszöveg Char"/>
    <w:basedOn w:val="Bekezdsalapbettpusa"/>
    <w:link w:val="Jegyzetszveg"/>
    <w:uiPriority w:val="99"/>
    <w:semiHidden/>
    <w:rsid w:val="00BC6CCF"/>
  </w:style>
  <w:style w:type="paragraph" w:styleId="Megjegyzstrgya">
    <w:name w:val="annotation subject"/>
    <w:basedOn w:val="Jegyzetszveg"/>
    <w:next w:val="Jegyzetszveg"/>
    <w:link w:val="MegjegyzstrgyaChar"/>
    <w:uiPriority w:val="99"/>
    <w:semiHidden/>
    <w:unhideWhenUsed/>
    <w:rsid w:val="00BC6CCF"/>
    <w:rPr>
      <w:b/>
      <w:bCs/>
    </w:rPr>
  </w:style>
  <w:style w:type="character" w:customStyle="1" w:styleId="MegjegyzstrgyaChar">
    <w:name w:val="Megjegyzés tárgya Char"/>
    <w:link w:val="Megjegyzstrgya"/>
    <w:uiPriority w:val="99"/>
    <w:semiHidden/>
    <w:rsid w:val="00BC6CCF"/>
    <w:rPr>
      <w:b/>
      <w:bCs/>
    </w:rPr>
  </w:style>
  <w:style w:type="paragraph" w:styleId="Vltozat">
    <w:name w:val="Revision"/>
    <w:hidden/>
    <w:uiPriority w:val="99"/>
    <w:semiHidden/>
    <w:rsid w:val="005C0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Words>
  <Characters>1817</Characters>
  <Application>Microsoft Office Word</Application>
  <DocSecurity>0</DocSecurity>
  <Lines>15</Lines>
  <Paragraphs>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2023-06-05T08:28:00Z</dcterms:created>
  <dcterms:modified xsi:type="dcterms:W3CDTF">2025-03-27T13:40:00Z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-198003653</vt:i4>
  </property>
  <property fmtid="{D5CDD505-2E9C-101B-9397-08002B2CF9AE}" pid="3" name="_PreviousAdHocReviewCycleID">
    <vt:i4>-842462864</vt:i4>
  </property>
  <property fmtid="{D5CDD505-2E9C-101B-9397-08002B2CF9AE}" pid="4" name="_ReviewingToolsShownOnce">
    <vt:lpwstr/>
  </property>
</Properties>
</file>