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22342" w14:textId="77777777" w:rsidR="004E1F1E" w:rsidRPr="002710AB" w:rsidRDefault="00B92286" w:rsidP="00B277A8">
      <w:pPr>
        <w:spacing w:after="0"/>
        <w:rPr>
          <w:rFonts w:ascii="Arial" w:hAnsi="Arial" w:cs="Arial"/>
          <w:b/>
          <w:bCs/>
          <w:lang w:val="en-GB"/>
        </w:rPr>
      </w:pPr>
      <w:r w:rsidRPr="002710AB">
        <w:rPr>
          <w:rFonts w:ascii="Arial" w:hAnsi="Arial"/>
          <w:b/>
          <w:lang w:val="en-GB"/>
        </w:rPr>
        <w:t xml:space="preserve">MNB </w:t>
      </w:r>
      <w:r w:rsidR="002710AB">
        <w:rPr>
          <w:rFonts w:ascii="Arial" w:hAnsi="Arial"/>
          <w:b/>
          <w:lang w:val="en-GB"/>
        </w:rPr>
        <w:t>identification</w:t>
      </w:r>
      <w:r w:rsidRPr="002710AB">
        <w:rPr>
          <w:rFonts w:ascii="Arial" w:hAnsi="Arial"/>
          <w:b/>
          <w:lang w:val="en-GB"/>
        </w:rPr>
        <w:t xml:space="preserve"> </w:t>
      </w:r>
      <w:r w:rsidR="002710AB">
        <w:rPr>
          <w:rFonts w:ascii="Arial" w:hAnsi="Arial"/>
          <w:b/>
          <w:lang w:val="en-GB"/>
        </w:rPr>
        <w:t>number</w:t>
      </w:r>
      <w:r w:rsidRPr="002710AB">
        <w:rPr>
          <w:rFonts w:ascii="Arial" w:hAnsi="Arial"/>
          <w:b/>
          <w:lang w:val="en-GB"/>
        </w:rPr>
        <w:t>: P56</w:t>
      </w:r>
    </w:p>
    <w:p w14:paraId="26DF8634" w14:textId="77777777" w:rsidR="00B277A8" w:rsidRPr="002710AB" w:rsidRDefault="00B277A8" w:rsidP="00B277A8">
      <w:pPr>
        <w:spacing w:after="0"/>
        <w:rPr>
          <w:rFonts w:ascii="Arial" w:hAnsi="Arial" w:cs="Arial"/>
          <w:bCs/>
          <w:lang w:val="en-GB"/>
        </w:rPr>
      </w:pPr>
    </w:p>
    <w:p w14:paraId="682C350E" w14:textId="77777777" w:rsidR="00B277A8" w:rsidRPr="002710AB" w:rsidRDefault="002710AB" w:rsidP="00B277A8">
      <w:pPr>
        <w:spacing w:after="0"/>
        <w:jc w:val="center"/>
        <w:rPr>
          <w:rFonts w:ascii="Arial" w:hAnsi="Arial" w:cs="Arial"/>
          <w:bCs/>
          <w:lang w:val="en-GB"/>
        </w:rPr>
      </w:pPr>
      <w:r>
        <w:rPr>
          <w:rFonts w:ascii="Arial" w:hAnsi="Arial"/>
          <w:b/>
          <w:lang w:val="en-GB"/>
        </w:rPr>
        <w:t>Completion</w:t>
      </w:r>
      <w:r w:rsidR="00B92286" w:rsidRPr="002710AB">
        <w:rPr>
          <w:rFonts w:ascii="Arial" w:hAnsi="Arial"/>
          <w:b/>
          <w:lang w:val="en-GB"/>
        </w:rPr>
        <w:t xml:space="preserve"> instructions</w:t>
      </w:r>
    </w:p>
    <w:p w14:paraId="02FC54D3" w14:textId="77777777" w:rsidR="004E1F1E" w:rsidRPr="002710AB" w:rsidRDefault="00B92286" w:rsidP="00B277A8">
      <w:pPr>
        <w:spacing w:after="0"/>
        <w:jc w:val="center"/>
        <w:rPr>
          <w:rFonts w:ascii="Arial" w:hAnsi="Arial" w:cs="Arial"/>
          <w:b/>
          <w:bCs/>
          <w:lang w:val="en-GB"/>
        </w:rPr>
      </w:pPr>
      <w:r w:rsidRPr="002710AB">
        <w:rPr>
          <w:rFonts w:ascii="Arial" w:hAnsi="Arial"/>
          <w:b/>
          <w:lang w:val="en-GB"/>
        </w:rPr>
        <w:t>Data pertaining to the location of network units performing payment transaction and ATMs, and the services rendered</w:t>
      </w:r>
    </w:p>
    <w:p w14:paraId="254EC3FF" w14:textId="77777777" w:rsidR="00B277A8" w:rsidRPr="002710AB" w:rsidRDefault="00B277A8" w:rsidP="00B277A8">
      <w:pPr>
        <w:spacing w:after="0"/>
        <w:rPr>
          <w:rFonts w:ascii="Arial" w:hAnsi="Arial" w:cs="Arial"/>
          <w:bCs/>
          <w:lang w:val="en-GB"/>
        </w:rPr>
      </w:pPr>
    </w:p>
    <w:p w14:paraId="59C1E0F5" w14:textId="77777777" w:rsidR="00B277A8" w:rsidRPr="002710AB" w:rsidRDefault="00B277A8" w:rsidP="00B277A8">
      <w:pPr>
        <w:spacing w:after="0"/>
        <w:rPr>
          <w:rFonts w:ascii="Arial" w:hAnsi="Arial" w:cs="Arial"/>
          <w:bCs/>
          <w:lang w:val="en-GB"/>
        </w:rPr>
      </w:pPr>
    </w:p>
    <w:p w14:paraId="7DE0073E" w14:textId="77777777" w:rsidR="004E1F1E" w:rsidRPr="002710AB" w:rsidRDefault="00B92286" w:rsidP="00B277A8">
      <w:pPr>
        <w:spacing w:after="0"/>
        <w:rPr>
          <w:rFonts w:ascii="Arial" w:hAnsi="Arial" w:cs="Arial"/>
          <w:b/>
          <w:bCs/>
          <w:lang w:val="en-GB"/>
        </w:rPr>
      </w:pPr>
      <w:r w:rsidRPr="002710AB">
        <w:rPr>
          <w:rFonts w:ascii="Arial" w:hAnsi="Arial"/>
          <w:b/>
          <w:lang w:val="en-GB"/>
        </w:rPr>
        <w:t>I. General requirements</w:t>
      </w:r>
    </w:p>
    <w:p w14:paraId="1682D97A" w14:textId="77777777" w:rsidR="00B277A8" w:rsidRPr="002710AB" w:rsidRDefault="00B277A8" w:rsidP="00B277A8">
      <w:pPr>
        <w:spacing w:after="0"/>
        <w:rPr>
          <w:rFonts w:ascii="Arial" w:hAnsi="Arial" w:cs="Arial"/>
          <w:lang w:val="en-GB"/>
        </w:rPr>
      </w:pPr>
    </w:p>
    <w:p w14:paraId="34DDCBDA" w14:textId="77777777" w:rsidR="00B277A8" w:rsidRPr="002710AB" w:rsidRDefault="00B92286" w:rsidP="00B277A8">
      <w:pPr>
        <w:spacing w:after="0"/>
        <w:rPr>
          <w:rFonts w:ascii="Arial" w:hAnsi="Arial" w:cs="Arial"/>
          <w:lang w:val="en-GB"/>
        </w:rPr>
      </w:pPr>
      <w:r w:rsidRPr="002710AB">
        <w:rPr>
          <w:rFonts w:ascii="Arial" w:hAnsi="Arial"/>
          <w:lang w:val="en-GB"/>
        </w:rPr>
        <w:t xml:space="preserve">1. The data supply is aimed at the reporting of the location and service data of the network units of institutions participating in the performance of payment transactions and the automatic teller machines (hereinafter: ATMs) operated by them in Hungary, broken down by network units and ATMs. The data concerning the ATMs must be reported by the reporting agent involved in the operation of ATMs irrespective of whether the reporting entity is the operator of the ATMs, or it uses the services of a </w:t>
      </w:r>
      <w:r w:rsidR="002710AB" w:rsidRPr="002710AB">
        <w:rPr>
          <w:rFonts w:ascii="Arial" w:hAnsi="Arial"/>
          <w:lang w:val="en-GB"/>
        </w:rPr>
        <w:t>third-party</w:t>
      </w:r>
      <w:r w:rsidRPr="002710AB">
        <w:rPr>
          <w:rFonts w:ascii="Arial" w:hAnsi="Arial"/>
          <w:lang w:val="en-GB"/>
        </w:rPr>
        <w:t xml:space="preserve"> ATM operator. In the case of network units, the reporting agent is the institution involved in acceptance, irrespective of whether, as an operator, it owns the POS equipment supplied with cash withdrawal functions and the ATMs, or it uses the relevant services of another legal entity in its network units. In the case of network units and ATMs, the location data must be provided both in the form of an address and with geographical coordinates. The information on network units and ATMs must include information whether the given network unit or ATM is accessible and can be used unimpeded by the disabled.</w:t>
      </w:r>
    </w:p>
    <w:p w14:paraId="3BE23C51" w14:textId="77777777" w:rsidR="004E1F1E" w:rsidRPr="002710AB" w:rsidRDefault="004E1F1E" w:rsidP="00B277A8">
      <w:pPr>
        <w:spacing w:after="0"/>
        <w:rPr>
          <w:rFonts w:ascii="Arial" w:hAnsi="Arial" w:cs="Arial"/>
          <w:lang w:val="en-GB"/>
        </w:rPr>
      </w:pPr>
    </w:p>
    <w:p w14:paraId="39D0C9A9" w14:textId="77777777" w:rsidR="00B277A8" w:rsidRPr="002710AB" w:rsidRDefault="00300159" w:rsidP="00B277A8">
      <w:pPr>
        <w:spacing w:after="0"/>
        <w:rPr>
          <w:del w:id="0" w:author="Promaxx Iroda" w:date="2022-02-11T21:49:00Z"/>
          <w:rFonts w:ascii="Arial" w:hAnsi="Arial" w:cs="Arial"/>
          <w:lang w:val="en-GB"/>
        </w:rPr>
      </w:pPr>
      <w:r>
        <w:rPr>
          <w:rFonts w:ascii="Arial" w:hAnsi="Arial"/>
          <w:lang w:val="en-GB"/>
        </w:rPr>
        <w:t>2</w:t>
      </w:r>
      <w:r w:rsidR="00B92286" w:rsidRPr="002710AB">
        <w:rPr>
          <w:rFonts w:ascii="Arial" w:hAnsi="Arial"/>
          <w:lang w:val="en-GB"/>
        </w:rPr>
        <w:t xml:space="preserve">. </w:t>
      </w:r>
      <w:del w:id="1" w:author="Promaxx Iroda" w:date="2022-02-11T21:49:00Z">
        <w:r w:rsidR="00B92286" w:rsidRPr="002710AB">
          <w:rPr>
            <w:rFonts w:ascii="Arial" w:hAnsi="Arial"/>
            <w:lang w:val="en-GB"/>
          </w:rPr>
          <w:delText>This data supply does not qualify as a notification and in the case of those financial institutions that also hold a licence for the provision of investment services it shall not substitute the submission of the relevant form available within the "E-administration Licensing" service through the ERA system, in accordance with the provisions of MNB Decree 36/2017 (XII. 27) on the Rules of Electronic Communication in Proceedings Instituted by the Magyar Nemzeti Bank as a Public Authority. The MNB captures the registration of the branch office after the submission of the dedicated form, to be completed in the ERA system.</w:delText>
        </w:r>
      </w:del>
    </w:p>
    <w:p w14:paraId="19D518E9" w14:textId="77777777" w:rsidR="00B277A8" w:rsidRPr="002710AB" w:rsidRDefault="00B277A8" w:rsidP="00B277A8">
      <w:pPr>
        <w:spacing w:after="0"/>
        <w:rPr>
          <w:del w:id="2" w:author="Promaxx Iroda" w:date="2022-02-11T21:49:00Z"/>
          <w:rFonts w:ascii="Arial" w:hAnsi="Arial" w:cs="Arial"/>
          <w:lang w:val="en-GB"/>
        </w:rPr>
      </w:pPr>
    </w:p>
    <w:p w14:paraId="7276530A" w14:textId="1F2970A6" w:rsidR="004E1F1E" w:rsidRPr="002710AB" w:rsidRDefault="00B92286" w:rsidP="00B277A8">
      <w:pPr>
        <w:spacing w:after="0"/>
        <w:rPr>
          <w:rFonts w:ascii="Arial" w:hAnsi="Arial" w:cs="Arial"/>
          <w:lang w:val="en-GB"/>
        </w:rPr>
      </w:pPr>
      <w:del w:id="3" w:author="Promaxx Iroda" w:date="2022-02-11T21:49:00Z">
        <w:r w:rsidRPr="002710AB">
          <w:rPr>
            <w:rFonts w:ascii="Arial" w:hAnsi="Arial"/>
            <w:lang w:val="en-GB"/>
          </w:rPr>
          <w:delText xml:space="preserve">3. </w:delText>
        </w:r>
      </w:del>
      <w:r w:rsidRPr="002710AB">
        <w:rPr>
          <w:rFonts w:ascii="Arial" w:hAnsi="Arial"/>
          <w:lang w:val="en-GB"/>
        </w:rPr>
        <w:t>In the case of a sponsor bank relationship, data on the sponsored bank must be submitted either by the sponsored or by the sponsoring bank; when the data are submitted by the sponsoring bank, they must be separated from its own data, indicating the sponsored institution.</w:t>
      </w:r>
    </w:p>
    <w:p w14:paraId="405C91DB" w14:textId="77777777" w:rsidR="004E1F1E" w:rsidRPr="002710AB" w:rsidRDefault="004E1F1E" w:rsidP="00B277A8">
      <w:pPr>
        <w:spacing w:after="0"/>
        <w:rPr>
          <w:rFonts w:ascii="Arial" w:hAnsi="Arial" w:cs="Arial"/>
          <w:lang w:val="en-GB"/>
        </w:rPr>
      </w:pPr>
    </w:p>
    <w:p w14:paraId="3A5455B3" w14:textId="13D34728" w:rsidR="004E1F1E" w:rsidRPr="002710AB" w:rsidRDefault="00B92286" w:rsidP="00B277A8">
      <w:pPr>
        <w:spacing w:after="0"/>
        <w:rPr>
          <w:rFonts w:ascii="Arial" w:hAnsi="Arial" w:cs="Arial"/>
          <w:lang w:val="en-GB"/>
        </w:rPr>
      </w:pPr>
      <w:del w:id="4" w:author="Promaxx Iroda" w:date="2022-02-11T21:49:00Z">
        <w:r w:rsidRPr="002710AB">
          <w:rPr>
            <w:rFonts w:ascii="Arial" w:hAnsi="Arial"/>
            <w:lang w:val="en-GB"/>
          </w:rPr>
          <w:delText>4</w:delText>
        </w:r>
      </w:del>
      <w:ins w:id="5" w:author="Promaxx Iroda" w:date="2022-02-11T21:49:00Z">
        <w:r w:rsidR="00300159">
          <w:rPr>
            <w:rFonts w:ascii="Arial" w:hAnsi="Arial"/>
            <w:lang w:val="en-GB"/>
          </w:rPr>
          <w:t>3</w:t>
        </w:r>
      </w:ins>
      <w:r w:rsidRPr="002710AB">
        <w:rPr>
          <w:rFonts w:ascii="Arial" w:hAnsi="Arial"/>
          <w:lang w:val="en-GB"/>
        </w:rPr>
        <w:t xml:space="preserve">. The codes to be used for completing the table are included in the technical manual specified in section 4.8 of Annex 3, published on the </w:t>
      </w:r>
      <w:proofErr w:type="spellStart"/>
      <w:r w:rsidRPr="002710AB">
        <w:rPr>
          <w:rFonts w:ascii="Arial" w:hAnsi="Arial"/>
          <w:lang w:val="en-GB"/>
        </w:rPr>
        <w:t>MNB’s</w:t>
      </w:r>
      <w:proofErr w:type="spellEnd"/>
      <w:r w:rsidRPr="002710AB">
        <w:rPr>
          <w:rFonts w:ascii="Arial" w:hAnsi="Arial"/>
          <w:lang w:val="en-GB"/>
        </w:rPr>
        <w:t xml:space="preserve"> website.</w:t>
      </w:r>
    </w:p>
    <w:p w14:paraId="50689762" w14:textId="77777777" w:rsidR="00B277A8" w:rsidRPr="002710AB" w:rsidRDefault="00B277A8" w:rsidP="00B277A8">
      <w:pPr>
        <w:spacing w:after="0"/>
        <w:rPr>
          <w:rFonts w:ascii="Arial" w:hAnsi="Arial" w:cs="Arial"/>
          <w:lang w:val="en-GB"/>
        </w:rPr>
      </w:pPr>
    </w:p>
    <w:p w14:paraId="57845EE5" w14:textId="77777777" w:rsidR="00B277A8" w:rsidRPr="002710AB" w:rsidRDefault="00B277A8" w:rsidP="00B277A8">
      <w:pPr>
        <w:spacing w:after="0"/>
        <w:rPr>
          <w:rFonts w:ascii="Arial" w:hAnsi="Arial" w:cs="Arial"/>
          <w:lang w:val="en-GB"/>
        </w:rPr>
      </w:pPr>
    </w:p>
    <w:p w14:paraId="0C395E4C" w14:textId="77777777" w:rsidR="00B277A8" w:rsidRPr="002710AB" w:rsidRDefault="00B92286" w:rsidP="00B277A8">
      <w:pPr>
        <w:spacing w:after="0"/>
        <w:rPr>
          <w:rFonts w:ascii="Arial" w:hAnsi="Arial" w:cs="Arial"/>
          <w:b/>
          <w:lang w:val="en-GB"/>
        </w:rPr>
      </w:pPr>
      <w:r w:rsidRPr="002710AB">
        <w:rPr>
          <w:rFonts w:ascii="Arial" w:hAnsi="Arial"/>
          <w:b/>
          <w:lang w:val="en-GB"/>
        </w:rPr>
        <w:t>II. Detailed rules applicable to the data supply</w:t>
      </w:r>
    </w:p>
    <w:p w14:paraId="0FE33AB1" w14:textId="77777777" w:rsidR="00B277A8" w:rsidRPr="002710AB" w:rsidRDefault="00B277A8" w:rsidP="00B277A8">
      <w:pPr>
        <w:spacing w:after="0"/>
        <w:rPr>
          <w:rFonts w:ascii="Arial" w:hAnsi="Arial" w:cs="Arial"/>
          <w:lang w:val="en-GB"/>
        </w:rPr>
      </w:pPr>
    </w:p>
    <w:p w14:paraId="1B4F4ACE" w14:textId="77777777" w:rsidR="00B277A8" w:rsidRPr="002710AB" w:rsidRDefault="00B92286" w:rsidP="00B277A8">
      <w:pPr>
        <w:spacing w:after="120" w:line="240" w:lineRule="auto"/>
        <w:rPr>
          <w:rFonts w:ascii="Arial" w:hAnsi="Arial" w:cs="Arial"/>
          <w:b/>
          <w:lang w:val="en-GB"/>
        </w:rPr>
      </w:pPr>
      <w:r w:rsidRPr="002710AB">
        <w:rPr>
          <w:rFonts w:ascii="Arial" w:hAnsi="Arial"/>
          <w:b/>
          <w:lang w:val="en-GB"/>
        </w:rPr>
        <w:t>1. P5601 – Data related to the individual ATMs of institutions and service providers with own ATMs</w:t>
      </w:r>
    </w:p>
    <w:p w14:paraId="4BF584A5" w14:textId="77777777" w:rsidR="00B277A8" w:rsidRPr="002710AB" w:rsidRDefault="00B92286" w:rsidP="00B277A8">
      <w:pPr>
        <w:spacing w:after="120" w:line="240" w:lineRule="auto"/>
        <w:rPr>
          <w:rFonts w:ascii="Arial" w:hAnsi="Arial" w:cs="Arial"/>
          <w:b/>
          <w:lang w:val="en-GB"/>
        </w:rPr>
      </w:pPr>
      <w:r w:rsidRPr="002710AB">
        <w:rPr>
          <w:rFonts w:ascii="Arial" w:hAnsi="Arial"/>
          <w:b/>
          <w:lang w:val="en-GB"/>
        </w:rPr>
        <w:t>Data to be reported in the individual cells:</w:t>
      </w:r>
    </w:p>
    <w:p w14:paraId="24EE968B" w14:textId="77777777" w:rsidR="00B277A8" w:rsidRPr="002710AB" w:rsidRDefault="00B92286" w:rsidP="00B277A8">
      <w:pPr>
        <w:spacing w:after="120" w:line="240" w:lineRule="auto"/>
        <w:rPr>
          <w:rFonts w:ascii="Arial" w:hAnsi="Arial" w:cs="Arial"/>
          <w:lang w:val="en-GB"/>
        </w:rPr>
      </w:pPr>
      <w:r w:rsidRPr="002710AB">
        <w:rPr>
          <w:rFonts w:ascii="Arial" w:hAnsi="Arial"/>
          <w:lang w:val="en-GB"/>
        </w:rPr>
        <w:t xml:space="preserve">Cell </w:t>
      </w:r>
      <w:r w:rsidRPr="002710AB">
        <w:rPr>
          <w:rFonts w:ascii="Arial" w:hAnsi="Arial"/>
          <w:b/>
          <w:lang w:val="en-GB"/>
        </w:rPr>
        <w:t>a)</w:t>
      </w:r>
      <w:r w:rsidRPr="002710AB">
        <w:rPr>
          <w:rFonts w:ascii="Arial" w:hAnsi="Arial"/>
          <w:lang w:val="en-GB"/>
        </w:rPr>
        <w:t xml:space="preserve"> must contain the name of the reporting agent.</w:t>
      </w:r>
    </w:p>
    <w:p w14:paraId="70121BD9" w14:textId="77777777" w:rsidR="00B277A8" w:rsidRPr="002710AB" w:rsidRDefault="00B92286" w:rsidP="00B277A8">
      <w:pPr>
        <w:spacing w:after="120" w:line="240" w:lineRule="auto"/>
        <w:rPr>
          <w:rFonts w:ascii="Arial" w:hAnsi="Arial" w:cs="Arial"/>
          <w:lang w:val="en-GB"/>
        </w:rPr>
      </w:pPr>
      <w:r w:rsidRPr="002710AB">
        <w:rPr>
          <w:rFonts w:ascii="Arial" w:hAnsi="Arial"/>
          <w:lang w:val="en-GB"/>
        </w:rPr>
        <w:t xml:space="preserve">Cell </w:t>
      </w:r>
      <w:r w:rsidRPr="0094787B">
        <w:rPr>
          <w:rFonts w:ascii="Arial" w:hAnsi="Arial"/>
          <w:b/>
          <w:lang w:val="en-GB"/>
        </w:rPr>
        <w:t>b</w:t>
      </w:r>
      <w:r w:rsidRPr="002710AB">
        <w:rPr>
          <w:rFonts w:ascii="Arial" w:hAnsi="Arial"/>
          <w:b/>
          <w:lang w:val="en-GB"/>
        </w:rPr>
        <w:t>)</w:t>
      </w:r>
      <w:r w:rsidRPr="002710AB">
        <w:rPr>
          <w:rFonts w:ascii="Arial" w:hAnsi="Arial"/>
          <w:lang w:val="en-GB"/>
        </w:rPr>
        <w:t xml:space="preserve"> must contain the registration number of the reporting agent.</w:t>
      </w:r>
    </w:p>
    <w:p w14:paraId="01C34D5F" w14:textId="77777777" w:rsidR="00B277A8" w:rsidRPr="002710AB" w:rsidRDefault="00B92286" w:rsidP="00B277A8">
      <w:pPr>
        <w:spacing w:after="120" w:line="240" w:lineRule="auto"/>
        <w:rPr>
          <w:rFonts w:ascii="Arial" w:hAnsi="Arial" w:cs="Arial"/>
          <w:lang w:val="en-GB"/>
        </w:rPr>
      </w:pPr>
      <w:r w:rsidRPr="002710AB">
        <w:rPr>
          <w:rFonts w:ascii="Arial" w:hAnsi="Arial"/>
          <w:lang w:val="en-GB"/>
        </w:rPr>
        <w:t xml:space="preserve">Cell </w:t>
      </w:r>
      <w:r w:rsidRPr="002710AB">
        <w:rPr>
          <w:rFonts w:ascii="Arial" w:hAnsi="Arial"/>
          <w:b/>
          <w:lang w:val="en-GB"/>
        </w:rPr>
        <w:t>c)</w:t>
      </w:r>
      <w:r w:rsidRPr="002710AB">
        <w:rPr>
          <w:rFonts w:ascii="Arial" w:hAnsi="Arial"/>
          <w:lang w:val="en-GB"/>
        </w:rPr>
        <w:t xml:space="preserve"> must contain the 8-digit branch code connected to the ATM involved in the data supply, if cell </w:t>
      </w:r>
      <w:r w:rsidRPr="002710AB">
        <w:rPr>
          <w:rFonts w:ascii="Arial" w:hAnsi="Arial"/>
          <w:b/>
          <w:lang w:val="en-GB"/>
        </w:rPr>
        <w:t>g)</w:t>
      </w:r>
      <w:r w:rsidRPr="002710AB">
        <w:rPr>
          <w:rFonts w:ascii="Arial" w:hAnsi="Arial"/>
          <w:lang w:val="en-GB"/>
        </w:rPr>
        <w:t xml:space="preserve"> contains the value of "the ATM is installed at the branch</w:t>
      </w:r>
      <w:proofErr w:type="gramStart"/>
      <w:r w:rsidRPr="002710AB">
        <w:rPr>
          <w:rFonts w:ascii="Arial" w:hAnsi="Arial"/>
          <w:lang w:val="en-GB"/>
        </w:rPr>
        <w:t>"  (</w:t>
      </w:r>
      <w:proofErr w:type="gramEnd"/>
      <w:r w:rsidRPr="002710AB">
        <w:rPr>
          <w:rFonts w:ascii="Arial" w:hAnsi="Arial"/>
          <w:lang w:val="en-GB"/>
        </w:rPr>
        <w:t xml:space="preserve">the first 3 digits of the branch code is the bank code issued by the MNB, followed by a four-digit branch identifier freely definable by the credit institution; the last digit of the branch code is </w:t>
      </w:r>
      <w:r w:rsidR="004B3BE1">
        <w:rPr>
          <w:rFonts w:ascii="Arial" w:hAnsi="Arial"/>
          <w:lang w:val="en-GB"/>
        </w:rPr>
        <w:t xml:space="preserve">a </w:t>
      </w:r>
      <w:r w:rsidRPr="002710AB">
        <w:rPr>
          <w:rFonts w:ascii="Arial" w:hAnsi="Arial"/>
          <w:lang w:val="en-GB"/>
        </w:rPr>
        <w:t xml:space="preserve">check digit, </w:t>
      </w:r>
      <w:r w:rsidR="004B3BE1">
        <w:rPr>
          <w:rFonts w:ascii="Arial" w:hAnsi="Arial"/>
          <w:lang w:val="en-GB"/>
        </w:rPr>
        <w:t>its</w:t>
      </w:r>
      <w:r w:rsidR="004B3BE1" w:rsidRPr="002710AB">
        <w:rPr>
          <w:rFonts w:ascii="Arial" w:hAnsi="Arial"/>
          <w:lang w:val="en-GB"/>
        </w:rPr>
        <w:t xml:space="preserve"> </w:t>
      </w:r>
      <w:r w:rsidRPr="002710AB">
        <w:rPr>
          <w:rFonts w:ascii="Arial" w:hAnsi="Arial"/>
          <w:lang w:val="en-GB"/>
        </w:rPr>
        <w:t>generation rules are prescribed by MNB Decree 35/2017 (XII. 14) on the Execution of Payment Transactions).</w:t>
      </w:r>
    </w:p>
    <w:p w14:paraId="3C7BDA9A" w14:textId="77777777" w:rsidR="00B277A8" w:rsidRPr="002710AB" w:rsidRDefault="00B92286" w:rsidP="00B277A8">
      <w:pPr>
        <w:rPr>
          <w:rFonts w:ascii="Arial" w:hAnsi="Arial" w:cs="Arial"/>
          <w:lang w:val="en-GB"/>
        </w:rPr>
      </w:pPr>
      <w:r w:rsidRPr="002710AB">
        <w:rPr>
          <w:rFonts w:ascii="Arial" w:hAnsi="Arial"/>
          <w:lang w:val="en-GB"/>
        </w:rPr>
        <w:t xml:space="preserve">Cell </w:t>
      </w:r>
      <w:r w:rsidRPr="002710AB">
        <w:rPr>
          <w:rFonts w:ascii="Arial" w:hAnsi="Arial"/>
          <w:b/>
          <w:lang w:val="en-GB"/>
        </w:rPr>
        <w:t>d)</w:t>
      </w:r>
      <w:r w:rsidRPr="002710AB">
        <w:rPr>
          <w:rFonts w:ascii="Arial" w:hAnsi="Arial"/>
          <w:lang w:val="en-GB"/>
        </w:rPr>
        <w:t xml:space="preserve"> must contain the alphanumeric ID of the ATM (unique within the institution's ATM pool), which is suitable for the clear differentiation of the individual devices both by the MNB and the reporting agent. For </w:t>
      </w:r>
      <w:r w:rsidRPr="002710AB">
        <w:rPr>
          <w:rFonts w:ascii="Arial" w:hAnsi="Arial"/>
          <w:lang w:val="en-GB"/>
        </w:rPr>
        <w:lastRenderedPageBreak/>
        <w:t xml:space="preserve">this </w:t>
      </w:r>
      <w:proofErr w:type="gramStart"/>
      <w:r w:rsidRPr="002710AB">
        <w:rPr>
          <w:rFonts w:ascii="Arial" w:hAnsi="Arial"/>
          <w:lang w:val="en-GB"/>
        </w:rPr>
        <w:t>purpose</w:t>
      </w:r>
      <w:proofErr w:type="gramEnd"/>
      <w:r w:rsidRPr="002710AB">
        <w:rPr>
          <w:rFonts w:ascii="Arial" w:hAnsi="Arial"/>
          <w:lang w:val="en-GB"/>
        </w:rPr>
        <w:t xml:space="preserve"> the serial number or the logical identifier of the ATM within the acceptance network may be used, or in the absence of those any other ID that satisfies the criteria</w:t>
      </w:r>
      <w:r w:rsidR="00AC7288">
        <w:rPr>
          <w:rFonts w:ascii="Arial" w:hAnsi="Arial"/>
          <w:lang w:val="en-GB"/>
        </w:rPr>
        <w:t xml:space="preserve"> above</w:t>
      </w:r>
      <w:r w:rsidRPr="002710AB">
        <w:rPr>
          <w:rFonts w:ascii="Arial" w:hAnsi="Arial"/>
          <w:lang w:val="en-GB"/>
        </w:rPr>
        <w:t>.</w:t>
      </w:r>
    </w:p>
    <w:p w14:paraId="767E1C69" w14:textId="77777777" w:rsidR="00B277A8" w:rsidRPr="002710AB" w:rsidRDefault="00B92286" w:rsidP="00B277A8">
      <w:pPr>
        <w:spacing w:after="120" w:line="240" w:lineRule="auto"/>
        <w:rPr>
          <w:rFonts w:ascii="Arial" w:hAnsi="Arial" w:cs="Arial"/>
          <w:lang w:val="en-GB"/>
        </w:rPr>
      </w:pPr>
      <w:r w:rsidRPr="002710AB">
        <w:rPr>
          <w:rFonts w:ascii="Arial" w:hAnsi="Arial"/>
          <w:lang w:val="en-GB"/>
        </w:rPr>
        <w:t xml:space="preserve">Cell </w:t>
      </w:r>
      <w:r w:rsidRPr="002710AB">
        <w:rPr>
          <w:rFonts w:ascii="Arial" w:hAnsi="Arial"/>
          <w:b/>
          <w:lang w:val="en-GB"/>
        </w:rPr>
        <w:t>e)</w:t>
      </w:r>
      <w:r w:rsidRPr="002710AB">
        <w:rPr>
          <w:rFonts w:ascii="Arial" w:hAnsi="Arial"/>
          <w:lang w:val="en-GB"/>
        </w:rPr>
        <w:t xml:space="preserve"> must contain, based on the relevant code list, whether the ATM is publicly available. If access to the </w:t>
      </w:r>
      <w:r w:rsidR="00A23421">
        <w:rPr>
          <w:rFonts w:ascii="Arial" w:hAnsi="Arial"/>
          <w:lang w:val="en-GB"/>
        </w:rPr>
        <w:t>stated</w:t>
      </w:r>
      <w:r w:rsidR="00A23421" w:rsidRPr="002710AB">
        <w:rPr>
          <w:rFonts w:ascii="Arial" w:hAnsi="Arial"/>
          <w:lang w:val="en-GB"/>
        </w:rPr>
        <w:t xml:space="preserve"> </w:t>
      </w:r>
      <w:r w:rsidRPr="002710AB">
        <w:rPr>
          <w:rFonts w:ascii="Arial" w:hAnsi="Arial"/>
          <w:lang w:val="en-GB"/>
        </w:rPr>
        <w:t xml:space="preserve">ATM is limited to a narrow range of consumers – </w:t>
      </w:r>
      <w:proofErr w:type="gramStart"/>
      <w:r w:rsidRPr="002710AB">
        <w:rPr>
          <w:rFonts w:ascii="Arial" w:hAnsi="Arial"/>
          <w:lang w:val="en-GB"/>
        </w:rPr>
        <w:t>e.g.</w:t>
      </w:r>
      <w:proofErr w:type="gramEnd"/>
      <w:r w:rsidRPr="002710AB">
        <w:rPr>
          <w:rFonts w:ascii="Arial" w:hAnsi="Arial"/>
          <w:lang w:val="en-GB"/>
        </w:rPr>
        <w:t xml:space="preserve"> ATMs installed at workplaces or offices – option "no" must be selected. </w:t>
      </w:r>
    </w:p>
    <w:p w14:paraId="5F14F083" w14:textId="77777777" w:rsidR="00B277A8" w:rsidRPr="002710AB" w:rsidRDefault="00B92286" w:rsidP="00B277A8">
      <w:pPr>
        <w:spacing w:after="120" w:line="240" w:lineRule="auto"/>
        <w:rPr>
          <w:rFonts w:ascii="Arial" w:hAnsi="Arial" w:cs="Arial"/>
          <w:lang w:val="en-GB"/>
        </w:rPr>
      </w:pPr>
      <w:r w:rsidRPr="002710AB">
        <w:rPr>
          <w:rFonts w:ascii="Arial" w:hAnsi="Arial"/>
          <w:lang w:val="en-GB"/>
        </w:rPr>
        <w:t xml:space="preserve">Cell </w:t>
      </w:r>
      <w:r w:rsidRPr="002710AB">
        <w:rPr>
          <w:rFonts w:ascii="Arial" w:hAnsi="Arial"/>
          <w:b/>
          <w:lang w:val="en-GB"/>
        </w:rPr>
        <w:t>f)</w:t>
      </w:r>
      <w:r w:rsidRPr="002710AB">
        <w:rPr>
          <w:rFonts w:ascii="Arial" w:hAnsi="Arial"/>
          <w:lang w:val="en-GB"/>
        </w:rPr>
        <w:t xml:space="preserve"> must contain the address where the ATM can be accessed. If the ERA system flags the specified address as </w:t>
      </w:r>
      <w:r w:rsidR="00A23421">
        <w:rPr>
          <w:rFonts w:ascii="Arial" w:hAnsi="Arial"/>
          <w:lang w:val="en-GB"/>
        </w:rPr>
        <w:t>incorrect</w:t>
      </w:r>
      <w:r w:rsidRPr="002710AB">
        <w:rPr>
          <w:rFonts w:ascii="Arial" w:hAnsi="Arial"/>
          <w:lang w:val="en-GB"/>
        </w:rPr>
        <w:t>, but the reporting agent deems it correct, the system will accept it, if you tick off the "Verified" checkbox.</w:t>
      </w:r>
    </w:p>
    <w:p w14:paraId="415BC1E8" w14:textId="77777777" w:rsidR="00B277A8" w:rsidRPr="002710AB" w:rsidRDefault="00B92286" w:rsidP="00B277A8">
      <w:pPr>
        <w:spacing w:beforeLines="120" w:before="288" w:after="120" w:line="240" w:lineRule="auto"/>
        <w:rPr>
          <w:rFonts w:ascii="Arial" w:hAnsi="Arial" w:cs="Arial"/>
          <w:lang w:val="en-GB"/>
        </w:rPr>
      </w:pPr>
      <w:bookmarkStart w:id="6" w:name="_Hlk512343410"/>
      <w:r w:rsidRPr="002710AB">
        <w:rPr>
          <w:rFonts w:ascii="Arial" w:hAnsi="Arial"/>
          <w:lang w:val="en-GB"/>
        </w:rPr>
        <w:t xml:space="preserve">Cell </w:t>
      </w:r>
      <w:r w:rsidRPr="002710AB">
        <w:rPr>
          <w:rFonts w:ascii="Arial" w:hAnsi="Arial"/>
          <w:b/>
          <w:lang w:val="en-GB"/>
        </w:rPr>
        <w:t>g)</w:t>
      </w:r>
      <w:r w:rsidRPr="002710AB">
        <w:rPr>
          <w:rFonts w:ascii="Arial" w:hAnsi="Arial"/>
          <w:lang w:val="en-GB"/>
        </w:rPr>
        <w:t xml:space="preserve"> must contain, based on the relevant code list, whether the ATM is installed at a branch. The ATMs installed in the branch, in the entrance hall of the branch, in the wall of the branch and the standalone ATMs in the immediate vicinity of the branch (within 10 metres from the entrance)</w:t>
      </w:r>
      <w:r w:rsidR="00415199">
        <w:rPr>
          <w:rFonts w:ascii="Arial" w:hAnsi="Arial"/>
          <w:lang w:val="en-GB"/>
        </w:rPr>
        <w:t xml:space="preserve"> are</w:t>
      </w:r>
      <w:r w:rsidRPr="002710AB">
        <w:rPr>
          <w:rFonts w:ascii="Arial" w:hAnsi="Arial"/>
          <w:lang w:val="en-GB"/>
        </w:rPr>
        <w:t xml:space="preserve"> qualif</w:t>
      </w:r>
      <w:r w:rsidR="00415199">
        <w:rPr>
          <w:rFonts w:ascii="Arial" w:hAnsi="Arial"/>
          <w:lang w:val="en-GB"/>
        </w:rPr>
        <w:t>ied</w:t>
      </w:r>
      <w:r w:rsidRPr="002710AB">
        <w:rPr>
          <w:rFonts w:ascii="Arial" w:hAnsi="Arial"/>
          <w:lang w:val="en-GB"/>
        </w:rPr>
        <w:t xml:space="preserve"> as ATMs installed at the branch.</w:t>
      </w:r>
    </w:p>
    <w:p w14:paraId="782AC5D5" w14:textId="77777777" w:rsidR="00B277A8" w:rsidRPr="002710AB" w:rsidRDefault="00B92286" w:rsidP="00B277A8">
      <w:pPr>
        <w:spacing w:after="120" w:line="240" w:lineRule="auto"/>
        <w:rPr>
          <w:rFonts w:ascii="Arial" w:hAnsi="Arial" w:cs="Arial"/>
          <w:lang w:val="en-GB"/>
        </w:rPr>
      </w:pPr>
      <w:r w:rsidRPr="002710AB">
        <w:rPr>
          <w:rFonts w:ascii="Arial" w:hAnsi="Arial"/>
          <w:lang w:val="en-GB"/>
        </w:rPr>
        <w:t xml:space="preserve">Cell </w:t>
      </w:r>
      <w:r w:rsidRPr="002710AB">
        <w:rPr>
          <w:rFonts w:ascii="Arial" w:hAnsi="Arial"/>
          <w:b/>
          <w:lang w:val="en-GB"/>
        </w:rPr>
        <w:t>h)</w:t>
      </w:r>
      <w:r w:rsidRPr="002710AB">
        <w:rPr>
          <w:rFonts w:ascii="Arial" w:hAnsi="Arial"/>
          <w:lang w:val="en-GB"/>
        </w:rPr>
        <w:t xml:space="preserve"> must contain, based on the relevant code list, whether the ATM is available 24 hours a day. The ATM must be classified as available 24 hours, if it is installed in the entrance hall of the branch and it is available also after the opening hours of the branch through </w:t>
      </w:r>
      <w:proofErr w:type="gramStart"/>
      <w:r w:rsidRPr="002710AB">
        <w:rPr>
          <w:rFonts w:ascii="Arial" w:hAnsi="Arial"/>
          <w:lang w:val="en-GB"/>
        </w:rPr>
        <w:t>bankcard controlled</w:t>
      </w:r>
      <w:proofErr w:type="gramEnd"/>
      <w:r w:rsidRPr="002710AB">
        <w:rPr>
          <w:rFonts w:ascii="Arial" w:hAnsi="Arial"/>
          <w:lang w:val="en-GB"/>
        </w:rPr>
        <w:t xml:space="preserve"> access.</w:t>
      </w:r>
    </w:p>
    <w:p w14:paraId="1BF47371" w14:textId="77777777" w:rsidR="00B277A8" w:rsidRPr="002710AB" w:rsidRDefault="00B92286" w:rsidP="00B277A8">
      <w:pPr>
        <w:spacing w:after="120" w:line="240" w:lineRule="auto"/>
        <w:rPr>
          <w:rFonts w:ascii="Arial" w:hAnsi="Arial" w:cs="Arial"/>
          <w:lang w:val="en-GB"/>
        </w:rPr>
      </w:pPr>
      <w:r w:rsidRPr="002710AB">
        <w:rPr>
          <w:rFonts w:ascii="Arial" w:hAnsi="Arial"/>
          <w:lang w:val="en-GB"/>
        </w:rPr>
        <w:t xml:space="preserve">Cells </w:t>
      </w:r>
      <w:r w:rsidRPr="002710AB">
        <w:rPr>
          <w:rFonts w:ascii="Arial" w:hAnsi="Arial"/>
          <w:b/>
          <w:lang w:val="en-GB"/>
        </w:rPr>
        <w:t>m)</w:t>
      </w:r>
      <w:r w:rsidRPr="002710AB">
        <w:rPr>
          <w:rFonts w:ascii="Arial" w:hAnsi="Arial"/>
          <w:lang w:val="en-GB"/>
        </w:rPr>
        <w:t xml:space="preserve"> and </w:t>
      </w:r>
      <w:r w:rsidRPr="002710AB">
        <w:rPr>
          <w:rFonts w:ascii="Arial" w:hAnsi="Arial"/>
          <w:b/>
          <w:lang w:val="en-GB"/>
        </w:rPr>
        <w:t>n)</w:t>
      </w:r>
      <w:r w:rsidRPr="002710AB">
        <w:rPr>
          <w:rFonts w:ascii="Arial" w:hAnsi="Arial"/>
          <w:lang w:val="en-GB"/>
        </w:rPr>
        <w:t xml:space="preserve"> must contain the geographical location of the ATM in north latitude and east longitude decimal degrees, with an accuracy of 5 decimal points. </w:t>
      </w:r>
    </w:p>
    <w:p w14:paraId="0BFD81A8" w14:textId="77777777" w:rsidR="00B277A8" w:rsidRPr="002710AB" w:rsidRDefault="00B92286" w:rsidP="00B277A8">
      <w:pPr>
        <w:rPr>
          <w:rFonts w:ascii="Arial" w:hAnsi="Arial" w:cs="Arial"/>
          <w:lang w:val="en-GB"/>
        </w:rPr>
      </w:pPr>
      <w:r w:rsidRPr="002710AB">
        <w:rPr>
          <w:rFonts w:ascii="Arial" w:hAnsi="Arial"/>
          <w:lang w:val="en-GB"/>
        </w:rPr>
        <w:t xml:space="preserve">For the purpose of completing cell </w:t>
      </w:r>
      <w:r w:rsidRPr="002710AB">
        <w:rPr>
          <w:rFonts w:ascii="Arial" w:hAnsi="Arial"/>
          <w:b/>
          <w:lang w:val="en-GB"/>
        </w:rPr>
        <w:t>o)</w:t>
      </w:r>
      <w:r w:rsidRPr="002710AB">
        <w:rPr>
          <w:rFonts w:ascii="Arial" w:hAnsi="Arial"/>
          <w:lang w:val="en-GB"/>
        </w:rPr>
        <w:t xml:space="preserve"> a building or fixture</w:t>
      </w:r>
      <w:r w:rsidR="0070059E">
        <w:rPr>
          <w:rFonts w:ascii="Arial" w:hAnsi="Arial"/>
          <w:lang w:val="en-GB"/>
        </w:rPr>
        <w:t>s</w:t>
      </w:r>
      <w:r w:rsidRPr="002710AB">
        <w:rPr>
          <w:rFonts w:ascii="Arial" w:hAnsi="Arial"/>
          <w:lang w:val="en-GB"/>
        </w:rPr>
        <w:t xml:space="preserve"> is deemed accessible for the disabled when it can be accessed easily, without special efforts and external assistance, irrespective of the degree of the user's physical, organoleptic or mental disability. For this purpose, premises of proper size and height is provided, while the use of the disabled person's therapeutic equipment (stick, crutches, walking frame, wheelchair) is not restricted. When providing information on accessibility for the disabled, consideration should be given to the relevant effective laws, as well as to the effective recommendations relating to or affecting disabled consumers.</w:t>
      </w:r>
    </w:p>
    <w:bookmarkEnd w:id="6"/>
    <w:p w14:paraId="1763C813" w14:textId="77777777" w:rsidR="00B277A8" w:rsidRPr="002710AB" w:rsidRDefault="00B92286" w:rsidP="00B277A8">
      <w:pPr>
        <w:rPr>
          <w:rFonts w:ascii="Arial" w:eastAsia="Times New Roman" w:hAnsi="Arial" w:cs="Arial"/>
          <w:lang w:val="en-GB"/>
        </w:rPr>
      </w:pPr>
      <w:r w:rsidRPr="002710AB">
        <w:rPr>
          <w:rFonts w:ascii="Arial" w:hAnsi="Arial"/>
          <w:lang w:val="en-GB"/>
        </w:rPr>
        <w:t xml:space="preserve">For the purpose of completing cell </w:t>
      </w:r>
      <w:r w:rsidRPr="002710AB">
        <w:rPr>
          <w:rFonts w:ascii="Arial" w:hAnsi="Arial"/>
          <w:b/>
          <w:lang w:val="en-GB"/>
        </w:rPr>
        <w:t>p)</w:t>
      </w:r>
      <w:r w:rsidRPr="002710AB">
        <w:rPr>
          <w:rFonts w:ascii="Arial" w:hAnsi="Arial"/>
          <w:lang w:val="en-GB"/>
        </w:rPr>
        <w:t xml:space="preserve">, a building can be used unimpeded when all devices and fixtures therein can be used irrespective of the degree of the user's physical, organoleptic and mental disability or in the case of severely disabled users with the assistance of his permanent attendant. For this </w:t>
      </w:r>
      <w:proofErr w:type="gramStart"/>
      <w:r w:rsidRPr="002710AB">
        <w:rPr>
          <w:rFonts w:ascii="Arial" w:hAnsi="Arial"/>
          <w:lang w:val="en-GB"/>
        </w:rPr>
        <w:t>purpose</w:t>
      </w:r>
      <w:proofErr w:type="gramEnd"/>
      <w:r w:rsidRPr="002710AB">
        <w:rPr>
          <w:rFonts w:ascii="Arial" w:hAnsi="Arial"/>
          <w:lang w:val="en-GB"/>
        </w:rPr>
        <w:t xml:space="preserve"> control devices of proper size and form are provided, and the availability and accessibility of those is unimpeded. The criteria of unimpeded use include that the respective ATM should have control panel supplied with Braille and its vertical installation should permit use from a wheelchair. When providing information on usability by the disabled, consideration should be given to the relevant effective laws, as well as to the effective recommendations relating to or affecting disabled consumers.</w:t>
      </w:r>
    </w:p>
    <w:p w14:paraId="69FF43A9" w14:textId="0B6A0BBE" w:rsidR="00B277A8" w:rsidRPr="002710AB" w:rsidRDefault="00B92286" w:rsidP="00B277A8">
      <w:pPr>
        <w:rPr>
          <w:rFonts w:ascii="Arial" w:eastAsia="Times New Roman" w:hAnsi="Arial" w:cs="Arial"/>
          <w:lang w:val="en-GB"/>
        </w:rPr>
      </w:pPr>
      <w:r w:rsidRPr="002710AB">
        <w:rPr>
          <w:rFonts w:ascii="Arial" w:hAnsi="Arial"/>
          <w:lang w:val="en-GB"/>
        </w:rPr>
        <w:t xml:space="preserve">For the purpose of completing cells </w:t>
      </w:r>
      <w:r w:rsidRPr="002710AB">
        <w:rPr>
          <w:rFonts w:ascii="Arial" w:hAnsi="Arial"/>
          <w:b/>
          <w:lang w:val="en-GB"/>
        </w:rPr>
        <w:t>q1)</w:t>
      </w:r>
      <w:r w:rsidRPr="002710AB">
        <w:rPr>
          <w:rFonts w:ascii="Arial" w:hAnsi="Arial"/>
          <w:lang w:val="en-GB"/>
        </w:rPr>
        <w:t xml:space="preserve"> and </w:t>
      </w:r>
      <w:r w:rsidRPr="002710AB">
        <w:rPr>
          <w:rFonts w:ascii="Arial" w:hAnsi="Arial"/>
          <w:b/>
          <w:lang w:val="en-GB"/>
        </w:rPr>
        <w:t>q2)</w:t>
      </w:r>
      <w:r w:rsidRPr="002710AB">
        <w:rPr>
          <w:rFonts w:ascii="Arial" w:hAnsi="Arial"/>
          <w:lang w:val="en-GB"/>
        </w:rPr>
        <w:t xml:space="preserve">, suspension means when the reporting agent suspends the operation of the </w:t>
      </w:r>
      <w:r w:rsidR="00251BD2">
        <w:rPr>
          <w:rFonts w:ascii="Arial" w:hAnsi="Arial"/>
          <w:lang w:val="en-GB"/>
        </w:rPr>
        <w:t>stated</w:t>
      </w:r>
      <w:r w:rsidR="00251BD2" w:rsidRPr="002710AB">
        <w:rPr>
          <w:rFonts w:ascii="Arial" w:hAnsi="Arial"/>
          <w:lang w:val="en-GB"/>
        </w:rPr>
        <w:t xml:space="preserve"> </w:t>
      </w:r>
      <w:r w:rsidRPr="002710AB">
        <w:rPr>
          <w:rFonts w:ascii="Arial" w:hAnsi="Arial"/>
          <w:lang w:val="en-GB"/>
        </w:rPr>
        <w:t>ATM for a certain period (</w:t>
      </w:r>
      <w:proofErr w:type="gramStart"/>
      <w:r w:rsidRPr="002710AB">
        <w:rPr>
          <w:rFonts w:ascii="Arial" w:hAnsi="Arial"/>
          <w:lang w:val="en-GB"/>
        </w:rPr>
        <w:t>e.g.</w:t>
      </w:r>
      <w:proofErr w:type="gramEnd"/>
      <w:r w:rsidRPr="002710AB">
        <w:rPr>
          <w:rFonts w:ascii="Arial" w:hAnsi="Arial"/>
          <w:lang w:val="en-GB"/>
        </w:rPr>
        <w:t xml:space="preserve"> in the case of ATMs under temporary maintenance). The </w:t>
      </w:r>
      <w:r w:rsidR="00795634">
        <w:rPr>
          <w:rFonts w:ascii="Arial" w:hAnsi="Arial"/>
          <w:lang w:val="en-GB"/>
        </w:rPr>
        <w:t>out of service time</w:t>
      </w:r>
      <w:r w:rsidR="00795634" w:rsidRPr="002710AB">
        <w:rPr>
          <w:rFonts w:ascii="Arial" w:hAnsi="Arial"/>
          <w:lang w:val="en-GB"/>
        </w:rPr>
        <w:t xml:space="preserve"> </w:t>
      </w:r>
      <w:r w:rsidRPr="002710AB">
        <w:rPr>
          <w:rFonts w:ascii="Arial" w:hAnsi="Arial"/>
          <w:lang w:val="en-GB"/>
        </w:rPr>
        <w:t>of ATMs</w:t>
      </w:r>
      <w:ins w:id="7" w:author="Promaxx Iroda" w:date="2022-02-11T21:49:00Z">
        <w:r w:rsidRPr="002710AB">
          <w:rPr>
            <w:rFonts w:ascii="Arial" w:hAnsi="Arial"/>
            <w:lang w:val="en-GB"/>
          </w:rPr>
          <w:t xml:space="preserve"> </w:t>
        </w:r>
        <w:r w:rsidR="00300159">
          <w:rPr>
            <w:rFonts w:ascii="Arial" w:hAnsi="Arial"/>
            <w:lang w:val="en-GB"/>
          </w:rPr>
          <w:t>one day or</w:t>
        </w:r>
      </w:ins>
      <w:r w:rsidR="00300159">
        <w:rPr>
          <w:rFonts w:ascii="Arial" w:hAnsi="Arial"/>
          <w:lang w:val="en-GB"/>
        </w:rPr>
        <w:t xml:space="preserve"> </w:t>
      </w:r>
      <w:r w:rsidRPr="002710AB">
        <w:rPr>
          <w:rFonts w:ascii="Arial" w:hAnsi="Arial"/>
          <w:lang w:val="en-GB"/>
        </w:rPr>
        <w:t xml:space="preserve">shorter than one day, caused by unforeseen technical reasons, </w:t>
      </w:r>
      <w:r w:rsidR="005145CD">
        <w:rPr>
          <w:rFonts w:ascii="Arial" w:hAnsi="Arial"/>
          <w:lang w:val="en-GB"/>
        </w:rPr>
        <w:t>are</w:t>
      </w:r>
      <w:r w:rsidR="005145CD" w:rsidRPr="002710AB">
        <w:rPr>
          <w:rFonts w:ascii="Arial" w:hAnsi="Arial"/>
          <w:lang w:val="en-GB"/>
        </w:rPr>
        <w:t xml:space="preserve"> </w:t>
      </w:r>
      <w:r w:rsidRPr="002710AB">
        <w:rPr>
          <w:rFonts w:ascii="Arial" w:hAnsi="Arial"/>
          <w:lang w:val="en-GB"/>
        </w:rPr>
        <w:t>not qualif</w:t>
      </w:r>
      <w:r w:rsidR="005145CD">
        <w:rPr>
          <w:rFonts w:ascii="Arial" w:hAnsi="Arial"/>
          <w:lang w:val="en-GB"/>
        </w:rPr>
        <w:t>ied</w:t>
      </w:r>
      <w:r w:rsidRPr="002710AB">
        <w:rPr>
          <w:rFonts w:ascii="Arial" w:hAnsi="Arial"/>
          <w:lang w:val="en-GB"/>
        </w:rPr>
        <w:t xml:space="preserve"> as suspension.</w:t>
      </w:r>
    </w:p>
    <w:p w14:paraId="00D3A488" w14:textId="77777777" w:rsidR="00B277A8" w:rsidRPr="002710AB" w:rsidRDefault="00B277A8" w:rsidP="00B277A8">
      <w:pPr>
        <w:rPr>
          <w:rFonts w:ascii="Arial" w:hAnsi="Arial" w:cs="Arial"/>
          <w:b/>
          <w:lang w:val="en-GB"/>
        </w:rPr>
      </w:pPr>
    </w:p>
    <w:p w14:paraId="525BABBA" w14:textId="77777777" w:rsidR="00B277A8" w:rsidRPr="002710AB" w:rsidRDefault="00B92286" w:rsidP="00B277A8">
      <w:pPr>
        <w:rPr>
          <w:rFonts w:ascii="Arial" w:hAnsi="Arial" w:cs="Arial"/>
          <w:b/>
          <w:lang w:val="en-GB"/>
        </w:rPr>
      </w:pPr>
      <w:r w:rsidRPr="002710AB">
        <w:rPr>
          <w:rFonts w:ascii="Arial" w:hAnsi="Arial"/>
          <w:b/>
          <w:lang w:val="en-GB"/>
        </w:rPr>
        <w:t>2. P5602 – Data relating to the network units of institutions accepting bank cards</w:t>
      </w:r>
    </w:p>
    <w:p w14:paraId="21D7F2DD" w14:textId="77777777" w:rsidR="00B277A8" w:rsidRPr="002710AB" w:rsidRDefault="00B92286" w:rsidP="00B277A8">
      <w:pPr>
        <w:spacing w:after="120" w:line="240" w:lineRule="auto"/>
        <w:rPr>
          <w:rFonts w:ascii="Arial" w:hAnsi="Arial" w:cs="Arial"/>
          <w:lang w:val="en-GB"/>
        </w:rPr>
      </w:pPr>
      <w:r w:rsidRPr="002710AB">
        <w:rPr>
          <w:rFonts w:ascii="Arial" w:hAnsi="Arial"/>
          <w:b/>
          <w:lang w:val="en-GB"/>
        </w:rPr>
        <w:t>Data to be reported in the individual cells:</w:t>
      </w:r>
    </w:p>
    <w:p w14:paraId="748CC3A0" w14:textId="77777777" w:rsidR="00B277A8" w:rsidRPr="002710AB" w:rsidRDefault="00B92286" w:rsidP="00B277A8">
      <w:pPr>
        <w:spacing w:before="240" w:after="120" w:line="240" w:lineRule="auto"/>
        <w:rPr>
          <w:rFonts w:ascii="Arial" w:hAnsi="Arial" w:cs="Arial"/>
          <w:lang w:val="en-GB"/>
        </w:rPr>
      </w:pPr>
      <w:r w:rsidRPr="002710AB">
        <w:rPr>
          <w:rFonts w:ascii="Arial" w:hAnsi="Arial"/>
          <w:lang w:val="en-GB"/>
        </w:rPr>
        <w:t xml:space="preserve">The completion of cells </w:t>
      </w:r>
      <w:r w:rsidRPr="002710AB">
        <w:rPr>
          <w:rFonts w:ascii="Arial" w:hAnsi="Arial"/>
          <w:b/>
          <w:lang w:val="en-GB"/>
        </w:rPr>
        <w:t>a)-d)</w:t>
      </w:r>
      <w:r w:rsidRPr="002710AB">
        <w:rPr>
          <w:rFonts w:ascii="Arial" w:hAnsi="Arial"/>
          <w:lang w:val="en-GB"/>
        </w:rPr>
        <w:t xml:space="preserve"> shall be governed, mutatis mutandis, by the provisions of Section 1 related to cells a)-</w:t>
      </w:r>
      <w:r w:rsidR="0031670C">
        <w:rPr>
          <w:rFonts w:ascii="Arial" w:hAnsi="Arial"/>
          <w:lang w:val="en-GB"/>
        </w:rPr>
        <w:t>c</w:t>
      </w:r>
      <w:r w:rsidRPr="002710AB">
        <w:rPr>
          <w:rFonts w:ascii="Arial" w:hAnsi="Arial"/>
          <w:lang w:val="en-GB"/>
        </w:rPr>
        <w:t>)</w:t>
      </w:r>
      <w:r w:rsidR="0031670C">
        <w:rPr>
          <w:rFonts w:ascii="Arial" w:hAnsi="Arial"/>
          <w:lang w:val="en-GB"/>
        </w:rPr>
        <w:t xml:space="preserve"> and f)</w:t>
      </w:r>
      <w:r w:rsidRPr="002710AB">
        <w:rPr>
          <w:rFonts w:ascii="Arial" w:hAnsi="Arial"/>
          <w:lang w:val="en-GB"/>
        </w:rPr>
        <w:t>.</w:t>
      </w:r>
    </w:p>
    <w:p w14:paraId="5739CBEE" w14:textId="77777777" w:rsidR="00B277A8" w:rsidRPr="002710AB" w:rsidRDefault="00B92286" w:rsidP="00B277A8">
      <w:pPr>
        <w:spacing w:before="240" w:after="120" w:line="240" w:lineRule="auto"/>
        <w:rPr>
          <w:rFonts w:ascii="Arial" w:hAnsi="Arial" w:cs="Arial"/>
          <w:lang w:val="en-GB"/>
        </w:rPr>
      </w:pPr>
      <w:r w:rsidRPr="002710AB">
        <w:rPr>
          <w:rFonts w:ascii="Arial" w:hAnsi="Arial"/>
          <w:lang w:val="en-GB"/>
        </w:rPr>
        <w:t xml:space="preserve">The completion of cells </w:t>
      </w:r>
      <w:r w:rsidRPr="002710AB">
        <w:rPr>
          <w:rFonts w:ascii="Arial" w:hAnsi="Arial"/>
          <w:b/>
          <w:lang w:val="en-GB"/>
        </w:rPr>
        <w:t xml:space="preserve">f) </w:t>
      </w:r>
      <w:r w:rsidRPr="0094787B">
        <w:rPr>
          <w:rFonts w:ascii="Arial" w:hAnsi="Arial"/>
          <w:lang w:val="en-GB"/>
        </w:rPr>
        <w:t>and</w:t>
      </w:r>
      <w:r w:rsidRPr="002710AB">
        <w:rPr>
          <w:rFonts w:ascii="Arial" w:hAnsi="Arial"/>
          <w:b/>
          <w:lang w:val="en-GB"/>
        </w:rPr>
        <w:t xml:space="preserve"> g)</w:t>
      </w:r>
      <w:r w:rsidRPr="002710AB">
        <w:rPr>
          <w:rFonts w:ascii="Arial" w:hAnsi="Arial"/>
          <w:lang w:val="en-GB"/>
        </w:rPr>
        <w:t xml:space="preserve"> shall be governed, mutatis mutandis, by the provisions of Section 1 related to cells m) and n). </w:t>
      </w:r>
    </w:p>
    <w:p w14:paraId="5F515E93" w14:textId="77777777" w:rsidR="00B277A8" w:rsidRPr="002710AB" w:rsidRDefault="00B92286" w:rsidP="00B277A8">
      <w:pPr>
        <w:spacing w:before="240" w:after="120" w:line="240" w:lineRule="auto"/>
        <w:rPr>
          <w:rFonts w:ascii="Arial" w:hAnsi="Arial" w:cs="Arial"/>
          <w:lang w:val="en-GB"/>
        </w:rPr>
      </w:pPr>
      <w:r w:rsidRPr="002710AB">
        <w:rPr>
          <w:rFonts w:ascii="Arial" w:hAnsi="Arial"/>
          <w:lang w:val="en-GB"/>
        </w:rPr>
        <w:t xml:space="preserve">The completion of cells </w:t>
      </w:r>
      <w:r w:rsidRPr="002710AB">
        <w:rPr>
          <w:rFonts w:ascii="Arial" w:hAnsi="Arial"/>
          <w:b/>
          <w:lang w:val="en-GB"/>
        </w:rPr>
        <w:t xml:space="preserve">h) </w:t>
      </w:r>
      <w:r w:rsidRPr="0094787B">
        <w:rPr>
          <w:rFonts w:ascii="Arial" w:hAnsi="Arial"/>
          <w:lang w:val="en-GB"/>
        </w:rPr>
        <w:t>and</w:t>
      </w:r>
      <w:r w:rsidRPr="002710AB">
        <w:rPr>
          <w:rFonts w:ascii="Arial" w:hAnsi="Arial"/>
          <w:b/>
          <w:lang w:val="en-GB"/>
        </w:rPr>
        <w:t xml:space="preserve"> i)</w:t>
      </w:r>
      <w:r w:rsidRPr="002710AB">
        <w:rPr>
          <w:rFonts w:ascii="Arial" w:hAnsi="Arial"/>
          <w:lang w:val="en-GB"/>
        </w:rPr>
        <w:t xml:space="preserve"> shall be governed, mutatis mutandis, by the provisions of Section 1 related to cells o) and p). </w:t>
      </w:r>
    </w:p>
    <w:p w14:paraId="4FA60392" w14:textId="2B5D7B83" w:rsidR="00B277A8" w:rsidRPr="002710AB" w:rsidRDefault="00B92286" w:rsidP="00B277A8">
      <w:pPr>
        <w:spacing w:before="240"/>
        <w:rPr>
          <w:rFonts w:ascii="Arial" w:eastAsia="Times New Roman" w:hAnsi="Arial" w:cs="Arial"/>
          <w:lang w:val="en-GB"/>
        </w:rPr>
      </w:pPr>
      <w:r w:rsidRPr="002710AB">
        <w:rPr>
          <w:rFonts w:ascii="Arial" w:hAnsi="Arial"/>
          <w:lang w:val="en-GB"/>
        </w:rPr>
        <w:lastRenderedPageBreak/>
        <w:t xml:space="preserve">In cell </w:t>
      </w:r>
      <w:r w:rsidRPr="002710AB">
        <w:rPr>
          <w:rFonts w:ascii="Arial" w:hAnsi="Arial"/>
          <w:b/>
          <w:lang w:val="en-GB"/>
        </w:rPr>
        <w:t>j)</w:t>
      </w:r>
      <w:r w:rsidRPr="002710AB">
        <w:rPr>
          <w:rFonts w:ascii="Arial" w:hAnsi="Arial"/>
          <w:lang w:val="en-GB"/>
        </w:rPr>
        <w:t xml:space="preserve"> the data related to the opening hours of the network unit should be specified broken down by the days of the week. The opening hours must be specified in the format of twice two digits (</w:t>
      </w:r>
      <w:proofErr w:type="gramStart"/>
      <w:r w:rsidRPr="002710AB">
        <w:rPr>
          <w:rFonts w:ascii="Arial" w:hAnsi="Arial"/>
          <w:lang w:val="en-GB"/>
        </w:rPr>
        <w:t>e.g.</w:t>
      </w:r>
      <w:proofErr w:type="gramEnd"/>
      <w:r w:rsidRPr="002710AB">
        <w:rPr>
          <w:rFonts w:ascii="Arial" w:hAnsi="Arial"/>
          <w:lang w:val="en-GB"/>
        </w:rPr>
        <w:t xml:space="preserve"> 08:00). If the network unit is closed on a certain day, it must be specified in the following format: 00:00 – 00:00. If the network unit is continuously open on a certain day, it must be specified in the following format: 00:00 – 23:59</w:t>
      </w:r>
      <w:del w:id="8" w:author="Promaxx Iroda" w:date="2022-02-11T21:49:00Z">
        <w:r w:rsidRPr="002710AB">
          <w:rPr>
            <w:rFonts w:ascii="Arial" w:hAnsi="Arial"/>
            <w:lang w:val="en-GB"/>
          </w:rPr>
          <w:delText xml:space="preserve"> or 00:00 – 00:00</w:delText>
        </w:r>
      </w:del>
      <w:r w:rsidRPr="002710AB">
        <w:rPr>
          <w:rFonts w:ascii="Arial" w:hAnsi="Arial"/>
          <w:lang w:val="en-GB"/>
        </w:rPr>
        <w:t>.</w:t>
      </w:r>
    </w:p>
    <w:p w14:paraId="2EE3CD89" w14:textId="77777777" w:rsidR="00B277A8" w:rsidRPr="002710AB" w:rsidRDefault="00B92286" w:rsidP="00B277A8">
      <w:pPr>
        <w:rPr>
          <w:rFonts w:ascii="Arial" w:eastAsia="Times New Roman" w:hAnsi="Arial" w:cs="Arial"/>
          <w:lang w:val="en-GB"/>
        </w:rPr>
      </w:pPr>
      <w:r w:rsidRPr="002710AB">
        <w:rPr>
          <w:rFonts w:ascii="Arial" w:hAnsi="Arial"/>
          <w:lang w:val="en-GB"/>
        </w:rPr>
        <w:t xml:space="preserve">The completion of cells </w:t>
      </w:r>
      <w:r w:rsidRPr="002710AB">
        <w:rPr>
          <w:rFonts w:ascii="Arial" w:hAnsi="Arial"/>
          <w:b/>
          <w:lang w:val="en-GB"/>
        </w:rPr>
        <w:t>k1) and k2)</w:t>
      </w:r>
      <w:r w:rsidRPr="002710AB">
        <w:rPr>
          <w:rFonts w:ascii="Arial" w:hAnsi="Arial"/>
          <w:lang w:val="en-GB"/>
        </w:rPr>
        <w:t xml:space="preserve"> shall be governed, mutatis mutandis, by the provisions of Section 1 related to cells q1) and q2).</w:t>
      </w:r>
    </w:p>
    <w:p w14:paraId="7450BDE8" w14:textId="3C5809FC" w:rsidR="00B277A8" w:rsidRPr="002710AB" w:rsidRDefault="00B92286" w:rsidP="00B277A8">
      <w:pPr>
        <w:spacing w:after="0"/>
        <w:rPr>
          <w:rFonts w:ascii="Arial" w:eastAsia="Times New Roman" w:hAnsi="Arial" w:cs="Arial"/>
          <w:lang w:val="en-GB"/>
        </w:rPr>
      </w:pPr>
      <w:r w:rsidRPr="002710AB">
        <w:rPr>
          <w:rFonts w:ascii="Arial" w:hAnsi="Arial"/>
          <w:lang w:val="en-GB"/>
        </w:rPr>
        <w:t xml:space="preserve">Cell </w:t>
      </w:r>
      <w:r w:rsidRPr="002710AB">
        <w:rPr>
          <w:rFonts w:ascii="Arial" w:hAnsi="Arial"/>
          <w:b/>
          <w:lang w:val="en-GB"/>
        </w:rPr>
        <w:t>m)</w:t>
      </w:r>
      <w:r w:rsidRPr="002710AB">
        <w:rPr>
          <w:rFonts w:ascii="Arial" w:hAnsi="Arial"/>
          <w:lang w:val="en-GB"/>
        </w:rPr>
        <w:t xml:space="preserve"> must contain "yes", if the network unit pursues any activity </w:t>
      </w:r>
      <w:r w:rsidR="004D74F3">
        <w:rPr>
          <w:rFonts w:ascii="Arial" w:hAnsi="Arial"/>
          <w:lang w:val="en-GB"/>
        </w:rPr>
        <w:t xml:space="preserve">with registration obligation, </w:t>
      </w:r>
      <w:r w:rsidRPr="002710AB">
        <w:rPr>
          <w:rFonts w:ascii="Arial" w:hAnsi="Arial"/>
          <w:lang w:val="en-GB"/>
        </w:rPr>
        <w:t>specified in Section 123</w:t>
      </w:r>
      <w:r w:rsidR="00795634">
        <w:rPr>
          <w:rFonts w:ascii="Arial" w:hAnsi="Arial"/>
          <w:lang w:val="en-GB"/>
        </w:rPr>
        <w:t xml:space="preserve"> </w:t>
      </w:r>
      <w:r w:rsidRPr="002710AB">
        <w:rPr>
          <w:rFonts w:ascii="Arial" w:hAnsi="Arial"/>
          <w:lang w:val="en-GB"/>
        </w:rPr>
        <w:t>(1)</w:t>
      </w:r>
      <w:r w:rsidR="00795634">
        <w:rPr>
          <w:rFonts w:ascii="Arial" w:hAnsi="Arial"/>
          <w:lang w:val="en-GB"/>
        </w:rPr>
        <w:t xml:space="preserve"> </w:t>
      </w:r>
      <w:r w:rsidRPr="002710AB">
        <w:rPr>
          <w:rFonts w:ascii="Arial" w:hAnsi="Arial"/>
          <w:lang w:val="en-GB"/>
        </w:rPr>
        <w:t xml:space="preserve">f) of Act CXXXVIII of 2007 on Investment Firms and Commodity Dealers, and on the Regulations Governing their Activities; otherwise the value of the cell should be "no". </w:t>
      </w:r>
      <w:del w:id="9" w:author="Promaxx Iroda" w:date="2022-02-11T21:49:00Z">
        <w:r w:rsidRPr="002710AB">
          <w:rPr>
            <w:rFonts w:ascii="Arial" w:hAnsi="Arial"/>
            <w:lang w:val="en-GB"/>
          </w:rPr>
          <w:delText xml:space="preserve">If the reporting agent indicates "yes", it is obliged to ascertain that the relevant electronic form within the "E-administration Licensing" service of the ERA system has been submitted in accordance with MNB Decree 36/2017 (XII. 27) on the Rules of Electronic Communication in Proceedings Instituted by the Magyar Nemzeti Bank as a Public Authority, i.e. the </w:delText>
        </w:r>
        <w:r w:rsidR="00AF78F6">
          <w:rPr>
            <w:rFonts w:ascii="Arial" w:hAnsi="Arial"/>
            <w:lang w:val="en-GB"/>
          </w:rPr>
          <w:delText>stated</w:delText>
        </w:r>
        <w:r w:rsidR="00AF78F6" w:rsidRPr="002710AB">
          <w:rPr>
            <w:rFonts w:ascii="Arial" w:hAnsi="Arial"/>
            <w:lang w:val="en-GB"/>
          </w:rPr>
          <w:delText xml:space="preserve"> </w:delText>
        </w:r>
        <w:r w:rsidRPr="002710AB">
          <w:rPr>
            <w:rFonts w:ascii="Arial" w:hAnsi="Arial"/>
            <w:lang w:val="en-GB"/>
          </w:rPr>
          <w:delText>network unit has been registered. If this is not the case, the data supply will be rejected.</w:delText>
        </w:r>
      </w:del>
    </w:p>
    <w:p w14:paraId="589275E0" w14:textId="77777777" w:rsidR="00B277A8" w:rsidRPr="002710AB" w:rsidRDefault="00B92286" w:rsidP="00B277A8">
      <w:pPr>
        <w:spacing w:after="0"/>
        <w:rPr>
          <w:rFonts w:ascii="Arial" w:eastAsia="Times New Roman" w:hAnsi="Arial" w:cs="Arial"/>
          <w:lang w:val="en-GB"/>
        </w:rPr>
      </w:pPr>
      <w:r w:rsidRPr="002710AB">
        <w:rPr>
          <w:rFonts w:ascii="Arial" w:hAnsi="Arial"/>
          <w:lang w:val="en-GB"/>
        </w:rPr>
        <w:t>Institutions performing investment services activity as an intermediary should indicate "no".</w:t>
      </w:r>
    </w:p>
    <w:p w14:paraId="05C0F150" w14:textId="77777777" w:rsidR="00B277A8" w:rsidRPr="002710AB" w:rsidRDefault="00B277A8" w:rsidP="00B277A8">
      <w:pPr>
        <w:rPr>
          <w:rFonts w:ascii="Arial" w:eastAsia="Times New Roman" w:hAnsi="Arial" w:cs="Arial"/>
          <w:lang w:val="en-GB"/>
        </w:rPr>
      </w:pPr>
    </w:p>
    <w:sectPr w:rsidR="00B277A8" w:rsidRPr="002710AB" w:rsidSect="00B277A8">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7642A" w14:textId="77777777" w:rsidR="00FC304B" w:rsidRDefault="00FC304B">
      <w:r>
        <w:separator/>
      </w:r>
    </w:p>
  </w:endnote>
  <w:endnote w:type="continuationSeparator" w:id="0">
    <w:p w14:paraId="4557CB4C" w14:textId="77777777" w:rsidR="00FC304B" w:rsidRDefault="00FC304B">
      <w:r>
        <w:continuationSeparator/>
      </w:r>
    </w:p>
  </w:endnote>
  <w:endnote w:type="continuationNotice" w:id="1">
    <w:p w14:paraId="4645BCBD" w14:textId="77777777" w:rsidR="00FC304B" w:rsidRDefault="00FC30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6BBAF" w14:textId="77777777" w:rsidR="00B277A8" w:rsidRPr="00AC6950" w:rsidRDefault="00B92286" w:rsidP="00B277A8">
    <w:pPr>
      <w:tabs>
        <w:tab w:val="left" w:pos="8460"/>
      </w:tabs>
      <w:rPr>
        <w:sz w:val="18"/>
        <w:szCs w:val="18"/>
      </w:rPr>
    </w:pP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50D42" w14:textId="77777777" w:rsidR="00FC304B" w:rsidRDefault="00FC304B">
      <w:r>
        <w:separator/>
      </w:r>
    </w:p>
  </w:footnote>
  <w:footnote w:type="continuationSeparator" w:id="0">
    <w:p w14:paraId="63585FF9" w14:textId="77777777" w:rsidR="00FC304B" w:rsidRDefault="00FC304B">
      <w:r>
        <w:continuationSeparator/>
      </w:r>
    </w:p>
  </w:footnote>
  <w:footnote w:type="continuationNotice" w:id="1">
    <w:p w14:paraId="0E694A68" w14:textId="77777777" w:rsidR="00FC304B" w:rsidRDefault="00FC30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A4444" w14:textId="77777777" w:rsidR="00B277A8" w:rsidRPr="00AC6950" w:rsidRDefault="00B277A8" w:rsidP="00B277A8">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6" w15:restartNumberingAfterBreak="0">
    <w:nsid w:val="2DCB043B"/>
    <w:multiLevelType w:val="hybridMultilevel"/>
    <w:tmpl w:val="07DA96DC"/>
    <w:lvl w:ilvl="0" w:tplc="A156FC80">
      <w:start w:val="1"/>
      <w:numFmt w:val="bullet"/>
      <w:lvlText w:val=""/>
      <w:lvlJc w:val="left"/>
      <w:pPr>
        <w:ind w:left="720" w:hanging="360"/>
      </w:pPr>
      <w:rPr>
        <w:rFonts w:ascii="Symbol" w:hAnsi="Symbol" w:cs="Calibri" w:hint="default"/>
        <w:b/>
        <w:color w:val="44546A"/>
        <w:sz w:val="24"/>
      </w:rPr>
    </w:lvl>
    <w:lvl w:ilvl="1" w:tplc="41420328">
      <w:start w:val="1"/>
      <w:numFmt w:val="bullet"/>
      <w:lvlText w:val="o"/>
      <w:lvlJc w:val="left"/>
      <w:pPr>
        <w:ind w:left="1440" w:hanging="360"/>
      </w:pPr>
      <w:rPr>
        <w:rFonts w:ascii="Courier New" w:hAnsi="Courier New" w:hint="default"/>
        <w:b/>
        <w:color w:val="44546A"/>
        <w:sz w:val="24"/>
      </w:rPr>
    </w:lvl>
    <w:lvl w:ilvl="2" w:tplc="EA2C5BBE">
      <w:start w:val="1"/>
      <w:numFmt w:val="bullet"/>
      <w:lvlText w:val=""/>
      <w:lvlJc w:val="left"/>
      <w:pPr>
        <w:ind w:left="2160" w:hanging="360"/>
      </w:pPr>
      <w:rPr>
        <w:rFonts w:ascii="Wingdings" w:hAnsi="Wingdings" w:cs="Calibri" w:hint="default"/>
        <w:b/>
        <w:color w:val="44546A"/>
        <w:sz w:val="24"/>
      </w:rPr>
    </w:lvl>
    <w:lvl w:ilvl="3" w:tplc="6C34901E">
      <w:start w:val="1"/>
      <w:numFmt w:val="bullet"/>
      <w:lvlText w:val=""/>
      <w:lvlJc w:val="left"/>
      <w:pPr>
        <w:ind w:left="2880" w:hanging="360"/>
      </w:pPr>
      <w:rPr>
        <w:rFonts w:ascii="Symbol" w:hAnsi="Symbol" w:cs="Calibri" w:hint="default"/>
        <w:b/>
        <w:color w:val="44546A"/>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3953756A"/>
    <w:multiLevelType w:val="hybridMultilevel"/>
    <w:tmpl w:val="60529946"/>
    <w:lvl w:ilvl="0" w:tplc="EDFA442E">
      <w:start w:val="1"/>
      <w:numFmt w:val="lowerLetter"/>
      <w:lvlText w:val="%1)"/>
      <w:lvlJc w:val="left"/>
      <w:pPr>
        <w:ind w:left="720" w:hanging="360"/>
      </w:pPr>
    </w:lvl>
    <w:lvl w:ilvl="1" w:tplc="E6643538">
      <w:start w:val="1"/>
      <w:numFmt w:val="lowerLetter"/>
      <w:lvlText w:val="%2."/>
      <w:lvlJc w:val="left"/>
      <w:pPr>
        <w:ind w:left="1440" w:hanging="360"/>
      </w:pPr>
    </w:lvl>
    <w:lvl w:ilvl="2" w:tplc="0FBE67BC" w:tentative="1">
      <w:start w:val="1"/>
      <w:numFmt w:val="lowerRoman"/>
      <w:lvlText w:val="%3."/>
      <w:lvlJc w:val="right"/>
      <w:pPr>
        <w:ind w:left="2160" w:hanging="180"/>
      </w:pPr>
    </w:lvl>
    <w:lvl w:ilvl="3" w:tplc="05BA2810" w:tentative="1">
      <w:start w:val="1"/>
      <w:numFmt w:val="decimal"/>
      <w:lvlText w:val="%4."/>
      <w:lvlJc w:val="left"/>
      <w:pPr>
        <w:ind w:left="2880" w:hanging="360"/>
      </w:pPr>
    </w:lvl>
    <w:lvl w:ilvl="4" w:tplc="6DFCF1D4" w:tentative="1">
      <w:start w:val="1"/>
      <w:numFmt w:val="lowerLetter"/>
      <w:lvlText w:val="%5."/>
      <w:lvlJc w:val="left"/>
      <w:pPr>
        <w:ind w:left="3600" w:hanging="360"/>
      </w:pPr>
    </w:lvl>
    <w:lvl w:ilvl="5" w:tplc="F382769A" w:tentative="1">
      <w:start w:val="1"/>
      <w:numFmt w:val="lowerRoman"/>
      <w:lvlText w:val="%6."/>
      <w:lvlJc w:val="right"/>
      <w:pPr>
        <w:ind w:left="4320" w:hanging="180"/>
      </w:pPr>
    </w:lvl>
    <w:lvl w:ilvl="6" w:tplc="7DA0069A" w:tentative="1">
      <w:start w:val="1"/>
      <w:numFmt w:val="decimal"/>
      <w:lvlText w:val="%7."/>
      <w:lvlJc w:val="left"/>
      <w:pPr>
        <w:ind w:left="5040" w:hanging="360"/>
      </w:pPr>
    </w:lvl>
    <w:lvl w:ilvl="7" w:tplc="7FB23632" w:tentative="1">
      <w:start w:val="1"/>
      <w:numFmt w:val="lowerLetter"/>
      <w:lvlText w:val="%8."/>
      <w:lvlJc w:val="left"/>
      <w:pPr>
        <w:ind w:left="5760" w:hanging="360"/>
      </w:pPr>
    </w:lvl>
    <w:lvl w:ilvl="8" w:tplc="A0D0EA6E" w:tentative="1">
      <w:start w:val="1"/>
      <w:numFmt w:val="lowerRoman"/>
      <w:lvlText w:val="%9."/>
      <w:lvlJc w:val="right"/>
      <w:pPr>
        <w:ind w:left="6480" w:hanging="180"/>
      </w:pPr>
    </w:lvl>
  </w:abstractNum>
  <w:abstractNum w:abstractNumId="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Calibri" w:hint="default"/>
        <w:b/>
        <w:color w:val="44546A"/>
        <w:sz w:val="24"/>
      </w:rPr>
    </w:lvl>
    <w:lvl w:ilvl="1" w:tplc="1242D2E6">
      <w:start w:val="1"/>
      <w:numFmt w:val="bullet"/>
      <w:lvlText w:val="o"/>
      <w:lvlJc w:val="left"/>
      <w:pPr>
        <w:ind w:left="1440" w:hanging="360"/>
      </w:pPr>
      <w:rPr>
        <w:rFonts w:ascii="Courier New" w:hAnsi="Courier New" w:hint="default"/>
        <w:b/>
        <w:color w:val="4472C4"/>
        <w:sz w:val="24"/>
      </w:rPr>
    </w:lvl>
    <w:lvl w:ilvl="2" w:tplc="AA782C4A">
      <w:start w:val="1"/>
      <w:numFmt w:val="bullet"/>
      <w:lvlText w:val=""/>
      <w:lvlJc w:val="left"/>
      <w:pPr>
        <w:ind w:left="2160" w:hanging="360"/>
      </w:pPr>
      <w:rPr>
        <w:rFonts w:ascii="Wingdings" w:hAnsi="Wingdings" w:cs="Calibri" w:hint="default"/>
        <w:b/>
        <w:color w:val="4472C4"/>
        <w:sz w:val="24"/>
      </w:rPr>
    </w:lvl>
    <w:lvl w:ilvl="3" w:tplc="BA9A1B8A">
      <w:start w:val="1"/>
      <w:numFmt w:val="bullet"/>
      <w:lvlText w:val=""/>
      <w:lvlJc w:val="left"/>
      <w:pPr>
        <w:ind w:left="2880" w:hanging="360"/>
      </w:pPr>
      <w:rPr>
        <w:rFonts w:ascii="Symbol" w:hAnsi="Symbol" w:cs="Calibri" w:hint="default"/>
        <w:b/>
        <w:color w:val="4472C4"/>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2AB4C45"/>
    <w:multiLevelType w:val="hybridMultilevel"/>
    <w:tmpl w:val="5AE0DAC6"/>
    <w:lvl w:ilvl="0" w:tplc="25709CBE">
      <w:start w:val="1"/>
      <w:numFmt w:val="lowerLetter"/>
      <w:lvlText w:val="%1)"/>
      <w:lvlJc w:val="left"/>
      <w:pPr>
        <w:ind w:left="720" w:hanging="360"/>
      </w:pPr>
    </w:lvl>
    <w:lvl w:ilvl="1" w:tplc="A2E4B74E">
      <w:start w:val="1"/>
      <w:numFmt w:val="lowerLetter"/>
      <w:lvlText w:val="%2."/>
      <w:lvlJc w:val="left"/>
      <w:pPr>
        <w:ind w:left="1440" w:hanging="360"/>
      </w:pPr>
    </w:lvl>
    <w:lvl w:ilvl="2" w:tplc="D070DD10" w:tentative="1">
      <w:start w:val="1"/>
      <w:numFmt w:val="lowerRoman"/>
      <w:lvlText w:val="%3."/>
      <w:lvlJc w:val="right"/>
      <w:pPr>
        <w:ind w:left="2160" w:hanging="180"/>
      </w:pPr>
    </w:lvl>
    <w:lvl w:ilvl="3" w:tplc="4788BA84" w:tentative="1">
      <w:start w:val="1"/>
      <w:numFmt w:val="decimal"/>
      <w:lvlText w:val="%4."/>
      <w:lvlJc w:val="left"/>
      <w:pPr>
        <w:ind w:left="2880" w:hanging="360"/>
      </w:pPr>
    </w:lvl>
    <w:lvl w:ilvl="4" w:tplc="04A46FC4" w:tentative="1">
      <w:start w:val="1"/>
      <w:numFmt w:val="lowerLetter"/>
      <w:lvlText w:val="%5."/>
      <w:lvlJc w:val="left"/>
      <w:pPr>
        <w:ind w:left="3600" w:hanging="360"/>
      </w:pPr>
    </w:lvl>
    <w:lvl w:ilvl="5" w:tplc="3B62AC00" w:tentative="1">
      <w:start w:val="1"/>
      <w:numFmt w:val="lowerRoman"/>
      <w:lvlText w:val="%6."/>
      <w:lvlJc w:val="right"/>
      <w:pPr>
        <w:ind w:left="4320" w:hanging="180"/>
      </w:pPr>
    </w:lvl>
    <w:lvl w:ilvl="6" w:tplc="F594FA52" w:tentative="1">
      <w:start w:val="1"/>
      <w:numFmt w:val="decimal"/>
      <w:lvlText w:val="%7."/>
      <w:lvlJc w:val="left"/>
      <w:pPr>
        <w:ind w:left="5040" w:hanging="360"/>
      </w:pPr>
    </w:lvl>
    <w:lvl w:ilvl="7" w:tplc="A4AE43BA" w:tentative="1">
      <w:start w:val="1"/>
      <w:numFmt w:val="lowerLetter"/>
      <w:lvlText w:val="%8."/>
      <w:lvlJc w:val="left"/>
      <w:pPr>
        <w:ind w:left="5760" w:hanging="360"/>
      </w:pPr>
    </w:lvl>
    <w:lvl w:ilvl="8" w:tplc="B48AB570" w:tentative="1">
      <w:start w:val="1"/>
      <w:numFmt w:val="lowerRoman"/>
      <w:lvlText w:val="%9."/>
      <w:lvlJc w:val="right"/>
      <w:pPr>
        <w:ind w:left="6480" w:hanging="180"/>
      </w:pPr>
    </w:lvl>
  </w:abstractNum>
  <w:abstractNum w:abstractNumId="10" w15:restartNumberingAfterBreak="0">
    <w:nsid w:val="48CE539B"/>
    <w:multiLevelType w:val="hybridMultilevel"/>
    <w:tmpl w:val="5972DB12"/>
    <w:lvl w:ilvl="0" w:tplc="A156FC80">
      <w:start w:val="1"/>
      <w:numFmt w:val="bullet"/>
      <w:lvlText w:val=""/>
      <w:lvlJc w:val="left"/>
      <w:pPr>
        <w:ind w:left="720" w:hanging="360"/>
      </w:pPr>
      <w:rPr>
        <w:rFonts w:ascii="Symbol" w:hAnsi="Symbol" w:cs="Calibri" w:hint="default"/>
        <w:b/>
        <w:color w:val="44546A"/>
        <w:sz w:val="24"/>
      </w:rPr>
    </w:lvl>
    <w:lvl w:ilvl="1" w:tplc="41420328">
      <w:start w:val="1"/>
      <w:numFmt w:val="bullet"/>
      <w:lvlText w:val="o"/>
      <w:lvlJc w:val="left"/>
      <w:pPr>
        <w:ind w:left="1440" w:hanging="360"/>
      </w:pPr>
      <w:rPr>
        <w:rFonts w:ascii="Courier New" w:hAnsi="Courier New" w:hint="default"/>
        <w:b/>
        <w:color w:val="44546A"/>
        <w:sz w:val="24"/>
      </w:rPr>
    </w:lvl>
    <w:lvl w:ilvl="2" w:tplc="EA2C5BBE">
      <w:start w:val="1"/>
      <w:numFmt w:val="bullet"/>
      <w:lvlText w:val=""/>
      <w:lvlJc w:val="left"/>
      <w:pPr>
        <w:ind w:left="2160" w:hanging="360"/>
      </w:pPr>
      <w:rPr>
        <w:rFonts w:ascii="Wingdings" w:hAnsi="Wingdings" w:cs="Calibri" w:hint="default"/>
        <w:b/>
        <w:color w:val="44546A"/>
        <w:sz w:val="24"/>
      </w:rPr>
    </w:lvl>
    <w:lvl w:ilvl="3" w:tplc="BA9A1B8A">
      <w:start w:val="1"/>
      <w:numFmt w:val="bullet"/>
      <w:lvlText w:val=""/>
      <w:lvlJc w:val="left"/>
      <w:pPr>
        <w:ind w:left="2880" w:hanging="360"/>
      </w:pPr>
      <w:rPr>
        <w:rFonts w:ascii="Symbol" w:hAnsi="Symbol" w:cs="Calibri" w:hint="default"/>
        <w:b/>
        <w:color w:val="4472C4"/>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Calibri" w:hint="default"/>
        <w:b/>
        <w:color w:val="44546A"/>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2" w15:restartNumberingAfterBreak="0">
    <w:nsid w:val="745E0A6D"/>
    <w:multiLevelType w:val="hybridMultilevel"/>
    <w:tmpl w:val="30024616"/>
    <w:lvl w:ilvl="0" w:tplc="A156FC80">
      <w:start w:val="1"/>
      <w:numFmt w:val="bullet"/>
      <w:lvlText w:val=""/>
      <w:lvlJc w:val="left"/>
      <w:pPr>
        <w:ind w:left="720" w:hanging="360"/>
      </w:pPr>
      <w:rPr>
        <w:rFonts w:ascii="Symbol" w:hAnsi="Symbol" w:cs="Calibri" w:hint="default"/>
        <w:b/>
        <w:color w:val="44546A"/>
        <w:sz w:val="24"/>
      </w:rPr>
    </w:lvl>
    <w:lvl w:ilvl="1" w:tplc="1242D2E6">
      <w:start w:val="1"/>
      <w:numFmt w:val="bullet"/>
      <w:lvlText w:val="o"/>
      <w:lvlJc w:val="left"/>
      <w:pPr>
        <w:ind w:left="1440" w:hanging="360"/>
      </w:pPr>
      <w:rPr>
        <w:rFonts w:ascii="Courier New" w:hAnsi="Courier New" w:hint="default"/>
        <w:b/>
        <w:color w:val="4472C4"/>
        <w:sz w:val="24"/>
      </w:rPr>
    </w:lvl>
    <w:lvl w:ilvl="2" w:tplc="EA2C5BBE">
      <w:start w:val="1"/>
      <w:numFmt w:val="bullet"/>
      <w:pStyle w:val="Listaszerbekezds3szint"/>
      <w:lvlText w:val=""/>
      <w:lvlJc w:val="left"/>
      <w:pPr>
        <w:ind w:left="2160" w:hanging="360"/>
      </w:pPr>
      <w:rPr>
        <w:rFonts w:ascii="Wingdings" w:hAnsi="Wingdings" w:cs="Calibri" w:hint="default"/>
        <w:b/>
        <w:color w:val="44546A"/>
        <w:sz w:val="24"/>
      </w:rPr>
    </w:lvl>
    <w:lvl w:ilvl="3" w:tplc="BA9A1B8A">
      <w:start w:val="1"/>
      <w:numFmt w:val="bullet"/>
      <w:lvlText w:val=""/>
      <w:lvlJc w:val="left"/>
      <w:pPr>
        <w:ind w:left="2880" w:hanging="360"/>
      </w:pPr>
      <w:rPr>
        <w:rFonts w:ascii="Symbol" w:hAnsi="Symbol" w:cs="Calibri" w:hint="default"/>
        <w:b/>
        <w:color w:val="4472C4"/>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1"/>
  </w:num>
  <w:num w:numId="6">
    <w:abstractNumId w:val="8"/>
  </w:num>
  <w:num w:numId="7">
    <w:abstractNumId w:val="3"/>
  </w:num>
  <w:num w:numId="8">
    <w:abstractNumId w:val="11"/>
  </w:num>
  <w:num w:numId="9">
    <w:abstractNumId w:val="8"/>
    <w:lvlOverride w:ilvl="0">
      <w:startOverride w:val="1"/>
    </w:lvlOverride>
  </w:num>
  <w:num w:numId="10">
    <w:abstractNumId w:val="7"/>
  </w:num>
  <w:num w:numId="11">
    <w:abstractNumId w:val="9"/>
  </w:num>
  <w:num w:numId="12">
    <w:abstractNumId w:val="12"/>
  </w:num>
  <w:num w:numId="13">
    <w:abstractNumId w:val="10"/>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1E"/>
    <w:rsid w:val="00085D68"/>
    <w:rsid w:val="00251BD2"/>
    <w:rsid w:val="002710AB"/>
    <w:rsid w:val="00300159"/>
    <w:rsid w:val="0031670C"/>
    <w:rsid w:val="00415199"/>
    <w:rsid w:val="00423F01"/>
    <w:rsid w:val="004A56D7"/>
    <w:rsid w:val="004B3BE1"/>
    <w:rsid w:val="004D74F3"/>
    <w:rsid w:val="004E1F1E"/>
    <w:rsid w:val="005145CD"/>
    <w:rsid w:val="00621BCE"/>
    <w:rsid w:val="006D11A3"/>
    <w:rsid w:val="0070059E"/>
    <w:rsid w:val="007436B4"/>
    <w:rsid w:val="00795634"/>
    <w:rsid w:val="00840BB7"/>
    <w:rsid w:val="00856C50"/>
    <w:rsid w:val="0087223B"/>
    <w:rsid w:val="0094787B"/>
    <w:rsid w:val="00996548"/>
    <w:rsid w:val="009C20E4"/>
    <w:rsid w:val="00A23421"/>
    <w:rsid w:val="00AC7288"/>
    <w:rsid w:val="00AF78F6"/>
    <w:rsid w:val="00B277A8"/>
    <w:rsid w:val="00B92286"/>
    <w:rsid w:val="00D40EEB"/>
    <w:rsid w:val="00ED7318"/>
    <w:rsid w:val="00F42909"/>
    <w:rsid w:val="00FB1A5E"/>
    <w:rsid w:val="00FC304B"/>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07CCF"/>
  <w15:chartTrackingRefBased/>
  <w15:docId w15:val="{CA99DA91-F241-4FEE-8E4F-FB5629EB5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42909"/>
    <w:pPr>
      <w:spacing w:after="150" w:line="276" w:lineRule="auto"/>
      <w:jc w:val="both"/>
    </w:pPr>
    <w:rPr>
      <w:rFonts w:ascii="Calibri" w:hAnsi="Calibri"/>
      <w:lang w:eastAsia="hu-HU"/>
    </w:rPr>
  </w:style>
  <w:style w:type="paragraph" w:styleId="Cmsor1">
    <w:name w:val="heading 1"/>
    <w:basedOn w:val="Norml"/>
    <w:next w:val="Norml"/>
    <w:link w:val="Cmsor1Char"/>
    <w:qFormat/>
    <w:rsid w:val="00F42909"/>
    <w:pPr>
      <w:keepNext/>
      <w:keepLines/>
      <w:numPr>
        <w:numId w:val="3"/>
      </w:numPr>
      <w:spacing w:before="480" w:after="210"/>
      <w:jc w:val="left"/>
      <w:outlineLvl w:val="0"/>
    </w:pPr>
    <w:rPr>
      <w:rFonts w:eastAsia="Times New Roman"/>
      <w:b/>
      <w:bCs/>
      <w:caps/>
      <w:color w:val="44546A"/>
      <w:sz w:val="24"/>
      <w:szCs w:val="42"/>
    </w:rPr>
  </w:style>
  <w:style w:type="paragraph" w:styleId="Cmsor2">
    <w:name w:val="heading 2"/>
    <w:basedOn w:val="Norml"/>
    <w:next w:val="Norml"/>
    <w:link w:val="Cmsor2Char"/>
    <w:unhideWhenUsed/>
    <w:qFormat/>
    <w:rsid w:val="00F42909"/>
    <w:pPr>
      <w:numPr>
        <w:ilvl w:val="1"/>
        <w:numId w:val="3"/>
      </w:numPr>
      <w:spacing w:before="210" w:after="75"/>
      <w:jc w:val="left"/>
      <w:outlineLvl w:val="1"/>
    </w:pPr>
    <w:rPr>
      <w:b/>
      <w:color w:val="44546A"/>
      <w:sz w:val="24"/>
      <w:szCs w:val="38"/>
    </w:rPr>
  </w:style>
  <w:style w:type="paragraph" w:styleId="Cmsor3">
    <w:name w:val="heading 3"/>
    <w:basedOn w:val="Norml"/>
    <w:next w:val="Norml"/>
    <w:link w:val="Cmsor3Char"/>
    <w:unhideWhenUsed/>
    <w:qFormat/>
    <w:rsid w:val="00F42909"/>
    <w:pPr>
      <w:numPr>
        <w:ilvl w:val="2"/>
        <w:numId w:val="3"/>
      </w:numPr>
      <w:spacing w:before="75" w:after="75"/>
      <w:jc w:val="left"/>
      <w:outlineLvl w:val="2"/>
    </w:pPr>
    <w:rPr>
      <w:bCs/>
      <w:color w:val="44546A"/>
      <w:szCs w:val="34"/>
    </w:rPr>
  </w:style>
  <w:style w:type="paragraph" w:styleId="Cmsor4">
    <w:name w:val="heading 4"/>
    <w:basedOn w:val="Norml"/>
    <w:next w:val="Norml"/>
    <w:link w:val="Cmsor4Char"/>
    <w:unhideWhenUsed/>
    <w:qFormat/>
    <w:rsid w:val="00F42909"/>
    <w:pPr>
      <w:numPr>
        <w:ilvl w:val="3"/>
        <w:numId w:val="3"/>
      </w:numPr>
      <w:spacing w:before="75" w:after="75"/>
      <w:jc w:val="left"/>
      <w:outlineLvl w:val="3"/>
    </w:pPr>
    <w:rPr>
      <w:iCs/>
      <w:color w:val="44546A"/>
      <w:szCs w:val="30"/>
    </w:rPr>
  </w:style>
  <w:style w:type="paragraph" w:styleId="Cmsor5">
    <w:name w:val="heading 5"/>
    <w:basedOn w:val="Norml"/>
    <w:next w:val="Norml"/>
    <w:link w:val="Cmsor5Char"/>
    <w:unhideWhenUsed/>
    <w:qFormat/>
    <w:rsid w:val="00F42909"/>
    <w:pPr>
      <w:numPr>
        <w:ilvl w:val="4"/>
        <w:numId w:val="3"/>
      </w:numPr>
      <w:spacing w:before="75" w:after="75"/>
      <w:jc w:val="left"/>
      <w:outlineLvl w:val="4"/>
    </w:pPr>
    <w:rPr>
      <w:color w:val="44546A"/>
      <w:szCs w:val="26"/>
    </w:rPr>
  </w:style>
  <w:style w:type="paragraph" w:styleId="Cmsor6">
    <w:name w:val="heading 6"/>
    <w:basedOn w:val="Norml"/>
    <w:next w:val="Norml"/>
    <w:link w:val="Cmsor6Char"/>
    <w:unhideWhenUsed/>
    <w:qFormat/>
    <w:rsid w:val="00F42909"/>
    <w:pPr>
      <w:numPr>
        <w:ilvl w:val="5"/>
        <w:numId w:val="3"/>
      </w:numPr>
      <w:spacing w:before="75" w:after="75"/>
      <w:jc w:val="left"/>
      <w:outlineLvl w:val="5"/>
    </w:pPr>
    <w:rPr>
      <w:color w:val="44546A"/>
    </w:rPr>
  </w:style>
  <w:style w:type="paragraph" w:styleId="Cmsor7">
    <w:name w:val="heading 7"/>
    <w:basedOn w:val="Norml"/>
    <w:next w:val="Norml"/>
    <w:link w:val="Cmsor7Char"/>
    <w:uiPriority w:val="9"/>
    <w:semiHidden/>
    <w:unhideWhenUsed/>
    <w:qFormat/>
    <w:rsid w:val="00F42909"/>
    <w:pPr>
      <w:keepNext/>
      <w:keepLines/>
      <w:numPr>
        <w:ilvl w:val="6"/>
        <w:numId w:val="3"/>
      </w:numPr>
      <w:spacing w:before="200"/>
      <w:outlineLvl w:val="6"/>
    </w:pPr>
    <w:rPr>
      <w:rFonts w:eastAsia="Times New Roman"/>
      <w:i/>
      <w:iCs/>
      <w:color w:val="404040"/>
    </w:rPr>
  </w:style>
  <w:style w:type="paragraph" w:styleId="Cmsor8">
    <w:name w:val="heading 8"/>
    <w:basedOn w:val="Norml"/>
    <w:next w:val="Norml"/>
    <w:link w:val="Cmsor8Char"/>
    <w:uiPriority w:val="9"/>
    <w:semiHidden/>
    <w:unhideWhenUsed/>
    <w:qFormat/>
    <w:rsid w:val="00F42909"/>
    <w:pPr>
      <w:keepNext/>
      <w:keepLines/>
      <w:numPr>
        <w:ilvl w:val="7"/>
        <w:numId w:val="3"/>
      </w:numPr>
      <w:spacing w:before="200"/>
      <w:outlineLvl w:val="7"/>
    </w:pPr>
    <w:rPr>
      <w:rFonts w:eastAsia="Times New Roman"/>
      <w:color w:val="404040"/>
    </w:rPr>
  </w:style>
  <w:style w:type="paragraph" w:styleId="Cmsor9">
    <w:name w:val="heading 9"/>
    <w:basedOn w:val="Norml"/>
    <w:next w:val="Norml"/>
    <w:link w:val="Cmsor9Char"/>
    <w:uiPriority w:val="9"/>
    <w:semiHidden/>
    <w:unhideWhenUsed/>
    <w:qFormat/>
    <w:rsid w:val="00F42909"/>
    <w:pPr>
      <w:keepNext/>
      <w:keepLines/>
      <w:numPr>
        <w:ilvl w:val="8"/>
        <w:numId w:val="3"/>
      </w:numPr>
      <w:spacing w:before="200"/>
      <w:outlineLvl w:val="8"/>
    </w:pPr>
    <w:rPr>
      <w:rFonts w:eastAsia="Times New Roman"/>
      <w:i/>
      <w:iCs/>
      <w:color w:val="404040"/>
    </w:rPr>
  </w:style>
  <w:style w:type="character" w:default="1" w:styleId="Bekezdsalapbettpusa">
    <w:name w:val="Default Paragraph Font"/>
    <w:uiPriority w:val="1"/>
    <w:semiHidden/>
    <w:unhideWhenUsed/>
    <w:rsid w:val="00F42909"/>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F42909"/>
  </w:style>
  <w:style w:type="table" w:customStyle="1" w:styleId="tblzat-mtrix">
    <w:name w:val="táblázat - mátrix"/>
    <w:basedOn w:val="Normltblzat"/>
    <w:uiPriority w:val="2"/>
    <w:qFormat/>
    <w:rsid w:val="00F42909"/>
    <w:pPr>
      <w:contextualSpacing/>
    </w:pPr>
    <w:rPr>
      <w:rFonts w:ascii="Calibri Light" w:hAnsi="Calibri Light"/>
      <w:lang w:eastAsia="hu-HU"/>
    </w:rPr>
    <w:tblPr>
      <w:tblStyleRowBandSize w:val="1"/>
      <w:tblStyleColBandSize w:val="1"/>
      <w:tblBorders>
        <w:top w:val="single" w:sz="2" w:space="0" w:color="4472C4"/>
        <w:left w:val="single" w:sz="2" w:space="0" w:color="4472C4"/>
        <w:bottom w:val="single" w:sz="2" w:space="0" w:color="4472C4"/>
        <w:right w:val="single" w:sz="2" w:space="0" w:color="4472C4"/>
        <w:insideH w:val="single" w:sz="2" w:space="0" w:color="4472C4"/>
        <w:insideV w:val="single" w:sz="2" w:space="0" w:color="4472C4"/>
      </w:tblBorders>
      <w:tblCellMar>
        <w:top w:w="85" w:type="dxa"/>
      </w:tblCellMar>
    </w:tblPr>
    <w:tcPr>
      <w:shd w:val="clear" w:color="auto" w:fill="auto"/>
      <w:vAlign w:val="center"/>
    </w:tcPr>
    <w:tblStylePr w:type="firstRow">
      <w:rPr>
        <w:rFonts w:ascii="Calibri Light" w:hAnsi="Calibri Light"/>
        <w:sz w:val="20"/>
      </w:rPr>
      <w:tblPr/>
      <w:tcPr>
        <w:shd w:val="clear" w:color="auto" w:fill="E7E6E6"/>
      </w:tcPr>
    </w:tblStylePr>
    <w:tblStylePr w:type="firstCol">
      <w:pPr>
        <w:jc w:val="left"/>
      </w:pPr>
      <w:rPr>
        <w:rFonts w:ascii="Calibri Light" w:hAnsi="Calibri Light"/>
        <w:sz w:val="20"/>
      </w:rPr>
      <w:tblPr/>
      <w:tcPr>
        <w:shd w:val="clear" w:color="auto" w:fill="E7E6E6"/>
      </w:tcPr>
    </w:tblStylePr>
  </w:style>
  <w:style w:type="table" w:customStyle="1" w:styleId="tblzat-fejlces">
    <w:name w:val="táblázat - fejléces"/>
    <w:basedOn w:val="Normltblzat"/>
    <w:uiPriority w:val="1"/>
    <w:qFormat/>
    <w:rsid w:val="00F42909"/>
    <w:pPr>
      <w:contextualSpacing/>
    </w:pPr>
    <w:rPr>
      <w:rFonts w:ascii="Calibri Light" w:hAnsi="Calibri Light"/>
      <w:lang w:eastAsia="hu-HU"/>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cPr>
      <w:shd w:val="clear" w:color="auto" w:fill="auto"/>
      <w:tcMar>
        <w:top w:w="85" w:type="dxa"/>
      </w:tcMar>
      <w:vAlign w:val="center"/>
    </w:tcPr>
    <w:tblStylePr w:type="firstRow">
      <w:rPr>
        <w:rFonts w:ascii="Calibri Light" w:hAnsi="Calibri Light"/>
        <w:sz w:val="20"/>
      </w:rPr>
      <w:tblPr/>
      <w:tcPr>
        <w:shd w:val="clear" w:color="auto" w:fill="E7E6E6"/>
      </w:tcPr>
    </w:tblStylePr>
    <w:tblStylePr w:type="firstCol">
      <w:rPr>
        <w:rFonts w:ascii="Calibri Light" w:hAnsi="Calibri Light"/>
        <w:sz w:val="20"/>
      </w:rPr>
    </w:tblStylePr>
  </w:style>
  <w:style w:type="paragraph" w:styleId="Listaszerbekezds">
    <w:name w:val="List Paragraph"/>
    <w:basedOn w:val="Norml"/>
    <w:link w:val="ListaszerbekezdsChar"/>
    <w:uiPriority w:val="4"/>
    <w:qFormat/>
    <w:rsid w:val="00F42909"/>
    <w:pPr>
      <w:numPr>
        <w:numId w:val="9"/>
      </w:numPr>
      <w:contextualSpacing/>
    </w:pPr>
  </w:style>
  <w:style w:type="character" w:styleId="Hiperhivatkozs">
    <w:name w:val="Hyperlink"/>
    <w:uiPriority w:val="99"/>
    <w:rsid w:val="00F42909"/>
    <w:rPr>
      <w:rFonts w:ascii="Calibri" w:hAnsi="Calibri"/>
      <w:color w:val="0000FF"/>
      <w:sz w:val="20"/>
      <w:u w:val="single"/>
      <w:vertAlign w:val="superscript"/>
    </w:rPr>
  </w:style>
  <w:style w:type="table" w:customStyle="1" w:styleId="tblzat-oldallces">
    <w:name w:val="táblázat - oldalléces"/>
    <w:basedOn w:val="Normltblzat"/>
    <w:uiPriority w:val="3"/>
    <w:qFormat/>
    <w:rsid w:val="00F42909"/>
    <w:pPr>
      <w:contextualSpacing/>
    </w:pPr>
    <w:rPr>
      <w:rFonts w:ascii="Calibri Light" w:hAnsi="Calibri Light"/>
      <w:lang w:eastAsia="hu-HU"/>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cPr>
      <w:shd w:val="clear" w:color="auto" w:fill="auto"/>
      <w:tcMar>
        <w:top w:w="85" w:type="dxa"/>
      </w:tcMar>
      <w:vAlign w:val="center"/>
    </w:tcPr>
    <w:tblStylePr w:type="firstRow">
      <w:rPr>
        <w:rFonts w:ascii="Calibri Light" w:hAnsi="Calibri Light"/>
        <w:sz w:val="20"/>
      </w:rPr>
    </w:tblStylePr>
    <w:tblStylePr w:type="firstCol">
      <w:rPr>
        <w:rFonts w:ascii="Calibri Light" w:hAnsi="Calibri Light"/>
        <w:sz w:val="20"/>
      </w:rPr>
      <w:tblPr/>
      <w:tcPr>
        <w:shd w:val="clear" w:color="auto" w:fill="E7E6E6"/>
      </w:tcPr>
    </w:tblStylePr>
  </w:style>
  <w:style w:type="character" w:styleId="Vgjegyzet-hivatkozs">
    <w:name w:val="endnote reference"/>
    <w:semiHidden/>
    <w:rsid w:val="00F42909"/>
    <w:rPr>
      <w:vertAlign w:val="superscript"/>
    </w:rPr>
  </w:style>
  <w:style w:type="paragraph" w:styleId="Buborkszveg">
    <w:name w:val="Balloon Text"/>
    <w:basedOn w:val="Norml"/>
    <w:link w:val="BuborkszvegChar"/>
    <w:uiPriority w:val="99"/>
    <w:semiHidden/>
    <w:unhideWhenUsed/>
    <w:rsid w:val="00F42909"/>
    <w:rPr>
      <w:rFonts w:ascii="Tahoma" w:hAnsi="Tahoma" w:cs="Tahoma"/>
      <w:sz w:val="16"/>
      <w:szCs w:val="16"/>
    </w:rPr>
  </w:style>
  <w:style w:type="paragraph" w:customStyle="1" w:styleId="Magyarzszveg">
    <w:name w:val="Magyarázó szöveg"/>
    <w:basedOn w:val="Norml"/>
    <w:next w:val="Norml"/>
    <w:uiPriority w:val="7"/>
    <w:rsid w:val="00F42909"/>
    <w:rPr>
      <w:color w:val="4472C4"/>
      <w:sz w:val="18"/>
    </w:rPr>
  </w:style>
  <w:style w:type="character" w:customStyle="1" w:styleId="BuborkszvegChar">
    <w:name w:val="Buborékszöveg Char"/>
    <w:link w:val="Buborkszveg"/>
    <w:uiPriority w:val="99"/>
    <w:semiHidden/>
    <w:rsid w:val="00F42909"/>
    <w:rPr>
      <w:rFonts w:ascii="Tahoma" w:eastAsia="Calibri" w:hAnsi="Tahoma" w:cs="Tahoma"/>
      <w:sz w:val="16"/>
      <w:szCs w:val="16"/>
      <w:lang w:val="hu-HU" w:eastAsia="hu-HU"/>
    </w:rPr>
  </w:style>
  <w:style w:type="paragraph" w:styleId="lfej">
    <w:name w:val="header"/>
    <w:basedOn w:val="Norml"/>
    <w:link w:val="lfejChar"/>
    <w:uiPriority w:val="99"/>
    <w:unhideWhenUsed/>
    <w:rsid w:val="00F42909"/>
    <w:pPr>
      <w:tabs>
        <w:tab w:val="center" w:pos="4536"/>
        <w:tab w:val="right" w:pos="9072"/>
      </w:tabs>
    </w:pPr>
  </w:style>
  <w:style w:type="character" w:customStyle="1" w:styleId="lfejChar">
    <w:name w:val="Élőfej Char"/>
    <w:link w:val="lfej"/>
    <w:uiPriority w:val="99"/>
    <w:rsid w:val="00F42909"/>
    <w:rPr>
      <w:rFonts w:ascii="Calibri" w:eastAsia="Calibri" w:hAnsi="Calibri" w:cs="Times New Roman"/>
      <w:lang w:val="hu-HU" w:eastAsia="hu-HU"/>
    </w:rPr>
  </w:style>
  <w:style w:type="paragraph" w:styleId="llb">
    <w:name w:val="footer"/>
    <w:basedOn w:val="Norml"/>
    <w:link w:val="llbChar"/>
    <w:uiPriority w:val="99"/>
    <w:unhideWhenUsed/>
    <w:rsid w:val="00F42909"/>
    <w:pPr>
      <w:tabs>
        <w:tab w:val="center" w:pos="4536"/>
        <w:tab w:val="right" w:pos="9072"/>
      </w:tabs>
    </w:pPr>
  </w:style>
  <w:style w:type="character" w:customStyle="1" w:styleId="llbChar">
    <w:name w:val="Élőláb Char"/>
    <w:link w:val="llb"/>
    <w:uiPriority w:val="99"/>
    <w:rsid w:val="00F42909"/>
    <w:rPr>
      <w:rFonts w:ascii="Calibri" w:eastAsia="Calibri" w:hAnsi="Calibri" w:cs="Times New Roman"/>
      <w:lang w:val="hu-HU" w:eastAsia="hu-HU"/>
    </w:rPr>
  </w:style>
  <w:style w:type="paragraph" w:customStyle="1" w:styleId="Szmozs">
    <w:name w:val="Számozás"/>
    <w:basedOn w:val="Norml"/>
    <w:uiPriority w:val="4"/>
    <w:qFormat/>
    <w:rsid w:val="00F42909"/>
    <w:pPr>
      <w:numPr>
        <w:numId w:val="4"/>
      </w:numPr>
      <w:spacing w:before="120"/>
      <w:contextualSpacing/>
    </w:pPr>
  </w:style>
  <w:style w:type="table" w:styleId="Rcsostblzat">
    <w:name w:val="Table Grid"/>
    <w:aliases w:val="Szegély nélküli"/>
    <w:basedOn w:val="Normltblzat"/>
    <w:uiPriority w:val="59"/>
    <w:rsid w:val="00F42909"/>
    <w:pPr>
      <w:contextualSpacing/>
    </w:pPr>
    <w:rPr>
      <w:rFonts w:ascii="Calibri" w:hAnsi="Calibri"/>
      <w:lang w:eastAsia="hu-HU"/>
    </w:rPr>
    <w:tblPr/>
    <w:tcPr>
      <w:vAlign w:val="center"/>
    </w:tcPr>
  </w:style>
  <w:style w:type="character" w:customStyle="1" w:styleId="Cmsor4Char">
    <w:name w:val="Címsor 4 Char"/>
    <w:link w:val="Cmsor4"/>
    <w:rsid w:val="00F42909"/>
    <w:rPr>
      <w:rFonts w:ascii="Calibri" w:eastAsia="Calibri" w:hAnsi="Calibri" w:cs="Times New Roman"/>
      <w:iCs/>
      <w:color w:val="44546A"/>
      <w:szCs w:val="30"/>
      <w:lang w:val="hu-HU" w:eastAsia="hu-HU"/>
    </w:rPr>
  </w:style>
  <w:style w:type="character" w:customStyle="1" w:styleId="Cmsor5Char">
    <w:name w:val="Címsor 5 Char"/>
    <w:link w:val="Cmsor5"/>
    <w:rsid w:val="00F42909"/>
    <w:rPr>
      <w:rFonts w:ascii="Calibri" w:eastAsia="Calibri" w:hAnsi="Calibri" w:cs="Times New Roman"/>
      <w:color w:val="44546A"/>
      <w:szCs w:val="26"/>
      <w:lang w:val="hu-HU" w:eastAsia="hu-HU"/>
    </w:rPr>
  </w:style>
  <w:style w:type="character" w:customStyle="1" w:styleId="Cmsor6Char">
    <w:name w:val="Címsor 6 Char"/>
    <w:link w:val="Cmsor6"/>
    <w:rsid w:val="00F42909"/>
    <w:rPr>
      <w:rFonts w:ascii="Calibri" w:eastAsia="Calibri" w:hAnsi="Calibri" w:cs="Times New Roman"/>
      <w:color w:val="44546A"/>
      <w:lang w:val="hu-HU" w:eastAsia="hu-HU"/>
    </w:rPr>
  </w:style>
  <w:style w:type="character" w:customStyle="1" w:styleId="Cmsor1Char">
    <w:name w:val="Címsor 1 Char"/>
    <w:link w:val="Cmsor1"/>
    <w:rsid w:val="00F42909"/>
    <w:rPr>
      <w:rFonts w:ascii="Calibri" w:eastAsia="Times New Roman" w:hAnsi="Calibri" w:cs="Times New Roman"/>
      <w:b/>
      <w:bCs/>
      <w:caps/>
      <w:color w:val="44546A"/>
      <w:sz w:val="24"/>
      <w:szCs w:val="42"/>
      <w:lang w:val="hu-HU" w:eastAsia="hu-HU"/>
    </w:rPr>
  </w:style>
  <w:style w:type="character" w:customStyle="1" w:styleId="Cmsor2Char">
    <w:name w:val="Címsor 2 Char"/>
    <w:link w:val="Cmsor2"/>
    <w:rsid w:val="00F42909"/>
    <w:rPr>
      <w:rFonts w:ascii="Calibri" w:eastAsia="Calibri" w:hAnsi="Calibri" w:cs="Times New Roman"/>
      <w:b/>
      <w:color w:val="44546A"/>
      <w:sz w:val="24"/>
      <w:szCs w:val="38"/>
      <w:lang w:val="hu-HU" w:eastAsia="hu-HU"/>
    </w:rPr>
  </w:style>
  <w:style w:type="character" w:customStyle="1" w:styleId="Cmsor3Char">
    <w:name w:val="Címsor 3 Char"/>
    <w:link w:val="Cmsor3"/>
    <w:rsid w:val="00F42909"/>
    <w:rPr>
      <w:rFonts w:ascii="Calibri" w:eastAsia="Calibri" w:hAnsi="Calibri" w:cs="Times New Roman"/>
      <w:bCs/>
      <w:color w:val="44546A"/>
      <w:szCs w:val="34"/>
      <w:lang w:val="hu-HU" w:eastAsia="hu-HU"/>
    </w:rPr>
  </w:style>
  <w:style w:type="paragraph" w:styleId="Cm">
    <w:name w:val="Title"/>
    <w:basedOn w:val="Norml"/>
    <w:next w:val="Norml"/>
    <w:link w:val="CmChar"/>
    <w:uiPriority w:val="3"/>
    <w:qFormat/>
    <w:rsid w:val="00F42909"/>
    <w:pPr>
      <w:spacing w:after="300"/>
      <w:contextualSpacing/>
    </w:pPr>
    <w:rPr>
      <w:rFonts w:eastAsia="Times New Roman"/>
      <w:caps/>
      <w:color w:val="44546A"/>
      <w:spacing w:val="5"/>
      <w:kern w:val="28"/>
      <w:sz w:val="24"/>
      <w:szCs w:val="52"/>
    </w:rPr>
  </w:style>
  <w:style w:type="character" w:customStyle="1" w:styleId="CmChar">
    <w:name w:val="Cím Char"/>
    <w:link w:val="Cm"/>
    <w:uiPriority w:val="3"/>
    <w:rsid w:val="00F42909"/>
    <w:rPr>
      <w:rFonts w:ascii="Calibri" w:eastAsia="Times New Roman" w:hAnsi="Calibri" w:cs="Times New Roman"/>
      <w:caps/>
      <w:color w:val="44546A"/>
      <w:spacing w:val="5"/>
      <w:kern w:val="28"/>
      <w:sz w:val="24"/>
      <w:szCs w:val="52"/>
      <w:lang w:val="hu-HU" w:eastAsia="hu-HU"/>
    </w:rPr>
  </w:style>
  <w:style w:type="character" w:customStyle="1" w:styleId="Cmsor7Char">
    <w:name w:val="Címsor 7 Char"/>
    <w:link w:val="Cmsor7"/>
    <w:uiPriority w:val="9"/>
    <w:semiHidden/>
    <w:rsid w:val="00F42909"/>
    <w:rPr>
      <w:rFonts w:ascii="Calibri" w:eastAsia="Times New Roman" w:hAnsi="Calibri" w:cs="Times New Roman"/>
      <w:i/>
      <w:iCs/>
      <w:color w:val="404040"/>
      <w:lang w:val="hu-HU" w:eastAsia="hu-HU"/>
    </w:rPr>
  </w:style>
  <w:style w:type="character" w:customStyle="1" w:styleId="Cmsor8Char">
    <w:name w:val="Címsor 8 Char"/>
    <w:link w:val="Cmsor8"/>
    <w:uiPriority w:val="9"/>
    <w:semiHidden/>
    <w:rsid w:val="00F42909"/>
    <w:rPr>
      <w:rFonts w:ascii="Calibri" w:eastAsia="Times New Roman" w:hAnsi="Calibri" w:cs="Times New Roman"/>
      <w:color w:val="404040"/>
      <w:lang w:val="hu-HU" w:eastAsia="hu-HU"/>
    </w:rPr>
  </w:style>
  <w:style w:type="character" w:customStyle="1" w:styleId="Cmsor9Char">
    <w:name w:val="Címsor 9 Char"/>
    <w:link w:val="Cmsor9"/>
    <w:uiPriority w:val="9"/>
    <w:semiHidden/>
    <w:rsid w:val="00F42909"/>
    <w:rPr>
      <w:rFonts w:ascii="Calibri" w:eastAsia="Times New Roman" w:hAnsi="Calibri" w:cs="Times New Roman"/>
      <w:i/>
      <w:iCs/>
      <w:color w:val="404040"/>
      <w:lang w:val="hu-HU" w:eastAsia="hu-HU"/>
    </w:rPr>
  </w:style>
  <w:style w:type="numbering" w:customStyle="1" w:styleId="Style1">
    <w:name w:val="Style1"/>
    <w:uiPriority w:val="99"/>
    <w:rsid w:val="00F42909"/>
    <w:pPr>
      <w:numPr>
        <w:numId w:val="1"/>
      </w:numPr>
    </w:pPr>
  </w:style>
  <w:style w:type="paragraph" w:styleId="TJ7">
    <w:name w:val="toc 7"/>
    <w:basedOn w:val="Norml"/>
    <w:next w:val="Norml"/>
    <w:autoRedefine/>
    <w:uiPriority w:val="99"/>
    <w:semiHidden/>
    <w:locked/>
    <w:rsid w:val="00F42909"/>
    <w:pPr>
      <w:spacing w:after="100"/>
      <w:ind w:left="1200"/>
    </w:pPr>
    <w:rPr>
      <w:color w:val="385623"/>
    </w:rPr>
  </w:style>
  <w:style w:type="paragraph" w:styleId="TJ8">
    <w:name w:val="toc 8"/>
    <w:basedOn w:val="Norml"/>
    <w:next w:val="Norml"/>
    <w:autoRedefine/>
    <w:uiPriority w:val="99"/>
    <w:semiHidden/>
    <w:locked/>
    <w:rsid w:val="00F42909"/>
    <w:pPr>
      <w:spacing w:after="100"/>
      <w:ind w:left="1400"/>
    </w:pPr>
    <w:rPr>
      <w:color w:val="385623"/>
    </w:rPr>
  </w:style>
  <w:style w:type="paragraph" w:styleId="TJ9">
    <w:name w:val="toc 9"/>
    <w:basedOn w:val="Norml"/>
    <w:next w:val="Norml"/>
    <w:autoRedefine/>
    <w:uiPriority w:val="99"/>
    <w:semiHidden/>
    <w:locked/>
    <w:rsid w:val="00F42909"/>
    <w:pPr>
      <w:spacing w:after="100"/>
      <w:ind w:left="1600"/>
    </w:pPr>
    <w:rPr>
      <w:color w:val="385623"/>
    </w:rPr>
  </w:style>
  <w:style w:type="table" w:customStyle="1" w:styleId="Calendar2">
    <w:name w:val="Calendar 2"/>
    <w:basedOn w:val="Normltblzat"/>
    <w:uiPriority w:val="99"/>
    <w:qFormat/>
    <w:rsid w:val="00F42909"/>
    <w:pPr>
      <w:jc w:val="center"/>
    </w:pPr>
    <w:rPr>
      <w:rFonts w:ascii="Calibri" w:eastAsia="Times New Roman" w:hAnsi="Calibri"/>
      <w:szCs w:val="28"/>
      <w:lang w:bidi="en-US"/>
    </w:rPr>
    <w:tblPr>
      <w:tblBorders>
        <w:insideV w:val="single" w:sz="4" w:space="0" w:color="9CC2E5"/>
      </w:tblBorders>
    </w:tblPr>
    <w:tblStylePr w:type="firstRow">
      <w:rPr>
        <w:rFonts w:ascii="Calibri Light" w:eastAsia="Times New Roman" w:hAnsi="Calibri Light" w:cs="Times New Roman"/>
        <w:caps/>
        <w:color w:val="5B9BD5"/>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F42909"/>
    <w:rPr>
      <w:rFonts w:eastAsia="Times New Roman"/>
      <w:color w:val="44546A"/>
      <w:sz w:val="16"/>
    </w:rPr>
  </w:style>
  <w:style w:type="character" w:customStyle="1" w:styleId="LbjegyzetszvegChar">
    <w:name w:val="Lábjegyzetszöveg Char"/>
    <w:link w:val="Lbjegyzetszveg"/>
    <w:uiPriority w:val="99"/>
    <w:rsid w:val="00F42909"/>
    <w:rPr>
      <w:rFonts w:ascii="Calibri" w:eastAsia="Times New Roman" w:hAnsi="Calibri" w:cs="Times New Roman"/>
      <w:color w:val="44546A"/>
      <w:sz w:val="16"/>
      <w:lang w:val="hu-HU" w:eastAsia="hu-HU"/>
    </w:rPr>
  </w:style>
  <w:style w:type="character" w:styleId="Finomkiemels">
    <w:name w:val="Subtle Emphasis"/>
    <w:uiPriority w:val="19"/>
    <w:qFormat/>
    <w:rsid w:val="00F42909"/>
    <w:rPr>
      <w:rFonts w:ascii="Calibri" w:eastAsia="Times New Roman" w:hAnsi="Calibri" w:cs="Times New Roman"/>
      <w:bCs w:val="0"/>
      <w:i/>
      <w:iCs/>
      <w:color w:val="808080"/>
      <w:sz w:val="20"/>
      <w:szCs w:val="22"/>
      <w:lang w:val="hu-HU"/>
    </w:rPr>
  </w:style>
  <w:style w:type="table" w:customStyle="1" w:styleId="LightShading-Accent11">
    <w:name w:val="Light Shading - Accent 11"/>
    <w:basedOn w:val="Normltblzat"/>
    <w:uiPriority w:val="60"/>
    <w:rsid w:val="00F42909"/>
    <w:rPr>
      <w:rFonts w:ascii="Calibri" w:eastAsia="Times New Roman" w:hAnsi="Calibri"/>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paragraph" w:styleId="Kpalrs">
    <w:name w:val="caption"/>
    <w:basedOn w:val="Norml"/>
    <w:next w:val="Norml"/>
    <w:uiPriority w:val="35"/>
    <w:unhideWhenUsed/>
    <w:qFormat/>
    <w:rsid w:val="00F42909"/>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F42909"/>
    <w:rPr>
      <w:color w:val="385623"/>
    </w:rPr>
  </w:style>
  <w:style w:type="character" w:customStyle="1" w:styleId="VgjegyzetszvegeChar">
    <w:name w:val="Végjegyzet szövege Char"/>
    <w:link w:val="Vgjegyzetszvege"/>
    <w:uiPriority w:val="99"/>
    <w:semiHidden/>
    <w:rsid w:val="00F42909"/>
    <w:rPr>
      <w:rFonts w:ascii="Calibri" w:eastAsia="Calibri" w:hAnsi="Calibri" w:cs="Times New Roman"/>
      <w:color w:val="385623"/>
      <w:lang w:val="hu-HU" w:eastAsia="hu-HU"/>
    </w:rPr>
  </w:style>
  <w:style w:type="table" w:customStyle="1" w:styleId="Vilgosrnykols1jellszn1">
    <w:name w:val="Világos árnyékolás – 1. jelölőszín1"/>
    <w:basedOn w:val="Normltblzat"/>
    <w:uiPriority w:val="60"/>
    <w:rsid w:val="00F42909"/>
    <w:rPr>
      <w:rFonts w:ascii="Calibri" w:hAnsi="Calibri"/>
      <w:color w:val="2E74B5"/>
      <w:lang w:eastAsia="hu-HU"/>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paragraph" w:customStyle="1" w:styleId="Listaszerbekezds2">
    <w:name w:val="Listaszerű bekezdés 2"/>
    <w:basedOn w:val="Listaszerbekezds"/>
    <w:link w:val="Listaszerbekezds2Char"/>
    <w:uiPriority w:val="4"/>
    <w:qFormat/>
    <w:rsid w:val="00F42909"/>
    <w:pPr>
      <w:numPr>
        <w:numId w:val="5"/>
      </w:numPr>
    </w:pPr>
  </w:style>
  <w:style w:type="paragraph" w:customStyle="1" w:styleId="Tblaszvegstlus">
    <w:name w:val="Tábla szöveg stílus"/>
    <w:basedOn w:val="Norml"/>
    <w:link w:val="TblaszvegstlusChar"/>
    <w:uiPriority w:val="8"/>
    <w:qFormat/>
    <w:rsid w:val="00F42909"/>
  </w:style>
  <w:style w:type="character" w:customStyle="1" w:styleId="ListaszerbekezdsChar">
    <w:name w:val="Listaszerű bekezdés Char"/>
    <w:link w:val="Listaszerbekezds"/>
    <w:uiPriority w:val="4"/>
    <w:rsid w:val="00F42909"/>
    <w:rPr>
      <w:rFonts w:ascii="Calibri" w:eastAsia="Calibri" w:hAnsi="Calibri" w:cs="Times New Roman"/>
      <w:lang w:val="hu-HU" w:eastAsia="hu-HU"/>
    </w:rPr>
  </w:style>
  <w:style w:type="character" w:customStyle="1" w:styleId="Listaszerbekezds2Char">
    <w:name w:val="Listaszerű bekezdés 2 Char"/>
    <w:link w:val="Listaszerbekezds2"/>
    <w:uiPriority w:val="4"/>
    <w:rsid w:val="00F42909"/>
  </w:style>
  <w:style w:type="character" w:customStyle="1" w:styleId="TblaszvegstlusChar">
    <w:name w:val="Tábla szöveg stílus Char"/>
    <w:link w:val="Tblaszvegstlus"/>
    <w:uiPriority w:val="8"/>
    <w:rsid w:val="00F42909"/>
    <w:rPr>
      <w:rFonts w:ascii="Calibri" w:eastAsia="Calibri" w:hAnsi="Calibri" w:cs="Times New Roman"/>
      <w:lang w:val="hu-HU" w:eastAsia="hu-HU"/>
    </w:rPr>
  </w:style>
  <w:style w:type="character" w:styleId="Finomhivatkozs">
    <w:name w:val="Subtle Reference"/>
    <w:uiPriority w:val="31"/>
    <w:rsid w:val="00F42909"/>
    <w:rPr>
      <w:sz w:val="24"/>
      <w:szCs w:val="24"/>
      <w:u w:val="single"/>
    </w:rPr>
  </w:style>
  <w:style w:type="character" w:styleId="Ershivatkozs">
    <w:name w:val="Intense Reference"/>
    <w:uiPriority w:val="32"/>
    <w:rsid w:val="00F42909"/>
    <w:rPr>
      <w:b/>
      <w:sz w:val="24"/>
      <w:u w:val="single"/>
    </w:rPr>
  </w:style>
  <w:style w:type="paragraph" w:customStyle="1" w:styleId="Listaszerbekezds2szint">
    <w:name w:val="Listaszerű bekezdés 2. szint"/>
    <w:basedOn w:val="Listaszerbekezds"/>
    <w:link w:val="Listaszerbekezds2szintChar"/>
    <w:uiPriority w:val="4"/>
    <w:qFormat/>
    <w:rsid w:val="00F42909"/>
    <w:pPr>
      <w:numPr>
        <w:numId w:val="8"/>
      </w:numPr>
    </w:pPr>
  </w:style>
  <w:style w:type="paragraph" w:customStyle="1" w:styleId="Listaszerbekezds3szint">
    <w:name w:val="Listaszerű bekezdés 3. szint"/>
    <w:basedOn w:val="Listaszerbekezds"/>
    <w:link w:val="Listaszerbekezds3szintChar"/>
    <w:uiPriority w:val="4"/>
    <w:qFormat/>
    <w:rsid w:val="00F42909"/>
    <w:pPr>
      <w:numPr>
        <w:ilvl w:val="2"/>
        <w:numId w:val="12"/>
      </w:numPr>
    </w:pPr>
  </w:style>
  <w:style w:type="character" w:customStyle="1" w:styleId="Listaszerbekezds2szintChar">
    <w:name w:val="Listaszerű bekezdés 2. szint Char"/>
    <w:link w:val="Listaszerbekezds2szint"/>
    <w:uiPriority w:val="4"/>
    <w:rsid w:val="00F42909"/>
  </w:style>
  <w:style w:type="character" w:customStyle="1" w:styleId="Listaszerbekezds3szintChar">
    <w:name w:val="Listaszerű bekezdés 3. szint Char"/>
    <w:link w:val="Listaszerbekezds3szint"/>
    <w:uiPriority w:val="4"/>
    <w:rsid w:val="00F42909"/>
  </w:style>
  <w:style w:type="paragraph" w:styleId="Alcm">
    <w:name w:val="Subtitle"/>
    <w:basedOn w:val="Norml"/>
    <w:next w:val="Norml"/>
    <w:link w:val="AlcmChar"/>
    <w:uiPriority w:val="11"/>
    <w:rsid w:val="00F42909"/>
    <w:pPr>
      <w:spacing w:after="60"/>
      <w:jc w:val="center"/>
      <w:outlineLvl w:val="1"/>
    </w:pPr>
    <w:rPr>
      <w:rFonts w:eastAsia="Times New Roman"/>
    </w:rPr>
  </w:style>
  <w:style w:type="character" w:customStyle="1" w:styleId="AlcmChar">
    <w:name w:val="Alcím Char"/>
    <w:link w:val="Alcm"/>
    <w:uiPriority w:val="11"/>
    <w:rsid w:val="00F42909"/>
    <w:rPr>
      <w:rFonts w:ascii="Calibri" w:eastAsia="Times New Roman" w:hAnsi="Calibri" w:cs="Times New Roman"/>
      <w:lang w:val="hu-HU" w:eastAsia="hu-HU"/>
    </w:rPr>
  </w:style>
  <w:style w:type="paragraph" w:customStyle="1" w:styleId="Listabetvel">
    <w:name w:val="Lista betűvel"/>
    <w:basedOn w:val="Listaszerbekezds"/>
    <w:link w:val="ListabetvelChar"/>
    <w:uiPriority w:val="4"/>
    <w:qFormat/>
    <w:rsid w:val="00F42909"/>
    <w:pPr>
      <w:numPr>
        <w:numId w:val="7"/>
      </w:numPr>
    </w:pPr>
  </w:style>
  <w:style w:type="character" w:customStyle="1" w:styleId="ListabetvelChar">
    <w:name w:val="Lista betűvel Char"/>
    <w:link w:val="Listabetvel"/>
    <w:uiPriority w:val="4"/>
    <w:rsid w:val="00F42909"/>
  </w:style>
  <w:style w:type="paragraph" w:customStyle="1" w:styleId="Erskiemels1">
    <w:name w:val="Erős kiemelés1"/>
    <w:basedOn w:val="Norml"/>
    <w:link w:val="ErskiemelsChar"/>
    <w:uiPriority w:val="5"/>
    <w:qFormat/>
    <w:rsid w:val="00F42909"/>
    <w:rPr>
      <w:b/>
      <w:i/>
    </w:rPr>
  </w:style>
  <w:style w:type="character" w:customStyle="1" w:styleId="ErskiemelsChar">
    <w:name w:val="Erős kiemelés Char"/>
    <w:link w:val="Erskiemels1"/>
    <w:uiPriority w:val="5"/>
    <w:rsid w:val="00F42909"/>
    <w:rPr>
      <w:rFonts w:ascii="Calibri" w:eastAsia="Calibri" w:hAnsi="Calibri" w:cs="Times New Roman"/>
      <w:b/>
      <w:i/>
      <w:lang w:val="hu-HU" w:eastAsia="hu-HU"/>
    </w:rPr>
  </w:style>
  <w:style w:type="paragraph" w:customStyle="1" w:styleId="Bold">
    <w:name w:val="Bold"/>
    <w:basedOn w:val="Norml"/>
    <w:link w:val="BoldChar"/>
    <w:uiPriority w:val="6"/>
    <w:qFormat/>
    <w:rsid w:val="00F42909"/>
    <w:rPr>
      <w:b/>
    </w:rPr>
  </w:style>
  <w:style w:type="character" w:customStyle="1" w:styleId="BoldChar">
    <w:name w:val="Bold Char"/>
    <w:link w:val="Bold"/>
    <w:uiPriority w:val="6"/>
    <w:rsid w:val="00F42909"/>
    <w:rPr>
      <w:rFonts w:ascii="Calibri" w:eastAsia="Calibri" w:hAnsi="Calibri" w:cs="Times New Roman"/>
      <w:b/>
      <w:lang w:val="hu-HU" w:eastAsia="hu-HU"/>
    </w:rPr>
  </w:style>
  <w:style w:type="character" w:styleId="Mrltotthiperhivatkozs">
    <w:name w:val="FollowedHyperlink"/>
    <w:uiPriority w:val="99"/>
    <w:semiHidden/>
    <w:unhideWhenUsed/>
    <w:rsid w:val="00F42909"/>
    <w:rPr>
      <w:color w:val="954F72"/>
      <w:u w:val="single"/>
    </w:rPr>
  </w:style>
  <w:style w:type="paragraph" w:styleId="Tartalomjegyzkcmsora">
    <w:name w:val="TOC Heading"/>
    <w:basedOn w:val="Cmsor1"/>
    <w:next w:val="Norml"/>
    <w:uiPriority w:val="39"/>
    <w:unhideWhenUsed/>
    <w:qFormat/>
    <w:rsid w:val="00F42909"/>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F42909"/>
    <w:pPr>
      <w:spacing w:after="100"/>
      <w:ind w:left="220"/>
      <w:jc w:val="left"/>
    </w:pPr>
    <w:rPr>
      <w:rFonts w:eastAsia="Times New Roman"/>
    </w:rPr>
  </w:style>
  <w:style w:type="paragraph" w:styleId="TJ1">
    <w:name w:val="toc 1"/>
    <w:basedOn w:val="Norml"/>
    <w:next w:val="Norml"/>
    <w:autoRedefine/>
    <w:uiPriority w:val="39"/>
    <w:unhideWhenUsed/>
    <w:qFormat/>
    <w:locked/>
    <w:rsid w:val="00F42909"/>
    <w:pPr>
      <w:spacing w:after="100"/>
      <w:jc w:val="left"/>
    </w:pPr>
    <w:rPr>
      <w:rFonts w:eastAsia="Times New Roman"/>
    </w:rPr>
  </w:style>
  <w:style w:type="paragraph" w:styleId="TJ3">
    <w:name w:val="toc 3"/>
    <w:basedOn w:val="Norml"/>
    <w:next w:val="Norml"/>
    <w:uiPriority w:val="39"/>
    <w:unhideWhenUsed/>
    <w:qFormat/>
    <w:locked/>
    <w:rsid w:val="00F42909"/>
    <w:pPr>
      <w:spacing w:after="100"/>
      <w:ind w:left="400"/>
    </w:pPr>
  </w:style>
  <w:style w:type="paragraph" w:customStyle="1" w:styleId="StyleTOC2Left015">
    <w:name w:val="Style TOC 2 + Left:  0.15&quot;"/>
    <w:basedOn w:val="TJ2"/>
    <w:rsid w:val="00F42909"/>
    <w:pPr>
      <w:ind w:left="216"/>
    </w:pPr>
  </w:style>
  <w:style w:type="paragraph" w:customStyle="1" w:styleId="StyleTOC3Left031">
    <w:name w:val="Style TOC 3 + Left:  0.31&quot;"/>
    <w:basedOn w:val="TJ3"/>
    <w:rsid w:val="00F42909"/>
    <w:pPr>
      <w:ind w:left="446"/>
    </w:pPr>
    <w:rPr>
      <w:rFonts w:eastAsia="Times New Roman"/>
    </w:rPr>
  </w:style>
  <w:style w:type="numbering" w:customStyle="1" w:styleId="Hierarchikuslista">
    <w:name w:val="Hierarchikus lista"/>
    <w:uiPriority w:val="99"/>
    <w:rsid w:val="00F42909"/>
    <w:pPr>
      <w:numPr>
        <w:numId w:val="2"/>
      </w:numPr>
    </w:pPr>
  </w:style>
  <w:style w:type="paragraph" w:customStyle="1" w:styleId="HierarchikusLista0">
    <w:name w:val="Hierarchikus Lista"/>
    <w:basedOn w:val="Listaszerbekezds"/>
    <w:link w:val="HierarchikusListaChar"/>
    <w:qFormat/>
    <w:rsid w:val="00F42909"/>
    <w:pPr>
      <w:numPr>
        <w:numId w:val="0"/>
      </w:numPr>
    </w:pPr>
  </w:style>
  <w:style w:type="character" w:customStyle="1" w:styleId="HierarchikusListaChar">
    <w:name w:val="Hierarchikus Lista Char"/>
    <w:link w:val="HierarchikusLista0"/>
    <w:rsid w:val="00F42909"/>
  </w:style>
  <w:style w:type="character" w:styleId="Kiemels2">
    <w:name w:val="Strong"/>
    <w:uiPriority w:val="22"/>
    <w:rsid w:val="00F42909"/>
    <w:rPr>
      <w:b/>
      <w:bCs/>
    </w:rPr>
  </w:style>
  <w:style w:type="character" w:styleId="Kiemels">
    <w:name w:val="Emphasis"/>
    <w:uiPriority w:val="6"/>
    <w:qFormat/>
    <w:rsid w:val="00F42909"/>
    <w:rPr>
      <w:i/>
      <w:iCs/>
    </w:rPr>
  </w:style>
  <w:style w:type="paragraph" w:styleId="Nincstrkz">
    <w:name w:val="No Spacing"/>
    <w:basedOn w:val="Norml"/>
    <w:uiPriority w:val="1"/>
    <w:rsid w:val="00F42909"/>
    <w:rPr>
      <w:szCs w:val="32"/>
    </w:rPr>
  </w:style>
  <w:style w:type="paragraph" w:styleId="Idzet">
    <w:name w:val="Quote"/>
    <w:basedOn w:val="Norml"/>
    <w:next w:val="Norml"/>
    <w:link w:val="IdzetChar"/>
    <w:uiPriority w:val="29"/>
    <w:rsid w:val="00F42909"/>
    <w:rPr>
      <w:i/>
    </w:rPr>
  </w:style>
  <w:style w:type="character" w:customStyle="1" w:styleId="IdzetChar">
    <w:name w:val="Idézet Char"/>
    <w:link w:val="Idzet"/>
    <w:uiPriority w:val="29"/>
    <w:rsid w:val="00F42909"/>
    <w:rPr>
      <w:rFonts w:ascii="Calibri" w:eastAsia="Calibri" w:hAnsi="Calibri" w:cs="Times New Roman"/>
      <w:i/>
      <w:lang w:val="hu-HU" w:eastAsia="hu-HU"/>
    </w:rPr>
  </w:style>
  <w:style w:type="paragraph" w:styleId="Kiemeltidzet">
    <w:name w:val="Intense Quote"/>
    <w:basedOn w:val="Norml"/>
    <w:next w:val="Norml"/>
    <w:link w:val="KiemeltidzetChar"/>
    <w:uiPriority w:val="30"/>
    <w:rsid w:val="00F42909"/>
    <w:pPr>
      <w:ind w:left="720" w:right="720"/>
    </w:pPr>
    <w:rPr>
      <w:b/>
      <w:i/>
    </w:rPr>
  </w:style>
  <w:style w:type="character" w:customStyle="1" w:styleId="KiemeltidzetChar">
    <w:name w:val="Kiemelt idézet Char"/>
    <w:link w:val="Kiemeltidzet"/>
    <w:uiPriority w:val="30"/>
    <w:rsid w:val="00F42909"/>
    <w:rPr>
      <w:rFonts w:ascii="Calibri" w:eastAsia="Calibri" w:hAnsi="Calibri" w:cs="Times New Roman"/>
      <w:b/>
      <w:i/>
      <w:lang w:val="hu-HU" w:eastAsia="hu-HU"/>
    </w:rPr>
  </w:style>
  <w:style w:type="character" w:styleId="Erskiemels">
    <w:name w:val="Intense Emphasis"/>
    <w:uiPriority w:val="21"/>
    <w:rsid w:val="00F42909"/>
    <w:rPr>
      <w:b/>
      <w:i/>
      <w:sz w:val="24"/>
      <w:szCs w:val="24"/>
      <w:u w:val="single"/>
    </w:rPr>
  </w:style>
  <w:style w:type="character" w:styleId="Knyvcme">
    <w:name w:val="Book Title"/>
    <w:uiPriority w:val="33"/>
    <w:rsid w:val="00F42909"/>
    <w:rPr>
      <w:rFonts w:ascii="Calibri" w:eastAsia="Times New Roman" w:hAnsi="Calibri"/>
      <w:b/>
      <w:i/>
      <w:sz w:val="24"/>
      <w:szCs w:val="24"/>
    </w:rPr>
  </w:style>
  <w:style w:type="paragraph" w:customStyle="1" w:styleId="Szvegdobozstlus">
    <w:name w:val="Szövegdoboz stílus"/>
    <w:basedOn w:val="HierarchikusLista0"/>
    <w:qFormat/>
    <w:rsid w:val="00F42909"/>
    <w:rPr>
      <w:b/>
      <w:i/>
      <w:color w:val="009EE0"/>
    </w:rPr>
  </w:style>
  <w:style w:type="table" w:customStyle="1" w:styleId="Rcsos">
    <w:name w:val="Rácsos"/>
    <w:basedOn w:val="Normltblzat"/>
    <w:uiPriority w:val="99"/>
    <w:rsid w:val="00F42909"/>
    <w:rPr>
      <w:rFonts w:ascii="Calibri Light" w:hAnsi="Calibri Light"/>
      <w:color w:val="4472C4"/>
      <w:lang w:eastAsia="hu-HU"/>
    </w:rPr>
    <w:tblPr>
      <w:tblStyleRowBandSize w:val="1"/>
      <w:tblStyleColBandSize w:val="1"/>
      <w:tblBorders>
        <w:top w:val="single" w:sz="4" w:space="0" w:color="4472C4"/>
        <w:left w:val="single" w:sz="4" w:space="0" w:color="4472C4"/>
        <w:bottom w:val="single" w:sz="48" w:space="0" w:color="4472C4"/>
        <w:right w:val="single" w:sz="4" w:space="0" w:color="4472C4"/>
        <w:insideV w:val="single" w:sz="4" w:space="0" w:color="4472C4"/>
      </w:tblBorders>
    </w:tblPr>
    <w:tcPr>
      <w:shd w:val="clear" w:color="auto" w:fill="auto"/>
      <w:tcMar>
        <w:top w:w="170" w:type="dxa"/>
      </w:tcMar>
      <w:vAlign w:val="center"/>
    </w:tcPr>
    <w:tblStylePr w:type="firstRow">
      <w:rPr>
        <w:rFonts w:ascii="Calibri Light" w:hAnsi="Calibri Light"/>
        <w:b w:val="0"/>
        <w:i w:val="0"/>
        <w:color w:val="4472C4"/>
        <w:sz w:val="36"/>
      </w:rPr>
      <w:tblPr/>
      <w:tcPr>
        <w:tcBorders>
          <w:top w:val="single" w:sz="8" w:space="0" w:color="4472C4"/>
          <w:left w:val="single" w:sz="8" w:space="0" w:color="4472C4"/>
          <w:bottom w:val="single" w:sz="24" w:space="0" w:color="4472C4"/>
          <w:right w:val="single" w:sz="8" w:space="0" w:color="4472C4"/>
          <w:insideH w:val="nil"/>
          <w:insideV w:val="nil"/>
          <w:tl2br w:val="nil"/>
          <w:tr2bl w:val="nil"/>
        </w:tcBorders>
        <w:shd w:val="clear" w:color="auto" w:fill="E7E6E6"/>
      </w:tcPr>
    </w:tblStylePr>
    <w:tblStylePr w:type="band2Horz">
      <w:tblPr/>
      <w:tcPr>
        <w:shd w:val="clear" w:color="auto" w:fill="F0EFEF"/>
      </w:tcPr>
    </w:tblStylePr>
  </w:style>
  <w:style w:type="character" w:styleId="Jegyzethivatkozs">
    <w:name w:val="annotation reference"/>
    <w:uiPriority w:val="99"/>
    <w:semiHidden/>
    <w:unhideWhenUsed/>
    <w:rsid w:val="008D2230"/>
    <w:rPr>
      <w:sz w:val="16"/>
      <w:szCs w:val="16"/>
      <w:lang w:val="en-GB" w:eastAsia="en-GB"/>
    </w:rPr>
  </w:style>
  <w:style w:type="paragraph" w:styleId="Jegyzetszveg">
    <w:name w:val="annotation text"/>
    <w:basedOn w:val="Norml"/>
    <w:link w:val="JegyzetszvegChar"/>
    <w:uiPriority w:val="99"/>
    <w:semiHidden/>
    <w:unhideWhenUsed/>
    <w:rsid w:val="008D2230"/>
    <w:pPr>
      <w:spacing w:line="240" w:lineRule="auto"/>
    </w:pPr>
  </w:style>
  <w:style w:type="character" w:customStyle="1" w:styleId="JegyzetszvegChar">
    <w:name w:val="Jegyzetszöveg Char"/>
    <w:link w:val="Jegyzetszveg"/>
    <w:uiPriority w:val="99"/>
    <w:semiHidden/>
    <w:rsid w:val="008D2230"/>
    <w:rPr>
      <w:rFonts w:ascii="Calibri" w:hAnsi="Calibri"/>
      <w:szCs w:val="20"/>
      <w:lang w:val="en-GB" w:eastAsia="en-GB"/>
    </w:rPr>
  </w:style>
  <w:style w:type="paragraph" w:styleId="Megjegyzstrgya">
    <w:name w:val="annotation subject"/>
    <w:basedOn w:val="Jegyzetszveg"/>
    <w:next w:val="Jegyzetszveg"/>
    <w:link w:val="MegjegyzstrgyaChar"/>
    <w:uiPriority w:val="99"/>
    <w:semiHidden/>
    <w:unhideWhenUsed/>
    <w:rsid w:val="008D2230"/>
    <w:rPr>
      <w:b/>
      <w:bCs/>
    </w:rPr>
  </w:style>
  <w:style w:type="character" w:customStyle="1" w:styleId="MegjegyzstrgyaChar">
    <w:name w:val="Megjegyzés tárgya Char"/>
    <w:link w:val="Megjegyzstrgya"/>
    <w:uiPriority w:val="99"/>
    <w:semiHidden/>
    <w:rsid w:val="008D2230"/>
    <w:rPr>
      <w:rFonts w:ascii="Calibri" w:hAnsi="Calibri"/>
      <w:b/>
      <w:bCs/>
      <w:szCs w:val="20"/>
      <w:lang w:val="en-GB" w:eastAsia="en-GB"/>
    </w:rPr>
  </w:style>
  <w:style w:type="paragraph" w:customStyle="1" w:styleId="ENBoxtitle">
    <w:name w:val="EN_Box_title"/>
    <w:basedOn w:val="Norml"/>
    <w:next w:val="Norml"/>
    <w:uiPriority w:val="1"/>
    <w:qFormat/>
    <w:rsid w:val="00F42909"/>
    <w:pPr>
      <w:keepNext/>
      <w:pBdr>
        <w:top w:val="single" w:sz="4" w:space="1" w:color="44546A"/>
        <w:left w:val="single" w:sz="4" w:space="4" w:color="44546A"/>
        <w:bottom w:val="single" w:sz="4" w:space="1" w:color="44546A"/>
        <w:right w:val="single" w:sz="4" w:space="4" w:color="44546A"/>
      </w:pBdr>
      <w:shd w:val="clear" w:color="auto" w:fill="8CDCFF"/>
      <w:spacing w:after="40"/>
    </w:pPr>
    <w:rPr>
      <w:b/>
      <w:bCs/>
      <w:szCs w:val="18"/>
    </w:rPr>
  </w:style>
  <w:style w:type="paragraph" w:customStyle="1" w:styleId="ENCaption1Col">
    <w:name w:val="EN_Caption_1Col"/>
    <w:basedOn w:val="Norml"/>
    <w:next w:val="Norml"/>
    <w:uiPriority w:val="1"/>
    <w:qFormat/>
    <w:rsid w:val="00F42909"/>
    <w:pPr>
      <w:keepNext/>
      <w:spacing w:after="40"/>
      <w:jc w:val="center"/>
    </w:pPr>
    <w:rPr>
      <w:b/>
      <w:bCs/>
      <w:color w:val="808080"/>
      <w:szCs w:val="18"/>
    </w:rPr>
  </w:style>
  <w:style w:type="paragraph" w:customStyle="1" w:styleId="ENCaption2Col">
    <w:name w:val="EN_Caption_2Col"/>
    <w:basedOn w:val="Norml"/>
    <w:next w:val="Norml"/>
    <w:uiPriority w:val="1"/>
    <w:qFormat/>
    <w:rsid w:val="00F42909"/>
    <w:pPr>
      <w:keepNext/>
      <w:spacing w:after="40"/>
      <w:jc w:val="left"/>
    </w:pPr>
    <w:rPr>
      <w:b/>
      <w:bCs/>
      <w:color w:val="808080"/>
      <w:szCs w:val="18"/>
    </w:rPr>
  </w:style>
  <w:style w:type="paragraph" w:customStyle="1" w:styleId="ENCaptionBox">
    <w:name w:val="EN_Caption_Box"/>
    <w:basedOn w:val="Norml"/>
    <w:next w:val="Norml"/>
    <w:uiPriority w:val="1"/>
    <w:qFormat/>
    <w:rsid w:val="00F42909"/>
    <w:pPr>
      <w:keepNext/>
      <w:pBdr>
        <w:top w:val="single" w:sz="4" w:space="1" w:color="44546A"/>
        <w:left w:val="single" w:sz="4" w:space="4" w:color="44546A"/>
        <w:bottom w:val="single" w:sz="4" w:space="1" w:color="44546A"/>
        <w:right w:val="single" w:sz="4" w:space="4" w:color="44546A"/>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F42909"/>
    <w:pPr>
      <w:keepNext/>
      <w:pageBreakBefore/>
      <w:numPr>
        <w:numId w:val="1"/>
      </w:numPr>
      <w:spacing w:before="480" w:after="210"/>
      <w:ind w:left="227" w:hanging="227"/>
      <w:jc w:val="left"/>
      <w:outlineLvl w:val="0"/>
    </w:pPr>
    <w:rPr>
      <w:rFonts w:eastAsia="Times New Roman"/>
      <w:bCs/>
      <w:color w:val="0C2148"/>
      <w:sz w:val="52"/>
      <w:szCs w:val="42"/>
    </w:rPr>
  </w:style>
  <w:style w:type="paragraph" w:customStyle="1" w:styleId="ENChapterWithoutNumbering">
    <w:name w:val="EN_Chapter_Without_Numbering"/>
    <w:basedOn w:val="Norml"/>
    <w:next w:val="Norml"/>
    <w:uiPriority w:val="1"/>
    <w:qFormat/>
    <w:rsid w:val="00F42909"/>
    <w:pPr>
      <w:keepNext/>
      <w:pageBreakBefore/>
      <w:spacing w:before="480" w:after="210"/>
      <w:ind w:left="227" w:hanging="227"/>
    </w:pPr>
    <w:rPr>
      <w:caps/>
      <w:color w:val="44546A"/>
    </w:rPr>
  </w:style>
  <w:style w:type="paragraph" w:customStyle="1" w:styleId="ENFootnote">
    <w:name w:val="EN_Footnote"/>
    <w:basedOn w:val="Norml"/>
    <w:uiPriority w:val="1"/>
    <w:qFormat/>
    <w:rsid w:val="00F42909"/>
    <w:rPr>
      <w:rFonts w:eastAsia="Times New Roman"/>
      <w:color w:val="808080"/>
      <w:sz w:val="18"/>
    </w:rPr>
  </w:style>
  <w:style w:type="paragraph" w:customStyle="1" w:styleId="ENNormal">
    <w:name w:val="EN_Normal"/>
    <w:basedOn w:val="Norml"/>
    <w:uiPriority w:val="1"/>
    <w:qFormat/>
    <w:rsid w:val="00F42909"/>
  </w:style>
  <w:style w:type="paragraph" w:customStyle="1" w:styleId="ENNormalBox">
    <w:name w:val="EN_Normal_Box"/>
    <w:basedOn w:val="Norml"/>
    <w:uiPriority w:val="1"/>
    <w:qFormat/>
    <w:rsid w:val="00F42909"/>
    <w:pPr>
      <w:pBdr>
        <w:top w:val="single" w:sz="4" w:space="1" w:color="44546A"/>
        <w:left w:val="single" w:sz="4" w:space="4" w:color="44546A"/>
        <w:bottom w:val="single" w:sz="4" w:space="1" w:color="44546A"/>
        <w:right w:val="single" w:sz="4" w:space="4" w:color="44546A"/>
      </w:pBdr>
      <w:shd w:val="clear" w:color="auto" w:fill="C6EEFF"/>
    </w:pPr>
  </w:style>
  <w:style w:type="paragraph" w:customStyle="1" w:styleId="ENNote1Col">
    <w:name w:val="EN_Note_1Col"/>
    <w:basedOn w:val="Norml"/>
    <w:next w:val="ENNormal"/>
    <w:uiPriority w:val="1"/>
    <w:qFormat/>
    <w:rsid w:val="00F42909"/>
    <w:pPr>
      <w:keepLines/>
      <w:jc w:val="center"/>
    </w:pPr>
    <w:rPr>
      <w:color w:val="808080"/>
      <w:sz w:val="18"/>
    </w:rPr>
  </w:style>
  <w:style w:type="paragraph" w:customStyle="1" w:styleId="ENNote2Col">
    <w:name w:val="EN_Note_2Col"/>
    <w:basedOn w:val="Norml"/>
    <w:next w:val="ENNormal"/>
    <w:uiPriority w:val="1"/>
    <w:qFormat/>
    <w:rsid w:val="00F42909"/>
    <w:pPr>
      <w:keepLines/>
    </w:pPr>
    <w:rPr>
      <w:color w:val="808080"/>
      <w:sz w:val="18"/>
    </w:rPr>
  </w:style>
  <w:style w:type="paragraph" w:customStyle="1" w:styleId="ENNoteBox">
    <w:name w:val="EN_Note_Box"/>
    <w:basedOn w:val="Norml"/>
    <w:next w:val="ENNormalBox"/>
    <w:uiPriority w:val="1"/>
    <w:qFormat/>
    <w:rsid w:val="00F42909"/>
    <w:pPr>
      <w:keepLines/>
      <w:pBdr>
        <w:top w:val="single" w:sz="4" w:space="1" w:color="44546A"/>
        <w:left w:val="single" w:sz="4" w:space="4" w:color="44546A"/>
        <w:bottom w:val="single" w:sz="4" w:space="1" w:color="44546A"/>
        <w:right w:val="single" w:sz="4" w:space="4" w:color="44546A"/>
      </w:pBdr>
      <w:shd w:val="clear" w:color="auto" w:fill="C6EEFF"/>
      <w:jc w:val="center"/>
    </w:pPr>
    <w:rPr>
      <w:color w:val="808080"/>
      <w:sz w:val="18"/>
    </w:rPr>
  </w:style>
  <w:style w:type="paragraph" w:customStyle="1" w:styleId="ENSectionTitle">
    <w:name w:val="EN_Section_Title"/>
    <w:basedOn w:val="Norml"/>
    <w:next w:val="ENNormal"/>
    <w:uiPriority w:val="1"/>
    <w:rsid w:val="00F42909"/>
    <w:pPr>
      <w:keepNext/>
      <w:numPr>
        <w:ilvl w:val="1"/>
        <w:numId w:val="1"/>
      </w:numPr>
      <w:spacing w:before="210" w:after="75"/>
      <w:jc w:val="left"/>
      <w:outlineLvl w:val="1"/>
    </w:pPr>
    <w:rPr>
      <w:b/>
      <w:color w:val="44546A"/>
      <w:szCs w:val="38"/>
    </w:rPr>
  </w:style>
  <w:style w:type="paragraph" w:customStyle="1" w:styleId="ENSubsectionTitle">
    <w:name w:val="EN_Subsection_Title"/>
    <w:basedOn w:val="Norml"/>
    <w:next w:val="ENNormal"/>
    <w:uiPriority w:val="1"/>
    <w:rsid w:val="00F42909"/>
    <w:pPr>
      <w:keepNext/>
      <w:numPr>
        <w:ilvl w:val="2"/>
        <w:numId w:val="1"/>
      </w:numPr>
      <w:spacing w:before="75" w:after="75"/>
      <w:ind w:left="595" w:hanging="595"/>
      <w:jc w:val="left"/>
      <w:outlineLvl w:val="2"/>
    </w:pPr>
    <w:rPr>
      <w:bCs/>
      <w:color w:val="44546A"/>
      <w:szCs w:val="34"/>
    </w:rPr>
  </w:style>
  <w:style w:type="paragraph" w:customStyle="1" w:styleId="HUBoxTitle">
    <w:name w:val="HU_Box_Title"/>
    <w:basedOn w:val="Kpalrs"/>
    <w:next w:val="Norml"/>
    <w:uiPriority w:val="1"/>
    <w:qFormat/>
    <w:rsid w:val="00F42909"/>
    <w:pPr>
      <w:keepNext/>
      <w:pBdr>
        <w:top w:val="single" w:sz="4" w:space="1" w:color="44546A"/>
        <w:left w:val="single" w:sz="4" w:space="4" w:color="44546A"/>
        <w:bottom w:val="single" w:sz="4" w:space="1" w:color="44546A"/>
        <w:right w:val="single" w:sz="4" w:space="4" w:color="44546A"/>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F42909"/>
    <w:pPr>
      <w:keepNext/>
      <w:spacing w:after="40"/>
      <w:jc w:val="center"/>
    </w:pPr>
    <w:rPr>
      <w:sz w:val="20"/>
    </w:rPr>
  </w:style>
  <w:style w:type="paragraph" w:customStyle="1" w:styleId="HUCaption2Col">
    <w:name w:val="HU_Caption_2Col"/>
    <w:basedOn w:val="Kpalrs"/>
    <w:next w:val="Norml"/>
    <w:uiPriority w:val="1"/>
    <w:qFormat/>
    <w:rsid w:val="00F42909"/>
    <w:pPr>
      <w:keepNext/>
      <w:spacing w:after="40"/>
    </w:pPr>
    <w:rPr>
      <w:sz w:val="20"/>
    </w:rPr>
  </w:style>
  <w:style w:type="paragraph" w:customStyle="1" w:styleId="HUCaptionBox">
    <w:name w:val="HU_Caption_Box"/>
    <w:basedOn w:val="Kpalrs"/>
    <w:next w:val="Norml"/>
    <w:uiPriority w:val="1"/>
    <w:qFormat/>
    <w:rsid w:val="00F42909"/>
    <w:pPr>
      <w:keepNext/>
      <w:pBdr>
        <w:top w:val="single" w:sz="4" w:space="1" w:color="44546A"/>
        <w:left w:val="single" w:sz="4" w:space="4" w:color="44546A"/>
        <w:bottom w:val="single" w:sz="4" w:space="1" w:color="44546A"/>
        <w:right w:val="single" w:sz="4" w:space="4" w:color="44546A"/>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F42909"/>
    <w:pPr>
      <w:keepLines w:val="0"/>
      <w:pageBreakBefore/>
      <w:ind w:left="227" w:hanging="227"/>
    </w:pPr>
    <w:rPr>
      <w:color w:val="0C2148"/>
    </w:rPr>
  </w:style>
  <w:style w:type="character" w:customStyle="1" w:styleId="HUChapterTitleChar">
    <w:name w:val="HU_Chapter_Title Char"/>
    <w:link w:val="HUChapterTitle"/>
    <w:uiPriority w:val="1"/>
    <w:rsid w:val="00F42909"/>
    <w:rPr>
      <w:rFonts w:ascii="Calibri" w:eastAsia="Times New Roman" w:hAnsi="Calibri" w:cs="Times New Roman"/>
      <w:b/>
      <w:bCs/>
      <w:caps/>
      <w:color w:val="0C2148"/>
      <w:sz w:val="24"/>
      <w:szCs w:val="42"/>
      <w:lang w:val="hu-HU" w:eastAsia="hu-HU"/>
    </w:rPr>
  </w:style>
  <w:style w:type="paragraph" w:customStyle="1" w:styleId="HUChapterWithoutNumbering">
    <w:name w:val="HU_Chapter_Without_Numbering"/>
    <w:basedOn w:val="Norml"/>
    <w:next w:val="Norml"/>
    <w:link w:val="HUChapterWithoutNumberingChar"/>
    <w:uiPriority w:val="1"/>
    <w:qFormat/>
    <w:rsid w:val="00F42909"/>
    <w:pPr>
      <w:keepNext/>
      <w:pageBreakBefore/>
      <w:spacing w:before="480" w:after="210"/>
      <w:ind w:left="227" w:hanging="227"/>
    </w:pPr>
    <w:rPr>
      <w:caps/>
      <w:color w:val="44546A"/>
    </w:rPr>
  </w:style>
  <w:style w:type="character" w:customStyle="1" w:styleId="HUChapterWithoutNumberingChar">
    <w:name w:val="HU_Chapter_Without_Numbering Char"/>
    <w:link w:val="HUChapterWithoutNumbering"/>
    <w:uiPriority w:val="1"/>
    <w:rsid w:val="00F42909"/>
    <w:rPr>
      <w:rFonts w:ascii="Calibri" w:eastAsia="Calibri" w:hAnsi="Calibri" w:cs="Times New Roman"/>
      <w:caps/>
      <w:color w:val="44546A"/>
      <w:lang w:val="hu-HU" w:eastAsia="hu-HU"/>
    </w:rPr>
  </w:style>
  <w:style w:type="paragraph" w:customStyle="1" w:styleId="HUFootnote">
    <w:name w:val="HU_Footnote"/>
    <w:basedOn w:val="Lbjegyzetszveg"/>
    <w:uiPriority w:val="1"/>
    <w:qFormat/>
    <w:rsid w:val="00F42909"/>
    <w:rPr>
      <w:color w:val="808080"/>
      <w:sz w:val="18"/>
    </w:rPr>
  </w:style>
  <w:style w:type="paragraph" w:customStyle="1" w:styleId="HUNormalBox">
    <w:name w:val="HU_Normal_Box"/>
    <w:basedOn w:val="Norml"/>
    <w:uiPriority w:val="1"/>
    <w:qFormat/>
    <w:rsid w:val="00F42909"/>
    <w:pPr>
      <w:pBdr>
        <w:top w:val="single" w:sz="4" w:space="1" w:color="44546A"/>
        <w:left w:val="single" w:sz="4" w:space="4" w:color="44546A"/>
        <w:bottom w:val="single" w:sz="4" w:space="1" w:color="44546A"/>
        <w:right w:val="single" w:sz="4" w:space="4" w:color="44546A"/>
      </w:pBdr>
      <w:shd w:val="clear" w:color="auto" w:fill="C6EEFF"/>
    </w:pPr>
  </w:style>
  <w:style w:type="paragraph" w:customStyle="1" w:styleId="HUNote1Col">
    <w:name w:val="HU_Note_1Col"/>
    <w:basedOn w:val="Norml"/>
    <w:next w:val="Norml"/>
    <w:uiPriority w:val="1"/>
    <w:qFormat/>
    <w:rsid w:val="00F42909"/>
    <w:pPr>
      <w:keepLines/>
      <w:jc w:val="center"/>
    </w:pPr>
    <w:rPr>
      <w:color w:val="808080"/>
      <w:sz w:val="18"/>
    </w:rPr>
  </w:style>
  <w:style w:type="paragraph" w:customStyle="1" w:styleId="HUNote2Col">
    <w:name w:val="HU_Note_2Col"/>
    <w:basedOn w:val="Norml"/>
    <w:next w:val="Norml"/>
    <w:uiPriority w:val="1"/>
    <w:qFormat/>
    <w:rsid w:val="00F42909"/>
    <w:pPr>
      <w:keepLines/>
    </w:pPr>
    <w:rPr>
      <w:color w:val="808080"/>
      <w:sz w:val="18"/>
    </w:rPr>
  </w:style>
  <w:style w:type="paragraph" w:customStyle="1" w:styleId="HUNoteBox">
    <w:name w:val="HU_Note_Box"/>
    <w:basedOn w:val="Norml"/>
    <w:next w:val="HUNormalBox"/>
    <w:link w:val="HUNoteBoxChar"/>
    <w:uiPriority w:val="1"/>
    <w:qFormat/>
    <w:rsid w:val="00F42909"/>
    <w:pPr>
      <w:keepLines/>
      <w:pBdr>
        <w:top w:val="single" w:sz="4" w:space="1" w:color="44546A"/>
        <w:left w:val="single" w:sz="4" w:space="4" w:color="44546A"/>
        <w:bottom w:val="single" w:sz="4" w:space="1" w:color="44546A"/>
        <w:right w:val="single" w:sz="4" w:space="4" w:color="44546A"/>
      </w:pBdr>
      <w:shd w:val="clear" w:color="auto" w:fill="C6EEFF"/>
      <w:jc w:val="center"/>
    </w:pPr>
    <w:rPr>
      <w:color w:val="808080"/>
      <w:sz w:val="18"/>
    </w:rPr>
  </w:style>
  <w:style w:type="character" w:customStyle="1" w:styleId="HUNoteBoxChar">
    <w:name w:val="HU_Note_Box Char"/>
    <w:link w:val="HUNoteBox"/>
    <w:uiPriority w:val="1"/>
    <w:rsid w:val="00F42909"/>
    <w:rPr>
      <w:rFonts w:ascii="Calibri" w:eastAsia="Calibri" w:hAnsi="Calibri" w:cs="Times New Roman"/>
      <w:color w:val="808080"/>
      <w:sz w:val="18"/>
      <w:shd w:val="clear" w:color="auto" w:fill="C6EEFF"/>
      <w:lang w:val="hu-HU" w:eastAsia="hu-HU"/>
    </w:rPr>
  </w:style>
  <w:style w:type="paragraph" w:customStyle="1" w:styleId="HUSectionTitle">
    <w:name w:val="HU_Section_Title"/>
    <w:basedOn w:val="Cmsor2"/>
    <w:next w:val="Norml"/>
    <w:link w:val="HUSectionTitleChar"/>
    <w:uiPriority w:val="1"/>
    <w:rsid w:val="00F42909"/>
    <w:pPr>
      <w:keepNext/>
    </w:pPr>
  </w:style>
  <w:style w:type="character" w:customStyle="1" w:styleId="HUSectionTitleChar">
    <w:name w:val="HU_Section_Title Char"/>
    <w:link w:val="HUSectionTitle"/>
    <w:uiPriority w:val="1"/>
    <w:rsid w:val="00F42909"/>
  </w:style>
  <w:style w:type="paragraph" w:customStyle="1" w:styleId="HUSubsectionTitle">
    <w:name w:val="HU_Subsection_Title"/>
    <w:basedOn w:val="Cmsor3"/>
    <w:next w:val="Norml"/>
    <w:link w:val="HUSubsectionTitleChar"/>
    <w:uiPriority w:val="1"/>
    <w:rsid w:val="00F42909"/>
    <w:pPr>
      <w:keepNext/>
      <w:ind w:left="595" w:hanging="595"/>
    </w:pPr>
  </w:style>
  <w:style w:type="character" w:customStyle="1" w:styleId="HUSubsectionTitleChar">
    <w:name w:val="HU_Subsection_Title Char"/>
    <w:link w:val="HUSubsectionTitle"/>
    <w:uiPriority w:val="1"/>
    <w:rsid w:val="00F42909"/>
  </w:style>
  <w:style w:type="paragraph" w:customStyle="1" w:styleId="Heading1Kiadvny">
    <w:name w:val="Heading 1 Kiadvány"/>
    <w:basedOn w:val="Cmsor1"/>
    <w:qFormat/>
    <w:rsid w:val="00F42909"/>
    <w:rPr>
      <w:b w:val="0"/>
      <w:caps w:val="0"/>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F89A654B-0A2E-4FB4-BAF4-9F8877BE9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1097</Words>
  <Characters>7572</Characters>
  <Application>Microsoft Office Word</Application>
  <DocSecurity>0</DocSecurity>
  <Lines>63</Lines>
  <Paragraphs>17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Potóczki Judit</dc:creator>
  <cp:keywords/>
  <cp:lastModifiedBy>Promaxx Iroda</cp:lastModifiedBy>
  <cp:revision>1</cp:revision>
  <cp:lastPrinted>2015-07-21T08:32:00Z</cp:lastPrinted>
  <dcterms:created xsi:type="dcterms:W3CDTF">2022-02-11T20:49:00Z</dcterms:created>
  <dcterms:modified xsi:type="dcterms:W3CDTF">2022-02-11T20:50:00Z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juhaszk@mnb.hu</vt:lpwstr>
  </property>
  <property fmtid="{D5CDD505-2E9C-101B-9397-08002B2CF9AE}" pid="6" name="MSIP_Label_b0d11092-50c9-4e74-84b5-b1af078dc3d0_SetDate">
    <vt:lpwstr>2019-01-22T13:36:06.7166312+01:00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ies>
</file>