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2D86F" w14:textId="1ED713F5" w:rsidR="00F56BC3" w:rsidRPr="00D82837" w:rsidRDefault="004D4A4D" w:rsidP="00DE18CF">
      <w:pPr>
        <w:keepLines w:val="0"/>
        <w:widowControl w:val="0"/>
        <w:jc w:val="left"/>
        <w:rPr>
          <w:rFonts w:ascii="Arial" w:hAnsi="Arial" w:cs="Arial"/>
          <w:b/>
          <w:sz w:val="20"/>
          <w:lang w:val="en-GB"/>
        </w:rPr>
      </w:pPr>
      <w:r w:rsidRPr="00D82837">
        <w:rPr>
          <w:rFonts w:ascii="Arial" w:hAnsi="Arial" w:cs="Arial"/>
          <w:b/>
          <w:bCs/>
          <w:sz w:val="20"/>
          <w:lang w:val="en-GB"/>
        </w:rPr>
        <w:t>MNB identification code: K05</w:t>
      </w:r>
    </w:p>
    <w:p w14:paraId="0445E242" w14:textId="77777777" w:rsidR="00F56BC3" w:rsidRPr="00D82837" w:rsidRDefault="00F56BC3" w:rsidP="00DE18CF">
      <w:pPr>
        <w:keepLines w:val="0"/>
        <w:widowControl w:val="0"/>
        <w:jc w:val="left"/>
        <w:rPr>
          <w:rFonts w:ascii="Arial" w:hAnsi="Arial" w:cs="Arial"/>
          <w:sz w:val="20"/>
          <w:lang w:val="en-GB"/>
        </w:rPr>
      </w:pPr>
    </w:p>
    <w:p w14:paraId="0805BFD8" w14:textId="77777777" w:rsidR="00F56BC3" w:rsidRPr="00D82837" w:rsidRDefault="00F56BC3" w:rsidP="00DE18CF">
      <w:pPr>
        <w:keepLines w:val="0"/>
        <w:widowControl w:val="0"/>
        <w:jc w:val="center"/>
        <w:rPr>
          <w:rFonts w:ascii="Arial" w:hAnsi="Arial" w:cs="Arial"/>
          <w:sz w:val="20"/>
          <w:lang w:val="en-GB"/>
        </w:rPr>
      </w:pPr>
    </w:p>
    <w:p w14:paraId="5F9D67FB" w14:textId="77777777" w:rsidR="00F56BC3" w:rsidRPr="00D82837" w:rsidRDefault="004D4A4D" w:rsidP="00DE18CF">
      <w:pPr>
        <w:keepLines w:val="0"/>
        <w:widowControl w:val="0"/>
        <w:jc w:val="center"/>
        <w:rPr>
          <w:rFonts w:ascii="Arial" w:hAnsi="Arial" w:cs="Arial"/>
          <w:b/>
          <w:sz w:val="20"/>
          <w:lang w:val="en-GB"/>
        </w:rPr>
      </w:pPr>
      <w:r w:rsidRPr="00D82837">
        <w:rPr>
          <w:rFonts w:ascii="Arial" w:hAnsi="Arial" w:cs="Arial"/>
          <w:b/>
          <w:bCs/>
          <w:sz w:val="20"/>
          <w:lang w:val="en-GB"/>
        </w:rPr>
        <w:t>Completion instructions</w:t>
      </w:r>
    </w:p>
    <w:p w14:paraId="34AAEFF6" w14:textId="3C25699B" w:rsidR="00F56BC3" w:rsidRPr="00D82837" w:rsidRDefault="006472D0" w:rsidP="00DE18CF">
      <w:pPr>
        <w:keepLines w:val="0"/>
        <w:widowControl w:val="0"/>
        <w:jc w:val="center"/>
        <w:rPr>
          <w:rFonts w:ascii="Arial" w:hAnsi="Arial" w:cs="Arial"/>
          <w:b/>
          <w:sz w:val="20"/>
          <w:lang w:val="en-GB"/>
        </w:rPr>
      </w:pPr>
      <w:r w:rsidRPr="00D82837">
        <w:rPr>
          <w:rFonts w:ascii="Arial" w:hAnsi="Arial" w:cs="Arial"/>
          <w:b/>
          <w:bCs/>
          <w:sz w:val="20"/>
          <w:lang w:val="en-GB"/>
        </w:rPr>
        <w:t>Daily report on the stock and interest rates of on-balance interbank transactions</w:t>
      </w:r>
    </w:p>
    <w:p w14:paraId="38816140" w14:textId="77777777" w:rsidR="00F56BC3" w:rsidRPr="00D82837" w:rsidRDefault="00F56BC3" w:rsidP="00DE18CF">
      <w:pPr>
        <w:keepLines w:val="0"/>
        <w:widowControl w:val="0"/>
        <w:rPr>
          <w:rFonts w:ascii="Arial" w:hAnsi="Arial" w:cs="Arial"/>
          <w:sz w:val="20"/>
          <w:lang w:val="en-GB"/>
        </w:rPr>
      </w:pPr>
    </w:p>
    <w:p w14:paraId="567C9B6E" w14:textId="77777777" w:rsidR="00F56BC3" w:rsidRPr="00D82837" w:rsidRDefault="004D4A4D" w:rsidP="00DE18CF">
      <w:pPr>
        <w:keepLines w:val="0"/>
        <w:widowControl w:val="0"/>
        <w:spacing w:before="120"/>
        <w:rPr>
          <w:rFonts w:ascii="Arial" w:hAnsi="Arial" w:cs="Arial"/>
          <w:b/>
          <w:sz w:val="20"/>
          <w:lang w:val="en-GB"/>
        </w:rPr>
      </w:pPr>
      <w:r w:rsidRPr="00D82837">
        <w:rPr>
          <w:rFonts w:ascii="Arial" w:hAnsi="Arial" w:cs="Arial"/>
          <w:b/>
          <w:bCs/>
          <w:sz w:val="20"/>
          <w:lang w:val="en-GB"/>
        </w:rPr>
        <w:t>I. General instructions</w:t>
      </w:r>
    </w:p>
    <w:p w14:paraId="0563BA3C" w14:textId="77777777" w:rsidR="0059164D" w:rsidRPr="00D82837" w:rsidRDefault="00D9076F" w:rsidP="00DE18CF">
      <w:pPr>
        <w:keepLines w:val="0"/>
        <w:widowControl w:val="0"/>
        <w:spacing w:before="120"/>
        <w:rPr>
          <w:rFonts w:ascii="Arial" w:hAnsi="Arial" w:cs="Arial"/>
          <w:sz w:val="20"/>
          <w:lang w:val="en-GB"/>
        </w:rPr>
      </w:pPr>
      <w:r w:rsidRPr="00D82837">
        <w:rPr>
          <w:rFonts w:ascii="Arial" w:hAnsi="Arial" w:cs="Arial"/>
          <w:sz w:val="20"/>
          <w:lang w:val="en-GB"/>
        </w:rPr>
        <w:t>1. In the data supply secured and unsecured interbank loan and deposit transactions shall be reported as interbank transactions, under which category lending and borrowing with the purpose of refinancing belong as well. Subordinated debts received as interbank loans and deposits shall be reported as well.</w:t>
      </w:r>
    </w:p>
    <w:p w14:paraId="5DEC3928" w14:textId="3C235652" w:rsidR="0038708D" w:rsidRPr="00D82837" w:rsidRDefault="002D288E" w:rsidP="00DE18CF">
      <w:pPr>
        <w:keepLines w:val="0"/>
        <w:widowControl w:val="0"/>
        <w:spacing w:before="120"/>
        <w:rPr>
          <w:rFonts w:ascii="Arial" w:hAnsi="Arial" w:cs="Arial"/>
          <w:sz w:val="20"/>
          <w:lang w:val="en-GB"/>
        </w:rPr>
      </w:pPr>
      <w:r w:rsidRPr="00D82837">
        <w:rPr>
          <w:rFonts w:ascii="Arial" w:hAnsi="Arial" w:cs="Arial"/>
          <w:sz w:val="20"/>
          <w:lang w:val="en-GB"/>
        </w:rPr>
        <w:t>Demand and overnight deposits and overdrafts, deposit accounts stated in Table 06 of the return of MNB identification code D01, unsecured interbank transactions reported with MNB identification codes K02 and K12, and repo-type transactions stated with codes E60 and E65 do not need to be reported.</w:t>
      </w:r>
    </w:p>
    <w:p w14:paraId="4A59978F" w14:textId="77777777" w:rsidR="00D9076F" w:rsidRPr="00D82837" w:rsidRDefault="00D9076F" w:rsidP="00DE18CF">
      <w:pPr>
        <w:keepLines w:val="0"/>
        <w:widowControl w:val="0"/>
        <w:spacing w:before="120"/>
        <w:rPr>
          <w:rFonts w:ascii="Arial" w:hAnsi="Arial" w:cs="Arial"/>
          <w:sz w:val="20"/>
          <w:lang w:val="en-GB"/>
        </w:rPr>
      </w:pPr>
    </w:p>
    <w:p w14:paraId="6A183598" w14:textId="38D592BC" w:rsidR="00865FF9" w:rsidRPr="00D82837" w:rsidRDefault="00D9076F" w:rsidP="00DE18CF">
      <w:pPr>
        <w:keepLines w:val="0"/>
        <w:widowControl w:val="0"/>
        <w:spacing w:after="120"/>
        <w:rPr>
          <w:rFonts w:ascii="Arial" w:hAnsi="Arial" w:cs="Arial"/>
          <w:sz w:val="20"/>
          <w:lang w:val="en-GB"/>
        </w:rPr>
      </w:pPr>
      <w:r w:rsidRPr="00D82837">
        <w:rPr>
          <w:rFonts w:ascii="Arial" w:hAnsi="Arial" w:cs="Arial"/>
          <w:sz w:val="20"/>
          <w:lang w:val="en-GB"/>
        </w:rPr>
        <w:t>2. Table 01 reports transactions with foreign counterparties of the data supplier, while Table 02 reports transactions between data suppliers, i.e. between banks, specialised credit institutions, and such types of EEA branch offices.</w:t>
      </w:r>
    </w:p>
    <w:p w14:paraId="5CC489AD" w14:textId="4B1EFC58" w:rsidR="006472D0" w:rsidRPr="00D82837" w:rsidRDefault="00D9076F" w:rsidP="00DE18CF">
      <w:pPr>
        <w:keepLines w:val="0"/>
        <w:widowControl w:val="0"/>
        <w:spacing w:after="120"/>
        <w:rPr>
          <w:rFonts w:ascii="Arial" w:hAnsi="Arial" w:cs="Arial"/>
          <w:sz w:val="20"/>
          <w:lang w:val="en-GB"/>
        </w:rPr>
      </w:pPr>
      <w:r w:rsidRPr="00D82837">
        <w:rPr>
          <w:rFonts w:ascii="Arial" w:hAnsi="Arial" w:cs="Arial"/>
          <w:sz w:val="20"/>
          <w:lang w:val="en-GB"/>
        </w:rPr>
        <w:t>3. The data supply shall contain the data of interbank transactions concluded on the reference date. The transactions of the reporting date shall include transactions concluded by the closing time of the Hungarian RTGS on the particular day.</w:t>
      </w:r>
    </w:p>
    <w:p w14:paraId="29E30F2D" w14:textId="7EC38A1E" w:rsidR="0058153B" w:rsidRPr="00D82837" w:rsidRDefault="0058153B" w:rsidP="00DE18CF">
      <w:pPr>
        <w:keepLines w:val="0"/>
        <w:widowControl w:val="0"/>
        <w:spacing w:after="120"/>
        <w:rPr>
          <w:rFonts w:ascii="Arial" w:hAnsi="Arial" w:cs="Arial"/>
          <w:sz w:val="20"/>
          <w:lang w:val="en-GB"/>
        </w:rPr>
      </w:pPr>
      <w:r w:rsidRPr="00D82837">
        <w:rPr>
          <w:rFonts w:ascii="Arial" w:hAnsi="Arial" w:cs="Arial"/>
          <w:sz w:val="20"/>
          <w:lang w:val="en-GB"/>
        </w:rPr>
        <w:t>4. In the case of lending and borrowing for refinancing purposes, both the loans taken out and the on-lending should be reported, in two separate rows, if they are interbank transactions. If only one of the transactions is an interbank transaction, this transaction should be reported in the tables, in a single row. In the case of pledge purchase transactions, it is not the details of the individual transactions purchased that should be reported in the tables, but the parameters of the interbank transaction between the data supplier and its counterparty.</w:t>
      </w:r>
    </w:p>
    <w:p w14:paraId="7A36D207" w14:textId="2E968C0C" w:rsidR="00865FF9" w:rsidRPr="00D82837" w:rsidRDefault="0058153B" w:rsidP="00DE18CF">
      <w:pPr>
        <w:keepLines w:val="0"/>
        <w:widowControl w:val="0"/>
        <w:spacing w:after="120"/>
        <w:rPr>
          <w:rFonts w:ascii="Arial" w:hAnsi="Arial" w:cs="Arial"/>
          <w:sz w:val="20"/>
          <w:lang w:val="en-GB"/>
        </w:rPr>
      </w:pPr>
      <w:r w:rsidRPr="00D82837">
        <w:rPr>
          <w:rFonts w:ascii="Arial" w:hAnsi="Arial" w:cs="Arial"/>
          <w:sz w:val="20"/>
          <w:lang w:val="en-GB"/>
        </w:rPr>
        <w:t>5. Credit line agreements shall not be reported upon conclusion but upon drawing, in line with the amounts drawn, and the interest rate prevailing upon drawing shall be reported. If the already drawn credit line is expanded, the new credit line increment shall be reported only upon its drawing.</w:t>
      </w:r>
    </w:p>
    <w:p w14:paraId="24245C71" w14:textId="32B357BD" w:rsidR="00865FF9" w:rsidRPr="00D82837" w:rsidRDefault="0058153B" w:rsidP="002D288E">
      <w:pPr>
        <w:keepLines w:val="0"/>
        <w:widowControl w:val="0"/>
        <w:spacing w:after="120"/>
        <w:rPr>
          <w:rFonts w:ascii="Arial" w:hAnsi="Arial" w:cs="Arial"/>
          <w:sz w:val="20"/>
          <w:lang w:val="en-GB"/>
        </w:rPr>
      </w:pPr>
      <w:r w:rsidRPr="00D82837">
        <w:rPr>
          <w:rFonts w:ascii="Arial" w:hAnsi="Arial" w:cs="Arial"/>
          <w:sz w:val="20"/>
          <w:lang w:val="en-GB"/>
        </w:rPr>
        <w:t>6. A glossary of terms used in the tables and in these completion instructions is located in point I.E.3 of this Annex.</w:t>
      </w:r>
    </w:p>
    <w:p w14:paraId="21FB254F" w14:textId="5D775357" w:rsidR="00431D9D" w:rsidRPr="00D82837" w:rsidRDefault="0058153B" w:rsidP="00DE18CF">
      <w:pPr>
        <w:keepLines w:val="0"/>
        <w:widowControl w:val="0"/>
        <w:tabs>
          <w:tab w:val="left" w:pos="2127"/>
        </w:tabs>
        <w:spacing w:after="120"/>
        <w:rPr>
          <w:rFonts w:ascii="Arial" w:hAnsi="Arial" w:cs="Arial"/>
          <w:sz w:val="20"/>
          <w:lang w:val="en-GB"/>
        </w:rPr>
      </w:pPr>
      <w:r w:rsidRPr="00D82837">
        <w:rPr>
          <w:rFonts w:ascii="Arial" w:hAnsi="Arial" w:cs="Arial"/>
          <w:sz w:val="20"/>
          <w:lang w:val="en-GB"/>
        </w:rPr>
        <w:t>7. The ISO codes for the currencies to be reported in the tables, as well as the additional codes to be used in the tables (hereinafter: ‘code list’) are listed in the technical guidelines referred to in points 4.1 and 4.6 of Annex 3, published on the MNB’s website.</w:t>
      </w:r>
    </w:p>
    <w:p w14:paraId="3AD2FB66" w14:textId="77777777" w:rsidR="00F56BC3" w:rsidRPr="00D82837" w:rsidRDefault="00F56BC3" w:rsidP="00DE18CF">
      <w:pPr>
        <w:keepLines w:val="0"/>
        <w:widowControl w:val="0"/>
        <w:rPr>
          <w:rFonts w:ascii="Arial" w:hAnsi="Arial" w:cs="Arial"/>
          <w:sz w:val="20"/>
          <w:lang w:val="en-GB"/>
        </w:rPr>
      </w:pPr>
    </w:p>
    <w:p w14:paraId="4B035EA2" w14:textId="77777777" w:rsidR="00F56BC3" w:rsidRPr="00D82837" w:rsidRDefault="00F56BC3" w:rsidP="00DE18CF">
      <w:pPr>
        <w:keepNext/>
        <w:keepLines w:val="0"/>
        <w:rPr>
          <w:rFonts w:ascii="Arial" w:hAnsi="Arial" w:cs="Arial"/>
          <w:b/>
          <w:sz w:val="20"/>
          <w:lang w:val="en-GB"/>
        </w:rPr>
      </w:pPr>
      <w:r w:rsidRPr="00D82837">
        <w:rPr>
          <w:rFonts w:ascii="Arial" w:hAnsi="Arial" w:cs="Arial"/>
          <w:b/>
          <w:bCs/>
          <w:sz w:val="20"/>
          <w:lang w:val="en-GB"/>
        </w:rPr>
        <w:t>II. Detailed instructions for the completion of the tables</w:t>
      </w:r>
    </w:p>
    <w:p w14:paraId="5B5239E0" w14:textId="77777777" w:rsidR="00F56BC3" w:rsidRPr="00D82837" w:rsidRDefault="00F56BC3" w:rsidP="00DE18CF">
      <w:pPr>
        <w:keepNext/>
        <w:keepLines w:val="0"/>
        <w:rPr>
          <w:rFonts w:ascii="Arial" w:hAnsi="Arial" w:cs="Arial"/>
          <w:sz w:val="20"/>
          <w:lang w:val="en-GB"/>
        </w:rPr>
      </w:pPr>
    </w:p>
    <w:p w14:paraId="7C833C15" w14:textId="77777777" w:rsidR="00822053" w:rsidRPr="00D82837" w:rsidRDefault="00822053" w:rsidP="00DE18CF">
      <w:pPr>
        <w:keepNext/>
        <w:keepLines w:val="0"/>
        <w:rPr>
          <w:rFonts w:ascii="Arial" w:hAnsi="Arial" w:cs="Arial"/>
          <w:sz w:val="20"/>
          <w:lang w:val="en-GB"/>
        </w:rPr>
      </w:pPr>
      <w:r w:rsidRPr="00D82837">
        <w:rPr>
          <w:rFonts w:ascii="Arial" w:hAnsi="Arial" w:cs="Arial"/>
          <w:b/>
          <w:bCs/>
          <w:sz w:val="20"/>
          <w:lang w:val="en-GB"/>
        </w:rPr>
        <w:t>Table 01: Interest rates on foreign interbank on-balance transactions</w:t>
      </w:r>
    </w:p>
    <w:p w14:paraId="51A4FF8B" w14:textId="29DA4D41" w:rsidR="006A4176" w:rsidRPr="00D82837" w:rsidRDefault="006A4176" w:rsidP="00DE18CF">
      <w:pPr>
        <w:keepNext/>
        <w:keepLines w:val="0"/>
        <w:rPr>
          <w:rFonts w:ascii="Arial" w:hAnsi="Arial" w:cs="Arial"/>
          <w:sz w:val="20"/>
          <w:lang w:val="en-GB"/>
        </w:rPr>
      </w:pPr>
    </w:p>
    <w:p w14:paraId="36D28969" w14:textId="6E6B5CB3" w:rsidR="00BC7847" w:rsidRPr="00D82837" w:rsidRDefault="00BC7847" w:rsidP="00DE18CF">
      <w:pPr>
        <w:keepNext/>
        <w:keepLines w:val="0"/>
        <w:rPr>
          <w:rFonts w:ascii="Arial" w:hAnsi="Arial" w:cs="Arial"/>
          <w:sz w:val="20"/>
          <w:lang w:val="en-GB"/>
        </w:rPr>
      </w:pPr>
      <w:r w:rsidRPr="00D82837">
        <w:rPr>
          <w:rFonts w:ascii="Arial" w:hAnsi="Arial" w:cs="Arial"/>
          <w:sz w:val="20"/>
          <w:lang w:val="en-GB"/>
        </w:rPr>
        <w:t>Content of the fields of individual columns:</w:t>
      </w:r>
    </w:p>
    <w:p w14:paraId="41EC5289" w14:textId="6F4DEF95" w:rsidR="00865FF9" w:rsidRPr="00D82837" w:rsidRDefault="008724E9" w:rsidP="00DE18CF">
      <w:pPr>
        <w:keepLines w:val="0"/>
        <w:widowControl w:val="0"/>
        <w:numPr>
          <w:ilvl w:val="0"/>
          <w:numId w:val="2"/>
        </w:numPr>
        <w:rPr>
          <w:rFonts w:ascii="Arial" w:hAnsi="Arial" w:cs="Arial"/>
          <w:sz w:val="20"/>
          <w:lang w:val="en-GB"/>
        </w:rPr>
      </w:pPr>
      <w:r w:rsidRPr="00D82837">
        <w:rPr>
          <w:rFonts w:ascii="Arial" w:hAnsi="Arial" w:cs="Arial"/>
          <w:sz w:val="20"/>
          <w:lang w:val="en-GB"/>
        </w:rPr>
        <w:t>ISO code: The ISO code of the original currency determined in the contract regarding the interbank transaction.</w:t>
      </w:r>
    </w:p>
    <w:p w14:paraId="22271FD9" w14:textId="77777777" w:rsidR="00F56BC3" w:rsidRPr="00D82837" w:rsidRDefault="004D4A4D" w:rsidP="00DE18CF">
      <w:pPr>
        <w:keepLines w:val="0"/>
        <w:widowControl w:val="0"/>
        <w:numPr>
          <w:ilvl w:val="0"/>
          <w:numId w:val="2"/>
        </w:numPr>
        <w:rPr>
          <w:rFonts w:ascii="Arial" w:hAnsi="Arial" w:cs="Arial"/>
          <w:sz w:val="20"/>
          <w:lang w:val="en-GB"/>
        </w:rPr>
      </w:pPr>
      <w:r w:rsidRPr="00D82837">
        <w:rPr>
          <w:rFonts w:ascii="Arial" w:hAnsi="Arial" w:cs="Arial"/>
          <w:sz w:val="20"/>
          <w:lang w:val="en-GB"/>
        </w:rPr>
        <w:t>Identification code of the contracting partner: the contracting party participating in the on-balance foreign interbank transaction shall be indicated using the appropriate code</w:t>
      </w:r>
    </w:p>
    <w:p w14:paraId="51FD85A6" w14:textId="58038AC1" w:rsidR="00865FF9" w:rsidRPr="00D82837" w:rsidRDefault="00F56BC3" w:rsidP="00DE18CF">
      <w:pPr>
        <w:keepLines w:val="0"/>
        <w:widowControl w:val="0"/>
        <w:numPr>
          <w:ilvl w:val="0"/>
          <w:numId w:val="2"/>
        </w:numPr>
        <w:rPr>
          <w:rFonts w:ascii="Arial" w:hAnsi="Arial" w:cs="Arial"/>
          <w:sz w:val="20"/>
          <w:lang w:val="en-GB"/>
        </w:rPr>
      </w:pPr>
      <w:r w:rsidRPr="00D82837">
        <w:rPr>
          <w:rFonts w:ascii="Arial" w:hAnsi="Arial" w:cs="Arial"/>
          <w:sz w:val="20"/>
          <w:lang w:val="en-GB"/>
        </w:rPr>
        <w:t>Contract value: the data shall be given in the original currency specified in the contract concerning the transaction, in unit.</w:t>
      </w:r>
    </w:p>
    <w:p w14:paraId="05FD0587" w14:textId="025143B7" w:rsidR="00865FF9" w:rsidRPr="00D82837" w:rsidRDefault="00F56BC3" w:rsidP="00DE18CF">
      <w:pPr>
        <w:keepLines w:val="0"/>
        <w:widowControl w:val="0"/>
        <w:numPr>
          <w:ilvl w:val="0"/>
          <w:numId w:val="2"/>
        </w:numPr>
        <w:rPr>
          <w:rFonts w:ascii="Arial" w:hAnsi="Arial" w:cs="Arial"/>
          <w:sz w:val="20"/>
          <w:lang w:val="en-GB"/>
        </w:rPr>
      </w:pPr>
      <w:r w:rsidRPr="00D82837">
        <w:rPr>
          <w:rFonts w:ascii="Arial" w:hAnsi="Arial" w:cs="Arial"/>
          <w:sz w:val="20"/>
          <w:lang w:val="en-GB"/>
        </w:rPr>
        <w:t>Starting value date of interbank transaction: the value date of the transaction shall be given.</w:t>
      </w:r>
    </w:p>
    <w:p w14:paraId="56C9C5D0" w14:textId="77777777" w:rsidR="00F56BC3" w:rsidRPr="00D82837" w:rsidRDefault="00F56BC3" w:rsidP="00DE18CF">
      <w:pPr>
        <w:keepLines w:val="0"/>
        <w:widowControl w:val="0"/>
        <w:numPr>
          <w:ilvl w:val="0"/>
          <w:numId w:val="2"/>
        </w:numPr>
        <w:rPr>
          <w:rFonts w:ascii="Arial" w:hAnsi="Arial" w:cs="Arial"/>
          <w:sz w:val="20"/>
          <w:lang w:val="en-GB"/>
        </w:rPr>
      </w:pPr>
      <w:r w:rsidRPr="00D82837">
        <w:rPr>
          <w:rFonts w:ascii="Arial" w:hAnsi="Arial" w:cs="Arial"/>
          <w:sz w:val="20"/>
          <w:lang w:val="en-GB"/>
        </w:rPr>
        <w:t>Closing date of interbank transaction: the calendar day shall be indicated.</w:t>
      </w:r>
    </w:p>
    <w:p w14:paraId="15B69821" w14:textId="77777777" w:rsidR="00431D9D" w:rsidRPr="00D82837" w:rsidRDefault="00EA6B1A" w:rsidP="00DE18CF">
      <w:pPr>
        <w:keepLines w:val="0"/>
        <w:widowControl w:val="0"/>
        <w:numPr>
          <w:ilvl w:val="0"/>
          <w:numId w:val="2"/>
        </w:numPr>
        <w:rPr>
          <w:rFonts w:ascii="Arial" w:hAnsi="Arial" w:cs="Arial"/>
          <w:sz w:val="20"/>
          <w:lang w:val="en-GB"/>
        </w:rPr>
      </w:pPr>
      <w:r w:rsidRPr="00D82837">
        <w:rPr>
          <w:rFonts w:ascii="Arial" w:hAnsi="Arial" w:cs="Arial"/>
          <w:sz w:val="20"/>
          <w:lang w:val="en-GB"/>
        </w:rPr>
        <w:t>Instrument type: The type of the loan shall be classified and completed on the basis of the code list, using the appropriate code.</w:t>
      </w:r>
    </w:p>
    <w:p w14:paraId="18F6DC1E" w14:textId="029F863F" w:rsidR="00431D9D" w:rsidRPr="00D82837" w:rsidRDefault="00431D9D" w:rsidP="00DE18CF">
      <w:pPr>
        <w:keepLines w:val="0"/>
        <w:widowControl w:val="0"/>
        <w:ind w:left="641" w:hanging="357"/>
        <w:rPr>
          <w:rFonts w:ascii="Arial" w:hAnsi="Arial" w:cs="Arial"/>
          <w:snapToGrid w:val="0"/>
          <w:sz w:val="20"/>
          <w:lang w:val="en-GB"/>
        </w:rPr>
      </w:pPr>
      <w:r w:rsidRPr="00D82837">
        <w:rPr>
          <w:rFonts w:ascii="Arial" w:hAnsi="Arial" w:cs="Arial"/>
          <w:snapToGrid w:val="0"/>
          <w:sz w:val="20"/>
          <w:lang w:val="en-GB"/>
        </w:rPr>
        <w:t>g), h) Reference rate: to be provided according to the list of codes.</w:t>
      </w:r>
    </w:p>
    <w:p w14:paraId="5167323B" w14:textId="69A6D92D" w:rsidR="00431D9D" w:rsidRPr="00D82837" w:rsidRDefault="00431D9D" w:rsidP="00DE18CF">
      <w:pPr>
        <w:keepLines w:val="0"/>
        <w:widowControl w:val="0"/>
        <w:ind w:left="644" w:hanging="360"/>
        <w:rPr>
          <w:rFonts w:ascii="Arial" w:hAnsi="Arial" w:cs="Arial"/>
          <w:sz w:val="20"/>
          <w:lang w:val="en-GB"/>
        </w:rPr>
      </w:pPr>
      <w:r w:rsidRPr="00D82837">
        <w:rPr>
          <w:rFonts w:ascii="Arial" w:hAnsi="Arial" w:cs="Arial"/>
          <w:sz w:val="20"/>
          <w:lang w:val="en-GB"/>
        </w:rPr>
        <w:t>i)</w:t>
      </w:r>
      <w:r w:rsidRPr="00D82837">
        <w:rPr>
          <w:rFonts w:ascii="Arial" w:hAnsi="Arial" w:cs="Arial"/>
          <w:sz w:val="20"/>
          <w:lang w:val="en-GB"/>
        </w:rPr>
        <w:tab/>
        <w:t>Annualised interest rate (in %): the annualised interest rate calculated from the contractual interest rate, expressed as a percentage of the nominal value shall be provided.</w:t>
      </w:r>
    </w:p>
    <w:p w14:paraId="69425EA4" w14:textId="77777777" w:rsidR="002D288E" w:rsidRPr="00D82837" w:rsidRDefault="002D288E" w:rsidP="002D288E">
      <w:pPr>
        <w:keepLines w:val="0"/>
        <w:widowControl w:val="0"/>
        <w:ind w:left="646" w:right="-57"/>
        <w:rPr>
          <w:rFonts w:ascii="Arial" w:hAnsi="Arial" w:cs="Arial"/>
          <w:sz w:val="20"/>
          <w:lang w:val="en-GB"/>
        </w:rPr>
      </w:pPr>
      <w:r w:rsidRPr="00D82837">
        <w:rPr>
          <w:rFonts w:ascii="Arial" w:hAnsi="Arial" w:cs="Arial"/>
          <w:sz w:val="20"/>
          <w:lang w:val="en-GB"/>
        </w:rPr>
        <w:t xml:space="preserve">In the case of a fixed interest rate, where the fixed interest rate is defined not as a percentage but as an amount which is payable in one lump sum at the end of the term, the formula set out in subsection 1.5 of Section I.E.1 of this Annex shall be used to calculate the annualised interest rate. In other cases, depending on the frequency of interest capitalisation and principal repayments, </w:t>
      </w:r>
      <w:r w:rsidRPr="00D82837">
        <w:rPr>
          <w:rFonts w:ascii="Arial" w:hAnsi="Arial" w:cs="Arial"/>
          <w:sz w:val="20"/>
          <w:lang w:val="en-GB"/>
        </w:rPr>
        <w:lastRenderedPageBreak/>
        <w:t>either formula 1 in subsection 3.3 of Section I.E.3 of this Annex or the following formula shall apply:</w:t>
      </w:r>
    </w:p>
    <w:p w14:paraId="3235A7A6" w14:textId="77777777" w:rsidR="002D288E" w:rsidRPr="00D82837" w:rsidRDefault="002D288E" w:rsidP="002D288E">
      <w:pPr>
        <w:pStyle w:val="Listaszerbekezds"/>
        <w:keepLines w:val="0"/>
        <w:widowControl w:val="0"/>
        <w:tabs>
          <w:tab w:val="left" w:pos="993"/>
        </w:tabs>
        <w:spacing w:before="120"/>
        <w:ind w:left="644"/>
        <w:rPr>
          <w:rFonts w:ascii="Arial" w:hAnsi="Arial" w:cs="Arial"/>
          <w:b/>
          <w:sz w:val="20"/>
          <w:lang w:val="en-GB"/>
        </w:rPr>
      </w:pPr>
      <m:oMathPara>
        <m:oMath>
          <m:r>
            <m:rPr>
              <m:sty m:val="bi"/>
            </m:rPr>
            <w:rPr>
              <w:rFonts w:ascii="Cambria Math" w:hAnsi="Cambria Math" w:cs="Arial"/>
              <w:szCs w:val="24"/>
              <w:lang w:val="en-GB"/>
            </w:rPr>
            <m:t>X=</m:t>
          </m:r>
          <m:sSup>
            <m:sSupPr>
              <m:ctrlPr>
                <w:rPr>
                  <w:rFonts w:ascii="Cambria Math" w:hAnsi="Cambria Math" w:cs="Arial"/>
                  <w:b/>
                  <w:i/>
                  <w:szCs w:val="24"/>
                  <w:lang w:val="en-GB"/>
                </w:rPr>
              </m:ctrlPr>
            </m:sSupPr>
            <m:e>
              <m:d>
                <m:dPr>
                  <m:ctrlPr>
                    <w:rPr>
                      <w:rFonts w:ascii="Cambria Math" w:hAnsi="Cambria Math" w:cs="Arial"/>
                      <w:b/>
                      <w:i/>
                      <w:szCs w:val="24"/>
                      <w:lang w:val="en-GB"/>
                    </w:rPr>
                  </m:ctrlPr>
                </m:dPr>
                <m:e>
                  <m:r>
                    <m:rPr>
                      <m:sty m:val="bi"/>
                    </m:rPr>
                    <w:rPr>
                      <w:rFonts w:ascii="Cambria Math" w:hAnsi="Cambria Math" w:cs="Arial"/>
                      <w:szCs w:val="24"/>
                      <w:lang w:val="en-GB"/>
                    </w:rPr>
                    <m:t>1+</m:t>
                  </m:r>
                  <m:sSub>
                    <m:sSubPr>
                      <m:ctrlPr>
                        <w:rPr>
                          <w:rFonts w:ascii="Cambria Math" w:hAnsi="Cambria Math" w:cs="Arial"/>
                          <w:b/>
                          <w:i/>
                          <w:szCs w:val="24"/>
                          <w:lang w:val="en-GB"/>
                        </w:rPr>
                      </m:ctrlPr>
                    </m:sSubPr>
                    <m:e>
                      <m:r>
                        <m:rPr>
                          <m:sty m:val="bi"/>
                        </m:rPr>
                        <w:rPr>
                          <w:rFonts w:ascii="Cambria Math" w:hAnsi="Cambria Math" w:cs="Arial"/>
                          <w:szCs w:val="24"/>
                          <w:lang w:val="en-GB"/>
                        </w:rPr>
                        <m:t>r</m:t>
                      </m:r>
                    </m:e>
                    <m:sub>
                      <m:r>
                        <m:rPr>
                          <m:sty m:val="bi"/>
                        </m:rPr>
                        <w:rPr>
                          <w:rFonts w:ascii="Cambria Math" w:hAnsi="Cambria Math" w:cs="Arial"/>
                          <w:szCs w:val="24"/>
                          <w:lang w:val="en-GB"/>
                        </w:rPr>
                        <m:t>sz</m:t>
                      </m:r>
                    </m:sub>
                  </m:sSub>
                  <m:sSub>
                    <m:sSubPr>
                      <m:ctrlPr>
                        <w:rPr>
                          <w:rFonts w:ascii="Cambria Math" w:hAnsi="Cambria Math" w:cs="Arial"/>
                          <w:b/>
                          <w:i/>
                          <w:szCs w:val="24"/>
                          <w:lang w:val="en-GB"/>
                        </w:rPr>
                      </m:ctrlPr>
                    </m:sSubPr>
                    <m:e>
                      <m:r>
                        <m:rPr>
                          <m:sty m:val="bi"/>
                        </m:rPr>
                        <w:rPr>
                          <w:rFonts w:ascii="Cambria Math" w:hAnsi="Cambria Math" w:cs="Arial"/>
                          <w:szCs w:val="24"/>
                          <w:lang w:val="en-GB"/>
                        </w:rPr>
                        <m:t>t</m:t>
                      </m:r>
                    </m:e>
                    <m:sub>
                      <m:r>
                        <m:rPr>
                          <m:sty m:val="bi"/>
                        </m:rPr>
                        <w:rPr>
                          <w:rFonts w:ascii="Cambria Math" w:hAnsi="Cambria Math" w:cs="Arial"/>
                          <w:szCs w:val="24"/>
                          <w:lang w:val="en-GB"/>
                        </w:rPr>
                        <m:t>sz</m:t>
                      </m:r>
                    </m:sub>
                  </m:sSub>
                </m:e>
              </m:d>
            </m:e>
            <m:sup>
              <m:f>
                <m:fPr>
                  <m:ctrlPr>
                    <w:rPr>
                      <w:rFonts w:ascii="Cambria Math" w:hAnsi="Cambria Math" w:cs="Arial"/>
                      <w:b/>
                      <w:i/>
                      <w:szCs w:val="24"/>
                      <w:lang w:val="en-GB"/>
                    </w:rPr>
                  </m:ctrlPr>
                </m:fPr>
                <m:num>
                  <m:r>
                    <m:rPr>
                      <m:sty m:val="bi"/>
                    </m:rPr>
                    <w:rPr>
                      <w:rFonts w:ascii="Cambria Math" w:hAnsi="Cambria Math" w:cs="Arial"/>
                      <w:szCs w:val="24"/>
                      <w:lang w:val="en-GB"/>
                    </w:rPr>
                    <m:t>1</m:t>
                  </m:r>
                </m:num>
                <m:den>
                  <m:r>
                    <m:rPr>
                      <m:sty m:val="bi"/>
                    </m:rPr>
                    <w:rPr>
                      <w:rFonts w:ascii="Cambria Math" w:hAnsi="Cambria Math" w:cs="Arial"/>
                      <w:szCs w:val="24"/>
                      <w:lang w:val="en-GB"/>
                    </w:rPr>
                    <m:t>T</m:t>
                  </m:r>
                </m:den>
              </m:f>
            </m:sup>
          </m:sSup>
          <m:r>
            <m:rPr>
              <m:sty m:val="bi"/>
            </m:rPr>
            <w:rPr>
              <w:rFonts w:ascii="Cambria Math" w:hAnsi="Cambria Math" w:cs="Arial"/>
              <w:szCs w:val="24"/>
              <w:lang w:val="en-GB"/>
            </w:rPr>
            <m:t>-1</m:t>
          </m:r>
        </m:oMath>
      </m:oMathPara>
    </w:p>
    <w:p w14:paraId="4F6D5EA0" w14:textId="77777777" w:rsidR="002D288E" w:rsidRPr="00D82837" w:rsidRDefault="002D288E" w:rsidP="002D288E">
      <w:pPr>
        <w:pStyle w:val="Listaszerbekezds"/>
        <w:keepLines w:val="0"/>
        <w:widowControl w:val="0"/>
        <w:tabs>
          <w:tab w:val="left" w:pos="993"/>
        </w:tabs>
        <w:ind w:left="644"/>
        <w:rPr>
          <w:rFonts w:ascii="Arial" w:hAnsi="Arial" w:cs="Arial"/>
          <w:snapToGrid w:val="0"/>
          <w:sz w:val="20"/>
          <w:lang w:val="en-GB"/>
        </w:rPr>
      </w:pPr>
      <w:r w:rsidRPr="00D82837">
        <w:rPr>
          <w:rFonts w:ascii="Arial" w:hAnsi="Arial" w:cs="Arial"/>
          <w:snapToGrid w:val="0"/>
          <w:sz w:val="20"/>
          <w:lang w:val="en-GB"/>
        </w:rPr>
        <w:t>where</w:t>
      </w:r>
    </w:p>
    <w:p w14:paraId="31D3F95E" w14:textId="77777777" w:rsidR="002D288E" w:rsidRPr="00D82837" w:rsidRDefault="002D288E" w:rsidP="002D288E">
      <w:pPr>
        <w:pStyle w:val="Listaszerbekezds"/>
        <w:keepLines w:val="0"/>
        <w:widowControl w:val="0"/>
        <w:tabs>
          <w:tab w:val="left" w:pos="993"/>
        </w:tabs>
        <w:ind w:left="644"/>
        <w:rPr>
          <w:rFonts w:ascii="Arial" w:hAnsi="Arial" w:cs="Arial"/>
          <w:snapToGrid w:val="0"/>
          <w:sz w:val="20"/>
          <w:lang w:val="en-GB"/>
        </w:rPr>
      </w:pPr>
      <w:r w:rsidRPr="00D82837">
        <w:rPr>
          <w:rFonts w:ascii="Arial" w:hAnsi="Arial" w:cs="Arial"/>
          <w:snapToGrid w:val="0"/>
          <w:sz w:val="20"/>
          <w:lang w:val="en-GB"/>
        </w:rPr>
        <w:t>X: the annualised interest rate,</w:t>
      </w:r>
    </w:p>
    <w:p w14:paraId="2C124B70" w14:textId="77777777" w:rsidR="002D288E" w:rsidRPr="00D82837" w:rsidRDefault="002D288E" w:rsidP="002D288E">
      <w:pPr>
        <w:pStyle w:val="Listaszerbekezds"/>
        <w:keepLines w:val="0"/>
        <w:widowControl w:val="0"/>
        <w:tabs>
          <w:tab w:val="left" w:pos="993"/>
        </w:tabs>
        <w:ind w:left="644"/>
        <w:rPr>
          <w:rFonts w:ascii="Arial" w:hAnsi="Arial" w:cs="Arial"/>
          <w:snapToGrid w:val="0"/>
          <w:sz w:val="20"/>
          <w:lang w:val="en-GB"/>
        </w:rPr>
      </w:pPr>
      <w:r w:rsidRPr="00D82837">
        <w:rPr>
          <w:rFonts w:ascii="Arial" w:hAnsi="Arial" w:cs="Arial"/>
          <w:snapToGrid w:val="0"/>
          <w:sz w:val="20"/>
          <w:lang w:val="en-GB"/>
        </w:rPr>
        <w:t>r</w:t>
      </w:r>
      <w:r w:rsidRPr="00D82837">
        <w:rPr>
          <w:rFonts w:ascii="Arial" w:hAnsi="Arial" w:cs="Arial"/>
          <w:snapToGrid w:val="0"/>
          <w:sz w:val="20"/>
          <w:vertAlign w:val="subscript"/>
          <w:lang w:val="en-GB"/>
        </w:rPr>
        <w:t>sz</w:t>
      </w:r>
      <w:r w:rsidRPr="00D82837">
        <w:rPr>
          <w:rFonts w:ascii="Arial" w:hAnsi="Arial" w:cs="Arial"/>
          <w:snapToGrid w:val="0"/>
          <w:sz w:val="20"/>
          <w:lang w:val="en-GB"/>
        </w:rPr>
        <w:t>: the annual interest rate specified in the agreement,</w:t>
      </w:r>
    </w:p>
    <w:p w14:paraId="54E4DBAE" w14:textId="77777777" w:rsidR="002D288E" w:rsidRPr="00D82837" w:rsidRDefault="002D288E" w:rsidP="002D288E">
      <w:pPr>
        <w:pStyle w:val="Listaszerbekezds"/>
        <w:keepLines w:val="0"/>
        <w:widowControl w:val="0"/>
        <w:tabs>
          <w:tab w:val="left" w:pos="993"/>
        </w:tabs>
        <w:ind w:left="644"/>
        <w:rPr>
          <w:rFonts w:ascii="Arial" w:hAnsi="Arial" w:cs="Arial"/>
          <w:snapToGrid w:val="0"/>
          <w:sz w:val="20"/>
          <w:lang w:val="en-GB"/>
        </w:rPr>
      </w:pPr>
      <w:r w:rsidRPr="00D82837">
        <w:rPr>
          <w:rFonts w:ascii="Arial" w:hAnsi="Arial" w:cs="Arial"/>
          <w:snapToGrid w:val="0"/>
          <w:sz w:val="20"/>
          <w:lang w:val="en-GB"/>
        </w:rPr>
        <w:t>t</w:t>
      </w:r>
      <w:r w:rsidRPr="00D82837">
        <w:rPr>
          <w:rFonts w:ascii="Arial" w:hAnsi="Arial" w:cs="Arial"/>
          <w:snapToGrid w:val="0"/>
          <w:sz w:val="20"/>
          <w:vertAlign w:val="subscript"/>
          <w:lang w:val="en-GB"/>
        </w:rPr>
        <w:t>sz</w:t>
      </w:r>
      <w:r w:rsidRPr="00D82837">
        <w:rPr>
          <w:rFonts w:ascii="Arial" w:hAnsi="Arial" w:cs="Arial"/>
          <w:snapToGrid w:val="0"/>
          <w:sz w:val="20"/>
          <w:lang w:val="en-GB"/>
        </w:rPr>
        <w:t>: the length of the interest periods expressed in years or fractional years, where the fractional years are determined in accordance with the contractual provision for the calculation of days,</w:t>
      </w:r>
    </w:p>
    <w:p w14:paraId="6ACC93CD" w14:textId="77777777" w:rsidR="002D288E" w:rsidRPr="00D82837" w:rsidRDefault="002D288E" w:rsidP="002D288E">
      <w:pPr>
        <w:pStyle w:val="Listaszerbekezds"/>
        <w:keepLines w:val="0"/>
        <w:widowControl w:val="0"/>
        <w:tabs>
          <w:tab w:val="left" w:pos="993"/>
        </w:tabs>
        <w:ind w:left="644"/>
        <w:rPr>
          <w:rFonts w:ascii="Arial" w:hAnsi="Arial" w:cs="Arial"/>
          <w:sz w:val="20"/>
          <w:lang w:val="en-GB"/>
        </w:rPr>
      </w:pPr>
      <w:r w:rsidRPr="00D82837">
        <w:rPr>
          <w:rFonts w:ascii="Arial" w:hAnsi="Arial" w:cs="Arial"/>
          <w:snapToGrid w:val="0"/>
          <w:sz w:val="20"/>
          <w:lang w:val="en-GB"/>
        </w:rPr>
        <w:t>T: the length of the interest periods expressed in years or fractional years, where the fractional years are defined in terms of a year consisting of 365 days.</w:t>
      </w:r>
    </w:p>
    <w:p w14:paraId="11BBE347" w14:textId="414261F0" w:rsidR="00431D9D" w:rsidRPr="00D82837" w:rsidRDefault="00F06CA8" w:rsidP="00DE18CF">
      <w:pPr>
        <w:keepLines w:val="0"/>
        <w:widowControl w:val="0"/>
        <w:ind w:left="646"/>
        <w:rPr>
          <w:rFonts w:ascii="Arial" w:hAnsi="Arial" w:cs="Arial"/>
          <w:sz w:val="20"/>
          <w:lang w:val="en-GB"/>
        </w:rPr>
      </w:pPr>
      <w:r w:rsidRPr="00D82837">
        <w:rPr>
          <w:rFonts w:ascii="Arial" w:hAnsi="Arial" w:cs="Arial"/>
          <w:sz w:val="20"/>
          <w:lang w:val="en-GB"/>
        </w:rPr>
        <w:t>The annualised interest rate shall be calculated using the formula set out in point I.F.1.1.5 or I.F.3.3.3 of this Annex, depending on the frequency of interest capitalisation and principal payments, or, in the case of a fixed interest rate, whether it is expressed as a percentage or in terms of an amount.</w:t>
      </w:r>
    </w:p>
    <w:p w14:paraId="700AD95B" w14:textId="77777777" w:rsidR="00431D9D" w:rsidRPr="00D82837" w:rsidRDefault="00431D9D" w:rsidP="00DE18CF">
      <w:pPr>
        <w:keepLines w:val="0"/>
        <w:widowControl w:val="0"/>
        <w:ind w:left="709" w:hanging="425"/>
        <w:rPr>
          <w:rFonts w:ascii="Arial" w:hAnsi="Arial" w:cs="Arial"/>
          <w:sz w:val="20"/>
          <w:lang w:val="en-GB"/>
        </w:rPr>
      </w:pPr>
      <w:r w:rsidRPr="00D82837">
        <w:rPr>
          <w:rFonts w:ascii="Arial" w:hAnsi="Arial" w:cs="Arial"/>
          <w:sz w:val="20"/>
          <w:lang w:val="en-GB"/>
        </w:rPr>
        <w:t>j)</w:t>
      </w:r>
      <w:r w:rsidRPr="00D82837">
        <w:rPr>
          <w:rFonts w:ascii="Arial" w:hAnsi="Arial" w:cs="Arial"/>
          <w:sz w:val="20"/>
          <w:lang w:val="en-GB"/>
        </w:rPr>
        <w:tab/>
        <w:t>Drawing or placement: shall be completed on the basis of the code list.</w:t>
      </w:r>
    </w:p>
    <w:p w14:paraId="6B416B99" w14:textId="3CEDCC4C" w:rsidR="00431D9D" w:rsidRPr="00D82837" w:rsidRDefault="00431D9D" w:rsidP="00DE18CF">
      <w:pPr>
        <w:keepLines w:val="0"/>
        <w:widowControl w:val="0"/>
        <w:ind w:left="709" w:hanging="425"/>
        <w:rPr>
          <w:rFonts w:ascii="Arial" w:hAnsi="Arial" w:cs="Arial"/>
          <w:sz w:val="20"/>
          <w:lang w:val="en-GB"/>
        </w:rPr>
      </w:pPr>
      <w:r w:rsidRPr="00D82837">
        <w:rPr>
          <w:rFonts w:ascii="Arial" w:hAnsi="Arial" w:cs="Arial"/>
          <w:sz w:val="20"/>
          <w:lang w:val="en-GB"/>
        </w:rPr>
        <w:t>k)</w:t>
      </w:r>
      <w:r w:rsidRPr="00D82837">
        <w:rPr>
          <w:rFonts w:ascii="Arial" w:hAnsi="Arial" w:cs="Arial"/>
          <w:sz w:val="20"/>
          <w:lang w:val="en-GB"/>
        </w:rPr>
        <w:tab/>
        <w:t>Cancellation, closure, modification: If an interbank loan/deposit transaction still open before the reference date is closed or modified on the reference date, before the maturity set out in the agreement, it shall also be reported as new interbank loan transaction, in line with the code list.</w:t>
      </w:r>
    </w:p>
    <w:p w14:paraId="47C9AA04" w14:textId="7D5F8B68" w:rsidR="00431D9D" w:rsidRPr="00D82837" w:rsidRDefault="00EA6B1A" w:rsidP="00DE18CF">
      <w:pPr>
        <w:keepLines w:val="0"/>
        <w:widowControl w:val="0"/>
        <w:ind w:left="709" w:hanging="1"/>
        <w:rPr>
          <w:rFonts w:ascii="Arial" w:hAnsi="Arial" w:cs="Arial"/>
          <w:sz w:val="20"/>
          <w:lang w:val="en-GB"/>
        </w:rPr>
      </w:pPr>
      <w:r w:rsidRPr="00D82837">
        <w:rPr>
          <w:rFonts w:ascii="Arial" w:hAnsi="Arial" w:cs="Arial"/>
          <w:sz w:val="20"/>
          <w:lang w:val="en-GB"/>
        </w:rPr>
        <w:t>If a loan transaction is closed prior to maturity, the original interbank loan transaction shall be reported again with a mark ‘T’ (cancellation), and with the new maturity, on the reference date when the closure of the loan is done the transaction shall be reported again with a mark ‘L’ (closure).</w:t>
      </w:r>
    </w:p>
    <w:p w14:paraId="1E8C48C7" w14:textId="7CF57E31" w:rsidR="005031A5" w:rsidRPr="00D82837" w:rsidRDefault="00431D9D" w:rsidP="00DE18CF">
      <w:pPr>
        <w:keepLines w:val="0"/>
        <w:widowControl w:val="0"/>
        <w:ind w:left="709" w:hanging="1"/>
        <w:rPr>
          <w:rFonts w:ascii="Arial" w:hAnsi="Arial" w:cs="Arial"/>
          <w:sz w:val="20"/>
          <w:lang w:val="en-GB"/>
        </w:rPr>
      </w:pPr>
      <w:r w:rsidRPr="00D82837">
        <w:rPr>
          <w:rFonts w:ascii="Arial" w:hAnsi="Arial" w:cs="Arial"/>
          <w:sz w:val="20"/>
          <w:lang w:val="en-GB"/>
        </w:rPr>
        <w:t>If an agreement is amended, the original interbank loan transaction shall be reported again with a mark ‘T’ (cancellation), and with the amended parameters the new agreement shall be reported with a modifying mark ‘M’ on the reference date of the amendment. If the modification affects only the sum of the contract (e.g. in case of prepayment), the transaction shall only be reported as a modification if the sum of the contract is changed by at least HUF 5 billion.</w:t>
      </w:r>
    </w:p>
    <w:p w14:paraId="06D0AE4C" w14:textId="77777777" w:rsidR="00431D9D" w:rsidRPr="00D82837" w:rsidRDefault="00FE41A0" w:rsidP="00DE18CF">
      <w:pPr>
        <w:keepLines w:val="0"/>
        <w:widowControl w:val="0"/>
        <w:ind w:left="709" w:hanging="425"/>
        <w:rPr>
          <w:rFonts w:ascii="Arial" w:hAnsi="Arial" w:cs="Arial"/>
          <w:sz w:val="20"/>
          <w:lang w:val="en-GB"/>
        </w:rPr>
      </w:pPr>
      <w:r w:rsidRPr="00D82837">
        <w:rPr>
          <w:rFonts w:ascii="Arial" w:hAnsi="Arial" w:cs="Arial"/>
          <w:sz w:val="20"/>
          <w:lang w:val="en-GB"/>
        </w:rPr>
        <w:t>l)</w:t>
      </w:r>
      <w:r w:rsidRPr="00D82837">
        <w:rPr>
          <w:rFonts w:ascii="Arial" w:hAnsi="Arial" w:cs="Arial"/>
          <w:sz w:val="20"/>
          <w:lang w:val="en-GB"/>
        </w:rPr>
        <w:tab/>
        <w:t>SWIFT code of the contracting partner: should be reported SWIFT code of the contracting partner participating in foreign interbank balance sheet transactions.</w:t>
      </w:r>
    </w:p>
    <w:p w14:paraId="0EBB4F56" w14:textId="77777777" w:rsidR="00822053" w:rsidRPr="00D82837" w:rsidRDefault="00822053" w:rsidP="00DE18CF">
      <w:pPr>
        <w:keepLines w:val="0"/>
        <w:widowControl w:val="0"/>
        <w:jc w:val="left"/>
        <w:rPr>
          <w:rFonts w:ascii="Arial" w:hAnsi="Arial" w:cs="Arial"/>
          <w:b/>
          <w:sz w:val="20"/>
          <w:lang w:val="en-GB"/>
        </w:rPr>
      </w:pPr>
    </w:p>
    <w:p w14:paraId="42DF52C9" w14:textId="5FCC0B16" w:rsidR="00822053" w:rsidRPr="00D82837" w:rsidRDefault="00822053" w:rsidP="00DE18CF">
      <w:pPr>
        <w:keepNext/>
        <w:keepLines w:val="0"/>
        <w:spacing w:after="120"/>
        <w:jc w:val="left"/>
        <w:rPr>
          <w:rFonts w:ascii="Arial" w:hAnsi="Arial" w:cs="Arial"/>
          <w:b/>
          <w:sz w:val="20"/>
          <w:lang w:val="en-GB"/>
        </w:rPr>
      </w:pPr>
      <w:r w:rsidRPr="00D82837">
        <w:rPr>
          <w:rFonts w:ascii="Arial" w:hAnsi="Arial" w:cs="Arial"/>
          <w:b/>
          <w:bCs/>
          <w:sz w:val="20"/>
          <w:lang w:val="en-GB"/>
        </w:rPr>
        <w:t>Table 02: Interest rates on domestic interbank on-balance transactions</w:t>
      </w:r>
    </w:p>
    <w:p w14:paraId="4DD4D666" w14:textId="689BFC13" w:rsidR="008A0BA2" w:rsidRPr="00D82837" w:rsidRDefault="008A0BA2" w:rsidP="00DE18CF">
      <w:pPr>
        <w:keepNext/>
        <w:keepLines w:val="0"/>
        <w:rPr>
          <w:rFonts w:ascii="Arial" w:hAnsi="Arial" w:cs="Arial"/>
          <w:sz w:val="20"/>
          <w:lang w:val="en-GB"/>
        </w:rPr>
      </w:pPr>
      <w:r w:rsidRPr="00D82837">
        <w:rPr>
          <w:rFonts w:ascii="Arial" w:hAnsi="Arial" w:cs="Arial"/>
          <w:sz w:val="20"/>
          <w:lang w:val="en-GB"/>
        </w:rPr>
        <w:t>Content of the fields of individual columns:</w:t>
      </w:r>
    </w:p>
    <w:p w14:paraId="0C77B9DF" w14:textId="5AF2188A" w:rsidR="00EC0E6C" w:rsidRPr="00D82837" w:rsidRDefault="00142398" w:rsidP="00DE18CF">
      <w:pPr>
        <w:keepLines w:val="0"/>
        <w:widowControl w:val="0"/>
        <w:numPr>
          <w:ilvl w:val="0"/>
          <w:numId w:val="4"/>
        </w:numPr>
        <w:ind w:left="641" w:hanging="357"/>
        <w:rPr>
          <w:rFonts w:ascii="Arial" w:hAnsi="Arial" w:cs="Arial"/>
          <w:sz w:val="20"/>
          <w:lang w:val="en-GB"/>
        </w:rPr>
      </w:pPr>
      <w:r w:rsidRPr="00D82837">
        <w:rPr>
          <w:rFonts w:ascii="Arial" w:hAnsi="Arial" w:cs="Arial"/>
          <w:sz w:val="20"/>
          <w:lang w:val="en-GB"/>
        </w:rPr>
        <w:t>ISO code: The original currency determined in the contract regarding the interbank transaction. Uncovered interbank transactions in HUF denominations reported in data reports of MNB identification codes K02 and K12 shall not be reported in the table.</w:t>
      </w:r>
    </w:p>
    <w:p w14:paraId="6822531C" w14:textId="77777777" w:rsidR="00EC0E6C" w:rsidRPr="00D82837" w:rsidRDefault="00EC0E6C" w:rsidP="00DE18CF">
      <w:pPr>
        <w:keepLines w:val="0"/>
        <w:widowControl w:val="0"/>
        <w:numPr>
          <w:ilvl w:val="0"/>
          <w:numId w:val="4"/>
        </w:numPr>
        <w:ind w:left="641" w:hanging="357"/>
        <w:rPr>
          <w:rFonts w:ascii="Arial" w:hAnsi="Arial" w:cs="Arial"/>
          <w:sz w:val="20"/>
          <w:lang w:val="en-GB"/>
        </w:rPr>
      </w:pPr>
      <w:r w:rsidRPr="00D82837">
        <w:rPr>
          <w:rFonts w:ascii="Arial" w:hAnsi="Arial" w:cs="Arial"/>
          <w:sz w:val="20"/>
          <w:lang w:val="en-GB"/>
        </w:rPr>
        <w:t>Identification code of the contracting partner: identification of the contracting partner taking part in the interbank transaction by giving the HCSO number (the first eight digits of the tax number).</w:t>
      </w:r>
    </w:p>
    <w:p w14:paraId="07DB54BB" w14:textId="5F796E48" w:rsidR="005C2734" w:rsidRPr="003D4D5C" w:rsidRDefault="004F1AE0" w:rsidP="00DE18CF">
      <w:pPr>
        <w:keepLines w:val="0"/>
        <w:widowControl w:val="0"/>
        <w:spacing w:after="120"/>
        <w:ind w:left="284"/>
        <w:jc w:val="left"/>
        <w:rPr>
          <w:rFonts w:ascii="Arial" w:hAnsi="Arial" w:cs="Arial"/>
          <w:sz w:val="20"/>
          <w:lang w:val="en-GB"/>
        </w:rPr>
      </w:pPr>
      <w:r w:rsidRPr="00D82837">
        <w:rPr>
          <w:rFonts w:ascii="Arial" w:hAnsi="Arial" w:cs="Arial"/>
          <w:sz w:val="20"/>
          <w:lang w:val="en-GB"/>
        </w:rPr>
        <w:t>Completion instructions with respect to the columns c) to k) are identical with those listed for Table 01.</w:t>
      </w:r>
    </w:p>
    <w:p w14:paraId="2755A106" w14:textId="421C1057" w:rsidR="00FF1B1C" w:rsidRPr="003D4D5C" w:rsidRDefault="00FF1B1C" w:rsidP="00DE18CF">
      <w:pPr>
        <w:keepLines w:val="0"/>
        <w:widowControl w:val="0"/>
        <w:spacing w:after="120"/>
        <w:ind w:left="284"/>
        <w:rPr>
          <w:rFonts w:ascii="Arial" w:hAnsi="Arial" w:cs="Arial"/>
          <w:b/>
          <w:sz w:val="20"/>
          <w:lang w:val="en-GB"/>
        </w:rPr>
      </w:pPr>
    </w:p>
    <w:sectPr w:rsidR="00FF1B1C" w:rsidRPr="003D4D5C" w:rsidSect="007D2DE6">
      <w:headerReference w:type="even" r:id="rId8"/>
      <w:headerReference w:type="default" r:id="rId9"/>
      <w:footerReference w:type="even" r:id="rId10"/>
      <w:footerReference w:type="default" r:id="rId11"/>
      <w:headerReference w:type="first" r:id="rId12"/>
      <w:footerReference w:type="first" r:id="rId13"/>
      <w:pgSz w:w="11907" w:h="16840" w:code="9"/>
      <w:pgMar w:top="1134" w:right="1304" w:bottom="1276" w:left="130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859B9" w14:textId="77777777" w:rsidR="00B06374" w:rsidRDefault="00B06374">
      <w:r>
        <w:separator/>
      </w:r>
    </w:p>
  </w:endnote>
  <w:endnote w:type="continuationSeparator" w:id="0">
    <w:p w14:paraId="0410952B" w14:textId="77777777" w:rsidR="00B06374" w:rsidRDefault="00B06374">
      <w:r>
        <w:continuationSeparator/>
      </w:r>
    </w:p>
  </w:endnote>
  <w:endnote w:type="continuationNotice" w:id="1">
    <w:p w14:paraId="5FFC7C1C" w14:textId="77777777" w:rsidR="00B06374" w:rsidRDefault="00B063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7FF1D" w14:textId="77777777" w:rsidR="00226665" w:rsidRDefault="00226665">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778D6" w14:textId="77777777" w:rsidR="00A3215A" w:rsidRPr="007D2DE6" w:rsidRDefault="00A3215A" w:rsidP="007D2DE6">
    <w:pPr>
      <w:pStyle w:val="llb"/>
      <w:keepLines w:val="0"/>
      <w:widowControl w:val="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3172C" w14:textId="77777777" w:rsidR="00226665" w:rsidRDefault="00226665">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D0D9A" w14:textId="77777777" w:rsidR="00B06374" w:rsidRDefault="00B06374">
      <w:r>
        <w:separator/>
      </w:r>
    </w:p>
  </w:footnote>
  <w:footnote w:type="continuationSeparator" w:id="0">
    <w:p w14:paraId="7A7D81FE" w14:textId="77777777" w:rsidR="00B06374" w:rsidRDefault="00B06374">
      <w:r>
        <w:continuationSeparator/>
      </w:r>
    </w:p>
  </w:footnote>
  <w:footnote w:type="continuationNotice" w:id="1">
    <w:p w14:paraId="26A4DE1E" w14:textId="77777777" w:rsidR="00B06374" w:rsidRDefault="00B0637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B953E" w14:textId="77777777" w:rsidR="00226665" w:rsidRDefault="00226665">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FCF3E" w14:textId="77777777" w:rsidR="00226665" w:rsidRDefault="00226665">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8A213" w14:textId="77777777" w:rsidR="00226665" w:rsidRDefault="00226665">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BB10F7"/>
    <w:multiLevelType w:val="hybridMultilevel"/>
    <w:tmpl w:val="9876530E"/>
    <w:lvl w:ilvl="0" w:tplc="C7A6E32C">
      <w:start w:val="1"/>
      <w:numFmt w:val="lowerLetter"/>
      <w:lvlText w:val="%1.)"/>
      <w:lvlJc w:val="left"/>
      <w:pPr>
        <w:ind w:left="644" w:hanging="360"/>
      </w:pPr>
      <w:rPr>
        <w:rFonts w:ascii="Arial" w:hAnsi="Arial" w:cs="Arial"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 w15:restartNumberingAfterBreak="0">
    <w:nsid w:val="45FF7A08"/>
    <w:multiLevelType w:val="hybridMultilevel"/>
    <w:tmpl w:val="14BCEB14"/>
    <w:lvl w:ilvl="0" w:tplc="C6CAC92C">
      <w:start w:val="12"/>
      <w:numFmt w:val="lowerLetter"/>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 w15:restartNumberingAfterBreak="0">
    <w:nsid w:val="5000623F"/>
    <w:multiLevelType w:val="hybridMultilevel"/>
    <w:tmpl w:val="D16A5356"/>
    <w:lvl w:ilvl="0" w:tplc="040E0017">
      <w:start w:val="1"/>
      <w:numFmt w:val="lowerLetter"/>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3" w15:restartNumberingAfterBreak="0">
    <w:nsid w:val="528750E7"/>
    <w:multiLevelType w:val="hybridMultilevel"/>
    <w:tmpl w:val="EFB473FA"/>
    <w:lvl w:ilvl="0" w:tplc="C58049A0">
      <w:start w:val="1"/>
      <w:numFmt w:val="lowerLetter"/>
      <w:lvlText w:val="%1)"/>
      <w:lvlJc w:val="left"/>
      <w:pPr>
        <w:ind w:left="644" w:hanging="360"/>
      </w:pPr>
      <w:rPr>
        <w:rFonts w:hint="default"/>
        <w:b w:val="0"/>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4" w15:restartNumberingAfterBreak="0">
    <w:nsid w:val="57BD449F"/>
    <w:multiLevelType w:val="singleLevel"/>
    <w:tmpl w:val="8DB4DD92"/>
    <w:lvl w:ilvl="0">
      <w:start w:val="1"/>
      <w:numFmt w:val="lowerLetter"/>
      <w:lvlText w:val="%1)"/>
      <w:lvlJc w:val="left"/>
      <w:pPr>
        <w:tabs>
          <w:tab w:val="num" w:pos="420"/>
        </w:tabs>
        <w:ind w:left="420" w:hanging="360"/>
      </w:pPr>
      <w:rPr>
        <w:rFonts w:hint="default"/>
      </w:rPr>
    </w:lvl>
  </w:abstractNum>
  <w:abstractNum w:abstractNumId="5" w15:restartNumberingAfterBreak="0">
    <w:nsid w:val="74B169F2"/>
    <w:multiLevelType w:val="hybridMultilevel"/>
    <w:tmpl w:val="5C8A880A"/>
    <w:lvl w:ilvl="0" w:tplc="040E0019">
      <w:start w:val="7"/>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53303035">
    <w:abstractNumId w:val="4"/>
  </w:num>
  <w:num w:numId="2" w16cid:durableId="309602617">
    <w:abstractNumId w:val="2"/>
  </w:num>
  <w:num w:numId="3" w16cid:durableId="1063411353">
    <w:abstractNumId w:val="0"/>
  </w:num>
  <w:num w:numId="4" w16cid:durableId="801264983">
    <w:abstractNumId w:val="3"/>
  </w:num>
  <w:num w:numId="5" w16cid:durableId="1236938207">
    <w:abstractNumId w:val="5"/>
  </w:num>
  <w:num w:numId="6" w16cid:durableId="16276603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3C0"/>
    <w:rsid w:val="000044D5"/>
    <w:rsid w:val="000205AE"/>
    <w:rsid w:val="00023FC7"/>
    <w:rsid w:val="00054955"/>
    <w:rsid w:val="00070A6F"/>
    <w:rsid w:val="00074CE8"/>
    <w:rsid w:val="000846AD"/>
    <w:rsid w:val="00085575"/>
    <w:rsid w:val="00085EF9"/>
    <w:rsid w:val="00090974"/>
    <w:rsid w:val="00092A10"/>
    <w:rsid w:val="000A0F7C"/>
    <w:rsid w:val="000B047B"/>
    <w:rsid w:val="000E28AB"/>
    <w:rsid w:val="000E3BCC"/>
    <w:rsid w:val="000F4B05"/>
    <w:rsid w:val="0010235D"/>
    <w:rsid w:val="00102A43"/>
    <w:rsid w:val="0010776E"/>
    <w:rsid w:val="00107CE5"/>
    <w:rsid w:val="001129CC"/>
    <w:rsid w:val="00121A73"/>
    <w:rsid w:val="0013612E"/>
    <w:rsid w:val="00142398"/>
    <w:rsid w:val="00152CD2"/>
    <w:rsid w:val="001552A3"/>
    <w:rsid w:val="0018584C"/>
    <w:rsid w:val="00187775"/>
    <w:rsid w:val="001906B6"/>
    <w:rsid w:val="0019550B"/>
    <w:rsid w:val="001970F2"/>
    <w:rsid w:val="001A4727"/>
    <w:rsid w:val="001A4E0F"/>
    <w:rsid w:val="001B310C"/>
    <w:rsid w:val="001B5874"/>
    <w:rsid w:val="001C4CC4"/>
    <w:rsid w:val="001C51DF"/>
    <w:rsid w:val="001E161F"/>
    <w:rsid w:val="001F5FAD"/>
    <w:rsid w:val="00203CBE"/>
    <w:rsid w:val="00214DB9"/>
    <w:rsid w:val="00215FA0"/>
    <w:rsid w:val="00220177"/>
    <w:rsid w:val="00226665"/>
    <w:rsid w:val="00231C2E"/>
    <w:rsid w:val="00240DAA"/>
    <w:rsid w:val="00241C4B"/>
    <w:rsid w:val="0024539B"/>
    <w:rsid w:val="00267A0C"/>
    <w:rsid w:val="0027210D"/>
    <w:rsid w:val="00272B9D"/>
    <w:rsid w:val="0027575F"/>
    <w:rsid w:val="0029701A"/>
    <w:rsid w:val="002D288E"/>
    <w:rsid w:val="002D627C"/>
    <w:rsid w:val="002F1A6D"/>
    <w:rsid w:val="002F47D6"/>
    <w:rsid w:val="00300348"/>
    <w:rsid w:val="0033358D"/>
    <w:rsid w:val="00333B96"/>
    <w:rsid w:val="00337859"/>
    <w:rsid w:val="00342AE2"/>
    <w:rsid w:val="0034637A"/>
    <w:rsid w:val="0035786D"/>
    <w:rsid w:val="003620E2"/>
    <w:rsid w:val="0036467A"/>
    <w:rsid w:val="00381CFA"/>
    <w:rsid w:val="00381EFE"/>
    <w:rsid w:val="0038708D"/>
    <w:rsid w:val="003A39DF"/>
    <w:rsid w:val="003A3AA5"/>
    <w:rsid w:val="003B4751"/>
    <w:rsid w:val="003C498E"/>
    <w:rsid w:val="003D0772"/>
    <w:rsid w:val="003D4D5C"/>
    <w:rsid w:val="003E2708"/>
    <w:rsid w:val="003F5594"/>
    <w:rsid w:val="00406A3A"/>
    <w:rsid w:val="00412CCC"/>
    <w:rsid w:val="0041708D"/>
    <w:rsid w:val="00420C1C"/>
    <w:rsid w:val="00431D9D"/>
    <w:rsid w:val="00433412"/>
    <w:rsid w:val="004458D8"/>
    <w:rsid w:val="004A0058"/>
    <w:rsid w:val="004A4BD5"/>
    <w:rsid w:val="004C0281"/>
    <w:rsid w:val="004C1BAD"/>
    <w:rsid w:val="004C2ED7"/>
    <w:rsid w:val="004D3B3F"/>
    <w:rsid w:val="004D4A4D"/>
    <w:rsid w:val="004E25E0"/>
    <w:rsid w:val="004F13DD"/>
    <w:rsid w:val="004F1AE0"/>
    <w:rsid w:val="004F5839"/>
    <w:rsid w:val="00500B03"/>
    <w:rsid w:val="00502FA9"/>
    <w:rsid w:val="005031A5"/>
    <w:rsid w:val="00512EAC"/>
    <w:rsid w:val="005144AE"/>
    <w:rsid w:val="00514B02"/>
    <w:rsid w:val="00515362"/>
    <w:rsid w:val="00542CCD"/>
    <w:rsid w:val="0055399D"/>
    <w:rsid w:val="00555BAA"/>
    <w:rsid w:val="00574070"/>
    <w:rsid w:val="005813B7"/>
    <w:rsid w:val="0058153B"/>
    <w:rsid w:val="0059164D"/>
    <w:rsid w:val="005932B6"/>
    <w:rsid w:val="0059463B"/>
    <w:rsid w:val="005A71AB"/>
    <w:rsid w:val="005B5A92"/>
    <w:rsid w:val="005C2734"/>
    <w:rsid w:val="005C78B7"/>
    <w:rsid w:val="005D0FD9"/>
    <w:rsid w:val="005E7F7A"/>
    <w:rsid w:val="005F11DA"/>
    <w:rsid w:val="006058F8"/>
    <w:rsid w:val="0061010A"/>
    <w:rsid w:val="006106D4"/>
    <w:rsid w:val="00611E16"/>
    <w:rsid w:val="00630B46"/>
    <w:rsid w:val="0063199D"/>
    <w:rsid w:val="00633878"/>
    <w:rsid w:val="00635439"/>
    <w:rsid w:val="00643DEC"/>
    <w:rsid w:val="006472D0"/>
    <w:rsid w:val="00647C65"/>
    <w:rsid w:val="00660205"/>
    <w:rsid w:val="00686DF1"/>
    <w:rsid w:val="00696670"/>
    <w:rsid w:val="006A4176"/>
    <w:rsid w:val="006B7265"/>
    <w:rsid w:val="006C534B"/>
    <w:rsid w:val="006D3189"/>
    <w:rsid w:val="006D503F"/>
    <w:rsid w:val="006E3F55"/>
    <w:rsid w:val="006E58C8"/>
    <w:rsid w:val="006E7E8E"/>
    <w:rsid w:val="0070078D"/>
    <w:rsid w:val="00702805"/>
    <w:rsid w:val="00707801"/>
    <w:rsid w:val="007203C6"/>
    <w:rsid w:val="00720AA1"/>
    <w:rsid w:val="007275A1"/>
    <w:rsid w:val="0073035A"/>
    <w:rsid w:val="007345D4"/>
    <w:rsid w:val="00745CA7"/>
    <w:rsid w:val="00756E7C"/>
    <w:rsid w:val="00763C52"/>
    <w:rsid w:val="00765FD1"/>
    <w:rsid w:val="00781D93"/>
    <w:rsid w:val="00782DA6"/>
    <w:rsid w:val="007B53EF"/>
    <w:rsid w:val="007C0895"/>
    <w:rsid w:val="007D2DE6"/>
    <w:rsid w:val="007F15E6"/>
    <w:rsid w:val="00801FA2"/>
    <w:rsid w:val="00805522"/>
    <w:rsid w:val="00805F4A"/>
    <w:rsid w:val="00815EE0"/>
    <w:rsid w:val="008161DF"/>
    <w:rsid w:val="00822053"/>
    <w:rsid w:val="008371B0"/>
    <w:rsid w:val="0084081E"/>
    <w:rsid w:val="00862976"/>
    <w:rsid w:val="00865FF9"/>
    <w:rsid w:val="008724E9"/>
    <w:rsid w:val="008822AF"/>
    <w:rsid w:val="008862A7"/>
    <w:rsid w:val="008A0BA2"/>
    <w:rsid w:val="008A3BA9"/>
    <w:rsid w:val="008A605F"/>
    <w:rsid w:val="008C5413"/>
    <w:rsid w:val="008E60FB"/>
    <w:rsid w:val="008F47E8"/>
    <w:rsid w:val="00900BE6"/>
    <w:rsid w:val="00910F3D"/>
    <w:rsid w:val="009307FC"/>
    <w:rsid w:val="00943A7C"/>
    <w:rsid w:val="00966A81"/>
    <w:rsid w:val="009948DF"/>
    <w:rsid w:val="009A4CBC"/>
    <w:rsid w:val="009B2449"/>
    <w:rsid w:val="009C583B"/>
    <w:rsid w:val="009D6E3A"/>
    <w:rsid w:val="009E0458"/>
    <w:rsid w:val="009E20D3"/>
    <w:rsid w:val="009E4396"/>
    <w:rsid w:val="009E4D85"/>
    <w:rsid w:val="00A04185"/>
    <w:rsid w:val="00A06093"/>
    <w:rsid w:val="00A06861"/>
    <w:rsid w:val="00A06E18"/>
    <w:rsid w:val="00A2263D"/>
    <w:rsid w:val="00A23461"/>
    <w:rsid w:val="00A253FA"/>
    <w:rsid w:val="00A3215A"/>
    <w:rsid w:val="00A50A40"/>
    <w:rsid w:val="00A53B02"/>
    <w:rsid w:val="00A55001"/>
    <w:rsid w:val="00A6706C"/>
    <w:rsid w:val="00A744AB"/>
    <w:rsid w:val="00A776E5"/>
    <w:rsid w:val="00A97B71"/>
    <w:rsid w:val="00AA394B"/>
    <w:rsid w:val="00AA3963"/>
    <w:rsid w:val="00AD586C"/>
    <w:rsid w:val="00AF010F"/>
    <w:rsid w:val="00AF0C6A"/>
    <w:rsid w:val="00B0218E"/>
    <w:rsid w:val="00B06374"/>
    <w:rsid w:val="00B23237"/>
    <w:rsid w:val="00B2629C"/>
    <w:rsid w:val="00B3331B"/>
    <w:rsid w:val="00B4313D"/>
    <w:rsid w:val="00B43599"/>
    <w:rsid w:val="00B43E5D"/>
    <w:rsid w:val="00B649BB"/>
    <w:rsid w:val="00B74307"/>
    <w:rsid w:val="00B7617A"/>
    <w:rsid w:val="00B8297F"/>
    <w:rsid w:val="00B86B56"/>
    <w:rsid w:val="00B878CD"/>
    <w:rsid w:val="00B87C56"/>
    <w:rsid w:val="00B947DA"/>
    <w:rsid w:val="00BA0662"/>
    <w:rsid w:val="00BA354D"/>
    <w:rsid w:val="00BB637D"/>
    <w:rsid w:val="00BC06D9"/>
    <w:rsid w:val="00BC27C1"/>
    <w:rsid w:val="00BC4E22"/>
    <w:rsid w:val="00BC7847"/>
    <w:rsid w:val="00BD6FD2"/>
    <w:rsid w:val="00BF2CD0"/>
    <w:rsid w:val="00C11A53"/>
    <w:rsid w:val="00C34E64"/>
    <w:rsid w:val="00C646D4"/>
    <w:rsid w:val="00C64C15"/>
    <w:rsid w:val="00C80336"/>
    <w:rsid w:val="00C917CF"/>
    <w:rsid w:val="00CA397E"/>
    <w:rsid w:val="00CB2F21"/>
    <w:rsid w:val="00CB5092"/>
    <w:rsid w:val="00CB73C0"/>
    <w:rsid w:val="00CC44AB"/>
    <w:rsid w:val="00CC4688"/>
    <w:rsid w:val="00CC5959"/>
    <w:rsid w:val="00CC63D7"/>
    <w:rsid w:val="00CE59EA"/>
    <w:rsid w:val="00CF1D28"/>
    <w:rsid w:val="00CF2126"/>
    <w:rsid w:val="00D12554"/>
    <w:rsid w:val="00D13D0E"/>
    <w:rsid w:val="00D23634"/>
    <w:rsid w:val="00D2560B"/>
    <w:rsid w:val="00D27EFC"/>
    <w:rsid w:val="00D34F34"/>
    <w:rsid w:val="00D524C1"/>
    <w:rsid w:val="00D576CC"/>
    <w:rsid w:val="00D77368"/>
    <w:rsid w:val="00D82837"/>
    <w:rsid w:val="00D84C72"/>
    <w:rsid w:val="00D9076F"/>
    <w:rsid w:val="00DA60A9"/>
    <w:rsid w:val="00DA7F6D"/>
    <w:rsid w:val="00DB5FA1"/>
    <w:rsid w:val="00DC2EC3"/>
    <w:rsid w:val="00DC585C"/>
    <w:rsid w:val="00DE18CF"/>
    <w:rsid w:val="00DE3AFC"/>
    <w:rsid w:val="00DE77C6"/>
    <w:rsid w:val="00E05655"/>
    <w:rsid w:val="00E11B2C"/>
    <w:rsid w:val="00E13C3C"/>
    <w:rsid w:val="00E14BFA"/>
    <w:rsid w:val="00E23F3D"/>
    <w:rsid w:val="00E330C2"/>
    <w:rsid w:val="00E34AC9"/>
    <w:rsid w:val="00E41F72"/>
    <w:rsid w:val="00E449D2"/>
    <w:rsid w:val="00E523E1"/>
    <w:rsid w:val="00E52B40"/>
    <w:rsid w:val="00E63040"/>
    <w:rsid w:val="00E70530"/>
    <w:rsid w:val="00E8176F"/>
    <w:rsid w:val="00E9125C"/>
    <w:rsid w:val="00EA6B1A"/>
    <w:rsid w:val="00EC0E6C"/>
    <w:rsid w:val="00EC4AAD"/>
    <w:rsid w:val="00ED0F10"/>
    <w:rsid w:val="00ED6A0A"/>
    <w:rsid w:val="00ED761D"/>
    <w:rsid w:val="00EE31A0"/>
    <w:rsid w:val="00EE6091"/>
    <w:rsid w:val="00F0453C"/>
    <w:rsid w:val="00F06CA8"/>
    <w:rsid w:val="00F06DDB"/>
    <w:rsid w:val="00F07576"/>
    <w:rsid w:val="00F0758F"/>
    <w:rsid w:val="00F111F6"/>
    <w:rsid w:val="00F15BC8"/>
    <w:rsid w:val="00F21A19"/>
    <w:rsid w:val="00F476D8"/>
    <w:rsid w:val="00F47EBE"/>
    <w:rsid w:val="00F5025A"/>
    <w:rsid w:val="00F52E60"/>
    <w:rsid w:val="00F56BC3"/>
    <w:rsid w:val="00F710D1"/>
    <w:rsid w:val="00F72AEB"/>
    <w:rsid w:val="00F732EC"/>
    <w:rsid w:val="00F749A0"/>
    <w:rsid w:val="00F7647C"/>
    <w:rsid w:val="00F91629"/>
    <w:rsid w:val="00F93BF8"/>
    <w:rsid w:val="00FB0FD3"/>
    <w:rsid w:val="00FC4B21"/>
    <w:rsid w:val="00FD38F1"/>
    <w:rsid w:val="00FE2D92"/>
    <w:rsid w:val="00FE41A0"/>
    <w:rsid w:val="00FF1B1C"/>
  </w:rsids>
  <m:mathPr>
    <m:mathFont m:val="Cambria Math"/>
    <m:brkBin m:val="before"/>
    <m:brkBinSub m:val="--"/>
    <m:smallFrac m:val="0"/>
    <m:dispDef/>
    <m:lMargin m:val="0"/>
    <m:rMargin m:val="0"/>
    <m:defJc m:val="centerGroup"/>
    <m:wrapIndent m:val="1440"/>
    <m:intLim m:val="subSup"/>
    <m:naryLim m:val="undOvr"/>
  </m:mathPr>
  <w:themeFontLang w:val="hu-H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2E9CCE6"/>
  <w15:chartTrackingRefBased/>
  <w15:docId w15:val="{9B61A776-D9D7-4CED-B4AB-45B215125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D4A4D"/>
    <w:pPr>
      <w:keepLines/>
      <w:jc w:val="both"/>
    </w:pPr>
    <w:rPr>
      <w:sz w:val="24"/>
    </w:rPr>
  </w:style>
  <w:style w:type="paragraph" w:styleId="Cmsor1">
    <w:name w:val="heading 1"/>
    <w:basedOn w:val="Norml"/>
    <w:next w:val="Norml"/>
    <w:qFormat/>
    <w:rsid w:val="004D4A4D"/>
    <w:pPr>
      <w:spacing w:before="240"/>
      <w:outlineLvl w:val="0"/>
    </w:pPr>
    <w:rPr>
      <w:rFonts w:ascii="Arial" w:hAnsi="Arial"/>
      <w:b/>
      <w:u w:val="single"/>
    </w:rPr>
  </w:style>
  <w:style w:type="paragraph" w:styleId="Cmsor2">
    <w:name w:val="heading 2"/>
    <w:basedOn w:val="Norml"/>
    <w:next w:val="Norml"/>
    <w:qFormat/>
    <w:rsid w:val="004D4A4D"/>
    <w:pPr>
      <w:spacing w:before="120"/>
      <w:outlineLvl w:val="1"/>
    </w:pPr>
    <w:rPr>
      <w:rFonts w:ascii="Arial" w:hAnsi="Arial"/>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behzssal">
    <w:name w:val="Body Text Indent"/>
    <w:basedOn w:val="Norml"/>
    <w:rsid w:val="004D4A4D"/>
    <w:pPr>
      <w:ind w:left="284" w:hanging="284"/>
    </w:pPr>
  </w:style>
  <w:style w:type="paragraph" w:styleId="Szvegtrzs3">
    <w:name w:val="Body Text 3"/>
    <w:basedOn w:val="Norml"/>
    <w:rsid w:val="004D4A4D"/>
    <w:pPr>
      <w:keepLines w:val="0"/>
    </w:pPr>
  </w:style>
  <w:style w:type="paragraph" w:styleId="lfej">
    <w:name w:val="header"/>
    <w:basedOn w:val="Norml"/>
    <w:rsid w:val="004D4A4D"/>
    <w:pPr>
      <w:tabs>
        <w:tab w:val="center" w:pos="4153"/>
        <w:tab w:val="right" w:pos="8306"/>
      </w:tabs>
    </w:pPr>
  </w:style>
  <w:style w:type="paragraph" w:styleId="llb">
    <w:name w:val="footer"/>
    <w:basedOn w:val="Norml"/>
    <w:rsid w:val="004D4A4D"/>
    <w:pPr>
      <w:tabs>
        <w:tab w:val="center" w:pos="4153"/>
        <w:tab w:val="right" w:pos="8306"/>
      </w:tabs>
    </w:pPr>
  </w:style>
  <w:style w:type="paragraph" w:styleId="Szvegtrzs">
    <w:name w:val="Body Text"/>
    <w:basedOn w:val="Norml"/>
    <w:rsid w:val="004D4A4D"/>
    <w:pPr>
      <w:keepLines w:val="0"/>
      <w:widowControl w:val="0"/>
    </w:pPr>
    <w:rPr>
      <w:spacing w:val="-6"/>
    </w:rPr>
  </w:style>
  <w:style w:type="paragraph" w:styleId="Buborkszveg">
    <w:name w:val="Balloon Text"/>
    <w:basedOn w:val="Norml"/>
    <w:semiHidden/>
    <w:rsid w:val="004D4A4D"/>
    <w:rPr>
      <w:rFonts w:ascii="Tahoma" w:hAnsi="Tahoma" w:cs="Tahoma"/>
      <w:sz w:val="16"/>
      <w:szCs w:val="16"/>
    </w:rPr>
  </w:style>
  <w:style w:type="character" w:styleId="Jegyzethivatkozs">
    <w:name w:val="annotation reference"/>
    <w:semiHidden/>
    <w:rsid w:val="004D4A4D"/>
    <w:rPr>
      <w:sz w:val="16"/>
      <w:szCs w:val="16"/>
    </w:rPr>
  </w:style>
  <w:style w:type="paragraph" w:styleId="Jegyzetszveg">
    <w:name w:val="annotation text"/>
    <w:basedOn w:val="Norml"/>
    <w:semiHidden/>
    <w:rsid w:val="004D4A4D"/>
    <w:rPr>
      <w:sz w:val="20"/>
    </w:rPr>
  </w:style>
  <w:style w:type="paragraph" w:styleId="Megjegyzstrgya">
    <w:name w:val="annotation subject"/>
    <w:basedOn w:val="Jegyzetszveg"/>
    <w:next w:val="Jegyzetszveg"/>
    <w:semiHidden/>
    <w:rsid w:val="004D4A4D"/>
    <w:rPr>
      <w:b/>
      <w:bCs/>
    </w:rPr>
  </w:style>
  <w:style w:type="paragraph" w:styleId="Listaszerbekezds">
    <w:name w:val="List Paragraph"/>
    <w:basedOn w:val="Norml"/>
    <w:uiPriority w:val="34"/>
    <w:qFormat/>
    <w:rsid w:val="004458D8"/>
    <w:pPr>
      <w:ind w:left="709"/>
    </w:pPr>
  </w:style>
  <w:style w:type="paragraph" w:styleId="Vltozat">
    <w:name w:val="Revision"/>
    <w:hidden/>
    <w:uiPriority w:val="99"/>
    <w:semiHidden/>
    <w:rsid w:val="00AF010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A81F3-EEF9-4DE4-BB26-CEEE9BB59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1108</Words>
  <Characters>5804</Characters>
  <Application>Microsoft Office Word</Application>
  <DocSecurity>0</DocSecurity>
  <Lines>48</Lines>
  <Paragraphs>13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MNB adatgyűjtés azonosító: K02</vt:lpstr>
      <vt:lpstr>MNB adatgyűjtés azonosító: K02</vt:lpstr>
    </vt:vector>
  </TitlesOfParts>
  <Company>Magyar Nemzeti Bank</Company>
  <LinksUpToDate>false</LinksUpToDate>
  <CharactersWithSpaces>6899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MNB adatgyűjtés azonosító: K02</dc:title>
  <dc:subject/>
  <dc:creator>Horváth Istvánné (Ani) 10-87</dc:creator>
  <cp:keywords/>
  <cp:lastModifiedBy>Juhász Katalin</cp:lastModifiedBy>
  <cp:revision>2</cp:revision>
  <cp:lastPrinted>2002-07-29T07:16:00Z</cp:lastPrinted>
  <dcterms:created xsi:type="dcterms:W3CDTF">2025-02-19T15:11:00Z</dcterms:created>
  <dcterms:modified xsi:type="dcterms:W3CDTF">2025-03-27T17:04:00Z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2026-06-09T14:32:26Z</vt:filetime>
  </property>
  <property fmtid="{D5CDD505-2E9C-101B-9397-08002B2CF9AE}" pid="3" name="Érvényességet beállító">
    <vt:lpwstr>atzelzs</vt:lpwstr>
  </property>
  <property fmtid="{D5CDD505-2E9C-101B-9397-08002B2CF9AE}" pid="4" name="Érvényességi idő első beállítása">
    <vt:filetime>2021-06-09T14:32:26Z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Ref">
    <vt:lpwstr>https://api.informationprotection.azure.com/api/97c01ef8-0264-4eef-9c08-fb4a9ba1c0db</vt:lpwstr>
  </property>
  <property fmtid="{D5CDD505-2E9C-101B-9397-08002B2CF9AE}" pid="8" name="MSIP_Label_b0d11092-50c9-4e74-84b5-b1af078dc3d0_Owner">
    <vt:lpwstr>atzelzs@mnb.hu</vt:lpwstr>
  </property>
  <property fmtid="{D5CDD505-2E9C-101B-9397-08002B2CF9AE}" pid="9" name="MSIP_Label_b0d11092-50c9-4e74-84b5-b1af078dc3d0_SetDate">
    <vt:lpwstr>2021-06-09T16:36:53.1127605+02:00</vt:lpwstr>
  </property>
  <property fmtid="{D5CDD505-2E9C-101B-9397-08002B2CF9AE}" pid="10" name="MSIP_Label_b0d11092-50c9-4e74-84b5-b1af078dc3d0_Name">
    <vt:lpwstr>Protected</vt:lpwstr>
  </property>
  <property fmtid="{D5CDD505-2E9C-101B-9397-08002B2CF9AE}" pid="11" name="MSIP_Label_b0d11092-50c9-4e74-84b5-b1af078dc3d0_Application">
    <vt:lpwstr>Microsoft Azure Information Protection</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