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4BEA8" w14:textId="77777777" w:rsidR="008E3ADC" w:rsidRPr="008C58BD" w:rsidRDefault="008E3ADC" w:rsidP="00720D65">
      <w:pPr>
        <w:pStyle w:val="Cm"/>
        <w:spacing w:after="240"/>
        <w:jc w:val="both"/>
        <w:rPr>
          <w:rFonts w:ascii="Arial" w:hAnsi="Arial" w:cs="Arial"/>
          <w:sz w:val="20"/>
        </w:rPr>
      </w:pPr>
      <w:proofErr w:type="spellStart"/>
      <w:r>
        <w:rPr>
          <w:rFonts w:ascii="Arial" w:hAnsi="Arial" w:cs="Arial"/>
          <w:bCs/>
          <w:sz w:val="20"/>
          <w:lang w:val="en-GB"/>
        </w:rPr>
        <w:t>MNB</w:t>
      </w:r>
      <w:proofErr w:type="spellEnd"/>
      <w:r>
        <w:rPr>
          <w:rFonts w:ascii="Arial" w:hAnsi="Arial" w:cs="Arial"/>
          <w:bCs/>
          <w:sz w:val="20"/>
          <w:lang w:val="en-GB"/>
        </w:rPr>
        <w:t xml:space="preserve"> identification code: E58</w:t>
      </w:r>
    </w:p>
    <w:p w14:paraId="30131C9B" w14:textId="77777777" w:rsidR="008E3ADC" w:rsidRPr="008C58BD" w:rsidRDefault="008E3ADC">
      <w:pPr>
        <w:pStyle w:val="Cm"/>
        <w:rPr>
          <w:rFonts w:ascii="Arial" w:hAnsi="Arial" w:cs="Arial"/>
          <w:sz w:val="20"/>
        </w:rPr>
      </w:pPr>
      <w:r>
        <w:rPr>
          <w:rFonts w:ascii="Arial" w:hAnsi="Arial" w:cs="Arial"/>
          <w:bCs/>
          <w:sz w:val="20"/>
          <w:lang w:val="en-GB"/>
        </w:rPr>
        <w:t>Completion instructions for the report</w:t>
      </w:r>
    </w:p>
    <w:p w14:paraId="683D3D99" w14:textId="22B39F52" w:rsidR="008E3ADC" w:rsidRPr="008C58BD" w:rsidRDefault="00792410" w:rsidP="00720D65">
      <w:pPr>
        <w:pStyle w:val="Cm"/>
        <w:spacing w:after="240"/>
        <w:rPr>
          <w:rFonts w:ascii="Arial" w:hAnsi="Arial" w:cs="Arial"/>
          <w:sz w:val="20"/>
        </w:rPr>
      </w:pPr>
      <w:r>
        <w:rPr>
          <w:rFonts w:ascii="Arial" w:hAnsi="Arial" w:cs="Arial"/>
          <w:bCs/>
          <w:sz w:val="20"/>
          <w:lang w:val="en-GB"/>
        </w:rPr>
        <w:t>Interest and cash-flow data related to interest-bearing securities</w:t>
      </w:r>
      <w:r w:rsidR="008B0EEA">
        <w:rPr>
          <w:rFonts w:ascii="Arial" w:hAnsi="Arial" w:cs="Arial"/>
          <w:bCs/>
          <w:sz w:val="20"/>
          <w:lang w:val="en-GB"/>
        </w:rPr>
        <w:br/>
      </w:r>
      <w:r>
        <w:rPr>
          <w:rFonts w:ascii="Arial" w:hAnsi="Arial" w:cs="Arial"/>
          <w:bCs/>
          <w:sz w:val="20"/>
          <w:lang w:val="en-GB"/>
        </w:rPr>
        <w:t>issued by the Hungarian State</w:t>
      </w:r>
    </w:p>
    <w:p w14:paraId="107107E0" w14:textId="77777777" w:rsidR="007C0633" w:rsidRDefault="007C0633" w:rsidP="00720D65">
      <w:pPr>
        <w:pStyle w:val="Szvegtrzs3"/>
        <w:spacing w:before="240" w:after="240"/>
        <w:rPr>
          <w:rFonts w:ascii="Arial" w:hAnsi="Arial" w:cs="Arial"/>
          <w:b/>
          <w:sz w:val="20"/>
        </w:rPr>
      </w:pPr>
    </w:p>
    <w:p w14:paraId="5B47E86D" w14:textId="77777777" w:rsidR="008E3ADC" w:rsidRPr="008C58BD" w:rsidRDefault="008E3ADC" w:rsidP="00720D65">
      <w:pPr>
        <w:pStyle w:val="Szvegtrzs3"/>
        <w:spacing w:before="240" w:after="240"/>
        <w:rPr>
          <w:rFonts w:ascii="Arial" w:hAnsi="Arial" w:cs="Arial"/>
          <w:b/>
          <w:noProof w:val="0"/>
          <w:sz w:val="20"/>
        </w:rPr>
      </w:pPr>
      <w:r>
        <w:rPr>
          <w:rFonts w:ascii="Arial" w:hAnsi="Arial" w:cs="Arial"/>
          <w:b/>
          <w:bCs/>
          <w:sz w:val="20"/>
          <w:lang w:val="en-GB"/>
        </w:rPr>
        <w:t>I. General instructions</w:t>
      </w:r>
    </w:p>
    <w:p w14:paraId="70AC8572" w14:textId="7FBBEA47" w:rsidR="004B5001" w:rsidRPr="008C58BD" w:rsidRDefault="004B5001" w:rsidP="0076731D">
      <w:pPr>
        <w:pStyle w:val="Szvegtrzs3"/>
        <w:rPr>
          <w:rFonts w:ascii="Arial" w:hAnsi="Arial" w:cs="Arial"/>
          <w:noProof w:val="0"/>
          <w:sz w:val="20"/>
        </w:rPr>
      </w:pPr>
      <w:r>
        <w:rPr>
          <w:rFonts w:ascii="Arial" w:hAnsi="Arial" w:cs="Arial"/>
          <w:noProof w:val="0"/>
          <w:sz w:val="20"/>
          <w:lang w:val="en-GB"/>
        </w:rPr>
        <w:t xml:space="preserve">This report shall contain the latest cash-flow and interest information relating to all interest-bearing debt securities issued by the Hungarian State. (At present this includes forint-denominated and foreign currency-denominated the Hungarian Government Bonds, the Premium Hungarian Government Securities, the Premium Euro Hungarian Government Securities, </w:t>
      </w:r>
      <w:r w:rsidR="00CD682C">
        <w:rPr>
          <w:rFonts w:ascii="Arial" w:hAnsi="Arial" w:cs="Arial"/>
          <w:noProof w:val="0"/>
          <w:sz w:val="20"/>
          <w:lang w:val="en-GB"/>
        </w:rPr>
        <w:t xml:space="preserve">Euro Hungarian Government Securities, </w:t>
      </w:r>
      <w:r>
        <w:rPr>
          <w:rFonts w:ascii="Arial" w:hAnsi="Arial" w:cs="Arial"/>
          <w:noProof w:val="0"/>
          <w:sz w:val="20"/>
          <w:lang w:val="en-GB"/>
        </w:rPr>
        <w:t xml:space="preserve">the Baby Bond, the Municipal Hungarian Government Bond, the Bonus Hungarian Government Securities, the </w:t>
      </w:r>
      <w:r w:rsidR="00CD682C">
        <w:rPr>
          <w:rFonts w:ascii="Arial" w:hAnsi="Arial" w:cs="Arial"/>
          <w:noProof w:val="0"/>
          <w:sz w:val="20"/>
          <w:lang w:val="en-GB"/>
        </w:rPr>
        <w:t xml:space="preserve">Fixed </w:t>
      </w:r>
      <w:r>
        <w:rPr>
          <w:rFonts w:ascii="Arial" w:hAnsi="Arial" w:cs="Arial"/>
          <w:noProof w:val="0"/>
          <w:sz w:val="20"/>
          <w:lang w:val="en-GB"/>
        </w:rPr>
        <w:t>Hungarian Government Securities and the Hungarian Government Securities Plus.)</w:t>
      </w:r>
    </w:p>
    <w:p w14:paraId="25885D2D" w14:textId="67179369" w:rsidR="008E3ADC" w:rsidRPr="008C58BD" w:rsidRDefault="006C605E">
      <w:pPr>
        <w:pStyle w:val="Szvegtrzs3"/>
        <w:rPr>
          <w:rFonts w:ascii="Arial" w:hAnsi="Arial" w:cs="Arial"/>
          <w:noProof w:val="0"/>
          <w:sz w:val="20"/>
        </w:rPr>
      </w:pPr>
      <w:r>
        <w:rPr>
          <w:rFonts w:ascii="Arial" w:hAnsi="Arial" w:cs="Arial"/>
          <w:noProof w:val="0"/>
          <w:sz w:val="20"/>
          <w:lang w:val="en-GB"/>
        </w:rPr>
        <w:t xml:space="preserve">For an explanation of the terms used in the tables and these completion instructions, please, see point I. </w:t>
      </w:r>
      <w:r w:rsidR="00CD682C">
        <w:rPr>
          <w:rFonts w:ascii="Arial" w:hAnsi="Arial" w:cs="Arial"/>
          <w:noProof w:val="0"/>
          <w:sz w:val="20"/>
          <w:lang w:val="en-GB"/>
        </w:rPr>
        <w:t>E</w:t>
      </w:r>
      <w:r>
        <w:rPr>
          <w:rFonts w:ascii="Arial" w:hAnsi="Arial" w:cs="Arial"/>
          <w:noProof w:val="0"/>
          <w:sz w:val="20"/>
          <w:lang w:val="en-GB"/>
        </w:rPr>
        <w:t>. 2. of this Annex.</w:t>
      </w:r>
    </w:p>
    <w:p w14:paraId="7B6B5D70" w14:textId="04B4E1AF" w:rsidR="008E3ADC" w:rsidRPr="008C58BD" w:rsidRDefault="00BE4A6C" w:rsidP="00720D65">
      <w:pPr>
        <w:pStyle w:val="Szvegtrzs3"/>
        <w:spacing w:before="240" w:after="240"/>
        <w:rPr>
          <w:rFonts w:ascii="Arial" w:hAnsi="Arial" w:cs="Arial"/>
          <w:b/>
          <w:sz w:val="20"/>
        </w:rPr>
      </w:pPr>
      <w:r>
        <w:rPr>
          <w:rFonts w:ascii="Arial" w:hAnsi="Arial" w:cs="Arial"/>
          <w:b/>
          <w:bCs/>
          <w:sz w:val="20"/>
          <w:lang w:val="en-GB"/>
        </w:rPr>
        <w:t xml:space="preserve">II. Detailed instructions for the completion of the table </w:t>
      </w:r>
    </w:p>
    <w:p w14:paraId="60EC8693" w14:textId="2A429E96" w:rsidR="002D43C9" w:rsidRPr="008C58BD" w:rsidRDefault="002D43C9" w:rsidP="002D43C9">
      <w:pPr>
        <w:tabs>
          <w:tab w:val="left" w:pos="8222"/>
        </w:tabs>
        <w:spacing w:after="120"/>
        <w:jc w:val="both"/>
        <w:rPr>
          <w:rFonts w:ascii="Arial" w:hAnsi="Arial" w:cs="Arial"/>
          <w:noProof/>
        </w:rPr>
      </w:pPr>
      <w:r>
        <w:rPr>
          <w:rFonts w:ascii="Arial" w:hAnsi="Arial" w:cs="Arial"/>
          <w:noProof/>
          <w:lang w:val="en-GB"/>
        </w:rPr>
        <w:t>In all cases, dates shall be entered in the yyyy.mm.dd format, starting with zero when applicable.</w:t>
      </w:r>
    </w:p>
    <w:p w14:paraId="6CF39D07" w14:textId="745560CE" w:rsidR="002D43C9" w:rsidRPr="008C58BD" w:rsidRDefault="002D43C9" w:rsidP="002D43C9">
      <w:pPr>
        <w:tabs>
          <w:tab w:val="left" w:pos="8222"/>
        </w:tabs>
        <w:spacing w:after="120"/>
        <w:jc w:val="both"/>
        <w:rPr>
          <w:rFonts w:ascii="Arial" w:hAnsi="Arial" w:cs="Arial"/>
          <w:noProof/>
        </w:rPr>
      </w:pPr>
      <w:r>
        <w:rPr>
          <w:rFonts w:ascii="Arial" w:hAnsi="Arial" w:cs="Arial"/>
          <w:noProof/>
          <w:lang w:val="en-GB"/>
        </w:rPr>
        <w:t>Data shall provided to 4 decimals.</w:t>
      </w:r>
    </w:p>
    <w:p w14:paraId="58DBF766" w14:textId="0393C39A" w:rsidR="002D43C9" w:rsidRPr="008C58BD" w:rsidRDefault="002D43C9" w:rsidP="002D43C9">
      <w:pPr>
        <w:tabs>
          <w:tab w:val="left" w:pos="8222"/>
        </w:tabs>
        <w:spacing w:after="120"/>
        <w:jc w:val="both"/>
        <w:rPr>
          <w:rFonts w:ascii="Arial" w:hAnsi="Arial" w:cs="Arial"/>
          <w:noProof/>
        </w:rPr>
      </w:pPr>
      <w:r>
        <w:rPr>
          <w:rFonts w:ascii="Arial" w:hAnsi="Arial" w:cs="Arial"/>
          <w:noProof/>
          <w:lang w:val="en-GB"/>
        </w:rPr>
        <w:t>The columns that are not applicable to a specific event shall be left blank (no zeros are allowed). For example, in the case of principal payment the beginning and the end of the interest period, or the annual interest columns are not applicable.</w:t>
      </w:r>
    </w:p>
    <w:p w14:paraId="09AEE697" w14:textId="56C39E1F" w:rsidR="00B60823" w:rsidRPr="008C58BD" w:rsidRDefault="004B5001" w:rsidP="00792410">
      <w:pPr>
        <w:pStyle w:val="Szvegtrzs3"/>
        <w:spacing w:before="240" w:after="240"/>
        <w:rPr>
          <w:rFonts w:ascii="Arial" w:hAnsi="Arial" w:cs="Arial"/>
          <w:b/>
          <w:sz w:val="20"/>
        </w:rPr>
      </w:pPr>
      <w:r>
        <w:rPr>
          <w:rFonts w:ascii="Arial" w:hAnsi="Arial" w:cs="Arial"/>
          <w:b/>
          <w:bCs/>
          <w:sz w:val="20"/>
          <w:lang w:val="en-GB"/>
        </w:rPr>
        <w:t>Table 01: Cash-flow and interest data related to interest-bearing securities issued by the Hungarian State</w:t>
      </w:r>
    </w:p>
    <w:p w14:paraId="15D0DCDD" w14:textId="19E73677" w:rsidR="00B60823" w:rsidRPr="008C58BD" w:rsidRDefault="00B60823" w:rsidP="00B60823">
      <w:pPr>
        <w:jc w:val="both"/>
        <w:rPr>
          <w:rFonts w:ascii="Arial" w:hAnsi="Arial" w:cs="Arial"/>
        </w:rPr>
      </w:pPr>
      <w:r>
        <w:rPr>
          <w:rFonts w:ascii="Arial" w:hAnsi="Arial" w:cs="Arial"/>
          <w:lang w:val="en-GB"/>
        </w:rPr>
        <w:t xml:space="preserve">This table shall contain only the data of securities issued during the reference period or in connection with which any other event occurred in the reference period (interest payment, repayment of principal, redemption and maturity). </w:t>
      </w:r>
    </w:p>
    <w:p w14:paraId="08B5D1FF" w14:textId="77777777" w:rsidR="00284638" w:rsidRPr="008C58BD" w:rsidRDefault="00284638" w:rsidP="00B60823">
      <w:pPr>
        <w:jc w:val="both"/>
        <w:rPr>
          <w:rFonts w:ascii="Arial" w:hAnsi="Arial" w:cs="Arial"/>
        </w:rPr>
      </w:pPr>
    </w:p>
    <w:p w14:paraId="4245D098" w14:textId="32F479CA" w:rsidR="00284638" w:rsidRPr="008C58BD" w:rsidRDefault="00284638" w:rsidP="00220336">
      <w:pPr>
        <w:jc w:val="both"/>
        <w:rPr>
          <w:rFonts w:ascii="Arial" w:hAnsi="Arial" w:cs="Arial"/>
        </w:rPr>
      </w:pPr>
      <w:r>
        <w:rPr>
          <w:rFonts w:ascii="Arial" w:hAnsi="Arial" w:cs="Arial"/>
          <w:lang w:val="en-GB"/>
        </w:rPr>
        <w:t>In the month when the securities were issued, in addition to the issue, the report shall also show all principal payments due until maturity, representing the ratio of the volume of repayments during the tenor compared to the original nominal value. The total of principal payments should be exactly 100 percent. If during the tenor the data of the principal payments reported at the time of issue change, the new data shall be reported in the way described above.</w:t>
      </w:r>
    </w:p>
    <w:p w14:paraId="0B603076" w14:textId="77777777" w:rsidR="008E3ADC" w:rsidRPr="008C58BD" w:rsidRDefault="008E3ADC" w:rsidP="00220336">
      <w:pPr>
        <w:jc w:val="both"/>
        <w:rPr>
          <w:rFonts w:ascii="Arial" w:hAnsi="Arial" w:cs="Arial"/>
        </w:rPr>
      </w:pPr>
    </w:p>
    <w:p w14:paraId="042FDF29" w14:textId="1DCC35A5" w:rsidR="00B60823" w:rsidRPr="008C58BD" w:rsidRDefault="00B60823" w:rsidP="00220336">
      <w:pPr>
        <w:pStyle w:val="Cmsor1"/>
        <w:jc w:val="both"/>
        <w:rPr>
          <w:rFonts w:ascii="Arial" w:hAnsi="Arial" w:cs="Arial"/>
          <w:sz w:val="20"/>
        </w:rPr>
      </w:pPr>
      <w:r>
        <w:rPr>
          <w:rFonts w:ascii="Arial" w:hAnsi="Arial" w:cs="Arial"/>
          <w:sz w:val="20"/>
          <w:lang w:val="en-GB"/>
        </w:rPr>
        <w:t>In the case of fixed-rate securities, in the month of the issue the total interest amount payable until maturity shall be included in the report. In the case of variable-rate government bonds, the prevailing interest rate shall be reported in the first month of the new interest period, shown as the reference month.</w:t>
      </w:r>
    </w:p>
    <w:p w14:paraId="3B90D587" w14:textId="77777777" w:rsidR="00B60823" w:rsidRPr="008C58BD" w:rsidRDefault="00B60823" w:rsidP="00220336">
      <w:pPr>
        <w:jc w:val="both"/>
        <w:rPr>
          <w:rFonts w:ascii="Arial" w:hAnsi="Arial" w:cs="Arial"/>
        </w:rPr>
      </w:pPr>
    </w:p>
    <w:p w14:paraId="3E5C6745" w14:textId="3E32CA11" w:rsidR="00C31176" w:rsidRPr="008C58BD" w:rsidRDefault="00C31176" w:rsidP="00220336">
      <w:pPr>
        <w:jc w:val="both"/>
        <w:rPr>
          <w:rFonts w:ascii="Arial" w:hAnsi="Arial" w:cs="Arial"/>
        </w:rPr>
      </w:pPr>
      <w:r>
        <w:rPr>
          <w:rFonts w:ascii="Arial" w:hAnsi="Arial" w:cs="Arial"/>
          <w:lang w:val="en-GB"/>
        </w:rPr>
        <w:t>Contents of the fields of individual columns:</w:t>
      </w:r>
    </w:p>
    <w:p w14:paraId="79F2A9FD" w14:textId="77777777" w:rsidR="00B60823" w:rsidRPr="008C58BD" w:rsidRDefault="00B60823" w:rsidP="00220336">
      <w:pPr>
        <w:jc w:val="both"/>
        <w:rPr>
          <w:rFonts w:ascii="Arial" w:hAnsi="Arial" w:cs="Arial"/>
        </w:rPr>
      </w:pPr>
    </w:p>
    <w:p w14:paraId="6D704CA3" w14:textId="7617C258" w:rsidR="00284638" w:rsidRPr="008C58BD" w:rsidRDefault="00406DC0" w:rsidP="00220336">
      <w:pPr>
        <w:jc w:val="both"/>
        <w:rPr>
          <w:rFonts w:ascii="Arial" w:hAnsi="Arial" w:cs="Arial"/>
        </w:rPr>
      </w:pPr>
      <w:r>
        <w:rPr>
          <w:rFonts w:ascii="Arial" w:hAnsi="Arial" w:cs="Arial"/>
          <w:b/>
          <w:bCs/>
          <w:lang w:val="en-GB"/>
        </w:rPr>
        <w:t>c)</w:t>
      </w:r>
      <w:r>
        <w:rPr>
          <w:rFonts w:ascii="Arial" w:hAnsi="Arial" w:cs="Arial"/>
          <w:lang w:val="en-GB"/>
        </w:rPr>
        <w:t xml:space="preserve"> and </w:t>
      </w:r>
      <w:r>
        <w:rPr>
          <w:rFonts w:ascii="Arial" w:hAnsi="Arial" w:cs="Arial"/>
          <w:b/>
          <w:bCs/>
          <w:lang w:val="en-GB"/>
        </w:rPr>
        <w:t>d)</w:t>
      </w:r>
      <w:r>
        <w:rPr>
          <w:rFonts w:ascii="Arial" w:hAnsi="Arial" w:cs="Arial"/>
          <w:lang w:val="en-GB"/>
        </w:rPr>
        <w:t xml:space="preserve"> The codes that may be used are listed the technical guidelines specified in point 4.5 of Annex 3, published on the </w:t>
      </w:r>
      <w:proofErr w:type="spellStart"/>
      <w:r>
        <w:rPr>
          <w:rFonts w:ascii="Arial" w:hAnsi="Arial" w:cs="Arial"/>
          <w:lang w:val="en-GB"/>
        </w:rPr>
        <w:t>MNB’s</w:t>
      </w:r>
      <w:proofErr w:type="spellEnd"/>
      <w:r>
        <w:rPr>
          <w:rFonts w:ascii="Arial" w:hAnsi="Arial" w:cs="Arial"/>
          <w:lang w:val="en-GB"/>
        </w:rPr>
        <w:t xml:space="preserve"> website. </w:t>
      </w:r>
    </w:p>
    <w:p w14:paraId="083901A1" w14:textId="77777777" w:rsidR="008E3ADC" w:rsidRPr="008C58BD" w:rsidRDefault="008E3ADC" w:rsidP="00220336">
      <w:pPr>
        <w:jc w:val="both"/>
        <w:rPr>
          <w:rFonts w:ascii="Arial" w:hAnsi="Arial" w:cs="Arial"/>
        </w:rPr>
      </w:pPr>
    </w:p>
    <w:p w14:paraId="0E002D12" w14:textId="58B744B1" w:rsidR="008E3ADC" w:rsidRPr="008C58BD" w:rsidRDefault="00C31176" w:rsidP="00220336">
      <w:pPr>
        <w:jc w:val="both"/>
        <w:rPr>
          <w:rFonts w:ascii="Arial" w:hAnsi="Arial" w:cs="Arial"/>
        </w:rPr>
      </w:pPr>
      <w:r>
        <w:rPr>
          <w:rFonts w:ascii="Arial" w:hAnsi="Arial" w:cs="Arial"/>
          <w:b/>
          <w:bCs/>
          <w:lang w:val="en-GB"/>
        </w:rPr>
        <w:t>g)</w:t>
      </w:r>
      <w:r>
        <w:rPr>
          <w:rFonts w:ascii="Arial" w:hAnsi="Arial" w:cs="Arial"/>
          <w:lang w:val="en-GB"/>
        </w:rPr>
        <w:t xml:space="preserve"> Annualised interest determined for the respective interest period, expressed in percentage.</w:t>
      </w:r>
    </w:p>
    <w:p w14:paraId="37CDCC21" w14:textId="12260705" w:rsidR="00476EE2" w:rsidRPr="008C58BD" w:rsidRDefault="00C31176" w:rsidP="00220336">
      <w:pPr>
        <w:pStyle w:val="Szvegtrzs3"/>
        <w:spacing w:after="0"/>
        <w:rPr>
          <w:rFonts w:ascii="Arial" w:hAnsi="Arial" w:cs="Arial"/>
          <w:noProof w:val="0"/>
          <w:sz w:val="20"/>
        </w:rPr>
      </w:pPr>
      <w:r>
        <w:rPr>
          <w:rFonts w:ascii="Arial" w:hAnsi="Arial" w:cs="Arial"/>
          <w:b/>
          <w:bCs/>
          <w:sz w:val="20"/>
          <w:lang w:val="en-GB"/>
        </w:rPr>
        <w:t>i)</w:t>
      </w:r>
      <w:r>
        <w:rPr>
          <w:rFonts w:ascii="Arial" w:hAnsi="Arial" w:cs="Arial"/>
          <w:sz w:val="20"/>
          <w:lang w:val="en-GB"/>
        </w:rPr>
        <w:t xml:space="preserve"> </w:t>
      </w:r>
      <w:r>
        <w:rPr>
          <w:rFonts w:ascii="Arial" w:hAnsi="Arial" w:cs="Arial"/>
          <w:noProof w:val="0"/>
          <w:sz w:val="20"/>
          <w:lang w:val="en-GB"/>
        </w:rPr>
        <w:t>Issue shall be reported with negative sign, whereas the interest payment, principal repayment, redemption and maturity event shall be reported with positive sign.</w:t>
      </w:r>
    </w:p>
    <w:p w14:paraId="6D1CD77E" w14:textId="77777777" w:rsidR="00220336" w:rsidRPr="008C58BD" w:rsidRDefault="00220336" w:rsidP="00220336">
      <w:pPr>
        <w:pStyle w:val="Szvegtrzs3"/>
        <w:spacing w:after="0"/>
        <w:rPr>
          <w:rFonts w:ascii="Arial" w:hAnsi="Arial" w:cs="Arial"/>
          <w:noProof w:val="0"/>
          <w:sz w:val="20"/>
        </w:rPr>
      </w:pPr>
    </w:p>
    <w:p w14:paraId="0683DDE2" w14:textId="57E81778" w:rsidR="00220336" w:rsidRPr="008C58BD" w:rsidRDefault="00476EE2" w:rsidP="00220336">
      <w:pPr>
        <w:jc w:val="both"/>
        <w:rPr>
          <w:rFonts w:ascii="Arial" w:hAnsi="Arial" w:cs="Arial"/>
        </w:rPr>
      </w:pPr>
      <w:r>
        <w:rPr>
          <w:rFonts w:ascii="Arial" w:hAnsi="Arial" w:cs="Arial"/>
          <w:lang w:val="en-GB"/>
        </w:rPr>
        <w:t>In the case of code 2, the interest amount actually paid shall be indicated in percentage.</w:t>
      </w:r>
    </w:p>
    <w:p w14:paraId="0BE3EA2A" w14:textId="77777777" w:rsidR="00E74461" w:rsidRPr="008C58BD" w:rsidRDefault="00E74461" w:rsidP="00220336">
      <w:pPr>
        <w:jc w:val="both"/>
        <w:rPr>
          <w:rFonts w:ascii="Arial" w:hAnsi="Arial" w:cs="Arial"/>
        </w:rPr>
      </w:pPr>
    </w:p>
    <w:p w14:paraId="419B168A" w14:textId="3C5A0F45" w:rsidR="00C31176" w:rsidRPr="008C58BD" w:rsidRDefault="00C31176" w:rsidP="00220336">
      <w:pPr>
        <w:pStyle w:val="Szvegtrzs3"/>
        <w:spacing w:after="0"/>
        <w:rPr>
          <w:rFonts w:ascii="Arial" w:hAnsi="Arial" w:cs="Arial"/>
          <w:noProof w:val="0"/>
          <w:sz w:val="20"/>
        </w:rPr>
      </w:pPr>
      <w:r>
        <w:rPr>
          <w:rFonts w:ascii="Arial" w:hAnsi="Arial" w:cs="Arial"/>
          <w:noProof w:val="0"/>
          <w:sz w:val="20"/>
          <w:lang w:val="en-GB"/>
        </w:rPr>
        <w:t>In the case of codes 3 and 4, the ratio of the principal payment and redemption compared to the original nominal value shall be reported.</w:t>
      </w:r>
    </w:p>
    <w:p w14:paraId="75BC7855" w14:textId="77777777" w:rsidR="00220336" w:rsidRPr="008C58BD" w:rsidRDefault="00220336" w:rsidP="00220336">
      <w:pPr>
        <w:pStyle w:val="Szvegtrzs3"/>
        <w:spacing w:after="0"/>
        <w:rPr>
          <w:rFonts w:ascii="Arial" w:hAnsi="Arial" w:cs="Arial"/>
          <w:noProof w:val="0"/>
          <w:sz w:val="20"/>
        </w:rPr>
      </w:pPr>
    </w:p>
    <w:p w14:paraId="5A614AAA" w14:textId="2690C455" w:rsidR="00C31176" w:rsidRPr="008C58BD" w:rsidRDefault="00C31176" w:rsidP="00220336">
      <w:pPr>
        <w:pStyle w:val="Szvegtrzs3"/>
        <w:spacing w:after="0"/>
        <w:rPr>
          <w:rFonts w:ascii="Arial" w:hAnsi="Arial" w:cs="Arial"/>
          <w:sz w:val="20"/>
        </w:rPr>
      </w:pPr>
      <w:r>
        <w:rPr>
          <w:rFonts w:ascii="Arial" w:hAnsi="Arial" w:cs="Arial"/>
          <w:sz w:val="20"/>
          <w:lang w:val="en-GB"/>
        </w:rPr>
        <w:lastRenderedPageBreak/>
        <w:t>Code 5 shall be used only for reporting the maturity of the entire portfolio at the end of the tenor. In the case of amortising securities the last repayment represents the maturity, which shall be reported under code 3.</w:t>
      </w:r>
    </w:p>
    <w:sectPr w:rsidR="00C31176" w:rsidRPr="008C58BD" w:rsidSect="00592BFE">
      <w:headerReference w:type="default" r:id="rId7"/>
      <w:footerReference w:type="default" r:id="rId8"/>
      <w:pgSz w:w="11906" w:h="16838"/>
      <w:pgMar w:top="1247" w:right="1474" w:bottom="1247"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7BA53" w14:textId="77777777" w:rsidR="00895728" w:rsidRDefault="00895728" w:rsidP="00771161">
      <w:r>
        <w:separator/>
      </w:r>
    </w:p>
  </w:endnote>
  <w:endnote w:type="continuationSeparator" w:id="0">
    <w:p w14:paraId="72709959" w14:textId="77777777" w:rsidR="00895728" w:rsidRDefault="00895728" w:rsidP="00771161">
      <w:r>
        <w:continuationSeparator/>
      </w:r>
    </w:p>
  </w:endnote>
  <w:endnote w:type="continuationNotice" w:id="1">
    <w:p w14:paraId="7EAB7A53" w14:textId="77777777" w:rsidR="00895728" w:rsidRDefault="00895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1CD4D" w14:textId="77777777" w:rsidR="00CF7886" w:rsidRDefault="00CF7886" w:rsidP="00D16D2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D4DD7" w14:textId="77777777" w:rsidR="00895728" w:rsidRDefault="00895728" w:rsidP="00771161">
      <w:r>
        <w:separator/>
      </w:r>
    </w:p>
  </w:footnote>
  <w:footnote w:type="continuationSeparator" w:id="0">
    <w:p w14:paraId="1EB5BEE3" w14:textId="77777777" w:rsidR="00895728" w:rsidRDefault="00895728" w:rsidP="00771161">
      <w:r>
        <w:continuationSeparator/>
      </w:r>
    </w:p>
  </w:footnote>
  <w:footnote w:type="continuationNotice" w:id="1">
    <w:p w14:paraId="7900590D" w14:textId="77777777" w:rsidR="00895728" w:rsidRDefault="008957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CFAF6" w14:textId="77777777" w:rsidR="00CF7886" w:rsidRDefault="00CF7886" w:rsidP="00D16D23">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2C398B"/>
    <w:multiLevelType w:val="singleLevel"/>
    <w:tmpl w:val="9F46CAD4"/>
    <w:lvl w:ilvl="0">
      <w:start w:val="1"/>
      <w:numFmt w:val="decimalZero"/>
      <w:lvlText w:val="%1."/>
      <w:lvlJc w:val="left"/>
      <w:pPr>
        <w:tabs>
          <w:tab w:val="num" w:pos="360"/>
        </w:tabs>
        <w:ind w:left="360" w:hanging="360"/>
      </w:pPr>
      <w:rPr>
        <w:rFonts w:hint="default"/>
      </w:rPr>
    </w:lvl>
  </w:abstractNum>
  <w:abstractNum w:abstractNumId="1" w15:restartNumberingAfterBreak="0">
    <w:nsid w:val="3AD37417"/>
    <w:multiLevelType w:val="singleLevel"/>
    <w:tmpl w:val="F462F4EA"/>
    <w:lvl w:ilvl="0">
      <w:start w:val="1"/>
      <w:numFmt w:val="decimalZero"/>
      <w:lvlText w:val="%1."/>
      <w:lvlJc w:val="left"/>
      <w:pPr>
        <w:tabs>
          <w:tab w:val="num" w:pos="360"/>
        </w:tabs>
        <w:ind w:left="360" w:hanging="360"/>
      </w:pPr>
      <w:rPr>
        <w:rFonts w:hint="default"/>
      </w:rPr>
    </w:lvl>
  </w:abstractNum>
  <w:num w:numId="1" w16cid:durableId="1219974832">
    <w:abstractNumId w:val="1"/>
  </w:num>
  <w:num w:numId="2" w16cid:durableId="1767966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B54"/>
    <w:rsid w:val="00020CD9"/>
    <w:rsid w:val="00032341"/>
    <w:rsid w:val="000565D5"/>
    <w:rsid w:val="001548BE"/>
    <w:rsid w:val="00156B6A"/>
    <w:rsid w:val="00161E34"/>
    <w:rsid w:val="00186980"/>
    <w:rsid w:val="001B44CF"/>
    <w:rsid w:val="001D0172"/>
    <w:rsid w:val="001D04E2"/>
    <w:rsid w:val="001D3D79"/>
    <w:rsid w:val="001F57C6"/>
    <w:rsid w:val="00220336"/>
    <w:rsid w:val="002422A4"/>
    <w:rsid w:val="002424D5"/>
    <w:rsid w:val="00246D0F"/>
    <w:rsid w:val="002528EA"/>
    <w:rsid w:val="00284638"/>
    <w:rsid w:val="002C424D"/>
    <w:rsid w:val="002D43C9"/>
    <w:rsid w:val="00323B54"/>
    <w:rsid w:val="00334837"/>
    <w:rsid w:val="003E2CBC"/>
    <w:rsid w:val="00406DC0"/>
    <w:rsid w:val="00425E9F"/>
    <w:rsid w:val="00434C1E"/>
    <w:rsid w:val="004462C7"/>
    <w:rsid w:val="00460E62"/>
    <w:rsid w:val="00475FD7"/>
    <w:rsid w:val="00476EE2"/>
    <w:rsid w:val="004910B3"/>
    <w:rsid w:val="004B5001"/>
    <w:rsid w:val="004D4F5E"/>
    <w:rsid w:val="004F6A44"/>
    <w:rsid w:val="005111D9"/>
    <w:rsid w:val="005167AC"/>
    <w:rsid w:val="005573BA"/>
    <w:rsid w:val="005809AF"/>
    <w:rsid w:val="00592BFE"/>
    <w:rsid w:val="005B24BB"/>
    <w:rsid w:val="00617B24"/>
    <w:rsid w:val="006357A5"/>
    <w:rsid w:val="00683C43"/>
    <w:rsid w:val="006C605E"/>
    <w:rsid w:val="00720D65"/>
    <w:rsid w:val="00724480"/>
    <w:rsid w:val="00724636"/>
    <w:rsid w:val="0076731D"/>
    <w:rsid w:val="00771161"/>
    <w:rsid w:val="007815E3"/>
    <w:rsid w:val="00792410"/>
    <w:rsid w:val="00796FE9"/>
    <w:rsid w:val="007C0633"/>
    <w:rsid w:val="007C3C1E"/>
    <w:rsid w:val="007F41F5"/>
    <w:rsid w:val="007F794B"/>
    <w:rsid w:val="0087199F"/>
    <w:rsid w:val="00895728"/>
    <w:rsid w:val="008B0EEA"/>
    <w:rsid w:val="008C58BD"/>
    <w:rsid w:val="008D13E1"/>
    <w:rsid w:val="008D3B6F"/>
    <w:rsid w:val="008E3ADC"/>
    <w:rsid w:val="00962F10"/>
    <w:rsid w:val="0098124B"/>
    <w:rsid w:val="00997208"/>
    <w:rsid w:val="009C29A2"/>
    <w:rsid w:val="009D74EF"/>
    <w:rsid w:val="00A16914"/>
    <w:rsid w:val="00A23989"/>
    <w:rsid w:val="00AA536A"/>
    <w:rsid w:val="00AD2AF9"/>
    <w:rsid w:val="00AF3BB0"/>
    <w:rsid w:val="00B27D80"/>
    <w:rsid w:val="00B325E6"/>
    <w:rsid w:val="00B60823"/>
    <w:rsid w:val="00BC145A"/>
    <w:rsid w:val="00BE4A6C"/>
    <w:rsid w:val="00BF4D34"/>
    <w:rsid w:val="00C25E3E"/>
    <w:rsid w:val="00C31176"/>
    <w:rsid w:val="00C33ECA"/>
    <w:rsid w:val="00CA0B74"/>
    <w:rsid w:val="00CC178C"/>
    <w:rsid w:val="00CD5FEE"/>
    <w:rsid w:val="00CD682C"/>
    <w:rsid w:val="00CF7886"/>
    <w:rsid w:val="00D16D23"/>
    <w:rsid w:val="00D30E9D"/>
    <w:rsid w:val="00D3747D"/>
    <w:rsid w:val="00D657C5"/>
    <w:rsid w:val="00D95EAD"/>
    <w:rsid w:val="00E74461"/>
    <w:rsid w:val="00E80904"/>
    <w:rsid w:val="00E87B60"/>
    <w:rsid w:val="00F3231D"/>
    <w:rsid w:val="00F80B21"/>
    <w:rsid w:val="00FA22E8"/>
    <w:rsid w:val="00FB4FE1"/>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05C90"/>
  <w15:docId w15:val="{27856717-2508-4AB6-AF31-1D59B741E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92BFE"/>
    <w:rPr>
      <w:lang w:val="en-AU"/>
    </w:rPr>
  </w:style>
  <w:style w:type="paragraph" w:styleId="Cmsor1">
    <w:name w:val="heading 1"/>
    <w:basedOn w:val="Norml"/>
    <w:next w:val="Norml"/>
    <w:qFormat/>
    <w:rsid w:val="00592BFE"/>
    <w:pPr>
      <w:keepNext/>
      <w:outlineLvl w:val="0"/>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rsid w:val="00592BFE"/>
    <w:pPr>
      <w:jc w:val="center"/>
    </w:pPr>
    <w:rPr>
      <w:b/>
      <w:sz w:val="24"/>
    </w:rPr>
  </w:style>
  <w:style w:type="paragraph" w:styleId="Szvegtrzs">
    <w:name w:val="Body Text"/>
    <w:basedOn w:val="Norml"/>
    <w:rsid w:val="00592BFE"/>
    <w:pPr>
      <w:jc w:val="center"/>
    </w:pPr>
    <w:rPr>
      <w:b/>
      <w:sz w:val="24"/>
    </w:rPr>
  </w:style>
  <w:style w:type="paragraph" w:styleId="Szvegtrzs3">
    <w:name w:val="Body Text 3"/>
    <w:basedOn w:val="Norml"/>
    <w:rsid w:val="00592BFE"/>
    <w:pPr>
      <w:tabs>
        <w:tab w:val="left" w:pos="8222"/>
      </w:tabs>
      <w:spacing w:after="120"/>
      <w:jc w:val="both"/>
    </w:pPr>
    <w:rPr>
      <w:noProof/>
      <w:sz w:val="24"/>
    </w:rPr>
  </w:style>
  <w:style w:type="character" w:styleId="Lbjegyzet-hivatkozs">
    <w:name w:val="footnote reference"/>
    <w:semiHidden/>
    <w:rsid w:val="00592BFE"/>
    <w:rPr>
      <w:vertAlign w:val="superscript"/>
    </w:rPr>
  </w:style>
  <w:style w:type="character" w:styleId="Hiperhivatkozs">
    <w:name w:val="Hyperlink"/>
    <w:rsid w:val="00592BFE"/>
    <w:rPr>
      <w:color w:val="0000FF"/>
      <w:u w:val="single"/>
    </w:rPr>
  </w:style>
  <w:style w:type="character" w:styleId="Mrltotthiperhivatkozs">
    <w:name w:val="FollowedHyperlink"/>
    <w:rsid w:val="00592BFE"/>
    <w:rPr>
      <w:color w:val="800080"/>
      <w:u w:val="single"/>
    </w:rPr>
  </w:style>
  <w:style w:type="paragraph" w:customStyle="1" w:styleId="CharChar1CharCharCharCharCharCharCharCharCharCharCharCharChar">
    <w:name w:val="Char Char1 Char Char Char Char Char Char Char Char Char Char Char Char Char"/>
    <w:basedOn w:val="Norml"/>
    <w:rsid w:val="00BE4A6C"/>
    <w:pPr>
      <w:spacing w:after="160" w:line="240" w:lineRule="exact"/>
    </w:pPr>
    <w:rPr>
      <w:rFonts w:ascii="Verdana" w:hAnsi="Verdana"/>
      <w:lang w:val="en-US" w:eastAsia="en-US"/>
    </w:rPr>
  </w:style>
  <w:style w:type="paragraph" w:styleId="Buborkszveg">
    <w:name w:val="Balloon Text"/>
    <w:basedOn w:val="Norml"/>
    <w:semiHidden/>
    <w:rsid w:val="006C605E"/>
    <w:rPr>
      <w:rFonts w:ascii="Tahoma" w:hAnsi="Tahoma" w:cs="Tahoma"/>
      <w:sz w:val="16"/>
      <w:szCs w:val="16"/>
    </w:rPr>
  </w:style>
  <w:style w:type="paragraph" w:styleId="Vltozat">
    <w:name w:val="Revision"/>
    <w:hidden/>
    <w:uiPriority w:val="99"/>
    <w:semiHidden/>
    <w:rsid w:val="00F80B21"/>
    <w:rPr>
      <w:lang w:val="en-AU"/>
    </w:rPr>
  </w:style>
  <w:style w:type="character" w:styleId="Jegyzethivatkozs">
    <w:name w:val="annotation reference"/>
    <w:basedOn w:val="Bekezdsalapbettpusa"/>
    <w:uiPriority w:val="99"/>
    <w:semiHidden/>
    <w:unhideWhenUsed/>
    <w:rsid w:val="00F80B21"/>
    <w:rPr>
      <w:sz w:val="16"/>
      <w:szCs w:val="16"/>
    </w:rPr>
  </w:style>
  <w:style w:type="paragraph" w:styleId="Jegyzetszveg">
    <w:name w:val="annotation text"/>
    <w:basedOn w:val="Norml"/>
    <w:link w:val="JegyzetszvegChar"/>
    <w:uiPriority w:val="99"/>
    <w:semiHidden/>
    <w:unhideWhenUsed/>
    <w:rsid w:val="00F80B21"/>
  </w:style>
  <w:style w:type="character" w:customStyle="1" w:styleId="JegyzetszvegChar">
    <w:name w:val="Jegyzetszöveg Char"/>
    <w:basedOn w:val="Bekezdsalapbettpusa"/>
    <w:link w:val="Jegyzetszveg"/>
    <w:uiPriority w:val="99"/>
    <w:semiHidden/>
    <w:rsid w:val="00F80B21"/>
    <w:rPr>
      <w:lang w:val="en-AU"/>
    </w:rPr>
  </w:style>
  <w:style w:type="paragraph" w:styleId="Megjegyzstrgya">
    <w:name w:val="annotation subject"/>
    <w:basedOn w:val="Jegyzetszveg"/>
    <w:next w:val="Jegyzetszveg"/>
    <w:link w:val="MegjegyzstrgyaChar"/>
    <w:uiPriority w:val="99"/>
    <w:semiHidden/>
    <w:unhideWhenUsed/>
    <w:rsid w:val="00F80B21"/>
    <w:rPr>
      <w:b/>
      <w:bCs/>
    </w:rPr>
  </w:style>
  <w:style w:type="character" w:customStyle="1" w:styleId="MegjegyzstrgyaChar">
    <w:name w:val="Megjegyzés tárgya Char"/>
    <w:basedOn w:val="JegyzetszvegChar"/>
    <w:link w:val="Megjegyzstrgya"/>
    <w:uiPriority w:val="99"/>
    <w:semiHidden/>
    <w:rsid w:val="00F80B21"/>
    <w:rPr>
      <w:b/>
      <w:bCs/>
      <w:lang w:val="en-AU"/>
    </w:rPr>
  </w:style>
  <w:style w:type="paragraph" w:styleId="lfej">
    <w:name w:val="header"/>
    <w:basedOn w:val="Norml"/>
    <w:link w:val="lfejChar"/>
    <w:uiPriority w:val="99"/>
    <w:unhideWhenUsed/>
    <w:rsid w:val="00CF7886"/>
    <w:pPr>
      <w:tabs>
        <w:tab w:val="center" w:pos="4536"/>
        <w:tab w:val="right" w:pos="9072"/>
      </w:tabs>
    </w:pPr>
  </w:style>
  <w:style w:type="character" w:customStyle="1" w:styleId="lfejChar">
    <w:name w:val="Élőfej Char"/>
    <w:basedOn w:val="Bekezdsalapbettpusa"/>
    <w:link w:val="lfej"/>
    <w:uiPriority w:val="99"/>
    <w:rsid w:val="00CF7886"/>
    <w:rPr>
      <w:lang w:val="en-AU"/>
    </w:rPr>
  </w:style>
  <w:style w:type="paragraph" w:styleId="llb">
    <w:name w:val="footer"/>
    <w:basedOn w:val="Norml"/>
    <w:link w:val="llbChar"/>
    <w:uiPriority w:val="99"/>
    <w:unhideWhenUsed/>
    <w:rsid w:val="00CF7886"/>
    <w:pPr>
      <w:tabs>
        <w:tab w:val="center" w:pos="4536"/>
        <w:tab w:val="right" w:pos="9072"/>
      </w:tabs>
    </w:pPr>
  </w:style>
  <w:style w:type="character" w:customStyle="1" w:styleId="llbChar">
    <w:name w:val="Élőláb Char"/>
    <w:basedOn w:val="Bekezdsalapbettpusa"/>
    <w:link w:val="llb"/>
    <w:uiPriority w:val="99"/>
    <w:rsid w:val="00CF7886"/>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426</Words>
  <Characters>2945</Characters>
  <Application>Microsoft Office Word</Application>
  <DocSecurity>0</DocSecurity>
  <Lines>24</Lines>
  <Paragraphs>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Kitöltési útmutató</vt:lpstr>
      <vt:lpstr>Kitöltési útmutató</vt:lpstr>
    </vt:vector>
  </TitlesOfParts>
  <Company>Magyar Nemzeti Bank</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Kitöltési útmutató</dc:title>
  <dc:creator>Dr. Németh Pál</dc:creator>
  <cp:lastModifiedBy>Juhász Katalin</cp:lastModifiedBy>
  <cp:revision>6</cp:revision>
  <cp:lastPrinted>2004-07-13T08:56:00Z</cp:lastPrinted>
  <dcterms:created xsi:type="dcterms:W3CDTF">2022-07-18T09:37:00Z</dcterms:created>
  <dcterms:modified xsi:type="dcterms:W3CDTF">2025-03-27T16:31:00Z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2025-09-25T09:48:59Z</vt:filetime>
  </property>
  <property fmtid="{D5CDD505-2E9C-101B-9397-08002B2CF9AE}" pid="3" name="Érvényességet beállító">
    <vt:lpwstr>gubeknei</vt:lpwstr>
  </property>
  <property fmtid="{D5CDD505-2E9C-101B-9397-08002B2CF9AE}" pid="4" name="Érvényességi idő első beállítása">
    <vt:filetime>2020-09-25T09:48:59Z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gubeknei@mnb.hu</vt:lpwstr>
  </property>
  <property fmtid="{D5CDD505-2E9C-101B-9397-08002B2CF9AE}" pid="8" name="MSIP_Label_b0d11092-50c9-4e74-84b5-b1af078dc3d0_SetDate">
    <vt:lpwstr>2020-09-25T09:59:48.4464909Z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79b94d46-81f8-4261-bdc1-3674924aa924</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