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E999" w14:textId="77777777" w:rsidR="001B3335" w:rsidRPr="0091158D" w:rsidRDefault="00124310" w:rsidP="004B13F2">
      <w:pPr>
        <w:spacing w:after="240"/>
        <w:rPr>
          <w:rFonts w:ascii="Arial" w:hAnsi="Arial" w:cs="Arial"/>
          <w:b/>
          <w:sz w:val="20"/>
          <w:lang w:val="en-GB"/>
        </w:rPr>
      </w:pPr>
      <w:r w:rsidRPr="0091158D">
        <w:rPr>
          <w:rFonts w:ascii="Arial" w:hAnsi="Arial" w:cs="Arial"/>
          <w:b/>
          <w:bCs/>
          <w:sz w:val="20"/>
          <w:lang w:val="en-GB"/>
        </w:rPr>
        <w:t>MNB identification number: E48</w:t>
      </w:r>
    </w:p>
    <w:p w14:paraId="17056E5F" w14:textId="77777777" w:rsidR="004B13F2" w:rsidRPr="0091158D" w:rsidRDefault="00124310" w:rsidP="004B13F2">
      <w:pPr>
        <w:spacing w:before="240"/>
        <w:jc w:val="center"/>
        <w:rPr>
          <w:rFonts w:ascii="Arial" w:hAnsi="Arial" w:cs="Arial"/>
          <w:b/>
          <w:sz w:val="20"/>
          <w:lang w:val="en-GB"/>
        </w:rPr>
      </w:pPr>
      <w:r w:rsidRPr="0091158D">
        <w:rPr>
          <w:rFonts w:ascii="Arial" w:hAnsi="Arial" w:cs="Arial"/>
          <w:b/>
          <w:bCs/>
          <w:sz w:val="20"/>
          <w:lang w:val="en-GB"/>
        </w:rPr>
        <w:t>Completion instructions for the report</w:t>
      </w:r>
    </w:p>
    <w:p w14:paraId="4667F98B" w14:textId="77777777" w:rsidR="001B3335" w:rsidRPr="0091158D" w:rsidRDefault="00124310" w:rsidP="004B13F2">
      <w:pPr>
        <w:spacing w:after="240"/>
        <w:jc w:val="center"/>
        <w:rPr>
          <w:rFonts w:ascii="Arial" w:hAnsi="Arial" w:cs="Arial"/>
          <w:b/>
          <w:sz w:val="20"/>
          <w:lang w:val="en-GB"/>
        </w:rPr>
      </w:pPr>
      <w:r w:rsidRPr="0091158D">
        <w:rPr>
          <w:rFonts w:ascii="Arial" w:hAnsi="Arial" w:cs="Arial"/>
          <w:b/>
          <w:bCs/>
          <w:sz w:val="20"/>
          <w:lang w:val="en-GB"/>
        </w:rPr>
        <w:t xml:space="preserve">Capitalisation and turnover of shares which are traded on BSE, listing and </w:t>
      </w:r>
      <w:proofErr w:type="spellStart"/>
      <w:r w:rsidRPr="0091158D">
        <w:rPr>
          <w:rFonts w:ascii="Arial" w:hAnsi="Arial" w:cs="Arial"/>
          <w:b/>
          <w:bCs/>
          <w:sz w:val="20"/>
          <w:lang w:val="en-GB"/>
        </w:rPr>
        <w:t>unlisting</w:t>
      </w:r>
      <w:proofErr w:type="spellEnd"/>
      <w:r w:rsidRPr="0091158D">
        <w:rPr>
          <w:rFonts w:ascii="Arial" w:hAnsi="Arial" w:cs="Arial"/>
          <w:b/>
          <w:bCs/>
          <w:sz w:val="20"/>
          <w:lang w:val="en-GB"/>
        </w:rPr>
        <w:t xml:space="preserve"> of shares</w:t>
      </w:r>
    </w:p>
    <w:p w14:paraId="1DDD2AD5" w14:textId="77777777" w:rsidR="001B3335" w:rsidRPr="0091158D" w:rsidRDefault="00124310" w:rsidP="004B13F2">
      <w:pPr>
        <w:pStyle w:val="Szvegtrzs3"/>
        <w:spacing w:before="240" w:after="240"/>
        <w:rPr>
          <w:rFonts w:ascii="Arial" w:hAnsi="Arial" w:cs="Arial"/>
          <w:b/>
          <w:noProof w:val="0"/>
          <w:sz w:val="20"/>
          <w:lang w:val="en-GB"/>
        </w:rPr>
      </w:pPr>
      <w:r w:rsidRPr="0091158D">
        <w:rPr>
          <w:rFonts w:ascii="Arial" w:hAnsi="Arial" w:cs="Arial"/>
          <w:b/>
          <w:bCs/>
          <w:noProof w:val="0"/>
          <w:sz w:val="20"/>
          <w:lang w:val="en-GB"/>
        </w:rPr>
        <w:t>I. General instructions</w:t>
      </w:r>
    </w:p>
    <w:p w14:paraId="48C0DEFB" w14:textId="77777777" w:rsidR="001B3335" w:rsidRPr="0091158D" w:rsidRDefault="00124310" w:rsidP="004B13F2">
      <w:pPr>
        <w:jc w:val="both"/>
        <w:rPr>
          <w:rFonts w:ascii="Arial" w:hAnsi="Arial" w:cs="Arial"/>
          <w:sz w:val="20"/>
          <w:lang w:val="en-GB"/>
        </w:rPr>
      </w:pPr>
      <w:r w:rsidRPr="0091158D">
        <w:rPr>
          <w:rFonts w:ascii="Arial" w:hAnsi="Arial" w:cs="Arial"/>
          <w:sz w:val="20"/>
          <w:lang w:val="en-GB"/>
        </w:rPr>
        <w:t>This report applies to all shares which were traded on the BSE during the month to which it pertains (at least one day).</w:t>
      </w:r>
    </w:p>
    <w:p w14:paraId="2A372677" w14:textId="541161DE" w:rsidR="007D002B" w:rsidRPr="0091158D" w:rsidRDefault="00124310" w:rsidP="00CB75DE">
      <w:pPr>
        <w:jc w:val="both"/>
        <w:rPr>
          <w:rFonts w:ascii="Arial" w:hAnsi="Arial" w:cs="Arial"/>
          <w:sz w:val="20"/>
          <w:lang w:val="en-GB"/>
        </w:rPr>
      </w:pPr>
      <w:r w:rsidRPr="0091158D">
        <w:rPr>
          <w:rFonts w:ascii="Arial" w:hAnsi="Arial" w:cs="Arial"/>
          <w:sz w:val="20"/>
          <w:lang w:val="en-GB"/>
        </w:rPr>
        <w:t xml:space="preserve">A glossary of terms used in the tables and in these </w:t>
      </w:r>
      <w:proofErr w:type="gramStart"/>
      <w:r w:rsidRPr="0091158D">
        <w:rPr>
          <w:rFonts w:ascii="Arial" w:hAnsi="Arial" w:cs="Arial"/>
          <w:sz w:val="20"/>
          <w:lang w:val="en-GB"/>
        </w:rPr>
        <w:t>completion</w:t>
      </w:r>
      <w:proofErr w:type="gramEnd"/>
      <w:r w:rsidRPr="0091158D">
        <w:rPr>
          <w:rFonts w:ascii="Arial" w:hAnsi="Arial" w:cs="Arial"/>
          <w:sz w:val="20"/>
          <w:lang w:val="en-GB"/>
        </w:rPr>
        <w:t xml:space="preserve"> instructions is located in point I.</w:t>
      </w:r>
      <w:r w:rsidR="00CB7BA7">
        <w:rPr>
          <w:rFonts w:ascii="Arial" w:hAnsi="Arial" w:cs="Arial"/>
          <w:sz w:val="20"/>
          <w:lang w:val="en-GB"/>
        </w:rPr>
        <w:t xml:space="preserve"> </w:t>
      </w:r>
      <w:r w:rsidR="00CB75DE" w:rsidRPr="0091158D">
        <w:rPr>
          <w:rFonts w:ascii="Arial" w:hAnsi="Arial" w:cs="Arial"/>
          <w:sz w:val="20"/>
          <w:lang w:val="en-GB"/>
        </w:rPr>
        <w:t>E</w:t>
      </w:r>
      <w:r w:rsidRPr="0091158D">
        <w:rPr>
          <w:rFonts w:ascii="Arial" w:hAnsi="Arial" w:cs="Arial"/>
          <w:sz w:val="20"/>
          <w:lang w:val="en-GB"/>
        </w:rPr>
        <w:t>.</w:t>
      </w:r>
      <w:r w:rsidR="00CB7BA7">
        <w:rPr>
          <w:rFonts w:ascii="Arial" w:hAnsi="Arial" w:cs="Arial"/>
          <w:sz w:val="20"/>
          <w:lang w:val="en-GB"/>
        </w:rPr>
        <w:t xml:space="preserve"> </w:t>
      </w:r>
      <w:r w:rsidRPr="0091158D">
        <w:rPr>
          <w:rFonts w:ascii="Arial" w:hAnsi="Arial" w:cs="Arial"/>
          <w:sz w:val="20"/>
          <w:lang w:val="en-GB"/>
        </w:rPr>
        <w:t>2 of this Annex.</w:t>
      </w:r>
    </w:p>
    <w:p w14:paraId="20CB708F" w14:textId="77777777" w:rsidR="001B3335" w:rsidRPr="0091158D" w:rsidRDefault="00124310" w:rsidP="00D904CB">
      <w:pPr>
        <w:pStyle w:val="Szvegtrzs3"/>
        <w:spacing w:before="240" w:after="240"/>
        <w:rPr>
          <w:rFonts w:ascii="Arial" w:hAnsi="Arial" w:cs="Arial"/>
          <w:b/>
          <w:bCs/>
          <w:noProof w:val="0"/>
          <w:sz w:val="20"/>
          <w:lang w:val="en-GB"/>
        </w:rPr>
      </w:pPr>
      <w:r w:rsidRPr="0091158D">
        <w:rPr>
          <w:rFonts w:ascii="Arial" w:hAnsi="Arial" w:cs="Arial"/>
          <w:b/>
          <w:bCs/>
          <w:noProof w:val="0"/>
          <w:sz w:val="20"/>
          <w:lang w:val="en-GB"/>
        </w:rPr>
        <w:t>II. Detailed instructions for the completion of the tables</w:t>
      </w:r>
    </w:p>
    <w:p w14:paraId="37A9E2CF" w14:textId="4F8CF635" w:rsidR="00317942" w:rsidRPr="0091158D" w:rsidRDefault="00124310" w:rsidP="00D80B1D">
      <w:pPr>
        <w:spacing w:after="120"/>
        <w:jc w:val="both"/>
        <w:rPr>
          <w:rFonts w:ascii="Arial" w:hAnsi="Arial" w:cs="Arial"/>
          <w:sz w:val="20"/>
          <w:lang w:val="en-GB"/>
        </w:rPr>
      </w:pPr>
      <w:r w:rsidRPr="0091158D">
        <w:rPr>
          <w:rFonts w:ascii="Arial" w:hAnsi="Arial" w:cs="Arial"/>
          <w:sz w:val="20"/>
          <w:lang w:val="en-GB"/>
        </w:rPr>
        <w:t xml:space="preserve">For the definition of the currency type the codes to be applied as per point 4.1 of Annex 3 are listed in the technical guidelines available on the official website of the MNB. For securities denominated in the currencies of EMU states (e.g. </w:t>
      </w:r>
      <w:proofErr w:type="spellStart"/>
      <w:r w:rsidRPr="0091158D">
        <w:rPr>
          <w:rFonts w:ascii="Arial" w:hAnsi="Arial" w:cs="Arial"/>
          <w:sz w:val="20"/>
          <w:lang w:val="en-GB"/>
        </w:rPr>
        <w:t>Graphisoft</w:t>
      </w:r>
      <w:proofErr w:type="spellEnd"/>
      <w:r w:rsidRPr="0091158D">
        <w:rPr>
          <w:rFonts w:ascii="Arial" w:hAnsi="Arial" w:cs="Arial"/>
          <w:sz w:val="20"/>
          <w:lang w:val="en-GB"/>
        </w:rPr>
        <w:t>) ‘EUR’ shall be indicated.</w:t>
      </w:r>
    </w:p>
    <w:p w14:paraId="0B6EF645" w14:textId="77777777" w:rsidR="00772D56" w:rsidRPr="0091158D" w:rsidRDefault="00124310" w:rsidP="00772D56">
      <w:pPr>
        <w:jc w:val="both"/>
        <w:rPr>
          <w:rFonts w:ascii="Arial" w:hAnsi="Arial" w:cs="Arial"/>
          <w:sz w:val="20"/>
          <w:lang w:val="en-GB"/>
        </w:rPr>
      </w:pPr>
      <w:r w:rsidRPr="0091158D">
        <w:rPr>
          <w:rFonts w:ascii="Arial" w:hAnsi="Arial" w:cs="Arial"/>
          <w:sz w:val="20"/>
          <w:lang w:val="en-GB"/>
        </w:rPr>
        <w:t>Verificatory rules to send correct reports are listed in point 5 of Annex 3 (technical guidelines) available on the MNB website.</w:t>
      </w:r>
    </w:p>
    <w:p w14:paraId="3AEA6B17" w14:textId="6DCE4051" w:rsidR="001B3335" w:rsidRPr="0091158D" w:rsidRDefault="00124310" w:rsidP="00D80B1D">
      <w:pPr>
        <w:pStyle w:val="Cmsor1"/>
        <w:spacing w:before="120" w:after="120"/>
        <w:rPr>
          <w:rFonts w:ascii="Arial" w:hAnsi="Arial" w:cs="Arial"/>
          <w:sz w:val="20"/>
          <w:lang w:val="en-GB"/>
        </w:rPr>
      </w:pPr>
      <w:r w:rsidRPr="0091158D">
        <w:rPr>
          <w:rFonts w:ascii="Arial" w:hAnsi="Arial" w:cs="Arial"/>
          <w:bCs/>
          <w:sz w:val="20"/>
          <w:lang w:val="en-GB"/>
        </w:rPr>
        <w:t>Table 01: Capitalisation and turnover of shares which are traded on the stock exchange</w:t>
      </w:r>
    </w:p>
    <w:p w14:paraId="4E1B29C5" w14:textId="0D7FC107" w:rsidR="001B3335" w:rsidRPr="0091158D" w:rsidRDefault="00124310">
      <w:pPr>
        <w:rPr>
          <w:rFonts w:ascii="Arial" w:hAnsi="Arial" w:cs="Arial"/>
          <w:sz w:val="20"/>
          <w:lang w:val="en-GB"/>
        </w:rPr>
      </w:pPr>
      <w:r w:rsidRPr="0091158D">
        <w:rPr>
          <w:rFonts w:ascii="Arial" w:hAnsi="Arial" w:cs="Arial"/>
          <w:sz w:val="20"/>
          <w:lang w:val="en-GB"/>
        </w:rPr>
        <w:t>All shares which were traded on the BSE on the last day of the reference month shall be reported.</w:t>
      </w:r>
    </w:p>
    <w:p w14:paraId="031E514C" w14:textId="77777777" w:rsidR="00317942" w:rsidRPr="0091158D" w:rsidRDefault="00317942">
      <w:pPr>
        <w:jc w:val="both"/>
        <w:rPr>
          <w:rFonts w:ascii="Arial" w:hAnsi="Arial" w:cs="Arial"/>
          <w:sz w:val="20"/>
          <w:lang w:val="en-GB"/>
        </w:rPr>
      </w:pPr>
    </w:p>
    <w:p w14:paraId="3D218536" w14:textId="77777777" w:rsidR="001B3335" w:rsidRPr="0091158D" w:rsidRDefault="00124310">
      <w:pPr>
        <w:jc w:val="both"/>
        <w:rPr>
          <w:rFonts w:ascii="Arial" w:hAnsi="Arial" w:cs="Arial"/>
          <w:sz w:val="20"/>
          <w:lang w:val="en-GB"/>
        </w:rPr>
      </w:pPr>
      <w:r w:rsidRPr="0091158D">
        <w:rPr>
          <w:rFonts w:ascii="Arial" w:hAnsi="Arial" w:cs="Arial"/>
          <w:sz w:val="20"/>
          <w:lang w:val="en-GB"/>
        </w:rPr>
        <w:t>Content of individual columns</w:t>
      </w:r>
    </w:p>
    <w:p w14:paraId="4A002FBA" w14:textId="66244A66" w:rsidR="001B3335" w:rsidRPr="0091158D" w:rsidRDefault="00CB75DE" w:rsidP="00D34FE0">
      <w:pPr>
        <w:spacing w:before="120"/>
        <w:jc w:val="both"/>
        <w:rPr>
          <w:rFonts w:ascii="Arial" w:hAnsi="Arial" w:cs="Arial"/>
          <w:sz w:val="20"/>
          <w:lang w:val="en-GB"/>
        </w:rPr>
      </w:pPr>
      <w:r w:rsidRPr="0091158D">
        <w:rPr>
          <w:rFonts w:ascii="Arial" w:hAnsi="Arial" w:cs="Arial"/>
          <w:b/>
          <w:bCs/>
          <w:sz w:val="20"/>
          <w:lang w:val="en-GB"/>
        </w:rPr>
        <w:t>g</w:t>
      </w:r>
      <w:r w:rsidR="00124310" w:rsidRPr="0091158D">
        <w:rPr>
          <w:rFonts w:ascii="Arial" w:hAnsi="Arial" w:cs="Arial"/>
          <w:b/>
          <w:bCs/>
          <w:sz w:val="20"/>
          <w:lang w:val="en-GB"/>
        </w:rPr>
        <w:t xml:space="preserve">/ </w:t>
      </w:r>
      <w:r w:rsidR="00124310" w:rsidRPr="0091158D">
        <w:rPr>
          <w:rFonts w:ascii="Arial" w:hAnsi="Arial" w:cs="Arial"/>
          <w:sz w:val="20"/>
          <w:lang w:val="en-GB"/>
        </w:rPr>
        <w:t>The monthly closing price of a share must be expressed in HUF, except that if the trading currency of a share is other than HUF, the closing price of the share in the original currency must be converted into HUF at the MNB exchange rate valid at the end of the month. If none was sold during the month, the last closing-out price shall be indicated.</w:t>
      </w:r>
    </w:p>
    <w:p w14:paraId="0433CB84" w14:textId="77777777" w:rsidR="001B3335" w:rsidRPr="0091158D" w:rsidRDefault="00124310" w:rsidP="00D904CB">
      <w:pPr>
        <w:pStyle w:val="Cmsor1"/>
        <w:spacing w:before="120" w:after="120"/>
        <w:rPr>
          <w:rFonts w:ascii="Arial" w:hAnsi="Arial" w:cs="Arial"/>
          <w:sz w:val="20"/>
          <w:lang w:val="en-GB"/>
        </w:rPr>
      </w:pPr>
      <w:r w:rsidRPr="0091158D">
        <w:rPr>
          <w:rFonts w:ascii="Arial" w:hAnsi="Arial" w:cs="Arial"/>
          <w:bCs/>
          <w:sz w:val="20"/>
          <w:lang w:val="en-GB"/>
        </w:rPr>
        <w:t xml:space="preserve">Table 02: Monthly data relating to the listing and </w:t>
      </w:r>
      <w:proofErr w:type="spellStart"/>
      <w:r w:rsidRPr="0091158D">
        <w:rPr>
          <w:rFonts w:ascii="Arial" w:hAnsi="Arial" w:cs="Arial"/>
          <w:bCs/>
          <w:sz w:val="20"/>
          <w:lang w:val="en-GB"/>
        </w:rPr>
        <w:t>unlisting</w:t>
      </w:r>
      <w:proofErr w:type="spellEnd"/>
      <w:r w:rsidRPr="0091158D">
        <w:rPr>
          <w:rFonts w:ascii="Arial" w:hAnsi="Arial" w:cs="Arial"/>
          <w:bCs/>
          <w:sz w:val="20"/>
          <w:lang w:val="en-GB"/>
        </w:rPr>
        <w:t xml:space="preserve"> of shares</w:t>
      </w:r>
    </w:p>
    <w:p w14:paraId="52132B5E" w14:textId="77777777" w:rsidR="001B3335" w:rsidRPr="0091158D" w:rsidRDefault="00124310">
      <w:pPr>
        <w:jc w:val="both"/>
        <w:rPr>
          <w:rFonts w:ascii="Arial" w:hAnsi="Arial" w:cs="Arial"/>
          <w:sz w:val="20"/>
          <w:lang w:val="en-GB"/>
        </w:rPr>
      </w:pPr>
      <w:r w:rsidRPr="0091158D">
        <w:rPr>
          <w:rFonts w:ascii="Arial" w:hAnsi="Arial" w:cs="Arial"/>
          <w:sz w:val="20"/>
          <w:lang w:val="en-GB"/>
        </w:rPr>
        <w:t xml:space="preserve">This table shall be completed only for securities that were admitted to the stock exchange, or unlisted during the month, and also for those securities traded on BSE, where due to a corporate event the paper’s </w:t>
      </w:r>
      <w:proofErr w:type="spellStart"/>
      <w:r w:rsidRPr="0091158D">
        <w:rPr>
          <w:rFonts w:ascii="Arial" w:hAnsi="Arial" w:cs="Arial"/>
          <w:sz w:val="20"/>
          <w:lang w:val="en-GB"/>
        </w:rPr>
        <w:t>ISIN</w:t>
      </w:r>
      <w:proofErr w:type="spellEnd"/>
      <w:r w:rsidRPr="0091158D">
        <w:rPr>
          <w:rFonts w:ascii="Arial" w:hAnsi="Arial" w:cs="Arial"/>
          <w:sz w:val="20"/>
          <w:lang w:val="en-GB"/>
        </w:rPr>
        <w:t>-code, quantity, currency or denomination was modified.</w:t>
      </w:r>
    </w:p>
    <w:p w14:paraId="447399A1" w14:textId="77777777" w:rsidR="00317942" w:rsidRPr="0091158D" w:rsidRDefault="00124310" w:rsidP="00D904CB">
      <w:pPr>
        <w:spacing w:before="120"/>
        <w:jc w:val="both"/>
        <w:rPr>
          <w:rFonts w:ascii="Arial" w:hAnsi="Arial" w:cs="Arial"/>
          <w:sz w:val="20"/>
          <w:lang w:val="en-GB"/>
        </w:rPr>
      </w:pPr>
      <w:r w:rsidRPr="0091158D">
        <w:rPr>
          <w:rFonts w:ascii="Arial" w:hAnsi="Arial" w:cs="Arial"/>
          <w:sz w:val="20"/>
          <w:lang w:val="en-GB"/>
        </w:rPr>
        <w:t>Content of individual columns</w:t>
      </w:r>
    </w:p>
    <w:p w14:paraId="21D97F38" w14:textId="77777777" w:rsidR="000B2FA3" w:rsidRPr="0091158D" w:rsidRDefault="00124310" w:rsidP="00D904CB">
      <w:pPr>
        <w:spacing w:before="120"/>
        <w:jc w:val="both"/>
        <w:rPr>
          <w:rFonts w:ascii="Arial" w:hAnsi="Arial" w:cs="Arial"/>
          <w:snapToGrid w:val="0"/>
          <w:sz w:val="20"/>
          <w:lang w:val="en-GB"/>
        </w:rPr>
      </w:pPr>
      <w:r w:rsidRPr="0091158D">
        <w:rPr>
          <w:rFonts w:ascii="Arial" w:hAnsi="Arial" w:cs="Arial"/>
          <w:b/>
          <w:bCs/>
          <w:snapToGrid w:val="0"/>
          <w:sz w:val="20"/>
          <w:lang w:val="en-GB"/>
        </w:rPr>
        <w:t>c/</w:t>
      </w:r>
      <w:r w:rsidRPr="0091158D">
        <w:rPr>
          <w:rFonts w:ascii="Arial" w:hAnsi="Arial" w:cs="Arial"/>
          <w:snapToGrid w:val="0"/>
          <w:sz w:val="20"/>
          <w:lang w:val="en-GB"/>
        </w:rPr>
        <w:t xml:space="preserve"> The codes to be used as per point 4.5 of Annex 3 are listed in the technical guidelines available on the official website of the MNB.</w:t>
      </w:r>
    </w:p>
    <w:p w14:paraId="2FF256FE" w14:textId="1C86674D" w:rsidR="001B3335" w:rsidRPr="0091158D" w:rsidRDefault="00124310" w:rsidP="00D80B1D">
      <w:pPr>
        <w:spacing w:before="120"/>
        <w:jc w:val="both"/>
        <w:rPr>
          <w:rFonts w:ascii="Arial" w:hAnsi="Arial" w:cs="Arial"/>
          <w:sz w:val="20"/>
          <w:lang w:val="en-GB"/>
        </w:rPr>
      </w:pPr>
      <w:r w:rsidRPr="0091158D">
        <w:rPr>
          <w:rFonts w:ascii="Arial" w:hAnsi="Arial" w:cs="Arial"/>
          <w:b/>
          <w:bCs/>
          <w:sz w:val="20"/>
          <w:lang w:val="en-GB"/>
        </w:rPr>
        <w:t>g/</w:t>
      </w:r>
      <w:r w:rsidRPr="0091158D">
        <w:rPr>
          <w:rFonts w:ascii="Arial" w:hAnsi="Arial" w:cs="Arial"/>
          <w:sz w:val="20"/>
          <w:lang w:val="en-GB"/>
        </w:rPr>
        <w:t xml:space="preserve"> Quantity of shares affected by the stock exchange event, showing the number of pieces.</w:t>
      </w:r>
    </w:p>
    <w:p w14:paraId="7F002B55" w14:textId="77777777" w:rsidR="001C0C9E" w:rsidRPr="0091158D" w:rsidRDefault="00124310" w:rsidP="00317942">
      <w:pPr>
        <w:spacing w:before="120"/>
        <w:jc w:val="both"/>
        <w:rPr>
          <w:rFonts w:ascii="Arial" w:hAnsi="Arial" w:cs="Arial"/>
          <w:sz w:val="20"/>
          <w:lang w:val="en-GB"/>
        </w:rPr>
      </w:pPr>
      <w:r w:rsidRPr="0091158D">
        <w:rPr>
          <w:rFonts w:ascii="Arial" w:hAnsi="Arial" w:cs="Arial"/>
          <w:b/>
          <w:bCs/>
          <w:sz w:val="20"/>
          <w:lang w:val="en-GB"/>
        </w:rPr>
        <w:t>i/</w:t>
      </w:r>
      <w:r w:rsidRPr="0091158D">
        <w:rPr>
          <w:rFonts w:ascii="Arial" w:hAnsi="Arial" w:cs="Arial"/>
          <w:sz w:val="20"/>
          <w:lang w:val="en-GB"/>
        </w:rPr>
        <w:t xml:space="preserve"> Please use this field to provide a brief description of the event indicated in column </w:t>
      </w:r>
      <w:r w:rsidRPr="0091158D">
        <w:rPr>
          <w:rFonts w:ascii="Arial" w:hAnsi="Arial" w:cs="Arial"/>
          <w:b/>
          <w:bCs/>
          <w:sz w:val="20"/>
          <w:lang w:val="en-GB"/>
        </w:rPr>
        <w:t>c</w:t>
      </w:r>
      <w:r w:rsidRPr="0091158D">
        <w:rPr>
          <w:rFonts w:ascii="Arial" w:hAnsi="Arial" w:cs="Arial"/>
          <w:sz w:val="20"/>
          <w:lang w:val="en-GB"/>
        </w:rPr>
        <w:t>, or the one leading to it or providing an explanation for it. (For example, in the case of a new package introduced for listing on the stock exchange: private capital increase, conversion of employee shares, conversion of bonds, conversion of dividends etc.; or in the case of other corporate events: e.g. distribution of shares.)</w:t>
      </w:r>
    </w:p>
    <w:sectPr w:rsidR="001C0C9E" w:rsidRPr="0091158D" w:rsidSect="00124310">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7526" w14:textId="77777777" w:rsidR="008F7CD6" w:rsidRDefault="008F7CD6" w:rsidP="00760ACA">
      <w:r>
        <w:separator/>
      </w:r>
    </w:p>
  </w:endnote>
  <w:endnote w:type="continuationSeparator" w:id="0">
    <w:p w14:paraId="397BEFD6" w14:textId="77777777" w:rsidR="008F7CD6" w:rsidRDefault="008F7CD6" w:rsidP="00760ACA">
      <w:r>
        <w:continuationSeparator/>
      </w:r>
    </w:p>
  </w:endnote>
  <w:endnote w:type="continuationNotice" w:id="1">
    <w:p w14:paraId="149FF3C4" w14:textId="77777777" w:rsidR="008F7CD6" w:rsidRDefault="008F7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05B9" w14:textId="77777777" w:rsidR="00760ACA" w:rsidRDefault="00760AC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186D" w14:textId="77777777" w:rsidR="00760ACA" w:rsidRDefault="00760ACA">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2398" w14:textId="77777777" w:rsidR="00760ACA" w:rsidRDefault="00760AC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0FBFD" w14:textId="77777777" w:rsidR="008F7CD6" w:rsidRDefault="008F7CD6" w:rsidP="00760ACA">
      <w:r>
        <w:separator/>
      </w:r>
    </w:p>
  </w:footnote>
  <w:footnote w:type="continuationSeparator" w:id="0">
    <w:p w14:paraId="5DC6EF34" w14:textId="77777777" w:rsidR="008F7CD6" w:rsidRDefault="008F7CD6" w:rsidP="00760ACA">
      <w:r>
        <w:continuationSeparator/>
      </w:r>
    </w:p>
  </w:footnote>
  <w:footnote w:type="continuationNotice" w:id="1">
    <w:p w14:paraId="52BC1D09" w14:textId="77777777" w:rsidR="008F7CD6" w:rsidRDefault="008F7C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E962" w14:textId="77777777" w:rsidR="00760ACA" w:rsidRDefault="00760AC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3A9B" w14:textId="77777777" w:rsidR="00760ACA" w:rsidRDefault="00760AC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97FC" w14:textId="77777777" w:rsidR="00760ACA" w:rsidRDefault="00760AC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40251"/>
    <w:multiLevelType w:val="singleLevel"/>
    <w:tmpl w:val="0FF2031C"/>
    <w:lvl w:ilvl="0">
      <w:start w:val="1"/>
      <w:numFmt w:val="decimalZero"/>
      <w:lvlText w:val="%1."/>
      <w:lvlJc w:val="left"/>
      <w:pPr>
        <w:tabs>
          <w:tab w:val="num" w:pos="450"/>
        </w:tabs>
        <w:ind w:left="450" w:hanging="450"/>
      </w:pPr>
      <w:rPr>
        <w:rFonts w:hint="default"/>
      </w:rPr>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5B272C69"/>
    <w:multiLevelType w:val="singleLevel"/>
    <w:tmpl w:val="C876092A"/>
    <w:lvl w:ilvl="0">
      <w:start w:val="1"/>
      <w:numFmt w:val="decimalZero"/>
      <w:lvlText w:val="%1."/>
      <w:lvlJc w:val="left"/>
      <w:pPr>
        <w:tabs>
          <w:tab w:val="num" w:pos="360"/>
        </w:tabs>
        <w:ind w:left="360" w:hanging="360"/>
      </w:pPr>
      <w:rPr>
        <w:rFonts w:hint="default"/>
      </w:rPr>
    </w:lvl>
  </w:abstractNum>
  <w:abstractNum w:abstractNumId="3" w15:restartNumberingAfterBreak="0">
    <w:nsid w:val="66EF31E9"/>
    <w:multiLevelType w:val="hybridMultilevel"/>
    <w:tmpl w:val="ABF43426"/>
    <w:lvl w:ilvl="0" w:tplc="35AC8FE4">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669408244">
    <w:abstractNumId w:val="0"/>
  </w:num>
  <w:num w:numId="2" w16cid:durableId="1092815475">
    <w:abstractNumId w:val="2"/>
  </w:num>
  <w:num w:numId="3" w16cid:durableId="1967539377">
    <w:abstractNumId w:val="1"/>
  </w:num>
  <w:num w:numId="4" w16cid:durableId="1631596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D85"/>
    <w:rsid w:val="0007345A"/>
    <w:rsid w:val="000738FB"/>
    <w:rsid w:val="00096FF0"/>
    <w:rsid w:val="000A42FF"/>
    <w:rsid w:val="000B2FA3"/>
    <w:rsid w:val="000D6316"/>
    <w:rsid w:val="00107506"/>
    <w:rsid w:val="00124310"/>
    <w:rsid w:val="00146B04"/>
    <w:rsid w:val="001B3335"/>
    <w:rsid w:val="001C0C9E"/>
    <w:rsid w:val="001D5AC5"/>
    <w:rsid w:val="0027561E"/>
    <w:rsid w:val="002B540E"/>
    <w:rsid w:val="002D7637"/>
    <w:rsid w:val="00317942"/>
    <w:rsid w:val="00322218"/>
    <w:rsid w:val="0035292E"/>
    <w:rsid w:val="00354A45"/>
    <w:rsid w:val="003E121F"/>
    <w:rsid w:val="003F7E98"/>
    <w:rsid w:val="004355BF"/>
    <w:rsid w:val="0044366B"/>
    <w:rsid w:val="00443E0F"/>
    <w:rsid w:val="00456806"/>
    <w:rsid w:val="00473BA7"/>
    <w:rsid w:val="004B13F2"/>
    <w:rsid w:val="004F5872"/>
    <w:rsid w:val="00530553"/>
    <w:rsid w:val="0057092E"/>
    <w:rsid w:val="0057547A"/>
    <w:rsid w:val="005C70BD"/>
    <w:rsid w:val="005E6C89"/>
    <w:rsid w:val="00607A2A"/>
    <w:rsid w:val="00607A97"/>
    <w:rsid w:val="006509E4"/>
    <w:rsid w:val="00682F2B"/>
    <w:rsid w:val="006D67C7"/>
    <w:rsid w:val="00702AC8"/>
    <w:rsid w:val="00720486"/>
    <w:rsid w:val="0072616D"/>
    <w:rsid w:val="00744D35"/>
    <w:rsid w:val="00760ACA"/>
    <w:rsid w:val="00772D56"/>
    <w:rsid w:val="007A1814"/>
    <w:rsid w:val="007C675B"/>
    <w:rsid w:val="007D002B"/>
    <w:rsid w:val="007D12BD"/>
    <w:rsid w:val="007D2E9A"/>
    <w:rsid w:val="007D353F"/>
    <w:rsid w:val="007D4A1B"/>
    <w:rsid w:val="007D7919"/>
    <w:rsid w:val="007F2765"/>
    <w:rsid w:val="00813F2B"/>
    <w:rsid w:val="00825163"/>
    <w:rsid w:val="00831DDC"/>
    <w:rsid w:val="008640E1"/>
    <w:rsid w:val="00895000"/>
    <w:rsid w:val="008A025D"/>
    <w:rsid w:val="008B5CB7"/>
    <w:rsid w:val="008C19F3"/>
    <w:rsid w:val="008D5909"/>
    <w:rsid w:val="008F3E73"/>
    <w:rsid w:val="008F7CD6"/>
    <w:rsid w:val="0091158D"/>
    <w:rsid w:val="009433E6"/>
    <w:rsid w:val="00951675"/>
    <w:rsid w:val="0096607A"/>
    <w:rsid w:val="009C4E90"/>
    <w:rsid w:val="009C6FBA"/>
    <w:rsid w:val="00A14A63"/>
    <w:rsid w:val="00A34B24"/>
    <w:rsid w:val="00A7048F"/>
    <w:rsid w:val="00A973AC"/>
    <w:rsid w:val="00AA5865"/>
    <w:rsid w:val="00AA7C67"/>
    <w:rsid w:val="00AE3F2D"/>
    <w:rsid w:val="00AF1077"/>
    <w:rsid w:val="00BB26EA"/>
    <w:rsid w:val="00BB3F7D"/>
    <w:rsid w:val="00C62E32"/>
    <w:rsid w:val="00CA65C2"/>
    <w:rsid w:val="00CB75DE"/>
    <w:rsid w:val="00CB7BA7"/>
    <w:rsid w:val="00D34FE0"/>
    <w:rsid w:val="00D80B1D"/>
    <w:rsid w:val="00D904CB"/>
    <w:rsid w:val="00DC242C"/>
    <w:rsid w:val="00E40DD2"/>
    <w:rsid w:val="00EA2AB8"/>
    <w:rsid w:val="00EB631B"/>
    <w:rsid w:val="00EE5D85"/>
    <w:rsid w:val="00F01D90"/>
    <w:rsid w:val="00F57F1A"/>
    <w:rsid w:val="00F74207"/>
    <w:rsid w:val="00FA0E8D"/>
    <w:rsid w:val="00FC0E58"/>
    <w:rsid w:val="00FD20C9"/>
    <w:rsid w:val="00FE25EC"/>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B71F46"/>
  <w15:chartTrackingRefBased/>
  <w15:docId w15:val="{1FF19A94-57CB-44FC-B23A-2BC445C7E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24310"/>
    <w:rPr>
      <w:sz w:val="18"/>
    </w:rPr>
  </w:style>
  <w:style w:type="paragraph" w:styleId="Cmsor1">
    <w:name w:val="heading 1"/>
    <w:basedOn w:val="Norml"/>
    <w:next w:val="Norml"/>
    <w:qFormat/>
    <w:rsid w:val="00124310"/>
    <w:pPr>
      <w:keepNext/>
      <w:jc w:val="both"/>
      <w:outlineLvl w:val="0"/>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124310"/>
    <w:pPr>
      <w:tabs>
        <w:tab w:val="left" w:pos="8222"/>
      </w:tabs>
      <w:spacing w:after="120"/>
      <w:jc w:val="both"/>
    </w:pPr>
    <w:rPr>
      <w:noProof/>
      <w:sz w:val="24"/>
    </w:rPr>
  </w:style>
  <w:style w:type="paragraph" w:styleId="Szvegtrzs2">
    <w:name w:val="Body Text 2"/>
    <w:basedOn w:val="Norml"/>
    <w:rsid w:val="00124310"/>
    <w:pPr>
      <w:spacing w:after="120" w:line="480" w:lineRule="auto"/>
    </w:pPr>
  </w:style>
  <w:style w:type="paragraph" w:styleId="Buborkszveg">
    <w:name w:val="Balloon Text"/>
    <w:basedOn w:val="Norml"/>
    <w:semiHidden/>
    <w:rsid w:val="00124310"/>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l"/>
    <w:rsid w:val="007D2E9A"/>
    <w:pPr>
      <w:spacing w:after="160" w:line="240" w:lineRule="exact"/>
    </w:pPr>
    <w:rPr>
      <w:rFonts w:ascii="Verdana" w:hAnsi="Verdana"/>
      <w:sz w:val="20"/>
      <w:lang w:val="en-US" w:eastAsia="en-US"/>
    </w:rPr>
  </w:style>
  <w:style w:type="character" w:customStyle="1" w:styleId="Kiemels2">
    <w:name w:val="Kiemelés2"/>
    <w:qFormat/>
    <w:rsid w:val="00772D56"/>
    <w:rPr>
      <w:b/>
      <w:bCs/>
    </w:rPr>
  </w:style>
  <w:style w:type="paragraph" w:styleId="Vltozat">
    <w:name w:val="Revision"/>
    <w:hidden/>
    <w:uiPriority w:val="99"/>
    <w:semiHidden/>
    <w:rsid w:val="007D7919"/>
    <w:rPr>
      <w:sz w:val="18"/>
    </w:rPr>
  </w:style>
  <w:style w:type="paragraph" w:styleId="Jegyzetszveg">
    <w:name w:val="annotation text"/>
    <w:basedOn w:val="Norml"/>
    <w:link w:val="JegyzetszvegChar"/>
    <w:uiPriority w:val="99"/>
    <w:semiHidden/>
    <w:unhideWhenUsed/>
    <w:rPr>
      <w:sz w:val="20"/>
    </w:rPr>
  </w:style>
  <w:style w:type="character" w:customStyle="1" w:styleId="JegyzetszvegChar">
    <w:name w:val="Jegyzetszöveg Char"/>
    <w:basedOn w:val="Bekezdsalapbettpusa"/>
    <w:link w:val="Jegyzetszveg"/>
    <w:uiPriority w:val="99"/>
    <w:semiHidden/>
  </w:style>
  <w:style w:type="character" w:styleId="Jegyzethivatkozs">
    <w:name w:val="annotation reference"/>
    <w:basedOn w:val="Bekezdsalapbettpusa"/>
    <w:uiPriority w:val="99"/>
    <w:semiHidden/>
    <w:unhideWhenUsed/>
    <w:rPr>
      <w:sz w:val="16"/>
      <w:szCs w:val="16"/>
    </w:rPr>
  </w:style>
  <w:style w:type="paragraph" w:styleId="Megjegyzstrgya">
    <w:name w:val="annotation subject"/>
    <w:basedOn w:val="Jegyzetszveg"/>
    <w:next w:val="Jegyzetszveg"/>
    <w:link w:val="MegjegyzstrgyaChar"/>
    <w:uiPriority w:val="99"/>
    <w:semiHidden/>
    <w:unhideWhenUsed/>
    <w:rsid w:val="0096607A"/>
    <w:rPr>
      <w:b/>
      <w:bCs/>
    </w:rPr>
  </w:style>
  <w:style w:type="character" w:customStyle="1" w:styleId="MegjegyzstrgyaChar">
    <w:name w:val="Megjegyzés tárgya Char"/>
    <w:basedOn w:val="JegyzetszvegChar"/>
    <w:link w:val="Megjegyzstrgya"/>
    <w:uiPriority w:val="99"/>
    <w:semiHidden/>
    <w:rsid w:val="0096607A"/>
    <w:rPr>
      <w:b/>
      <w:bCs/>
    </w:rPr>
  </w:style>
  <w:style w:type="paragraph" w:styleId="lfej">
    <w:name w:val="header"/>
    <w:basedOn w:val="Norml"/>
    <w:link w:val="lfejChar"/>
    <w:uiPriority w:val="99"/>
    <w:unhideWhenUsed/>
    <w:rsid w:val="00760ACA"/>
    <w:pPr>
      <w:tabs>
        <w:tab w:val="center" w:pos="4536"/>
        <w:tab w:val="right" w:pos="9072"/>
      </w:tabs>
    </w:pPr>
  </w:style>
  <w:style w:type="character" w:customStyle="1" w:styleId="lfejChar">
    <w:name w:val="Élőfej Char"/>
    <w:basedOn w:val="Bekezdsalapbettpusa"/>
    <w:link w:val="lfej"/>
    <w:uiPriority w:val="99"/>
    <w:rsid w:val="00760ACA"/>
    <w:rPr>
      <w:sz w:val="18"/>
    </w:rPr>
  </w:style>
  <w:style w:type="paragraph" w:styleId="llb">
    <w:name w:val="footer"/>
    <w:basedOn w:val="Norml"/>
    <w:link w:val="llbChar"/>
    <w:uiPriority w:val="99"/>
    <w:unhideWhenUsed/>
    <w:rsid w:val="00760ACA"/>
    <w:pPr>
      <w:tabs>
        <w:tab w:val="center" w:pos="4536"/>
        <w:tab w:val="right" w:pos="9072"/>
      </w:tabs>
    </w:pPr>
  </w:style>
  <w:style w:type="character" w:customStyle="1" w:styleId="llbChar">
    <w:name w:val="Élőláb Char"/>
    <w:basedOn w:val="Bekezdsalapbettpusa"/>
    <w:link w:val="llb"/>
    <w:uiPriority w:val="99"/>
    <w:rsid w:val="00760ACA"/>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61CF7-3BBE-46F9-ACB0-E7986FB90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427</Words>
  <Characters>2059</Characters>
  <Application>Microsoft Office Word</Application>
  <DocSecurity>0</DocSecurity>
  <Lines>17</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Útmutató a kárpótlási jegyek forgalmát bemutató táblázatokhoz</vt:lpstr>
      <vt:lpstr>Útmutató a kárpótlási jegyek forgalmát bemutató táblázatokhoz</vt:lpstr>
    </vt:vector>
  </TitlesOfParts>
  <Company>Magyar Nemzeti Bank</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Útmutató a kárpótlási jegyek forgalmát bemutató táblázatokhoz</dc:title>
  <dc:subject/>
  <dc:creator>Horváth Istvánné (Ani) 10-87</dc:creator>
  <cp:keywords/>
  <cp:lastModifiedBy>GK</cp:lastModifiedBy>
  <cp:revision>3</cp:revision>
  <cp:lastPrinted>2002-07-26T08:38:00Z</cp:lastPrinted>
  <dcterms:created xsi:type="dcterms:W3CDTF">2025-02-11T13:52:00Z</dcterms:created>
  <dcterms:modified xsi:type="dcterms:W3CDTF">2025-05-14T09:19:00Z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2028-07-13T12:04:34Z</vt:filetime>
  </property>
  <property fmtid="{D5CDD505-2E9C-101B-9397-08002B2CF9AE}" pid="3" name="Érvényességet beállító">
    <vt:lpwstr>gubeknei</vt:lpwstr>
  </property>
  <property fmtid="{D5CDD505-2E9C-101B-9397-08002B2CF9AE}" pid="4" name="Érvényességi idő első beállítása">
    <vt:filetime>2023-07-13T12:04:34Z</vt:filetime>
  </property>
</Properties>
</file>