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1F179D" w14:textId="1EA359C6" w:rsidR="00CD447F" w:rsidRPr="00455D22" w:rsidRDefault="00E1755B" w:rsidP="00221E94">
      <w:pPr>
        <w:rPr>
          <w:rFonts w:ascii="Arial" w:hAnsi="Arial" w:cs="Arial"/>
          <w:b/>
        </w:rPr>
      </w:pPr>
      <w:bookmarkStart w:id="0" w:name="_GoBack"/>
      <w:bookmarkEnd w:id="0"/>
      <w:r>
        <w:rPr>
          <w:rFonts w:ascii="Arial" w:hAnsi="Arial" w:cs="Arial"/>
          <w:b/>
          <w:bCs/>
          <w:lang w:val="en-GB"/>
        </w:rPr>
        <w:t>MNB identification code: AL12</w:t>
      </w:r>
    </w:p>
    <w:p w14:paraId="09D9E05E" w14:textId="77777777" w:rsidR="00221E94" w:rsidRPr="00455D22" w:rsidRDefault="00221E94" w:rsidP="00221E94">
      <w:pPr>
        <w:rPr>
          <w:rFonts w:ascii="Arial" w:hAnsi="Arial" w:cs="Arial"/>
          <w:b/>
        </w:rPr>
      </w:pPr>
    </w:p>
    <w:p w14:paraId="06813338" w14:textId="77777777" w:rsidR="00450413" w:rsidRPr="00455D22" w:rsidRDefault="00E1755B" w:rsidP="00B94103">
      <w:pPr>
        <w:spacing w:before="240"/>
        <w:jc w:val="center"/>
        <w:rPr>
          <w:rFonts w:ascii="Arial" w:hAnsi="Arial" w:cs="Arial"/>
          <w:b/>
        </w:rPr>
      </w:pPr>
      <w:r>
        <w:rPr>
          <w:rFonts w:ascii="Arial" w:hAnsi="Arial" w:cs="Arial"/>
          <w:b/>
          <w:bCs/>
          <w:lang w:val="en-GB"/>
        </w:rPr>
        <w:t>Completion instructions for the report</w:t>
      </w:r>
    </w:p>
    <w:p w14:paraId="1E8E4D82" w14:textId="69434CCF" w:rsidR="00221E94" w:rsidRPr="00455D22" w:rsidRDefault="00E1755B" w:rsidP="008F7935">
      <w:pPr>
        <w:pStyle w:val="Szvegtrzs"/>
        <w:rPr>
          <w:rFonts w:ascii="Arial" w:hAnsi="Arial" w:cs="Arial"/>
          <w:sz w:val="20"/>
        </w:rPr>
      </w:pPr>
      <w:r>
        <w:rPr>
          <w:rFonts w:ascii="Arial" w:hAnsi="Arial" w:cs="Arial"/>
          <w:bCs/>
          <w:sz w:val="20"/>
          <w:lang w:val="en-GB"/>
        </w:rPr>
        <w:t>Data of retail loans granted under the FGS Green Home Programme</w:t>
      </w:r>
    </w:p>
    <w:p w14:paraId="544025AE" w14:textId="77777777" w:rsidR="00450413" w:rsidRPr="008F7935" w:rsidRDefault="00E1755B" w:rsidP="007333A6">
      <w:pPr>
        <w:spacing w:before="240"/>
        <w:jc w:val="both"/>
        <w:rPr>
          <w:rFonts w:ascii="Arial" w:hAnsi="Arial" w:cs="Arial"/>
          <w:b/>
        </w:rPr>
      </w:pPr>
      <w:r>
        <w:rPr>
          <w:rFonts w:ascii="Arial" w:hAnsi="Arial" w:cs="Arial"/>
          <w:b/>
          <w:bCs/>
          <w:lang w:val="en-GB"/>
        </w:rPr>
        <w:t>I. General instructions</w:t>
      </w:r>
    </w:p>
    <w:p w14:paraId="3BF2598E" w14:textId="77777777" w:rsidR="001609CD" w:rsidRPr="008F7935" w:rsidRDefault="001609CD" w:rsidP="00135C88">
      <w:pPr>
        <w:jc w:val="both"/>
        <w:rPr>
          <w:rFonts w:ascii="Arial" w:hAnsi="Arial" w:cs="Arial"/>
          <w:highlight w:val="yellow"/>
        </w:rPr>
      </w:pPr>
    </w:p>
    <w:p w14:paraId="5B627227" w14:textId="5EFB7FEE" w:rsidR="00135C88" w:rsidRPr="00F0464C" w:rsidRDefault="00E1755B" w:rsidP="00135C88">
      <w:pPr>
        <w:jc w:val="both"/>
        <w:rPr>
          <w:rFonts w:ascii="Arial" w:hAnsi="Arial" w:cs="Arial"/>
        </w:rPr>
      </w:pPr>
      <w:r>
        <w:rPr>
          <w:rFonts w:ascii="Arial" w:hAnsi="Arial" w:cs="Arial"/>
          <w:lang w:val="en-GB"/>
        </w:rPr>
        <w:t>1. The data provider participating in the FGS Green Home Programme (hereinafter: FGS GHP) shall provide data until such time as any outstanding debt it may have to the MNB under FGS GHP ceases to exist. The data reporting shall include, the data of the housing loan (hereinafter: "Housing Loan") granted to the retail client (hereinafter: "Borrower") under the FGS GHP, launched on 4 October 2021, and refinanced by the MNB, under the conditions of the FGS GHP Framework Contract (hereinafter: "Framework Contract") and the terms and conditions of the Product Information forming part of the Framework Contract, as well as any changes in the reported data of the Housing Loan. The data of Housing Loans granted by a credit institution participating in FGS GHP indirectly, through an umbrella bank, shall be reported by the credit institution acting as umbrella bank based on the Framework Contract concluded with the MNB.</w:t>
      </w:r>
    </w:p>
    <w:p w14:paraId="25C5DCF5" w14:textId="77777777" w:rsidR="00732EC0" w:rsidRDefault="00732EC0" w:rsidP="00135C88">
      <w:pPr>
        <w:jc w:val="both"/>
        <w:rPr>
          <w:rFonts w:ascii="Arial" w:hAnsi="Arial" w:cs="Arial"/>
          <w:highlight w:val="yellow"/>
        </w:rPr>
      </w:pPr>
    </w:p>
    <w:p w14:paraId="36376DB0" w14:textId="113BEFBA" w:rsidR="0040602A" w:rsidRPr="00F0464C" w:rsidRDefault="00E1755B" w:rsidP="007333A6">
      <w:pPr>
        <w:autoSpaceDE w:val="0"/>
        <w:autoSpaceDN w:val="0"/>
        <w:adjustRightInd w:val="0"/>
        <w:jc w:val="both"/>
        <w:rPr>
          <w:rFonts w:ascii="Arial" w:hAnsi="Arial" w:cs="Arial"/>
        </w:rPr>
      </w:pPr>
      <w:r>
        <w:rPr>
          <w:rFonts w:ascii="Arial" w:hAnsi="Arial" w:cs="Arial"/>
          <w:lang w:val="en-GB"/>
        </w:rPr>
        <w:t>2. The codes to be used in the table are listed in the technical guidelines referred to in Section 4.11 of Annex 3, published on the MNB’s website (hereinafter: code list).</w:t>
      </w:r>
    </w:p>
    <w:p w14:paraId="0777D82D" w14:textId="77777777" w:rsidR="0040602A" w:rsidRPr="008F7935" w:rsidRDefault="0040602A" w:rsidP="007333A6">
      <w:pPr>
        <w:pStyle w:val="Szvegtrzs2"/>
        <w:tabs>
          <w:tab w:val="left" w:pos="284"/>
        </w:tabs>
        <w:rPr>
          <w:rFonts w:ascii="Arial" w:hAnsi="Arial" w:cs="Arial"/>
          <w:sz w:val="20"/>
          <w:highlight w:val="yellow"/>
        </w:rPr>
      </w:pPr>
    </w:p>
    <w:p w14:paraId="1BACE4A8" w14:textId="77777777" w:rsidR="00CB4D17" w:rsidRPr="00F0464C" w:rsidRDefault="00E1755B" w:rsidP="007333A6">
      <w:pPr>
        <w:pStyle w:val="Szvegtrzs2"/>
        <w:tabs>
          <w:tab w:val="left" w:pos="284"/>
        </w:tabs>
        <w:rPr>
          <w:rFonts w:ascii="Arial" w:hAnsi="Arial" w:cs="Arial"/>
          <w:sz w:val="20"/>
        </w:rPr>
      </w:pPr>
      <w:r>
        <w:rPr>
          <w:rFonts w:ascii="Arial" w:hAnsi="Arial" w:cs="Arial"/>
          <w:sz w:val="20"/>
          <w:lang w:val="en-GB"/>
        </w:rPr>
        <w:t>3. When the data refer to a date it shall be provided in YYYY.MM.DD format.</w:t>
      </w:r>
    </w:p>
    <w:p w14:paraId="52CCBE3F" w14:textId="77777777" w:rsidR="00450413" w:rsidRPr="008F7935" w:rsidRDefault="00450413" w:rsidP="007333A6">
      <w:pPr>
        <w:pStyle w:val="Szvegtrzs2"/>
        <w:tabs>
          <w:tab w:val="left" w:pos="284"/>
        </w:tabs>
        <w:rPr>
          <w:rFonts w:ascii="Arial" w:hAnsi="Arial" w:cs="Arial"/>
          <w:sz w:val="20"/>
          <w:highlight w:val="yellow"/>
        </w:rPr>
      </w:pPr>
    </w:p>
    <w:p w14:paraId="13AB6017" w14:textId="50EAC2B9" w:rsidR="005E64DF" w:rsidRPr="00F0464C" w:rsidRDefault="00E1755B" w:rsidP="007333A6">
      <w:pPr>
        <w:pStyle w:val="Szvegtrzs2"/>
        <w:tabs>
          <w:tab w:val="left" w:pos="284"/>
        </w:tabs>
        <w:rPr>
          <w:rFonts w:ascii="Arial" w:hAnsi="Arial" w:cs="Arial"/>
          <w:sz w:val="20"/>
        </w:rPr>
      </w:pPr>
      <w:r>
        <w:rPr>
          <w:rFonts w:ascii="Arial" w:hAnsi="Arial" w:cs="Arial"/>
          <w:sz w:val="20"/>
          <w:lang w:val="en-GB"/>
        </w:rPr>
        <w:t xml:space="preserve">4. The data must be submitted in CVS format, separated by semicolon (“;”). </w:t>
      </w:r>
    </w:p>
    <w:p w14:paraId="309206BB" w14:textId="77777777" w:rsidR="001A33BE" w:rsidRPr="008F7935" w:rsidRDefault="001A33BE" w:rsidP="007333A6">
      <w:pPr>
        <w:pStyle w:val="Szvegtrzs2"/>
        <w:tabs>
          <w:tab w:val="left" w:pos="284"/>
        </w:tabs>
        <w:rPr>
          <w:rFonts w:ascii="Arial" w:hAnsi="Arial" w:cs="Arial"/>
          <w:sz w:val="20"/>
          <w:highlight w:val="yellow"/>
        </w:rPr>
      </w:pPr>
    </w:p>
    <w:p w14:paraId="6D190C7F" w14:textId="5C695EC7" w:rsidR="005A610C" w:rsidRPr="008F7935" w:rsidRDefault="00E1755B" w:rsidP="007333A6">
      <w:pPr>
        <w:pStyle w:val="Szvegtrzs2"/>
        <w:tabs>
          <w:tab w:val="left" w:pos="284"/>
        </w:tabs>
        <w:rPr>
          <w:rFonts w:ascii="Arial" w:hAnsi="Arial" w:cs="Arial"/>
          <w:sz w:val="20"/>
          <w:highlight w:val="yellow"/>
        </w:rPr>
      </w:pPr>
      <w:r>
        <w:rPr>
          <w:rFonts w:ascii="Arial" w:hAnsi="Arial" w:cs="Arial"/>
          <w:sz w:val="20"/>
          <w:lang w:val="en-GB"/>
        </w:rPr>
        <w:t>5. The data related to refinanced loans (columns ea to em) – unless provided otherwise in these completion instructions – must be reported, if the loan is refinancing a Housing Loan disbursed under FGS GHP or if the Housing Loan is taken over as part of a portfolio transfer. In the data supply on loans taken over the data to be shown in columns ea to em relating to the refinanced loan’s data shall mean the data of the Housing Loan taken over. When the data to be reported on the refinanced loan are not available to the data provider from other sources – data provider’s own records, other registers accessible to the data provider, particularly the Central Credit Information System – the data supply on these data shall be based on the Borrower’s declaration.</w:t>
      </w:r>
    </w:p>
    <w:p w14:paraId="750158CC" w14:textId="77777777" w:rsidR="00E61506" w:rsidRPr="008F7935" w:rsidRDefault="00E61506" w:rsidP="00E61506">
      <w:pPr>
        <w:pStyle w:val="Szvegtrzs2"/>
        <w:tabs>
          <w:tab w:val="left" w:pos="284"/>
        </w:tabs>
        <w:rPr>
          <w:rFonts w:ascii="Arial" w:hAnsi="Arial" w:cs="Arial"/>
          <w:sz w:val="20"/>
          <w:highlight w:val="yellow"/>
        </w:rPr>
      </w:pPr>
    </w:p>
    <w:p w14:paraId="4FB88345" w14:textId="77777777" w:rsidR="00E61506" w:rsidRPr="00CB5CE9" w:rsidRDefault="00E1755B" w:rsidP="00E61506">
      <w:pPr>
        <w:autoSpaceDE w:val="0"/>
        <w:autoSpaceDN w:val="0"/>
        <w:adjustRightInd w:val="0"/>
        <w:jc w:val="both"/>
        <w:rPr>
          <w:rFonts w:ascii="Arial" w:hAnsi="Arial" w:cs="Arial"/>
        </w:rPr>
      </w:pPr>
      <w:r>
        <w:rPr>
          <w:rFonts w:ascii="Arial" w:hAnsi="Arial" w:cs="Arial"/>
          <w:lang w:val="en-GB"/>
        </w:rPr>
        <w:t>6. The technical guidelines for the proper completion of the table are available at the MNB website, as set out in Section 9 of Annex 3.</w:t>
      </w:r>
    </w:p>
    <w:p w14:paraId="7490BCF7" w14:textId="77777777" w:rsidR="00E61506" w:rsidRPr="008F7935" w:rsidRDefault="00E61506" w:rsidP="007333A6">
      <w:pPr>
        <w:pStyle w:val="Szvegtrzs2"/>
        <w:tabs>
          <w:tab w:val="left" w:pos="284"/>
        </w:tabs>
        <w:rPr>
          <w:rFonts w:ascii="Arial" w:hAnsi="Arial" w:cs="Arial"/>
          <w:sz w:val="20"/>
          <w:highlight w:val="yellow"/>
        </w:rPr>
      </w:pPr>
    </w:p>
    <w:p w14:paraId="6FAE33D5" w14:textId="77777777" w:rsidR="00450413" w:rsidRPr="00CB5CE9" w:rsidRDefault="00E1755B" w:rsidP="007333A6">
      <w:pPr>
        <w:spacing w:before="240" w:after="240"/>
        <w:jc w:val="both"/>
        <w:rPr>
          <w:rFonts w:ascii="Arial" w:hAnsi="Arial" w:cs="Arial"/>
          <w:b/>
        </w:rPr>
      </w:pPr>
      <w:r>
        <w:rPr>
          <w:rFonts w:ascii="Arial" w:hAnsi="Arial" w:cs="Arial"/>
          <w:b/>
          <w:bCs/>
          <w:lang w:val="en-GB"/>
        </w:rPr>
        <w:t>II. Detailed instructions for the completion of the table</w:t>
      </w:r>
    </w:p>
    <w:p w14:paraId="090765FF" w14:textId="289AF1CF" w:rsidR="009E27F3" w:rsidRPr="00CB5CE9" w:rsidRDefault="00E1755B" w:rsidP="007333A6">
      <w:pPr>
        <w:spacing w:before="240" w:after="240"/>
        <w:jc w:val="both"/>
        <w:rPr>
          <w:rFonts w:ascii="Arial" w:hAnsi="Arial" w:cs="Arial"/>
          <w:b/>
        </w:rPr>
      </w:pPr>
      <w:r>
        <w:rPr>
          <w:rFonts w:ascii="Arial" w:hAnsi="Arial" w:cs="Arial"/>
          <w:b/>
          <w:bCs/>
          <w:lang w:val="en-GB"/>
        </w:rPr>
        <w:t>Table 01: Data of retail loans granted under the FGS Green Home Programme</w:t>
      </w:r>
    </w:p>
    <w:p w14:paraId="7BE0A599" w14:textId="77777777" w:rsidR="00763F87" w:rsidRPr="00CB5CE9" w:rsidRDefault="00E1755B" w:rsidP="007333A6">
      <w:pPr>
        <w:spacing w:before="240" w:after="240"/>
        <w:jc w:val="both"/>
        <w:rPr>
          <w:rFonts w:ascii="Arial" w:hAnsi="Arial" w:cs="Arial"/>
        </w:rPr>
      </w:pPr>
      <w:r>
        <w:rPr>
          <w:rFonts w:ascii="Arial" w:hAnsi="Arial" w:cs="Arial"/>
          <w:lang w:val="en-GB"/>
        </w:rPr>
        <w:t>Contents of the fields of individual columns:</w:t>
      </w:r>
    </w:p>
    <w:p w14:paraId="743DE719" w14:textId="77A24D2F" w:rsidR="003C78C6" w:rsidRPr="00A53EC8" w:rsidRDefault="00E1755B" w:rsidP="007333A6">
      <w:pPr>
        <w:spacing w:before="240" w:after="240"/>
        <w:ind w:left="426" w:hanging="426"/>
        <w:jc w:val="both"/>
        <w:rPr>
          <w:rFonts w:ascii="Arial" w:hAnsi="Arial" w:cs="Arial"/>
        </w:rPr>
      </w:pPr>
      <w:r>
        <w:rPr>
          <w:rFonts w:ascii="Arial" w:hAnsi="Arial" w:cs="Arial"/>
          <w:lang w:val="en-GB"/>
        </w:rPr>
        <w:t>aa</w:t>
      </w:r>
      <w:r>
        <w:rPr>
          <w:rFonts w:ascii="Arial" w:hAnsi="Arial" w:cs="Arial"/>
          <w:lang w:val="en-GB"/>
        </w:rPr>
        <w:tab/>
        <w:t>The type of the data supply depends on whether the data provider sends the data on the Housing Loan to be refinanced by the MNB or it reports a change in the data of the Housing Loan reported earlier. To be completed in accordance with the code list.</w:t>
      </w:r>
    </w:p>
    <w:p w14:paraId="05D7A87D" w14:textId="671D8FA4" w:rsidR="0073230A" w:rsidRPr="00A53EC8" w:rsidRDefault="00E1755B" w:rsidP="007333A6">
      <w:pPr>
        <w:spacing w:before="240" w:after="240"/>
        <w:ind w:left="426" w:hanging="426"/>
        <w:jc w:val="both"/>
        <w:rPr>
          <w:rFonts w:ascii="Arial" w:hAnsi="Arial" w:cs="Arial"/>
        </w:rPr>
      </w:pPr>
      <w:r>
        <w:rPr>
          <w:rFonts w:ascii="Arial" w:hAnsi="Arial" w:cs="Arial"/>
          <w:lang w:val="en-GB"/>
        </w:rPr>
        <w:t>ab</w:t>
      </w:r>
      <w:r>
        <w:rPr>
          <w:rFonts w:ascii="Arial" w:hAnsi="Arial" w:cs="Arial"/>
          <w:lang w:val="en-GB"/>
        </w:rPr>
        <w:tab/>
        <w:t>This column shall show that the data provider applies for the refinancing of the Housing Loan by the MNB</w:t>
      </w:r>
      <w:r>
        <w:rPr>
          <w:rFonts w:ascii="Arial" w:hAnsi="Arial" w:cs="Arial"/>
          <w:i/>
          <w:iCs/>
          <w:lang w:val="en-GB"/>
        </w:rPr>
        <w:t xml:space="preserve"> </w:t>
      </w:r>
      <w:r>
        <w:rPr>
          <w:rFonts w:ascii="Arial" w:hAnsi="Arial" w:cs="Arial"/>
          <w:lang w:val="en-GB"/>
        </w:rPr>
        <w:t>under the FGS GHP. To be completed in accordance with the code list.</w:t>
      </w:r>
    </w:p>
    <w:p w14:paraId="3D67875F" w14:textId="6E63B14D" w:rsidR="00445DA8" w:rsidRPr="004363C5" w:rsidRDefault="00E1755B" w:rsidP="003014DD">
      <w:pPr>
        <w:spacing w:before="240" w:after="240"/>
        <w:ind w:left="426" w:hanging="426"/>
        <w:jc w:val="both"/>
        <w:rPr>
          <w:rFonts w:ascii="Arial" w:hAnsi="Arial" w:cs="Arial"/>
        </w:rPr>
      </w:pPr>
      <w:r>
        <w:rPr>
          <w:rFonts w:ascii="Arial" w:hAnsi="Arial" w:cs="Arial"/>
          <w:lang w:val="en-GB"/>
        </w:rPr>
        <w:t>ba-bd</w:t>
      </w:r>
      <w:r>
        <w:rPr>
          <w:rFonts w:ascii="Arial" w:hAnsi="Arial" w:cs="Arial"/>
          <w:lang w:val="en-GB"/>
        </w:rPr>
        <w:tab/>
        <w:t>These columns shall include the data reported in respect of the borrower and co-borrower as the "Households - self-employed customer anonymous identifier" attribute under sequence number 2 of the data range "UGYFL Customer - household - household, self-employed" in accordance with Section 17 of Annex 1 to MNB Decree 35/2018 (XI. 13.) on the reporting obligation related to certain data on credit transactions to the central bank information system.</w:t>
      </w:r>
    </w:p>
    <w:p w14:paraId="2ABAC834" w14:textId="44F5CBC6" w:rsidR="007A73A6" w:rsidRDefault="00E1755B" w:rsidP="0073230A">
      <w:pPr>
        <w:spacing w:before="240" w:after="240"/>
        <w:ind w:left="426" w:hanging="426"/>
        <w:jc w:val="both"/>
        <w:rPr>
          <w:rFonts w:ascii="Arial" w:hAnsi="Arial" w:cs="Arial"/>
        </w:rPr>
      </w:pPr>
      <w:r>
        <w:rPr>
          <w:rFonts w:ascii="Arial" w:hAnsi="Arial" w:cs="Arial"/>
          <w:lang w:val="en-GB"/>
        </w:rPr>
        <w:t>ca</w:t>
      </w:r>
      <w:r>
        <w:rPr>
          <w:rFonts w:ascii="Arial" w:hAnsi="Arial" w:cs="Arial"/>
          <w:lang w:val="en-GB"/>
        </w:rPr>
        <w:tab/>
        <w:t>The unique ID of the contract related to the Housing Loan (hereinafter: Housing Loan Contract) applied by the data provider.</w:t>
      </w:r>
    </w:p>
    <w:p w14:paraId="24973BEE" w14:textId="03FCCE0E" w:rsidR="00CB7E0B" w:rsidRDefault="00E1755B" w:rsidP="00CB7E0B">
      <w:pPr>
        <w:spacing w:before="240"/>
        <w:ind w:left="426" w:hanging="426"/>
        <w:jc w:val="both"/>
        <w:rPr>
          <w:rFonts w:ascii="Arial" w:hAnsi="Arial" w:cs="Arial"/>
        </w:rPr>
      </w:pPr>
      <w:r>
        <w:rPr>
          <w:rFonts w:ascii="Arial" w:hAnsi="Arial" w:cs="Arial"/>
          <w:lang w:val="en-GB"/>
        </w:rPr>
        <w:lastRenderedPageBreak/>
        <w:t>cb</w:t>
      </w:r>
      <w:r>
        <w:rPr>
          <w:rFonts w:ascii="Arial" w:hAnsi="Arial" w:cs="Arial"/>
          <w:lang w:val="en-GB"/>
        </w:rPr>
        <w:tab/>
        <w:t xml:space="preserve">This column shall include the data reported in respect of the Housing Loan Contract as the "Instrument (non-special facility and non-facility) organisational identifier" attribute under sequence number 2 of the data range "INSTR Instrument - of non-special facility and non-facility nature" in accordance with Section 4 of </w:t>
      </w:r>
      <w:bookmarkStart w:id="1" w:name="OLE_LINK5"/>
      <w:r>
        <w:rPr>
          <w:rFonts w:ascii="Arial" w:hAnsi="Arial" w:cs="Arial"/>
          <w:lang w:val="en-GB"/>
        </w:rPr>
        <w:t>Annex 1 to MNB Decree  35/2018 (XI. 13.)</w:t>
      </w:r>
      <w:bookmarkEnd w:id="1"/>
      <w:r>
        <w:rPr>
          <w:rFonts w:ascii="Arial" w:hAnsi="Arial" w:cs="Arial"/>
          <w:lang w:val="en-GB"/>
        </w:rPr>
        <w:t xml:space="preserve"> on the reporting obligation related to certain data on credit transactions to the central bank information system.</w:t>
      </w:r>
    </w:p>
    <w:p w14:paraId="5214B19D" w14:textId="04D5F4D8" w:rsidR="000C37E9" w:rsidRDefault="00E1755B" w:rsidP="008C10CA">
      <w:pPr>
        <w:spacing w:before="240"/>
        <w:ind w:left="426" w:hanging="426"/>
        <w:jc w:val="both"/>
        <w:rPr>
          <w:rFonts w:ascii="Arial" w:hAnsi="Arial" w:cs="Arial"/>
        </w:rPr>
      </w:pPr>
      <w:r>
        <w:rPr>
          <w:rFonts w:ascii="Arial" w:hAnsi="Arial" w:cs="Arial"/>
          <w:lang w:val="en-GB"/>
        </w:rPr>
        <w:t>cc</w:t>
      </w:r>
      <w:r>
        <w:rPr>
          <w:rFonts w:ascii="Arial" w:hAnsi="Arial" w:cs="Arial"/>
          <w:lang w:val="en-GB"/>
        </w:rPr>
        <w:tab/>
        <w:t>This column shall indicate whether the Housing Loan benefits from a state interest subsidy. To be completed in accordance with the code list.</w:t>
      </w:r>
    </w:p>
    <w:p w14:paraId="26AC4779" w14:textId="3FF42B57" w:rsidR="000C37E9" w:rsidRPr="00311B75" w:rsidRDefault="00E1755B" w:rsidP="000C37E9">
      <w:pPr>
        <w:spacing w:before="240"/>
        <w:ind w:left="426" w:hanging="426"/>
        <w:jc w:val="both"/>
        <w:rPr>
          <w:rFonts w:ascii="Arial" w:hAnsi="Arial" w:cs="Arial"/>
        </w:rPr>
      </w:pPr>
      <w:r>
        <w:rPr>
          <w:rFonts w:ascii="Arial" w:hAnsi="Arial" w:cs="Arial"/>
          <w:lang w:val="en-GB"/>
        </w:rPr>
        <w:t>cd</w:t>
      </w:r>
      <w:r>
        <w:rPr>
          <w:rFonts w:ascii="Arial" w:hAnsi="Arial" w:cs="Arial"/>
          <w:lang w:val="en-GB"/>
        </w:rPr>
        <w:tab/>
        <w:t xml:space="preserve">In the case of Housing Loans with a state interest subsidy, if a GHP Housing Loan without a state interest subsidy is also linked to it, the ID of that loan contract.   </w:t>
      </w:r>
    </w:p>
    <w:p w14:paraId="5A9F3893" w14:textId="506AF45A" w:rsidR="007A73A6" w:rsidRPr="00311B75" w:rsidRDefault="00E1755B" w:rsidP="007333A6">
      <w:pPr>
        <w:spacing w:before="240"/>
        <w:ind w:left="426" w:hanging="426"/>
        <w:jc w:val="both"/>
        <w:rPr>
          <w:rFonts w:ascii="Arial" w:hAnsi="Arial" w:cs="Arial"/>
        </w:rPr>
      </w:pPr>
      <w:r>
        <w:rPr>
          <w:rFonts w:ascii="Arial" w:hAnsi="Arial"/>
          <w:lang w:val="en-GB"/>
        </w:rPr>
        <w:t>ce</w:t>
      </w:r>
      <w:r>
        <w:rPr>
          <w:lang w:val="en-GB"/>
        </w:rPr>
        <w:tab/>
      </w:r>
      <w:r>
        <w:rPr>
          <w:rFonts w:ascii="Arial" w:hAnsi="Arial"/>
          <w:lang w:val="en-GB"/>
        </w:rPr>
        <w:t>Date of signing the Housing Loan Contract.</w:t>
      </w:r>
      <w:r>
        <w:rPr>
          <w:lang w:val="en-GB"/>
        </w:rPr>
        <w:t xml:space="preserve"> </w:t>
      </w:r>
      <w:r>
        <w:rPr>
          <w:rFonts w:ascii="Arial" w:hAnsi="Arial"/>
          <w:lang w:val="en-GB"/>
        </w:rPr>
        <w:t>In the case of contract amendment the date when the original contract was signed must be specified.</w:t>
      </w:r>
    </w:p>
    <w:p w14:paraId="294A3665" w14:textId="77777777" w:rsidR="003079DE" w:rsidRPr="008F7935" w:rsidRDefault="003079DE" w:rsidP="007333A6">
      <w:pPr>
        <w:ind w:left="426" w:hanging="426"/>
        <w:jc w:val="both"/>
        <w:rPr>
          <w:rFonts w:ascii="Arial" w:hAnsi="Arial" w:cs="Arial"/>
          <w:highlight w:val="yellow"/>
        </w:rPr>
      </w:pPr>
    </w:p>
    <w:p w14:paraId="1F15961D" w14:textId="047155FA" w:rsidR="007A73A6" w:rsidRPr="009C4DDF" w:rsidRDefault="00E1755B" w:rsidP="007333A6">
      <w:pPr>
        <w:spacing w:after="240"/>
        <w:ind w:left="426" w:hanging="426"/>
        <w:jc w:val="both"/>
        <w:rPr>
          <w:rFonts w:ascii="Arial" w:hAnsi="Arial" w:cs="Arial"/>
        </w:rPr>
      </w:pPr>
      <w:r>
        <w:rPr>
          <w:rFonts w:ascii="Arial" w:hAnsi="Arial" w:cs="Arial"/>
          <w:lang w:val="en-GB"/>
        </w:rPr>
        <w:t>cf</w:t>
      </w:r>
      <w:r>
        <w:rPr>
          <w:rFonts w:ascii="Arial" w:hAnsi="Arial" w:cs="Arial"/>
          <w:lang w:val="en-GB"/>
        </w:rPr>
        <w:tab/>
        <w:t>Housing loan disbursement date. If the disbursement is done in several tranches, the disbursement date of the first tranche must be indicated. Upon the disbursement of the additional tranches, it is not necessary to modify this column; only the amount shown in column ck must be increased with the amount of the new tranche, on the working day preceding the new disbursement. The first data supply related to the respective Housing Loan can be performed when the date of the disbursement is known, by 3 p.m. on working days (by 12:00 p.m. when Saturday is a working day) on the working day preceding the desired disbursement day of the refinancing loan, at the latest.</w:t>
      </w:r>
    </w:p>
    <w:p w14:paraId="1A2C8CB6" w14:textId="0AFC114B" w:rsidR="007A73A6" w:rsidRPr="009C4DDF" w:rsidRDefault="00E1755B" w:rsidP="007333A6">
      <w:pPr>
        <w:pStyle w:val="Listaszerbekezds"/>
        <w:numPr>
          <w:ilvl w:val="0"/>
          <w:numId w:val="0"/>
        </w:numPr>
        <w:spacing w:after="240" w:line="240" w:lineRule="auto"/>
        <w:ind w:left="426" w:hanging="426"/>
        <w:rPr>
          <w:rFonts w:ascii="Arial" w:hAnsi="Arial" w:cs="Arial"/>
          <w:szCs w:val="20"/>
        </w:rPr>
      </w:pPr>
      <w:r>
        <w:rPr>
          <w:rFonts w:ascii="Arial" w:hAnsi="Arial" w:cs="Arial"/>
          <w:szCs w:val="20"/>
          <w:lang w:val="en-GB"/>
        </w:rPr>
        <w:t>cg</w:t>
      </w:r>
      <w:r>
        <w:rPr>
          <w:rFonts w:ascii="Arial" w:hAnsi="Arial" w:cs="Arial"/>
          <w:szCs w:val="20"/>
          <w:lang w:val="en-GB"/>
        </w:rPr>
        <w:tab/>
        <w:t xml:space="preserve">Maturity date specified in the </w:t>
      </w:r>
      <w:r>
        <w:rPr>
          <w:rFonts w:ascii="Arial" w:hAnsi="Arial" w:cs="Arial"/>
          <w:lang w:val="en-GB"/>
        </w:rPr>
        <w:t>Housing Loan Contract</w:t>
      </w:r>
      <w:r>
        <w:rPr>
          <w:rFonts w:ascii="Arial" w:hAnsi="Arial" w:cs="Arial"/>
          <w:szCs w:val="20"/>
          <w:lang w:val="en-GB"/>
        </w:rPr>
        <w:t xml:space="preserve">.  </w:t>
      </w:r>
    </w:p>
    <w:p w14:paraId="3A1EE21B" w14:textId="77777777" w:rsidR="00B5403B" w:rsidRPr="008F7935" w:rsidRDefault="00B5403B" w:rsidP="007333A6">
      <w:pPr>
        <w:pStyle w:val="Listaszerbekezds"/>
        <w:numPr>
          <w:ilvl w:val="0"/>
          <w:numId w:val="0"/>
        </w:numPr>
        <w:spacing w:line="240" w:lineRule="auto"/>
        <w:ind w:left="426" w:hanging="426"/>
        <w:rPr>
          <w:rFonts w:ascii="Arial" w:hAnsi="Arial" w:cs="Arial"/>
          <w:szCs w:val="20"/>
          <w:highlight w:val="yellow"/>
        </w:rPr>
      </w:pPr>
    </w:p>
    <w:p w14:paraId="3AB6BD84" w14:textId="4A81BD34" w:rsidR="00436A9A" w:rsidRDefault="00E1755B" w:rsidP="00436A9A">
      <w:pPr>
        <w:pStyle w:val="Listaszerbekezds"/>
        <w:numPr>
          <w:ilvl w:val="0"/>
          <w:numId w:val="0"/>
        </w:numPr>
        <w:spacing w:line="240" w:lineRule="auto"/>
        <w:ind w:left="426" w:hanging="426"/>
        <w:rPr>
          <w:rFonts w:ascii="Arial" w:hAnsi="Arial" w:cs="Arial"/>
          <w:szCs w:val="20"/>
        </w:rPr>
      </w:pPr>
      <w:r>
        <w:rPr>
          <w:rFonts w:ascii="Arial" w:hAnsi="Arial" w:cs="Arial"/>
          <w:szCs w:val="20"/>
          <w:lang w:val="en-GB"/>
        </w:rPr>
        <w:t>ch</w:t>
      </w:r>
      <w:r>
        <w:rPr>
          <w:rFonts w:ascii="Arial" w:hAnsi="Arial" w:cs="Arial"/>
          <w:szCs w:val="20"/>
          <w:lang w:val="en-GB"/>
        </w:rPr>
        <w:tab/>
        <w:t>In accordance with the provisions of the Framework Contract, the annual transaction rate charged by the disbursing credit institution to the Borrower, expressed in basis points</w:t>
      </w:r>
      <w:r>
        <w:rPr>
          <w:rFonts w:ascii="Arial" w:hAnsi="Arial" w:cs="Arial"/>
          <w:lang w:val="en-GB"/>
        </w:rPr>
        <w:t>; in the case of Housing Loans with state interest subsidy, the interest rate increased  by the interest subsidy.</w:t>
      </w:r>
    </w:p>
    <w:p w14:paraId="174E4D3D" w14:textId="77777777" w:rsidR="00436A9A" w:rsidRDefault="00436A9A" w:rsidP="00436A9A">
      <w:pPr>
        <w:pStyle w:val="Listaszerbekezds"/>
        <w:numPr>
          <w:ilvl w:val="0"/>
          <w:numId w:val="0"/>
        </w:numPr>
        <w:spacing w:line="240" w:lineRule="auto"/>
        <w:ind w:left="426" w:hanging="426"/>
        <w:rPr>
          <w:rFonts w:ascii="Arial" w:hAnsi="Arial" w:cs="Arial"/>
          <w:szCs w:val="20"/>
        </w:rPr>
      </w:pPr>
    </w:p>
    <w:p w14:paraId="2BF797FF" w14:textId="74312D01" w:rsidR="009C4DDF" w:rsidRPr="00436A9A" w:rsidRDefault="00E1755B" w:rsidP="00436A9A">
      <w:pPr>
        <w:pStyle w:val="Listaszerbekezds"/>
        <w:numPr>
          <w:ilvl w:val="0"/>
          <w:numId w:val="0"/>
        </w:numPr>
        <w:spacing w:line="240" w:lineRule="auto"/>
        <w:ind w:left="426" w:hanging="426"/>
        <w:rPr>
          <w:rFonts w:ascii="Arial" w:hAnsi="Arial" w:cs="Arial"/>
          <w:szCs w:val="20"/>
        </w:rPr>
      </w:pPr>
      <w:r>
        <w:rPr>
          <w:rFonts w:ascii="Arial" w:hAnsi="Arial" w:cs="Arial"/>
          <w:szCs w:val="20"/>
          <w:lang w:val="en-GB"/>
        </w:rPr>
        <w:t>ci</w:t>
      </w:r>
      <w:r>
        <w:rPr>
          <w:rFonts w:ascii="Arial" w:hAnsi="Arial" w:cs="Arial"/>
          <w:szCs w:val="20"/>
          <w:lang w:val="en-GB"/>
        </w:rPr>
        <w:tab/>
        <w:t xml:space="preserve">The annual percentage rate of charge (APR) charged by the credit institution in accordance with the provisions of the </w:t>
      </w:r>
      <w:bookmarkStart w:id="2" w:name="OLE_LINK2"/>
      <w:r>
        <w:rPr>
          <w:rFonts w:ascii="Arial" w:hAnsi="Arial" w:cs="Arial"/>
          <w:szCs w:val="20"/>
          <w:lang w:val="en-GB"/>
        </w:rPr>
        <w:t xml:space="preserve">Housing Loan Contract </w:t>
      </w:r>
      <w:r>
        <w:rPr>
          <w:rFonts w:ascii="Arial" w:hAnsi="Arial" w:cs="Arial"/>
          <w:lang w:val="en-GB"/>
        </w:rPr>
        <w:t>concluded with the Borrower, expressed in basis points.</w:t>
      </w:r>
      <w:bookmarkEnd w:id="2"/>
    </w:p>
    <w:p w14:paraId="00128CF6" w14:textId="3E0D9B2D" w:rsidR="007A73A6" w:rsidRPr="008F7935" w:rsidRDefault="00E1755B" w:rsidP="007333A6">
      <w:pPr>
        <w:autoSpaceDE w:val="0"/>
        <w:autoSpaceDN w:val="0"/>
        <w:adjustRightInd w:val="0"/>
        <w:ind w:left="426" w:hanging="426"/>
        <w:jc w:val="both"/>
        <w:rPr>
          <w:rFonts w:ascii="Arial" w:hAnsi="Arial" w:cs="Arial"/>
          <w:highlight w:val="yellow"/>
        </w:rPr>
      </w:pPr>
      <w:r>
        <w:rPr>
          <w:rFonts w:ascii="Arial" w:hAnsi="Arial" w:cs="Arial"/>
          <w:lang w:val="en-GB"/>
        </w:rPr>
        <w:t>cj</w:t>
      </w:r>
      <w:r>
        <w:rPr>
          <w:rFonts w:ascii="Arial" w:hAnsi="Arial" w:cs="Arial"/>
          <w:lang w:val="en-GB"/>
        </w:rPr>
        <w:tab/>
        <w:t xml:space="preserve">Purpose of the Housing Loan. </w:t>
      </w:r>
      <w:r>
        <w:rPr>
          <w:rFonts w:ascii="Arial" w:hAnsi="Arial" w:cs="Arial"/>
          <w:color w:val="231F20"/>
          <w:lang w:val="en-GB"/>
        </w:rPr>
        <w:t>To be completed in accordance with the code list.</w:t>
      </w:r>
    </w:p>
    <w:p w14:paraId="62B6796E" w14:textId="2B06EB76" w:rsidR="007A73A6" w:rsidRPr="00436A9A" w:rsidRDefault="00E1755B" w:rsidP="007333A6">
      <w:pPr>
        <w:spacing w:before="240" w:after="240"/>
        <w:ind w:left="426" w:hanging="426"/>
        <w:jc w:val="both"/>
        <w:rPr>
          <w:rFonts w:ascii="Arial" w:hAnsi="Arial" w:cs="Arial"/>
        </w:rPr>
      </w:pPr>
      <w:r>
        <w:rPr>
          <w:rFonts w:ascii="Arial" w:hAnsi="Arial" w:cs="Arial"/>
          <w:lang w:val="en-GB"/>
        </w:rPr>
        <w:t>ck</w:t>
      </w:r>
      <w:r>
        <w:rPr>
          <w:rFonts w:ascii="Arial" w:hAnsi="Arial" w:cs="Arial"/>
          <w:lang w:val="en-GB"/>
        </w:rPr>
        <w:tab/>
        <w:t xml:space="preserve">This column shall indicate whether the Housing Loan is disbursed in several tranches. </w:t>
      </w:r>
      <w:r>
        <w:rPr>
          <w:rFonts w:ascii="Arial" w:hAnsi="Arial" w:cs="Arial"/>
          <w:color w:val="231F20"/>
          <w:lang w:val="en-GB"/>
        </w:rPr>
        <w:t>To be completed in accordance with the code list.</w:t>
      </w:r>
    </w:p>
    <w:p w14:paraId="0D5D566B" w14:textId="4383C6BD" w:rsidR="007A73A6" w:rsidRPr="00392556" w:rsidRDefault="00E1755B" w:rsidP="007333A6">
      <w:pPr>
        <w:spacing w:after="240"/>
        <w:ind w:left="426" w:hanging="426"/>
        <w:jc w:val="both"/>
        <w:rPr>
          <w:rFonts w:ascii="Arial" w:hAnsi="Arial" w:cs="Arial"/>
        </w:rPr>
      </w:pPr>
      <w:r>
        <w:rPr>
          <w:rFonts w:ascii="Arial" w:hAnsi="Arial" w:cs="Arial"/>
          <w:lang w:val="en-GB"/>
        </w:rPr>
        <w:t>cl</w:t>
      </w:r>
      <w:r>
        <w:rPr>
          <w:rFonts w:ascii="Arial" w:hAnsi="Arial" w:cs="Arial"/>
          <w:lang w:val="en-GB"/>
        </w:rPr>
        <w:tab/>
        <w:t>Total loan amount specified in the Housing Loan Contract. The total loan amount must be reported even if the disbursement is made in tranches.</w:t>
      </w:r>
    </w:p>
    <w:p w14:paraId="50C905BC" w14:textId="1A7B1B19" w:rsidR="007A73A6" w:rsidRPr="008F7935" w:rsidRDefault="00E1755B" w:rsidP="00494CC6">
      <w:pPr>
        <w:spacing w:after="240"/>
        <w:ind w:left="426" w:hanging="426"/>
        <w:jc w:val="both"/>
        <w:rPr>
          <w:rFonts w:ascii="Arial" w:hAnsi="Arial" w:cs="Arial"/>
          <w:highlight w:val="yellow"/>
        </w:rPr>
      </w:pPr>
      <w:r>
        <w:rPr>
          <w:rFonts w:ascii="Arial" w:hAnsi="Arial" w:cs="Arial"/>
          <w:lang w:val="en-GB"/>
        </w:rPr>
        <w:t>cm</w:t>
      </w:r>
      <w:r>
        <w:rPr>
          <w:rFonts w:ascii="Arial" w:hAnsi="Arial" w:cs="Arial"/>
          <w:lang w:val="en-GB"/>
        </w:rPr>
        <w:tab/>
        <w:t>The amount of the Housing Loan increased by the disbursed tranches and reduced by the principal repayments. The amount in the column shall be amended by the data provider 3 p.m. on the working day preceding the disbursement or repayment (by 12 p.m. when Saturday is a working day), if the conditions of the disbursement to the Borrower are fulfilled. The amount in the column shall not be restored even if the expected instalment is not received by the data provider. If the Housing Loan Contract lapses or is terminated for any reason the data supply to be fulfilled on the change shall be sent by indicating “0” in the column, by the deadline specified for column cq.</w:t>
      </w:r>
    </w:p>
    <w:p w14:paraId="4AEDE659" w14:textId="35EC221C" w:rsidR="00B41F22" w:rsidRPr="00A2328C" w:rsidRDefault="00E1755B" w:rsidP="007333A6">
      <w:pPr>
        <w:autoSpaceDE w:val="0"/>
        <w:autoSpaceDN w:val="0"/>
        <w:adjustRightInd w:val="0"/>
        <w:spacing w:after="240"/>
        <w:ind w:left="425" w:hanging="425"/>
        <w:jc w:val="both"/>
        <w:rPr>
          <w:rFonts w:ascii="Arial" w:hAnsi="Arial" w:cs="Arial"/>
        </w:rPr>
      </w:pPr>
      <w:r>
        <w:rPr>
          <w:rFonts w:ascii="Arial" w:hAnsi="Arial" w:cs="Arial"/>
          <w:lang w:val="en-GB"/>
        </w:rPr>
        <w:t>cn</w:t>
      </w:r>
      <w:r>
        <w:rPr>
          <w:rFonts w:ascii="Arial" w:hAnsi="Arial" w:cs="Arial"/>
          <w:lang w:val="en-GB"/>
        </w:rPr>
        <w:tab/>
        <w:t xml:space="preserve">The nature of the Housing Loan collateral shall contain a maximum of three types of collateral. </w:t>
      </w:r>
      <w:r>
        <w:rPr>
          <w:rFonts w:ascii="Arial" w:hAnsi="Arial" w:cs="Arial"/>
          <w:color w:val="231F20"/>
          <w:lang w:val="en-GB"/>
        </w:rPr>
        <w:t>To be completed in accordance with the code list. In the case of multiple types of collateral, the codes of individual collaterals shall be entered one after the other, without adding spaces.</w:t>
      </w:r>
    </w:p>
    <w:p w14:paraId="23AAB123" w14:textId="3EE564D0" w:rsidR="005167CF" w:rsidRPr="00A2328C" w:rsidRDefault="00E1755B" w:rsidP="005167CF">
      <w:pPr>
        <w:ind w:left="425" w:hanging="425"/>
        <w:jc w:val="both"/>
        <w:rPr>
          <w:rFonts w:ascii="Arial" w:hAnsi="Arial" w:cs="Arial"/>
        </w:rPr>
      </w:pPr>
      <w:r>
        <w:rPr>
          <w:rFonts w:ascii="Arial" w:hAnsi="Arial" w:cs="Arial"/>
          <w:lang w:val="en-GB"/>
        </w:rPr>
        <w:t>co</w:t>
      </w:r>
      <w:r>
        <w:rPr>
          <w:rFonts w:ascii="Arial" w:hAnsi="Arial" w:cs="Arial"/>
          <w:lang w:val="en-GB"/>
        </w:rPr>
        <w:tab/>
        <w:t>Factor influencing the collateral value. In the case of transactions not accepted as collateral according to the Product Notice, the field shall be completed in accordance with the code list.</w:t>
      </w:r>
    </w:p>
    <w:p w14:paraId="665A4628" w14:textId="77777777" w:rsidR="005167CF" w:rsidRPr="008F7935" w:rsidRDefault="005167CF" w:rsidP="005167CF">
      <w:pPr>
        <w:ind w:left="425" w:hanging="425"/>
        <w:jc w:val="both"/>
        <w:rPr>
          <w:rFonts w:ascii="Arial" w:hAnsi="Arial" w:cs="Arial"/>
          <w:highlight w:val="yellow"/>
        </w:rPr>
      </w:pPr>
    </w:p>
    <w:p w14:paraId="30426072" w14:textId="015954D6" w:rsidR="007A73A6" w:rsidRPr="001E1D9B" w:rsidRDefault="00E1755B" w:rsidP="005167CF">
      <w:pPr>
        <w:spacing w:after="240"/>
        <w:ind w:left="425" w:hanging="425"/>
        <w:jc w:val="both"/>
        <w:rPr>
          <w:rFonts w:ascii="Arial" w:hAnsi="Arial" w:cs="Arial"/>
        </w:rPr>
      </w:pPr>
      <w:r>
        <w:rPr>
          <w:rFonts w:ascii="Arial" w:hAnsi="Arial" w:cs="Arial"/>
          <w:lang w:val="en-GB"/>
        </w:rPr>
        <w:t>cp</w:t>
      </w:r>
      <w:r>
        <w:rPr>
          <w:rFonts w:ascii="Arial" w:hAnsi="Arial" w:cs="Arial"/>
          <w:lang w:val="en-GB"/>
        </w:rPr>
        <w:tab/>
        <w:t>The calendar day when the default existing for the longest time occurred. The day following the instalment date prescribed in the Housing Loan Contract, if the amount is not received on the bank account specified by the data provider. The data supply must be fulfilled on the 5th data supply day following the set-in of the default.</w:t>
      </w:r>
    </w:p>
    <w:p w14:paraId="7D7ACF2D" w14:textId="5B183DFA" w:rsidR="00835391" w:rsidRPr="006274CC" w:rsidRDefault="00E1755B" w:rsidP="007333A6">
      <w:pPr>
        <w:spacing w:after="240"/>
        <w:ind w:left="425" w:hanging="425"/>
        <w:jc w:val="both"/>
        <w:rPr>
          <w:rFonts w:ascii="Arial" w:hAnsi="Arial" w:cs="Arial"/>
        </w:rPr>
      </w:pPr>
      <w:r>
        <w:rPr>
          <w:rFonts w:ascii="Arial" w:hAnsi="Arial" w:cs="Arial"/>
          <w:lang w:val="en-GB"/>
        </w:rPr>
        <w:lastRenderedPageBreak/>
        <w:t>cq</w:t>
      </w:r>
      <w:r>
        <w:rPr>
          <w:rFonts w:ascii="Arial" w:hAnsi="Arial" w:cs="Arial"/>
          <w:lang w:val="en-GB"/>
        </w:rPr>
        <w:tab/>
        <w:t xml:space="preserve">The calendar day when the restructuring is planned to take place. </w:t>
      </w:r>
    </w:p>
    <w:p w14:paraId="6B6AE26A" w14:textId="4C0E8E6A" w:rsidR="007A73A6" w:rsidRPr="006274CC" w:rsidRDefault="00E1755B" w:rsidP="007333A6">
      <w:pPr>
        <w:pStyle w:val="Listaszerbekezds"/>
        <w:numPr>
          <w:ilvl w:val="0"/>
          <w:numId w:val="0"/>
        </w:numPr>
        <w:spacing w:line="240" w:lineRule="auto"/>
        <w:ind w:left="426" w:hanging="426"/>
        <w:rPr>
          <w:rFonts w:ascii="Arial" w:hAnsi="Arial" w:cs="Arial"/>
          <w:szCs w:val="20"/>
        </w:rPr>
      </w:pPr>
      <w:r>
        <w:rPr>
          <w:rFonts w:ascii="Arial" w:hAnsi="Arial" w:cs="Arial"/>
          <w:szCs w:val="20"/>
          <w:lang w:val="en-GB"/>
        </w:rPr>
        <w:t>cr</w:t>
      </w:r>
      <w:r>
        <w:rPr>
          <w:rFonts w:ascii="Arial" w:hAnsi="Arial" w:cs="Arial"/>
          <w:szCs w:val="20"/>
          <w:lang w:val="en-GB"/>
        </w:rPr>
        <w:tab/>
        <w:t>The principal repayment frequency specified in the Housing Loan Contract.</w:t>
      </w:r>
      <w:r>
        <w:rPr>
          <w:rFonts w:ascii="Arial" w:hAnsi="Arial" w:cs="Arial"/>
          <w:color w:val="231F20"/>
          <w:szCs w:val="20"/>
          <w:lang w:val="en-GB"/>
        </w:rPr>
        <w:t xml:space="preserve"> To be completed in accordance with the code list.</w:t>
      </w:r>
    </w:p>
    <w:p w14:paraId="7E7CDA17" w14:textId="154FCB40" w:rsidR="00725AE7" w:rsidRDefault="00E1755B" w:rsidP="007333A6">
      <w:pPr>
        <w:spacing w:after="240"/>
        <w:ind w:left="426" w:hanging="426"/>
        <w:jc w:val="both"/>
        <w:rPr>
          <w:rFonts w:ascii="Arial" w:hAnsi="Arial" w:cs="Arial"/>
        </w:rPr>
      </w:pPr>
      <w:r>
        <w:rPr>
          <w:rFonts w:ascii="Arial" w:hAnsi="Arial" w:cs="Arial"/>
          <w:lang w:val="en-GB"/>
        </w:rPr>
        <w:t>cs</w:t>
      </w:r>
      <w:r>
        <w:rPr>
          <w:rFonts w:ascii="Arial" w:hAnsi="Arial" w:cs="Arial"/>
          <w:lang w:val="en-GB"/>
        </w:rPr>
        <w:tab/>
        <w:t>The comment related to the Housing Loans shall not exceed 128 characters. This is where upon amending the Housing Loan Contract the new loan contract ID must be specified, it the contract receives a new ID. This is where it must be reported that the submission is performed due to the correction of formerly erroneously submitted data. This is where it must be reported that the Housing Loan is granted by a respondent credit institution.</w:t>
      </w:r>
    </w:p>
    <w:p w14:paraId="176A472C" w14:textId="79025C45" w:rsidR="00E80037" w:rsidRPr="0003328B" w:rsidRDefault="00E1755B" w:rsidP="00E80037">
      <w:pPr>
        <w:autoSpaceDE w:val="0"/>
        <w:autoSpaceDN w:val="0"/>
        <w:adjustRightInd w:val="0"/>
        <w:spacing w:after="240"/>
        <w:ind w:left="425" w:hanging="425"/>
        <w:jc w:val="both"/>
        <w:rPr>
          <w:rFonts w:ascii="Arial" w:hAnsi="Arial" w:cs="Arial"/>
        </w:rPr>
      </w:pPr>
      <w:r>
        <w:rPr>
          <w:rFonts w:ascii="Arial" w:hAnsi="Arial" w:cs="Arial"/>
          <w:lang w:val="en-GB"/>
        </w:rPr>
        <w:t>dc</w:t>
      </w:r>
      <w:r>
        <w:rPr>
          <w:rFonts w:ascii="Arial" w:hAnsi="Arial" w:cs="Arial"/>
          <w:lang w:val="en-GB"/>
        </w:rPr>
        <w:tab/>
        <w:t xml:space="preserve">The type of the property to be financed from the Housing Loan, </w:t>
      </w:r>
      <w:r>
        <w:rPr>
          <w:rFonts w:ascii="Arial" w:hAnsi="Arial" w:cs="Arial"/>
          <w:color w:val="231F20"/>
          <w:lang w:val="en-GB"/>
        </w:rPr>
        <w:t>in accordance with the code list.</w:t>
      </w:r>
    </w:p>
    <w:p w14:paraId="15500F58" w14:textId="1FBC2FE7" w:rsidR="00915ED0" w:rsidRDefault="00E1755B" w:rsidP="00915ED0">
      <w:pPr>
        <w:autoSpaceDE w:val="0"/>
        <w:autoSpaceDN w:val="0"/>
        <w:adjustRightInd w:val="0"/>
        <w:spacing w:after="240"/>
        <w:ind w:left="425" w:hanging="425"/>
        <w:jc w:val="both"/>
        <w:rPr>
          <w:rFonts w:ascii="Arial" w:hAnsi="Arial" w:cs="Arial"/>
          <w:color w:val="231F20"/>
        </w:rPr>
      </w:pPr>
      <w:r>
        <w:rPr>
          <w:rFonts w:ascii="Arial" w:hAnsi="Arial" w:cs="Arial"/>
          <w:lang w:val="en-GB"/>
        </w:rPr>
        <w:t>dd</w:t>
      </w:r>
      <w:r>
        <w:rPr>
          <w:rFonts w:ascii="Arial" w:hAnsi="Arial" w:cs="Arial"/>
          <w:lang w:val="en-GB"/>
        </w:rPr>
        <w:tab/>
        <w:t xml:space="preserve">The energy efficiency rating of the property to be financed from the Housing Loan, </w:t>
      </w:r>
      <w:bookmarkStart w:id="3" w:name="OLE_LINK1"/>
      <w:r>
        <w:rPr>
          <w:rFonts w:ascii="Arial" w:hAnsi="Arial" w:cs="Arial"/>
          <w:lang w:val="en-GB"/>
        </w:rPr>
        <w:t>if the energy efficiency certificate of the property is ready</w:t>
      </w:r>
      <w:bookmarkEnd w:id="3"/>
      <w:r>
        <w:rPr>
          <w:rFonts w:ascii="Arial" w:hAnsi="Arial" w:cs="Arial"/>
          <w:lang w:val="en-GB"/>
        </w:rPr>
        <w:t>.</w:t>
      </w:r>
      <w:r>
        <w:rPr>
          <w:rFonts w:ascii="Arial" w:hAnsi="Arial" w:cs="Arial"/>
          <w:color w:val="231F20"/>
          <w:lang w:val="en-GB"/>
        </w:rPr>
        <w:t xml:space="preserve"> To be completed in accordance with the code list.</w:t>
      </w:r>
    </w:p>
    <w:p w14:paraId="35E23607" w14:textId="11867987" w:rsidR="00126083" w:rsidRPr="0003328B" w:rsidRDefault="00E1755B" w:rsidP="00915ED0">
      <w:pPr>
        <w:autoSpaceDE w:val="0"/>
        <w:autoSpaceDN w:val="0"/>
        <w:adjustRightInd w:val="0"/>
        <w:spacing w:after="240"/>
        <w:ind w:left="425" w:hanging="425"/>
        <w:jc w:val="both"/>
        <w:rPr>
          <w:rFonts w:ascii="Arial" w:hAnsi="Arial" w:cs="Arial"/>
        </w:rPr>
      </w:pPr>
      <w:r>
        <w:rPr>
          <w:rFonts w:ascii="Arial" w:hAnsi="Arial" w:cs="Arial"/>
          <w:lang w:val="en-GB"/>
        </w:rPr>
        <w:t>de</w:t>
      </w:r>
      <w:r>
        <w:rPr>
          <w:rFonts w:ascii="Arial" w:hAnsi="Arial" w:cs="Arial"/>
          <w:lang w:val="en-GB"/>
        </w:rPr>
        <w:tab/>
        <w:t>The primary energy consumption of the property to be financed from the Housing Loan based on the property’s energy efficiency certificate or – in the absence of it – based on the technical documentation.</w:t>
      </w:r>
    </w:p>
    <w:p w14:paraId="23D2A0AE" w14:textId="6F170D92" w:rsidR="00915ED0" w:rsidRDefault="00E1755B" w:rsidP="007333A6">
      <w:pPr>
        <w:autoSpaceDE w:val="0"/>
        <w:autoSpaceDN w:val="0"/>
        <w:adjustRightInd w:val="0"/>
        <w:spacing w:after="240"/>
        <w:ind w:left="425" w:hanging="425"/>
        <w:jc w:val="both"/>
        <w:rPr>
          <w:rFonts w:ascii="Arial" w:hAnsi="Arial" w:cs="Arial"/>
        </w:rPr>
      </w:pPr>
      <w:r>
        <w:rPr>
          <w:rFonts w:ascii="Arial" w:hAnsi="Arial" w:cs="Arial"/>
          <w:lang w:val="en-GB"/>
        </w:rPr>
        <w:t>ea</w:t>
      </w:r>
      <w:r>
        <w:rPr>
          <w:rFonts w:ascii="Arial" w:hAnsi="Arial" w:cs="Arial"/>
          <w:lang w:val="en-GB"/>
        </w:rPr>
        <w:tab/>
        <w:t xml:space="preserve">The purpose of the refinanced Housing Loan </w:t>
      </w:r>
      <w:r>
        <w:rPr>
          <w:rFonts w:ascii="Arial" w:hAnsi="Arial" w:cs="Arial"/>
          <w:color w:val="231F20"/>
          <w:lang w:val="en-GB"/>
        </w:rPr>
        <w:t>must be specified based on the code list.</w:t>
      </w:r>
    </w:p>
    <w:p w14:paraId="409EE73D" w14:textId="627081BD" w:rsidR="007319A5" w:rsidRDefault="00E1755B" w:rsidP="007333A6">
      <w:pPr>
        <w:spacing w:before="240" w:after="240"/>
        <w:ind w:left="425" w:hanging="425"/>
        <w:jc w:val="both"/>
        <w:rPr>
          <w:rFonts w:ascii="Arial" w:hAnsi="Arial" w:cs="Arial"/>
        </w:rPr>
      </w:pPr>
      <w:r>
        <w:rPr>
          <w:rFonts w:ascii="Arial" w:hAnsi="Arial" w:cs="Arial"/>
          <w:lang w:val="en-GB"/>
        </w:rPr>
        <w:t>eb</w:t>
      </w:r>
      <w:r>
        <w:rPr>
          <w:rFonts w:ascii="Arial" w:hAnsi="Arial" w:cs="Arial"/>
          <w:lang w:val="en-GB"/>
        </w:rPr>
        <w:tab/>
        <w:t>This column must be completed if the credit institution disbursing the refinanced loan differs from the credit institution that disbursed the original Housing Loan.</w:t>
      </w:r>
    </w:p>
    <w:p w14:paraId="2B19E6E8" w14:textId="54649117" w:rsidR="00381262" w:rsidRPr="00954862" w:rsidRDefault="00E1755B" w:rsidP="007333A6">
      <w:pPr>
        <w:spacing w:before="240" w:after="240"/>
        <w:ind w:left="426" w:hanging="426"/>
        <w:jc w:val="both"/>
        <w:rPr>
          <w:rFonts w:ascii="Arial" w:hAnsi="Arial" w:cs="Arial"/>
        </w:rPr>
      </w:pPr>
      <w:r>
        <w:rPr>
          <w:rFonts w:ascii="Arial" w:hAnsi="Arial" w:cs="Arial"/>
          <w:lang w:val="en-GB"/>
        </w:rPr>
        <w:t>ed</w:t>
      </w:r>
      <w:r>
        <w:rPr>
          <w:rFonts w:ascii="Arial" w:hAnsi="Arial" w:cs="Arial"/>
          <w:lang w:val="en-GB"/>
        </w:rPr>
        <w:tab/>
        <w:t>The total outstanding amount of the partially refinanced loan – outstanding at the time of the refinancing – must be reported, if the total outstanding amount of the partially refinanced loan at the time of the refinancing exceeds the loan amount specified in column c</w:t>
      </w:r>
      <w:r w:rsidR="001F73A8">
        <w:rPr>
          <w:rFonts w:ascii="Arial" w:hAnsi="Arial" w:cs="Arial"/>
          <w:lang w:val="en-GB"/>
        </w:rPr>
        <w:t>l</w:t>
      </w:r>
      <w:r>
        <w:rPr>
          <w:rFonts w:ascii="Arial" w:hAnsi="Arial" w:cs="Arial"/>
          <w:lang w:val="en-GB"/>
        </w:rPr>
        <w:t>.</w:t>
      </w:r>
    </w:p>
    <w:p w14:paraId="1BBC114C" w14:textId="2CC478C0" w:rsidR="00494CC6" w:rsidRPr="00954862" w:rsidRDefault="00E1755B" w:rsidP="007333A6">
      <w:pPr>
        <w:spacing w:before="240" w:after="240"/>
        <w:ind w:left="425" w:hanging="425"/>
        <w:jc w:val="both"/>
        <w:rPr>
          <w:rFonts w:ascii="Arial" w:hAnsi="Arial" w:cs="Arial"/>
        </w:rPr>
      </w:pPr>
      <w:r>
        <w:rPr>
          <w:rFonts w:ascii="Arial" w:hAnsi="Arial" w:cs="Arial"/>
          <w:lang w:val="en-GB"/>
        </w:rPr>
        <w:t>ee</w:t>
      </w:r>
      <w:r>
        <w:rPr>
          <w:rFonts w:ascii="Arial" w:hAnsi="Arial" w:cs="Arial"/>
          <w:lang w:val="en-GB"/>
        </w:rPr>
        <w:tab/>
        <w:t>Disbursement date of the refinanced loan. When the disbursement was done in tranches, the date of the first disbursement.</w:t>
      </w:r>
    </w:p>
    <w:p w14:paraId="18F0613C" w14:textId="5FEA8238" w:rsidR="006C408D" w:rsidRPr="00465185" w:rsidRDefault="00E1755B" w:rsidP="007333A6">
      <w:pPr>
        <w:spacing w:before="240" w:after="240"/>
        <w:ind w:left="425" w:hanging="425"/>
        <w:jc w:val="both"/>
        <w:rPr>
          <w:rFonts w:ascii="Arial" w:hAnsi="Arial" w:cs="Arial"/>
        </w:rPr>
      </w:pPr>
      <w:r>
        <w:rPr>
          <w:rFonts w:ascii="Arial" w:hAnsi="Arial" w:cs="Arial"/>
          <w:lang w:val="en-GB"/>
        </w:rPr>
        <w:t>ef</w:t>
      </w:r>
      <w:r>
        <w:rPr>
          <w:rFonts w:ascii="Arial" w:hAnsi="Arial" w:cs="Arial"/>
          <w:lang w:val="en-GB"/>
        </w:rPr>
        <w:tab/>
        <w:t>Unique contract ID of the contract for the refinanced loan applied at the credit institution that disbursed the refinanced loan.</w:t>
      </w:r>
    </w:p>
    <w:p w14:paraId="1827279E" w14:textId="7353BF3A" w:rsidR="00736039" w:rsidRPr="00465185" w:rsidRDefault="00E1755B" w:rsidP="007333A6">
      <w:pPr>
        <w:spacing w:before="240" w:after="240"/>
        <w:ind w:left="426" w:hanging="426"/>
        <w:jc w:val="both"/>
        <w:rPr>
          <w:rFonts w:ascii="Arial" w:hAnsi="Arial" w:cs="Arial"/>
        </w:rPr>
      </w:pPr>
      <w:r>
        <w:rPr>
          <w:rFonts w:ascii="Arial" w:hAnsi="Arial" w:cs="Arial"/>
          <w:lang w:val="en-GB"/>
        </w:rPr>
        <w:t>eh</w:t>
      </w:r>
      <w:r>
        <w:rPr>
          <w:rFonts w:ascii="Arial" w:hAnsi="Arial" w:cs="Arial"/>
          <w:lang w:val="en-GB"/>
        </w:rPr>
        <w:tab/>
        <w:t>In the case of refinanced loans the calendar day when the default existing for the longest time occurred must be indicated. If the refinanced loan was not in default, the column must be left blank.</w:t>
      </w:r>
    </w:p>
    <w:p w14:paraId="58080132" w14:textId="5D450C1D" w:rsidR="00BB2AAA" w:rsidRPr="00E525EB" w:rsidRDefault="00E1755B" w:rsidP="007333A6">
      <w:pPr>
        <w:spacing w:before="240" w:after="240"/>
        <w:ind w:left="426" w:hanging="426"/>
        <w:jc w:val="both"/>
        <w:rPr>
          <w:rFonts w:ascii="Arial" w:hAnsi="Arial" w:cs="Arial"/>
        </w:rPr>
      </w:pPr>
      <w:r>
        <w:rPr>
          <w:rFonts w:ascii="Arial" w:hAnsi="Arial" w:cs="Arial"/>
          <w:lang w:val="en-GB"/>
        </w:rPr>
        <w:t>ej</w:t>
      </w:r>
      <w:r>
        <w:rPr>
          <w:rFonts w:ascii="Arial" w:hAnsi="Arial" w:cs="Arial"/>
          <w:lang w:val="en-GB"/>
        </w:rPr>
        <w:tab/>
        <w:t>In the case of the refinanced loan, the annual transaction rate must be specified in basis points.</w:t>
      </w:r>
    </w:p>
    <w:p w14:paraId="4622CFFA" w14:textId="7816D908" w:rsidR="00A7650C" w:rsidRPr="00E525EB" w:rsidRDefault="00E1755B" w:rsidP="007333A6">
      <w:pPr>
        <w:spacing w:before="240" w:after="240"/>
        <w:ind w:left="425" w:hanging="425"/>
        <w:jc w:val="both"/>
        <w:rPr>
          <w:rFonts w:ascii="Arial" w:hAnsi="Arial" w:cs="Arial"/>
        </w:rPr>
      </w:pPr>
      <w:r>
        <w:rPr>
          <w:rFonts w:ascii="Arial" w:hAnsi="Arial" w:cs="Arial"/>
          <w:lang w:val="en-GB"/>
        </w:rPr>
        <w:t>ek</w:t>
      </w:r>
      <w:r>
        <w:rPr>
          <w:rFonts w:ascii="Arial" w:hAnsi="Arial" w:cs="Arial"/>
          <w:lang w:val="en-GB"/>
        </w:rPr>
        <w:tab/>
        <w:t>In the case of refinanced loans the annual percentage rate charged by the credit institution that disbursed the loan must be specified in basis points.</w:t>
      </w:r>
    </w:p>
    <w:p w14:paraId="40918A7A" w14:textId="3C7923A0" w:rsidR="00720A97" w:rsidRPr="00E525EB" w:rsidRDefault="00E1755B" w:rsidP="007333A6">
      <w:pPr>
        <w:spacing w:before="240" w:after="240"/>
        <w:ind w:left="426" w:hanging="426"/>
        <w:jc w:val="both"/>
        <w:rPr>
          <w:rFonts w:ascii="Arial" w:hAnsi="Arial" w:cs="Arial"/>
        </w:rPr>
      </w:pPr>
      <w:r>
        <w:rPr>
          <w:rFonts w:ascii="Arial" w:hAnsi="Arial" w:cs="Arial"/>
          <w:lang w:val="en-GB"/>
        </w:rPr>
        <w:t>el</w:t>
      </w:r>
      <w:r>
        <w:rPr>
          <w:rFonts w:ascii="Arial" w:hAnsi="Arial" w:cs="Arial"/>
          <w:lang w:val="en-GB"/>
        </w:rPr>
        <w:tab/>
        <w:t>The annual principal instalment frequency. To be completed in accordance with the code list.</w:t>
      </w:r>
    </w:p>
    <w:p w14:paraId="2A7A504D" w14:textId="441DCED0" w:rsidR="00841E4D" w:rsidRPr="00455D22" w:rsidRDefault="00E1755B" w:rsidP="00455D22">
      <w:pPr>
        <w:spacing w:before="240" w:after="240"/>
        <w:ind w:left="426" w:hanging="426"/>
        <w:jc w:val="both"/>
        <w:rPr>
          <w:rFonts w:ascii="Arial" w:hAnsi="Arial" w:cs="Arial"/>
        </w:rPr>
      </w:pPr>
      <w:r>
        <w:rPr>
          <w:rFonts w:ascii="Arial" w:hAnsi="Arial" w:cs="Arial"/>
          <w:lang w:val="en-GB"/>
        </w:rPr>
        <w:t>em</w:t>
      </w:r>
      <w:r>
        <w:rPr>
          <w:rFonts w:ascii="Arial" w:hAnsi="Arial" w:cs="Arial"/>
          <w:lang w:val="en-GB"/>
        </w:rPr>
        <w:tab/>
        <w:t>The date of the last restructuring of the refinanced loan. If the refinanced loan was not restructured, the column must be left blank.</w:t>
      </w:r>
    </w:p>
    <w:sectPr w:rsidR="00841E4D" w:rsidRPr="00455D22" w:rsidSect="002A6A0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2F9E5" w14:textId="77777777" w:rsidR="001F73A8" w:rsidRDefault="001F73A8" w:rsidP="001F73A8">
      <w:r>
        <w:separator/>
      </w:r>
    </w:p>
  </w:endnote>
  <w:endnote w:type="continuationSeparator" w:id="0">
    <w:p w14:paraId="1EC2F4CB" w14:textId="77777777" w:rsidR="001F73A8" w:rsidRDefault="001F73A8" w:rsidP="001F7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0B10B" w14:textId="77777777" w:rsidR="001F73A8" w:rsidRDefault="001F73A8" w:rsidP="001F73A8">
      <w:r>
        <w:separator/>
      </w:r>
    </w:p>
  </w:footnote>
  <w:footnote w:type="continuationSeparator" w:id="0">
    <w:p w14:paraId="1E1BF8CC" w14:textId="77777777" w:rsidR="001F73A8" w:rsidRDefault="001F73A8" w:rsidP="001F73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2" w15:restartNumberingAfterBreak="0">
    <w:nsid w:val="418C66E8"/>
    <w:multiLevelType w:val="hybridMultilevel"/>
    <w:tmpl w:val="40A430BC"/>
    <w:lvl w:ilvl="0" w:tplc="49362836">
      <w:start w:val="1"/>
      <w:numFmt w:val="bullet"/>
      <w:pStyle w:val="Listaszerbekezds"/>
      <w:lvlText w:val=""/>
      <w:lvlJc w:val="left"/>
      <w:pPr>
        <w:ind w:left="720" w:hanging="360"/>
      </w:pPr>
      <w:rPr>
        <w:rFonts w:ascii="Symbol" w:hAnsi="Symbol" w:hint="default"/>
        <w:b/>
        <w:color w:val="4F81BD"/>
        <w:sz w:val="24"/>
      </w:rPr>
    </w:lvl>
    <w:lvl w:ilvl="1" w:tplc="01E4D520">
      <w:start w:val="1"/>
      <w:numFmt w:val="bullet"/>
      <w:pStyle w:val="Listaszerbekezds2szint"/>
      <w:lvlText w:val="o"/>
      <w:lvlJc w:val="left"/>
      <w:pPr>
        <w:ind w:left="1440" w:hanging="360"/>
      </w:pPr>
      <w:rPr>
        <w:rFonts w:ascii="Courier New" w:hAnsi="Courier New" w:cs="Courier New" w:hint="default"/>
        <w:b/>
        <w:color w:val="4F81BD"/>
        <w:sz w:val="24"/>
      </w:rPr>
    </w:lvl>
    <w:lvl w:ilvl="2" w:tplc="BDE6A9A4">
      <w:start w:val="1"/>
      <w:numFmt w:val="bullet"/>
      <w:pStyle w:val="Listaszerbekezds3szint"/>
      <w:lvlText w:val=""/>
      <w:lvlJc w:val="left"/>
      <w:pPr>
        <w:ind w:left="2160" w:hanging="360"/>
      </w:pPr>
      <w:rPr>
        <w:rFonts w:ascii="Wingdings" w:hAnsi="Wingdings" w:cs="Calibri" w:hint="default"/>
        <w:b/>
        <w:color w:val="4F81BD"/>
        <w:sz w:val="24"/>
      </w:rPr>
    </w:lvl>
    <w:lvl w:ilvl="3" w:tplc="7F44CF0E">
      <w:start w:val="1"/>
      <w:numFmt w:val="bullet"/>
      <w:lvlText w:val=""/>
      <w:lvlJc w:val="left"/>
      <w:pPr>
        <w:ind w:left="2880" w:hanging="360"/>
      </w:pPr>
      <w:rPr>
        <w:rFonts w:ascii="Symbol" w:hAnsi="Symbol" w:cs="Calibri" w:hint="default"/>
        <w:b/>
        <w:color w:val="4F81BD"/>
        <w:sz w:val="24"/>
      </w:rPr>
    </w:lvl>
    <w:lvl w:ilvl="4" w:tplc="DB6C7B32">
      <w:start w:val="1"/>
      <w:numFmt w:val="bullet"/>
      <w:lvlText w:val="o"/>
      <w:lvlJc w:val="left"/>
      <w:pPr>
        <w:ind w:left="3600" w:hanging="360"/>
      </w:pPr>
      <w:rPr>
        <w:rFonts w:ascii="Courier New" w:hAnsi="Courier New" w:cs="Courier New" w:hint="default"/>
      </w:rPr>
    </w:lvl>
    <w:lvl w:ilvl="5" w:tplc="9D9C031A" w:tentative="1">
      <w:start w:val="1"/>
      <w:numFmt w:val="bullet"/>
      <w:lvlText w:val=""/>
      <w:lvlJc w:val="left"/>
      <w:pPr>
        <w:ind w:left="4320" w:hanging="360"/>
      </w:pPr>
      <w:rPr>
        <w:rFonts w:ascii="Wingdings" w:hAnsi="Wingdings" w:hint="default"/>
      </w:rPr>
    </w:lvl>
    <w:lvl w:ilvl="6" w:tplc="640EE210" w:tentative="1">
      <w:start w:val="1"/>
      <w:numFmt w:val="bullet"/>
      <w:lvlText w:val=""/>
      <w:lvlJc w:val="left"/>
      <w:pPr>
        <w:ind w:left="5040" w:hanging="360"/>
      </w:pPr>
      <w:rPr>
        <w:rFonts w:ascii="Symbol" w:hAnsi="Symbol" w:hint="default"/>
      </w:rPr>
    </w:lvl>
    <w:lvl w:ilvl="7" w:tplc="1AE08274" w:tentative="1">
      <w:start w:val="1"/>
      <w:numFmt w:val="bullet"/>
      <w:lvlText w:val="o"/>
      <w:lvlJc w:val="left"/>
      <w:pPr>
        <w:ind w:left="5760" w:hanging="360"/>
      </w:pPr>
      <w:rPr>
        <w:rFonts w:ascii="Courier New" w:hAnsi="Courier New" w:cs="Courier New" w:hint="default"/>
      </w:rPr>
    </w:lvl>
    <w:lvl w:ilvl="8" w:tplc="0B8660F2" w:tentative="1">
      <w:start w:val="1"/>
      <w:numFmt w:val="bullet"/>
      <w:lvlText w:val=""/>
      <w:lvlJc w:val="left"/>
      <w:pPr>
        <w:ind w:left="6480" w:hanging="360"/>
      </w:pPr>
      <w:rPr>
        <w:rFonts w:ascii="Wingdings" w:hAnsi="Wingdings" w:hint="default"/>
      </w:rPr>
    </w:lvl>
  </w:abstractNum>
  <w:abstractNum w:abstractNumId="3" w15:restartNumberingAfterBreak="0">
    <w:nsid w:val="4E3873A6"/>
    <w:multiLevelType w:val="hybridMultilevel"/>
    <w:tmpl w:val="D592C1CA"/>
    <w:lvl w:ilvl="0" w:tplc="1576983A">
      <w:start w:val="1"/>
      <w:numFmt w:val="upperLetter"/>
      <w:lvlText w:val="%1."/>
      <w:lvlJc w:val="left"/>
      <w:pPr>
        <w:ind w:left="502" w:hanging="360"/>
      </w:pPr>
    </w:lvl>
    <w:lvl w:ilvl="1" w:tplc="881E84A2" w:tentative="1">
      <w:start w:val="1"/>
      <w:numFmt w:val="lowerLetter"/>
      <w:lvlText w:val="%2."/>
      <w:lvlJc w:val="left"/>
      <w:pPr>
        <w:ind w:left="1222" w:hanging="360"/>
      </w:pPr>
    </w:lvl>
    <w:lvl w:ilvl="2" w:tplc="D964758E" w:tentative="1">
      <w:start w:val="1"/>
      <w:numFmt w:val="lowerRoman"/>
      <w:lvlText w:val="%3."/>
      <w:lvlJc w:val="right"/>
      <w:pPr>
        <w:ind w:left="1942" w:hanging="180"/>
      </w:pPr>
    </w:lvl>
    <w:lvl w:ilvl="3" w:tplc="574C93D2" w:tentative="1">
      <w:start w:val="1"/>
      <w:numFmt w:val="decimal"/>
      <w:lvlText w:val="%4."/>
      <w:lvlJc w:val="left"/>
      <w:pPr>
        <w:ind w:left="2662" w:hanging="360"/>
      </w:pPr>
    </w:lvl>
    <w:lvl w:ilvl="4" w:tplc="60E828CA" w:tentative="1">
      <w:start w:val="1"/>
      <w:numFmt w:val="lowerLetter"/>
      <w:lvlText w:val="%5."/>
      <w:lvlJc w:val="left"/>
      <w:pPr>
        <w:ind w:left="3382" w:hanging="360"/>
      </w:pPr>
    </w:lvl>
    <w:lvl w:ilvl="5" w:tplc="46DCF2F2" w:tentative="1">
      <w:start w:val="1"/>
      <w:numFmt w:val="lowerRoman"/>
      <w:lvlText w:val="%6."/>
      <w:lvlJc w:val="right"/>
      <w:pPr>
        <w:ind w:left="4102" w:hanging="180"/>
      </w:pPr>
    </w:lvl>
    <w:lvl w:ilvl="6" w:tplc="F7983E1E" w:tentative="1">
      <w:start w:val="1"/>
      <w:numFmt w:val="decimal"/>
      <w:lvlText w:val="%7."/>
      <w:lvlJc w:val="left"/>
      <w:pPr>
        <w:ind w:left="4822" w:hanging="360"/>
      </w:pPr>
    </w:lvl>
    <w:lvl w:ilvl="7" w:tplc="6554B850" w:tentative="1">
      <w:start w:val="1"/>
      <w:numFmt w:val="lowerLetter"/>
      <w:lvlText w:val="%8."/>
      <w:lvlJc w:val="left"/>
      <w:pPr>
        <w:ind w:left="5542" w:hanging="360"/>
      </w:pPr>
    </w:lvl>
    <w:lvl w:ilvl="8" w:tplc="4C5CB7C8" w:tentative="1">
      <w:start w:val="1"/>
      <w:numFmt w:val="lowerRoman"/>
      <w:lvlText w:val="%9."/>
      <w:lvlJc w:val="right"/>
      <w:pPr>
        <w:ind w:left="6262" w:hanging="180"/>
      </w:pPr>
    </w:lvl>
  </w:abstractNum>
  <w:abstractNum w:abstractNumId="4" w15:restartNumberingAfterBreak="0">
    <w:nsid w:val="552C48F6"/>
    <w:multiLevelType w:val="hybridMultilevel"/>
    <w:tmpl w:val="82149B60"/>
    <w:lvl w:ilvl="0" w:tplc="BD0887FA">
      <w:start w:val="1"/>
      <w:numFmt w:val="decimal"/>
      <w:lvlText w:val="%1.)"/>
      <w:lvlJc w:val="left"/>
      <w:pPr>
        <w:ind w:left="720" w:hanging="360"/>
      </w:pPr>
      <w:rPr>
        <w:rFonts w:hint="default"/>
      </w:rPr>
    </w:lvl>
    <w:lvl w:ilvl="1" w:tplc="E56CDE0E" w:tentative="1">
      <w:start w:val="1"/>
      <w:numFmt w:val="lowerLetter"/>
      <w:lvlText w:val="%2."/>
      <w:lvlJc w:val="left"/>
      <w:pPr>
        <w:ind w:left="1440" w:hanging="360"/>
      </w:pPr>
    </w:lvl>
    <w:lvl w:ilvl="2" w:tplc="7F7A13C4" w:tentative="1">
      <w:start w:val="1"/>
      <w:numFmt w:val="lowerRoman"/>
      <w:lvlText w:val="%3."/>
      <w:lvlJc w:val="right"/>
      <w:pPr>
        <w:ind w:left="2160" w:hanging="180"/>
      </w:pPr>
    </w:lvl>
    <w:lvl w:ilvl="3" w:tplc="B1D6CDB2" w:tentative="1">
      <w:start w:val="1"/>
      <w:numFmt w:val="decimal"/>
      <w:lvlText w:val="%4."/>
      <w:lvlJc w:val="left"/>
      <w:pPr>
        <w:ind w:left="2880" w:hanging="360"/>
      </w:pPr>
    </w:lvl>
    <w:lvl w:ilvl="4" w:tplc="CA28D4E4" w:tentative="1">
      <w:start w:val="1"/>
      <w:numFmt w:val="lowerLetter"/>
      <w:lvlText w:val="%5."/>
      <w:lvlJc w:val="left"/>
      <w:pPr>
        <w:ind w:left="3600" w:hanging="360"/>
      </w:pPr>
    </w:lvl>
    <w:lvl w:ilvl="5" w:tplc="C69E4166" w:tentative="1">
      <w:start w:val="1"/>
      <w:numFmt w:val="lowerRoman"/>
      <w:lvlText w:val="%6."/>
      <w:lvlJc w:val="right"/>
      <w:pPr>
        <w:ind w:left="4320" w:hanging="180"/>
      </w:pPr>
    </w:lvl>
    <w:lvl w:ilvl="6" w:tplc="38F0C176" w:tentative="1">
      <w:start w:val="1"/>
      <w:numFmt w:val="decimal"/>
      <w:lvlText w:val="%7."/>
      <w:lvlJc w:val="left"/>
      <w:pPr>
        <w:ind w:left="5040" w:hanging="360"/>
      </w:pPr>
    </w:lvl>
    <w:lvl w:ilvl="7" w:tplc="7A3602D6" w:tentative="1">
      <w:start w:val="1"/>
      <w:numFmt w:val="lowerLetter"/>
      <w:lvlText w:val="%8."/>
      <w:lvlJc w:val="left"/>
      <w:pPr>
        <w:ind w:left="5760" w:hanging="360"/>
      </w:pPr>
    </w:lvl>
    <w:lvl w:ilvl="8" w:tplc="1248A08A" w:tentative="1">
      <w:start w:val="1"/>
      <w:numFmt w:val="lowerRoman"/>
      <w:lvlText w:val="%9."/>
      <w:lvlJc w:val="right"/>
      <w:pPr>
        <w:ind w:left="6480" w:hanging="180"/>
      </w:pPr>
    </w:lvl>
  </w:abstractNum>
  <w:abstractNum w:abstractNumId="5" w15:restartNumberingAfterBreak="0">
    <w:nsid w:val="5D165934"/>
    <w:multiLevelType w:val="hybridMultilevel"/>
    <w:tmpl w:val="8EFE48AC"/>
    <w:lvl w:ilvl="0" w:tplc="2B3CE6FC">
      <w:start w:val="1"/>
      <w:numFmt w:val="decimal"/>
      <w:lvlText w:val="%1."/>
      <w:lvlJc w:val="left"/>
      <w:pPr>
        <w:tabs>
          <w:tab w:val="num" w:pos="720"/>
        </w:tabs>
        <w:ind w:left="720" w:hanging="360"/>
      </w:pPr>
      <w:rPr>
        <w:rFonts w:hint="default"/>
      </w:rPr>
    </w:lvl>
    <w:lvl w:ilvl="1" w:tplc="DBAC16BA" w:tentative="1">
      <w:start w:val="1"/>
      <w:numFmt w:val="lowerLetter"/>
      <w:lvlText w:val="%2."/>
      <w:lvlJc w:val="left"/>
      <w:pPr>
        <w:tabs>
          <w:tab w:val="num" w:pos="1440"/>
        </w:tabs>
        <w:ind w:left="1440" w:hanging="360"/>
      </w:pPr>
    </w:lvl>
    <w:lvl w:ilvl="2" w:tplc="1F72BE34" w:tentative="1">
      <w:start w:val="1"/>
      <w:numFmt w:val="lowerRoman"/>
      <w:lvlText w:val="%3."/>
      <w:lvlJc w:val="right"/>
      <w:pPr>
        <w:tabs>
          <w:tab w:val="num" w:pos="2160"/>
        </w:tabs>
        <w:ind w:left="2160" w:hanging="180"/>
      </w:pPr>
    </w:lvl>
    <w:lvl w:ilvl="3" w:tplc="6436C196" w:tentative="1">
      <w:start w:val="1"/>
      <w:numFmt w:val="decimal"/>
      <w:lvlText w:val="%4."/>
      <w:lvlJc w:val="left"/>
      <w:pPr>
        <w:tabs>
          <w:tab w:val="num" w:pos="2880"/>
        </w:tabs>
        <w:ind w:left="2880" w:hanging="360"/>
      </w:pPr>
    </w:lvl>
    <w:lvl w:ilvl="4" w:tplc="0C7C72F4" w:tentative="1">
      <w:start w:val="1"/>
      <w:numFmt w:val="lowerLetter"/>
      <w:lvlText w:val="%5."/>
      <w:lvlJc w:val="left"/>
      <w:pPr>
        <w:tabs>
          <w:tab w:val="num" w:pos="3600"/>
        </w:tabs>
        <w:ind w:left="3600" w:hanging="360"/>
      </w:pPr>
    </w:lvl>
    <w:lvl w:ilvl="5" w:tplc="756C1528" w:tentative="1">
      <w:start w:val="1"/>
      <w:numFmt w:val="lowerRoman"/>
      <w:lvlText w:val="%6."/>
      <w:lvlJc w:val="right"/>
      <w:pPr>
        <w:tabs>
          <w:tab w:val="num" w:pos="4320"/>
        </w:tabs>
        <w:ind w:left="4320" w:hanging="180"/>
      </w:pPr>
    </w:lvl>
    <w:lvl w:ilvl="6" w:tplc="EF4E4140" w:tentative="1">
      <w:start w:val="1"/>
      <w:numFmt w:val="decimal"/>
      <w:lvlText w:val="%7."/>
      <w:lvlJc w:val="left"/>
      <w:pPr>
        <w:tabs>
          <w:tab w:val="num" w:pos="5040"/>
        </w:tabs>
        <w:ind w:left="5040" w:hanging="360"/>
      </w:pPr>
    </w:lvl>
    <w:lvl w:ilvl="7" w:tplc="9F0E668C" w:tentative="1">
      <w:start w:val="1"/>
      <w:numFmt w:val="lowerLetter"/>
      <w:lvlText w:val="%8."/>
      <w:lvlJc w:val="left"/>
      <w:pPr>
        <w:tabs>
          <w:tab w:val="num" w:pos="5760"/>
        </w:tabs>
        <w:ind w:left="5760" w:hanging="360"/>
      </w:pPr>
    </w:lvl>
    <w:lvl w:ilvl="8" w:tplc="70E0DC8C" w:tentative="1">
      <w:start w:val="1"/>
      <w:numFmt w:val="lowerRoman"/>
      <w:lvlText w:val="%9."/>
      <w:lvlJc w:val="right"/>
      <w:pPr>
        <w:tabs>
          <w:tab w:val="num" w:pos="6480"/>
        </w:tabs>
        <w:ind w:left="6480" w:hanging="180"/>
      </w:pPr>
    </w:lvl>
  </w:abstractNum>
  <w:abstractNum w:abstractNumId="6" w15:restartNumberingAfterBreak="0">
    <w:nsid w:val="60793D69"/>
    <w:multiLevelType w:val="hybridMultilevel"/>
    <w:tmpl w:val="D83AB9A2"/>
    <w:lvl w:ilvl="0" w:tplc="AD7AD534">
      <w:start w:val="7"/>
      <w:numFmt w:val="decimal"/>
      <w:lvlText w:val="%1."/>
      <w:lvlJc w:val="left"/>
      <w:pPr>
        <w:ind w:left="720" w:hanging="360"/>
      </w:pPr>
      <w:rPr>
        <w:rFonts w:hint="default"/>
      </w:rPr>
    </w:lvl>
    <w:lvl w:ilvl="1" w:tplc="C5223474">
      <w:start w:val="1"/>
      <w:numFmt w:val="lowerLetter"/>
      <w:lvlText w:val="%2."/>
      <w:lvlJc w:val="left"/>
      <w:pPr>
        <w:ind w:left="1440" w:hanging="360"/>
      </w:pPr>
    </w:lvl>
    <w:lvl w:ilvl="2" w:tplc="B19090F4" w:tentative="1">
      <w:start w:val="1"/>
      <w:numFmt w:val="lowerRoman"/>
      <w:lvlText w:val="%3."/>
      <w:lvlJc w:val="right"/>
      <w:pPr>
        <w:ind w:left="2160" w:hanging="180"/>
      </w:pPr>
    </w:lvl>
    <w:lvl w:ilvl="3" w:tplc="43ACA398" w:tentative="1">
      <w:start w:val="1"/>
      <w:numFmt w:val="decimal"/>
      <w:lvlText w:val="%4."/>
      <w:lvlJc w:val="left"/>
      <w:pPr>
        <w:ind w:left="2880" w:hanging="360"/>
      </w:pPr>
    </w:lvl>
    <w:lvl w:ilvl="4" w:tplc="802E0CFC" w:tentative="1">
      <w:start w:val="1"/>
      <w:numFmt w:val="lowerLetter"/>
      <w:lvlText w:val="%5."/>
      <w:lvlJc w:val="left"/>
      <w:pPr>
        <w:ind w:left="3600" w:hanging="360"/>
      </w:pPr>
    </w:lvl>
    <w:lvl w:ilvl="5" w:tplc="8F90FFBA" w:tentative="1">
      <w:start w:val="1"/>
      <w:numFmt w:val="lowerRoman"/>
      <w:lvlText w:val="%6."/>
      <w:lvlJc w:val="right"/>
      <w:pPr>
        <w:ind w:left="4320" w:hanging="180"/>
      </w:pPr>
    </w:lvl>
    <w:lvl w:ilvl="6" w:tplc="142E764A" w:tentative="1">
      <w:start w:val="1"/>
      <w:numFmt w:val="decimal"/>
      <w:lvlText w:val="%7."/>
      <w:lvlJc w:val="left"/>
      <w:pPr>
        <w:ind w:left="5040" w:hanging="360"/>
      </w:pPr>
    </w:lvl>
    <w:lvl w:ilvl="7" w:tplc="81749F90" w:tentative="1">
      <w:start w:val="1"/>
      <w:numFmt w:val="lowerLetter"/>
      <w:lvlText w:val="%8."/>
      <w:lvlJc w:val="left"/>
      <w:pPr>
        <w:ind w:left="5760" w:hanging="360"/>
      </w:pPr>
    </w:lvl>
    <w:lvl w:ilvl="8" w:tplc="FE26A96C" w:tentative="1">
      <w:start w:val="1"/>
      <w:numFmt w:val="lowerRoman"/>
      <w:lvlText w:val="%9."/>
      <w:lvlJc w:val="right"/>
      <w:pPr>
        <w:ind w:left="6480" w:hanging="180"/>
      </w:pPr>
    </w:lvl>
  </w:abstractNum>
  <w:abstractNum w:abstractNumId="7" w15:restartNumberingAfterBreak="0">
    <w:nsid w:val="651A5F43"/>
    <w:multiLevelType w:val="hybridMultilevel"/>
    <w:tmpl w:val="A26CB916"/>
    <w:lvl w:ilvl="0" w:tplc="B5A8A3F4">
      <w:start w:val="1"/>
      <w:numFmt w:val="decimal"/>
      <w:lvlText w:val="%1."/>
      <w:lvlJc w:val="left"/>
      <w:pPr>
        <w:ind w:left="720" w:hanging="360"/>
      </w:pPr>
      <w:rPr>
        <w:rFonts w:hint="default"/>
      </w:rPr>
    </w:lvl>
    <w:lvl w:ilvl="1" w:tplc="36A02A32" w:tentative="1">
      <w:start w:val="1"/>
      <w:numFmt w:val="lowerLetter"/>
      <w:lvlText w:val="%2."/>
      <w:lvlJc w:val="left"/>
      <w:pPr>
        <w:ind w:left="1440" w:hanging="360"/>
      </w:pPr>
    </w:lvl>
    <w:lvl w:ilvl="2" w:tplc="222681DE" w:tentative="1">
      <w:start w:val="1"/>
      <w:numFmt w:val="lowerRoman"/>
      <w:lvlText w:val="%3."/>
      <w:lvlJc w:val="right"/>
      <w:pPr>
        <w:ind w:left="2160" w:hanging="180"/>
      </w:pPr>
    </w:lvl>
    <w:lvl w:ilvl="3" w:tplc="A51834C0" w:tentative="1">
      <w:start w:val="1"/>
      <w:numFmt w:val="decimal"/>
      <w:lvlText w:val="%4."/>
      <w:lvlJc w:val="left"/>
      <w:pPr>
        <w:ind w:left="2880" w:hanging="360"/>
      </w:pPr>
    </w:lvl>
    <w:lvl w:ilvl="4" w:tplc="36722844" w:tentative="1">
      <w:start w:val="1"/>
      <w:numFmt w:val="lowerLetter"/>
      <w:lvlText w:val="%5."/>
      <w:lvlJc w:val="left"/>
      <w:pPr>
        <w:ind w:left="3600" w:hanging="360"/>
      </w:pPr>
    </w:lvl>
    <w:lvl w:ilvl="5" w:tplc="16A29972" w:tentative="1">
      <w:start w:val="1"/>
      <w:numFmt w:val="lowerRoman"/>
      <w:lvlText w:val="%6."/>
      <w:lvlJc w:val="right"/>
      <w:pPr>
        <w:ind w:left="4320" w:hanging="180"/>
      </w:pPr>
    </w:lvl>
    <w:lvl w:ilvl="6" w:tplc="1E1A1800" w:tentative="1">
      <w:start w:val="1"/>
      <w:numFmt w:val="decimal"/>
      <w:lvlText w:val="%7."/>
      <w:lvlJc w:val="left"/>
      <w:pPr>
        <w:ind w:left="5040" w:hanging="360"/>
      </w:pPr>
    </w:lvl>
    <w:lvl w:ilvl="7" w:tplc="2E48058C" w:tentative="1">
      <w:start w:val="1"/>
      <w:numFmt w:val="lowerLetter"/>
      <w:lvlText w:val="%8."/>
      <w:lvlJc w:val="left"/>
      <w:pPr>
        <w:ind w:left="5760" w:hanging="360"/>
      </w:pPr>
    </w:lvl>
    <w:lvl w:ilvl="8" w:tplc="1744CBF0" w:tentative="1">
      <w:start w:val="1"/>
      <w:numFmt w:val="lowerRoman"/>
      <w:lvlText w:val="%9."/>
      <w:lvlJc w:val="right"/>
      <w:pPr>
        <w:ind w:left="6480" w:hanging="180"/>
      </w:pPr>
    </w:lvl>
  </w:abstractNum>
  <w:abstractNum w:abstractNumId="8" w15:restartNumberingAfterBreak="0">
    <w:nsid w:val="668D702A"/>
    <w:multiLevelType w:val="hybridMultilevel"/>
    <w:tmpl w:val="75A24946"/>
    <w:lvl w:ilvl="0" w:tplc="C83889D0">
      <w:start w:val="1"/>
      <w:numFmt w:val="decimal"/>
      <w:lvlText w:val="%1."/>
      <w:lvlJc w:val="left"/>
      <w:pPr>
        <w:ind w:left="644" w:hanging="360"/>
      </w:pPr>
      <w:rPr>
        <w:rFonts w:hint="default"/>
      </w:rPr>
    </w:lvl>
    <w:lvl w:ilvl="1" w:tplc="999A33CE" w:tentative="1">
      <w:start w:val="1"/>
      <w:numFmt w:val="lowerLetter"/>
      <w:lvlText w:val="%2."/>
      <w:lvlJc w:val="left"/>
      <w:pPr>
        <w:ind w:left="1440" w:hanging="360"/>
      </w:pPr>
    </w:lvl>
    <w:lvl w:ilvl="2" w:tplc="B7CA32F2" w:tentative="1">
      <w:start w:val="1"/>
      <w:numFmt w:val="lowerRoman"/>
      <w:lvlText w:val="%3."/>
      <w:lvlJc w:val="right"/>
      <w:pPr>
        <w:ind w:left="2160" w:hanging="180"/>
      </w:pPr>
    </w:lvl>
    <w:lvl w:ilvl="3" w:tplc="BD4817DC" w:tentative="1">
      <w:start w:val="1"/>
      <w:numFmt w:val="decimal"/>
      <w:lvlText w:val="%4."/>
      <w:lvlJc w:val="left"/>
      <w:pPr>
        <w:ind w:left="2880" w:hanging="360"/>
      </w:pPr>
    </w:lvl>
    <w:lvl w:ilvl="4" w:tplc="9CA852AE" w:tentative="1">
      <w:start w:val="1"/>
      <w:numFmt w:val="lowerLetter"/>
      <w:lvlText w:val="%5."/>
      <w:lvlJc w:val="left"/>
      <w:pPr>
        <w:ind w:left="3600" w:hanging="360"/>
      </w:pPr>
    </w:lvl>
    <w:lvl w:ilvl="5" w:tplc="3350D222" w:tentative="1">
      <w:start w:val="1"/>
      <w:numFmt w:val="lowerRoman"/>
      <w:lvlText w:val="%6."/>
      <w:lvlJc w:val="right"/>
      <w:pPr>
        <w:ind w:left="4320" w:hanging="180"/>
      </w:pPr>
    </w:lvl>
    <w:lvl w:ilvl="6" w:tplc="DD3E5686" w:tentative="1">
      <w:start w:val="1"/>
      <w:numFmt w:val="decimal"/>
      <w:lvlText w:val="%7."/>
      <w:lvlJc w:val="left"/>
      <w:pPr>
        <w:ind w:left="5040" w:hanging="360"/>
      </w:pPr>
    </w:lvl>
    <w:lvl w:ilvl="7" w:tplc="ECD8E330" w:tentative="1">
      <w:start w:val="1"/>
      <w:numFmt w:val="lowerLetter"/>
      <w:lvlText w:val="%8."/>
      <w:lvlJc w:val="left"/>
      <w:pPr>
        <w:ind w:left="5760" w:hanging="360"/>
      </w:pPr>
    </w:lvl>
    <w:lvl w:ilvl="8" w:tplc="6610CB54" w:tentative="1">
      <w:start w:val="1"/>
      <w:numFmt w:val="lowerRoman"/>
      <w:lvlText w:val="%9."/>
      <w:lvlJc w:val="right"/>
      <w:pPr>
        <w:ind w:left="6480" w:hanging="180"/>
      </w:pPr>
    </w:lvl>
  </w:abstractNum>
  <w:abstractNum w:abstractNumId="9" w15:restartNumberingAfterBreak="0">
    <w:nsid w:val="6AC844FF"/>
    <w:multiLevelType w:val="hybridMultilevel"/>
    <w:tmpl w:val="A5986558"/>
    <w:lvl w:ilvl="0" w:tplc="FF9CB732">
      <w:start w:val="30"/>
      <w:numFmt w:val="bullet"/>
      <w:lvlText w:val="-"/>
      <w:lvlJc w:val="left"/>
      <w:pPr>
        <w:ind w:left="720" w:hanging="360"/>
      </w:pPr>
      <w:rPr>
        <w:rFonts w:ascii="Times New Roman" w:eastAsia="Times New Roman" w:hAnsi="Times New Roman" w:cs="Times New Roman" w:hint="default"/>
      </w:rPr>
    </w:lvl>
    <w:lvl w:ilvl="1" w:tplc="735E35F4" w:tentative="1">
      <w:start w:val="1"/>
      <w:numFmt w:val="bullet"/>
      <w:lvlText w:val="o"/>
      <w:lvlJc w:val="left"/>
      <w:pPr>
        <w:ind w:left="1440" w:hanging="360"/>
      </w:pPr>
      <w:rPr>
        <w:rFonts w:ascii="Courier New" w:hAnsi="Courier New" w:cs="Courier New" w:hint="default"/>
      </w:rPr>
    </w:lvl>
    <w:lvl w:ilvl="2" w:tplc="21228878" w:tentative="1">
      <w:start w:val="1"/>
      <w:numFmt w:val="bullet"/>
      <w:lvlText w:val=""/>
      <w:lvlJc w:val="left"/>
      <w:pPr>
        <w:ind w:left="2160" w:hanging="360"/>
      </w:pPr>
      <w:rPr>
        <w:rFonts w:ascii="Wingdings" w:hAnsi="Wingdings" w:hint="default"/>
      </w:rPr>
    </w:lvl>
    <w:lvl w:ilvl="3" w:tplc="0D303CA4" w:tentative="1">
      <w:start w:val="1"/>
      <w:numFmt w:val="bullet"/>
      <w:lvlText w:val=""/>
      <w:lvlJc w:val="left"/>
      <w:pPr>
        <w:ind w:left="2880" w:hanging="360"/>
      </w:pPr>
      <w:rPr>
        <w:rFonts w:ascii="Symbol" w:hAnsi="Symbol" w:hint="default"/>
      </w:rPr>
    </w:lvl>
    <w:lvl w:ilvl="4" w:tplc="E97012E8" w:tentative="1">
      <w:start w:val="1"/>
      <w:numFmt w:val="bullet"/>
      <w:lvlText w:val="o"/>
      <w:lvlJc w:val="left"/>
      <w:pPr>
        <w:ind w:left="3600" w:hanging="360"/>
      </w:pPr>
      <w:rPr>
        <w:rFonts w:ascii="Courier New" w:hAnsi="Courier New" w:cs="Courier New" w:hint="default"/>
      </w:rPr>
    </w:lvl>
    <w:lvl w:ilvl="5" w:tplc="CE981F0A" w:tentative="1">
      <w:start w:val="1"/>
      <w:numFmt w:val="bullet"/>
      <w:lvlText w:val=""/>
      <w:lvlJc w:val="left"/>
      <w:pPr>
        <w:ind w:left="4320" w:hanging="360"/>
      </w:pPr>
      <w:rPr>
        <w:rFonts w:ascii="Wingdings" w:hAnsi="Wingdings" w:hint="default"/>
      </w:rPr>
    </w:lvl>
    <w:lvl w:ilvl="6" w:tplc="2CE6E0B6" w:tentative="1">
      <w:start w:val="1"/>
      <w:numFmt w:val="bullet"/>
      <w:lvlText w:val=""/>
      <w:lvlJc w:val="left"/>
      <w:pPr>
        <w:ind w:left="5040" w:hanging="360"/>
      </w:pPr>
      <w:rPr>
        <w:rFonts w:ascii="Symbol" w:hAnsi="Symbol" w:hint="default"/>
      </w:rPr>
    </w:lvl>
    <w:lvl w:ilvl="7" w:tplc="5B1247D4" w:tentative="1">
      <w:start w:val="1"/>
      <w:numFmt w:val="bullet"/>
      <w:lvlText w:val="o"/>
      <w:lvlJc w:val="left"/>
      <w:pPr>
        <w:ind w:left="5760" w:hanging="360"/>
      </w:pPr>
      <w:rPr>
        <w:rFonts w:ascii="Courier New" w:hAnsi="Courier New" w:cs="Courier New" w:hint="default"/>
      </w:rPr>
    </w:lvl>
    <w:lvl w:ilvl="8" w:tplc="DEEA5B82" w:tentative="1">
      <w:start w:val="1"/>
      <w:numFmt w:val="bullet"/>
      <w:lvlText w:val=""/>
      <w:lvlJc w:val="left"/>
      <w:pPr>
        <w:ind w:left="6480" w:hanging="360"/>
      </w:pPr>
      <w:rPr>
        <w:rFonts w:ascii="Wingdings" w:hAnsi="Wingdings" w:hint="default"/>
      </w:rPr>
    </w:lvl>
  </w:abstractNum>
  <w:abstractNum w:abstractNumId="10" w15:restartNumberingAfterBreak="0">
    <w:nsid w:val="7C3A075C"/>
    <w:multiLevelType w:val="hybridMultilevel"/>
    <w:tmpl w:val="94AAE6BE"/>
    <w:lvl w:ilvl="0" w:tplc="7D6E6CDC">
      <w:start w:val="1"/>
      <w:numFmt w:val="upperRoman"/>
      <w:lvlText w:val="%1."/>
      <w:lvlJc w:val="left"/>
      <w:pPr>
        <w:ind w:left="1080" w:hanging="720"/>
      </w:pPr>
      <w:rPr>
        <w:rFonts w:hint="default"/>
      </w:rPr>
    </w:lvl>
    <w:lvl w:ilvl="1" w:tplc="8ED88996" w:tentative="1">
      <w:start w:val="1"/>
      <w:numFmt w:val="lowerLetter"/>
      <w:lvlText w:val="%2."/>
      <w:lvlJc w:val="left"/>
      <w:pPr>
        <w:ind w:left="1440" w:hanging="360"/>
      </w:pPr>
    </w:lvl>
    <w:lvl w:ilvl="2" w:tplc="A4586404" w:tentative="1">
      <w:start w:val="1"/>
      <w:numFmt w:val="lowerRoman"/>
      <w:lvlText w:val="%3."/>
      <w:lvlJc w:val="right"/>
      <w:pPr>
        <w:ind w:left="2160" w:hanging="180"/>
      </w:pPr>
    </w:lvl>
    <w:lvl w:ilvl="3" w:tplc="8CECC7AC" w:tentative="1">
      <w:start w:val="1"/>
      <w:numFmt w:val="decimal"/>
      <w:lvlText w:val="%4."/>
      <w:lvlJc w:val="left"/>
      <w:pPr>
        <w:ind w:left="2880" w:hanging="360"/>
      </w:pPr>
    </w:lvl>
    <w:lvl w:ilvl="4" w:tplc="B212CA6A" w:tentative="1">
      <w:start w:val="1"/>
      <w:numFmt w:val="lowerLetter"/>
      <w:lvlText w:val="%5."/>
      <w:lvlJc w:val="left"/>
      <w:pPr>
        <w:ind w:left="3600" w:hanging="360"/>
      </w:pPr>
    </w:lvl>
    <w:lvl w:ilvl="5" w:tplc="CA8ABDD8" w:tentative="1">
      <w:start w:val="1"/>
      <w:numFmt w:val="lowerRoman"/>
      <w:lvlText w:val="%6."/>
      <w:lvlJc w:val="right"/>
      <w:pPr>
        <w:ind w:left="4320" w:hanging="180"/>
      </w:pPr>
    </w:lvl>
    <w:lvl w:ilvl="6" w:tplc="8B5CDE62" w:tentative="1">
      <w:start w:val="1"/>
      <w:numFmt w:val="decimal"/>
      <w:lvlText w:val="%7."/>
      <w:lvlJc w:val="left"/>
      <w:pPr>
        <w:ind w:left="5040" w:hanging="360"/>
      </w:pPr>
    </w:lvl>
    <w:lvl w:ilvl="7" w:tplc="E95E713A" w:tentative="1">
      <w:start w:val="1"/>
      <w:numFmt w:val="lowerLetter"/>
      <w:lvlText w:val="%8."/>
      <w:lvlJc w:val="left"/>
      <w:pPr>
        <w:ind w:left="5760" w:hanging="360"/>
      </w:pPr>
    </w:lvl>
    <w:lvl w:ilvl="8" w:tplc="42E845E8"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7"/>
  </w:num>
  <w:num w:numId="6">
    <w:abstractNumId w:val="10"/>
  </w:num>
  <w:num w:numId="7">
    <w:abstractNumId w:val="8"/>
  </w:num>
  <w:num w:numId="8">
    <w:abstractNumId w:val="6"/>
  </w:num>
  <w:num w:numId="9">
    <w:abstractNumId w:val="0"/>
  </w:num>
  <w:num w:numId="10">
    <w:abstractNumId w:val="3"/>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FE"/>
    <w:rsid w:val="000045E0"/>
    <w:rsid w:val="00004EFB"/>
    <w:rsid w:val="00010406"/>
    <w:rsid w:val="00010996"/>
    <w:rsid w:val="00014117"/>
    <w:rsid w:val="00015167"/>
    <w:rsid w:val="0002142D"/>
    <w:rsid w:val="000232EE"/>
    <w:rsid w:val="0002533D"/>
    <w:rsid w:val="0002647D"/>
    <w:rsid w:val="0003328B"/>
    <w:rsid w:val="00034D19"/>
    <w:rsid w:val="00041C74"/>
    <w:rsid w:val="00041D82"/>
    <w:rsid w:val="00044170"/>
    <w:rsid w:val="000476C9"/>
    <w:rsid w:val="0005404E"/>
    <w:rsid w:val="000615CA"/>
    <w:rsid w:val="0006228A"/>
    <w:rsid w:val="00066AE0"/>
    <w:rsid w:val="000720B0"/>
    <w:rsid w:val="00076F7B"/>
    <w:rsid w:val="000772C1"/>
    <w:rsid w:val="00077B56"/>
    <w:rsid w:val="00083F2C"/>
    <w:rsid w:val="00091573"/>
    <w:rsid w:val="000918C0"/>
    <w:rsid w:val="000936AA"/>
    <w:rsid w:val="000950BD"/>
    <w:rsid w:val="0009764C"/>
    <w:rsid w:val="000A4CB1"/>
    <w:rsid w:val="000A5B4E"/>
    <w:rsid w:val="000A76AF"/>
    <w:rsid w:val="000B014D"/>
    <w:rsid w:val="000B12D3"/>
    <w:rsid w:val="000B2158"/>
    <w:rsid w:val="000B2A9B"/>
    <w:rsid w:val="000B68BE"/>
    <w:rsid w:val="000C37E9"/>
    <w:rsid w:val="000C3BD4"/>
    <w:rsid w:val="000D212F"/>
    <w:rsid w:val="000D75CB"/>
    <w:rsid w:val="000E26B9"/>
    <w:rsid w:val="000E3166"/>
    <w:rsid w:val="000E335F"/>
    <w:rsid w:val="000E6636"/>
    <w:rsid w:val="000F1AC1"/>
    <w:rsid w:val="00101465"/>
    <w:rsid w:val="001030CA"/>
    <w:rsid w:val="0010570E"/>
    <w:rsid w:val="00111D55"/>
    <w:rsid w:val="001165F9"/>
    <w:rsid w:val="00120802"/>
    <w:rsid w:val="00120BBD"/>
    <w:rsid w:val="0012346A"/>
    <w:rsid w:val="001245DD"/>
    <w:rsid w:val="00126083"/>
    <w:rsid w:val="00132F6B"/>
    <w:rsid w:val="00135C88"/>
    <w:rsid w:val="001371C7"/>
    <w:rsid w:val="00137270"/>
    <w:rsid w:val="00140EB3"/>
    <w:rsid w:val="001413E0"/>
    <w:rsid w:val="00143058"/>
    <w:rsid w:val="001436C3"/>
    <w:rsid w:val="00144057"/>
    <w:rsid w:val="00146424"/>
    <w:rsid w:val="00146C4A"/>
    <w:rsid w:val="0015014F"/>
    <w:rsid w:val="00150327"/>
    <w:rsid w:val="0015255E"/>
    <w:rsid w:val="001543B7"/>
    <w:rsid w:val="001573F6"/>
    <w:rsid w:val="001607B1"/>
    <w:rsid w:val="001609CD"/>
    <w:rsid w:val="0016145F"/>
    <w:rsid w:val="001643BE"/>
    <w:rsid w:val="001646A1"/>
    <w:rsid w:val="001717D1"/>
    <w:rsid w:val="00172683"/>
    <w:rsid w:val="001727AF"/>
    <w:rsid w:val="0017296B"/>
    <w:rsid w:val="0018179C"/>
    <w:rsid w:val="00182900"/>
    <w:rsid w:val="00182CA1"/>
    <w:rsid w:val="00187E6E"/>
    <w:rsid w:val="00190510"/>
    <w:rsid w:val="0019616E"/>
    <w:rsid w:val="00196865"/>
    <w:rsid w:val="00197512"/>
    <w:rsid w:val="001A2CD0"/>
    <w:rsid w:val="001A33BE"/>
    <w:rsid w:val="001A3C51"/>
    <w:rsid w:val="001A3E0F"/>
    <w:rsid w:val="001A45FE"/>
    <w:rsid w:val="001B13B9"/>
    <w:rsid w:val="001B14D4"/>
    <w:rsid w:val="001B1528"/>
    <w:rsid w:val="001B2D41"/>
    <w:rsid w:val="001B34E4"/>
    <w:rsid w:val="001B63AF"/>
    <w:rsid w:val="001C04C4"/>
    <w:rsid w:val="001E0DBA"/>
    <w:rsid w:val="001E1D9B"/>
    <w:rsid w:val="001F0E25"/>
    <w:rsid w:val="001F73A8"/>
    <w:rsid w:val="001F7584"/>
    <w:rsid w:val="0020166A"/>
    <w:rsid w:val="002022AF"/>
    <w:rsid w:val="00203919"/>
    <w:rsid w:val="002049BE"/>
    <w:rsid w:val="00204A0D"/>
    <w:rsid w:val="00207DA7"/>
    <w:rsid w:val="00207F1A"/>
    <w:rsid w:val="002130C9"/>
    <w:rsid w:val="00221E94"/>
    <w:rsid w:val="00222A6B"/>
    <w:rsid w:val="00223E49"/>
    <w:rsid w:val="00224376"/>
    <w:rsid w:val="002267D9"/>
    <w:rsid w:val="00226DDD"/>
    <w:rsid w:val="00227CBE"/>
    <w:rsid w:val="00230999"/>
    <w:rsid w:val="002311B1"/>
    <w:rsid w:val="00231BEF"/>
    <w:rsid w:val="002320CB"/>
    <w:rsid w:val="00240AFB"/>
    <w:rsid w:val="00252407"/>
    <w:rsid w:val="0025319D"/>
    <w:rsid w:val="00253D2E"/>
    <w:rsid w:val="00255EE4"/>
    <w:rsid w:val="00260E60"/>
    <w:rsid w:val="00261245"/>
    <w:rsid w:val="0026436C"/>
    <w:rsid w:val="00270D60"/>
    <w:rsid w:val="002750AC"/>
    <w:rsid w:val="002751FE"/>
    <w:rsid w:val="00276CAD"/>
    <w:rsid w:val="00280B8E"/>
    <w:rsid w:val="00287D82"/>
    <w:rsid w:val="002911EA"/>
    <w:rsid w:val="00291A64"/>
    <w:rsid w:val="00295A54"/>
    <w:rsid w:val="00295DD8"/>
    <w:rsid w:val="00297C29"/>
    <w:rsid w:val="00297EAA"/>
    <w:rsid w:val="002A0E3A"/>
    <w:rsid w:val="002A35EF"/>
    <w:rsid w:val="002A46D0"/>
    <w:rsid w:val="002A6523"/>
    <w:rsid w:val="002A6A01"/>
    <w:rsid w:val="002A71F6"/>
    <w:rsid w:val="002A7917"/>
    <w:rsid w:val="002B2317"/>
    <w:rsid w:val="002B4E6E"/>
    <w:rsid w:val="002C0573"/>
    <w:rsid w:val="002C1696"/>
    <w:rsid w:val="002C48EB"/>
    <w:rsid w:val="002C6E2C"/>
    <w:rsid w:val="002C7AAD"/>
    <w:rsid w:val="002E687D"/>
    <w:rsid w:val="002E6995"/>
    <w:rsid w:val="002E6CBD"/>
    <w:rsid w:val="002F241D"/>
    <w:rsid w:val="002F2CB7"/>
    <w:rsid w:val="003014DD"/>
    <w:rsid w:val="003019FA"/>
    <w:rsid w:val="003065B0"/>
    <w:rsid w:val="003079DE"/>
    <w:rsid w:val="00310AC9"/>
    <w:rsid w:val="00310B20"/>
    <w:rsid w:val="003116FB"/>
    <w:rsid w:val="00311B75"/>
    <w:rsid w:val="00311F42"/>
    <w:rsid w:val="00317928"/>
    <w:rsid w:val="00317C39"/>
    <w:rsid w:val="00331722"/>
    <w:rsid w:val="00332CB2"/>
    <w:rsid w:val="003331CF"/>
    <w:rsid w:val="00335D24"/>
    <w:rsid w:val="00336298"/>
    <w:rsid w:val="0034180A"/>
    <w:rsid w:val="0034461B"/>
    <w:rsid w:val="0034465F"/>
    <w:rsid w:val="0034520C"/>
    <w:rsid w:val="00346C9F"/>
    <w:rsid w:val="00351DD3"/>
    <w:rsid w:val="00351FEF"/>
    <w:rsid w:val="00354B76"/>
    <w:rsid w:val="00356F45"/>
    <w:rsid w:val="00357BA9"/>
    <w:rsid w:val="0036110A"/>
    <w:rsid w:val="00361B3F"/>
    <w:rsid w:val="00361D81"/>
    <w:rsid w:val="0036420E"/>
    <w:rsid w:val="00364AD4"/>
    <w:rsid w:val="00372FED"/>
    <w:rsid w:val="00376E53"/>
    <w:rsid w:val="00381262"/>
    <w:rsid w:val="00381277"/>
    <w:rsid w:val="00383567"/>
    <w:rsid w:val="00383A93"/>
    <w:rsid w:val="00385231"/>
    <w:rsid w:val="00390772"/>
    <w:rsid w:val="00392556"/>
    <w:rsid w:val="00394753"/>
    <w:rsid w:val="003A2712"/>
    <w:rsid w:val="003A36E2"/>
    <w:rsid w:val="003A3EB7"/>
    <w:rsid w:val="003B0DFF"/>
    <w:rsid w:val="003B234D"/>
    <w:rsid w:val="003B7D2B"/>
    <w:rsid w:val="003C1452"/>
    <w:rsid w:val="003C4419"/>
    <w:rsid w:val="003C78C6"/>
    <w:rsid w:val="003D0C44"/>
    <w:rsid w:val="003D2F38"/>
    <w:rsid w:val="003D3884"/>
    <w:rsid w:val="003D7A70"/>
    <w:rsid w:val="003E0341"/>
    <w:rsid w:val="003E0FD4"/>
    <w:rsid w:val="003E30C8"/>
    <w:rsid w:val="003E40C9"/>
    <w:rsid w:val="003E410A"/>
    <w:rsid w:val="003F16A0"/>
    <w:rsid w:val="003F302F"/>
    <w:rsid w:val="00402007"/>
    <w:rsid w:val="00404863"/>
    <w:rsid w:val="00404C14"/>
    <w:rsid w:val="0040602A"/>
    <w:rsid w:val="00412047"/>
    <w:rsid w:val="00412094"/>
    <w:rsid w:val="00413B2E"/>
    <w:rsid w:val="00414798"/>
    <w:rsid w:val="00421A42"/>
    <w:rsid w:val="004231C7"/>
    <w:rsid w:val="004249C4"/>
    <w:rsid w:val="004254BF"/>
    <w:rsid w:val="00432365"/>
    <w:rsid w:val="0043485A"/>
    <w:rsid w:val="004363C5"/>
    <w:rsid w:val="00436A9A"/>
    <w:rsid w:val="00436B46"/>
    <w:rsid w:val="00441CEA"/>
    <w:rsid w:val="00442FB1"/>
    <w:rsid w:val="004438E7"/>
    <w:rsid w:val="004441FE"/>
    <w:rsid w:val="004446D5"/>
    <w:rsid w:val="00444B20"/>
    <w:rsid w:val="00445DA8"/>
    <w:rsid w:val="00450413"/>
    <w:rsid w:val="0045426A"/>
    <w:rsid w:val="00455426"/>
    <w:rsid w:val="00455D22"/>
    <w:rsid w:val="0045602B"/>
    <w:rsid w:val="00456A38"/>
    <w:rsid w:val="00457725"/>
    <w:rsid w:val="004630AF"/>
    <w:rsid w:val="00465185"/>
    <w:rsid w:val="00466893"/>
    <w:rsid w:val="00467B9D"/>
    <w:rsid w:val="004759F9"/>
    <w:rsid w:val="004815D3"/>
    <w:rsid w:val="004857FE"/>
    <w:rsid w:val="00485BD1"/>
    <w:rsid w:val="0048793B"/>
    <w:rsid w:val="00490870"/>
    <w:rsid w:val="004931F5"/>
    <w:rsid w:val="004942D9"/>
    <w:rsid w:val="0049438A"/>
    <w:rsid w:val="00494CC6"/>
    <w:rsid w:val="004950B0"/>
    <w:rsid w:val="004A29FB"/>
    <w:rsid w:val="004A3005"/>
    <w:rsid w:val="004A3F13"/>
    <w:rsid w:val="004B5627"/>
    <w:rsid w:val="004C1F84"/>
    <w:rsid w:val="004C45E5"/>
    <w:rsid w:val="004C7B7D"/>
    <w:rsid w:val="004D15F1"/>
    <w:rsid w:val="004D46C8"/>
    <w:rsid w:val="004E72A4"/>
    <w:rsid w:val="004E7B0F"/>
    <w:rsid w:val="004F20A7"/>
    <w:rsid w:val="004F2FCF"/>
    <w:rsid w:val="004F5EFC"/>
    <w:rsid w:val="00502CEF"/>
    <w:rsid w:val="00504036"/>
    <w:rsid w:val="00505C6E"/>
    <w:rsid w:val="00507A78"/>
    <w:rsid w:val="005113FB"/>
    <w:rsid w:val="00513589"/>
    <w:rsid w:val="00514BA1"/>
    <w:rsid w:val="005167CF"/>
    <w:rsid w:val="00516E49"/>
    <w:rsid w:val="005224D4"/>
    <w:rsid w:val="00524517"/>
    <w:rsid w:val="00525103"/>
    <w:rsid w:val="00525615"/>
    <w:rsid w:val="0052594C"/>
    <w:rsid w:val="00525EA0"/>
    <w:rsid w:val="00526056"/>
    <w:rsid w:val="00530F08"/>
    <w:rsid w:val="005322A5"/>
    <w:rsid w:val="00533FF6"/>
    <w:rsid w:val="005358A1"/>
    <w:rsid w:val="00536419"/>
    <w:rsid w:val="00537C7F"/>
    <w:rsid w:val="005457E9"/>
    <w:rsid w:val="00545F8E"/>
    <w:rsid w:val="00546534"/>
    <w:rsid w:val="00547AE4"/>
    <w:rsid w:val="00547F05"/>
    <w:rsid w:val="00552118"/>
    <w:rsid w:val="00553657"/>
    <w:rsid w:val="00553B78"/>
    <w:rsid w:val="005540A0"/>
    <w:rsid w:val="00554E79"/>
    <w:rsid w:val="0055514C"/>
    <w:rsid w:val="00555BE7"/>
    <w:rsid w:val="005567A7"/>
    <w:rsid w:val="005643DE"/>
    <w:rsid w:val="00567CE4"/>
    <w:rsid w:val="00570702"/>
    <w:rsid w:val="00573259"/>
    <w:rsid w:val="0058057B"/>
    <w:rsid w:val="0058473D"/>
    <w:rsid w:val="00585491"/>
    <w:rsid w:val="00586BDE"/>
    <w:rsid w:val="0059475B"/>
    <w:rsid w:val="00596385"/>
    <w:rsid w:val="005975EC"/>
    <w:rsid w:val="005A5D3D"/>
    <w:rsid w:val="005A5D8F"/>
    <w:rsid w:val="005A610C"/>
    <w:rsid w:val="005B7728"/>
    <w:rsid w:val="005C0969"/>
    <w:rsid w:val="005C20C3"/>
    <w:rsid w:val="005C2CCA"/>
    <w:rsid w:val="005C450C"/>
    <w:rsid w:val="005C5B38"/>
    <w:rsid w:val="005C73B8"/>
    <w:rsid w:val="005C78FE"/>
    <w:rsid w:val="005D7DF5"/>
    <w:rsid w:val="005D7EFE"/>
    <w:rsid w:val="005E2570"/>
    <w:rsid w:val="005E3B0C"/>
    <w:rsid w:val="005E3B3A"/>
    <w:rsid w:val="005E5B06"/>
    <w:rsid w:val="005E604E"/>
    <w:rsid w:val="005E64DF"/>
    <w:rsid w:val="005E79E9"/>
    <w:rsid w:val="005F0194"/>
    <w:rsid w:val="005F01EF"/>
    <w:rsid w:val="005F0A83"/>
    <w:rsid w:val="005F2F15"/>
    <w:rsid w:val="005F4352"/>
    <w:rsid w:val="005F453D"/>
    <w:rsid w:val="005F509F"/>
    <w:rsid w:val="005F5722"/>
    <w:rsid w:val="005F599D"/>
    <w:rsid w:val="005F6C1D"/>
    <w:rsid w:val="006009CA"/>
    <w:rsid w:val="00606141"/>
    <w:rsid w:val="00612332"/>
    <w:rsid w:val="0061256B"/>
    <w:rsid w:val="006178F4"/>
    <w:rsid w:val="0062001B"/>
    <w:rsid w:val="00625D7F"/>
    <w:rsid w:val="00625FE0"/>
    <w:rsid w:val="006274CC"/>
    <w:rsid w:val="00627550"/>
    <w:rsid w:val="0063041D"/>
    <w:rsid w:val="00637888"/>
    <w:rsid w:val="00641699"/>
    <w:rsid w:val="00647C2C"/>
    <w:rsid w:val="006576BD"/>
    <w:rsid w:val="006615B6"/>
    <w:rsid w:val="006631DA"/>
    <w:rsid w:val="00663547"/>
    <w:rsid w:val="006636C4"/>
    <w:rsid w:val="00663FE3"/>
    <w:rsid w:val="0066467D"/>
    <w:rsid w:val="00666393"/>
    <w:rsid w:val="00670289"/>
    <w:rsid w:val="00690EB7"/>
    <w:rsid w:val="00692834"/>
    <w:rsid w:val="006949D4"/>
    <w:rsid w:val="00694B00"/>
    <w:rsid w:val="00695482"/>
    <w:rsid w:val="00697093"/>
    <w:rsid w:val="006A4907"/>
    <w:rsid w:val="006A7293"/>
    <w:rsid w:val="006A7696"/>
    <w:rsid w:val="006B1609"/>
    <w:rsid w:val="006B4F26"/>
    <w:rsid w:val="006B4FC0"/>
    <w:rsid w:val="006B5D91"/>
    <w:rsid w:val="006B799F"/>
    <w:rsid w:val="006B79DE"/>
    <w:rsid w:val="006C01B6"/>
    <w:rsid w:val="006C33D2"/>
    <w:rsid w:val="006C408D"/>
    <w:rsid w:val="006C7AE1"/>
    <w:rsid w:val="006D08D7"/>
    <w:rsid w:val="006D1E5B"/>
    <w:rsid w:val="006D29A4"/>
    <w:rsid w:val="006D3227"/>
    <w:rsid w:val="006E08C4"/>
    <w:rsid w:val="006E0BC6"/>
    <w:rsid w:val="006E3646"/>
    <w:rsid w:val="006E66B9"/>
    <w:rsid w:val="006F1314"/>
    <w:rsid w:val="006F5A2D"/>
    <w:rsid w:val="00702AB8"/>
    <w:rsid w:val="007070FC"/>
    <w:rsid w:val="00714BC2"/>
    <w:rsid w:val="0071637A"/>
    <w:rsid w:val="00720A97"/>
    <w:rsid w:val="00725AE7"/>
    <w:rsid w:val="0073003D"/>
    <w:rsid w:val="007319A5"/>
    <w:rsid w:val="00731EF7"/>
    <w:rsid w:val="0073230A"/>
    <w:rsid w:val="00732EC0"/>
    <w:rsid w:val="007333A6"/>
    <w:rsid w:val="0073340E"/>
    <w:rsid w:val="0073510F"/>
    <w:rsid w:val="007359C8"/>
    <w:rsid w:val="00735A8D"/>
    <w:rsid w:val="00736039"/>
    <w:rsid w:val="007447E0"/>
    <w:rsid w:val="00745A78"/>
    <w:rsid w:val="00746936"/>
    <w:rsid w:val="00752A07"/>
    <w:rsid w:val="00753BCF"/>
    <w:rsid w:val="00755C75"/>
    <w:rsid w:val="00763F87"/>
    <w:rsid w:val="00764C10"/>
    <w:rsid w:val="00764DA2"/>
    <w:rsid w:val="0076792A"/>
    <w:rsid w:val="00770567"/>
    <w:rsid w:val="00773190"/>
    <w:rsid w:val="00773655"/>
    <w:rsid w:val="00774271"/>
    <w:rsid w:val="00775889"/>
    <w:rsid w:val="00781775"/>
    <w:rsid w:val="00783A53"/>
    <w:rsid w:val="007842A3"/>
    <w:rsid w:val="00785592"/>
    <w:rsid w:val="00786358"/>
    <w:rsid w:val="007926A6"/>
    <w:rsid w:val="007928B2"/>
    <w:rsid w:val="00793E1E"/>
    <w:rsid w:val="007970AA"/>
    <w:rsid w:val="00797513"/>
    <w:rsid w:val="007A03FE"/>
    <w:rsid w:val="007A286F"/>
    <w:rsid w:val="007A2A06"/>
    <w:rsid w:val="007A3B5D"/>
    <w:rsid w:val="007A49C5"/>
    <w:rsid w:val="007A62B7"/>
    <w:rsid w:val="007A73A6"/>
    <w:rsid w:val="007A7D0D"/>
    <w:rsid w:val="007B011B"/>
    <w:rsid w:val="007B2649"/>
    <w:rsid w:val="007C1917"/>
    <w:rsid w:val="007C2EBA"/>
    <w:rsid w:val="007C4C5C"/>
    <w:rsid w:val="007C60B0"/>
    <w:rsid w:val="007D5055"/>
    <w:rsid w:val="007E1CE1"/>
    <w:rsid w:val="007E1CE9"/>
    <w:rsid w:val="007E303C"/>
    <w:rsid w:val="007E3DD8"/>
    <w:rsid w:val="007E5B62"/>
    <w:rsid w:val="007F11F9"/>
    <w:rsid w:val="007F2C76"/>
    <w:rsid w:val="007F37F0"/>
    <w:rsid w:val="007F5086"/>
    <w:rsid w:val="008035D5"/>
    <w:rsid w:val="00805291"/>
    <w:rsid w:val="008221BE"/>
    <w:rsid w:val="00832A97"/>
    <w:rsid w:val="00833B36"/>
    <w:rsid w:val="00834563"/>
    <w:rsid w:val="00835391"/>
    <w:rsid w:val="00841E4D"/>
    <w:rsid w:val="00842C71"/>
    <w:rsid w:val="00845B85"/>
    <w:rsid w:val="00847C44"/>
    <w:rsid w:val="0086098F"/>
    <w:rsid w:val="00861C5D"/>
    <w:rsid w:val="008629F3"/>
    <w:rsid w:val="00866ED0"/>
    <w:rsid w:val="008673D2"/>
    <w:rsid w:val="00867611"/>
    <w:rsid w:val="00867A6B"/>
    <w:rsid w:val="0087125A"/>
    <w:rsid w:val="00876420"/>
    <w:rsid w:val="008769C6"/>
    <w:rsid w:val="00884CDF"/>
    <w:rsid w:val="00885405"/>
    <w:rsid w:val="0088718A"/>
    <w:rsid w:val="00890A73"/>
    <w:rsid w:val="008934FE"/>
    <w:rsid w:val="00893FDF"/>
    <w:rsid w:val="00895057"/>
    <w:rsid w:val="0089681A"/>
    <w:rsid w:val="008A164E"/>
    <w:rsid w:val="008A461F"/>
    <w:rsid w:val="008A5376"/>
    <w:rsid w:val="008B16E5"/>
    <w:rsid w:val="008B7BC1"/>
    <w:rsid w:val="008C10CA"/>
    <w:rsid w:val="008C280B"/>
    <w:rsid w:val="008C2D66"/>
    <w:rsid w:val="008C63CE"/>
    <w:rsid w:val="008C6666"/>
    <w:rsid w:val="008D0361"/>
    <w:rsid w:val="008D3496"/>
    <w:rsid w:val="008D62AF"/>
    <w:rsid w:val="008E3D31"/>
    <w:rsid w:val="008E5BE3"/>
    <w:rsid w:val="008E6C57"/>
    <w:rsid w:val="008F6FAE"/>
    <w:rsid w:val="008F7935"/>
    <w:rsid w:val="009008BC"/>
    <w:rsid w:val="00907343"/>
    <w:rsid w:val="00910A7D"/>
    <w:rsid w:val="0091164E"/>
    <w:rsid w:val="0091462C"/>
    <w:rsid w:val="00914A81"/>
    <w:rsid w:val="00915DA6"/>
    <w:rsid w:val="00915ED0"/>
    <w:rsid w:val="00920F52"/>
    <w:rsid w:val="00921790"/>
    <w:rsid w:val="009221DE"/>
    <w:rsid w:val="00925826"/>
    <w:rsid w:val="00927CFD"/>
    <w:rsid w:val="00930649"/>
    <w:rsid w:val="00930D84"/>
    <w:rsid w:val="00931E1D"/>
    <w:rsid w:val="00932EC8"/>
    <w:rsid w:val="0093583B"/>
    <w:rsid w:val="009363E4"/>
    <w:rsid w:val="00936BA3"/>
    <w:rsid w:val="0094006B"/>
    <w:rsid w:val="0094209A"/>
    <w:rsid w:val="009443BB"/>
    <w:rsid w:val="00951D67"/>
    <w:rsid w:val="00952157"/>
    <w:rsid w:val="009535D2"/>
    <w:rsid w:val="00954862"/>
    <w:rsid w:val="00954D58"/>
    <w:rsid w:val="00963BD1"/>
    <w:rsid w:val="009676E0"/>
    <w:rsid w:val="00971A67"/>
    <w:rsid w:val="0098001C"/>
    <w:rsid w:val="00980DA3"/>
    <w:rsid w:val="00982A8A"/>
    <w:rsid w:val="009838CC"/>
    <w:rsid w:val="0098469B"/>
    <w:rsid w:val="0098670D"/>
    <w:rsid w:val="009952FF"/>
    <w:rsid w:val="00995AB6"/>
    <w:rsid w:val="0099697D"/>
    <w:rsid w:val="00996EC9"/>
    <w:rsid w:val="009A28C5"/>
    <w:rsid w:val="009A7D3F"/>
    <w:rsid w:val="009A7FFE"/>
    <w:rsid w:val="009B022C"/>
    <w:rsid w:val="009B02E4"/>
    <w:rsid w:val="009B09EF"/>
    <w:rsid w:val="009B2B86"/>
    <w:rsid w:val="009B36E2"/>
    <w:rsid w:val="009B3712"/>
    <w:rsid w:val="009B3749"/>
    <w:rsid w:val="009B48F5"/>
    <w:rsid w:val="009B624F"/>
    <w:rsid w:val="009C1736"/>
    <w:rsid w:val="009C2AE2"/>
    <w:rsid w:val="009C33D0"/>
    <w:rsid w:val="009C46A1"/>
    <w:rsid w:val="009C46E8"/>
    <w:rsid w:val="009C4DDF"/>
    <w:rsid w:val="009C6FB2"/>
    <w:rsid w:val="009D1AF3"/>
    <w:rsid w:val="009D282A"/>
    <w:rsid w:val="009D70B4"/>
    <w:rsid w:val="009D768E"/>
    <w:rsid w:val="009E27F3"/>
    <w:rsid w:val="009E4065"/>
    <w:rsid w:val="009F6976"/>
    <w:rsid w:val="009F7C64"/>
    <w:rsid w:val="00A010CB"/>
    <w:rsid w:val="00A05BDE"/>
    <w:rsid w:val="00A1119E"/>
    <w:rsid w:val="00A12751"/>
    <w:rsid w:val="00A13DCD"/>
    <w:rsid w:val="00A13E0A"/>
    <w:rsid w:val="00A2039A"/>
    <w:rsid w:val="00A218E4"/>
    <w:rsid w:val="00A23030"/>
    <w:rsid w:val="00A2328C"/>
    <w:rsid w:val="00A325C1"/>
    <w:rsid w:val="00A328C4"/>
    <w:rsid w:val="00A3697E"/>
    <w:rsid w:val="00A4075E"/>
    <w:rsid w:val="00A41967"/>
    <w:rsid w:val="00A445BF"/>
    <w:rsid w:val="00A5311E"/>
    <w:rsid w:val="00A53EC8"/>
    <w:rsid w:val="00A53F4C"/>
    <w:rsid w:val="00A55D0D"/>
    <w:rsid w:val="00A5655E"/>
    <w:rsid w:val="00A57E22"/>
    <w:rsid w:val="00A61703"/>
    <w:rsid w:val="00A6280F"/>
    <w:rsid w:val="00A639D1"/>
    <w:rsid w:val="00A754C6"/>
    <w:rsid w:val="00A7650C"/>
    <w:rsid w:val="00A83CF5"/>
    <w:rsid w:val="00A85E27"/>
    <w:rsid w:val="00A87339"/>
    <w:rsid w:val="00A91048"/>
    <w:rsid w:val="00A9135E"/>
    <w:rsid w:val="00A93B41"/>
    <w:rsid w:val="00A93E63"/>
    <w:rsid w:val="00AA5DBD"/>
    <w:rsid w:val="00AA5E2B"/>
    <w:rsid w:val="00AB3875"/>
    <w:rsid w:val="00AC2FB3"/>
    <w:rsid w:val="00AC3F3F"/>
    <w:rsid w:val="00AC4854"/>
    <w:rsid w:val="00AC4F06"/>
    <w:rsid w:val="00AD35F5"/>
    <w:rsid w:val="00AD38CE"/>
    <w:rsid w:val="00AE5B20"/>
    <w:rsid w:val="00AE76FB"/>
    <w:rsid w:val="00B00155"/>
    <w:rsid w:val="00B0058B"/>
    <w:rsid w:val="00B067D8"/>
    <w:rsid w:val="00B07ED3"/>
    <w:rsid w:val="00B07FCE"/>
    <w:rsid w:val="00B13BCB"/>
    <w:rsid w:val="00B14357"/>
    <w:rsid w:val="00B15F4E"/>
    <w:rsid w:val="00B20022"/>
    <w:rsid w:val="00B20A40"/>
    <w:rsid w:val="00B21318"/>
    <w:rsid w:val="00B242D7"/>
    <w:rsid w:val="00B3129C"/>
    <w:rsid w:val="00B31A8E"/>
    <w:rsid w:val="00B31CA5"/>
    <w:rsid w:val="00B31F1E"/>
    <w:rsid w:val="00B334DA"/>
    <w:rsid w:val="00B34D3B"/>
    <w:rsid w:val="00B35C22"/>
    <w:rsid w:val="00B41DDB"/>
    <w:rsid w:val="00B41F22"/>
    <w:rsid w:val="00B4428A"/>
    <w:rsid w:val="00B45BBD"/>
    <w:rsid w:val="00B45BD6"/>
    <w:rsid w:val="00B47AA5"/>
    <w:rsid w:val="00B50B55"/>
    <w:rsid w:val="00B520D3"/>
    <w:rsid w:val="00B5403B"/>
    <w:rsid w:val="00B54044"/>
    <w:rsid w:val="00B5549A"/>
    <w:rsid w:val="00B6352C"/>
    <w:rsid w:val="00B7038A"/>
    <w:rsid w:val="00B70A75"/>
    <w:rsid w:val="00B740FC"/>
    <w:rsid w:val="00B77580"/>
    <w:rsid w:val="00B80FD6"/>
    <w:rsid w:val="00B875B0"/>
    <w:rsid w:val="00B93918"/>
    <w:rsid w:val="00B94103"/>
    <w:rsid w:val="00B944FD"/>
    <w:rsid w:val="00BA4D68"/>
    <w:rsid w:val="00BA4F6A"/>
    <w:rsid w:val="00BB2AAA"/>
    <w:rsid w:val="00BB4CC6"/>
    <w:rsid w:val="00BB64D0"/>
    <w:rsid w:val="00BC198A"/>
    <w:rsid w:val="00BC215B"/>
    <w:rsid w:val="00BC50D6"/>
    <w:rsid w:val="00BC7393"/>
    <w:rsid w:val="00BD0DE7"/>
    <w:rsid w:val="00BD236B"/>
    <w:rsid w:val="00BE00D3"/>
    <w:rsid w:val="00BE1E2B"/>
    <w:rsid w:val="00BE34D2"/>
    <w:rsid w:val="00BE5707"/>
    <w:rsid w:val="00BE738F"/>
    <w:rsid w:val="00BF28FD"/>
    <w:rsid w:val="00BF3AD4"/>
    <w:rsid w:val="00BF3F12"/>
    <w:rsid w:val="00C00EE9"/>
    <w:rsid w:val="00C02D3B"/>
    <w:rsid w:val="00C047F3"/>
    <w:rsid w:val="00C13A94"/>
    <w:rsid w:val="00C15137"/>
    <w:rsid w:val="00C15A52"/>
    <w:rsid w:val="00C16B7F"/>
    <w:rsid w:val="00C24922"/>
    <w:rsid w:val="00C257E5"/>
    <w:rsid w:val="00C262A9"/>
    <w:rsid w:val="00C304ED"/>
    <w:rsid w:val="00C31259"/>
    <w:rsid w:val="00C32874"/>
    <w:rsid w:val="00C35793"/>
    <w:rsid w:val="00C406BE"/>
    <w:rsid w:val="00C40A87"/>
    <w:rsid w:val="00C40C82"/>
    <w:rsid w:val="00C41790"/>
    <w:rsid w:val="00C425B4"/>
    <w:rsid w:val="00C47904"/>
    <w:rsid w:val="00C5152A"/>
    <w:rsid w:val="00C529F4"/>
    <w:rsid w:val="00C52A28"/>
    <w:rsid w:val="00C56020"/>
    <w:rsid w:val="00C63EC0"/>
    <w:rsid w:val="00C6732A"/>
    <w:rsid w:val="00C71388"/>
    <w:rsid w:val="00C73124"/>
    <w:rsid w:val="00C82152"/>
    <w:rsid w:val="00C86172"/>
    <w:rsid w:val="00C90AA6"/>
    <w:rsid w:val="00C92300"/>
    <w:rsid w:val="00C95F7C"/>
    <w:rsid w:val="00C96250"/>
    <w:rsid w:val="00C97834"/>
    <w:rsid w:val="00CA1F24"/>
    <w:rsid w:val="00CA6BDC"/>
    <w:rsid w:val="00CB056B"/>
    <w:rsid w:val="00CB4D17"/>
    <w:rsid w:val="00CB5CE9"/>
    <w:rsid w:val="00CB750B"/>
    <w:rsid w:val="00CB76AA"/>
    <w:rsid w:val="00CB7E0B"/>
    <w:rsid w:val="00CC03D5"/>
    <w:rsid w:val="00CC0C96"/>
    <w:rsid w:val="00CD03F7"/>
    <w:rsid w:val="00CD0591"/>
    <w:rsid w:val="00CD0818"/>
    <w:rsid w:val="00CD447F"/>
    <w:rsid w:val="00CD4C04"/>
    <w:rsid w:val="00CE0E07"/>
    <w:rsid w:val="00CF0813"/>
    <w:rsid w:val="00CF3941"/>
    <w:rsid w:val="00CF4B7F"/>
    <w:rsid w:val="00D02429"/>
    <w:rsid w:val="00D1303A"/>
    <w:rsid w:val="00D21F35"/>
    <w:rsid w:val="00D236AD"/>
    <w:rsid w:val="00D27D06"/>
    <w:rsid w:val="00D27F73"/>
    <w:rsid w:val="00D30696"/>
    <w:rsid w:val="00D3212F"/>
    <w:rsid w:val="00D32DC8"/>
    <w:rsid w:val="00D3605A"/>
    <w:rsid w:val="00D44CD8"/>
    <w:rsid w:val="00D455F0"/>
    <w:rsid w:val="00D47435"/>
    <w:rsid w:val="00D47D06"/>
    <w:rsid w:val="00D522C9"/>
    <w:rsid w:val="00D54A8C"/>
    <w:rsid w:val="00D55152"/>
    <w:rsid w:val="00D56136"/>
    <w:rsid w:val="00D60CA1"/>
    <w:rsid w:val="00D65603"/>
    <w:rsid w:val="00D65A77"/>
    <w:rsid w:val="00D73BEE"/>
    <w:rsid w:val="00D83247"/>
    <w:rsid w:val="00D846E5"/>
    <w:rsid w:val="00D876E8"/>
    <w:rsid w:val="00D94C93"/>
    <w:rsid w:val="00DA370E"/>
    <w:rsid w:val="00DA371C"/>
    <w:rsid w:val="00DB00FD"/>
    <w:rsid w:val="00DB0BDD"/>
    <w:rsid w:val="00DB19F1"/>
    <w:rsid w:val="00DB1FED"/>
    <w:rsid w:val="00DB286F"/>
    <w:rsid w:val="00DB4D38"/>
    <w:rsid w:val="00DC4B65"/>
    <w:rsid w:val="00DC55F9"/>
    <w:rsid w:val="00DC6AAE"/>
    <w:rsid w:val="00DD2B93"/>
    <w:rsid w:val="00DD4FBD"/>
    <w:rsid w:val="00DE398C"/>
    <w:rsid w:val="00DE57FE"/>
    <w:rsid w:val="00DE6E28"/>
    <w:rsid w:val="00DF5458"/>
    <w:rsid w:val="00E0061E"/>
    <w:rsid w:val="00E00C7C"/>
    <w:rsid w:val="00E03081"/>
    <w:rsid w:val="00E04171"/>
    <w:rsid w:val="00E10187"/>
    <w:rsid w:val="00E14EC6"/>
    <w:rsid w:val="00E1755B"/>
    <w:rsid w:val="00E17766"/>
    <w:rsid w:val="00E20B8B"/>
    <w:rsid w:val="00E23394"/>
    <w:rsid w:val="00E25C89"/>
    <w:rsid w:val="00E3094B"/>
    <w:rsid w:val="00E32144"/>
    <w:rsid w:val="00E3349B"/>
    <w:rsid w:val="00E36C6F"/>
    <w:rsid w:val="00E36DB6"/>
    <w:rsid w:val="00E37FD5"/>
    <w:rsid w:val="00E40F4A"/>
    <w:rsid w:val="00E4313A"/>
    <w:rsid w:val="00E525EB"/>
    <w:rsid w:val="00E539F2"/>
    <w:rsid w:val="00E54C7F"/>
    <w:rsid w:val="00E559FD"/>
    <w:rsid w:val="00E5676A"/>
    <w:rsid w:val="00E57D85"/>
    <w:rsid w:val="00E61506"/>
    <w:rsid w:val="00E62C58"/>
    <w:rsid w:val="00E6311E"/>
    <w:rsid w:val="00E6342D"/>
    <w:rsid w:val="00E66B3F"/>
    <w:rsid w:val="00E67021"/>
    <w:rsid w:val="00E70E0E"/>
    <w:rsid w:val="00E70E16"/>
    <w:rsid w:val="00E758C2"/>
    <w:rsid w:val="00E80037"/>
    <w:rsid w:val="00E83403"/>
    <w:rsid w:val="00E86A4A"/>
    <w:rsid w:val="00E912F5"/>
    <w:rsid w:val="00E916A5"/>
    <w:rsid w:val="00E921C3"/>
    <w:rsid w:val="00E93C86"/>
    <w:rsid w:val="00E94B5B"/>
    <w:rsid w:val="00E961F9"/>
    <w:rsid w:val="00EA09FA"/>
    <w:rsid w:val="00EA38FF"/>
    <w:rsid w:val="00EB0AC5"/>
    <w:rsid w:val="00EB1AA8"/>
    <w:rsid w:val="00EB475B"/>
    <w:rsid w:val="00EC13DC"/>
    <w:rsid w:val="00EC6E1F"/>
    <w:rsid w:val="00EC7884"/>
    <w:rsid w:val="00EC7D5F"/>
    <w:rsid w:val="00ED02DC"/>
    <w:rsid w:val="00EE1F54"/>
    <w:rsid w:val="00EE26AB"/>
    <w:rsid w:val="00EE2D79"/>
    <w:rsid w:val="00EE3E93"/>
    <w:rsid w:val="00EE622D"/>
    <w:rsid w:val="00EF2FAD"/>
    <w:rsid w:val="00EF482E"/>
    <w:rsid w:val="00F008CF"/>
    <w:rsid w:val="00F0131A"/>
    <w:rsid w:val="00F0464C"/>
    <w:rsid w:val="00F04A9E"/>
    <w:rsid w:val="00F05698"/>
    <w:rsid w:val="00F07E5C"/>
    <w:rsid w:val="00F101DC"/>
    <w:rsid w:val="00F211EC"/>
    <w:rsid w:val="00F22FCB"/>
    <w:rsid w:val="00F23488"/>
    <w:rsid w:val="00F23BD5"/>
    <w:rsid w:val="00F26E56"/>
    <w:rsid w:val="00F272BC"/>
    <w:rsid w:val="00F274CF"/>
    <w:rsid w:val="00F307F5"/>
    <w:rsid w:val="00F32E26"/>
    <w:rsid w:val="00F33D72"/>
    <w:rsid w:val="00F35DFD"/>
    <w:rsid w:val="00F361FD"/>
    <w:rsid w:val="00F4244A"/>
    <w:rsid w:val="00F430BC"/>
    <w:rsid w:val="00F465F9"/>
    <w:rsid w:val="00F50B1F"/>
    <w:rsid w:val="00F53793"/>
    <w:rsid w:val="00F53969"/>
    <w:rsid w:val="00F54953"/>
    <w:rsid w:val="00F56001"/>
    <w:rsid w:val="00F604AD"/>
    <w:rsid w:val="00F7299F"/>
    <w:rsid w:val="00F75735"/>
    <w:rsid w:val="00F820E3"/>
    <w:rsid w:val="00F82E89"/>
    <w:rsid w:val="00F8306F"/>
    <w:rsid w:val="00F84049"/>
    <w:rsid w:val="00F84C19"/>
    <w:rsid w:val="00F85FE4"/>
    <w:rsid w:val="00F9039E"/>
    <w:rsid w:val="00F91A31"/>
    <w:rsid w:val="00F937FE"/>
    <w:rsid w:val="00F970F5"/>
    <w:rsid w:val="00FA01E3"/>
    <w:rsid w:val="00FA236D"/>
    <w:rsid w:val="00FA3C97"/>
    <w:rsid w:val="00FA5D72"/>
    <w:rsid w:val="00FA71E3"/>
    <w:rsid w:val="00FB3236"/>
    <w:rsid w:val="00FB6A73"/>
    <w:rsid w:val="00FB6EC1"/>
    <w:rsid w:val="00FD036B"/>
    <w:rsid w:val="00FD083D"/>
    <w:rsid w:val="00FD0E9E"/>
    <w:rsid w:val="00FD48AB"/>
    <w:rsid w:val="00FD5499"/>
    <w:rsid w:val="00FE4607"/>
    <w:rsid w:val="00FE5F6C"/>
    <w:rsid w:val="00FE746A"/>
    <w:rsid w:val="00FF0BB7"/>
    <w:rsid w:val="00FF3308"/>
    <w:rsid w:val="00FF58AA"/>
    <w:rsid w:val="00FF6394"/>
  </w:rsids>
  <m:mathPr>
    <m:mathFont m:val="Cambria Math"/>
    <m:brkBin m:val="before"/>
    <m:brkBinSub m:val="--"/>
    <m:smallFrac/>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41F7001"/>
  <w15:chartTrackingRefBased/>
  <w15:docId w15:val="{ADB501FE-9089-4F48-80B2-56372AF24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50413"/>
    <w:rPr>
      <w:lang w:val="en-AU"/>
    </w:rPr>
  </w:style>
  <w:style w:type="paragraph" w:styleId="Cmsor1">
    <w:name w:val="heading 1"/>
    <w:basedOn w:val="Norml"/>
    <w:next w:val="Norml"/>
    <w:qFormat/>
    <w:rsid w:val="00450413"/>
    <w:pPr>
      <w:keepNext/>
      <w:jc w:val="center"/>
      <w:outlineLvl w:val="0"/>
    </w:pPr>
    <w:rPr>
      <w:b/>
      <w:sz w:val="28"/>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450413"/>
    <w:pPr>
      <w:jc w:val="center"/>
    </w:pPr>
    <w:rPr>
      <w:b/>
      <w:sz w:val="24"/>
      <w:lang w:val="hu-HU"/>
    </w:rPr>
  </w:style>
  <w:style w:type="paragraph" w:styleId="Szvegtrzs2">
    <w:name w:val="Body Text 2"/>
    <w:basedOn w:val="Norml"/>
    <w:rsid w:val="00450413"/>
    <w:pPr>
      <w:jc w:val="both"/>
    </w:pPr>
    <w:rPr>
      <w:sz w:val="24"/>
      <w:lang w:val="hu-HU"/>
    </w:rPr>
  </w:style>
  <w:style w:type="paragraph" w:styleId="Buborkszveg">
    <w:name w:val="Balloon Text"/>
    <w:basedOn w:val="Norml"/>
    <w:semiHidden/>
    <w:rsid w:val="00FA01E3"/>
    <w:rPr>
      <w:rFonts w:ascii="Tahoma" w:hAnsi="Tahoma" w:cs="Tahoma"/>
      <w:sz w:val="16"/>
      <w:szCs w:val="16"/>
    </w:rPr>
  </w:style>
  <w:style w:type="character" w:styleId="Jegyzethivatkozs">
    <w:name w:val="annotation reference"/>
    <w:semiHidden/>
    <w:rsid w:val="00B07ED3"/>
    <w:rPr>
      <w:sz w:val="16"/>
      <w:szCs w:val="16"/>
    </w:rPr>
  </w:style>
  <w:style w:type="paragraph" w:styleId="Jegyzetszveg">
    <w:name w:val="annotation text"/>
    <w:basedOn w:val="Norml"/>
    <w:semiHidden/>
    <w:rsid w:val="00B07ED3"/>
  </w:style>
  <w:style w:type="paragraph" w:styleId="Megjegyzstrgya">
    <w:name w:val="annotation subject"/>
    <w:basedOn w:val="Jegyzetszveg"/>
    <w:next w:val="Jegyzetszveg"/>
    <w:semiHidden/>
    <w:rsid w:val="00B07ED3"/>
    <w:rPr>
      <w:b/>
      <w:bCs/>
    </w:rPr>
  </w:style>
  <w:style w:type="paragraph" w:styleId="Listaszerbekezds">
    <w:name w:val="List Paragraph"/>
    <w:basedOn w:val="Norml"/>
    <w:link w:val="ListaszerbekezdsChar"/>
    <w:uiPriority w:val="4"/>
    <w:qFormat/>
    <w:rsid w:val="00E94B5B"/>
    <w:pPr>
      <w:numPr>
        <w:numId w:val="3"/>
      </w:numPr>
      <w:spacing w:after="150" w:line="276" w:lineRule="auto"/>
      <w:contextualSpacing/>
      <w:jc w:val="both"/>
    </w:pPr>
    <w:rPr>
      <w:rFonts w:ascii="Trebuchet MS" w:eastAsia="Calibri" w:hAnsi="Trebuchet MS"/>
      <w:szCs w:val="22"/>
      <w:lang w:val="x-none" w:eastAsia="en-US"/>
    </w:rPr>
  </w:style>
  <w:style w:type="character" w:customStyle="1" w:styleId="ListaszerbekezdsChar">
    <w:name w:val="Listaszerű bekezdés Char"/>
    <w:link w:val="Listaszerbekezds"/>
    <w:uiPriority w:val="4"/>
    <w:rsid w:val="00E94B5B"/>
    <w:rPr>
      <w:rFonts w:ascii="Trebuchet MS" w:eastAsia="Calibri" w:hAnsi="Trebuchet MS" w:cs="Times New Roman"/>
      <w:szCs w:val="22"/>
      <w:lang w:eastAsia="en-US"/>
    </w:rPr>
  </w:style>
  <w:style w:type="paragraph" w:customStyle="1" w:styleId="Listaszerbekezds2szint">
    <w:name w:val="Listaszerű bekezdés 2. szint"/>
    <w:basedOn w:val="Listaszerbekezds"/>
    <w:uiPriority w:val="4"/>
    <w:qFormat/>
    <w:rsid w:val="00E94B5B"/>
    <w:pPr>
      <w:numPr>
        <w:ilvl w:val="1"/>
      </w:numPr>
      <w:tabs>
        <w:tab w:val="num" w:pos="360"/>
      </w:tabs>
    </w:pPr>
  </w:style>
  <w:style w:type="paragraph" w:customStyle="1" w:styleId="Listaszerbekezds3szint">
    <w:name w:val="Listaszerű bekezdés 3. szint"/>
    <w:basedOn w:val="Listaszerbekezds"/>
    <w:uiPriority w:val="4"/>
    <w:qFormat/>
    <w:rsid w:val="00E94B5B"/>
    <w:pPr>
      <w:numPr>
        <w:ilvl w:val="2"/>
      </w:numPr>
      <w:tabs>
        <w:tab w:val="num" w:pos="360"/>
      </w:tabs>
    </w:pPr>
  </w:style>
  <w:style w:type="paragraph" w:styleId="lfej">
    <w:name w:val="header"/>
    <w:basedOn w:val="Norml"/>
    <w:link w:val="lfejChar"/>
    <w:uiPriority w:val="99"/>
    <w:semiHidden/>
    <w:unhideWhenUsed/>
    <w:rsid w:val="000A76AF"/>
    <w:pPr>
      <w:tabs>
        <w:tab w:val="center" w:pos="4536"/>
        <w:tab w:val="right" w:pos="9072"/>
      </w:tabs>
    </w:pPr>
    <w:rPr>
      <w:lang w:eastAsia="x-none"/>
    </w:rPr>
  </w:style>
  <w:style w:type="character" w:customStyle="1" w:styleId="lfejChar">
    <w:name w:val="Élőfej Char"/>
    <w:link w:val="lfej"/>
    <w:uiPriority w:val="99"/>
    <w:semiHidden/>
    <w:rsid w:val="000A76AF"/>
    <w:rPr>
      <w:lang w:val="en-AU"/>
    </w:rPr>
  </w:style>
  <w:style w:type="paragraph" w:styleId="llb">
    <w:name w:val="footer"/>
    <w:basedOn w:val="Norml"/>
    <w:link w:val="llbChar"/>
    <w:uiPriority w:val="99"/>
    <w:unhideWhenUsed/>
    <w:rsid w:val="000A76AF"/>
    <w:pPr>
      <w:tabs>
        <w:tab w:val="center" w:pos="4536"/>
        <w:tab w:val="right" w:pos="9072"/>
      </w:tabs>
    </w:pPr>
    <w:rPr>
      <w:lang w:eastAsia="x-none"/>
    </w:rPr>
  </w:style>
  <w:style w:type="character" w:customStyle="1" w:styleId="llbChar">
    <w:name w:val="Élőláb Char"/>
    <w:link w:val="llb"/>
    <w:uiPriority w:val="99"/>
    <w:rsid w:val="000A76AF"/>
    <w:rPr>
      <w:lang w:val="en-AU"/>
    </w:rPr>
  </w:style>
  <w:style w:type="paragraph" w:styleId="Lbjegyzetszveg">
    <w:name w:val="footnote text"/>
    <w:basedOn w:val="Norml"/>
    <w:link w:val="LbjegyzetszvegChar"/>
    <w:uiPriority w:val="99"/>
    <w:semiHidden/>
    <w:unhideWhenUsed/>
    <w:rsid w:val="00D27D06"/>
    <w:rPr>
      <w:lang w:eastAsia="x-none"/>
    </w:rPr>
  </w:style>
  <w:style w:type="character" w:customStyle="1" w:styleId="LbjegyzetszvegChar">
    <w:name w:val="Lábjegyzetszöveg Char"/>
    <w:link w:val="Lbjegyzetszveg"/>
    <w:uiPriority w:val="99"/>
    <w:semiHidden/>
    <w:rsid w:val="00D27D06"/>
    <w:rPr>
      <w:lang w:val="en-AU"/>
    </w:rPr>
  </w:style>
  <w:style w:type="character" w:styleId="Lbjegyzet-hivatkozs">
    <w:name w:val="footnote reference"/>
    <w:uiPriority w:val="99"/>
    <w:semiHidden/>
    <w:unhideWhenUsed/>
    <w:rsid w:val="00D27D06"/>
    <w:rPr>
      <w:vertAlign w:val="superscript"/>
    </w:rPr>
  </w:style>
  <w:style w:type="character" w:styleId="Vgjegyzet-hivatkozs">
    <w:name w:val="endnote reference"/>
    <w:semiHidden/>
    <w:rsid w:val="0073340E"/>
    <w:rPr>
      <w:vertAlign w:val="superscript"/>
    </w:rPr>
  </w:style>
  <w:style w:type="numbering" w:customStyle="1" w:styleId="Style1">
    <w:name w:val="Style1"/>
    <w:uiPriority w:val="99"/>
    <w:rsid w:val="0073340E"/>
    <w:pPr>
      <w:numPr>
        <w:numId w:val="9"/>
      </w:numPr>
    </w:pPr>
  </w:style>
  <w:style w:type="paragraph" w:styleId="Vltozat">
    <w:name w:val="Revision"/>
    <w:hidden/>
    <w:uiPriority w:val="99"/>
    <w:semiHidden/>
    <w:rsid w:val="009E27F3"/>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C2AB8-E305-4F02-8D95-E3DFF05C5595}">
  <ds:schemaRefs>
    <ds:schemaRef ds:uri="http://schemas.openxmlformats.org/officeDocument/2006/bibliography"/>
  </ds:schemaRefs>
</ds:datastoreItem>
</file>

<file path=customXml/itemProps2.xml><?xml version="1.0" encoding="utf-8"?>
<ds:datastoreItem xmlns:ds="http://schemas.openxmlformats.org/officeDocument/2006/customXml" ds:itemID="{BE2B7491-08F6-470B-8B1F-5D437A746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1705</Words>
  <Characters>8463</Characters>
  <Application>Microsoft Office Word</Application>
  <DocSecurity>0</DocSecurity>
  <Lines>70</Lines>
  <Paragraphs>20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azonosító: L10</vt:lpstr>
      <vt:lpstr>MNB azonosító: L10</vt:lpstr>
    </vt:vector>
  </TitlesOfParts>
  <Company>Magyar Nemzeti Bank</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L10</dc:title>
  <dc:creator>Bodnár Katalin</dc:creator>
  <cp:lastModifiedBy>Juhász Katalin</cp:lastModifiedBy>
  <cp:revision>7</cp:revision>
  <cp:lastPrinted>2013-05-07T14:23:00Z</cp:lastPrinted>
  <dcterms:created xsi:type="dcterms:W3CDTF">2021-10-07T10:23:00Z</dcterms:created>
  <dcterms:modified xsi:type="dcterms:W3CDTF">2022-02-28T15:13:00Z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Application">
    <vt:lpwstr>Microsoft Azure Information Protection</vt:lpwstr>
  </property>
  <property fmtid="{D5CDD505-2E9C-101B-9397-08002B2CF9AE}" pid="3" name="MSIP_Label_b0d11092-50c9-4e74-84b5-b1af078dc3d0_Enabled">
    <vt:lpwstr>True</vt:lpwstr>
  </property>
  <property fmtid="{D5CDD505-2E9C-101B-9397-08002B2CF9AE}" pid="4" name="MSIP_Label_b0d11092-50c9-4e74-84b5-b1af078dc3d0_Extended_MSFT_Method">
    <vt:lpwstr>Automatic</vt:lpwstr>
  </property>
  <property fmtid="{D5CDD505-2E9C-101B-9397-08002B2CF9AE}" pid="5" name="MSIP_Label_b0d11092-50c9-4e74-84b5-b1af078dc3d0_Name">
    <vt:lpwstr>Protected</vt:lpwstr>
  </property>
  <property fmtid="{D5CDD505-2E9C-101B-9397-08002B2CF9AE}" pid="6" name="MSIP_Label_b0d11092-50c9-4e74-84b5-b1af078dc3d0_Owner">
    <vt:lpwstr>lanthert@mnb.hu</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SetDate">
    <vt:lpwstr>2019-01-24T15:46:42.7529783+01:00</vt:lpwstr>
  </property>
  <property fmtid="{D5CDD505-2E9C-101B-9397-08002B2CF9AE}" pid="9" name="MSIP_Label_b0d11092-50c9-4e74-84b5-b1af078dc3d0_SiteId">
    <vt:lpwstr>97c01ef8-0264-4eef-9c08-fb4a9ba1c0db</vt:lpwstr>
  </property>
  <property fmtid="{D5CDD505-2E9C-101B-9397-08002B2CF9AE}" pid="10" name="Sensitivity">
    <vt:lpwstr>Protected</vt:lpwstr>
  </property>
  <property fmtid="{D5CDD505-2E9C-101B-9397-08002B2CF9AE}" pid="11" name="Érvényességet beállító">
    <vt:lpwstr>gubeknei</vt:lpwstr>
  </property>
  <property fmtid="{D5CDD505-2E9C-101B-9397-08002B2CF9AE}" pid="12" name="Érvényességi idő">
    <vt:filetime>2024-03-20T07:25:01Z</vt:filetime>
  </property>
  <property fmtid="{D5CDD505-2E9C-101B-9397-08002B2CF9AE}" pid="13" name="Érvényességi idő első beállítása">
    <vt:filetime>2019-03-20T07:25:05Z</vt:filetime>
  </property>
</Properties>
</file>