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D96F6" w14:textId="77777777" w:rsidR="005F5F03" w:rsidRPr="000265A7" w:rsidRDefault="005F5F03">
      <w:pPr>
        <w:pStyle w:val="Cmsor4"/>
        <w:rPr>
          <w:rFonts w:ascii="Arial" w:hAnsi="Arial" w:cs="Arial"/>
          <w:b w:val="0"/>
          <w:bCs w:val="0"/>
          <w:sz w:val="20"/>
          <w:szCs w:val="20"/>
          <w:lang w:val="en-GB"/>
        </w:rPr>
      </w:pPr>
      <w:r w:rsidRPr="000265A7">
        <w:rPr>
          <w:rFonts w:ascii="Arial" w:hAnsi="Arial" w:cs="Arial"/>
          <w:b w:val="0"/>
          <w:bCs w:val="0"/>
          <w:sz w:val="20"/>
          <w:szCs w:val="20"/>
          <w:lang w:val="en-GB"/>
        </w:rPr>
        <w:t xml:space="preserve">MNB identification number: </w:t>
      </w:r>
      <w:r w:rsidRPr="000265A7">
        <w:rPr>
          <w:rFonts w:ascii="Arial" w:hAnsi="Arial" w:cs="Arial"/>
          <w:bCs w:val="0"/>
          <w:sz w:val="20"/>
          <w:szCs w:val="20"/>
          <w:lang w:val="en-GB"/>
        </w:rPr>
        <w:t>R24, R28</w:t>
      </w:r>
    </w:p>
    <w:p w14:paraId="45953030" w14:textId="77777777" w:rsidR="005F5F03" w:rsidRPr="000265A7" w:rsidRDefault="005F5F03">
      <w:pPr>
        <w:rPr>
          <w:rFonts w:ascii="Arial" w:hAnsi="Arial" w:cs="Arial"/>
          <w:lang w:val="en-GB"/>
        </w:rPr>
      </w:pPr>
    </w:p>
    <w:p w14:paraId="07666C98" w14:textId="77777777" w:rsidR="005F5F03" w:rsidRPr="000265A7" w:rsidRDefault="005F5F03">
      <w:pPr>
        <w:rPr>
          <w:rFonts w:ascii="Arial" w:hAnsi="Arial" w:cs="Arial"/>
          <w:lang w:val="en-GB"/>
        </w:rPr>
      </w:pPr>
    </w:p>
    <w:p w14:paraId="7F60BDCF" w14:textId="77777777" w:rsidR="005F5F03" w:rsidRPr="000265A7" w:rsidRDefault="005F5F03">
      <w:pPr>
        <w:jc w:val="center"/>
        <w:rPr>
          <w:rFonts w:ascii="Arial" w:hAnsi="Arial" w:cs="Arial"/>
          <w:b/>
          <w:lang w:val="en-GB"/>
        </w:rPr>
      </w:pPr>
      <w:r w:rsidRPr="000265A7">
        <w:rPr>
          <w:rFonts w:ascii="Arial" w:hAnsi="Arial" w:cs="Arial"/>
          <w:b/>
          <w:lang w:val="en-GB"/>
        </w:rPr>
        <w:t>Completion instructions for the report</w:t>
      </w:r>
    </w:p>
    <w:p w14:paraId="3D5EB00D" w14:textId="77777777" w:rsidR="005F5F03" w:rsidRPr="000265A7" w:rsidRDefault="005F5F03">
      <w:pPr>
        <w:pStyle w:val="Cmsor2"/>
        <w:jc w:val="center"/>
        <w:rPr>
          <w:bCs w:val="0"/>
          <w:i w:val="0"/>
          <w:iCs w:val="0"/>
          <w:sz w:val="20"/>
          <w:szCs w:val="20"/>
          <w:lang w:val="en-GB"/>
        </w:rPr>
      </w:pPr>
      <w:r w:rsidRPr="000265A7">
        <w:rPr>
          <w:bCs w:val="0"/>
          <w:i w:val="0"/>
          <w:iCs w:val="0"/>
          <w:sz w:val="20"/>
          <w:szCs w:val="20"/>
          <w:lang w:val="en-GB"/>
        </w:rPr>
        <w:t xml:space="preserve">This data supply shall report the debts – vis-à-vis non-residents with a maturity of more than one year – of the central government, business entities owned or controlled by the central government, and business entities not controlled by the central government but whose </w:t>
      </w:r>
      <w:proofErr w:type="gramStart"/>
      <w:r w:rsidRPr="000265A7">
        <w:rPr>
          <w:bCs w:val="0"/>
          <w:i w:val="0"/>
          <w:iCs w:val="0"/>
          <w:sz w:val="20"/>
          <w:szCs w:val="20"/>
          <w:lang w:val="en-GB"/>
        </w:rPr>
        <w:t>long term</w:t>
      </w:r>
      <w:proofErr w:type="gramEnd"/>
      <w:r w:rsidRPr="000265A7">
        <w:rPr>
          <w:bCs w:val="0"/>
          <w:i w:val="0"/>
          <w:iCs w:val="0"/>
          <w:sz w:val="20"/>
          <w:szCs w:val="20"/>
          <w:lang w:val="en-GB"/>
        </w:rPr>
        <w:t xml:space="preserve"> debts vis-à-vis non-residents are guaranteed by the central government.</w:t>
      </w:r>
    </w:p>
    <w:p w14:paraId="7494B451" w14:textId="77777777" w:rsidR="005F5F03" w:rsidRPr="000265A7" w:rsidRDefault="005F5F03">
      <w:pPr>
        <w:rPr>
          <w:rFonts w:ascii="Arial" w:hAnsi="Arial" w:cs="Arial"/>
          <w:lang w:val="en-GB"/>
        </w:rPr>
      </w:pPr>
    </w:p>
    <w:p w14:paraId="07D68037" w14:textId="77777777" w:rsidR="005F5F03" w:rsidRPr="000265A7" w:rsidRDefault="005F5F03">
      <w:pPr>
        <w:numPr>
          <w:ilvl w:val="0"/>
          <w:numId w:val="3"/>
        </w:numPr>
        <w:spacing w:before="120"/>
        <w:jc w:val="both"/>
        <w:rPr>
          <w:rFonts w:ascii="Arial" w:hAnsi="Arial" w:cs="Arial"/>
          <w:b/>
          <w:lang w:val="en-GB"/>
        </w:rPr>
      </w:pPr>
      <w:r w:rsidRPr="000265A7">
        <w:rPr>
          <w:rFonts w:ascii="Arial" w:hAnsi="Arial" w:cs="Arial"/>
          <w:b/>
          <w:lang w:val="en-GB"/>
        </w:rPr>
        <w:t>General instructions</w:t>
      </w:r>
    </w:p>
    <w:p w14:paraId="4B0169F7" w14:textId="77777777" w:rsidR="005F5F03" w:rsidRPr="000265A7" w:rsidRDefault="005F5F03">
      <w:pPr>
        <w:rPr>
          <w:rFonts w:ascii="Arial" w:hAnsi="Arial" w:cs="Arial"/>
          <w:lang w:val="en-GB"/>
        </w:rPr>
      </w:pPr>
    </w:p>
    <w:p w14:paraId="104AF41D" w14:textId="77777777" w:rsidR="005F5F03" w:rsidRPr="000265A7" w:rsidRDefault="005F5F03">
      <w:pPr>
        <w:jc w:val="both"/>
        <w:rPr>
          <w:rFonts w:ascii="Arial" w:hAnsi="Arial" w:cs="Arial"/>
          <w:lang w:val="en-GB"/>
        </w:rPr>
      </w:pPr>
      <w:r w:rsidRPr="000265A7">
        <w:rPr>
          <w:rFonts w:ascii="Arial" w:hAnsi="Arial" w:cs="Arial"/>
          <w:lang w:val="en-GB"/>
        </w:rPr>
        <w:t>For the purposes of data supplies R24 and R28, the scope of business entities owned or controlled by the central government shall include the central government and its organisations, departments and institutions, county municipalities and local governments together with their departments and institutions, and all business organisations controlled by the central government.</w:t>
      </w:r>
    </w:p>
    <w:p w14:paraId="2683A5AC" w14:textId="77777777" w:rsidR="005F5F03" w:rsidRPr="000265A7" w:rsidRDefault="005F5F03">
      <w:pPr>
        <w:jc w:val="both"/>
        <w:rPr>
          <w:rFonts w:ascii="Arial" w:hAnsi="Arial" w:cs="Arial"/>
          <w:lang w:val="en-GB"/>
        </w:rPr>
      </w:pPr>
    </w:p>
    <w:p w14:paraId="2377869C" w14:textId="77777777" w:rsidR="005F5F03" w:rsidRPr="000265A7" w:rsidRDefault="00FF141D">
      <w:pPr>
        <w:jc w:val="both"/>
        <w:rPr>
          <w:rFonts w:ascii="Arial" w:hAnsi="Arial" w:cs="Arial"/>
          <w:lang w:val="en-GB"/>
        </w:rPr>
      </w:pPr>
      <w:r w:rsidRPr="000265A7">
        <w:rPr>
          <w:rFonts w:ascii="Arial" w:hAnsi="Arial" w:cs="Arial"/>
          <w:lang w:val="en-GB"/>
        </w:rPr>
        <w:t>Data</w:t>
      </w:r>
      <w:r w:rsidR="005F5F03" w:rsidRPr="000265A7">
        <w:rPr>
          <w:rFonts w:ascii="Arial" w:hAnsi="Arial" w:cs="Arial"/>
          <w:lang w:val="en-GB"/>
        </w:rPr>
        <w:t xml:space="preserve"> suppliers not controlled by the central government shall acquire a publicly guaranteed debt if the central government undertakes a guarantee for their debt service (principal and interest payment).   </w:t>
      </w:r>
    </w:p>
    <w:p w14:paraId="3B73E152" w14:textId="77777777" w:rsidR="005F5F03" w:rsidRPr="000265A7" w:rsidRDefault="005F5F03">
      <w:pPr>
        <w:ind w:left="360" w:hanging="360"/>
        <w:jc w:val="both"/>
        <w:rPr>
          <w:rFonts w:ascii="Arial" w:hAnsi="Arial" w:cs="Arial"/>
          <w:lang w:val="en-GB"/>
        </w:rPr>
      </w:pPr>
    </w:p>
    <w:p w14:paraId="6797C7AD" w14:textId="77777777" w:rsidR="005F5F03" w:rsidRPr="000265A7" w:rsidRDefault="005F5F03">
      <w:pPr>
        <w:jc w:val="both"/>
        <w:rPr>
          <w:rFonts w:ascii="Arial" w:hAnsi="Arial" w:cs="Arial"/>
          <w:lang w:val="en-GB"/>
        </w:rPr>
      </w:pPr>
      <w:r w:rsidRPr="000265A7">
        <w:rPr>
          <w:rFonts w:ascii="Arial" w:hAnsi="Arial" w:cs="Arial"/>
          <w:lang w:val="en-GB"/>
        </w:rPr>
        <w:t xml:space="preserve">Report R24 shall be completed if there are new security liabilities or borrowings vis-à-vis non-residents (except the World Bank) with a maturity of over one year, or if there were changes in their data reported earlier in data supplies R24 and R28.    </w:t>
      </w:r>
    </w:p>
    <w:p w14:paraId="44D41D3A" w14:textId="77777777" w:rsidR="005F5F03" w:rsidRPr="000265A7" w:rsidRDefault="005F5F03">
      <w:pPr>
        <w:jc w:val="both"/>
        <w:rPr>
          <w:rFonts w:ascii="Arial" w:hAnsi="Arial" w:cs="Arial"/>
          <w:lang w:val="en-GB"/>
        </w:rPr>
      </w:pPr>
    </w:p>
    <w:p w14:paraId="18720AB2" w14:textId="77777777" w:rsidR="005F5F03" w:rsidRPr="000265A7" w:rsidRDefault="005F5F03">
      <w:pPr>
        <w:jc w:val="both"/>
        <w:rPr>
          <w:rFonts w:ascii="Arial" w:hAnsi="Arial" w:cs="Arial"/>
          <w:lang w:val="en-GB"/>
        </w:rPr>
      </w:pPr>
      <w:r w:rsidRPr="000265A7">
        <w:rPr>
          <w:rFonts w:ascii="Arial" w:hAnsi="Arial" w:cs="Arial"/>
          <w:lang w:val="en-GB"/>
        </w:rPr>
        <w:t>Data supply R28 contains the stock and transaction data for the reference year of loans reported in report R28 in the previous year, and R24 in the current year.</w:t>
      </w:r>
    </w:p>
    <w:p w14:paraId="6A111339" w14:textId="77777777" w:rsidR="005F5F03" w:rsidRPr="000265A7" w:rsidRDefault="005F5F03">
      <w:pPr>
        <w:rPr>
          <w:rFonts w:ascii="Arial" w:hAnsi="Arial" w:cs="Arial"/>
          <w:lang w:val="en-GB"/>
        </w:rPr>
      </w:pPr>
    </w:p>
    <w:p w14:paraId="2C1B5344" w14:textId="57EB1285" w:rsidR="005F5F03" w:rsidRPr="000265A7" w:rsidRDefault="005F5F03">
      <w:pPr>
        <w:jc w:val="both"/>
        <w:rPr>
          <w:rFonts w:ascii="Arial" w:hAnsi="Arial" w:cs="Arial"/>
          <w:lang w:val="en-GB"/>
        </w:rPr>
      </w:pPr>
      <w:r w:rsidRPr="000265A7">
        <w:rPr>
          <w:rFonts w:ascii="Arial" w:hAnsi="Arial" w:cs="Arial"/>
          <w:lang w:val="en-GB"/>
        </w:rPr>
        <w:t xml:space="preserve">A glossary of terms used in the tables and in these </w:t>
      </w:r>
      <w:proofErr w:type="gramStart"/>
      <w:r w:rsidRPr="000265A7">
        <w:rPr>
          <w:rFonts w:ascii="Arial" w:hAnsi="Arial" w:cs="Arial"/>
          <w:lang w:val="en-GB"/>
        </w:rPr>
        <w:t>completion</w:t>
      </w:r>
      <w:proofErr w:type="gramEnd"/>
      <w:r w:rsidRPr="000265A7">
        <w:rPr>
          <w:rFonts w:ascii="Arial" w:hAnsi="Arial" w:cs="Arial"/>
          <w:lang w:val="en-GB"/>
        </w:rPr>
        <w:t xml:space="preserve"> instructions is located in point I</w:t>
      </w:r>
      <w:r w:rsidR="00D8329D">
        <w:rPr>
          <w:rFonts w:ascii="Arial" w:hAnsi="Arial" w:cs="Arial"/>
          <w:lang w:val="en-GB"/>
        </w:rPr>
        <w:t>. E</w:t>
      </w:r>
      <w:r w:rsidRPr="000265A7">
        <w:rPr>
          <w:rFonts w:ascii="Arial" w:hAnsi="Arial" w:cs="Arial"/>
          <w:lang w:val="en-GB"/>
        </w:rPr>
        <w:t>.</w:t>
      </w:r>
      <w:r w:rsidR="00D8329D">
        <w:rPr>
          <w:rFonts w:ascii="Arial" w:hAnsi="Arial" w:cs="Arial"/>
          <w:lang w:val="en-GB"/>
        </w:rPr>
        <w:t xml:space="preserve"> </w:t>
      </w:r>
      <w:r w:rsidRPr="000265A7">
        <w:rPr>
          <w:rFonts w:ascii="Arial" w:hAnsi="Arial" w:cs="Arial"/>
          <w:lang w:val="en-GB"/>
        </w:rPr>
        <w:t>5 of this Annex.</w:t>
      </w:r>
    </w:p>
    <w:p w14:paraId="2F561E36" w14:textId="77777777" w:rsidR="005F5F03" w:rsidRPr="000265A7" w:rsidRDefault="005F5F03">
      <w:pPr>
        <w:rPr>
          <w:rFonts w:ascii="Arial" w:hAnsi="Arial" w:cs="Arial"/>
          <w:lang w:val="en-GB"/>
        </w:rPr>
      </w:pPr>
    </w:p>
    <w:p w14:paraId="15D1D489" w14:textId="77777777" w:rsidR="005F5F03" w:rsidRPr="000265A7" w:rsidRDefault="005F5F03">
      <w:pPr>
        <w:jc w:val="both"/>
        <w:rPr>
          <w:rFonts w:ascii="Arial" w:hAnsi="Arial" w:cs="Arial"/>
          <w:lang w:val="en-GB"/>
        </w:rPr>
      </w:pPr>
      <w:r w:rsidRPr="000265A7">
        <w:rPr>
          <w:rFonts w:ascii="Arial" w:hAnsi="Arial" w:cs="Arial"/>
          <w:b/>
          <w:lang w:val="en-GB"/>
        </w:rPr>
        <w:t>II. Detailed instructions for the completion of the tables</w:t>
      </w:r>
    </w:p>
    <w:p w14:paraId="2DD35A39" w14:textId="77777777" w:rsidR="005F5F03" w:rsidRPr="000265A7" w:rsidRDefault="005F5F03">
      <w:pPr>
        <w:rPr>
          <w:rFonts w:ascii="Arial" w:hAnsi="Arial" w:cs="Arial"/>
          <w:lang w:val="en-GB"/>
        </w:rPr>
      </w:pPr>
    </w:p>
    <w:p w14:paraId="2038F701" w14:textId="3675DA70" w:rsidR="005F5F03" w:rsidRPr="000265A7" w:rsidRDefault="005F5F03">
      <w:pPr>
        <w:jc w:val="both"/>
        <w:rPr>
          <w:rFonts w:ascii="Arial" w:hAnsi="Arial" w:cs="Arial"/>
          <w:lang w:val="en-GB"/>
        </w:rPr>
      </w:pPr>
      <w:r w:rsidRPr="000265A7">
        <w:rPr>
          <w:rFonts w:ascii="Arial" w:hAnsi="Arial" w:cs="Arial"/>
          <w:lang w:val="en-GB"/>
        </w:rPr>
        <w:t xml:space="preserve">The </w:t>
      </w:r>
      <w:r w:rsidR="00456272" w:rsidRPr="000265A7">
        <w:rPr>
          <w:rFonts w:ascii="Arial" w:hAnsi="Arial" w:cs="Arial"/>
          <w:lang w:val="en-GB"/>
        </w:rPr>
        <w:t>’</w:t>
      </w:r>
      <w:r w:rsidRPr="000265A7">
        <w:rPr>
          <w:rFonts w:ascii="Arial" w:hAnsi="Arial" w:cs="Arial"/>
          <w:lang w:val="en-GB"/>
        </w:rPr>
        <w:t xml:space="preserve">Debt ID </w:t>
      </w:r>
      <w:proofErr w:type="gramStart"/>
      <w:r w:rsidRPr="000265A7">
        <w:rPr>
          <w:rFonts w:ascii="Arial" w:hAnsi="Arial" w:cs="Arial"/>
          <w:lang w:val="en-GB"/>
        </w:rPr>
        <w:t>code</w:t>
      </w:r>
      <w:r w:rsidR="00456272" w:rsidRPr="000265A7">
        <w:rPr>
          <w:rFonts w:ascii="Arial" w:hAnsi="Arial" w:cs="Arial"/>
          <w:lang w:val="en-GB"/>
        </w:rPr>
        <w:t xml:space="preserve">‘ </w:t>
      </w:r>
      <w:r w:rsidRPr="000265A7">
        <w:rPr>
          <w:rFonts w:ascii="Arial" w:hAnsi="Arial" w:cs="Arial"/>
          <w:lang w:val="en-GB"/>
        </w:rPr>
        <w:t>indicated</w:t>
      </w:r>
      <w:proofErr w:type="gramEnd"/>
      <w:r w:rsidRPr="000265A7">
        <w:rPr>
          <w:rFonts w:ascii="Arial" w:hAnsi="Arial" w:cs="Arial"/>
          <w:lang w:val="en-GB"/>
        </w:rPr>
        <w:t xml:space="preserve"> in Table BEFT6 should be requested before the data supply</w:t>
      </w:r>
      <w:r w:rsidR="003720B4">
        <w:rPr>
          <w:rFonts w:ascii="Arial" w:hAnsi="Arial" w:cs="Arial"/>
          <w:lang w:val="en-GB"/>
        </w:rPr>
        <w:t>,</w:t>
      </w:r>
      <w:r w:rsidRPr="000265A7">
        <w:rPr>
          <w:rFonts w:ascii="Arial" w:hAnsi="Arial" w:cs="Arial"/>
          <w:lang w:val="en-GB"/>
        </w:rPr>
        <w:t xml:space="preserve">the MNB </w:t>
      </w:r>
      <w:r w:rsidR="002F0E0C" w:rsidRPr="000265A7">
        <w:rPr>
          <w:rFonts w:ascii="Arial" w:hAnsi="Arial" w:cs="Arial"/>
          <w:lang w:val="en-GB"/>
        </w:rPr>
        <w:t xml:space="preserve">Directorate Statistics </w:t>
      </w:r>
      <w:r w:rsidRPr="000265A7">
        <w:rPr>
          <w:rFonts w:ascii="Arial" w:hAnsi="Arial" w:cs="Arial"/>
          <w:lang w:val="en-GB"/>
        </w:rPr>
        <w:t xml:space="preserve">will generate the code and return it to the data supplier. The Debt ID code thus returned shall be used in Tables BEFT7 and BEFT8 of report R24, and throughout report R28. </w:t>
      </w:r>
    </w:p>
    <w:p w14:paraId="4468A0FA" w14:textId="77777777" w:rsidR="005F5F03" w:rsidRPr="000265A7" w:rsidRDefault="005F5F03">
      <w:pPr>
        <w:ind w:left="360" w:hanging="360"/>
        <w:jc w:val="both"/>
        <w:rPr>
          <w:rFonts w:ascii="Arial" w:hAnsi="Arial" w:cs="Arial"/>
          <w:lang w:val="en-GB"/>
        </w:rPr>
      </w:pPr>
      <w:r w:rsidRPr="000265A7">
        <w:rPr>
          <w:rFonts w:ascii="Arial" w:hAnsi="Arial" w:cs="Arial"/>
          <w:lang w:val="en-GB"/>
        </w:rPr>
        <w:t xml:space="preserve"> </w:t>
      </w:r>
    </w:p>
    <w:p w14:paraId="7CF478D3" w14:textId="77777777" w:rsidR="005F5F03" w:rsidRPr="000265A7" w:rsidRDefault="005F5F03">
      <w:pPr>
        <w:jc w:val="both"/>
        <w:rPr>
          <w:rFonts w:ascii="Arial" w:hAnsi="Arial" w:cs="Arial"/>
          <w:lang w:val="en-GB"/>
        </w:rPr>
      </w:pPr>
      <w:r w:rsidRPr="000265A7">
        <w:rPr>
          <w:rFonts w:ascii="Arial" w:hAnsi="Arial" w:cs="Arial"/>
          <w:lang w:val="en-GB"/>
        </w:rPr>
        <w:t>The currency codes to be used in this data supply as per point 4.1 of Annex 3 are listed in the technical guidelines available on the official website of the MNB, and the other codes referred to in point 4.</w:t>
      </w:r>
      <w:r w:rsidR="00FE31D2" w:rsidRPr="000265A7">
        <w:rPr>
          <w:rFonts w:ascii="Arial" w:hAnsi="Arial" w:cs="Arial"/>
          <w:lang w:val="en-GB"/>
        </w:rPr>
        <w:t>9</w:t>
      </w:r>
      <w:r w:rsidRPr="000265A7">
        <w:rPr>
          <w:rFonts w:ascii="Arial" w:hAnsi="Arial" w:cs="Arial"/>
          <w:lang w:val="en-GB"/>
        </w:rPr>
        <w:t xml:space="preserve"> of Annex</w:t>
      </w:r>
      <w:r w:rsidR="008118B8" w:rsidRPr="000265A7">
        <w:rPr>
          <w:rFonts w:ascii="Arial" w:hAnsi="Arial" w:cs="Arial"/>
          <w:lang w:val="en-GB"/>
        </w:rPr>
        <w:t xml:space="preserve"> 3</w:t>
      </w:r>
      <w:r w:rsidRPr="000265A7">
        <w:rPr>
          <w:rFonts w:ascii="Arial" w:hAnsi="Arial" w:cs="Arial"/>
          <w:lang w:val="en-GB"/>
        </w:rPr>
        <w:t>, also available in the technical guidelines on the MNB website, shall be used according to the instructions therein.</w:t>
      </w:r>
    </w:p>
    <w:p w14:paraId="49CC26F8" w14:textId="77777777" w:rsidR="005F5F03" w:rsidRPr="000265A7" w:rsidRDefault="005F5F03" w:rsidP="00254ABC">
      <w:pPr>
        <w:jc w:val="both"/>
        <w:rPr>
          <w:rFonts w:ascii="Arial" w:hAnsi="Arial" w:cs="Arial"/>
          <w:lang w:val="en-GB"/>
        </w:rPr>
      </w:pPr>
    </w:p>
    <w:p w14:paraId="37FFDCB9" w14:textId="77777777" w:rsidR="005F5F03" w:rsidRPr="000265A7" w:rsidRDefault="005F5F03">
      <w:pPr>
        <w:jc w:val="both"/>
        <w:rPr>
          <w:rFonts w:ascii="Arial" w:hAnsi="Arial" w:cs="Arial"/>
          <w:lang w:val="en-GB"/>
        </w:rPr>
      </w:pPr>
      <w:r w:rsidRPr="000265A7">
        <w:rPr>
          <w:rFonts w:ascii="Arial" w:hAnsi="Arial" w:cs="Arial"/>
          <w:lang w:val="en-GB"/>
        </w:rPr>
        <w:t xml:space="preserve">In </w:t>
      </w:r>
      <w:r w:rsidR="00456272" w:rsidRPr="000265A7">
        <w:rPr>
          <w:rFonts w:ascii="Arial" w:hAnsi="Arial" w:cs="Arial"/>
          <w:lang w:val="en-GB"/>
        </w:rPr>
        <w:t>’</w:t>
      </w:r>
      <w:proofErr w:type="gramStart"/>
      <w:r w:rsidRPr="000265A7">
        <w:rPr>
          <w:rFonts w:ascii="Arial" w:hAnsi="Arial" w:cs="Arial"/>
          <w:lang w:val="en-GB"/>
        </w:rPr>
        <w:t>Comments</w:t>
      </w:r>
      <w:r w:rsidR="00456272" w:rsidRPr="000265A7">
        <w:rPr>
          <w:rFonts w:ascii="Arial" w:hAnsi="Arial" w:cs="Arial"/>
          <w:lang w:val="en-GB"/>
        </w:rPr>
        <w:t>‘</w:t>
      </w:r>
      <w:proofErr w:type="gramEnd"/>
      <w:r w:rsidR="00456272" w:rsidRPr="000265A7">
        <w:rPr>
          <w:rFonts w:ascii="Arial" w:hAnsi="Arial" w:cs="Arial"/>
          <w:lang w:val="en-GB"/>
        </w:rPr>
        <w:t xml:space="preserve">, </w:t>
      </w:r>
      <w:r w:rsidRPr="000265A7">
        <w:rPr>
          <w:rFonts w:ascii="Arial" w:hAnsi="Arial" w:cs="Arial"/>
          <w:lang w:val="en-GB"/>
        </w:rPr>
        <w:t>please indicate the following:</w:t>
      </w:r>
    </w:p>
    <w:p w14:paraId="6DC37CDF" w14:textId="77777777" w:rsidR="005F5F03" w:rsidRPr="000265A7" w:rsidRDefault="005F5F03" w:rsidP="00E5584C">
      <w:pPr>
        <w:numPr>
          <w:ilvl w:val="0"/>
          <w:numId w:val="16"/>
        </w:numPr>
        <w:jc w:val="both"/>
        <w:rPr>
          <w:rFonts w:ascii="Arial" w:hAnsi="Arial" w:cs="Arial"/>
          <w:lang w:val="en-GB"/>
        </w:rPr>
      </w:pPr>
      <w:r w:rsidRPr="000265A7">
        <w:rPr>
          <w:rFonts w:ascii="Arial" w:hAnsi="Arial" w:cs="Arial"/>
          <w:lang w:val="en-GB"/>
        </w:rPr>
        <w:t>the fact that under the contract the central government (or an organisation acting on its behalf) undertakes to provide the foreign currency required for the repayment of the debt, should it become necessary,</w:t>
      </w:r>
    </w:p>
    <w:p w14:paraId="7F9A64C7" w14:textId="77777777" w:rsidR="005F5F03" w:rsidRPr="000265A7" w:rsidRDefault="005F5F03" w:rsidP="00E5584C">
      <w:pPr>
        <w:numPr>
          <w:ilvl w:val="0"/>
          <w:numId w:val="16"/>
        </w:numPr>
        <w:jc w:val="both"/>
        <w:rPr>
          <w:rFonts w:ascii="Arial" w:hAnsi="Arial" w:cs="Arial"/>
          <w:lang w:val="en-GB"/>
        </w:rPr>
      </w:pPr>
      <w:r w:rsidRPr="000265A7">
        <w:rPr>
          <w:rFonts w:ascii="Arial" w:hAnsi="Arial" w:cs="Arial"/>
          <w:lang w:val="en-GB"/>
        </w:rPr>
        <w:t xml:space="preserve">the type of the loan contract, if it was listed under the </w:t>
      </w:r>
      <w:r w:rsidR="00456272" w:rsidRPr="000265A7">
        <w:rPr>
          <w:rFonts w:ascii="Arial" w:hAnsi="Arial" w:cs="Arial"/>
          <w:lang w:val="en-GB"/>
        </w:rPr>
        <w:t>’</w:t>
      </w:r>
      <w:proofErr w:type="gramStart"/>
      <w:r w:rsidRPr="000265A7">
        <w:rPr>
          <w:rFonts w:ascii="Arial" w:hAnsi="Arial" w:cs="Arial"/>
          <w:lang w:val="en-GB"/>
        </w:rPr>
        <w:t>Other</w:t>
      </w:r>
      <w:r w:rsidR="00456272" w:rsidRPr="000265A7">
        <w:rPr>
          <w:rFonts w:ascii="Arial" w:hAnsi="Arial" w:cs="Arial"/>
          <w:lang w:val="en-GB"/>
        </w:rPr>
        <w:t xml:space="preserve">‘ </w:t>
      </w:r>
      <w:r w:rsidRPr="000265A7">
        <w:rPr>
          <w:rFonts w:ascii="Arial" w:hAnsi="Arial" w:cs="Arial"/>
          <w:lang w:val="en-GB"/>
        </w:rPr>
        <w:t>category</w:t>
      </w:r>
      <w:proofErr w:type="gramEnd"/>
      <w:r w:rsidRPr="000265A7">
        <w:rPr>
          <w:rFonts w:ascii="Arial" w:hAnsi="Arial" w:cs="Arial"/>
          <w:lang w:val="en-GB"/>
        </w:rPr>
        <w:t xml:space="preserve"> in column i,</w:t>
      </w:r>
    </w:p>
    <w:p w14:paraId="61192A8A" w14:textId="77777777" w:rsidR="005F5F03" w:rsidRPr="000265A7" w:rsidRDefault="005F5F03" w:rsidP="00E5584C">
      <w:pPr>
        <w:numPr>
          <w:ilvl w:val="0"/>
          <w:numId w:val="16"/>
        </w:numPr>
        <w:jc w:val="both"/>
        <w:rPr>
          <w:rFonts w:ascii="Arial" w:hAnsi="Arial" w:cs="Arial"/>
          <w:lang w:val="en-GB"/>
        </w:rPr>
      </w:pPr>
      <w:r w:rsidRPr="000265A7">
        <w:rPr>
          <w:rFonts w:ascii="Arial" w:hAnsi="Arial" w:cs="Arial"/>
          <w:lang w:val="en-GB"/>
        </w:rPr>
        <w:t>in the case of syndicated loans the participating countries,</w:t>
      </w:r>
    </w:p>
    <w:p w14:paraId="1D81E0E7" w14:textId="77777777" w:rsidR="005F5F03" w:rsidRPr="000265A7" w:rsidRDefault="005F5F03" w:rsidP="00254ABC">
      <w:pPr>
        <w:numPr>
          <w:ilvl w:val="0"/>
          <w:numId w:val="16"/>
        </w:numPr>
        <w:jc w:val="both"/>
        <w:rPr>
          <w:rFonts w:ascii="Arial" w:hAnsi="Arial" w:cs="Arial"/>
          <w:lang w:val="en-GB"/>
        </w:rPr>
      </w:pPr>
      <w:r w:rsidRPr="000265A7">
        <w:rPr>
          <w:rFonts w:ascii="Arial" w:hAnsi="Arial" w:cs="Arial"/>
          <w:lang w:val="en-GB"/>
        </w:rPr>
        <w:t>if the loan payments are made in multiple currencies, the details of those currencies</w:t>
      </w:r>
    </w:p>
    <w:p w14:paraId="1A9DBF8F" w14:textId="77777777" w:rsidR="005F5F03" w:rsidRPr="000265A7" w:rsidRDefault="005F5F03" w:rsidP="00254ABC">
      <w:pPr>
        <w:numPr>
          <w:ilvl w:val="0"/>
          <w:numId w:val="16"/>
        </w:numPr>
        <w:jc w:val="both"/>
        <w:rPr>
          <w:rFonts w:ascii="Arial" w:hAnsi="Arial" w:cs="Arial"/>
          <w:lang w:val="en-GB"/>
        </w:rPr>
      </w:pPr>
      <w:r w:rsidRPr="000265A7">
        <w:rPr>
          <w:rFonts w:ascii="Arial" w:hAnsi="Arial" w:cs="Arial"/>
          <w:lang w:val="en-GB"/>
        </w:rPr>
        <w:t>other fees and commissions in addition to commitment fees,</w:t>
      </w:r>
    </w:p>
    <w:p w14:paraId="30CA88EC" w14:textId="77777777" w:rsidR="005F5F03" w:rsidRPr="000265A7" w:rsidRDefault="005F5F03" w:rsidP="00254ABC">
      <w:pPr>
        <w:numPr>
          <w:ilvl w:val="0"/>
          <w:numId w:val="16"/>
        </w:numPr>
        <w:jc w:val="both"/>
        <w:rPr>
          <w:rFonts w:ascii="Arial" w:hAnsi="Arial" w:cs="Arial"/>
          <w:lang w:val="en-GB"/>
        </w:rPr>
      </w:pPr>
      <w:r w:rsidRPr="000265A7">
        <w:rPr>
          <w:rFonts w:ascii="Arial" w:hAnsi="Arial" w:cs="Arial"/>
          <w:lang w:val="en-GB"/>
        </w:rPr>
        <w:t>any other comments deemed useful with respect to the loan.</w:t>
      </w:r>
    </w:p>
    <w:p w14:paraId="64F39382" w14:textId="77777777" w:rsidR="005F5F03" w:rsidRPr="000265A7" w:rsidRDefault="005F5F03">
      <w:pPr>
        <w:jc w:val="both"/>
        <w:rPr>
          <w:rFonts w:ascii="Arial" w:hAnsi="Arial" w:cs="Arial"/>
          <w:lang w:val="en-GB"/>
        </w:rPr>
      </w:pPr>
      <w:r w:rsidRPr="000265A7">
        <w:rPr>
          <w:rFonts w:ascii="Arial" w:hAnsi="Arial" w:cs="Arial"/>
          <w:lang w:val="en-GB"/>
        </w:rPr>
        <w:t>Tables BEFT7 and BEFT6 shall contain the Debt ID codes and details of loans whose principal and interest payments are not made in regular intervals.</w:t>
      </w:r>
    </w:p>
    <w:p w14:paraId="6F6ED0E5" w14:textId="77777777" w:rsidR="005F5F03" w:rsidRPr="000265A7" w:rsidRDefault="005F5F03">
      <w:pPr>
        <w:jc w:val="both"/>
        <w:rPr>
          <w:rFonts w:ascii="Arial" w:hAnsi="Arial" w:cs="Arial"/>
          <w:lang w:val="en-GB"/>
        </w:rPr>
      </w:pPr>
      <w:r w:rsidRPr="000265A7">
        <w:rPr>
          <w:rFonts w:ascii="Arial" w:hAnsi="Arial" w:cs="Arial"/>
          <w:lang w:val="en-GB"/>
        </w:rPr>
        <w:t xml:space="preserve">In addition, the same table shall be used for loan rescheduling agreements covering more than one year, in which case the entire loan amount to be rescheduled, reported in Table BEFT6, shall be broken down to yearly components. </w:t>
      </w:r>
    </w:p>
    <w:p w14:paraId="0950C5E6" w14:textId="77777777" w:rsidR="005F5F03" w:rsidRPr="000265A7" w:rsidRDefault="005F5F03">
      <w:pPr>
        <w:rPr>
          <w:rFonts w:ascii="Arial" w:hAnsi="Arial" w:cs="Arial"/>
          <w:lang w:val="en-GB"/>
        </w:rPr>
      </w:pPr>
    </w:p>
    <w:p w14:paraId="7AC4C0D3" w14:textId="77777777" w:rsidR="005F5F03" w:rsidRPr="000265A7" w:rsidRDefault="005F5F03">
      <w:pPr>
        <w:jc w:val="both"/>
        <w:rPr>
          <w:rFonts w:ascii="Arial" w:hAnsi="Arial" w:cs="Arial"/>
          <w:lang w:val="en-GB"/>
        </w:rPr>
      </w:pPr>
      <w:r w:rsidRPr="000265A7">
        <w:rPr>
          <w:rFonts w:ascii="Arial" w:hAnsi="Arial" w:cs="Arial"/>
          <w:lang w:val="en-GB"/>
        </w:rPr>
        <w:t>Data reported in Tables BEFT6 and BEFT7 and in Table BEFT10 of data supply R28 may be corrected in Table BEFT8. Modified data shall be listed by Debt ID code and column description.</w:t>
      </w:r>
    </w:p>
    <w:p w14:paraId="6926484D" w14:textId="77777777" w:rsidR="005F5F03" w:rsidRPr="000265A7" w:rsidRDefault="005F5F03">
      <w:pPr>
        <w:jc w:val="both"/>
        <w:rPr>
          <w:rFonts w:ascii="Arial" w:hAnsi="Arial" w:cs="Arial"/>
          <w:lang w:val="en-GB"/>
        </w:rPr>
      </w:pPr>
    </w:p>
    <w:p w14:paraId="7CB0904E" w14:textId="77777777" w:rsidR="005F5F03" w:rsidRPr="000265A7" w:rsidRDefault="005F5F03">
      <w:pPr>
        <w:jc w:val="both"/>
        <w:rPr>
          <w:rFonts w:ascii="Arial" w:hAnsi="Arial" w:cs="Arial"/>
          <w:lang w:val="en-GB"/>
        </w:rPr>
      </w:pPr>
      <w:r w:rsidRPr="000265A7">
        <w:rPr>
          <w:rFonts w:ascii="Arial" w:hAnsi="Arial" w:cs="Arial"/>
          <w:lang w:val="en-GB"/>
        </w:rPr>
        <w:t>The methodological guidelines assisting in the completion of the tables and the revision rules provided to ensure error free submission, as referred to in points 9 and 5 of Annex 3</w:t>
      </w:r>
      <w:r w:rsidR="008118B8" w:rsidRPr="000265A7">
        <w:rPr>
          <w:rFonts w:ascii="Arial" w:hAnsi="Arial" w:cs="Arial"/>
          <w:lang w:val="en-GB"/>
        </w:rPr>
        <w:t xml:space="preserve"> </w:t>
      </w:r>
      <w:proofErr w:type="gramStart"/>
      <w:r w:rsidRPr="000265A7">
        <w:rPr>
          <w:rFonts w:ascii="Arial" w:hAnsi="Arial" w:cs="Arial"/>
          <w:lang w:val="en-GB"/>
        </w:rPr>
        <w:t>are located in</w:t>
      </w:r>
      <w:proofErr w:type="gramEnd"/>
      <w:r w:rsidRPr="000265A7">
        <w:rPr>
          <w:rFonts w:ascii="Arial" w:hAnsi="Arial" w:cs="Arial"/>
          <w:lang w:val="en-GB"/>
        </w:rPr>
        <w:t xml:space="preserve"> the technical guidelines available on the official website of the MNB.</w:t>
      </w:r>
    </w:p>
    <w:p w14:paraId="1C9CF47A" w14:textId="77777777" w:rsidR="005F5F03" w:rsidRPr="000265A7" w:rsidRDefault="005F5F03">
      <w:pPr>
        <w:rPr>
          <w:rFonts w:ascii="Arial" w:hAnsi="Arial" w:cs="Arial"/>
          <w:lang w:val="en-GB"/>
        </w:rPr>
      </w:pPr>
    </w:p>
    <w:p w14:paraId="4C5BB4C7" w14:textId="77777777" w:rsidR="005F5F03" w:rsidRPr="000265A7" w:rsidRDefault="005F5F03">
      <w:pPr>
        <w:rPr>
          <w:rFonts w:ascii="Arial" w:hAnsi="Arial" w:cs="Arial"/>
          <w:lang w:val="en-GB"/>
        </w:rPr>
      </w:pPr>
    </w:p>
    <w:sectPr w:rsidR="005F5F03" w:rsidRPr="000265A7">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A36FB" w14:textId="77777777" w:rsidR="001F471C" w:rsidRDefault="001F471C">
      <w:pPr>
        <w:rPr>
          <w:szCs w:val="24"/>
        </w:rPr>
      </w:pPr>
      <w:r>
        <w:rPr>
          <w:szCs w:val="24"/>
        </w:rPr>
        <w:separator/>
      </w:r>
    </w:p>
  </w:endnote>
  <w:endnote w:type="continuationSeparator" w:id="0">
    <w:p w14:paraId="33FCE08E" w14:textId="77777777" w:rsidR="001F471C" w:rsidRDefault="001F471C">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E77D" w14:textId="77777777" w:rsidR="00FE31D2" w:rsidRDefault="00FE31D2">
    <w:pPr>
      <w:pStyle w:val="llb"/>
      <w:framePr w:wrap="around" w:vAnchor="text" w:hAnchor="margin" w:xAlign="right" w:y="1"/>
      <w:rPr>
        <w:rStyle w:val="Oldalszm"/>
        <w:szCs w:val="24"/>
      </w:rPr>
    </w:pPr>
    <w:r>
      <w:rPr>
        <w:rStyle w:val="Oldalszm"/>
        <w:szCs w:val="24"/>
      </w:rPr>
      <w:fldChar w:fldCharType="begin"/>
    </w:r>
    <w:r>
      <w:rPr>
        <w:rStyle w:val="Oldalszm"/>
        <w:szCs w:val="24"/>
      </w:rPr>
      <w:instrText xml:space="preserve">PAGE  </w:instrText>
    </w:r>
    <w:r>
      <w:rPr>
        <w:rStyle w:val="Oldalszm"/>
        <w:szCs w:val="24"/>
      </w:rPr>
      <w:fldChar w:fldCharType="end"/>
    </w:r>
  </w:p>
  <w:p w14:paraId="4A525DC8" w14:textId="77777777" w:rsidR="00FE31D2" w:rsidRDefault="00FE31D2">
    <w:pPr>
      <w:pStyle w:val="llb"/>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4396B" w14:textId="77777777" w:rsidR="00FE31D2" w:rsidRDefault="00FE31D2">
    <w:pPr>
      <w:pStyle w:val="llb"/>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A736F" w14:textId="77777777" w:rsidR="001F471C" w:rsidRDefault="001F471C">
      <w:pPr>
        <w:rPr>
          <w:szCs w:val="24"/>
        </w:rPr>
      </w:pPr>
      <w:r>
        <w:rPr>
          <w:szCs w:val="24"/>
        </w:rPr>
        <w:separator/>
      </w:r>
    </w:p>
  </w:footnote>
  <w:footnote w:type="continuationSeparator" w:id="0">
    <w:p w14:paraId="5E504C8E" w14:textId="77777777" w:rsidR="001F471C" w:rsidRDefault="001F471C">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0657" w14:textId="77777777" w:rsidR="00FE31D2" w:rsidRDefault="00FE31D2">
    <w:pPr>
      <w:pStyle w:val="lfej"/>
      <w:jc w:val="right"/>
      <w:rPr>
        <w:rFonts w:ascii="Garamond" w:hAnsi="Garamond"/>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3506"/>
    <w:multiLevelType w:val="hybridMultilevel"/>
    <w:tmpl w:val="DE38B1E0"/>
    <w:lvl w:ilvl="0" w:tplc="040E0005">
      <w:start w:val="1"/>
      <w:numFmt w:val="bullet"/>
      <w:lvlText w:val=""/>
      <w:lvlJc w:val="left"/>
      <w:pPr>
        <w:tabs>
          <w:tab w:val="num" w:pos="360"/>
        </w:tabs>
        <w:ind w:left="36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043CCA"/>
    <w:multiLevelType w:val="hybridMultilevel"/>
    <w:tmpl w:val="8DF8EFC6"/>
    <w:lvl w:ilvl="0" w:tplc="07A6B2EC">
      <w:start w:val="2"/>
      <w:numFmt w:val="lowerLetter"/>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188B4923"/>
    <w:multiLevelType w:val="hybridMultilevel"/>
    <w:tmpl w:val="56F80258"/>
    <w:lvl w:ilvl="0" w:tplc="040E0019">
      <w:start w:val="1"/>
      <w:numFmt w:val="lowerLetter"/>
      <w:lvlText w:val="%1."/>
      <w:lvlJc w:val="left"/>
      <w:pPr>
        <w:tabs>
          <w:tab w:val="num" w:pos="360"/>
        </w:tabs>
        <w:ind w:left="360" w:hanging="360"/>
      </w:pPr>
      <w:rPr>
        <w:rFonts w:cs="Times New Roman"/>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1DEA4FF9"/>
    <w:multiLevelType w:val="hybridMultilevel"/>
    <w:tmpl w:val="6616C570"/>
    <w:lvl w:ilvl="0" w:tplc="1506CCEE">
      <w:start w:val="1"/>
      <w:numFmt w:val="lowerLetter"/>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F6477A4"/>
    <w:multiLevelType w:val="hybridMultilevel"/>
    <w:tmpl w:val="65AE4B7A"/>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13D33E0"/>
    <w:multiLevelType w:val="hybridMultilevel"/>
    <w:tmpl w:val="75AA7718"/>
    <w:lvl w:ilvl="0" w:tplc="5980D73A">
      <w:start w:val="2"/>
      <w:numFmt w:val="bullet"/>
      <w:lvlText w:val="–"/>
      <w:lvlJc w:val="left"/>
      <w:pPr>
        <w:tabs>
          <w:tab w:val="num" w:pos="1350"/>
        </w:tabs>
        <w:ind w:left="1350" w:hanging="360"/>
      </w:pPr>
      <w:rPr>
        <w:rFonts w:ascii="Garamond" w:eastAsia="Times New Roman" w:hAnsi="Garamond" w:hint="default"/>
      </w:rPr>
    </w:lvl>
    <w:lvl w:ilvl="1" w:tplc="040E0003" w:tentative="1">
      <w:start w:val="1"/>
      <w:numFmt w:val="bullet"/>
      <w:lvlText w:val="o"/>
      <w:lvlJc w:val="left"/>
      <w:pPr>
        <w:tabs>
          <w:tab w:val="num" w:pos="2070"/>
        </w:tabs>
        <w:ind w:left="2070" w:hanging="360"/>
      </w:pPr>
      <w:rPr>
        <w:rFonts w:ascii="Courier New" w:hAnsi="Courier New" w:hint="default"/>
      </w:rPr>
    </w:lvl>
    <w:lvl w:ilvl="2" w:tplc="040E0005" w:tentative="1">
      <w:start w:val="1"/>
      <w:numFmt w:val="bullet"/>
      <w:lvlText w:val=""/>
      <w:lvlJc w:val="left"/>
      <w:pPr>
        <w:tabs>
          <w:tab w:val="num" w:pos="2790"/>
        </w:tabs>
        <w:ind w:left="2790" w:hanging="360"/>
      </w:pPr>
      <w:rPr>
        <w:rFonts w:ascii="Wingdings" w:hAnsi="Wingdings" w:hint="default"/>
      </w:rPr>
    </w:lvl>
    <w:lvl w:ilvl="3" w:tplc="040E0001" w:tentative="1">
      <w:start w:val="1"/>
      <w:numFmt w:val="bullet"/>
      <w:lvlText w:val=""/>
      <w:lvlJc w:val="left"/>
      <w:pPr>
        <w:tabs>
          <w:tab w:val="num" w:pos="3510"/>
        </w:tabs>
        <w:ind w:left="3510" w:hanging="360"/>
      </w:pPr>
      <w:rPr>
        <w:rFonts w:ascii="Symbol" w:hAnsi="Symbol" w:hint="default"/>
      </w:rPr>
    </w:lvl>
    <w:lvl w:ilvl="4" w:tplc="040E0003" w:tentative="1">
      <w:start w:val="1"/>
      <w:numFmt w:val="bullet"/>
      <w:lvlText w:val="o"/>
      <w:lvlJc w:val="left"/>
      <w:pPr>
        <w:tabs>
          <w:tab w:val="num" w:pos="4230"/>
        </w:tabs>
        <w:ind w:left="4230" w:hanging="360"/>
      </w:pPr>
      <w:rPr>
        <w:rFonts w:ascii="Courier New" w:hAnsi="Courier New" w:hint="default"/>
      </w:rPr>
    </w:lvl>
    <w:lvl w:ilvl="5" w:tplc="040E0005" w:tentative="1">
      <w:start w:val="1"/>
      <w:numFmt w:val="bullet"/>
      <w:lvlText w:val=""/>
      <w:lvlJc w:val="left"/>
      <w:pPr>
        <w:tabs>
          <w:tab w:val="num" w:pos="4950"/>
        </w:tabs>
        <w:ind w:left="4950" w:hanging="360"/>
      </w:pPr>
      <w:rPr>
        <w:rFonts w:ascii="Wingdings" w:hAnsi="Wingdings" w:hint="default"/>
      </w:rPr>
    </w:lvl>
    <w:lvl w:ilvl="6" w:tplc="040E0001" w:tentative="1">
      <w:start w:val="1"/>
      <w:numFmt w:val="bullet"/>
      <w:lvlText w:val=""/>
      <w:lvlJc w:val="left"/>
      <w:pPr>
        <w:tabs>
          <w:tab w:val="num" w:pos="5670"/>
        </w:tabs>
        <w:ind w:left="5670" w:hanging="360"/>
      </w:pPr>
      <w:rPr>
        <w:rFonts w:ascii="Symbol" w:hAnsi="Symbol" w:hint="default"/>
      </w:rPr>
    </w:lvl>
    <w:lvl w:ilvl="7" w:tplc="040E0003" w:tentative="1">
      <w:start w:val="1"/>
      <w:numFmt w:val="bullet"/>
      <w:lvlText w:val="o"/>
      <w:lvlJc w:val="left"/>
      <w:pPr>
        <w:tabs>
          <w:tab w:val="num" w:pos="6390"/>
        </w:tabs>
        <w:ind w:left="6390" w:hanging="360"/>
      </w:pPr>
      <w:rPr>
        <w:rFonts w:ascii="Courier New" w:hAnsi="Courier New" w:hint="default"/>
      </w:rPr>
    </w:lvl>
    <w:lvl w:ilvl="8" w:tplc="040E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483C62C4"/>
    <w:multiLevelType w:val="hybridMultilevel"/>
    <w:tmpl w:val="77FEE1D6"/>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8C5607D"/>
    <w:multiLevelType w:val="hybridMultilevel"/>
    <w:tmpl w:val="BE8A648C"/>
    <w:lvl w:ilvl="0" w:tplc="192281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F02FBF"/>
    <w:multiLevelType w:val="multilevel"/>
    <w:tmpl w:val="AD3E9A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A7133B"/>
    <w:multiLevelType w:val="hybridMultilevel"/>
    <w:tmpl w:val="EF82E012"/>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62982777"/>
    <w:multiLevelType w:val="hybridMultilevel"/>
    <w:tmpl w:val="6AA24C74"/>
    <w:lvl w:ilvl="0" w:tplc="C826CC4C">
      <w:start w:val="1"/>
      <w:numFmt w:val="lowerLetter"/>
      <w:lvlText w:val="%1.)"/>
      <w:lvlJc w:val="left"/>
      <w:pPr>
        <w:tabs>
          <w:tab w:val="num" w:pos="870"/>
        </w:tabs>
        <w:ind w:left="870" w:hanging="510"/>
      </w:pPr>
      <w:rPr>
        <w:rFonts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8D377C"/>
    <w:multiLevelType w:val="hybridMultilevel"/>
    <w:tmpl w:val="4EDCD652"/>
    <w:lvl w:ilvl="0" w:tplc="12140DD2">
      <w:numFmt w:val="bullet"/>
      <w:lvlText w:val="–"/>
      <w:lvlJc w:val="left"/>
      <w:pPr>
        <w:tabs>
          <w:tab w:val="num" w:pos="720"/>
        </w:tabs>
        <w:ind w:left="720" w:hanging="360"/>
      </w:pPr>
      <w:rPr>
        <w:rFonts w:ascii="Garamond" w:eastAsia="Times New Roman" w:hAnsi="Garamond"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A7124E"/>
    <w:multiLevelType w:val="hybridMultilevel"/>
    <w:tmpl w:val="B8DC448A"/>
    <w:lvl w:ilvl="0" w:tplc="040E000F">
      <w:start w:val="1"/>
      <w:numFmt w:val="decimal"/>
      <w:lvlText w:val="%1."/>
      <w:lvlJc w:val="left"/>
      <w:pPr>
        <w:tabs>
          <w:tab w:val="num" w:pos="1428"/>
        </w:tabs>
        <w:ind w:left="1428" w:hanging="360"/>
      </w:pPr>
      <w:rPr>
        <w:rFonts w:cs="Times New Roman"/>
      </w:rPr>
    </w:lvl>
    <w:lvl w:ilvl="1" w:tplc="040E0019" w:tentative="1">
      <w:start w:val="1"/>
      <w:numFmt w:val="lowerLetter"/>
      <w:lvlText w:val="%2."/>
      <w:lvlJc w:val="left"/>
      <w:pPr>
        <w:tabs>
          <w:tab w:val="num" w:pos="2148"/>
        </w:tabs>
        <w:ind w:left="2148" w:hanging="360"/>
      </w:pPr>
      <w:rPr>
        <w:rFonts w:cs="Times New Roman"/>
      </w:rPr>
    </w:lvl>
    <w:lvl w:ilvl="2" w:tplc="040E001B" w:tentative="1">
      <w:start w:val="1"/>
      <w:numFmt w:val="lowerRoman"/>
      <w:lvlText w:val="%3."/>
      <w:lvlJc w:val="right"/>
      <w:pPr>
        <w:tabs>
          <w:tab w:val="num" w:pos="2868"/>
        </w:tabs>
        <w:ind w:left="2868" w:hanging="180"/>
      </w:pPr>
      <w:rPr>
        <w:rFonts w:cs="Times New Roman"/>
      </w:rPr>
    </w:lvl>
    <w:lvl w:ilvl="3" w:tplc="040E000F" w:tentative="1">
      <w:start w:val="1"/>
      <w:numFmt w:val="decimal"/>
      <w:lvlText w:val="%4."/>
      <w:lvlJc w:val="left"/>
      <w:pPr>
        <w:tabs>
          <w:tab w:val="num" w:pos="3588"/>
        </w:tabs>
        <w:ind w:left="3588" w:hanging="360"/>
      </w:pPr>
      <w:rPr>
        <w:rFonts w:cs="Times New Roman"/>
      </w:rPr>
    </w:lvl>
    <w:lvl w:ilvl="4" w:tplc="040E0019" w:tentative="1">
      <w:start w:val="1"/>
      <w:numFmt w:val="lowerLetter"/>
      <w:lvlText w:val="%5."/>
      <w:lvlJc w:val="left"/>
      <w:pPr>
        <w:tabs>
          <w:tab w:val="num" w:pos="4308"/>
        </w:tabs>
        <w:ind w:left="4308" w:hanging="360"/>
      </w:pPr>
      <w:rPr>
        <w:rFonts w:cs="Times New Roman"/>
      </w:rPr>
    </w:lvl>
    <w:lvl w:ilvl="5" w:tplc="040E001B" w:tentative="1">
      <w:start w:val="1"/>
      <w:numFmt w:val="lowerRoman"/>
      <w:lvlText w:val="%6."/>
      <w:lvlJc w:val="right"/>
      <w:pPr>
        <w:tabs>
          <w:tab w:val="num" w:pos="5028"/>
        </w:tabs>
        <w:ind w:left="5028" w:hanging="180"/>
      </w:pPr>
      <w:rPr>
        <w:rFonts w:cs="Times New Roman"/>
      </w:rPr>
    </w:lvl>
    <w:lvl w:ilvl="6" w:tplc="040E000F" w:tentative="1">
      <w:start w:val="1"/>
      <w:numFmt w:val="decimal"/>
      <w:lvlText w:val="%7."/>
      <w:lvlJc w:val="left"/>
      <w:pPr>
        <w:tabs>
          <w:tab w:val="num" w:pos="5748"/>
        </w:tabs>
        <w:ind w:left="5748" w:hanging="360"/>
      </w:pPr>
      <w:rPr>
        <w:rFonts w:cs="Times New Roman"/>
      </w:rPr>
    </w:lvl>
    <w:lvl w:ilvl="7" w:tplc="040E0019" w:tentative="1">
      <w:start w:val="1"/>
      <w:numFmt w:val="lowerLetter"/>
      <w:lvlText w:val="%8."/>
      <w:lvlJc w:val="left"/>
      <w:pPr>
        <w:tabs>
          <w:tab w:val="num" w:pos="6468"/>
        </w:tabs>
        <w:ind w:left="6468" w:hanging="360"/>
      </w:pPr>
      <w:rPr>
        <w:rFonts w:cs="Times New Roman"/>
      </w:rPr>
    </w:lvl>
    <w:lvl w:ilvl="8" w:tplc="040E001B" w:tentative="1">
      <w:start w:val="1"/>
      <w:numFmt w:val="lowerRoman"/>
      <w:lvlText w:val="%9."/>
      <w:lvlJc w:val="right"/>
      <w:pPr>
        <w:tabs>
          <w:tab w:val="num" w:pos="7188"/>
        </w:tabs>
        <w:ind w:left="7188" w:hanging="180"/>
      </w:pPr>
      <w:rPr>
        <w:rFonts w:cs="Times New Roman"/>
      </w:rPr>
    </w:lvl>
  </w:abstractNum>
  <w:abstractNum w:abstractNumId="13" w15:restartNumberingAfterBreak="0">
    <w:nsid w:val="7B50758C"/>
    <w:multiLevelType w:val="hybridMultilevel"/>
    <w:tmpl w:val="AD3E9A1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8F78C7"/>
    <w:multiLevelType w:val="hybridMultilevel"/>
    <w:tmpl w:val="5A747B50"/>
    <w:lvl w:ilvl="0" w:tplc="F238FBEA">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7E6B23FA"/>
    <w:multiLevelType w:val="singleLevel"/>
    <w:tmpl w:val="A968AABA"/>
    <w:lvl w:ilvl="0">
      <w:start w:val="1"/>
      <w:numFmt w:val="upperRoman"/>
      <w:lvlText w:val="%1."/>
      <w:lvlJc w:val="left"/>
      <w:pPr>
        <w:tabs>
          <w:tab w:val="num" w:pos="720"/>
        </w:tabs>
        <w:ind w:left="720" w:hanging="720"/>
      </w:pPr>
      <w:rPr>
        <w:rFonts w:cs="Times New Roman" w:hint="default"/>
        <w:b/>
      </w:rPr>
    </w:lvl>
  </w:abstractNum>
  <w:num w:numId="1" w16cid:durableId="741486338">
    <w:abstractNumId w:val="0"/>
  </w:num>
  <w:num w:numId="2" w16cid:durableId="483594056">
    <w:abstractNumId w:val="1"/>
  </w:num>
  <w:num w:numId="3" w16cid:durableId="1699963815">
    <w:abstractNumId w:val="15"/>
  </w:num>
  <w:num w:numId="4" w16cid:durableId="1103692969">
    <w:abstractNumId w:val="12"/>
  </w:num>
  <w:num w:numId="5" w16cid:durableId="1682468965">
    <w:abstractNumId w:val="14"/>
  </w:num>
  <w:num w:numId="6" w16cid:durableId="682825375">
    <w:abstractNumId w:val="2"/>
  </w:num>
  <w:num w:numId="7" w16cid:durableId="370769419">
    <w:abstractNumId w:val="4"/>
  </w:num>
  <w:num w:numId="8" w16cid:durableId="753890869">
    <w:abstractNumId w:val="13"/>
  </w:num>
  <w:num w:numId="9" w16cid:durableId="546257917">
    <w:abstractNumId w:val="8"/>
  </w:num>
  <w:num w:numId="10" w16cid:durableId="464196676">
    <w:abstractNumId w:val="10"/>
  </w:num>
  <w:num w:numId="11" w16cid:durableId="612637620">
    <w:abstractNumId w:val="9"/>
  </w:num>
  <w:num w:numId="12" w16cid:durableId="274797944">
    <w:abstractNumId w:val="6"/>
  </w:num>
  <w:num w:numId="13" w16cid:durableId="1509443769">
    <w:abstractNumId w:val="3"/>
  </w:num>
  <w:num w:numId="14" w16cid:durableId="304967974">
    <w:abstractNumId w:val="5"/>
  </w:num>
  <w:num w:numId="15" w16cid:durableId="363600937">
    <w:abstractNumId w:val="7"/>
  </w:num>
  <w:num w:numId="16" w16cid:durableId="4155641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8FC"/>
    <w:rsid w:val="00010610"/>
    <w:rsid w:val="000265A7"/>
    <w:rsid w:val="00033040"/>
    <w:rsid w:val="00061BBD"/>
    <w:rsid w:val="0006564A"/>
    <w:rsid w:val="000C689A"/>
    <w:rsid w:val="000D35C3"/>
    <w:rsid w:val="000E2BCD"/>
    <w:rsid w:val="000E64BE"/>
    <w:rsid w:val="00100913"/>
    <w:rsid w:val="00101BE4"/>
    <w:rsid w:val="00104C01"/>
    <w:rsid w:val="00105147"/>
    <w:rsid w:val="00107659"/>
    <w:rsid w:val="001166ED"/>
    <w:rsid w:val="00123ED3"/>
    <w:rsid w:val="00157CB2"/>
    <w:rsid w:val="00181191"/>
    <w:rsid w:val="00192EDF"/>
    <w:rsid w:val="001D2BA0"/>
    <w:rsid w:val="001E1903"/>
    <w:rsid w:val="001E4972"/>
    <w:rsid w:val="001E5F9D"/>
    <w:rsid w:val="001F471C"/>
    <w:rsid w:val="00223A88"/>
    <w:rsid w:val="0024222A"/>
    <w:rsid w:val="00254ABC"/>
    <w:rsid w:val="00270440"/>
    <w:rsid w:val="002860B9"/>
    <w:rsid w:val="002C7886"/>
    <w:rsid w:val="002E798B"/>
    <w:rsid w:val="002F0E0C"/>
    <w:rsid w:val="002F7E7E"/>
    <w:rsid w:val="003353E8"/>
    <w:rsid w:val="0033765F"/>
    <w:rsid w:val="003720B4"/>
    <w:rsid w:val="00376512"/>
    <w:rsid w:val="0038253F"/>
    <w:rsid w:val="00385D32"/>
    <w:rsid w:val="003956CA"/>
    <w:rsid w:val="003B4DE3"/>
    <w:rsid w:val="003F6B6E"/>
    <w:rsid w:val="00416EAA"/>
    <w:rsid w:val="00447FAD"/>
    <w:rsid w:val="00456272"/>
    <w:rsid w:val="0048245C"/>
    <w:rsid w:val="004923CE"/>
    <w:rsid w:val="004A7799"/>
    <w:rsid w:val="004B5349"/>
    <w:rsid w:val="004B75F4"/>
    <w:rsid w:val="004F04B2"/>
    <w:rsid w:val="004F7C66"/>
    <w:rsid w:val="00503EB5"/>
    <w:rsid w:val="00521246"/>
    <w:rsid w:val="00523F78"/>
    <w:rsid w:val="005434BF"/>
    <w:rsid w:val="005658FC"/>
    <w:rsid w:val="005720B3"/>
    <w:rsid w:val="005934E4"/>
    <w:rsid w:val="005A5530"/>
    <w:rsid w:val="005B3592"/>
    <w:rsid w:val="005B535E"/>
    <w:rsid w:val="005B5939"/>
    <w:rsid w:val="005B636D"/>
    <w:rsid w:val="005F5F03"/>
    <w:rsid w:val="00617EA5"/>
    <w:rsid w:val="006529C9"/>
    <w:rsid w:val="006864DF"/>
    <w:rsid w:val="006C3FE2"/>
    <w:rsid w:val="006C6025"/>
    <w:rsid w:val="006D4B15"/>
    <w:rsid w:val="0071237B"/>
    <w:rsid w:val="00714BF6"/>
    <w:rsid w:val="00722B51"/>
    <w:rsid w:val="00756682"/>
    <w:rsid w:val="00765BEF"/>
    <w:rsid w:val="00795FF0"/>
    <w:rsid w:val="007C7E16"/>
    <w:rsid w:val="007D4708"/>
    <w:rsid w:val="007E1BC0"/>
    <w:rsid w:val="007F69CD"/>
    <w:rsid w:val="00801331"/>
    <w:rsid w:val="0080409B"/>
    <w:rsid w:val="008118B8"/>
    <w:rsid w:val="00837FBD"/>
    <w:rsid w:val="00843FEB"/>
    <w:rsid w:val="00873C5C"/>
    <w:rsid w:val="008A4187"/>
    <w:rsid w:val="008C411F"/>
    <w:rsid w:val="008C4E83"/>
    <w:rsid w:val="008E2418"/>
    <w:rsid w:val="00924666"/>
    <w:rsid w:val="00937926"/>
    <w:rsid w:val="00992898"/>
    <w:rsid w:val="009A2166"/>
    <w:rsid w:val="009A4DF1"/>
    <w:rsid w:val="009C321E"/>
    <w:rsid w:val="009D6E5E"/>
    <w:rsid w:val="009E1C6D"/>
    <w:rsid w:val="00A52739"/>
    <w:rsid w:val="00A5418D"/>
    <w:rsid w:val="00A9180E"/>
    <w:rsid w:val="00AB72C1"/>
    <w:rsid w:val="00AD7D87"/>
    <w:rsid w:val="00AE0181"/>
    <w:rsid w:val="00AF6928"/>
    <w:rsid w:val="00B014C9"/>
    <w:rsid w:val="00B17187"/>
    <w:rsid w:val="00B17995"/>
    <w:rsid w:val="00B35588"/>
    <w:rsid w:val="00B64CC6"/>
    <w:rsid w:val="00B64EE6"/>
    <w:rsid w:val="00B7491F"/>
    <w:rsid w:val="00B97FA3"/>
    <w:rsid w:val="00BA0C05"/>
    <w:rsid w:val="00BA2007"/>
    <w:rsid w:val="00BB0814"/>
    <w:rsid w:val="00BB5B36"/>
    <w:rsid w:val="00C00E63"/>
    <w:rsid w:val="00C12B05"/>
    <w:rsid w:val="00C238DD"/>
    <w:rsid w:val="00C24A46"/>
    <w:rsid w:val="00C33F33"/>
    <w:rsid w:val="00C42CAF"/>
    <w:rsid w:val="00C5203A"/>
    <w:rsid w:val="00C67473"/>
    <w:rsid w:val="00C75789"/>
    <w:rsid w:val="00C83AEA"/>
    <w:rsid w:val="00CA2A4C"/>
    <w:rsid w:val="00CA2F1D"/>
    <w:rsid w:val="00D021CD"/>
    <w:rsid w:val="00D02707"/>
    <w:rsid w:val="00D1594E"/>
    <w:rsid w:val="00D163DA"/>
    <w:rsid w:val="00D238C2"/>
    <w:rsid w:val="00D36E2C"/>
    <w:rsid w:val="00D43C50"/>
    <w:rsid w:val="00D7499B"/>
    <w:rsid w:val="00D8329D"/>
    <w:rsid w:val="00DA310E"/>
    <w:rsid w:val="00DB6C96"/>
    <w:rsid w:val="00DE1651"/>
    <w:rsid w:val="00DE1F2B"/>
    <w:rsid w:val="00E23578"/>
    <w:rsid w:val="00E278DA"/>
    <w:rsid w:val="00E31783"/>
    <w:rsid w:val="00E34659"/>
    <w:rsid w:val="00E42EBE"/>
    <w:rsid w:val="00E523FE"/>
    <w:rsid w:val="00E5584C"/>
    <w:rsid w:val="00E74C57"/>
    <w:rsid w:val="00E806E0"/>
    <w:rsid w:val="00E823ED"/>
    <w:rsid w:val="00EA123F"/>
    <w:rsid w:val="00EB240A"/>
    <w:rsid w:val="00EC56F3"/>
    <w:rsid w:val="00EC5706"/>
    <w:rsid w:val="00F72A3C"/>
    <w:rsid w:val="00F83F3C"/>
    <w:rsid w:val="00FA6F91"/>
    <w:rsid w:val="00FC6758"/>
    <w:rsid w:val="00FC6AE9"/>
    <w:rsid w:val="00FE31D2"/>
    <w:rsid w:val="00FE4017"/>
    <w:rsid w:val="00FF14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1DBA07"/>
  <w15:chartTrackingRefBased/>
  <w15:docId w15:val="{0F9FC03F-1440-4762-B3F6-923ADF7E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snapToGrid w:val="0"/>
    </w:rPr>
  </w:style>
  <w:style w:type="paragraph" w:styleId="Cmsor2">
    <w:name w:val="heading 2"/>
    <w:basedOn w:val="Norml"/>
    <w:next w:val="Norml"/>
    <w:link w:val="Cmsor2Char"/>
    <w:uiPriority w:val="9"/>
    <w:qFormat/>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
    <w:qFormat/>
    <w:pPr>
      <w:keepNext/>
      <w:spacing w:before="240" w:after="60"/>
      <w:outlineLvl w:val="2"/>
    </w:pPr>
    <w:rPr>
      <w:rFonts w:ascii="Arial" w:hAnsi="Arial" w:cs="Arial"/>
      <w:b/>
      <w:bCs/>
      <w:sz w:val="26"/>
      <w:szCs w:val="26"/>
    </w:rPr>
  </w:style>
  <w:style w:type="paragraph" w:styleId="Cmsor4">
    <w:name w:val="heading 4"/>
    <w:basedOn w:val="Norml"/>
    <w:next w:val="Norml"/>
    <w:link w:val="Cmsor4Char"/>
    <w:uiPriority w:val="9"/>
    <w:qFormat/>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Pr>
      <w:rFonts w:ascii="Cambria" w:eastAsia="Times New Roman" w:hAnsi="Cambria" w:cs="Times New Roman"/>
      <w:b/>
      <w:bCs/>
      <w:i/>
      <w:iCs/>
      <w:snapToGrid w:val="0"/>
      <w:sz w:val="28"/>
      <w:szCs w:val="28"/>
    </w:rPr>
  </w:style>
  <w:style w:type="character" w:customStyle="1" w:styleId="Cmsor3Char">
    <w:name w:val="Címsor 3 Char"/>
    <w:basedOn w:val="Bekezdsalapbettpusa"/>
    <w:link w:val="Cmsor3"/>
    <w:uiPriority w:val="9"/>
    <w:semiHidden/>
    <w:rPr>
      <w:rFonts w:ascii="Cambria" w:eastAsia="Times New Roman" w:hAnsi="Cambria" w:cs="Times New Roman"/>
      <w:b/>
      <w:bCs/>
      <w:snapToGrid w:val="0"/>
      <w:sz w:val="26"/>
      <w:szCs w:val="26"/>
    </w:rPr>
  </w:style>
  <w:style w:type="character" w:customStyle="1" w:styleId="Cmsor4Char">
    <w:name w:val="Címsor 4 Char"/>
    <w:basedOn w:val="Bekezdsalapbettpusa"/>
    <w:link w:val="Cmsor4"/>
    <w:uiPriority w:val="9"/>
    <w:semiHidden/>
    <w:rPr>
      <w:rFonts w:ascii="Calibri" w:eastAsia="Times New Roman" w:hAnsi="Calibri" w:cs="Times New Roman"/>
      <w:b/>
      <w:bCs/>
      <w:snapToGrid w:val="0"/>
      <w:sz w:val="28"/>
      <w:szCs w:val="28"/>
    </w:rPr>
  </w:style>
  <w:style w:type="character" w:styleId="Jegyzethivatkozs">
    <w:name w:val="annotation reference"/>
    <w:basedOn w:val="Bekezdsalapbettpusa"/>
    <w:uiPriority w:val="99"/>
    <w:semiHidden/>
    <w:rPr>
      <w:rFonts w:cs="Times New Roman"/>
      <w:sz w:val="16"/>
      <w:szCs w:val="16"/>
    </w:rPr>
  </w:style>
  <w:style w:type="paragraph" w:styleId="Jegyzetszveg">
    <w:name w:val="annotation text"/>
    <w:basedOn w:val="Norml"/>
    <w:link w:val="JegyzetszvegChar"/>
    <w:uiPriority w:val="99"/>
    <w:semiHidden/>
  </w:style>
  <w:style w:type="character" w:customStyle="1" w:styleId="JegyzetszvegChar">
    <w:name w:val="Jegyzetszöveg Char"/>
    <w:basedOn w:val="Bekezdsalapbettpusa"/>
    <w:link w:val="Jegyzetszveg"/>
    <w:uiPriority w:val="99"/>
    <w:semiHidden/>
    <w:rPr>
      <w:rFonts w:ascii="Times New Roman" w:hAnsi="Times New Roman" w:cs="Times New Roman"/>
      <w:snapToGrid w:val="0"/>
    </w:rPr>
  </w:style>
  <w:style w:type="paragraph" w:styleId="Buborkszveg">
    <w:name w:val="Balloon Text"/>
    <w:basedOn w:val="Norml"/>
    <w:link w:val="BuborkszvegChar"/>
    <w:uiPriority w:val="99"/>
    <w:semiHidden/>
    <w:rPr>
      <w:sz w:val="16"/>
      <w:szCs w:val="16"/>
    </w:rPr>
  </w:style>
  <w:style w:type="character" w:customStyle="1" w:styleId="BuborkszvegChar">
    <w:name w:val="Buborékszöveg Char"/>
    <w:basedOn w:val="Bekezdsalapbettpusa"/>
    <w:link w:val="Buborkszveg"/>
    <w:uiPriority w:val="99"/>
    <w:semiHidden/>
    <w:rPr>
      <w:rFonts w:ascii="Tahoma" w:hAnsi="Tahoma" w:cs="Tahoma"/>
      <w:snapToGrid w:val="0"/>
      <w:sz w:val="16"/>
      <w:szCs w:val="16"/>
    </w:rPr>
  </w:style>
  <w:style w:type="character" w:styleId="Hiperhivatkozs">
    <w:name w:val="Hyperlink"/>
    <w:basedOn w:val="Bekezdsalapbettpusa"/>
    <w:uiPriority w:val="99"/>
    <w:rPr>
      <w:rFonts w:cs="Times New Roman"/>
      <w:color w:val="0000FF"/>
      <w:u w:val="single"/>
    </w:rPr>
  </w:style>
  <w:style w:type="paragraph" w:styleId="lfej">
    <w:name w:val="header"/>
    <w:basedOn w:val="Norml"/>
    <w:link w:val="lfejChar"/>
    <w:uiPriority w:val="99"/>
    <w:pPr>
      <w:tabs>
        <w:tab w:val="center" w:pos="4536"/>
        <w:tab w:val="right" w:pos="9072"/>
      </w:tabs>
    </w:pPr>
  </w:style>
  <w:style w:type="character" w:customStyle="1" w:styleId="lfejChar">
    <w:name w:val="Élőfej Char"/>
    <w:basedOn w:val="Bekezdsalapbettpusa"/>
    <w:link w:val="lfej"/>
    <w:uiPriority w:val="99"/>
    <w:semiHidden/>
    <w:rPr>
      <w:rFonts w:ascii="Times New Roman" w:hAnsi="Times New Roman" w:cs="Times New Roman"/>
      <w:snapToGrid w:val="0"/>
    </w:rPr>
  </w:style>
  <w:style w:type="paragraph" w:styleId="llb">
    <w:name w:val="footer"/>
    <w:basedOn w:val="Norml"/>
    <w:link w:val="llbChar"/>
    <w:uiPriority w:val="99"/>
    <w:pPr>
      <w:tabs>
        <w:tab w:val="center" w:pos="4536"/>
        <w:tab w:val="right" w:pos="9072"/>
      </w:tabs>
    </w:pPr>
  </w:style>
  <w:style w:type="character" w:customStyle="1" w:styleId="llbChar">
    <w:name w:val="Élőláb Char"/>
    <w:basedOn w:val="Bekezdsalapbettpusa"/>
    <w:link w:val="llb"/>
    <w:uiPriority w:val="99"/>
    <w:semiHidden/>
    <w:rPr>
      <w:rFonts w:ascii="Times New Roman" w:hAnsi="Times New Roman" w:cs="Times New Roman"/>
      <w:snapToGrid w:val="0"/>
    </w:rPr>
  </w:style>
  <w:style w:type="character" w:styleId="Oldalszm">
    <w:name w:val="page number"/>
    <w:basedOn w:val="Bekezdsalapbettpusa"/>
    <w:uiPriority w:val="99"/>
    <w:rPr>
      <w:rFonts w:cs="Times New Roman"/>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basedOn w:val="JegyzetszvegChar"/>
    <w:link w:val="Megjegyzstrgya"/>
    <w:uiPriority w:val="99"/>
    <w:semiHidden/>
    <w:rPr>
      <w:rFonts w:ascii="Times New Roman" w:hAnsi="Times New Roman" w:cs="Times New Roman"/>
      <w:b/>
      <w:bCs/>
      <w:snapToGrid w:val="0"/>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Vltozat">
    <w:name w:val="Revision"/>
    <w:hidden/>
    <w:uiPriority w:val="99"/>
    <w:semiHidden/>
    <w:rsid w:val="003720B4"/>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98DAB-811B-4E2F-96C5-3887B3E15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599</Words>
  <Characters>3106</Characters>
  <Application>Microsoft Office Word</Application>
  <DocSecurity>0</DocSecurity>
  <Lines>25</Lines>
  <Paragraphs>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adatszolgáltatás azonosító: R… </vt:lpstr>
      <vt:lpstr>MNB adatszolgáltatás azonosító: R… </vt:lpstr>
    </vt:vector>
  </TitlesOfParts>
  <Company>Magyar Nemzeti Bank</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adatszolgáltatás azonosító: R…</dc:title>
  <dc:subject/>
  <dc:creator>nemethneed</dc:creator>
  <cp:keywords/>
  <dc:description/>
  <cp:lastModifiedBy>Juhász Katalin</cp:lastModifiedBy>
  <cp:revision>2</cp:revision>
  <dcterms:created xsi:type="dcterms:W3CDTF">2025-05-14T16:34:00Z</dcterms:created>
  <dcterms:modified xsi:type="dcterms:W3CDTF">2025-05-14T16:34:00Z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-226786954</vt:i4>
  </property>
  <property fmtid="{D5CDD505-2E9C-101B-9397-08002B2CF9AE}" pid="3" name="_EmailSubject">
    <vt:lpwstr>MNB rendelet - fizetési mérleg adatszolgáltatások</vt:lpwstr>
  </property>
  <property fmtid="{D5CDD505-2E9C-101B-9397-08002B2CF9AE}" pid="4" name="_AuthorEmail">
    <vt:lpwstr>gubeknei@mnb.hu</vt:lpwstr>
  </property>
  <property fmtid="{D5CDD505-2E9C-101B-9397-08002B2CF9AE}" pid="5" name="_AuthorEmailDisplayName">
    <vt:lpwstr>Gubekné dr. Szeder Ildikó</vt:lpwstr>
  </property>
  <property fmtid="{D5CDD505-2E9C-101B-9397-08002B2CF9AE}" pid="6" name="_PreviousAdHocReviewCycleID">
    <vt:i4>392783155</vt:i4>
  </property>
  <property fmtid="{D5CDD505-2E9C-101B-9397-08002B2CF9AE}" pid="7" name="_ReviewingToolsShownOnce">
    <vt:lpwstr/>
  </property>
</Properties>
</file>