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42CC5" w14:textId="77777777" w:rsidR="00D91509" w:rsidRPr="00C43F7A" w:rsidRDefault="00D91509">
      <w:pPr>
        <w:pStyle w:val="lfej"/>
        <w:rPr>
          <w:rFonts w:ascii="Arial" w:hAnsi="Arial" w:cs="Arial"/>
          <w:sz w:val="20"/>
          <w:szCs w:val="20"/>
        </w:rPr>
      </w:pPr>
      <w:r w:rsidRPr="00C43F7A">
        <w:rPr>
          <w:rFonts w:ascii="Arial" w:hAnsi="Arial" w:cs="Arial"/>
          <w:sz w:val="20"/>
          <w:szCs w:val="20"/>
          <w:lang w:val="en-GB"/>
        </w:rPr>
        <w:t xml:space="preserve">MNB identification number: </w:t>
      </w:r>
      <w:r w:rsidRPr="00C43F7A">
        <w:rPr>
          <w:rFonts w:ascii="Arial" w:hAnsi="Arial" w:cs="Arial"/>
          <w:b/>
          <w:bCs/>
          <w:sz w:val="20"/>
          <w:szCs w:val="20"/>
          <w:lang w:val="en-GB"/>
        </w:rPr>
        <w:t xml:space="preserve">R29 </w:t>
      </w:r>
    </w:p>
    <w:p w14:paraId="75D6563B" w14:textId="77777777" w:rsidR="00D91509" w:rsidRPr="00C43F7A" w:rsidRDefault="00D91509">
      <w:pPr>
        <w:jc w:val="center"/>
        <w:rPr>
          <w:rFonts w:ascii="Arial" w:hAnsi="Arial" w:cs="Arial"/>
          <w:sz w:val="20"/>
          <w:szCs w:val="20"/>
        </w:rPr>
      </w:pPr>
    </w:p>
    <w:p w14:paraId="3AB71F61" w14:textId="77777777" w:rsidR="00D91509" w:rsidRPr="00C43F7A" w:rsidRDefault="00D91509">
      <w:pPr>
        <w:jc w:val="center"/>
        <w:rPr>
          <w:rFonts w:ascii="Arial" w:hAnsi="Arial" w:cs="Arial"/>
          <w:b/>
          <w:sz w:val="20"/>
          <w:szCs w:val="20"/>
        </w:rPr>
      </w:pPr>
      <w:r w:rsidRPr="00C43F7A">
        <w:rPr>
          <w:rFonts w:ascii="Arial" w:hAnsi="Arial" w:cs="Arial"/>
          <w:b/>
          <w:bCs/>
          <w:sz w:val="20"/>
          <w:szCs w:val="20"/>
          <w:lang w:val="en-GB"/>
        </w:rPr>
        <w:t>Completion instructions for the report</w:t>
      </w:r>
    </w:p>
    <w:p w14:paraId="1E3B8F27" w14:textId="77777777" w:rsidR="00D91509" w:rsidRPr="00C43F7A" w:rsidRDefault="00D91509">
      <w:pPr>
        <w:jc w:val="center"/>
        <w:rPr>
          <w:rFonts w:ascii="Arial" w:hAnsi="Arial" w:cs="Arial"/>
          <w:sz w:val="20"/>
          <w:szCs w:val="20"/>
        </w:rPr>
      </w:pPr>
      <w:r w:rsidRPr="00C43F7A">
        <w:rPr>
          <w:rFonts w:ascii="Arial" w:hAnsi="Arial" w:cs="Arial"/>
          <w:b/>
          <w:bCs/>
          <w:sz w:val="20"/>
          <w:szCs w:val="20"/>
          <w:lang w:val="en-GB"/>
        </w:rPr>
        <w:t>Annual data supply of capital investments</w:t>
      </w:r>
    </w:p>
    <w:p w14:paraId="6DEF8682" w14:textId="77777777" w:rsidR="00D91509" w:rsidRPr="00C43F7A" w:rsidRDefault="00D91509">
      <w:pPr>
        <w:jc w:val="center"/>
        <w:rPr>
          <w:rFonts w:ascii="Arial" w:hAnsi="Arial" w:cs="Arial"/>
          <w:sz w:val="20"/>
          <w:szCs w:val="20"/>
        </w:rPr>
      </w:pPr>
    </w:p>
    <w:p w14:paraId="19082409" w14:textId="77777777" w:rsidR="00D91509" w:rsidRPr="00C43F7A" w:rsidRDefault="00D91509">
      <w:pPr>
        <w:pStyle w:val="Cmsor1"/>
        <w:spacing w:before="0" w:after="120"/>
        <w:rPr>
          <w:rFonts w:ascii="Arial" w:hAnsi="Arial" w:cs="Arial"/>
          <w:bCs w:val="0"/>
          <w:sz w:val="20"/>
          <w:szCs w:val="20"/>
        </w:rPr>
      </w:pPr>
      <w:r w:rsidRPr="00C43F7A">
        <w:rPr>
          <w:rFonts w:ascii="Arial" w:hAnsi="Arial" w:cs="Arial"/>
          <w:sz w:val="20"/>
          <w:szCs w:val="20"/>
          <w:lang w:val="en-GB"/>
        </w:rPr>
        <w:t>I. General instructions</w:t>
      </w:r>
    </w:p>
    <w:p w14:paraId="685B3C04" w14:textId="77777777" w:rsidR="00D91509" w:rsidRPr="00C43F7A" w:rsidRDefault="00D91509">
      <w:pPr>
        <w:numPr>
          <w:ilvl w:val="0"/>
          <w:numId w:val="32"/>
        </w:numPr>
        <w:jc w:val="both"/>
        <w:rPr>
          <w:rFonts w:ascii="Arial" w:hAnsi="Arial" w:cs="Arial"/>
          <w:b/>
          <w:sz w:val="20"/>
          <w:szCs w:val="20"/>
        </w:rPr>
      </w:pPr>
      <w:r w:rsidRPr="00C43F7A">
        <w:rPr>
          <w:rFonts w:ascii="Arial" w:hAnsi="Arial" w:cs="Arial"/>
          <w:b/>
          <w:bCs/>
          <w:sz w:val="20"/>
          <w:szCs w:val="20"/>
          <w:lang w:val="en-GB"/>
        </w:rPr>
        <w:t>Transactions to be included in the data supply</w:t>
      </w:r>
    </w:p>
    <w:p w14:paraId="0F1A61FD" w14:textId="77777777" w:rsidR="00D91509" w:rsidRPr="00C43F7A" w:rsidRDefault="00D91509">
      <w:pPr>
        <w:numPr>
          <w:ilvl w:val="1"/>
          <w:numId w:val="32"/>
        </w:numPr>
        <w:tabs>
          <w:tab w:val="clear" w:pos="1080"/>
          <w:tab w:val="num" w:pos="720"/>
        </w:tabs>
        <w:ind w:left="720"/>
        <w:jc w:val="both"/>
        <w:rPr>
          <w:rFonts w:ascii="Arial" w:hAnsi="Arial" w:cs="Arial"/>
          <w:sz w:val="20"/>
          <w:szCs w:val="20"/>
        </w:rPr>
      </w:pPr>
      <w:r w:rsidRPr="00C43F7A">
        <w:rPr>
          <w:rFonts w:ascii="Arial" w:hAnsi="Arial" w:cs="Arial"/>
          <w:sz w:val="20"/>
          <w:szCs w:val="20"/>
          <w:lang w:val="en-GB"/>
        </w:rPr>
        <w:t xml:space="preserve">The data supplier shall report data for registration purposes in Table TRE. </w:t>
      </w:r>
    </w:p>
    <w:p w14:paraId="022DD60B" w14:textId="77777777" w:rsidR="00D91509" w:rsidRPr="00C43F7A" w:rsidRDefault="00D91509">
      <w:pPr>
        <w:numPr>
          <w:ilvl w:val="1"/>
          <w:numId w:val="32"/>
        </w:numPr>
        <w:tabs>
          <w:tab w:val="clear" w:pos="1080"/>
          <w:tab w:val="num" w:pos="720"/>
        </w:tabs>
        <w:ind w:left="720"/>
        <w:jc w:val="both"/>
        <w:rPr>
          <w:rFonts w:ascii="Arial" w:hAnsi="Arial" w:cs="Arial"/>
          <w:sz w:val="20"/>
          <w:szCs w:val="20"/>
        </w:rPr>
      </w:pPr>
      <w:r w:rsidRPr="00C43F7A">
        <w:rPr>
          <w:rFonts w:ascii="Arial" w:hAnsi="Arial" w:cs="Arial"/>
          <w:sz w:val="20"/>
          <w:szCs w:val="20"/>
          <w:lang w:val="en-GB"/>
        </w:rPr>
        <w:t xml:space="preserve">In Tables TEA1-TEA5, data suppliers with non-resident direct or indirect investors are required to provide information on the investor’s equity </w:t>
      </w:r>
      <w:proofErr w:type="gramStart"/>
      <w:r w:rsidRPr="00C43F7A">
        <w:rPr>
          <w:rFonts w:ascii="Arial" w:hAnsi="Arial" w:cs="Arial"/>
          <w:sz w:val="20"/>
          <w:szCs w:val="20"/>
          <w:lang w:val="en-GB"/>
        </w:rPr>
        <w:t>interest, and</w:t>
      </w:r>
      <w:proofErr w:type="gramEnd"/>
      <w:r w:rsidRPr="00C43F7A">
        <w:rPr>
          <w:rFonts w:ascii="Arial" w:hAnsi="Arial" w:cs="Arial"/>
          <w:sz w:val="20"/>
          <w:szCs w:val="20"/>
          <w:lang w:val="en-GB"/>
        </w:rPr>
        <w:t xml:space="preserve"> disclose specific business information for the reference year and the year proceeding the reference year. Data suppliers operating as public limited companies listed on the Stock Exchange are not required to provide data on the portion of their shares held by foreign investors if they have no specific information on that. Tables marked TEA shall be completed if the data supplier had a non-resident direct investor or indirect investor belonging to the same enterprise group in the financial year that ended in the reference period, or on the last accounting day of the previous business year (except Tables TEA4 and TEA5, which should be completed only if the data supplier had a non-resident direct investor or indirect investor belonging to the same enterprise group on the last accounting day of the business year ended in the reference period). </w:t>
      </w:r>
    </w:p>
    <w:p w14:paraId="33792124" w14:textId="77777777" w:rsidR="00D91509" w:rsidRPr="00C43F7A" w:rsidRDefault="00D91509">
      <w:pPr>
        <w:numPr>
          <w:ilvl w:val="1"/>
          <w:numId w:val="32"/>
        </w:numPr>
        <w:tabs>
          <w:tab w:val="clear" w:pos="1080"/>
          <w:tab w:val="num" w:pos="720"/>
        </w:tabs>
        <w:ind w:left="720"/>
        <w:jc w:val="both"/>
        <w:rPr>
          <w:rFonts w:ascii="Arial" w:hAnsi="Arial" w:cs="Arial"/>
          <w:sz w:val="20"/>
          <w:szCs w:val="20"/>
        </w:rPr>
      </w:pPr>
      <w:r w:rsidRPr="00C43F7A">
        <w:rPr>
          <w:rFonts w:ascii="Arial" w:hAnsi="Arial" w:cs="Arial"/>
          <w:sz w:val="20"/>
          <w:szCs w:val="20"/>
          <w:lang w:val="en-GB"/>
        </w:rPr>
        <w:t>In Table TEL, the data supplier shall provide information on the investments made during the reference year with respect to its foreign direct investments, indirect investments, non-resident branches or fellow enterprises, and shall disclose certain information regarding the business year preceding the reference year. Tables marked TEL shall be completed if the data supplier had a direct voting power in any non-resident direct investment, indirect investment, non-resident branch or fellow enterprise in the financial year that ended in the reference period, or on the last accounting day of the previous business year.</w:t>
      </w:r>
    </w:p>
    <w:p w14:paraId="48F91DF3" w14:textId="77777777" w:rsidR="00D91509" w:rsidRPr="00C43F7A" w:rsidRDefault="00D91509">
      <w:pPr>
        <w:numPr>
          <w:ilvl w:val="1"/>
          <w:numId w:val="32"/>
        </w:numPr>
        <w:tabs>
          <w:tab w:val="clear" w:pos="1080"/>
          <w:tab w:val="num" w:pos="720"/>
        </w:tabs>
        <w:ind w:left="720"/>
        <w:jc w:val="both"/>
        <w:rPr>
          <w:rFonts w:ascii="Arial" w:hAnsi="Arial" w:cs="Arial"/>
          <w:sz w:val="20"/>
          <w:szCs w:val="20"/>
        </w:rPr>
      </w:pPr>
      <w:r w:rsidRPr="00C43F7A">
        <w:rPr>
          <w:rFonts w:ascii="Arial" w:hAnsi="Arial" w:cs="Arial"/>
          <w:sz w:val="20"/>
          <w:szCs w:val="20"/>
          <w:lang w:val="en-GB"/>
        </w:rPr>
        <w:t xml:space="preserve">Table </w:t>
      </w:r>
      <w:proofErr w:type="spellStart"/>
      <w:r w:rsidRPr="00C43F7A">
        <w:rPr>
          <w:rFonts w:ascii="Arial" w:hAnsi="Arial" w:cs="Arial"/>
          <w:sz w:val="20"/>
          <w:szCs w:val="20"/>
          <w:lang w:val="en-GB"/>
        </w:rPr>
        <w:t>TEI</w:t>
      </w:r>
      <w:proofErr w:type="spellEnd"/>
      <w:r w:rsidRPr="00C43F7A">
        <w:rPr>
          <w:rFonts w:ascii="Arial" w:hAnsi="Arial" w:cs="Arial"/>
          <w:sz w:val="20"/>
          <w:szCs w:val="20"/>
          <w:lang w:val="en-GB"/>
        </w:rPr>
        <w:t xml:space="preserve"> shall be completed if the data supplier owned a non-resident real estate in the reference year.</w:t>
      </w:r>
    </w:p>
    <w:p w14:paraId="17FEC2C7" w14:textId="77777777" w:rsidR="00D91509" w:rsidRPr="00C43F7A" w:rsidRDefault="00D91509">
      <w:pPr>
        <w:jc w:val="both"/>
        <w:rPr>
          <w:rFonts w:ascii="Arial" w:hAnsi="Arial" w:cs="Arial"/>
          <w:sz w:val="20"/>
          <w:szCs w:val="20"/>
        </w:rPr>
      </w:pPr>
    </w:p>
    <w:p w14:paraId="23831B6B" w14:textId="77777777" w:rsidR="00D91509" w:rsidRPr="00C43F7A" w:rsidRDefault="00D91509">
      <w:pPr>
        <w:numPr>
          <w:ilvl w:val="0"/>
          <w:numId w:val="32"/>
        </w:numPr>
        <w:jc w:val="both"/>
        <w:rPr>
          <w:rFonts w:ascii="Arial" w:hAnsi="Arial" w:cs="Arial"/>
          <w:b/>
          <w:sz w:val="20"/>
          <w:szCs w:val="20"/>
        </w:rPr>
      </w:pPr>
      <w:r w:rsidRPr="00C43F7A">
        <w:rPr>
          <w:rFonts w:ascii="Arial" w:hAnsi="Arial" w:cs="Arial"/>
          <w:b/>
          <w:bCs/>
          <w:sz w:val="20"/>
          <w:szCs w:val="20"/>
          <w:lang w:val="en-GB"/>
        </w:rPr>
        <w:t>Data items of the report</w:t>
      </w:r>
    </w:p>
    <w:p w14:paraId="77BFAA84" w14:textId="77777777" w:rsidR="00D91509" w:rsidRPr="00C43F7A" w:rsidRDefault="00D91509">
      <w:pPr>
        <w:jc w:val="both"/>
        <w:rPr>
          <w:rFonts w:ascii="Arial" w:hAnsi="Arial" w:cs="Arial"/>
          <w:sz w:val="20"/>
          <w:szCs w:val="20"/>
        </w:rPr>
      </w:pPr>
      <w:r w:rsidRPr="00C43F7A">
        <w:rPr>
          <w:rFonts w:ascii="Arial" w:hAnsi="Arial" w:cs="Arial"/>
          <w:sz w:val="20"/>
          <w:szCs w:val="20"/>
          <w:lang w:val="en-GB"/>
        </w:rPr>
        <w:t xml:space="preserve">Tables TEA1 and TEL shall contain the required data on non-resident direct and indirect investors, non-resident direct and indirect investments, non-resident branches and fellow enterprises, detailed separately for each partner. Partners are identified by partner ID codes. </w:t>
      </w:r>
    </w:p>
    <w:p w14:paraId="0EFD7135" w14:textId="77777777" w:rsidR="008863EA" w:rsidRPr="00C43F7A" w:rsidRDefault="008863EA">
      <w:pPr>
        <w:jc w:val="both"/>
        <w:rPr>
          <w:rFonts w:ascii="Arial" w:hAnsi="Arial" w:cs="Arial"/>
          <w:sz w:val="20"/>
          <w:szCs w:val="20"/>
        </w:rPr>
      </w:pPr>
    </w:p>
    <w:p w14:paraId="2BECBD6C" w14:textId="77777777" w:rsidR="00D91509" w:rsidRPr="00C43F7A" w:rsidRDefault="00D91509" w:rsidP="008863EA">
      <w:pPr>
        <w:jc w:val="both"/>
        <w:rPr>
          <w:rFonts w:ascii="Arial" w:hAnsi="Arial" w:cs="Arial"/>
          <w:sz w:val="20"/>
          <w:szCs w:val="20"/>
        </w:rPr>
      </w:pPr>
      <w:r w:rsidRPr="00C43F7A">
        <w:rPr>
          <w:rFonts w:ascii="Arial" w:hAnsi="Arial" w:cs="Arial"/>
          <w:sz w:val="20"/>
          <w:szCs w:val="20"/>
          <w:lang w:val="en-GB"/>
        </w:rPr>
        <w:t xml:space="preserve">In Tables TEA and </w:t>
      </w:r>
      <w:proofErr w:type="spellStart"/>
      <w:r w:rsidRPr="00C43F7A">
        <w:rPr>
          <w:rFonts w:ascii="Arial" w:hAnsi="Arial" w:cs="Arial"/>
          <w:sz w:val="20"/>
          <w:szCs w:val="20"/>
          <w:lang w:val="en-GB"/>
        </w:rPr>
        <w:t>TEI</w:t>
      </w:r>
      <w:proofErr w:type="spellEnd"/>
      <w:r w:rsidRPr="00C43F7A">
        <w:rPr>
          <w:rFonts w:ascii="Arial" w:hAnsi="Arial" w:cs="Arial"/>
          <w:sz w:val="20"/>
          <w:szCs w:val="20"/>
          <w:lang w:val="en-GB"/>
        </w:rPr>
        <w:t xml:space="preserve"> data are provided in the data supplier’s accounting currency, or in the data supplier’s presentation currency in case the report is assembled according to the IFRS rounded to thousands.</w:t>
      </w:r>
    </w:p>
    <w:p w14:paraId="342B906F" w14:textId="77777777" w:rsidR="00D91509" w:rsidRPr="00C43F7A" w:rsidRDefault="00D91509">
      <w:pPr>
        <w:spacing w:before="120"/>
        <w:jc w:val="both"/>
        <w:rPr>
          <w:rFonts w:ascii="Arial" w:hAnsi="Arial" w:cs="Arial"/>
          <w:sz w:val="20"/>
          <w:szCs w:val="20"/>
        </w:rPr>
      </w:pPr>
      <w:r w:rsidRPr="00C43F7A">
        <w:rPr>
          <w:rFonts w:ascii="Arial" w:hAnsi="Arial" w:cs="Arial"/>
          <w:sz w:val="20"/>
          <w:szCs w:val="20"/>
          <w:lang w:val="en-GB"/>
        </w:rPr>
        <w:t>In Tables marked TEL, data shall be provided in the accounting currency of the foreign direct investment, indirect investment, non-resident branch or fellow enterprise, rounded to thousands.</w:t>
      </w:r>
    </w:p>
    <w:p w14:paraId="0650AEA5" w14:textId="77777777" w:rsidR="00D91509" w:rsidRPr="00C43F7A" w:rsidRDefault="00D91509">
      <w:pPr>
        <w:jc w:val="both"/>
        <w:rPr>
          <w:rFonts w:ascii="Arial" w:hAnsi="Arial" w:cs="Arial"/>
          <w:sz w:val="20"/>
          <w:szCs w:val="20"/>
        </w:rPr>
      </w:pPr>
    </w:p>
    <w:p w14:paraId="6048ABE2" w14:textId="77777777" w:rsidR="00D91509" w:rsidRPr="00C43F7A" w:rsidRDefault="00D91509">
      <w:pPr>
        <w:numPr>
          <w:ilvl w:val="0"/>
          <w:numId w:val="32"/>
        </w:numPr>
        <w:jc w:val="both"/>
        <w:rPr>
          <w:rFonts w:ascii="Arial" w:hAnsi="Arial" w:cs="Arial"/>
          <w:b/>
          <w:sz w:val="20"/>
          <w:szCs w:val="20"/>
        </w:rPr>
      </w:pPr>
      <w:r w:rsidRPr="00C43F7A">
        <w:rPr>
          <w:rFonts w:ascii="Arial" w:hAnsi="Arial" w:cs="Arial"/>
          <w:b/>
          <w:bCs/>
          <w:sz w:val="20"/>
          <w:szCs w:val="20"/>
          <w:lang w:val="en-GB"/>
        </w:rPr>
        <w:t xml:space="preserve">Definition of the reference period </w:t>
      </w:r>
    </w:p>
    <w:p w14:paraId="5EF6E2ED" w14:textId="3EF87FB0" w:rsidR="00BD5A42" w:rsidRPr="00C43F7A" w:rsidRDefault="00977BCF" w:rsidP="00977BCF">
      <w:pPr>
        <w:ind w:right="4"/>
        <w:jc w:val="both"/>
        <w:rPr>
          <w:rFonts w:ascii="Arial" w:hAnsi="Arial" w:cs="Arial"/>
          <w:sz w:val="20"/>
          <w:szCs w:val="20"/>
        </w:rPr>
      </w:pPr>
      <w:r w:rsidRPr="00977BCF">
        <w:rPr>
          <w:rFonts w:ascii="Arial" w:hAnsi="Arial" w:cs="Arial"/>
          <w:sz w:val="20"/>
          <w:szCs w:val="20"/>
          <w:lang w:val="en-GB"/>
        </w:rPr>
        <w:t xml:space="preserve">The annual data supply shall be </w:t>
      </w:r>
      <w:r w:rsidR="00C72A27">
        <w:rPr>
          <w:rFonts w:ascii="Arial" w:hAnsi="Arial" w:cs="Arial"/>
          <w:sz w:val="20"/>
          <w:szCs w:val="20"/>
          <w:lang w:val="en-GB"/>
        </w:rPr>
        <w:t xml:space="preserve">reported </w:t>
      </w:r>
      <w:r w:rsidRPr="00977BCF">
        <w:rPr>
          <w:rFonts w:ascii="Arial" w:hAnsi="Arial" w:cs="Arial"/>
          <w:sz w:val="20"/>
          <w:szCs w:val="20"/>
          <w:lang w:val="en-GB"/>
        </w:rPr>
        <w:t>for the balance sheet date of the reporting year, simultaneously indicating the data for the balance sheet date of the previous year</w:t>
      </w:r>
      <w:r w:rsidR="003640DD">
        <w:rPr>
          <w:rFonts w:ascii="Arial" w:hAnsi="Arial" w:cs="Arial"/>
          <w:sz w:val="20"/>
          <w:szCs w:val="20"/>
          <w:lang w:val="en-GB"/>
        </w:rPr>
        <w:t xml:space="preserve"> as well</w:t>
      </w:r>
      <w:r w:rsidRPr="00977BCF">
        <w:rPr>
          <w:rFonts w:ascii="Arial" w:hAnsi="Arial" w:cs="Arial"/>
          <w:sz w:val="20"/>
          <w:szCs w:val="20"/>
          <w:lang w:val="en-GB"/>
        </w:rPr>
        <w:t xml:space="preserve">. </w:t>
      </w:r>
      <w:r w:rsidR="00BD5A42" w:rsidRPr="00C43F7A">
        <w:rPr>
          <w:rFonts w:ascii="Arial" w:hAnsi="Arial" w:cs="Arial"/>
          <w:sz w:val="20"/>
          <w:szCs w:val="20"/>
          <w:lang w:val="en-GB"/>
        </w:rPr>
        <w:t xml:space="preserve">In the case of data </w:t>
      </w:r>
      <w:r w:rsidRPr="00977BCF">
        <w:rPr>
          <w:rFonts w:ascii="Arial" w:hAnsi="Arial" w:cs="Arial"/>
          <w:sz w:val="20"/>
          <w:szCs w:val="20"/>
          <w:lang w:val="en-GB"/>
        </w:rPr>
        <w:t xml:space="preserve">providers with financial year other than the calendar year and their non-resident affiliates the reporting year shall mean the financial year closed between 1 February of the reporting year and 31 January of the following year. </w:t>
      </w:r>
    </w:p>
    <w:p w14:paraId="406C9888" w14:textId="77777777" w:rsidR="00D91509" w:rsidRPr="00C43F7A" w:rsidRDefault="00D91509">
      <w:pPr>
        <w:rPr>
          <w:rFonts w:ascii="Arial" w:hAnsi="Arial" w:cs="Arial"/>
          <w:b/>
          <w:sz w:val="20"/>
          <w:szCs w:val="20"/>
        </w:rPr>
      </w:pPr>
    </w:p>
    <w:p w14:paraId="21246B9B" w14:textId="753E88DF" w:rsidR="00D91509" w:rsidRPr="00C43F7A" w:rsidRDefault="00D91509">
      <w:pPr>
        <w:jc w:val="both"/>
        <w:rPr>
          <w:rFonts w:ascii="Arial" w:hAnsi="Arial" w:cs="Arial"/>
          <w:b/>
          <w:sz w:val="20"/>
          <w:szCs w:val="20"/>
        </w:rPr>
      </w:pPr>
      <w:r w:rsidRPr="00C43F7A">
        <w:rPr>
          <w:rFonts w:ascii="Arial" w:hAnsi="Arial" w:cs="Arial"/>
          <w:b/>
          <w:bCs/>
          <w:sz w:val="20"/>
          <w:szCs w:val="20"/>
          <w:lang w:val="en-GB"/>
        </w:rPr>
        <w:t>4.</w:t>
      </w:r>
      <w:r w:rsidRPr="00C43F7A">
        <w:rPr>
          <w:rFonts w:ascii="Arial" w:hAnsi="Arial" w:cs="Arial"/>
          <w:sz w:val="20"/>
          <w:szCs w:val="20"/>
          <w:lang w:val="en-GB"/>
        </w:rPr>
        <w:t xml:space="preserve"> A glossary of terms used in the tables and in these </w:t>
      </w:r>
      <w:proofErr w:type="gramStart"/>
      <w:r w:rsidRPr="00C43F7A">
        <w:rPr>
          <w:rFonts w:ascii="Arial" w:hAnsi="Arial" w:cs="Arial"/>
          <w:sz w:val="20"/>
          <w:szCs w:val="20"/>
          <w:lang w:val="en-GB"/>
        </w:rPr>
        <w:t>completion</w:t>
      </w:r>
      <w:proofErr w:type="gramEnd"/>
      <w:r w:rsidRPr="00C43F7A">
        <w:rPr>
          <w:rFonts w:ascii="Arial" w:hAnsi="Arial" w:cs="Arial"/>
          <w:sz w:val="20"/>
          <w:szCs w:val="20"/>
          <w:lang w:val="en-GB"/>
        </w:rPr>
        <w:t xml:space="preserve"> instructions is located in point I.</w:t>
      </w:r>
      <w:r w:rsidR="00FC3033">
        <w:rPr>
          <w:rFonts w:ascii="Arial" w:hAnsi="Arial" w:cs="Arial"/>
          <w:sz w:val="20"/>
          <w:szCs w:val="20"/>
          <w:lang w:val="en-GB"/>
        </w:rPr>
        <w:t xml:space="preserve"> E</w:t>
      </w:r>
      <w:r w:rsidRPr="00C43F7A">
        <w:rPr>
          <w:rFonts w:ascii="Arial" w:hAnsi="Arial" w:cs="Arial"/>
          <w:sz w:val="20"/>
          <w:szCs w:val="20"/>
          <w:lang w:val="en-GB"/>
        </w:rPr>
        <w:t>.</w:t>
      </w:r>
      <w:r w:rsidR="00FC3033">
        <w:rPr>
          <w:rFonts w:ascii="Arial" w:hAnsi="Arial" w:cs="Arial"/>
          <w:sz w:val="20"/>
          <w:szCs w:val="20"/>
          <w:lang w:val="en-GB"/>
        </w:rPr>
        <w:t xml:space="preserve"> </w:t>
      </w:r>
      <w:r w:rsidRPr="00C43F7A">
        <w:rPr>
          <w:rFonts w:ascii="Arial" w:hAnsi="Arial" w:cs="Arial"/>
          <w:sz w:val="20"/>
          <w:szCs w:val="20"/>
          <w:lang w:val="en-GB"/>
        </w:rPr>
        <w:t>5</w:t>
      </w:r>
      <w:r w:rsidR="00FC3033">
        <w:rPr>
          <w:rFonts w:ascii="Arial" w:hAnsi="Arial" w:cs="Arial"/>
          <w:sz w:val="20"/>
          <w:szCs w:val="20"/>
          <w:lang w:val="en-GB"/>
        </w:rPr>
        <w:t>.</w:t>
      </w:r>
      <w:r w:rsidRPr="00C43F7A">
        <w:rPr>
          <w:rFonts w:ascii="Arial" w:hAnsi="Arial" w:cs="Arial"/>
          <w:sz w:val="20"/>
          <w:szCs w:val="20"/>
          <w:lang w:val="en-GB"/>
        </w:rPr>
        <w:t xml:space="preserve"> of this Annex.</w:t>
      </w:r>
    </w:p>
    <w:p w14:paraId="0D40D6C1" w14:textId="77777777" w:rsidR="00D91509" w:rsidRPr="00C43F7A" w:rsidRDefault="00D91509">
      <w:pPr>
        <w:pStyle w:val="Cmsor1"/>
        <w:rPr>
          <w:rFonts w:ascii="Arial" w:hAnsi="Arial" w:cs="Arial"/>
          <w:bCs w:val="0"/>
          <w:sz w:val="20"/>
          <w:szCs w:val="20"/>
        </w:rPr>
      </w:pPr>
      <w:r w:rsidRPr="00C43F7A">
        <w:rPr>
          <w:rFonts w:ascii="Arial" w:hAnsi="Arial" w:cs="Arial"/>
          <w:sz w:val="20"/>
          <w:szCs w:val="20"/>
          <w:lang w:val="en-GB"/>
        </w:rPr>
        <w:t>II. Detailed instructions for the completion of the tables</w:t>
      </w:r>
    </w:p>
    <w:p w14:paraId="0B7B5B7F" w14:textId="77777777" w:rsidR="00D91509" w:rsidRPr="00C43F7A" w:rsidRDefault="00D91509">
      <w:pPr>
        <w:jc w:val="both"/>
        <w:rPr>
          <w:rFonts w:ascii="Arial" w:hAnsi="Arial" w:cs="Arial"/>
          <w:sz w:val="20"/>
          <w:szCs w:val="20"/>
        </w:rPr>
      </w:pPr>
      <w:r w:rsidRPr="00C43F7A">
        <w:rPr>
          <w:rFonts w:ascii="Arial" w:hAnsi="Arial" w:cs="Arial"/>
          <w:sz w:val="20"/>
          <w:szCs w:val="20"/>
          <w:lang w:val="en-GB"/>
        </w:rPr>
        <w:t>The codes and descriptions of the instruments to be used in the tables of the data supply as per point 4.10 of Annex 3 are listed in the technical guidelines available on the MNB website.</w:t>
      </w:r>
    </w:p>
    <w:p w14:paraId="1671BF27" w14:textId="77777777" w:rsidR="00393E80" w:rsidRPr="00C43F7A" w:rsidRDefault="00393E80">
      <w:pPr>
        <w:jc w:val="both"/>
        <w:rPr>
          <w:rFonts w:ascii="Arial" w:hAnsi="Arial" w:cs="Arial"/>
          <w:sz w:val="20"/>
          <w:szCs w:val="20"/>
        </w:rPr>
      </w:pPr>
    </w:p>
    <w:p w14:paraId="24BEEE7F" w14:textId="77777777" w:rsidR="00393E80" w:rsidRPr="00C43F7A" w:rsidRDefault="00BF4F4E" w:rsidP="005030C7">
      <w:pPr>
        <w:ind w:right="4"/>
        <w:jc w:val="both"/>
        <w:rPr>
          <w:rFonts w:ascii="Arial" w:hAnsi="Arial" w:cs="Arial"/>
          <w:sz w:val="20"/>
          <w:szCs w:val="20"/>
        </w:rPr>
      </w:pPr>
      <w:r w:rsidRPr="00C43F7A">
        <w:rPr>
          <w:rFonts w:ascii="Arial" w:hAnsi="Arial" w:cs="Arial"/>
          <w:sz w:val="20"/>
          <w:szCs w:val="20"/>
          <w:lang w:val="en-GB"/>
        </w:rPr>
        <w:t xml:space="preserve">The list of the classification of the financial institutions’ main activities are listed in point 4.1. of Annex 3 in the technical guidelines available on the MNB website. </w:t>
      </w:r>
    </w:p>
    <w:p w14:paraId="4BD041DF" w14:textId="77777777" w:rsidR="00393E80" w:rsidRPr="00C43F7A" w:rsidRDefault="00393E80">
      <w:pPr>
        <w:jc w:val="both"/>
        <w:rPr>
          <w:rFonts w:ascii="Arial" w:hAnsi="Arial" w:cs="Arial"/>
          <w:sz w:val="20"/>
          <w:szCs w:val="20"/>
        </w:rPr>
      </w:pPr>
    </w:p>
    <w:p w14:paraId="0F7BE9A6" w14:textId="77777777" w:rsidR="00D91509" w:rsidRPr="00C43F7A" w:rsidRDefault="00D91509">
      <w:pPr>
        <w:spacing w:before="120"/>
        <w:jc w:val="both"/>
        <w:rPr>
          <w:rFonts w:ascii="Arial" w:hAnsi="Arial" w:cs="Arial"/>
          <w:sz w:val="20"/>
          <w:szCs w:val="20"/>
        </w:rPr>
      </w:pPr>
      <w:r w:rsidRPr="00C43F7A">
        <w:rPr>
          <w:rFonts w:ascii="Arial" w:hAnsi="Arial" w:cs="Arial"/>
          <w:sz w:val="20"/>
          <w:szCs w:val="20"/>
          <w:lang w:val="en-GB"/>
        </w:rPr>
        <w:lastRenderedPageBreak/>
        <w:t>The ISO codes of specific currencies as per point 4.1 of Annex 3 are listed in the technical guidelines available on the MNB website.</w:t>
      </w:r>
    </w:p>
    <w:p w14:paraId="1FBF2C6B" w14:textId="77777777" w:rsidR="00D91509" w:rsidRPr="00C43F7A" w:rsidRDefault="00D91509">
      <w:pPr>
        <w:spacing w:before="120"/>
        <w:jc w:val="both"/>
        <w:rPr>
          <w:rFonts w:ascii="Arial" w:hAnsi="Arial" w:cs="Arial"/>
          <w:sz w:val="20"/>
          <w:szCs w:val="20"/>
        </w:rPr>
      </w:pPr>
      <w:r w:rsidRPr="00C43F7A">
        <w:rPr>
          <w:rFonts w:ascii="Arial" w:hAnsi="Arial" w:cs="Arial"/>
          <w:sz w:val="20"/>
          <w:szCs w:val="20"/>
          <w:lang w:val="en-GB"/>
        </w:rPr>
        <w:t xml:space="preserve">The methodological guidelines assisting in the completion of the tables and the revision rules provided to ensure error-free submission, as referred to in points 9 and 5 of Annex 3 </w:t>
      </w:r>
      <w:proofErr w:type="gramStart"/>
      <w:r w:rsidRPr="00C43F7A">
        <w:rPr>
          <w:rFonts w:ascii="Arial" w:hAnsi="Arial" w:cs="Arial"/>
          <w:sz w:val="20"/>
          <w:szCs w:val="20"/>
          <w:lang w:val="en-GB"/>
        </w:rPr>
        <w:t>are located in</w:t>
      </w:r>
      <w:proofErr w:type="gramEnd"/>
      <w:r w:rsidRPr="00C43F7A">
        <w:rPr>
          <w:rFonts w:ascii="Arial" w:hAnsi="Arial" w:cs="Arial"/>
          <w:sz w:val="20"/>
          <w:szCs w:val="20"/>
          <w:lang w:val="en-GB"/>
        </w:rPr>
        <w:t xml:space="preserve"> the technical guidelines available on the official website of the MNB.</w:t>
      </w:r>
    </w:p>
    <w:p w14:paraId="0417D7AC" w14:textId="77777777" w:rsidR="00D91509" w:rsidRPr="00C43F7A" w:rsidRDefault="00D91509">
      <w:pPr>
        <w:jc w:val="both"/>
        <w:rPr>
          <w:rFonts w:ascii="Arial" w:hAnsi="Arial" w:cs="Arial"/>
          <w:sz w:val="20"/>
          <w:szCs w:val="20"/>
        </w:rPr>
      </w:pPr>
    </w:p>
    <w:p w14:paraId="21B989F3" w14:textId="77777777" w:rsidR="00D91509" w:rsidRPr="00C43F7A" w:rsidRDefault="00D91509">
      <w:pPr>
        <w:jc w:val="both"/>
        <w:rPr>
          <w:rFonts w:ascii="Arial" w:hAnsi="Arial" w:cs="Arial"/>
          <w:b/>
          <w:sz w:val="20"/>
          <w:szCs w:val="20"/>
        </w:rPr>
      </w:pPr>
      <w:r w:rsidRPr="00C43F7A">
        <w:rPr>
          <w:rFonts w:ascii="Arial" w:hAnsi="Arial" w:cs="Arial"/>
          <w:b/>
          <w:bCs/>
          <w:sz w:val="20"/>
          <w:szCs w:val="20"/>
          <w:lang w:val="en-GB"/>
        </w:rPr>
        <w:t>Special instructions for the completion of certain tables</w:t>
      </w:r>
    </w:p>
    <w:p w14:paraId="65EDE60C" w14:textId="77777777" w:rsidR="00D91509" w:rsidRPr="00C43F7A" w:rsidRDefault="00D91509">
      <w:pPr>
        <w:jc w:val="both"/>
        <w:rPr>
          <w:rFonts w:ascii="Arial" w:hAnsi="Arial" w:cs="Arial"/>
          <w:b/>
          <w:i/>
          <w:sz w:val="20"/>
          <w:szCs w:val="20"/>
        </w:rPr>
      </w:pPr>
    </w:p>
    <w:p w14:paraId="729F5218" w14:textId="77777777" w:rsidR="00D91509" w:rsidRPr="00C43F7A" w:rsidRDefault="00D91509">
      <w:pPr>
        <w:jc w:val="both"/>
        <w:rPr>
          <w:rFonts w:ascii="Arial" w:hAnsi="Arial" w:cs="Arial"/>
          <w:sz w:val="20"/>
          <w:szCs w:val="20"/>
        </w:rPr>
      </w:pPr>
      <w:r w:rsidRPr="00C43F7A">
        <w:rPr>
          <w:rFonts w:ascii="Arial" w:hAnsi="Arial" w:cs="Arial"/>
          <w:sz w:val="20"/>
          <w:szCs w:val="20"/>
          <w:lang w:val="en-GB"/>
        </w:rPr>
        <w:t>Percentages provided in Table TEA1 shall be rounded to two decimals.</w:t>
      </w:r>
    </w:p>
    <w:p w14:paraId="651D4699" w14:textId="77777777" w:rsidR="00D91509" w:rsidRPr="00C43F7A" w:rsidRDefault="00D91509">
      <w:pPr>
        <w:pStyle w:val="Cmsor2"/>
        <w:jc w:val="both"/>
        <w:rPr>
          <w:rFonts w:ascii="Arial" w:hAnsi="Arial" w:cs="Arial"/>
          <w:b w:val="0"/>
          <w:bCs w:val="0"/>
          <w:i w:val="0"/>
          <w:iCs w:val="0"/>
          <w:sz w:val="20"/>
          <w:szCs w:val="20"/>
        </w:rPr>
      </w:pPr>
      <w:r w:rsidRPr="00C43F7A">
        <w:rPr>
          <w:rFonts w:ascii="Arial" w:hAnsi="Arial" w:cs="Arial"/>
          <w:b w:val="0"/>
          <w:bCs w:val="0"/>
          <w:i w:val="0"/>
          <w:iCs w:val="0"/>
          <w:sz w:val="20"/>
          <w:szCs w:val="20"/>
          <w:lang w:val="en-GB"/>
        </w:rPr>
        <w:t xml:space="preserve">Row 05 in Table TEA2 should be completed by credit institution data suppliers, or data suppliers providing investment services. </w:t>
      </w:r>
    </w:p>
    <w:p w14:paraId="2F2A3A5E" w14:textId="773AC321" w:rsidR="00D91509" w:rsidRPr="00C43F7A" w:rsidRDefault="00D91509">
      <w:pPr>
        <w:jc w:val="both"/>
        <w:rPr>
          <w:rFonts w:ascii="Arial" w:hAnsi="Arial" w:cs="Arial"/>
          <w:sz w:val="20"/>
          <w:szCs w:val="20"/>
        </w:rPr>
      </w:pPr>
      <w:r w:rsidRPr="00C43F7A">
        <w:rPr>
          <w:rFonts w:ascii="Arial" w:hAnsi="Arial" w:cs="Arial"/>
          <w:sz w:val="20"/>
          <w:szCs w:val="20"/>
          <w:lang w:val="en-GB"/>
        </w:rPr>
        <w:t xml:space="preserve">If a 3-column balance sheet was published for the business year ended in the reference period, each of the columns </w:t>
      </w:r>
      <w:r w:rsidR="00CE285B">
        <w:rPr>
          <w:rFonts w:ascii="Arial" w:hAnsi="Arial" w:cs="Arial"/>
          <w:sz w:val="20"/>
          <w:szCs w:val="20"/>
          <w:lang w:val="en-GB"/>
        </w:rPr>
        <w:t>“</w:t>
      </w:r>
      <w:r w:rsidRPr="00C43F7A">
        <w:rPr>
          <w:rFonts w:ascii="Arial" w:hAnsi="Arial" w:cs="Arial"/>
          <w:sz w:val="20"/>
          <w:szCs w:val="20"/>
          <w:lang w:val="en-GB"/>
        </w:rPr>
        <w:t>a</w:t>
      </w:r>
      <w:r w:rsidR="00CE285B">
        <w:rPr>
          <w:rFonts w:ascii="Arial" w:hAnsi="Arial" w:cs="Arial"/>
          <w:sz w:val="20"/>
          <w:szCs w:val="20"/>
          <w:lang w:val="en-GB"/>
        </w:rPr>
        <w:t>”</w:t>
      </w:r>
      <w:r w:rsidRPr="00C43F7A">
        <w:rPr>
          <w:rFonts w:ascii="Arial" w:hAnsi="Arial" w:cs="Arial"/>
          <w:sz w:val="20"/>
          <w:szCs w:val="20"/>
          <w:lang w:val="en-GB"/>
        </w:rPr>
        <w:t xml:space="preserve">, </w:t>
      </w:r>
      <w:r w:rsidR="00CE285B">
        <w:rPr>
          <w:rFonts w:ascii="Arial" w:hAnsi="Arial" w:cs="Arial"/>
          <w:sz w:val="20"/>
          <w:szCs w:val="20"/>
          <w:lang w:val="en-GB"/>
        </w:rPr>
        <w:t>“</w:t>
      </w:r>
      <w:r w:rsidRPr="00C43F7A">
        <w:rPr>
          <w:rFonts w:ascii="Arial" w:hAnsi="Arial" w:cs="Arial"/>
          <w:sz w:val="20"/>
          <w:szCs w:val="20"/>
          <w:lang w:val="en-GB"/>
        </w:rPr>
        <w:t>b</w:t>
      </w:r>
      <w:r w:rsidR="00CE285B">
        <w:rPr>
          <w:rFonts w:ascii="Arial" w:hAnsi="Arial" w:cs="Arial"/>
          <w:sz w:val="20"/>
          <w:szCs w:val="20"/>
          <w:lang w:val="en-GB"/>
        </w:rPr>
        <w:t>”</w:t>
      </w:r>
      <w:r w:rsidRPr="00C43F7A">
        <w:rPr>
          <w:rFonts w:ascii="Arial" w:hAnsi="Arial" w:cs="Arial"/>
          <w:sz w:val="20"/>
          <w:szCs w:val="20"/>
          <w:lang w:val="en-GB"/>
        </w:rPr>
        <w:t xml:space="preserve"> and </w:t>
      </w:r>
      <w:r w:rsidR="00CE285B">
        <w:rPr>
          <w:rFonts w:ascii="Arial" w:hAnsi="Arial" w:cs="Arial"/>
          <w:sz w:val="20"/>
          <w:szCs w:val="20"/>
          <w:lang w:val="en-GB"/>
        </w:rPr>
        <w:t>“</w:t>
      </w:r>
      <w:r w:rsidRPr="00C43F7A">
        <w:rPr>
          <w:rFonts w:ascii="Arial" w:hAnsi="Arial" w:cs="Arial"/>
          <w:sz w:val="20"/>
          <w:szCs w:val="20"/>
          <w:lang w:val="en-GB"/>
        </w:rPr>
        <w:t>c</w:t>
      </w:r>
      <w:r w:rsidR="00CE285B">
        <w:rPr>
          <w:rFonts w:ascii="Arial" w:hAnsi="Arial" w:cs="Arial"/>
          <w:sz w:val="20"/>
          <w:szCs w:val="20"/>
          <w:lang w:val="en-GB"/>
        </w:rPr>
        <w:t>”</w:t>
      </w:r>
      <w:r w:rsidRPr="00C43F7A">
        <w:rPr>
          <w:rFonts w:ascii="Arial" w:hAnsi="Arial" w:cs="Arial"/>
          <w:sz w:val="20"/>
          <w:szCs w:val="20"/>
          <w:lang w:val="en-GB"/>
        </w:rPr>
        <w:t xml:space="preserve"> shall be completed (of which column b shall indicate only the effects modifying the balance sheet data of previous years), otherwise the completion of columns </w:t>
      </w:r>
      <w:r w:rsidR="00CE285B">
        <w:rPr>
          <w:rFonts w:ascii="Arial" w:hAnsi="Arial" w:cs="Arial"/>
          <w:sz w:val="20"/>
          <w:szCs w:val="20"/>
          <w:lang w:val="en-GB"/>
        </w:rPr>
        <w:t>“</w:t>
      </w:r>
      <w:r w:rsidRPr="00C43F7A">
        <w:rPr>
          <w:rFonts w:ascii="Arial" w:hAnsi="Arial" w:cs="Arial"/>
          <w:sz w:val="20"/>
          <w:szCs w:val="20"/>
          <w:lang w:val="en-GB"/>
        </w:rPr>
        <w:t>a</w:t>
      </w:r>
      <w:r w:rsidR="00CE285B">
        <w:rPr>
          <w:rFonts w:ascii="Arial" w:hAnsi="Arial" w:cs="Arial"/>
          <w:sz w:val="20"/>
          <w:szCs w:val="20"/>
          <w:lang w:val="en-GB"/>
        </w:rPr>
        <w:t>”</w:t>
      </w:r>
      <w:r w:rsidRPr="00C43F7A">
        <w:rPr>
          <w:rFonts w:ascii="Arial" w:hAnsi="Arial" w:cs="Arial"/>
          <w:sz w:val="20"/>
          <w:szCs w:val="20"/>
          <w:lang w:val="en-GB"/>
        </w:rPr>
        <w:t xml:space="preserve"> and </w:t>
      </w:r>
      <w:r w:rsidR="00CE285B">
        <w:rPr>
          <w:rFonts w:ascii="Arial" w:hAnsi="Arial" w:cs="Arial"/>
          <w:sz w:val="20"/>
          <w:szCs w:val="20"/>
          <w:lang w:val="en-GB"/>
        </w:rPr>
        <w:t>“</w:t>
      </w:r>
      <w:r w:rsidRPr="00C43F7A">
        <w:rPr>
          <w:rFonts w:ascii="Arial" w:hAnsi="Arial" w:cs="Arial"/>
          <w:sz w:val="20"/>
          <w:szCs w:val="20"/>
          <w:lang w:val="en-GB"/>
        </w:rPr>
        <w:t>c</w:t>
      </w:r>
      <w:r w:rsidR="00CE285B">
        <w:rPr>
          <w:rFonts w:ascii="Arial" w:hAnsi="Arial" w:cs="Arial"/>
          <w:sz w:val="20"/>
          <w:szCs w:val="20"/>
          <w:lang w:val="en-GB"/>
        </w:rPr>
        <w:t>”</w:t>
      </w:r>
      <w:r w:rsidRPr="00C43F7A">
        <w:rPr>
          <w:rFonts w:ascii="Arial" w:hAnsi="Arial" w:cs="Arial"/>
          <w:sz w:val="20"/>
          <w:szCs w:val="20"/>
          <w:lang w:val="en-GB"/>
        </w:rPr>
        <w:t xml:space="preserve"> will suffice. </w:t>
      </w:r>
    </w:p>
    <w:p w14:paraId="020DF960" w14:textId="77777777" w:rsidR="008863EA" w:rsidRPr="00C43F7A" w:rsidRDefault="008863EA">
      <w:pPr>
        <w:jc w:val="both"/>
        <w:rPr>
          <w:rFonts w:ascii="Arial" w:hAnsi="Arial" w:cs="Arial"/>
          <w:sz w:val="20"/>
          <w:szCs w:val="20"/>
        </w:rPr>
      </w:pPr>
    </w:p>
    <w:p w14:paraId="6D248774" w14:textId="77777777" w:rsidR="00F47235" w:rsidRPr="00C43F7A" w:rsidRDefault="00F47235">
      <w:pPr>
        <w:jc w:val="both"/>
        <w:rPr>
          <w:rFonts w:ascii="Arial" w:hAnsi="Arial" w:cs="Arial"/>
          <w:sz w:val="20"/>
          <w:szCs w:val="20"/>
        </w:rPr>
      </w:pPr>
      <w:r w:rsidRPr="00C43F7A">
        <w:rPr>
          <w:rFonts w:ascii="Arial" w:hAnsi="Arial" w:cs="Arial"/>
          <w:sz w:val="20"/>
          <w:szCs w:val="20"/>
          <w:lang w:val="en-GB"/>
        </w:rPr>
        <w:t xml:space="preserve">Considering the completion of the year before the reference year column the data suppliers which assemble their solo annual report according to the Hungarian accounting regulations shall take the regulations of the </w:t>
      </w:r>
      <w:proofErr w:type="spellStart"/>
      <w:r w:rsidRPr="00C43F7A">
        <w:rPr>
          <w:rFonts w:ascii="Arial" w:hAnsi="Arial" w:cs="Arial"/>
          <w:sz w:val="20"/>
          <w:szCs w:val="20"/>
          <w:lang w:val="en-GB"/>
        </w:rPr>
        <w:t>Számv</w:t>
      </w:r>
      <w:proofErr w:type="spellEnd"/>
      <w:r w:rsidRPr="00C43F7A">
        <w:rPr>
          <w:rFonts w:ascii="Arial" w:hAnsi="Arial" w:cs="Arial"/>
          <w:sz w:val="20"/>
          <w:szCs w:val="20"/>
          <w:lang w:val="en-GB"/>
        </w:rPr>
        <w:t>. tv. regarding the assembly of a report into account.</w:t>
      </w:r>
    </w:p>
    <w:p w14:paraId="2D6D5419" w14:textId="77777777" w:rsidR="008863EA" w:rsidRPr="00C43F7A" w:rsidRDefault="00F47235" w:rsidP="008863EA">
      <w:pPr>
        <w:jc w:val="both"/>
        <w:rPr>
          <w:rFonts w:ascii="Arial" w:hAnsi="Arial" w:cs="Arial"/>
          <w:sz w:val="20"/>
          <w:szCs w:val="20"/>
        </w:rPr>
      </w:pPr>
      <w:r w:rsidRPr="00C43F7A">
        <w:rPr>
          <w:rFonts w:ascii="Arial" w:hAnsi="Arial" w:cs="Arial"/>
          <w:sz w:val="20"/>
          <w:szCs w:val="20"/>
          <w:lang w:val="en-GB"/>
        </w:rPr>
        <w:t xml:space="preserve">In row 9 (Annual profit) in case of a financial year beginning in 2016 or later the profit after taxes (profit for the reference year), in case of a financial year beginning in 2015 the Profit or loss for the year shall be presented. </w:t>
      </w:r>
    </w:p>
    <w:p w14:paraId="563FFD4D" w14:textId="77777777" w:rsidR="008863EA" w:rsidRPr="00C43F7A" w:rsidRDefault="008863EA" w:rsidP="008863EA">
      <w:pPr>
        <w:jc w:val="both"/>
        <w:rPr>
          <w:rFonts w:ascii="Arial" w:hAnsi="Arial" w:cs="Arial"/>
          <w:sz w:val="20"/>
          <w:szCs w:val="20"/>
        </w:rPr>
      </w:pPr>
    </w:p>
    <w:p w14:paraId="6FE551FB" w14:textId="77777777" w:rsidR="00D91509" w:rsidRPr="00C43F7A" w:rsidRDefault="00F47235">
      <w:pPr>
        <w:jc w:val="both"/>
        <w:rPr>
          <w:rFonts w:ascii="Arial" w:hAnsi="Arial" w:cs="Arial"/>
          <w:sz w:val="20"/>
          <w:szCs w:val="20"/>
        </w:rPr>
      </w:pPr>
      <w:r w:rsidRPr="00C43F7A">
        <w:rPr>
          <w:rFonts w:ascii="Arial" w:hAnsi="Arial" w:cs="Arial"/>
          <w:sz w:val="20"/>
          <w:szCs w:val="20"/>
          <w:lang w:val="en-GB"/>
        </w:rPr>
        <w:t>In case the data supplier assembles its report according to the IFRS the Hungarian accounting regulations considering equity shall be applied during the completion of the table.</w:t>
      </w:r>
    </w:p>
    <w:p w14:paraId="4B86F04F" w14:textId="77777777" w:rsidR="00D91509" w:rsidRPr="00C43F7A" w:rsidRDefault="00D91509">
      <w:pPr>
        <w:jc w:val="both"/>
        <w:rPr>
          <w:rFonts w:ascii="Arial" w:hAnsi="Arial" w:cs="Arial"/>
          <w:sz w:val="20"/>
          <w:szCs w:val="20"/>
        </w:rPr>
      </w:pPr>
      <w:r w:rsidRPr="00C43F7A">
        <w:rPr>
          <w:rFonts w:ascii="Arial" w:hAnsi="Arial" w:cs="Arial"/>
          <w:sz w:val="20"/>
          <w:szCs w:val="20"/>
          <w:lang w:val="en-GB"/>
        </w:rPr>
        <w:t>Row 02 in Table TEA3, which specifies data with respect to the maintenance and utilisation of reserves, shall be completed by credit institutions and data suppliers providing investment services.</w:t>
      </w:r>
    </w:p>
    <w:p w14:paraId="12BDF6B8" w14:textId="77777777" w:rsidR="00D91509" w:rsidRPr="00C43F7A" w:rsidRDefault="00D91509">
      <w:pPr>
        <w:jc w:val="both"/>
        <w:rPr>
          <w:rFonts w:ascii="Arial" w:hAnsi="Arial" w:cs="Arial"/>
          <w:sz w:val="20"/>
          <w:szCs w:val="20"/>
        </w:rPr>
      </w:pPr>
    </w:p>
    <w:p w14:paraId="1CAEB987" w14:textId="77777777" w:rsidR="00D91509" w:rsidRPr="00C43F7A" w:rsidRDefault="00D91509">
      <w:pPr>
        <w:jc w:val="both"/>
        <w:rPr>
          <w:rFonts w:ascii="Arial" w:hAnsi="Arial" w:cs="Arial"/>
          <w:sz w:val="20"/>
          <w:szCs w:val="20"/>
        </w:rPr>
      </w:pPr>
      <w:r w:rsidRPr="00C43F7A">
        <w:rPr>
          <w:rFonts w:ascii="Arial" w:hAnsi="Arial" w:cs="Arial"/>
          <w:sz w:val="20"/>
          <w:szCs w:val="20"/>
          <w:lang w:val="en-GB"/>
        </w:rPr>
        <w:t xml:space="preserve">In Table TEA5 data items increasing and/or decreasing retained earnings shall be entered in accordance with the provisions set out in Section 37(1) d) and Section 37(2) e) of Act C of 2000 on Accounting. </w:t>
      </w:r>
    </w:p>
    <w:p w14:paraId="76102ADC" w14:textId="77777777" w:rsidR="00D91509" w:rsidRPr="00C43F7A" w:rsidRDefault="00D91509">
      <w:pPr>
        <w:ind w:left="708" w:hanging="708"/>
        <w:jc w:val="both"/>
        <w:rPr>
          <w:rFonts w:ascii="Arial" w:hAnsi="Arial" w:cs="Arial"/>
          <w:sz w:val="20"/>
          <w:szCs w:val="20"/>
        </w:rPr>
      </w:pPr>
    </w:p>
    <w:p w14:paraId="65492A50" w14:textId="77777777" w:rsidR="00D91509" w:rsidRPr="00C43F7A" w:rsidRDefault="00D91509">
      <w:pPr>
        <w:jc w:val="both"/>
        <w:rPr>
          <w:rFonts w:ascii="Arial" w:hAnsi="Arial" w:cs="Arial"/>
          <w:b/>
          <w:sz w:val="20"/>
          <w:szCs w:val="20"/>
        </w:rPr>
      </w:pPr>
      <w:r w:rsidRPr="00C43F7A">
        <w:rPr>
          <w:rFonts w:ascii="Arial" w:hAnsi="Arial" w:cs="Arial"/>
          <w:sz w:val="20"/>
          <w:szCs w:val="20"/>
          <w:lang w:val="en-GB"/>
        </w:rPr>
        <w:t xml:space="preserve">Table TEL must be completed separately for each partner of the data supplier which is subject to disclosure requirements. </w:t>
      </w:r>
    </w:p>
    <w:p w14:paraId="42E92A96" w14:textId="7B15D396" w:rsidR="00D91509" w:rsidRPr="00C43F7A" w:rsidRDefault="00D91509" w:rsidP="00305539">
      <w:pPr>
        <w:jc w:val="both"/>
        <w:rPr>
          <w:rFonts w:ascii="Arial" w:hAnsi="Arial" w:cs="Arial"/>
          <w:sz w:val="20"/>
          <w:szCs w:val="20"/>
        </w:rPr>
      </w:pPr>
      <w:r w:rsidRPr="00C43F7A">
        <w:rPr>
          <w:rFonts w:ascii="Arial" w:hAnsi="Arial" w:cs="Arial"/>
          <w:sz w:val="20"/>
          <w:szCs w:val="20"/>
          <w:lang w:val="en-GB"/>
        </w:rPr>
        <w:t xml:space="preserve">Rows 21 to 24: </w:t>
      </w:r>
      <w:r w:rsidR="00CE285B">
        <w:rPr>
          <w:rFonts w:ascii="Arial" w:hAnsi="Arial" w:cs="Arial"/>
          <w:sz w:val="20"/>
          <w:szCs w:val="20"/>
          <w:lang w:val="en-GB"/>
        </w:rPr>
        <w:t>d</w:t>
      </w:r>
      <w:r w:rsidRPr="00C43F7A">
        <w:rPr>
          <w:rFonts w:ascii="Arial" w:hAnsi="Arial" w:cs="Arial"/>
          <w:sz w:val="20"/>
          <w:szCs w:val="20"/>
          <w:lang w:val="en-GB"/>
        </w:rPr>
        <w:t>ata items of the profit and loss account provided in these rows should be consistent with the annual report of the non-resident direct capital investment, indirect investment or fellow enterprise. In row 21 profits after tax shall be reported in line with the profit and loss account.</w:t>
      </w:r>
    </w:p>
    <w:p w14:paraId="06138913" w14:textId="77777777" w:rsidR="00393E80" w:rsidRPr="00C43F7A" w:rsidRDefault="00BF4F4E" w:rsidP="005030C7">
      <w:pPr>
        <w:ind w:right="4"/>
        <w:jc w:val="both"/>
        <w:rPr>
          <w:rFonts w:ascii="Arial" w:hAnsi="Arial" w:cs="Arial"/>
          <w:sz w:val="20"/>
          <w:szCs w:val="20"/>
        </w:rPr>
      </w:pPr>
      <w:r w:rsidRPr="00C43F7A">
        <w:rPr>
          <w:rFonts w:ascii="Arial" w:hAnsi="Arial" w:cs="Arial"/>
          <w:sz w:val="20"/>
          <w:szCs w:val="20"/>
          <w:lang w:val="en-GB"/>
        </w:rPr>
        <w:t xml:space="preserve">Row 26: the net stock of receivables against the branch must be reported. That is the net balance of the assets and liabilities related to the branch in the general ledger of the data provider (so not only the anno transferred assets). </w:t>
      </w:r>
    </w:p>
    <w:p w14:paraId="367E4371" w14:textId="77777777" w:rsidR="00393E80" w:rsidRPr="00C43F7A" w:rsidRDefault="00393E80">
      <w:pPr>
        <w:jc w:val="both"/>
        <w:rPr>
          <w:rFonts w:ascii="Arial" w:hAnsi="Arial" w:cs="Arial"/>
          <w:sz w:val="20"/>
          <w:szCs w:val="20"/>
        </w:rPr>
      </w:pPr>
    </w:p>
    <w:p w14:paraId="24EE1FF7" w14:textId="77777777" w:rsidR="00B81E1F" w:rsidRPr="004017C9" w:rsidRDefault="00B81E1F">
      <w:pPr>
        <w:jc w:val="both"/>
        <w:rPr>
          <w:rFonts w:ascii="Arial" w:hAnsi="Arial" w:cs="Arial"/>
          <w:sz w:val="20"/>
          <w:szCs w:val="20"/>
        </w:rPr>
      </w:pPr>
      <w:r w:rsidRPr="00C43F7A">
        <w:rPr>
          <w:rFonts w:ascii="Arial" w:hAnsi="Arial" w:cs="Arial"/>
          <w:sz w:val="20"/>
          <w:szCs w:val="20"/>
          <w:lang w:val="en-GB"/>
        </w:rPr>
        <w:t>Row 27: profit generated at branch office in the reporting year from the profit of the company (with prefix)</w:t>
      </w:r>
    </w:p>
    <w:sectPr w:rsidR="00B81E1F" w:rsidRPr="004017C9">
      <w:headerReference w:type="default" r:id="rId7"/>
      <w:footerReference w:type="even" r:id="rId8"/>
      <w:footerReference w:type="default" r:id="rId9"/>
      <w:headerReference w:type="first" r:id="rId10"/>
      <w:pgSz w:w="11906" w:h="16838"/>
      <w:pgMar w:top="1417" w:right="1417" w:bottom="1417" w:left="19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6CD32" w14:textId="77777777" w:rsidR="00C4068D" w:rsidRDefault="00C4068D">
      <w:r>
        <w:separator/>
      </w:r>
    </w:p>
  </w:endnote>
  <w:endnote w:type="continuationSeparator" w:id="0">
    <w:p w14:paraId="12EC6485" w14:textId="77777777" w:rsidR="00C4068D" w:rsidRDefault="00C4068D">
      <w:r>
        <w:continuationSeparator/>
      </w:r>
    </w:p>
  </w:endnote>
  <w:endnote w:type="continuationNotice" w:id="1">
    <w:p w14:paraId="4E96192C" w14:textId="77777777" w:rsidR="00C4068D" w:rsidRDefault="00C406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64B42" w14:textId="77777777" w:rsidR="006D3C32" w:rsidRDefault="006D3C32">
    <w:pPr>
      <w:pStyle w:val="llb"/>
      <w:framePr w:wrap="around" w:vAnchor="text" w:hAnchor="margin" w:xAlign="center" w:y="1"/>
      <w:rPr>
        <w:rStyle w:val="Oldalszm"/>
      </w:rPr>
    </w:pPr>
    <w:r>
      <w:rPr>
        <w:rStyle w:val="Oldalszm"/>
        <w:lang w:val="en-GB"/>
      </w:rPr>
      <w:fldChar w:fldCharType="begin"/>
    </w:r>
    <w:r>
      <w:rPr>
        <w:rStyle w:val="Oldalszm"/>
        <w:lang w:val="en-GB"/>
      </w:rPr>
      <w:instrText xml:space="preserve">PAGE  </w:instrText>
    </w:r>
    <w:r>
      <w:rPr>
        <w:rStyle w:val="Oldalszm"/>
        <w:lang w:val="en-GB"/>
      </w:rPr>
      <w:fldChar w:fldCharType="end"/>
    </w:r>
  </w:p>
  <w:p w14:paraId="6AB1EB35" w14:textId="77777777" w:rsidR="006D3C32" w:rsidRDefault="006D3C32">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625AA" w14:textId="77777777" w:rsidR="006D3C32" w:rsidRDefault="006D3C32">
    <w:pPr>
      <w:pStyle w:val="ll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E7733" w14:textId="77777777" w:rsidR="00C4068D" w:rsidRDefault="00C4068D">
      <w:r>
        <w:separator/>
      </w:r>
    </w:p>
  </w:footnote>
  <w:footnote w:type="continuationSeparator" w:id="0">
    <w:p w14:paraId="0ABD1EC8" w14:textId="77777777" w:rsidR="00C4068D" w:rsidRDefault="00C4068D">
      <w:r>
        <w:continuationSeparator/>
      </w:r>
    </w:p>
  </w:footnote>
  <w:footnote w:type="continuationNotice" w:id="1">
    <w:p w14:paraId="40E4DB31" w14:textId="77777777" w:rsidR="00C4068D" w:rsidRDefault="00C406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D1F5E" w14:textId="77777777" w:rsidR="006D3C32" w:rsidRDefault="006D3C32">
    <w:pPr>
      <w:pStyle w:val="lfej"/>
    </w:pPr>
    <w:r>
      <w:rPr>
        <w:lang w:val="en-G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618B0" w14:textId="77777777" w:rsidR="006D3C32" w:rsidRDefault="006D3C32">
    <w:pPr>
      <w:pStyle w:val="lfej"/>
    </w:pPr>
    <w:r>
      <w:rPr>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558F"/>
    <w:multiLevelType w:val="hybridMultilevel"/>
    <w:tmpl w:val="48E62342"/>
    <w:lvl w:ilvl="0" w:tplc="040E0001">
      <w:start w:val="1"/>
      <w:numFmt w:val="bullet"/>
      <w:lvlText w:val=""/>
      <w:lvlJc w:val="left"/>
      <w:pPr>
        <w:tabs>
          <w:tab w:val="num" w:pos="720"/>
        </w:tabs>
        <w:ind w:left="720" w:hanging="360"/>
      </w:pPr>
      <w:rPr>
        <w:rFonts w:ascii="Symbol" w:hAnsi="Symbol" w:hint="default"/>
      </w:rPr>
    </w:lvl>
    <w:lvl w:ilvl="1" w:tplc="040E0001">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DC5A44"/>
    <w:multiLevelType w:val="hybridMultilevel"/>
    <w:tmpl w:val="8E3611C8"/>
    <w:lvl w:ilvl="0" w:tplc="F00A4414">
      <w:start w:val="1"/>
      <w:numFmt w:val="decimal"/>
      <w:lvlText w:val="%1."/>
      <w:lvlJc w:val="left"/>
      <w:pPr>
        <w:tabs>
          <w:tab w:val="num" w:pos="360"/>
        </w:tabs>
        <w:ind w:left="360" w:hanging="360"/>
      </w:pPr>
      <w:rPr>
        <w:rFonts w:cs="Times New Roman" w:hint="default"/>
      </w:rPr>
    </w:lvl>
    <w:lvl w:ilvl="1" w:tplc="040E0017">
      <w:start w:val="1"/>
      <w:numFmt w:val="lowerLetter"/>
      <w:lvlText w:val="%2)"/>
      <w:lvlJc w:val="left"/>
      <w:pPr>
        <w:tabs>
          <w:tab w:val="num" w:pos="1080"/>
        </w:tabs>
        <w:ind w:left="1080" w:hanging="360"/>
      </w:pPr>
      <w:rPr>
        <w:rFonts w:cs="Times New Roman" w:hint="default"/>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03E6415D"/>
    <w:multiLevelType w:val="hybridMultilevel"/>
    <w:tmpl w:val="BE3466B8"/>
    <w:lvl w:ilvl="0" w:tplc="C936CD20">
      <w:numFmt w:val="bullet"/>
      <w:lvlText w:val="-"/>
      <w:lvlJc w:val="left"/>
      <w:pPr>
        <w:tabs>
          <w:tab w:val="num" w:pos="420"/>
        </w:tabs>
        <w:ind w:left="420" w:hanging="360"/>
      </w:pPr>
      <w:rPr>
        <w:rFonts w:ascii="Garamond" w:eastAsia="Times New Roman" w:hAnsi="Garamond"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871B28"/>
    <w:multiLevelType w:val="multilevel"/>
    <w:tmpl w:val="6D6AF2F8"/>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B382269"/>
    <w:multiLevelType w:val="hybridMultilevel"/>
    <w:tmpl w:val="7B98D238"/>
    <w:lvl w:ilvl="0" w:tplc="C936CD20">
      <w:numFmt w:val="bullet"/>
      <w:lvlText w:val="-"/>
      <w:lvlJc w:val="left"/>
      <w:pPr>
        <w:tabs>
          <w:tab w:val="num" w:pos="420"/>
        </w:tabs>
        <w:ind w:left="420" w:hanging="360"/>
      </w:pPr>
      <w:rPr>
        <w:rFonts w:ascii="Garamond" w:eastAsia="Times New Roman" w:hAnsi="Garamond"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932AE1"/>
    <w:multiLevelType w:val="hybridMultilevel"/>
    <w:tmpl w:val="2EFC042A"/>
    <w:lvl w:ilvl="0" w:tplc="EF1A61D6">
      <w:numFmt w:val="bullet"/>
      <w:lvlText w:val="-"/>
      <w:lvlJc w:val="left"/>
      <w:pPr>
        <w:tabs>
          <w:tab w:val="num" w:pos="1800"/>
        </w:tabs>
        <w:ind w:left="1800" w:hanging="360"/>
      </w:pPr>
      <w:rPr>
        <w:rFonts w:ascii="Times New Roman" w:eastAsia="Times New Roman" w:hAnsi="Times New Roman" w:hint="default"/>
      </w:rPr>
    </w:lvl>
    <w:lvl w:ilvl="1" w:tplc="040E0003" w:tentative="1">
      <w:start w:val="1"/>
      <w:numFmt w:val="bullet"/>
      <w:lvlText w:val="o"/>
      <w:lvlJc w:val="left"/>
      <w:pPr>
        <w:tabs>
          <w:tab w:val="num" w:pos="2520"/>
        </w:tabs>
        <w:ind w:left="2520" w:hanging="360"/>
      </w:pPr>
      <w:rPr>
        <w:rFonts w:ascii="Courier New" w:hAnsi="Courier New" w:hint="default"/>
      </w:rPr>
    </w:lvl>
    <w:lvl w:ilvl="2" w:tplc="040E0005" w:tentative="1">
      <w:start w:val="1"/>
      <w:numFmt w:val="bullet"/>
      <w:lvlText w:val=""/>
      <w:lvlJc w:val="left"/>
      <w:pPr>
        <w:tabs>
          <w:tab w:val="num" w:pos="3240"/>
        </w:tabs>
        <w:ind w:left="3240" w:hanging="360"/>
      </w:pPr>
      <w:rPr>
        <w:rFonts w:ascii="Wingdings" w:hAnsi="Wingdings" w:hint="default"/>
      </w:rPr>
    </w:lvl>
    <w:lvl w:ilvl="3" w:tplc="040E0001" w:tentative="1">
      <w:start w:val="1"/>
      <w:numFmt w:val="bullet"/>
      <w:lvlText w:val=""/>
      <w:lvlJc w:val="left"/>
      <w:pPr>
        <w:tabs>
          <w:tab w:val="num" w:pos="3960"/>
        </w:tabs>
        <w:ind w:left="3960" w:hanging="360"/>
      </w:pPr>
      <w:rPr>
        <w:rFonts w:ascii="Symbol" w:hAnsi="Symbol" w:hint="default"/>
      </w:rPr>
    </w:lvl>
    <w:lvl w:ilvl="4" w:tplc="040E0003" w:tentative="1">
      <w:start w:val="1"/>
      <w:numFmt w:val="bullet"/>
      <w:lvlText w:val="o"/>
      <w:lvlJc w:val="left"/>
      <w:pPr>
        <w:tabs>
          <w:tab w:val="num" w:pos="4680"/>
        </w:tabs>
        <w:ind w:left="4680" w:hanging="360"/>
      </w:pPr>
      <w:rPr>
        <w:rFonts w:ascii="Courier New" w:hAnsi="Courier New" w:hint="default"/>
      </w:rPr>
    </w:lvl>
    <w:lvl w:ilvl="5" w:tplc="040E0005" w:tentative="1">
      <w:start w:val="1"/>
      <w:numFmt w:val="bullet"/>
      <w:lvlText w:val=""/>
      <w:lvlJc w:val="left"/>
      <w:pPr>
        <w:tabs>
          <w:tab w:val="num" w:pos="5400"/>
        </w:tabs>
        <w:ind w:left="5400" w:hanging="360"/>
      </w:pPr>
      <w:rPr>
        <w:rFonts w:ascii="Wingdings" w:hAnsi="Wingdings" w:hint="default"/>
      </w:rPr>
    </w:lvl>
    <w:lvl w:ilvl="6" w:tplc="040E0001" w:tentative="1">
      <w:start w:val="1"/>
      <w:numFmt w:val="bullet"/>
      <w:lvlText w:val=""/>
      <w:lvlJc w:val="left"/>
      <w:pPr>
        <w:tabs>
          <w:tab w:val="num" w:pos="6120"/>
        </w:tabs>
        <w:ind w:left="6120" w:hanging="360"/>
      </w:pPr>
      <w:rPr>
        <w:rFonts w:ascii="Symbol" w:hAnsi="Symbol" w:hint="default"/>
      </w:rPr>
    </w:lvl>
    <w:lvl w:ilvl="7" w:tplc="040E0003" w:tentative="1">
      <w:start w:val="1"/>
      <w:numFmt w:val="bullet"/>
      <w:lvlText w:val="o"/>
      <w:lvlJc w:val="left"/>
      <w:pPr>
        <w:tabs>
          <w:tab w:val="num" w:pos="6840"/>
        </w:tabs>
        <w:ind w:left="6840" w:hanging="360"/>
      </w:pPr>
      <w:rPr>
        <w:rFonts w:ascii="Courier New" w:hAnsi="Courier New" w:hint="default"/>
      </w:rPr>
    </w:lvl>
    <w:lvl w:ilvl="8" w:tplc="040E0005" w:tentative="1">
      <w:start w:val="1"/>
      <w:numFmt w:val="bullet"/>
      <w:lvlText w:val=""/>
      <w:lvlJc w:val="left"/>
      <w:pPr>
        <w:tabs>
          <w:tab w:val="num" w:pos="7560"/>
        </w:tabs>
        <w:ind w:left="7560" w:hanging="360"/>
      </w:pPr>
      <w:rPr>
        <w:rFonts w:ascii="Wingdings" w:hAnsi="Wingdings" w:hint="default"/>
      </w:rPr>
    </w:lvl>
  </w:abstractNum>
  <w:abstractNum w:abstractNumId="6" w15:restartNumberingAfterBreak="0">
    <w:nsid w:val="0F747AEF"/>
    <w:multiLevelType w:val="hybridMultilevel"/>
    <w:tmpl w:val="8FC4DBF6"/>
    <w:lvl w:ilvl="0" w:tplc="FD1CD46A">
      <w:start w:val="1"/>
      <w:numFmt w:val="upperRoman"/>
      <w:lvlText w:val="%1."/>
      <w:lvlJc w:val="left"/>
      <w:pPr>
        <w:tabs>
          <w:tab w:val="num" w:pos="1080"/>
        </w:tabs>
        <w:ind w:left="1080" w:hanging="72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22B3302"/>
    <w:multiLevelType w:val="hybridMultilevel"/>
    <w:tmpl w:val="1F3A49FA"/>
    <w:lvl w:ilvl="0" w:tplc="EF1A61D6">
      <w:numFmt w:val="bullet"/>
      <w:lvlText w:val="-"/>
      <w:lvlJc w:val="left"/>
      <w:pPr>
        <w:tabs>
          <w:tab w:val="num" w:pos="1800"/>
        </w:tabs>
        <w:ind w:left="1800" w:hanging="360"/>
      </w:pPr>
      <w:rPr>
        <w:rFonts w:ascii="Times New Roman" w:eastAsia="Times New Roman" w:hAnsi="Times New Roman" w:hint="default"/>
      </w:rPr>
    </w:lvl>
    <w:lvl w:ilvl="1" w:tplc="040E0003" w:tentative="1">
      <w:start w:val="1"/>
      <w:numFmt w:val="bullet"/>
      <w:lvlText w:val="o"/>
      <w:lvlJc w:val="left"/>
      <w:pPr>
        <w:tabs>
          <w:tab w:val="num" w:pos="2520"/>
        </w:tabs>
        <w:ind w:left="2520" w:hanging="360"/>
      </w:pPr>
      <w:rPr>
        <w:rFonts w:ascii="Courier New" w:hAnsi="Courier New" w:hint="default"/>
      </w:rPr>
    </w:lvl>
    <w:lvl w:ilvl="2" w:tplc="040E0005" w:tentative="1">
      <w:start w:val="1"/>
      <w:numFmt w:val="bullet"/>
      <w:lvlText w:val=""/>
      <w:lvlJc w:val="left"/>
      <w:pPr>
        <w:tabs>
          <w:tab w:val="num" w:pos="3240"/>
        </w:tabs>
        <w:ind w:left="3240" w:hanging="360"/>
      </w:pPr>
      <w:rPr>
        <w:rFonts w:ascii="Wingdings" w:hAnsi="Wingdings" w:hint="default"/>
      </w:rPr>
    </w:lvl>
    <w:lvl w:ilvl="3" w:tplc="040E0001" w:tentative="1">
      <w:start w:val="1"/>
      <w:numFmt w:val="bullet"/>
      <w:lvlText w:val=""/>
      <w:lvlJc w:val="left"/>
      <w:pPr>
        <w:tabs>
          <w:tab w:val="num" w:pos="3960"/>
        </w:tabs>
        <w:ind w:left="3960" w:hanging="360"/>
      </w:pPr>
      <w:rPr>
        <w:rFonts w:ascii="Symbol" w:hAnsi="Symbol" w:hint="default"/>
      </w:rPr>
    </w:lvl>
    <w:lvl w:ilvl="4" w:tplc="040E0003" w:tentative="1">
      <w:start w:val="1"/>
      <w:numFmt w:val="bullet"/>
      <w:lvlText w:val="o"/>
      <w:lvlJc w:val="left"/>
      <w:pPr>
        <w:tabs>
          <w:tab w:val="num" w:pos="4680"/>
        </w:tabs>
        <w:ind w:left="4680" w:hanging="360"/>
      </w:pPr>
      <w:rPr>
        <w:rFonts w:ascii="Courier New" w:hAnsi="Courier New" w:hint="default"/>
      </w:rPr>
    </w:lvl>
    <w:lvl w:ilvl="5" w:tplc="040E0005" w:tentative="1">
      <w:start w:val="1"/>
      <w:numFmt w:val="bullet"/>
      <w:lvlText w:val=""/>
      <w:lvlJc w:val="left"/>
      <w:pPr>
        <w:tabs>
          <w:tab w:val="num" w:pos="5400"/>
        </w:tabs>
        <w:ind w:left="5400" w:hanging="360"/>
      </w:pPr>
      <w:rPr>
        <w:rFonts w:ascii="Wingdings" w:hAnsi="Wingdings" w:hint="default"/>
      </w:rPr>
    </w:lvl>
    <w:lvl w:ilvl="6" w:tplc="040E0001" w:tentative="1">
      <w:start w:val="1"/>
      <w:numFmt w:val="bullet"/>
      <w:lvlText w:val=""/>
      <w:lvlJc w:val="left"/>
      <w:pPr>
        <w:tabs>
          <w:tab w:val="num" w:pos="6120"/>
        </w:tabs>
        <w:ind w:left="6120" w:hanging="360"/>
      </w:pPr>
      <w:rPr>
        <w:rFonts w:ascii="Symbol" w:hAnsi="Symbol" w:hint="default"/>
      </w:rPr>
    </w:lvl>
    <w:lvl w:ilvl="7" w:tplc="040E0003" w:tentative="1">
      <w:start w:val="1"/>
      <w:numFmt w:val="bullet"/>
      <w:lvlText w:val="o"/>
      <w:lvlJc w:val="left"/>
      <w:pPr>
        <w:tabs>
          <w:tab w:val="num" w:pos="6840"/>
        </w:tabs>
        <w:ind w:left="6840" w:hanging="360"/>
      </w:pPr>
      <w:rPr>
        <w:rFonts w:ascii="Courier New" w:hAnsi="Courier New" w:hint="default"/>
      </w:rPr>
    </w:lvl>
    <w:lvl w:ilvl="8" w:tplc="040E0005"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124A6051"/>
    <w:multiLevelType w:val="multilevel"/>
    <w:tmpl w:val="0290B23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6A32E65"/>
    <w:multiLevelType w:val="hybridMultilevel"/>
    <w:tmpl w:val="3A428A1E"/>
    <w:lvl w:ilvl="0" w:tplc="C936CD20">
      <w:numFmt w:val="bullet"/>
      <w:lvlText w:val="-"/>
      <w:lvlJc w:val="left"/>
      <w:pPr>
        <w:tabs>
          <w:tab w:val="num" w:pos="420"/>
        </w:tabs>
        <w:ind w:left="420" w:hanging="360"/>
      </w:pPr>
      <w:rPr>
        <w:rFonts w:ascii="Garamond" w:eastAsia="Times New Roman" w:hAnsi="Garamond"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285FC1"/>
    <w:multiLevelType w:val="multilevel"/>
    <w:tmpl w:val="E2CAF604"/>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numFmt w:val="bullet"/>
      <w:lvlText w:val="-"/>
      <w:lvlJc w:val="left"/>
      <w:pPr>
        <w:tabs>
          <w:tab w:val="num" w:pos="2340"/>
        </w:tabs>
        <w:ind w:left="2340" w:hanging="360"/>
      </w:pPr>
      <w:rPr>
        <w:rFonts w:ascii="Garamond" w:eastAsia="Times New Roman" w:hAnsi="Garamond"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1D49261F"/>
    <w:multiLevelType w:val="hybridMultilevel"/>
    <w:tmpl w:val="12268B12"/>
    <w:lvl w:ilvl="0" w:tplc="F43E7710">
      <w:start w:val="1"/>
      <w:numFmt w:val="upperRoman"/>
      <w:lvlText w:val="%1."/>
      <w:lvlJc w:val="left"/>
      <w:pPr>
        <w:tabs>
          <w:tab w:val="num" w:pos="1080"/>
        </w:tabs>
        <w:ind w:left="1080" w:hanging="72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E9F6140"/>
    <w:multiLevelType w:val="hybridMultilevel"/>
    <w:tmpl w:val="1BE686C8"/>
    <w:lvl w:ilvl="0" w:tplc="4A08A908">
      <w:start w:val="1"/>
      <w:numFmt w:val="decimalZero"/>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19052E3"/>
    <w:multiLevelType w:val="hybridMultilevel"/>
    <w:tmpl w:val="41C82094"/>
    <w:lvl w:ilvl="0" w:tplc="33A6EE60">
      <w:numFmt w:val="bullet"/>
      <w:lvlText w:val="-"/>
      <w:lvlJc w:val="left"/>
      <w:pPr>
        <w:tabs>
          <w:tab w:val="num" w:pos="1776"/>
        </w:tabs>
        <w:ind w:left="1776" w:hanging="360"/>
      </w:pPr>
      <w:rPr>
        <w:rFonts w:ascii="Times New Roman" w:eastAsia="Times New Roman" w:hAnsi="Times New Roman" w:hint="default"/>
        <w:b/>
        <w:u w:val="single"/>
      </w:rPr>
    </w:lvl>
    <w:lvl w:ilvl="1" w:tplc="040E0001">
      <w:start w:val="1"/>
      <w:numFmt w:val="bullet"/>
      <w:lvlText w:val=""/>
      <w:lvlJc w:val="left"/>
      <w:pPr>
        <w:tabs>
          <w:tab w:val="num" w:pos="2496"/>
        </w:tabs>
        <w:ind w:left="2496" w:hanging="360"/>
      </w:pPr>
      <w:rPr>
        <w:rFonts w:ascii="Symbol" w:hAnsi="Symbol" w:hint="default"/>
        <w:b/>
        <w:u w:val="single"/>
      </w:rPr>
    </w:lvl>
    <w:lvl w:ilvl="2" w:tplc="040E001B" w:tentative="1">
      <w:start w:val="1"/>
      <w:numFmt w:val="lowerRoman"/>
      <w:lvlText w:val="%3."/>
      <w:lvlJc w:val="right"/>
      <w:pPr>
        <w:tabs>
          <w:tab w:val="num" w:pos="3216"/>
        </w:tabs>
        <w:ind w:left="3216" w:hanging="180"/>
      </w:pPr>
      <w:rPr>
        <w:rFonts w:cs="Times New Roman"/>
      </w:rPr>
    </w:lvl>
    <w:lvl w:ilvl="3" w:tplc="040E000F" w:tentative="1">
      <w:start w:val="1"/>
      <w:numFmt w:val="decimal"/>
      <w:lvlText w:val="%4."/>
      <w:lvlJc w:val="left"/>
      <w:pPr>
        <w:tabs>
          <w:tab w:val="num" w:pos="3936"/>
        </w:tabs>
        <w:ind w:left="3936" w:hanging="360"/>
      </w:pPr>
      <w:rPr>
        <w:rFonts w:cs="Times New Roman"/>
      </w:rPr>
    </w:lvl>
    <w:lvl w:ilvl="4" w:tplc="040E0019" w:tentative="1">
      <w:start w:val="1"/>
      <w:numFmt w:val="lowerLetter"/>
      <w:lvlText w:val="%5."/>
      <w:lvlJc w:val="left"/>
      <w:pPr>
        <w:tabs>
          <w:tab w:val="num" w:pos="4656"/>
        </w:tabs>
        <w:ind w:left="4656" w:hanging="360"/>
      </w:pPr>
      <w:rPr>
        <w:rFonts w:cs="Times New Roman"/>
      </w:rPr>
    </w:lvl>
    <w:lvl w:ilvl="5" w:tplc="040E001B" w:tentative="1">
      <w:start w:val="1"/>
      <w:numFmt w:val="lowerRoman"/>
      <w:lvlText w:val="%6."/>
      <w:lvlJc w:val="right"/>
      <w:pPr>
        <w:tabs>
          <w:tab w:val="num" w:pos="5376"/>
        </w:tabs>
        <w:ind w:left="5376" w:hanging="180"/>
      </w:pPr>
      <w:rPr>
        <w:rFonts w:cs="Times New Roman"/>
      </w:rPr>
    </w:lvl>
    <w:lvl w:ilvl="6" w:tplc="040E000F" w:tentative="1">
      <w:start w:val="1"/>
      <w:numFmt w:val="decimal"/>
      <w:lvlText w:val="%7."/>
      <w:lvlJc w:val="left"/>
      <w:pPr>
        <w:tabs>
          <w:tab w:val="num" w:pos="6096"/>
        </w:tabs>
        <w:ind w:left="6096" w:hanging="360"/>
      </w:pPr>
      <w:rPr>
        <w:rFonts w:cs="Times New Roman"/>
      </w:rPr>
    </w:lvl>
    <w:lvl w:ilvl="7" w:tplc="040E0019" w:tentative="1">
      <w:start w:val="1"/>
      <w:numFmt w:val="lowerLetter"/>
      <w:lvlText w:val="%8."/>
      <w:lvlJc w:val="left"/>
      <w:pPr>
        <w:tabs>
          <w:tab w:val="num" w:pos="6816"/>
        </w:tabs>
        <w:ind w:left="6816" w:hanging="360"/>
      </w:pPr>
      <w:rPr>
        <w:rFonts w:cs="Times New Roman"/>
      </w:rPr>
    </w:lvl>
    <w:lvl w:ilvl="8" w:tplc="040E001B" w:tentative="1">
      <w:start w:val="1"/>
      <w:numFmt w:val="lowerRoman"/>
      <w:lvlText w:val="%9."/>
      <w:lvlJc w:val="right"/>
      <w:pPr>
        <w:tabs>
          <w:tab w:val="num" w:pos="7536"/>
        </w:tabs>
        <w:ind w:left="7536" w:hanging="180"/>
      </w:pPr>
      <w:rPr>
        <w:rFonts w:cs="Times New Roman"/>
      </w:rPr>
    </w:lvl>
  </w:abstractNum>
  <w:abstractNum w:abstractNumId="14" w15:restartNumberingAfterBreak="0">
    <w:nsid w:val="277D1605"/>
    <w:multiLevelType w:val="hybridMultilevel"/>
    <w:tmpl w:val="98BA873E"/>
    <w:lvl w:ilvl="0" w:tplc="EF1A61D6">
      <w:numFmt w:val="bullet"/>
      <w:lvlText w:val="-"/>
      <w:lvlJc w:val="left"/>
      <w:pPr>
        <w:tabs>
          <w:tab w:val="num" w:pos="2136"/>
        </w:tabs>
        <w:ind w:left="2136" w:hanging="360"/>
      </w:pPr>
      <w:rPr>
        <w:rFonts w:ascii="Times New Roman" w:eastAsia="Times New Roman" w:hAnsi="Times New Roman" w:hint="default"/>
      </w:rPr>
    </w:lvl>
    <w:lvl w:ilvl="1" w:tplc="040E0003" w:tentative="1">
      <w:start w:val="1"/>
      <w:numFmt w:val="bullet"/>
      <w:lvlText w:val="o"/>
      <w:lvlJc w:val="left"/>
      <w:pPr>
        <w:tabs>
          <w:tab w:val="num" w:pos="2856"/>
        </w:tabs>
        <w:ind w:left="2856" w:hanging="360"/>
      </w:pPr>
      <w:rPr>
        <w:rFonts w:ascii="Courier New" w:hAnsi="Courier New" w:hint="default"/>
      </w:rPr>
    </w:lvl>
    <w:lvl w:ilvl="2" w:tplc="040E0005" w:tentative="1">
      <w:start w:val="1"/>
      <w:numFmt w:val="bullet"/>
      <w:lvlText w:val=""/>
      <w:lvlJc w:val="left"/>
      <w:pPr>
        <w:tabs>
          <w:tab w:val="num" w:pos="3576"/>
        </w:tabs>
        <w:ind w:left="3576" w:hanging="360"/>
      </w:pPr>
      <w:rPr>
        <w:rFonts w:ascii="Wingdings" w:hAnsi="Wingdings" w:hint="default"/>
      </w:rPr>
    </w:lvl>
    <w:lvl w:ilvl="3" w:tplc="040E0001" w:tentative="1">
      <w:start w:val="1"/>
      <w:numFmt w:val="bullet"/>
      <w:lvlText w:val=""/>
      <w:lvlJc w:val="left"/>
      <w:pPr>
        <w:tabs>
          <w:tab w:val="num" w:pos="4296"/>
        </w:tabs>
        <w:ind w:left="4296" w:hanging="360"/>
      </w:pPr>
      <w:rPr>
        <w:rFonts w:ascii="Symbol" w:hAnsi="Symbol" w:hint="default"/>
      </w:rPr>
    </w:lvl>
    <w:lvl w:ilvl="4" w:tplc="040E0003" w:tentative="1">
      <w:start w:val="1"/>
      <w:numFmt w:val="bullet"/>
      <w:lvlText w:val="o"/>
      <w:lvlJc w:val="left"/>
      <w:pPr>
        <w:tabs>
          <w:tab w:val="num" w:pos="5016"/>
        </w:tabs>
        <w:ind w:left="5016" w:hanging="360"/>
      </w:pPr>
      <w:rPr>
        <w:rFonts w:ascii="Courier New" w:hAnsi="Courier New" w:hint="default"/>
      </w:rPr>
    </w:lvl>
    <w:lvl w:ilvl="5" w:tplc="040E0005" w:tentative="1">
      <w:start w:val="1"/>
      <w:numFmt w:val="bullet"/>
      <w:lvlText w:val=""/>
      <w:lvlJc w:val="left"/>
      <w:pPr>
        <w:tabs>
          <w:tab w:val="num" w:pos="5736"/>
        </w:tabs>
        <w:ind w:left="5736" w:hanging="360"/>
      </w:pPr>
      <w:rPr>
        <w:rFonts w:ascii="Wingdings" w:hAnsi="Wingdings" w:hint="default"/>
      </w:rPr>
    </w:lvl>
    <w:lvl w:ilvl="6" w:tplc="040E0001" w:tentative="1">
      <w:start w:val="1"/>
      <w:numFmt w:val="bullet"/>
      <w:lvlText w:val=""/>
      <w:lvlJc w:val="left"/>
      <w:pPr>
        <w:tabs>
          <w:tab w:val="num" w:pos="6456"/>
        </w:tabs>
        <w:ind w:left="6456" w:hanging="360"/>
      </w:pPr>
      <w:rPr>
        <w:rFonts w:ascii="Symbol" w:hAnsi="Symbol" w:hint="default"/>
      </w:rPr>
    </w:lvl>
    <w:lvl w:ilvl="7" w:tplc="040E0003" w:tentative="1">
      <w:start w:val="1"/>
      <w:numFmt w:val="bullet"/>
      <w:lvlText w:val="o"/>
      <w:lvlJc w:val="left"/>
      <w:pPr>
        <w:tabs>
          <w:tab w:val="num" w:pos="7176"/>
        </w:tabs>
        <w:ind w:left="7176" w:hanging="360"/>
      </w:pPr>
      <w:rPr>
        <w:rFonts w:ascii="Courier New" w:hAnsi="Courier New" w:hint="default"/>
      </w:rPr>
    </w:lvl>
    <w:lvl w:ilvl="8" w:tplc="040E0005" w:tentative="1">
      <w:start w:val="1"/>
      <w:numFmt w:val="bullet"/>
      <w:lvlText w:val=""/>
      <w:lvlJc w:val="left"/>
      <w:pPr>
        <w:tabs>
          <w:tab w:val="num" w:pos="7896"/>
        </w:tabs>
        <w:ind w:left="7896" w:hanging="360"/>
      </w:pPr>
      <w:rPr>
        <w:rFonts w:ascii="Wingdings" w:hAnsi="Wingdings" w:hint="default"/>
      </w:rPr>
    </w:lvl>
  </w:abstractNum>
  <w:abstractNum w:abstractNumId="15" w15:restartNumberingAfterBreak="0">
    <w:nsid w:val="2D5F3ED0"/>
    <w:multiLevelType w:val="multilevel"/>
    <w:tmpl w:val="CEAE6A72"/>
    <w:lvl w:ilvl="0">
      <w:start w:val="1"/>
      <w:numFmt w:val="lowerLetter"/>
      <w:lvlText w:val="%1)"/>
      <w:lvlJc w:val="left"/>
      <w:pPr>
        <w:tabs>
          <w:tab w:val="num" w:pos="530"/>
        </w:tabs>
        <w:ind w:left="530" w:hanging="360"/>
      </w:pPr>
      <w:rPr>
        <w:rFonts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E6B04CF"/>
    <w:multiLevelType w:val="hybridMultilevel"/>
    <w:tmpl w:val="D59C4D60"/>
    <w:lvl w:ilvl="0" w:tplc="2A66F1FC">
      <w:start w:val="1"/>
      <w:numFmt w:val="upperRoman"/>
      <w:lvlText w:val="%1."/>
      <w:lvlJc w:val="left"/>
      <w:pPr>
        <w:tabs>
          <w:tab w:val="num" w:pos="1080"/>
        </w:tabs>
        <w:ind w:left="1080" w:hanging="72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3114537"/>
    <w:multiLevelType w:val="hybridMultilevel"/>
    <w:tmpl w:val="FD322750"/>
    <w:lvl w:ilvl="0" w:tplc="33A6EE60">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8821B40"/>
    <w:multiLevelType w:val="hybridMultilevel"/>
    <w:tmpl w:val="191E0168"/>
    <w:lvl w:ilvl="0" w:tplc="33A6EE60">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735"/>
        </w:tabs>
        <w:ind w:left="735" w:hanging="360"/>
      </w:pPr>
      <w:rPr>
        <w:rFonts w:ascii="Courier New" w:hAnsi="Courier New" w:hint="default"/>
      </w:rPr>
    </w:lvl>
    <w:lvl w:ilvl="2" w:tplc="040E0005" w:tentative="1">
      <w:start w:val="1"/>
      <w:numFmt w:val="bullet"/>
      <w:lvlText w:val=""/>
      <w:lvlJc w:val="left"/>
      <w:pPr>
        <w:tabs>
          <w:tab w:val="num" w:pos="1455"/>
        </w:tabs>
        <w:ind w:left="1455" w:hanging="360"/>
      </w:pPr>
      <w:rPr>
        <w:rFonts w:ascii="Wingdings" w:hAnsi="Wingdings" w:hint="default"/>
      </w:rPr>
    </w:lvl>
    <w:lvl w:ilvl="3" w:tplc="040E0001" w:tentative="1">
      <w:start w:val="1"/>
      <w:numFmt w:val="bullet"/>
      <w:lvlText w:val=""/>
      <w:lvlJc w:val="left"/>
      <w:pPr>
        <w:tabs>
          <w:tab w:val="num" w:pos="2175"/>
        </w:tabs>
        <w:ind w:left="2175" w:hanging="360"/>
      </w:pPr>
      <w:rPr>
        <w:rFonts w:ascii="Symbol" w:hAnsi="Symbol" w:hint="default"/>
      </w:rPr>
    </w:lvl>
    <w:lvl w:ilvl="4" w:tplc="040E0003" w:tentative="1">
      <w:start w:val="1"/>
      <w:numFmt w:val="bullet"/>
      <w:lvlText w:val="o"/>
      <w:lvlJc w:val="left"/>
      <w:pPr>
        <w:tabs>
          <w:tab w:val="num" w:pos="2895"/>
        </w:tabs>
        <w:ind w:left="2895" w:hanging="360"/>
      </w:pPr>
      <w:rPr>
        <w:rFonts w:ascii="Courier New" w:hAnsi="Courier New" w:hint="default"/>
      </w:rPr>
    </w:lvl>
    <w:lvl w:ilvl="5" w:tplc="040E0005" w:tentative="1">
      <w:start w:val="1"/>
      <w:numFmt w:val="bullet"/>
      <w:lvlText w:val=""/>
      <w:lvlJc w:val="left"/>
      <w:pPr>
        <w:tabs>
          <w:tab w:val="num" w:pos="3615"/>
        </w:tabs>
        <w:ind w:left="3615" w:hanging="360"/>
      </w:pPr>
      <w:rPr>
        <w:rFonts w:ascii="Wingdings" w:hAnsi="Wingdings" w:hint="default"/>
      </w:rPr>
    </w:lvl>
    <w:lvl w:ilvl="6" w:tplc="040E0001" w:tentative="1">
      <w:start w:val="1"/>
      <w:numFmt w:val="bullet"/>
      <w:lvlText w:val=""/>
      <w:lvlJc w:val="left"/>
      <w:pPr>
        <w:tabs>
          <w:tab w:val="num" w:pos="4335"/>
        </w:tabs>
        <w:ind w:left="4335" w:hanging="360"/>
      </w:pPr>
      <w:rPr>
        <w:rFonts w:ascii="Symbol" w:hAnsi="Symbol" w:hint="default"/>
      </w:rPr>
    </w:lvl>
    <w:lvl w:ilvl="7" w:tplc="040E0003" w:tentative="1">
      <w:start w:val="1"/>
      <w:numFmt w:val="bullet"/>
      <w:lvlText w:val="o"/>
      <w:lvlJc w:val="left"/>
      <w:pPr>
        <w:tabs>
          <w:tab w:val="num" w:pos="5055"/>
        </w:tabs>
        <w:ind w:left="5055" w:hanging="360"/>
      </w:pPr>
      <w:rPr>
        <w:rFonts w:ascii="Courier New" w:hAnsi="Courier New" w:hint="default"/>
      </w:rPr>
    </w:lvl>
    <w:lvl w:ilvl="8" w:tplc="040E0005" w:tentative="1">
      <w:start w:val="1"/>
      <w:numFmt w:val="bullet"/>
      <w:lvlText w:val=""/>
      <w:lvlJc w:val="left"/>
      <w:pPr>
        <w:tabs>
          <w:tab w:val="num" w:pos="5775"/>
        </w:tabs>
        <w:ind w:left="5775" w:hanging="360"/>
      </w:pPr>
      <w:rPr>
        <w:rFonts w:ascii="Wingdings" w:hAnsi="Wingdings" w:hint="default"/>
      </w:rPr>
    </w:lvl>
  </w:abstractNum>
  <w:abstractNum w:abstractNumId="19" w15:restartNumberingAfterBreak="0">
    <w:nsid w:val="430A1A50"/>
    <w:multiLevelType w:val="hybridMultilevel"/>
    <w:tmpl w:val="61DED780"/>
    <w:lvl w:ilvl="0" w:tplc="040E000F">
      <w:start w:val="1"/>
      <w:numFmt w:val="decimal"/>
      <w:lvlText w:val="%1."/>
      <w:lvlJc w:val="left"/>
      <w:pPr>
        <w:tabs>
          <w:tab w:val="num" w:pos="720"/>
        </w:tabs>
        <w:ind w:left="720" w:hanging="360"/>
      </w:pPr>
      <w:rPr>
        <w:rFonts w:cs="Times New Roman"/>
      </w:rPr>
    </w:lvl>
    <w:lvl w:ilvl="1" w:tplc="040E0019">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9B2037D"/>
    <w:multiLevelType w:val="hybridMultilevel"/>
    <w:tmpl w:val="F286A3B8"/>
    <w:lvl w:ilvl="0" w:tplc="1BA4DCFA">
      <w:start w:val="1"/>
      <w:numFmt w:val="decimalZero"/>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A3060E0"/>
    <w:multiLevelType w:val="hybridMultilevel"/>
    <w:tmpl w:val="E71015CE"/>
    <w:lvl w:ilvl="0" w:tplc="C936CD20">
      <w:numFmt w:val="bullet"/>
      <w:lvlText w:val="-"/>
      <w:lvlJc w:val="left"/>
      <w:pPr>
        <w:tabs>
          <w:tab w:val="num" w:pos="720"/>
        </w:tabs>
        <w:ind w:left="720" w:hanging="360"/>
      </w:pPr>
      <w:rPr>
        <w:rFonts w:ascii="Garamond" w:eastAsia="Times New Roman" w:hAnsi="Garamond" w:hint="default"/>
      </w:rPr>
    </w:lvl>
    <w:lvl w:ilvl="1" w:tplc="040E0001">
      <w:start w:val="1"/>
      <w:numFmt w:val="bullet"/>
      <w:lvlText w:val=""/>
      <w:lvlJc w:val="left"/>
      <w:pPr>
        <w:tabs>
          <w:tab w:val="num" w:pos="1440"/>
        </w:tabs>
        <w:ind w:left="1440" w:hanging="360"/>
      </w:pPr>
      <w:rPr>
        <w:rFonts w:ascii="Symbol" w:hAnsi="Symbol" w:hint="default"/>
      </w:rPr>
    </w:lvl>
    <w:lvl w:ilvl="2" w:tplc="8348F056">
      <w:numFmt w:val="bullet"/>
      <w:lvlText w:val="-"/>
      <w:lvlJc w:val="left"/>
      <w:pPr>
        <w:tabs>
          <w:tab w:val="num" w:pos="2340"/>
        </w:tabs>
        <w:ind w:left="2340" w:hanging="360"/>
      </w:pPr>
      <w:rPr>
        <w:rFonts w:ascii="Garamond" w:eastAsia="Times New Roman" w:hAnsi="Garamond" w:hint="default"/>
      </w:rPr>
    </w:lvl>
    <w:lvl w:ilvl="3" w:tplc="CE5E8A84">
      <w:start w:val="1"/>
      <w:numFmt w:val="decimalZero"/>
      <w:lvlText w:val="%4."/>
      <w:lvlJc w:val="left"/>
      <w:pPr>
        <w:tabs>
          <w:tab w:val="num" w:pos="2880"/>
        </w:tabs>
        <w:ind w:left="2880" w:hanging="360"/>
      </w:pPr>
      <w:rPr>
        <w:rFonts w:cs="Times New Roman" w:hint="default"/>
        <w:b/>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D5D2895"/>
    <w:multiLevelType w:val="hybridMultilevel"/>
    <w:tmpl w:val="0846D286"/>
    <w:lvl w:ilvl="0" w:tplc="C936CD20">
      <w:numFmt w:val="bullet"/>
      <w:lvlText w:val="-"/>
      <w:lvlJc w:val="left"/>
      <w:pPr>
        <w:tabs>
          <w:tab w:val="num" w:pos="720"/>
        </w:tabs>
        <w:ind w:left="720" w:hanging="360"/>
      </w:pPr>
      <w:rPr>
        <w:rFonts w:ascii="Garamond" w:eastAsia="Times New Roman" w:hAnsi="Garamond" w:hint="default"/>
      </w:rPr>
    </w:lvl>
    <w:lvl w:ilvl="1" w:tplc="040E0001">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FB6453C"/>
    <w:multiLevelType w:val="hybridMultilevel"/>
    <w:tmpl w:val="0290B232"/>
    <w:lvl w:ilvl="0" w:tplc="040E0001">
      <w:start w:val="1"/>
      <w:numFmt w:val="bullet"/>
      <w:lvlText w:val=""/>
      <w:lvlJc w:val="left"/>
      <w:pPr>
        <w:tabs>
          <w:tab w:val="num" w:pos="720"/>
        </w:tabs>
        <w:ind w:left="720" w:hanging="360"/>
      </w:pPr>
      <w:rPr>
        <w:rFonts w:ascii="Symbol" w:hAnsi="Symbol" w:hint="default"/>
      </w:rPr>
    </w:lvl>
    <w:lvl w:ilvl="1" w:tplc="040E0001">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0004B7A"/>
    <w:multiLevelType w:val="hybridMultilevel"/>
    <w:tmpl w:val="9350025C"/>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38425DC"/>
    <w:multiLevelType w:val="hybridMultilevel"/>
    <w:tmpl w:val="6D6AF2F8"/>
    <w:lvl w:ilvl="0" w:tplc="040E000F">
      <w:start w:val="1"/>
      <w:numFmt w:val="decimal"/>
      <w:lvlText w:val="%1."/>
      <w:lvlJc w:val="left"/>
      <w:pPr>
        <w:tabs>
          <w:tab w:val="num" w:pos="720"/>
        </w:tabs>
        <w:ind w:left="720" w:hanging="360"/>
      </w:pPr>
      <w:rPr>
        <w:rFonts w:cs="Times New Roman"/>
      </w:rPr>
    </w:lvl>
    <w:lvl w:ilvl="1" w:tplc="040E0001">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3AF348E"/>
    <w:multiLevelType w:val="hybridMultilevel"/>
    <w:tmpl w:val="C674ECC4"/>
    <w:lvl w:ilvl="0" w:tplc="79D20168">
      <w:start w:val="1"/>
      <w:numFmt w:val="decimalZero"/>
      <w:lvlText w:val="%1."/>
      <w:lvlJc w:val="left"/>
      <w:pPr>
        <w:tabs>
          <w:tab w:val="num" w:pos="720"/>
        </w:tabs>
        <w:ind w:left="720" w:hanging="360"/>
      </w:pPr>
      <w:rPr>
        <w:rFonts w:cs="Times New Roman" w:hint="default"/>
        <w:b/>
        <w:u w:val="single"/>
      </w:rPr>
    </w:lvl>
    <w:lvl w:ilvl="1" w:tplc="040E0001">
      <w:start w:val="1"/>
      <w:numFmt w:val="bullet"/>
      <w:lvlText w:val=""/>
      <w:lvlJc w:val="left"/>
      <w:pPr>
        <w:tabs>
          <w:tab w:val="num" w:pos="1440"/>
        </w:tabs>
        <w:ind w:left="1440" w:hanging="360"/>
      </w:pPr>
      <w:rPr>
        <w:rFonts w:ascii="Symbol" w:hAnsi="Symbol" w:hint="default"/>
        <w:b/>
        <w:u w:val="single"/>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6AD6C0B"/>
    <w:multiLevelType w:val="hybridMultilevel"/>
    <w:tmpl w:val="33DAAD1A"/>
    <w:lvl w:ilvl="0" w:tplc="33A6EE60">
      <w:numFmt w:val="bullet"/>
      <w:lvlText w:val="-"/>
      <w:lvlJc w:val="left"/>
      <w:pPr>
        <w:tabs>
          <w:tab w:val="num" w:pos="1416"/>
        </w:tabs>
        <w:ind w:left="1416" w:hanging="360"/>
      </w:pPr>
      <w:rPr>
        <w:rFonts w:ascii="Times New Roman" w:eastAsia="Times New Roman" w:hAnsi="Times New Roman" w:hint="default"/>
        <w:b/>
        <w:u w:val="single"/>
      </w:rPr>
    </w:lvl>
    <w:lvl w:ilvl="1" w:tplc="040E0001">
      <w:start w:val="1"/>
      <w:numFmt w:val="bullet"/>
      <w:lvlText w:val=""/>
      <w:lvlJc w:val="left"/>
      <w:pPr>
        <w:tabs>
          <w:tab w:val="num" w:pos="2136"/>
        </w:tabs>
        <w:ind w:left="2136" w:hanging="360"/>
      </w:pPr>
      <w:rPr>
        <w:rFonts w:ascii="Symbol" w:hAnsi="Symbol" w:hint="default"/>
        <w:b/>
        <w:u w:val="single"/>
      </w:rPr>
    </w:lvl>
    <w:lvl w:ilvl="2" w:tplc="040E001B" w:tentative="1">
      <w:start w:val="1"/>
      <w:numFmt w:val="lowerRoman"/>
      <w:lvlText w:val="%3."/>
      <w:lvlJc w:val="right"/>
      <w:pPr>
        <w:tabs>
          <w:tab w:val="num" w:pos="2856"/>
        </w:tabs>
        <w:ind w:left="2856" w:hanging="180"/>
      </w:pPr>
      <w:rPr>
        <w:rFonts w:cs="Times New Roman"/>
      </w:rPr>
    </w:lvl>
    <w:lvl w:ilvl="3" w:tplc="040E000F" w:tentative="1">
      <w:start w:val="1"/>
      <w:numFmt w:val="decimal"/>
      <w:lvlText w:val="%4."/>
      <w:lvlJc w:val="left"/>
      <w:pPr>
        <w:tabs>
          <w:tab w:val="num" w:pos="3576"/>
        </w:tabs>
        <w:ind w:left="3576" w:hanging="360"/>
      </w:pPr>
      <w:rPr>
        <w:rFonts w:cs="Times New Roman"/>
      </w:rPr>
    </w:lvl>
    <w:lvl w:ilvl="4" w:tplc="040E0019" w:tentative="1">
      <w:start w:val="1"/>
      <w:numFmt w:val="lowerLetter"/>
      <w:lvlText w:val="%5."/>
      <w:lvlJc w:val="left"/>
      <w:pPr>
        <w:tabs>
          <w:tab w:val="num" w:pos="4296"/>
        </w:tabs>
        <w:ind w:left="4296" w:hanging="360"/>
      </w:pPr>
      <w:rPr>
        <w:rFonts w:cs="Times New Roman"/>
      </w:rPr>
    </w:lvl>
    <w:lvl w:ilvl="5" w:tplc="040E001B" w:tentative="1">
      <w:start w:val="1"/>
      <w:numFmt w:val="lowerRoman"/>
      <w:lvlText w:val="%6."/>
      <w:lvlJc w:val="right"/>
      <w:pPr>
        <w:tabs>
          <w:tab w:val="num" w:pos="5016"/>
        </w:tabs>
        <w:ind w:left="5016" w:hanging="180"/>
      </w:pPr>
      <w:rPr>
        <w:rFonts w:cs="Times New Roman"/>
      </w:rPr>
    </w:lvl>
    <w:lvl w:ilvl="6" w:tplc="040E000F" w:tentative="1">
      <w:start w:val="1"/>
      <w:numFmt w:val="decimal"/>
      <w:lvlText w:val="%7."/>
      <w:lvlJc w:val="left"/>
      <w:pPr>
        <w:tabs>
          <w:tab w:val="num" w:pos="5736"/>
        </w:tabs>
        <w:ind w:left="5736" w:hanging="360"/>
      </w:pPr>
      <w:rPr>
        <w:rFonts w:cs="Times New Roman"/>
      </w:rPr>
    </w:lvl>
    <w:lvl w:ilvl="7" w:tplc="040E0019" w:tentative="1">
      <w:start w:val="1"/>
      <w:numFmt w:val="lowerLetter"/>
      <w:lvlText w:val="%8."/>
      <w:lvlJc w:val="left"/>
      <w:pPr>
        <w:tabs>
          <w:tab w:val="num" w:pos="6456"/>
        </w:tabs>
        <w:ind w:left="6456" w:hanging="360"/>
      </w:pPr>
      <w:rPr>
        <w:rFonts w:cs="Times New Roman"/>
      </w:rPr>
    </w:lvl>
    <w:lvl w:ilvl="8" w:tplc="040E001B" w:tentative="1">
      <w:start w:val="1"/>
      <w:numFmt w:val="lowerRoman"/>
      <w:lvlText w:val="%9."/>
      <w:lvlJc w:val="right"/>
      <w:pPr>
        <w:tabs>
          <w:tab w:val="num" w:pos="7176"/>
        </w:tabs>
        <w:ind w:left="7176" w:hanging="180"/>
      </w:pPr>
      <w:rPr>
        <w:rFonts w:cs="Times New Roman"/>
      </w:rPr>
    </w:lvl>
  </w:abstractNum>
  <w:abstractNum w:abstractNumId="28" w15:restartNumberingAfterBreak="0">
    <w:nsid w:val="5EE256B6"/>
    <w:multiLevelType w:val="hybridMultilevel"/>
    <w:tmpl w:val="197AA2A2"/>
    <w:lvl w:ilvl="0" w:tplc="38265AAE">
      <w:start w:val="1"/>
      <w:numFmt w:val="decimalZero"/>
      <w:lvlText w:val="%1."/>
      <w:lvlJc w:val="left"/>
      <w:pPr>
        <w:tabs>
          <w:tab w:val="num" w:pos="1143"/>
        </w:tabs>
        <w:ind w:left="1143" w:hanging="435"/>
      </w:pPr>
      <w:rPr>
        <w:rFonts w:cs="Times New Roman" w:hint="default"/>
        <w:b/>
      </w:rPr>
    </w:lvl>
    <w:lvl w:ilvl="1" w:tplc="040E0019" w:tentative="1">
      <w:start w:val="1"/>
      <w:numFmt w:val="lowerLetter"/>
      <w:lvlText w:val="%2."/>
      <w:lvlJc w:val="left"/>
      <w:pPr>
        <w:tabs>
          <w:tab w:val="num" w:pos="1788"/>
        </w:tabs>
        <w:ind w:left="1788" w:hanging="360"/>
      </w:pPr>
      <w:rPr>
        <w:rFonts w:cs="Times New Roman"/>
      </w:rPr>
    </w:lvl>
    <w:lvl w:ilvl="2" w:tplc="040E001B" w:tentative="1">
      <w:start w:val="1"/>
      <w:numFmt w:val="lowerRoman"/>
      <w:lvlText w:val="%3."/>
      <w:lvlJc w:val="right"/>
      <w:pPr>
        <w:tabs>
          <w:tab w:val="num" w:pos="2508"/>
        </w:tabs>
        <w:ind w:left="2508" w:hanging="180"/>
      </w:pPr>
      <w:rPr>
        <w:rFonts w:cs="Times New Roman"/>
      </w:rPr>
    </w:lvl>
    <w:lvl w:ilvl="3" w:tplc="040E000F" w:tentative="1">
      <w:start w:val="1"/>
      <w:numFmt w:val="decimal"/>
      <w:lvlText w:val="%4."/>
      <w:lvlJc w:val="left"/>
      <w:pPr>
        <w:tabs>
          <w:tab w:val="num" w:pos="3228"/>
        </w:tabs>
        <w:ind w:left="3228" w:hanging="360"/>
      </w:pPr>
      <w:rPr>
        <w:rFonts w:cs="Times New Roman"/>
      </w:rPr>
    </w:lvl>
    <w:lvl w:ilvl="4" w:tplc="040E0019" w:tentative="1">
      <w:start w:val="1"/>
      <w:numFmt w:val="lowerLetter"/>
      <w:lvlText w:val="%5."/>
      <w:lvlJc w:val="left"/>
      <w:pPr>
        <w:tabs>
          <w:tab w:val="num" w:pos="3948"/>
        </w:tabs>
        <w:ind w:left="3948" w:hanging="360"/>
      </w:pPr>
      <w:rPr>
        <w:rFonts w:cs="Times New Roman"/>
      </w:rPr>
    </w:lvl>
    <w:lvl w:ilvl="5" w:tplc="040E001B" w:tentative="1">
      <w:start w:val="1"/>
      <w:numFmt w:val="lowerRoman"/>
      <w:lvlText w:val="%6."/>
      <w:lvlJc w:val="right"/>
      <w:pPr>
        <w:tabs>
          <w:tab w:val="num" w:pos="4668"/>
        </w:tabs>
        <w:ind w:left="4668" w:hanging="180"/>
      </w:pPr>
      <w:rPr>
        <w:rFonts w:cs="Times New Roman"/>
      </w:rPr>
    </w:lvl>
    <w:lvl w:ilvl="6" w:tplc="040E000F" w:tentative="1">
      <w:start w:val="1"/>
      <w:numFmt w:val="decimal"/>
      <w:lvlText w:val="%7."/>
      <w:lvlJc w:val="left"/>
      <w:pPr>
        <w:tabs>
          <w:tab w:val="num" w:pos="5388"/>
        </w:tabs>
        <w:ind w:left="5388" w:hanging="360"/>
      </w:pPr>
      <w:rPr>
        <w:rFonts w:cs="Times New Roman"/>
      </w:rPr>
    </w:lvl>
    <w:lvl w:ilvl="7" w:tplc="040E0019" w:tentative="1">
      <w:start w:val="1"/>
      <w:numFmt w:val="lowerLetter"/>
      <w:lvlText w:val="%8."/>
      <w:lvlJc w:val="left"/>
      <w:pPr>
        <w:tabs>
          <w:tab w:val="num" w:pos="6108"/>
        </w:tabs>
        <w:ind w:left="6108" w:hanging="360"/>
      </w:pPr>
      <w:rPr>
        <w:rFonts w:cs="Times New Roman"/>
      </w:rPr>
    </w:lvl>
    <w:lvl w:ilvl="8" w:tplc="040E001B" w:tentative="1">
      <w:start w:val="1"/>
      <w:numFmt w:val="lowerRoman"/>
      <w:lvlText w:val="%9."/>
      <w:lvlJc w:val="right"/>
      <w:pPr>
        <w:tabs>
          <w:tab w:val="num" w:pos="6828"/>
        </w:tabs>
        <w:ind w:left="6828" w:hanging="180"/>
      </w:pPr>
      <w:rPr>
        <w:rFonts w:cs="Times New Roman"/>
      </w:rPr>
    </w:lvl>
  </w:abstractNum>
  <w:abstractNum w:abstractNumId="29" w15:restartNumberingAfterBreak="0">
    <w:nsid w:val="649B57DE"/>
    <w:multiLevelType w:val="hybridMultilevel"/>
    <w:tmpl w:val="EFFAE5EC"/>
    <w:lvl w:ilvl="0" w:tplc="ACACE5F2">
      <w:numFmt w:val="bullet"/>
      <w:lvlText w:val="-"/>
      <w:lvlJc w:val="left"/>
      <w:pPr>
        <w:tabs>
          <w:tab w:val="num" w:pos="2493"/>
        </w:tabs>
        <w:ind w:left="2493" w:hanging="360"/>
      </w:pPr>
      <w:rPr>
        <w:rFonts w:ascii="Garamond" w:eastAsia="Times New Roman" w:hAnsi="Garamond" w:hint="default"/>
      </w:rPr>
    </w:lvl>
    <w:lvl w:ilvl="1" w:tplc="EF1A61D6">
      <w:numFmt w:val="bullet"/>
      <w:lvlText w:val="-"/>
      <w:lvlJc w:val="left"/>
      <w:pPr>
        <w:tabs>
          <w:tab w:val="num" w:pos="2160"/>
        </w:tabs>
        <w:ind w:left="2160" w:hanging="360"/>
      </w:pPr>
      <w:rPr>
        <w:rFonts w:ascii="Times New Roman" w:eastAsia="Times New Roman" w:hAnsi="Times New Roman"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66F87E4D"/>
    <w:multiLevelType w:val="hybridMultilevel"/>
    <w:tmpl w:val="223EEC12"/>
    <w:lvl w:ilvl="0" w:tplc="AD8ED492">
      <w:numFmt w:val="bullet"/>
      <w:lvlText w:val="-"/>
      <w:lvlJc w:val="left"/>
      <w:pPr>
        <w:tabs>
          <w:tab w:val="num" w:pos="360"/>
        </w:tabs>
        <w:ind w:left="360" w:hanging="360"/>
      </w:pPr>
      <w:rPr>
        <w:rFonts w:ascii="Garamond" w:eastAsia="Times New Roman" w:hAnsi="Garamond"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55355A0"/>
    <w:multiLevelType w:val="hybridMultilevel"/>
    <w:tmpl w:val="7C5C4E9E"/>
    <w:lvl w:ilvl="0" w:tplc="76E46BD0">
      <w:start w:val="1"/>
      <w:numFmt w:val="upperRoman"/>
      <w:lvlText w:val="%1."/>
      <w:lvlJc w:val="left"/>
      <w:pPr>
        <w:tabs>
          <w:tab w:val="num" w:pos="1080"/>
        </w:tabs>
        <w:ind w:left="1080" w:hanging="72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hint="default"/>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62B3038"/>
    <w:multiLevelType w:val="hybridMultilevel"/>
    <w:tmpl w:val="E2CAF604"/>
    <w:lvl w:ilvl="0" w:tplc="040E0001">
      <w:start w:val="1"/>
      <w:numFmt w:val="bullet"/>
      <w:lvlText w:val=""/>
      <w:lvlJc w:val="left"/>
      <w:pPr>
        <w:tabs>
          <w:tab w:val="num" w:pos="720"/>
        </w:tabs>
        <w:ind w:left="720" w:hanging="360"/>
      </w:pPr>
      <w:rPr>
        <w:rFonts w:ascii="Symbol" w:hAnsi="Symbol" w:hint="default"/>
      </w:rPr>
    </w:lvl>
    <w:lvl w:ilvl="1" w:tplc="040E0001">
      <w:start w:val="1"/>
      <w:numFmt w:val="bullet"/>
      <w:lvlText w:val=""/>
      <w:lvlJc w:val="left"/>
      <w:pPr>
        <w:tabs>
          <w:tab w:val="num" w:pos="1440"/>
        </w:tabs>
        <w:ind w:left="1440" w:hanging="360"/>
      </w:pPr>
      <w:rPr>
        <w:rFonts w:ascii="Symbol" w:hAnsi="Symbol" w:hint="default"/>
      </w:rPr>
    </w:lvl>
    <w:lvl w:ilvl="2" w:tplc="8348F056">
      <w:numFmt w:val="bullet"/>
      <w:lvlText w:val="-"/>
      <w:lvlJc w:val="left"/>
      <w:pPr>
        <w:tabs>
          <w:tab w:val="num" w:pos="2340"/>
        </w:tabs>
        <w:ind w:left="2340" w:hanging="360"/>
      </w:pPr>
      <w:rPr>
        <w:rFonts w:ascii="Garamond" w:eastAsia="Times New Roman" w:hAnsi="Garamond" w:hint="default"/>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9E35F59"/>
    <w:multiLevelType w:val="hybridMultilevel"/>
    <w:tmpl w:val="C11A7DE8"/>
    <w:lvl w:ilvl="0" w:tplc="B122FEF6">
      <w:start w:val="1"/>
      <w:numFmt w:val="lowerLetter"/>
      <w:lvlText w:val="%1)"/>
      <w:lvlJc w:val="left"/>
      <w:pPr>
        <w:tabs>
          <w:tab w:val="num" w:pos="360"/>
        </w:tabs>
        <w:ind w:left="360" w:hanging="360"/>
      </w:pPr>
      <w:rPr>
        <w:rFonts w:cs="Times New Roman" w:hint="default"/>
      </w:rPr>
    </w:lvl>
    <w:lvl w:ilvl="1" w:tplc="040E0019" w:tentative="1">
      <w:start w:val="1"/>
      <w:numFmt w:val="lowerLetter"/>
      <w:lvlText w:val="%2."/>
      <w:lvlJc w:val="left"/>
      <w:pPr>
        <w:tabs>
          <w:tab w:val="num" w:pos="1080"/>
        </w:tabs>
        <w:ind w:left="1080" w:hanging="360"/>
      </w:pPr>
      <w:rPr>
        <w:rFonts w:cs="Times New Roman"/>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num w:numId="1" w16cid:durableId="2133592882">
    <w:abstractNumId w:val="20"/>
  </w:num>
  <w:num w:numId="2" w16cid:durableId="254173496">
    <w:abstractNumId w:val="12"/>
  </w:num>
  <w:num w:numId="3" w16cid:durableId="314913256">
    <w:abstractNumId w:val="16"/>
  </w:num>
  <w:num w:numId="4" w16cid:durableId="1964189156">
    <w:abstractNumId w:val="31"/>
  </w:num>
  <w:num w:numId="5" w16cid:durableId="1374579727">
    <w:abstractNumId w:val="30"/>
  </w:num>
  <w:num w:numId="6" w16cid:durableId="1213732634">
    <w:abstractNumId w:val="15"/>
  </w:num>
  <w:num w:numId="7" w16cid:durableId="1777410901">
    <w:abstractNumId w:val="11"/>
  </w:num>
  <w:num w:numId="8" w16cid:durableId="1938251046">
    <w:abstractNumId w:val="25"/>
  </w:num>
  <w:num w:numId="9" w16cid:durableId="1175071526">
    <w:abstractNumId w:val="17"/>
  </w:num>
  <w:num w:numId="10" w16cid:durableId="1518807581">
    <w:abstractNumId w:val="26"/>
  </w:num>
  <w:num w:numId="11" w16cid:durableId="2106148693">
    <w:abstractNumId w:val="27"/>
  </w:num>
  <w:num w:numId="12" w16cid:durableId="567419671">
    <w:abstractNumId w:val="13"/>
  </w:num>
  <w:num w:numId="13" w16cid:durableId="333994627">
    <w:abstractNumId w:val="18"/>
  </w:num>
  <w:num w:numId="14" w16cid:durableId="1004941478">
    <w:abstractNumId w:val="3"/>
  </w:num>
  <w:num w:numId="15" w16cid:durableId="85538894">
    <w:abstractNumId w:val="0"/>
  </w:num>
  <w:num w:numId="16" w16cid:durableId="1320986">
    <w:abstractNumId w:val="32"/>
  </w:num>
  <w:num w:numId="17" w16cid:durableId="762187388">
    <w:abstractNumId w:val="23"/>
  </w:num>
  <w:num w:numId="18" w16cid:durableId="703939652">
    <w:abstractNumId w:val="10"/>
  </w:num>
  <w:num w:numId="19" w16cid:durableId="1933587918">
    <w:abstractNumId w:val="21"/>
  </w:num>
  <w:num w:numId="20" w16cid:durableId="1036546334">
    <w:abstractNumId w:val="24"/>
  </w:num>
  <w:num w:numId="21" w16cid:durableId="1916166362">
    <w:abstractNumId w:val="28"/>
  </w:num>
  <w:num w:numId="22" w16cid:durableId="1641377291">
    <w:abstractNumId w:val="29"/>
  </w:num>
  <w:num w:numId="23" w16cid:durableId="1332029173">
    <w:abstractNumId w:val="14"/>
  </w:num>
  <w:num w:numId="24" w16cid:durableId="1213929251">
    <w:abstractNumId w:val="5"/>
  </w:num>
  <w:num w:numId="25" w16cid:durableId="1937010197">
    <w:abstractNumId w:val="7"/>
  </w:num>
  <w:num w:numId="26" w16cid:durableId="1055741930">
    <w:abstractNumId w:val="19"/>
  </w:num>
  <w:num w:numId="27" w16cid:durableId="332680517">
    <w:abstractNumId w:val="8"/>
  </w:num>
  <w:num w:numId="28" w16cid:durableId="1349408735">
    <w:abstractNumId w:val="22"/>
  </w:num>
  <w:num w:numId="29" w16cid:durableId="1942831429">
    <w:abstractNumId w:val="2"/>
  </w:num>
  <w:num w:numId="30" w16cid:durableId="1056005562">
    <w:abstractNumId w:val="4"/>
  </w:num>
  <w:num w:numId="31" w16cid:durableId="385882537">
    <w:abstractNumId w:val="9"/>
  </w:num>
  <w:num w:numId="32" w16cid:durableId="1630015991">
    <w:abstractNumId w:val="1"/>
  </w:num>
  <w:num w:numId="33" w16cid:durableId="384137257">
    <w:abstractNumId w:val="6"/>
  </w:num>
  <w:num w:numId="34" w16cid:durableId="22939080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38B3"/>
    <w:rsid w:val="00045920"/>
    <w:rsid w:val="00134794"/>
    <w:rsid w:val="00146810"/>
    <w:rsid w:val="00163057"/>
    <w:rsid w:val="001855C4"/>
    <w:rsid w:val="001A3FAB"/>
    <w:rsid w:val="001A439E"/>
    <w:rsid w:val="001B799D"/>
    <w:rsid w:val="001C422B"/>
    <w:rsid w:val="001E60CC"/>
    <w:rsid w:val="001E6AC5"/>
    <w:rsid w:val="001F1B73"/>
    <w:rsid w:val="00206F7A"/>
    <w:rsid w:val="00214C0A"/>
    <w:rsid w:val="00235695"/>
    <w:rsid w:val="00245F6F"/>
    <w:rsid w:val="00265F1A"/>
    <w:rsid w:val="002A2B4A"/>
    <w:rsid w:val="002A419B"/>
    <w:rsid w:val="002D6CA4"/>
    <w:rsid w:val="002F424E"/>
    <w:rsid w:val="00305539"/>
    <w:rsid w:val="0031523B"/>
    <w:rsid w:val="003176A8"/>
    <w:rsid w:val="003438B3"/>
    <w:rsid w:val="003640DD"/>
    <w:rsid w:val="003831E3"/>
    <w:rsid w:val="00393E80"/>
    <w:rsid w:val="00396BB2"/>
    <w:rsid w:val="003B10F9"/>
    <w:rsid w:val="003B1F3B"/>
    <w:rsid w:val="003D104F"/>
    <w:rsid w:val="003E5254"/>
    <w:rsid w:val="004017C9"/>
    <w:rsid w:val="00441738"/>
    <w:rsid w:val="0045752A"/>
    <w:rsid w:val="004844F3"/>
    <w:rsid w:val="004A5AB6"/>
    <w:rsid w:val="004D0CBE"/>
    <w:rsid w:val="004E4D78"/>
    <w:rsid w:val="005030C7"/>
    <w:rsid w:val="0053641B"/>
    <w:rsid w:val="0057280A"/>
    <w:rsid w:val="00580C7E"/>
    <w:rsid w:val="005B1BDC"/>
    <w:rsid w:val="005B7ADA"/>
    <w:rsid w:val="005C50AF"/>
    <w:rsid w:val="005E1DD8"/>
    <w:rsid w:val="005E2D61"/>
    <w:rsid w:val="005E38C0"/>
    <w:rsid w:val="006623DF"/>
    <w:rsid w:val="00667D98"/>
    <w:rsid w:val="006862BE"/>
    <w:rsid w:val="00690FEA"/>
    <w:rsid w:val="006A2932"/>
    <w:rsid w:val="006B7222"/>
    <w:rsid w:val="006D3C32"/>
    <w:rsid w:val="006E28D9"/>
    <w:rsid w:val="006E638E"/>
    <w:rsid w:val="007142D2"/>
    <w:rsid w:val="00715D8A"/>
    <w:rsid w:val="00744D71"/>
    <w:rsid w:val="00753AF7"/>
    <w:rsid w:val="007658FF"/>
    <w:rsid w:val="007A0A67"/>
    <w:rsid w:val="007B092E"/>
    <w:rsid w:val="007B4755"/>
    <w:rsid w:val="007D04D4"/>
    <w:rsid w:val="00814263"/>
    <w:rsid w:val="00820F0D"/>
    <w:rsid w:val="008378CF"/>
    <w:rsid w:val="008458D5"/>
    <w:rsid w:val="00850C7D"/>
    <w:rsid w:val="00856CD4"/>
    <w:rsid w:val="00872364"/>
    <w:rsid w:val="00885E5F"/>
    <w:rsid w:val="008863EA"/>
    <w:rsid w:val="008935E3"/>
    <w:rsid w:val="008B3EF8"/>
    <w:rsid w:val="008C087C"/>
    <w:rsid w:val="008C74A4"/>
    <w:rsid w:val="008D1AFE"/>
    <w:rsid w:val="0095334B"/>
    <w:rsid w:val="00955342"/>
    <w:rsid w:val="00960F08"/>
    <w:rsid w:val="00977BCF"/>
    <w:rsid w:val="009D0C6D"/>
    <w:rsid w:val="009D134F"/>
    <w:rsid w:val="009D726B"/>
    <w:rsid w:val="009E2B84"/>
    <w:rsid w:val="009E3615"/>
    <w:rsid w:val="009E42E4"/>
    <w:rsid w:val="00A2199D"/>
    <w:rsid w:val="00A30C04"/>
    <w:rsid w:val="00A81C27"/>
    <w:rsid w:val="00AA0365"/>
    <w:rsid w:val="00AF70A3"/>
    <w:rsid w:val="00B22D3B"/>
    <w:rsid w:val="00B33CEF"/>
    <w:rsid w:val="00B74C50"/>
    <w:rsid w:val="00B81E1F"/>
    <w:rsid w:val="00BD5A42"/>
    <w:rsid w:val="00BF4F4E"/>
    <w:rsid w:val="00C11DDF"/>
    <w:rsid w:val="00C15518"/>
    <w:rsid w:val="00C4068D"/>
    <w:rsid w:val="00C41E16"/>
    <w:rsid w:val="00C42680"/>
    <w:rsid w:val="00C43F7A"/>
    <w:rsid w:val="00C649AF"/>
    <w:rsid w:val="00C65300"/>
    <w:rsid w:val="00C72A27"/>
    <w:rsid w:val="00C812D8"/>
    <w:rsid w:val="00C863F3"/>
    <w:rsid w:val="00C91D72"/>
    <w:rsid w:val="00C92907"/>
    <w:rsid w:val="00C933E5"/>
    <w:rsid w:val="00CE1A84"/>
    <w:rsid w:val="00CE285B"/>
    <w:rsid w:val="00CE563F"/>
    <w:rsid w:val="00D05AAC"/>
    <w:rsid w:val="00D75392"/>
    <w:rsid w:val="00D82493"/>
    <w:rsid w:val="00D91509"/>
    <w:rsid w:val="00DC37A7"/>
    <w:rsid w:val="00DD57F1"/>
    <w:rsid w:val="00DD77A8"/>
    <w:rsid w:val="00DE01D4"/>
    <w:rsid w:val="00DF7264"/>
    <w:rsid w:val="00E011FA"/>
    <w:rsid w:val="00E047FA"/>
    <w:rsid w:val="00E158FD"/>
    <w:rsid w:val="00E202B9"/>
    <w:rsid w:val="00E43B35"/>
    <w:rsid w:val="00EA7D5C"/>
    <w:rsid w:val="00EC4FC3"/>
    <w:rsid w:val="00F02CEE"/>
    <w:rsid w:val="00F02EC8"/>
    <w:rsid w:val="00F21A45"/>
    <w:rsid w:val="00F2541A"/>
    <w:rsid w:val="00F47235"/>
    <w:rsid w:val="00F72F7B"/>
    <w:rsid w:val="00F80EC3"/>
    <w:rsid w:val="00F81192"/>
    <w:rsid w:val="00FB3C50"/>
    <w:rsid w:val="00FB702D"/>
    <w:rsid w:val="00FC116B"/>
    <w:rsid w:val="00FC3033"/>
    <w:rsid w:val="00FC496F"/>
    <w:rsid w:val="00FF7875"/>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506E4EA"/>
  <w15:chartTrackingRefBased/>
  <w15:docId w15:val="{0D76ADC9-8E6E-49EF-AB25-FF80F9800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snapToGrid w:val="0"/>
      <w:sz w:val="24"/>
      <w:szCs w:val="24"/>
      <w:lang w:eastAsia="hu-HU"/>
    </w:rPr>
  </w:style>
  <w:style w:type="paragraph" w:styleId="Cmsor1">
    <w:name w:val="heading 1"/>
    <w:basedOn w:val="Norml"/>
    <w:next w:val="Norml"/>
    <w:link w:val="Cmsor1Char"/>
    <w:uiPriority w:val="9"/>
    <w:qFormat/>
    <w:pPr>
      <w:keepNext/>
      <w:spacing w:before="240" w:after="60"/>
      <w:outlineLvl w:val="0"/>
    </w:pPr>
    <w:rPr>
      <w:rFonts w:ascii="Cambria" w:hAnsi="Cambria"/>
      <w:b/>
      <w:bCs/>
      <w:kern w:val="32"/>
      <w:sz w:val="32"/>
      <w:szCs w:val="32"/>
      <w:lang w:val="x-none" w:eastAsia="x-none"/>
    </w:rPr>
  </w:style>
  <w:style w:type="paragraph" w:styleId="Cmsor2">
    <w:name w:val="heading 2"/>
    <w:basedOn w:val="Norml"/>
    <w:next w:val="Norml"/>
    <w:link w:val="Cmsor2Char"/>
    <w:uiPriority w:val="9"/>
    <w:qFormat/>
    <w:pPr>
      <w:keepNext/>
      <w:spacing w:before="240" w:after="60"/>
      <w:outlineLvl w:val="1"/>
    </w:pPr>
    <w:rPr>
      <w:rFonts w:ascii="Cambria" w:hAnsi="Cambria"/>
      <w:b/>
      <w:bCs/>
      <w:i/>
      <w:iCs/>
      <w:sz w:val="28"/>
      <w:szCs w:val="28"/>
      <w:lang w:val="x-none" w:eastAsia="x-none"/>
    </w:rPr>
  </w:style>
  <w:style w:type="paragraph" w:styleId="Cmsor3">
    <w:name w:val="heading 3"/>
    <w:basedOn w:val="Norml"/>
    <w:next w:val="Norml"/>
    <w:link w:val="Cmsor3Char"/>
    <w:uiPriority w:val="9"/>
    <w:qFormat/>
    <w:pPr>
      <w:keepNext/>
      <w:spacing w:before="240" w:after="60"/>
      <w:outlineLvl w:val="2"/>
    </w:pPr>
    <w:rPr>
      <w:rFonts w:ascii="Cambria" w:hAnsi="Cambria"/>
      <w:b/>
      <w:bCs/>
      <w:sz w:val="26"/>
      <w:szCs w:val="26"/>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Pr>
      <w:rFonts w:ascii="Cambria" w:eastAsia="Times New Roman" w:hAnsi="Cambria" w:cs="Times New Roman"/>
      <w:b/>
      <w:bCs/>
      <w:snapToGrid w:val="0"/>
      <w:kern w:val="32"/>
      <w:sz w:val="32"/>
      <w:szCs w:val="32"/>
    </w:rPr>
  </w:style>
  <w:style w:type="character" w:customStyle="1" w:styleId="Cmsor2Char">
    <w:name w:val="Címsor 2 Char"/>
    <w:link w:val="Cmsor2"/>
    <w:uiPriority w:val="9"/>
    <w:semiHidden/>
    <w:rPr>
      <w:rFonts w:ascii="Cambria" w:eastAsia="Times New Roman" w:hAnsi="Cambria" w:cs="Times New Roman"/>
      <w:b/>
      <w:bCs/>
      <w:i/>
      <w:iCs/>
      <w:snapToGrid w:val="0"/>
      <w:sz w:val="28"/>
      <w:szCs w:val="28"/>
    </w:rPr>
  </w:style>
  <w:style w:type="character" w:customStyle="1" w:styleId="Cmsor3Char">
    <w:name w:val="Címsor 3 Char"/>
    <w:link w:val="Cmsor3"/>
    <w:uiPriority w:val="9"/>
    <w:semiHidden/>
    <w:rPr>
      <w:rFonts w:ascii="Cambria" w:eastAsia="Times New Roman" w:hAnsi="Cambria" w:cs="Times New Roman"/>
      <w:b/>
      <w:bCs/>
      <w:snapToGrid w:val="0"/>
      <w:sz w:val="26"/>
      <w:szCs w:val="26"/>
    </w:rPr>
  </w:style>
  <w:style w:type="paragraph" w:styleId="Szvegtrzs">
    <w:name w:val="Body Text"/>
    <w:basedOn w:val="Norml"/>
    <w:link w:val="SzvegtrzsChar"/>
    <w:uiPriority w:val="99"/>
    <w:rPr>
      <w:lang w:val="x-none" w:eastAsia="x-none"/>
    </w:rPr>
  </w:style>
  <w:style w:type="character" w:customStyle="1" w:styleId="SzvegtrzsChar">
    <w:name w:val="Szövegtörzs Char"/>
    <w:link w:val="Szvegtrzs"/>
    <w:uiPriority w:val="99"/>
    <w:semiHidden/>
    <w:rPr>
      <w:rFonts w:ascii="Times New Roman" w:hAnsi="Times New Roman" w:cs="Times New Roman"/>
      <w:snapToGrid w:val="0"/>
      <w:sz w:val="24"/>
      <w:szCs w:val="24"/>
    </w:rPr>
  </w:style>
  <w:style w:type="paragraph" w:styleId="lfej">
    <w:name w:val="header"/>
    <w:basedOn w:val="Norml"/>
    <w:link w:val="lfejChar"/>
    <w:uiPriority w:val="99"/>
    <w:pPr>
      <w:tabs>
        <w:tab w:val="center" w:pos="4536"/>
        <w:tab w:val="right" w:pos="9072"/>
      </w:tabs>
    </w:pPr>
    <w:rPr>
      <w:lang w:val="x-none" w:eastAsia="x-none"/>
    </w:rPr>
  </w:style>
  <w:style w:type="character" w:customStyle="1" w:styleId="lfejChar">
    <w:name w:val="Élőfej Char"/>
    <w:link w:val="lfej"/>
    <w:uiPriority w:val="99"/>
    <w:semiHidden/>
    <w:rPr>
      <w:rFonts w:ascii="Times New Roman" w:hAnsi="Times New Roman" w:cs="Times New Roman"/>
      <w:snapToGrid w:val="0"/>
      <w:sz w:val="24"/>
      <w:szCs w:val="24"/>
    </w:rPr>
  </w:style>
  <w:style w:type="paragraph" w:styleId="TJ1">
    <w:name w:val="toc 1"/>
    <w:basedOn w:val="Norml"/>
    <w:next w:val="Norml"/>
    <w:autoRedefine/>
    <w:uiPriority w:val="39"/>
    <w:semiHidden/>
    <w:pPr>
      <w:spacing w:before="120" w:after="120"/>
    </w:pPr>
    <w:rPr>
      <w:b/>
      <w:bCs/>
      <w:caps/>
      <w:sz w:val="20"/>
      <w:szCs w:val="20"/>
    </w:rPr>
  </w:style>
  <w:style w:type="paragraph" w:styleId="TJ2">
    <w:name w:val="toc 2"/>
    <w:basedOn w:val="Norml"/>
    <w:next w:val="Norml"/>
    <w:autoRedefine/>
    <w:uiPriority w:val="39"/>
    <w:semiHidden/>
    <w:pPr>
      <w:ind w:left="240"/>
    </w:pPr>
    <w:rPr>
      <w:smallCaps/>
      <w:sz w:val="20"/>
      <w:szCs w:val="20"/>
    </w:rPr>
  </w:style>
  <w:style w:type="paragraph" w:styleId="TJ3">
    <w:name w:val="toc 3"/>
    <w:basedOn w:val="Norml"/>
    <w:next w:val="Norml"/>
    <w:autoRedefine/>
    <w:uiPriority w:val="39"/>
    <w:semiHidden/>
    <w:pPr>
      <w:ind w:left="480"/>
    </w:pPr>
    <w:rPr>
      <w:i/>
      <w:iCs/>
      <w:sz w:val="20"/>
      <w:szCs w:val="20"/>
    </w:rPr>
  </w:style>
  <w:style w:type="paragraph" w:styleId="TJ4">
    <w:name w:val="toc 4"/>
    <w:basedOn w:val="Norml"/>
    <w:next w:val="Norml"/>
    <w:autoRedefine/>
    <w:uiPriority w:val="39"/>
    <w:semiHidden/>
    <w:pPr>
      <w:ind w:left="720"/>
    </w:pPr>
    <w:rPr>
      <w:sz w:val="18"/>
      <w:szCs w:val="18"/>
    </w:rPr>
  </w:style>
  <w:style w:type="paragraph" w:styleId="TJ5">
    <w:name w:val="toc 5"/>
    <w:basedOn w:val="Norml"/>
    <w:next w:val="Norml"/>
    <w:autoRedefine/>
    <w:uiPriority w:val="39"/>
    <w:semiHidden/>
    <w:pPr>
      <w:ind w:left="960"/>
    </w:pPr>
    <w:rPr>
      <w:sz w:val="18"/>
      <w:szCs w:val="18"/>
    </w:rPr>
  </w:style>
  <w:style w:type="paragraph" w:styleId="TJ6">
    <w:name w:val="toc 6"/>
    <w:basedOn w:val="Norml"/>
    <w:next w:val="Norml"/>
    <w:autoRedefine/>
    <w:uiPriority w:val="39"/>
    <w:semiHidden/>
    <w:pPr>
      <w:ind w:left="1200"/>
    </w:pPr>
    <w:rPr>
      <w:sz w:val="18"/>
      <w:szCs w:val="18"/>
    </w:rPr>
  </w:style>
  <w:style w:type="paragraph" w:styleId="TJ7">
    <w:name w:val="toc 7"/>
    <w:basedOn w:val="Norml"/>
    <w:next w:val="Norml"/>
    <w:autoRedefine/>
    <w:uiPriority w:val="39"/>
    <w:semiHidden/>
    <w:pPr>
      <w:ind w:left="1440"/>
    </w:pPr>
    <w:rPr>
      <w:sz w:val="18"/>
      <w:szCs w:val="18"/>
    </w:rPr>
  </w:style>
  <w:style w:type="paragraph" w:styleId="TJ8">
    <w:name w:val="toc 8"/>
    <w:basedOn w:val="Norml"/>
    <w:next w:val="Norml"/>
    <w:autoRedefine/>
    <w:uiPriority w:val="39"/>
    <w:semiHidden/>
    <w:pPr>
      <w:ind w:left="1680"/>
    </w:pPr>
    <w:rPr>
      <w:sz w:val="18"/>
      <w:szCs w:val="18"/>
    </w:rPr>
  </w:style>
  <w:style w:type="paragraph" w:styleId="TJ9">
    <w:name w:val="toc 9"/>
    <w:basedOn w:val="Norml"/>
    <w:next w:val="Norml"/>
    <w:autoRedefine/>
    <w:uiPriority w:val="39"/>
    <w:semiHidden/>
    <w:pPr>
      <w:ind w:left="1920"/>
    </w:pPr>
    <w:rPr>
      <w:sz w:val="18"/>
      <w:szCs w:val="18"/>
    </w:rPr>
  </w:style>
  <w:style w:type="character" w:styleId="Hiperhivatkozs">
    <w:name w:val="Hyperlink"/>
    <w:uiPriority w:val="99"/>
    <w:rPr>
      <w:rFonts w:cs="Times New Roman"/>
      <w:color w:val="0000FF"/>
      <w:u w:val="single"/>
    </w:rPr>
  </w:style>
  <w:style w:type="paragraph" w:styleId="Buborkszveg">
    <w:name w:val="Balloon Text"/>
    <w:basedOn w:val="Norml"/>
    <w:link w:val="BuborkszvegChar"/>
    <w:uiPriority w:val="99"/>
    <w:semiHidden/>
    <w:rPr>
      <w:rFonts w:ascii="Tahoma" w:hAnsi="Tahoma"/>
      <w:sz w:val="16"/>
      <w:szCs w:val="16"/>
      <w:lang w:val="x-none" w:eastAsia="x-none"/>
    </w:rPr>
  </w:style>
  <w:style w:type="character" w:customStyle="1" w:styleId="BuborkszvegChar">
    <w:name w:val="Buborékszöveg Char"/>
    <w:link w:val="Buborkszveg"/>
    <w:uiPriority w:val="99"/>
    <w:semiHidden/>
    <w:rPr>
      <w:rFonts w:ascii="Tahoma" w:hAnsi="Tahoma" w:cs="Tahoma"/>
      <w:snapToGrid w:val="0"/>
      <w:sz w:val="16"/>
      <w:szCs w:val="16"/>
    </w:rPr>
  </w:style>
  <w:style w:type="paragraph" w:styleId="llb">
    <w:name w:val="footer"/>
    <w:basedOn w:val="Norml"/>
    <w:link w:val="llbChar"/>
    <w:uiPriority w:val="99"/>
    <w:pPr>
      <w:tabs>
        <w:tab w:val="center" w:pos="4536"/>
        <w:tab w:val="right" w:pos="9072"/>
      </w:tabs>
    </w:pPr>
    <w:rPr>
      <w:lang w:val="x-none" w:eastAsia="x-none"/>
    </w:rPr>
  </w:style>
  <w:style w:type="character" w:customStyle="1" w:styleId="llbChar">
    <w:name w:val="Élőláb Char"/>
    <w:link w:val="llb"/>
    <w:uiPriority w:val="99"/>
    <w:semiHidden/>
    <w:rPr>
      <w:rFonts w:ascii="Times New Roman" w:hAnsi="Times New Roman" w:cs="Times New Roman"/>
      <w:snapToGrid w:val="0"/>
      <w:sz w:val="24"/>
      <w:szCs w:val="24"/>
    </w:rPr>
  </w:style>
  <w:style w:type="character" w:styleId="Oldalszm">
    <w:name w:val="page number"/>
    <w:uiPriority w:val="99"/>
    <w:rPr>
      <w:rFonts w:cs="Times New Roman"/>
    </w:rPr>
  </w:style>
  <w:style w:type="paragraph" w:styleId="Lbjegyzetszveg">
    <w:name w:val="footnote text"/>
    <w:basedOn w:val="Norml"/>
    <w:link w:val="LbjegyzetszvegChar"/>
    <w:uiPriority w:val="99"/>
    <w:semiHidden/>
    <w:rPr>
      <w:sz w:val="20"/>
      <w:szCs w:val="20"/>
      <w:lang w:val="x-none" w:eastAsia="x-none"/>
    </w:rPr>
  </w:style>
  <w:style w:type="character" w:customStyle="1" w:styleId="LbjegyzetszvegChar">
    <w:name w:val="Lábjegyzetszöveg Char"/>
    <w:link w:val="Lbjegyzetszveg"/>
    <w:uiPriority w:val="99"/>
    <w:semiHidden/>
    <w:rPr>
      <w:rFonts w:ascii="Times New Roman" w:hAnsi="Times New Roman" w:cs="Times New Roman"/>
      <w:snapToGrid w:val="0"/>
    </w:rPr>
  </w:style>
  <w:style w:type="character" w:styleId="Lbjegyzet-hivatkozs">
    <w:name w:val="footnote reference"/>
    <w:uiPriority w:val="99"/>
    <w:semiHidden/>
    <w:rPr>
      <w:rFonts w:cs="Times New Roman"/>
      <w:vertAlign w:val="superscript"/>
    </w:rPr>
  </w:style>
  <w:style w:type="character" w:styleId="Jegyzethivatkozs">
    <w:name w:val="annotation reference"/>
    <w:uiPriority w:val="99"/>
    <w:semiHidden/>
    <w:rPr>
      <w:rFonts w:cs="Times New Roman"/>
      <w:sz w:val="16"/>
      <w:szCs w:val="16"/>
    </w:rPr>
  </w:style>
  <w:style w:type="paragraph" w:styleId="Jegyzetszveg">
    <w:name w:val="annotation text"/>
    <w:basedOn w:val="Norml"/>
    <w:link w:val="JegyzetszvegChar"/>
    <w:uiPriority w:val="99"/>
    <w:semiHidden/>
    <w:rPr>
      <w:sz w:val="20"/>
      <w:szCs w:val="20"/>
      <w:lang w:val="x-none" w:eastAsia="x-none"/>
    </w:rPr>
  </w:style>
  <w:style w:type="character" w:customStyle="1" w:styleId="JegyzetszvegChar">
    <w:name w:val="Jegyzetszöveg Char"/>
    <w:link w:val="Jegyzetszveg"/>
    <w:uiPriority w:val="99"/>
    <w:semiHidden/>
    <w:rPr>
      <w:rFonts w:ascii="Times New Roman" w:hAnsi="Times New Roman" w:cs="Times New Roman"/>
      <w:snapToGrid w:val="0"/>
    </w:rPr>
  </w:style>
  <w:style w:type="paragraph" w:styleId="Megjegyzstrgya">
    <w:name w:val="annotation subject"/>
    <w:basedOn w:val="Jegyzetszveg"/>
    <w:next w:val="Jegyzetszveg"/>
    <w:link w:val="MegjegyzstrgyaChar"/>
    <w:uiPriority w:val="99"/>
    <w:semiHidden/>
    <w:rPr>
      <w:b/>
      <w:bCs/>
    </w:rPr>
  </w:style>
  <w:style w:type="character" w:customStyle="1" w:styleId="MegjegyzstrgyaChar">
    <w:name w:val="Megjegyzés tárgya Char"/>
    <w:link w:val="Megjegyzstrgya"/>
    <w:uiPriority w:val="99"/>
    <w:semiHidden/>
    <w:rPr>
      <w:rFonts w:ascii="Times New Roman" w:hAnsi="Times New Roman" w:cs="Times New Roman"/>
      <w:b/>
      <w:bCs/>
      <w:snapToGrid w:val="0"/>
    </w:rPr>
  </w:style>
  <w:style w:type="table" w:styleId="Rcsostblzat">
    <w:name w:val="Table Grid"/>
    <w:basedOn w:val="Normltblzat"/>
    <w:uiPriority w:val="59"/>
    <w:rPr>
      <w:snapToGrid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External">
    <w:name w:val="tw4winExternal"/>
    <w:uiPriority w:val="99"/>
    <w:rPr>
      <w:rFonts w:ascii="Courier New" w:hAnsi="Courier New"/>
      <w:noProof/>
      <w:color w:val="8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Vltozat">
    <w:name w:val="Revision"/>
    <w:hidden/>
    <w:uiPriority w:val="99"/>
    <w:semiHidden/>
    <w:rsid w:val="007142D2"/>
    <w:rPr>
      <w:snapToGrid w:val="0"/>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57398">
      <w:marLeft w:val="0"/>
      <w:marRight w:val="0"/>
      <w:marTop w:val="0"/>
      <w:marBottom w:val="0"/>
      <w:divBdr>
        <w:top w:val="none" w:sz="0" w:space="0" w:color="auto"/>
        <w:left w:val="none" w:sz="0" w:space="0" w:color="auto"/>
        <w:bottom w:val="none" w:sz="0" w:space="0" w:color="auto"/>
        <w:right w:val="none" w:sz="0" w:space="0" w:color="auto"/>
      </w:divBdr>
    </w:div>
    <w:div w:id="71657399">
      <w:marLeft w:val="0"/>
      <w:marRight w:val="0"/>
      <w:marTop w:val="0"/>
      <w:marBottom w:val="0"/>
      <w:divBdr>
        <w:top w:val="none" w:sz="0" w:space="0" w:color="auto"/>
        <w:left w:val="none" w:sz="0" w:space="0" w:color="auto"/>
        <w:bottom w:val="none" w:sz="0" w:space="0" w:color="auto"/>
        <w:right w:val="none" w:sz="0" w:space="0" w:color="auto"/>
      </w:divBdr>
    </w:div>
    <w:div w:id="71657400">
      <w:marLeft w:val="0"/>
      <w:marRight w:val="0"/>
      <w:marTop w:val="0"/>
      <w:marBottom w:val="0"/>
      <w:divBdr>
        <w:top w:val="none" w:sz="0" w:space="0" w:color="auto"/>
        <w:left w:val="none" w:sz="0" w:space="0" w:color="auto"/>
        <w:bottom w:val="none" w:sz="0" w:space="0" w:color="auto"/>
        <w:right w:val="none" w:sz="0" w:space="0" w:color="auto"/>
      </w:divBdr>
    </w:div>
    <w:div w:id="71657401">
      <w:marLeft w:val="0"/>
      <w:marRight w:val="0"/>
      <w:marTop w:val="0"/>
      <w:marBottom w:val="0"/>
      <w:divBdr>
        <w:top w:val="none" w:sz="0" w:space="0" w:color="auto"/>
        <w:left w:val="none" w:sz="0" w:space="0" w:color="auto"/>
        <w:bottom w:val="none" w:sz="0" w:space="0" w:color="auto"/>
        <w:right w:val="none" w:sz="0" w:space="0" w:color="auto"/>
      </w:divBdr>
    </w:div>
    <w:div w:id="71657402">
      <w:marLeft w:val="0"/>
      <w:marRight w:val="0"/>
      <w:marTop w:val="0"/>
      <w:marBottom w:val="0"/>
      <w:divBdr>
        <w:top w:val="none" w:sz="0" w:space="0" w:color="auto"/>
        <w:left w:val="none" w:sz="0" w:space="0" w:color="auto"/>
        <w:bottom w:val="none" w:sz="0" w:space="0" w:color="auto"/>
        <w:right w:val="none" w:sz="0" w:space="0" w:color="auto"/>
      </w:divBdr>
    </w:div>
    <w:div w:id="71657403">
      <w:marLeft w:val="0"/>
      <w:marRight w:val="0"/>
      <w:marTop w:val="0"/>
      <w:marBottom w:val="0"/>
      <w:divBdr>
        <w:top w:val="none" w:sz="0" w:space="0" w:color="auto"/>
        <w:left w:val="none" w:sz="0" w:space="0" w:color="auto"/>
        <w:bottom w:val="none" w:sz="0" w:space="0" w:color="auto"/>
        <w:right w:val="none" w:sz="0" w:space="0" w:color="auto"/>
      </w:divBdr>
    </w:div>
    <w:div w:id="71657404">
      <w:marLeft w:val="0"/>
      <w:marRight w:val="0"/>
      <w:marTop w:val="0"/>
      <w:marBottom w:val="0"/>
      <w:divBdr>
        <w:top w:val="none" w:sz="0" w:space="0" w:color="auto"/>
        <w:left w:val="none" w:sz="0" w:space="0" w:color="auto"/>
        <w:bottom w:val="none" w:sz="0" w:space="0" w:color="auto"/>
        <w:right w:val="none" w:sz="0" w:space="0" w:color="auto"/>
      </w:divBdr>
    </w:div>
    <w:div w:id="71657405">
      <w:marLeft w:val="0"/>
      <w:marRight w:val="0"/>
      <w:marTop w:val="0"/>
      <w:marBottom w:val="0"/>
      <w:divBdr>
        <w:top w:val="none" w:sz="0" w:space="0" w:color="auto"/>
        <w:left w:val="none" w:sz="0" w:space="0" w:color="auto"/>
        <w:bottom w:val="none" w:sz="0" w:space="0" w:color="auto"/>
        <w:right w:val="none" w:sz="0" w:space="0" w:color="auto"/>
      </w:divBdr>
    </w:div>
    <w:div w:id="71657406">
      <w:marLeft w:val="0"/>
      <w:marRight w:val="0"/>
      <w:marTop w:val="0"/>
      <w:marBottom w:val="0"/>
      <w:divBdr>
        <w:top w:val="none" w:sz="0" w:space="0" w:color="auto"/>
        <w:left w:val="none" w:sz="0" w:space="0" w:color="auto"/>
        <w:bottom w:val="none" w:sz="0" w:space="0" w:color="auto"/>
        <w:right w:val="none" w:sz="0" w:space="0" w:color="auto"/>
      </w:divBdr>
    </w:div>
    <w:div w:id="71657407">
      <w:marLeft w:val="0"/>
      <w:marRight w:val="0"/>
      <w:marTop w:val="0"/>
      <w:marBottom w:val="0"/>
      <w:divBdr>
        <w:top w:val="none" w:sz="0" w:space="0" w:color="auto"/>
        <w:left w:val="none" w:sz="0" w:space="0" w:color="auto"/>
        <w:bottom w:val="none" w:sz="0" w:space="0" w:color="auto"/>
        <w:right w:val="none" w:sz="0" w:space="0" w:color="auto"/>
      </w:divBdr>
    </w:div>
    <w:div w:id="71657408">
      <w:marLeft w:val="0"/>
      <w:marRight w:val="0"/>
      <w:marTop w:val="0"/>
      <w:marBottom w:val="0"/>
      <w:divBdr>
        <w:top w:val="none" w:sz="0" w:space="0" w:color="auto"/>
        <w:left w:val="none" w:sz="0" w:space="0" w:color="auto"/>
        <w:bottom w:val="none" w:sz="0" w:space="0" w:color="auto"/>
        <w:right w:val="none" w:sz="0" w:space="0" w:color="auto"/>
      </w:divBdr>
    </w:div>
    <w:div w:id="716574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1059</Words>
  <Characters>5502</Characters>
  <Application>Microsoft Office Word</Application>
  <DocSecurity>0</DocSecurity>
  <Lines>45</Lines>
  <Paragraphs>13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MNB adatgyűjtés azonosító: …</vt:lpstr>
      <vt:lpstr>MNB adatgyűjtés azonosító: …</vt:lpstr>
    </vt:vector>
  </TitlesOfParts>
  <Company>Magyar Nemzeti Bank</Company>
  <LinksUpToDate>false</LinksUpToDate>
  <CharactersWithSpaces>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adatgyűjtés azonosító: …</dc:title>
  <dc:subject/>
  <dc:creator>Uriné Müller Veronika</dc:creator>
  <cp:keywords/>
  <cp:lastModifiedBy>Juhász Katalin</cp:lastModifiedBy>
  <cp:revision>2</cp:revision>
  <cp:lastPrinted>2006-08-25T12:31:00Z</cp:lastPrinted>
  <dcterms:created xsi:type="dcterms:W3CDTF">2025-05-14T16:26:00Z</dcterms:created>
  <dcterms:modified xsi:type="dcterms:W3CDTF">2025-05-14T16:26:00Z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Owner">
    <vt:lpwstr>veitznee@mnb.hu</vt:lpwstr>
  </property>
  <property fmtid="{D5CDD505-2E9C-101B-9397-08002B2CF9AE}" pid="5" name="MSIP_Label_b0d11092-50c9-4e74-84b5-b1af078dc3d0_SetDate">
    <vt:lpwstr>2022-02-25T07:38:07.3326900Z</vt:lpwstr>
  </property>
  <property fmtid="{D5CDD505-2E9C-101B-9397-08002B2CF9AE}" pid="6" name="MSIP_Label_b0d11092-50c9-4e74-84b5-b1af078dc3d0_Name">
    <vt:lpwstr>Protected</vt:lpwstr>
  </property>
  <property fmtid="{D5CDD505-2E9C-101B-9397-08002B2CF9AE}" pid="7" name="MSIP_Label_b0d11092-50c9-4e74-84b5-b1af078dc3d0_Application">
    <vt:lpwstr>Microsoft Azure Information Protection</vt:lpwstr>
  </property>
  <property fmtid="{D5CDD505-2E9C-101B-9397-08002B2CF9AE}" pid="8" name="MSIP_Label_b0d11092-50c9-4e74-84b5-b1af078dc3d0_ActionId">
    <vt:lpwstr>890ac38f-7d10-4b5c-8522-e23a555c8988</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2027-02-25T08:06:33Z</vt:filetime>
  </property>
  <property fmtid="{D5CDD505-2E9C-101B-9397-08002B2CF9AE}" pid="12" name="Érvényességet beállító">
    <vt:lpwstr>montvaib</vt:lpwstr>
  </property>
  <property fmtid="{D5CDD505-2E9C-101B-9397-08002B2CF9AE}" pid="13" name="Érvényességi idő első beállítása">
    <vt:filetime>2022-02-25T08:06:33Z</vt:filetime>
  </property>
</Properties>
</file>