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ECEAA" w14:textId="77777777" w:rsidR="00457D5E" w:rsidRPr="002F0A8E" w:rsidRDefault="00457D5E" w:rsidP="00705210">
      <w:pPr>
        <w:spacing w:before="120" w:after="120"/>
        <w:rPr>
          <w:rFonts w:ascii="Arial" w:hAnsi="Arial" w:cs="Arial"/>
          <w:b/>
          <w:lang w:val="en-GB"/>
        </w:rPr>
      </w:pPr>
      <w:r w:rsidRPr="002F0A8E">
        <w:rPr>
          <w:rFonts w:ascii="Arial" w:hAnsi="Arial" w:cs="Arial"/>
          <w:lang w:val="en-GB"/>
        </w:rPr>
        <w:t xml:space="preserve">MNB identification code: </w:t>
      </w:r>
      <w:r w:rsidRPr="002F0A8E">
        <w:rPr>
          <w:rFonts w:ascii="Arial" w:hAnsi="Arial" w:cs="Arial"/>
          <w:b/>
          <w:bCs/>
          <w:lang w:val="en-GB"/>
        </w:rPr>
        <w:t>K21</w:t>
      </w:r>
    </w:p>
    <w:p w14:paraId="412B288C" w14:textId="77777777" w:rsidR="00705210" w:rsidRPr="002F0A8E" w:rsidRDefault="00705210" w:rsidP="00705210">
      <w:pPr>
        <w:spacing w:before="120" w:after="120"/>
        <w:jc w:val="center"/>
        <w:rPr>
          <w:rFonts w:ascii="Arial" w:hAnsi="Arial" w:cs="Arial"/>
          <w:b/>
          <w:lang w:val="en-GB"/>
        </w:rPr>
      </w:pPr>
    </w:p>
    <w:p w14:paraId="2FBF6611" w14:textId="77777777" w:rsidR="00457D5E" w:rsidRPr="002F0A8E" w:rsidRDefault="00475A53" w:rsidP="00705210">
      <w:pPr>
        <w:spacing w:before="120" w:after="120"/>
        <w:jc w:val="center"/>
        <w:rPr>
          <w:rFonts w:ascii="Arial" w:hAnsi="Arial" w:cs="Arial"/>
          <w:b/>
          <w:lang w:val="en-GB"/>
        </w:rPr>
      </w:pPr>
      <w:r w:rsidRPr="002F0A8E">
        <w:rPr>
          <w:rFonts w:ascii="Arial" w:hAnsi="Arial" w:cs="Arial"/>
          <w:b/>
          <w:bCs/>
          <w:lang w:val="en-GB"/>
        </w:rPr>
        <w:t>Completion instructions</w:t>
      </w:r>
    </w:p>
    <w:p w14:paraId="5CBB6088" w14:textId="77777777" w:rsidR="00457D5E" w:rsidRPr="002F0A8E" w:rsidRDefault="00457D5E" w:rsidP="00705210">
      <w:pPr>
        <w:spacing w:before="120" w:after="120"/>
        <w:jc w:val="center"/>
        <w:rPr>
          <w:rFonts w:ascii="Arial" w:hAnsi="Arial" w:cs="Arial"/>
          <w:b/>
          <w:lang w:val="en-GB"/>
        </w:rPr>
      </w:pPr>
      <w:r w:rsidRPr="002F0A8E">
        <w:rPr>
          <w:rFonts w:ascii="Arial" w:hAnsi="Arial" w:cs="Arial"/>
          <w:b/>
          <w:bCs/>
          <w:lang w:val="en-GB"/>
        </w:rPr>
        <w:t>Report on the loan contracts of non-financial corporations</w:t>
      </w:r>
    </w:p>
    <w:p w14:paraId="1B7330C1" w14:textId="77777777" w:rsidR="00705210" w:rsidRDefault="00705210" w:rsidP="00705210">
      <w:pPr>
        <w:spacing w:before="120" w:after="120"/>
        <w:jc w:val="center"/>
        <w:rPr>
          <w:rFonts w:ascii="Arial" w:hAnsi="Arial" w:cs="Arial"/>
          <w:b/>
          <w:lang w:val="en-GB"/>
        </w:rPr>
      </w:pPr>
    </w:p>
    <w:p w14:paraId="37CFBD9D" w14:textId="77777777" w:rsidR="001D07B5" w:rsidRPr="002F0A8E" w:rsidRDefault="001D07B5" w:rsidP="00705210">
      <w:pPr>
        <w:spacing w:before="120" w:after="120"/>
        <w:jc w:val="center"/>
        <w:rPr>
          <w:rFonts w:ascii="Arial" w:hAnsi="Arial" w:cs="Arial"/>
          <w:b/>
          <w:lang w:val="en-GB"/>
        </w:rPr>
      </w:pPr>
    </w:p>
    <w:p w14:paraId="2D220C72" w14:textId="77777777" w:rsidR="00457D5E" w:rsidRPr="002F0A8E" w:rsidRDefault="00457D5E" w:rsidP="00705210">
      <w:pPr>
        <w:spacing w:before="120" w:after="120"/>
        <w:jc w:val="both"/>
        <w:rPr>
          <w:rFonts w:ascii="Arial" w:hAnsi="Arial" w:cs="Arial"/>
          <w:b/>
          <w:lang w:val="en-GB"/>
        </w:rPr>
      </w:pPr>
      <w:r w:rsidRPr="002F0A8E">
        <w:rPr>
          <w:rFonts w:ascii="Arial" w:hAnsi="Arial" w:cs="Arial"/>
          <w:b/>
          <w:bCs/>
          <w:lang w:val="en-GB"/>
        </w:rPr>
        <w:t>I. General instructions</w:t>
      </w:r>
    </w:p>
    <w:p w14:paraId="0E442AF6" w14:textId="0C211796" w:rsidR="00795789" w:rsidRPr="002F0A8E" w:rsidRDefault="00795789" w:rsidP="00795789">
      <w:pPr>
        <w:spacing w:before="120"/>
        <w:jc w:val="both"/>
        <w:rPr>
          <w:rFonts w:ascii="Arial" w:hAnsi="Arial" w:cs="Arial"/>
          <w:lang w:val="en-GB"/>
        </w:rPr>
      </w:pPr>
      <w:bookmarkStart w:id="0" w:name="_Hlk172539836"/>
      <w:r w:rsidRPr="002F0A8E">
        <w:rPr>
          <w:rFonts w:ascii="Arial" w:hAnsi="Arial" w:cs="Arial"/>
          <w:lang w:val="en-GB"/>
        </w:rPr>
        <w:t xml:space="preserve">1. Except for Section 2, the terms used in the table and in these </w:t>
      </w:r>
      <w:proofErr w:type="gramStart"/>
      <w:r w:rsidRPr="002F0A8E">
        <w:rPr>
          <w:rFonts w:ascii="Arial" w:hAnsi="Arial" w:cs="Arial"/>
          <w:lang w:val="en-GB"/>
        </w:rPr>
        <w:t>completion</w:t>
      </w:r>
      <w:proofErr w:type="gramEnd"/>
      <w:r w:rsidRPr="002F0A8E">
        <w:rPr>
          <w:rFonts w:ascii="Arial" w:hAnsi="Arial" w:cs="Arial"/>
          <w:lang w:val="en-GB"/>
        </w:rPr>
        <w:t xml:space="preserve"> instructions are explained in Section I.E.3 of this Annex.</w:t>
      </w:r>
    </w:p>
    <w:p w14:paraId="6830E606" w14:textId="77777777" w:rsidR="00795789" w:rsidRPr="002F0A8E" w:rsidRDefault="00795789" w:rsidP="00795789">
      <w:pPr>
        <w:spacing w:before="120"/>
        <w:jc w:val="both"/>
        <w:rPr>
          <w:rFonts w:ascii="Arial" w:hAnsi="Arial" w:cs="Arial"/>
          <w:lang w:val="en-GB"/>
        </w:rPr>
      </w:pPr>
      <w:r w:rsidRPr="002F0A8E">
        <w:rPr>
          <w:rFonts w:ascii="Arial" w:hAnsi="Arial" w:cs="Arial"/>
          <w:lang w:val="en-GB"/>
        </w:rPr>
        <w:t>2. Renegotiated loans are governed by subsection I.E.3.13 of this Annex subject to the following:</w:t>
      </w:r>
    </w:p>
    <w:p w14:paraId="36F55909" w14:textId="77777777" w:rsidR="00795789" w:rsidRPr="002F0A8E" w:rsidRDefault="00795789" w:rsidP="00795789">
      <w:pPr>
        <w:tabs>
          <w:tab w:val="left" w:pos="1418"/>
        </w:tabs>
        <w:jc w:val="both"/>
        <w:rPr>
          <w:rFonts w:ascii="Arial" w:hAnsi="Arial" w:cs="Arial"/>
          <w:lang w:val="en-GB"/>
        </w:rPr>
      </w:pPr>
      <w:r w:rsidRPr="002F0A8E">
        <w:rPr>
          <w:rFonts w:ascii="Arial" w:hAnsi="Arial" w:cs="Arial"/>
          <w:lang w:val="en-GB"/>
        </w:rPr>
        <w:t xml:space="preserve">(a) a renegotiated loan is a new agreement on an existing loan entered into by the parties through their active involvement, resulting in </w:t>
      </w:r>
    </w:p>
    <w:p w14:paraId="7D657479" w14:textId="77777777" w:rsidR="00795789" w:rsidRPr="002F0A8E" w:rsidRDefault="00795789" w:rsidP="00795789">
      <w:pPr>
        <w:tabs>
          <w:tab w:val="left" w:pos="1418"/>
        </w:tabs>
        <w:jc w:val="both"/>
        <w:rPr>
          <w:rFonts w:ascii="Arial" w:hAnsi="Arial" w:cs="Arial"/>
          <w:lang w:val="en-GB"/>
        </w:rPr>
      </w:pPr>
      <w:r w:rsidRPr="002F0A8E">
        <w:rPr>
          <w:rFonts w:ascii="Arial" w:hAnsi="Arial" w:cs="Arial"/>
          <w:lang w:val="en-GB"/>
        </w:rPr>
        <w:t xml:space="preserve">(aa) a change in the type of the loan, </w:t>
      </w:r>
    </w:p>
    <w:p w14:paraId="38324DBA" w14:textId="77777777" w:rsidR="00795789" w:rsidRPr="002F0A8E" w:rsidRDefault="00795789" w:rsidP="00795789">
      <w:pPr>
        <w:tabs>
          <w:tab w:val="left" w:pos="1418"/>
        </w:tabs>
        <w:jc w:val="both"/>
        <w:rPr>
          <w:rFonts w:ascii="Arial" w:hAnsi="Arial" w:cs="Arial"/>
          <w:lang w:val="en-GB"/>
        </w:rPr>
      </w:pPr>
      <w:r w:rsidRPr="002F0A8E">
        <w:rPr>
          <w:rFonts w:ascii="Arial" w:hAnsi="Arial" w:cs="Arial"/>
          <w:lang w:val="en-GB"/>
        </w:rPr>
        <w:t xml:space="preserve">(ab) a change in interest rates, including other charges, </w:t>
      </w:r>
    </w:p>
    <w:p w14:paraId="7CDCB780" w14:textId="77777777" w:rsidR="00795789" w:rsidRPr="002F0A8E" w:rsidRDefault="00795789" w:rsidP="00795789">
      <w:pPr>
        <w:tabs>
          <w:tab w:val="left" w:pos="1418"/>
        </w:tabs>
        <w:jc w:val="both"/>
        <w:rPr>
          <w:rFonts w:ascii="Arial" w:hAnsi="Arial" w:cs="Arial"/>
          <w:lang w:val="en-GB"/>
        </w:rPr>
      </w:pPr>
      <w:r w:rsidRPr="002F0A8E">
        <w:rPr>
          <w:rFonts w:ascii="Arial" w:hAnsi="Arial" w:cs="Arial"/>
          <w:lang w:val="en-GB"/>
        </w:rPr>
        <w:t xml:space="preserve">(ac) a change in maturity, or </w:t>
      </w:r>
    </w:p>
    <w:p w14:paraId="3A78AF06" w14:textId="77777777" w:rsidR="00795789" w:rsidRPr="002F0A8E" w:rsidRDefault="00795789" w:rsidP="00795789">
      <w:pPr>
        <w:tabs>
          <w:tab w:val="left" w:pos="1418"/>
        </w:tabs>
        <w:jc w:val="both"/>
        <w:rPr>
          <w:rFonts w:ascii="Arial" w:hAnsi="Arial" w:cs="Arial"/>
          <w:lang w:val="en-GB"/>
        </w:rPr>
      </w:pPr>
      <w:r w:rsidRPr="002F0A8E">
        <w:rPr>
          <w:rFonts w:ascii="Arial" w:hAnsi="Arial" w:cs="Arial"/>
          <w:lang w:val="en-GB"/>
        </w:rPr>
        <w:t xml:space="preserve">(ad) a change of the debtor. </w:t>
      </w:r>
    </w:p>
    <w:p w14:paraId="42DF4708" w14:textId="77777777" w:rsidR="00795789" w:rsidRPr="002F0A8E" w:rsidRDefault="00795789" w:rsidP="00795789">
      <w:pPr>
        <w:tabs>
          <w:tab w:val="left" w:pos="1418"/>
        </w:tabs>
        <w:jc w:val="both"/>
        <w:rPr>
          <w:rFonts w:ascii="Arial" w:hAnsi="Arial" w:cs="Arial"/>
          <w:lang w:val="en-GB"/>
        </w:rPr>
      </w:pPr>
      <w:r w:rsidRPr="002F0A8E">
        <w:rPr>
          <w:rFonts w:ascii="Arial" w:hAnsi="Arial" w:cs="Arial"/>
          <w:lang w:val="en-GB"/>
        </w:rPr>
        <w:t>For the purpose of reporting, repriced agreements, as well as extensions, maturity reductions and repayment cuts without extension shall also be considered renegotiated.</w:t>
      </w:r>
    </w:p>
    <w:p w14:paraId="0AB4CD2F" w14:textId="77777777" w:rsidR="00795789" w:rsidRPr="002F0A8E" w:rsidRDefault="00795789" w:rsidP="00795789">
      <w:pPr>
        <w:spacing w:before="120"/>
        <w:jc w:val="both"/>
        <w:rPr>
          <w:rFonts w:ascii="Arial" w:hAnsi="Arial" w:cs="Arial"/>
          <w:lang w:val="en-GB"/>
        </w:rPr>
      </w:pPr>
      <w:r w:rsidRPr="002F0A8E">
        <w:rPr>
          <w:rFonts w:ascii="Arial" w:hAnsi="Arial" w:cs="Arial"/>
          <w:lang w:val="en-GB"/>
        </w:rPr>
        <w:t>(b) In the case of renegotiated and restructured loans, the date of renegotiation shall be the starting date of the new agreement, and the contractual amount shall be the outstanding loan balance as at the renegotiation date. For loans denominated in a currency other than HUF, the contractual amount must be converted into HUF at the official exchange rate published by the MNB, effective on the last day of the reference period in question. Restructuring also implies the renegotiation of the loan concerned; therefore, in the event of restructuring, the loan should always be marked as renegotiated.</w:t>
      </w:r>
    </w:p>
    <w:bookmarkEnd w:id="0"/>
    <w:p w14:paraId="55303E4B" w14:textId="77777777" w:rsidR="00457D5E" w:rsidRPr="002F0A8E" w:rsidRDefault="00457D5E" w:rsidP="00705210">
      <w:pPr>
        <w:spacing w:before="120" w:after="120"/>
        <w:jc w:val="both"/>
        <w:rPr>
          <w:rFonts w:ascii="Arial" w:hAnsi="Arial" w:cs="Arial"/>
          <w:lang w:val="en-GB"/>
        </w:rPr>
      </w:pPr>
    </w:p>
    <w:p w14:paraId="36D2A242" w14:textId="77777777" w:rsidR="00705210" w:rsidRPr="002F0A8E" w:rsidRDefault="00705210" w:rsidP="00705210">
      <w:pPr>
        <w:spacing w:before="120" w:after="120"/>
        <w:jc w:val="both"/>
        <w:rPr>
          <w:rFonts w:ascii="Arial" w:hAnsi="Arial" w:cs="Arial"/>
          <w:lang w:val="en-GB"/>
        </w:rPr>
      </w:pPr>
    </w:p>
    <w:p w14:paraId="49A77DBE" w14:textId="77777777" w:rsidR="00457D5E" w:rsidRPr="002F0A8E" w:rsidRDefault="00457D5E" w:rsidP="00705210">
      <w:pPr>
        <w:spacing w:before="120" w:after="120"/>
        <w:jc w:val="both"/>
        <w:rPr>
          <w:rFonts w:ascii="Arial" w:hAnsi="Arial" w:cs="Arial"/>
          <w:b/>
          <w:lang w:val="en-GB"/>
        </w:rPr>
      </w:pPr>
      <w:r w:rsidRPr="002F0A8E">
        <w:rPr>
          <w:rFonts w:ascii="Arial" w:hAnsi="Arial" w:cs="Arial"/>
          <w:b/>
          <w:bCs/>
          <w:lang w:val="en-GB"/>
        </w:rPr>
        <w:t>II. Detailed instructions for the completion of the tables</w:t>
      </w:r>
    </w:p>
    <w:p w14:paraId="398FAB9B" w14:textId="751601B5" w:rsidR="009A72E2" w:rsidRPr="002F0A8E" w:rsidRDefault="00795789" w:rsidP="009E029A">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 xml:space="preserve">The number of rows to be reported in the table is the number of new loan agreements the data provider concluded with clients in the non-financial </w:t>
      </w:r>
      <w:proofErr w:type="gramStart"/>
      <w:r w:rsidRPr="002F0A8E">
        <w:rPr>
          <w:rFonts w:ascii="Arial" w:hAnsi="Arial" w:cs="Arial"/>
          <w:lang w:val="en-GB"/>
        </w:rPr>
        <w:t>corporations</w:t>
      </w:r>
      <w:proofErr w:type="gramEnd"/>
      <w:r w:rsidRPr="002F0A8E">
        <w:rPr>
          <w:rFonts w:ascii="Arial" w:hAnsi="Arial" w:cs="Arial"/>
          <w:lang w:val="en-GB"/>
        </w:rPr>
        <w:t xml:space="preserve"> sector during the given month.</w:t>
      </w:r>
    </w:p>
    <w:p w14:paraId="57B71B05" w14:textId="77777777" w:rsidR="00475A53" w:rsidRPr="002F0A8E" w:rsidRDefault="00475A53" w:rsidP="00705210">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New business data for money market loans shall also be reported in Table 01.</w:t>
      </w:r>
    </w:p>
    <w:p w14:paraId="2694741F" w14:textId="77777777" w:rsidR="00DA1833" w:rsidRPr="002F0A8E" w:rsidRDefault="00202E83" w:rsidP="00705210">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 xml:space="preserve">The data of loan agreements concluded in currencies other than EUR, HUF or CHF shall also be reported in the table. </w:t>
      </w:r>
      <w:bookmarkStart w:id="1" w:name="_Hlk172539897"/>
      <w:r w:rsidRPr="002F0A8E">
        <w:rPr>
          <w:rFonts w:ascii="Arial" w:hAnsi="Arial" w:cs="Arial"/>
          <w:lang w:val="en-GB"/>
        </w:rPr>
        <w:t>For loans denominated in a foreign currency, conversion into HUF must be done using the official exchange rate published by the MNB, effective on the last day of the reference period in question.</w:t>
      </w:r>
      <w:bookmarkEnd w:id="1"/>
    </w:p>
    <w:p w14:paraId="283792EB" w14:textId="09F1B484" w:rsidR="00705210" w:rsidRPr="002F0A8E" w:rsidRDefault="00795789" w:rsidP="00795789">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Loans restructured within the entity of the data provider due to payment difficulties of the client should also be reported in this table.</w:t>
      </w:r>
    </w:p>
    <w:p w14:paraId="770C0A0C" w14:textId="4947E37A" w:rsidR="009651B9" w:rsidRPr="002F0A8E" w:rsidRDefault="00795789" w:rsidP="00795789">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Overdrafts, and revolving and rollover loans do not need to be reported.</w:t>
      </w:r>
    </w:p>
    <w:p w14:paraId="23EA75E8" w14:textId="42EC2E29" w:rsidR="009A72E2" w:rsidRPr="002F0A8E" w:rsidRDefault="00795789" w:rsidP="00795789">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Renegotiated loans shall be reported as new agreements in the interest rate statistics.</w:t>
      </w:r>
    </w:p>
    <w:p w14:paraId="74BA0F62" w14:textId="77777777" w:rsidR="00EE5777" w:rsidRPr="002F0A8E" w:rsidRDefault="00EE5777" w:rsidP="00705210">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The classification of non-financial corporations must be in accordance with the provisions of the Act on Small and Medium-sized Enterprises and the Support of their Development.</w:t>
      </w:r>
    </w:p>
    <w:p w14:paraId="20ED1518" w14:textId="77777777" w:rsidR="00D72555" w:rsidRPr="002F0A8E" w:rsidRDefault="00795789" w:rsidP="00795789">
      <w:pPr>
        <w:numPr>
          <w:ilvl w:val="0"/>
          <w:numId w:val="37"/>
        </w:numPr>
        <w:tabs>
          <w:tab w:val="clear" w:pos="720"/>
          <w:tab w:val="num" w:pos="284"/>
        </w:tabs>
        <w:spacing w:before="120" w:after="120"/>
        <w:ind w:left="284" w:hanging="284"/>
        <w:jc w:val="both"/>
        <w:rPr>
          <w:rFonts w:ascii="Arial" w:hAnsi="Arial" w:cs="Arial"/>
          <w:lang w:val="en-GB"/>
        </w:rPr>
      </w:pPr>
      <w:r w:rsidRPr="002F0A8E">
        <w:rPr>
          <w:rFonts w:ascii="Arial" w:hAnsi="Arial" w:cs="Arial"/>
          <w:lang w:val="en-GB"/>
        </w:rPr>
        <w:t>Data to be reported in the columns of the table:</w:t>
      </w:r>
    </w:p>
    <w:p w14:paraId="424F022D" w14:textId="79B3C43E" w:rsidR="00487662" w:rsidRPr="002F0A8E" w:rsidRDefault="00487662" w:rsidP="00487662">
      <w:pPr>
        <w:spacing w:before="120"/>
        <w:ind w:left="284"/>
        <w:jc w:val="both"/>
        <w:rPr>
          <w:rFonts w:ascii="Arial" w:hAnsi="Arial" w:cs="Arial"/>
          <w:lang w:val="en-GB"/>
        </w:rPr>
      </w:pPr>
      <w:r w:rsidRPr="002F0A8E">
        <w:rPr>
          <w:rFonts w:ascii="Arial" w:hAnsi="Arial" w:cs="Arial"/>
          <w:lang w:val="en-GB"/>
        </w:rPr>
        <w:lastRenderedPageBreak/>
        <w:t xml:space="preserve">In column (j), the date of </w:t>
      </w:r>
      <w:r w:rsidR="00E61842">
        <w:rPr>
          <w:rFonts w:ascii="Arial" w:hAnsi="Arial" w:cs="Arial"/>
          <w:lang w:val="en-GB"/>
        </w:rPr>
        <w:t xml:space="preserve">signing contract </w:t>
      </w:r>
      <w:r w:rsidRPr="002F0A8E">
        <w:rPr>
          <w:rFonts w:ascii="Arial" w:hAnsi="Arial" w:cs="Arial"/>
          <w:lang w:val="en-GB"/>
        </w:rPr>
        <w:t xml:space="preserve">should, </w:t>
      </w:r>
      <w:proofErr w:type="gramStart"/>
      <w:r w:rsidRPr="002F0A8E">
        <w:rPr>
          <w:rFonts w:ascii="Arial" w:hAnsi="Arial" w:cs="Arial"/>
          <w:lang w:val="en-GB"/>
        </w:rPr>
        <w:t>as a general rule</w:t>
      </w:r>
      <w:proofErr w:type="gramEnd"/>
      <w:r w:rsidRPr="002F0A8E">
        <w:rPr>
          <w:rFonts w:ascii="Arial" w:hAnsi="Arial" w:cs="Arial"/>
          <w:lang w:val="en-GB"/>
        </w:rPr>
        <w:t>, be the day on which the loan agreement was signed by the parties or, if the dates of signature differ, by the party signing later. The date of entering into the agreement shall be the date of pledging for pawned loans, and for restructured and renegotiated loans, it shall be the date of restructuring or renegotiation.</w:t>
      </w:r>
    </w:p>
    <w:p w14:paraId="6C13449F" w14:textId="77777777" w:rsidR="00487662" w:rsidRPr="002F0A8E" w:rsidRDefault="00487662" w:rsidP="00487662">
      <w:pPr>
        <w:spacing w:before="120"/>
        <w:ind w:left="284"/>
        <w:jc w:val="both"/>
        <w:rPr>
          <w:rFonts w:ascii="Arial" w:hAnsi="Arial" w:cs="Arial"/>
          <w:lang w:val="en-GB"/>
        </w:rPr>
      </w:pPr>
      <w:r w:rsidRPr="002F0A8E">
        <w:rPr>
          <w:rFonts w:ascii="Arial" w:hAnsi="Arial" w:cs="Arial"/>
          <w:lang w:val="en-GB"/>
        </w:rPr>
        <w:t>Column (k) should indicate the date of expiry of the agreement. In the case of pawnbroking, the date of expiry of the agreement is the date of expiry of the pawn slip.</w:t>
      </w:r>
    </w:p>
    <w:p w14:paraId="3A3C8485" w14:textId="007C6734" w:rsidR="00487662" w:rsidRPr="002F0A8E" w:rsidRDefault="00487662" w:rsidP="00487662">
      <w:pPr>
        <w:spacing w:before="120"/>
        <w:ind w:left="284"/>
        <w:jc w:val="both"/>
        <w:rPr>
          <w:rFonts w:ascii="Arial" w:hAnsi="Arial" w:cs="Arial"/>
          <w:lang w:val="en-GB"/>
        </w:rPr>
      </w:pPr>
      <w:r w:rsidRPr="002F0A8E">
        <w:rPr>
          <w:rFonts w:ascii="Arial" w:hAnsi="Arial" w:cs="Arial"/>
          <w:lang w:val="en-GB"/>
        </w:rPr>
        <w:t>In column (l), the amount</w:t>
      </w:r>
      <w:r w:rsidR="00606324">
        <w:rPr>
          <w:rFonts w:ascii="Arial" w:hAnsi="Arial" w:cs="Arial"/>
          <w:lang w:val="en-GB"/>
        </w:rPr>
        <w:t xml:space="preserve"> of contract</w:t>
      </w:r>
      <w:r w:rsidRPr="002F0A8E">
        <w:rPr>
          <w:rFonts w:ascii="Arial" w:hAnsi="Arial" w:cs="Arial"/>
          <w:lang w:val="en-GB"/>
        </w:rPr>
        <w:t xml:space="preserve"> as defined in the agreement with the client should be reported. For loans with the loan (facility) disbursed in instalments, the total (facility) amount under the agreement must be reported. For loans offered to non-financial corporations where the interest rate charged to the client on the loan is not known at the time of signing the agreement, the amount of the new agreement must be equal to the total loan facility available at the time of the first disbursement.</w:t>
      </w:r>
    </w:p>
    <w:p w14:paraId="3EB4A66D" w14:textId="77777777" w:rsidR="00487662" w:rsidRPr="002F0A8E" w:rsidRDefault="00487662" w:rsidP="00487662">
      <w:pPr>
        <w:spacing w:before="120"/>
        <w:ind w:left="284"/>
        <w:jc w:val="both"/>
        <w:rPr>
          <w:rFonts w:ascii="Arial" w:hAnsi="Arial" w:cs="Arial"/>
          <w:lang w:val="en-GB"/>
        </w:rPr>
      </w:pPr>
      <w:r w:rsidRPr="002F0A8E">
        <w:rPr>
          <w:rFonts w:ascii="Arial" w:hAnsi="Arial" w:cs="Arial"/>
          <w:lang w:val="en-GB"/>
        </w:rPr>
        <w:t>In column (q), the interest rate premium, i.e. the difference between the borrowing rate and the reference rate, payable on top of the reference rate of a variable rate loan as part of the borrowing rate must be reported.</w:t>
      </w:r>
    </w:p>
    <w:p w14:paraId="336181B5" w14:textId="5BACCCE8" w:rsidR="00487662" w:rsidRPr="00D35BD4" w:rsidRDefault="00487662" w:rsidP="00487662">
      <w:pPr>
        <w:spacing w:before="120" w:after="120"/>
        <w:jc w:val="both"/>
        <w:rPr>
          <w:rFonts w:ascii="Arial" w:hAnsi="Arial" w:cs="Arial"/>
          <w:lang w:val="en-GB"/>
        </w:rPr>
      </w:pPr>
      <w:r w:rsidRPr="002F0A8E">
        <w:rPr>
          <w:rFonts w:ascii="Arial" w:hAnsi="Arial" w:cs="Arial"/>
          <w:lang w:val="en-GB"/>
        </w:rPr>
        <w:t xml:space="preserve">The ISO codes of the currencies to be reported in the table and the additional codes that may be used in the table are specified in the technical guidelines set out Sections 4.1 and 4.6 of Annex 3, published on the </w:t>
      </w:r>
      <w:proofErr w:type="spellStart"/>
      <w:r w:rsidRPr="002F0A8E">
        <w:rPr>
          <w:rFonts w:ascii="Arial" w:hAnsi="Arial" w:cs="Arial"/>
          <w:lang w:val="en-GB"/>
        </w:rPr>
        <w:t>MNB’s</w:t>
      </w:r>
      <w:proofErr w:type="spellEnd"/>
      <w:r w:rsidRPr="002F0A8E">
        <w:rPr>
          <w:rFonts w:ascii="Arial" w:hAnsi="Arial" w:cs="Arial"/>
          <w:lang w:val="en-GB"/>
        </w:rPr>
        <w:t xml:space="preserve"> website, and a methodological guide to completing the table is provided in the technical guidelines in Section 9 of Annex 3, also published on the </w:t>
      </w:r>
      <w:proofErr w:type="spellStart"/>
      <w:r w:rsidRPr="002F0A8E">
        <w:rPr>
          <w:rFonts w:ascii="Arial" w:hAnsi="Arial" w:cs="Arial"/>
          <w:lang w:val="en-GB"/>
        </w:rPr>
        <w:t>MNB’s</w:t>
      </w:r>
      <w:proofErr w:type="spellEnd"/>
      <w:r w:rsidRPr="002F0A8E">
        <w:rPr>
          <w:rFonts w:ascii="Arial" w:hAnsi="Arial" w:cs="Arial"/>
          <w:lang w:val="en-GB"/>
        </w:rPr>
        <w:t xml:space="preserve"> website.</w:t>
      </w:r>
    </w:p>
    <w:sectPr w:rsidR="00487662" w:rsidRPr="00D35BD4">
      <w:headerReference w:type="even" r:id="rId7"/>
      <w:headerReference w:type="default" r:id="rId8"/>
      <w:footerReference w:type="even" r:id="rId9"/>
      <w:footerReference w:type="default" r:id="rId10"/>
      <w:headerReference w:type="first" r:id="rId11"/>
      <w:footerReference w:type="first" r:id="rId12"/>
      <w:pgSz w:w="11907" w:h="16840" w:code="9"/>
      <w:pgMar w:top="1134" w:right="1418" w:bottom="102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4A4F9" w14:textId="77777777" w:rsidR="003234AB" w:rsidRDefault="003234AB">
      <w:pPr>
        <w:rPr>
          <w:szCs w:val="24"/>
        </w:rPr>
      </w:pPr>
      <w:r>
        <w:rPr>
          <w:szCs w:val="24"/>
        </w:rPr>
        <w:separator/>
      </w:r>
    </w:p>
  </w:endnote>
  <w:endnote w:type="continuationSeparator" w:id="0">
    <w:p w14:paraId="63F184D9" w14:textId="77777777" w:rsidR="003234AB" w:rsidRDefault="003234AB">
      <w:pPr>
        <w:rPr>
          <w:szCs w:val="24"/>
        </w:rPr>
      </w:pPr>
      <w:r>
        <w:rPr>
          <w:szCs w:val="24"/>
        </w:rPr>
        <w:continuationSeparator/>
      </w:r>
    </w:p>
  </w:endnote>
  <w:endnote w:type="continuationNotice" w:id="1">
    <w:p w14:paraId="7F0E2414" w14:textId="77777777" w:rsidR="003234AB" w:rsidRDefault="00323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31B3B" w14:textId="77777777" w:rsidR="00475A53" w:rsidRDefault="00475A53">
    <w:pPr>
      <w:pStyle w:val="llb"/>
      <w:framePr w:wrap="around" w:vAnchor="text" w:hAnchor="margin" w:xAlign="center" w:y="1"/>
      <w:rPr>
        <w:rStyle w:val="Oldalszm"/>
        <w:szCs w:val="24"/>
      </w:rPr>
    </w:pPr>
    <w:r>
      <w:rPr>
        <w:rStyle w:val="Oldalszm"/>
        <w:szCs w:val="24"/>
        <w:lang w:val="en"/>
      </w:rPr>
      <w:fldChar w:fldCharType="begin"/>
    </w:r>
    <w:r>
      <w:rPr>
        <w:rStyle w:val="Oldalszm"/>
        <w:szCs w:val="24"/>
        <w:lang w:val="en"/>
      </w:rPr>
      <w:instrText xml:space="preserve">PAGE  </w:instrText>
    </w:r>
    <w:r>
      <w:rPr>
        <w:rStyle w:val="Oldalszm"/>
        <w:szCs w:val="24"/>
        <w:lang w:val="en"/>
      </w:rPr>
      <w:fldChar w:fldCharType="separate"/>
    </w:r>
    <w:r>
      <w:rPr>
        <w:rStyle w:val="Oldalszm"/>
        <w:noProof/>
        <w:szCs w:val="24"/>
        <w:lang w:val="en"/>
      </w:rPr>
      <w:t>3</w:t>
    </w:r>
    <w:r>
      <w:rPr>
        <w:rStyle w:val="Oldalszm"/>
        <w:szCs w:val="24"/>
        <w:lang w:val="en"/>
      </w:rPr>
      <w:fldChar w:fldCharType="end"/>
    </w:r>
  </w:p>
  <w:p w14:paraId="27587AE1" w14:textId="77777777" w:rsidR="00475A53" w:rsidRDefault="00475A53">
    <w:pPr>
      <w:pStyle w:val="llb"/>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129B6" w14:textId="77777777" w:rsidR="00475A53" w:rsidRDefault="00475A53">
    <w:pPr>
      <w:pStyle w:val="llb"/>
      <w:framePr w:wrap="around" w:vAnchor="text" w:hAnchor="margin" w:xAlign="center" w:y="1"/>
      <w:rPr>
        <w:rStyle w:val="Oldalszm"/>
        <w:szCs w:val="24"/>
      </w:rPr>
    </w:pPr>
  </w:p>
  <w:p w14:paraId="5359DE5E" w14:textId="77777777" w:rsidR="00475A53" w:rsidRDefault="00475A53">
    <w:pPr>
      <w:pStyle w:val="llb"/>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AAB0" w14:textId="77777777" w:rsidR="00241DFA" w:rsidRDefault="00241D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D2D81" w14:textId="77777777" w:rsidR="003234AB" w:rsidRDefault="003234AB">
      <w:pPr>
        <w:pStyle w:val="llb"/>
        <w:rPr>
          <w:szCs w:val="24"/>
        </w:rPr>
      </w:pPr>
    </w:p>
  </w:footnote>
  <w:footnote w:type="continuationSeparator" w:id="0">
    <w:p w14:paraId="1616E181" w14:textId="77777777" w:rsidR="003234AB" w:rsidRDefault="003234AB">
      <w:pPr>
        <w:rPr>
          <w:szCs w:val="24"/>
        </w:rPr>
      </w:pPr>
      <w:r>
        <w:rPr>
          <w:szCs w:val="24"/>
        </w:rPr>
        <w:continuationSeparator/>
      </w:r>
    </w:p>
  </w:footnote>
  <w:footnote w:type="continuationNotice" w:id="1">
    <w:p w14:paraId="517C323A" w14:textId="77777777" w:rsidR="003234AB" w:rsidRDefault="003234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9DBFD" w14:textId="77777777" w:rsidR="00241DFA" w:rsidRDefault="00241DF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20A58" w14:textId="77777777" w:rsidR="00241DFA" w:rsidRDefault="00241DF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4C8B" w14:textId="77777777" w:rsidR="00241DFA" w:rsidRDefault="00241DF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01C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4A6808"/>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5E2469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AF6239"/>
    <w:multiLevelType w:val="singleLevel"/>
    <w:tmpl w:val="0C09000F"/>
    <w:lvl w:ilvl="0">
      <w:start w:val="1"/>
      <w:numFmt w:val="decimal"/>
      <w:lvlText w:val="%1."/>
      <w:lvlJc w:val="left"/>
      <w:pPr>
        <w:tabs>
          <w:tab w:val="num" w:pos="360"/>
        </w:tabs>
        <w:ind w:left="360" w:hanging="360"/>
      </w:pPr>
      <w:rPr>
        <w:rFonts w:cs="Times New Roman"/>
      </w:rPr>
    </w:lvl>
  </w:abstractNum>
  <w:abstractNum w:abstractNumId="4" w15:restartNumberingAfterBreak="0">
    <w:nsid w:val="19837EB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A4E483B"/>
    <w:multiLevelType w:val="singleLevel"/>
    <w:tmpl w:val="0C09000F"/>
    <w:lvl w:ilvl="0">
      <w:start w:val="1"/>
      <w:numFmt w:val="decimal"/>
      <w:lvlText w:val="%1."/>
      <w:lvlJc w:val="left"/>
      <w:pPr>
        <w:tabs>
          <w:tab w:val="num" w:pos="360"/>
        </w:tabs>
        <w:ind w:left="360" w:hanging="360"/>
      </w:pPr>
      <w:rPr>
        <w:rFonts w:cs="Times New Roman"/>
      </w:rPr>
    </w:lvl>
  </w:abstractNum>
  <w:abstractNum w:abstractNumId="6" w15:restartNumberingAfterBreak="0">
    <w:nsid w:val="1C21647B"/>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1F7F79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55009C"/>
    <w:multiLevelType w:val="hybridMultilevel"/>
    <w:tmpl w:val="3CE813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CF4175"/>
    <w:multiLevelType w:val="singleLevel"/>
    <w:tmpl w:val="4E16077C"/>
    <w:lvl w:ilvl="0">
      <w:start w:val="1"/>
      <w:numFmt w:val="decimal"/>
      <w:lvlText w:val="%1."/>
      <w:lvlJc w:val="left"/>
      <w:pPr>
        <w:tabs>
          <w:tab w:val="num" w:pos="360"/>
        </w:tabs>
        <w:ind w:left="360" w:hanging="360"/>
      </w:pPr>
      <w:rPr>
        <w:rFonts w:cs="Times New Roman"/>
        <w:b/>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7E18E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566D8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132F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6415C8"/>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4" w15:restartNumberingAfterBreak="0">
    <w:nsid w:val="3F9D2ADD"/>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5" w15:restartNumberingAfterBreak="0">
    <w:nsid w:val="420619BA"/>
    <w:multiLevelType w:val="hybridMultilevel"/>
    <w:tmpl w:val="39D8734C"/>
    <w:lvl w:ilvl="0" w:tplc="0C09000F">
      <w:start w:val="1"/>
      <w:numFmt w:val="decimal"/>
      <w:lvlText w:val="%1."/>
      <w:lvlJc w:val="left"/>
      <w:pPr>
        <w:tabs>
          <w:tab w:val="num" w:pos="1080"/>
        </w:tabs>
        <w:ind w:left="1080" w:hanging="360"/>
      </w:pPr>
      <w:rPr>
        <w:rFonts w:cs="Times New Roman"/>
      </w:rPr>
    </w:lvl>
    <w:lvl w:ilvl="1" w:tplc="040E0019" w:tentative="1">
      <w:start w:val="1"/>
      <w:numFmt w:val="lowerLetter"/>
      <w:lvlText w:val="%2."/>
      <w:lvlJc w:val="left"/>
      <w:pPr>
        <w:tabs>
          <w:tab w:val="num" w:pos="2160"/>
        </w:tabs>
        <w:ind w:left="2160" w:hanging="360"/>
      </w:pPr>
      <w:rPr>
        <w:rFonts w:cs="Times New Roman"/>
      </w:rPr>
    </w:lvl>
    <w:lvl w:ilvl="2" w:tplc="040E001B" w:tentative="1">
      <w:start w:val="1"/>
      <w:numFmt w:val="lowerRoman"/>
      <w:lvlText w:val="%3."/>
      <w:lvlJc w:val="right"/>
      <w:pPr>
        <w:tabs>
          <w:tab w:val="num" w:pos="2880"/>
        </w:tabs>
        <w:ind w:left="2880" w:hanging="180"/>
      </w:pPr>
      <w:rPr>
        <w:rFonts w:cs="Times New Roman"/>
      </w:rPr>
    </w:lvl>
    <w:lvl w:ilvl="3" w:tplc="040E000F" w:tentative="1">
      <w:start w:val="1"/>
      <w:numFmt w:val="decimal"/>
      <w:lvlText w:val="%4."/>
      <w:lvlJc w:val="left"/>
      <w:pPr>
        <w:tabs>
          <w:tab w:val="num" w:pos="3600"/>
        </w:tabs>
        <w:ind w:left="3600" w:hanging="360"/>
      </w:pPr>
      <w:rPr>
        <w:rFonts w:cs="Times New Roman"/>
      </w:rPr>
    </w:lvl>
    <w:lvl w:ilvl="4" w:tplc="040E0019" w:tentative="1">
      <w:start w:val="1"/>
      <w:numFmt w:val="lowerLetter"/>
      <w:lvlText w:val="%5."/>
      <w:lvlJc w:val="left"/>
      <w:pPr>
        <w:tabs>
          <w:tab w:val="num" w:pos="4320"/>
        </w:tabs>
        <w:ind w:left="4320" w:hanging="360"/>
      </w:pPr>
      <w:rPr>
        <w:rFonts w:cs="Times New Roman"/>
      </w:rPr>
    </w:lvl>
    <w:lvl w:ilvl="5" w:tplc="040E001B" w:tentative="1">
      <w:start w:val="1"/>
      <w:numFmt w:val="lowerRoman"/>
      <w:lvlText w:val="%6."/>
      <w:lvlJc w:val="right"/>
      <w:pPr>
        <w:tabs>
          <w:tab w:val="num" w:pos="5040"/>
        </w:tabs>
        <w:ind w:left="5040" w:hanging="180"/>
      </w:pPr>
      <w:rPr>
        <w:rFonts w:cs="Times New Roman"/>
      </w:rPr>
    </w:lvl>
    <w:lvl w:ilvl="6" w:tplc="040E000F" w:tentative="1">
      <w:start w:val="1"/>
      <w:numFmt w:val="decimal"/>
      <w:lvlText w:val="%7."/>
      <w:lvlJc w:val="left"/>
      <w:pPr>
        <w:tabs>
          <w:tab w:val="num" w:pos="5760"/>
        </w:tabs>
        <w:ind w:left="5760" w:hanging="360"/>
      </w:pPr>
      <w:rPr>
        <w:rFonts w:cs="Times New Roman"/>
      </w:rPr>
    </w:lvl>
    <w:lvl w:ilvl="7" w:tplc="040E0019" w:tentative="1">
      <w:start w:val="1"/>
      <w:numFmt w:val="lowerLetter"/>
      <w:lvlText w:val="%8."/>
      <w:lvlJc w:val="left"/>
      <w:pPr>
        <w:tabs>
          <w:tab w:val="num" w:pos="6480"/>
        </w:tabs>
        <w:ind w:left="6480" w:hanging="360"/>
      </w:pPr>
      <w:rPr>
        <w:rFonts w:cs="Times New Roman"/>
      </w:rPr>
    </w:lvl>
    <w:lvl w:ilvl="8" w:tplc="040E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455752A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5790062"/>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8983EF3"/>
    <w:multiLevelType w:val="multilevel"/>
    <w:tmpl w:val="BC98A550"/>
    <w:lvl w:ilvl="0">
      <w:start w:val="1"/>
      <w:numFmt w:val="upperRoman"/>
      <w:lvlText w:val="%1."/>
      <w:lvlJc w:val="left"/>
      <w:pPr>
        <w:tabs>
          <w:tab w:val="num" w:pos="720"/>
        </w:tabs>
        <w:ind w:left="720" w:hanging="720"/>
      </w:pPr>
      <w:rPr>
        <w:rFonts w:cs="Times New Roman" w:hint="default"/>
        <w:b/>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ABA0BB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B3F6666"/>
    <w:multiLevelType w:val="hybridMultilevel"/>
    <w:tmpl w:val="2BBC450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17308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1D055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30645DF"/>
    <w:multiLevelType w:val="hybridMultilevel"/>
    <w:tmpl w:val="9D60E5B0"/>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DB2D05"/>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583F3D13"/>
    <w:multiLevelType w:val="singleLevel"/>
    <w:tmpl w:val="0C09000F"/>
    <w:lvl w:ilvl="0">
      <w:start w:val="3"/>
      <w:numFmt w:val="decimal"/>
      <w:lvlText w:val="%1."/>
      <w:lvlJc w:val="left"/>
      <w:pPr>
        <w:tabs>
          <w:tab w:val="num" w:pos="360"/>
        </w:tabs>
        <w:ind w:left="360" w:hanging="360"/>
      </w:pPr>
      <w:rPr>
        <w:rFonts w:cs="Times New Roman" w:hint="default"/>
      </w:rPr>
    </w:lvl>
  </w:abstractNum>
  <w:abstractNum w:abstractNumId="26" w15:restartNumberingAfterBreak="0">
    <w:nsid w:val="5BFA486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7" w15:restartNumberingAfterBreak="0">
    <w:nsid w:val="5CDA6014"/>
    <w:multiLevelType w:val="hybridMultilevel"/>
    <w:tmpl w:val="BD620E0E"/>
    <w:lvl w:ilvl="0" w:tplc="0616D556">
      <w:numFmt w:val="bullet"/>
      <w:lvlText w:val="-"/>
      <w:lvlJc w:val="left"/>
      <w:pPr>
        <w:tabs>
          <w:tab w:val="num" w:pos="1080"/>
        </w:tabs>
        <w:ind w:left="1080" w:hanging="360"/>
      </w:pPr>
      <w:rPr>
        <w:rFonts w:ascii="Garamond" w:eastAsia="Times New Roman" w:hAnsi="Garamond"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E8B3F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F6559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1C142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7185A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B3E09A7"/>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79BD1B1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E63FD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CED6A28"/>
    <w:multiLevelType w:val="hybridMultilevel"/>
    <w:tmpl w:val="C1A0B26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D81391"/>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1472596196">
    <w:abstractNumId w:val="33"/>
  </w:num>
  <w:num w:numId="2" w16cid:durableId="1116634654">
    <w:abstractNumId w:val="11"/>
  </w:num>
  <w:num w:numId="3" w16cid:durableId="97262423">
    <w:abstractNumId w:val="10"/>
  </w:num>
  <w:num w:numId="4" w16cid:durableId="1689481432">
    <w:abstractNumId w:val="26"/>
  </w:num>
  <w:num w:numId="5" w16cid:durableId="782728990">
    <w:abstractNumId w:val="12"/>
  </w:num>
  <w:num w:numId="6" w16cid:durableId="918096705">
    <w:abstractNumId w:val="4"/>
  </w:num>
  <w:num w:numId="7" w16cid:durableId="1378434054">
    <w:abstractNumId w:val="31"/>
  </w:num>
  <w:num w:numId="8" w16cid:durableId="1726685020">
    <w:abstractNumId w:val="2"/>
  </w:num>
  <w:num w:numId="9" w16cid:durableId="1901090537">
    <w:abstractNumId w:val="30"/>
  </w:num>
  <w:num w:numId="10" w16cid:durableId="179784545">
    <w:abstractNumId w:val="21"/>
  </w:num>
  <w:num w:numId="11" w16cid:durableId="1700202076">
    <w:abstractNumId w:val="25"/>
  </w:num>
  <w:num w:numId="12" w16cid:durableId="602498725">
    <w:abstractNumId w:val="19"/>
  </w:num>
  <w:num w:numId="13" w16cid:durableId="1281064900">
    <w:abstractNumId w:val="34"/>
  </w:num>
  <w:num w:numId="14" w16cid:durableId="1147019096">
    <w:abstractNumId w:val="0"/>
  </w:num>
  <w:num w:numId="15" w16cid:durableId="805245060">
    <w:abstractNumId w:val="16"/>
  </w:num>
  <w:num w:numId="16" w16cid:durableId="2087069056">
    <w:abstractNumId w:val="9"/>
  </w:num>
  <w:num w:numId="17" w16cid:durableId="1470855773">
    <w:abstractNumId w:val="22"/>
  </w:num>
  <w:num w:numId="18" w16cid:durableId="635065722">
    <w:abstractNumId w:val="29"/>
  </w:num>
  <w:num w:numId="19" w16cid:durableId="2104952510">
    <w:abstractNumId w:val="28"/>
  </w:num>
  <w:num w:numId="20" w16cid:durableId="542181753">
    <w:abstractNumId w:val="6"/>
  </w:num>
  <w:num w:numId="21" w16cid:durableId="1255043935">
    <w:abstractNumId w:val="18"/>
  </w:num>
  <w:num w:numId="22" w16cid:durableId="2022273957">
    <w:abstractNumId w:val="32"/>
  </w:num>
  <w:num w:numId="23" w16cid:durableId="1823353184">
    <w:abstractNumId w:val="17"/>
  </w:num>
  <w:num w:numId="24" w16cid:durableId="224069823">
    <w:abstractNumId w:val="7"/>
  </w:num>
  <w:num w:numId="25" w16cid:durableId="1126847663">
    <w:abstractNumId w:val="24"/>
  </w:num>
  <w:num w:numId="26" w16cid:durableId="171838307">
    <w:abstractNumId w:val="36"/>
  </w:num>
  <w:num w:numId="27" w16cid:durableId="1222520826">
    <w:abstractNumId w:val="5"/>
  </w:num>
  <w:num w:numId="28" w16cid:durableId="442654224">
    <w:abstractNumId w:val="13"/>
  </w:num>
  <w:num w:numId="29" w16cid:durableId="788092367">
    <w:abstractNumId w:val="1"/>
  </w:num>
  <w:num w:numId="30" w16cid:durableId="389771715">
    <w:abstractNumId w:val="14"/>
  </w:num>
  <w:num w:numId="31" w16cid:durableId="1297445556">
    <w:abstractNumId w:val="3"/>
  </w:num>
  <w:num w:numId="32" w16cid:durableId="1246307025">
    <w:abstractNumId w:val="35"/>
  </w:num>
  <w:num w:numId="33" w16cid:durableId="1541935224">
    <w:abstractNumId w:val="15"/>
  </w:num>
  <w:num w:numId="34" w16cid:durableId="659119508">
    <w:abstractNumId w:val="27"/>
  </w:num>
  <w:num w:numId="35" w16cid:durableId="332536420">
    <w:abstractNumId w:val="20"/>
  </w:num>
  <w:num w:numId="36" w16cid:durableId="1823694962">
    <w:abstractNumId w:val="8"/>
  </w:num>
  <w:num w:numId="37" w16cid:durableId="4299287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7F9"/>
    <w:rsid w:val="00025B1B"/>
    <w:rsid w:val="000439CD"/>
    <w:rsid w:val="00080DA9"/>
    <w:rsid w:val="000D058D"/>
    <w:rsid w:val="001727F9"/>
    <w:rsid w:val="001D07B5"/>
    <w:rsid w:val="001E09DF"/>
    <w:rsid w:val="00202E83"/>
    <w:rsid w:val="002065D3"/>
    <w:rsid w:val="00241DFA"/>
    <w:rsid w:val="002A073D"/>
    <w:rsid w:val="002A5CFB"/>
    <w:rsid w:val="002F0A8E"/>
    <w:rsid w:val="00316C0D"/>
    <w:rsid w:val="00320633"/>
    <w:rsid w:val="003234AB"/>
    <w:rsid w:val="003C2626"/>
    <w:rsid w:val="00402AA6"/>
    <w:rsid w:val="00441476"/>
    <w:rsid w:val="00450290"/>
    <w:rsid w:val="00457D5E"/>
    <w:rsid w:val="00465B3C"/>
    <w:rsid w:val="00475A53"/>
    <w:rsid w:val="00487662"/>
    <w:rsid w:val="004A3C4F"/>
    <w:rsid w:val="004A4D16"/>
    <w:rsid w:val="004E3D6A"/>
    <w:rsid w:val="004F142A"/>
    <w:rsid w:val="005902F6"/>
    <w:rsid w:val="005B4B57"/>
    <w:rsid w:val="005D06FA"/>
    <w:rsid w:val="00606324"/>
    <w:rsid w:val="006606CD"/>
    <w:rsid w:val="006931F7"/>
    <w:rsid w:val="006B3B17"/>
    <w:rsid w:val="006C23F1"/>
    <w:rsid w:val="006D0E30"/>
    <w:rsid w:val="006D13D3"/>
    <w:rsid w:val="006D65B8"/>
    <w:rsid w:val="006F582A"/>
    <w:rsid w:val="00705210"/>
    <w:rsid w:val="00764B56"/>
    <w:rsid w:val="00795789"/>
    <w:rsid w:val="007C767F"/>
    <w:rsid w:val="007D6316"/>
    <w:rsid w:val="007E2D05"/>
    <w:rsid w:val="007E6DD9"/>
    <w:rsid w:val="00813345"/>
    <w:rsid w:val="00835A05"/>
    <w:rsid w:val="0084770B"/>
    <w:rsid w:val="008953ED"/>
    <w:rsid w:val="008A1161"/>
    <w:rsid w:val="008C566F"/>
    <w:rsid w:val="008C798D"/>
    <w:rsid w:val="008F2703"/>
    <w:rsid w:val="008F3F61"/>
    <w:rsid w:val="00934233"/>
    <w:rsid w:val="00962AA5"/>
    <w:rsid w:val="009651B9"/>
    <w:rsid w:val="00992F0B"/>
    <w:rsid w:val="009A72E2"/>
    <w:rsid w:val="009C09AF"/>
    <w:rsid w:val="009E029A"/>
    <w:rsid w:val="009F0DE1"/>
    <w:rsid w:val="009F2E94"/>
    <w:rsid w:val="00A21FAE"/>
    <w:rsid w:val="00A22962"/>
    <w:rsid w:val="00A41048"/>
    <w:rsid w:val="00A77268"/>
    <w:rsid w:val="00A8237A"/>
    <w:rsid w:val="00AA0C5B"/>
    <w:rsid w:val="00AC0A82"/>
    <w:rsid w:val="00AC5E66"/>
    <w:rsid w:val="00B23CA8"/>
    <w:rsid w:val="00B33B9F"/>
    <w:rsid w:val="00B3593D"/>
    <w:rsid w:val="00B401B5"/>
    <w:rsid w:val="00B57AE6"/>
    <w:rsid w:val="00B6030E"/>
    <w:rsid w:val="00B76F8B"/>
    <w:rsid w:val="00BC64F4"/>
    <w:rsid w:val="00BD4CCF"/>
    <w:rsid w:val="00C36EC9"/>
    <w:rsid w:val="00C4243E"/>
    <w:rsid w:val="00C477B8"/>
    <w:rsid w:val="00C57F4C"/>
    <w:rsid w:val="00C81165"/>
    <w:rsid w:val="00C9723B"/>
    <w:rsid w:val="00CB66BC"/>
    <w:rsid w:val="00D26706"/>
    <w:rsid w:val="00D35BD4"/>
    <w:rsid w:val="00D602D6"/>
    <w:rsid w:val="00D619D8"/>
    <w:rsid w:val="00D72555"/>
    <w:rsid w:val="00D917B0"/>
    <w:rsid w:val="00DA1833"/>
    <w:rsid w:val="00DE5374"/>
    <w:rsid w:val="00E30039"/>
    <w:rsid w:val="00E34D74"/>
    <w:rsid w:val="00E470A7"/>
    <w:rsid w:val="00E54A8D"/>
    <w:rsid w:val="00E61842"/>
    <w:rsid w:val="00E64FCA"/>
    <w:rsid w:val="00E82900"/>
    <w:rsid w:val="00EA7F7F"/>
    <w:rsid w:val="00EB0AD4"/>
    <w:rsid w:val="00EE5777"/>
    <w:rsid w:val="00EF122D"/>
    <w:rsid w:val="00EF173F"/>
    <w:rsid w:val="00F04567"/>
    <w:rsid w:val="00F17409"/>
    <w:rsid w:val="00F37486"/>
    <w:rsid w:val="00F45AE2"/>
    <w:rsid w:val="00F50344"/>
    <w:rsid w:val="00F678D8"/>
    <w:rsid w:val="00FB0A46"/>
    <w:rsid w:val="00FB2D92"/>
    <w:rsid w:val="00FB4F63"/>
    <w:rsid w:val="00FB6423"/>
    <w:rsid w:val="00FF42F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203121"/>
  <w15:chartTrackingRefBased/>
  <w15:docId w15:val="{9293B72F-3C4C-4C84-B7BA-8E4DDAFC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napToGrid w:val="0"/>
      <w:lang w:val="en-AU"/>
    </w:rPr>
  </w:style>
  <w:style w:type="paragraph" w:styleId="Cmsor1">
    <w:name w:val="heading 1"/>
    <w:basedOn w:val="Norml"/>
    <w:next w:val="Norml"/>
    <w:link w:val="Cmsor1Char"/>
    <w:uiPriority w:val="9"/>
    <w:qFormat/>
    <w:pPr>
      <w:keepNext/>
      <w:outlineLvl w:val="0"/>
    </w:pPr>
    <w:rPr>
      <w:i/>
      <w:sz w:val="24"/>
      <w:u w:val="single"/>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mbria" w:eastAsia="Times New Roman" w:hAnsi="Cambria" w:cs="Times New Roman"/>
      <w:b/>
      <w:bCs/>
      <w:snapToGrid w:val="0"/>
      <w:kern w:val="32"/>
      <w:sz w:val="32"/>
      <w:szCs w:val="32"/>
      <w:lang w:val="en-AU"/>
    </w:rPr>
  </w:style>
  <w:style w:type="paragraph" w:styleId="llb">
    <w:name w:val="footer"/>
    <w:basedOn w:val="Norml"/>
    <w:link w:val="llbChar"/>
    <w:uiPriority w:val="99"/>
    <w:pPr>
      <w:tabs>
        <w:tab w:val="center" w:pos="4153"/>
        <w:tab w:val="right" w:pos="8306"/>
      </w:tabs>
    </w:pPr>
  </w:style>
  <w:style w:type="character" w:customStyle="1" w:styleId="llbChar">
    <w:name w:val="Élőláb Char"/>
    <w:link w:val="llb"/>
    <w:uiPriority w:val="99"/>
    <w:semiHidden/>
    <w:rPr>
      <w:rFonts w:ascii="Times New Roman" w:hAnsi="Times New Roman" w:cs="Times New Roman"/>
      <w:snapToGrid w:val="0"/>
      <w:lang w:val="en-AU"/>
    </w:rPr>
  </w:style>
  <w:style w:type="character" w:styleId="Oldalszm">
    <w:name w:val="page number"/>
    <w:uiPriority w:val="99"/>
    <w:rPr>
      <w:rFonts w:cs="Times New Roman"/>
    </w:rPr>
  </w:style>
  <w:style w:type="paragraph" w:styleId="lfej">
    <w:name w:val="header"/>
    <w:basedOn w:val="Norml"/>
    <w:link w:val="lfejChar"/>
    <w:uiPriority w:val="99"/>
    <w:pPr>
      <w:tabs>
        <w:tab w:val="center" w:pos="4153"/>
        <w:tab w:val="right" w:pos="8306"/>
      </w:tabs>
    </w:pPr>
  </w:style>
  <w:style w:type="character" w:customStyle="1" w:styleId="lfejChar">
    <w:name w:val="Élőfej Char"/>
    <w:link w:val="lfej"/>
    <w:uiPriority w:val="99"/>
    <w:semiHidden/>
    <w:rPr>
      <w:rFonts w:ascii="Times New Roman" w:hAnsi="Times New Roman" w:cs="Times New Roman"/>
      <w:snapToGrid w:val="0"/>
      <w:lang w:val="en-AU"/>
    </w:rPr>
  </w:style>
  <w:style w:type="paragraph" w:styleId="Lbjegyzetszveg">
    <w:name w:val="footnote text"/>
    <w:basedOn w:val="Norml"/>
    <w:link w:val="LbjegyzetszvegChar"/>
    <w:uiPriority w:val="99"/>
    <w:semiHidden/>
  </w:style>
  <w:style w:type="character" w:customStyle="1" w:styleId="LbjegyzetszvegChar">
    <w:name w:val="Lábjegyzetszöveg Char"/>
    <w:link w:val="Lbjegyzetszveg"/>
    <w:uiPriority w:val="99"/>
    <w:semiHidden/>
    <w:rPr>
      <w:rFonts w:ascii="Times New Roman" w:hAnsi="Times New Roman" w:cs="Times New Roman"/>
      <w:snapToGrid w:val="0"/>
      <w:lang w:val="en-AU"/>
    </w:rPr>
  </w:style>
  <w:style w:type="character" w:styleId="Lbjegyzet-hivatkozs">
    <w:name w:val="footnote reference"/>
    <w:uiPriority w:val="99"/>
    <w:semiHidden/>
    <w:rPr>
      <w:rFonts w:cs="Times New Roman"/>
      <w:vertAlign w:val="superscript"/>
    </w:rPr>
  </w:style>
  <w:style w:type="paragraph" w:styleId="Szvegtrzsbehzssal">
    <w:name w:val="Body Text Indent"/>
    <w:basedOn w:val="Norml"/>
    <w:link w:val="SzvegtrzsbehzssalChar"/>
    <w:uiPriority w:val="99"/>
    <w:pPr>
      <w:ind w:left="360"/>
      <w:jc w:val="both"/>
    </w:pPr>
    <w:rPr>
      <w:sz w:val="24"/>
      <w:lang w:val="hu-HU"/>
    </w:rPr>
  </w:style>
  <w:style w:type="character" w:customStyle="1" w:styleId="SzvegtrzsbehzssalChar">
    <w:name w:val="Szövegtörzs behúzással Char"/>
    <w:link w:val="Szvegtrzsbehzssal"/>
    <w:uiPriority w:val="99"/>
    <w:semiHidden/>
    <w:rPr>
      <w:rFonts w:ascii="Times New Roman" w:hAnsi="Times New Roman" w:cs="Times New Roman"/>
      <w:snapToGrid w:val="0"/>
      <w:lang w:val="en-AU"/>
    </w:rPr>
  </w:style>
  <w:style w:type="paragraph" w:styleId="Buborkszveg">
    <w:name w:val="Balloon Text"/>
    <w:basedOn w:val="Norml"/>
    <w:link w:val="BuborkszvegChar"/>
    <w:uiPriority w:val="99"/>
    <w:semiHidden/>
    <w:rPr>
      <w:sz w:val="16"/>
      <w:szCs w:val="16"/>
    </w:rPr>
  </w:style>
  <w:style w:type="character" w:customStyle="1" w:styleId="BuborkszvegChar">
    <w:name w:val="Buborékszöveg Char"/>
    <w:link w:val="Buborkszveg"/>
    <w:uiPriority w:val="99"/>
    <w:semiHidden/>
    <w:rPr>
      <w:rFonts w:ascii="Tahoma" w:hAnsi="Tahoma" w:cs="Tahoma"/>
      <w:snapToGrid w:val="0"/>
      <w:sz w:val="16"/>
      <w:szCs w:val="16"/>
      <w:lang w:val="en-AU"/>
    </w:rPr>
  </w:style>
  <w:style w:type="paragraph" w:styleId="Szvegtrzs">
    <w:name w:val="Body Text"/>
    <w:basedOn w:val="Norml"/>
    <w:link w:val="SzvegtrzsChar"/>
    <w:uiPriority w:val="99"/>
    <w:pPr>
      <w:spacing w:after="120"/>
    </w:pPr>
  </w:style>
  <w:style w:type="character" w:customStyle="1" w:styleId="SzvegtrzsChar">
    <w:name w:val="Szövegtörzs Char"/>
    <w:link w:val="Szvegtrzs"/>
    <w:uiPriority w:val="99"/>
    <w:semiHidden/>
    <w:rPr>
      <w:rFonts w:ascii="Times New Roman" w:hAnsi="Times New Roman" w:cs="Times New Roman"/>
      <w:snapToGrid w:val="0"/>
      <w:lang w:val="en-AU"/>
    </w:rPr>
  </w:style>
  <w:style w:type="character" w:customStyle="1" w:styleId="Kiemels2">
    <w:name w:val="Kiemelés2"/>
    <w:uiPriority w:val="22"/>
    <w:qFormat/>
    <w:rPr>
      <w:rFonts w:cs="Times New Roman"/>
      <w:b/>
      <w:bCs/>
    </w:rPr>
  </w:style>
  <w:style w:type="character" w:styleId="Jegyzethivatkozs">
    <w:name w:val="annotation reference"/>
    <w:uiPriority w:val="99"/>
    <w:semiHidden/>
    <w:rPr>
      <w:rFonts w:cs="Times New Roman"/>
      <w:sz w:val="16"/>
      <w:szCs w:val="16"/>
    </w:rPr>
  </w:style>
  <w:style w:type="paragraph" w:styleId="Jegyzetszveg">
    <w:name w:val="annotation text"/>
    <w:basedOn w:val="Norml"/>
    <w:link w:val="JegyzetszvegChar"/>
    <w:uiPriority w:val="99"/>
    <w:semiHidden/>
  </w:style>
  <w:style w:type="character" w:customStyle="1" w:styleId="JegyzetszvegChar">
    <w:name w:val="Jegyzetszöveg Char"/>
    <w:link w:val="Jegyzetszveg"/>
    <w:uiPriority w:val="99"/>
    <w:semiHidden/>
    <w:rPr>
      <w:rFonts w:ascii="Times New Roman" w:hAnsi="Times New Roman" w:cs="Times New Roman"/>
      <w:snapToGrid w:val="0"/>
      <w:lang w:val="en-AU"/>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hAnsi="Times New Roman" w:cs="Times New Roman"/>
      <w:b/>
      <w:bCs/>
      <w:snapToGrid w:val="0"/>
      <w:lang w:val="en-AU"/>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Vltozat">
    <w:name w:val="Revision"/>
    <w:hidden/>
    <w:uiPriority w:val="99"/>
    <w:semiHidden/>
    <w:rsid w:val="008C566F"/>
    <w:rPr>
      <w:snapToGrid w:val="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725</Words>
  <Characters>3559</Characters>
  <Application>Microsoft Office Word</Application>
  <DocSecurity>0</DocSecurity>
  <Lines>29</Lines>
  <Paragraphs>8</Paragraphs>
  <ScaleCrop>false</ScaleCrop>
  <HeadingPairs>
    <vt:vector size="2" baseType="variant">
      <vt:variant>
        <vt:lpstr>Cím</vt:lpstr>
      </vt:variant>
      <vt:variant>
        <vt:i4>1</vt:i4>
      </vt:variant>
    </vt:vector>
  </HeadingPairs>
  <TitlesOfParts>
    <vt:vector size="1" baseType="lpstr">
      <vt:lpstr>KITÖLTÉSI ÚTMUTATÓ</vt:lpstr>
    </vt:vector>
  </TitlesOfParts>
  <Company>Magyar Nemzeti Bank</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Simonné Sulyok Brigitta</dc:creator>
  <cp:keywords/>
  <cp:lastModifiedBy>Juhász Katalin</cp:lastModifiedBy>
  <cp:revision>3</cp:revision>
  <cp:lastPrinted>2008-07-16T15:19:00Z</cp:lastPrinted>
  <dcterms:created xsi:type="dcterms:W3CDTF">2025-03-25T11:06:00Z</dcterms:created>
  <dcterms:modified xsi:type="dcterms:W3CDTF">2025-03-27T17:05:00Z</dcterms:modified>
</cp:coreProperties>
</file>