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C5669" w14:textId="1BC1E76B" w:rsidR="00A52738" w:rsidRPr="0015186D" w:rsidRDefault="00CD04CA" w:rsidP="00C169A5">
      <w:pPr>
        <w:spacing w:after="240"/>
        <w:rPr>
          <w:rFonts w:ascii="Arial" w:hAnsi="Arial" w:cs="Arial"/>
          <w:b/>
          <w:sz w:val="20"/>
          <w:szCs w:val="20"/>
        </w:rPr>
      </w:pPr>
      <w:r w:rsidRPr="0015186D">
        <w:rPr>
          <w:rFonts w:ascii="Arial" w:hAnsi="Arial" w:cs="Arial"/>
          <w:b/>
          <w:bCs/>
          <w:sz w:val="20"/>
          <w:szCs w:val="20"/>
          <w:lang w:val="en"/>
        </w:rPr>
        <w:t>MNB identification number: P44</w:t>
      </w:r>
    </w:p>
    <w:p w14:paraId="2CEBF0C2" w14:textId="77777777" w:rsidR="00A52738" w:rsidRPr="0015186D" w:rsidRDefault="00A52738" w:rsidP="00C169A5">
      <w:pPr>
        <w:spacing w:before="240"/>
        <w:jc w:val="center"/>
        <w:rPr>
          <w:rFonts w:ascii="Arial" w:hAnsi="Arial" w:cs="Arial"/>
          <w:b/>
          <w:sz w:val="20"/>
          <w:szCs w:val="20"/>
        </w:rPr>
      </w:pPr>
      <w:r w:rsidRPr="0015186D">
        <w:rPr>
          <w:rFonts w:ascii="Arial" w:hAnsi="Arial" w:cs="Arial"/>
          <w:b/>
          <w:bCs/>
          <w:sz w:val="20"/>
          <w:szCs w:val="20"/>
          <w:lang w:val="en"/>
        </w:rPr>
        <w:t>Completion instructions for the report</w:t>
      </w:r>
    </w:p>
    <w:p w14:paraId="72800AA1" w14:textId="77777777" w:rsidR="00A52738" w:rsidRPr="0015186D" w:rsidRDefault="00A52738" w:rsidP="009A4BFA">
      <w:pPr>
        <w:spacing w:after="120"/>
        <w:jc w:val="center"/>
        <w:rPr>
          <w:rFonts w:ascii="Arial" w:hAnsi="Arial" w:cs="Arial"/>
          <w:b/>
          <w:sz w:val="20"/>
          <w:szCs w:val="20"/>
        </w:rPr>
      </w:pPr>
      <w:r w:rsidRPr="0015186D">
        <w:rPr>
          <w:rFonts w:ascii="Arial" w:hAnsi="Arial" w:cs="Arial"/>
          <w:b/>
          <w:bCs/>
          <w:sz w:val="20"/>
          <w:szCs w:val="20"/>
          <w:lang w:val="en"/>
        </w:rPr>
        <w:t>Securities settlement systems statistics</w:t>
      </w:r>
    </w:p>
    <w:p w14:paraId="3524BF9F" w14:textId="77777777" w:rsidR="00A52738" w:rsidRPr="0015186D" w:rsidRDefault="009F344F" w:rsidP="00C169A5">
      <w:pPr>
        <w:tabs>
          <w:tab w:val="left" w:pos="513"/>
        </w:tabs>
        <w:spacing w:before="240" w:after="240"/>
        <w:rPr>
          <w:rFonts w:ascii="Arial" w:hAnsi="Arial" w:cs="Arial"/>
          <w:b/>
          <w:sz w:val="20"/>
          <w:szCs w:val="20"/>
        </w:rPr>
      </w:pPr>
      <w:r w:rsidRPr="0015186D">
        <w:rPr>
          <w:rFonts w:ascii="Arial" w:hAnsi="Arial" w:cs="Arial"/>
          <w:b/>
          <w:bCs/>
          <w:sz w:val="20"/>
          <w:szCs w:val="20"/>
          <w:lang w:val="en"/>
        </w:rPr>
        <w:t>I.</w:t>
      </w:r>
      <w:r w:rsidRPr="0015186D">
        <w:rPr>
          <w:rFonts w:ascii="Arial" w:hAnsi="Arial" w:cs="Arial"/>
          <w:sz w:val="20"/>
          <w:szCs w:val="20"/>
          <w:lang w:val="en"/>
        </w:rPr>
        <w:tab/>
      </w:r>
      <w:r w:rsidRPr="0015186D">
        <w:rPr>
          <w:rFonts w:ascii="Arial" w:hAnsi="Arial" w:cs="Arial"/>
          <w:b/>
          <w:bCs/>
          <w:sz w:val="20"/>
          <w:szCs w:val="20"/>
          <w:lang w:val="en"/>
        </w:rPr>
        <w:t>General instructions</w:t>
      </w:r>
    </w:p>
    <w:p w14:paraId="5DD7F76C" w14:textId="77777777" w:rsidR="00AE6AB5" w:rsidRPr="0015186D" w:rsidRDefault="00A52738">
      <w:pPr>
        <w:numPr>
          <w:ilvl w:val="1"/>
          <w:numId w:val="13"/>
        </w:numPr>
        <w:tabs>
          <w:tab w:val="num" w:pos="456"/>
        </w:tabs>
        <w:ind w:left="513" w:hanging="513"/>
        <w:rPr>
          <w:rFonts w:ascii="Arial" w:hAnsi="Arial" w:cs="Arial"/>
          <w:sz w:val="20"/>
          <w:szCs w:val="20"/>
        </w:rPr>
      </w:pPr>
      <w:r w:rsidRPr="0015186D">
        <w:rPr>
          <w:rFonts w:ascii="Arial" w:hAnsi="Arial" w:cs="Arial"/>
          <w:sz w:val="20"/>
          <w:szCs w:val="20"/>
          <w:lang w:val="en"/>
        </w:rPr>
        <w:t>Data suppliers shall provide data in round figures, without decimals, and round data as necessary according to the general rounding rules.</w:t>
      </w:r>
    </w:p>
    <w:p w14:paraId="31364C87" w14:textId="5DB3A6BE" w:rsidR="00F10912" w:rsidRPr="0015186D" w:rsidRDefault="00F10912">
      <w:pPr>
        <w:numPr>
          <w:ilvl w:val="1"/>
          <w:numId w:val="13"/>
        </w:numPr>
        <w:tabs>
          <w:tab w:val="num" w:pos="456"/>
        </w:tabs>
        <w:ind w:left="513" w:hanging="513"/>
        <w:rPr>
          <w:rFonts w:ascii="Arial" w:hAnsi="Arial" w:cs="Arial"/>
          <w:sz w:val="20"/>
          <w:szCs w:val="20"/>
        </w:rPr>
      </w:pPr>
      <w:r w:rsidRPr="0015186D">
        <w:rPr>
          <w:rFonts w:ascii="Arial" w:hAnsi="Arial" w:cs="Arial"/>
          <w:sz w:val="20"/>
          <w:szCs w:val="20"/>
          <w:lang w:val="en"/>
        </w:rPr>
        <w:t xml:space="preserve">If the contents of a specific table may not be interpreted for a data supplier on the basis of its business activity, the data supplier shall report the specific table of the report as negative (N/A). </w:t>
      </w:r>
    </w:p>
    <w:p w14:paraId="498D2671" w14:textId="311F0E6B" w:rsidR="00A52738" w:rsidRPr="0015186D" w:rsidRDefault="00A52738" w:rsidP="009E747F">
      <w:pPr>
        <w:numPr>
          <w:ilvl w:val="1"/>
          <w:numId w:val="13"/>
        </w:numPr>
        <w:tabs>
          <w:tab w:val="clear" w:pos="2520"/>
          <w:tab w:val="num" w:pos="456"/>
        </w:tabs>
        <w:ind w:left="513" w:hanging="513"/>
        <w:rPr>
          <w:rFonts w:ascii="Arial" w:hAnsi="Arial" w:cs="Arial"/>
          <w:sz w:val="20"/>
          <w:szCs w:val="20"/>
        </w:rPr>
      </w:pPr>
      <w:r w:rsidRPr="0015186D">
        <w:rPr>
          <w:rFonts w:ascii="Arial" w:hAnsi="Arial" w:cs="Arial"/>
          <w:sz w:val="20"/>
          <w:szCs w:val="20"/>
          <w:lang w:val="en"/>
        </w:rPr>
        <w:t xml:space="preserve">Data suppliers shall classify securities according to the following: </w:t>
      </w:r>
    </w:p>
    <w:p w14:paraId="47089B03" w14:textId="77777777" w:rsidR="00A52738" w:rsidRPr="0015186D" w:rsidRDefault="00F601C1" w:rsidP="00EF0022">
      <w:pPr>
        <w:ind w:left="1197" w:hanging="741"/>
        <w:rPr>
          <w:rFonts w:ascii="Arial" w:hAnsi="Arial" w:cs="Arial"/>
          <w:sz w:val="20"/>
          <w:szCs w:val="20"/>
        </w:rPr>
      </w:pPr>
      <w:r w:rsidRPr="0015186D">
        <w:rPr>
          <w:rFonts w:ascii="Arial" w:hAnsi="Arial" w:cs="Arial"/>
          <w:sz w:val="20"/>
          <w:szCs w:val="20"/>
          <w:lang w:val="en"/>
        </w:rPr>
        <w:t xml:space="preserve">Bonds: </w:t>
      </w:r>
    </w:p>
    <w:p w14:paraId="302F9363" w14:textId="77777777" w:rsidR="00A52738" w:rsidRPr="0015186D" w:rsidRDefault="00A52738">
      <w:pPr>
        <w:ind w:left="855"/>
        <w:rPr>
          <w:rFonts w:ascii="Arial" w:hAnsi="Arial" w:cs="Arial"/>
          <w:sz w:val="20"/>
          <w:szCs w:val="20"/>
        </w:rPr>
      </w:pPr>
      <w:bookmarkStart w:id="0" w:name="_Hlk133997803"/>
      <w:r w:rsidRPr="0015186D">
        <w:rPr>
          <w:rFonts w:ascii="Arial" w:hAnsi="Arial" w:cs="Arial"/>
          <w:sz w:val="20"/>
          <w:szCs w:val="20"/>
          <w:lang w:val="en"/>
        </w:rPr>
        <w:t xml:space="preserve">bonds and other debt securities with an original maturity of over one year; </w:t>
      </w:r>
    </w:p>
    <w:p w14:paraId="2C3619E1" w14:textId="77777777" w:rsidR="00A52738" w:rsidRPr="0015186D" w:rsidRDefault="00F601C1" w:rsidP="00EF0022">
      <w:pPr>
        <w:ind w:left="2736" w:hanging="2280"/>
        <w:rPr>
          <w:rFonts w:ascii="Arial" w:hAnsi="Arial" w:cs="Arial"/>
          <w:sz w:val="20"/>
          <w:szCs w:val="20"/>
        </w:rPr>
      </w:pPr>
      <w:r w:rsidRPr="0015186D">
        <w:rPr>
          <w:rFonts w:ascii="Arial" w:hAnsi="Arial" w:cs="Arial"/>
          <w:sz w:val="20"/>
          <w:szCs w:val="20"/>
          <w:lang w:val="en"/>
        </w:rPr>
        <w:t>Short-term securities:</w:t>
      </w:r>
    </w:p>
    <w:p w14:paraId="328B8935" w14:textId="77777777" w:rsidR="00A52738" w:rsidRPr="0015186D" w:rsidRDefault="00BE725F">
      <w:pPr>
        <w:ind w:left="855"/>
        <w:rPr>
          <w:rFonts w:ascii="Arial" w:hAnsi="Arial" w:cs="Arial"/>
          <w:sz w:val="20"/>
          <w:szCs w:val="20"/>
        </w:rPr>
      </w:pPr>
      <w:r w:rsidRPr="0015186D">
        <w:rPr>
          <w:rFonts w:ascii="Arial" w:hAnsi="Arial" w:cs="Arial"/>
          <w:sz w:val="20"/>
          <w:szCs w:val="20"/>
          <w:lang w:val="en"/>
        </w:rPr>
        <w:t>debt securities with an original maturity of one year or less;</w:t>
      </w:r>
    </w:p>
    <w:p w14:paraId="2E1B8022" w14:textId="77777777" w:rsidR="00A52738" w:rsidRPr="0015186D" w:rsidRDefault="00F601C1" w:rsidP="00EF0022">
      <w:pPr>
        <w:ind w:left="3306" w:hanging="2850"/>
        <w:rPr>
          <w:rFonts w:ascii="Arial" w:hAnsi="Arial" w:cs="Arial"/>
          <w:sz w:val="20"/>
          <w:szCs w:val="20"/>
        </w:rPr>
      </w:pPr>
      <w:r w:rsidRPr="0015186D">
        <w:rPr>
          <w:rFonts w:ascii="Arial" w:hAnsi="Arial" w:cs="Arial"/>
          <w:sz w:val="20"/>
          <w:szCs w:val="20"/>
          <w:lang w:val="en"/>
        </w:rPr>
        <w:t>Shares and investment units:</w:t>
      </w:r>
    </w:p>
    <w:p w14:paraId="700F75EF" w14:textId="77777777" w:rsidR="00A52738" w:rsidRPr="0015186D" w:rsidRDefault="00A52738">
      <w:pPr>
        <w:ind w:left="855"/>
        <w:rPr>
          <w:rFonts w:ascii="Arial" w:hAnsi="Arial" w:cs="Arial"/>
          <w:sz w:val="20"/>
          <w:szCs w:val="20"/>
        </w:rPr>
      </w:pPr>
      <w:r w:rsidRPr="0015186D">
        <w:rPr>
          <w:rFonts w:ascii="Arial" w:hAnsi="Arial" w:cs="Arial"/>
          <w:sz w:val="20"/>
          <w:szCs w:val="20"/>
          <w:lang w:val="en"/>
        </w:rPr>
        <w:t>shares and other participations in company capital, depository receipts and collective investment instruments issued by close-end and open-end investment funds;</w:t>
      </w:r>
    </w:p>
    <w:p w14:paraId="6A9310E1" w14:textId="1E7D062A" w:rsidR="00A52738" w:rsidRPr="0015186D" w:rsidRDefault="00F601C1" w:rsidP="00390E57">
      <w:pPr>
        <w:spacing w:after="120"/>
        <w:ind w:left="454"/>
        <w:rPr>
          <w:rFonts w:ascii="Arial" w:hAnsi="Arial" w:cs="Arial"/>
          <w:sz w:val="20"/>
          <w:szCs w:val="20"/>
        </w:rPr>
      </w:pPr>
      <w:r w:rsidRPr="0015186D">
        <w:rPr>
          <w:rFonts w:ascii="Arial" w:hAnsi="Arial" w:cs="Arial"/>
          <w:sz w:val="20"/>
          <w:szCs w:val="20"/>
          <w:lang w:val="en"/>
        </w:rPr>
        <w:t xml:space="preserve">Other securities: securities other than those specified in the above three categories. </w:t>
      </w:r>
      <w:bookmarkEnd w:id="0"/>
    </w:p>
    <w:p w14:paraId="26FB68B3" w14:textId="47B71EA0" w:rsidR="00A52738" w:rsidRPr="0015186D" w:rsidRDefault="00A52738" w:rsidP="002E5B22">
      <w:pPr>
        <w:numPr>
          <w:ilvl w:val="1"/>
          <w:numId w:val="13"/>
        </w:numPr>
        <w:tabs>
          <w:tab w:val="clear" w:pos="2520"/>
          <w:tab w:val="num" w:pos="426"/>
        </w:tabs>
        <w:ind w:left="456" w:hanging="456"/>
        <w:rPr>
          <w:rFonts w:ascii="Arial" w:hAnsi="Arial" w:cs="Arial"/>
          <w:sz w:val="20"/>
          <w:szCs w:val="20"/>
        </w:rPr>
      </w:pPr>
      <w:r w:rsidRPr="0015186D">
        <w:rPr>
          <w:rFonts w:ascii="Arial" w:hAnsi="Arial" w:cs="Arial"/>
          <w:sz w:val="20"/>
          <w:szCs w:val="20"/>
          <w:lang w:val="en"/>
        </w:rPr>
        <w:t>Stock and turnover figures, including those pertaining to transfers without any movement of funds, new issues and data relating to the retirement of securities, shall be provided separately for each type of security as per the following:</w:t>
      </w:r>
    </w:p>
    <w:p w14:paraId="15EC5028" w14:textId="2DDEDBD1" w:rsidR="00BE725F" w:rsidRPr="0015186D" w:rsidRDefault="00E44302" w:rsidP="002E5B22">
      <w:pPr>
        <w:numPr>
          <w:ilvl w:val="0"/>
          <w:numId w:val="13"/>
        </w:numPr>
        <w:tabs>
          <w:tab w:val="num" w:pos="426"/>
        </w:tabs>
        <w:ind w:left="709" w:hanging="283"/>
        <w:rPr>
          <w:rFonts w:ascii="Arial" w:hAnsi="Arial" w:cs="Arial"/>
          <w:sz w:val="20"/>
          <w:szCs w:val="20"/>
        </w:rPr>
      </w:pPr>
      <w:r w:rsidRPr="0015186D">
        <w:rPr>
          <w:rFonts w:ascii="Arial" w:hAnsi="Arial" w:cs="Arial"/>
          <w:sz w:val="20"/>
          <w:szCs w:val="20"/>
          <w:lang w:val="en"/>
        </w:rPr>
        <w:t>the transaction type ‘Delivery v</w:t>
      </w:r>
      <w:r w:rsidR="00A41FAC">
        <w:rPr>
          <w:rFonts w:ascii="Arial" w:hAnsi="Arial" w:cs="Arial"/>
          <w:sz w:val="20"/>
          <w:szCs w:val="20"/>
          <w:lang w:val="en"/>
        </w:rPr>
        <w:t>ersus</w:t>
      </w:r>
      <w:r w:rsidRPr="0015186D">
        <w:rPr>
          <w:rFonts w:ascii="Arial" w:hAnsi="Arial" w:cs="Arial"/>
          <w:sz w:val="20"/>
          <w:szCs w:val="20"/>
          <w:lang w:val="en"/>
        </w:rPr>
        <w:t xml:space="preserve"> Payment’ (hereinafter: “</w:t>
      </w:r>
      <w:proofErr w:type="spellStart"/>
      <w:r w:rsidRPr="0015186D">
        <w:rPr>
          <w:rFonts w:ascii="Arial" w:hAnsi="Arial" w:cs="Arial"/>
          <w:sz w:val="20"/>
          <w:szCs w:val="20"/>
          <w:lang w:val="en"/>
        </w:rPr>
        <w:t>DvP</w:t>
      </w:r>
      <w:proofErr w:type="spellEnd"/>
      <w:r w:rsidRPr="0015186D">
        <w:rPr>
          <w:rFonts w:ascii="Arial" w:hAnsi="Arial" w:cs="Arial"/>
          <w:sz w:val="20"/>
          <w:szCs w:val="20"/>
          <w:lang w:val="en"/>
        </w:rPr>
        <w:t xml:space="preserve">”) must be indicated at purchase price, </w:t>
      </w:r>
    </w:p>
    <w:p w14:paraId="071D8A71" w14:textId="00C12366" w:rsidR="00903535" w:rsidRPr="0015186D" w:rsidRDefault="00E44302" w:rsidP="007452CB">
      <w:pPr>
        <w:numPr>
          <w:ilvl w:val="0"/>
          <w:numId w:val="13"/>
        </w:numPr>
        <w:tabs>
          <w:tab w:val="num" w:pos="426"/>
        </w:tabs>
        <w:ind w:left="709" w:hanging="283"/>
        <w:rPr>
          <w:rFonts w:ascii="Arial" w:hAnsi="Arial" w:cs="Arial"/>
          <w:sz w:val="20"/>
          <w:szCs w:val="20"/>
        </w:rPr>
      </w:pPr>
      <w:r w:rsidRPr="0015186D">
        <w:rPr>
          <w:rFonts w:ascii="Arial" w:hAnsi="Arial" w:cs="Arial"/>
          <w:sz w:val="20"/>
          <w:szCs w:val="20"/>
          <w:lang w:val="en"/>
        </w:rPr>
        <w:t>the transaction type ‘</w:t>
      </w:r>
      <w:r w:rsidR="00A41FAC">
        <w:rPr>
          <w:rFonts w:ascii="Arial" w:hAnsi="Arial" w:cs="Arial"/>
          <w:sz w:val="20"/>
          <w:szCs w:val="20"/>
          <w:lang w:val="en"/>
        </w:rPr>
        <w:t>Free of Payment</w:t>
      </w:r>
      <w:r w:rsidRPr="0015186D">
        <w:rPr>
          <w:rFonts w:ascii="Arial" w:hAnsi="Arial" w:cs="Arial"/>
          <w:sz w:val="20"/>
          <w:szCs w:val="20"/>
          <w:lang w:val="en"/>
        </w:rPr>
        <w:t>’ (hereinafter: “</w:t>
      </w:r>
      <w:proofErr w:type="spellStart"/>
      <w:r w:rsidRPr="0015186D">
        <w:rPr>
          <w:rFonts w:ascii="Arial" w:hAnsi="Arial" w:cs="Arial"/>
          <w:sz w:val="20"/>
          <w:szCs w:val="20"/>
          <w:lang w:val="en"/>
        </w:rPr>
        <w:t>FoP</w:t>
      </w:r>
      <w:proofErr w:type="spellEnd"/>
      <w:r w:rsidRPr="0015186D">
        <w:rPr>
          <w:rFonts w:ascii="Arial" w:hAnsi="Arial" w:cs="Arial"/>
          <w:sz w:val="20"/>
          <w:szCs w:val="20"/>
          <w:lang w:val="en"/>
        </w:rPr>
        <w:t>” meaning ‘free of payment’), if they originate from settlement at a stock exchange, shall be indicated at the value calculated by the central counterparty, at a price excluding haircut in the case of blocking and releasing for collateral purposes and at market value in other cases; if that is not available, it shall be indicated at the last available price.</w:t>
      </w:r>
    </w:p>
    <w:p w14:paraId="139F86C2" w14:textId="2155C84E" w:rsidR="00A52738" w:rsidRPr="0015186D" w:rsidRDefault="00903535" w:rsidP="001B615C">
      <w:pPr>
        <w:spacing w:after="120"/>
        <w:ind w:left="426"/>
        <w:rPr>
          <w:rFonts w:ascii="Arial" w:hAnsi="Arial" w:cs="Arial"/>
          <w:sz w:val="20"/>
          <w:szCs w:val="20"/>
        </w:rPr>
      </w:pPr>
      <w:r w:rsidRPr="0015186D">
        <w:rPr>
          <w:rFonts w:ascii="Arial" w:hAnsi="Arial" w:cs="Arial"/>
          <w:sz w:val="20"/>
          <w:szCs w:val="20"/>
          <w:lang w:val="en"/>
        </w:rPr>
        <w:t xml:space="preserve">In the data supply, data of the </w:t>
      </w:r>
      <w:proofErr w:type="spellStart"/>
      <w:r w:rsidRPr="0015186D">
        <w:rPr>
          <w:rFonts w:ascii="Arial" w:hAnsi="Arial" w:cs="Arial"/>
          <w:sz w:val="20"/>
          <w:szCs w:val="20"/>
          <w:lang w:val="en"/>
        </w:rPr>
        <w:t>DvP</w:t>
      </w:r>
      <w:proofErr w:type="spellEnd"/>
      <w:r w:rsidRPr="0015186D">
        <w:rPr>
          <w:rFonts w:ascii="Arial" w:hAnsi="Arial" w:cs="Arial"/>
          <w:sz w:val="20"/>
          <w:szCs w:val="20"/>
          <w:lang w:val="en"/>
        </w:rPr>
        <w:t xml:space="preserve"> transaction type are reported in the data on securities transfer orders with payment (columns c, d, f, g, i and j of tables 03, 04, 05 and 06), and data of the </w:t>
      </w:r>
      <w:proofErr w:type="spellStart"/>
      <w:r w:rsidRPr="0015186D">
        <w:rPr>
          <w:rFonts w:ascii="Arial" w:hAnsi="Arial" w:cs="Arial"/>
          <w:sz w:val="20"/>
          <w:szCs w:val="20"/>
          <w:lang w:val="en"/>
        </w:rPr>
        <w:t>FoP</w:t>
      </w:r>
      <w:proofErr w:type="spellEnd"/>
      <w:r w:rsidRPr="0015186D">
        <w:rPr>
          <w:rFonts w:ascii="Arial" w:hAnsi="Arial" w:cs="Arial"/>
          <w:sz w:val="20"/>
          <w:szCs w:val="20"/>
          <w:lang w:val="en"/>
        </w:rPr>
        <w:t xml:space="preserve"> transaction type are reported in the data on securities transfer orders without payment (columns b, e and h of tables 03, 04, 05 and 06).</w:t>
      </w:r>
    </w:p>
    <w:p w14:paraId="6A017094" w14:textId="1A288DD6" w:rsidR="00A52738" w:rsidRPr="0015186D" w:rsidRDefault="00DD768A" w:rsidP="00390E57">
      <w:pPr>
        <w:tabs>
          <w:tab w:val="left" w:pos="426"/>
        </w:tabs>
        <w:rPr>
          <w:rFonts w:ascii="Arial" w:hAnsi="Arial" w:cs="Arial"/>
          <w:sz w:val="20"/>
          <w:szCs w:val="20"/>
        </w:rPr>
      </w:pPr>
      <w:r w:rsidRPr="0015186D">
        <w:rPr>
          <w:rFonts w:ascii="Arial" w:hAnsi="Arial" w:cs="Arial"/>
          <w:sz w:val="20"/>
          <w:szCs w:val="20"/>
          <w:lang w:val="en"/>
        </w:rPr>
        <w:t>5.</w:t>
      </w:r>
      <w:r w:rsidRPr="0015186D">
        <w:rPr>
          <w:rFonts w:ascii="Arial" w:hAnsi="Arial" w:cs="Arial"/>
          <w:sz w:val="20"/>
          <w:szCs w:val="20"/>
          <w:lang w:val="en"/>
        </w:rPr>
        <w:tab/>
        <w:t>The value of securities denominated in foreign currencies shall be converted into forint according to the following instructions:</w:t>
      </w:r>
    </w:p>
    <w:p w14:paraId="5448CF22" w14:textId="77777777" w:rsidR="00E55F80" w:rsidRPr="0015186D" w:rsidRDefault="00E55F80" w:rsidP="002E5B22">
      <w:pPr>
        <w:numPr>
          <w:ilvl w:val="0"/>
          <w:numId w:val="13"/>
        </w:numPr>
        <w:tabs>
          <w:tab w:val="num" w:pos="426"/>
        </w:tabs>
        <w:ind w:left="709" w:hanging="283"/>
        <w:rPr>
          <w:rFonts w:ascii="Arial" w:hAnsi="Arial" w:cs="Arial"/>
          <w:sz w:val="20"/>
          <w:szCs w:val="20"/>
        </w:rPr>
      </w:pPr>
      <w:r w:rsidRPr="0015186D">
        <w:rPr>
          <w:rFonts w:ascii="Arial" w:hAnsi="Arial" w:cs="Arial"/>
          <w:sz w:val="20"/>
          <w:szCs w:val="20"/>
          <w:lang w:val="en"/>
        </w:rPr>
        <w:t>Stock prices shall be converted to forint using the official MNB exchange rate in effect for the last day of the year.</w:t>
      </w:r>
    </w:p>
    <w:p w14:paraId="187928E7" w14:textId="5333DEFF" w:rsidR="00400FD0" w:rsidRPr="0015186D" w:rsidRDefault="00E55F80" w:rsidP="00390E57">
      <w:pPr>
        <w:numPr>
          <w:ilvl w:val="0"/>
          <w:numId w:val="13"/>
        </w:numPr>
        <w:spacing w:after="120"/>
        <w:ind w:left="709" w:hanging="284"/>
        <w:rPr>
          <w:rFonts w:ascii="Arial" w:hAnsi="Arial" w:cs="Arial"/>
          <w:sz w:val="20"/>
          <w:szCs w:val="20"/>
        </w:rPr>
      </w:pPr>
      <w:r w:rsidRPr="0015186D">
        <w:rPr>
          <w:rFonts w:ascii="Arial" w:hAnsi="Arial" w:cs="Arial"/>
          <w:sz w:val="20"/>
          <w:szCs w:val="20"/>
          <w:lang w:val="en"/>
        </w:rPr>
        <w:t xml:space="preserve">turnover data shall be converted at the official exchange rate of the </w:t>
      </w:r>
      <w:proofErr w:type="spellStart"/>
      <w:r w:rsidRPr="0015186D">
        <w:rPr>
          <w:rFonts w:ascii="Arial" w:hAnsi="Arial" w:cs="Arial"/>
          <w:sz w:val="20"/>
          <w:szCs w:val="20"/>
          <w:lang w:val="en"/>
        </w:rPr>
        <w:t>MNB</w:t>
      </w:r>
      <w:proofErr w:type="spellEnd"/>
      <w:r w:rsidRPr="0015186D">
        <w:rPr>
          <w:rFonts w:ascii="Arial" w:hAnsi="Arial" w:cs="Arial"/>
          <w:sz w:val="20"/>
          <w:szCs w:val="20"/>
          <w:lang w:val="en"/>
        </w:rPr>
        <w:t xml:space="preserve"> prevailing on day of the </w:t>
      </w:r>
      <w:r w:rsidR="006835D2">
        <w:rPr>
          <w:rFonts w:ascii="Arial" w:hAnsi="Arial" w:cs="Arial"/>
          <w:sz w:val="20"/>
          <w:szCs w:val="20"/>
          <w:lang w:val="en"/>
        </w:rPr>
        <w:t>intended</w:t>
      </w:r>
      <w:r w:rsidR="00A607A4">
        <w:rPr>
          <w:rFonts w:ascii="Arial" w:hAnsi="Arial" w:cs="Arial"/>
          <w:sz w:val="20"/>
          <w:szCs w:val="20"/>
          <w:lang w:val="en"/>
        </w:rPr>
        <w:t xml:space="preserve"> settlement</w:t>
      </w:r>
      <w:r w:rsidRPr="0015186D">
        <w:rPr>
          <w:rFonts w:ascii="Arial" w:hAnsi="Arial" w:cs="Arial"/>
          <w:sz w:val="20"/>
          <w:szCs w:val="20"/>
          <w:lang w:val="en"/>
        </w:rPr>
        <w:t xml:space="preserve"> date, or at the monthly average exchange rate calculated on the basis of the official foreign currency exchange rates published by the MNB. </w:t>
      </w:r>
    </w:p>
    <w:p w14:paraId="590408F9" w14:textId="7F5E5291" w:rsidR="00617B69" w:rsidRPr="0015186D" w:rsidRDefault="00400FD0">
      <w:pPr>
        <w:tabs>
          <w:tab w:val="left" w:pos="426"/>
        </w:tabs>
        <w:ind w:left="426" w:hanging="426"/>
        <w:rPr>
          <w:rFonts w:ascii="Arial" w:hAnsi="Arial" w:cs="Arial"/>
          <w:sz w:val="20"/>
          <w:szCs w:val="20"/>
        </w:rPr>
      </w:pPr>
      <w:r w:rsidRPr="0015186D">
        <w:rPr>
          <w:rFonts w:ascii="Arial" w:hAnsi="Arial" w:cs="Arial"/>
          <w:sz w:val="20"/>
          <w:szCs w:val="20"/>
          <w:lang w:val="en"/>
        </w:rPr>
        <w:t xml:space="preserve">6. </w:t>
      </w:r>
      <w:r w:rsidRPr="0015186D">
        <w:rPr>
          <w:rFonts w:ascii="Arial" w:hAnsi="Arial" w:cs="Arial"/>
          <w:sz w:val="20"/>
          <w:szCs w:val="20"/>
          <w:lang w:val="en"/>
        </w:rPr>
        <w:tab/>
        <w:t>For the supply of data, a transfer order shall be:</w:t>
      </w:r>
    </w:p>
    <w:p w14:paraId="07DFC3C1" w14:textId="2116AD79" w:rsidR="00617B69" w:rsidRPr="0015186D" w:rsidRDefault="00617B69" w:rsidP="009B36A1">
      <w:pPr>
        <w:tabs>
          <w:tab w:val="left" w:pos="426"/>
        </w:tabs>
        <w:ind w:left="426"/>
        <w:rPr>
          <w:rFonts w:ascii="Arial" w:hAnsi="Arial" w:cs="Arial"/>
          <w:sz w:val="20"/>
          <w:szCs w:val="20"/>
        </w:rPr>
      </w:pPr>
      <w:r w:rsidRPr="0015186D">
        <w:rPr>
          <w:rFonts w:ascii="Arial" w:hAnsi="Arial" w:cs="Arial"/>
          <w:sz w:val="20"/>
          <w:szCs w:val="20"/>
          <w:lang w:val="en"/>
        </w:rPr>
        <w:t>a) the term defined in Section 2(1)(k) of Act XXIII of 2003 on Settlement Finality in Payment and Securities Settlement Systems,</w:t>
      </w:r>
    </w:p>
    <w:p w14:paraId="7E09AFB4" w14:textId="13B47D3F" w:rsidR="009B36A1" w:rsidRPr="0015186D" w:rsidRDefault="00617B69" w:rsidP="001B615C">
      <w:pPr>
        <w:tabs>
          <w:tab w:val="left" w:pos="426"/>
        </w:tabs>
        <w:ind w:left="426"/>
        <w:rPr>
          <w:rFonts w:ascii="Arial" w:hAnsi="Arial" w:cs="Arial"/>
          <w:sz w:val="20"/>
          <w:szCs w:val="20"/>
        </w:rPr>
      </w:pPr>
      <w:r w:rsidRPr="0015186D">
        <w:rPr>
          <w:rFonts w:ascii="Arial" w:hAnsi="Arial" w:cs="Arial"/>
          <w:sz w:val="20"/>
          <w:szCs w:val="20"/>
          <w:lang w:val="en"/>
        </w:rPr>
        <w:t>b) the transfer order within the meaning of Article 2(i) of Directive 98/26/EC of the European Parliament and of the Council of 19 May 1998 on settlement finality in payment and securities settlement systems,</w:t>
      </w:r>
    </w:p>
    <w:p w14:paraId="484EA04D" w14:textId="522F720B" w:rsidR="00400FD0" w:rsidRPr="0015186D" w:rsidRDefault="00617B69" w:rsidP="001B615C">
      <w:pPr>
        <w:tabs>
          <w:tab w:val="left" w:pos="426"/>
        </w:tabs>
        <w:ind w:left="426"/>
        <w:rPr>
          <w:rFonts w:ascii="Arial" w:hAnsi="Arial" w:cs="Arial"/>
          <w:sz w:val="20"/>
          <w:szCs w:val="20"/>
        </w:rPr>
      </w:pPr>
      <w:r w:rsidRPr="0015186D">
        <w:rPr>
          <w:rFonts w:ascii="Arial" w:hAnsi="Arial" w:cs="Arial"/>
          <w:sz w:val="20"/>
          <w:szCs w:val="20"/>
          <w:lang w:val="en"/>
        </w:rPr>
        <w:t xml:space="preserve">c) a settlement </w:t>
      </w:r>
      <w:r w:rsidR="00A607A4">
        <w:rPr>
          <w:rFonts w:ascii="Arial" w:hAnsi="Arial" w:cs="Arial"/>
          <w:sz w:val="20"/>
          <w:szCs w:val="20"/>
          <w:lang w:val="en"/>
        </w:rPr>
        <w:t>instruction</w:t>
      </w:r>
      <w:r w:rsidRPr="0015186D">
        <w:rPr>
          <w:rFonts w:ascii="Arial" w:hAnsi="Arial" w:cs="Arial"/>
          <w:sz w:val="20"/>
          <w:szCs w:val="20"/>
          <w:lang w:val="en"/>
        </w:rPr>
        <w:t xml:space="preserve"> within the meaning of Article 1(e) of Commission Delegated Regulation (EU) 2018/1229 of 25 May 2018 supplementing Regulation (EU) No 909/2014 of the European Parliament and of the Council with regard to the regulatory technical standards on settlement discipline.</w:t>
      </w:r>
    </w:p>
    <w:p w14:paraId="6F65494B" w14:textId="77777777" w:rsidR="00A52738" w:rsidRPr="0015186D" w:rsidRDefault="00A52738" w:rsidP="00C169A5">
      <w:pPr>
        <w:keepNext/>
        <w:spacing w:before="240" w:after="240"/>
        <w:ind w:left="510" w:hanging="510"/>
        <w:rPr>
          <w:rFonts w:ascii="Arial" w:hAnsi="Arial" w:cs="Arial"/>
          <w:b/>
          <w:sz w:val="20"/>
          <w:szCs w:val="20"/>
        </w:rPr>
      </w:pPr>
      <w:r w:rsidRPr="0015186D">
        <w:rPr>
          <w:rFonts w:ascii="Arial" w:hAnsi="Arial" w:cs="Arial"/>
          <w:b/>
          <w:bCs/>
          <w:sz w:val="20"/>
          <w:szCs w:val="20"/>
          <w:lang w:val="en"/>
        </w:rPr>
        <w:t>II.</w:t>
      </w:r>
      <w:r w:rsidRPr="0015186D">
        <w:rPr>
          <w:rFonts w:ascii="Arial" w:hAnsi="Arial" w:cs="Arial"/>
          <w:sz w:val="20"/>
          <w:szCs w:val="20"/>
          <w:lang w:val="en"/>
        </w:rPr>
        <w:tab/>
      </w:r>
      <w:r w:rsidRPr="0015186D">
        <w:rPr>
          <w:rFonts w:ascii="Arial" w:hAnsi="Arial" w:cs="Arial"/>
          <w:b/>
          <w:bCs/>
          <w:sz w:val="20"/>
          <w:szCs w:val="20"/>
          <w:lang w:val="en"/>
        </w:rPr>
        <w:t>Detailed instructions for the completion of the tables</w:t>
      </w:r>
    </w:p>
    <w:p w14:paraId="1BB9BB42" w14:textId="77777777" w:rsidR="00A52738" w:rsidRPr="0015186D" w:rsidRDefault="00A52738" w:rsidP="00C169A5">
      <w:pPr>
        <w:keepNext/>
        <w:spacing w:before="120" w:after="120"/>
        <w:rPr>
          <w:rFonts w:ascii="Arial" w:hAnsi="Arial" w:cs="Arial"/>
          <w:b/>
          <w:sz w:val="20"/>
          <w:szCs w:val="20"/>
        </w:rPr>
      </w:pPr>
      <w:r w:rsidRPr="0015186D">
        <w:rPr>
          <w:rFonts w:ascii="Arial" w:hAnsi="Arial" w:cs="Arial"/>
          <w:b/>
          <w:bCs/>
          <w:sz w:val="20"/>
          <w:szCs w:val="20"/>
          <w:lang w:val="en"/>
        </w:rPr>
        <w:t>Table 01: Direct securities account holders</w:t>
      </w:r>
    </w:p>
    <w:p w14:paraId="3F5193F1" w14:textId="0136EBA3" w:rsidR="00A52738" w:rsidRPr="0015186D" w:rsidRDefault="00A52738">
      <w:pPr>
        <w:rPr>
          <w:rFonts w:ascii="Arial" w:hAnsi="Arial" w:cs="Arial"/>
          <w:sz w:val="20"/>
          <w:szCs w:val="20"/>
        </w:rPr>
      </w:pPr>
      <w:r w:rsidRPr="0015186D">
        <w:rPr>
          <w:rFonts w:ascii="Arial" w:hAnsi="Arial" w:cs="Arial"/>
          <w:sz w:val="20"/>
          <w:szCs w:val="20"/>
          <w:lang w:val="en"/>
        </w:rPr>
        <w:t xml:space="preserve">If the account holder is a central counterparty or central securities depository with a </w:t>
      </w:r>
      <w:proofErr w:type="spellStart"/>
      <w:r w:rsidRPr="0015186D">
        <w:rPr>
          <w:rFonts w:ascii="Arial" w:hAnsi="Arial" w:cs="Arial"/>
          <w:sz w:val="20"/>
          <w:szCs w:val="20"/>
          <w:lang w:val="en"/>
        </w:rPr>
        <w:t>licence</w:t>
      </w:r>
      <w:proofErr w:type="spellEnd"/>
      <w:r w:rsidRPr="0015186D">
        <w:rPr>
          <w:rFonts w:ascii="Arial" w:hAnsi="Arial" w:cs="Arial"/>
          <w:sz w:val="20"/>
          <w:szCs w:val="20"/>
          <w:lang w:val="en"/>
        </w:rPr>
        <w:t xml:space="preserve"> to pursue credit institution activity, this party shall be classified as central counterparty or central securities depository, rather than a credit institution.</w:t>
      </w:r>
    </w:p>
    <w:p w14:paraId="37A54A89" w14:textId="77777777" w:rsidR="00A52738" w:rsidRPr="0015186D" w:rsidRDefault="00A52738" w:rsidP="00C169A5">
      <w:pPr>
        <w:spacing w:before="120" w:after="120"/>
        <w:rPr>
          <w:rFonts w:ascii="Arial" w:hAnsi="Arial" w:cs="Arial"/>
          <w:b/>
          <w:sz w:val="20"/>
          <w:szCs w:val="20"/>
        </w:rPr>
      </w:pPr>
      <w:r w:rsidRPr="0015186D">
        <w:rPr>
          <w:rFonts w:ascii="Arial" w:hAnsi="Arial" w:cs="Arial"/>
          <w:b/>
          <w:bCs/>
          <w:sz w:val="20"/>
          <w:szCs w:val="20"/>
          <w:lang w:val="en"/>
        </w:rPr>
        <w:t>Table 02a: Volume of securities accounts according to origin</w:t>
      </w:r>
    </w:p>
    <w:p w14:paraId="5B293645" w14:textId="32FA8550" w:rsidR="00C521B1" w:rsidRPr="0015186D" w:rsidRDefault="00C521B1" w:rsidP="00C169A5">
      <w:pPr>
        <w:spacing w:before="120" w:after="120"/>
        <w:rPr>
          <w:rFonts w:ascii="Arial" w:hAnsi="Arial" w:cs="Arial"/>
          <w:sz w:val="20"/>
          <w:szCs w:val="20"/>
        </w:rPr>
      </w:pPr>
      <w:bookmarkStart w:id="1" w:name="OLE_LINK7"/>
      <w:r w:rsidRPr="0015186D">
        <w:rPr>
          <w:rFonts w:ascii="Arial" w:hAnsi="Arial" w:cs="Arial"/>
          <w:sz w:val="20"/>
          <w:szCs w:val="20"/>
          <w:lang w:val="en"/>
        </w:rPr>
        <w:t>The requesting CSD’s securities holdings, held with the data supplier through a direct CSD link shall be reported by type of security in column d.</w:t>
      </w:r>
    </w:p>
    <w:bookmarkEnd w:id="1"/>
    <w:p w14:paraId="5713E05D" w14:textId="4E859B40" w:rsidR="00C521B1" w:rsidRPr="0015186D" w:rsidRDefault="00C521B1" w:rsidP="00C169A5">
      <w:pPr>
        <w:spacing w:before="120" w:after="120"/>
        <w:rPr>
          <w:rFonts w:ascii="Arial" w:hAnsi="Arial" w:cs="Arial"/>
          <w:sz w:val="20"/>
          <w:szCs w:val="20"/>
        </w:rPr>
      </w:pPr>
      <w:r w:rsidRPr="0015186D">
        <w:rPr>
          <w:rFonts w:ascii="Arial" w:hAnsi="Arial" w:cs="Arial"/>
          <w:sz w:val="20"/>
          <w:szCs w:val="20"/>
          <w:lang w:val="en"/>
        </w:rPr>
        <w:lastRenderedPageBreak/>
        <w:t>The requesting CSD’s securities holdings, held through an indirect CSD link shall be reported by type of security in column e. The so-called ‘account operator’ relationship is considered an indirect link.</w:t>
      </w:r>
    </w:p>
    <w:p w14:paraId="30932DD2" w14:textId="77777777" w:rsidR="00A52738" w:rsidRPr="0015186D" w:rsidRDefault="00A52738" w:rsidP="00C169A5">
      <w:pPr>
        <w:spacing w:before="120" w:after="120"/>
        <w:rPr>
          <w:rFonts w:ascii="Arial" w:hAnsi="Arial" w:cs="Arial"/>
          <w:b/>
          <w:sz w:val="20"/>
          <w:szCs w:val="20"/>
        </w:rPr>
      </w:pPr>
      <w:r w:rsidRPr="0015186D">
        <w:rPr>
          <w:rFonts w:ascii="Arial" w:hAnsi="Arial" w:cs="Arial"/>
          <w:b/>
          <w:bCs/>
          <w:sz w:val="20"/>
          <w:szCs w:val="20"/>
          <w:lang w:val="en"/>
        </w:rPr>
        <w:t>Table 02b: Volume of securities accounts according to holder</w:t>
      </w:r>
    </w:p>
    <w:p w14:paraId="1951A98F" w14:textId="796CA407" w:rsidR="000C1012" w:rsidRPr="0015186D" w:rsidRDefault="00C521B1" w:rsidP="00390E57">
      <w:pPr>
        <w:spacing w:after="120"/>
        <w:rPr>
          <w:rFonts w:ascii="Arial" w:hAnsi="Arial" w:cs="Arial"/>
          <w:sz w:val="20"/>
          <w:szCs w:val="20"/>
        </w:rPr>
      </w:pPr>
      <w:r w:rsidRPr="0015186D">
        <w:rPr>
          <w:rFonts w:ascii="Arial" w:hAnsi="Arial" w:cs="Arial"/>
          <w:sz w:val="20"/>
          <w:szCs w:val="20"/>
          <w:lang w:val="en"/>
        </w:rPr>
        <w:t>The data supplier’s securities holdings, held with the receiving CSD through a direct CSD link shall be reported by type of security in column b.</w:t>
      </w:r>
    </w:p>
    <w:p w14:paraId="5EEEE803" w14:textId="57DD9727" w:rsidR="00B40565" w:rsidRPr="0015186D" w:rsidRDefault="00B40565">
      <w:pPr>
        <w:rPr>
          <w:rFonts w:ascii="Arial" w:hAnsi="Arial" w:cs="Arial"/>
          <w:sz w:val="20"/>
          <w:szCs w:val="20"/>
        </w:rPr>
      </w:pPr>
      <w:r w:rsidRPr="0015186D">
        <w:rPr>
          <w:rFonts w:ascii="Arial" w:hAnsi="Arial" w:cs="Arial"/>
          <w:sz w:val="20"/>
          <w:szCs w:val="20"/>
          <w:lang w:val="en"/>
        </w:rPr>
        <w:t xml:space="preserve">The holdings of securities registered in the </w:t>
      </w:r>
      <w:r w:rsidR="00A607A4">
        <w:rPr>
          <w:rFonts w:ascii="Arial" w:hAnsi="Arial" w:cs="Arial"/>
          <w:sz w:val="20"/>
          <w:szCs w:val="20"/>
          <w:lang w:val="en"/>
        </w:rPr>
        <w:t xml:space="preserve">other institution’s/holder’s </w:t>
      </w:r>
      <w:r w:rsidRPr="0015186D">
        <w:rPr>
          <w:rFonts w:ascii="Arial" w:hAnsi="Arial" w:cs="Arial"/>
          <w:sz w:val="20"/>
          <w:szCs w:val="20"/>
          <w:lang w:val="en"/>
        </w:rPr>
        <w:t>securities account should be reported by type of security in column c. Other institutions include: credit institutions, brokers, dealers, central banks, central counterparties.</w:t>
      </w:r>
    </w:p>
    <w:p w14:paraId="6CE28560" w14:textId="77777777" w:rsidR="000C1012" w:rsidRPr="0015186D" w:rsidRDefault="000C1012">
      <w:pPr>
        <w:rPr>
          <w:rFonts w:ascii="Arial" w:hAnsi="Arial" w:cs="Arial"/>
          <w:sz w:val="20"/>
          <w:szCs w:val="20"/>
        </w:rPr>
      </w:pPr>
    </w:p>
    <w:p w14:paraId="49239714" w14:textId="6AFCA1AF" w:rsidR="00A52738" w:rsidRPr="0015186D" w:rsidRDefault="00A52738">
      <w:pPr>
        <w:rPr>
          <w:rFonts w:ascii="Arial" w:hAnsi="Arial" w:cs="Arial"/>
          <w:sz w:val="20"/>
          <w:szCs w:val="20"/>
        </w:rPr>
      </w:pPr>
      <w:r w:rsidRPr="0015186D">
        <w:rPr>
          <w:rFonts w:ascii="Arial" w:hAnsi="Arial" w:cs="Arial"/>
          <w:sz w:val="20"/>
          <w:szCs w:val="20"/>
          <w:lang w:val="en"/>
        </w:rPr>
        <w:t xml:space="preserve">The amount indicated in the total box of column a of Table 02a for each type of securities shall correspond to the amount reported in the same box of column a of Table 02b. </w:t>
      </w:r>
    </w:p>
    <w:p w14:paraId="2F39B0EB" w14:textId="0DAECCF5" w:rsidR="00D3700B" w:rsidRPr="0015186D" w:rsidRDefault="00D3700B" w:rsidP="00D3700B">
      <w:pPr>
        <w:spacing w:before="120" w:after="120"/>
        <w:rPr>
          <w:rFonts w:ascii="Arial" w:hAnsi="Arial" w:cs="Arial"/>
          <w:b/>
          <w:sz w:val="20"/>
          <w:szCs w:val="20"/>
        </w:rPr>
      </w:pPr>
      <w:r w:rsidRPr="0015186D">
        <w:rPr>
          <w:rFonts w:ascii="Arial" w:hAnsi="Arial" w:cs="Arial"/>
          <w:b/>
          <w:bCs/>
          <w:sz w:val="20"/>
          <w:szCs w:val="20"/>
          <w:lang w:val="en"/>
        </w:rPr>
        <w:t xml:space="preserve">Table 02c: </w:t>
      </w:r>
      <w:proofErr w:type="spellStart"/>
      <w:r w:rsidRPr="0015186D">
        <w:rPr>
          <w:rFonts w:ascii="Arial" w:hAnsi="Arial" w:cs="Arial"/>
          <w:b/>
          <w:bCs/>
          <w:sz w:val="20"/>
          <w:szCs w:val="20"/>
          <w:lang w:val="en"/>
        </w:rPr>
        <w:t>ISIN</w:t>
      </w:r>
      <w:proofErr w:type="spellEnd"/>
      <w:r w:rsidRPr="0015186D">
        <w:rPr>
          <w:rFonts w:ascii="Arial" w:hAnsi="Arial" w:cs="Arial"/>
          <w:b/>
          <w:bCs/>
          <w:sz w:val="20"/>
          <w:szCs w:val="20"/>
          <w:lang w:val="en"/>
        </w:rPr>
        <w:t xml:space="preserve"> code of non-debt securities</w:t>
      </w:r>
    </w:p>
    <w:p w14:paraId="1A431EE4" w14:textId="58EAD253" w:rsidR="00D3700B" w:rsidRPr="0015186D" w:rsidRDefault="00D3700B" w:rsidP="00D3700B">
      <w:pPr>
        <w:spacing w:before="120" w:after="120"/>
        <w:rPr>
          <w:rFonts w:ascii="Arial" w:hAnsi="Arial" w:cs="Arial"/>
          <w:sz w:val="20"/>
          <w:szCs w:val="20"/>
        </w:rPr>
      </w:pPr>
      <w:r w:rsidRPr="0015186D">
        <w:rPr>
          <w:rFonts w:ascii="Arial" w:hAnsi="Arial" w:cs="Arial"/>
          <w:sz w:val="20"/>
          <w:szCs w:val="20"/>
          <w:lang w:val="en"/>
        </w:rPr>
        <w:t xml:space="preserve">In row 01, the </w:t>
      </w:r>
      <w:proofErr w:type="spellStart"/>
      <w:r w:rsidRPr="0015186D">
        <w:rPr>
          <w:rFonts w:ascii="Arial" w:hAnsi="Arial" w:cs="Arial"/>
          <w:sz w:val="20"/>
          <w:szCs w:val="20"/>
          <w:lang w:val="en"/>
        </w:rPr>
        <w:t>ISIN</w:t>
      </w:r>
      <w:proofErr w:type="spellEnd"/>
      <w:r w:rsidRPr="0015186D">
        <w:rPr>
          <w:rFonts w:ascii="Arial" w:hAnsi="Arial" w:cs="Arial"/>
          <w:sz w:val="20"/>
          <w:szCs w:val="20"/>
          <w:lang w:val="en"/>
        </w:rPr>
        <w:t xml:space="preserve"> code number of the securities other than debt securities registered in the securities account must be reported in aggregate for the reference year.</w:t>
      </w:r>
    </w:p>
    <w:p w14:paraId="309B86A8" w14:textId="1604EE97" w:rsidR="00E55619" w:rsidRPr="0015186D" w:rsidRDefault="00E55619" w:rsidP="001B615C">
      <w:pPr>
        <w:spacing w:before="120" w:after="120"/>
        <w:rPr>
          <w:rFonts w:ascii="Arial" w:hAnsi="Arial" w:cs="Arial"/>
          <w:sz w:val="20"/>
          <w:szCs w:val="20"/>
        </w:rPr>
      </w:pPr>
      <w:r w:rsidRPr="0015186D">
        <w:rPr>
          <w:rFonts w:ascii="Arial" w:hAnsi="Arial" w:cs="Arial"/>
          <w:sz w:val="20"/>
          <w:szCs w:val="20"/>
          <w:lang w:val="en"/>
        </w:rPr>
        <w:t xml:space="preserve">In row 02, the </w:t>
      </w:r>
      <w:proofErr w:type="spellStart"/>
      <w:r w:rsidRPr="0015186D">
        <w:rPr>
          <w:rFonts w:ascii="Arial" w:hAnsi="Arial" w:cs="Arial"/>
          <w:sz w:val="20"/>
          <w:szCs w:val="20"/>
          <w:lang w:val="en"/>
        </w:rPr>
        <w:t>ISIN</w:t>
      </w:r>
      <w:proofErr w:type="spellEnd"/>
      <w:r w:rsidRPr="0015186D">
        <w:rPr>
          <w:rFonts w:ascii="Arial" w:hAnsi="Arial" w:cs="Arial"/>
          <w:sz w:val="20"/>
          <w:szCs w:val="20"/>
          <w:lang w:val="en"/>
        </w:rPr>
        <w:t xml:space="preserve"> code number of securities with no market value for the reference year should be reported in aggregate from the data reported in row 01.</w:t>
      </w:r>
    </w:p>
    <w:p w14:paraId="7567C6FC" w14:textId="77777777" w:rsidR="00B37777" w:rsidRPr="0015186D" w:rsidRDefault="00B37777" w:rsidP="00C169A5">
      <w:pPr>
        <w:spacing w:before="120" w:after="120"/>
        <w:rPr>
          <w:rFonts w:ascii="Arial" w:hAnsi="Arial" w:cs="Arial"/>
          <w:b/>
          <w:sz w:val="20"/>
          <w:szCs w:val="20"/>
        </w:rPr>
      </w:pPr>
      <w:r w:rsidRPr="0015186D">
        <w:rPr>
          <w:rFonts w:ascii="Arial" w:hAnsi="Arial" w:cs="Arial"/>
          <w:b/>
          <w:bCs/>
          <w:sz w:val="20"/>
          <w:szCs w:val="20"/>
          <w:lang w:val="en"/>
        </w:rPr>
        <w:t>Tables 03 and 04: Volume and value of securities transfer orders</w:t>
      </w:r>
    </w:p>
    <w:p w14:paraId="2949A0E4" w14:textId="77777777" w:rsidR="00251EED" w:rsidRPr="0015186D" w:rsidRDefault="00251EED" w:rsidP="00251EED">
      <w:pPr>
        <w:spacing w:before="120" w:after="120"/>
        <w:rPr>
          <w:rFonts w:ascii="Arial" w:hAnsi="Arial" w:cs="Arial"/>
          <w:sz w:val="20"/>
          <w:szCs w:val="20"/>
        </w:rPr>
      </w:pPr>
      <w:r w:rsidRPr="0015186D">
        <w:rPr>
          <w:rFonts w:ascii="Arial" w:hAnsi="Arial" w:cs="Arial"/>
          <w:sz w:val="20"/>
          <w:szCs w:val="20"/>
          <w:lang w:val="en"/>
        </w:rPr>
        <w:t>In columns b–d, those transfer orders within the central securities depository shall be reported that do not concern any other central securities depository, irrespective of whether they are settled through the T2S platform or not.</w:t>
      </w:r>
    </w:p>
    <w:p w14:paraId="08AE21AC" w14:textId="77777777" w:rsidR="00251EED" w:rsidRPr="0015186D" w:rsidRDefault="00251EED" w:rsidP="00251EED">
      <w:pPr>
        <w:spacing w:before="120" w:after="120"/>
        <w:rPr>
          <w:rFonts w:ascii="Arial" w:hAnsi="Arial" w:cs="Arial"/>
          <w:sz w:val="20"/>
          <w:szCs w:val="20"/>
        </w:rPr>
      </w:pPr>
      <w:r w:rsidRPr="0015186D">
        <w:rPr>
          <w:rFonts w:ascii="Arial" w:hAnsi="Arial" w:cs="Arial"/>
          <w:sz w:val="20"/>
          <w:szCs w:val="20"/>
          <w:lang w:val="en"/>
        </w:rPr>
        <w:t>In columns e–g, those transfer orders within the central securities depository shall be reported that concern the securities account of another central securities depository that has a securities account at the data provider.</w:t>
      </w:r>
    </w:p>
    <w:p w14:paraId="1B4E8AF8" w14:textId="6CA1E76A" w:rsidR="00251EED" w:rsidRPr="0015186D" w:rsidRDefault="00251EED" w:rsidP="000F22AD">
      <w:pPr>
        <w:spacing w:after="120"/>
        <w:rPr>
          <w:rFonts w:ascii="Arial" w:hAnsi="Arial" w:cs="Arial"/>
          <w:sz w:val="20"/>
          <w:szCs w:val="20"/>
        </w:rPr>
      </w:pPr>
      <w:r w:rsidRPr="0015186D">
        <w:rPr>
          <w:rFonts w:ascii="Arial" w:hAnsi="Arial" w:cs="Arial"/>
          <w:sz w:val="20"/>
          <w:szCs w:val="20"/>
          <w:lang w:val="en"/>
        </w:rPr>
        <w:t xml:space="preserve">In columns h–j, those transfer orders shall be reported that concern the data supplier’s securities accounts kept outside the securities depository, irrespective of whether these accounts are kept with another central securities depository or other institution. </w:t>
      </w:r>
    </w:p>
    <w:p w14:paraId="2F360A83" w14:textId="1AE37D78" w:rsidR="00A52738" w:rsidRPr="0015186D" w:rsidRDefault="00251EED" w:rsidP="00390E57">
      <w:pPr>
        <w:rPr>
          <w:rFonts w:ascii="Arial" w:hAnsi="Arial" w:cs="Arial"/>
          <w:sz w:val="20"/>
          <w:szCs w:val="20"/>
        </w:rPr>
      </w:pPr>
      <w:r w:rsidRPr="0015186D">
        <w:rPr>
          <w:rFonts w:ascii="Arial" w:hAnsi="Arial" w:cs="Arial"/>
          <w:sz w:val="20"/>
          <w:szCs w:val="20"/>
          <w:lang w:val="en"/>
        </w:rPr>
        <w:t xml:space="preserve">In Tables 03 and 04, all transfer orders for </w:t>
      </w:r>
      <w:r w:rsidR="00843450">
        <w:rPr>
          <w:rFonts w:ascii="Arial" w:hAnsi="Arial" w:cs="Arial"/>
          <w:sz w:val="20"/>
          <w:szCs w:val="20"/>
          <w:lang w:val="en"/>
        </w:rPr>
        <w:t xml:space="preserve">delivery </w:t>
      </w:r>
      <w:r w:rsidRPr="0015186D">
        <w:rPr>
          <w:rFonts w:ascii="Arial" w:hAnsi="Arial" w:cs="Arial"/>
          <w:sz w:val="20"/>
          <w:szCs w:val="20"/>
          <w:lang w:val="en"/>
        </w:rPr>
        <w:t>securities must be reported. In the case of transactions settled through others than the central counterparty, the securities account transfer orders fulfilled by the data supplier shall be</w:t>
      </w:r>
    </w:p>
    <w:p w14:paraId="473E02D4" w14:textId="77777777" w:rsidR="00A52738" w:rsidRPr="0015186D" w:rsidRDefault="00A52738" w:rsidP="009A4BFA">
      <w:pPr>
        <w:numPr>
          <w:ilvl w:val="0"/>
          <w:numId w:val="17"/>
        </w:numPr>
        <w:tabs>
          <w:tab w:val="clear" w:pos="3204"/>
          <w:tab w:val="num" w:pos="456"/>
        </w:tabs>
        <w:ind w:left="454" w:hanging="454"/>
        <w:rPr>
          <w:rFonts w:ascii="Arial" w:hAnsi="Arial" w:cs="Arial"/>
          <w:sz w:val="20"/>
          <w:szCs w:val="20"/>
        </w:rPr>
      </w:pPr>
      <w:r w:rsidRPr="0015186D">
        <w:rPr>
          <w:rFonts w:ascii="Arial" w:hAnsi="Arial" w:cs="Arial"/>
          <w:sz w:val="20"/>
          <w:szCs w:val="20"/>
          <w:lang w:val="en"/>
        </w:rPr>
        <w:t xml:space="preserve">stated in gross value and </w:t>
      </w:r>
    </w:p>
    <w:p w14:paraId="30FF648B" w14:textId="53479237" w:rsidR="00A52738" w:rsidRPr="0015186D" w:rsidRDefault="00843450" w:rsidP="000F22AD">
      <w:pPr>
        <w:numPr>
          <w:ilvl w:val="0"/>
          <w:numId w:val="17"/>
        </w:numPr>
        <w:tabs>
          <w:tab w:val="clear" w:pos="3204"/>
          <w:tab w:val="num" w:pos="456"/>
        </w:tabs>
        <w:spacing w:after="120"/>
        <w:ind w:left="456" w:hanging="456"/>
        <w:rPr>
          <w:rFonts w:ascii="Arial" w:hAnsi="Arial" w:cs="Arial"/>
          <w:sz w:val="20"/>
          <w:szCs w:val="20"/>
        </w:rPr>
      </w:pPr>
      <w:r>
        <w:rPr>
          <w:rFonts w:ascii="Arial" w:hAnsi="Arial" w:cs="Arial"/>
          <w:sz w:val="20"/>
          <w:szCs w:val="20"/>
          <w:lang w:val="en"/>
        </w:rPr>
        <w:t>counted only once</w:t>
      </w:r>
      <w:r w:rsidR="00A52738" w:rsidRPr="0015186D">
        <w:rPr>
          <w:rFonts w:ascii="Arial" w:hAnsi="Arial" w:cs="Arial"/>
          <w:sz w:val="20"/>
          <w:szCs w:val="20"/>
          <w:lang w:val="en"/>
        </w:rPr>
        <w:t xml:space="preserve"> (</w:t>
      </w:r>
      <w:r>
        <w:rPr>
          <w:rFonts w:ascii="Arial" w:hAnsi="Arial" w:cs="Arial"/>
          <w:sz w:val="20"/>
          <w:szCs w:val="20"/>
          <w:lang w:val="en"/>
        </w:rPr>
        <w:t xml:space="preserve">out of related but separately given </w:t>
      </w:r>
      <w:r w:rsidR="00A52738" w:rsidRPr="0015186D">
        <w:rPr>
          <w:rFonts w:ascii="Arial" w:hAnsi="Arial" w:cs="Arial"/>
          <w:sz w:val="20"/>
          <w:szCs w:val="20"/>
          <w:lang w:val="en"/>
        </w:rPr>
        <w:t>transfer order</w:t>
      </w:r>
      <w:r>
        <w:rPr>
          <w:rFonts w:ascii="Arial" w:hAnsi="Arial" w:cs="Arial"/>
          <w:sz w:val="20"/>
          <w:szCs w:val="20"/>
          <w:lang w:val="en"/>
        </w:rPr>
        <w:t>s</w:t>
      </w:r>
      <w:r w:rsidR="00A52738" w:rsidRPr="0015186D">
        <w:rPr>
          <w:rFonts w:ascii="Arial" w:hAnsi="Arial" w:cs="Arial"/>
          <w:sz w:val="20"/>
          <w:szCs w:val="20"/>
          <w:lang w:val="en"/>
        </w:rPr>
        <w:t xml:space="preserve"> for </w:t>
      </w:r>
      <w:r>
        <w:rPr>
          <w:rFonts w:ascii="Arial" w:hAnsi="Arial" w:cs="Arial"/>
          <w:sz w:val="20"/>
          <w:szCs w:val="20"/>
          <w:lang w:val="en"/>
        </w:rPr>
        <w:t xml:space="preserve">the </w:t>
      </w:r>
      <w:r w:rsidR="00A52738" w:rsidRPr="0015186D">
        <w:rPr>
          <w:rFonts w:ascii="Arial" w:hAnsi="Arial" w:cs="Arial"/>
          <w:sz w:val="20"/>
          <w:szCs w:val="20"/>
          <w:lang w:val="en"/>
        </w:rPr>
        <w:t>buy and sell</w:t>
      </w:r>
      <w:r>
        <w:rPr>
          <w:rFonts w:ascii="Arial" w:hAnsi="Arial" w:cs="Arial"/>
          <w:sz w:val="20"/>
          <w:szCs w:val="20"/>
          <w:lang w:val="en"/>
        </w:rPr>
        <w:t xml:space="preserve"> sides only the delivery side must be reported</w:t>
      </w:r>
      <w:r w:rsidR="00A52738" w:rsidRPr="0015186D">
        <w:rPr>
          <w:rFonts w:ascii="Arial" w:hAnsi="Arial" w:cs="Arial"/>
          <w:sz w:val="20"/>
          <w:szCs w:val="20"/>
          <w:lang w:val="en"/>
        </w:rPr>
        <w:t xml:space="preserve">) </w:t>
      </w:r>
    </w:p>
    <w:p w14:paraId="50C1070E" w14:textId="7BC1202B" w:rsidR="00F54553" w:rsidRPr="0015186D" w:rsidRDefault="00A52738" w:rsidP="000F22AD">
      <w:pPr>
        <w:tabs>
          <w:tab w:val="num" w:pos="456"/>
        </w:tabs>
        <w:spacing w:after="120"/>
        <w:rPr>
          <w:rFonts w:ascii="Arial" w:hAnsi="Arial" w:cs="Arial"/>
          <w:sz w:val="20"/>
          <w:szCs w:val="20"/>
        </w:rPr>
      </w:pPr>
      <w:r w:rsidRPr="0015186D">
        <w:rPr>
          <w:rFonts w:ascii="Arial" w:hAnsi="Arial" w:cs="Arial"/>
          <w:sz w:val="20"/>
          <w:szCs w:val="20"/>
          <w:lang w:val="en"/>
        </w:rPr>
        <w:t>in the detail specified by the tables. This is how the transfer orders launched by the central counterparty affecting the central counterparty’s own account shall also be reported.</w:t>
      </w:r>
    </w:p>
    <w:p w14:paraId="183886C5" w14:textId="3AFC09CF" w:rsidR="001827BB" w:rsidRPr="0015186D" w:rsidRDefault="001827BB" w:rsidP="001827BB">
      <w:pPr>
        <w:tabs>
          <w:tab w:val="num" w:pos="0"/>
        </w:tabs>
        <w:rPr>
          <w:rFonts w:ascii="Arial" w:hAnsi="Arial" w:cs="Arial"/>
          <w:sz w:val="20"/>
          <w:szCs w:val="20"/>
        </w:rPr>
      </w:pPr>
      <w:r w:rsidRPr="0015186D">
        <w:rPr>
          <w:rFonts w:ascii="Arial" w:hAnsi="Arial" w:cs="Arial"/>
          <w:sz w:val="20"/>
          <w:szCs w:val="20"/>
          <w:lang w:val="en"/>
        </w:rPr>
        <w:t xml:space="preserve">In Tables 03 and 04, in the case of transactions settled through the central counterparty the performed securities account transfer orders shall be </w:t>
      </w:r>
    </w:p>
    <w:p w14:paraId="4B96EF82" w14:textId="77777777" w:rsidR="001827BB" w:rsidRPr="0015186D" w:rsidRDefault="001827BB" w:rsidP="001827BB">
      <w:pPr>
        <w:numPr>
          <w:ilvl w:val="0"/>
          <w:numId w:val="17"/>
        </w:numPr>
        <w:tabs>
          <w:tab w:val="clear" w:pos="3204"/>
          <w:tab w:val="num" w:pos="456"/>
        </w:tabs>
        <w:ind w:left="456" w:hanging="456"/>
        <w:rPr>
          <w:rFonts w:ascii="Arial" w:hAnsi="Arial" w:cs="Arial"/>
          <w:sz w:val="20"/>
          <w:szCs w:val="20"/>
        </w:rPr>
      </w:pPr>
      <w:r w:rsidRPr="0015186D">
        <w:rPr>
          <w:rFonts w:ascii="Arial" w:hAnsi="Arial" w:cs="Arial"/>
          <w:sz w:val="20"/>
          <w:szCs w:val="20"/>
          <w:lang w:val="en"/>
        </w:rPr>
        <w:t>stated in net value and</w:t>
      </w:r>
    </w:p>
    <w:p w14:paraId="786F340D" w14:textId="77777777" w:rsidR="001827BB" w:rsidRPr="0015186D" w:rsidRDefault="001827BB" w:rsidP="00390E57">
      <w:pPr>
        <w:numPr>
          <w:ilvl w:val="0"/>
          <w:numId w:val="17"/>
        </w:numPr>
        <w:tabs>
          <w:tab w:val="clear" w:pos="3204"/>
          <w:tab w:val="num" w:pos="456"/>
        </w:tabs>
        <w:spacing w:after="120"/>
        <w:ind w:left="454" w:hanging="454"/>
        <w:rPr>
          <w:rFonts w:ascii="Arial" w:hAnsi="Arial" w:cs="Arial"/>
          <w:sz w:val="20"/>
          <w:szCs w:val="20"/>
        </w:rPr>
      </w:pPr>
      <w:r w:rsidRPr="0015186D">
        <w:rPr>
          <w:rFonts w:ascii="Arial" w:hAnsi="Arial" w:cs="Arial"/>
          <w:sz w:val="20"/>
          <w:szCs w:val="20"/>
          <w:lang w:val="en"/>
        </w:rPr>
        <w:t>shown as a single transaction (that is the accounting of both net debit and credit positions shall be taken into account only once)</w:t>
      </w:r>
    </w:p>
    <w:p w14:paraId="5D2CD127" w14:textId="387785BB" w:rsidR="001827BB" w:rsidRPr="0015186D" w:rsidRDefault="001827BB" w:rsidP="000F22AD">
      <w:pPr>
        <w:tabs>
          <w:tab w:val="num" w:pos="0"/>
        </w:tabs>
        <w:spacing w:after="120"/>
        <w:rPr>
          <w:rFonts w:ascii="Arial" w:hAnsi="Arial" w:cs="Arial"/>
          <w:sz w:val="20"/>
          <w:szCs w:val="20"/>
        </w:rPr>
      </w:pPr>
      <w:r w:rsidRPr="0015186D">
        <w:rPr>
          <w:rFonts w:ascii="Arial" w:hAnsi="Arial" w:cs="Arial"/>
          <w:sz w:val="20"/>
          <w:szCs w:val="20"/>
          <w:lang w:val="en"/>
        </w:rPr>
        <w:t xml:space="preserve">in the detail specified by the tables. Transactions settled through a </w:t>
      </w:r>
      <w:proofErr w:type="spellStart"/>
      <w:r w:rsidRPr="0015186D">
        <w:rPr>
          <w:rFonts w:ascii="Arial" w:hAnsi="Arial" w:cs="Arial"/>
          <w:sz w:val="20"/>
          <w:szCs w:val="20"/>
          <w:lang w:val="en"/>
        </w:rPr>
        <w:t>CCP</w:t>
      </w:r>
      <w:proofErr w:type="spellEnd"/>
      <w:r w:rsidRPr="0015186D">
        <w:rPr>
          <w:rFonts w:ascii="Arial" w:hAnsi="Arial" w:cs="Arial"/>
          <w:sz w:val="20"/>
          <w:szCs w:val="20"/>
          <w:lang w:val="en"/>
        </w:rPr>
        <w:t xml:space="preserve"> should be reported as </w:t>
      </w:r>
      <w:proofErr w:type="spellStart"/>
      <w:r w:rsidRPr="0015186D">
        <w:rPr>
          <w:rFonts w:ascii="Arial" w:hAnsi="Arial" w:cs="Arial"/>
          <w:sz w:val="20"/>
          <w:szCs w:val="20"/>
          <w:lang w:val="en"/>
        </w:rPr>
        <w:t>FoP</w:t>
      </w:r>
      <w:proofErr w:type="spellEnd"/>
      <w:r w:rsidRPr="0015186D">
        <w:rPr>
          <w:rFonts w:ascii="Arial" w:hAnsi="Arial" w:cs="Arial"/>
          <w:sz w:val="20"/>
          <w:szCs w:val="20"/>
          <w:lang w:val="en"/>
        </w:rPr>
        <w:t xml:space="preserve"> orders, except those resulting from default and those involving physical delivery.</w:t>
      </w:r>
    </w:p>
    <w:p w14:paraId="1B60BDE1" w14:textId="299A7AC6" w:rsidR="00676C01" w:rsidRPr="0015186D" w:rsidRDefault="00676C01" w:rsidP="000F22AD">
      <w:pPr>
        <w:tabs>
          <w:tab w:val="num" w:pos="0"/>
        </w:tabs>
        <w:spacing w:after="120"/>
        <w:rPr>
          <w:rFonts w:ascii="Arial" w:hAnsi="Arial" w:cs="Arial"/>
          <w:sz w:val="20"/>
          <w:szCs w:val="20"/>
        </w:rPr>
      </w:pPr>
      <w:r w:rsidRPr="0015186D">
        <w:rPr>
          <w:rFonts w:ascii="Arial" w:hAnsi="Arial" w:cs="Arial"/>
          <w:sz w:val="20"/>
          <w:szCs w:val="20"/>
          <w:lang w:val="en"/>
        </w:rPr>
        <w:t xml:space="preserve">Linked </w:t>
      </w:r>
      <w:proofErr w:type="spellStart"/>
      <w:r w:rsidRPr="0015186D">
        <w:rPr>
          <w:rFonts w:ascii="Arial" w:hAnsi="Arial" w:cs="Arial"/>
          <w:sz w:val="20"/>
          <w:szCs w:val="20"/>
          <w:lang w:val="en"/>
        </w:rPr>
        <w:t>FoP</w:t>
      </w:r>
      <w:proofErr w:type="spellEnd"/>
      <w:r w:rsidRPr="0015186D">
        <w:rPr>
          <w:rFonts w:ascii="Arial" w:hAnsi="Arial" w:cs="Arial"/>
          <w:sz w:val="20"/>
          <w:szCs w:val="20"/>
          <w:lang w:val="en"/>
        </w:rPr>
        <w:t xml:space="preserve"> transactions are counted as many times as the number of </w:t>
      </w:r>
      <w:proofErr w:type="spellStart"/>
      <w:r w:rsidRPr="0015186D">
        <w:rPr>
          <w:rFonts w:ascii="Arial" w:hAnsi="Arial" w:cs="Arial"/>
          <w:sz w:val="20"/>
          <w:szCs w:val="20"/>
          <w:lang w:val="en"/>
        </w:rPr>
        <w:t>FoP</w:t>
      </w:r>
      <w:proofErr w:type="spellEnd"/>
      <w:r w:rsidRPr="0015186D">
        <w:rPr>
          <w:rFonts w:ascii="Arial" w:hAnsi="Arial" w:cs="Arial"/>
          <w:sz w:val="20"/>
          <w:szCs w:val="20"/>
          <w:lang w:val="en"/>
        </w:rPr>
        <w:t xml:space="preserve"> transfer orders that complete the booking of the linked </w:t>
      </w:r>
      <w:proofErr w:type="spellStart"/>
      <w:r w:rsidRPr="0015186D">
        <w:rPr>
          <w:rFonts w:ascii="Arial" w:hAnsi="Arial" w:cs="Arial"/>
          <w:sz w:val="20"/>
          <w:szCs w:val="20"/>
          <w:lang w:val="en"/>
        </w:rPr>
        <w:t>FoP</w:t>
      </w:r>
      <w:proofErr w:type="spellEnd"/>
      <w:r w:rsidRPr="0015186D">
        <w:rPr>
          <w:rFonts w:ascii="Arial" w:hAnsi="Arial" w:cs="Arial"/>
          <w:sz w:val="20"/>
          <w:szCs w:val="20"/>
          <w:lang w:val="en"/>
        </w:rPr>
        <w:t xml:space="preserve"> transaction.</w:t>
      </w:r>
    </w:p>
    <w:p w14:paraId="69612C1D" w14:textId="2664BDD8" w:rsidR="00676C01" w:rsidRPr="0015186D" w:rsidRDefault="00676C01" w:rsidP="000F22AD">
      <w:pPr>
        <w:tabs>
          <w:tab w:val="num" w:pos="0"/>
        </w:tabs>
        <w:spacing w:after="120"/>
        <w:rPr>
          <w:rFonts w:ascii="Arial" w:hAnsi="Arial" w:cs="Arial"/>
          <w:sz w:val="20"/>
          <w:szCs w:val="20"/>
        </w:rPr>
      </w:pPr>
      <w:bookmarkStart w:id="2" w:name="_Hlk134000215"/>
      <w:r w:rsidRPr="0015186D">
        <w:rPr>
          <w:rFonts w:ascii="Arial" w:hAnsi="Arial" w:cs="Arial"/>
          <w:sz w:val="20"/>
          <w:szCs w:val="20"/>
          <w:lang w:val="en"/>
        </w:rPr>
        <w:t>In the case of REPO type transactions, the opening and expiring legs and the absorption, if any, shall be reported, while repo extensions do not have to be reported.</w:t>
      </w:r>
    </w:p>
    <w:bookmarkEnd w:id="2"/>
    <w:p w14:paraId="4FE64A66" w14:textId="77777777" w:rsidR="00676C01" w:rsidRPr="0015186D" w:rsidRDefault="00F54553" w:rsidP="000F22AD">
      <w:pPr>
        <w:spacing w:after="120"/>
        <w:rPr>
          <w:rFonts w:ascii="Arial" w:hAnsi="Arial" w:cs="Arial"/>
          <w:sz w:val="20"/>
          <w:szCs w:val="20"/>
        </w:rPr>
      </w:pPr>
      <w:r w:rsidRPr="0015186D">
        <w:rPr>
          <w:rFonts w:ascii="Arial" w:hAnsi="Arial" w:cs="Arial"/>
          <w:sz w:val="20"/>
          <w:szCs w:val="20"/>
          <w:lang w:val="en"/>
        </w:rPr>
        <w:t>Where a transfer order pertains to several different types of securities, the data supply shall indicate the number and value of the transfer order based on the number of the specific security type.</w:t>
      </w:r>
    </w:p>
    <w:p w14:paraId="50C0FA2E" w14:textId="5FA50743" w:rsidR="00A52738" w:rsidRPr="0015186D" w:rsidRDefault="00A52738">
      <w:pPr>
        <w:rPr>
          <w:rFonts w:ascii="Arial" w:hAnsi="Arial" w:cs="Arial"/>
          <w:sz w:val="20"/>
          <w:szCs w:val="20"/>
        </w:rPr>
      </w:pPr>
      <w:r w:rsidRPr="0015186D">
        <w:rPr>
          <w:rFonts w:ascii="Arial" w:hAnsi="Arial" w:cs="Arial"/>
          <w:sz w:val="20"/>
          <w:szCs w:val="20"/>
          <w:lang w:val="en"/>
        </w:rPr>
        <w:t>Tables 03 and 04 shall also contain information concerning the following transactions as securities transfer orders:</w:t>
      </w:r>
    </w:p>
    <w:p w14:paraId="164A895C" w14:textId="77777777" w:rsidR="00A52738" w:rsidRPr="0015186D" w:rsidRDefault="00A52738" w:rsidP="00C227C4">
      <w:pPr>
        <w:numPr>
          <w:ilvl w:val="0"/>
          <w:numId w:val="18"/>
        </w:numPr>
        <w:tabs>
          <w:tab w:val="clear" w:pos="1213"/>
          <w:tab w:val="num" w:pos="456"/>
        </w:tabs>
        <w:ind w:left="456" w:hanging="456"/>
        <w:rPr>
          <w:rFonts w:ascii="Arial" w:hAnsi="Arial" w:cs="Arial"/>
          <w:sz w:val="20"/>
          <w:szCs w:val="20"/>
        </w:rPr>
      </w:pPr>
      <w:r w:rsidRPr="0015186D">
        <w:rPr>
          <w:rFonts w:ascii="Arial" w:hAnsi="Arial" w:cs="Arial"/>
          <w:sz w:val="20"/>
          <w:szCs w:val="20"/>
          <w:lang w:val="en"/>
        </w:rPr>
        <w:t xml:space="preserve">transfers of securities between the securities account holder’s own accounts at the data provider and his omnibus securities account, </w:t>
      </w:r>
    </w:p>
    <w:p w14:paraId="44844F4F" w14:textId="77777777" w:rsidR="00A52738" w:rsidRPr="0015186D" w:rsidRDefault="00676C01" w:rsidP="00390E57">
      <w:pPr>
        <w:numPr>
          <w:ilvl w:val="0"/>
          <w:numId w:val="18"/>
        </w:numPr>
        <w:tabs>
          <w:tab w:val="clear" w:pos="1213"/>
          <w:tab w:val="num" w:pos="456"/>
        </w:tabs>
        <w:ind w:left="456" w:hanging="456"/>
        <w:rPr>
          <w:rFonts w:ascii="Arial" w:hAnsi="Arial" w:cs="Arial"/>
          <w:sz w:val="20"/>
          <w:szCs w:val="20"/>
        </w:rPr>
      </w:pPr>
      <w:r w:rsidRPr="0015186D">
        <w:rPr>
          <w:rFonts w:ascii="Arial" w:hAnsi="Arial" w:cs="Arial"/>
          <w:sz w:val="20"/>
          <w:szCs w:val="20"/>
          <w:lang w:val="en"/>
        </w:rPr>
        <w:t>orders for unilateral, joint and beneficiary’s tying up of securities and for freeing up such securities,</w:t>
      </w:r>
    </w:p>
    <w:p w14:paraId="22E36F14" w14:textId="77777777" w:rsidR="00A52738" w:rsidRPr="0015186D" w:rsidRDefault="00A52738" w:rsidP="00390E57">
      <w:pPr>
        <w:numPr>
          <w:ilvl w:val="0"/>
          <w:numId w:val="18"/>
        </w:numPr>
        <w:tabs>
          <w:tab w:val="clear" w:pos="1213"/>
          <w:tab w:val="num" w:pos="456"/>
        </w:tabs>
        <w:ind w:left="456" w:hanging="456"/>
        <w:rPr>
          <w:rFonts w:ascii="Arial" w:hAnsi="Arial" w:cs="Arial"/>
          <w:sz w:val="20"/>
          <w:szCs w:val="20"/>
        </w:rPr>
      </w:pPr>
      <w:r w:rsidRPr="0015186D">
        <w:rPr>
          <w:rFonts w:ascii="Arial" w:hAnsi="Arial" w:cs="Arial"/>
          <w:sz w:val="20"/>
          <w:szCs w:val="20"/>
          <w:lang w:val="en"/>
        </w:rPr>
        <w:t>securities movements due to automatic securities lending operation or to automatic collateral transfers.</w:t>
      </w:r>
    </w:p>
    <w:p w14:paraId="0A2922E4" w14:textId="77777777" w:rsidR="00A52738" w:rsidRPr="0015186D" w:rsidRDefault="00A52738" w:rsidP="00EF0022">
      <w:pPr>
        <w:ind w:left="456"/>
        <w:rPr>
          <w:rFonts w:ascii="Arial" w:hAnsi="Arial" w:cs="Arial"/>
          <w:sz w:val="20"/>
          <w:szCs w:val="20"/>
        </w:rPr>
      </w:pPr>
    </w:p>
    <w:p w14:paraId="672C4963" w14:textId="6935BADC" w:rsidR="00A52738" w:rsidRPr="0015186D" w:rsidRDefault="00A52738">
      <w:pPr>
        <w:rPr>
          <w:rFonts w:ascii="Arial" w:hAnsi="Arial" w:cs="Arial"/>
          <w:sz w:val="20"/>
          <w:szCs w:val="20"/>
        </w:rPr>
      </w:pPr>
      <w:r w:rsidRPr="0015186D">
        <w:rPr>
          <w:rFonts w:ascii="Arial" w:hAnsi="Arial" w:cs="Arial"/>
          <w:sz w:val="20"/>
          <w:szCs w:val="20"/>
          <w:lang w:val="en"/>
        </w:rPr>
        <w:t>The following transactions shall not be reported as securities transfer orders in Tables 03 and 04:</w:t>
      </w:r>
    </w:p>
    <w:p w14:paraId="29083C86" w14:textId="006597A1" w:rsidR="00A52738" w:rsidRPr="0015186D" w:rsidRDefault="00A52738" w:rsidP="00C227C4">
      <w:pPr>
        <w:numPr>
          <w:ilvl w:val="0"/>
          <w:numId w:val="19"/>
        </w:numPr>
        <w:tabs>
          <w:tab w:val="clear" w:pos="1213"/>
          <w:tab w:val="num" w:pos="456"/>
        </w:tabs>
        <w:ind w:left="456" w:hanging="456"/>
        <w:rPr>
          <w:rFonts w:ascii="Arial" w:hAnsi="Arial" w:cs="Arial"/>
          <w:sz w:val="20"/>
          <w:szCs w:val="20"/>
        </w:rPr>
      </w:pPr>
      <w:r w:rsidRPr="0015186D">
        <w:rPr>
          <w:rFonts w:ascii="Arial" w:hAnsi="Arial" w:cs="Arial"/>
          <w:sz w:val="20"/>
          <w:szCs w:val="20"/>
          <w:lang w:val="en"/>
        </w:rPr>
        <w:lastRenderedPageBreak/>
        <w:t>securities movements due to the issue of securities, additional issues, cancellations (</w:t>
      </w:r>
      <w:proofErr w:type="spellStart"/>
      <w:r w:rsidRPr="0015186D">
        <w:rPr>
          <w:rFonts w:ascii="Arial" w:hAnsi="Arial" w:cs="Arial"/>
          <w:sz w:val="20"/>
          <w:szCs w:val="20"/>
          <w:lang w:val="en"/>
        </w:rPr>
        <w:t>dematerialised</w:t>
      </w:r>
      <w:proofErr w:type="spellEnd"/>
      <w:r w:rsidRPr="0015186D">
        <w:rPr>
          <w:rFonts w:ascii="Arial" w:hAnsi="Arial" w:cs="Arial"/>
          <w:sz w:val="20"/>
          <w:szCs w:val="20"/>
          <w:lang w:val="en"/>
        </w:rPr>
        <w:t xml:space="preserve"> events) and corporate actions reported in Tables 07 and 08, </w:t>
      </w:r>
    </w:p>
    <w:p w14:paraId="3C06A730" w14:textId="77777777" w:rsidR="00A52738" w:rsidRPr="0015186D" w:rsidRDefault="00A52738" w:rsidP="00C227C4">
      <w:pPr>
        <w:numPr>
          <w:ilvl w:val="0"/>
          <w:numId w:val="19"/>
        </w:numPr>
        <w:tabs>
          <w:tab w:val="clear" w:pos="1213"/>
          <w:tab w:val="num" w:pos="456"/>
        </w:tabs>
        <w:ind w:left="456" w:hanging="456"/>
        <w:rPr>
          <w:rFonts w:ascii="Arial" w:hAnsi="Arial" w:cs="Arial"/>
          <w:sz w:val="20"/>
          <w:szCs w:val="20"/>
        </w:rPr>
      </w:pPr>
      <w:r w:rsidRPr="0015186D">
        <w:rPr>
          <w:rFonts w:ascii="Arial" w:hAnsi="Arial" w:cs="Arial"/>
          <w:sz w:val="20"/>
          <w:szCs w:val="20"/>
          <w:lang w:val="en"/>
        </w:rPr>
        <w:t>movements in securities accounts in connection with releasing printed securities from the data supplier’s depository or receiving printed securities for custody,</w:t>
      </w:r>
    </w:p>
    <w:p w14:paraId="6648B35A" w14:textId="54BA7179" w:rsidR="00A52738" w:rsidRPr="0015186D" w:rsidRDefault="00A52738" w:rsidP="009B36A1">
      <w:pPr>
        <w:numPr>
          <w:ilvl w:val="0"/>
          <w:numId w:val="19"/>
        </w:numPr>
        <w:tabs>
          <w:tab w:val="clear" w:pos="1213"/>
          <w:tab w:val="num" w:pos="456"/>
        </w:tabs>
        <w:ind w:left="456" w:hanging="456"/>
        <w:rPr>
          <w:rFonts w:ascii="Arial" w:hAnsi="Arial" w:cs="Arial"/>
          <w:sz w:val="20"/>
          <w:szCs w:val="20"/>
        </w:rPr>
      </w:pPr>
      <w:r w:rsidRPr="0015186D">
        <w:rPr>
          <w:rFonts w:ascii="Arial" w:hAnsi="Arial" w:cs="Arial"/>
          <w:sz w:val="20"/>
          <w:szCs w:val="20"/>
          <w:lang w:val="en"/>
        </w:rPr>
        <w:t>securities movements solely of technical nature to the extent required to execute the transaction inside the data provider’s account system (between technical accounts).</w:t>
      </w:r>
    </w:p>
    <w:p w14:paraId="0E157883" w14:textId="77777777" w:rsidR="00A52738" w:rsidRPr="0015186D" w:rsidRDefault="00A52738" w:rsidP="00C169A5">
      <w:pPr>
        <w:spacing w:before="120" w:after="120"/>
        <w:rPr>
          <w:rFonts w:ascii="Arial" w:hAnsi="Arial" w:cs="Arial"/>
          <w:b/>
          <w:sz w:val="20"/>
          <w:szCs w:val="20"/>
        </w:rPr>
      </w:pPr>
      <w:r w:rsidRPr="0015186D">
        <w:rPr>
          <w:rFonts w:ascii="Arial" w:hAnsi="Arial" w:cs="Arial"/>
          <w:b/>
          <w:bCs/>
          <w:sz w:val="20"/>
          <w:szCs w:val="20"/>
          <w:lang w:val="en"/>
        </w:rPr>
        <w:t>Tables 05 and 06: Volume and value of securities transfer orders to and from the securities account of a central counterparty (CCP)</w:t>
      </w:r>
    </w:p>
    <w:p w14:paraId="68BCF3E2" w14:textId="4FE07F31" w:rsidR="00A52738" w:rsidRPr="0015186D" w:rsidRDefault="00A52738">
      <w:pPr>
        <w:rPr>
          <w:rFonts w:ascii="Arial" w:hAnsi="Arial" w:cs="Arial"/>
          <w:sz w:val="20"/>
          <w:szCs w:val="20"/>
        </w:rPr>
      </w:pPr>
      <w:r w:rsidRPr="0015186D">
        <w:rPr>
          <w:rFonts w:ascii="Arial" w:hAnsi="Arial" w:cs="Arial"/>
          <w:sz w:val="20"/>
          <w:szCs w:val="20"/>
          <w:lang w:val="en"/>
        </w:rPr>
        <w:t>In Tables 05 and 06, only the securities transactions settled through the central counterparty shall be reported taking into consideration the aspects related to the central counterparty described in connection with Tables 03 and 04.</w:t>
      </w:r>
    </w:p>
    <w:p w14:paraId="33E50B14" w14:textId="77777777" w:rsidR="00A52738" w:rsidRPr="0015186D" w:rsidRDefault="00A52738" w:rsidP="00DD768A">
      <w:pPr>
        <w:keepNext/>
        <w:spacing w:before="120" w:after="120"/>
        <w:rPr>
          <w:rFonts w:ascii="Arial" w:hAnsi="Arial" w:cs="Arial"/>
          <w:b/>
          <w:sz w:val="20"/>
          <w:szCs w:val="20"/>
        </w:rPr>
      </w:pPr>
      <w:r w:rsidRPr="0015186D">
        <w:rPr>
          <w:rFonts w:ascii="Arial" w:hAnsi="Arial" w:cs="Arial"/>
          <w:b/>
          <w:bCs/>
          <w:sz w:val="20"/>
          <w:szCs w:val="20"/>
          <w:lang w:val="en"/>
        </w:rPr>
        <w:t>Tables 07 and 08: Volume and value of new issues of securities and retired securities</w:t>
      </w:r>
    </w:p>
    <w:p w14:paraId="74E6E045" w14:textId="77777777" w:rsidR="00A52738" w:rsidRPr="0015186D" w:rsidRDefault="00A52738" w:rsidP="00DD768A">
      <w:pPr>
        <w:spacing w:after="120"/>
        <w:rPr>
          <w:rFonts w:ascii="Arial" w:hAnsi="Arial" w:cs="Arial"/>
          <w:sz w:val="20"/>
          <w:szCs w:val="20"/>
        </w:rPr>
      </w:pPr>
      <w:r w:rsidRPr="0015186D">
        <w:rPr>
          <w:rFonts w:ascii="Arial" w:hAnsi="Arial" w:cs="Arial"/>
          <w:sz w:val="20"/>
          <w:szCs w:val="20"/>
          <w:lang w:val="en"/>
        </w:rPr>
        <w:t xml:space="preserve">New issue shall comprise issues and additional issues under existing </w:t>
      </w:r>
      <w:proofErr w:type="spellStart"/>
      <w:r w:rsidRPr="0015186D">
        <w:rPr>
          <w:rFonts w:ascii="Arial" w:hAnsi="Arial" w:cs="Arial"/>
          <w:sz w:val="20"/>
          <w:szCs w:val="20"/>
          <w:lang w:val="en"/>
        </w:rPr>
        <w:t>ISIN</w:t>
      </w:r>
      <w:proofErr w:type="spellEnd"/>
      <w:r w:rsidRPr="0015186D">
        <w:rPr>
          <w:rFonts w:ascii="Arial" w:hAnsi="Arial" w:cs="Arial"/>
          <w:sz w:val="20"/>
          <w:szCs w:val="20"/>
          <w:lang w:val="en"/>
        </w:rPr>
        <w:t xml:space="preserve"> codes during the reference period, including the investment units of open-ended investment funds. </w:t>
      </w:r>
    </w:p>
    <w:p w14:paraId="5836A762" w14:textId="0FA0226D" w:rsidR="00A52738" w:rsidRPr="00DD768A" w:rsidRDefault="00A52738" w:rsidP="00DD768A">
      <w:pPr>
        <w:spacing w:after="120"/>
        <w:rPr>
          <w:rFonts w:ascii="Arial" w:hAnsi="Arial" w:cs="Arial"/>
          <w:sz w:val="20"/>
          <w:szCs w:val="20"/>
        </w:rPr>
      </w:pPr>
      <w:r w:rsidRPr="0015186D">
        <w:rPr>
          <w:rFonts w:ascii="Arial" w:hAnsi="Arial" w:cs="Arial"/>
          <w:sz w:val="20"/>
          <w:szCs w:val="20"/>
          <w:lang w:val="en"/>
        </w:rPr>
        <w:t xml:space="preserve">Retired securities shall include the complete and partial cancellation of securities under exiting </w:t>
      </w:r>
      <w:proofErr w:type="spellStart"/>
      <w:r w:rsidRPr="0015186D">
        <w:rPr>
          <w:rFonts w:ascii="Arial" w:hAnsi="Arial" w:cs="Arial"/>
          <w:sz w:val="20"/>
          <w:szCs w:val="20"/>
          <w:lang w:val="en"/>
        </w:rPr>
        <w:t>ISIN</w:t>
      </w:r>
      <w:proofErr w:type="spellEnd"/>
      <w:r w:rsidRPr="0015186D">
        <w:rPr>
          <w:rFonts w:ascii="Arial" w:hAnsi="Arial" w:cs="Arial"/>
          <w:sz w:val="20"/>
          <w:szCs w:val="20"/>
          <w:lang w:val="en"/>
        </w:rPr>
        <w:t xml:space="preserve"> codes during the reference period, including the cancelled investment units of open-ended investment funds.</w:t>
      </w:r>
    </w:p>
    <w:sectPr w:rsidR="00A52738" w:rsidRPr="00DD768A" w:rsidSect="00226163">
      <w:headerReference w:type="even" r:id="rId8"/>
      <w:headerReference w:type="default" r:id="rId9"/>
      <w:footerReference w:type="default" r:id="rId10"/>
      <w:pgSz w:w="11906" w:h="16838"/>
      <w:pgMar w:top="1134"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E96F8" w14:textId="77777777" w:rsidR="00CD11E2" w:rsidRDefault="00CD11E2">
      <w:r>
        <w:separator/>
      </w:r>
    </w:p>
    <w:p w14:paraId="06C28AC7" w14:textId="77777777" w:rsidR="00CD11E2" w:rsidRDefault="00CD11E2"/>
  </w:endnote>
  <w:endnote w:type="continuationSeparator" w:id="0">
    <w:p w14:paraId="2F42B37F" w14:textId="77777777" w:rsidR="00CD11E2" w:rsidRDefault="00CD11E2">
      <w:r>
        <w:continuationSeparator/>
      </w:r>
    </w:p>
    <w:p w14:paraId="2CECDF16" w14:textId="77777777" w:rsidR="00CD11E2" w:rsidRDefault="00CD11E2"/>
  </w:endnote>
  <w:endnote w:type="continuationNotice" w:id="1">
    <w:p w14:paraId="5C0F7198" w14:textId="77777777" w:rsidR="00CD11E2" w:rsidRDefault="00CD11E2"/>
    <w:p w14:paraId="5785BDB7" w14:textId="77777777" w:rsidR="00CD11E2" w:rsidRDefault="00CD11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BB925" w14:textId="77777777" w:rsidR="009E747F" w:rsidRDefault="009E747F">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412D2" w14:textId="77777777" w:rsidR="00CD11E2" w:rsidRDefault="00CD11E2">
      <w:r>
        <w:separator/>
      </w:r>
    </w:p>
    <w:p w14:paraId="00A2DC82" w14:textId="77777777" w:rsidR="00CD11E2" w:rsidRDefault="00CD11E2"/>
  </w:footnote>
  <w:footnote w:type="continuationSeparator" w:id="0">
    <w:p w14:paraId="1B36D13E" w14:textId="77777777" w:rsidR="00CD11E2" w:rsidRDefault="00CD11E2">
      <w:r>
        <w:continuationSeparator/>
      </w:r>
    </w:p>
    <w:p w14:paraId="2105ECC3" w14:textId="77777777" w:rsidR="00CD11E2" w:rsidRDefault="00CD11E2"/>
  </w:footnote>
  <w:footnote w:type="continuationNotice" w:id="1">
    <w:p w14:paraId="12FD5003" w14:textId="77777777" w:rsidR="00CD11E2" w:rsidRDefault="00CD11E2"/>
    <w:p w14:paraId="1AF332F9" w14:textId="77777777" w:rsidR="00CD11E2" w:rsidRDefault="00CD11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D9D45" w14:textId="77777777" w:rsidR="00E920FE" w:rsidRDefault="00E920FE">
    <w:pPr>
      <w:pStyle w:val="lfej"/>
      <w:framePr w:wrap="around" w:vAnchor="text" w:hAnchor="margin" w:xAlign="center" w:y="1"/>
      <w:rPr>
        <w:rStyle w:val="Oldalszm"/>
      </w:rPr>
    </w:pPr>
    <w:r>
      <w:rPr>
        <w:rStyle w:val="Oldalszm"/>
        <w:lang w:val="en"/>
      </w:rPr>
      <w:fldChar w:fldCharType="begin"/>
    </w:r>
    <w:r>
      <w:rPr>
        <w:rStyle w:val="Oldalszm"/>
        <w:lang w:val="en"/>
      </w:rPr>
      <w:instrText xml:space="preserve">PAGE  </w:instrText>
    </w:r>
    <w:r>
      <w:rPr>
        <w:rStyle w:val="Oldalszm"/>
        <w:lang w:val="en"/>
      </w:rPr>
      <w:fldChar w:fldCharType="separate"/>
    </w:r>
    <w:r>
      <w:rPr>
        <w:rStyle w:val="Oldalszm"/>
        <w:noProof/>
        <w:lang w:val="en"/>
      </w:rPr>
      <w:t>1</w:t>
    </w:r>
    <w:r>
      <w:rPr>
        <w:rStyle w:val="Oldalszm"/>
        <w:lang w:val="en"/>
      </w:rPr>
      <w:fldChar w:fldCharType="end"/>
    </w:r>
  </w:p>
  <w:p w14:paraId="518721DA" w14:textId="77777777" w:rsidR="00E920FE" w:rsidRDefault="00E920FE">
    <w:pPr>
      <w:pStyle w:val="lfej"/>
    </w:pPr>
  </w:p>
  <w:p w14:paraId="2D85C671" w14:textId="77777777" w:rsidR="00CB227D" w:rsidRDefault="00CB227D" w:rsidP="00390E5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67EF8" w14:textId="77777777" w:rsidR="009E747F" w:rsidRDefault="009E747F">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91B1D"/>
    <w:multiLevelType w:val="hybridMultilevel"/>
    <w:tmpl w:val="A4DE52A2"/>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 w15:restartNumberingAfterBreak="0">
    <w:nsid w:val="058C7B7D"/>
    <w:multiLevelType w:val="hybridMultilevel"/>
    <w:tmpl w:val="B454ACC0"/>
    <w:lvl w:ilvl="0" w:tplc="8362E596">
      <w:numFmt w:val="bullet"/>
      <w:lvlText w:val="-"/>
      <w:lvlJc w:val="left"/>
      <w:pPr>
        <w:tabs>
          <w:tab w:val="num" w:pos="340"/>
        </w:tabs>
        <w:ind w:left="340" w:hanging="340"/>
      </w:pPr>
      <w:rPr>
        <w:rFonts w:ascii="Arial Unicode MS" w:hAnsi="Arial Unicode M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D43A0A"/>
    <w:multiLevelType w:val="hybridMultilevel"/>
    <w:tmpl w:val="F134FD68"/>
    <w:lvl w:ilvl="0" w:tplc="BCDA7DFC">
      <w:start w:val="1"/>
      <w:numFmt w:val="bullet"/>
      <w:lvlText w:val="–"/>
      <w:lvlJc w:val="left"/>
      <w:pPr>
        <w:ind w:left="2520" w:hanging="360"/>
      </w:pPr>
      <w:rPr>
        <w:rFonts w:ascii="Times New Roman" w:eastAsia="Times New Roman" w:hAnsi="Times New Roman" w:cs="Times New Roman" w:hint="default"/>
      </w:rPr>
    </w:lvl>
    <w:lvl w:ilvl="1" w:tplc="078A7338">
      <w:start w:val="1"/>
      <w:numFmt w:val="decimal"/>
      <w:lvlText w:val="%2."/>
      <w:lvlJc w:val="left"/>
      <w:pPr>
        <w:tabs>
          <w:tab w:val="num" w:pos="2520"/>
        </w:tabs>
        <w:ind w:left="2520" w:hanging="360"/>
      </w:pPr>
      <w:rPr>
        <w:rFonts w:hint="default"/>
      </w:rPr>
    </w:lvl>
    <w:lvl w:ilvl="2" w:tplc="040E001B" w:tentative="1">
      <w:start w:val="1"/>
      <w:numFmt w:val="lowerRoman"/>
      <w:lvlText w:val="%3."/>
      <w:lvlJc w:val="right"/>
      <w:pPr>
        <w:tabs>
          <w:tab w:val="num" w:pos="3240"/>
        </w:tabs>
        <w:ind w:left="3240" w:hanging="180"/>
      </w:pPr>
    </w:lvl>
    <w:lvl w:ilvl="3" w:tplc="040E000F" w:tentative="1">
      <w:start w:val="1"/>
      <w:numFmt w:val="decimal"/>
      <w:lvlText w:val="%4."/>
      <w:lvlJc w:val="left"/>
      <w:pPr>
        <w:tabs>
          <w:tab w:val="num" w:pos="3960"/>
        </w:tabs>
        <w:ind w:left="3960" w:hanging="360"/>
      </w:pPr>
    </w:lvl>
    <w:lvl w:ilvl="4" w:tplc="040E0019" w:tentative="1">
      <w:start w:val="1"/>
      <w:numFmt w:val="lowerLetter"/>
      <w:lvlText w:val="%5."/>
      <w:lvlJc w:val="left"/>
      <w:pPr>
        <w:tabs>
          <w:tab w:val="num" w:pos="4680"/>
        </w:tabs>
        <w:ind w:left="4680" w:hanging="360"/>
      </w:pPr>
    </w:lvl>
    <w:lvl w:ilvl="5" w:tplc="040E001B" w:tentative="1">
      <w:start w:val="1"/>
      <w:numFmt w:val="lowerRoman"/>
      <w:lvlText w:val="%6."/>
      <w:lvlJc w:val="right"/>
      <w:pPr>
        <w:tabs>
          <w:tab w:val="num" w:pos="5400"/>
        </w:tabs>
        <w:ind w:left="5400" w:hanging="180"/>
      </w:pPr>
    </w:lvl>
    <w:lvl w:ilvl="6" w:tplc="040E000F" w:tentative="1">
      <w:start w:val="1"/>
      <w:numFmt w:val="decimal"/>
      <w:lvlText w:val="%7."/>
      <w:lvlJc w:val="left"/>
      <w:pPr>
        <w:tabs>
          <w:tab w:val="num" w:pos="6120"/>
        </w:tabs>
        <w:ind w:left="6120" w:hanging="360"/>
      </w:pPr>
    </w:lvl>
    <w:lvl w:ilvl="7" w:tplc="040E0019" w:tentative="1">
      <w:start w:val="1"/>
      <w:numFmt w:val="lowerLetter"/>
      <w:lvlText w:val="%8."/>
      <w:lvlJc w:val="left"/>
      <w:pPr>
        <w:tabs>
          <w:tab w:val="num" w:pos="6840"/>
        </w:tabs>
        <w:ind w:left="6840" w:hanging="360"/>
      </w:pPr>
    </w:lvl>
    <w:lvl w:ilvl="8" w:tplc="040E001B" w:tentative="1">
      <w:start w:val="1"/>
      <w:numFmt w:val="lowerRoman"/>
      <w:lvlText w:val="%9."/>
      <w:lvlJc w:val="right"/>
      <w:pPr>
        <w:tabs>
          <w:tab w:val="num" w:pos="7560"/>
        </w:tabs>
        <w:ind w:left="7560" w:hanging="180"/>
      </w:pPr>
    </w:lvl>
  </w:abstractNum>
  <w:abstractNum w:abstractNumId="3" w15:restartNumberingAfterBreak="0">
    <w:nsid w:val="095B0EB3"/>
    <w:multiLevelType w:val="hybridMultilevel"/>
    <w:tmpl w:val="105A9826"/>
    <w:lvl w:ilvl="0" w:tplc="96B2B53C">
      <w:start w:val="1"/>
      <w:numFmt w:val="decimal"/>
      <w:lvlText w:val="%1."/>
      <w:lvlJc w:val="left"/>
      <w:pPr>
        <w:tabs>
          <w:tab w:val="num" w:pos="1077"/>
        </w:tabs>
        <w:ind w:left="1077" w:hanging="357"/>
      </w:pPr>
      <w:rPr>
        <w:rFonts w:hint="default"/>
        <w:b w:val="0"/>
        <w:i w:val="0"/>
        <w:sz w:val="24"/>
        <w:szCs w:val="24"/>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1C2864A4"/>
    <w:multiLevelType w:val="hybridMultilevel"/>
    <w:tmpl w:val="8160D0A6"/>
    <w:lvl w:ilvl="0" w:tplc="8362E596">
      <w:numFmt w:val="bullet"/>
      <w:lvlText w:val="-"/>
      <w:lvlJc w:val="left"/>
      <w:pPr>
        <w:tabs>
          <w:tab w:val="num" w:pos="340"/>
        </w:tabs>
        <w:ind w:left="340" w:hanging="340"/>
      </w:pPr>
      <w:rPr>
        <w:rFonts w:ascii="Arial Unicode MS" w:hAnsi="Arial Unicode M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1C4330"/>
    <w:multiLevelType w:val="hybridMultilevel"/>
    <w:tmpl w:val="FE0CCF0E"/>
    <w:lvl w:ilvl="0" w:tplc="8362E596">
      <w:numFmt w:val="bullet"/>
      <w:lvlText w:val="-"/>
      <w:lvlJc w:val="left"/>
      <w:pPr>
        <w:tabs>
          <w:tab w:val="num" w:pos="340"/>
        </w:tabs>
        <w:ind w:left="340" w:hanging="340"/>
      </w:pPr>
      <w:rPr>
        <w:rFonts w:ascii="Arial Unicode MS" w:hAnsi="Arial Unicode M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74A6F0B"/>
    <w:multiLevelType w:val="hybridMultilevel"/>
    <w:tmpl w:val="970E8EFA"/>
    <w:lvl w:ilvl="0" w:tplc="96B2B53C">
      <w:start w:val="1"/>
      <w:numFmt w:val="decimal"/>
      <w:lvlText w:val="%1."/>
      <w:lvlJc w:val="left"/>
      <w:pPr>
        <w:tabs>
          <w:tab w:val="num" w:pos="1077"/>
        </w:tabs>
        <w:ind w:left="1077" w:hanging="357"/>
      </w:pPr>
      <w:rPr>
        <w:rFonts w:hint="default"/>
        <w:b w:val="0"/>
        <w:i w:val="0"/>
        <w:sz w:val="24"/>
        <w:szCs w:val="24"/>
      </w:rPr>
    </w:lvl>
    <w:lvl w:ilvl="1" w:tplc="040E0019">
      <w:start w:val="1"/>
      <w:numFmt w:val="lowerLetter"/>
      <w:lvlText w:val="%2."/>
      <w:lvlJc w:val="left"/>
      <w:pPr>
        <w:tabs>
          <w:tab w:val="num" w:pos="1440"/>
        </w:tabs>
        <w:ind w:left="1440" w:hanging="360"/>
      </w:pPr>
      <w:rPr>
        <w:rFonts w:hint="default"/>
        <w:b w:val="0"/>
        <w:i w:val="0"/>
        <w:sz w:val="24"/>
        <w:szCs w:val="24"/>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15:restartNumberingAfterBreak="0">
    <w:nsid w:val="2DD86E9D"/>
    <w:multiLevelType w:val="hybridMultilevel"/>
    <w:tmpl w:val="AC8276C8"/>
    <w:lvl w:ilvl="0" w:tplc="8362E596">
      <w:numFmt w:val="bullet"/>
      <w:lvlText w:val="-"/>
      <w:lvlJc w:val="left"/>
      <w:pPr>
        <w:tabs>
          <w:tab w:val="num" w:pos="340"/>
        </w:tabs>
        <w:ind w:left="340" w:hanging="340"/>
      </w:pPr>
      <w:rPr>
        <w:rFonts w:ascii="Arial Unicode MS" w:hAnsi="Arial Unicode M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6285051"/>
    <w:multiLevelType w:val="multilevel"/>
    <w:tmpl w:val="557A9998"/>
    <w:lvl w:ilvl="0">
      <w:start w:val="1"/>
      <w:numFmt w:val="bullet"/>
      <w:lvlText w:val=""/>
      <w:lvlJc w:val="left"/>
      <w:pPr>
        <w:tabs>
          <w:tab w:val="num" w:pos="3430"/>
        </w:tabs>
        <w:ind w:left="3430" w:hanging="623"/>
      </w:pPr>
      <w:rPr>
        <w:rFonts w:ascii="Wingdings" w:hAnsi="Wingdings" w:hint="default"/>
      </w:rPr>
    </w:lvl>
    <w:lvl w:ilvl="1">
      <w:start w:val="1"/>
      <w:numFmt w:val="bullet"/>
      <w:lvlText w:val="o"/>
      <w:lvlJc w:val="left"/>
      <w:pPr>
        <w:tabs>
          <w:tab w:val="num" w:pos="1896"/>
        </w:tabs>
        <w:ind w:left="1896" w:hanging="360"/>
      </w:pPr>
      <w:rPr>
        <w:rFonts w:ascii="Courier New" w:hAnsi="Courier New" w:cs="Courier New" w:hint="default"/>
      </w:rPr>
    </w:lvl>
    <w:lvl w:ilvl="2">
      <w:start w:val="1"/>
      <w:numFmt w:val="bullet"/>
      <w:lvlText w:val=""/>
      <w:lvlJc w:val="left"/>
      <w:pPr>
        <w:tabs>
          <w:tab w:val="num" w:pos="2616"/>
        </w:tabs>
        <w:ind w:left="2616" w:hanging="360"/>
      </w:pPr>
      <w:rPr>
        <w:rFonts w:ascii="Wingdings" w:hAnsi="Wingdings" w:hint="default"/>
      </w:rPr>
    </w:lvl>
    <w:lvl w:ilvl="3">
      <w:start w:val="1"/>
      <w:numFmt w:val="bullet"/>
      <w:lvlText w:val=""/>
      <w:lvlJc w:val="left"/>
      <w:pPr>
        <w:tabs>
          <w:tab w:val="num" w:pos="3336"/>
        </w:tabs>
        <w:ind w:left="3336" w:hanging="360"/>
      </w:pPr>
      <w:rPr>
        <w:rFonts w:ascii="Symbol" w:hAnsi="Symbol" w:hint="default"/>
      </w:rPr>
    </w:lvl>
    <w:lvl w:ilvl="4">
      <w:start w:val="1"/>
      <w:numFmt w:val="bullet"/>
      <w:lvlText w:val="o"/>
      <w:lvlJc w:val="left"/>
      <w:pPr>
        <w:tabs>
          <w:tab w:val="num" w:pos="4056"/>
        </w:tabs>
        <w:ind w:left="4056" w:hanging="360"/>
      </w:pPr>
      <w:rPr>
        <w:rFonts w:ascii="Courier New" w:hAnsi="Courier New" w:cs="Courier New" w:hint="default"/>
      </w:rPr>
    </w:lvl>
    <w:lvl w:ilvl="5">
      <w:start w:val="1"/>
      <w:numFmt w:val="bullet"/>
      <w:lvlText w:val=""/>
      <w:lvlJc w:val="left"/>
      <w:pPr>
        <w:tabs>
          <w:tab w:val="num" w:pos="4776"/>
        </w:tabs>
        <w:ind w:left="4776" w:hanging="360"/>
      </w:pPr>
      <w:rPr>
        <w:rFonts w:ascii="Wingdings" w:hAnsi="Wingdings" w:hint="default"/>
      </w:rPr>
    </w:lvl>
    <w:lvl w:ilvl="6">
      <w:start w:val="1"/>
      <w:numFmt w:val="bullet"/>
      <w:lvlText w:val=""/>
      <w:lvlJc w:val="left"/>
      <w:pPr>
        <w:tabs>
          <w:tab w:val="num" w:pos="5496"/>
        </w:tabs>
        <w:ind w:left="5496" w:hanging="360"/>
      </w:pPr>
      <w:rPr>
        <w:rFonts w:ascii="Symbol" w:hAnsi="Symbol" w:hint="default"/>
      </w:rPr>
    </w:lvl>
    <w:lvl w:ilvl="7">
      <w:start w:val="1"/>
      <w:numFmt w:val="bullet"/>
      <w:lvlText w:val="o"/>
      <w:lvlJc w:val="left"/>
      <w:pPr>
        <w:tabs>
          <w:tab w:val="num" w:pos="6216"/>
        </w:tabs>
        <w:ind w:left="6216" w:hanging="360"/>
      </w:pPr>
      <w:rPr>
        <w:rFonts w:ascii="Courier New" w:hAnsi="Courier New" w:cs="Courier New" w:hint="default"/>
      </w:rPr>
    </w:lvl>
    <w:lvl w:ilvl="8">
      <w:start w:val="1"/>
      <w:numFmt w:val="bullet"/>
      <w:lvlText w:val=""/>
      <w:lvlJc w:val="left"/>
      <w:pPr>
        <w:tabs>
          <w:tab w:val="num" w:pos="6936"/>
        </w:tabs>
        <w:ind w:left="6936" w:hanging="360"/>
      </w:pPr>
      <w:rPr>
        <w:rFonts w:ascii="Wingdings" w:hAnsi="Wingdings" w:hint="default"/>
      </w:rPr>
    </w:lvl>
  </w:abstractNum>
  <w:abstractNum w:abstractNumId="9" w15:restartNumberingAfterBreak="0">
    <w:nsid w:val="3FF973F9"/>
    <w:multiLevelType w:val="hybridMultilevel"/>
    <w:tmpl w:val="E5E66A14"/>
    <w:lvl w:ilvl="0" w:tplc="BD563580">
      <w:start w:val="1"/>
      <w:numFmt w:val="bullet"/>
      <w:lvlText w:val=""/>
      <w:lvlJc w:val="left"/>
      <w:pPr>
        <w:tabs>
          <w:tab w:val="num" w:pos="1213"/>
        </w:tabs>
        <w:ind w:left="1213" w:hanging="397"/>
      </w:pPr>
      <w:rPr>
        <w:rFonts w:ascii="Symbol" w:hAnsi="Symbol" w:hint="default"/>
        <w:color w:val="000000"/>
      </w:rPr>
    </w:lvl>
    <w:lvl w:ilvl="1" w:tplc="040E0003" w:tentative="1">
      <w:start w:val="1"/>
      <w:numFmt w:val="bullet"/>
      <w:lvlText w:val="o"/>
      <w:lvlJc w:val="left"/>
      <w:pPr>
        <w:tabs>
          <w:tab w:val="num" w:pos="1896"/>
        </w:tabs>
        <w:ind w:left="1896" w:hanging="360"/>
      </w:pPr>
      <w:rPr>
        <w:rFonts w:ascii="Courier New" w:hAnsi="Courier New" w:cs="Courier New" w:hint="default"/>
      </w:rPr>
    </w:lvl>
    <w:lvl w:ilvl="2" w:tplc="040E0005" w:tentative="1">
      <w:start w:val="1"/>
      <w:numFmt w:val="bullet"/>
      <w:lvlText w:val=""/>
      <w:lvlJc w:val="left"/>
      <w:pPr>
        <w:tabs>
          <w:tab w:val="num" w:pos="2616"/>
        </w:tabs>
        <w:ind w:left="2616" w:hanging="360"/>
      </w:pPr>
      <w:rPr>
        <w:rFonts w:ascii="Wingdings" w:hAnsi="Wingdings" w:hint="default"/>
      </w:rPr>
    </w:lvl>
    <w:lvl w:ilvl="3" w:tplc="040E0001" w:tentative="1">
      <w:start w:val="1"/>
      <w:numFmt w:val="bullet"/>
      <w:lvlText w:val=""/>
      <w:lvlJc w:val="left"/>
      <w:pPr>
        <w:tabs>
          <w:tab w:val="num" w:pos="3336"/>
        </w:tabs>
        <w:ind w:left="3336" w:hanging="360"/>
      </w:pPr>
      <w:rPr>
        <w:rFonts w:ascii="Symbol" w:hAnsi="Symbol" w:hint="default"/>
      </w:rPr>
    </w:lvl>
    <w:lvl w:ilvl="4" w:tplc="040E0003" w:tentative="1">
      <w:start w:val="1"/>
      <w:numFmt w:val="bullet"/>
      <w:lvlText w:val="o"/>
      <w:lvlJc w:val="left"/>
      <w:pPr>
        <w:tabs>
          <w:tab w:val="num" w:pos="4056"/>
        </w:tabs>
        <w:ind w:left="4056" w:hanging="360"/>
      </w:pPr>
      <w:rPr>
        <w:rFonts w:ascii="Courier New" w:hAnsi="Courier New" w:cs="Courier New" w:hint="default"/>
      </w:rPr>
    </w:lvl>
    <w:lvl w:ilvl="5" w:tplc="040E0005" w:tentative="1">
      <w:start w:val="1"/>
      <w:numFmt w:val="bullet"/>
      <w:lvlText w:val=""/>
      <w:lvlJc w:val="left"/>
      <w:pPr>
        <w:tabs>
          <w:tab w:val="num" w:pos="4776"/>
        </w:tabs>
        <w:ind w:left="4776" w:hanging="360"/>
      </w:pPr>
      <w:rPr>
        <w:rFonts w:ascii="Wingdings" w:hAnsi="Wingdings" w:hint="default"/>
      </w:rPr>
    </w:lvl>
    <w:lvl w:ilvl="6" w:tplc="040E0001" w:tentative="1">
      <w:start w:val="1"/>
      <w:numFmt w:val="bullet"/>
      <w:lvlText w:val=""/>
      <w:lvlJc w:val="left"/>
      <w:pPr>
        <w:tabs>
          <w:tab w:val="num" w:pos="5496"/>
        </w:tabs>
        <w:ind w:left="5496" w:hanging="360"/>
      </w:pPr>
      <w:rPr>
        <w:rFonts w:ascii="Symbol" w:hAnsi="Symbol" w:hint="default"/>
      </w:rPr>
    </w:lvl>
    <w:lvl w:ilvl="7" w:tplc="040E0003" w:tentative="1">
      <w:start w:val="1"/>
      <w:numFmt w:val="bullet"/>
      <w:lvlText w:val="o"/>
      <w:lvlJc w:val="left"/>
      <w:pPr>
        <w:tabs>
          <w:tab w:val="num" w:pos="6216"/>
        </w:tabs>
        <w:ind w:left="6216" w:hanging="360"/>
      </w:pPr>
      <w:rPr>
        <w:rFonts w:ascii="Courier New" w:hAnsi="Courier New" w:cs="Courier New" w:hint="default"/>
      </w:rPr>
    </w:lvl>
    <w:lvl w:ilvl="8" w:tplc="040E0005" w:tentative="1">
      <w:start w:val="1"/>
      <w:numFmt w:val="bullet"/>
      <w:lvlText w:val=""/>
      <w:lvlJc w:val="left"/>
      <w:pPr>
        <w:tabs>
          <w:tab w:val="num" w:pos="6936"/>
        </w:tabs>
        <w:ind w:left="6936" w:hanging="360"/>
      </w:pPr>
      <w:rPr>
        <w:rFonts w:ascii="Wingdings" w:hAnsi="Wingdings" w:hint="default"/>
      </w:rPr>
    </w:lvl>
  </w:abstractNum>
  <w:abstractNum w:abstractNumId="10" w15:restartNumberingAfterBreak="0">
    <w:nsid w:val="411928CE"/>
    <w:multiLevelType w:val="multilevel"/>
    <w:tmpl w:val="A176AF0C"/>
    <w:lvl w:ilvl="0">
      <w:start w:val="1"/>
      <w:numFmt w:val="lowerLetter"/>
      <w:lvlText w:val="%1."/>
      <w:lvlJc w:val="left"/>
      <w:pPr>
        <w:tabs>
          <w:tab w:val="num" w:pos="2520"/>
        </w:tabs>
        <w:ind w:left="2520" w:hanging="360"/>
      </w:p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11" w15:restartNumberingAfterBreak="0">
    <w:nsid w:val="4FC341CE"/>
    <w:multiLevelType w:val="hybridMultilevel"/>
    <w:tmpl w:val="557A9998"/>
    <w:lvl w:ilvl="0" w:tplc="E6FE424E">
      <w:start w:val="1"/>
      <w:numFmt w:val="bullet"/>
      <w:lvlText w:val=""/>
      <w:lvlJc w:val="left"/>
      <w:pPr>
        <w:tabs>
          <w:tab w:val="num" w:pos="3430"/>
        </w:tabs>
        <w:ind w:left="3430" w:hanging="623"/>
      </w:pPr>
      <w:rPr>
        <w:rFonts w:ascii="Wingdings" w:hAnsi="Wingdings" w:hint="default"/>
      </w:rPr>
    </w:lvl>
    <w:lvl w:ilvl="1" w:tplc="040E0003" w:tentative="1">
      <w:start w:val="1"/>
      <w:numFmt w:val="bullet"/>
      <w:lvlText w:val="o"/>
      <w:lvlJc w:val="left"/>
      <w:pPr>
        <w:tabs>
          <w:tab w:val="num" w:pos="1896"/>
        </w:tabs>
        <w:ind w:left="1896" w:hanging="360"/>
      </w:pPr>
      <w:rPr>
        <w:rFonts w:ascii="Courier New" w:hAnsi="Courier New" w:cs="Courier New" w:hint="default"/>
      </w:rPr>
    </w:lvl>
    <w:lvl w:ilvl="2" w:tplc="040E0005" w:tentative="1">
      <w:start w:val="1"/>
      <w:numFmt w:val="bullet"/>
      <w:lvlText w:val=""/>
      <w:lvlJc w:val="left"/>
      <w:pPr>
        <w:tabs>
          <w:tab w:val="num" w:pos="2616"/>
        </w:tabs>
        <w:ind w:left="2616" w:hanging="360"/>
      </w:pPr>
      <w:rPr>
        <w:rFonts w:ascii="Wingdings" w:hAnsi="Wingdings" w:hint="default"/>
      </w:rPr>
    </w:lvl>
    <w:lvl w:ilvl="3" w:tplc="040E0001" w:tentative="1">
      <w:start w:val="1"/>
      <w:numFmt w:val="bullet"/>
      <w:lvlText w:val=""/>
      <w:lvlJc w:val="left"/>
      <w:pPr>
        <w:tabs>
          <w:tab w:val="num" w:pos="3336"/>
        </w:tabs>
        <w:ind w:left="3336" w:hanging="360"/>
      </w:pPr>
      <w:rPr>
        <w:rFonts w:ascii="Symbol" w:hAnsi="Symbol" w:hint="default"/>
      </w:rPr>
    </w:lvl>
    <w:lvl w:ilvl="4" w:tplc="040E0003" w:tentative="1">
      <w:start w:val="1"/>
      <w:numFmt w:val="bullet"/>
      <w:lvlText w:val="o"/>
      <w:lvlJc w:val="left"/>
      <w:pPr>
        <w:tabs>
          <w:tab w:val="num" w:pos="4056"/>
        </w:tabs>
        <w:ind w:left="4056" w:hanging="360"/>
      </w:pPr>
      <w:rPr>
        <w:rFonts w:ascii="Courier New" w:hAnsi="Courier New" w:cs="Courier New" w:hint="default"/>
      </w:rPr>
    </w:lvl>
    <w:lvl w:ilvl="5" w:tplc="040E0005" w:tentative="1">
      <w:start w:val="1"/>
      <w:numFmt w:val="bullet"/>
      <w:lvlText w:val=""/>
      <w:lvlJc w:val="left"/>
      <w:pPr>
        <w:tabs>
          <w:tab w:val="num" w:pos="4776"/>
        </w:tabs>
        <w:ind w:left="4776" w:hanging="360"/>
      </w:pPr>
      <w:rPr>
        <w:rFonts w:ascii="Wingdings" w:hAnsi="Wingdings" w:hint="default"/>
      </w:rPr>
    </w:lvl>
    <w:lvl w:ilvl="6" w:tplc="040E0001" w:tentative="1">
      <w:start w:val="1"/>
      <w:numFmt w:val="bullet"/>
      <w:lvlText w:val=""/>
      <w:lvlJc w:val="left"/>
      <w:pPr>
        <w:tabs>
          <w:tab w:val="num" w:pos="5496"/>
        </w:tabs>
        <w:ind w:left="5496" w:hanging="360"/>
      </w:pPr>
      <w:rPr>
        <w:rFonts w:ascii="Symbol" w:hAnsi="Symbol" w:hint="default"/>
      </w:rPr>
    </w:lvl>
    <w:lvl w:ilvl="7" w:tplc="040E0003" w:tentative="1">
      <w:start w:val="1"/>
      <w:numFmt w:val="bullet"/>
      <w:lvlText w:val="o"/>
      <w:lvlJc w:val="left"/>
      <w:pPr>
        <w:tabs>
          <w:tab w:val="num" w:pos="6216"/>
        </w:tabs>
        <w:ind w:left="6216" w:hanging="360"/>
      </w:pPr>
      <w:rPr>
        <w:rFonts w:ascii="Courier New" w:hAnsi="Courier New" w:cs="Courier New" w:hint="default"/>
      </w:rPr>
    </w:lvl>
    <w:lvl w:ilvl="8" w:tplc="040E0005" w:tentative="1">
      <w:start w:val="1"/>
      <w:numFmt w:val="bullet"/>
      <w:lvlText w:val=""/>
      <w:lvlJc w:val="left"/>
      <w:pPr>
        <w:tabs>
          <w:tab w:val="num" w:pos="6936"/>
        </w:tabs>
        <w:ind w:left="6936" w:hanging="360"/>
      </w:pPr>
      <w:rPr>
        <w:rFonts w:ascii="Wingdings" w:hAnsi="Wingdings" w:hint="default"/>
      </w:rPr>
    </w:lvl>
  </w:abstractNum>
  <w:abstractNum w:abstractNumId="12" w15:restartNumberingAfterBreak="0">
    <w:nsid w:val="510A2589"/>
    <w:multiLevelType w:val="hybridMultilevel"/>
    <w:tmpl w:val="59600F90"/>
    <w:lvl w:ilvl="0" w:tplc="BD563580">
      <w:start w:val="1"/>
      <w:numFmt w:val="bullet"/>
      <w:lvlText w:val=""/>
      <w:lvlJc w:val="left"/>
      <w:pPr>
        <w:tabs>
          <w:tab w:val="num" w:pos="1213"/>
        </w:tabs>
        <w:ind w:left="1213" w:hanging="397"/>
      </w:pPr>
      <w:rPr>
        <w:rFonts w:ascii="Symbol" w:hAnsi="Symbol" w:hint="default"/>
        <w:color w:val="000000"/>
      </w:rPr>
    </w:lvl>
    <w:lvl w:ilvl="1" w:tplc="040E0003" w:tentative="1">
      <w:start w:val="1"/>
      <w:numFmt w:val="bullet"/>
      <w:lvlText w:val="o"/>
      <w:lvlJc w:val="left"/>
      <w:pPr>
        <w:tabs>
          <w:tab w:val="num" w:pos="1896"/>
        </w:tabs>
        <w:ind w:left="1896" w:hanging="360"/>
      </w:pPr>
      <w:rPr>
        <w:rFonts w:ascii="Courier New" w:hAnsi="Courier New" w:cs="Courier New" w:hint="default"/>
      </w:rPr>
    </w:lvl>
    <w:lvl w:ilvl="2" w:tplc="040E0005" w:tentative="1">
      <w:start w:val="1"/>
      <w:numFmt w:val="bullet"/>
      <w:lvlText w:val=""/>
      <w:lvlJc w:val="left"/>
      <w:pPr>
        <w:tabs>
          <w:tab w:val="num" w:pos="2616"/>
        </w:tabs>
        <w:ind w:left="2616" w:hanging="360"/>
      </w:pPr>
      <w:rPr>
        <w:rFonts w:ascii="Wingdings" w:hAnsi="Wingdings" w:hint="default"/>
      </w:rPr>
    </w:lvl>
    <w:lvl w:ilvl="3" w:tplc="040E0001" w:tentative="1">
      <w:start w:val="1"/>
      <w:numFmt w:val="bullet"/>
      <w:lvlText w:val=""/>
      <w:lvlJc w:val="left"/>
      <w:pPr>
        <w:tabs>
          <w:tab w:val="num" w:pos="3336"/>
        </w:tabs>
        <w:ind w:left="3336" w:hanging="360"/>
      </w:pPr>
      <w:rPr>
        <w:rFonts w:ascii="Symbol" w:hAnsi="Symbol" w:hint="default"/>
      </w:rPr>
    </w:lvl>
    <w:lvl w:ilvl="4" w:tplc="040E0003" w:tentative="1">
      <w:start w:val="1"/>
      <w:numFmt w:val="bullet"/>
      <w:lvlText w:val="o"/>
      <w:lvlJc w:val="left"/>
      <w:pPr>
        <w:tabs>
          <w:tab w:val="num" w:pos="4056"/>
        </w:tabs>
        <w:ind w:left="4056" w:hanging="360"/>
      </w:pPr>
      <w:rPr>
        <w:rFonts w:ascii="Courier New" w:hAnsi="Courier New" w:cs="Courier New" w:hint="default"/>
      </w:rPr>
    </w:lvl>
    <w:lvl w:ilvl="5" w:tplc="040E0005" w:tentative="1">
      <w:start w:val="1"/>
      <w:numFmt w:val="bullet"/>
      <w:lvlText w:val=""/>
      <w:lvlJc w:val="left"/>
      <w:pPr>
        <w:tabs>
          <w:tab w:val="num" w:pos="4776"/>
        </w:tabs>
        <w:ind w:left="4776" w:hanging="360"/>
      </w:pPr>
      <w:rPr>
        <w:rFonts w:ascii="Wingdings" w:hAnsi="Wingdings" w:hint="default"/>
      </w:rPr>
    </w:lvl>
    <w:lvl w:ilvl="6" w:tplc="040E0001" w:tentative="1">
      <w:start w:val="1"/>
      <w:numFmt w:val="bullet"/>
      <w:lvlText w:val=""/>
      <w:lvlJc w:val="left"/>
      <w:pPr>
        <w:tabs>
          <w:tab w:val="num" w:pos="5496"/>
        </w:tabs>
        <w:ind w:left="5496" w:hanging="360"/>
      </w:pPr>
      <w:rPr>
        <w:rFonts w:ascii="Symbol" w:hAnsi="Symbol" w:hint="default"/>
      </w:rPr>
    </w:lvl>
    <w:lvl w:ilvl="7" w:tplc="040E0003" w:tentative="1">
      <w:start w:val="1"/>
      <w:numFmt w:val="bullet"/>
      <w:lvlText w:val="o"/>
      <w:lvlJc w:val="left"/>
      <w:pPr>
        <w:tabs>
          <w:tab w:val="num" w:pos="6216"/>
        </w:tabs>
        <w:ind w:left="6216" w:hanging="360"/>
      </w:pPr>
      <w:rPr>
        <w:rFonts w:ascii="Courier New" w:hAnsi="Courier New" w:cs="Courier New" w:hint="default"/>
      </w:rPr>
    </w:lvl>
    <w:lvl w:ilvl="8" w:tplc="040E0005" w:tentative="1">
      <w:start w:val="1"/>
      <w:numFmt w:val="bullet"/>
      <w:lvlText w:val=""/>
      <w:lvlJc w:val="left"/>
      <w:pPr>
        <w:tabs>
          <w:tab w:val="num" w:pos="6936"/>
        </w:tabs>
        <w:ind w:left="6936" w:hanging="360"/>
      </w:pPr>
      <w:rPr>
        <w:rFonts w:ascii="Wingdings" w:hAnsi="Wingdings" w:hint="default"/>
      </w:rPr>
    </w:lvl>
  </w:abstractNum>
  <w:abstractNum w:abstractNumId="13" w15:restartNumberingAfterBreak="0">
    <w:nsid w:val="51C5303D"/>
    <w:multiLevelType w:val="hybridMultilevel"/>
    <w:tmpl w:val="B8424FB4"/>
    <w:lvl w:ilvl="0" w:tplc="040E0019">
      <w:start w:val="1"/>
      <w:numFmt w:val="lowerLetter"/>
      <w:lvlText w:val="%1."/>
      <w:lvlJc w:val="left"/>
      <w:pPr>
        <w:tabs>
          <w:tab w:val="num" w:pos="1440"/>
        </w:tabs>
        <w:ind w:left="144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4" w15:restartNumberingAfterBreak="0">
    <w:nsid w:val="54A923CC"/>
    <w:multiLevelType w:val="hybridMultilevel"/>
    <w:tmpl w:val="12FC9D38"/>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5" w15:restartNumberingAfterBreak="0">
    <w:nsid w:val="5D030CDE"/>
    <w:multiLevelType w:val="hybridMultilevel"/>
    <w:tmpl w:val="A5E85CB0"/>
    <w:lvl w:ilvl="0" w:tplc="8362E596">
      <w:numFmt w:val="bullet"/>
      <w:lvlText w:val="-"/>
      <w:lvlJc w:val="left"/>
      <w:pPr>
        <w:tabs>
          <w:tab w:val="num" w:pos="340"/>
        </w:tabs>
        <w:ind w:left="340" w:hanging="340"/>
      </w:pPr>
      <w:rPr>
        <w:rFonts w:ascii="Arial Unicode MS" w:hAnsi="Arial Unicode M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73F1ADC"/>
    <w:multiLevelType w:val="hybridMultilevel"/>
    <w:tmpl w:val="34562FB0"/>
    <w:lvl w:ilvl="0" w:tplc="8362E596">
      <w:numFmt w:val="bullet"/>
      <w:lvlText w:val="-"/>
      <w:lvlJc w:val="left"/>
      <w:pPr>
        <w:tabs>
          <w:tab w:val="num" w:pos="340"/>
        </w:tabs>
        <w:ind w:left="340" w:hanging="340"/>
      </w:pPr>
      <w:rPr>
        <w:rFonts w:ascii="Arial Unicode MS" w:hAnsi="Arial Unicode M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C326219"/>
    <w:multiLevelType w:val="hybridMultilevel"/>
    <w:tmpl w:val="23745C2E"/>
    <w:lvl w:ilvl="0" w:tplc="8362E596">
      <w:numFmt w:val="bullet"/>
      <w:lvlText w:val="-"/>
      <w:lvlJc w:val="left"/>
      <w:pPr>
        <w:tabs>
          <w:tab w:val="num" w:pos="340"/>
        </w:tabs>
        <w:ind w:left="340" w:hanging="340"/>
      </w:pPr>
      <w:rPr>
        <w:rFonts w:ascii="Arial Unicode MS" w:hAnsi="Arial Unicode M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EE4479C"/>
    <w:multiLevelType w:val="hybridMultilevel"/>
    <w:tmpl w:val="E8B289F2"/>
    <w:lvl w:ilvl="0" w:tplc="BD563580">
      <w:start w:val="1"/>
      <w:numFmt w:val="bullet"/>
      <w:lvlText w:val=""/>
      <w:lvlJc w:val="left"/>
      <w:pPr>
        <w:tabs>
          <w:tab w:val="num" w:pos="3204"/>
        </w:tabs>
        <w:ind w:left="3204" w:hanging="397"/>
      </w:pPr>
      <w:rPr>
        <w:rFonts w:ascii="Symbol" w:hAnsi="Symbol" w:hint="default"/>
        <w:color w:val="000000"/>
      </w:rPr>
    </w:lvl>
    <w:lvl w:ilvl="1" w:tplc="040E0003" w:tentative="1">
      <w:start w:val="1"/>
      <w:numFmt w:val="bullet"/>
      <w:lvlText w:val="o"/>
      <w:lvlJc w:val="left"/>
      <w:pPr>
        <w:tabs>
          <w:tab w:val="num" w:pos="1896"/>
        </w:tabs>
        <w:ind w:left="1896" w:hanging="360"/>
      </w:pPr>
      <w:rPr>
        <w:rFonts w:ascii="Courier New" w:hAnsi="Courier New" w:cs="Courier New" w:hint="default"/>
      </w:rPr>
    </w:lvl>
    <w:lvl w:ilvl="2" w:tplc="040E0005" w:tentative="1">
      <w:start w:val="1"/>
      <w:numFmt w:val="bullet"/>
      <w:lvlText w:val=""/>
      <w:lvlJc w:val="left"/>
      <w:pPr>
        <w:tabs>
          <w:tab w:val="num" w:pos="2616"/>
        </w:tabs>
        <w:ind w:left="2616" w:hanging="360"/>
      </w:pPr>
      <w:rPr>
        <w:rFonts w:ascii="Wingdings" w:hAnsi="Wingdings" w:hint="default"/>
      </w:rPr>
    </w:lvl>
    <w:lvl w:ilvl="3" w:tplc="040E0001" w:tentative="1">
      <w:start w:val="1"/>
      <w:numFmt w:val="bullet"/>
      <w:lvlText w:val=""/>
      <w:lvlJc w:val="left"/>
      <w:pPr>
        <w:tabs>
          <w:tab w:val="num" w:pos="3336"/>
        </w:tabs>
        <w:ind w:left="3336" w:hanging="360"/>
      </w:pPr>
      <w:rPr>
        <w:rFonts w:ascii="Symbol" w:hAnsi="Symbol" w:hint="default"/>
      </w:rPr>
    </w:lvl>
    <w:lvl w:ilvl="4" w:tplc="040E0003" w:tentative="1">
      <w:start w:val="1"/>
      <w:numFmt w:val="bullet"/>
      <w:lvlText w:val="o"/>
      <w:lvlJc w:val="left"/>
      <w:pPr>
        <w:tabs>
          <w:tab w:val="num" w:pos="4056"/>
        </w:tabs>
        <w:ind w:left="4056" w:hanging="360"/>
      </w:pPr>
      <w:rPr>
        <w:rFonts w:ascii="Courier New" w:hAnsi="Courier New" w:cs="Courier New" w:hint="default"/>
      </w:rPr>
    </w:lvl>
    <w:lvl w:ilvl="5" w:tplc="040E0005" w:tentative="1">
      <w:start w:val="1"/>
      <w:numFmt w:val="bullet"/>
      <w:lvlText w:val=""/>
      <w:lvlJc w:val="left"/>
      <w:pPr>
        <w:tabs>
          <w:tab w:val="num" w:pos="4776"/>
        </w:tabs>
        <w:ind w:left="4776" w:hanging="360"/>
      </w:pPr>
      <w:rPr>
        <w:rFonts w:ascii="Wingdings" w:hAnsi="Wingdings" w:hint="default"/>
      </w:rPr>
    </w:lvl>
    <w:lvl w:ilvl="6" w:tplc="040E0001" w:tentative="1">
      <w:start w:val="1"/>
      <w:numFmt w:val="bullet"/>
      <w:lvlText w:val=""/>
      <w:lvlJc w:val="left"/>
      <w:pPr>
        <w:tabs>
          <w:tab w:val="num" w:pos="5496"/>
        </w:tabs>
        <w:ind w:left="5496" w:hanging="360"/>
      </w:pPr>
      <w:rPr>
        <w:rFonts w:ascii="Symbol" w:hAnsi="Symbol" w:hint="default"/>
      </w:rPr>
    </w:lvl>
    <w:lvl w:ilvl="7" w:tplc="040E0003" w:tentative="1">
      <w:start w:val="1"/>
      <w:numFmt w:val="bullet"/>
      <w:lvlText w:val="o"/>
      <w:lvlJc w:val="left"/>
      <w:pPr>
        <w:tabs>
          <w:tab w:val="num" w:pos="6216"/>
        </w:tabs>
        <w:ind w:left="6216" w:hanging="360"/>
      </w:pPr>
      <w:rPr>
        <w:rFonts w:ascii="Courier New" w:hAnsi="Courier New" w:cs="Courier New" w:hint="default"/>
      </w:rPr>
    </w:lvl>
    <w:lvl w:ilvl="8" w:tplc="040E0005" w:tentative="1">
      <w:start w:val="1"/>
      <w:numFmt w:val="bullet"/>
      <w:lvlText w:val=""/>
      <w:lvlJc w:val="left"/>
      <w:pPr>
        <w:tabs>
          <w:tab w:val="num" w:pos="6936"/>
        </w:tabs>
        <w:ind w:left="6936" w:hanging="360"/>
      </w:pPr>
      <w:rPr>
        <w:rFonts w:ascii="Wingdings" w:hAnsi="Wingdings" w:hint="default"/>
      </w:rPr>
    </w:lvl>
  </w:abstractNum>
  <w:num w:numId="1" w16cid:durableId="1281915209">
    <w:abstractNumId w:val="5"/>
  </w:num>
  <w:num w:numId="2" w16cid:durableId="742875406">
    <w:abstractNumId w:val="16"/>
  </w:num>
  <w:num w:numId="3" w16cid:durableId="202794723">
    <w:abstractNumId w:val="15"/>
  </w:num>
  <w:num w:numId="4" w16cid:durableId="981890088">
    <w:abstractNumId w:val="1"/>
  </w:num>
  <w:num w:numId="5" w16cid:durableId="522481310">
    <w:abstractNumId w:val="17"/>
  </w:num>
  <w:num w:numId="6" w16cid:durableId="2093160224">
    <w:abstractNumId w:val="4"/>
  </w:num>
  <w:num w:numId="7" w16cid:durableId="1841037924">
    <w:abstractNumId w:val="7"/>
  </w:num>
  <w:num w:numId="8" w16cid:durableId="1220822220">
    <w:abstractNumId w:val="6"/>
  </w:num>
  <w:num w:numId="9" w16cid:durableId="1959331961">
    <w:abstractNumId w:val="14"/>
  </w:num>
  <w:num w:numId="10" w16cid:durableId="864099019">
    <w:abstractNumId w:val="3"/>
  </w:num>
  <w:num w:numId="11" w16cid:durableId="338041178">
    <w:abstractNumId w:val="0"/>
  </w:num>
  <w:num w:numId="12" w16cid:durableId="748230608">
    <w:abstractNumId w:val="13"/>
  </w:num>
  <w:num w:numId="13" w16cid:durableId="2131627080">
    <w:abstractNumId w:val="2"/>
  </w:num>
  <w:num w:numId="14" w16cid:durableId="1681470787">
    <w:abstractNumId w:val="10"/>
  </w:num>
  <w:num w:numId="15" w16cid:durableId="1704860610">
    <w:abstractNumId w:val="11"/>
  </w:num>
  <w:num w:numId="16" w16cid:durableId="1289165514">
    <w:abstractNumId w:val="8"/>
  </w:num>
  <w:num w:numId="17" w16cid:durableId="424150961">
    <w:abstractNumId w:val="18"/>
  </w:num>
  <w:num w:numId="18" w16cid:durableId="2115634723">
    <w:abstractNumId w:val="9"/>
  </w:num>
  <w:num w:numId="19" w16cid:durableId="1565057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hu-HU" w:vendorID="7" w:dllVersion="522" w:checkStyle="1"/>
  <w:activeWritingStyle w:appName="MSWord" w:lang="hu-HU" w:vendorID="7" w:dllVersion="513"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1FE"/>
    <w:rsid w:val="0000414F"/>
    <w:rsid w:val="000045A3"/>
    <w:rsid w:val="00014DC8"/>
    <w:rsid w:val="000414FF"/>
    <w:rsid w:val="00080292"/>
    <w:rsid w:val="00087D72"/>
    <w:rsid w:val="00090412"/>
    <w:rsid w:val="00090903"/>
    <w:rsid w:val="000A5A4B"/>
    <w:rsid w:val="000B4E7F"/>
    <w:rsid w:val="000C1012"/>
    <w:rsid w:val="000E28E5"/>
    <w:rsid w:val="000F22AD"/>
    <w:rsid w:val="00102ED6"/>
    <w:rsid w:val="00116999"/>
    <w:rsid w:val="00120AC2"/>
    <w:rsid w:val="00122162"/>
    <w:rsid w:val="001323B5"/>
    <w:rsid w:val="00132ABC"/>
    <w:rsid w:val="001420B4"/>
    <w:rsid w:val="0014301E"/>
    <w:rsid w:val="001430AB"/>
    <w:rsid w:val="00145187"/>
    <w:rsid w:val="001475BD"/>
    <w:rsid w:val="0015186D"/>
    <w:rsid w:val="00160BC4"/>
    <w:rsid w:val="001762CA"/>
    <w:rsid w:val="001768E9"/>
    <w:rsid w:val="00177BDC"/>
    <w:rsid w:val="00177E81"/>
    <w:rsid w:val="001827BB"/>
    <w:rsid w:val="00185736"/>
    <w:rsid w:val="00186817"/>
    <w:rsid w:val="001A3BE8"/>
    <w:rsid w:val="001A6D3D"/>
    <w:rsid w:val="001B3944"/>
    <w:rsid w:val="001B44E5"/>
    <w:rsid w:val="001B615C"/>
    <w:rsid w:val="001C16C9"/>
    <w:rsid w:val="001C33CD"/>
    <w:rsid w:val="001D1D12"/>
    <w:rsid w:val="001E5900"/>
    <w:rsid w:val="0020273C"/>
    <w:rsid w:val="00212A61"/>
    <w:rsid w:val="00213936"/>
    <w:rsid w:val="00226163"/>
    <w:rsid w:val="00227FF5"/>
    <w:rsid w:val="00240083"/>
    <w:rsid w:val="002442EE"/>
    <w:rsid w:val="00251EED"/>
    <w:rsid w:val="00253587"/>
    <w:rsid w:val="00254C07"/>
    <w:rsid w:val="0025656B"/>
    <w:rsid w:val="00256630"/>
    <w:rsid w:val="002675FA"/>
    <w:rsid w:val="002725D9"/>
    <w:rsid w:val="00272871"/>
    <w:rsid w:val="00273257"/>
    <w:rsid w:val="00283EDE"/>
    <w:rsid w:val="002874D4"/>
    <w:rsid w:val="00290054"/>
    <w:rsid w:val="00290C15"/>
    <w:rsid w:val="0029177F"/>
    <w:rsid w:val="002A0786"/>
    <w:rsid w:val="002B5305"/>
    <w:rsid w:val="002D1CBE"/>
    <w:rsid w:val="002E5B22"/>
    <w:rsid w:val="00306256"/>
    <w:rsid w:val="003104B9"/>
    <w:rsid w:val="003150C8"/>
    <w:rsid w:val="003258DA"/>
    <w:rsid w:val="00334EEB"/>
    <w:rsid w:val="00350522"/>
    <w:rsid w:val="003553D4"/>
    <w:rsid w:val="0037520C"/>
    <w:rsid w:val="00390E57"/>
    <w:rsid w:val="00394420"/>
    <w:rsid w:val="003A6745"/>
    <w:rsid w:val="003B6BE7"/>
    <w:rsid w:val="003D608F"/>
    <w:rsid w:val="003D64F1"/>
    <w:rsid w:val="003E0FBF"/>
    <w:rsid w:val="003E29B4"/>
    <w:rsid w:val="003E3271"/>
    <w:rsid w:val="00400FD0"/>
    <w:rsid w:val="00402AB4"/>
    <w:rsid w:val="0042418B"/>
    <w:rsid w:val="004262DD"/>
    <w:rsid w:val="00427CF8"/>
    <w:rsid w:val="004411F1"/>
    <w:rsid w:val="004426E3"/>
    <w:rsid w:val="00463F21"/>
    <w:rsid w:val="004805F4"/>
    <w:rsid w:val="00480704"/>
    <w:rsid w:val="00490FB4"/>
    <w:rsid w:val="004929E5"/>
    <w:rsid w:val="00497AE2"/>
    <w:rsid w:val="004A52A5"/>
    <w:rsid w:val="004C3609"/>
    <w:rsid w:val="004C4000"/>
    <w:rsid w:val="004D2990"/>
    <w:rsid w:val="004D6016"/>
    <w:rsid w:val="004F37F9"/>
    <w:rsid w:val="00514D6C"/>
    <w:rsid w:val="00520266"/>
    <w:rsid w:val="00523202"/>
    <w:rsid w:val="00524502"/>
    <w:rsid w:val="00542B86"/>
    <w:rsid w:val="0054579E"/>
    <w:rsid w:val="00546646"/>
    <w:rsid w:val="00547A67"/>
    <w:rsid w:val="00551B85"/>
    <w:rsid w:val="00556ADD"/>
    <w:rsid w:val="00583E12"/>
    <w:rsid w:val="00586FCF"/>
    <w:rsid w:val="005A0A13"/>
    <w:rsid w:val="005B197E"/>
    <w:rsid w:val="005D0CF7"/>
    <w:rsid w:val="0061637A"/>
    <w:rsid w:val="00617B69"/>
    <w:rsid w:val="00642FF8"/>
    <w:rsid w:val="00643667"/>
    <w:rsid w:val="00651E7B"/>
    <w:rsid w:val="00652600"/>
    <w:rsid w:val="00652AC8"/>
    <w:rsid w:val="00654ACA"/>
    <w:rsid w:val="00664C1F"/>
    <w:rsid w:val="00666E72"/>
    <w:rsid w:val="006723FD"/>
    <w:rsid w:val="00674983"/>
    <w:rsid w:val="00676C01"/>
    <w:rsid w:val="00680D12"/>
    <w:rsid w:val="006835D2"/>
    <w:rsid w:val="006D336A"/>
    <w:rsid w:val="00703329"/>
    <w:rsid w:val="007062F4"/>
    <w:rsid w:val="00707257"/>
    <w:rsid w:val="00707CEF"/>
    <w:rsid w:val="007117A0"/>
    <w:rsid w:val="007167D8"/>
    <w:rsid w:val="00720987"/>
    <w:rsid w:val="0072407D"/>
    <w:rsid w:val="00724554"/>
    <w:rsid w:val="00731221"/>
    <w:rsid w:val="007452CB"/>
    <w:rsid w:val="00751349"/>
    <w:rsid w:val="007560B5"/>
    <w:rsid w:val="007567CE"/>
    <w:rsid w:val="00783B90"/>
    <w:rsid w:val="00787705"/>
    <w:rsid w:val="007A38A9"/>
    <w:rsid w:val="007A540A"/>
    <w:rsid w:val="007A7E33"/>
    <w:rsid w:val="007B0637"/>
    <w:rsid w:val="007B2741"/>
    <w:rsid w:val="007C3A5B"/>
    <w:rsid w:val="007E4E30"/>
    <w:rsid w:val="007F0580"/>
    <w:rsid w:val="00814341"/>
    <w:rsid w:val="00822329"/>
    <w:rsid w:val="00823848"/>
    <w:rsid w:val="008379EF"/>
    <w:rsid w:val="00843450"/>
    <w:rsid w:val="0085363B"/>
    <w:rsid w:val="008620B5"/>
    <w:rsid w:val="00865F1B"/>
    <w:rsid w:val="00871ED8"/>
    <w:rsid w:val="008737FA"/>
    <w:rsid w:val="00881174"/>
    <w:rsid w:val="008904EC"/>
    <w:rsid w:val="00891903"/>
    <w:rsid w:val="008A04E8"/>
    <w:rsid w:val="008A121D"/>
    <w:rsid w:val="008A404E"/>
    <w:rsid w:val="008B228C"/>
    <w:rsid w:val="008B2726"/>
    <w:rsid w:val="008C2362"/>
    <w:rsid w:val="008C3A50"/>
    <w:rsid w:val="008D0610"/>
    <w:rsid w:val="008D1CC8"/>
    <w:rsid w:val="008D37B1"/>
    <w:rsid w:val="008D3E20"/>
    <w:rsid w:val="00903535"/>
    <w:rsid w:val="009064CE"/>
    <w:rsid w:val="00935689"/>
    <w:rsid w:val="00945419"/>
    <w:rsid w:val="00953A3E"/>
    <w:rsid w:val="00954343"/>
    <w:rsid w:val="009567E6"/>
    <w:rsid w:val="009661FB"/>
    <w:rsid w:val="009728FD"/>
    <w:rsid w:val="00975A6D"/>
    <w:rsid w:val="00997EEF"/>
    <w:rsid w:val="009A05D7"/>
    <w:rsid w:val="009A20A6"/>
    <w:rsid w:val="009A4BFA"/>
    <w:rsid w:val="009B2C39"/>
    <w:rsid w:val="009B36A1"/>
    <w:rsid w:val="009E2C6C"/>
    <w:rsid w:val="009E3294"/>
    <w:rsid w:val="009E64F5"/>
    <w:rsid w:val="009E747F"/>
    <w:rsid w:val="009F0BCD"/>
    <w:rsid w:val="009F123D"/>
    <w:rsid w:val="009F344F"/>
    <w:rsid w:val="00A41905"/>
    <w:rsid w:val="00A41FAC"/>
    <w:rsid w:val="00A4305C"/>
    <w:rsid w:val="00A45B9A"/>
    <w:rsid w:val="00A50736"/>
    <w:rsid w:val="00A5187F"/>
    <w:rsid w:val="00A52738"/>
    <w:rsid w:val="00A54091"/>
    <w:rsid w:val="00A5694F"/>
    <w:rsid w:val="00A607A4"/>
    <w:rsid w:val="00A704EB"/>
    <w:rsid w:val="00A862D7"/>
    <w:rsid w:val="00AA2421"/>
    <w:rsid w:val="00AA30AC"/>
    <w:rsid w:val="00AB39EB"/>
    <w:rsid w:val="00AE3E41"/>
    <w:rsid w:val="00AE6AB5"/>
    <w:rsid w:val="00AF21C7"/>
    <w:rsid w:val="00B11E78"/>
    <w:rsid w:val="00B17DF0"/>
    <w:rsid w:val="00B17E4B"/>
    <w:rsid w:val="00B35AB8"/>
    <w:rsid w:val="00B37777"/>
    <w:rsid w:val="00B40565"/>
    <w:rsid w:val="00B42E1D"/>
    <w:rsid w:val="00B6237C"/>
    <w:rsid w:val="00B65A52"/>
    <w:rsid w:val="00B711CD"/>
    <w:rsid w:val="00B71AEB"/>
    <w:rsid w:val="00B9075F"/>
    <w:rsid w:val="00B92573"/>
    <w:rsid w:val="00B9692B"/>
    <w:rsid w:val="00BA1308"/>
    <w:rsid w:val="00BA3B1C"/>
    <w:rsid w:val="00BA5C1E"/>
    <w:rsid w:val="00BA6CD5"/>
    <w:rsid w:val="00BB71DC"/>
    <w:rsid w:val="00BC00F7"/>
    <w:rsid w:val="00BD1FE9"/>
    <w:rsid w:val="00BD3DDC"/>
    <w:rsid w:val="00BE3812"/>
    <w:rsid w:val="00BE725F"/>
    <w:rsid w:val="00BF4A60"/>
    <w:rsid w:val="00C169A5"/>
    <w:rsid w:val="00C227C4"/>
    <w:rsid w:val="00C27077"/>
    <w:rsid w:val="00C27E84"/>
    <w:rsid w:val="00C3240B"/>
    <w:rsid w:val="00C3430A"/>
    <w:rsid w:val="00C4081A"/>
    <w:rsid w:val="00C45538"/>
    <w:rsid w:val="00C46E41"/>
    <w:rsid w:val="00C50413"/>
    <w:rsid w:val="00C50454"/>
    <w:rsid w:val="00C521B1"/>
    <w:rsid w:val="00C53B9E"/>
    <w:rsid w:val="00C64423"/>
    <w:rsid w:val="00C666F4"/>
    <w:rsid w:val="00C71ADA"/>
    <w:rsid w:val="00C81ABB"/>
    <w:rsid w:val="00C9001C"/>
    <w:rsid w:val="00C93999"/>
    <w:rsid w:val="00C94402"/>
    <w:rsid w:val="00C97794"/>
    <w:rsid w:val="00CA0B09"/>
    <w:rsid w:val="00CA4A5D"/>
    <w:rsid w:val="00CA5B4C"/>
    <w:rsid w:val="00CB227D"/>
    <w:rsid w:val="00CB5A01"/>
    <w:rsid w:val="00CC4119"/>
    <w:rsid w:val="00CC721D"/>
    <w:rsid w:val="00CD04CA"/>
    <w:rsid w:val="00CD11E2"/>
    <w:rsid w:val="00CD2DF2"/>
    <w:rsid w:val="00D1208E"/>
    <w:rsid w:val="00D2177C"/>
    <w:rsid w:val="00D23641"/>
    <w:rsid w:val="00D251F4"/>
    <w:rsid w:val="00D30247"/>
    <w:rsid w:val="00D35593"/>
    <w:rsid w:val="00D3700B"/>
    <w:rsid w:val="00D51105"/>
    <w:rsid w:val="00D54774"/>
    <w:rsid w:val="00D66701"/>
    <w:rsid w:val="00D811C6"/>
    <w:rsid w:val="00D90F5F"/>
    <w:rsid w:val="00D91AFC"/>
    <w:rsid w:val="00D971FE"/>
    <w:rsid w:val="00DA47E4"/>
    <w:rsid w:val="00DA7A52"/>
    <w:rsid w:val="00DA7CB1"/>
    <w:rsid w:val="00DB12E4"/>
    <w:rsid w:val="00DC2CC5"/>
    <w:rsid w:val="00DD33D6"/>
    <w:rsid w:val="00DD768A"/>
    <w:rsid w:val="00DF0065"/>
    <w:rsid w:val="00E1319A"/>
    <w:rsid w:val="00E27A61"/>
    <w:rsid w:val="00E42EBD"/>
    <w:rsid w:val="00E44302"/>
    <w:rsid w:val="00E448A1"/>
    <w:rsid w:val="00E45B14"/>
    <w:rsid w:val="00E47D7C"/>
    <w:rsid w:val="00E55619"/>
    <w:rsid w:val="00E55F80"/>
    <w:rsid w:val="00E6031F"/>
    <w:rsid w:val="00E807A7"/>
    <w:rsid w:val="00E920FE"/>
    <w:rsid w:val="00EA0077"/>
    <w:rsid w:val="00EA253A"/>
    <w:rsid w:val="00EB0410"/>
    <w:rsid w:val="00EC3A9B"/>
    <w:rsid w:val="00EF0022"/>
    <w:rsid w:val="00F00D80"/>
    <w:rsid w:val="00F10912"/>
    <w:rsid w:val="00F21964"/>
    <w:rsid w:val="00F40061"/>
    <w:rsid w:val="00F54553"/>
    <w:rsid w:val="00F550A5"/>
    <w:rsid w:val="00F601C1"/>
    <w:rsid w:val="00F625ED"/>
    <w:rsid w:val="00F64913"/>
    <w:rsid w:val="00F827F3"/>
    <w:rsid w:val="00F85C5C"/>
    <w:rsid w:val="00F956BB"/>
    <w:rsid w:val="00F96FFB"/>
    <w:rsid w:val="00FB4BF9"/>
    <w:rsid w:val="00FB5A2C"/>
    <w:rsid w:val="00FC49C2"/>
    <w:rsid w:val="00FE4622"/>
    <w:rsid w:val="00FE6905"/>
    <w:rsid w:val="00FF7C2D"/>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958DFA8"/>
  <w15:chartTrackingRefBased/>
  <w15:docId w15:val="{40E16D3D-E5EE-4E02-8865-7DB775396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3150C8"/>
    <w:pPr>
      <w:jc w:val="both"/>
    </w:pPr>
    <w:rPr>
      <w:rFonts w:ascii="Garamond" w:hAnsi="Garamond"/>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rsid w:val="003150C8"/>
    <w:pPr>
      <w:tabs>
        <w:tab w:val="center" w:pos="4536"/>
        <w:tab w:val="right" w:pos="9072"/>
      </w:tabs>
    </w:pPr>
  </w:style>
  <w:style w:type="character" w:styleId="Oldalszm">
    <w:name w:val="page number"/>
    <w:basedOn w:val="Bekezdsalapbettpusa"/>
    <w:rsid w:val="003150C8"/>
  </w:style>
  <w:style w:type="paragraph" w:styleId="Buborkszveg">
    <w:name w:val="Balloon Text"/>
    <w:basedOn w:val="Norml"/>
    <w:semiHidden/>
    <w:rsid w:val="003150C8"/>
    <w:rPr>
      <w:rFonts w:ascii="Tahoma" w:hAnsi="Tahoma" w:cs="Tahoma"/>
      <w:sz w:val="16"/>
      <w:szCs w:val="16"/>
    </w:rPr>
  </w:style>
  <w:style w:type="paragraph" w:styleId="llb">
    <w:name w:val="footer"/>
    <w:basedOn w:val="Norml"/>
    <w:rsid w:val="003150C8"/>
    <w:pPr>
      <w:tabs>
        <w:tab w:val="center" w:pos="4536"/>
        <w:tab w:val="right" w:pos="9072"/>
      </w:tabs>
    </w:pPr>
  </w:style>
  <w:style w:type="paragraph" w:styleId="Szvegtrzs">
    <w:name w:val="Body Text"/>
    <w:basedOn w:val="Norml"/>
    <w:rsid w:val="003150C8"/>
    <w:pPr>
      <w:widowControl w:val="0"/>
    </w:pPr>
    <w:rPr>
      <w:rFonts w:ascii="Times New Roman" w:hAnsi="Times New Roman"/>
      <w:spacing w:val="-6"/>
      <w:szCs w:val="20"/>
    </w:rPr>
  </w:style>
  <w:style w:type="character" w:styleId="Kiemels2">
    <w:name w:val="Strong"/>
    <w:qFormat/>
    <w:rsid w:val="003150C8"/>
    <w:rPr>
      <w:b/>
      <w:bCs/>
    </w:rPr>
  </w:style>
  <w:style w:type="paragraph" w:customStyle="1" w:styleId="CharChar1CharCharCharCharCharCharCharCharCharCharCharCharChar">
    <w:name w:val="Char Char1 Char Char Char Char Char Char Char Char Char Char Char Char Char"/>
    <w:basedOn w:val="Norml"/>
    <w:rsid w:val="00523202"/>
    <w:pPr>
      <w:spacing w:after="160" w:line="240" w:lineRule="exact"/>
      <w:jc w:val="left"/>
    </w:pPr>
    <w:rPr>
      <w:rFonts w:ascii="Verdana" w:hAnsi="Verdana"/>
      <w:sz w:val="20"/>
      <w:szCs w:val="20"/>
      <w:lang w:val="en-US" w:eastAsia="en-US"/>
    </w:rPr>
  </w:style>
  <w:style w:type="character" w:styleId="Jegyzethivatkozs">
    <w:name w:val="annotation reference"/>
    <w:uiPriority w:val="99"/>
    <w:semiHidden/>
    <w:unhideWhenUsed/>
    <w:rsid w:val="00B711CD"/>
    <w:rPr>
      <w:sz w:val="16"/>
      <w:szCs w:val="16"/>
    </w:rPr>
  </w:style>
  <w:style w:type="paragraph" w:styleId="Jegyzetszveg">
    <w:name w:val="annotation text"/>
    <w:basedOn w:val="Norml"/>
    <w:link w:val="JegyzetszvegChar"/>
    <w:uiPriority w:val="99"/>
    <w:unhideWhenUsed/>
    <w:rsid w:val="001B615C"/>
    <w:rPr>
      <w:sz w:val="20"/>
      <w:szCs w:val="20"/>
    </w:rPr>
  </w:style>
  <w:style w:type="character" w:customStyle="1" w:styleId="JegyzetszvegChar">
    <w:name w:val="Jegyzetszöveg Char"/>
    <w:link w:val="Jegyzetszveg"/>
    <w:uiPriority w:val="99"/>
    <w:rsid w:val="00B711CD"/>
    <w:rPr>
      <w:rFonts w:ascii="Garamond" w:hAnsi="Garamond"/>
    </w:rPr>
  </w:style>
  <w:style w:type="paragraph" w:styleId="Megjegyzstrgya">
    <w:name w:val="annotation subject"/>
    <w:basedOn w:val="Jegyzetszveg"/>
    <w:next w:val="Jegyzetszveg"/>
    <w:link w:val="MegjegyzstrgyaChar"/>
    <w:uiPriority w:val="99"/>
    <w:semiHidden/>
    <w:unhideWhenUsed/>
    <w:rsid w:val="00B711CD"/>
    <w:rPr>
      <w:b/>
      <w:bCs/>
    </w:rPr>
  </w:style>
  <w:style w:type="character" w:customStyle="1" w:styleId="MegjegyzstrgyaChar">
    <w:name w:val="Megjegyzés tárgya Char"/>
    <w:link w:val="Megjegyzstrgya"/>
    <w:uiPriority w:val="99"/>
    <w:semiHidden/>
    <w:rsid w:val="00B711CD"/>
    <w:rPr>
      <w:rFonts w:ascii="Garamond" w:hAnsi="Garamond"/>
      <w:b/>
      <w:bCs/>
    </w:rPr>
  </w:style>
  <w:style w:type="paragraph" w:styleId="Vltozat">
    <w:name w:val="Revision"/>
    <w:hidden/>
    <w:uiPriority w:val="99"/>
    <w:semiHidden/>
    <w:rsid w:val="0029177F"/>
    <w:rPr>
      <w:rFonts w:ascii="Garamond" w:hAnsi="Garamond"/>
      <w:sz w:val="24"/>
      <w:szCs w:val="24"/>
    </w:rPr>
  </w:style>
  <w:style w:type="paragraph" w:styleId="Listaszerbekezds">
    <w:name w:val="List Paragraph"/>
    <w:basedOn w:val="Norml"/>
    <w:uiPriority w:val="34"/>
    <w:qFormat/>
    <w:rsid w:val="00E443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917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F3A552-1C3C-462D-A8FA-C5D77E02E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1466</Words>
  <Characters>7872</Characters>
  <Application>Microsoft Office Word</Application>
  <DocSecurity>0</DocSecurity>
  <Lines>65</Lines>
  <Paragraphs>18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Bankszakjogi</dc:creator>
  <cp:keywords/>
  <cp:lastModifiedBy>Juhász Katalin</cp:lastModifiedBy>
  <cp:revision>4</cp:revision>
  <dcterms:created xsi:type="dcterms:W3CDTF">2024-03-13T17:29:00Z</dcterms:created>
  <dcterms:modified xsi:type="dcterms:W3CDTF">2024-03-27T11:41:00Z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Owner">
    <vt:lpwstr>kozmae@mnb.hu</vt:lpwstr>
  </property>
  <property fmtid="{D5CDD505-2E9C-101B-9397-08002B2CF9AE}" pid="5" name="MSIP_Label_b0d11092-50c9-4e74-84b5-b1af078dc3d0_SetDate">
    <vt:lpwstr>2021-09-22T13:17:15.2458655Z</vt:lpwstr>
  </property>
  <property fmtid="{D5CDD505-2E9C-101B-9397-08002B2CF9AE}" pid="6" name="MSIP_Label_b0d11092-50c9-4e74-84b5-b1af078dc3d0_Name">
    <vt:lpwstr>Protected</vt:lpwstr>
  </property>
  <property fmtid="{D5CDD505-2E9C-101B-9397-08002B2CF9AE}" pid="7" name="MSIP_Label_b0d11092-50c9-4e74-84b5-b1af078dc3d0_Application">
    <vt:lpwstr>Microsoft Azure Information Protection</vt:lpwstr>
  </property>
  <property fmtid="{D5CDD505-2E9C-101B-9397-08002B2CF9AE}" pid="8" name="MSIP_Label_b0d11092-50c9-4e74-84b5-b1af078dc3d0_ActionId">
    <vt:lpwstr>2bb1f4f5-73dd-4df7-b9cb-9db6cf3d665b</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2026-09-23T08:44:21Z</vt:filetime>
  </property>
  <property fmtid="{D5CDD505-2E9C-101B-9397-08002B2CF9AE}" pid="12" name="Érvényességet beállító">
    <vt:lpwstr>kozmae</vt:lpwstr>
  </property>
  <property fmtid="{D5CDD505-2E9C-101B-9397-08002B2CF9AE}" pid="13" name="Érvényességi idő első beállítása">
    <vt:filetime>2021-09-23T08:44:21Z</vt:filetime>
  </property>
</Properties>
</file>