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085B4" w14:textId="77777777" w:rsidR="00CA351E" w:rsidRPr="00D01F23" w:rsidRDefault="00CA351E">
      <w:pPr>
        <w:rPr>
          <w:rFonts w:ascii="Arial" w:hAnsi="Arial" w:cs="Arial"/>
          <w:b/>
          <w:sz w:val="20"/>
          <w:szCs w:val="20"/>
          <w:lang w:val="en-GB"/>
        </w:rPr>
      </w:pPr>
      <w:r w:rsidRPr="00D01F23">
        <w:rPr>
          <w:rFonts w:ascii="Arial" w:hAnsi="Arial" w:cs="Arial"/>
          <w:sz w:val="20"/>
          <w:szCs w:val="20"/>
          <w:lang w:val="en-GB"/>
        </w:rPr>
        <w:t xml:space="preserve">MNB identification number: </w:t>
      </w:r>
      <w:r w:rsidRPr="00D01F23">
        <w:rPr>
          <w:rFonts w:ascii="Arial" w:hAnsi="Arial" w:cs="Arial"/>
          <w:b/>
          <w:bCs/>
          <w:sz w:val="20"/>
          <w:szCs w:val="20"/>
          <w:lang w:val="en-GB"/>
        </w:rPr>
        <w:t>R01</w:t>
      </w:r>
    </w:p>
    <w:p w14:paraId="4FE650F6" w14:textId="77777777" w:rsidR="00CA351E" w:rsidRPr="00D01F23" w:rsidRDefault="00CA351E">
      <w:pPr>
        <w:rPr>
          <w:rFonts w:ascii="Arial" w:hAnsi="Arial" w:cs="Arial"/>
          <w:sz w:val="20"/>
          <w:szCs w:val="20"/>
          <w:lang w:val="en-GB"/>
        </w:rPr>
      </w:pPr>
    </w:p>
    <w:p w14:paraId="51BCCFE6" w14:textId="77777777" w:rsidR="00CA351E" w:rsidRPr="00D01F23" w:rsidRDefault="00CA351E">
      <w:pPr>
        <w:rPr>
          <w:rFonts w:ascii="Arial" w:hAnsi="Arial" w:cs="Arial"/>
          <w:sz w:val="20"/>
          <w:szCs w:val="20"/>
          <w:lang w:val="en-GB"/>
        </w:rPr>
      </w:pPr>
    </w:p>
    <w:p w14:paraId="53807EEC" w14:textId="77777777" w:rsidR="00CA351E" w:rsidRPr="00D01F23" w:rsidRDefault="00CA351E">
      <w:pPr>
        <w:jc w:val="center"/>
        <w:rPr>
          <w:rFonts w:ascii="Arial" w:hAnsi="Arial" w:cs="Arial"/>
          <w:b/>
          <w:sz w:val="20"/>
          <w:szCs w:val="20"/>
          <w:lang w:val="en-GB"/>
        </w:rPr>
      </w:pPr>
      <w:r w:rsidRPr="00D01F23">
        <w:rPr>
          <w:rFonts w:ascii="Arial" w:hAnsi="Arial" w:cs="Arial"/>
          <w:b/>
          <w:bCs/>
          <w:sz w:val="20"/>
          <w:szCs w:val="20"/>
          <w:lang w:val="en-GB"/>
        </w:rPr>
        <w:t>Completion instructions for the report</w:t>
      </w:r>
    </w:p>
    <w:p w14:paraId="039211CF" w14:textId="77777777" w:rsidR="00CA351E" w:rsidRPr="00D01F23" w:rsidRDefault="00CA351E">
      <w:pPr>
        <w:jc w:val="center"/>
        <w:rPr>
          <w:rFonts w:ascii="Arial" w:hAnsi="Arial" w:cs="Arial"/>
          <w:b/>
          <w:sz w:val="20"/>
          <w:szCs w:val="20"/>
          <w:lang w:val="en-GB"/>
        </w:rPr>
      </w:pPr>
    </w:p>
    <w:p w14:paraId="15C1DF29" w14:textId="77777777" w:rsidR="00CA351E" w:rsidRPr="00D01F23" w:rsidRDefault="00CA351E" w:rsidP="005E1315">
      <w:pPr>
        <w:jc w:val="center"/>
        <w:rPr>
          <w:rFonts w:ascii="Arial" w:hAnsi="Arial" w:cs="Arial"/>
          <w:b/>
          <w:sz w:val="20"/>
          <w:szCs w:val="20"/>
          <w:lang w:val="en-GB"/>
        </w:rPr>
      </w:pPr>
      <w:r w:rsidRPr="00D01F23">
        <w:rPr>
          <w:rFonts w:ascii="Arial" w:hAnsi="Arial" w:cs="Arial"/>
          <w:b/>
          <w:bCs/>
          <w:sz w:val="20"/>
          <w:szCs w:val="20"/>
          <w:lang w:val="en-GB"/>
        </w:rPr>
        <w:t>Registry information of the final investors and non-resident partners of data suppliers involved in capital investment</w:t>
      </w:r>
    </w:p>
    <w:p w14:paraId="499ADAC5" w14:textId="77777777" w:rsidR="00CA351E" w:rsidRPr="00D01F23" w:rsidRDefault="00CA351E">
      <w:pPr>
        <w:jc w:val="center"/>
        <w:rPr>
          <w:rFonts w:ascii="Arial" w:hAnsi="Arial" w:cs="Arial"/>
          <w:b/>
          <w:sz w:val="20"/>
          <w:szCs w:val="20"/>
          <w:lang w:val="en-GB"/>
        </w:rPr>
      </w:pPr>
    </w:p>
    <w:p w14:paraId="54C79E38" w14:textId="77777777" w:rsidR="00CA351E" w:rsidRPr="00D01F23" w:rsidRDefault="00CA351E">
      <w:pPr>
        <w:pStyle w:val="Cmsor1"/>
        <w:rPr>
          <w:rFonts w:ascii="Arial" w:hAnsi="Arial" w:cs="Arial"/>
          <w:bCs w:val="0"/>
          <w:sz w:val="20"/>
          <w:szCs w:val="20"/>
          <w:lang w:val="en-GB"/>
        </w:rPr>
      </w:pPr>
      <w:r w:rsidRPr="00D01F23">
        <w:rPr>
          <w:rFonts w:ascii="Arial" w:hAnsi="Arial" w:cs="Arial"/>
          <w:sz w:val="20"/>
          <w:szCs w:val="20"/>
          <w:lang w:val="en-GB"/>
        </w:rPr>
        <w:t>I. General instructions</w:t>
      </w:r>
    </w:p>
    <w:p w14:paraId="090D9E58" w14:textId="77777777" w:rsidR="00CA351E" w:rsidRPr="00D01F23" w:rsidRDefault="00CA351E">
      <w:pPr>
        <w:jc w:val="both"/>
        <w:rPr>
          <w:rFonts w:ascii="Arial" w:hAnsi="Arial" w:cs="Arial"/>
          <w:sz w:val="20"/>
          <w:szCs w:val="20"/>
          <w:lang w:val="en-GB"/>
        </w:rPr>
      </w:pPr>
    </w:p>
    <w:p w14:paraId="6A803AD5" w14:textId="77777777" w:rsidR="00CA351E" w:rsidRPr="00D01F23" w:rsidRDefault="005E1315" w:rsidP="005E1315">
      <w:pPr>
        <w:jc w:val="both"/>
        <w:rPr>
          <w:rFonts w:ascii="Arial" w:hAnsi="Arial" w:cs="Arial"/>
          <w:sz w:val="20"/>
          <w:szCs w:val="20"/>
          <w:lang w:val="en-GB"/>
        </w:rPr>
      </w:pPr>
      <w:r w:rsidRPr="00D01F23">
        <w:rPr>
          <w:rFonts w:ascii="Arial" w:hAnsi="Arial" w:cs="Arial"/>
          <w:sz w:val="20"/>
          <w:szCs w:val="20"/>
          <w:lang w:val="en-GB"/>
        </w:rPr>
        <w:t>1. In this report data suppliers shall report the registry data of</w:t>
      </w:r>
    </w:p>
    <w:p w14:paraId="545DE54E" w14:textId="77777777" w:rsidR="00CA351E" w:rsidRPr="00D01F23" w:rsidRDefault="00CA351E" w:rsidP="005E1315">
      <w:pPr>
        <w:numPr>
          <w:ilvl w:val="0"/>
          <w:numId w:val="23"/>
        </w:numPr>
        <w:jc w:val="both"/>
        <w:rPr>
          <w:rFonts w:ascii="Arial" w:hAnsi="Arial" w:cs="Arial"/>
          <w:sz w:val="20"/>
          <w:szCs w:val="20"/>
          <w:lang w:val="en-GB"/>
        </w:rPr>
      </w:pPr>
      <w:r w:rsidRPr="00D01F23">
        <w:rPr>
          <w:rFonts w:ascii="Arial" w:hAnsi="Arial" w:cs="Arial"/>
          <w:sz w:val="20"/>
          <w:szCs w:val="20"/>
          <w:lang w:val="en-GB"/>
        </w:rPr>
        <w:t>non-resident partners, for which the business entity is obligated to submit data supplies with identification codes R02, R03, R12, R13 or R29, and</w:t>
      </w:r>
    </w:p>
    <w:p w14:paraId="3132B8B4" w14:textId="77777777" w:rsidR="00CA351E" w:rsidRPr="00D01F23" w:rsidRDefault="00CA351E" w:rsidP="005E1315">
      <w:pPr>
        <w:numPr>
          <w:ilvl w:val="0"/>
          <w:numId w:val="23"/>
        </w:numPr>
        <w:jc w:val="both"/>
        <w:rPr>
          <w:rFonts w:ascii="Arial" w:hAnsi="Arial" w:cs="Arial"/>
          <w:sz w:val="20"/>
          <w:szCs w:val="20"/>
          <w:lang w:val="en-GB"/>
        </w:rPr>
      </w:pPr>
      <w:r w:rsidRPr="00D01F23">
        <w:rPr>
          <w:rFonts w:ascii="Arial" w:hAnsi="Arial" w:cs="Arial"/>
          <w:sz w:val="20"/>
          <w:szCs w:val="20"/>
          <w:lang w:val="en-GB"/>
        </w:rPr>
        <w:t>its resident or non-resident final investor, foreign members of the enterprise group having a direct voting power in the data supplier and the foreign members of the enterprise group in which the data supplier has a direct voting power, even if otherwise it has no data disclosure obligation with respect to these partners in the data supply submitted in accordance with point a).</w:t>
      </w:r>
    </w:p>
    <w:p w14:paraId="01E4A34B" w14:textId="77777777" w:rsidR="00CA351E" w:rsidRPr="00D01F23" w:rsidRDefault="00CA351E" w:rsidP="005E1315">
      <w:pPr>
        <w:jc w:val="both"/>
        <w:rPr>
          <w:rFonts w:ascii="Arial" w:hAnsi="Arial" w:cs="Arial"/>
          <w:sz w:val="20"/>
          <w:szCs w:val="20"/>
          <w:lang w:val="en-GB"/>
        </w:rPr>
      </w:pPr>
      <w:r w:rsidRPr="00D01F23">
        <w:rPr>
          <w:rFonts w:ascii="Arial" w:hAnsi="Arial" w:cs="Arial"/>
          <w:sz w:val="20"/>
          <w:szCs w:val="20"/>
          <w:lang w:val="en-GB"/>
        </w:rPr>
        <w:t>The table of this data supply must be completed separately for each partner subject to disclosure requirements.</w:t>
      </w:r>
    </w:p>
    <w:p w14:paraId="3B5915D1" w14:textId="77777777" w:rsidR="00CA351E" w:rsidRPr="00D01F23" w:rsidRDefault="00CA351E" w:rsidP="005E1315">
      <w:pPr>
        <w:spacing w:before="120"/>
        <w:jc w:val="both"/>
        <w:rPr>
          <w:rFonts w:ascii="Arial" w:hAnsi="Arial" w:cs="Arial"/>
          <w:sz w:val="20"/>
          <w:szCs w:val="20"/>
          <w:lang w:val="en-GB"/>
        </w:rPr>
      </w:pPr>
      <w:r w:rsidRPr="00D01F23">
        <w:rPr>
          <w:rFonts w:ascii="Arial" w:hAnsi="Arial" w:cs="Arial"/>
          <w:sz w:val="20"/>
          <w:szCs w:val="20"/>
          <w:lang w:val="en-GB"/>
        </w:rPr>
        <w:t>2. The data supply shall be submitted by</w:t>
      </w:r>
    </w:p>
    <w:p w14:paraId="63A6B4CA" w14:textId="77777777" w:rsidR="00CA351E" w:rsidRPr="00D01F23" w:rsidRDefault="00CA351E" w:rsidP="005E1315">
      <w:pPr>
        <w:ind w:left="360" w:hanging="360"/>
        <w:jc w:val="both"/>
        <w:rPr>
          <w:rFonts w:ascii="Arial" w:hAnsi="Arial" w:cs="Arial"/>
          <w:sz w:val="20"/>
          <w:szCs w:val="20"/>
          <w:lang w:val="en-GB"/>
        </w:rPr>
      </w:pPr>
      <w:r w:rsidRPr="00D01F23">
        <w:rPr>
          <w:rFonts w:ascii="Arial" w:hAnsi="Arial" w:cs="Arial"/>
          <w:sz w:val="20"/>
          <w:szCs w:val="20"/>
          <w:lang w:val="en-GB"/>
        </w:rPr>
        <w:t>a)</w:t>
      </w:r>
      <w:r w:rsidRPr="00D01F23">
        <w:rPr>
          <w:rFonts w:ascii="Arial" w:hAnsi="Arial" w:cs="Arial"/>
          <w:sz w:val="20"/>
          <w:szCs w:val="20"/>
          <w:lang w:val="en-GB"/>
        </w:rPr>
        <w:tab/>
        <w:t>the 9</w:t>
      </w:r>
      <w:r w:rsidRPr="00D01F23">
        <w:rPr>
          <w:rFonts w:ascii="Arial" w:hAnsi="Arial" w:cs="Arial"/>
          <w:sz w:val="20"/>
          <w:szCs w:val="20"/>
          <w:vertAlign w:val="superscript"/>
          <w:lang w:val="en-GB"/>
        </w:rPr>
        <w:t>th</w:t>
      </w:r>
      <w:r w:rsidRPr="00D01F23">
        <w:rPr>
          <w:rFonts w:ascii="Arial" w:hAnsi="Arial" w:cs="Arial"/>
          <w:sz w:val="20"/>
          <w:szCs w:val="20"/>
          <w:lang w:val="en-GB"/>
        </w:rPr>
        <w:t xml:space="preserve"> working day of the month following the reference period for which the data supplier submitted reports as specified in point 1a) under identification codes R02, R03, R12 or R13 for the first time, or by the 20th of June of the year following the reference period of report with identification code R29 submitted by the data supplier with respect to a partner,</w:t>
      </w:r>
    </w:p>
    <w:p w14:paraId="0D728D44" w14:textId="77777777" w:rsidR="00CA351E" w:rsidRPr="00D01F23" w:rsidRDefault="00CA351E" w:rsidP="005E1315">
      <w:pPr>
        <w:ind w:left="360" w:hanging="360"/>
        <w:jc w:val="both"/>
        <w:rPr>
          <w:rFonts w:ascii="Arial" w:hAnsi="Arial" w:cs="Arial"/>
          <w:sz w:val="20"/>
          <w:szCs w:val="20"/>
          <w:lang w:val="en-GB"/>
        </w:rPr>
      </w:pPr>
      <w:r w:rsidRPr="00D01F23">
        <w:rPr>
          <w:rFonts w:ascii="Arial" w:hAnsi="Arial" w:cs="Arial"/>
          <w:sz w:val="20"/>
          <w:szCs w:val="20"/>
          <w:lang w:val="en-GB"/>
        </w:rPr>
        <w:t>b)</w:t>
      </w:r>
      <w:r w:rsidRPr="00D01F23">
        <w:rPr>
          <w:rFonts w:ascii="Arial" w:hAnsi="Arial" w:cs="Arial"/>
          <w:sz w:val="20"/>
          <w:szCs w:val="20"/>
          <w:lang w:val="en-GB"/>
        </w:rPr>
        <w:tab/>
        <w:t>the 9</w:t>
      </w:r>
      <w:r w:rsidRPr="00D01F23">
        <w:rPr>
          <w:rFonts w:ascii="Arial" w:hAnsi="Arial" w:cs="Arial"/>
          <w:sz w:val="20"/>
          <w:szCs w:val="20"/>
          <w:vertAlign w:val="superscript"/>
          <w:lang w:val="en-GB"/>
        </w:rPr>
        <w:t>th</w:t>
      </w:r>
      <w:r w:rsidRPr="00D01F23">
        <w:rPr>
          <w:rFonts w:ascii="Arial" w:hAnsi="Arial" w:cs="Arial"/>
          <w:sz w:val="20"/>
          <w:szCs w:val="20"/>
          <w:lang w:val="en-GB"/>
        </w:rPr>
        <w:t xml:space="preserve"> working day of the month following the reference period for which the data supplier submitted reports as specified in point 1b) under identification codes R02, R03, R12 or R13 for the first time, or by the 20th of June of the year following the reference period of report with the identification code R29 submitted for the first time, and</w:t>
      </w:r>
    </w:p>
    <w:p w14:paraId="7EA2220C" w14:textId="390E746F" w:rsidR="00CA351E" w:rsidRPr="00D01F23" w:rsidRDefault="00CA351E" w:rsidP="005D3156">
      <w:pPr>
        <w:ind w:left="360" w:hanging="360"/>
        <w:jc w:val="both"/>
        <w:rPr>
          <w:rFonts w:ascii="Arial" w:hAnsi="Arial" w:cs="Arial"/>
          <w:sz w:val="20"/>
          <w:szCs w:val="20"/>
          <w:lang w:val="en-GB"/>
        </w:rPr>
      </w:pPr>
      <w:r w:rsidRPr="00D01F23">
        <w:rPr>
          <w:rFonts w:ascii="Arial" w:hAnsi="Arial" w:cs="Arial"/>
          <w:sz w:val="20"/>
          <w:szCs w:val="20"/>
          <w:lang w:val="en-GB"/>
        </w:rPr>
        <w:t>c)</w:t>
      </w:r>
      <w:r w:rsidRPr="00D01F23">
        <w:rPr>
          <w:rFonts w:ascii="Arial" w:hAnsi="Arial" w:cs="Arial"/>
          <w:sz w:val="20"/>
          <w:szCs w:val="20"/>
          <w:lang w:val="en-GB"/>
        </w:rPr>
        <w:tab/>
        <w:t>for a partner for which a data report has been submitted earlier, any time whenever the data previously reported for the partner changed. In the case of a change in data, all fields of the re</w:t>
      </w:r>
      <w:r w:rsidR="006A33E8">
        <w:rPr>
          <w:rFonts w:ascii="Arial" w:hAnsi="Arial" w:cs="Arial"/>
          <w:sz w:val="20"/>
          <w:szCs w:val="20"/>
          <w:lang w:val="en-GB"/>
        </w:rPr>
        <w:t>port</w:t>
      </w:r>
      <w:r w:rsidRPr="00D01F23">
        <w:rPr>
          <w:rFonts w:ascii="Arial" w:hAnsi="Arial" w:cs="Arial"/>
          <w:sz w:val="20"/>
          <w:szCs w:val="20"/>
          <w:lang w:val="en-GB"/>
        </w:rPr>
        <w:t xml:space="preserve"> must be completed again, entering 0-1-0 in rows 16 to 18. Even if the counterparty is dissolved or leaves the group, all fields of the re</w:t>
      </w:r>
      <w:r w:rsidR="006A33E8">
        <w:rPr>
          <w:rFonts w:ascii="Arial" w:hAnsi="Arial" w:cs="Arial"/>
          <w:sz w:val="20"/>
          <w:szCs w:val="20"/>
          <w:lang w:val="en-GB"/>
        </w:rPr>
        <w:t>port</w:t>
      </w:r>
      <w:r w:rsidRPr="00D01F23">
        <w:rPr>
          <w:rFonts w:ascii="Arial" w:hAnsi="Arial" w:cs="Arial"/>
          <w:sz w:val="20"/>
          <w:szCs w:val="20"/>
          <w:lang w:val="en-GB"/>
        </w:rPr>
        <w:t xml:space="preserve"> must be completed again, entering 0-0-1 in rows 16 to 18.</w:t>
      </w:r>
    </w:p>
    <w:p w14:paraId="2D0116FA" w14:textId="77777777" w:rsidR="00CA351E" w:rsidRPr="00D01F23" w:rsidRDefault="00CA351E">
      <w:pPr>
        <w:jc w:val="both"/>
        <w:rPr>
          <w:rFonts w:ascii="Arial" w:hAnsi="Arial" w:cs="Arial"/>
          <w:sz w:val="20"/>
          <w:szCs w:val="20"/>
          <w:lang w:val="en-GB"/>
        </w:rPr>
      </w:pPr>
    </w:p>
    <w:p w14:paraId="1DDB4EF6" w14:textId="55C3B0B2" w:rsidR="00CA351E" w:rsidRPr="00D01F23" w:rsidRDefault="005D3156" w:rsidP="005D3156">
      <w:pPr>
        <w:jc w:val="both"/>
        <w:rPr>
          <w:rFonts w:ascii="Arial" w:hAnsi="Arial" w:cs="Arial"/>
          <w:sz w:val="20"/>
          <w:szCs w:val="20"/>
          <w:lang w:val="en-GB"/>
        </w:rPr>
      </w:pPr>
      <w:r w:rsidRPr="00D01F23">
        <w:rPr>
          <w:rFonts w:ascii="Arial" w:hAnsi="Arial" w:cs="Arial"/>
          <w:sz w:val="20"/>
          <w:szCs w:val="20"/>
          <w:lang w:val="en-GB"/>
        </w:rPr>
        <w:t>3. For a glossary of the terms used in the table and in these completion instructions, see Section I.E.5 of this Annex.</w:t>
      </w:r>
    </w:p>
    <w:p w14:paraId="0170FA8E" w14:textId="77777777" w:rsidR="00CA351E" w:rsidRPr="00D01F23" w:rsidRDefault="00CA351E">
      <w:pPr>
        <w:jc w:val="both"/>
        <w:rPr>
          <w:rFonts w:ascii="Arial" w:hAnsi="Arial" w:cs="Arial"/>
          <w:sz w:val="20"/>
          <w:szCs w:val="20"/>
          <w:lang w:val="en-GB"/>
        </w:rPr>
      </w:pPr>
    </w:p>
    <w:p w14:paraId="6648BC20" w14:textId="77777777" w:rsidR="00CA351E" w:rsidRPr="00D01F23" w:rsidRDefault="00CA351E">
      <w:pPr>
        <w:jc w:val="both"/>
        <w:rPr>
          <w:rFonts w:ascii="Arial" w:hAnsi="Arial" w:cs="Arial"/>
          <w:sz w:val="20"/>
          <w:szCs w:val="20"/>
          <w:lang w:val="en-GB"/>
        </w:rPr>
      </w:pPr>
    </w:p>
    <w:p w14:paraId="0F660DB7" w14:textId="77777777" w:rsidR="00CA351E" w:rsidRPr="00D01F23" w:rsidRDefault="00CA351E">
      <w:pPr>
        <w:jc w:val="both"/>
        <w:rPr>
          <w:rFonts w:ascii="Arial" w:hAnsi="Arial" w:cs="Arial"/>
          <w:b/>
          <w:sz w:val="20"/>
          <w:szCs w:val="20"/>
          <w:lang w:val="en-GB"/>
        </w:rPr>
      </w:pPr>
      <w:r w:rsidRPr="00D01F23">
        <w:rPr>
          <w:rFonts w:ascii="Arial" w:hAnsi="Arial" w:cs="Arial"/>
          <w:b/>
          <w:bCs/>
          <w:sz w:val="20"/>
          <w:szCs w:val="20"/>
          <w:lang w:val="en-GB"/>
        </w:rPr>
        <w:t>II. Detailed instructions for the completion of the tables</w:t>
      </w:r>
    </w:p>
    <w:p w14:paraId="5928EE9C" w14:textId="77777777" w:rsidR="00CA351E" w:rsidRPr="00D01F23" w:rsidRDefault="00CA351E">
      <w:pPr>
        <w:jc w:val="both"/>
        <w:rPr>
          <w:rFonts w:ascii="Arial" w:hAnsi="Arial" w:cs="Arial"/>
          <w:sz w:val="20"/>
          <w:szCs w:val="20"/>
          <w:lang w:val="en-GB"/>
        </w:rPr>
      </w:pPr>
    </w:p>
    <w:p w14:paraId="1256BB4E" w14:textId="77777777" w:rsidR="00CA351E" w:rsidRPr="00D01F23" w:rsidRDefault="00CA351E">
      <w:pPr>
        <w:jc w:val="both"/>
        <w:rPr>
          <w:rFonts w:ascii="Arial" w:hAnsi="Arial" w:cs="Arial"/>
          <w:sz w:val="20"/>
          <w:szCs w:val="20"/>
          <w:lang w:val="en-GB"/>
        </w:rPr>
      </w:pPr>
      <w:r w:rsidRPr="00D01F23">
        <w:rPr>
          <w:rFonts w:ascii="Arial" w:hAnsi="Arial" w:cs="Arial"/>
          <w:sz w:val="20"/>
          <w:szCs w:val="20"/>
          <w:lang w:val="en-GB"/>
        </w:rPr>
        <w:t>4. Definition of the reference period</w:t>
      </w:r>
    </w:p>
    <w:p w14:paraId="245C50A4" w14:textId="08634B35" w:rsidR="00CA351E" w:rsidRPr="00D01F23" w:rsidRDefault="00CA351E" w:rsidP="005E1315">
      <w:pPr>
        <w:jc w:val="both"/>
        <w:rPr>
          <w:rFonts w:ascii="Arial" w:hAnsi="Arial" w:cs="Arial"/>
          <w:sz w:val="20"/>
          <w:szCs w:val="20"/>
          <w:lang w:val="en-GB"/>
        </w:rPr>
      </w:pPr>
      <w:r w:rsidRPr="00D01F23">
        <w:rPr>
          <w:rFonts w:ascii="Arial" w:hAnsi="Arial" w:cs="Arial"/>
          <w:sz w:val="20"/>
          <w:szCs w:val="20"/>
          <w:lang w:val="en-GB"/>
        </w:rPr>
        <w:t xml:space="preserve">Report with identification code R01 is submitted with occasional frequency, and its reference period covers a specific calendar day. The reference period of report R01 related to reports identified under codes R02, R03 and R29, shall be the first day of the month, from which the partner data or modified partner data reported in the specific data supply are effective. The </w:t>
      </w:r>
      <w:r w:rsidR="00315FDB">
        <w:rPr>
          <w:rFonts w:ascii="Arial" w:hAnsi="Arial" w:cs="Arial"/>
          <w:sz w:val="20"/>
          <w:szCs w:val="20"/>
          <w:lang w:val="en-GB"/>
        </w:rPr>
        <w:t>r</w:t>
      </w:r>
      <w:r w:rsidRPr="00D01F23">
        <w:rPr>
          <w:rFonts w:ascii="Arial" w:hAnsi="Arial" w:cs="Arial"/>
          <w:sz w:val="20"/>
          <w:szCs w:val="20"/>
          <w:lang w:val="en-GB"/>
        </w:rPr>
        <w:t>eference period of report with identification code R01 related to reports identified under codes R12 and R13 shall be the first day of the quarter, from which the data reported or modified for the partner in the specific data supply are effective.</w:t>
      </w:r>
    </w:p>
    <w:p w14:paraId="048E6AFD" w14:textId="77777777" w:rsidR="00CA351E" w:rsidRPr="00D01F23" w:rsidRDefault="00CA351E">
      <w:pPr>
        <w:jc w:val="both"/>
        <w:rPr>
          <w:rFonts w:ascii="Arial" w:hAnsi="Arial" w:cs="Arial"/>
          <w:sz w:val="20"/>
          <w:szCs w:val="20"/>
          <w:lang w:val="en-GB"/>
        </w:rPr>
      </w:pPr>
    </w:p>
    <w:p w14:paraId="66AB235B" w14:textId="77777777" w:rsidR="00CA351E" w:rsidRPr="00D01F23" w:rsidRDefault="00CA351E">
      <w:pPr>
        <w:jc w:val="both"/>
        <w:rPr>
          <w:rFonts w:ascii="Arial" w:hAnsi="Arial" w:cs="Arial"/>
          <w:sz w:val="20"/>
          <w:szCs w:val="20"/>
          <w:lang w:val="en-GB"/>
        </w:rPr>
      </w:pPr>
      <w:r w:rsidRPr="00D01F23">
        <w:rPr>
          <w:rFonts w:ascii="Arial" w:hAnsi="Arial" w:cs="Arial"/>
          <w:sz w:val="20"/>
          <w:szCs w:val="20"/>
          <w:lang w:val="en-GB"/>
        </w:rPr>
        <w:t>If a submitted report contains incorrect data, which the data supplier wishes to correct, it shall repeatedly submit a modified data supply for the same reference period as stated in the incorrect report.</w:t>
      </w:r>
    </w:p>
    <w:p w14:paraId="4E7843C8" w14:textId="77777777" w:rsidR="00CA351E" w:rsidRPr="00D01F23" w:rsidRDefault="00CA351E" w:rsidP="005E1315">
      <w:pPr>
        <w:jc w:val="both"/>
        <w:rPr>
          <w:rFonts w:ascii="Arial" w:hAnsi="Arial" w:cs="Arial"/>
          <w:sz w:val="20"/>
          <w:szCs w:val="20"/>
          <w:lang w:val="en-GB"/>
        </w:rPr>
      </w:pPr>
      <w:r w:rsidRPr="00D01F23">
        <w:rPr>
          <w:rFonts w:ascii="Arial" w:hAnsi="Arial" w:cs="Arial"/>
          <w:sz w:val="20"/>
          <w:szCs w:val="20"/>
          <w:lang w:val="en-GB"/>
        </w:rPr>
        <w:t xml:space="preserve">If the partner’s registry data reported by the data supplier are subsequently changed, the </w:t>
      </w:r>
      <w:proofErr w:type="spellStart"/>
      <w:r w:rsidRPr="00D01F23">
        <w:rPr>
          <w:rFonts w:ascii="Arial" w:hAnsi="Arial" w:cs="Arial"/>
          <w:sz w:val="20"/>
          <w:szCs w:val="20"/>
          <w:lang w:val="en-GB"/>
        </w:rPr>
        <w:t>TORZS</w:t>
      </w:r>
      <w:proofErr w:type="spellEnd"/>
      <w:r w:rsidRPr="00D01F23">
        <w:rPr>
          <w:rFonts w:ascii="Arial" w:hAnsi="Arial" w:cs="Arial"/>
          <w:sz w:val="20"/>
          <w:szCs w:val="20"/>
          <w:lang w:val="en-GB"/>
        </w:rPr>
        <w:t xml:space="preserve"> (‘REGISTRY DATA‘) table must be completed with the partner’s data and submitted for the date of the change as the reference period.</w:t>
      </w:r>
    </w:p>
    <w:p w14:paraId="76CD34CE" w14:textId="4F5E808B" w:rsidR="005D3156" w:rsidRPr="00D01F23" w:rsidRDefault="005D3156" w:rsidP="005D3156">
      <w:pPr>
        <w:jc w:val="both"/>
        <w:rPr>
          <w:rFonts w:ascii="Arial" w:hAnsi="Arial" w:cs="Arial"/>
          <w:sz w:val="20"/>
          <w:szCs w:val="20"/>
          <w:lang w:val="en-GB"/>
        </w:rPr>
      </w:pPr>
    </w:p>
    <w:p w14:paraId="396FCB48" w14:textId="77777777" w:rsidR="005D3156" w:rsidRPr="00D01F23" w:rsidRDefault="005D3156" w:rsidP="005D3156">
      <w:pPr>
        <w:jc w:val="both"/>
        <w:rPr>
          <w:rFonts w:ascii="Arial" w:hAnsi="Arial" w:cs="Arial"/>
          <w:sz w:val="20"/>
          <w:szCs w:val="20"/>
          <w:lang w:val="en-GB"/>
        </w:rPr>
      </w:pPr>
      <w:r w:rsidRPr="00D01F23">
        <w:rPr>
          <w:rFonts w:ascii="Arial" w:hAnsi="Arial" w:cs="Arial"/>
          <w:sz w:val="20"/>
          <w:szCs w:val="20"/>
          <w:lang w:val="en-GB"/>
        </w:rPr>
        <w:t>The main activity should also be designated according to NACE Rev.2/</w:t>
      </w:r>
      <w:proofErr w:type="spellStart"/>
      <w:r w:rsidRPr="00D01F23">
        <w:rPr>
          <w:rFonts w:ascii="Arial" w:hAnsi="Arial" w:cs="Arial"/>
          <w:sz w:val="20"/>
          <w:szCs w:val="20"/>
          <w:lang w:val="en-GB"/>
        </w:rPr>
        <w:t>TEÁOR</w:t>
      </w:r>
      <w:proofErr w:type="spellEnd"/>
      <w:r w:rsidRPr="00D01F23">
        <w:rPr>
          <w:rFonts w:ascii="Arial" w:hAnsi="Arial" w:cs="Arial"/>
          <w:sz w:val="20"/>
          <w:szCs w:val="20"/>
          <w:lang w:val="en-GB"/>
        </w:rPr>
        <w:t xml:space="preserve"> 2008 and NACE Rev.2.1/</w:t>
      </w:r>
      <w:proofErr w:type="spellStart"/>
      <w:r w:rsidRPr="00D01F23">
        <w:rPr>
          <w:rFonts w:ascii="Arial" w:hAnsi="Arial" w:cs="Arial"/>
          <w:sz w:val="20"/>
          <w:szCs w:val="20"/>
          <w:lang w:val="en-GB"/>
        </w:rPr>
        <w:t>TEÁOR</w:t>
      </w:r>
      <w:proofErr w:type="spellEnd"/>
      <w:r w:rsidRPr="00D01F23">
        <w:rPr>
          <w:rFonts w:ascii="Arial" w:hAnsi="Arial" w:cs="Arial"/>
          <w:sz w:val="20"/>
          <w:szCs w:val="20"/>
          <w:lang w:val="en-GB"/>
        </w:rPr>
        <w:t xml:space="preserve"> 2025.</w:t>
      </w:r>
    </w:p>
    <w:p w14:paraId="10D65A28" w14:textId="77777777" w:rsidR="005D3156" w:rsidRPr="00D01F23" w:rsidRDefault="005D3156" w:rsidP="005D3156">
      <w:pPr>
        <w:spacing w:before="120"/>
        <w:jc w:val="both"/>
        <w:rPr>
          <w:rFonts w:ascii="Arial" w:hAnsi="Arial" w:cs="Arial"/>
          <w:sz w:val="20"/>
          <w:szCs w:val="20"/>
          <w:lang w:val="en-GB"/>
        </w:rPr>
      </w:pPr>
      <w:r w:rsidRPr="00D01F23">
        <w:rPr>
          <w:rFonts w:ascii="Arial" w:hAnsi="Arial" w:cs="Arial"/>
          <w:sz w:val="20"/>
          <w:szCs w:val="20"/>
          <w:lang w:val="en-GB"/>
        </w:rPr>
        <w:t>The grey fields in the table cannot be filled in.</w:t>
      </w:r>
    </w:p>
    <w:p w14:paraId="0A4D7193" w14:textId="77777777" w:rsidR="00CA351E" w:rsidRPr="00D01F23" w:rsidRDefault="00CA351E">
      <w:pPr>
        <w:jc w:val="both"/>
        <w:rPr>
          <w:rFonts w:ascii="Arial" w:hAnsi="Arial" w:cs="Arial"/>
          <w:sz w:val="20"/>
          <w:szCs w:val="20"/>
          <w:lang w:val="en-GB"/>
        </w:rPr>
      </w:pPr>
    </w:p>
    <w:p w14:paraId="580ABAFD" w14:textId="77777777" w:rsidR="00DA6B0A" w:rsidRPr="00D01F23" w:rsidRDefault="00DA6B0A">
      <w:pPr>
        <w:jc w:val="both"/>
        <w:rPr>
          <w:rFonts w:ascii="Arial" w:hAnsi="Arial" w:cs="Arial"/>
          <w:sz w:val="20"/>
          <w:szCs w:val="20"/>
          <w:lang w:val="en-GB"/>
        </w:rPr>
      </w:pPr>
    </w:p>
    <w:p w14:paraId="2EB46AA8" w14:textId="77777777" w:rsidR="008F2F59" w:rsidRPr="00D01F23" w:rsidRDefault="008F2F59" w:rsidP="005E1315">
      <w:pPr>
        <w:jc w:val="both"/>
        <w:rPr>
          <w:rFonts w:ascii="Arial" w:hAnsi="Arial" w:cs="Arial"/>
          <w:sz w:val="20"/>
          <w:szCs w:val="20"/>
          <w:lang w:val="en-GB"/>
        </w:rPr>
      </w:pPr>
      <w:r w:rsidRPr="00D01F23">
        <w:rPr>
          <w:rFonts w:ascii="Arial" w:hAnsi="Arial" w:cs="Arial"/>
          <w:sz w:val="20"/>
          <w:szCs w:val="20"/>
          <w:lang w:val="en-GB"/>
        </w:rPr>
        <w:t xml:space="preserve">At ’Partner’s name’ the whole name of the partner must be reported in compliance with the corporate deeds. At ’Registered office’ of the partner the country of the partner’s registered seat must be reported if the partner is a company and the country of the residence address in the case of a private individual. The partner identification code - with the exception of partners reported as resident final investors – is an alphanumeric code defined by the data supplier where small and capital letters are not differentiated. In the case of a partner reported as a resident final investor the </w:t>
      </w:r>
      <w:proofErr w:type="spellStart"/>
      <w:r w:rsidRPr="00D01F23">
        <w:rPr>
          <w:rFonts w:ascii="Arial" w:hAnsi="Arial" w:cs="Arial"/>
          <w:sz w:val="20"/>
          <w:szCs w:val="20"/>
          <w:lang w:val="en-GB"/>
        </w:rPr>
        <w:t>KSH</w:t>
      </w:r>
      <w:proofErr w:type="spellEnd"/>
      <w:r w:rsidRPr="00D01F23">
        <w:rPr>
          <w:rFonts w:ascii="Arial" w:hAnsi="Arial" w:cs="Arial"/>
          <w:sz w:val="20"/>
          <w:szCs w:val="20"/>
          <w:lang w:val="en-GB"/>
        </w:rPr>
        <w:t xml:space="preserve"> (Central Statistical </w:t>
      </w:r>
      <w:proofErr w:type="spellStart"/>
      <w:r w:rsidRPr="00D01F23">
        <w:rPr>
          <w:rFonts w:ascii="Arial" w:hAnsi="Arial" w:cs="Arial"/>
          <w:sz w:val="20"/>
          <w:szCs w:val="20"/>
          <w:lang w:val="en-GB"/>
        </w:rPr>
        <w:t>Ofice</w:t>
      </w:r>
      <w:proofErr w:type="spellEnd"/>
      <w:r w:rsidRPr="00D01F23">
        <w:rPr>
          <w:rFonts w:ascii="Arial" w:hAnsi="Arial" w:cs="Arial"/>
          <w:sz w:val="20"/>
          <w:szCs w:val="20"/>
          <w:lang w:val="en-GB"/>
        </w:rPr>
        <w:t>) number (the first 8 characters of the tax number) shall be indicated.</w:t>
      </w:r>
    </w:p>
    <w:p w14:paraId="5A6C7457" w14:textId="77777777" w:rsidR="00DA6B0A" w:rsidRPr="00D01F23" w:rsidRDefault="00DA6B0A">
      <w:pPr>
        <w:jc w:val="both"/>
        <w:rPr>
          <w:rFonts w:ascii="Arial" w:hAnsi="Arial" w:cs="Arial"/>
          <w:sz w:val="20"/>
          <w:szCs w:val="20"/>
          <w:lang w:val="en-GB"/>
        </w:rPr>
      </w:pPr>
    </w:p>
    <w:p w14:paraId="0DB8081F" w14:textId="79834FBD" w:rsidR="008F1820" w:rsidRPr="00D01F23" w:rsidRDefault="008F1820" w:rsidP="008F1820">
      <w:pPr>
        <w:jc w:val="both"/>
        <w:rPr>
          <w:rFonts w:ascii="Arial" w:hAnsi="Arial" w:cs="Arial"/>
          <w:sz w:val="20"/>
          <w:szCs w:val="20"/>
          <w:lang w:val="en-GB"/>
        </w:rPr>
      </w:pPr>
      <w:r w:rsidRPr="00D01F23">
        <w:rPr>
          <w:rFonts w:ascii="Arial" w:hAnsi="Arial" w:cs="Arial"/>
          <w:sz w:val="20"/>
          <w:szCs w:val="20"/>
          <w:lang w:val="en-GB"/>
        </w:rPr>
        <w:t xml:space="preserve">The codes to be used in </w:t>
      </w:r>
      <w:r w:rsidR="007632B1">
        <w:rPr>
          <w:rFonts w:ascii="Arial" w:hAnsi="Arial" w:cs="Arial"/>
          <w:sz w:val="20"/>
          <w:szCs w:val="20"/>
          <w:lang w:val="en-GB"/>
        </w:rPr>
        <w:t xml:space="preserve">the </w:t>
      </w:r>
      <w:r w:rsidRPr="00D01F23">
        <w:rPr>
          <w:rFonts w:ascii="Arial" w:hAnsi="Arial" w:cs="Arial"/>
          <w:sz w:val="20"/>
          <w:szCs w:val="20"/>
          <w:lang w:val="en-GB"/>
        </w:rPr>
        <w:t xml:space="preserve">table are provided in the technical guidelines referred to in Section 4.9 of Annex 3, published on the </w:t>
      </w:r>
      <w:proofErr w:type="spellStart"/>
      <w:r w:rsidRPr="00D01F23">
        <w:rPr>
          <w:rFonts w:ascii="Arial" w:hAnsi="Arial" w:cs="Arial"/>
          <w:sz w:val="20"/>
          <w:szCs w:val="20"/>
          <w:lang w:val="en-GB"/>
        </w:rPr>
        <w:t>MNB’s</w:t>
      </w:r>
      <w:proofErr w:type="spellEnd"/>
      <w:r w:rsidRPr="00D01F23">
        <w:rPr>
          <w:rFonts w:ascii="Arial" w:hAnsi="Arial" w:cs="Arial"/>
          <w:sz w:val="20"/>
          <w:szCs w:val="20"/>
          <w:lang w:val="en-GB"/>
        </w:rPr>
        <w:t xml:space="preserve"> website.</w:t>
      </w:r>
    </w:p>
    <w:p w14:paraId="681C50EB" w14:textId="77777777" w:rsidR="00CA351E" w:rsidRPr="00D01F23" w:rsidRDefault="00CA351E">
      <w:pPr>
        <w:jc w:val="both"/>
        <w:rPr>
          <w:rFonts w:ascii="Arial" w:hAnsi="Arial" w:cs="Arial"/>
          <w:sz w:val="20"/>
          <w:szCs w:val="20"/>
          <w:lang w:val="en-GB"/>
        </w:rPr>
      </w:pPr>
    </w:p>
    <w:p w14:paraId="21594866" w14:textId="77777777" w:rsidR="00CA351E" w:rsidRPr="00D01F23" w:rsidRDefault="00CA351E">
      <w:pPr>
        <w:jc w:val="both"/>
        <w:rPr>
          <w:rFonts w:ascii="Arial" w:hAnsi="Arial" w:cs="Arial"/>
          <w:sz w:val="20"/>
          <w:szCs w:val="20"/>
          <w:lang w:val="en-GB"/>
        </w:rPr>
      </w:pPr>
      <w:r w:rsidRPr="00D01F23">
        <w:rPr>
          <w:rFonts w:ascii="Arial" w:hAnsi="Arial" w:cs="Arial"/>
          <w:sz w:val="20"/>
          <w:szCs w:val="20"/>
          <w:lang w:val="en-GB"/>
        </w:rPr>
        <w:t>In the row indicating the country of the non-resident partner’s seat or that of the international organisation the ISO code listed in the technical guidelines published on the official website of the MNB, as referred to in point 4.2 of Annex 3, shall be supplied.</w:t>
      </w:r>
    </w:p>
    <w:p w14:paraId="793B42A6" w14:textId="77777777" w:rsidR="00CA351E" w:rsidRPr="00D01F23" w:rsidRDefault="00CA351E">
      <w:pPr>
        <w:jc w:val="both"/>
        <w:rPr>
          <w:rFonts w:ascii="Arial" w:hAnsi="Arial" w:cs="Arial"/>
          <w:sz w:val="20"/>
          <w:szCs w:val="20"/>
          <w:lang w:val="en-GB"/>
        </w:rPr>
      </w:pPr>
    </w:p>
    <w:p w14:paraId="7178D316" w14:textId="62954EF2" w:rsidR="00CA351E" w:rsidRDefault="008F1820">
      <w:pPr>
        <w:jc w:val="both"/>
        <w:rPr>
          <w:rFonts w:ascii="Arial" w:hAnsi="Arial" w:cs="Arial"/>
          <w:sz w:val="20"/>
          <w:szCs w:val="20"/>
          <w:lang w:val="en-GB"/>
        </w:rPr>
      </w:pPr>
      <w:r w:rsidRPr="00D01F23">
        <w:rPr>
          <w:rFonts w:ascii="Arial" w:hAnsi="Arial" w:cs="Arial"/>
          <w:sz w:val="20"/>
          <w:szCs w:val="20"/>
          <w:lang w:val="en-GB"/>
        </w:rPr>
        <w:t xml:space="preserve">The methodological guidelines for the completion of the table and the verification rules facilitating faultless submission are contained in the technical guidelines provided in Sections 9 and 5 of Annex 3, published on the </w:t>
      </w:r>
      <w:proofErr w:type="spellStart"/>
      <w:r w:rsidRPr="00D01F23">
        <w:rPr>
          <w:rFonts w:ascii="Arial" w:hAnsi="Arial" w:cs="Arial"/>
          <w:sz w:val="20"/>
          <w:szCs w:val="20"/>
          <w:lang w:val="en-GB"/>
        </w:rPr>
        <w:t>MNB’s</w:t>
      </w:r>
      <w:proofErr w:type="spellEnd"/>
      <w:r w:rsidRPr="00D01F23">
        <w:rPr>
          <w:rFonts w:ascii="Arial" w:hAnsi="Arial" w:cs="Arial"/>
          <w:sz w:val="20"/>
          <w:szCs w:val="20"/>
          <w:lang w:val="en-GB"/>
        </w:rPr>
        <w:t xml:space="preserve"> website.</w:t>
      </w:r>
    </w:p>
    <w:p w14:paraId="5E9F4F92" w14:textId="77777777" w:rsidR="006A33E8" w:rsidRPr="0022108B" w:rsidRDefault="006A33E8">
      <w:pPr>
        <w:jc w:val="both"/>
        <w:rPr>
          <w:rFonts w:ascii="Arial" w:hAnsi="Arial" w:cs="Arial"/>
          <w:lang w:val="en-GB"/>
        </w:rPr>
      </w:pPr>
    </w:p>
    <w:sectPr w:rsidR="006A33E8" w:rsidRPr="002210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E3DD5" w14:textId="77777777" w:rsidR="000551E6" w:rsidRDefault="000551E6">
      <w:r>
        <w:separator/>
      </w:r>
    </w:p>
  </w:endnote>
  <w:endnote w:type="continuationSeparator" w:id="0">
    <w:p w14:paraId="1F5A094D" w14:textId="77777777" w:rsidR="000551E6" w:rsidRDefault="000551E6">
      <w:r>
        <w:continuationSeparator/>
      </w:r>
    </w:p>
  </w:endnote>
  <w:endnote w:type="continuationNotice" w:id="1">
    <w:p w14:paraId="5D8636F3" w14:textId="77777777" w:rsidR="000551E6" w:rsidRDefault="000551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227D3" w14:textId="77777777" w:rsidR="0000528B" w:rsidRDefault="0000528B">
    <w:pPr>
      <w:pStyle w:val="llb"/>
      <w:framePr w:wrap="around" w:vAnchor="text" w:hAnchor="margin" w:xAlign="right" w:y="1"/>
      <w:rPr>
        <w:rStyle w:val="Oldalszm"/>
      </w:rPr>
    </w:pPr>
    <w:r>
      <w:rPr>
        <w:rStyle w:val="Oldalszm"/>
        <w:lang w:val="en"/>
      </w:rPr>
      <w:fldChar w:fldCharType="begin"/>
    </w:r>
    <w:r>
      <w:rPr>
        <w:rStyle w:val="Oldalszm"/>
        <w:lang w:val="en"/>
      </w:rPr>
      <w:instrText xml:space="preserve">PAGE  </w:instrText>
    </w:r>
    <w:r>
      <w:rPr>
        <w:rStyle w:val="Oldalszm"/>
        <w:lang w:val="en"/>
      </w:rPr>
      <w:fldChar w:fldCharType="end"/>
    </w:r>
  </w:p>
  <w:p w14:paraId="7D4E8704" w14:textId="77777777" w:rsidR="0000528B" w:rsidRDefault="0000528B">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63ABA" w14:textId="77777777" w:rsidR="0000528B" w:rsidRDefault="0000528B">
    <w:pPr>
      <w:pStyle w:val="llb"/>
      <w:ind w:right="360"/>
      <w:rPr>
        <w:rFonts w:ascii="Garamond" w:hAnsi="Garamond"/>
      </w:rPr>
    </w:pPr>
  </w:p>
  <w:p w14:paraId="3A77AC51" w14:textId="77777777" w:rsidR="0000528B" w:rsidRDefault="0000528B">
    <w:pPr>
      <w:pStyle w:val="llb"/>
      <w:rPr>
        <w:rFonts w:ascii="Garamond" w:hAnsi="Garamond"/>
      </w:rPr>
    </w:pPr>
  </w:p>
  <w:p w14:paraId="1C1A627D" w14:textId="77777777" w:rsidR="0000528B" w:rsidRDefault="0000528B">
    <w:pPr>
      <w:pStyle w:val="ll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BEB0B" w14:textId="77777777" w:rsidR="007B2DFD" w:rsidRDefault="007B2DF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2E42B" w14:textId="77777777" w:rsidR="000551E6" w:rsidRDefault="000551E6">
      <w:r>
        <w:separator/>
      </w:r>
    </w:p>
  </w:footnote>
  <w:footnote w:type="continuationSeparator" w:id="0">
    <w:p w14:paraId="32C35FFE" w14:textId="77777777" w:rsidR="000551E6" w:rsidRDefault="000551E6">
      <w:r>
        <w:continuationSeparator/>
      </w:r>
    </w:p>
  </w:footnote>
  <w:footnote w:type="continuationNotice" w:id="1">
    <w:p w14:paraId="02A71C4D" w14:textId="77777777" w:rsidR="000551E6" w:rsidRDefault="000551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EBB4" w14:textId="77777777" w:rsidR="007B2DFD" w:rsidRDefault="007B2DFD">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EBEF" w14:textId="77777777" w:rsidR="0000528B" w:rsidRDefault="0000528B">
    <w:pPr>
      <w:pStyle w:val="lfej"/>
      <w:tabs>
        <w:tab w:val="left" w:pos="405"/>
      </w:tabs>
    </w:pPr>
    <w:r>
      <w:rPr>
        <w:lang w:val="en"/>
      </w:rPr>
      <w:tab/>
    </w:r>
    <w:r>
      <w:rPr>
        <w:lang w:val="en"/>
      </w:rPr>
      <w:tab/>
    </w:r>
    <w:r>
      <w:rPr>
        <w:lang w:val="en"/>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33881" w14:textId="77777777" w:rsidR="007B2DFD" w:rsidRDefault="007B2DFD">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5A44"/>
    <w:multiLevelType w:val="hybridMultilevel"/>
    <w:tmpl w:val="2D103FD4"/>
    <w:lvl w:ilvl="0" w:tplc="F00A4414">
      <w:start w:val="1"/>
      <w:numFmt w:val="decimal"/>
      <w:lvlText w:val="%1."/>
      <w:lvlJc w:val="left"/>
      <w:pPr>
        <w:tabs>
          <w:tab w:val="num" w:pos="360"/>
        </w:tabs>
        <w:ind w:left="360" w:hanging="360"/>
      </w:pPr>
      <w:rPr>
        <w:rFonts w:cs="Times New Roman"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441537E"/>
    <w:multiLevelType w:val="multilevel"/>
    <w:tmpl w:val="52B433B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15:restartNumberingAfterBreak="0">
    <w:nsid w:val="089C73E5"/>
    <w:multiLevelType w:val="hybridMultilevel"/>
    <w:tmpl w:val="9E8291EE"/>
    <w:lvl w:ilvl="0" w:tplc="922AD4F6">
      <w:start w:val="1"/>
      <w:numFmt w:val="decimalZero"/>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1DA1091"/>
    <w:multiLevelType w:val="hybridMultilevel"/>
    <w:tmpl w:val="6360C03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C1590E"/>
    <w:multiLevelType w:val="hybridMultilevel"/>
    <w:tmpl w:val="52B433B6"/>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E9F6140"/>
    <w:multiLevelType w:val="hybridMultilevel"/>
    <w:tmpl w:val="1BE686C8"/>
    <w:lvl w:ilvl="0" w:tplc="4A08A908">
      <w:start w:val="1"/>
      <w:numFmt w:val="decimalZero"/>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25741DA5"/>
    <w:multiLevelType w:val="hybridMultilevel"/>
    <w:tmpl w:val="CBC61850"/>
    <w:lvl w:ilvl="0" w:tplc="266C5FE2">
      <w:start w:val="1"/>
      <w:numFmt w:val="decimalZero"/>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0DD54D9"/>
    <w:multiLevelType w:val="hybridMultilevel"/>
    <w:tmpl w:val="0D524CC0"/>
    <w:lvl w:ilvl="0" w:tplc="40F69BF8">
      <w:start w:val="4"/>
      <w:numFmt w:val="decimal"/>
      <w:lvlText w:val="%1."/>
      <w:lvlJc w:val="left"/>
      <w:pPr>
        <w:tabs>
          <w:tab w:val="num" w:pos="390"/>
        </w:tabs>
        <w:ind w:left="390" w:hanging="39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31B70379"/>
    <w:multiLevelType w:val="hybridMultilevel"/>
    <w:tmpl w:val="61F8C110"/>
    <w:lvl w:ilvl="0" w:tplc="8C24C3F6">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1F4182C"/>
    <w:multiLevelType w:val="multilevel"/>
    <w:tmpl w:val="9E8291EE"/>
    <w:lvl w:ilvl="0">
      <w:start w:val="1"/>
      <w:numFmt w:val="decimalZero"/>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347C2B7C"/>
    <w:multiLevelType w:val="hybridMultilevel"/>
    <w:tmpl w:val="8E003FC8"/>
    <w:lvl w:ilvl="0" w:tplc="4036B634">
      <w:start w:val="1"/>
      <w:numFmt w:val="decimalZero"/>
      <w:lvlText w:val="%1."/>
      <w:lvlJc w:val="left"/>
      <w:pPr>
        <w:tabs>
          <w:tab w:val="num" w:pos="720"/>
        </w:tabs>
        <w:ind w:left="720" w:hanging="360"/>
      </w:pPr>
      <w:rPr>
        <w:rFonts w:cs="Times New Roman" w:hint="default"/>
        <w:b/>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21D249C"/>
    <w:multiLevelType w:val="hybridMultilevel"/>
    <w:tmpl w:val="67D00898"/>
    <w:lvl w:ilvl="0" w:tplc="0710394C">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2768D"/>
    <w:multiLevelType w:val="hybridMultilevel"/>
    <w:tmpl w:val="95FC835C"/>
    <w:lvl w:ilvl="0" w:tplc="040E0001">
      <w:start w:val="1"/>
      <w:numFmt w:val="bullet"/>
      <w:lvlText w:val=""/>
      <w:lvlJc w:val="left"/>
      <w:pPr>
        <w:tabs>
          <w:tab w:val="num" w:pos="720"/>
        </w:tabs>
        <w:ind w:left="720" w:hanging="360"/>
      </w:pPr>
      <w:rPr>
        <w:rFonts w:ascii="Symbol" w:hAnsi="Symbol"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08B3450"/>
    <w:multiLevelType w:val="hybridMultilevel"/>
    <w:tmpl w:val="1884040E"/>
    <w:lvl w:ilvl="0" w:tplc="040E0001">
      <w:start w:val="1"/>
      <w:numFmt w:val="bullet"/>
      <w:lvlText w:val=""/>
      <w:lvlJc w:val="left"/>
      <w:pPr>
        <w:tabs>
          <w:tab w:val="num" w:pos="720"/>
        </w:tabs>
        <w:ind w:left="720" w:hanging="360"/>
      </w:pPr>
      <w:rPr>
        <w:rFonts w:ascii="Symbol" w:hAnsi="Symbol" w:hint="default"/>
        <w:b/>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1E80A4D"/>
    <w:multiLevelType w:val="hybridMultilevel"/>
    <w:tmpl w:val="BDC6FC24"/>
    <w:lvl w:ilvl="0" w:tplc="7E504A14">
      <w:start w:val="1"/>
      <w:numFmt w:val="lowerLetter"/>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38425DC"/>
    <w:multiLevelType w:val="hybridMultilevel"/>
    <w:tmpl w:val="765E6B5A"/>
    <w:lvl w:ilvl="0" w:tplc="040E000F">
      <w:start w:val="1"/>
      <w:numFmt w:val="decimal"/>
      <w:lvlText w:val="%1."/>
      <w:lvlJc w:val="left"/>
      <w:pPr>
        <w:tabs>
          <w:tab w:val="num" w:pos="720"/>
        </w:tabs>
        <w:ind w:left="720" w:hanging="360"/>
      </w:pPr>
      <w:rPr>
        <w:rFonts w:cs="Times New Roman"/>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4BD2BDE"/>
    <w:multiLevelType w:val="multilevel"/>
    <w:tmpl w:val="9E8291EE"/>
    <w:lvl w:ilvl="0">
      <w:start w:val="1"/>
      <w:numFmt w:val="decimalZero"/>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563A3C30"/>
    <w:multiLevelType w:val="hybridMultilevel"/>
    <w:tmpl w:val="A192CD84"/>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6489345F"/>
    <w:multiLevelType w:val="hybridMultilevel"/>
    <w:tmpl w:val="B20C0F00"/>
    <w:lvl w:ilvl="0" w:tplc="A0C8B866">
      <w:start w:val="1"/>
      <w:numFmt w:val="decimalZero"/>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6F87E4D"/>
    <w:multiLevelType w:val="hybridMultilevel"/>
    <w:tmpl w:val="223EEC12"/>
    <w:lvl w:ilvl="0" w:tplc="AD8ED492">
      <w:numFmt w:val="bullet"/>
      <w:lvlText w:val="-"/>
      <w:lvlJc w:val="left"/>
      <w:pPr>
        <w:tabs>
          <w:tab w:val="num" w:pos="360"/>
        </w:tabs>
        <w:ind w:left="36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33BCE"/>
    <w:multiLevelType w:val="hybridMultilevel"/>
    <w:tmpl w:val="376EEE2A"/>
    <w:lvl w:ilvl="0" w:tplc="863C4088">
      <w:start w:val="1"/>
      <w:numFmt w:val="decimalZero"/>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62B3038"/>
    <w:multiLevelType w:val="hybridMultilevel"/>
    <w:tmpl w:val="E2CAF604"/>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8348F056">
      <w:numFmt w:val="bullet"/>
      <w:lvlText w:val="-"/>
      <w:lvlJc w:val="left"/>
      <w:pPr>
        <w:tabs>
          <w:tab w:val="num" w:pos="2340"/>
        </w:tabs>
        <w:ind w:left="2340" w:hanging="360"/>
      </w:pPr>
      <w:rPr>
        <w:rFonts w:ascii="Garamond" w:eastAsia="Times New Roman" w:hAnsi="Garamond"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6806B72"/>
    <w:multiLevelType w:val="hybridMultilevel"/>
    <w:tmpl w:val="6764F09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9E01EC"/>
    <w:multiLevelType w:val="multilevel"/>
    <w:tmpl w:val="A192CD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16cid:durableId="997196897">
    <w:abstractNumId w:val="8"/>
  </w:num>
  <w:num w:numId="2" w16cid:durableId="1334382789">
    <w:abstractNumId w:val="19"/>
  </w:num>
  <w:num w:numId="3" w16cid:durableId="306134131">
    <w:abstractNumId w:val="6"/>
  </w:num>
  <w:num w:numId="4" w16cid:durableId="1787043918">
    <w:abstractNumId w:val="15"/>
  </w:num>
  <w:num w:numId="5" w16cid:durableId="1037581127">
    <w:abstractNumId w:val="5"/>
  </w:num>
  <w:num w:numId="6" w16cid:durableId="1231043830">
    <w:abstractNumId w:val="2"/>
  </w:num>
  <w:num w:numId="7" w16cid:durableId="1030103319">
    <w:abstractNumId w:val="18"/>
  </w:num>
  <w:num w:numId="8" w16cid:durableId="238440406">
    <w:abstractNumId w:val="16"/>
  </w:num>
  <w:num w:numId="9" w16cid:durableId="2092699601">
    <w:abstractNumId w:val="9"/>
  </w:num>
  <w:num w:numId="10" w16cid:durableId="1596744190">
    <w:abstractNumId w:val="10"/>
  </w:num>
  <w:num w:numId="11" w16cid:durableId="1281491856">
    <w:abstractNumId w:val="3"/>
  </w:num>
  <w:num w:numId="12" w16cid:durableId="1625237511">
    <w:abstractNumId w:val="22"/>
  </w:num>
  <w:num w:numId="13" w16cid:durableId="669679200">
    <w:abstractNumId w:val="12"/>
  </w:num>
  <w:num w:numId="14" w16cid:durableId="576211649">
    <w:abstractNumId w:val="13"/>
  </w:num>
  <w:num w:numId="15" w16cid:durableId="1846281250">
    <w:abstractNumId w:val="7"/>
  </w:num>
  <w:num w:numId="16" w16cid:durableId="1886333026">
    <w:abstractNumId w:val="20"/>
  </w:num>
  <w:num w:numId="17" w16cid:durableId="1497647290">
    <w:abstractNumId w:val="21"/>
  </w:num>
  <w:num w:numId="18" w16cid:durableId="1198393594">
    <w:abstractNumId w:val="0"/>
  </w:num>
  <w:num w:numId="19" w16cid:durableId="1160123618">
    <w:abstractNumId w:val="4"/>
  </w:num>
  <w:num w:numId="20" w16cid:durableId="541328665">
    <w:abstractNumId w:val="1"/>
  </w:num>
  <w:num w:numId="21" w16cid:durableId="1465925114">
    <w:abstractNumId w:val="17"/>
  </w:num>
  <w:num w:numId="22" w16cid:durableId="1872717010">
    <w:abstractNumId w:val="23"/>
  </w:num>
  <w:num w:numId="23" w16cid:durableId="327637731">
    <w:abstractNumId w:val="14"/>
  </w:num>
  <w:num w:numId="24" w16cid:durableId="19550211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2EB"/>
    <w:rsid w:val="000000E5"/>
    <w:rsid w:val="0000528B"/>
    <w:rsid w:val="00007A95"/>
    <w:rsid w:val="00007C94"/>
    <w:rsid w:val="00020837"/>
    <w:rsid w:val="000221EF"/>
    <w:rsid w:val="00042CFD"/>
    <w:rsid w:val="000551E6"/>
    <w:rsid w:val="00064939"/>
    <w:rsid w:val="000A1804"/>
    <w:rsid w:val="000B34D6"/>
    <w:rsid w:val="000C2AA7"/>
    <w:rsid w:val="000F53FA"/>
    <w:rsid w:val="00106B57"/>
    <w:rsid w:val="001220C1"/>
    <w:rsid w:val="00185E2B"/>
    <w:rsid w:val="001B09E2"/>
    <w:rsid w:val="001B1A1C"/>
    <w:rsid w:val="001E1DE1"/>
    <w:rsid w:val="001F16DA"/>
    <w:rsid w:val="0022108B"/>
    <w:rsid w:val="00236407"/>
    <w:rsid w:val="00274CE9"/>
    <w:rsid w:val="00292EA4"/>
    <w:rsid w:val="002B285B"/>
    <w:rsid w:val="002B313F"/>
    <w:rsid w:val="00315FDB"/>
    <w:rsid w:val="00360209"/>
    <w:rsid w:val="00376B25"/>
    <w:rsid w:val="00381E43"/>
    <w:rsid w:val="00384D87"/>
    <w:rsid w:val="003A7ED5"/>
    <w:rsid w:val="003E73C1"/>
    <w:rsid w:val="00433C6F"/>
    <w:rsid w:val="00440667"/>
    <w:rsid w:val="00456869"/>
    <w:rsid w:val="004B7B6D"/>
    <w:rsid w:val="004C7754"/>
    <w:rsid w:val="004F2151"/>
    <w:rsid w:val="004F3B6B"/>
    <w:rsid w:val="00503ED7"/>
    <w:rsid w:val="00512118"/>
    <w:rsid w:val="00530F05"/>
    <w:rsid w:val="00536368"/>
    <w:rsid w:val="00557E86"/>
    <w:rsid w:val="00563149"/>
    <w:rsid w:val="00593780"/>
    <w:rsid w:val="005D3156"/>
    <w:rsid w:val="005E1315"/>
    <w:rsid w:val="006822EB"/>
    <w:rsid w:val="006A33E8"/>
    <w:rsid w:val="006B11FB"/>
    <w:rsid w:val="006C7575"/>
    <w:rsid w:val="006D1493"/>
    <w:rsid w:val="006F2E60"/>
    <w:rsid w:val="00713243"/>
    <w:rsid w:val="00734E4B"/>
    <w:rsid w:val="00737171"/>
    <w:rsid w:val="00753C04"/>
    <w:rsid w:val="00757F6F"/>
    <w:rsid w:val="007632B1"/>
    <w:rsid w:val="00785278"/>
    <w:rsid w:val="007B2DFD"/>
    <w:rsid w:val="007D6965"/>
    <w:rsid w:val="00801CD1"/>
    <w:rsid w:val="00811CFD"/>
    <w:rsid w:val="00821234"/>
    <w:rsid w:val="00823A9C"/>
    <w:rsid w:val="00827B2D"/>
    <w:rsid w:val="00843269"/>
    <w:rsid w:val="00853616"/>
    <w:rsid w:val="00864129"/>
    <w:rsid w:val="00880776"/>
    <w:rsid w:val="008A5F60"/>
    <w:rsid w:val="008F1820"/>
    <w:rsid w:val="008F2F59"/>
    <w:rsid w:val="008F4EC6"/>
    <w:rsid w:val="00912292"/>
    <w:rsid w:val="009158FE"/>
    <w:rsid w:val="00927B47"/>
    <w:rsid w:val="0095542E"/>
    <w:rsid w:val="009607D7"/>
    <w:rsid w:val="00961DBB"/>
    <w:rsid w:val="00982DEC"/>
    <w:rsid w:val="009C1060"/>
    <w:rsid w:val="009E5ECD"/>
    <w:rsid w:val="00A02734"/>
    <w:rsid w:val="00A6422A"/>
    <w:rsid w:val="00A6794B"/>
    <w:rsid w:val="00AA02A6"/>
    <w:rsid w:val="00AB1A35"/>
    <w:rsid w:val="00AD20EB"/>
    <w:rsid w:val="00AF6980"/>
    <w:rsid w:val="00B236A7"/>
    <w:rsid w:val="00B342F6"/>
    <w:rsid w:val="00B5264D"/>
    <w:rsid w:val="00B75E61"/>
    <w:rsid w:val="00B8591F"/>
    <w:rsid w:val="00C24AA4"/>
    <w:rsid w:val="00C36ECE"/>
    <w:rsid w:val="00C409EF"/>
    <w:rsid w:val="00C42390"/>
    <w:rsid w:val="00C5524B"/>
    <w:rsid w:val="00C85D47"/>
    <w:rsid w:val="00CA351E"/>
    <w:rsid w:val="00CA3C09"/>
    <w:rsid w:val="00CA3CBE"/>
    <w:rsid w:val="00CC3DBE"/>
    <w:rsid w:val="00D01F23"/>
    <w:rsid w:val="00D22E0A"/>
    <w:rsid w:val="00D30737"/>
    <w:rsid w:val="00D363BF"/>
    <w:rsid w:val="00D67A4E"/>
    <w:rsid w:val="00D87231"/>
    <w:rsid w:val="00D96776"/>
    <w:rsid w:val="00DA5307"/>
    <w:rsid w:val="00DA6B0A"/>
    <w:rsid w:val="00DB7BCB"/>
    <w:rsid w:val="00DE2EA5"/>
    <w:rsid w:val="00E013A6"/>
    <w:rsid w:val="00E37D3B"/>
    <w:rsid w:val="00EC1FAF"/>
    <w:rsid w:val="00EC68D3"/>
    <w:rsid w:val="00EF41B4"/>
    <w:rsid w:val="00F10C2D"/>
    <w:rsid w:val="00F66A0B"/>
    <w:rsid w:val="00FB0394"/>
    <w:rsid w:val="00FC0A91"/>
    <w:rsid w:val="00FC2CCB"/>
    <w:rsid w:val="00FD3640"/>
    <w:rsid w:val="00FD668D"/>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5CC176"/>
  <w15:chartTrackingRefBased/>
  <w15:docId w15:val="{323E4325-9E06-439B-BD6A-D90D5198D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snapToGrid w:val="0"/>
      <w:sz w:val="24"/>
      <w:szCs w:val="24"/>
    </w:rPr>
  </w:style>
  <w:style w:type="paragraph" w:styleId="Cmsor1">
    <w:name w:val="heading 1"/>
    <w:basedOn w:val="Norml"/>
    <w:next w:val="Norml"/>
    <w:link w:val="Cmsor1Char"/>
    <w:uiPriority w:val="9"/>
    <w:qFormat/>
    <w:pPr>
      <w:keepNext/>
      <w:spacing w:before="240" w:after="60"/>
      <w:outlineLvl w:val="0"/>
    </w:pPr>
    <w:rPr>
      <w:rFonts w:ascii="Cambria" w:hAnsi="Cambria"/>
      <w:b/>
      <w:bCs/>
      <w:kern w:val="32"/>
      <w:sz w:val="32"/>
      <w:szCs w:val="3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Pr>
      <w:rFonts w:ascii="Cambria" w:eastAsia="Times New Roman" w:hAnsi="Cambria" w:cs="Times New Roman"/>
      <w:b/>
      <w:bCs/>
      <w:snapToGrid w:val="0"/>
      <w:kern w:val="32"/>
      <w:sz w:val="32"/>
      <w:szCs w:val="32"/>
    </w:rPr>
  </w:style>
  <w:style w:type="paragraph" w:styleId="TJ1">
    <w:name w:val="toc 1"/>
    <w:basedOn w:val="Norml"/>
    <w:next w:val="Norml"/>
    <w:autoRedefine/>
    <w:uiPriority w:val="39"/>
    <w:semiHidden/>
    <w:pPr>
      <w:spacing w:before="120" w:after="120"/>
    </w:pPr>
    <w:rPr>
      <w:b/>
      <w:bCs/>
      <w:caps/>
      <w:sz w:val="20"/>
      <w:szCs w:val="20"/>
    </w:rPr>
  </w:style>
  <w:style w:type="paragraph" w:styleId="TJ2">
    <w:name w:val="toc 2"/>
    <w:basedOn w:val="Norml"/>
    <w:next w:val="Norml"/>
    <w:autoRedefine/>
    <w:uiPriority w:val="39"/>
    <w:semiHidden/>
    <w:pPr>
      <w:ind w:left="240"/>
    </w:pPr>
    <w:rPr>
      <w:smallCaps/>
      <w:sz w:val="20"/>
      <w:szCs w:val="20"/>
    </w:rPr>
  </w:style>
  <w:style w:type="paragraph" w:styleId="TJ3">
    <w:name w:val="toc 3"/>
    <w:basedOn w:val="Norml"/>
    <w:next w:val="Norml"/>
    <w:autoRedefine/>
    <w:uiPriority w:val="39"/>
    <w:semiHidden/>
    <w:pPr>
      <w:ind w:left="480"/>
    </w:pPr>
    <w:rPr>
      <w:i/>
      <w:iCs/>
      <w:sz w:val="20"/>
      <w:szCs w:val="20"/>
    </w:rPr>
  </w:style>
  <w:style w:type="paragraph" w:styleId="TJ4">
    <w:name w:val="toc 4"/>
    <w:basedOn w:val="Norml"/>
    <w:next w:val="Norml"/>
    <w:autoRedefine/>
    <w:uiPriority w:val="39"/>
    <w:semiHidden/>
    <w:pPr>
      <w:ind w:left="720"/>
    </w:pPr>
    <w:rPr>
      <w:sz w:val="18"/>
      <w:szCs w:val="18"/>
    </w:rPr>
  </w:style>
  <w:style w:type="paragraph" w:styleId="TJ5">
    <w:name w:val="toc 5"/>
    <w:basedOn w:val="Norml"/>
    <w:next w:val="Norml"/>
    <w:autoRedefine/>
    <w:uiPriority w:val="39"/>
    <w:semiHidden/>
    <w:pPr>
      <w:ind w:left="960"/>
    </w:pPr>
    <w:rPr>
      <w:sz w:val="18"/>
      <w:szCs w:val="18"/>
    </w:rPr>
  </w:style>
  <w:style w:type="paragraph" w:styleId="TJ6">
    <w:name w:val="toc 6"/>
    <w:basedOn w:val="Norml"/>
    <w:next w:val="Norml"/>
    <w:autoRedefine/>
    <w:uiPriority w:val="39"/>
    <w:semiHidden/>
    <w:pPr>
      <w:ind w:left="1200"/>
    </w:pPr>
    <w:rPr>
      <w:sz w:val="18"/>
      <w:szCs w:val="18"/>
    </w:rPr>
  </w:style>
  <w:style w:type="paragraph" w:styleId="TJ7">
    <w:name w:val="toc 7"/>
    <w:basedOn w:val="Norml"/>
    <w:next w:val="Norml"/>
    <w:autoRedefine/>
    <w:uiPriority w:val="39"/>
    <w:semiHidden/>
    <w:pPr>
      <w:ind w:left="1440"/>
    </w:pPr>
    <w:rPr>
      <w:sz w:val="18"/>
      <w:szCs w:val="18"/>
    </w:rPr>
  </w:style>
  <w:style w:type="paragraph" w:styleId="TJ8">
    <w:name w:val="toc 8"/>
    <w:basedOn w:val="Norml"/>
    <w:next w:val="Norml"/>
    <w:autoRedefine/>
    <w:uiPriority w:val="39"/>
    <w:semiHidden/>
    <w:pPr>
      <w:ind w:left="1680"/>
    </w:pPr>
    <w:rPr>
      <w:sz w:val="18"/>
      <w:szCs w:val="18"/>
    </w:rPr>
  </w:style>
  <w:style w:type="paragraph" w:styleId="TJ9">
    <w:name w:val="toc 9"/>
    <w:basedOn w:val="Norml"/>
    <w:next w:val="Norml"/>
    <w:autoRedefine/>
    <w:uiPriority w:val="39"/>
    <w:semiHidden/>
    <w:pPr>
      <w:ind w:left="1920"/>
    </w:pPr>
    <w:rPr>
      <w:sz w:val="18"/>
      <w:szCs w:val="18"/>
    </w:rPr>
  </w:style>
  <w:style w:type="character" w:styleId="Hiperhivatkozs">
    <w:name w:val="Hyperlink"/>
    <w:uiPriority w:val="99"/>
    <w:rPr>
      <w:rFonts w:cs="Times New Roman"/>
      <w:color w:val="0000FF"/>
      <w:u w:val="single"/>
    </w:rPr>
  </w:style>
  <w:style w:type="paragraph" w:styleId="lfej">
    <w:name w:val="header"/>
    <w:basedOn w:val="Norml"/>
    <w:link w:val="lfejChar"/>
    <w:uiPriority w:val="99"/>
    <w:pPr>
      <w:tabs>
        <w:tab w:val="center" w:pos="4536"/>
        <w:tab w:val="right" w:pos="9072"/>
      </w:tabs>
    </w:pPr>
    <w:rPr>
      <w:lang w:val="x-none" w:eastAsia="x-none"/>
    </w:rPr>
  </w:style>
  <w:style w:type="character" w:customStyle="1" w:styleId="lfejChar">
    <w:name w:val="Élőfej Char"/>
    <w:link w:val="lfej"/>
    <w:uiPriority w:val="99"/>
    <w:semiHidden/>
    <w:rPr>
      <w:rFonts w:ascii="Times New Roman" w:hAnsi="Times New Roman" w:cs="Times New Roman"/>
      <w:snapToGrid w:val="0"/>
      <w:sz w:val="24"/>
      <w:szCs w:val="24"/>
    </w:rPr>
  </w:style>
  <w:style w:type="paragraph" w:styleId="llb">
    <w:name w:val="footer"/>
    <w:basedOn w:val="Norml"/>
    <w:link w:val="llbChar"/>
    <w:uiPriority w:val="99"/>
    <w:pPr>
      <w:tabs>
        <w:tab w:val="center" w:pos="4536"/>
        <w:tab w:val="right" w:pos="9072"/>
      </w:tabs>
    </w:pPr>
    <w:rPr>
      <w:lang w:val="x-none" w:eastAsia="x-none"/>
    </w:rPr>
  </w:style>
  <w:style w:type="character" w:customStyle="1" w:styleId="llbChar">
    <w:name w:val="Élőláb Char"/>
    <w:link w:val="llb"/>
    <w:uiPriority w:val="99"/>
    <w:semiHidden/>
    <w:rPr>
      <w:rFonts w:ascii="Times New Roman" w:hAnsi="Times New Roman" w:cs="Times New Roman"/>
      <w:snapToGrid w:val="0"/>
      <w:sz w:val="24"/>
      <w:szCs w:val="24"/>
    </w:rPr>
  </w:style>
  <w:style w:type="character" w:styleId="Oldalszm">
    <w:name w:val="page number"/>
    <w:uiPriority w:val="99"/>
    <w:rPr>
      <w:rFonts w:cs="Times New Roman"/>
    </w:rPr>
  </w:style>
  <w:style w:type="paragraph" w:styleId="Buborkszveg">
    <w:name w:val="Balloon Text"/>
    <w:basedOn w:val="Norml"/>
    <w:link w:val="BuborkszvegChar"/>
    <w:uiPriority w:val="99"/>
    <w:semiHidden/>
    <w:rPr>
      <w:rFonts w:ascii="Tahoma" w:hAnsi="Tahoma"/>
      <w:sz w:val="16"/>
      <w:szCs w:val="16"/>
      <w:lang w:val="x-none" w:eastAsia="x-none"/>
    </w:rPr>
  </w:style>
  <w:style w:type="character" w:customStyle="1" w:styleId="BuborkszvegChar">
    <w:name w:val="Buborékszöveg Char"/>
    <w:link w:val="Buborkszveg"/>
    <w:uiPriority w:val="99"/>
    <w:semiHidden/>
    <w:rPr>
      <w:rFonts w:ascii="Tahoma" w:hAnsi="Tahoma" w:cs="Tahoma"/>
      <w:snapToGrid w:val="0"/>
      <w:sz w:val="16"/>
      <w:szCs w:val="16"/>
    </w:rPr>
  </w:style>
  <w:style w:type="character" w:styleId="Jegyzethivatkozs">
    <w:name w:val="annotation reference"/>
    <w:uiPriority w:val="99"/>
    <w:semiHidden/>
    <w:rPr>
      <w:rFonts w:cs="Times New Roman"/>
      <w:sz w:val="16"/>
      <w:szCs w:val="16"/>
    </w:rPr>
  </w:style>
  <w:style w:type="paragraph" w:styleId="Jegyzetszveg">
    <w:name w:val="annotation text"/>
    <w:basedOn w:val="Norml"/>
    <w:link w:val="JegyzetszvegChar"/>
    <w:uiPriority w:val="99"/>
    <w:semiHidden/>
    <w:rPr>
      <w:sz w:val="20"/>
      <w:szCs w:val="20"/>
      <w:lang w:val="x-none" w:eastAsia="x-none"/>
    </w:rPr>
  </w:style>
  <w:style w:type="character" w:customStyle="1" w:styleId="JegyzetszvegChar">
    <w:name w:val="Jegyzetszöveg Char"/>
    <w:link w:val="Jegyzetszveg"/>
    <w:uiPriority w:val="99"/>
    <w:semiHidden/>
    <w:rPr>
      <w:rFonts w:ascii="Times New Roman" w:hAnsi="Times New Roman" w:cs="Times New Roman"/>
      <w:snapToGrid w:val="0"/>
    </w:rPr>
  </w:style>
  <w:style w:type="paragraph" w:styleId="Megjegyzstrgya">
    <w:name w:val="annotation subject"/>
    <w:basedOn w:val="Jegyzetszveg"/>
    <w:next w:val="Jegyzetszveg"/>
    <w:link w:val="MegjegyzstrgyaChar"/>
    <w:uiPriority w:val="99"/>
    <w:semiHidden/>
    <w:rPr>
      <w:b/>
      <w:bCs/>
    </w:rPr>
  </w:style>
  <w:style w:type="character" w:customStyle="1" w:styleId="MegjegyzstrgyaChar">
    <w:name w:val="Megjegyzés tárgya Char"/>
    <w:link w:val="Megjegyzstrgya"/>
    <w:uiPriority w:val="99"/>
    <w:semiHidden/>
    <w:rPr>
      <w:rFonts w:ascii="Times New Roman" w:hAnsi="Times New Roman" w:cs="Times New Roman"/>
      <w:b/>
      <w:bCs/>
      <w:snapToGrid w:val="0"/>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customStyle="1" w:styleId="CharChar1CharCharCharCharCharCharCharCharCharCharCharCharChar">
    <w:name w:val="Char Char1 Char Char Char Char Char Char Char Char Char Char Char Char Char"/>
    <w:basedOn w:val="Norml"/>
    <w:rsid w:val="008F2F59"/>
    <w:pPr>
      <w:spacing w:after="160" w:line="240" w:lineRule="exact"/>
    </w:pPr>
    <w:rPr>
      <w:rFonts w:ascii="Verdana" w:hAnsi="Verdana"/>
      <w:snapToGrid/>
      <w:sz w:val="20"/>
      <w:szCs w:val="20"/>
      <w:lang w:val="en-US" w:eastAsia="en-US"/>
    </w:rPr>
  </w:style>
  <w:style w:type="paragraph" w:styleId="Listaszerbekezds">
    <w:name w:val="List Paragraph"/>
    <w:basedOn w:val="Norml"/>
    <w:uiPriority w:val="34"/>
    <w:qFormat/>
    <w:rsid w:val="005E1315"/>
    <w:pPr>
      <w:ind w:left="720"/>
      <w:contextualSpacing/>
    </w:pPr>
  </w:style>
  <w:style w:type="paragraph" w:styleId="Vltozat">
    <w:name w:val="Revision"/>
    <w:hidden/>
    <w:uiPriority w:val="99"/>
    <w:semiHidden/>
    <w:rsid w:val="006A33E8"/>
    <w:rPr>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657475">
      <w:marLeft w:val="0"/>
      <w:marRight w:val="0"/>
      <w:marTop w:val="0"/>
      <w:marBottom w:val="0"/>
      <w:divBdr>
        <w:top w:val="none" w:sz="0" w:space="0" w:color="auto"/>
        <w:left w:val="none" w:sz="0" w:space="0" w:color="auto"/>
        <w:bottom w:val="none" w:sz="0" w:space="0" w:color="auto"/>
        <w:right w:val="none" w:sz="0" w:space="0" w:color="auto"/>
      </w:divBdr>
    </w:div>
    <w:div w:id="1983657476">
      <w:marLeft w:val="0"/>
      <w:marRight w:val="0"/>
      <w:marTop w:val="0"/>
      <w:marBottom w:val="0"/>
      <w:divBdr>
        <w:top w:val="none" w:sz="0" w:space="0" w:color="auto"/>
        <w:left w:val="none" w:sz="0" w:space="0" w:color="auto"/>
        <w:bottom w:val="none" w:sz="0" w:space="0" w:color="auto"/>
        <w:right w:val="none" w:sz="0" w:space="0" w:color="auto"/>
      </w:divBdr>
    </w:div>
    <w:div w:id="19836574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813</Words>
  <Characters>4059</Characters>
  <Application>Microsoft Office Word</Application>
  <DocSecurity>0</DocSecurity>
  <Lines>33</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KITÖLTÉSI ÚTMUTATÓ</vt:lpstr>
      <vt:lpstr>KITÖLTÉSI ÚTMUTATÓ</vt:lpstr>
    </vt:vector>
  </TitlesOfParts>
  <Company>Magyar Nemzeti Bank</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KITÖLTÉSI ÚTMUTATÓ</dc:title>
  <dc:subject/>
  <dc:creator>Kőrös Orsolya</dc:creator>
  <cp:keywords/>
  <cp:lastModifiedBy>Juhász Katalin</cp:lastModifiedBy>
  <cp:revision>4</cp:revision>
  <cp:lastPrinted>2006-01-17T15:26:00Z</cp:lastPrinted>
  <dcterms:created xsi:type="dcterms:W3CDTF">2025-03-14T13:48:00Z</dcterms:created>
  <dcterms:modified xsi:type="dcterms:W3CDTF">2025-03-28T09:10:00Z</dcterms:modified>
</cp:coreProperties>
</file>