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080CAD" w14:textId="77777777" w:rsidR="00C158A8" w:rsidRPr="00765070" w:rsidRDefault="00C158A8" w:rsidP="00C158A8">
      <w:pPr>
        <w:rPr>
          <w:rFonts w:ascii="Arial" w:eastAsia="Calibri" w:hAnsi="Arial" w:cs="Arial"/>
          <w:b/>
          <w:lang w:val="en-GB"/>
        </w:rPr>
      </w:pPr>
      <w:r w:rsidRPr="00765070">
        <w:rPr>
          <w:rFonts w:ascii="Arial" w:eastAsia="Calibri" w:hAnsi="Arial" w:cs="Arial"/>
          <w:b/>
          <w:bCs/>
          <w:lang w:val="en-GB"/>
        </w:rPr>
        <w:t>MNB identification code: P68</w:t>
      </w:r>
    </w:p>
    <w:p w14:paraId="29DAFC06" w14:textId="714DBF2B" w:rsidR="00C158A8" w:rsidRPr="00765070" w:rsidRDefault="00C158A8" w:rsidP="00C158A8">
      <w:pPr>
        <w:spacing w:after="0"/>
        <w:jc w:val="center"/>
        <w:rPr>
          <w:rFonts w:ascii="Arial" w:eastAsia="Calibri" w:hAnsi="Arial" w:cs="Arial"/>
          <w:b/>
          <w:lang w:val="en-GB"/>
        </w:rPr>
      </w:pPr>
      <w:r w:rsidRPr="00765070">
        <w:rPr>
          <w:rFonts w:ascii="Arial" w:eastAsia="Calibri" w:hAnsi="Arial" w:cs="Arial"/>
          <w:b/>
          <w:bCs/>
          <w:lang w:val="en-GB"/>
        </w:rPr>
        <w:t xml:space="preserve">Completion </w:t>
      </w:r>
      <w:r w:rsidR="00605E86">
        <w:rPr>
          <w:rFonts w:ascii="Arial" w:eastAsia="Calibri" w:hAnsi="Arial" w:cs="Arial"/>
          <w:b/>
          <w:bCs/>
          <w:lang w:val="en-GB"/>
        </w:rPr>
        <w:t>instructions</w:t>
      </w:r>
    </w:p>
    <w:p w14:paraId="51034E57" w14:textId="792FC976" w:rsidR="00C158A8" w:rsidRPr="00765070" w:rsidRDefault="00C158A8" w:rsidP="00C158A8">
      <w:pPr>
        <w:jc w:val="center"/>
        <w:rPr>
          <w:rFonts w:ascii="Arial" w:eastAsia="Calibri" w:hAnsi="Arial" w:cs="Arial"/>
          <w:b/>
          <w:lang w:val="en-GB"/>
        </w:rPr>
      </w:pPr>
      <w:r w:rsidRPr="00765070">
        <w:rPr>
          <w:rFonts w:ascii="Arial" w:eastAsia="Calibri" w:hAnsi="Arial" w:cs="Arial"/>
          <w:b/>
          <w:bCs/>
          <w:lang w:val="en-GB"/>
        </w:rPr>
        <w:t>D</w:t>
      </w:r>
      <w:r w:rsidR="00D84F1E">
        <w:rPr>
          <w:rFonts w:ascii="Arial" w:eastAsia="Calibri" w:hAnsi="Arial" w:cs="Arial"/>
          <w:b/>
          <w:bCs/>
          <w:lang w:val="en-GB"/>
        </w:rPr>
        <w:t>etermination</w:t>
      </w:r>
      <w:r w:rsidRPr="00765070">
        <w:rPr>
          <w:rFonts w:ascii="Arial" w:eastAsia="Calibri" w:hAnsi="Arial" w:cs="Arial"/>
          <w:b/>
          <w:bCs/>
          <w:lang w:val="en-GB"/>
        </w:rPr>
        <w:t xml:space="preserve"> of the most relevant currencies</w:t>
      </w:r>
    </w:p>
    <w:p w14:paraId="06E1497C" w14:textId="77777777" w:rsidR="00C158A8" w:rsidRPr="00765070" w:rsidRDefault="00C158A8" w:rsidP="00C158A8">
      <w:pPr>
        <w:spacing w:after="0" w:line="240" w:lineRule="auto"/>
        <w:rPr>
          <w:rFonts w:ascii="Arial" w:eastAsia="Calibri" w:hAnsi="Arial" w:cs="Arial"/>
          <w:lang w:val="en-GB"/>
        </w:rPr>
      </w:pPr>
    </w:p>
    <w:p w14:paraId="0BCCC06A" w14:textId="77777777" w:rsidR="00C158A8" w:rsidRPr="00765070" w:rsidRDefault="00C158A8" w:rsidP="00C158A8">
      <w:pPr>
        <w:keepNext/>
        <w:tabs>
          <w:tab w:val="left" w:pos="426"/>
        </w:tabs>
        <w:spacing w:before="240" w:after="240" w:line="240" w:lineRule="auto"/>
        <w:outlineLvl w:val="2"/>
        <w:rPr>
          <w:rFonts w:ascii="Arial" w:eastAsia="Times New Roman" w:hAnsi="Arial" w:cs="Arial"/>
          <w:b/>
          <w:lang w:val="en-GB"/>
        </w:rPr>
      </w:pPr>
      <w:r w:rsidRPr="00765070">
        <w:rPr>
          <w:rFonts w:ascii="Arial" w:eastAsia="Times New Roman" w:hAnsi="Arial" w:cs="Arial"/>
          <w:b/>
          <w:bCs/>
          <w:lang w:val="en-GB"/>
        </w:rPr>
        <w:t>I.</w:t>
      </w:r>
      <w:r w:rsidRPr="00765070">
        <w:rPr>
          <w:rFonts w:ascii="Arial" w:eastAsia="Times New Roman" w:hAnsi="Arial" w:cs="Arial"/>
          <w:lang w:val="en-GB"/>
        </w:rPr>
        <w:tab/>
      </w:r>
      <w:r w:rsidRPr="00765070">
        <w:rPr>
          <w:rFonts w:ascii="Arial" w:eastAsia="Times New Roman" w:hAnsi="Arial" w:cs="Arial"/>
          <w:b/>
          <w:bCs/>
          <w:lang w:val="en-GB"/>
        </w:rPr>
        <w:t>General instructions</w:t>
      </w:r>
    </w:p>
    <w:p w14:paraId="48FE55FC" w14:textId="13B1D5EC" w:rsidR="00C158A8" w:rsidRPr="00765070" w:rsidRDefault="00C158A8" w:rsidP="00D1572B">
      <w:pPr>
        <w:pStyle w:val="Listaszerbekezds"/>
        <w:numPr>
          <w:ilvl w:val="0"/>
          <w:numId w:val="20"/>
        </w:numPr>
        <w:spacing w:after="0" w:line="240" w:lineRule="auto"/>
        <w:ind w:left="426" w:hanging="568"/>
        <w:rPr>
          <w:rFonts w:ascii="Arial" w:eastAsia="Calibri" w:hAnsi="Arial" w:cs="Arial"/>
          <w:lang w:val="en-GB"/>
        </w:rPr>
      </w:pPr>
      <w:r w:rsidRPr="00765070">
        <w:rPr>
          <w:rFonts w:ascii="Arial" w:hAnsi="Arial" w:cs="Arial"/>
          <w:lang w:val="en-GB"/>
        </w:rPr>
        <w:t>The terminology used in the table and the completion instructions follows the definitions in</w:t>
      </w:r>
      <w:r w:rsidR="00D1572B">
        <w:rPr>
          <w:rFonts w:ascii="Arial" w:hAnsi="Arial" w:cs="Arial"/>
          <w:lang w:val="en-GB"/>
        </w:rPr>
        <w:t xml:space="preserve"> </w:t>
      </w:r>
      <w:proofErr w:type="spellStart"/>
      <w:r w:rsidR="00D1572B" w:rsidRPr="00D1572B">
        <w:rPr>
          <w:rFonts w:ascii="Arial" w:hAnsi="Arial" w:cs="Arial"/>
          <w:lang w:val="en-GB"/>
        </w:rPr>
        <w:t>CSDR</w:t>
      </w:r>
      <w:proofErr w:type="spellEnd"/>
      <w:r w:rsidRPr="00765070">
        <w:rPr>
          <w:rFonts w:ascii="Arial" w:hAnsi="Arial" w:cs="Arial"/>
          <w:lang w:val="en-GB"/>
        </w:rPr>
        <w:t xml:space="preserve"> </w:t>
      </w:r>
      <w:r w:rsidR="00D1572B">
        <w:rPr>
          <w:rFonts w:ascii="Arial" w:hAnsi="Arial" w:cs="Arial"/>
          <w:lang w:val="en-GB"/>
        </w:rPr>
        <w:t xml:space="preserve">and </w:t>
      </w:r>
      <w:r w:rsidRPr="00765070">
        <w:rPr>
          <w:rFonts w:ascii="Arial" w:hAnsi="Arial" w:cs="Arial"/>
          <w:lang w:val="en-GB"/>
        </w:rPr>
        <w:t xml:space="preserve">Regulation (EU) No 909/2014 of the European Parliament 2017/392 of 11 November 2016 supplementing Regulation (EU) No 909/2014 of the European Parliament and of the Council </w:t>
      </w:r>
      <w:proofErr w:type="gramStart"/>
      <w:r w:rsidRPr="00765070">
        <w:rPr>
          <w:rFonts w:ascii="Arial" w:hAnsi="Arial" w:cs="Arial"/>
          <w:lang w:val="en-GB"/>
        </w:rPr>
        <w:t>with regard to</w:t>
      </w:r>
      <w:proofErr w:type="gramEnd"/>
      <w:r w:rsidRPr="00765070">
        <w:rPr>
          <w:rFonts w:ascii="Arial" w:hAnsi="Arial" w:cs="Arial"/>
          <w:lang w:val="en-GB"/>
        </w:rPr>
        <w:t xml:space="preserve"> regulatory technical standards on authorisation, supervisory and operational requirements for central securities depositories.</w:t>
      </w:r>
    </w:p>
    <w:p w14:paraId="60357638" w14:textId="77777777" w:rsidR="00C158A8" w:rsidRPr="00765070" w:rsidRDefault="00C158A8" w:rsidP="00C158A8">
      <w:pPr>
        <w:spacing w:after="0" w:line="240" w:lineRule="auto"/>
        <w:rPr>
          <w:rFonts w:ascii="Arial" w:eastAsia="Calibri" w:hAnsi="Arial" w:cs="Arial"/>
          <w:lang w:val="en-GB"/>
        </w:rPr>
      </w:pPr>
    </w:p>
    <w:p w14:paraId="7E051BBB" w14:textId="77777777" w:rsidR="00C158A8" w:rsidRPr="00765070" w:rsidRDefault="00C158A8" w:rsidP="00C158A8">
      <w:pPr>
        <w:numPr>
          <w:ilvl w:val="0"/>
          <w:numId w:val="20"/>
        </w:numPr>
        <w:ind w:left="426" w:hanging="426"/>
        <w:rPr>
          <w:rFonts w:ascii="Arial" w:eastAsia="Calibri" w:hAnsi="Arial" w:cs="Arial"/>
          <w:lang w:val="en-GB"/>
        </w:rPr>
      </w:pPr>
      <w:r w:rsidRPr="00765070">
        <w:rPr>
          <w:rFonts w:ascii="Arial" w:eastAsia="Calibri" w:hAnsi="Arial" w:cs="Arial"/>
          <w:lang w:val="en-GB"/>
        </w:rPr>
        <w:t>In the data supply, the absolute values of the settlements by the central securities depository shall be reported for the entire reporting year, expressed in the original currencies used in the settlements.</w:t>
      </w:r>
    </w:p>
    <w:p w14:paraId="2505C986" w14:textId="77777777" w:rsidR="00C158A8" w:rsidRPr="00765070" w:rsidRDefault="00C158A8" w:rsidP="00C158A8">
      <w:pPr>
        <w:numPr>
          <w:ilvl w:val="0"/>
          <w:numId w:val="20"/>
        </w:numPr>
        <w:ind w:left="426" w:hanging="426"/>
        <w:rPr>
          <w:rFonts w:ascii="Arial" w:eastAsia="Calibri" w:hAnsi="Arial" w:cs="Arial"/>
          <w:lang w:val="en-GB"/>
        </w:rPr>
      </w:pPr>
      <w:r w:rsidRPr="00765070">
        <w:rPr>
          <w:rFonts w:ascii="Arial" w:eastAsia="Calibri" w:hAnsi="Arial" w:cs="Arial"/>
          <w:lang w:val="en-GB"/>
        </w:rPr>
        <w:t>The data supply shall include all settlement instruction categories executed by the central securities depository against payment, regardless whether they concern transactions executed at trading venues or over the counter.</w:t>
      </w:r>
    </w:p>
    <w:p w14:paraId="6A10E56E" w14:textId="77777777" w:rsidR="00C158A8" w:rsidRPr="00765070" w:rsidRDefault="00C158A8" w:rsidP="00C158A8">
      <w:pPr>
        <w:numPr>
          <w:ilvl w:val="0"/>
          <w:numId w:val="20"/>
        </w:numPr>
        <w:ind w:left="426" w:hanging="426"/>
        <w:rPr>
          <w:rFonts w:ascii="Arial" w:eastAsia="Calibri" w:hAnsi="Arial" w:cs="Arial"/>
          <w:lang w:val="en-GB"/>
        </w:rPr>
      </w:pPr>
      <w:r w:rsidRPr="00765070">
        <w:rPr>
          <w:rFonts w:ascii="Arial" w:eastAsia="Calibri" w:hAnsi="Arial" w:cs="Arial"/>
          <w:lang w:val="en-GB"/>
        </w:rPr>
        <w:t xml:space="preserve">For multi-transaction operations such as </w:t>
      </w:r>
      <w:proofErr w:type="gramStart"/>
      <w:r w:rsidRPr="00765070">
        <w:rPr>
          <w:rFonts w:ascii="Arial" w:eastAsia="Calibri" w:hAnsi="Arial" w:cs="Arial"/>
          <w:lang w:val="en-GB"/>
        </w:rPr>
        <w:t>a securities</w:t>
      </w:r>
      <w:proofErr w:type="gramEnd"/>
      <w:r w:rsidRPr="00765070">
        <w:rPr>
          <w:rFonts w:ascii="Arial" w:eastAsia="Calibri" w:hAnsi="Arial" w:cs="Arial"/>
          <w:lang w:val="en-GB"/>
        </w:rPr>
        <w:t xml:space="preserve"> repurchase transactions and securities lending transactions, both sides shall be reported after the settlement.</w:t>
      </w:r>
    </w:p>
    <w:p w14:paraId="253E9F4E" w14:textId="77777777" w:rsidR="00C158A8" w:rsidRPr="00765070" w:rsidRDefault="00C158A8" w:rsidP="00C158A8">
      <w:pPr>
        <w:numPr>
          <w:ilvl w:val="0"/>
          <w:numId w:val="20"/>
        </w:numPr>
        <w:ind w:left="426" w:hanging="426"/>
        <w:rPr>
          <w:rFonts w:ascii="Arial" w:eastAsia="Calibri" w:hAnsi="Arial" w:cs="Arial"/>
          <w:lang w:val="en-GB"/>
        </w:rPr>
      </w:pPr>
      <w:r w:rsidRPr="00765070">
        <w:rPr>
          <w:rFonts w:ascii="Arial" w:hAnsi="Arial" w:cs="Arial"/>
          <w:lang w:val="en-GB"/>
        </w:rPr>
        <w:t xml:space="preserve">In the case of settlements within the central securities depository, the central securities depository [issuer central securities depository (issuer </w:t>
      </w:r>
      <w:proofErr w:type="spellStart"/>
      <w:r w:rsidRPr="00765070">
        <w:rPr>
          <w:rFonts w:ascii="Arial" w:hAnsi="Arial" w:cs="Arial"/>
          <w:lang w:val="en-GB"/>
        </w:rPr>
        <w:t>CSD</w:t>
      </w:r>
      <w:proofErr w:type="spellEnd"/>
      <w:r w:rsidRPr="00765070">
        <w:rPr>
          <w:rFonts w:ascii="Arial" w:hAnsi="Arial" w:cs="Arial"/>
          <w:lang w:val="en-GB"/>
        </w:rPr>
        <w:t xml:space="preserve">) or investor central securities depository (investor </w:t>
      </w:r>
      <w:proofErr w:type="spellStart"/>
      <w:r w:rsidRPr="00765070">
        <w:rPr>
          <w:rFonts w:ascii="Arial" w:hAnsi="Arial" w:cs="Arial"/>
          <w:lang w:val="en-GB"/>
        </w:rPr>
        <w:t>CSD</w:t>
      </w:r>
      <w:proofErr w:type="spellEnd"/>
      <w:r w:rsidRPr="00765070">
        <w:rPr>
          <w:rFonts w:ascii="Arial" w:hAnsi="Arial" w:cs="Arial"/>
          <w:lang w:val="en-GB"/>
        </w:rPr>
        <w:t>)] shall report both sides of a transaction, i.e. it shall report both settlement instructions received;</w:t>
      </w:r>
    </w:p>
    <w:p w14:paraId="6E722DDA" w14:textId="77777777" w:rsidR="00C158A8" w:rsidRPr="00765070" w:rsidRDefault="00C158A8" w:rsidP="00C158A8">
      <w:pPr>
        <w:numPr>
          <w:ilvl w:val="0"/>
          <w:numId w:val="20"/>
        </w:numPr>
        <w:ind w:left="426" w:hanging="426"/>
        <w:rPr>
          <w:rFonts w:ascii="Arial" w:eastAsia="Calibri" w:hAnsi="Arial" w:cs="Arial"/>
          <w:lang w:val="en-GB"/>
        </w:rPr>
      </w:pPr>
      <w:r w:rsidRPr="00765070">
        <w:rPr>
          <w:rFonts w:ascii="Arial" w:hAnsi="Arial" w:cs="Arial"/>
          <w:lang w:val="en-GB"/>
        </w:rPr>
        <w:t>If several central securities depositories are involved in the settlement of a transaction through a standard, customised or indirect link, then only the central securities depository settling the two sides of the transaction (issuer central securities depository or investor central securities depository) shall have an obligation to supply data. Data shall be supplied about these two settlement instructions received. The investor central securities depository ‘settling’ one side of the transaction has no reporting obligation.</w:t>
      </w:r>
    </w:p>
    <w:p w14:paraId="2D55FF14" w14:textId="77777777" w:rsidR="00C158A8" w:rsidRPr="00765070" w:rsidRDefault="00C158A8" w:rsidP="00C158A8">
      <w:pPr>
        <w:numPr>
          <w:ilvl w:val="0"/>
          <w:numId w:val="20"/>
        </w:numPr>
        <w:ind w:left="426" w:hanging="426"/>
        <w:rPr>
          <w:rFonts w:ascii="Arial" w:eastAsia="Calibri" w:hAnsi="Arial" w:cs="Arial"/>
          <w:lang w:val="en-GB"/>
        </w:rPr>
      </w:pPr>
      <w:r w:rsidRPr="00765070">
        <w:rPr>
          <w:rFonts w:ascii="Arial" w:eastAsia="Calibri" w:hAnsi="Arial" w:cs="Arial"/>
          <w:lang w:val="en-GB"/>
        </w:rPr>
        <w:t>In the case of settlements via a shared settlement infrastructure between central securities depositories or via interoperable links, each central securities depository shall report the single settlement instruction received in relation to the transactions.</w:t>
      </w:r>
    </w:p>
    <w:p w14:paraId="572777E8" w14:textId="77777777" w:rsidR="00C158A8" w:rsidRPr="00765070" w:rsidRDefault="00C158A8" w:rsidP="00C158A8">
      <w:pPr>
        <w:numPr>
          <w:ilvl w:val="0"/>
          <w:numId w:val="20"/>
        </w:numPr>
        <w:ind w:left="426" w:hanging="426"/>
        <w:rPr>
          <w:rFonts w:ascii="Arial" w:eastAsia="Calibri" w:hAnsi="Arial" w:cs="Arial"/>
          <w:lang w:val="en-GB"/>
        </w:rPr>
      </w:pPr>
      <w:r w:rsidRPr="00765070">
        <w:rPr>
          <w:rFonts w:ascii="Arial" w:eastAsia="Calibri" w:hAnsi="Arial" w:cs="Arial"/>
          <w:lang w:val="en-GB"/>
        </w:rPr>
        <w:t>Settlement instructions may be created for the following types of transactions:</w:t>
      </w:r>
    </w:p>
    <w:p w14:paraId="202FF0BA" w14:textId="77777777" w:rsidR="00C158A8" w:rsidRPr="00765070" w:rsidRDefault="00C158A8" w:rsidP="00C158A8">
      <w:pPr>
        <w:numPr>
          <w:ilvl w:val="1"/>
          <w:numId w:val="21"/>
        </w:numPr>
        <w:ind w:left="851" w:hanging="284"/>
        <w:contextualSpacing/>
        <w:rPr>
          <w:rFonts w:ascii="Arial" w:eastAsia="Calibri" w:hAnsi="Arial" w:cs="Arial"/>
          <w:lang w:val="en-GB"/>
        </w:rPr>
      </w:pPr>
      <w:r w:rsidRPr="00765070">
        <w:rPr>
          <w:rFonts w:ascii="Arial" w:eastAsia="Calibri" w:hAnsi="Arial" w:cs="Arial"/>
          <w:lang w:val="en-GB"/>
        </w:rPr>
        <w:t>sale and purchase of securities (including the sale and purchase of securities on the primary market);</w:t>
      </w:r>
    </w:p>
    <w:p w14:paraId="6A32C332" w14:textId="77777777" w:rsidR="00C158A8" w:rsidRPr="00765070" w:rsidRDefault="00C158A8" w:rsidP="00C158A8">
      <w:pPr>
        <w:numPr>
          <w:ilvl w:val="1"/>
          <w:numId w:val="21"/>
        </w:numPr>
        <w:ind w:left="851" w:hanging="284"/>
        <w:contextualSpacing/>
        <w:rPr>
          <w:rFonts w:ascii="Arial" w:eastAsia="Calibri" w:hAnsi="Arial" w:cs="Arial"/>
          <w:lang w:val="en-GB"/>
        </w:rPr>
      </w:pPr>
      <w:r w:rsidRPr="00765070">
        <w:rPr>
          <w:rFonts w:ascii="Arial" w:hAnsi="Arial" w:cs="Arial"/>
          <w:lang w:val="en-GB"/>
        </w:rPr>
        <w:t>collateral management operations [including triparty collateral management operations or auto-collaterisation operations];</w:t>
      </w:r>
    </w:p>
    <w:p w14:paraId="387734C6" w14:textId="77777777" w:rsidR="00C158A8" w:rsidRPr="00765070" w:rsidRDefault="00C158A8" w:rsidP="00C158A8">
      <w:pPr>
        <w:numPr>
          <w:ilvl w:val="1"/>
          <w:numId w:val="21"/>
        </w:numPr>
        <w:ind w:left="851" w:hanging="284"/>
        <w:contextualSpacing/>
        <w:rPr>
          <w:rFonts w:ascii="Arial" w:eastAsia="Calibri" w:hAnsi="Arial" w:cs="Arial"/>
          <w:lang w:val="en-GB"/>
        </w:rPr>
      </w:pPr>
      <w:r w:rsidRPr="00765070">
        <w:rPr>
          <w:rFonts w:ascii="Arial" w:eastAsia="Calibri" w:hAnsi="Arial" w:cs="Arial"/>
          <w:lang w:val="en-GB"/>
        </w:rPr>
        <w:t>securities lending/borrowing operations;</w:t>
      </w:r>
    </w:p>
    <w:p w14:paraId="50306114" w14:textId="77777777" w:rsidR="00C158A8" w:rsidRPr="00765070" w:rsidRDefault="00C158A8" w:rsidP="00C158A8">
      <w:pPr>
        <w:numPr>
          <w:ilvl w:val="1"/>
          <w:numId w:val="21"/>
        </w:numPr>
        <w:ind w:left="851" w:hanging="284"/>
        <w:contextualSpacing/>
        <w:rPr>
          <w:rFonts w:ascii="Arial" w:eastAsia="Calibri" w:hAnsi="Arial" w:cs="Arial"/>
          <w:lang w:val="en-GB"/>
        </w:rPr>
      </w:pPr>
      <w:r w:rsidRPr="00765070">
        <w:rPr>
          <w:rFonts w:ascii="Arial" w:eastAsia="Calibri" w:hAnsi="Arial" w:cs="Arial"/>
          <w:lang w:val="en-GB"/>
        </w:rPr>
        <w:t>repo transactions;</w:t>
      </w:r>
    </w:p>
    <w:p w14:paraId="6B090B3D" w14:textId="77777777" w:rsidR="00C158A8" w:rsidRPr="00765070" w:rsidRDefault="00C158A8" w:rsidP="00C158A8">
      <w:pPr>
        <w:numPr>
          <w:ilvl w:val="1"/>
          <w:numId w:val="21"/>
        </w:numPr>
        <w:ind w:left="851" w:hanging="284"/>
        <w:rPr>
          <w:rFonts w:ascii="Arial" w:eastAsia="Calibri" w:hAnsi="Arial" w:cs="Arial"/>
          <w:lang w:val="en-GB"/>
        </w:rPr>
      </w:pPr>
      <w:r w:rsidRPr="00765070">
        <w:rPr>
          <w:rFonts w:ascii="Arial" w:hAnsi="Arial" w:cs="Arial"/>
          <w:lang w:val="en-GB"/>
        </w:rPr>
        <w:t>other (including corporate events relating to turnover, i.e. market claims and transformations).</w:t>
      </w:r>
    </w:p>
    <w:p w14:paraId="55010E3B" w14:textId="77777777" w:rsidR="00C158A8" w:rsidRPr="00765070" w:rsidRDefault="00C158A8" w:rsidP="00C158A8">
      <w:pPr>
        <w:numPr>
          <w:ilvl w:val="0"/>
          <w:numId w:val="20"/>
        </w:numPr>
        <w:ind w:left="426" w:hanging="426"/>
        <w:rPr>
          <w:rFonts w:ascii="Arial" w:eastAsia="Calibri" w:hAnsi="Arial" w:cs="Arial"/>
          <w:lang w:val="en-GB"/>
        </w:rPr>
      </w:pPr>
      <w:r w:rsidRPr="00765070">
        <w:rPr>
          <w:rFonts w:ascii="Arial" w:eastAsia="Calibri" w:hAnsi="Arial" w:cs="Arial"/>
          <w:lang w:val="en-GB"/>
        </w:rPr>
        <w:t>The following transaction types need not be reported in the data supply:</w:t>
      </w:r>
    </w:p>
    <w:p w14:paraId="248BDD01" w14:textId="77777777" w:rsidR="00C158A8" w:rsidRPr="00765070" w:rsidRDefault="00C158A8" w:rsidP="00C158A8">
      <w:pPr>
        <w:numPr>
          <w:ilvl w:val="1"/>
          <w:numId w:val="22"/>
        </w:numPr>
        <w:ind w:left="851" w:hanging="284"/>
        <w:contextualSpacing/>
        <w:rPr>
          <w:rFonts w:ascii="Arial" w:eastAsia="Calibri" w:hAnsi="Arial" w:cs="Arial"/>
          <w:lang w:val="en-GB"/>
        </w:rPr>
      </w:pPr>
      <w:r w:rsidRPr="00765070">
        <w:rPr>
          <w:rFonts w:ascii="Arial" w:hAnsi="Arial" w:cs="Arial"/>
          <w:lang w:val="en-GB"/>
        </w:rPr>
        <w:t>corporate events relating to portfolios, for example payments in cash (e.g. cash dividends, interest payment), allocations of securities (e.g. capital dividends, bonuses), reorganisations (e.g. conversion, stock split, redemption, tender offers);</w:t>
      </w:r>
    </w:p>
    <w:p w14:paraId="24AA3499" w14:textId="77777777" w:rsidR="00C158A8" w:rsidRPr="00765070" w:rsidRDefault="00C158A8" w:rsidP="00C158A8">
      <w:pPr>
        <w:numPr>
          <w:ilvl w:val="1"/>
          <w:numId w:val="22"/>
        </w:numPr>
        <w:ind w:left="851" w:hanging="284"/>
        <w:contextualSpacing/>
        <w:rPr>
          <w:rFonts w:ascii="Arial" w:eastAsia="Calibri" w:hAnsi="Arial" w:cs="Arial"/>
          <w:lang w:val="en-GB"/>
        </w:rPr>
      </w:pPr>
      <w:r w:rsidRPr="00765070">
        <w:rPr>
          <w:rFonts w:ascii="Arial" w:eastAsia="Calibri" w:hAnsi="Arial" w:cs="Arial"/>
          <w:lang w:val="en-GB"/>
        </w:rPr>
        <w:t>primary market operations, meaning the process of the initial creation of securities;</w:t>
      </w:r>
    </w:p>
    <w:p w14:paraId="30B0A521" w14:textId="77777777" w:rsidR="00C158A8" w:rsidRPr="00765070" w:rsidRDefault="00C158A8" w:rsidP="00C158A8">
      <w:pPr>
        <w:numPr>
          <w:ilvl w:val="1"/>
          <w:numId w:val="22"/>
        </w:numPr>
        <w:ind w:left="851" w:hanging="284"/>
        <w:contextualSpacing/>
        <w:rPr>
          <w:rFonts w:ascii="Arial" w:eastAsia="Calibri" w:hAnsi="Arial" w:cs="Arial"/>
          <w:lang w:val="en-GB"/>
        </w:rPr>
      </w:pPr>
      <w:r w:rsidRPr="00765070">
        <w:rPr>
          <w:rFonts w:ascii="Arial" w:eastAsia="Calibri" w:hAnsi="Arial" w:cs="Arial"/>
          <w:lang w:val="en-GB"/>
        </w:rPr>
        <w:t>sale and redemption of investment units, which shall mean the technical creation and repurchase of investment units, except if such sale and repurchase of the investment units is completed via payment orders of the securities settlement system operated by the central securities depository;</w:t>
      </w:r>
    </w:p>
    <w:p w14:paraId="03BBAAC6" w14:textId="77777777" w:rsidR="00C158A8" w:rsidRPr="00765070" w:rsidRDefault="00C158A8" w:rsidP="00C158A8">
      <w:pPr>
        <w:numPr>
          <w:ilvl w:val="1"/>
          <w:numId w:val="22"/>
        </w:numPr>
        <w:ind w:left="851" w:hanging="284"/>
        <w:contextualSpacing/>
        <w:rPr>
          <w:rFonts w:ascii="Arial" w:eastAsia="Calibri" w:hAnsi="Arial" w:cs="Arial"/>
          <w:lang w:val="en-GB"/>
        </w:rPr>
      </w:pPr>
      <w:r w:rsidRPr="00765070">
        <w:rPr>
          <w:rFonts w:ascii="Arial" w:eastAsia="Calibri" w:hAnsi="Arial" w:cs="Arial"/>
          <w:lang w:val="en-GB"/>
        </w:rPr>
        <w:t>realignment operations.</w:t>
      </w:r>
    </w:p>
    <w:p w14:paraId="519321DB" w14:textId="77777777" w:rsidR="00B0006E" w:rsidRPr="00765070" w:rsidRDefault="00C158A8" w:rsidP="00C158A8">
      <w:pPr>
        <w:keepNext/>
        <w:tabs>
          <w:tab w:val="left" w:pos="426"/>
        </w:tabs>
        <w:spacing w:before="240" w:after="240" w:line="240" w:lineRule="auto"/>
        <w:outlineLvl w:val="2"/>
        <w:rPr>
          <w:rFonts w:ascii="Arial" w:eastAsia="Calibri" w:hAnsi="Arial" w:cs="Arial"/>
          <w:b/>
          <w:lang w:val="en-GB"/>
        </w:rPr>
      </w:pPr>
      <w:r w:rsidRPr="00765070">
        <w:rPr>
          <w:rFonts w:ascii="Arial" w:eastAsia="Calibri" w:hAnsi="Arial" w:cs="Arial"/>
          <w:b/>
          <w:bCs/>
          <w:lang w:val="en-GB"/>
        </w:rPr>
        <w:lastRenderedPageBreak/>
        <w:t>II.</w:t>
      </w:r>
      <w:r w:rsidRPr="00765070">
        <w:rPr>
          <w:rFonts w:ascii="Arial" w:eastAsia="Calibri" w:hAnsi="Arial" w:cs="Arial"/>
          <w:lang w:val="en-GB"/>
        </w:rPr>
        <w:tab/>
      </w:r>
      <w:r w:rsidRPr="00765070">
        <w:rPr>
          <w:rFonts w:ascii="Arial" w:eastAsia="Calibri" w:hAnsi="Arial" w:cs="Arial"/>
          <w:b/>
          <w:bCs/>
          <w:lang w:val="en-GB"/>
        </w:rPr>
        <w:t>Detailed instructions for specific columns in the table</w:t>
      </w:r>
    </w:p>
    <w:p w14:paraId="1486A3AE" w14:textId="116CBD96" w:rsidR="00B0006E" w:rsidRPr="00765070" w:rsidRDefault="00C158A8" w:rsidP="00CB1925">
      <w:pPr>
        <w:rPr>
          <w:lang w:val="en-GB"/>
        </w:rPr>
      </w:pPr>
      <w:r w:rsidRPr="00765070">
        <w:rPr>
          <w:rFonts w:ascii="Arial" w:eastAsia="Calibri" w:hAnsi="Arial" w:cs="Arial"/>
          <w:lang w:val="en-GB"/>
        </w:rPr>
        <w:t>Columns 3 to 4</w:t>
      </w:r>
      <w:r w:rsidR="006D3DD9">
        <w:rPr>
          <w:rFonts w:ascii="Arial" w:eastAsia="Calibri" w:hAnsi="Arial" w:cs="Arial"/>
          <w:lang w:val="en-GB"/>
        </w:rPr>
        <w:t>3</w:t>
      </w:r>
      <w:r w:rsidRPr="00765070">
        <w:rPr>
          <w:rFonts w:ascii="Arial" w:eastAsia="Calibri" w:hAnsi="Arial" w:cs="Arial"/>
          <w:lang w:val="en-GB"/>
        </w:rPr>
        <w:t xml:space="preserve"> shall contain the absolute values of the settlements by the central securities depository, in the original currencies used in the settlements. The column shall be left blank if there was no settlement in the </w:t>
      </w:r>
      <w:proofErr w:type="gramStart"/>
      <w:r w:rsidRPr="00765070">
        <w:rPr>
          <w:rFonts w:ascii="Arial" w:eastAsia="Calibri" w:hAnsi="Arial" w:cs="Arial"/>
          <w:lang w:val="en-GB"/>
        </w:rPr>
        <w:t>particular currency</w:t>
      </w:r>
      <w:proofErr w:type="gramEnd"/>
      <w:r w:rsidRPr="00765070">
        <w:rPr>
          <w:rFonts w:ascii="Arial" w:eastAsia="Calibri" w:hAnsi="Arial" w:cs="Arial"/>
          <w:lang w:val="en-GB"/>
        </w:rPr>
        <w:t>. Further columns shall be added if settlements were made in currencies not included in Columns 3 to 4</w:t>
      </w:r>
      <w:r w:rsidR="00F30C0C">
        <w:rPr>
          <w:rFonts w:ascii="Arial" w:eastAsia="Calibri" w:hAnsi="Arial" w:cs="Arial"/>
          <w:lang w:val="en-GB"/>
        </w:rPr>
        <w:t>3</w:t>
      </w:r>
      <w:bookmarkStart w:id="0" w:name="_GoBack"/>
      <w:bookmarkEnd w:id="0"/>
      <w:r w:rsidRPr="00765070">
        <w:rPr>
          <w:rFonts w:ascii="Arial" w:eastAsia="Calibri" w:hAnsi="Arial" w:cs="Arial"/>
          <w:lang w:val="en-GB"/>
        </w:rPr>
        <w:t>, and the settlements in the relevant currencies shall be reported there.</w:t>
      </w:r>
    </w:p>
    <w:p w14:paraId="0C420AE1" w14:textId="77777777" w:rsidR="00B944EB" w:rsidRPr="00765070" w:rsidRDefault="00B944EB" w:rsidP="00122713">
      <w:pPr>
        <w:spacing w:after="120" w:line="240" w:lineRule="auto"/>
        <w:ind w:left="426"/>
        <w:rPr>
          <w:rFonts w:ascii="Arial" w:eastAsia="Calibri" w:hAnsi="Arial" w:cs="Arial"/>
          <w:lang w:val="en-GB"/>
        </w:rPr>
      </w:pPr>
    </w:p>
    <w:sectPr w:rsidR="00B944EB" w:rsidRPr="00765070" w:rsidSect="00CD6E8D">
      <w:headerReference w:type="default" r:id="rId8"/>
      <w:footerReference w:type="default" r:id="rId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A44749" w14:textId="77777777" w:rsidR="00C63A62" w:rsidRDefault="00C63A62">
      <w:r>
        <w:separator/>
      </w:r>
    </w:p>
  </w:endnote>
  <w:endnote w:type="continuationSeparator" w:id="0">
    <w:p w14:paraId="67B175A0" w14:textId="77777777" w:rsidR="00C63A62" w:rsidRDefault="00C63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9DC80" w14:textId="77777777" w:rsidR="009E3A57" w:rsidRPr="00AC6950" w:rsidRDefault="009E3A57" w:rsidP="00AC6950">
    <w:pPr>
      <w:tabs>
        <w:tab w:val="left" w:pos="8460"/>
      </w:tabs>
      <w:rPr>
        <w:sz w:val="18"/>
        <w:szCs w:val="18"/>
      </w:rPr>
    </w:pPr>
    <w:r>
      <w:rPr>
        <w:lang w:val="en"/>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AF107B" w14:textId="77777777" w:rsidR="00C63A62" w:rsidRDefault="00C63A62">
      <w:r>
        <w:separator/>
      </w:r>
    </w:p>
  </w:footnote>
  <w:footnote w:type="continuationSeparator" w:id="0">
    <w:p w14:paraId="5B6A2F4F" w14:textId="77777777" w:rsidR="00C63A62" w:rsidRDefault="00C63A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26B089"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5" w15:restartNumberingAfterBreak="0">
    <w:nsid w:val="1FB81C63"/>
    <w:multiLevelType w:val="multilevel"/>
    <w:tmpl w:val="AC28E978"/>
    <w:lvl w:ilvl="0">
      <w:start w:val="1"/>
      <w:numFmt w:val="decimal"/>
      <w:pStyle w:val="Cm1"/>
      <w:lvlText w:val="%1."/>
      <w:lvlJc w:val="left"/>
      <w:pPr>
        <w:tabs>
          <w:tab w:val="num" w:pos="432"/>
        </w:tabs>
        <w:ind w:left="432" w:hanging="432"/>
      </w:pPr>
    </w:lvl>
    <w:lvl w:ilvl="1">
      <w:start w:val="1"/>
      <w:numFmt w:val="decimal"/>
      <w:pStyle w:val="cm2"/>
      <w:lvlText w:val="%1.%2."/>
      <w:lvlJc w:val="left"/>
      <w:pPr>
        <w:tabs>
          <w:tab w:val="num" w:pos="680"/>
        </w:tabs>
        <w:ind w:left="680" w:hanging="680"/>
      </w:pPr>
    </w:lvl>
    <w:lvl w:ilvl="2">
      <w:start w:val="1"/>
      <w:numFmt w:val="decimal"/>
      <w:pStyle w:val="cm3"/>
      <w:lvlText w:val="%1.%2.%3."/>
      <w:lvlJc w:val="left"/>
      <w:pPr>
        <w:tabs>
          <w:tab w:val="num" w:pos="794"/>
        </w:tabs>
        <w:ind w:left="794" w:hanging="794"/>
      </w:pPr>
    </w:lvl>
    <w:lvl w:ilvl="3">
      <w:start w:val="1"/>
      <w:numFmt w:val="decimal"/>
      <w:pStyle w:val="cm4"/>
      <w:lvlText w:val="%1.%2.%3.%4."/>
      <w:lvlJc w:val="left"/>
      <w:pPr>
        <w:tabs>
          <w:tab w:val="num" w:pos="1021"/>
        </w:tabs>
        <w:ind w:left="1021" w:hanging="1021"/>
      </w:pPr>
    </w:lvl>
    <w:lvl w:ilvl="4">
      <w:start w:val="1"/>
      <w:numFmt w:val="decimal"/>
      <w:pStyle w:val="cm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7"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4255058C"/>
    <w:multiLevelType w:val="hybridMultilevel"/>
    <w:tmpl w:val="F656EC46"/>
    <w:lvl w:ilvl="0" w:tplc="0809000F">
      <w:start w:val="1"/>
      <w:numFmt w:val="decimal"/>
      <w:lvlText w:val="%1."/>
      <w:lvlJc w:val="left"/>
      <w:pPr>
        <w:ind w:left="720" w:hanging="360"/>
      </w:pPr>
    </w:lvl>
    <w:lvl w:ilvl="1" w:tplc="040E0017">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4D9045D8"/>
    <w:multiLevelType w:val="hybridMultilevel"/>
    <w:tmpl w:val="845079FA"/>
    <w:lvl w:ilvl="0" w:tplc="0809000F">
      <w:start w:val="1"/>
      <w:numFmt w:val="decimal"/>
      <w:lvlText w:val="%1."/>
      <w:lvlJc w:val="left"/>
      <w:pPr>
        <w:ind w:left="720" w:hanging="360"/>
      </w:pPr>
    </w:lvl>
    <w:lvl w:ilvl="1" w:tplc="040E0017">
      <w:start w:val="1"/>
      <w:numFmt w:val="lowerLetter"/>
      <w:lvlText w:val="%2)"/>
      <w:lvlJc w:val="left"/>
      <w:pPr>
        <w:ind w:left="1440" w:hanging="360"/>
      </w:pPr>
    </w:lvl>
    <w:lvl w:ilvl="2" w:tplc="E5EE9A50">
      <w:start w:val="1"/>
      <w:numFmt w:val="upperRoman"/>
      <w:lvlText w:val="%3."/>
      <w:lvlJc w:val="left"/>
      <w:pPr>
        <w:ind w:left="2700" w:hanging="720"/>
      </w:pPr>
      <w:rPr>
        <w:rFonts w:eastAsia="Times New Roman" w:cs="Arial"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ED9440A"/>
    <w:multiLevelType w:val="hybridMultilevel"/>
    <w:tmpl w:val="01A2001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4"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6"/>
  </w:num>
  <w:num w:numId="4">
    <w:abstractNumId w:val="0"/>
  </w:num>
  <w:num w:numId="5">
    <w:abstractNumId w:val="1"/>
  </w:num>
  <w:num w:numId="6">
    <w:abstractNumId w:val="8"/>
  </w:num>
  <w:num w:numId="7">
    <w:abstractNumId w:val="3"/>
  </w:num>
  <w:num w:numId="8">
    <w:abstractNumId w:val="13"/>
  </w:num>
  <w:num w:numId="9">
    <w:abstractNumId w:val="8"/>
    <w:lvlOverride w:ilvl="0">
      <w:startOverride w:val="1"/>
    </w:lvlOverride>
  </w:num>
  <w:num w:numId="10">
    <w:abstractNumId w:val="14"/>
  </w:num>
  <w:num w:numId="11">
    <w:abstractNumId w:val="10"/>
  </w:num>
  <w:num w:numId="12">
    <w:abstractNumId w:val="7"/>
  </w:num>
  <w:num w:numId="13">
    <w:abstractNumId w:val="6"/>
  </w:num>
  <w:num w:numId="14">
    <w:abstractNumId w:val="6"/>
  </w:num>
  <w:num w:numId="15">
    <w:abstractNumId w:val="6"/>
  </w:num>
  <w:num w:numId="16">
    <w:abstractNumId w:val="6"/>
  </w:num>
  <w:num w:numId="17">
    <w:abstractNumId w:val="6"/>
  </w:num>
  <w:num w:numId="18">
    <w:abstractNumId w:val="6"/>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1"/>
  </w:num>
  <w:num w:numId="22">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6E64"/>
    <w:rsid w:val="0000273C"/>
    <w:rsid w:val="00017B1B"/>
    <w:rsid w:val="0002498B"/>
    <w:rsid w:val="000250E6"/>
    <w:rsid w:val="00027695"/>
    <w:rsid w:val="00027B62"/>
    <w:rsid w:val="00033357"/>
    <w:rsid w:val="00035697"/>
    <w:rsid w:val="00046E64"/>
    <w:rsid w:val="0005577F"/>
    <w:rsid w:val="00060148"/>
    <w:rsid w:val="00063216"/>
    <w:rsid w:val="0006374F"/>
    <w:rsid w:val="00064546"/>
    <w:rsid w:val="000674BE"/>
    <w:rsid w:val="00067BE2"/>
    <w:rsid w:val="00067C0C"/>
    <w:rsid w:val="0008131E"/>
    <w:rsid w:val="00081934"/>
    <w:rsid w:val="000831EC"/>
    <w:rsid w:val="00087E97"/>
    <w:rsid w:val="000904C4"/>
    <w:rsid w:val="000A3A63"/>
    <w:rsid w:val="000A71F3"/>
    <w:rsid w:val="000C2918"/>
    <w:rsid w:val="000C3019"/>
    <w:rsid w:val="000C701E"/>
    <w:rsid w:val="000C701F"/>
    <w:rsid w:val="000D1C8B"/>
    <w:rsid w:val="000D1E44"/>
    <w:rsid w:val="000D40AE"/>
    <w:rsid w:val="000D4F61"/>
    <w:rsid w:val="000D5F26"/>
    <w:rsid w:val="000E2CBD"/>
    <w:rsid w:val="000E4EE3"/>
    <w:rsid w:val="000F2858"/>
    <w:rsid w:val="000F2AE0"/>
    <w:rsid w:val="000F30B8"/>
    <w:rsid w:val="000F68FE"/>
    <w:rsid w:val="00101654"/>
    <w:rsid w:val="0010447E"/>
    <w:rsid w:val="0010496C"/>
    <w:rsid w:val="00110868"/>
    <w:rsid w:val="00113C88"/>
    <w:rsid w:val="00122713"/>
    <w:rsid w:val="001255A4"/>
    <w:rsid w:val="00132260"/>
    <w:rsid w:val="00133A51"/>
    <w:rsid w:val="001356A6"/>
    <w:rsid w:val="001357D0"/>
    <w:rsid w:val="00136260"/>
    <w:rsid w:val="001421CC"/>
    <w:rsid w:val="00143691"/>
    <w:rsid w:val="00150045"/>
    <w:rsid w:val="00152DBF"/>
    <w:rsid w:val="00166F6C"/>
    <w:rsid w:val="001747F6"/>
    <w:rsid w:val="0018359E"/>
    <w:rsid w:val="0018619A"/>
    <w:rsid w:val="001870A7"/>
    <w:rsid w:val="00197350"/>
    <w:rsid w:val="001A2BAA"/>
    <w:rsid w:val="001B3486"/>
    <w:rsid w:val="001C0FAA"/>
    <w:rsid w:val="001C24F1"/>
    <w:rsid w:val="001C466F"/>
    <w:rsid w:val="001C5C33"/>
    <w:rsid w:val="001D4211"/>
    <w:rsid w:val="001D5999"/>
    <w:rsid w:val="001D59FD"/>
    <w:rsid w:val="001D60A8"/>
    <w:rsid w:val="001D7401"/>
    <w:rsid w:val="001E34FF"/>
    <w:rsid w:val="001E4231"/>
    <w:rsid w:val="001E621D"/>
    <w:rsid w:val="001F0E5D"/>
    <w:rsid w:val="001F1610"/>
    <w:rsid w:val="002012AD"/>
    <w:rsid w:val="00206642"/>
    <w:rsid w:val="00214230"/>
    <w:rsid w:val="0021484C"/>
    <w:rsid w:val="0022056B"/>
    <w:rsid w:val="0022764E"/>
    <w:rsid w:val="00240C97"/>
    <w:rsid w:val="0024525F"/>
    <w:rsid w:val="002522F1"/>
    <w:rsid w:val="002602F5"/>
    <w:rsid w:val="002611AE"/>
    <w:rsid w:val="0026180A"/>
    <w:rsid w:val="00270724"/>
    <w:rsid w:val="00271371"/>
    <w:rsid w:val="00273052"/>
    <w:rsid w:val="0027402D"/>
    <w:rsid w:val="002751D4"/>
    <w:rsid w:val="002866DE"/>
    <w:rsid w:val="00287D15"/>
    <w:rsid w:val="00290D47"/>
    <w:rsid w:val="00292177"/>
    <w:rsid w:val="002A3B0E"/>
    <w:rsid w:val="002B3674"/>
    <w:rsid w:val="002B4D45"/>
    <w:rsid w:val="002B6B78"/>
    <w:rsid w:val="002B6D25"/>
    <w:rsid w:val="002B78E0"/>
    <w:rsid w:val="002C728F"/>
    <w:rsid w:val="002C7AB8"/>
    <w:rsid w:val="002C7D4D"/>
    <w:rsid w:val="002C7DD0"/>
    <w:rsid w:val="002D5E55"/>
    <w:rsid w:val="002F34ED"/>
    <w:rsid w:val="002F602F"/>
    <w:rsid w:val="00300EE3"/>
    <w:rsid w:val="00302136"/>
    <w:rsid w:val="00313246"/>
    <w:rsid w:val="003231ED"/>
    <w:rsid w:val="00327A74"/>
    <w:rsid w:val="00341BB5"/>
    <w:rsid w:val="00343614"/>
    <w:rsid w:val="0035153B"/>
    <w:rsid w:val="003524A6"/>
    <w:rsid w:val="003548F7"/>
    <w:rsid w:val="003701D4"/>
    <w:rsid w:val="003704B1"/>
    <w:rsid w:val="003728FE"/>
    <w:rsid w:val="00373BD2"/>
    <w:rsid w:val="0037696F"/>
    <w:rsid w:val="00380643"/>
    <w:rsid w:val="003824BF"/>
    <w:rsid w:val="003827F0"/>
    <w:rsid w:val="00391B59"/>
    <w:rsid w:val="00395B14"/>
    <w:rsid w:val="00395D13"/>
    <w:rsid w:val="00397F34"/>
    <w:rsid w:val="003B12B2"/>
    <w:rsid w:val="003B46BE"/>
    <w:rsid w:val="003C5699"/>
    <w:rsid w:val="003D04DD"/>
    <w:rsid w:val="003D52BC"/>
    <w:rsid w:val="003F128A"/>
    <w:rsid w:val="0041484F"/>
    <w:rsid w:val="00423D50"/>
    <w:rsid w:val="0043276D"/>
    <w:rsid w:val="004330EA"/>
    <w:rsid w:val="00434DC6"/>
    <w:rsid w:val="004413FF"/>
    <w:rsid w:val="00442ABF"/>
    <w:rsid w:val="004451FE"/>
    <w:rsid w:val="00453087"/>
    <w:rsid w:val="00455A38"/>
    <w:rsid w:val="00465939"/>
    <w:rsid w:val="0047029F"/>
    <w:rsid w:val="004729CE"/>
    <w:rsid w:val="00474131"/>
    <w:rsid w:val="0048183A"/>
    <w:rsid w:val="00491483"/>
    <w:rsid w:val="004919C2"/>
    <w:rsid w:val="004924CA"/>
    <w:rsid w:val="00494C89"/>
    <w:rsid w:val="004A58E3"/>
    <w:rsid w:val="004A5F09"/>
    <w:rsid w:val="004B1A68"/>
    <w:rsid w:val="004D270F"/>
    <w:rsid w:val="004D455D"/>
    <w:rsid w:val="004D7635"/>
    <w:rsid w:val="004E2BA2"/>
    <w:rsid w:val="004F1BAA"/>
    <w:rsid w:val="004F42D5"/>
    <w:rsid w:val="004F72B9"/>
    <w:rsid w:val="0050045B"/>
    <w:rsid w:val="00501172"/>
    <w:rsid w:val="00503A99"/>
    <w:rsid w:val="0050657B"/>
    <w:rsid w:val="00513B1F"/>
    <w:rsid w:val="0051486A"/>
    <w:rsid w:val="005149CD"/>
    <w:rsid w:val="00516455"/>
    <w:rsid w:val="00517847"/>
    <w:rsid w:val="0052546E"/>
    <w:rsid w:val="0052584F"/>
    <w:rsid w:val="005312FD"/>
    <w:rsid w:val="00544934"/>
    <w:rsid w:val="00557A68"/>
    <w:rsid w:val="00561175"/>
    <w:rsid w:val="005648EE"/>
    <w:rsid w:val="00571C3C"/>
    <w:rsid w:val="005763C5"/>
    <w:rsid w:val="00581D24"/>
    <w:rsid w:val="0058459E"/>
    <w:rsid w:val="00586D4D"/>
    <w:rsid w:val="005A011E"/>
    <w:rsid w:val="005A3531"/>
    <w:rsid w:val="005A3DDE"/>
    <w:rsid w:val="005A788E"/>
    <w:rsid w:val="005B0A26"/>
    <w:rsid w:val="005C3F73"/>
    <w:rsid w:val="005C498A"/>
    <w:rsid w:val="005C5BB7"/>
    <w:rsid w:val="005D1A2C"/>
    <w:rsid w:val="005F3818"/>
    <w:rsid w:val="005F3E3D"/>
    <w:rsid w:val="00602F0C"/>
    <w:rsid w:val="00603723"/>
    <w:rsid w:val="00605E86"/>
    <w:rsid w:val="00610E45"/>
    <w:rsid w:val="00627BFA"/>
    <w:rsid w:val="00642A07"/>
    <w:rsid w:val="00643529"/>
    <w:rsid w:val="00643CB4"/>
    <w:rsid w:val="00644BE4"/>
    <w:rsid w:val="0067570F"/>
    <w:rsid w:val="00681108"/>
    <w:rsid w:val="00690C97"/>
    <w:rsid w:val="0069441B"/>
    <w:rsid w:val="006A54BA"/>
    <w:rsid w:val="006A66EB"/>
    <w:rsid w:val="006B0392"/>
    <w:rsid w:val="006B2726"/>
    <w:rsid w:val="006B4271"/>
    <w:rsid w:val="006C2C3D"/>
    <w:rsid w:val="006C4871"/>
    <w:rsid w:val="006C700F"/>
    <w:rsid w:val="006D0881"/>
    <w:rsid w:val="006D3867"/>
    <w:rsid w:val="006D3DD9"/>
    <w:rsid w:val="006E45F8"/>
    <w:rsid w:val="006E5F78"/>
    <w:rsid w:val="006F0376"/>
    <w:rsid w:val="006F39C8"/>
    <w:rsid w:val="006F5D02"/>
    <w:rsid w:val="006F6144"/>
    <w:rsid w:val="00702E90"/>
    <w:rsid w:val="00703E97"/>
    <w:rsid w:val="0070653D"/>
    <w:rsid w:val="00707C38"/>
    <w:rsid w:val="007236B8"/>
    <w:rsid w:val="0072398E"/>
    <w:rsid w:val="00732D87"/>
    <w:rsid w:val="00737660"/>
    <w:rsid w:val="007376E0"/>
    <w:rsid w:val="00744A1F"/>
    <w:rsid w:val="00746D82"/>
    <w:rsid w:val="007474DD"/>
    <w:rsid w:val="00754A11"/>
    <w:rsid w:val="00765070"/>
    <w:rsid w:val="00767D3F"/>
    <w:rsid w:val="00774306"/>
    <w:rsid w:val="00782B80"/>
    <w:rsid w:val="00786EF4"/>
    <w:rsid w:val="00791092"/>
    <w:rsid w:val="007913EE"/>
    <w:rsid w:val="00792C7B"/>
    <w:rsid w:val="007A2BE7"/>
    <w:rsid w:val="007B1174"/>
    <w:rsid w:val="007B39B9"/>
    <w:rsid w:val="007B7FC8"/>
    <w:rsid w:val="007D67A3"/>
    <w:rsid w:val="007D7E92"/>
    <w:rsid w:val="007E0286"/>
    <w:rsid w:val="007F197C"/>
    <w:rsid w:val="007F1D57"/>
    <w:rsid w:val="007F7E59"/>
    <w:rsid w:val="00823B7E"/>
    <w:rsid w:val="0083252A"/>
    <w:rsid w:val="008349B3"/>
    <w:rsid w:val="0083670C"/>
    <w:rsid w:val="008370C0"/>
    <w:rsid w:val="00840065"/>
    <w:rsid w:val="00844283"/>
    <w:rsid w:val="0084582F"/>
    <w:rsid w:val="00847C0A"/>
    <w:rsid w:val="008512C4"/>
    <w:rsid w:val="008528A0"/>
    <w:rsid w:val="00860131"/>
    <w:rsid w:val="00860860"/>
    <w:rsid w:val="00864147"/>
    <w:rsid w:val="00864468"/>
    <w:rsid w:val="00866547"/>
    <w:rsid w:val="00866E71"/>
    <w:rsid w:val="008935BD"/>
    <w:rsid w:val="008936DF"/>
    <w:rsid w:val="008A1C40"/>
    <w:rsid w:val="008B61E3"/>
    <w:rsid w:val="008C474C"/>
    <w:rsid w:val="008C56D8"/>
    <w:rsid w:val="008D6221"/>
    <w:rsid w:val="008E26F2"/>
    <w:rsid w:val="008E3579"/>
    <w:rsid w:val="00903AC3"/>
    <w:rsid w:val="009228DF"/>
    <w:rsid w:val="00925712"/>
    <w:rsid w:val="00926EA9"/>
    <w:rsid w:val="00930F98"/>
    <w:rsid w:val="00933E50"/>
    <w:rsid w:val="00934193"/>
    <w:rsid w:val="00934F6E"/>
    <w:rsid w:val="00937A0B"/>
    <w:rsid w:val="0094233D"/>
    <w:rsid w:val="00950ACA"/>
    <w:rsid w:val="00957F22"/>
    <w:rsid w:val="00961F15"/>
    <w:rsid w:val="00962FE4"/>
    <w:rsid w:val="009665AC"/>
    <w:rsid w:val="00990B18"/>
    <w:rsid w:val="009A4F0C"/>
    <w:rsid w:val="009B2208"/>
    <w:rsid w:val="009B4272"/>
    <w:rsid w:val="009B7F1B"/>
    <w:rsid w:val="009C09A6"/>
    <w:rsid w:val="009C6632"/>
    <w:rsid w:val="009D0800"/>
    <w:rsid w:val="009D1272"/>
    <w:rsid w:val="009D2629"/>
    <w:rsid w:val="009D3B3D"/>
    <w:rsid w:val="009D4156"/>
    <w:rsid w:val="009E3A57"/>
    <w:rsid w:val="009E7AC9"/>
    <w:rsid w:val="009F413A"/>
    <w:rsid w:val="00A00F2A"/>
    <w:rsid w:val="00A03212"/>
    <w:rsid w:val="00A16867"/>
    <w:rsid w:val="00A17909"/>
    <w:rsid w:val="00A2173F"/>
    <w:rsid w:val="00A244C7"/>
    <w:rsid w:val="00A26654"/>
    <w:rsid w:val="00A26ED3"/>
    <w:rsid w:val="00A3105B"/>
    <w:rsid w:val="00A34F95"/>
    <w:rsid w:val="00A44C60"/>
    <w:rsid w:val="00A5096A"/>
    <w:rsid w:val="00A56BCD"/>
    <w:rsid w:val="00A57D44"/>
    <w:rsid w:val="00A60012"/>
    <w:rsid w:val="00A77604"/>
    <w:rsid w:val="00A800A3"/>
    <w:rsid w:val="00A8495F"/>
    <w:rsid w:val="00A917E0"/>
    <w:rsid w:val="00A94C01"/>
    <w:rsid w:val="00AA7D28"/>
    <w:rsid w:val="00AB3E83"/>
    <w:rsid w:val="00AB5B26"/>
    <w:rsid w:val="00AB7DBF"/>
    <w:rsid w:val="00AC6950"/>
    <w:rsid w:val="00AE3CD1"/>
    <w:rsid w:val="00AE41D5"/>
    <w:rsid w:val="00AE4D73"/>
    <w:rsid w:val="00AF1C92"/>
    <w:rsid w:val="00AF7B9B"/>
    <w:rsid w:val="00B0006E"/>
    <w:rsid w:val="00B06F8B"/>
    <w:rsid w:val="00B15880"/>
    <w:rsid w:val="00B1673D"/>
    <w:rsid w:val="00B250ED"/>
    <w:rsid w:val="00B25C26"/>
    <w:rsid w:val="00B261BA"/>
    <w:rsid w:val="00B3064A"/>
    <w:rsid w:val="00B3473A"/>
    <w:rsid w:val="00B36061"/>
    <w:rsid w:val="00B36A9C"/>
    <w:rsid w:val="00B37787"/>
    <w:rsid w:val="00B4230E"/>
    <w:rsid w:val="00B4506F"/>
    <w:rsid w:val="00B45D0C"/>
    <w:rsid w:val="00B46F92"/>
    <w:rsid w:val="00B4727E"/>
    <w:rsid w:val="00B51E64"/>
    <w:rsid w:val="00B53C3B"/>
    <w:rsid w:val="00B54E70"/>
    <w:rsid w:val="00B55827"/>
    <w:rsid w:val="00B56865"/>
    <w:rsid w:val="00B602C9"/>
    <w:rsid w:val="00B62845"/>
    <w:rsid w:val="00B64835"/>
    <w:rsid w:val="00B65560"/>
    <w:rsid w:val="00B66A7E"/>
    <w:rsid w:val="00B702D5"/>
    <w:rsid w:val="00B723C6"/>
    <w:rsid w:val="00B800CB"/>
    <w:rsid w:val="00B8074B"/>
    <w:rsid w:val="00B8101A"/>
    <w:rsid w:val="00B861AB"/>
    <w:rsid w:val="00B944EB"/>
    <w:rsid w:val="00BA2A45"/>
    <w:rsid w:val="00BB27C2"/>
    <w:rsid w:val="00BB7D50"/>
    <w:rsid w:val="00BD0575"/>
    <w:rsid w:val="00BD12AC"/>
    <w:rsid w:val="00BD29BB"/>
    <w:rsid w:val="00BD75B8"/>
    <w:rsid w:val="00BE125E"/>
    <w:rsid w:val="00BE5440"/>
    <w:rsid w:val="00BE5843"/>
    <w:rsid w:val="00BF0359"/>
    <w:rsid w:val="00BF3AF0"/>
    <w:rsid w:val="00C01E8F"/>
    <w:rsid w:val="00C0501F"/>
    <w:rsid w:val="00C06F2F"/>
    <w:rsid w:val="00C07885"/>
    <w:rsid w:val="00C136F8"/>
    <w:rsid w:val="00C146F6"/>
    <w:rsid w:val="00C1563C"/>
    <w:rsid w:val="00C158A8"/>
    <w:rsid w:val="00C17469"/>
    <w:rsid w:val="00C20799"/>
    <w:rsid w:val="00C22FB8"/>
    <w:rsid w:val="00C31F64"/>
    <w:rsid w:val="00C43AC5"/>
    <w:rsid w:val="00C522BD"/>
    <w:rsid w:val="00C63A62"/>
    <w:rsid w:val="00C63F2A"/>
    <w:rsid w:val="00C64F11"/>
    <w:rsid w:val="00C72FB8"/>
    <w:rsid w:val="00C907C0"/>
    <w:rsid w:val="00C92F2F"/>
    <w:rsid w:val="00C93837"/>
    <w:rsid w:val="00CA398B"/>
    <w:rsid w:val="00CC4CB1"/>
    <w:rsid w:val="00CD36BC"/>
    <w:rsid w:val="00CD6E8D"/>
    <w:rsid w:val="00CD724F"/>
    <w:rsid w:val="00CE188C"/>
    <w:rsid w:val="00CF148C"/>
    <w:rsid w:val="00D00D53"/>
    <w:rsid w:val="00D02170"/>
    <w:rsid w:val="00D03058"/>
    <w:rsid w:val="00D06B5D"/>
    <w:rsid w:val="00D0775C"/>
    <w:rsid w:val="00D11D8B"/>
    <w:rsid w:val="00D144FA"/>
    <w:rsid w:val="00D1572B"/>
    <w:rsid w:val="00D21043"/>
    <w:rsid w:val="00D265EF"/>
    <w:rsid w:val="00D2761D"/>
    <w:rsid w:val="00D463F1"/>
    <w:rsid w:val="00D524BB"/>
    <w:rsid w:val="00D531F1"/>
    <w:rsid w:val="00D561C8"/>
    <w:rsid w:val="00D57CCE"/>
    <w:rsid w:val="00D65E8E"/>
    <w:rsid w:val="00D6703D"/>
    <w:rsid w:val="00D717DA"/>
    <w:rsid w:val="00D7659E"/>
    <w:rsid w:val="00D80BD7"/>
    <w:rsid w:val="00D815CF"/>
    <w:rsid w:val="00D84BA5"/>
    <w:rsid w:val="00D84F1E"/>
    <w:rsid w:val="00D946B0"/>
    <w:rsid w:val="00DA2679"/>
    <w:rsid w:val="00DA3039"/>
    <w:rsid w:val="00DA597A"/>
    <w:rsid w:val="00DA6B88"/>
    <w:rsid w:val="00DA73B6"/>
    <w:rsid w:val="00DB127D"/>
    <w:rsid w:val="00DD62AD"/>
    <w:rsid w:val="00DD7153"/>
    <w:rsid w:val="00DF4F58"/>
    <w:rsid w:val="00E11F2F"/>
    <w:rsid w:val="00E13A3A"/>
    <w:rsid w:val="00E14CD2"/>
    <w:rsid w:val="00E301AE"/>
    <w:rsid w:val="00E315BC"/>
    <w:rsid w:val="00E33610"/>
    <w:rsid w:val="00E35139"/>
    <w:rsid w:val="00E44555"/>
    <w:rsid w:val="00E4526A"/>
    <w:rsid w:val="00E50608"/>
    <w:rsid w:val="00E5165B"/>
    <w:rsid w:val="00E52ABA"/>
    <w:rsid w:val="00E5314F"/>
    <w:rsid w:val="00E653E3"/>
    <w:rsid w:val="00E66AEE"/>
    <w:rsid w:val="00E70FF5"/>
    <w:rsid w:val="00E736A7"/>
    <w:rsid w:val="00E87C26"/>
    <w:rsid w:val="00EA2361"/>
    <w:rsid w:val="00EB11D4"/>
    <w:rsid w:val="00EB2886"/>
    <w:rsid w:val="00EB398E"/>
    <w:rsid w:val="00EC4096"/>
    <w:rsid w:val="00EC429C"/>
    <w:rsid w:val="00EC6A51"/>
    <w:rsid w:val="00ED0199"/>
    <w:rsid w:val="00ED05AC"/>
    <w:rsid w:val="00ED10E2"/>
    <w:rsid w:val="00EE4050"/>
    <w:rsid w:val="00EE4149"/>
    <w:rsid w:val="00F04867"/>
    <w:rsid w:val="00F04E3E"/>
    <w:rsid w:val="00F10771"/>
    <w:rsid w:val="00F205E5"/>
    <w:rsid w:val="00F30C0C"/>
    <w:rsid w:val="00F512A3"/>
    <w:rsid w:val="00F51AB4"/>
    <w:rsid w:val="00F523A8"/>
    <w:rsid w:val="00F54723"/>
    <w:rsid w:val="00F57359"/>
    <w:rsid w:val="00F57AF5"/>
    <w:rsid w:val="00F60A86"/>
    <w:rsid w:val="00F62B87"/>
    <w:rsid w:val="00F65208"/>
    <w:rsid w:val="00F67BE6"/>
    <w:rsid w:val="00F702E1"/>
    <w:rsid w:val="00F83726"/>
    <w:rsid w:val="00F8481F"/>
    <w:rsid w:val="00F86B33"/>
    <w:rsid w:val="00F91C17"/>
    <w:rsid w:val="00F949B1"/>
    <w:rsid w:val="00F958EE"/>
    <w:rsid w:val="00F96EEB"/>
    <w:rsid w:val="00F96F8A"/>
    <w:rsid w:val="00F9761F"/>
    <w:rsid w:val="00FA102C"/>
    <w:rsid w:val="00FB3124"/>
    <w:rsid w:val="00FB32EE"/>
    <w:rsid w:val="00FC5616"/>
    <w:rsid w:val="00FD328C"/>
    <w:rsid w:val="00FD7299"/>
    <w:rsid w:val="00FE2094"/>
    <w:rsid w:val="00FE764B"/>
    <w:rsid w:val="00FF0A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18AD25E"/>
  <w15:chartTrackingRefBased/>
  <w15:docId w15:val="{DD440F7A-C8F0-4078-B80A-BED95AA1B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6D3DD9"/>
    <w:pPr>
      <w:spacing w:after="150" w:line="276" w:lineRule="auto"/>
      <w:jc w:val="both"/>
    </w:pPr>
  </w:style>
  <w:style w:type="paragraph" w:styleId="Cmsor1">
    <w:name w:val="heading 1"/>
    <w:basedOn w:val="Norml"/>
    <w:next w:val="Norml"/>
    <w:link w:val="Cmsor1Char"/>
    <w:qFormat/>
    <w:rsid w:val="006D3DD9"/>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6D3DD9"/>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6D3DD9"/>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6D3DD9"/>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6D3DD9"/>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6D3DD9"/>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6D3DD9"/>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6D3DD9"/>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6D3DD9"/>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6D3DD9"/>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6D3DD9"/>
  </w:style>
  <w:style w:type="table" w:customStyle="1" w:styleId="tblzat-mtrix">
    <w:name w:val="táblázat - mátrix"/>
    <w:basedOn w:val="Normltblzat"/>
    <w:uiPriority w:val="2"/>
    <w:qFormat/>
    <w:rsid w:val="006D3DD9"/>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6D3DD9"/>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6D3DD9"/>
    <w:pPr>
      <w:numPr>
        <w:numId w:val="9"/>
      </w:numPr>
      <w:contextualSpacing/>
    </w:pPr>
  </w:style>
  <w:style w:type="character" w:styleId="Hiperhivatkozs">
    <w:name w:val="Hyperlink"/>
    <w:basedOn w:val="Vgjegyzet-hivatkozs"/>
    <w:uiPriority w:val="99"/>
    <w:rsid w:val="006D3DD9"/>
    <w:rPr>
      <w:rFonts w:ascii="Calibri" w:hAnsi="Calibri"/>
      <w:color w:val="0000FF"/>
      <w:sz w:val="20"/>
      <w:u w:val="single"/>
      <w:vertAlign w:val="superscript"/>
    </w:rPr>
  </w:style>
  <w:style w:type="table" w:customStyle="1" w:styleId="tblzat-oldallces">
    <w:name w:val="táblázat - oldalléces"/>
    <w:basedOn w:val="Normltblzat"/>
    <w:uiPriority w:val="3"/>
    <w:qFormat/>
    <w:rsid w:val="006D3DD9"/>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6D3DD9"/>
    <w:rPr>
      <w:vertAlign w:val="superscript"/>
    </w:rPr>
  </w:style>
  <w:style w:type="paragraph" w:styleId="Buborkszveg">
    <w:name w:val="Balloon Text"/>
    <w:basedOn w:val="Norml"/>
    <w:link w:val="BuborkszvegChar"/>
    <w:uiPriority w:val="99"/>
    <w:semiHidden/>
    <w:unhideWhenUsed/>
    <w:rsid w:val="006D3DD9"/>
    <w:rPr>
      <w:rFonts w:ascii="Tahoma" w:hAnsi="Tahoma" w:cs="Tahoma"/>
      <w:sz w:val="16"/>
      <w:szCs w:val="16"/>
    </w:rPr>
  </w:style>
  <w:style w:type="paragraph" w:customStyle="1" w:styleId="Magyarzszveg">
    <w:name w:val="Magyarázó szöveg"/>
    <w:basedOn w:val="Norml"/>
    <w:next w:val="Norml"/>
    <w:uiPriority w:val="7"/>
    <w:rsid w:val="006D3DD9"/>
    <w:rPr>
      <w:color w:val="F6A800" w:themeColor="accent5"/>
      <w:sz w:val="18"/>
    </w:rPr>
  </w:style>
  <w:style w:type="character" w:customStyle="1" w:styleId="BuborkszvegChar">
    <w:name w:val="Buborékszöveg Char"/>
    <w:basedOn w:val="Bekezdsalapbettpusa"/>
    <w:link w:val="Buborkszveg"/>
    <w:uiPriority w:val="99"/>
    <w:semiHidden/>
    <w:rsid w:val="006D3DD9"/>
    <w:rPr>
      <w:rFonts w:ascii="Tahoma" w:hAnsi="Tahoma" w:cs="Tahoma"/>
      <w:sz w:val="16"/>
      <w:szCs w:val="16"/>
    </w:rPr>
  </w:style>
  <w:style w:type="paragraph" w:styleId="lfej">
    <w:name w:val="header"/>
    <w:basedOn w:val="Norml"/>
    <w:link w:val="lfejChar"/>
    <w:uiPriority w:val="99"/>
    <w:unhideWhenUsed/>
    <w:rsid w:val="006D3DD9"/>
    <w:pPr>
      <w:tabs>
        <w:tab w:val="center" w:pos="4536"/>
        <w:tab w:val="right" w:pos="9072"/>
      </w:tabs>
    </w:pPr>
  </w:style>
  <w:style w:type="character" w:customStyle="1" w:styleId="lfejChar">
    <w:name w:val="Élőfej Char"/>
    <w:basedOn w:val="Bekezdsalapbettpusa"/>
    <w:link w:val="lfej"/>
    <w:uiPriority w:val="99"/>
    <w:rsid w:val="006D3DD9"/>
  </w:style>
  <w:style w:type="paragraph" w:styleId="llb">
    <w:name w:val="footer"/>
    <w:basedOn w:val="Norml"/>
    <w:link w:val="llbChar"/>
    <w:uiPriority w:val="99"/>
    <w:unhideWhenUsed/>
    <w:rsid w:val="006D3DD9"/>
    <w:pPr>
      <w:tabs>
        <w:tab w:val="center" w:pos="4536"/>
        <w:tab w:val="right" w:pos="9072"/>
      </w:tabs>
    </w:pPr>
  </w:style>
  <w:style w:type="character" w:customStyle="1" w:styleId="llbChar">
    <w:name w:val="Élőláb Char"/>
    <w:basedOn w:val="Bekezdsalapbettpusa"/>
    <w:link w:val="llb"/>
    <w:uiPriority w:val="99"/>
    <w:rsid w:val="006D3DD9"/>
  </w:style>
  <w:style w:type="paragraph" w:customStyle="1" w:styleId="Szmozs">
    <w:name w:val="Számozás"/>
    <w:basedOn w:val="Norml"/>
    <w:uiPriority w:val="4"/>
    <w:qFormat/>
    <w:rsid w:val="006D3DD9"/>
    <w:pPr>
      <w:numPr>
        <w:numId w:val="4"/>
      </w:numPr>
      <w:spacing w:before="120"/>
      <w:contextualSpacing/>
    </w:pPr>
  </w:style>
  <w:style w:type="table" w:styleId="Rcsostblzat">
    <w:name w:val="Table Grid"/>
    <w:aliases w:val="Szegély nélküli"/>
    <w:basedOn w:val="Normltblzat"/>
    <w:uiPriority w:val="59"/>
    <w:rsid w:val="006D3DD9"/>
    <w:pPr>
      <w:contextualSpacing/>
    </w:pPr>
    <w:tblPr/>
    <w:tcPr>
      <w:vAlign w:val="center"/>
    </w:tcPr>
  </w:style>
  <w:style w:type="character" w:customStyle="1" w:styleId="Cmsor4Char">
    <w:name w:val="Címsor 4 Char"/>
    <w:basedOn w:val="Bekezdsalapbettpusa"/>
    <w:link w:val="Cmsor4"/>
    <w:rsid w:val="006D3DD9"/>
    <w:rPr>
      <w:iCs/>
      <w:color w:val="0C2148" w:themeColor="text2"/>
      <w:szCs w:val="30"/>
    </w:rPr>
  </w:style>
  <w:style w:type="character" w:customStyle="1" w:styleId="Cmsor5Char">
    <w:name w:val="Címsor 5 Char"/>
    <w:basedOn w:val="Bekezdsalapbettpusa"/>
    <w:link w:val="Cmsor5"/>
    <w:rsid w:val="006D3DD9"/>
    <w:rPr>
      <w:color w:val="0C2148" w:themeColor="text2"/>
      <w:szCs w:val="26"/>
    </w:rPr>
  </w:style>
  <w:style w:type="character" w:customStyle="1" w:styleId="Cmsor6Char">
    <w:name w:val="Címsor 6 Char"/>
    <w:basedOn w:val="Bekezdsalapbettpusa"/>
    <w:link w:val="Cmsor6"/>
    <w:rsid w:val="006D3DD9"/>
    <w:rPr>
      <w:color w:val="0C2148" w:themeColor="text2"/>
    </w:rPr>
  </w:style>
  <w:style w:type="character" w:customStyle="1" w:styleId="Cmsor1Char">
    <w:name w:val="Címsor 1 Char"/>
    <w:basedOn w:val="Bekezdsalapbettpusa"/>
    <w:link w:val="Cmsor1"/>
    <w:rsid w:val="006D3DD9"/>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6D3DD9"/>
    <w:rPr>
      <w:b/>
      <w:color w:val="0C2148" w:themeColor="text2"/>
      <w:sz w:val="24"/>
      <w:szCs w:val="38"/>
    </w:rPr>
  </w:style>
  <w:style w:type="character" w:customStyle="1" w:styleId="Cmsor3Char">
    <w:name w:val="Címsor 3 Char"/>
    <w:basedOn w:val="Bekezdsalapbettpusa"/>
    <w:link w:val="Cmsor3"/>
    <w:rsid w:val="006D3DD9"/>
    <w:rPr>
      <w:bCs/>
      <w:color w:val="0C2148" w:themeColor="text2"/>
      <w:szCs w:val="34"/>
    </w:rPr>
  </w:style>
  <w:style w:type="paragraph" w:styleId="Cm">
    <w:name w:val="Title"/>
    <w:basedOn w:val="Norml"/>
    <w:next w:val="Norml"/>
    <w:link w:val="CmChar"/>
    <w:uiPriority w:val="3"/>
    <w:qFormat/>
    <w:rsid w:val="006D3DD9"/>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6D3DD9"/>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6D3DD9"/>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6D3DD9"/>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6D3DD9"/>
    <w:rPr>
      <w:rFonts w:eastAsiaTheme="majorEastAsia" w:cstheme="majorBidi"/>
      <w:i/>
      <w:iCs/>
      <w:color w:val="404040" w:themeColor="text1" w:themeTint="BF"/>
    </w:rPr>
  </w:style>
  <w:style w:type="numbering" w:customStyle="1" w:styleId="Style1">
    <w:name w:val="Style1"/>
    <w:uiPriority w:val="99"/>
    <w:rsid w:val="006D3DD9"/>
    <w:pPr>
      <w:numPr>
        <w:numId w:val="1"/>
      </w:numPr>
    </w:pPr>
  </w:style>
  <w:style w:type="paragraph" w:styleId="TJ7">
    <w:name w:val="toc 7"/>
    <w:basedOn w:val="Norml"/>
    <w:next w:val="Norml"/>
    <w:autoRedefine/>
    <w:uiPriority w:val="99"/>
    <w:semiHidden/>
    <w:locked/>
    <w:rsid w:val="006D3DD9"/>
    <w:pPr>
      <w:spacing w:after="100"/>
      <w:ind w:left="1200"/>
    </w:pPr>
    <w:rPr>
      <w:color w:val="385623" w:themeColor="accent6" w:themeShade="80"/>
    </w:rPr>
  </w:style>
  <w:style w:type="paragraph" w:styleId="TJ8">
    <w:name w:val="toc 8"/>
    <w:basedOn w:val="Norml"/>
    <w:next w:val="Norml"/>
    <w:autoRedefine/>
    <w:uiPriority w:val="99"/>
    <w:semiHidden/>
    <w:locked/>
    <w:rsid w:val="006D3DD9"/>
    <w:pPr>
      <w:spacing w:after="100"/>
      <w:ind w:left="1400"/>
    </w:pPr>
    <w:rPr>
      <w:color w:val="385623" w:themeColor="accent6" w:themeShade="80"/>
    </w:rPr>
  </w:style>
  <w:style w:type="paragraph" w:styleId="TJ9">
    <w:name w:val="toc 9"/>
    <w:basedOn w:val="Norml"/>
    <w:next w:val="Norml"/>
    <w:autoRedefine/>
    <w:uiPriority w:val="99"/>
    <w:semiHidden/>
    <w:locked/>
    <w:rsid w:val="006D3DD9"/>
    <w:pPr>
      <w:spacing w:after="100"/>
      <w:ind w:left="1600"/>
    </w:pPr>
    <w:rPr>
      <w:color w:val="385623" w:themeColor="accent6" w:themeShade="80"/>
    </w:rPr>
  </w:style>
  <w:style w:type="table" w:customStyle="1" w:styleId="Calendar2">
    <w:name w:val="Calendar 2"/>
    <w:basedOn w:val="Normltblzat"/>
    <w:uiPriority w:val="99"/>
    <w:qFormat/>
    <w:rsid w:val="006D3DD9"/>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6D3DD9"/>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6D3DD9"/>
    <w:rPr>
      <w:rFonts w:eastAsiaTheme="minorEastAsia"/>
      <w:color w:val="0C2148" w:themeColor="text2"/>
      <w:sz w:val="16"/>
    </w:rPr>
  </w:style>
  <w:style w:type="character" w:styleId="Finomkiemels">
    <w:name w:val="Subtle Emphasis"/>
    <w:basedOn w:val="Bekezdsalapbettpusa"/>
    <w:uiPriority w:val="19"/>
    <w:qFormat/>
    <w:rsid w:val="006D3DD9"/>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6D3DD9"/>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6D3DD9"/>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6D3DD9"/>
    <w:rPr>
      <w:color w:val="385623" w:themeColor="accent6" w:themeShade="80"/>
    </w:rPr>
  </w:style>
  <w:style w:type="character" w:customStyle="1" w:styleId="VgjegyzetszvegeChar">
    <w:name w:val="Végjegyzet szövege Char"/>
    <w:basedOn w:val="Bekezdsalapbettpusa"/>
    <w:link w:val="Vgjegyzetszvege"/>
    <w:uiPriority w:val="99"/>
    <w:semiHidden/>
    <w:rsid w:val="006D3DD9"/>
    <w:rPr>
      <w:color w:val="385623" w:themeColor="accent6" w:themeShade="80"/>
    </w:rPr>
  </w:style>
  <w:style w:type="table" w:customStyle="1" w:styleId="Vilgosrnykols1jellszn1">
    <w:name w:val="Világos árnyékolás – 1. jelölőszín1"/>
    <w:basedOn w:val="Normltblzat"/>
    <w:uiPriority w:val="60"/>
    <w:rsid w:val="006D3DD9"/>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6D3DD9"/>
    <w:pPr>
      <w:numPr>
        <w:numId w:val="5"/>
      </w:numPr>
    </w:pPr>
  </w:style>
  <w:style w:type="paragraph" w:customStyle="1" w:styleId="Tblaszvegstlus">
    <w:name w:val="Tábla szöveg stílus"/>
    <w:basedOn w:val="Norml"/>
    <w:link w:val="TblaszvegstlusChar"/>
    <w:uiPriority w:val="8"/>
    <w:qFormat/>
    <w:rsid w:val="006D3DD9"/>
  </w:style>
  <w:style w:type="character" w:customStyle="1" w:styleId="ListaszerbekezdsChar">
    <w:name w:val="Listaszerű bekezdés Char"/>
    <w:basedOn w:val="Bekezdsalapbettpusa"/>
    <w:link w:val="Listaszerbekezds"/>
    <w:uiPriority w:val="4"/>
    <w:rsid w:val="006D3DD9"/>
  </w:style>
  <w:style w:type="character" w:customStyle="1" w:styleId="Listaszerbekezds2Char">
    <w:name w:val="Listaszerű bekezdés 2 Char"/>
    <w:basedOn w:val="ListaszerbekezdsChar"/>
    <w:link w:val="Listaszerbekezds2"/>
    <w:uiPriority w:val="4"/>
    <w:rsid w:val="006D3DD9"/>
  </w:style>
  <w:style w:type="character" w:customStyle="1" w:styleId="TblaszvegstlusChar">
    <w:name w:val="Tábla szöveg stílus Char"/>
    <w:basedOn w:val="Bekezdsalapbettpusa"/>
    <w:link w:val="Tblaszvegstlus"/>
    <w:uiPriority w:val="8"/>
    <w:rsid w:val="006D3DD9"/>
  </w:style>
  <w:style w:type="character" w:styleId="Finomhivatkozs">
    <w:name w:val="Subtle Reference"/>
    <w:basedOn w:val="Bekezdsalapbettpusa"/>
    <w:uiPriority w:val="31"/>
    <w:rsid w:val="006D3DD9"/>
    <w:rPr>
      <w:sz w:val="24"/>
      <w:szCs w:val="24"/>
      <w:u w:val="single"/>
    </w:rPr>
  </w:style>
  <w:style w:type="character" w:styleId="Ershivatkozs">
    <w:name w:val="Intense Reference"/>
    <w:basedOn w:val="Bekezdsalapbettpusa"/>
    <w:uiPriority w:val="32"/>
    <w:rsid w:val="006D3DD9"/>
    <w:rPr>
      <w:b/>
      <w:sz w:val="24"/>
      <w:u w:val="single"/>
    </w:rPr>
  </w:style>
  <w:style w:type="paragraph" w:customStyle="1" w:styleId="Listaszerbekezds2szint">
    <w:name w:val="Listaszerű bekezdés 2. szint"/>
    <w:basedOn w:val="Listaszerbekezds"/>
    <w:link w:val="Listaszerbekezds2szintChar"/>
    <w:uiPriority w:val="4"/>
    <w:qFormat/>
    <w:rsid w:val="006D3DD9"/>
    <w:pPr>
      <w:numPr>
        <w:numId w:val="8"/>
      </w:numPr>
    </w:pPr>
  </w:style>
  <w:style w:type="paragraph" w:customStyle="1" w:styleId="Listaszerbekezds3szint">
    <w:name w:val="Listaszerű bekezdés 3. szint"/>
    <w:basedOn w:val="Listaszerbekezds"/>
    <w:link w:val="Listaszerbekezds3szintChar"/>
    <w:uiPriority w:val="4"/>
    <w:qFormat/>
    <w:rsid w:val="006D3DD9"/>
    <w:pPr>
      <w:numPr>
        <w:ilvl w:val="2"/>
        <w:numId w:val="10"/>
      </w:numPr>
    </w:pPr>
  </w:style>
  <w:style w:type="character" w:customStyle="1" w:styleId="Listaszerbekezds2szintChar">
    <w:name w:val="Listaszerű bekezdés 2. szint Char"/>
    <w:basedOn w:val="ListaszerbekezdsChar"/>
    <w:link w:val="Listaszerbekezds2szint"/>
    <w:uiPriority w:val="4"/>
    <w:rsid w:val="006D3DD9"/>
  </w:style>
  <w:style w:type="character" w:customStyle="1" w:styleId="Listaszerbekezds3szintChar">
    <w:name w:val="Listaszerű bekezdés 3. szint Char"/>
    <w:basedOn w:val="ListaszerbekezdsChar"/>
    <w:link w:val="Listaszerbekezds3szint"/>
    <w:uiPriority w:val="4"/>
    <w:rsid w:val="006D3DD9"/>
  </w:style>
  <w:style w:type="paragraph" w:styleId="Alcm">
    <w:name w:val="Subtitle"/>
    <w:basedOn w:val="Norml"/>
    <w:next w:val="Norml"/>
    <w:link w:val="AlcmChar"/>
    <w:uiPriority w:val="11"/>
    <w:rsid w:val="006D3DD9"/>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6D3DD9"/>
    <w:rPr>
      <w:rFonts w:eastAsiaTheme="majorEastAsia" w:cstheme="majorBidi"/>
    </w:rPr>
  </w:style>
  <w:style w:type="paragraph" w:customStyle="1" w:styleId="Listabetvel">
    <w:name w:val="Lista betűvel"/>
    <w:basedOn w:val="Listaszerbekezds"/>
    <w:link w:val="ListabetvelChar"/>
    <w:uiPriority w:val="4"/>
    <w:qFormat/>
    <w:rsid w:val="006D3DD9"/>
    <w:pPr>
      <w:numPr>
        <w:numId w:val="7"/>
      </w:numPr>
    </w:pPr>
  </w:style>
  <w:style w:type="character" w:customStyle="1" w:styleId="ListabetvelChar">
    <w:name w:val="Lista betűvel Char"/>
    <w:basedOn w:val="ListaszerbekezdsChar"/>
    <w:link w:val="Listabetvel"/>
    <w:uiPriority w:val="4"/>
    <w:rsid w:val="006D3DD9"/>
  </w:style>
  <w:style w:type="paragraph" w:customStyle="1" w:styleId="Erskiemels1">
    <w:name w:val="Erős kiemelés1"/>
    <w:basedOn w:val="Norml"/>
    <w:link w:val="ErskiemelsChar"/>
    <w:uiPriority w:val="5"/>
    <w:qFormat/>
    <w:rsid w:val="006D3DD9"/>
    <w:rPr>
      <w:b/>
      <w:i/>
    </w:rPr>
  </w:style>
  <w:style w:type="character" w:customStyle="1" w:styleId="ErskiemelsChar">
    <w:name w:val="Erős kiemelés Char"/>
    <w:basedOn w:val="Bekezdsalapbettpusa"/>
    <w:link w:val="Erskiemels1"/>
    <w:uiPriority w:val="5"/>
    <w:rsid w:val="006D3DD9"/>
    <w:rPr>
      <w:b/>
      <w:i/>
    </w:rPr>
  </w:style>
  <w:style w:type="paragraph" w:customStyle="1" w:styleId="Bold">
    <w:name w:val="Bold"/>
    <w:basedOn w:val="Norml"/>
    <w:link w:val="BoldChar"/>
    <w:uiPriority w:val="6"/>
    <w:qFormat/>
    <w:rsid w:val="006D3DD9"/>
    <w:rPr>
      <w:b/>
    </w:rPr>
  </w:style>
  <w:style w:type="character" w:customStyle="1" w:styleId="BoldChar">
    <w:name w:val="Bold Char"/>
    <w:basedOn w:val="Bekezdsalapbettpusa"/>
    <w:link w:val="Bold"/>
    <w:uiPriority w:val="6"/>
    <w:rsid w:val="006D3DD9"/>
    <w:rPr>
      <w:b/>
    </w:rPr>
  </w:style>
  <w:style w:type="character" w:styleId="Mrltotthiperhivatkozs">
    <w:name w:val="FollowedHyperlink"/>
    <w:basedOn w:val="Bekezdsalapbettpusa"/>
    <w:uiPriority w:val="99"/>
    <w:semiHidden/>
    <w:unhideWhenUsed/>
    <w:rsid w:val="006D3DD9"/>
    <w:rPr>
      <w:color w:val="954F72" w:themeColor="followedHyperlink"/>
      <w:u w:val="single"/>
    </w:rPr>
  </w:style>
  <w:style w:type="paragraph" w:styleId="Tartalomjegyzkcmsora">
    <w:name w:val="TOC Heading"/>
    <w:basedOn w:val="Cmsor1"/>
    <w:next w:val="Norml"/>
    <w:uiPriority w:val="39"/>
    <w:unhideWhenUsed/>
    <w:qFormat/>
    <w:rsid w:val="006D3DD9"/>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6D3DD9"/>
    <w:pPr>
      <w:spacing w:after="100"/>
      <w:ind w:left="220"/>
      <w:jc w:val="left"/>
    </w:pPr>
    <w:rPr>
      <w:rFonts w:eastAsiaTheme="minorEastAsia"/>
    </w:rPr>
  </w:style>
  <w:style w:type="paragraph" w:styleId="TJ1">
    <w:name w:val="toc 1"/>
    <w:basedOn w:val="Norml"/>
    <w:next w:val="Norml"/>
    <w:autoRedefine/>
    <w:uiPriority w:val="39"/>
    <w:unhideWhenUsed/>
    <w:qFormat/>
    <w:locked/>
    <w:rsid w:val="006D3DD9"/>
    <w:pPr>
      <w:spacing w:after="100"/>
      <w:jc w:val="left"/>
    </w:pPr>
    <w:rPr>
      <w:rFonts w:eastAsiaTheme="minorEastAsia"/>
    </w:rPr>
  </w:style>
  <w:style w:type="paragraph" w:styleId="TJ3">
    <w:name w:val="toc 3"/>
    <w:basedOn w:val="Norml"/>
    <w:next w:val="Norml"/>
    <w:uiPriority w:val="39"/>
    <w:unhideWhenUsed/>
    <w:qFormat/>
    <w:locked/>
    <w:rsid w:val="006D3DD9"/>
    <w:pPr>
      <w:spacing w:after="100"/>
      <w:ind w:left="400"/>
    </w:pPr>
  </w:style>
  <w:style w:type="paragraph" w:customStyle="1" w:styleId="StyleTOC2Left015">
    <w:name w:val="Style TOC 2 + Left:  0.15&quot;"/>
    <w:basedOn w:val="TJ2"/>
    <w:rsid w:val="006D3DD9"/>
    <w:pPr>
      <w:ind w:left="216"/>
    </w:pPr>
    <w:rPr>
      <w:rFonts w:eastAsia="Times New Roman" w:cs="Times New Roman"/>
    </w:rPr>
  </w:style>
  <w:style w:type="paragraph" w:customStyle="1" w:styleId="StyleTOC3Left031">
    <w:name w:val="Style TOC 3 + Left:  0.31&quot;"/>
    <w:basedOn w:val="TJ3"/>
    <w:rsid w:val="006D3DD9"/>
    <w:pPr>
      <w:ind w:left="446"/>
    </w:pPr>
    <w:rPr>
      <w:rFonts w:eastAsia="Times New Roman" w:cs="Times New Roman"/>
    </w:rPr>
  </w:style>
  <w:style w:type="numbering" w:customStyle="1" w:styleId="Hierarchikuslista">
    <w:name w:val="Hierarchikus lista"/>
    <w:uiPriority w:val="99"/>
    <w:rsid w:val="006D3DD9"/>
    <w:pPr>
      <w:numPr>
        <w:numId w:val="2"/>
      </w:numPr>
    </w:pPr>
  </w:style>
  <w:style w:type="paragraph" w:customStyle="1" w:styleId="HierarchikusLista0">
    <w:name w:val="Hierarchikus Lista"/>
    <w:basedOn w:val="Listaszerbekezds"/>
    <w:link w:val="HierarchikusListaChar"/>
    <w:qFormat/>
    <w:rsid w:val="006D3DD9"/>
    <w:pPr>
      <w:numPr>
        <w:numId w:val="0"/>
      </w:numPr>
    </w:pPr>
  </w:style>
  <w:style w:type="character" w:customStyle="1" w:styleId="HierarchikusListaChar">
    <w:name w:val="Hierarchikus Lista Char"/>
    <w:basedOn w:val="ListaszerbekezdsChar"/>
    <w:link w:val="HierarchikusLista0"/>
    <w:rsid w:val="006D3DD9"/>
  </w:style>
  <w:style w:type="character" w:styleId="Kiemels2">
    <w:name w:val="Strong"/>
    <w:basedOn w:val="Bekezdsalapbettpusa"/>
    <w:uiPriority w:val="22"/>
    <w:rsid w:val="006D3DD9"/>
    <w:rPr>
      <w:b/>
      <w:bCs/>
    </w:rPr>
  </w:style>
  <w:style w:type="character" w:styleId="Kiemels">
    <w:name w:val="Emphasis"/>
    <w:basedOn w:val="Bekezdsalapbettpusa"/>
    <w:uiPriority w:val="6"/>
    <w:qFormat/>
    <w:rsid w:val="006D3DD9"/>
    <w:rPr>
      <w:i/>
      <w:iCs/>
    </w:rPr>
  </w:style>
  <w:style w:type="paragraph" w:styleId="Nincstrkz">
    <w:name w:val="No Spacing"/>
    <w:basedOn w:val="Norml"/>
    <w:uiPriority w:val="1"/>
    <w:rsid w:val="006D3DD9"/>
    <w:rPr>
      <w:szCs w:val="32"/>
    </w:rPr>
  </w:style>
  <w:style w:type="paragraph" w:styleId="Idzet">
    <w:name w:val="Quote"/>
    <w:basedOn w:val="Norml"/>
    <w:next w:val="Norml"/>
    <w:link w:val="IdzetChar"/>
    <w:uiPriority w:val="29"/>
    <w:rsid w:val="006D3DD9"/>
    <w:rPr>
      <w:i/>
    </w:rPr>
  </w:style>
  <w:style w:type="character" w:customStyle="1" w:styleId="IdzetChar">
    <w:name w:val="Idézet Char"/>
    <w:basedOn w:val="Bekezdsalapbettpusa"/>
    <w:link w:val="Idzet"/>
    <w:uiPriority w:val="29"/>
    <w:rsid w:val="006D3DD9"/>
    <w:rPr>
      <w:i/>
    </w:rPr>
  </w:style>
  <w:style w:type="paragraph" w:styleId="Kiemeltidzet">
    <w:name w:val="Intense Quote"/>
    <w:basedOn w:val="Norml"/>
    <w:next w:val="Norml"/>
    <w:link w:val="KiemeltidzetChar"/>
    <w:uiPriority w:val="30"/>
    <w:rsid w:val="006D3DD9"/>
    <w:pPr>
      <w:ind w:left="720" w:right="720"/>
    </w:pPr>
    <w:rPr>
      <w:b/>
      <w:i/>
    </w:rPr>
  </w:style>
  <w:style w:type="character" w:customStyle="1" w:styleId="KiemeltidzetChar">
    <w:name w:val="Kiemelt idézet Char"/>
    <w:basedOn w:val="Bekezdsalapbettpusa"/>
    <w:link w:val="Kiemeltidzet"/>
    <w:uiPriority w:val="30"/>
    <w:rsid w:val="006D3DD9"/>
    <w:rPr>
      <w:b/>
      <w:i/>
    </w:rPr>
  </w:style>
  <w:style w:type="character" w:styleId="Erskiemels">
    <w:name w:val="Intense Emphasis"/>
    <w:basedOn w:val="Bekezdsalapbettpusa"/>
    <w:uiPriority w:val="21"/>
    <w:rsid w:val="006D3DD9"/>
    <w:rPr>
      <w:b/>
      <w:i/>
      <w:sz w:val="24"/>
      <w:szCs w:val="24"/>
      <w:u w:val="single"/>
    </w:rPr>
  </w:style>
  <w:style w:type="character" w:styleId="Knyvcme">
    <w:name w:val="Book Title"/>
    <w:basedOn w:val="Bekezdsalapbettpusa"/>
    <w:uiPriority w:val="33"/>
    <w:rsid w:val="006D3DD9"/>
    <w:rPr>
      <w:rFonts w:ascii="Calibri" w:eastAsiaTheme="majorEastAsia" w:hAnsi="Calibri"/>
      <w:b/>
      <w:i/>
      <w:sz w:val="24"/>
      <w:szCs w:val="24"/>
    </w:rPr>
  </w:style>
  <w:style w:type="paragraph" w:customStyle="1" w:styleId="Szvegdobozstlus">
    <w:name w:val="Szövegdoboz stílus"/>
    <w:basedOn w:val="HierarchikusLista0"/>
    <w:qFormat/>
    <w:rsid w:val="006D3DD9"/>
    <w:rPr>
      <w:b/>
      <w:i/>
      <w:color w:val="009EE0"/>
    </w:rPr>
  </w:style>
  <w:style w:type="table" w:customStyle="1" w:styleId="Rcsos">
    <w:name w:val="Rácsos"/>
    <w:basedOn w:val="Normltblzat"/>
    <w:uiPriority w:val="99"/>
    <w:rsid w:val="006D3DD9"/>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6D3DD9"/>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6D3DD9"/>
    <w:pPr>
      <w:keepNext/>
      <w:spacing w:after="40"/>
      <w:jc w:val="center"/>
    </w:pPr>
    <w:rPr>
      <w:b/>
      <w:bCs/>
      <w:color w:val="808080"/>
      <w:szCs w:val="18"/>
    </w:rPr>
  </w:style>
  <w:style w:type="paragraph" w:customStyle="1" w:styleId="ENCaption2Col">
    <w:name w:val="EN_Caption_2Col"/>
    <w:basedOn w:val="Norml"/>
    <w:next w:val="Norml"/>
    <w:uiPriority w:val="1"/>
    <w:qFormat/>
    <w:rsid w:val="006D3DD9"/>
    <w:pPr>
      <w:keepNext/>
      <w:spacing w:after="40"/>
      <w:jc w:val="left"/>
    </w:pPr>
    <w:rPr>
      <w:b/>
      <w:bCs/>
      <w:color w:val="808080"/>
      <w:szCs w:val="18"/>
    </w:rPr>
  </w:style>
  <w:style w:type="paragraph" w:customStyle="1" w:styleId="ENCaptionBox">
    <w:name w:val="EN_Caption_Box"/>
    <w:basedOn w:val="Norml"/>
    <w:next w:val="Norml"/>
    <w:uiPriority w:val="1"/>
    <w:qFormat/>
    <w:rsid w:val="006D3DD9"/>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6D3DD9"/>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6D3DD9"/>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6D3DD9"/>
    <w:rPr>
      <w:rFonts w:eastAsiaTheme="minorEastAsia"/>
      <w:color w:val="808080"/>
      <w:sz w:val="18"/>
    </w:rPr>
  </w:style>
  <w:style w:type="paragraph" w:customStyle="1" w:styleId="ENNormal">
    <w:name w:val="EN_Normal"/>
    <w:basedOn w:val="Norml"/>
    <w:uiPriority w:val="1"/>
    <w:qFormat/>
    <w:rsid w:val="006D3DD9"/>
  </w:style>
  <w:style w:type="paragraph" w:customStyle="1" w:styleId="ENNormalBox">
    <w:name w:val="EN_Normal_Box"/>
    <w:basedOn w:val="Norml"/>
    <w:uiPriority w:val="1"/>
    <w:qFormat/>
    <w:rsid w:val="006D3DD9"/>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6D3DD9"/>
    <w:pPr>
      <w:keepLines/>
      <w:jc w:val="center"/>
    </w:pPr>
    <w:rPr>
      <w:color w:val="808080"/>
      <w:sz w:val="18"/>
    </w:rPr>
  </w:style>
  <w:style w:type="paragraph" w:customStyle="1" w:styleId="ENNote2Col">
    <w:name w:val="EN_Note_2Col"/>
    <w:basedOn w:val="Norml"/>
    <w:next w:val="ENNormal"/>
    <w:uiPriority w:val="1"/>
    <w:qFormat/>
    <w:rsid w:val="006D3DD9"/>
    <w:pPr>
      <w:keepLines/>
    </w:pPr>
    <w:rPr>
      <w:color w:val="808080"/>
      <w:sz w:val="18"/>
    </w:rPr>
  </w:style>
  <w:style w:type="paragraph" w:customStyle="1" w:styleId="ENNoteBox">
    <w:name w:val="EN_Note_Box"/>
    <w:basedOn w:val="Norml"/>
    <w:next w:val="ENNormalBox"/>
    <w:uiPriority w:val="1"/>
    <w:qFormat/>
    <w:rsid w:val="006D3DD9"/>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6D3DD9"/>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6D3DD9"/>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6D3DD9"/>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6D3DD9"/>
    <w:pPr>
      <w:keepNext/>
      <w:spacing w:after="40"/>
      <w:jc w:val="center"/>
    </w:pPr>
    <w:rPr>
      <w:sz w:val="20"/>
    </w:rPr>
  </w:style>
  <w:style w:type="paragraph" w:customStyle="1" w:styleId="HUCaption2Col">
    <w:name w:val="HU_Caption_2Col"/>
    <w:basedOn w:val="Kpalrs"/>
    <w:next w:val="Norml"/>
    <w:uiPriority w:val="1"/>
    <w:qFormat/>
    <w:rsid w:val="006D3DD9"/>
    <w:pPr>
      <w:keepNext/>
      <w:spacing w:after="40"/>
    </w:pPr>
    <w:rPr>
      <w:sz w:val="20"/>
    </w:rPr>
  </w:style>
  <w:style w:type="paragraph" w:customStyle="1" w:styleId="HUCaptionBox">
    <w:name w:val="HU_Caption_Box"/>
    <w:basedOn w:val="Kpalrs"/>
    <w:next w:val="Norml"/>
    <w:uiPriority w:val="1"/>
    <w:qFormat/>
    <w:rsid w:val="006D3DD9"/>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6D3DD9"/>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6D3DD9"/>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6D3DD9"/>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6D3DD9"/>
    <w:rPr>
      <w:caps/>
      <w:color w:val="0C2148" w:themeColor="text2"/>
    </w:rPr>
  </w:style>
  <w:style w:type="paragraph" w:customStyle="1" w:styleId="HUFootnote">
    <w:name w:val="HU_Footnote"/>
    <w:basedOn w:val="Lbjegyzetszveg"/>
    <w:uiPriority w:val="1"/>
    <w:qFormat/>
    <w:rsid w:val="006D3DD9"/>
    <w:rPr>
      <w:color w:val="808080"/>
      <w:sz w:val="18"/>
    </w:rPr>
  </w:style>
  <w:style w:type="paragraph" w:customStyle="1" w:styleId="HUNormalBox">
    <w:name w:val="HU_Normal_Box"/>
    <w:basedOn w:val="Norml"/>
    <w:uiPriority w:val="1"/>
    <w:qFormat/>
    <w:rsid w:val="006D3DD9"/>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6D3DD9"/>
    <w:pPr>
      <w:keepLines/>
      <w:jc w:val="center"/>
    </w:pPr>
    <w:rPr>
      <w:color w:val="808080"/>
      <w:sz w:val="18"/>
    </w:rPr>
  </w:style>
  <w:style w:type="paragraph" w:customStyle="1" w:styleId="HUNote2Col">
    <w:name w:val="HU_Note_2Col"/>
    <w:basedOn w:val="Norml"/>
    <w:next w:val="Norml"/>
    <w:uiPriority w:val="1"/>
    <w:qFormat/>
    <w:rsid w:val="006D3DD9"/>
    <w:pPr>
      <w:keepLines/>
    </w:pPr>
    <w:rPr>
      <w:color w:val="808080"/>
      <w:sz w:val="18"/>
    </w:rPr>
  </w:style>
  <w:style w:type="paragraph" w:customStyle="1" w:styleId="HUNoteBox">
    <w:name w:val="HU_Note_Box"/>
    <w:basedOn w:val="Norml"/>
    <w:next w:val="HUNormalBox"/>
    <w:link w:val="HUNoteBoxChar"/>
    <w:uiPriority w:val="1"/>
    <w:qFormat/>
    <w:rsid w:val="006D3DD9"/>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6D3DD9"/>
    <w:rPr>
      <w:color w:val="808080"/>
      <w:sz w:val="18"/>
      <w:shd w:val="clear" w:color="auto" w:fill="C6EEFF"/>
    </w:rPr>
  </w:style>
  <w:style w:type="paragraph" w:customStyle="1" w:styleId="HUSectionTitle">
    <w:name w:val="HU_Section_Title"/>
    <w:basedOn w:val="Cmsor2"/>
    <w:next w:val="Norml"/>
    <w:link w:val="HUSectionTitleChar"/>
    <w:uiPriority w:val="1"/>
    <w:rsid w:val="006D3DD9"/>
    <w:pPr>
      <w:keepNext/>
    </w:pPr>
  </w:style>
  <w:style w:type="character" w:customStyle="1" w:styleId="HUSectionTitleChar">
    <w:name w:val="HU_Section_Title Char"/>
    <w:basedOn w:val="Cmsor2Char"/>
    <w:link w:val="HUSectionTitle"/>
    <w:uiPriority w:val="1"/>
    <w:rsid w:val="006D3DD9"/>
    <w:rPr>
      <w:b/>
      <w:color w:val="0C2148" w:themeColor="text2"/>
      <w:sz w:val="24"/>
      <w:szCs w:val="38"/>
    </w:rPr>
  </w:style>
  <w:style w:type="paragraph" w:customStyle="1" w:styleId="HUSubsectionTitle">
    <w:name w:val="HU_Subsection_Title"/>
    <w:basedOn w:val="Cmsor3"/>
    <w:next w:val="Norml"/>
    <w:link w:val="HUSubsectionTitleChar"/>
    <w:uiPriority w:val="1"/>
    <w:rsid w:val="006D3DD9"/>
    <w:pPr>
      <w:keepNext/>
      <w:ind w:left="595" w:hanging="595"/>
    </w:pPr>
  </w:style>
  <w:style w:type="character" w:customStyle="1" w:styleId="HUSubsectionTitleChar">
    <w:name w:val="HU_Subsection_Title Char"/>
    <w:basedOn w:val="Cmsor3Char"/>
    <w:link w:val="HUSubsectionTitle"/>
    <w:uiPriority w:val="1"/>
    <w:rsid w:val="006D3DD9"/>
    <w:rPr>
      <w:bCs/>
      <w:color w:val="0C2148" w:themeColor="text2"/>
      <w:szCs w:val="34"/>
    </w:rPr>
  </w:style>
  <w:style w:type="paragraph" w:customStyle="1" w:styleId="Heading1Kiadvny">
    <w:name w:val="Heading 1 Kiadvány"/>
    <w:basedOn w:val="Cmsor1"/>
    <w:qFormat/>
    <w:rsid w:val="006D3DD9"/>
    <w:rPr>
      <w:b w:val="0"/>
      <w:caps w:val="0"/>
      <w:sz w:val="52"/>
    </w:rPr>
  </w:style>
  <w:style w:type="paragraph" w:customStyle="1" w:styleId="cm3">
    <w:name w:val="cím_3"/>
    <w:basedOn w:val="Norml"/>
    <w:next w:val="Norml"/>
    <w:rsid w:val="00C158A8"/>
    <w:pPr>
      <w:numPr>
        <w:ilvl w:val="2"/>
        <w:numId w:val="19"/>
      </w:numPr>
      <w:spacing w:before="240" w:after="240" w:line="240" w:lineRule="auto"/>
    </w:pPr>
    <w:rPr>
      <w:rFonts w:ascii="Arial" w:eastAsia="Times New Roman" w:hAnsi="Arial" w:cs="Times New Roman"/>
      <w:smallCaps/>
      <w:spacing w:val="20"/>
    </w:rPr>
  </w:style>
  <w:style w:type="paragraph" w:customStyle="1" w:styleId="cm4">
    <w:name w:val="cím_4"/>
    <w:basedOn w:val="Norml"/>
    <w:next w:val="Norml"/>
    <w:rsid w:val="00C158A8"/>
    <w:pPr>
      <w:keepNext/>
      <w:numPr>
        <w:ilvl w:val="3"/>
        <w:numId w:val="19"/>
      </w:numPr>
      <w:spacing w:before="240" w:after="240" w:line="240" w:lineRule="auto"/>
    </w:pPr>
    <w:rPr>
      <w:rFonts w:ascii="Arial" w:eastAsia="Times New Roman" w:hAnsi="Arial" w:cs="Times New Roman"/>
      <w:szCs w:val="24"/>
    </w:rPr>
  </w:style>
  <w:style w:type="paragraph" w:customStyle="1" w:styleId="cm5">
    <w:name w:val="cím_5"/>
    <w:basedOn w:val="Norml"/>
    <w:next w:val="Norml"/>
    <w:rsid w:val="00C158A8"/>
    <w:pPr>
      <w:numPr>
        <w:ilvl w:val="4"/>
        <w:numId w:val="19"/>
      </w:numPr>
      <w:spacing w:before="240" w:after="240" w:line="240" w:lineRule="auto"/>
    </w:pPr>
    <w:rPr>
      <w:rFonts w:ascii="Arial" w:eastAsia="Batang" w:hAnsi="Arial" w:cs="Times New Roman"/>
      <w:i/>
      <w:szCs w:val="24"/>
    </w:rPr>
  </w:style>
  <w:style w:type="paragraph" w:customStyle="1" w:styleId="cm2">
    <w:name w:val="cím_2"/>
    <w:basedOn w:val="Norml"/>
    <w:next w:val="Norml"/>
    <w:rsid w:val="00C158A8"/>
    <w:pPr>
      <w:numPr>
        <w:ilvl w:val="1"/>
        <w:numId w:val="19"/>
      </w:numPr>
      <w:spacing w:before="240" w:after="240" w:line="240" w:lineRule="auto"/>
    </w:pPr>
    <w:rPr>
      <w:rFonts w:ascii="Arial" w:eastAsia="Times New Roman" w:hAnsi="Arial" w:cs="Times New Roman"/>
      <w:b/>
      <w:smallCaps/>
      <w:spacing w:val="20"/>
      <w:sz w:val="26"/>
      <w:szCs w:val="26"/>
    </w:rPr>
  </w:style>
  <w:style w:type="paragraph" w:customStyle="1" w:styleId="Cm1">
    <w:name w:val="Cím_1"/>
    <w:basedOn w:val="Norml"/>
    <w:next w:val="Norml"/>
    <w:rsid w:val="00C158A8"/>
    <w:pPr>
      <w:numPr>
        <w:numId w:val="19"/>
      </w:numPr>
      <w:spacing w:after="240" w:line="240" w:lineRule="auto"/>
    </w:pPr>
    <w:rPr>
      <w:rFonts w:ascii="Arial" w:eastAsia="Times New Roman" w:hAnsi="Arial" w:cs="Times New Roman"/>
      <w:b/>
      <w:smallCaps/>
      <w:spacing w:val="20"/>
      <w:sz w:val="28"/>
      <w:szCs w:val="28"/>
    </w:rPr>
  </w:style>
  <w:style w:type="character" w:customStyle="1" w:styleId="HideTWBExt">
    <w:name w:val="HideTWBExt"/>
    <w:basedOn w:val="Bekezdsalapbettpusa"/>
    <w:rsid w:val="00B0006E"/>
    <w:rPr>
      <w:rFonts w:ascii="Arial" w:hAnsi="Arial"/>
      <w:noProof/>
      <w:vanish/>
      <w:color w:val="000080"/>
      <w:sz w:val="20"/>
    </w:rPr>
  </w:style>
  <w:style w:type="paragraph" w:customStyle="1" w:styleId="Szveg">
    <w:name w:val="Szöveg"/>
    <w:basedOn w:val="Norml"/>
    <w:qFormat/>
    <w:rsid w:val="00B0006E"/>
    <w:pPr>
      <w:spacing w:after="0" w:line="240" w:lineRule="auto"/>
    </w:pPr>
    <w:rPr>
      <w:rFonts w:ascii="Arial" w:hAnsi="Arial" w:cs="Arial"/>
      <w:sz w:val="21"/>
      <w:szCs w:val="21"/>
    </w:rPr>
  </w:style>
  <w:style w:type="paragraph" w:customStyle="1" w:styleId="Tblafej">
    <w:name w:val="Táblafej"/>
    <w:basedOn w:val="Norml"/>
    <w:qFormat/>
    <w:rsid w:val="00B0006E"/>
    <w:pPr>
      <w:spacing w:after="0" w:line="240" w:lineRule="auto"/>
    </w:pPr>
    <w:rPr>
      <w:rFonts w:ascii="Arial" w:eastAsia="Times New Roman" w:hAnsi="Arial" w:cs="Arial"/>
      <w:b/>
      <w:i/>
      <w:color w:val="000000"/>
      <w:sz w:val="21"/>
      <w:szCs w:val="21"/>
    </w:rPr>
  </w:style>
  <w:style w:type="paragraph" w:customStyle="1" w:styleId="Tblasor">
    <w:name w:val="Táblasor"/>
    <w:basedOn w:val="Norml"/>
    <w:qFormat/>
    <w:rsid w:val="00B0006E"/>
    <w:pPr>
      <w:spacing w:after="0" w:line="240" w:lineRule="auto"/>
    </w:pPr>
    <w:rPr>
      <w:rFonts w:ascii="Arial" w:eastAsia="Times New Roman" w:hAnsi="Arial" w:cs="Arial"/>
      <w:i/>
      <w:color w:val="000000"/>
      <w:sz w:val="21"/>
      <w:szCs w:val="21"/>
    </w:rPr>
  </w:style>
  <w:style w:type="character" w:customStyle="1" w:styleId="tw4winExternal">
    <w:name w:val="tw4winExternal"/>
    <w:basedOn w:val="Bekezdsalapbettpusa"/>
    <w:rsid w:val="00B0006E"/>
    <w:rPr>
      <w:rFonts w:ascii="Courier New" w:hAnsi="Courier New"/>
      <w:color w:val="808080"/>
    </w:rPr>
  </w:style>
  <w:style w:type="character" w:customStyle="1" w:styleId="tw4winInternal">
    <w:name w:val="tw4winInternal"/>
    <w:rsid w:val="00B0006E"/>
    <w:rPr>
      <w:rFonts w:ascii="Courier New" w:hAnsi="Courier New"/>
      <w:noProof/>
      <w:color w:val="FF0000"/>
    </w:rPr>
  </w:style>
  <w:style w:type="character" w:customStyle="1" w:styleId="tw4winMark">
    <w:name w:val="tw4winMark"/>
    <w:uiPriority w:val="99"/>
    <w:rsid w:val="00B0006E"/>
    <w:rPr>
      <w:rFonts w:ascii="Courier New" w:hAnsi="Courier New"/>
      <w:vanish/>
      <w:color w:val="800080"/>
      <w:sz w:val="24"/>
      <w:vertAlign w:val="subscript"/>
    </w:rPr>
  </w:style>
  <w:style w:type="paragraph" w:customStyle="1" w:styleId="Vissza">
    <w:name w:val="Vissza"/>
    <w:basedOn w:val="Norml"/>
    <w:next w:val="Norml"/>
    <w:uiPriority w:val="99"/>
    <w:rsid w:val="00B0006E"/>
    <w:pPr>
      <w:spacing w:after="0" w:line="240" w:lineRule="auto"/>
      <w:jc w:val="right"/>
    </w:pPr>
    <w:rPr>
      <w:rFonts w:ascii="Arial" w:hAnsi="Arial" w:cs="Times New Roman"/>
      <w:color w:val="0000FF"/>
      <w:sz w:val="21"/>
      <w:szCs w:val="24"/>
      <w:u w:val="single"/>
    </w:rPr>
  </w:style>
  <w:style w:type="paragraph" w:styleId="Jegyzetszveg">
    <w:name w:val="annotation text"/>
    <w:basedOn w:val="Norml"/>
    <w:link w:val="JegyzetszvegChar"/>
    <w:uiPriority w:val="99"/>
    <w:semiHidden/>
    <w:unhideWhenUsed/>
    <w:pPr>
      <w:spacing w:line="240" w:lineRule="auto"/>
    </w:pPr>
  </w:style>
  <w:style w:type="character" w:customStyle="1" w:styleId="JegyzetszvegChar">
    <w:name w:val="Jegyzetszöveg Char"/>
    <w:basedOn w:val="Bekezdsalapbettpusa"/>
    <w:link w:val="Jegyzetszveg"/>
    <w:uiPriority w:val="99"/>
    <w:semiHidden/>
    <w:rPr>
      <w:rFonts w:asciiTheme="minorHAnsi" w:hAnsiTheme="minorHAnsi"/>
      <w:lang w:eastAsia="en-US"/>
    </w:rPr>
  </w:style>
  <w:style w:type="character" w:styleId="Jegyzethivatkozs">
    <w:name w:val="annotation reference"/>
    <w:basedOn w:val="Bekezdsalapbettpusa"/>
    <w:uiPriority w:val="99"/>
    <w:semiHidden/>
    <w:unhideWhenUsed/>
    <w:rPr>
      <w:sz w:val="16"/>
      <w:szCs w:val="16"/>
    </w:rPr>
  </w:style>
  <w:style w:type="paragraph" w:styleId="Megjegyzstrgya">
    <w:name w:val="annotation subject"/>
    <w:basedOn w:val="Jegyzetszveg"/>
    <w:next w:val="Jegyzetszveg"/>
    <w:link w:val="MegjegyzstrgyaChar"/>
    <w:uiPriority w:val="99"/>
    <w:semiHidden/>
    <w:unhideWhenUsed/>
    <w:rsid w:val="00D80BD7"/>
    <w:rPr>
      <w:b/>
      <w:bCs/>
    </w:rPr>
  </w:style>
  <w:style w:type="character" w:customStyle="1" w:styleId="MegjegyzstrgyaChar">
    <w:name w:val="Megjegyzés tárgya Char"/>
    <w:basedOn w:val="JegyzetszvegChar"/>
    <w:link w:val="Megjegyzstrgya"/>
    <w:uiPriority w:val="99"/>
    <w:semiHidden/>
    <w:rsid w:val="00D80BD7"/>
    <w:rPr>
      <w:rFonts w:asciiTheme="minorHAnsi" w:hAnsiTheme="minorHAns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928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537FA4BF-A2DE-42F3-B7B8-77C74D7C3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Pages>
  <Words>556</Words>
  <Characters>3351</Characters>
  <Application>Microsoft Office Word</Application>
  <DocSecurity>0</DocSecurity>
  <Lines>27</Lines>
  <Paragraphs>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Füstös Krisztina</dc:creator>
  <cp:keywords/>
  <dc:description/>
  <cp:lastModifiedBy>Juhász Katalin</cp:lastModifiedBy>
  <cp:revision>3</cp:revision>
  <cp:lastPrinted>1900-12-31T23:00:00Z</cp:lastPrinted>
  <dcterms:created xsi:type="dcterms:W3CDTF">2022-02-25T12:24:00Z</dcterms:created>
  <dcterms:modified xsi:type="dcterms:W3CDTF">2023-04-11T11:43:00Z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fustosk@mnb.hu</vt:lpwstr>
  </property>
  <property fmtid="{D5CDD505-2E9C-101B-9397-08002B2CF9AE}" pid="6" name="MSIP_Label_b0d11092-50c9-4e74-84b5-b1af078dc3d0_SetDate">
    <vt:lpwstr>2019-01-10T15:26:19.7028806+01:00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2027-02-25T12:10:51Z</vt:filetime>
  </property>
  <property fmtid="{D5CDD505-2E9C-101B-9397-08002B2CF9AE}" pid="12" name="Érvényességet beállító">
    <vt:lpwstr>juhaszk</vt:lpwstr>
  </property>
  <property fmtid="{D5CDD505-2E9C-101B-9397-08002B2CF9AE}" pid="13" name="Érvényességi idő első beállítása">
    <vt:filetime>2022-02-25T12:10:51Z</vt:filetime>
  </property>
</Properties>
</file>