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CEE97" w14:textId="77777777" w:rsidR="0067303B" w:rsidRDefault="0067303B" w:rsidP="0067303B">
      <w:pPr>
        <w:autoSpaceDE w:val="0"/>
        <w:autoSpaceDN w:val="0"/>
        <w:adjustRightInd w:val="0"/>
        <w:spacing w:after="0"/>
        <w:rPr>
          <w:rFonts w:ascii="Arial" w:eastAsia="Times New Roman" w:hAnsi="Arial" w:cs="Arial"/>
          <w:b/>
          <w:bCs/>
          <w:color w:val="000000"/>
        </w:rPr>
      </w:pPr>
      <w:r>
        <w:rPr>
          <w:rFonts w:ascii="Arial" w:eastAsia="Times New Roman" w:hAnsi="Arial" w:cs="Arial"/>
          <w:b/>
          <w:bCs/>
          <w:color w:val="000000"/>
          <w:lang w:val="en-GB"/>
        </w:rPr>
        <w:t>MNB identification code: L72</w:t>
      </w:r>
    </w:p>
    <w:p w14:paraId="0219CADC" w14:textId="77777777" w:rsidR="0067303B" w:rsidRDefault="0067303B" w:rsidP="0067303B">
      <w:pPr>
        <w:autoSpaceDE w:val="0"/>
        <w:autoSpaceDN w:val="0"/>
        <w:adjustRightInd w:val="0"/>
        <w:spacing w:after="0"/>
        <w:rPr>
          <w:rFonts w:ascii="Arial" w:eastAsia="Times New Roman" w:hAnsi="Arial" w:cs="Arial"/>
          <w:b/>
          <w:bCs/>
          <w:color w:val="000000"/>
        </w:rPr>
      </w:pPr>
    </w:p>
    <w:p w14:paraId="32880FA6" w14:textId="77777777" w:rsidR="0067303B" w:rsidRDefault="0067303B" w:rsidP="0067303B">
      <w:pPr>
        <w:autoSpaceDE w:val="0"/>
        <w:autoSpaceDN w:val="0"/>
        <w:adjustRightInd w:val="0"/>
        <w:spacing w:after="0"/>
        <w:jc w:val="center"/>
        <w:rPr>
          <w:rFonts w:ascii="Arial" w:eastAsia="Times New Roman" w:hAnsi="Arial" w:cs="Arial"/>
          <w:b/>
          <w:bCs/>
          <w:color w:val="000000"/>
        </w:rPr>
      </w:pPr>
      <w:r>
        <w:rPr>
          <w:rFonts w:ascii="Arial" w:eastAsia="Times New Roman" w:hAnsi="Arial" w:cs="Arial"/>
          <w:b/>
          <w:bCs/>
          <w:color w:val="000000"/>
          <w:lang w:val="en-GB"/>
        </w:rPr>
        <w:t>Completion instructions for the report</w:t>
      </w:r>
    </w:p>
    <w:p w14:paraId="28CD0FDA" w14:textId="77777777" w:rsidR="0067303B" w:rsidRDefault="0067303B" w:rsidP="0067303B">
      <w:pPr>
        <w:jc w:val="center"/>
        <w:rPr>
          <w:rFonts w:ascii="Arial" w:eastAsia="Times New Roman" w:hAnsi="Arial" w:cs="Arial"/>
          <w:b/>
          <w:bCs/>
          <w:color w:val="000000"/>
        </w:rPr>
      </w:pPr>
      <w:r>
        <w:rPr>
          <w:rFonts w:ascii="Arial" w:eastAsia="Times New Roman" w:hAnsi="Arial" w:cs="Arial"/>
          <w:b/>
          <w:bCs/>
          <w:color w:val="000000"/>
          <w:lang w:val="en-GB"/>
        </w:rPr>
        <w:t>Quarterly report on the mortgage funding adequacy ratio</w:t>
      </w:r>
    </w:p>
    <w:p w14:paraId="5DE5DFAE" w14:textId="77777777" w:rsidR="0067303B" w:rsidRDefault="0067303B" w:rsidP="00BB1E22">
      <w:pPr>
        <w:spacing w:after="0"/>
        <w:jc w:val="center"/>
        <w:rPr>
          <w:rFonts w:ascii="Arial" w:hAnsi="Arial" w:cs="Arial"/>
          <w:b/>
          <w:color w:val="000000"/>
          <w:u w:val="single"/>
        </w:rPr>
      </w:pPr>
    </w:p>
    <w:p w14:paraId="56C30CF9" w14:textId="77777777" w:rsidR="0067303B" w:rsidRDefault="0067303B" w:rsidP="0067303B">
      <w:pPr>
        <w:jc w:val="center"/>
        <w:rPr>
          <w:rFonts w:ascii="Arial" w:hAnsi="Arial" w:cs="Arial"/>
          <w:b/>
          <w:color w:val="000000"/>
          <w:u w:val="single"/>
        </w:rPr>
      </w:pPr>
    </w:p>
    <w:p w14:paraId="13D5827A" w14:textId="6A378ED0" w:rsidR="0067303B" w:rsidRPr="003F7D60" w:rsidRDefault="0067303B" w:rsidP="0067303B">
      <w:pPr>
        <w:rPr>
          <w:rFonts w:ascii="Arial" w:hAnsi="Arial" w:cs="Arial"/>
          <w:b/>
          <w:bCs/>
          <w:color w:val="000000"/>
        </w:rPr>
      </w:pPr>
      <w:r>
        <w:rPr>
          <w:rFonts w:ascii="Arial" w:hAnsi="Arial" w:cs="Arial"/>
          <w:b/>
          <w:bCs/>
          <w:color w:val="000000"/>
          <w:lang w:val="en-GB"/>
        </w:rPr>
        <w:t>I. General instructions</w:t>
      </w:r>
    </w:p>
    <w:p w14:paraId="00FB49E2" w14:textId="5C1F152D" w:rsidR="0067303B" w:rsidRPr="003F7D60" w:rsidRDefault="0067303B" w:rsidP="0067303B">
      <w:pPr>
        <w:rPr>
          <w:rFonts w:ascii="Arial" w:hAnsi="Arial" w:cs="Arial"/>
          <w:color w:val="000000"/>
        </w:rPr>
      </w:pPr>
      <w:r>
        <w:rPr>
          <w:rFonts w:ascii="Arial" w:hAnsi="Arial"/>
          <w:color w:val="000000"/>
          <w:lang w:val="en-GB"/>
        </w:rPr>
        <w:t xml:space="preserve">1. Upon completing the table, the provisions of MNB Decree No 22/2022 (VI. 11.) on the regulation of the maturity match of credit institutions’ mortgage-backed assets and liabilities (hereinafter: </w:t>
      </w:r>
      <w:proofErr w:type="spellStart"/>
      <w:r>
        <w:rPr>
          <w:rFonts w:ascii="Arial" w:hAnsi="Arial"/>
          <w:color w:val="000000"/>
          <w:lang w:val="en-GB"/>
        </w:rPr>
        <w:t>MFAR</w:t>
      </w:r>
      <w:proofErr w:type="spellEnd"/>
      <w:r>
        <w:rPr>
          <w:rFonts w:ascii="Arial" w:hAnsi="Arial"/>
          <w:color w:val="000000"/>
          <w:lang w:val="en-GB"/>
        </w:rPr>
        <w:t xml:space="preserve"> Decree) shall apply, </w:t>
      </w:r>
      <w:proofErr w:type="gramStart"/>
      <w:r>
        <w:rPr>
          <w:rFonts w:ascii="Arial" w:hAnsi="Arial"/>
          <w:color w:val="000000"/>
          <w:lang w:val="en-GB"/>
        </w:rPr>
        <w:t>taking into account</w:t>
      </w:r>
      <w:proofErr w:type="gramEnd"/>
      <w:r>
        <w:rPr>
          <w:rFonts w:ascii="Arial" w:hAnsi="Arial"/>
          <w:color w:val="000000"/>
          <w:lang w:val="en-GB"/>
        </w:rPr>
        <w:t xml:space="preserve"> these completion instructions.</w:t>
      </w:r>
    </w:p>
    <w:p w14:paraId="434E021F" w14:textId="4F091150" w:rsidR="0067303B" w:rsidRPr="003F7D60" w:rsidRDefault="0067303B" w:rsidP="0067303B">
      <w:pPr>
        <w:rPr>
          <w:rFonts w:ascii="Arial" w:hAnsi="Arial" w:cs="Arial"/>
          <w:color w:val="000000"/>
        </w:rPr>
      </w:pPr>
      <w:r>
        <w:rPr>
          <w:rFonts w:ascii="Arial" w:hAnsi="Arial" w:cs="Arial"/>
          <w:color w:val="000000"/>
          <w:lang w:val="en-GB"/>
        </w:rPr>
        <w:t xml:space="preserve">2. Data shall be reported </w:t>
      </w:r>
      <w:proofErr w:type="spellStart"/>
      <w:r>
        <w:rPr>
          <w:rFonts w:ascii="Arial" w:hAnsi="Arial" w:cs="Arial"/>
          <w:color w:val="000000"/>
          <w:lang w:val="en-GB"/>
        </w:rPr>
        <w:t>at</w:t>
      </w:r>
      <w:proofErr w:type="spellEnd"/>
      <w:r>
        <w:rPr>
          <w:rFonts w:ascii="Arial" w:hAnsi="Arial" w:cs="Arial"/>
          <w:color w:val="000000"/>
          <w:lang w:val="en-GB"/>
        </w:rPr>
        <w:t xml:space="preserve"> net book value, based on the </w:t>
      </w:r>
      <w:r>
        <w:rPr>
          <w:rFonts w:ascii="Arial" w:hAnsi="Arial" w:cs="Arial"/>
          <w:lang w:val="en-GB"/>
        </w:rPr>
        <w:t xml:space="preserve">accounting regulations applied by the data provider, </w:t>
      </w:r>
      <w:r>
        <w:rPr>
          <w:rFonts w:ascii="Arial" w:hAnsi="Arial" w:cs="Arial"/>
          <w:color w:val="000000"/>
          <w:lang w:val="en-GB"/>
        </w:rPr>
        <w:t>in line with the relevant contracts.</w:t>
      </w:r>
    </w:p>
    <w:p w14:paraId="22B440BF" w14:textId="29E9FAC3" w:rsidR="0067303B" w:rsidRPr="003F7D60" w:rsidRDefault="0067303B" w:rsidP="0067303B">
      <w:pPr>
        <w:rPr>
          <w:rFonts w:ascii="Arial" w:hAnsi="Arial" w:cs="Arial"/>
          <w:color w:val="000000"/>
        </w:rPr>
      </w:pPr>
      <w:r>
        <w:rPr>
          <w:rFonts w:ascii="Arial" w:hAnsi="Arial" w:cs="Arial"/>
          <w:color w:val="000000"/>
          <w:lang w:val="en-GB"/>
        </w:rPr>
        <w:t>3. The data supply shall contain the stock data for the last day of the reference period.</w:t>
      </w:r>
    </w:p>
    <w:p w14:paraId="7824AA63" w14:textId="53255359" w:rsidR="0067303B" w:rsidRPr="003F7D60" w:rsidRDefault="0067303B" w:rsidP="0067303B">
      <w:pPr>
        <w:rPr>
          <w:rFonts w:ascii="Arial" w:hAnsi="Arial" w:cs="Arial"/>
          <w:color w:val="000000"/>
        </w:rPr>
      </w:pPr>
      <w:r>
        <w:rPr>
          <w:rFonts w:ascii="Arial" w:hAnsi="Arial" w:cs="Arial"/>
          <w:color w:val="000000"/>
          <w:lang w:val="en-GB"/>
        </w:rPr>
        <w:t xml:space="preserve">4. The conversion into forints shall be performed at the official exchange rate announced by the MNB, prevailing on the last day of the reference period, or – in the case of currencies not quoted by the MNB – in line with </w:t>
      </w:r>
      <w:r>
        <w:rPr>
          <w:rFonts w:ascii="Arial" w:hAnsi="Arial" w:cs="Arial"/>
          <w:lang w:val="en-GB"/>
        </w:rPr>
        <w:t>Article 9(5) of Government Decree No 250/2000 (XII. 24.) on the special features of the annual reporting and bookkeeping obligations of credit institutions and financial enterprises (hereinafter: Credit Institution Annual Accounts Regulation).</w:t>
      </w:r>
    </w:p>
    <w:p w14:paraId="31A9915A" w14:textId="4209D91C" w:rsidR="0067303B" w:rsidRPr="003F7D60" w:rsidRDefault="0067303B" w:rsidP="0067303B">
      <w:pPr>
        <w:rPr>
          <w:rFonts w:ascii="Arial" w:hAnsi="Arial" w:cs="Arial"/>
        </w:rPr>
      </w:pPr>
      <w:r>
        <w:rPr>
          <w:rFonts w:ascii="Arial" w:hAnsi="Arial" w:cs="Arial"/>
          <w:color w:val="000000"/>
          <w:lang w:val="en-GB"/>
        </w:rPr>
        <w:t xml:space="preserve">5. Original maturity </w:t>
      </w:r>
      <w:r>
        <w:rPr>
          <w:rFonts w:ascii="Arial" w:hAnsi="Arial" w:cs="Arial"/>
          <w:lang w:val="en-GB"/>
        </w:rPr>
        <w:t>relating to the respective liability is the maturity prevailing at the issuance of the mortgage bond or collateralised securities, upon selling the independent lien or taking a refinancing mortgage loan.</w:t>
      </w:r>
    </w:p>
    <w:p w14:paraId="5139E710" w14:textId="77777777" w:rsidR="0067303B" w:rsidRPr="003F7D60" w:rsidRDefault="0067303B" w:rsidP="0067303B">
      <w:pPr>
        <w:rPr>
          <w:rFonts w:ascii="Arial" w:hAnsi="Arial" w:cs="Arial"/>
          <w:color w:val="000000"/>
        </w:rPr>
      </w:pPr>
    </w:p>
    <w:p w14:paraId="35622196" w14:textId="3F4D54AC" w:rsidR="0067303B" w:rsidRPr="003F7D60" w:rsidRDefault="0067303B" w:rsidP="0067303B">
      <w:pPr>
        <w:rPr>
          <w:rFonts w:ascii="Arial" w:hAnsi="Arial" w:cs="Arial"/>
          <w:b/>
          <w:color w:val="000000"/>
          <w:u w:val="single"/>
        </w:rPr>
      </w:pPr>
      <w:r>
        <w:rPr>
          <w:rFonts w:ascii="Arial" w:hAnsi="Arial" w:cs="Arial"/>
          <w:b/>
          <w:bCs/>
          <w:color w:val="000000"/>
          <w:lang w:val="en-GB"/>
        </w:rPr>
        <w:t>II. Detailed instructions for the completion of the tables</w:t>
      </w:r>
    </w:p>
    <w:p w14:paraId="10AF49FE" w14:textId="77777777" w:rsidR="0067303B" w:rsidRPr="003F7D60" w:rsidRDefault="0067303B" w:rsidP="0067303B">
      <w:pPr>
        <w:rPr>
          <w:rFonts w:ascii="Arial" w:hAnsi="Arial" w:cs="Arial"/>
          <w:b/>
          <w:color w:val="000000"/>
          <w:u w:val="single"/>
        </w:rPr>
      </w:pPr>
      <w:r>
        <w:rPr>
          <w:rFonts w:ascii="Arial" w:hAnsi="Arial" w:cs="Arial"/>
          <w:b/>
          <w:bCs/>
          <w:color w:val="000000"/>
          <w:lang w:val="en-GB"/>
        </w:rPr>
        <w:t>JMM table: Quarterly report on the mortgage funding adequacy ratio</w:t>
      </w:r>
    </w:p>
    <w:p w14:paraId="2FB6483A" w14:textId="14B62C7E" w:rsidR="0067303B" w:rsidRDefault="0067303B" w:rsidP="0067303B">
      <w:pPr>
        <w:rPr>
          <w:rFonts w:ascii="Arial" w:hAnsi="Arial" w:cs="Arial"/>
          <w:color w:val="000000"/>
        </w:rPr>
      </w:pPr>
      <w:r>
        <w:rPr>
          <w:rFonts w:ascii="Arial" w:hAnsi="Arial" w:cs="Arial"/>
          <w:color w:val="000000"/>
          <w:lang w:val="en-GB"/>
        </w:rPr>
        <w:t xml:space="preserve">1. Members of the credit institution group within the meaning of Article 1(1) of the </w:t>
      </w:r>
      <w:proofErr w:type="spellStart"/>
      <w:r>
        <w:rPr>
          <w:rFonts w:ascii="Arial" w:hAnsi="Arial" w:cs="Arial"/>
          <w:color w:val="000000"/>
          <w:lang w:val="en-GB"/>
        </w:rPr>
        <w:t>MFAR</w:t>
      </w:r>
      <w:proofErr w:type="spellEnd"/>
      <w:r>
        <w:rPr>
          <w:rFonts w:ascii="Arial" w:hAnsi="Arial" w:cs="Arial"/>
          <w:color w:val="000000"/>
          <w:lang w:val="en-GB"/>
        </w:rPr>
        <w:t xml:space="preserve"> Decree (hereinafter: ‘credit institution group’) do not have to complete the table.</w:t>
      </w:r>
    </w:p>
    <w:p w14:paraId="7EFDA053" w14:textId="77777777" w:rsidR="0067303B" w:rsidRDefault="0067303B" w:rsidP="0067303B">
      <w:pPr>
        <w:rPr>
          <w:rFonts w:ascii="Arial" w:hAnsi="Arial" w:cs="Arial"/>
          <w:color w:val="000000"/>
        </w:rPr>
      </w:pPr>
      <w:r>
        <w:rPr>
          <w:rFonts w:ascii="Arial" w:hAnsi="Arial" w:cs="Arial"/>
          <w:color w:val="000000"/>
          <w:lang w:val="en-GB"/>
        </w:rPr>
        <w:t>2. Instructions for completing the columns in the table:</w:t>
      </w:r>
    </w:p>
    <w:p w14:paraId="62FC8663" w14:textId="0EDADB18" w:rsidR="0067303B" w:rsidRDefault="0067303B" w:rsidP="0067303B">
      <w:pPr>
        <w:rPr>
          <w:rFonts w:ascii="Arial" w:hAnsi="Arial" w:cs="Arial"/>
          <w:color w:val="000000"/>
        </w:rPr>
      </w:pPr>
      <w:r>
        <w:rPr>
          <w:rFonts w:ascii="Arial" w:hAnsi="Arial" w:cs="Arial"/>
          <w:color w:val="000000"/>
          <w:lang w:val="en-GB"/>
        </w:rPr>
        <w:t xml:space="preserve">The stock data in column a) and b) of the table shall be defined as prescribed in point I. In column b), indicate the value calculated in accordance with points 4 and 5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w:t>
      </w:r>
    </w:p>
    <w:p w14:paraId="0CBC7616" w14:textId="77777777" w:rsidR="0067303B" w:rsidRPr="00333C91" w:rsidRDefault="0067303B" w:rsidP="0067303B">
      <w:pPr>
        <w:rPr>
          <w:rFonts w:ascii="Arial" w:hAnsi="Arial" w:cs="Arial"/>
          <w:color w:val="000000"/>
        </w:rPr>
      </w:pPr>
      <w:r>
        <w:rPr>
          <w:rFonts w:ascii="Arial" w:hAnsi="Arial" w:cs="Arial"/>
          <w:color w:val="000000"/>
          <w:lang w:val="en-GB"/>
        </w:rPr>
        <w:t>In column c) of the table report the sum of columns a) and b).</w:t>
      </w:r>
    </w:p>
    <w:p w14:paraId="350ACF9B" w14:textId="352A38CB" w:rsidR="0067303B" w:rsidRPr="00333C91" w:rsidRDefault="0067303B" w:rsidP="0067303B">
      <w:pPr>
        <w:rPr>
          <w:rFonts w:ascii="Arial" w:hAnsi="Arial" w:cs="Arial"/>
          <w:color w:val="000000"/>
        </w:rPr>
      </w:pPr>
      <w:r>
        <w:rPr>
          <w:rFonts w:ascii="Arial" w:hAnsi="Arial" w:cs="Arial"/>
          <w:color w:val="000000"/>
          <w:lang w:val="en-GB"/>
        </w:rPr>
        <w:t xml:space="preserve">Column </w:t>
      </w:r>
      <w:r w:rsidR="005C1F6A">
        <w:rPr>
          <w:rFonts w:ascii="Arial" w:hAnsi="Arial" w:cs="Arial"/>
          <w:color w:val="000000"/>
          <w:lang w:val="en-GB"/>
        </w:rPr>
        <w:t>d</w:t>
      </w:r>
      <w:r>
        <w:rPr>
          <w:rFonts w:ascii="Arial" w:hAnsi="Arial" w:cs="Arial"/>
          <w:color w:val="000000"/>
          <w:lang w:val="en-GB"/>
        </w:rPr>
        <w:t xml:space="preserve">) of the table shall show the weights specified in point 8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if it is not a whole number, with an accuracy of one decimal. </w:t>
      </w:r>
    </w:p>
    <w:p w14:paraId="7ACB4E30" w14:textId="5AEFE8BD" w:rsidR="0067303B" w:rsidRDefault="0067303B" w:rsidP="0067303B">
      <w:pPr>
        <w:rPr>
          <w:rFonts w:ascii="Arial" w:hAnsi="Arial" w:cs="Arial"/>
          <w:color w:val="000000"/>
        </w:rPr>
      </w:pPr>
      <w:r>
        <w:rPr>
          <w:rFonts w:ascii="Arial" w:hAnsi="Arial" w:cs="Arial"/>
          <w:color w:val="000000"/>
          <w:lang w:val="en-GB"/>
        </w:rPr>
        <w:t>In column e) of the table, report – unless otherwise specified in these completion instructions – product of the data in columns c) and d). Where columns c) and d) are not to be completed in column e) provide the unweighted sum of columns a) and b).</w:t>
      </w:r>
    </w:p>
    <w:p w14:paraId="64838251" w14:textId="77777777" w:rsidR="0067303B" w:rsidRDefault="0067303B" w:rsidP="0067303B">
      <w:pPr>
        <w:rPr>
          <w:rFonts w:ascii="Arial" w:hAnsi="Arial" w:cs="Arial"/>
          <w:color w:val="000000"/>
        </w:rPr>
      </w:pPr>
      <w:r>
        <w:rPr>
          <w:rFonts w:ascii="Arial" w:hAnsi="Arial" w:cs="Arial"/>
          <w:color w:val="000000"/>
          <w:lang w:val="en-GB"/>
        </w:rPr>
        <w:t>3. Instructions for completing the rows in the table:</w:t>
      </w:r>
    </w:p>
    <w:p w14:paraId="242B596F" w14:textId="713971EE" w:rsidR="0067303B" w:rsidRPr="003F7D60" w:rsidRDefault="0067303B" w:rsidP="0067303B">
      <w:pPr>
        <w:rPr>
          <w:rFonts w:ascii="Arial" w:hAnsi="Arial" w:cs="Arial"/>
          <w:color w:val="000000"/>
        </w:rPr>
      </w:pPr>
      <w:r>
        <w:rPr>
          <w:rFonts w:ascii="Arial" w:hAnsi="Arial"/>
          <w:b/>
          <w:bCs/>
          <w:color w:val="000000"/>
          <w:lang w:val="en-GB"/>
        </w:rPr>
        <w:t>Row 003:</w:t>
      </w:r>
      <w:r>
        <w:rPr>
          <w:rFonts w:ascii="Arial" w:hAnsi="Arial"/>
          <w:color w:val="000000"/>
          <w:lang w:val="en-GB"/>
        </w:rPr>
        <w:t xml:space="preserve"> report here the securities within the meaning of Article 11 of Act XXX of 1997 on Mortgage Banks and Mortgage Bonds (hereinafter: Mortgage Bank Act) issued by the credit institution or, in the case of a credit institution group, the members of the group, provided that their original maturity is over 3 years and they are stated not in the balance sheet of the credit institution, or, in the case of a credit institution group, of a member of the same credit institution group, </w:t>
      </w:r>
      <w:bookmarkStart w:id="0" w:name="_Hlk73358947"/>
      <w:r>
        <w:rPr>
          <w:rFonts w:ascii="Arial" w:hAnsi="Arial"/>
          <w:color w:val="000000"/>
          <w:lang w:val="en-GB"/>
        </w:rPr>
        <w:t xml:space="preserve">with the exception of green mortgage bonds with original maturity over 5 years, eligible pursuant to point 8 of Annex to the </w:t>
      </w:r>
      <w:proofErr w:type="spellStart"/>
      <w:r>
        <w:rPr>
          <w:rFonts w:ascii="Arial" w:hAnsi="Arial"/>
          <w:color w:val="000000"/>
          <w:lang w:val="en-GB"/>
        </w:rPr>
        <w:t>MFAR</w:t>
      </w:r>
      <w:proofErr w:type="spellEnd"/>
      <w:r>
        <w:rPr>
          <w:rFonts w:ascii="Arial" w:hAnsi="Arial"/>
          <w:color w:val="000000"/>
          <w:lang w:val="en-GB"/>
        </w:rPr>
        <w:t xml:space="preserve"> Decree</w:t>
      </w:r>
      <w:bookmarkEnd w:id="0"/>
      <w:r>
        <w:rPr>
          <w:rFonts w:ascii="Arial" w:hAnsi="Arial"/>
          <w:color w:val="000000"/>
          <w:lang w:val="en-GB"/>
        </w:rPr>
        <w:t xml:space="preserve">, in respect of which a credit rating under sub-point f) of point 3 of Annex 2 to the </w:t>
      </w:r>
      <w:proofErr w:type="spellStart"/>
      <w:r>
        <w:rPr>
          <w:rFonts w:ascii="Arial" w:hAnsi="Arial"/>
          <w:color w:val="000000"/>
          <w:lang w:val="en-GB"/>
        </w:rPr>
        <w:t>MFAR</w:t>
      </w:r>
      <w:proofErr w:type="spellEnd"/>
      <w:r>
        <w:rPr>
          <w:rFonts w:ascii="Arial" w:hAnsi="Arial"/>
          <w:color w:val="000000"/>
          <w:lang w:val="en-GB"/>
        </w:rPr>
        <w:t xml:space="preserve"> Decree is available.</w:t>
      </w:r>
    </w:p>
    <w:p w14:paraId="2E12C267" w14:textId="4AA11F34" w:rsidR="0067303B" w:rsidRPr="003F7D60" w:rsidRDefault="0067303B" w:rsidP="0067303B">
      <w:pPr>
        <w:rPr>
          <w:rFonts w:ascii="Arial" w:hAnsi="Arial" w:cs="Arial"/>
          <w:color w:val="000000"/>
        </w:rPr>
      </w:pPr>
      <w:r>
        <w:rPr>
          <w:rFonts w:ascii="Arial" w:hAnsi="Arial" w:cs="Arial"/>
          <w:b/>
          <w:bCs/>
          <w:color w:val="000000"/>
          <w:lang w:val="en-GB"/>
        </w:rPr>
        <w:lastRenderedPageBreak/>
        <w:t>Row 004</w:t>
      </w:r>
      <w:r>
        <w:rPr>
          <w:rFonts w:ascii="Arial" w:hAnsi="Arial" w:cs="Arial"/>
          <w:color w:val="000000"/>
          <w:lang w:val="en-GB"/>
        </w:rPr>
        <w:t>:</w:t>
      </w:r>
      <w:r>
        <w:rPr>
          <w:rFonts w:ascii="Arial" w:hAnsi="Arial" w:cs="Arial"/>
          <w:b/>
          <w:bCs/>
          <w:color w:val="000000"/>
          <w:lang w:val="en-GB"/>
        </w:rPr>
        <w:t xml:space="preserve"> </w:t>
      </w:r>
      <w:r>
        <w:rPr>
          <w:rFonts w:ascii="Arial" w:hAnsi="Arial" w:cs="Arial"/>
          <w:color w:val="000000"/>
          <w:lang w:val="en-GB"/>
        </w:rPr>
        <w:t xml:space="preserve">report here loans received within the meaning of Article 5(1) of the Mortgage Bank Act, provided that their original maturity is over 3 years and the loan was granted not by a member of the same credit institution group, with the exception of green refinancing mortgage loans received with original maturity over 5 years, eligible pursuant to point 8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w:t>
      </w:r>
    </w:p>
    <w:p w14:paraId="20B8C369" w14:textId="2236E183" w:rsidR="0067303B" w:rsidRPr="003F7D60" w:rsidRDefault="0067303B" w:rsidP="0067303B">
      <w:pPr>
        <w:pStyle w:val="Listaszerbekezds"/>
        <w:numPr>
          <w:ilvl w:val="0"/>
          <w:numId w:val="0"/>
        </w:numPr>
        <w:contextualSpacing w:val="0"/>
        <w:rPr>
          <w:rFonts w:ascii="Arial" w:hAnsi="Arial" w:cs="Arial"/>
          <w:color w:val="000000"/>
        </w:rPr>
      </w:pPr>
      <w:bookmarkStart w:id="1" w:name="_GoBack"/>
      <w:r w:rsidRPr="00D003E1">
        <w:rPr>
          <w:rFonts w:ascii="Arial" w:hAnsi="Arial" w:cs="Arial"/>
          <w:b/>
          <w:bCs/>
          <w:color w:val="000000" w:themeColor="text1"/>
          <w:lang w:val="en-GB"/>
        </w:rPr>
        <w:t>Row 005:</w:t>
      </w:r>
      <w:bookmarkEnd w:id="1"/>
      <w:r w:rsidRPr="00A751AA">
        <w:rPr>
          <w:rFonts w:ascii="Arial" w:hAnsi="Arial" w:cs="Arial"/>
          <w:b/>
          <w:bCs/>
          <w:color w:val="A30000" w:themeColor="accent3" w:themeShade="BF"/>
          <w:lang w:val="en-GB"/>
        </w:rPr>
        <w:t xml:space="preserve"> </w:t>
      </w:r>
      <w:r w:rsidRPr="00A751AA">
        <w:rPr>
          <w:rFonts w:ascii="Arial" w:hAnsi="Arial" w:cs="Arial"/>
          <w:b/>
          <w:bCs/>
          <w:color w:val="000000"/>
          <w:lang w:val="en-GB"/>
        </w:rPr>
        <w:t>r</w:t>
      </w:r>
      <w:r>
        <w:rPr>
          <w:rFonts w:ascii="Arial" w:hAnsi="Arial" w:cs="Arial"/>
          <w:color w:val="000000"/>
          <w:lang w:val="en-GB"/>
        </w:rPr>
        <w:t xml:space="preserve">eport here the outstanding purchase price debts within the meaning of Article 8(5) of the Mortgage Bank Act, provided that their original maturity is over 3 years and the independent lien was acquired not by the same member of the credit institution group, with the exception of green purchase price debts with original maturity over 5 years, eligible pursuant to point 8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w:t>
      </w:r>
    </w:p>
    <w:p w14:paraId="6B2D4C63" w14:textId="17ACD96D" w:rsidR="0067303B" w:rsidRDefault="0067303B" w:rsidP="0067303B">
      <w:pPr>
        <w:pStyle w:val="Listaszerbekezds"/>
        <w:numPr>
          <w:ilvl w:val="0"/>
          <w:numId w:val="0"/>
        </w:numPr>
        <w:contextualSpacing w:val="0"/>
        <w:rPr>
          <w:rFonts w:ascii="Arial" w:hAnsi="Arial" w:cs="Arial"/>
          <w:color w:val="000000"/>
        </w:rPr>
      </w:pPr>
      <w:r>
        <w:rPr>
          <w:rFonts w:ascii="Arial" w:hAnsi="Arial" w:cs="Arial"/>
          <w:b/>
          <w:bCs/>
          <w:color w:val="000000"/>
          <w:lang w:val="en-GB"/>
        </w:rPr>
        <w:t>Row 006:</w:t>
      </w:r>
      <w:r>
        <w:rPr>
          <w:rFonts w:ascii="Arial" w:hAnsi="Arial" w:cs="Arial"/>
          <w:color w:val="000000"/>
          <w:lang w:val="en-GB"/>
        </w:rPr>
        <w:t xml:space="preserve"> report here the outstanding loans granted within the meaning of Article 5(1) of the Mortgage Bank Act and the total purchase price receivables within the meaning of Article 8(5) of the Mortgage Bank Act, provided that their original maturity is over 3 years and are stated in the balance sheet of a member of the same credit institution group, with the exception of green</w:t>
      </w:r>
      <w:r w:rsidR="00D31F8D">
        <w:rPr>
          <w:rFonts w:ascii="Arial" w:hAnsi="Arial" w:cs="Arial"/>
          <w:color w:val="000000"/>
          <w:lang w:val="en-GB"/>
        </w:rPr>
        <w:t xml:space="preserve"> loans and</w:t>
      </w:r>
      <w:r>
        <w:rPr>
          <w:rFonts w:ascii="Arial" w:hAnsi="Arial" w:cs="Arial"/>
          <w:color w:val="000000"/>
          <w:lang w:val="en-GB"/>
        </w:rPr>
        <w:t xml:space="preserve"> purchase price debts with original maturity over 5 years, eligible pursuant to point 8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w:t>
      </w:r>
    </w:p>
    <w:p w14:paraId="43D8697A" w14:textId="5F501FE4" w:rsidR="0067303B" w:rsidRPr="00EF36D5" w:rsidRDefault="0067303B" w:rsidP="0067303B">
      <w:pPr>
        <w:rPr>
          <w:rFonts w:ascii="Arial" w:hAnsi="Arial" w:cs="Arial"/>
          <w:color w:val="000000"/>
        </w:rPr>
      </w:pPr>
      <w:r>
        <w:rPr>
          <w:rFonts w:ascii="Arial" w:hAnsi="Arial"/>
          <w:b/>
          <w:bCs/>
          <w:color w:val="000000"/>
          <w:lang w:val="en-GB"/>
        </w:rPr>
        <w:t xml:space="preserve">Row 007: </w:t>
      </w:r>
      <w:r>
        <w:rPr>
          <w:rFonts w:ascii="Arial" w:hAnsi="Arial"/>
          <w:color w:val="000000"/>
          <w:lang w:val="en-GB"/>
        </w:rPr>
        <w:t xml:space="preserve">report here the amount of the green mortgage bonds within the meaning of Article 11 of the Mortgage Bank Act – calculated in accordance with point 8 of Annex 2 to the </w:t>
      </w:r>
      <w:proofErr w:type="spellStart"/>
      <w:r>
        <w:rPr>
          <w:rFonts w:ascii="Arial" w:hAnsi="Arial"/>
          <w:color w:val="000000"/>
          <w:lang w:val="en-GB"/>
        </w:rPr>
        <w:t>MFAR</w:t>
      </w:r>
      <w:proofErr w:type="spellEnd"/>
      <w:r>
        <w:rPr>
          <w:rFonts w:ascii="Arial" w:hAnsi="Arial"/>
          <w:color w:val="000000"/>
          <w:lang w:val="en-GB"/>
        </w:rPr>
        <w:t xml:space="preserve"> Decree – issued by the credit institution or, in the case of a credit institution group, by a member of the group, with original maturity over 5 years, stated not in the balance sheet of the credit institution, or, in the case of a credit institution group, of a member of the same credit institution group, in respect of which a credit rating under sub-point f) of point 3 of Annex 2 to the </w:t>
      </w:r>
      <w:proofErr w:type="spellStart"/>
      <w:r>
        <w:rPr>
          <w:rFonts w:ascii="Arial" w:hAnsi="Arial"/>
          <w:color w:val="000000"/>
          <w:lang w:val="en-GB"/>
        </w:rPr>
        <w:t>MFAR</w:t>
      </w:r>
      <w:proofErr w:type="spellEnd"/>
      <w:r>
        <w:rPr>
          <w:rFonts w:ascii="Arial" w:hAnsi="Arial"/>
          <w:color w:val="000000"/>
          <w:lang w:val="en-GB"/>
        </w:rPr>
        <w:t xml:space="preserve"> Decree is available. </w:t>
      </w:r>
    </w:p>
    <w:p w14:paraId="60533C5E" w14:textId="10148721" w:rsidR="0067303B" w:rsidRPr="00EF36D5" w:rsidRDefault="0067303B" w:rsidP="0067303B">
      <w:pPr>
        <w:pStyle w:val="Listaszerbekezds"/>
        <w:numPr>
          <w:ilvl w:val="0"/>
          <w:numId w:val="0"/>
        </w:numPr>
        <w:contextualSpacing w:val="0"/>
        <w:rPr>
          <w:rFonts w:ascii="Arial" w:hAnsi="Arial" w:cs="Arial"/>
          <w:color w:val="000000"/>
        </w:rPr>
      </w:pPr>
      <w:r>
        <w:rPr>
          <w:rFonts w:ascii="Arial" w:hAnsi="Arial" w:cs="Arial"/>
          <w:b/>
          <w:bCs/>
          <w:color w:val="000000"/>
          <w:lang w:val="en-GB"/>
        </w:rPr>
        <w:t xml:space="preserve">Row 008: </w:t>
      </w:r>
      <w:r>
        <w:rPr>
          <w:rFonts w:ascii="Arial" w:hAnsi="Arial" w:cs="Arial"/>
          <w:color w:val="000000"/>
          <w:lang w:val="en-GB"/>
        </w:rPr>
        <w:t xml:space="preserve">report here the loans received within the meaning of Article 5(1) of the Mortgage Bank Act, eligible as green refinancing loans pursuant to point 8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provided that their original maturity is over 5 years and the loan was granted not by a member of the same credit institution group. </w:t>
      </w:r>
    </w:p>
    <w:p w14:paraId="743FD430" w14:textId="585A0585" w:rsidR="0067303B" w:rsidRPr="00EF36D5" w:rsidRDefault="0067303B" w:rsidP="0067303B">
      <w:pPr>
        <w:pStyle w:val="Listaszerbekezds"/>
        <w:numPr>
          <w:ilvl w:val="0"/>
          <w:numId w:val="0"/>
        </w:numPr>
        <w:contextualSpacing w:val="0"/>
        <w:rPr>
          <w:rFonts w:ascii="Arial" w:hAnsi="Arial" w:cs="Arial"/>
          <w:color w:val="000000"/>
        </w:rPr>
      </w:pPr>
      <w:r>
        <w:rPr>
          <w:rFonts w:ascii="Arial" w:hAnsi="Arial" w:cs="Arial"/>
          <w:b/>
          <w:bCs/>
          <w:color w:val="000000"/>
          <w:lang w:val="en-GB"/>
        </w:rPr>
        <w:t xml:space="preserve">Row 009: </w:t>
      </w:r>
      <w:r>
        <w:rPr>
          <w:rFonts w:ascii="Arial" w:hAnsi="Arial" w:cs="Arial"/>
          <w:color w:val="000000"/>
          <w:lang w:val="en-GB"/>
        </w:rPr>
        <w:t xml:space="preserve">report here the purchase price liabilities defined in Article 8(5) of the Mortgage Bank Act, eligible as green pursuant to point 8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provided that their original maturity is over 5 years and the independent lien was acquired not by a member of the same credit institution group.</w:t>
      </w:r>
    </w:p>
    <w:p w14:paraId="4FBC20CF" w14:textId="16A40653" w:rsidR="0067303B" w:rsidRPr="00062961" w:rsidRDefault="0067303B" w:rsidP="0067303B">
      <w:pPr>
        <w:pStyle w:val="Listaszerbekezds"/>
        <w:numPr>
          <w:ilvl w:val="0"/>
          <w:numId w:val="0"/>
        </w:numPr>
        <w:contextualSpacing w:val="0"/>
        <w:rPr>
          <w:rFonts w:ascii="Arial" w:hAnsi="Arial" w:cs="Arial"/>
          <w:b/>
          <w:color w:val="000000"/>
        </w:rPr>
      </w:pPr>
      <w:r>
        <w:rPr>
          <w:rFonts w:ascii="Arial" w:hAnsi="Arial" w:cs="Arial"/>
          <w:b/>
          <w:bCs/>
          <w:color w:val="000000"/>
          <w:lang w:val="en-GB"/>
        </w:rPr>
        <w:t>Row 010:</w:t>
      </w:r>
      <w:r>
        <w:rPr>
          <w:rFonts w:ascii="Arial" w:hAnsi="Arial" w:cs="Arial"/>
          <w:color w:val="000000"/>
          <w:lang w:val="en-GB"/>
        </w:rPr>
        <w:t xml:space="preserve"> report here the outstanding loans granted pursuant to Article 5(1) of the Mortgage Bank Act and the balance of the purchase price receivables within the meaning of Article 8(5) of the Mortgage Bank Act, provided that their original maturity is over 5 years and qualify as green under the </w:t>
      </w:r>
      <w:proofErr w:type="spellStart"/>
      <w:r>
        <w:rPr>
          <w:rFonts w:ascii="Arial" w:hAnsi="Arial" w:cs="Arial"/>
          <w:color w:val="000000"/>
          <w:lang w:val="en-GB"/>
        </w:rPr>
        <w:t>MFAR</w:t>
      </w:r>
      <w:proofErr w:type="spellEnd"/>
      <w:r>
        <w:rPr>
          <w:rFonts w:ascii="Arial" w:hAnsi="Arial" w:cs="Arial"/>
          <w:color w:val="000000"/>
          <w:lang w:val="en-GB"/>
        </w:rPr>
        <w:t xml:space="preserve"> Decree. In column e) provide the sum of these calculated in accordance with points 10 and 11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w:t>
      </w:r>
    </w:p>
    <w:p w14:paraId="7F438A46" w14:textId="19D0A845" w:rsidR="0067303B" w:rsidRPr="003F7D60" w:rsidRDefault="0067303B" w:rsidP="0067303B">
      <w:pPr>
        <w:pStyle w:val="Listaszerbekezds"/>
        <w:numPr>
          <w:ilvl w:val="0"/>
          <w:numId w:val="0"/>
        </w:numPr>
        <w:contextualSpacing w:val="0"/>
        <w:rPr>
          <w:rFonts w:ascii="Arial" w:hAnsi="Arial" w:cs="Arial"/>
          <w:color w:val="000000"/>
        </w:rPr>
      </w:pPr>
      <w:r>
        <w:rPr>
          <w:rFonts w:ascii="Arial" w:hAnsi="Arial"/>
          <w:b/>
          <w:bCs/>
          <w:color w:val="000000"/>
          <w:lang w:val="en-GB"/>
        </w:rPr>
        <w:t>Row 011:</w:t>
      </w:r>
      <w:r>
        <w:rPr>
          <w:rFonts w:ascii="Arial" w:hAnsi="Arial"/>
          <w:color w:val="000000"/>
          <w:lang w:val="en-GB"/>
        </w:rPr>
        <w:t xml:space="preserve"> report here the securities within the meaning of Article 11 of the Mortgage Bank Act issued before 31 March 2015 by the credit institution or, in the case of a credit institution group, the members of the group, with original maturity over 3 years and stated in the balance sheet of the credit institution, or, in the case of a credit institution group, a member of the same credit institution group, in respect of which a credit rating within the meaning of sub-point f) of point 3 of Annex 2 to the </w:t>
      </w:r>
      <w:proofErr w:type="spellStart"/>
      <w:r>
        <w:rPr>
          <w:rFonts w:ascii="Arial" w:hAnsi="Arial"/>
          <w:color w:val="000000"/>
          <w:lang w:val="en-GB"/>
        </w:rPr>
        <w:t>MFAR</w:t>
      </w:r>
      <w:proofErr w:type="spellEnd"/>
      <w:r>
        <w:rPr>
          <w:rFonts w:ascii="Arial" w:hAnsi="Arial"/>
          <w:color w:val="000000"/>
          <w:lang w:val="en-GB"/>
        </w:rPr>
        <w:t xml:space="preserve"> Decree is available. In this row, the stock of mortgage bonds may be taken into account at up to 20 percent of their adjusted market value determined by the MNB for forint denominations and by the ECB for foreign currency denominations for the last working day reference period.</w:t>
      </w:r>
    </w:p>
    <w:p w14:paraId="5D1CA0E8" w14:textId="0AAF43F1" w:rsidR="0067303B" w:rsidRPr="003F7D60" w:rsidRDefault="0067303B" w:rsidP="0067303B">
      <w:pPr>
        <w:pStyle w:val="Listaszerbekezds"/>
        <w:numPr>
          <w:ilvl w:val="0"/>
          <w:numId w:val="0"/>
        </w:numPr>
        <w:contextualSpacing w:val="0"/>
        <w:rPr>
          <w:rFonts w:ascii="Arial" w:hAnsi="Arial" w:cs="Arial"/>
          <w:color w:val="000000"/>
        </w:rPr>
      </w:pPr>
      <w:r>
        <w:rPr>
          <w:rFonts w:ascii="Arial" w:hAnsi="Arial" w:cs="Arial"/>
          <w:b/>
          <w:bCs/>
          <w:color w:val="000000"/>
          <w:lang w:val="en-GB"/>
        </w:rPr>
        <w:t>Row 013:</w:t>
      </w:r>
      <w:r>
        <w:rPr>
          <w:rFonts w:ascii="Arial" w:hAnsi="Arial" w:cs="Arial"/>
          <w:color w:val="000000"/>
          <w:lang w:val="en-GB"/>
        </w:rPr>
        <w:t xml:space="preserve"> report here the retail mortgage loans granted by the credit institution, or, in the case of a credit institution group, by the credit institution group members, provided that their residual maturity is over 1 year. Mortgage loans shall be shown on the basis of their net book value. Mortgage loans shall be reported in a single amount, on the basis of the residual maturity according to the contract. Overdue instalments and non-overdue instalments maturing within a year shall also be reported in line with the final maturity date of the loan. Terminated loans shall not be reported.</w:t>
      </w:r>
    </w:p>
    <w:p w14:paraId="2E55B954" w14:textId="00CE319F" w:rsidR="0067303B" w:rsidRPr="003F7D60" w:rsidRDefault="0067303B" w:rsidP="0067303B">
      <w:pPr>
        <w:pStyle w:val="Listaszerbekezds"/>
        <w:numPr>
          <w:ilvl w:val="0"/>
          <w:numId w:val="0"/>
        </w:numPr>
        <w:contextualSpacing w:val="0"/>
        <w:rPr>
          <w:rFonts w:ascii="Arial" w:hAnsi="Arial" w:cs="Arial"/>
          <w:color w:val="000000"/>
        </w:rPr>
      </w:pPr>
      <w:r>
        <w:rPr>
          <w:rFonts w:ascii="Arial" w:hAnsi="Arial" w:cs="Arial"/>
          <w:b/>
          <w:bCs/>
          <w:color w:val="000000"/>
          <w:lang w:val="en-GB"/>
        </w:rPr>
        <w:t>Row 014:</w:t>
      </w:r>
      <w:r>
        <w:rPr>
          <w:rFonts w:ascii="Arial" w:hAnsi="Arial" w:cs="Arial"/>
          <w:color w:val="000000"/>
          <w:lang w:val="en-GB"/>
        </w:rPr>
        <w:t xml:space="preserve"> in the case of a credit institution group, report here the retail mortgage loans granted by the building society members of the credit institution group based their net book value, provided that their residual maturity is over 1 year.</w:t>
      </w:r>
    </w:p>
    <w:p w14:paraId="29B38536" w14:textId="6166A130" w:rsidR="0067303B" w:rsidRPr="003F7D60" w:rsidRDefault="0067303B" w:rsidP="0067303B">
      <w:pPr>
        <w:pStyle w:val="Listaszerbekezds"/>
        <w:numPr>
          <w:ilvl w:val="0"/>
          <w:numId w:val="0"/>
        </w:numPr>
        <w:contextualSpacing w:val="0"/>
        <w:rPr>
          <w:rFonts w:ascii="Arial" w:hAnsi="Arial" w:cs="Arial"/>
          <w:color w:val="000000"/>
        </w:rPr>
      </w:pPr>
      <w:r>
        <w:rPr>
          <w:rFonts w:ascii="Arial" w:hAnsi="Arial" w:cs="Arial"/>
          <w:b/>
          <w:bCs/>
          <w:color w:val="000000"/>
          <w:lang w:val="en-GB"/>
        </w:rPr>
        <w:t>Row 015:</w:t>
      </w:r>
      <w:r>
        <w:rPr>
          <w:rFonts w:ascii="Arial" w:hAnsi="Arial" w:cs="Arial"/>
          <w:color w:val="000000"/>
          <w:lang w:val="en-GB"/>
        </w:rPr>
        <w:t xml:space="preserve"> in the case of a credit institution group, report here the funds provided by the credit institution group members to the building society belonging to the credit institution group. If the value of row 014 is 0, the value of the row is 0.</w:t>
      </w:r>
    </w:p>
    <w:p w14:paraId="670A3D36" w14:textId="3942A1D4" w:rsidR="0067303B" w:rsidRDefault="0067303B" w:rsidP="0067303B">
      <w:pPr>
        <w:rPr>
          <w:rFonts w:ascii="Arial" w:hAnsi="Arial" w:cs="Arial"/>
          <w:color w:val="000000"/>
        </w:rPr>
      </w:pPr>
      <w:r>
        <w:rPr>
          <w:rFonts w:ascii="Arial" w:hAnsi="Arial" w:cs="Arial"/>
          <w:b/>
          <w:bCs/>
          <w:color w:val="000000"/>
          <w:lang w:val="en-GB"/>
        </w:rPr>
        <w:t>Row 016:</w:t>
      </w:r>
      <w:r>
        <w:rPr>
          <w:rFonts w:ascii="Arial" w:hAnsi="Arial" w:cs="Arial"/>
          <w:color w:val="000000"/>
          <w:lang w:val="en-GB"/>
        </w:rPr>
        <w:t xml:space="preserve"> this row shall include the value of the mortgage funding adequacy ratio as defined by the </w:t>
      </w:r>
      <w:proofErr w:type="spellStart"/>
      <w:r>
        <w:rPr>
          <w:rFonts w:ascii="Arial" w:hAnsi="Arial" w:cs="Arial"/>
          <w:color w:val="000000"/>
          <w:lang w:val="en-GB"/>
        </w:rPr>
        <w:t>MFAR</w:t>
      </w:r>
      <w:proofErr w:type="spellEnd"/>
      <w:r>
        <w:rPr>
          <w:rFonts w:ascii="Arial" w:hAnsi="Arial" w:cs="Arial"/>
          <w:color w:val="000000"/>
          <w:lang w:val="en-GB"/>
        </w:rPr>
        <w:t xml:space="preserve"> Decree, which shall be calculated as the quotient of the stable </w:t>
      </w:r>
      <w:proofErr w:type="gramStart"/>
      <w:r>
        <w:rPr>
          <w:rFonts w:ascii="Arial" w:hAnsi="Arial" w:cs="Arial"/>
          <w:color w:val="000000"/>
          <w:lang w:val="en-GB"/>
        </w:rPr>
        <w:t>mortgage based</w:t>
      </w:r>
      <w:proofErr w:type="gramEnd"/>
      <w:r>
        <w:rPr>
          <w:rFonts w:ascii="Arial" w:hAnsi="Arial" w:cs="Arial"/>
          <w:color w:val="000000"/>
          <w:lang w:val="en-GB"/>
        </w:rPr>
        <w:t xml:space="preserve"> liabilities and the outstanding financed retail mortgage loans. The data provider shall state the value of the Mortgage Funding Adequacy Ratio with an accuracy of three decimals (i.e. 0.374).</w:t>
      </w:r>
    </w:p>
    <w:p w14:paraId="0EDB1D3B" w14:textId="43A93EFD" w:rsidR="0067303B" w:rsidRPr="00BE23B4" w:rsidRDefault="0067303B" w:rsidP="0067303B">
      <w:pPr>
        <w:rPr>
          <w:rFonts w:ascii="Arial" w:hAnsi="Arial" w:cs="Arial"/>
          <w:color w:val="000000"/>
        </w:rPr>
      </w:pPr>
      <w:r>
        <w:rPr>
          <w:rFonts w:ascii="Arial" w:hAnsi="Arial" w:cs="Arial"/>
          <w:b/>
          <w:bCs/>
          <w:color w:val="000000"/>
          <w:lang w:val="en-GB"/>
        </w:rPr>
        <w:t xml:space="preserve">Row 019: </w:t>
      </w:r>
      <w:r>
        <w:rPr>
          <w:rFonts w:ascii="Arial" w:hAnsi="Arial" w:cs="Arial"/>
          <w:color w:val="000000"/>
          <w:lang w:val="en-GB"/>
        </w:rPr>
        <w:t xml:space="preserve">report here in the case of funds specified in subpoint a) of point 2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available in the ordinary collateral, the value of the repurchase price receivables outstanding in connection with the retail mortgage loans under point 6 of Article 2 of the </w:t>
      </w:r>
      <w:proofErr w:type="spellStart"/>
      <w:r>
        <w:rPr>
          <w:rFonts w:ascii="Arial" w:hAnsi="Arial" w:cs="Arial"/>
          <w:color w:val="000000"/>
          <w:lang w:val="en-GB"/>
        </w:rPr>
        <w:t>MFAR</w:t>
      </w:r>
      <w:proofErr w:type="spellEnd"/>
      <w:r>
        <w:rPr>
          <w:rFonts w:ascii="Arial" w:hAnsi="Arial" w:cs="Arial"/>
          <w:color w:val="000000"/>
          <w:lang w:val="en-GB"/>
        </w:rPr>
        <w:t xml:space="preserve"> Decree, the separate lien on residential property connected to the retail mortgage loan, and the refinancing mortgage loans granted under the collateral of mortgage registered on the residential property and the transfer of independent lien, and in the case of funds specified in subpoints b) and c) of point 2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the amount of the retail mortgage loans or separate, independent lien on residential property connected retail mortgage loans and the amount of the liens on the mortgage loan receivables secured by mortgage, that the funds have been raised under the collateral of or subject to the transfer of which.</w:t>
      </w:r>
    </w:p>
    <w:p w14:paraId="06FD2765" w14:textId="4EE2379E" w:rsidR="0067303B" w:rsidRPr="00125B07" w:rsidRDefault="0067303B" w:rsidP="0067303B">
      <w:pPr>
        <w:rPr>
          <w:rFonts w:ascii="Arial" w:hAnsi="Arial" w:cs="Arial"/>
          <w:b/>
          <w:bCs/>
          <w:color w:val="000000"/>
        </w:rPr>
      </w:pPr>
      <w:r>
        <w:rPr>
          <w:rFonts w:ascii="Arial" w:hAnsi="Arial" w:cs="Arial"/>
          <w:b/>
          <w:bCs/>
          <w:color w:val="000000"/>
          <w:lang w:val="en-GB"/>
        </w:rPr>
        <w:t xml:space="preserve">Row 020: </w:t>
      </w:r>
      <w:r>
        <w:rPr>
          <w:rFonts w:ascii="Arial" w:hAnsi="Arial" w:cs="Arial"/>
          <w:color w:val="000000"/>
          <w:lang w:val="en-GB"/>
        </w:rPr>
        <w:t xml:space="preserve">report here, in the case of funds specified in sub-point a) of point 2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the amount of the collaterals available in the ordinary collateral, not reported in row 019, and in the case of funds specified in sub-points b) and c) of point 2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the amount of the those other loans, separate, independent liens and liens charged to mortgage receivables secured by mortgage, that the funds have been raised under the collateral of or subject to the transfer of which and were not reported in row 019.</w:t>
      </w:r>
    </w:p>
    <w:p w14:paraId="38DD01B1" w14:textId="77777777" w:rsidR="0067303B" w:rsidRPr="00125B07" w:rsidRDefault="0067303B" w:rsidP="0067303B">
      <w:pPr>
        <w:rPr>
          <w:rFonts w:ascii="Arial" w:hAnsi="Arial" w:cs="Arial"/>
          <w:b/>
          <w:bCs/>
          <w:color w:val="000000"/>
        </w:rPr>
      </w:pPr>
      <w:r>
        <w:rPr>
          <w:rFonts w:ascii="Arial" w:hAnsi="Arial" w:cs="Arial"/>
          <w:b/>
          <w:bCs/>
          <w:color w:val="000000"/>
          <w:lang w:val="en-GB"/>
        </w:rPr>
        <w:t xml:space="preserve">Row 021: </w:t>
      </w:r>
      <w:r>
        <w:rPr>
          <w:rFonts w:ascii="Arial" w:hAnsi="Arial" w:cs="Arial"/>
          <w:color w:val="000000"/>
          <w:lang w:val="en-GB"/>
        </w:rPr>
        <w:t xml:space="preserve">report here, in the case of funds specified in sub-point a) of point 2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the amount of the collaterals other than the ordinary collateral. If the amount of the funds under sub-point a) of point 2 of Annex 2 to the </w:t>
      </w:r>
      <w:proofErr w:type="spellStart"/>
      <w:r>
        <w:rPr>
          <w:rFonts w:ascii="Arial" w:hAnsi="Arial" w:cs="Arial"/>
          <w:color w:val="000000"/>
          <w:lang w:val="en-GB"/>
        </w:rPr>
        <w:t>MFAR</w:t>
      </w:r>
      <w:proofErr w:type="spellEnd"/>
      <w:r>
        <w:rPr>
          <w:rFonts w:ascii="Arial" w:hAnsi="Arial" w:cs="Arial"/>
          <w:color w:val="000000"/>
          <w:lang w:val="en-GB"/>
        </w:rPr>
        <w:t xml:space="preserve"> decree is 0, report 0 in this row.</w:t>
      </w:r>
    </w:p>
    <w:p w14:paraId="1196BF64" w14:textId="0D944E4A" w:rsidR="0067303B" w:rsidRPr="00125B07" w:rsidRDefault="0067303B" w:rsidP="0067303B">
      <w:pPr>
        <w:rPr>
          <w:rFonts w:ascii="Arial" w:hAnsi="Arial" w:cs="Arial"/>
          <w:b/>
          <w:bCs/>
          <w:color w:val="000000"/>
        </w:rPr>
      </w:pPr>
      <w:r>
        <w:rPr>
          <w:rFonts w:ascii="Arial" w:hAnsi="Arial" w:cs="Arial"/>
          <w:b/>
          <w:bCs/>
          <w:color w:val="000000"/>
          <w:lang w:val="en-GB"/>
        </w:rPr>
        <w:t xml:space="preserve">Row 022: </w:t>
      </w:r>
      <w:r>
        <w:rPr>
          <w:rFonts w:ascii="Arial" w:hAnsi="Arial" w:cs="Arial"/>
          <w:color w:val="000000"/>
          <w:lang w:val="en-GB"/>
        </w:rPr>
        <w:t xml:space="preserve">report here in the case of green mortgage bonds the outstanding green mortgage loans under point 11 of Article 2 and the outstanding green refinancing loans under point 13 of Article 2 of the </w:t>
      </w:r>
      <w:proofErr w:type="spellStart"/>
      <w:r>
        <w:rPr>
          <w:rFonts w:ascii="Arial" w:hAnsi="Arial" w:cs="Arial"/>
          <w:color w:val="000000"/>
          <w:lang w:val="en-GB"/>
        </w:rPr>
        <w:t>MFAR</w:t>
      </w:r>
      <w:proofErr w:type="spellEnd"/>
      <w:r>
        <w:rPr>
          <w:rFonts w:ascii="Arial" w:hAnsi="Arial" w:cs="Arial"/>
          <w:color w:val="000000"/>
          <w:lang w:val="en-GB"/>
        </w:rPr>
        <w:t xml:space="preserve"> Decree, available in total as ordinary collateral, and in the case of green refinancing mortgage loan, the stock of green mortgage loans serving as collateral, or in the case of mortgage loan receivable secured by separate mortgage or lien the stock of green mortgage loans under point 11 of Article 2 of the </w:t>
      </w:r>
      <w:proofErr w:type="spellStart"/>
      <w:r>
        <w:rPr>
          <w:rFonts w:ascii="Arial" w:hAnsi="Arial" w:cs="Arial"/>
          <w:color w:val="000000"/>
          <w:lang w:val="en-GB"/>
        </w:rPr>
        <w:t>MFAR</w:t>
      </w:r>
      <w:proofErr w:type="spellEnd"/>
      <w:r>
        <w:rPr>
          <w:rFonts w:ascii="Arial" w:hAnsi="Arial" w:cs="Arial"/>
          <w:color w:val="000000"/>
          <w:lang w:val="en-GB"/>
        </w:rPr>
        <w:t xml:space="preserve"> Decree.</w:t>
      </w:r>
    </w:p>
    <w:p w14:paraId="5F391BDE" w14:textId="77777777" w:rsidR="0067303B" w:rsidRPr="003F7D60" w:rsidRDefault="0067303B" w:rsidP="0067303B">
      <w:pPr>
        <w:rPr>
          <w:rFonts w:ascii="Arial" w:hAnsi="Arial" w:cs="Arial"/>
          <w:color w:val="000000"/>
        </w:rPr>
      </w:pPr>
    </w:p>
    <w:p w14:paraId="2CEF0ADC" w14:textId="1BA466FC" w:rsidR="0067303B" w:rsidRPr="003F7D60" w:rsidRDefault="0067303B" w:rsidP="0067303B">
      <w:pPr>
        <w:rPr>
          <w:rFonts w:ascii="Arial" w:hAnsi="Arial" w:cs="Arial"/>
          <w:b/>
          <w:color w:val="000000"/>
          <w:u w:val="single"/>
        </w:rPr>
      </w:pPr>
      <w:proofErr w:type="spellStart"/>
      <w:r>
        <w:rPr>
          <w:rFonts w:ascii="Arial" w:hAnsi="Arial" w:cs="Arial"/>
          <w:b/>
          <w:bCs/>
          <w:color w:val="000000"/>
          <w:lang w:val="en-GB"/>
        </w:rPr>
        <w:t>KONSZJMM</w:t>
      </w:r>
      <w:proofErr w:type="spellEnd"/>
      <w:r>
        <w:rPr>
          <w:rFonts w:ascii="Arial" w:hAnsi="Arial" w:cs="Arial"/>
          <w:b/>
          <w:bCs/>
          <w:color w:val="000000"/>
          <w:lang w:val="en-GB"/>
        </w:rPr>
        <w:t xml:space="preserve"> table: Quarterly report on the mortgage funding adequacy ratio – Consolidated items</w:t>
      </w:r>
    </w:p>
    <w:p w14:paraId="69807362" w14:textId="73C01D34" w:rsidR="0067303B" w:rsidRPr="003F7D60" w:rsidRDefault="0067303B" w:rsidP="0067303B">
      <w:pPr>
        <w:rPr>
          <w:rFonts w:ascii="Arial" w:hAnsi="Arial" w:cs="Arial"/>
          <w:color w:val="000000"/>
        </w:rPr>
      </w:pPr>
      <w:r>
        <w:rPr>
          <w:rFonts w:ascii="Arial" w:hAnsi="Arial" w:cs="Arial"/>
          <w:color w:val="000000"/>
          <w:lang w:val="en-GB"/>
        </w:rPr>
        <w:t xml:space="preserve">1. The concept ‘consolidated’ shall be interpreted according to Article 1(1) and Article 3(3) of the </w:t>
      </w:r>
      <w:proofErr w:type="spellStart"/>
      <w:r>
        <w:rPr>
          <w:rFonts w:ascii="Arial" w:hAnsi="Arial" w:cs="Arial"/>
          <w:color w:val="000000"/>
          <w:lang w:val="en-GB"/>
        </w:rPr>
        <w:t>MFAR</w:t>
      </w:r>
      <w:proofErr w:type="spellEnd"/>
      <w:r>
        <w:rPr>
          <w:rFonts w:ascii="Arial" w:hAnsi="Arial" w:cs="Arial"/>
          <w:color w:val="000000"/>
          <w:lang w:val="en-GB"/>
        </w:rPr>
        <w:t xml:space="preserve"> Decree, i.e. differently from the accounting legislation prevailing in the case of consolidated supervisory reports or differently from the Act on Credit Institutions.</w:t>
      </w:r>
    </w:p>
    <w:p w14:paraId="397F2D80" w14:textId="2C2D4E40" w:rsidR="00B944EB" w:rsidRPr="00C54C32" w:rsidRDefault="0067303B" w:rsidP="0067303B">
      <w:r>
        <w:rPr>
          <w:rFonts w:ascii="Arial" w:hAnsi="Arial" w:cs="Arial"/>
          <w:color w:val="000000"/>
          <w:lang w:val="en-GB"/>
        </w:rPr>
        <w:t xml:space="preserve">2. The table shall be completed by the credit institution leading the credit institution group, in line with the completion instructions for the </w:t>
      </w:r>
      <w:proofErr w:type="spellStart"/>
      <w:r>
        <w:rPr>
          <w:rFonts w:ascii="Arial" w:hAnsi="Arial" w:cs="Arial"/>
          <w:color w:val="000000"/>
          <w:lang w:val="en-GB"/>
        </w:rPr>
        <w:t>MFAR</w:t>
      </w:r>
      <w:proofErr w:type="spellEnd"/>
      <w:r>
        <w:rPr>
          <w:rFonts w:ascii="Arial" w:hAnsi="Arial" w:cs="Arial"/>
          <w:color w:val="000000"/>
          <w:lang w:val="en-GB"/>
        </w:rPr>
        <w:t xml:space="preserve"> table, which shall contain data consolidated with the members of the credit institutions group.</w:t>
      </w:r>
    </w:p>
    <w:sectPr w:rsidR="00B944EB" w:rsidRPr="00C54C32"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9371B" w14:textId="77777777" w:rsidR="008A74D1" w:rsidRDefault="008A74D1">
      <w:r>
        <w:separator/>
      </w:r>
    </w:p>
  </w:endnote>
  <w:endnote w:type="continuationSeparator" w:id="0">
    <w:p w14:paraId="4D9DF705" w14:textId="77777777" w:rsidR="008A74D1" w:rsidRDefault="008A74D1">
      <w:r>
        <w:continuationSeparator/>
      </w:r>
    </w:p>
  </w:endnote>
  <w:endnote w:type="continuationNotice" w:id="1">
    <w:p w14:paraId="4E3416EF" w14:textId="77777777" w:rsidR="008A74D1" w:rsidRDefault="008A74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9665B" w14:textId="4827246E"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2AA7D" w14:textId="77777777" w:rsidR="008A74D1" w:rsidRDefault="008A74D1">
      <w:r>
        <w:separator/>
      </w:r>
    </w:p>
  </w:footnote>
  <w:footnote w:type="continuationSeparator" w:id="0">
    <w:p w14:paraId="51CF6778" w14:textId="77777777" w:rsidR="008A74D1" w:rsidRDefault="008A74D1">
      <w:r>
        <w:continuationSeparator/>
      </w:r>
    </w:p>
  </w:footnote>
  <w:footnote w:type="continuationNotice" w:id="1">
    <w:p w14:paraId="3EDCF376" w14:textId="77777777" w:rsidR="008A74D1" w:rsidRDefault="008A74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5B3F4"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2"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5"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0"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10"/>
  </w:num>
  <w:num w:numId="2">
    <w:abstractNumId w:val="6"/>
  </w:num>
  <w:num w:numId="3">
    <w:abstractNumId w:val="11"/>
  </w:num>
  <w:num w:numId="4">
    <w:abstractNumId w:val="4"/>
  </w:num>
  <w:num w:numId="5">
    <w:abstractNumId w:val="5"/>
  </w:num>
  <w:num w:numId="6">
    <w:abstractNumId w:val="15"/>
  </w:num>
  <w:num w:numId="7">
    <w:abstractNumId w:val="8"/>
  </w:num>
  <w:num w:numId="8">
    <w:abstractNumId w:val="22"/>
  </w:num>
  <w:num w:numId="9">
    <w:abstractNumId w:val="15"/>
    <w:lvlOverride w:ilvl="0">
      <w:startOverride w:val="1"/>
    </w:lvlOverride>
  </w:num>
  <w:num w:numId="10">
    <w:abstractNumId w:val="23"/>
  </w:num>
  <w:num w:numId="11">
    <w:abstractNumId w:val="17"/>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0"/>
  </w:num>
  <w:num w:numId="22">
    <w:abstractNumId w:val="18"/>
  </w:num>
  <w:num w:numId="23">
    <w:abstractNumId w:val="13"/>
  </w:num>
  <w:num w:numId="24">
    <w:abstractNumId w:val="3"/>
  </w:num>
  <w:num w:numId="25">
    <w:abstractNumId w:val="1"/>
  </w:num>
  <w:num w:numId="26">
    <w:abstractNumId w:val="0"/>
  </w:num>
  <w:num w:numId="27">
    <w:abstractNumId w:val="2"/>
  </w:num>
  <w:num w:numId="28">
    <w:abstractNumId w:val="16"/>
  </w:num>
  <w:num w:numId="29">
    <w:abstractNumId w:val="9"/>
  </w:num>
  <w:num w:numId="30">
    <w:abstractNumId w:val="14"/>
  </w:num>
  <w:num w:numId="31">
    <w:abstractNumId w:val="15"/>
    <w:lvlOverride w:ilvl="0">
      <w:startOverride w:val="1"/>
    </w:lvlOverride>
  </w:num>
  <w:num w:numId="32">
    <w:abstractNumId w:val="19"/>
  </w:num>
  <w:num w:numId="33">
    <w:abstractNumId w:val="15"/>
    <w:lvlOverride w:ilvl="0">
      <w:startOverride w:val="1"/>
    </w:lvlOverride>
  </w:num>
  <w:num w:numId="34">
    <w:abstractNumId w:val="21"/>
  </w:num>
  <w:num w:numId="35">
    <w:abstractNumId w:val="15"/>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03B"/>
    <w:rsid w:val="00000C1E"/>
    <w:rsid w:val="000015F4"/>
    <w:rsid w:val="0000273C"/>
    <w:rsid w:val="00004681"/>
    <w:rsid w:val="00005A83"/>
    <w:rsid w:val="0000696F"/>
    <w:rsid w:val="00013716"/>
    <w:rsid w:val="000168CA"/>
    <w:rsid w:val="00017B1B"/>
    <w:rsid w:val="000205E3"/>
    <w:rsid w:val="00021260"/>
    <w:rsid w:val="0002498B"/>
    <w:rsid w:val="000250E6"/>
    <w:rsid w:val="00025166"/>
    <w:rsid w:val="00025C8E"/>
    <w:rsid w:val="00026D89"/>
    <w:rsid w:val="00027695"/>
    <w:rsid w:val="000278C5"/>
    <w:rsid w:val="00027B62"/>
    <w:rsid w:val="00031135"/>
    <w:rsid w:val="00032100"/>
    <w:rsid w:val="00033357"/>
    <w:rsid w:val="00035468"/>
    <w:rsid w:val="00035697"/>
    <w:rsid w:val="00041A33"/>
    <w:rsid w:val="00041B96"/>
    <w:rsid w:val="00042CFE"/>
    <w:rsid w:val="00042EBB"/>
    <w:rsid w:val="00053756"/>
    <w:rsid w:val="0005577F"/>
    <w:rsid w:val="00056589"/>
    <w:rsid w:val="00060148"/>
    <w:rsid w:val="00062961"/>
    <w:rsid w:val="00063216"/>
    <w:rsid w:val="0006374F"/>
    <w:rsid w:val="00064546"/>
    <w:rsid w:val="000674BE"/>
    <w:rsid w:val="00067B2D"/>
    <w:rsid w:val="00067BE2"/>
    <w:rsid w:val="00067C0C"/>
    <w:rsid w:val="00070F51"/>
    <w:rsid w:val="000735C7"/>
    <w:rsid w:val="0007418E"/>
    <w:rsid w:val="00075D61"/>
    <w:rsid w:val="00076332"/>
    <w:rsid w:val="0008131E"/>
    <w:rsid w:val="00081654"/>
    <w:rsid w:val="00081934"/>
    <w:rsid w:val="00082910"/>
    <w:rsid w:val="000831EC"/>
    <w:rsid w:val="000835A9"/>
    <w:rsid w:val="00085456"/>
    <w:rsid w:val="000878CD"/>
    <w:rsid w:val="00087E97"/>
    <w:rsid w:val="000904C4"/>
    <w:rsid w:val="0009195D"/>
    <w:rsid w:val="000947A1"/>
    <w:rsid w:val="000A1EFD"/>
    <w:rsid w:val="000A2ABC"/>
    <w:rsid w:val="000A3A63"/>
    <w:rsid w:val="000A7140"/>
    <w:rsid w:val="000A71F3"/>
    <w:rsid w:val="000B0536"/>
    <w:rsid w:val="000B3CBB"/>
    <w:rsid w:val="000B5886"/>
    <w:rsid w:val="000B6C87"/>
    <w:rsid w:val="000C0A5B"/>
    <w:rsid w:val="000C0C78"/>
    <w:rsid w:val="000C2918"/>
    <w:rsid w:val="000C3019"/>
    <w:rsid w:val="000C5445"/>
    <w:rsid w:val="000C701E"/>
    <w:rsid w:val="000C701F"/>
    <w:rsid w:val="000D1C8B"/>
    <w:rsid w:val="000D1E44"/>
    <w:rsid w:val="000D40AE"/>
    <w:rsid w:val="000D4F61"/>
    <w:rsid w:val="000D5F26"/>
    <w:rsid w:val="000E2CBD"/>
    <w:rsid w:val="000E451F"/>
    <w:rsid w:val="000E4EE3"/>
    <w:rsid w:val="000F2858"/>
    <w:rsid w:val="000F2AE0"/>
    <w:rsid w:val="000F30B8"/>
    <w:rsid w:val="000F68FE"/>
    <w:rsid w:val="001004BF"/>
    <w:rsid w:val="00101654"/>
    <w:rsid w:val="00102F7D"/>
    <w:rsid w:val="0010447E"/>
    <w:rsid w:val="0010496C"/>
    <w:rsid w:val="00106B34"/>
    <w:rsid w:val="00110868"/>
    <w:rsid w:val="00110C88"/>
    <w:rsid w:val="00113C88"/>
    <w:rsid w:val="00116DC5"/>
    <w:rsid w:val="001225E6"/>
    <w:rsid w:val="001255A4"/>
    <w:rsid w:val="00131EAC"/>
    <w:rsid w:val="00132260"/>
    <w:rsid w:val="00133A51"/>
    <w:rsid w:val="00134ADA"/>
    <w:rsid w:val="001356A6"/>
    <w:rsid w:val="001357D0"/>
    <w:rsid w:val="00136260"/>
    <w:rsid w:val="0013686F"/>
    <w:rsid w:val="00136B66"/>
    <w:rsid w:val="0014086D"/>
    <w:rsid w:val="001421CC"/>
    <w:rsid w:val="001433DF"/>
    <w:rsid w:val="00143691"/>
    <w:rsid w:val="001441BE"/>
    <w:rsid w:val="0014569A"/>
    <w:rsid w:val="0014627D"/>
    <w:rsid w:val="00147317"/>
    <w:rsid w:val="00150045"/>
    <w:rsid w:val="001517C1"/>
    <w:rsid w:val="00152DBF"/>
    <w:rsid w:val="00154F30"/>
    <w:rsid w:val="00154FC9"/>
    <w:rsid w:val="00157980"/>
    <w:rsid w:val="00160176"/>
    <w:rsid w:val="00160CE1"/>
    <w:rsid w:val="00166F6C"/>
    <w:rsid w:val="00170110"/>
    <w:rsid w:val="001723AB"/>
    <w:rsid w:val="00173597"/>
    <w:rsid w:val="001747F6"/>
    <w:rsid w:val="00176262"/>
    <w:rsid w:val="0018359E"/>
    <w:rsid w:val="0018619A"/>
    <w:rsid w:val="001870A7"/>
    <w:rsid w:val="0018761C"/>
    <w:rsid w:val="00187BFC"/>
    <w:rsid w:val="00192895"/>
    <w:rsid w:val="00193666"/>
    <w:rsid w:val="00196DBD"/>
    <w:rsid w:val="00197350"/>
    <w:rsid w:val="00197C28"/>
    <w:rsid w:val="00197C6D"/>
    <w:rsid w:val="001A109F"/>
    <w:rsid w:val="001A2BAA"/>
    <w:rsid w:val="001A7C4B"/>
    <w:rsid w:val="001B0266"/>
    <w:rsid w:val="001B0B87"/>
    <w:rsid w:val="001B1352"/>
    <w:rsid w:val="001B2254"/>
    <w:rsid w:val="001B33CB"/>
    <w:rsid w:val="001B3486"/>
    <w:rsid w:val="001C0FAA"/>
    <w:rsid w:val="001C22B7"/>
    <w:rsid w:val="001C24F1"/>
    <w:rsid w:val="001C2DA8"/>
    <w:rsid w:val="001C3A15"/>
    <w:rsid w:val="001C466F"/>
    <w:rsid w:val="001C5C33"/>
    <w:rsid w:val="001D190D"/>
    <w:rsid w:val="001D4211"/>
    <w:rsid w:val="001D556B"/>
    <w:rsid w:val="001D5999"/>
    <w:rsid w:val="001D59FD"/>
    <w:rsid w:val="001D60A8"/>
    <w:rsid w:val="001D7401"/>
    <w:rsid w:val="001E0A33"/>
    <w:rsid w:val="001E34FF"/>
    <w:rsid w:val="001E4231"/>
    <w:rsid w:val="001E621D"/>
    <w:rsid w:val="001E6278"/>
    <w:rsid w:val="001E6A0C"/>
    <w:rsid w:val="001F09DE"/>
    <w:rsid w:val="001F0E5D"/>
    <w:rsid w:val="001F1610"/>
    <w:rsid w:val="001F6A14"/>
    <w:rsid w:val="002002EF"/>
    <w:rsid w:val="002012AD"/>
    <w:rsid w:val="00203FEF"/>
    <w:rsid w:val="00204842"/>
    <w:rsid w:val="00206642"/>
    <w:rsid w:val="0021050D"/>
    <w:rsid w:val="0021348B"/>
    <w:rsid w:val="00214230"/>
    <w:rsid w:val="0021484C"/>
    <w:rsid w:val="0022056B"/>
    <w:rsid w:val="002242C2"/>
    <w:rsid w:val="0022764E"/>
    <w:rsid w:val="00230A86"/>
    <w:rsid w:val="00232522"/>
    <w:rsid w:val="0023475E"/>
    <w:rsid w:val="002348B2"/>
    <w:rsid w:val="00240C97"/>
    <w:rsid w:val="002447C7"/>
    <w:rsid w:val="0024525F"/>
    <w:rsid w:val="002522F1"/>
    <w:rsid w:val="00252CEF"/>
    <w:rsid w:val="0025397A"/>
    <w:rsid w:val="0025581B"/>
    <w:rsid w:val="00257520"/>
    <w:rsid w:val="002602F5"/>
    <w:rsid w:val="002611AE"/>
    <w:rsid w:val="0026180A"/>
    <w:rsid w:val="002621CC"/>
    <w:rsid w:val="0026788E"/>
    <w:rsid w:val="00270724"/>
    <w:rsid w:val="00271371"/>
    <w:rsid w:val="00271FF3"/>
    <w:rsid w:val="0027288D"/>
    <w:rsid w:val="00273052"/>
    <w:rsid w:val="0027402D"/>
    <w:rsid w:val="002751D4"/>
    <w:rsid w:val="00285BF2"/>
    <w:rsid w:val="002866DE"/>
    <w:rsid w:val="00287D15"/>
    <w:rsid w:val="00290D47"/>
    <w:rsid w:val="00292079"/>
    <w:rsid w:val="00292177"/>
    <w:rsid w:val="002939B3"/>
    <w:rsid w:val="00294B81"/>
    <w:rsid w:val="002A17DC"/>
    <w:rsid w:val="002A190C"/>
    <w:rsid w:val="002A2306"/>
    <w:rsid w:val="002A3B0E"/>
    <w:rsid w:val="002A554D"/>
    <w:rsid w:val="002A7E85"/>
    <w:rsid w:val="002B2268"/>
    <w:rsid w:val="002B3674"/>
    <w:rsid w:val="002B3D03"/>
    <w:rsid w:val="002B4188"/>
    <w:rsid w:val="002B4D45"/>
    <w:rsid w:val="002B6B78"/>
    <w:rsid w:val="002B6D25"/>
    <w:rsid w:val="002B78E0"/>
    <w:rsid w:val="002C0757"/>
    <w:rsid w:val="002C39D4"/>
    <w:rsid w:val="002C728F"/>
    <w:rsid w:val="002C7AB8"/>
    <w:rsid w:val="002C7D4D"/>
    <w:rsid w:val="002C7DD0"/>
    <w:rsid w:val="002D5E55"/>
    <w:rsid w:val="002D7925"/>
    <w:rsid w:val="002E3119"/>
    <w:rsid w:val="002E35A1"/>
    <w:rsid w:val="002E4DF8"/>
    <w:rsid w:val="002E739B"/>
    <w:rsid w:val="002F0517"/>
    <w:rsid w:val="002F09EF"/>
    <w:rsid w:val="002F34ED"/>
    <w:rsid w:val="002F4AEA"/>
    <w:rsid w:val="002F602F"/>
    <w:rsid w:val="002F7552"/>
    <w:rsid w:val="002F7D33"/>
    <w:rsid w:val="00300EE3"/>
    <w:rsid w:val="00302136"/>
    <w:rsid w:val="00302F3E"/>
    <w:rsid w:val="003103C5"/>
    <w:rsid w:val="00310CFD"/>
    <w:rsid w:val="00313246"/>
    <w:rsid w:val="00322A59"/>
    <w:rsid w:val="003231ED"/>
    <w:rsid w:val="00323A1E"/>
    <w:rsid w:val="0032503A"/>
    <w:rsid w:val="00326850"/>
    <w:rsid w:val="00327A74"/>
    <w:rsid w:val="00333C91"/>
    <w:rsid w:val="00340959"/>
    <w:rsid w:val="00340D1D"/>
    <w:rsid w:val="003418E5"/>
    <w:rsid w:val="00341BB5"/>
    <w:rsid w:val="00343614"/>
    <w:rsid w:val="00343772"/>
    <w:rsid w:val="00344D9E"/>
    <w:rsid w:val="00345133"/>
    <w:rsid w:val="0035153B"/>
    <w:rsid w:val="00351638"/>
    <w:rsid w:val="003524A6"/>
    <w:rsid w:val="0035380F"/>
    <w:rsid w:val="003548F7"/>
    <w:rsid w:val="00356DAB"/>
    <w:rsid w:val="003605FC"/>
    <w:rsid w:val="00361E02"/>
    <w:rsid w:val="00362C21"/>
    <w:rsid w:val="003645E9"/>
    <w:rsid w:val="003701D4"/>
    <w:rsid w:val="003704B1"/>
    <w:rsid w:val="0037135D"/>
    <w:rsid w:val="00371A0E"/>
    <w:rsid w:val="003728FE"/>
    <w:rsid w:val="00373BD2"/>
    <w:rsid w:val="0037494A"/>
    <w:rsid w:val="00374C3C"/>
    <w:rsid w:val="003751B6"/>
    <w:rsid w:val="0037696F"/>
    <w:rsid w:val="00380643"/>
    <w:rsid w:val="00381DB5"/>
    <w:rsid w:val="003824BF"/>
    <w:rsid w:val="003827F0"/>
    <w:rsid w:val="00391B59"/>
    <w:rsid w:val="00395607"/>
    <w:rsid w:val="00395835"/>
    <w:rsid w:val="00395B14"/>
    <w:rsid w:val="00395D13"/>
    <w:rsid w:val="0039749C"/>
    <w:rsid w:val="00397F34"/>
    <w:rsid w:val="003A0BAC"/>
    <w:rsid w:val="003B069B"/>
    <w:rsid w:val="003B12B2"/>
    <w:rsid w:val="003B46BE"/>
    <w:rsid w:val="003B5446"/>
    <w:rsid w:val="003B6342"/>
    <w:rsid w:val="003B79B2"/>
    <w:rsid w:val="003B7D27"/>
    <w:rsid w:val="003C0638"/>
    <w:rsid w:val="003C1AFC"/>
    <w:rsid w:val="003C32FB"/>
    <w:rsid w:val="003C3F09"/>
    <w:rsid w:val="003C5699"/>
    <w:rsid w:val="003D04DD"/>
    <w:rsid w:val="003D21C5"/>
    <w:rsid w:val="003D386E"/>
    <w:rsid w:val="003D52BC"/>
    <w:rsid w:val="003D632F"/>
    <w:rsid w:val="003D725E"/>
    <w:rsid w:val="003F128A"/>
    <w:rsid w:val="003F60FF"/>
    <w:rsid w:val="003F7D60"/>
    <w:rsid w:val="00402A18"/>
    <w:rsid w:val="004031BF"/>
    <w:rsid w:val="004057A6"/>
    <w:rsid w:val="00411FF5"/>
    <w:rsid w:val="0041484F"/>
    <w:rsid w:val="004156C0"/>
    <w:rsid w:val="00417730"/>
    <w:rsid w:val="00417995"/>
    <w:rsid w:val="00417DE0"/>
    <w:rsid w:val="00423D50"/>
    <w:rsid w:val="0042412D"/>
    <w:rsid w:val="0043276D"/>
    <w:rsid w:val="00432FF8"/>
    <w:rsid w:val="004330EA"/>
    <w:rsid w:val="00434670"/>
    <w:rsid w:val="00434DC6"/>
    <w:rsid w:val="00436E79"/>
    <w:rsid w:val="0043741A"/>
    <w:rsid w:val="004413FF"/>
    <w:rsid w:val="004425E6"/>
    <w:rsid w:val="00442ABF"/>
    <w:rsid w:val="004451FE"/>
    <w:rsid w:val="00447696"/>
    <w:rsid w:val="00447806"/>
    <w:rsid w:val="004504B2"/>
    <w:rsid w:val="00451F95"/>
    <w:rsid w:val="00453087"/>
    <w:rsid w:val="00454AFF"/>
    <w:rsid w:val="00455A38"/>
    <w:rsid w:val="00455B0C"/>
    <w:rsid w:val="00455FE6"/>
    <w:rsid w:val="004601EA"/>
    <w:rsid w:val="00461DCD"/>
    <w:rsid w:val="00463324"/>
    <w:rsid w:val="0046552B"/>
    <w:rsid w:val="00465939"/>
    <w:rsid w:val="0047029F"/>
    <w:rsid w:val="0047051F"/>
    <w:rsid w:val="00471462"/>
    <w:rsid w:val="0047222E"/>
    <w:rsid w:val="00472869"/>
    <w:rsid w:val="004729CE"/>
    <w:rsid w:val="00474131"/>
    <w:rsid w:val="0048107C"/>
    <w:rsid w:val="0048183A"/>
    <w:rsid w:val="004835B3"/>
    <w:rsid w:val="00486713"/>
    <w:rsid w:val="00487BAA"/>
    <w:rsid w:val="00491483"/>
    <w:rsid w:val="004919C2"/>
    <w:rsid w:val="004924CA"/>
    <w:rsid w:val="00494C89"/>
    <w:rsid w:val="004A1272"/>
    <w:rsid w:val="004A3807"/>
    <w:rsid w:val="004A58E3"/>
    <w:rsid w:val="004A5F09"/>
    <w:rsid w:val="004B1A68"/>
    <w:rsid w:val="004B6EA9"/>
    <w:rsid w:val="004C27AD"/>
    <w:rsid w:val="004C457C"/>
    <w:rsid w:val="004C5E3F"/>
    <w:rsid w:val="004D195A"/>
    <w:rsid w:val="004D270F"/>
    <w:rsid w:val="004D2888"/>
    <w:rsid w:val="004D455D"/>
    <w:rsid w:val="004D7635"/>
    <w:rsid w:val="004E2BA2"/>
    <w:rsid w:val="004E4493"/>
    <w:rsid w:val="004E555D"/>
    <w:rsid w:val="004E6691"/>
    <w:rsid w:val="004E6E8B"/>
    <w:rsid w:val="004E7DEA"/>
    <w:rsid w:val="004F1BAA"/>
    <w:rsid w:val="004F42D5"/>
    <w:rsid w:val="004F58BB"/>
    <w:rsid w:val="004F72B9"/>
    <w:rsid w:val="0050045B"/>
    <w:rsid w:val="00500767"/>
    <w:rsid w:val="00501172"/>
    <w:rsid w:val="00502C4B"/>
    <w:rsid w:val="00503168"/>
    <w:rsid w:val="00503A99"/>
    <w:rsid w:val="0050657B"/>
    <w:rsid w:val="00507B01"/>
    <w:rsid w:val="00511E79"/>
    <w:rsid w:val="00513B1F"/>
    <w:rsid w:val="0051486A"/>
    <w:rsid w:val="005149CD"/>
    <w:rsid w:val="00514E5C"/>
    <w:rsid w:val="00514FBD"/>
    <w:rsid w:val="00515902"/>
    <w:rsid w:val="00516319"/>
    <w:rsid w:val="00516455"/>
    <w:rsid w:val="005167E6"/>
    <w:rsid w:val="005175FD"/>
    <w:rsid w:val="00517847"/>
    <w:rsid w:val="005220C0"/>
    <w:rsid w:val="00522A95"/>
    <w:rsid w:val="005230CB"/>
    <w:rsid w:val="00524382"/>
    <w:rsid w:val="0052458B"/>
    <w:rsid w:val="0052546E"/>
    <w:rsid w:val="005257E2"/>
    <w:rsid w:val="0052584F"/>
    <w:rsid w:val="005303E5"/>
    <w:rsid w:val="005312FD"/>
    <w:rsid w:val="0053793F"/>
    <w:rsid w:val="00541996"/>
    <w:rsid w:val="00543C09"/>
    <w:rsid w:val="00544934"/>
    <w:rsid w:val="00547635"/>
    <w:rsid w:val="0055118A"/>
    <w:rsid w:val="005559C2"/>
    <w:rsid w:val="00555E51"/>
    <w:rsid w:val="0055790C"/>
    <w:rsid w:val="00557A68"/>
    <w:rsid w:val="0056072B"/>
    <w:rsid w:val="00560D02"/>
    <w:rsid w:val="00561175"/>
    <w:rsid w:val="0056250C"/>
    <w:rsid w:val="005648EE"/>
    <w:rsid w:val="00571C3C"/>
    <w:rsid w:val="0057250D"/>
    <w:rsid w:val="00574F30"/>
    <w:rsid w:val="005763C5"/>
    <w:rsid w:val="005819B8"/>
    <w:rsid w:val="00581D24"/>
    <w:rsid w:val="0058459E"/>
    <w:rsid w:val="00586D4D"/>
    <w:rsid w:val="00591E9B"/>
    <w:rsid w:val="005939F6"/>
    <w:rsid w:val="00595125"/>
    <w:rsid w:val="005A011E"/>
    <w:rsid w:val="005A1030"/>
    <w:rsid w:val="005A3531"/>
    <w:rsid w:val="005A3DDE"/>
    <w:rsid w:val="005A788E"/>
    <w:rsid w:val="005A7A4F"/>
    <w:rsid w:val="005B0751"/>
    <w:rsid w:val="005B0A26"/>
    <w:rsid w:val="005B1548"/>
    <w:rsid w:val="005B237F"/>
    <w:rsid w:val="005B5F91"/>
    <w:rsid w:val="005B775F"/>
    <w:rsid w:val="005C0DF9"/>
    <w:rsid w:val="005C1F6A"/>
    <w:rsid w:val="005C3883"/>
    <w:rsid w:val="005C3F73"/>
    <w:rsid w:val="005C498A"/>
    <w:rsid w:val="005C5BB7"/>
    <w:rsid w:val="005C67B1"/>
    <w:rsid w:val="005C7B43"/>
    <w:rsid w:val="005D1A2C"/>
    <w:rsid w:val="005D1CD7"/>
    <w:rsid w:val="005D2FF5"/>
    <w:rsid w:val="005E3550"/>
    <w:rsid w:val="005E3CB4"/>
    <w:rsid w:val="005E7F01"/>
    <w:rsid w:val="005F3818"/>
    <w:rsid w:val="005F3E3D"/>
    <w:rsid w:val="005F7232"/>
    <w:rsid w:val="005F7A2F"/>
    <w:rsid w:val="00601433"/>
    <w:rsid w:val="00602F0C"/>
    <w:rsid w:val="00603723"/>
    <w:rsid w:val="006038D2"/>
    <w:rsid w:val="00607665"/>
    <w:rsid w:val="00610E45"/>
    <w:rsid w:val="0062163D"/>
    <w:rsid w:val="00625D8D"/>
    <w:rsid w:val="00627BFA"/>
    <w:rsid w:val="006310B8"/>
    <w:rsid w:val="00631430"/>
    <w:rsid w:val="0063529D"/>
    <w:rsid w:val="0064085A"/>
    <w:rsid w:val="00642701"/>
    <w:rsid w:val="00642A07"/>
    <w:rsid w:val="00643529"/>
    <w:rsid w:val="0064354D"/>
    <w:rsid w:val="00643CB4"/>
    <w:rsid w:val="00643E00"/>
    <w:rsid w:val="00644BE4"/>
    <w:rsid w:val="00651F4C"/>
    <w:rsid w:val="00652FE6"/>
    <w:rsid w:val="006628D1"/>
    <w:rsid w:val="006726AA"/>
    <w:rsid w:val="0067303B"/>
    <w:rsid w:val="00674D74"/>
    <w:rsid w:val="0067570F"/>
    <w:rsid w:val="00681108"/>
    <w:rsid w:val="00685224"/>
    <w:rsid w:val="006858A7"/>
    <w:rsid w:val="006864F1"/>
    <w:rsid w:val="00690C97"/>
    <w:rsid w:val="006924B6"/>
    <w:rsid w:val="0069441B"/>
    <w:rsid w:val="006974F5"/>
    <w:rsid w:val="0069753F"/>
    <w:rsid w:val="006A54BA"/>
    <w:rsid w:val="006A6274"/>
    <w:rsid w:val="006A66EB"/>
    <w:rsid w:val="006B0392"/>
    <w:rsid w:val="006B098E"/>
    <w:rsid w:val="006B0B24"/>
    <w:rsid w:val="006B0D87"/>
    <w:rsid w:val="006B13B0"/>
    <w:rsid w:val="006B2726"/>
    <w:rsid w:val="006B4271"/>
    <w:rsid w:val="006C2893"/>
    <w:rsid w:val="006C2ACD"/>
    <w:rsid w:val="006C2C3D"/>
    <w:rsid w:val="006C4871"/>
    <w:rsid w:val="006C5AA8"/>
    <w:rsid w:val="006C6CE9"/>
    <w:rsid w:val="006C700F"/>
    <w:rsid w:val="006C7320"/>
    <w:rsid w:val="006D0881"/>
    <w:rsid w:val="006D2066"/>
    <w:rsid w:val="006D3867"/>
    <w:rsid w:val="006D4775"/>
    <w:rsid w:val="006D5AF1"/>
    <w:rsid w:val="006D67E9"/>
    <w:rsid w:val="006D7130"/>
    <w:rsid w:val="006E0DEA"/>
    <w:rsid w:val="006E136A"/>
    <w:rsid w:val="006E447E"/>
    <w:rsid w:val="006E45F8"/>
    <w:rsid w:val="006E5F78"/>
    <w:rsid w:val="006F0376"/>
    <w:rsid w:val="006F25AA"/>
    <w:rsid w:val="006F2720"/>
    <w:rsid w:val="006F39C8"/>
    <w:rsid w:val="006F5D02"/>
    <w:rsid w:val="006F6144"/>
    <w:rsid w:val="00702E90"/>
    <w:rsid w:val="00703E97"/>
    <w:rsid w:val="00705093"/>
    <w:rsid w:val="00705192"/>
    <w:rsid w:val="0070653D"/>
    <w:rsid w:val="00707C38"/>
    <w:rsid w:val="00713444"/>
    <w:rsid w:val="00714642"/>
    <w:rsid w:val="00717063"/>
    <w:rsid w:val="00722186"/>
    <w:rsid w:val="007236B8"/>
    <w:rsid w:val="0072398E"/>
    <w:rsid w:val="007250C5"/>
    <w:rsid w:val="00726BE7"/>
    <w:rsid w:val="00732D87"/>
    <w:rsid w:val="007331CE"/>
    <w:rsid w:val="00736EB2"/>
    <w:rsid w:val="0073752A"/>
    <w:rsid w:val="00737660"/>
    <w:rsid w:val="007376E0"/>
    <w:rsid w:val="007419E5"/>
    <w:rsid w:val="00742266"/>
    <w:rsid w:val="007449D2"/>
    <w:rsid w:val="00744A1F"/>
    <w:rsid w:val="00745311"/>
    <w:rsid w:val="0074558E"/>
    <w:rsid w:val="00746D82"/>
    <w:rsid w:val="007474DD"/>
    <w:rsid w:val="007508A3"/>
    <w:rsid w:val="007518F1"/>
    <w:rsid w:val="00754A11"/>
    <w:rsid w:val="00754D52"/>
    <w:rsid w:val="00757E64"/>
    <w:rsid w:val="00762EA9"/>
    <w:rsid w:val="007653D9"/>
    <w:rsid w:val="00767D3F"/>
    <w:rsid w:val="00771A7A"/>
    <w:rsid w:val="007736F7"/>
    <w:rsid w:val="00773D37"/>
    <w:rsid w:val="00774306"/>
    <w:rsid w:val="0077511C"/>
    <w:rsid w:val="007768BB"/>
    <w:rsid w:val="007768BE"/>
    <w:rsid w:val="007807E2"/>
    <w:rsid w:val="007809D1"/>
    <w:rsid w:val="00782B80"/>
    <w:rsid w:val="00786EF4"/>
    <w:rsid w:val="00791092"/>
    <w:rsid w:val="007913EE"/>
    <w:rsid w:val="0079246A"/>
    <w:rsid w:val="00792C7B"/>
    <w:rsid w:val="00796A1E"/>
    <w:rsid w:val="00797E19"/>
    <w:rsid w:val="007A2BE7"/>
    <w:rsid w:val="007B1174"/>
    <w:rsid w:val="007B1FDF"/>
    <w:rsid w:val="007B39B9"/>
    <w:rsid w:val="007B598E"/>
    <w:rsid w:val="007B7FC8"/>
    <w:rsid w:val="007C1C61"/>
    <w:rsid w:val="007C47BE"/>
    <w:rsid w:val="007C7C6C"/>
    <w:rsid w:val="007D0AF7"/>
    <w:rsid w:val="007D438D"/>
    <w:rsid w:val="007D56C3"/>
    <w:rsid w:val="007D67A3"/>
    <w:rsid w:val="007D6B1F"/>
    <w:rsid w:val="007D7E92"/>
    <w:rsid w:val="007E0286"/>
    <w:rsid w:val="007E0786"/>
    <w:rsid w:val="007E17B8"/>
    <w:rsid w:val="007E186B"/>
    <w:rsid w:val="007E308B"/>
    <w:rsid w:val="007E6CAA"/>
    <w:rsid w:val="007F169C"/>
    <w:rsid w:val="007F197C"/>
    <w:rsid w:val="007F1D57"/>
    <w:rsid w:val="007F5188"/>
    <w:rsid w:val="007F51DA"/>
    <w:rsid w:val="007F611D"/>
    <w:rsid w:val="007F7E59"/>
    <w:rsid w:val="00813E0B"/>
    <w:rsid w:val="00815761"/>
    <w:rsid w:val="008167FB"/>
    <w:rsid w:val="0082199B"/>
    <w:rsid w:val="0082285B"/>
    <w:rsid w:val="00823B7E"/>
    <w:rsid w:val="00823F22"/>
    <w:rsid w:val="00824030"/>
    <w:rsid w:val="0082616A"/>
    <w:rsid w:val="00826CC5"/>
    <w:rsid w:val="008272B9"/>
    <w:rsid w:val="0083252A"/>
    <w:rsid w:val="00832C62"/>
    <w:rsid w:val="00833663"/>
    <w:rsid w:val="008339D5"/>
    <w:rsid w:val="0083482A"/>
    <w:rsid w:val="008349B3"/>
    <w:rsid w:val="00834F5C"/>
    <w:rsid w:val="0083670C"/>
    <w:rsid w:val="008370C0"/>
    <w:rsid w:val="008377C0"/>
    <w:rsid w:val="00837FD5"/>
    <w:rsid w:val="00840065"/>
    <w:rsid w:val="00844283"/>
    <w:rsid w:val="0084510D"/>
    <w:rsid w:val="008457D1"/>
    <w:rsid w:val="0084582F"/>
    <w:rsid w:val="00847C0A"/>
    <w:rsid w:val="008512C4"/>
    <w:rsid w:val="008528A0"/>
    <w:rsid w:val="008537F7"/>
    <w:rsid w:val="0085446A"/>
    <w:rsid w:val="00854939"/>
    <w:rsid w:val="00854997"/>
    <w:rsid w:val="0085500A"/>
    <w:rsid w:val="00860131"/>
    <w:rsid w:val="00860860"/>
    <w:rsid w:val="0086317F"/>
    <w:rsid w:val="00864147"/>
    <w:rsid w:val="00864468"/>
    <w:rsid w:val="00866547"/>
    <w:rsid w:val="00866E71"/>
    <w:rsid w:val="00874A2E"/>
    <w:rsid w:val="00877E52"/>
    <w:rsid w:val="00884914"/>
    <w:rsid w:val="00890FD0"/>
    <w:rsid w:val="008935BD"/>
    <w:rsid w:val="008936DF"/>
    <w:rsid w:val="00893C64"/>
    <w:rsid w:val="008961D6"/>
    <w:rsid w:val="00897602"/>
    <w:rsid w:val="008A0897"/>
    <w:rsid w:val="008A1C40"/>
    <w:rsid w:val="008A2704"/>
    <w:rsid w:val="008A27F6"/>
    <w:rsid w:val="008A74D1"/>
    <w:rsid w:val="008B3CB9"/>
    <w:rsid w:val="008B488A"/>
    <w:rsid w:val="008B4FE6"/>
    <w:rsid w:val="008B61E3"/>
    <w:rsid w:val="008B6B0D"/>
    <w:rsid w:val="008C474C"/>
    <w:rsid w:val="008C56D8"/>
    <w:rsid w:val="008D4842"/>
    <w:rsid w:val="008D6221"/>
    <w:rsid w:val="008E1B0E"/>
    <w:rsid w:val="008E26F2"/>
    <w:rsid w:val="008E3579"/>
    <w:rsid w:val="008E5C01"/>
    <w:rsid w:val="008E7BD9"/>
    <w:rsid w:val="00901947"/>
    <w:rsid w:val="009023AC"/>
    <w:rsid w:val="00903478"/>
    <w:rsid w:val="00903AC3"/>
    <w:rsid w:val="00904C47"/>
    <w:rsid w:val="009075D8"/>
    <w:rsid w:val="009107A6"/>
    <w:rsid w:val="0091233B"/>
    <w:rsid w:val="009175C7"/>
    <w:rsid w:val="009228DF"/>
    <w:rsid w:val="00925712"/>
    <w:rsid w:val="00926978"/>
    <w:rsid w:val="00926EA9"/>
    <w:rsid w:val="00930D57"/>
    <w:rsid w:val="00930F98"/>
    <w:rsid w:val="00933E50"/>
    <w:rsid w:val="00934193"/>
    <w:rsid w:val="00934F6E"/>
    <w:rsid w:val="009356BA"/>
    <w:rsid w:val="009370A6"/>
    <w:rsid w:val="00937A0B"/>
    <w:rsid w:val="0094233D"/>
    <w:rsid w:val="00943398"/>
    <w:rsid w:val="00950ACA"/>
    <w:rsid w:val="00950CA6"/>
    <w:rsid w:val="009553E9"/>
    <w:rsid w:val="00957A40"/>
    <w:rsid w:val="00957F22"/>
    <w:rsid w:val="0096161B"/>
    <w:rsid w:val="009616D3"/>
    <w:rsid w:val="00961F15"/>
    <w:rsid w:val="00962FE4"/>
    <w:rsid w:val="009665AC"/>
    <w:rsid w:val="00971593"/>
    <w:rsid w:val="009733F9"/>
    <w:rsid w:val="00973599"/>
    <w:rsid w:val="00981510"/>
    <w:rsid w:val="009833AA"/>
    <w:rsid w:val="0099019A"/>
    <w:rsid w:val="00990456"/>
    <w:rsid w:val="00990B18"/>
    <w:rsid w:val="009934F3"/>
    <w:rsid w:val="009947F4"/>
    <w:rsid w:val="00996AF1"/>
    <w:rsid w:val="00997F18"/>
    <w:rsid w:val="009A2C3E"/>
    <w:rsid w:val="009A4F0C"/>
    <w:rsid w:val="009A6C93"/>
    <w:rsid w:val="009A7E6D"/>
    <w:rsid w:val="009B1378"/>
    <w:rsid w:val="009B1673"/>
    <w:rsid w:val="009B2208"/>
    <w:rsid w:val="009B22B1"/>
    <w:rsid w:val="009B3145"/>
    <w:rsid w:val="009B3BB2"/>
    <w:rsid w:val="009B7F1B"/>
    <w:rsid w:val="009C09A6"/>
    <w:rsid w:val="009C26B8"/>
    <w:rsid w:val="009C5EB2"/>
    <w:rsid w:val="009C6632"/>
    <w:rsid w:val="009D0800"/>
    <w:rsid w:val="009D1272"/>
    <w:rsid w:val="009D2629"/>
    <w:rsid w:val="009D289E"/>
    <w:rsid w:val="009D3844"/>
    <w:rsid w:val="009D3B3D"/>
    <w:rsid w:val="009D4156"/>
    <w:rsid w:val="009D5ECC"/>
    <w:rsid w:val="009D7CA8"/>
    <w:rsid w:val="009E3A57"/>
    <w:rsid w:val="009E7AC9"/>
    <w:rsid w:val="009F0B30"/>
    <w:rsid w:val="009F2797"/>
    <w:rsid w:val="009F3587"/>
    <w:rsid w:val="009F413A"/>
    <w:rsid w:val="009F437D"/>
    <w:rsid w:val="009F7C51"/>
    <w:rsid w:val="009F7CF0"/>
    <w:rsid w:val="00A0046B"/>
    <w:rsid w:val="00A00F2A"/>
    <w:rsid w:val="00A03212"/>
    <w:rsid w:val="00A03C89"/>
    <w:rsid w:val="00A05552"/>
    <w:rsid w:val="00A05810"/>
    <w:rsid w:val="00A069A7"/>
    <w:rsid w:val="00A16867"/>
    <w:rsid w:val="00A16993"/>
    <w:rsid w:val="00A17412"/>
    <w:rsid w:val="00A1767E"/>
    <w:rsid w:val="00A17909"/>
    <w:rsid w:val="00A20BD2"/>
    <w:rsid w:val="00A210A4"/>
    <w:rsid w:val="00A2173F"/>
    <w:rsid w:val="00A244C7"/>
    <w:rsid w:val="00A26654"/>
    <w:rsid w:val="00A26ED3"/>
    <w:rsid w:val="00A2787E"/>
    <w:rsid w:val="00A3105B"/>
    <w:rsid w:val="00A315D4"/>
    <w:rsid w:val="00A34DC9"/>
    <w:rsid w:val="00A34F95"/>
    <w:rsid w:val="00A372AA"/>
    <w:rsid w:val="00A41B24"/>
    <w:rsid w:val="00A41F91"/>
    <w:rsid w:val="00A42E23"/>
    <w:rsid w:val="00A44C60"/>
    <w:rsid w:val="00A471A5"/>
    <w:rsid w:val="00A5096A"/>
    <w:rsid w:val="00A5103B"/>
    <w:rsid w:val="00A5182D"/>
    <w:rsid w:val="00A56BCD"/>
    <w:rsid w:val="00A57D44"/>
    <w:rsid w:val="00A60012"/>
    <w:rsid w:val="00A61ED0"/>
    <w:rsid w:val="00A664BC"/>
    <w:rsid w:val="00A700AD"/>
    <w:rsid w:val="00A734C2"/>
    <w:rsid w:val="00A751AA"/>
    <w:rsid w:val="00A75801"/>
    <w:rsid w:val="00A77604"/>
    <w:rsid w:val="00A800A3"/>
    <w:rsid w:val="00A818A3"/>
    <w:rsid w:val="00A82CB2"/>
    <w:rsid w:val="00A8495F"/>
    <w:rsid w:val="00A917E0"/>
    <w:rsid w:val="00A94C01"/>
    <w:rsid w:val="00AA389A"/>
    <w:rsid w:val="00AA7D28"/>
    <w:rsid w:val="00AB07FF"/>
    <w:rsid w:val="00AB0AB2"/>
    <w:rsid w:val="00AB3E83"/>
    <w:rsid w:val="00AB5B26"/>
    <w:rsid w:val="00AB5BF0"/>
    <w:rsid w:val="00AB7DBF"/>
    <w:rsid w:val="00AC3395"/>
    <w:rsid w:val="00AC4BED"/>
    <w:rsid w:val="00AC6950"/>
    <w:rsid w:val="00AC7637"/>
    <w:rsid w:val="00AD037A"/>
    <w:rsid w:val="00AD03EA"/>
    <w:rsid w:val="00AD5A20"/>
    <w:rsid w:val="00AD60CF"/>
    <w:rsid w:val="00AE071E"/>
    <w:rsid w:val="00AE18F3"/>
    <w:rsid w:val="00AE2208"/>
    <w:rsid w:val="00AE3CD1"/>
    <w:rsid w:val="00AE41D5"/>
    <w:rsid w:val="00AE4D73"/>
    <w:rsid w:val="00AE78A7"/>
    <w:rsid w:val="00AF07A6"/>
    <w:rsid w:val="00AF1C92"/>
    <w:rsid w:val="00AF2472"/>
    <w:rsid w:val="00AF5406"/>
    <w:rsid w:val="00AF6DC9"/>
    <w:rsid w:val="00AF7B9B"/>
    <w:rsid w:val="00B01CC0"/>
    <w:rsid w:val="00B01D24"/>
    <w:rsid w:val="00B04B3E"/>
    <w:rsid w:val="00B04F48"/>
    <w:rsid w:val="00B06F8B"/>
    <w:rsid w:val="00B12E58"/>
    <w:rsid w:val="00B13FA5"/>
    <w:rsid w:val="00B14132"/>
    <w:rsid w:val="00B15880"/>
    <w:rsid w:val="00B1673D"/>
    <w:rsid w:val="00B213CB"/>
    <w:rsid w:val="00B23BAC"/>
    <w:rsid w:val="00B24C8E"/>
    <w:rsid w:val="00B250ED"/>
    <w:rsid w:val="00B25631"/>
    <w:rsid w:val="00B25C26"/>
    <w:rsid w:val="00B261BA"/>
    <w:rsid w:val="00B3064A"/>
    <w:rsid w:val="00B32490"/>
    <w:rsid w:val="00B3331F"/>
    <w:rsid w:val="00B3473A"/>
    <w:rsid w:val="00B36061"/>
    <w:rsid w:val="00B369DF"/>
    <w:rsid w:val="00B36A9C"/>
    <w:rsid w:val="00B370DC"/>
    <w:rsid w:val="00B37787"/>
    <w:rsid w:val="00B4230E"/>
    <w:rsid w:val="00B4506F"/>
    <w:rsid w:val="00B456F6"/>
    <w:rsid w:val="00B45903"/>
    <w:rsid w:val="00B45D0C"/>
    <w:rsid w:val="00B4607B"/>
    <w:rsid w:val="00B46BE4"/>
    <w:rsid w:val="00B46F92"/>
    <w:rsid w:val="00B4727E"/>
    <w:rsid w:val="00B515C6"/>
    <w:rsid w:val="00B51E64"/>
    <w:rsid w:val="00B53C3B"/>
    <w:rsid w:val="00B54E70"/>
    <w:rsid w:val="00B555C0"/>
    <w:rsid w:val="00B55827"/>
    <w:rsid w:val="00B56865"/>
    <w:rsid w:val="00B602C9"/>
    <w:rsid w:val="00B6093D"/>
    <w:rsid w:val="00B60FF4"/>
    <w:rsid w:val="00B61B8B"/>
    <w:rsid w:val="00B62845"/>
    <w:rsid w:val="00B64835"/>
    <w:rsid w:val="00B64C83"/>
    <w:rsid w:val="00B66A7E"/>
    <w:rsid w:val="00B67049"/>
    <w:rsid w:val="00B702D5"/>
    <w:rsid w:val="00B723C6"/>
    <w:rsid w:val="00B736F8"/>
    <w:rsid w:val="00B75062"/>
    <w:rsid w:val="00B75446"/>
    <w:rsid w:val="00B76319"/>
    <w:rsid w:val="00B76A96"/>
    <w:rsid w:val="00B800CB"/>
    <w:rsid w:val="00B8074B"/>
    <w:rsid w:val="00B80C9C"/>
    <w:rsid w:val="00B8101A"/>
    <w:rsid w:val="00B81DE2"/>
    <w:rsid w:val="00B861AB"/>
    <w:rsid w:val="00B93F54"/>
    <w:rsid w:val="00B944EB"/>
    <w:rsid w:val="00B94C94"/>
    <w:rsid w:val="00B95F06"/>
    <w:rsid w:val="00BA0575"/>
    <w:rsid w:val="00BA134D"/>
    <w:rsid w:val="00BA2A45"/>
    <w:rsid w:val="00BB0EDA"/>
    <w:rsid w:val="00BB1E22"/>
    <w:rsid w:val="00BB210E"/>
    <w:rsid w:val="00BB27C2"/>
    <w:rsid w:val="00BB7D50"/>
    <w:rsid w:val="00BC1D3B"/>
    <w:rsid w:val="00BC210C"/>
    <w:rsid w:val="00BC4620"/>
    <w:rsid w:val="00BD0575"/>
    <w:rsid w:val="00BD12AC"/>
    <w:rsid w:val="00BD29BB"/>
    <w:rsid w:val="00BD3A10"/>
    <w:rsid w:val="00BD3A50"/>
    <w:rsid w:val="00BD46F8"/>
    <w:rsid w:val="00BD62CC"/>
    <w:rsid w:val="00BD75B8"/>
    <w:rsid w:val="00BE0014"/>
    <w:rsid w:val="00BE07F1"/>
    <w:rsid w:val="00BE125E"/>
    <w:rsid w:val="00BE238E"/>
    <w:rsid w:val="00BE39E9"/>
    <w:rsid w:val="00BE3F7D"/>
    <w:rsid w:val="00BE5440"/>
    <w:rsid w:val="00BE5843"/>
    <w:rsid w:val="00BE593F"/>
    <w:rsid w:val="00BE5A96"/>
    <w:rsid w:val="00BE6EE7"/>
    <w:rsid w:val="00BE7874"/>
    <w:rsid w:val="00BF0359"/>
    <w:rsid w:val="00BF10BD"/>
    <w:rsid w:val="00BF18D4"/>
    <w:rsid w:val="00BF2AB8"/>
    <w:rsid w:val="00BF33C9"/>
    <w:rsid w:val="00BF3AF0"/>
    <w:rsid w:val="00C01574"/>
    <w:rsid w:val="00C01E8F"/>
    <w:rsid w:val="00C02940"/>
    <w:rsid w:val="00C0501F"/>
    <w:rsid w:val="00C06F2F"/>
    <w:rsid w:val="00C07885"/>
    <w:rsid w:val="00C1367A"/>
    <w:rsid w:val="00C136F8"/>
    <w:rsid w:val="00C146F6"/>
    <w:rsid w:val="00C1563C"/>
    <w:rsid w:val="00C15870"/>
    <w:rsid w:val="00C17469"/>
    <w:rsid w:val="00C20799"/>
    <w:rsid w:val="00C2208A"/>
    <w:rsid w:val="00C226C3"/>
    <w:rsid w:val="00C22FB8"/>
    <w:rsid w:val="00C275C6"/>
    <w:rsid w:val="00C30755"/>
    <w:rsid w:val="00C31F64"/>
    <w:rsid w:val="00C33568"/>
    <w:rsid w:val="00C40D89"/>
    <w:rsid w:val="00C43AC5"/>
    <w:rsid w:val="00C45F84"/>
    <w:rsid w:val="00C47584"/>
    <w:rsid w:val="00C522BD"/>
    <w:rsid w:val="00C54C32"/>
    <w:rsid w:val="00C60474"/>
    <w:rsid w:val="00C63F2A"/>
    <w:rsid w:val="00C649E5"/>
    <w:rsid w:val="00C64F11"/>
    <w:rsid w:val="00C66C0F"/>
    <w:rsid w:val="00C672EA"/>
    <w:rsid w:val="00C72FB8"/>
    <w:rsid w:val="00C7328C"/>
    <w:rsid w:val="00C733FD"/>
    <w:rsid w:val="00C75858"/>
    <w:rsid w:val="00C86EE0"/>
    <w:rsid w:val="00C87785"/>
    <w:rsid w:val="00C902A8"/>
    <w:rsid w:val="00C907C0"/>
    <w:rsid w:val="00C90DBA"/>
    <w:rsid w:val="00C93837"/>
    <w:rsid w:val="00C93E3A"/>
    <w:rsid w:val="00C94E53"/>
    <w:rsid w:val="00C969B7"/>
    <w:rsid w:val="00C97D6D"/>
    <w:rsid w:val="00CA1122"/>
    <w:rsid w:val="00CA11F2"/>
    <w:rsid w:val="00CA398B"/>
    <w:rsid w:val="00CA53F3"/>
    <w:rsid w:val="00CA7DC5"/>
    <w:rsid w:val="00CB2FFF"/>
    <w:rsid w:val="00CB38A5"/>
    <w:rsid w:val="00CB4929"/>
    <w:rsid w:val="00CB7817"/>
    <w:rsid w:val="00CC00F9"/>
    <w:rsid w:val="00CC4CB1"/>
    <w:rsid w:val="00CC7E88"/>
    <w:rsid w:val="00CD0826"/>
    <w:rsid w:val="00CD29CE"/>
    <w:rsid w:val="00CD36BC"/>
    <w:rsid w:val="00CD4867"/>
    <w:rsid w:val="00CD5575"/>
    <w:rsid w:val="00CD59A4"/>
    <w:rsid w:val="00CD6E8D"/>
    <w:rsid w:val="00CD724F"/>
    <w:rsid w:val="00CE1528"/>
    <w:rsid w:val="00CE1788"/>
    <w:rsid w:val="00CE188C"/>
    <w:rsid w:val="00CE3105"/>
    <w:rsid w:val="00CE3902"/>
    <w:rsid w:val="00CE4208"/>
    <w:rsid w:val="00CF148C"/>
    <w:rsid w:val="00CF34B5"/>
    <w:rsid w:val="00CF3FFA"/>
    <w:rsid w:val="00D003E1"/>
    <w:rsid w:val="00D00D53"/>
    <w:rsid w:val="00D02170"/>
    <w:rsid w:val="00D03058"/>
    <w:rsid w:val="00D03D18"/>
    <w:rsid w:val="00D065E5"/>
    <w:rsid w:val="00D0775C"/>
    <w:rsid w:val="00D11D8B"/>
    <w:rsid w:val="00D1365C"/>
    <w:rsid w:val="00D144FA"/>
    <w:rsid w:val="00D1625F"/>
    <w:rsid w:val="00D16BE4"/>
    <w:rsid w:val="00D16FCF"/>
    <w:rsid w:val="00D209B8"/>
    <w:rsid w:val="00D20F0A"/>
    <w:rsid w:val="00D21043"/>
    <w:rsid w:val="00D240DC"/>
    <w:rsid w:val="00D265EF"/>
    <w:rsid w:val="00D2761D"/>
    <w:rsid w:val="00D318BA"/>
    <w:rsid w:val="00D31F8D"/>
    <w:rsid w:val="00D342A2"/>
    <w:rsid w:val="00D3528B"/>
    <w:rsid w:val="00D4067E"/>
    <w:rsid w:val="00D43BFC"/>
    <w:rsid w:val="00D44D33"/>
    <w:rsid w:val="00D463F1"/>
    <w:rsid w:val="00D5146B"/>
    <w:rsid w:val="00D514FB"/>
    <w:rsid w:val="00D524BB"/>
    <w:rsid w:val="00D531F1"/>
    <w:rsid w:val="00D54E93"/>
    <w:rsid w:val="00D561C8"/>
    <w:rsid w:val="00D57CCE"/>
    <w:rsid w:val="00D625D6"/>
    <w:rsid w:val="00D65E8E"/>
    <w:rsid w:val="00D66C96"/>
    <w:rsid w:val="00D6703D"/>
    <w:rsid w:val="00D67CAA"/>
    <w:rsid w:val="00D70119"/>
    <w:rsid w:val="00D717DA"/>
    <w:rsid w:val="00D74D8C"/>
    <w:rsid w:val="00D7659E"/>
    <w:rsid w:val="00D815CF"/>
    <w:rsid w:val="00D83A72"/>
    <w:rsid w:val="00D84BA5"/>
    <w:rsid w:val="00D869DD"/>
    <w:rsid w:val="00D87405"/>
    <w:rsid w:val="00D946B0"/>
    <w:rsid w:val="00DA1E3F"/>
    <w:rsid w:val="00DA21F8"/>
    <w:rsid w:val="00DA2679"/>
    <w:rsid w:val="00DA3039"/>
    <w:rsid w:val="00DA6B88"/>
    <w:rsid w:val="00DA73B6"/>
    <w:rsid w:val="00DA7BBE"/>
    <w:rsid w:val="00DB06B4"/>
    <w:rsid w:val="00DB127D"/>
    <w:rsid w:val="00DB283E"/>
    <w:rsid w:val="00DC076A"/>
    <w:rsid w:val="00DC142A"/>
    <w:rsid w:val="00DC1C0C"/>
    <w:rsid w:val="00DC4B2B"/>
    <w:rsid w:val="00DD101F"/>
    <w:rsid w:val="00DD3573"/>
    <w:rsid w:val="00DD5F5A"/>
    <w:rsid w:val="00DD62AD"/>
    <w:rsid w:val="00DD694E"/>
    <w:rsid w:val="00DD7153"/>
    <w:rsid w:val="00DD7ABC"/>
    <w:rsid w:val="00DE0E06"/>
    <w:rsid w:val="00DE376D"/>
    <w:rsid w:val="00DF21E7"/>
    <w:rsid w:val="00DF3F4D"/>
    <w:rsid w:val="00DF4F58"/>
    <w:rsid w:val="00DF72FC"/>
    <w:rsid w:val="00E01EFD"/>
    <w:rsid w:val="00E052BC"/>
    <w:rsid w:val="00E07074"/>
    <w:rsid w:val="00E11F2F"/>
    <w:rsid w:val="00E13A3A"/>
    <w:rsid w:val="00E14CD2"/>
    <w:rsid w:val="00E23B79"/>
    <w:rsid w:val="00E23BC6"/>
    <w:rsid w:val="00E2737E"/>
    <w:rsid w:val="00E301AE"/>
    <w:rsid w:val="00E315BC"/>
    <w:rsid w:val="00E33610"/>
    <w:rsid w:val="00E339D4"/>
    <w:rsid w:val="00E35139"/>
    <w:rsid w:val="00E362EC"/>
    <w:rsid w:val="00E36AA2"/>
    <w:rsid w:val="00E36ADB"/>
    <w:rsid w:val="00E40E02"/>
    <w:rsid w:val="00E41AC3"/>
    <w:rsid w:val="00E42D76"/>
    <w:rsid w:val="00E44555"/>
    <w:rsid w:val="00E44A15"/>
    <w:rsid w:val="00E4526A"/>
    <w:rsid w:val="00E4690A"/>
    <w:rsid w:val="00E50608"/>
    <w:rsid w:val="00E5165B"/>
    <w:rsid w:val="00E52555"/>
    <w:rsid w:val="00E52ABA"/>
    <w:rsid w:val="00E5314F"/>
    <w:rsid w:val="00E53D74"/>
    <w:rsid w:val="00E60636"/>
    <w:rsid w:val="00E613D1"/>
    <w:rsid w:val="00E615BD"/>
    <w:rsid w:val="00E62522"/>
    <w:rsid w:val="00E653E3"/>
    <w:rsid w:val="00E66AEE"/>
    <w:rsid w:val="00E70C7E"/>
    <w:rsid w:val="00E70FF5"/>
    <w:rsid w:val="00E7194D"/>
    <w:rsid w:val="00E736A7"/>
    <w:rsid w:val="00E753D4"/>
    <w:rsid w:val="00E755DF"/>
    <w:rsid w:val="00E87C26"/>
    <w:rsid w:val="00E9039F"/>
    <w:rsid w:val="00E91D57"/>
    <w:rsid w:val="00E93852"/>
    <w:rsid w:val="00E94316"/>
    <w:rsid w:val="00E949D4"/>
    <w:rsid w:val="00E94F99"/>
    <w:rsid w:val="00E95FA5"/>
    <w:rsid w:val="00E96444"/>
    <w:rsid w:val="00E978F0"/>
    <w:rsid w:val="00EA2361"/>
    <w:rsid w:val="00EA3088"/>
    <w:rsid w:val="00EA6181"/>
    <w:rsid w:val="00EB11D4"/>
    <w:rsid w:val="00EB2886"/>
    <w:rsid w:val="00EB398E"/>
    <w:rsid w:val="00EB4821"/>
    <w:rsid w:val="00EB7033"/>
    <w:rsid w:val="00EB75DD"/>
    <w:rsid w:val="00EB7FC0"/>
    <w:rsid w:val="00EC2F7F"/>
    <w:rsid w:val="00EC2FFB"/>
    <w:rsid w:val="00EC4096"/>
    <w:rsid w:val="00EC429C"/>
    <w:rsid w:val="00EC66C7"/>
    <w:rsid w:val="00EC6A51"/>
    <w:rsid w:val="00ED0199"/>
    <w:rsid w:val="00ED05AC"/>
    <w:rsid w:val="00ED10E2"/>
    <w:rsid w:val="00EE04FA"/>
    <w:rsid w:val="00EE4050"/>
    <w:rsid w:val="00EE4149"/>
    <w:rsid w:val="00EE4C3B"/>
    <w:rsid w:val="00EE7B7B"/>
    <w:rsid w:val="00EF368C"/>
    <w:rsid w:val="00EF36D5"/>
    <w:rsid w:val="00EF4DA0"/>
    <w:rsid w:val="00EF5237"/>
    <w:rsid w:val="00EF6D4B"/>
    <w:rsid w:val="00EF78C6"/>
    <w:rsid w:val="00EF7BCF"/>
    <w:rsid w:val="00EF7E19"/>
    <w:rsid w:val="00F02B53"/>
    <w:rsid w:val="00F04867"/>
    <w:rsid w:val="00F04E3E"/>
    <w:rsid w:val="00F0531F"/>
    <w:rsid w:val="00F10771"/>
    <w:rsid w:val="00F13618"/>
    <w:rsid w:val="00F205E5"/>
    <w:rsid w:val="00F21E89"/>
    <w:rsid w:val="00F22A4C"/>
    <w:rsid w:val="00F26081"/>
    <w:rsid w:val="00F262A5"/>
    <w:rsid w:val="00F26782"/>
    <w:rsid w:val="00F30EFF"/>
    <w:rsid w:val="00F34AF0"/>
    <w:rsid w:val="00F512A3"/>
    <w:rsid w:val="00F51AB4"/>
    <w:rsid w:val="00F523A8"/>
    <w:rsid w:val="00F54723"/>
    <w:rsid w:val="00F54FBE"/>
    <w:rsid w:val="00F57359"/>
    <w:rsid w:val="00F57AF5"/>
    <w:rsid w:val="00F60A86"/>
    <w:rsid w:val="00F62B87"/>
    <w:rsid w:val="00F62D30"/>
    <w:rsid w:val="00F63880"/>
    <w:rsid w:val="00F65208"/>
    <w:rsid w:val="00F67B63"/>
    <w:rsid w:val="00F67BE6"/>
    <w:rsid w:val="00F702E1"/>
    <w:rsid w:val="00F72DAD"/>
    <w:rsid w:val="00F72EF0"/>
    <w:rsid w:val="00F76333"/>
    <w:rsid w:val="00F83726"/>
    <w:rsid w:val="00F83B3D"/>
    <w:rsid w:val="00F8481F"/>
    <w:rsid w:val="00F84926"/>
    <w:rsid w:val="00F85724"/>
    <w:rsid w:val="00F86B33"/>
    <w:rsid w:val="00F877EA"/>
    <w:rsid w:val="00F91C17"/>
    <w:rsid w:val="00F949B1"/>
    <w:rsid w:val="00F958EE"/>
    <w:rsid w:val="00F95B25"/>
    <w:rsid w:val="00F96EEB"/>
    <w:rsid w:val="00F96F8A"/>
    <w:rsid w:val="00F9761F"/>
    <w:rsid w:val="00FA08AA"/>
    <w:rsid w:val="00FA102C"/>
    <w:rsid w:val="00FA1BAF"/>
    <w:rsid w:val="00FA3D4D"/>
    <w:rsid w:val="00FB0DB2"/>
    <w:rsid w:val="00FB3124"/>
    <w:rsid w:val="00FB32EE"/>
    <w:rsid w:val="00FB7304"/>
    <w:rsid w:val="00FC3DD6"/>
    <w:rsid w:val="00FC4283"/>
    <w:rsid w:val="00FC4B0D"/>
    <w:rsid w:val="00FC5616"/>
    <w:rsid w:val="00FD0C25"/>
    <w:rsid w:val="00FD1CCC"/>
    <w:rsid w:val="00FD30C9"/>
    <w:rsid w:val="00FD328C"/>
    <w:rsid w:val="00FD7299"/>
    <w:rsid w:val="00FE2094"/>
    <w:rsid w:val="00FE3A4D"/>
    <w:rsid w:val="00FE6A4D"/>
    <w:rsid w:val="00FE764B"/>
    <w:rsid w:val="00FF0A29"/>
    <w:rsid w:val="00FF0A2D"/>
    <w:rsid w:val="00FF0D73"/>
    <w:rsid w:val="00FF4B86"/>
    <w:rsid w:val="00FF5382"/>
    <w:rsid w:val="00FF6080"/>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4CFF3"/>
  <w15:chartTrackingRefBased/>
  <w15:docId w15:val="{4B30453C-5216-4A99-8F7C-03B0E61D9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003E1"/>
    <w:pPr>
      <w:spacing w:after="150" w:line="276" w:lineRule="auto"/>
      <w:jc w:val="both"/>
    </w:pPr>
  </w:style>
  <w:style w:type="paragraph" w:styleId="Cmsor1">
    <w:name w:val="heading 1"/>
    <w:basedOn w:val="Norml"/>
    <w:next w:val="Norml"/>
    <w:link w:val="Cmsor1Char"/>
    <w:qFormat/>
    <w:rsid w:val="00D003E1"/>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D003E1"/>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D003E1"/>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D003E1"/>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D003E1"/>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D003E1"/>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D003E1"/>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003E1"/>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003E1"/>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003E1"/>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003E1"/>
  </w:style>
  <w:style w:type="table" w:customStyle="1" w:styleId="tblzat-mtrix">
    <w:name w:val="táblázat - mátrix"/>
    <w:basedOn w:val="Normltblzat"/>
    <w:uiPriority w:val="2"/>
    <w:qFormat/>
    <w:rsid w:val="00D003E1"/>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003E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D003E1"/>
    <w:pPr>
      <w:numPr>
        <w:numId w:val="9"/>
      </w:numPr>
      <w:contextualSpacing/>
    </w:pPr>
  </w:style>
  <w:style w:type="character" w:styleId="Hiperhivatkozs">
    <w:name w:val="Hyperlink"/>
    <w:basedOn w:val="Vgjegyzet-hivatkozs"/>
    <w:uiPriority w:val="99"/>
    <w:rsid w:val="00D003E1"/>
    <w:rPr>
      <w:rFonts w:ascii="Calibri" w:hAnsi="Calibri"/>
      <w:color w:val="0000FF"/>
      <w:sz w:val="20"/>
      <w:u w:val="single"/>
      <w:vertAlign w:val="superscript"/>
    </w:rPr>
  </w:style>
  <w:style w:type="table" w:customStyle="1" w:styleId="tblzat-oldallces">
    <w:name w:val="táblázat - oldalléces"/>
    <w:basedOn w:val="Normltblzat"/>
    <w:uiPriority w:val="3"/>
    <w:qFormat/>
    <w:rsid w:val="00D003E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003E1"/>
    <w:rPr>
      <w:vertAlign w:val="superscript"/>
    </w:rPr>
  </w:style>
  <w:style w:type="paragraph" w:styleId="Buborkszveg">
    <w:name w:val="Balloon Text"/>
    <w:basedOn w:val="Norml"/>
    <w:link w:val="BuborkszvegChar"/>
    <w:uiPriority w:val="99"/>
    <w:semiHidden/>
    <w:unhideWhenUsed/>
    <w:rsid w:val="00D003E1"/>
    <w:rPr>
      <w:rFonts w:ascii="Tahoma" w:hAnsi="Tahoma" w:cs="Tahoma"/>
      <w:sz w:val="16"/>
      <w:szCs w:val="16"/>
    </w:rPr>
  </w:style>
  <w:style w:type="paragraph" w:customStyle="1" w:styleId="Magyarzszveg">
    <w:name w:val="Magyarázó szöveg"/>
    <w:basedOn w:val="Norml"/>
    <w:next w:val="Norml"/>
    <w:uiPriority w:val="7"/>
    <w:rsid w:val="00D003E1"/>
    <w:rPr>
      <w:color w:val="F6A800" w:themeColor="accent5"/>
      <w:sz w:val="18"/>
    </w:rPr>
  </w:style>
  <w:style w:type="character" w:customStyle="1" w:styleId="BuborkszvegChar">
    <w:name w:val="Buborékszöveg Char"/>
    <w:basedOn w:val="Bekezdsalapbettpusa"/>
    <w:link w:val="Buborkszveg"/>
    <w:uiPriority w:val="99"/>
    <w:semiHidden/>
    <w:rsid w:val="00D003E1"/>
    <w:rPr>
      <w:rFonts w:ascii="Tahoma" w:hAnsi="Tahoma" w:cs="Tahoma"/>
      <w:sz w:val="16"/>
      <w:szCs w:val="16"/>
    </w:rPr>
  </w:style>
  <w:style w:type="paragraph" w:styleId="lfej">
    <w:name w:val="header"/>
    <w:basedOn w:val="Norml"/>
    <w:link w:val="lfejChar"/>
    <w:uiPriority w:val="99"/>
    <w:unhideWhenUsed/>
    <w:rsid w:val="00D003E1"/>
    <w:pPr>
      <w:tabs>
        <w:tab w:val="center" w:pos="4536"/>
        <w:tab w:val="right" w:pos="9072"/>
      </w:tabs>
    </w:pPr>
  </w:style>
  <w:style w:type="character" w:customStyle="1" w:styleId="lfejChar">
    <w:name w:val="Élőfej Char"/>
    <w:basedOn w:val="Bekezdsalapbettpusa"/>
    <w:link w:val="lfej"/>
    <w:uiPriority w:val="99"/>
    <w:rsid w:val="00D003E1"/>
  </w:style>
  <w:style w:type="paragraph" w:styleId="llb">
    <w:name w:val="footer"/>
    <w:basedOn w:val="Norml"/>
    <w:link w:val="llbChar"/>
    <w:uiPriority w:val="99"/>
    <w:unhideWhenUsed/>
    <w:rsid w:val="00D003E1"/>
    <w:pPr>
      <w:tabs>
        <w:tab w:val="center" w:pos="4536"/>
        <w:tab w:val="right" w:pos="9072"/>
      </w:tabs>
    </w:pPr>
  </w:style>
  <w:style w:type="character" w:customStyle="1" w:styleId="llbChar">
    <w:name w:val="Élőláb Char"/>
    <w:basedOn w:val="Bekezdsalapbettpusa"/>
    <w:link w:val="llb"/>
    <w:uiPriority w:val="99"/>
    <w:rsid w:val="00D003E1"/>
  </w:style>
  <w:style w:type="paragraph" w:customStyle="1" w:styleId="Szmozs">
    <w:name w:val="Számozás"/>
    <w:basedOn w:val="Norml"/>
    <w:uiPriority w:val="4"/>
    <w:qFormat/>
    <w:rsid w:val="00D003E1"/>
    <w:pPr>
      <w:numPr>
        <w:numId w:val="4"/>
      </w:numPr>
      <w:spacing w:before="120"/>
      <w:contextualSpacing/>
    </w:pPr>
  </w:style>
  <w:style w:type="table" w:styleId="Rcsostblzat">
    <w:name w:val="Table Grid"/>
    <w:aliases w:val="Szegély nélküli"/>
    <w:basedOn w:val="Normltblzat"/>
    <w:uiPriority w:val="59"/>
    <w:rsid w:val="00D003E1"/>
    <w:pPr>
      <w:contextualSpacing/>
    </w:pPr>
    <w:tblPr/>
    <w:tcPr>
      <w:vAlign w:val="center"/>
    </w:tcPr>
  </w:style>
  <w:style w:type="character" w:customStyle="1" w:styleId="Cmsor4Char">
    <w:name w:val="Címsor 4 Char"/>
    <w:basedOn w:val="Bekezdsalapbettpusa"/>
    <w:link w:val="Cmsor4"/>
    <w:rsid w:val="00D003E1"/>
    <w:rPr>
      <w:iCs/>
      <w:color w:val="0C2148" w:themeColor="text2"/>
      <w:szCs w:val="30"/>
    </w:rPr>
  </w:style>
  <w:style w:type="character" w:customStyle="1" w:styleId="Cmsor5Char">
    <w:name w:val="Címsor 5 Char"/>
    <w:basedOn w:val="Bekezdsalapbettpusa"/>
    <w:link w:val="Cmsor5"/>
    <w:rsid w:val="00D003E1"/>
    <w:rPr>
      <w:color w:val="0C2148" w:themeColor="text2"/>
      <w:szCs w:val="26"/>
    </w:rPr>
  </w:style>
  <w:style w:type="character" w:customStyle="1" w:styleId="Cmsor6Char">
    <w:name w:val="Címsor 6 Char"/>
    <w:basedOn w:val="Bekezdsalapbettpusa"/>
    <w:link w:val="Cmsor6"/>
    <w:rsid w:val="00D003E1"/>
    <w:rPr>
      <w:color w:val="0C2148" w:themeColor="text2"/>
    </w:rPr>
  </w:style>
  <w:style w:type="character" w:customStyle="1" w:styleId="Cmsor1Char">
    <w:name w:val="Címsor 1 Char"/>
    <w:basedOn w:val="Bekezdsalapbettpusa"/>
    <w:link w:val="Cmsor1"/>
    <w:rsid w:val="00D003E1"/>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D003E1"/>
    <w:rPr>
      <w:b/>
      <w:color w:val="0C2148" w:themeColor="text2"/>
      <w:sz w:val="24"/>
      <w:szCs w:val="38"/>
    </w:rPr>
  </w:style>
  <w:style w:type="character" w:customStyle="1" w:styleId="Cmsor3Char">
    <w:name w:val="Címsor 3 Char"/>
    <w:basedOn w:val="Bekezdsalapbettpusa"/>
    <w:link w:val="Cmsor3"/>
    <w:rsid w:val="00D003E1"/>
    <w:rPr>
      <w:bCs/>
      <w:color w:val="0C2148" w:themeColor="text2"/>
      <w:szCs w:val="34"/>
    </w:rPr>
  </w:style>
  <w:style w:type="paragraph" w:styleId="Cm">
    <w:name w:val="Title"/>
    <w:basedOn w:val="Norml"/>
    <w:next w:val="Norml"/>
    <w:link w:val="CmChar"/>
    <w:uiPriority w:val="3"/>
    <w:qFormat/>
    <w:rsid w:val="00D003E1"/>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D003E1"/>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D003E1"/>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D003E1"/>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D003E1"/>
    <w:rPr>
      <w:rFonts w:eastAsiaTheme="majorEastAsia" w:cstheme="majorBidi"/>
      <w:i/>
      <w:iCs/>
      <w:color w:val="404040" w:themeColor="text1" w:themeTint="BF"/>
    </w:rPr>
  </w:style>
  <w:style w:type="numbering" w:customStyle="1" w:styleId="Style1">
    <w:name w:val="Style1"/>
    <w:uiPriority w:val="99"/>
    <w:rsid w:val="00D003E1"/>
    <w:pPr>
      <w:numPr>
        <w:numId w:val="1"/>
      </w:numPr>
    </w:pPr>
  </w:style>
  <w:style w:type="paragraph" w:styleId="TJ7">
    <w:name w:val="toc 7"/>
    <w:basedOn w:val="Norml"/>
    <w:next w:val="Norml"/>
    <w:autoRedefine/>
    <w:uiPriority w:val="99"/>
    <w:semiHidden/>
    <w:locked/>
    <w:rsid w:val="00D003E1"/>
    <w:pPr>
      <w:spacing w:after="100"/>
      <w:ind w:left="1200"/>
    </w:pPr>
    <w:rPr>
      <w:color w:val="385623" w:themeColor="accent6" w:themeShade="80"/>
    </w:rPr>
  </w:style>
  <w:style w:type="paragraph" w:styleId="TJ8">
    <w:name w:val="toc 8"/>
    <w:basedOn w:val="Norml"/>
    <w:next w:val="Norml"/>
    <w:autoRedefine/>
    <w:uiPriority w:val="99"/>
    <w:semiHidden/>
    <w:locked/>
    <w:rsid w:val="00D003E1"/>
    <w:pPr>
      <w:spacing w:after="100"/>
      <w:ind w:left="1400"/>
    </w:pPr>
    <w:rPr>
      <w:color w:val="385623" w:themeColor="accent6" w:themeShade="80"/>
    </w:rPr>
  </w:style>
  <w:style w:type="paragraph" w:styleId="TJ9">
    <w:name w:val="toc 9"/>
    <w:basedOn w:val="Norml"/>
    <w:next w:val="Norml"/>
    <w:autoRedefine/>
    <w:uiPriority w:val="99"/>
    <w:semiHidden/>
    <w:locked/>
    <w:rsid w:val="00D003E1"/>
    <w:pPr>
      <w:spacing w:after="100"/>
      <w:ind w:left="1600"/>
    </w:pPr>
    <w:rPr>
      <w:color w:val="385623" w:themeColor="accent6" w:themeShade="80"/>
    </w:rPr>
  </w:style>
  <w:style w:type="table" w:customStyle="1" w:styleId="Calendar2">
    <w:name w:val="Calendar 2"/>
    <w:basedOn w:val="Normltblzat"/>
    <w:uiPriority w:val="99"/>
    <w:qFormat/>
    <w:rsid w:val="00D003E1"/>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003E1"/>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D003E1"/>
    <w:rPr>
      <w:rFonts w:eastAsiaTheme="minorEastAsia"/>
      <w:color w:val="0C2148" w:themeColor="text2"/>
      <w:sz w:val="16"/>
    </w:rPr>
  </w:style>
  <w:style w:type="character" w:styleId="Finomkiemels">
    <w:name w:val="Subtle Emphasis"/>
    <w:basedOn w:val="Bekezdsalapbettpusa"/>
    <w:uiPriority w:val="19"/>
    <w:qFormat/>
    <w:rsid w:val="00D003E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003E1"/>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D003E1"/>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003E1"/>
    <w:rPr>
      <w:color w:val="385623" w:themeColor="accent6" w:themeShade="80"/>
    </w:rPr>
  </w:style>
  <w:style w:type="character" w:customStyle="1" w:styleId="VgjegyzetszvegeChar">
    <w:name w:val="Végjegyzet szövege Char"/>
    <w:basedOn w:val="Bekezdsalapbettpusa"/>
    <w:link w:val="Vgjegyzetszvege"/>
    <w:uiPriority w:val="99"/>
    <w:semiHidden/>
    <w:rsid w:val="00D003E1"/>
    <w:rPr>
      <w:color w:val="385623" w:themeColor="accent6" w:themeShade="80"/>
    </w:rPr>
  </w:style>
  <w:style w:type="table" w:customStyle="1" w:styleId="Vilgosrnykols1jellszn1">
    <w:name w:val="Világos árnyékolás – 1. jelölőszín1"/>
    <w:basedOn w:val="Normltblzat"/>
    <w:uiPriority w:val="60"/>
    <w:rsid w:val="00D003E1"/>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D003E1"/>
    <w:pPr>
      <w:numPr>
        <w:numId w:val="5"/>
      </w:numPr>
    </w:pPr>
  </w:style>
  <w:style w:type="paragraph" w:customStyle="1" w:styleId="Tblaszvegstlus">
    <w:name w:val="Tábla szöveg stílus"/>
    <w:basedOn w:val="Norml"/>
    <w:link w:val="TblaszvegstlusChar"/>
    <w:uiPriority w:val="8"/>
    <w:qFormat/>
    <w:rsid w:val="00D003E1"/>
  </w:style>
  <w:style w:type="character" w:customStyle="1" w:styleId="ListaszerbekezdsChar">
    <w:name w:val="Listaszerű bekezdés Char"/>
    <w:basedOn w:val="Bekezdsalapbettpusa"/>
    <w:link w:val="Listaszerbekezds"/>
    <w:uiPriority w:val="4"/>
    <w:rsid w:val="00D003E1"/>
  </w:style>
  <w:style w:type="character" w:customStyle="1" w:styleId="Listaszerbekezds2Char">
    <w:name w:val="Listaszerű bekezdés 2 Char"/>
    <w:basedOn w:val="ListaszerbekezdsChar"/>
    <w:link w:val="Listaszerbekezds2"/>
    <w:uiPriority w:val="4"/>
    <w:rsid w:val="00D003E1"/>
  </w:style>
  <w:style w:type="character" w:customStyle="1" w:styleId="TblaszvegstlusChar">
    <w:name w:val="Tábla szöveg stílus Char"/>
    <w:basedOn w:val="Bekezdsalapbettpusa"/>
    <w:link w:val="Tblaszvegstlus"/>
    <w:uiPriority w:val="8"/>
    <w:rsid w:val="00D003E1"/>
  </w:style>
  <w:style w:type="character" w:styleId="Finomhivatkozs">
    <w:name w:val="Subtle Reference"/>
    <w:basedOn w:val="Bekezdsalapbettpusa"/>
    <w:uiPriority w:val="31"/>
    <w:rsid w:val="00D003E1"/>
    <w:rPr>
      <w:sz w:val="24"/>
      <w:szCs w:val="24"/>
      <w:u w:val="single"/>
    </w:rPr>
  </w:style>
  <w:style w:type="character" w:styleId="Ershivatkozs">
    <w:name w:val="Intense Reference"/>
    <w:basedOn w:val="Bekezdsalapbettpusa"/>
    <w:uiPriority w:val="32"/>
    <w:rsid w:val="00D003E1"/>
    <w:rPr>
      <w:b/>
      <w:sz w:val="24"/>
      <w:u w:val="single"/>
    </w:rPr>
  </w:style>
  <w:style w:type="paragraph" w:customStyle="1" w:styleId="Listaszerbekezds2szint">
    <w:name w:val="Listaszerű bekezdés 2. szint"/>
    <w:basedOn w:val="Listaszerbekezds"/>
    <w:link w:val="Listaszerbekezds2szintChar"/>
    <w:uiPriority w:val="4"/>
    <w:qFormat/>
    <w:rsid w:val="00D003E1"/>
    <w:pPr>
      <w:numPr>
        <w:numId w:val="8"/>
      </w:numPr>
    </w:pPr>
  </w:style>
  <w:style w:type="paragraph" w:customStyle="1" w:styleId="Listaszerbekezds3szint">
    <w:name w:val="Listaszerű bekezdés 3. szint"/>
    <w:basedOn w:val="Listaszerbekezds"/>
    <w:link w:val="Listaszerbekezds3szintChar"/>
    <w:uiPriority w:val="4"/>
    <w:qFormat/>
    <w:rsid w:val="00D003E1"/>
    <w:pPr>
      <w:numPr>
        <w:ilvl w:val="2"/>
        <w:numId w:val="10"/>
      </w:numPr>
    </w:pPr>
  </w:style>
  <w:style w:type="character" w:customStyle="1" w:styleId="Listaszerbekezds2szintChar">
    <w:name w:val="Listaszerű bekezdés 2. szint Char"/>
    <w:basedOn w:val="ListaszerbekezdsChar"/>
    <w:link w:val="Listaszerbekezds2szint"/>
    <w:uiPriority w:val="4"/>
    <w:rsid w:val="00D003E1"/>
  </w:style>
  <w:style w:type="character" w:customStyle="1" w:styleId="Listaszerbekezds3szintChar">
    <w:name w:val="Listaszerű bekezdés 3. szint Char"/>
    <w:basedOn w:val="ListaszerbekezdsChar"/>
    <w:link w:val="Listaszerbekezds3szint"/>
    <w:uiPriority w:val="4"/>
    <w:rsid w:val="00D003E1"/>
  </w:style>
  <w:style w:type="paragraph" w:styleId="Alcm">
    <w:name w:val="Subtitle"/>
    <w:basedOn w:val="Norml"/>
    <w:next w:val="Norml"/>
    <w:link w:val="AlcmChar"/>
    <w:uiPriority w:val="11"/>
    <w:rsid w:val="00D003E1"/>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003E1"/>
    <w:rPr>
      <w:rFonts w:eastAsiaTheme="majorEastAsia" w:cstheme="majorBidi"/>
    </w:rPr>
  </w:style>
  <w:style w:type="paragraph" w:customStyle="1" w:styleId="Listabetvel">
    <w:name w:val="Lista betűvel"/>
    <w:basedOn w:val="Listaszerbekezds"/>
    <w:link w:val="ListabetvelChar"/>
    <w:uiPriority w:val="4"/>
    <w:qFormat/>
    <w:rsid w:val="00D003E1"/>
    <w:pPr>
      <w:numPr>
        <w:numId w:val="7"/>
      </w:numPr>
    </w:pPr>
  </w:style>
  <w:style w:type="character" w:customStyle="1" w:styleId="ListabetvelChar">
    <w:name w:val="Lista betűvel Char"/>
    <w:basedOn w:val="ListaszerbekezdsChar"/>
    <w:link w:val="Listabetvel"/>
    <w:uiPriority w:val="4"/>
    <w:rsid w:val="00D003E1"/>
  </w:style>
  <w:style w:type="paragraph" w:customStyle="1" w:styleId="Erskiemels1">
    <w:name w:val="Erős kiemelés1"/>
    <w:basedOn w:val="Norml"/>
    <w:link w:val="ErskiemelsChar"/>
    <w:uiPriority w:val="5"/>
    <w:qFormat/>
    <w:rsid w:val="00D003E1"/>
    <w:rPr>
      <w:b/>
      <w:i/>
    </w:rPr>
  </w:style>
  <w:style w:type="character" w:customStyle="1" w:styleId="ErskiemelsChar">
    <w:name w:val="Erős kiemelés Char"/>
    <w:basedOn w:val="Bekezdsalapbettpusa"/>
    <w:link w:val="Erskiemels1"/>
    <w:uiPriority w:val="5"/>
    <w:rsid w:val="00D003E1"/>
    <w:rPr>
      <w:b/>
      <w:i/>
    </w:rPr>
  </w:style>
  <w:style w:type="paragraph" w:customStyle="1" w:styleId="Bold">
    <w:name w:val="Bold"/>
    <w:basedOn w:val="Norml"/>
    <w:link w:val="BoldChar"/>
    <w:uiPriority w:val="6"/>
    <w:qFormat/>
    <w:rsid w:val="00D003E1"/>
    <w:rPr>
      <w:b/>
    </w:rPr>
  </w:style>
  <w:style w:type="character" w:customStyle="1" w:styleId="BoldChar">
    <w:name w:val="Bold Char"/>
    <w:basedOn w:val="Bekezdsalapbettpusa"/>
    <w:link w:val="Bold"/>
    <w:uiPriority w:val="6"/>
    <w:rsid w:val="00D003E1"/>
    <w:rPr>
      <w:b/>
    </w:rPr>
  </w:style>
  <w:style w:type="character" w:styleId="Mrltotthiperhivatkozs">
    <w:name w:val="FollowedHyperlink"/>
    <w:basedOn w:val="Bekezdsalapbettpusa"/>
    <w:uiPriority w:val="99"/>
    <w:semiHidden/>
    <w:unhideWhenUsed/>
    <w:rsid w:val="00D003E1"/>
    <w:rPr>
      <w:color w:val="954F72" w:themeColor="followedHyperlink"/>
      <w:u w:val="single"/>
    </w:rPr>
  </w:style>
  <w:style w:type="paragraph" w:styleId="Tartalomjegyzkcmsora">
    <w:name w:val="TOC Heading"/>
    <w:basedOn w:val="Cmsor1"/>
    <w:next w:val="Norml"/>
    <w:uiPriority w:val="39"/>
    <w:unhideWhenUsed/>
    <w:qFormat/>
    <w:rsid w:val="00D003E1"/>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003E1"/>
    <w:pPr>
      <w:spacing w:after="100"/>
      <w:ind w:left="220"/>
      <w:jc w:val="left"/>
    </w:pPr>
    <w:rPr>
      <w:rFonts w:eastAsiaTheme="minorEastAsia"/>
    </w:rPr>
  </w:style>
  <w:style w:type="paragraph" w:styleId="TJ1">
    <w:name w:val="toc 1"/>
    <w:basedOn w:val="Norml"/>
    <w:next w:val="Norml"/>
    <w:autoRedefine/>
    <w:uiPriority w:val="39"/>
    <w:unhideWhenUsed/>
    <w:qFormat/>
    <w:locked/>
    <w:rsid w:val="00D003E1"/>
    <w:pPr>
      <w:spacing w:after="100"/>
      <w:jc w:val="left"/>
    </w:pPr>
    <w:rPr>
      <w:rFonts w:eastAsiaTheme="minorEastAsia"/>
    </w:rPr>
  </w:style>
  <w:style w:type="paragraph" w:styleId="TJ3">
    <w:name w:val="toc 3"/>
    <w:basedOn w:val="Norml"/>
    <w:next w:val="Norml"/>
    <w:uiPriority w:val="39"/>
    <w:unhideWhenUsed/>
    <w:qFormat/>
    <w:locked/>
    <w:rsid w:val="00D003E1"/>
    <w:pPr>
      <w:spacing w:after="100"/>
      <w:ind w:left="400"/>
    </w:pPr>
  </w:style>
  <w:style w:type="paragraph" w:customStyle="1" w:styleId="StyleTOC2Left015">
    <w:name w:val="Style TOC 2 + Left:  0.15&quot;"/>
    <w:basedOn w:val="TJ2"/>
    <w:rsid w:val="00D003E1"/>
    <w:pPr>
      <w:ind w:left="216"/>
    </w:pPr>
    <w:rPr>
      <w:rFonts w:eastAsia="Times New Roman" w:cs="Times New Roman"/>
    </w:rPr>
  </w:style>
  <w:style w:type="paragraph" w:customStyle="1" w:styleId="StyleTOC3Left031">
    <w:name w:val="Style TOC 3 + Left:  0.31&quot;"/>
    <w:basedOn w:val="TJ3"/>
    <w:rsid w:val="00D003E1"/>
    <w:pPr>
      <w:ind w:left="446"/>
    </w:pPr>
    <w:rPr>
      <w:rFonts w:eastAsia="Times New Roman" w:cs="Times New Roman"/>
    </w:rPr>
  </w:style>
  <w:style w:type="numbering" w:customStyle="1" w:styleId="Hierarchikuslista">
    <w:name w:val="Hierarchikus lista"/>
    <w:uiPriority w:val="99"/>
    <w:rsid w:val="00D003E1"/>
    <w:pPr>
      <w:numPr>
        <w:numId w:val="2"/>
      </w:numPr>
    </w:pPr>
  </w:style>
  <w:style w:type="paragraph" w:customStyle="1" w:styleId="HierarchikusLista0">
    <w:name w:val="Hierarchikus Lista"/>
    <w:basedOn w:val="Listaszerbekezds"/>
    <w:link w:val="HierarchikusListaChar"/>
    <w:qFormat/>
    <w:rsid w:val="00D003E1"/>
    <w:pPr>
      <w:numPr>
        <w:numId w:val="0"/>
      </w:numPr>
    </w:pPr>
  </w:style>
  <w:style w:type="character" w:customStyle="1" w:styleId="HierarchikusListaChar">
    <w:name w:val="Hierarchikus Lista Char"/>
    <w:basedOn w:val="ListaszerbekezdsChar"/>
    <w:link w:val="HierarchikusLista0"/>
    <w:rsid w:val="00D003E1"/>
  </w:style>
  <w:style w:type="character" w:styleId="Kiemels2">
    <w:name w:val="Strong"/>
    <w:basedOn w:val="Bekezdsalapbettpusa"/>
    <w:uiPriority w:val="22"/>
    <w:rsid w:val="00D003E1"/>
    <w:rPr>
      <w:b/>
      <w:bCs/>
    </w:rPr>
  </w:style>
  <w:style w:type="character" w:styleId="Kiemels">
    <w:name w:val="Emphasis"/>
    <w:basedOn w:val="Bekezdsalapbettpusa"/>
    <w:uiPriority w:val="6"/>
    <w:qFormat/>
    <w:rsid w:val="00D003E1"/>
    <w:rPr>
      <w:i/>
      <w:iCs/>
    </w:rPr>
  </w:style>
  <w:style w:type="paragraph" w:styleId="Nincstrkz">
    <w:name w:val="No Spacing"/>
    <w:basedOn w:val="Norml"/>
    <w:uiPriority w:val="1"/>
    <w:rsid w:val="00D003E1"/>
    <w:rPr>
      <w:szCs w:val="32"/>
    </w:rPr>
  </w:style>
  <w:style w:type="paragraph" w:styleId="Idzet">
    <w:name w:val="Quote"/>
    <w:basedOn w:val="Norml"/>
    <w:next w:val="Norml"/>
    <w:link w:val="IdzetChar"/>
    <w:uiPriority w:val="29"/>
    <w:rsid w:val="00D003E1"/>
    <w:rPr>
      <w:i/>
    </w:rPr>
  </w:style>
  <w:style w:type="character" w:customStyle="1" w:styleId="IdzetChar">
    <w:name w:val="Idézet Char"/>
    <w:basedOn w:val="Bekezdsalapbettpusa"/>
    <w:link w:val="Idzet"/>
    <w:uiPriority w:val="29"/>
    <w:rsid w:val="00D003E1"/>
    <w:rPr>
      <w:i/>
    </w:rPr>
  </w:style>
  <w:style w:type="paragraph" w:styleId="Kiemeltidzet">
    <w:name w:val="Intense Quote"/>
    <w:basedOn w:val="Norml"/>
    <w:next w:val="Norml"/>
    <w:link w:val="KiemeltidzetChar"/>
    <w:uiPriority w:val="30"/>
    <w:rsid w:val="00D003E1"/>
    <w:pPr>
      <w:ind w:left="720" w:right="720"/>
    </w:pPr>
    <w:rPr>
      <w:b/>
      <w:i/>
    </w:rPr>
  </w:style>
  <w:style w:type="character" w:customStyle="1" w:styleId="KiemeltidzetChar">
    <w:name w:val="Kiemelt idézet Char"/>
    <w:basedOn w:val="Bekezdsalapbettpusa"/>
    <w:link w:val="Kiemeltidzet"/>
    <w:uiPriority w:val="30"/>
    <w:rsid w:val="00D003E1"/>
    <w:rPr>
      <w:b/>
      <w:i/>
    </w:rPr>
  </w:style>
  <w:style w:type="character" w:styleId="Erskiemels">
    <w:name w:val="Intense Emphasis"/>
    <w:basedOn w:val="Bekezdsalapbettpusa"/>
    <w:uiPriority w:val="21"/>
    <w:rsid w:val="00D003E1"/>
    <w:rPr>
      <w:b/>
      <w:i/>
      <w:sz w:val="24"/>
      <w:szCs w:val="24"/>
      <w:u w:val="single"/>
    </w:rPr>
  </w:style>
  <w:style w:type="character" w:styleId="Knyvcme">
    <w:name w:val="Book Title"/>
    <w:basedOn w:val="Bekezdsalapbettpusa"/>
    <w:uiPriority w:val="33"/>
    <w:rsid w:val="00D003E1"/>
    <w:rPr>
      <w:rFonts w:ascii="Calibri" w:eastAsiaTheme="majorEastAsia" w:hAnsi="Calibri"/>
      <w:b/>
      <w:i/>
      <w:sz w:val="24"/>
      <w:szCs w:val="24"/>
    </w:rPr>
  </w:style>
  <w:style w:type="paragraph" w:customStyle="1" w:styleId="Szvegdobozstlus">
    <w:name w:val="Szövegdoboz stílus"/>
    <w:basedOn w:val="HierarchikusLista0"/>
    <w:qFormat/>
    <w:rsid w:val="00D003E1"/>
    <w:rPr>
      <w:b/>
      <w:i/>
      <w:color w:val="009EE0"/>
    </w:rPr>
  </w:style>
  <w:style w:type="table" w:customStyle="1" w:styleId="Rcsos">
    <w:name w:val="Rácsos"/>
    <w:basedOn w:val="Normltblzat"/>
    <w:uiPriority w:val="99"/>
    <w:rsid w:val="00D003E1"/>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D003E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003E1"/>
    <w:pPr>
      <w:keepNext/>
      <w:spacing w:after="40"/>
      <w:jc w:val="center"/>
    </w:pPr>
    <w:rPr>
      <w:b/>
      <w:bCs/>
      <w:color w:val="808080"/>
      <w:szCs w:val="18"/>
    </w:rPr>
  </w:style>
  <w:style w:type="paragraph" w:customStyle="1" w:styleId="ENCaption2Col">
    <w:name w:val="EN_Caption_2Col"/>
    <w:basedOn w:val="Norml"/>
    <w:next w:val="Norml"/>
    <w:uiPriority w:val="1"/>
    <w:qFormat/>
    <w:rsid w:val="00D003E1"/>
    <w:pPr>
      <w:keepNext/>
      <w:spacing w:after="40"/>
      <w:jc w:val="left"/>
    </w:pPr>
    <w:rPr>
      <w:b/>
      <w:bCs/>
      <w:color w:val="808080"/>
      <w:szCs w:val="18"/>
    </w:rPr>
  </w:style>
  <w:style w:type="paragraph" w:customStyle="1" w:styleId="ENCaptionBox">
    <w:name w:val="EN_Caption_Box"/>
    <w:basedOn w:val="Norml"/>
    <w:next w:val="Norml"/>
    <w:uiPriority w:val="1"/>
    <w:qFormat/>
    <w:rsid w:val="00D003E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003E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003E1"/>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D003E1"/>
    <w:rPr>
      <w:rFonts w:eastAsiaTheme="minorEastAsia"/>
      <w:color w:val="808080"/>
      <w:sz w:val="18"/>
    </w:rPr>
  </w:style>
  <w:style w:type="paragraph" w:customStyle="1" w:styleId="ENNormal">
    <w:name w:val="EN_Normal"/>
    <w:basedOn w:val="Norml"/>
    <w:uiPriority w:val="1"/>
    <w:qFormat/>
    <w:rsid w:val="00D003E1"/>
  </w:style>
  <w:style w:type="paragraph" w:customStyle="1" w:styleId="ENNormalBox">
    <w:name w:val="EN_Normal_Box"/>
    <w:basedOn w:val="Norml"/>
    <w:uiPriority w:val="1"/>
    <w:qFormat/>
    <w:rsid w:val="00D003E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D003E1"/>
    <w:pPr>
      <w:keepLines/>
      <w:jc w:val="center"/>
    </w:pPr>
    <w:rPr>
      <w:color w:val="808080"/>
      <w:sz w:val="18"/>
    </w:rPr>
  </w:style>
  <w:style w:type="paragraph" w:customStyle="1" w:styleId="ENNote2Col">
    <w:name w:val="EN_Note_2Col"/>
    <w:basedOn w:val="Norml"/>
    <w:next w:val="ENNormal"/>
    <w:uiPriority w:val="1"/>
    <w:qFormat/>
    <w:rsid w:val="00D003E1"/>
    <w:pPr>
      <w:keepLines/>
    </w:pPr>
    <w:rPr>
      <w:color w:val="808080"/>
      <w:sz w:val="18"/>
    </w:rPr>
  </w:style>
  <w:style w:type="paragraph" w:customStyle="1" w:styleId="ENNoteBox">
    <w:name w:val="EN_Note_Box"/>
    <w:basedOn w:val="Norml"/>
    <w:next w:val="ENNormalBox"/>
    <w:uiPriority w:val="1"/>
    <w:qFormat/>
    <w:rsid w:val="00D003E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003E1"/>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D003E1"/>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D003E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003E1"/>
    <w:pPr>
      <w:keepNext/>
      <w:spacing w:after="40"/>
      <w:jc w:val="center"/>
    </w:pPr>
    <w:rPr>
      <w:sz w:val="20"/>
    </w:rPr>
  </w:style>
  <w:style w:type="paragraph" w:customStyle="1" w:styleId="HUCaption2Col">
    <w:name w:val="HU_Caption_2Col"/>
    <w:basedOn w:val="Kpalrs"/>
    <w:next w:val="Norml"/>
    <w:uiPriority w:val="1"/>
    <w:qFormat/>
    <w:rsid w:val="00D003E1"/>
    <w:pPr>
      <w:keepNext/>
      <w:spacing w:after="40"/>
    </w:pPr>
    <w:rPr>
      <w:sz w:val="20"/>
    </w:rPr>
  </w:style>
  <w:style w:type="paragraph" w:customStyle="1" w:styleId="HUCaptionBox">
    <w:name w:val="HU_Caption_Box"/>
    <w:basedOn w:val="Kpalrs"/>
    <w:next w:val="Norml"/>
    <w:uiPriority w:val="1"/>
    <w:qFormat/>
    <w:rsid w:val="00D003E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003E1"/>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003E1"/>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003E1"/>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D003E1"/>
    <w:rPr>
      <w:caps/>
      <w:color w:val="0C2148" w:themeColor="text2"/>
    </w:rPr>
  </w:style>
  <w:style w:type="paragraph" w:customStyle="1" w:styleId="HUFootnote">
    <w:name w:val="HU_Footnote"/>
    <w:basedOn w:val="Lbjegyzetszveg"/>
    <w:uiPriority w:val="1"/>
    <w:qFormat/>
    <w:rsid w:val="00D003E1"/>
    <w:rPr>
      <w:color w:val="808080"/>
      <w:sz w:val="18"/>
    </w:rPr>
  </w:style>
  <w:style w:type="paragraph" w:customStyle="1" w:styleId="HUNormalBox">
    <w:name w:val="HU_Normal_Box"/>
    <w:basedOn w:val="Norml"/>
    <w:uiPriority w:val="1"/>
    <w:qFormat/>
    <w:rsid w:val="00D003E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D003E1"/>
    <w:pPr>
      <w:keepLines/>
      <w:jc w:val="center"/>
    </w:pPr>
    <w:rPr>
      <w:color w:val="808080"/>
      <w:sz w:val="18"/>
    </w:rPr>
  </w:style>
  <w:style w:type="paragraph" w:customStyle="1" w:styleId="HUNote2Col">
    <w:name w:val="HU_Note_2Col"/>
    <w:basedOn w:val="Norml"/>
    <w:next w:val="Norml"/>
    <w:uiPriority w:val="1"/>
    <w:qFormat/>
    <w:rsid w:val="00D003E1"/>
    <w:pPr>
      <w:keepLines/>
    </w:pPr>
    <w:rPr>
      <w:color w:val="808080"/>
      <w:sz w:val="18"/>
    </w:rPr>
  </w:style>
  <w:style w:type="paragraph" w:customStyle="1" w:styleId="HUNoteBox">
    <w:name w:val="HU_Note_Box"/>
    <w:basedOn w:val="Norml"/>
    <w:next w:val="HUNormalBox"/>
    <w:link w:val="HUNoteBoxChar"/>
    <w:uiPriority w:val="1"/>
    <w:qFormat/>
    <w:rsid w:val="00D003E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003E1"/>
    <w:rPr>
      <w:color w:val="808080"/>
      <w:sz w:val="18"/>
      <w:shd w:val="clear" w:color="auto" w:fill="C6EEFF"/>
    </w:rPr>
  </w:style>
  <w:style w:type="paragraph" w:customStyle="1" w:styleId="HUSectionTitle">
    <w:name w:val="HU_Section_Title"/>
    <w:basedOn w:val="Cmsor2"/>
    <w:next w:val="Norml"/>
    <w:link w:val="HUSectionTitleChar"/>
    <w:uiPriority w:val="1"/>
    <w:rsid w:val="00D003E1"/>
    <w:pPr>
      <w:keepNext/>
    </w:pPr>
  </w:style>
  <w:style w:type="character" w:customStyle="1" w:styleId="HUSectionTitleChar">
    <w:name w:val="HU_Section_Title Char"/>
    <w:basedOn w:val="Cmsor2Char"/>
    <w:link w:val="HUSectionTitle"/>
    <w:uiPriority w:val="1"/>
    <w:rsid w:val="00D003E1"/>
    <w:rPr>
      <w:b/>
      <w:color w:val="0C2148" w:themeColor="text2"/>
      <w:sz w:val="24"/>
      <w:szCs w:val="38"/>
    </w:rPr>
  </w:style>
  <w:style w:type="paragraph" w:customStyle="1" w:styleId="HUSubsectionTitle">
    <w:name w:val="HU_Subsection_Title"/>
    <w:basedOn w:val="Cmsor3"/>
    <w:next w:val="Norml"/>
    <w:link w:val="HUSubsectionTitleChar"/>
    <w:uiPriority w:val="1"/>
    <w:rsid w:val="00D003E1"/>
    <w:pPr>
      <w:keepNext/>
      <w:ind w:left="595" w:hanging="595"/>
    </w:pPr>
  </w:style>
  <w:style w:type="character" w:customStyle="1" w:styleId="HUSubsectionTitleChar">
    <w:name w:val="HU_Subsection_Title Char"/>
    <w:basedOn w:val="Cmsor3Char"/>
    <w:link w:val="HUSubsectionTitle"/>
    <w:uiPriority w:val="1"/>
    <w:rsid w:val="00D003E1"/>
    <w:rPr>
      <w:bCs/>
      <w:color w:val="0C2148" w:themeColor="text2"/>
      <w:szCs w:val="34"/>
    </w:rPr>
  </w:style>
  <w:style w:type="paragraph" w:customStyle="1" w:styleId="Heading1Kiadvny">
    <w:name w:val="Heading 1 Kiadvány"/>
    <w:basedOn w:val="Cmsor1"/>
    <w:qFormat/>
    <w:rsid w:val="00D003E1"/>
    <w:rPr>
      <w:b w:val="0"/>
      <w:caps w:val="0"/>
      <w:sz w:val="52"/>
    </w:rPr>
  </w:style>
  <w:style w:type="character" w:styleId="Jegyzethivatkozs">
    <w:name w:val="annotation reference"/>
    <w:uiPriority w:val="99"/>
    <w:semiHidden/>
    <w:unhideWhenUsed/>
    <w:rsid w:val="00BB1E22"/>
    <w:rPr>
      <w:sz w:val="16"/>
      <w:szCs w:val="16"/>
    </w:rPr>
  </w:style>
  <w:style w:type="paragraph" w:styleId="Jegyzetszveg">
    <w:name w:val="annotation text"/>
    <w:basedOn w:val="Norml"/>
    <w:link w:val="JegyzetszvegChar"/>
    <w:uiPriority w:val="99"/>
    <w:unhideWhenUsed/>
    <w:rsid w:val="00BB1E22"/>
    <w:rPr>
      <w:lang w:val="x-none" w:eastAsia="x-none"/>
    </w:rPr>
  </w:style>
  <w:style w:type="character" w:customStyle="1" w:styleId="JegyzetszvegChar">
    <w:name w:val="Jegyzetszöveg Char"/>
    <w:basedOn w:val="Bekezdsalapbettpusa"/>
    <w:link w:val="Jegyzetszveg"/>
    <w:uiPriority w:val="99"/>
    <w:rsid w:val="00BB1E22"/>
    <w:rPr>
      <w:lang w:val="x-none" w:eastAsia="x-none"/>
    </w:rPr>
  </w:style>
  <w:style w:type="paragraph" w:styleId="Megjegyzstrgya">
    <w:name w:val="annotation subject"/>
    <w:basedOn w:val="Jegyzetszveg"/>
    <w:next w:val="Jegyzetszveg"/>
    <w:link w:val="MegjegyzstrgyaChar"/>
    <w:uiPriority w:val="99"/>
    <w:semiHidden/>
    <w:unhideWhenUsed/>
    <w:rsid w:val="00BB1E22"/>
    <w:pPr>
      <w:spacing w:line="240" w:lineRule="auto"/>
    </w:pPr>
    <w:rPr>
      <w:b/>
      <w:bCs/>
    </w:rPr>
  </w:style>
  <w:style w:type="character" w:customStyle="1" w:styleId="MegjegyzstrgyaChar">
    <w:name w:val="Megjegyzés tárgya Char"/>
    <w:basedOn w:val="JegyzetszvegChar"/>
    <w:link w:val="Megjegyzstrgya"/>
    <w:uiPriority w:val="99"/>
    <w:semiHidden/>
    <w:rsid w:val="00BB1E22"/>
    <w:rPr>
      <w:b/>
      <w:bCs/>
      <w:lang w:val="x-none" w:eastAsia="x-none"/>
    </w:rPr>
  </w:style>
  <w:style w:type="paragraph" w:styleId="Vltozat">
    <w:name w:val="Revision"/>
    <w:hidden/>
    <w:uiPriority w:val="99"/>
    <w:semiHidden/>
    <w:rsid w:val="00BB1E22"/>
    <w:rPr>
      <w:rFonts w:eastAsia="Calibri" w:cs="Times New Roman"/>
      <w:szCs w:val="22"/>
    </w:rPr>
  </w:style>
  <w:style w:type="paragraph" w:customStyle="1" w:styleId="Erskiemels2">
    <w:name w:val="Erős kiemelés2"/>
    <w:basedOn w:val="Norml"/>
    <w:uiPriority w:val="5"/>
    <w:qFormat/>
    <w:rsid w:val="00BB1E22"/>
    <w:rPr>
      <w:b/>
      <w:i/>
    </w:rPr>
  </w:style>
  <w:style w:type="paragraph" w:customStyle="1" w:styleId="Erskiemels3">
    <w:name w:val="Erős kiemelés3"/>
    <w:basedOn w:val="Norml"/>
    <w:uiPriority w:val="5"/>
    <w:qFormat/>
    <w:rsid w:val="00BB1E22"/>
    <w:rPr>
      <w:b/>
      <w:i/>
    </w:rPr>
  </w:style>
  <w:style w:type="paragraph" w:customStyle="1" w:styleId="Erskiemels4">
    <w:name w:val="Erős kiemelés4"/>
    <w:basedOn w:val="Norml"/>
    <w:uiPriority w:val="5"/>
    <w:qFormat/>
    <w:rsid w:val="00BB1E22"/>
    <w:rPr>
      <w:b/>
      <w:i/>
    </w:rPr>
  </w:style>
  <w:style w:type="paragraph" w:customStyle="1" w:styleId="Erskiemels5">
    <w:name w:val="Erős kiemelés5"/>
    <w:basedOn w:val="Norml"/>
    <w:uiPriority w:val="5"/>
    <w:qFormat/>
    <w:rsid w:val="00BB1E22"/>
    <w:rPr>
      <w:b/>
      <w:i/>
    </w:rPr>
  </w:style>
  <w:style w:type="paragraph" w:customStyle="1" w:styleId="Erskiemels6">
    <w:name w:val="Erős kiemelés6"/>
    <w:basedOn w:val="Norml"/>
    <w:uiPriority w:val="5"/>
    <w:qFormat/>
    <w:rsid w:val="00BB1E22"/>
    <w:rPr>
      <w:b/>
      <w:i/>
    </w:rPr>
  </w:style>
  <w:style w:type="paragraph" w:customStyle="1" w:styleId="Erskiemels7">
    <w:name w:val="Erős kiemelés7"/>
    <w:basedOn w:val="Norml"/>
    <w:uiPriority w:val="5"/>
    <w:qFormat/>
    <w:rsid w:val="00BB1E22"/>
    <w:rPr>
      <w:b/>
      <w:i/>
    </w:rPr>
  </w:style>
  <w:style w:type="paragraph" w:customStyle="1" w:styleId="Erskiemels8">
    <w:name w:val="Erős kiemelés8"/>
    <w:basedOn w:val="Norml"/>
    <w:uiPriority w:val="5"/>
    <w:qFormat/>
    <w:rsid w:val="00BB1E22"/>
    <w:rPr>
      <w:b/>
      <w:i/>
    </w:rPr>
  </w:style>
  <w:style w:type="paragraph" w:customStyle="1" w:styleId="Erskiemels9">
    <w:name w:val="Erős kiemelés9"/>
    <w:basedOn w:val="Norml"/>
    <w:uiPriority w:val="5"/>
    <w:qFormat/>
    <w:rsid w:val="00BB1E22"/>
    <w:rPr>
      <w:b/>
      <w:i/>
    </w:rPr>
  </w:style>
  <w:style w:type="paragraph" w:customStyle="1" w:styleId="Erskiemels10">
    <w:name w:val="Erős kiemelés10"/>
    <w:basedOn w:val="Norml"/>
    <w:uiPriority w:val="5"/>
    <w:qFormat/>
    <w:rsid w:val="00BB1E22"/>
    <w:rPr>
      <w:b/>
      <w:i/>
    </w:rPr>
  </w:style>
  <w:style w:type="paragraph" w:customStyle="1" w:styleId="Erskiemels11">
    <w:name w:val="Erős kiemelés11"/>
    <w:basedOn w:val="Norml"/>
    <w:uiPriority w:val="5"/>
    <w:qFormat/>
    <w:rsid w:val="00C54C32"/>
    <w:rPr>
      <w:b/>
      <w:i/>
    </w:rPr>
  </w:style>
  <w:style w:type="paragraph" w:customStyle="1" w:styleId="Erskiemels12">
    <w:name w:val="Erős kiemelés12"/>
    <w:basedOn w:val="Norml"/>
    <w:uiPriority w:val="5"/>
    <w:qFormat/>
    <w:rsid w:val="005C1F6A"/>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3F41931D-629B-4C86-804B-CA28258CC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1956</Words>
  <Characters>9376</Characters>
  <Application>Microsoft Office Word</Application>
  <DocSecurity>0</DocSecurity>
  <Lines>78</Lines>
  <Paragraphs>22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MAP</dc:creator>
  <cp:keywords/>
  <dc:description/>
  <cp:lastModifiedBy>Juhász Katalin</cp:lastModifiedBy>
  <cp:revision>4</cp:revision>
  <cp:lastPrinted>1900-12-31T23:00:00Z</cp:lastPrinted>
  <dcterms:created xsi:type="dcterms:W3CDTF">2023-03-21T09:02:00Z</dcterms:created>
  <dcterms:modified xsi:type="dcterms:W3CDTF">2023-03-28T07:12:00Z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herberte@mnb.hu</vt:lpwstr>
  </property>
  <property fmtid="{D5CDD505-2E9C-101B-9397-08002B2CF9AE}" pid="6" name="MSIP_Label_b0d11092-50c9-4e74-84b5-b1af078dc3d0_SetDate">
    <vt:lpwstr>2019-01-25T09:51:39.6046502+01:00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2025-09-25T11:43:02Z</vt:filetime>
  </property>
  <property fmtid="{D5CDD505-2E9C-101B-9397-08002B2CF9AE}" pid="12" name="Érvényességet beállító">
    <vt:lpwstr>gubeknei</vt:lpwstr>
  </property>
  <property fmtid="{D5CDD505-2E9C-101B-9397-08002B2CF9AE}" pid="13" name="Érvényességi idő első beállítása">
    <vt:filetime>2020-09-25T11:43:02Z</vt:filetime>
  </property>
</Properties>
</file>