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37C8C" w14:textId="354F25CA" w:rsidR="00D21C2C" w:rsidRPr="00B6319A" w:rsidRDefault="006257EE" w:rsidP="0095284C">
      <w:pPr>
        <w:jc w:val="left"/>
        <w:rPr>
          <w:rFonts w:ascii="Arial" w:hAnsi="Arial" w:cs="Arial"/>
          <w:b/>
          <w:sz w:val="20"/>
        </w:rPr>
      </w:pPr>
      <w:bookmarkStart w:id="0" w:name="_Hlk75503488"/>
      <w:proofErr w:type="spellStart"/>
      <w:r w:rsidRPr="00B6319A">
        <w:rPr>
          <w:rFonts w:ascii="Arial" w:hAnsi="Arial" w:cs="Arial"/>
          <w:b/>
          <w:bCs/>
          <w:sz w:val="20"/>
          <w:lang w:val="en"/>
        </w:rPr>
        <w:t>MNB</w:t>
      </w:r>
      <w:proofErr w:type="spellEnd"/>
      <w:r w:rsidRPr="00B6319A">
        <w:rPr>
          <w:rFonts w:ascii="Arial" w:hAnsi="Arial" w:cs="Arial"/>
          <w:b/>
          <w:bCs/>
          <w:sz w:val="20"/>
          <w:lang w:val="en"/>
        </w:rPr>
        <w:t xml:space="preserve"> identification code: P74</w:t>
      </w:r>
    </w:p>
    <w:bookmarkEnd w:id="0"/>
    <w:p w14:paraId="29E8A295" w14:textId="77777777" w:rsidR="0095284C" w:rsidRPr="00B6319A" w:rsidRDefault="0095284C" w:rsidP="00D8333F">
      <w:pPr>
        <w:jc w:val="left"/>
        <w:rPr>
          <w:rFonts w:ascii="Arial" w:hAnsi="Arial" w:cs="Arial"/>
          <w:b/>
          <w:sz w:val="20"/>
        </w:rPr>
      </w:pPr>
    </w:p>
    <w:p w14:paraId="14FDB997" w14:textId="77777777" w:rsidR="006D1354" w:rsidRPr="00B6319A" w:rsidRDefault="00402603">
      <w:pPr>
        <w:jc w:val="center"/>
        <w:rPr>
          <w:rFonts w:ascii="Arial" w:eastAsia="Calibri" w:hAnsi="Arial" w:cs="Arial"/>
          <w:b/>
          <w:sz w:val="20"/>
        </w:rPr>
      </w:pPr>
      <w:r w:rsidRPr="00B6319A">
        <w:rPr>
          <w:rFonts w:ascii="Arial" w:eastAsia="Calibri" w:hAnsi="Arial" w:cs="Arial"/>
          <w:b/>
          <w:bCs/>
          <w:sz w:val="20"/>
          <w:lang w:val="en"/>
        </w:rPr>
        <w:t>Completion instructions for the report</w:t>
      </w:r>
    </w:p>
    <w:p w14:paraId="64C58835" w14:textId="77777777" w:rsidR="00D21C2C" w:rsidRPr="00B6319A" w:rsidRDefault="0038704C">
      <w:pPr>
        <w:jc w:val="center"/>
        <w:rPr>
          <w:rFonts w:ascii="Arial" w:hAnsi="Arial" w:cs="Arial"/>
          <w:b/>
          <w:sz w:val="20"/>
        </w:rPr>
      </w:pPr>
      <w:r w:rsidRPr="00B6319A">
        <w:rPr>
          <w:rFonts w:ascii="Arial" w:hAnsi="Arial" w:cs="Arial"/>
          <w:b/>
          <w:bCs/>
          <w:sz w:val="20"/>
          <w:lang w:val="en"/>
        </w:rPr>
        <w:t xml:space="preserve">Data of the statement of fees related to </w:t>
      </w:r>
      <w:proofErr w:type="gramStart"/>
      <w:r w:rsidRPr="00B6319A">
        <w:rPr>
          <w:rFonts w:ascii="Arial" w:hAnsi="Arial" w:cs="Arial"/>
          <w:b/>
          <w:bCs/>
          <w:sz w:val="20"/>
          <w:lang w:val="en"/>
        </w:rPr>
        <w:t>payments</w:t>
      </w:r>
      <w:proofErr w:type="gramEnd"/>
    </w:p>
    <w:p w14:paraId="0907357F" w14:textId="77777777" w:rsidR="00D21C2C" w:rsidRPr="00B6319A" w:rsidRDefault="00D21C2C">
      <w:pPr>
        <w:jc w:val="center"/>
        <w:rPr>
          <w:rFonts w:ascii="Arial" w:hAnsi="Arial" w:cs="Arial"/>
          <w:b/>
          <w:i/>
          <w:sz w:val="20"/>
        </w:rPr>
      </w:pPr>
    </w:p>
    <w:p w14:paraId="749BED40" w14:textId="77777777" w:rsidR="00D21C2C" w:rsidRPr="00B6319A" w:rsidRDefault="00D21C2C">
      <w:pPr>
        <w:jc w:val="center"/>
        <w:rPr>
          <w:rFonts w:ascii="Arial" w:hAnsi="Arial" w:cs="Arial"/>
          <w:b/>
          <w:sz w:val="20"/>
        </w:rPr>
      </w:pPr>
    </w:p>
    <w:p w14:paraId="1CE99F39" w14:textId="231AF42C" w:rsidR="002E3E37" w:rsidRPr="00B6319A" w:rsidRDefault="002E3E37">
      <w:pPr>
        <w:rPr>
          <w:rFonts w:ascii="Arial" w:hAnsi="Arial" w:cs="Arial"/>
          <w:b/>
          <w:sz w:val="20"/>
        </w:rPr>
      </w:pPr>
    </w:p>
    <w:p w14:paraId="498E01A2" w14:textId="77777777" w:rsidR="00D21C2C" w:rsidRPr="00B6319A" w:rsidRDefault="00D21C2C">
      <w:pPr>
        <w:rPr>
          <w:rFonts w:ascii="Arial" w:hAnsi="Arial" w:cs="Arial"/>
          <w:b/>
          <w:sz w:val="20"/>
        </w:rPr>
      </w:pPr>
      <w:r w:rsidRPr="00B6319A">
        <w:rPr>
          <w:rFonts w:ascii="Arial" w:hAnsi="Arial" w:cs="Arial"/>
          <w:b/>
          <w:bCs/>
          <w:sz w:val="20"/>
          <w:lang w:val="en"/>
        </w:rPr>
        <w:t>I. General instructions</w:t>
      </w:r>
    </w:p>
    <w:p w14:paraId="67E178F8" w14:textId="77777777" w:rsidR="00D21C2C" w:rsidRPr="00B6319A" w:rsidRDefault="00D21C2C">
      <w:pPr>
        <w:rPr>
          <w:rFonts w:ascii="Arial" w:hAnsi="Arial" w:cs="Arial"/>
          <w:bCs/>
          <w:sz w:val="20"/>
        </w:rPr>
      </w:pPr>
    </w:p>
    <w:p w14:paraId="344D76A3" w14:textId="32937441" w:rsidR="000C6FB6" w:rsidRPr="00B6319A" w:rsidRDefault="00EF4F7B" w:rsidP="00D93D8D">
      <w:pPr>
        <w:rPr>
          <w:rFonts w:ascii="Arial" w:hAnsi="Arial" w:cs="Arial"/>
          <w:sz w:val="20"/>
        </w:rPr>
      </w:pPr>
      <w:r w:rsidRPr="00B6319A">
        <w:rPr>
          <w:rFonts w:ascii="Arial" w:hAnsi="Arial" w:cs="Arial"/>
          <w:sz w:val="20"/>
          <w:lang w:val="en"/>
        </w:rPr>
        <w:t xml:space="preserve">1. The data supply shall include the data content of the statement of fees to be prepared annually by the payment service providers to their customers qualifying as consumers based on Section 6 of Government Decree No 144/2018 (VIII. 13.) on Certain issues related to the information on fees connected to payment accounts held for consumers and Commission Implementing Regulation (EU) No 2018/33 of 28 September 2017 laying down implementing technical standards with regard to the </w:t>
      </w:r>
      <w:proofErr w:type="spellStart"/>
      <w:r w:rsidRPr="00B6319A">
        <w:rPr>
          <w:rFonts w:ascii="Arial" w:hAnsi="Arial" w:cs="Arial"/>
          <w:sz w:val="20"/>
          <w:lang w:val="en"/>
        </w:rPr>
        <w:t>standardised</w:t>
      </w:r>
      <w:proofErr w:type="spellEnd"/>
      <w:r w:rsidRPr="00B6319A">
        <w:rPr>
          <w:rFonts w:ascii="Arial" w:hAnsi="Arial" w:cs="Arial"/>
          <w:sz w:val="20"/>
          <w:lang w:val="en"/>
        </w:rPr>
        <w:t xml:space="preserve"> presentation format of the statement of fees and its common symbol according to Directive 2014/92/EU of the European Parliament and of the Council, supplemented with certain data related to customer groups, transactions, credit cards and bank account products. The data supply shall contain all outgoing payments initiated by the customer in the reference period irrespective of whether he paid a fee for them or not and whether they are included in the statement of fees sent to the customer. The data supply shall be fulfilled in respect of all customers who were the data provider’s customers in the reference period in the area of any of the services specified in the data supply, irrespective of the reason for establishing or terminating the business connection, the length of using the service and the range of the services used.</w:t>
      </w:r>
    </w:p>
    <w:p w14:paraId="4FEAA91F" w14:textId="3568640C" w:rsidR="00A2010C" w:rsidRPr="00B6319A" w:rsidRDefault="004A1A0D" w:rsidP="00D93D8D">
      <w:pPr>
        <w:rPr>
          <w:rFonts w:ascii="Arial" w:hAnsi="Arial" w:cs="Arial"/>
          <w:sz w:val="20"/>
        </w:rPr>
      </w:pPr>
      <w:r w:rsidRPr="00B6319A">
        <w:rPr>
          <w:rFonts w:ascii="Arial" w:hAnsi="Arial" w:cs="Arial"/>
          <w:sz w:val="20"/>
          <w:lang w:val="en"/>
        </w:rPr>
        <w:t xml:space="preserve">When the customer has only a credit card contract with the payment service provider without a payment account contract, the data supply shall only contain data related to the credit cards. When the customer has a payment account contract </w:t>
      </w:r>
      <w:proofErr w:type="gramStart"/>
      <w:r w:rsidRPr="00B6319A">
        <w:rPr>
          <w:rFonts w:ascii="Arial" w:hAnsi="Arial" w:cs="Arial"/>
          <w:sz w:val="20"/>
          <w:lang w:val="en"/>
        </w:rPr>
        <w:t>and also</w:t>
      </w:r>
      <w:proofErr w:type="gramEnd"/>
      <w:r w:rsidRPr="00B6319A">
        <w:rPr>
          <w:rFonts w:ascii="Arial" w:hAnsi="Arial" w:cs="Arial"/>
          <w:sz w:val="20"/>
          <w:lang w:val="en"/>
        </w:rPr>
        <w:t xml:space="preserve"> a credit card contract, the data for both products shall be included in a single data supply, indicating the various services with the appropriate code. </w:t>
      </w:r>
    </w:p>
    <w:p w14:paraId="7866DABB" w14:textId="77777777" w:rsidR="00A2010C" w:rsidRPr="00B6319A" w:rsidRDefault="00A2010C" w:rsidP="00D93D8D">
      <w:pPr>
        <w:rPr>
          <w:rFonts w:ascii="Arial" w:hAnsi="Arial" w:cs="Arial"/>
          <w:sz w:val="20"/>
        </w:rPr>
      </w:pPr>
    </w:p>
    <w:p w14:paraId="1CE23B49" w14:textId="77777777" w:rsidR="00D93D8D" w:rsidRPr="00B6319A" w:rsidRDefault="00A2010C" w:rsidP="00D93D8D">
      <w:pPr>
        <w:rPr>
          <w:rFonts w:ascii="Arial" w:hAnsi="Arial" w:cs="Arial"/>
          <w:sz w:val="20"/>
        </w:rPr>
      </w:pPr>
      <w:r w:rsidRPr="00B6319A">
        <w:rPr>
          <w:rFonts w:ascii="Arial" w:hAnsi="Arial" w:cs="Arial"/>
          <w:sz w:val="20"/>
          <w:lang w:val="en"/>
        </w:rPr>
        <w:t xml:space="preserve">2. In the case of a sponsoring bank relationship, the data of the sponsored bank are submitted to the </w:t>
      </w:r>
      <w:proofErr w:type="spellStart"/>
      <w:r w:rsidRPr="00B6319A">
        <w:rPr>
          <w:rFonts w:ascii="Arial" w:hAnsi="Arial" w:cs="Arial"/>
          <w:sz w:val="20"/>
          <w:lang w:val="en"/>
        </w:rPr>
        <w:t>MNB</w:t>
      </w:r>
      <w:proofErr w:type="spellEnd"/>
      <w:r w:rsidRPr="00B6319A">
        <w:rPr>
          <w:rFonts w:ascii="Arial" w:hAnsi="Arial" w:cs="Arial"/>
          <w:sz w:val="20"/>
          <w:lang w:val="en"/>
        </w:rPr>
        <w:t xml:space="preserve"> either by the sponsored bank or by the sponsoring bank; in the latter case, the data must be separated from its own data and the GIRO code and registration number of the sponsored bank shall be indicated.</w:t>
      </w:r>
    </w:p>
    <w:p w14:paraId="2E092308" w14:textId="77777777" w:rsidR="009E708A" w:rsidRPr="00B6319A" w:rsidRDefault="009E708A" w:rsidP="009E708A">
      <w:pPr>
        <w:rPr>
          <w:rFonts w:ascii="Arial" w:hAnsi="Arial" w:cs="Arial"/>
          <w:sz w:val="20"/>
        </w:rPr>
      </w:pPr>
    </w:p>
    <w:p w14:paraId="753FB08E" w14:textId="65C0D163" w:rsidR="00716CFC" w:rsidRPr="00B6319A" w:rsidRDefault="00CB59B8" w:rsidP="000324AC">
      <w:pPr>
        <w:ind w:right="57"/>
        <w:rPr>
          <w:rFonts w:ascii="Arial" w:hAnsi="Arial" w:cs="Arial"/>
          <w:sz w:val="20"/>
        </w:rPr>
      </w:pPr>
      <w:r w:rsidRPr="00B6319A">
        <w:rPr>
          <w:rFonts w:ascii="Arial" w:hAnsi="Arial" w:cs="Arial"/>
          <w:sz w:val="20"/>
          <w:lang w:val="en"/>
        </w:rPr>
        <w:t xml:space="preserve">3. The data shall be reported with an anonymous identifier generated in accordance with the Code Generation description provided by the </w:t>
      </w:r>
      <w:proofErr w:type="spellStart"/>
      <w:r w:rsidRPr="00B6319A">
        <w:rPr>
          <w:rFonts w:ascii="Arial" w:hAnsi="Arial" w:cs="Arial"/>
          <w:sz w:val="20"/>
          <w:lang w:val="en"/>
        </w:rPr>
        <w:t>MNB</w:t>
      </w:r>
      <w:proofErr w:type="spellEnd"/>
      <w:r w:rsidRPr="00B6319A">
        <w:rPr>
          <w:rFonts w:ascii="Arial" w:hAnsi="Arial" w:cs="Arial"/>
          <w:sz w:val="20"/>
          <w:lang w:val="en"/>
        </w:rPr>
        <w:t>.</w:t>
      </w:r>
    </w:p>
    <w:p w14:paraId="2F91B6A2" w14:textId="500320D4" w:rsidR="009E708A" w:rsidRPr="00B6319A" w:rsidRDefault="009E708A" w:rsidP="000324AC">
      <w:pPr>
        <w:ind w:right="57"/>
        <w:rPr>
          <w:rFonts w:ascii="Arial" w:hAnsi="Arial" w:cs="Arial"/>
          <w:sz w:val="20"/>
        </w:rPr>
      </w:pPr>
    </w:p>
    <w:p w14:paraId="5686E91A" w14:textId="5621B3CB" w:rsidR="00BE26AE" w:rsidRPr="00B6319A" w:rsidRDefault="00CB59B8" w:rsidP="0048508F">
      <w:pPr>
        <w:ind w:right="57"/>
        <w:rPr>
          <w:rFonts w:ascii="Arial" w:hAnsi="Arial" w:cs="Arial"/>
          <w:sz w:val="20"/>
        </w:rPr>
      </w:pPr>
      <w:r w:rsidRPr="00B6319A">
        <w:rPr>
          <w:rFonts w:ascii="Arial" w:hAnsi="Arial" w:cs="Arial"/>
          <w:sz w:val="20"/>
          <w:lang w:val="en"/>
        </w:rPr>
        <w:t xml:space="preserve">4. The codes to be used for the completion are included in the technical guidelines, specified in point 4.8 of Annex 3, published on the </w:t>
      </w:r>
      <w:proofErr w:type="spellStart"/>
      <w:r w:rsidRPr="00B6319A">
        <w:rPr>
          <w:rFonts w:ascii="Arial" w:hAnsi="Arial" w:cs="Arial"/>
          <w:sz w:val="20"/>
          <w:lang w:val="en"/>
        </w:rPr>
        <w:t>MNB’s</w:t>
      </w:r>
      <w:proofErr w:type="spellEnd"/>
      <w:r w:rsidRPr="00B6319A">
        <w:rPr>
          <w:rFonts w:ascii="Arial" w:hAnsi="Arial" w:cs="Arial"/>
          <w:sz w:val="20"/>
          <w:lang w:val="en"/>
        </w:rPr>
        <w:t xml:space="preserve"> website.</w:t>
      </w:r>
    </w:p>
    <w:p w14:paraId="5B9F7F01" w14:textId="77777777" w:rsidR="00BE26AE" w:rsidRPr="00B6319A" w:rsidRDefault="00BE26AE" w:rsidP="0048508F">
      <w:pPr>
        <w:ind w:right="57"/>
        <w:rPr>
          <w:rFonts w:ascii="Arial" w:hAnsi="Arial" w:cs="Arial"/>
          <w:sz w:val="20"/>
        </w:rPr>
      </w:pPr>
    </w:p>
    <w:p w14:paraId="2E2D27B1" w14:textId="7F14AFC9" w:rsidR="00CB59B8" w:rsidRPr="00B6319A" w:rsidRDefault="00BE26AE" w:rsidP="000324AC">
      <w:pPr>
        <w:ind w:right="57"/>
        <w:rPr>
          <w:rFonts w:ascii="Arial" w:hAnsi="Arial" w:cs="Arial"/>
          <w:sz w:val="20"/>
        </w:rPr>
      </w:pPr>
      <w:r w:rsidRPr="00B6319A">
        <w:rPr>
          <w:rFonts w:ascii="Arial" w:hAnsi="Arial" w:cs="Arial"/>
          <w:sz w:val="20"/>
          <w:lang w:val="en"/>
        </w:rPr>
        <w:t xml:space="preserve">5. The individual verification criteria and methodological guidelines supporting the proper completion tables are included in the technical guidelines, specified in points 5 and 9 of Annex 3, published on the </w:t>
      </w:r>
      <w:proofErr w:type="spellStart"/>
      <w:r w:rsidRPr="00B6319A">
        <w:rPr>
          <w:rFonts w:ascii="Arial" w:hAnsi="Arial" w:cs="Arial"/>
          <w:sz w:val="20"/>
          <w:lang w:val="en"/>
        </w:rPr>
        <w:t>MNB’s</w:t>
      </w:r>
      <w:proofErr w:type="spellEnd"/>
      <w:r w:rsidRPr="00B6319A">
        <w:rPr>
          <w:rFonts w:ascii="Arial" w:hAnsi="Arial" w:cs="Arial"/>
          <w:sz w:val="20"/>
          <w:lang w:val="en"/>
        </w:rPr>
        <w:t xml:space="preserve"> website. </w:t>
      </w:r>
    </w:p>
    <w:p w14:paraId="12FA4B69" w14:textId="77777777" w:rsidR="00CB59B8" w:rsidRPr="00B6319A" w:rsidRDefault="00CB59B8" w:rsidP="009E708A">
      <w:pPr>
        <w:rPr>
          <w:rFonts w:ascii="Arial" w:hAnsi="Arial" w:cs="Arial"/>
          <w:sz w:val="20"/>
        </w:rPr>
      </w:pPr>
    </w:p>
    <w:p w14:paraId="2E3572D9" w14:textId="77777777" w:rsidR="0028351E" w:rsidRPr="00B6319A" w:rsidRDefault="0028351E" w:rsidP="009E708A">
      <w:pPr>
        <w:rPr>
          <w:rFonts w:ascii="Arial" w:hAnsi="Arial" w:cs="Arial"/>
          <w:sz w:val="20"/>
        </w:rPr>
      </w:pPr>
    </w:p>
    <w:p w14:paraId="5383BD0E" w14:textId="77777777" w:rsidR="00D21C2C" w:rsidRPr="00B6319A" w:rsidRDefault="0038704C">
      <w:pPr>
        <w:rPr>
          <w:rFonts w:ascii="Arial" w:hAnsi="Arial" w:cs="Arial"/>
          <w:b/>
          <w:sz w:val="20"/>
        </w:rPr>
      </w:pPr>
      <w:r w:rsidRPr="00B6319A">
        <w:rPr>
          <w:rFonts w:ascii="Arial" w:hAnsi="Arial" w:cs="Arial"/>
          <w:b/>
          <w:bCs/>
          <w:sz w:val="20"/>
          <w:lang w:val="en"/>
        </w:rPr>
        <w:t>II. Detailed instructions for the completion of the data supply</w:t>
      </w:r>
    </w:p>
    <w:p w14:paraId="7FF8B433" w14:textId="77777777" w:rsidR="00D21C2C" w:rsidRPr="00B6319A" w:rsidRDefault="00D21C2C">
      <w:pPr>
        <w:rPr>
          <w:rFonts w:ascii="Arial" w:hAnsi="Arial" w:cs="Arial"/>
          <w:sz w:val="20"/>
        </w:rPr>
      </w:pPr>
    </w:p>
    <w:p w14:paraId="0325FADF" w14:textId="5278E784" w:rsidR="00945771" w:rsidRPr="00B6319A" w:rsidRDefault="005E4F64">
      <w:pPr>
        <w:rPr>
          <w:rFonts w:ascii="Arial" w:hAnsi="Arial" w:cs="Arial"/>
          <w:b/>
          <w:bCs/>
          <w:sz w:val="20"/>
        </w:rPr>
      </w:pPr>
      <w:r w:rsidRPr="00B6319A">
        <w:rPr>
          <w:rFonts w:ascii="Arial" w:hAnsi="Arial" w:cs="Arial"/>
          <w:b/>
          <w:bCs/>
          <w:sz w:val="20"/>
          <w:lang w:val="en"/>
        </w:rPr>
        <w:t>Table P7401:</w:t>
      </w:r>
    </w:p>
    <w:p w14:paraId="6315F7AE" w14:textId="77777777" w:rsidR="008436A8" w:rsidRPr="00B6319A" w:rsidRDefault="008436A8">
      <w:pPr>
        <w:rPr>
          <w:rFonts w:ascii="Arial" w:hAnsi="Arial" w:cs="Arial"/>
          <w:sz w:val="20"/>
        </w:rPr>
      </w:pPr>
      <w:r w:rsidRPr="00B6319A">
        <w:rPr>
          <w:rFonts w:ascii="Arial" w:hAnsi="Arial" w:cs="Arial"/>
          <w:sz w:val="20"/>
          <w:lang w:val="en"/>
        </w:rPr>
        <w:t>Data to be reported in the individual columns:</w:t>
      </w:r>
    </w:p>
    <w:p w14:paraId="5CCBB0AB" w14:textId="2CC7F9CB" w:rsidR="00F849ED" w:rsidRPr="00B6319A" w:rsidRDefault="0007681A" w:rsidP="009A585D">
      <w:pPr>
        <w:pStyle w:val="Listaszerbekezds"/>
        <w:numPr>
          <w:ilvl w:val="0"/>
          <w:numId w:val="26"/>
        </w:numPr>
        <w:ind w:left="851" w:hanging="491"/>
        <w:rPr>
          <w:rFonts w:ascii="Arial" w:hAnsi="Arial" w:cs="Arial"/>
          <w:sz w:val="20"/>
        </w:rPr>
      </w:pPr>
      <w:r w:rsidRPr="00B6319A">
        <w:rPr>
          <w:rFonts w:ascii="Arial" w:hAnsi="Arial" w:cs="Arial"/>
          <w:sz w:val="20"/>
          <w:lang w:val="en"/>
        </w:rPr>
        <w:t xml:space="preserve">Sequence number: this column shall contain the sequence number with continuous </w:t>
      </w:r>
      <w:proofErr w:type="gramStart"/>
      <w:r w:rsidRPr="00B6319A">
        <w:rPr>
          <w:rFonts w:ascii="Arial" w:hAnsi="Arial" w:cs="Arial"/>
          <w:sz w:val="20"/>
          <w:lang w:val="en"/>
        </w:rPr>
        <w:t>numbering</w:t>
      </w:r>
      <w:proofErr w:type="gramEnd"/>
    </w:p>
    <w:p w14:paraId="0D457487" w14:textId="748FD099" w:rsidR="009C17CC" w:rsidRPr="00B6319A" w:rsidRDefault="00510DFC" w:rsidP="009A585D">
      <w:pPr>
        <w:ind w:left="851" w:hanging="491"/>
        <w:rPr>
          <w:rFonts w:ascii="Arial" w:hAnsi="Arial" w:cs="Arial"/>
          <w:sz w:val="20"/>
        </w:rPr>
      </w:pPr>
      <w:r w:rsidRPr="00B6319A">
        <w:rPr>
          <w:rFonts w:ascii="Arial" w:hAnsi="Arial" w:cs="Arial"/>
          <w:sz w:val="20"/>
          <w:lang w:val="en"/>
        </w:rPr>
        <w:t>b)</w:t>
      </w:r>
      <w:r w:rsidRPr="00B6319A">
        <w:rPr>
          <w:rFonts w:ascii="Arial" w:hAnsi="Arial" w:cs="Arial"/>
          <w:sz w:val="20"/>
          <w:lang w:val="en"/>
        </w:rPr>
        <w:tab/>
        <w:t>Anonymous identifier: this column shall contain the customer’s anonymous identifier generated in accordance with the Code Generation description mentioned in Section I.3. The same customer shall be reported with the same anonymous identifier in all data supplies, and the anonymous identifier shall be constant in time as well. These conditions shall be also satisfied if the respective person is removed from and then repeatedly included in the data supply (</w:t>
      </w:r>
      <w:proofErr w:type="gramStart"/>
      <w:r w:rsidRPr="00B6319A">
        <w:rPr>
          <w:rFonts w:ascii="Arial" w:hAnsi="Arial" w:cs="Arial"/>
          <w:sz w:val="20"/>
          <w:lang w:val="en"/>
        </w:rPr>
        <w:t>e.g.</w:t>
      </w:r>
      <w:proofErr w:type="gramEnd"/>
      <w:r w:rsidRPr="00B6319A">
        <w:rPr>
          <w:rFonts w:ascii="Arial" w:hAnsi="Arial" w:cs="Arial"/>
          <w:sz w:val="20"/>
          <w:lang w:val="en"/>
        </w:rPr>
        <w:t xml:space="preserve"> if a customer closes a previous payment account and later opens a new payment account, in which case the customer shall be assigned the same anonymous identifier when opening the new account). </w:t>
      </w:r>
    </w:p>
    <w:p w14:paraId="3C9421CE" w14:textId="24DAA450" w:rsidR="00AE35E7" w:rsidRPr="00B6319A" w:rsidRDefault="00510DFC" w:rsidP="009A585D">
      <w:pPr>
        <w:ind w:left="850" w:hanging="493"/>
        <w:rPr>
          <w:rFonts w:ascii="Arial" w:hAnsi="Arial" w:cs="Arial"/>
          <w:sz w:val="20"/>
        </w:rPr>
      </w:pPr>
      <w:r w:rsidRPr="00B6319A">
        <w:rPr>
          <w:rFonts w:ascii="Arial" w:hAnsi="Arial" w:cs="Arial"/>
          <w:sz w:val="20"/>
          <w:lang w:val="en"/>
        </w:rPr>
        <w:t>c)</w:t>
      </w:r>
      <w:r w:rsidRPr="00B6319A">
        <w:rPr>
          <w:rFonts w:ascii="Arial" w:hAnsi="Arial" w:cs="Arial"/>
          <w:sz w:val="20"/>
          <w:lang w:val="en"/>
        </w:rPr>
        <w:tab/>
        <w:t>Customer’s year of birth: this column shall contain the customer’s year of birth. Only the year shall be indicated.</w:t>
      </w:r>
    </w:p>
    <w:p w14:paraId="19E1AF9C" w14:textId="00D2EB84" w:rsidR="009C17CC" w:rsidRPr="00B6319A" w:rsidRDefault="00510DFC" w:rsidP="00DD594C">
      <w:pPr>
        <w:ind w:left="851" w:hanging="491"/>
        <w:rPr>
          <w:rFonts w:ascii="Arial" w:hAnsi="Arial" w:cs="Arial"/>
          <w:sz w:val="20"/>
        </w:rPr>
      </w:pPr>
      <w:r w:rsidRPr="00B6319A">
        <w:rPr>
          <w:rFonts w:ascii="Arial" w:hAnsi="Arial" w:cs="Arial"/>
          <w:sz w:val="20"/>
          <w:lang w:val="en"/>
        </w:rPr>
        <w:t>d)</w:t>
      </w:r>
      <w:r w:rsidRPr="00B6319A">
        <w:rPr>
          <w:rFonts w:ascii="Arial" w:hAnsi="Arial" w:cs="Arial"/>
          <w:sz w:val="20"/>
          <w:lang w:val="en"/>
        </w:rPr>
        <w:tab/>
        <w:t>Title of account package: this column shall contain the title of the respective account product (title of the payment account) in accordance with Article 5(1) of the Commission implementing regulation. When the customer also has a credit card, the name of the credit card shall be shown in the column at the data related to the credit card.</w:t>
      </w:r>
    </w:p>
    <w:p w14:paraId="021AAA00" w14:textId="3641AF7D" w:rsidR="00592692" w:rsidRPr="00B6319A" w:rsidRDefault="00510DFC" w:rsidP="009A585D">
      <w:pPr>
        <w:ind w:left="850" w:hanging="493"/>
        <w:rPr>
          <w:rFonts w:ascii="Arial" w:hAnsi="Arial" w:cs="Arial"/>
          <w:sz w:val="20"/>
        </w:rPr>
      </w:pPr>
      <w:r w:rsidRPr="00B6319A">
        <w:rPr>
          <w:rFonts w:ascii="Arial" w:hAnsi="Arial" w:cs="Arial"/>
          <w:sz w:val="20"/>
          <w:lang w:val="en"/>
        </w:rPr>
        <w:t>e)</w:t>
      </w:r>
      <w:r w:rsidRPr="00B6319A">
        <w:rPr>
          <w:rFonts w:ascii="Arial" w:hAnsi="Arial" w:cs="Arial"/>
          <w:sz w:val="20"/>
          <w:lang w:val="en"/>
        </w:rPr>
        <w:tab/>
        <w:t xml:space="preserve">Product code of the account package used in data supply 9SED: this column shall contain the product code of the account product used in data supply 9SED. If there are several versions of a </w:t>
      </w:r>
      <w:r w:rsidRPr="00B6319A">
        <w:rPr>
          <w:rFonts w:ascii="Arial" w:hAnsi="Arial" w:cs="Arial"/>
          <w:sz w:val="20"/>
          <w:lang w:val="en"/>
        </w:rPr>
        <w:lastRenderedPageBreak/>
        <w:t>given product and it has been assigned a separate 9SED code, each product version must be assigned a unique 9SED code; it is not possible to report all product versions together under a single product code. All code values reported in the 9SED data report must be included in the data report. If the respective account product is not to be included in data report 9SED and is not a foreign currency account, this column shall be left blank. If the account product is a foreign currency account, the code ‘</w:t>
      </w:r>
      <w:proofErr w:type="spellStart"/>
      <w:r w:rsidR="006B73FA">
        <w:rPr>
          <w:rFonts w:ascii="Arial" w:hAnsi="Arial" w:cs="Arial"/>
          <w:sz w:val="20"/>
          <w:lang w:val="en"/>
        </w:rPr>
        <w:t>Deviza</w:t>
      </w:r>
      <w:proofErr w:type="spellEnd"/>
      <w:r w:rsidRPr="00B6319A">
        <w:rPr>
          <w:rFonts w:ascii="Arial" w:hAnsi="Arial" w:cs="Arial"/>
          <w:sz w:val="20"/>
          <w:lang w:val="en"/>
        </w:rPr>
        <w:t>’ is required. When the customer has a credit card, the column shall show the ‘</w:t>
      </w:r>
      <w:proofErr w:type="spellStart"/>
      <w:r w:rsidRPr="00B6319A">
        <w:rPr>
          <w:rFonts w:ascii="Arial" w:hAnsi="Arial" w:cs="Arial"/>
          <w:sz w:val="20"/>
          <w:lang w:val="en"/>
        </w:rPr>
        <w:t>HITELKARTYA</w:t>
      </w:r>
      <w:proofErr w:type="spellEnd"/>
      <w:r w:rsidRPr="00B6319A">
        <w:rPr>
          <w:rFonts w:ascii="Arial" w:hAnsi="Arial" w:cs="Arial"/>
          <w:sz w:val="20"/>
          <w:lang w:val="en"/>
        </w:rPr>
        <w:t>’ category for the data related to the credit card.</w:t>
      </w:r>
    </w:p>
    <w:p w14:paraId="53F86990" w14:textId="10F60CFA" w:rsidR="00592692" w:rsidRPr="00B6319A" w:rsidRDefault="00B737E8" w:rsidP="000324AC">
      <w:pPr>
        <w:ind w:left="851" w:hanging="491"/>
        <w:rPr>
          <w:rFonts w:ascii="Arial" w:hAnsi="Arial" w:cs="Arial"/>
          <w:sz w:val="20"/>
        </w:rPr>
      </w:pPr>
      <w:r w:rsidRPr="00B6319A">
        <w:rPr>
          <w:rFonts w:ascii="Arial" w:hAnsi="Arial" w:cs="Arial"/>
          <w:sz w:val="20"/>
          <w:lang w:val="en"/>
        </w:rPr>
        <w:t>f), g)</w:t>
      </w:r>
      <w:r w:rsidRPr="00B6319A">
        <w:rPr>
          <w:rFonts w:ascii="Arial" w:hAnsi="Arial" w:cs="Arial"/>
          <w:sz w:val="20"/>
          <w:lang w:val="en"/>
        </w:rPr>
        <w:tab/>
        <w:t>Period start and end: these columns shall indicate the period to which the data relate, in accordance with Article 6 of the Commission implementing regulation. If the customer opens an account or applies for a credit card (without opening an account) in the reference period, then in the Type of data field for the code value ‘</w:t>
      </w:r>
      <w:proofErr w:type="spellStart"/>
      <w:r w:rsidRPr="00B6319A">
        <w:rPr>
          <w:rFonts w:ascii="Arial" w:hAnsi="Arial" w:cs="Arial"/>
          <w:sz w:val="20"/>
          <w:lang w:val="en"/>
        </w:rPr>
        <w:t>OSSZES</w:t>
      </w:r>
      <w:proofErr w:type="spellEnd"/>
      <w:r w:rsidRPr="00B6319A">
        <w:rPr>
          <w:rFonts w:ascii="Arial" w:hAnsi="Arial" w:cs="Arial"/>
          <w:sz w:val="20"/>
          <w:lang w:val="en"/>
        </w:rPr>
        <w:t>’, the ‘Period start’ shall be the date of the account opening or applying for a credit card, and if the customer closes his or her account or terminates the credit card in the reference period, the ‘Period end’ shall be the date of the account closure or termination of the credit card contract. If there has been a change in the charges for a service in the reference period, the start and end of period fields must be used to indicate the period to which the quantities and charges paid for the service relate. If the customer remains the customer of the data provider throughout the reference period, then in the Type of data field for the code value ‘</w:t>
      </w:r>
      <w:proofErr w:type="spellStart"/>
      <w:r w:rsidRPr="00B6319A">
        <w:rPr>
          <w:rFonts w:ascii="Arial" w:hAnsi="Arial" w:cs="Arial"/>
          <w:sz w:val="20"/>
          <w:lang w:val="en"/>
        </w:rPr>
        <w:t>OSSZES</w:t>
      </w:r>
      <w:proofErr w:type="spellEnd"/>
      <w:r w:rsidRPr="00B6319A">
        <w:rPr>
          <w:rFonts w:ascii="Arial" w:hAnsi="Arial" w:cs="Arial"/>
          <w:sz w:val="20"/>
          <w:lang w:val="en"/>
        </w:rPr>
        <w:t>’, the start and end of the period shall be the first and last day of the reference year, respectively.</w:t>
      </w:r>
    </w:p>
    <w:p w14:paraId="7BF68F8E" w14:textId="2FDEA517" w:rsidR="00592692" w:rsidRPr="00B6319A" w:rsidRDefault="00B737E8" w:rsidP="009C6EA2">
      <w:pPr>
        <w:ind w:left="851" w:hanging="491"/>
        <w:rPr>
          <w:rFonts w:ascii="Arial" w:hAnsi="Arial" w:cs="Arial"/>
          <w:sz w:val="20"/>
        </w:rPr>
      </w:pPr>
      <w:r w:rsidRPr="00B6319A">
        <w:rPr>
          <w:rFonts w:ascii="Arial" w:hAnsi="Arial" w:cs="Arial"/>
          <w:sz w:val="20"/>
          <w:lang w:val="en"/>
        </w:rPr>
        <w:t>h)</w:t>
      </w:r>
      <w:r w:rsidRPr="00B6319A">
        <w:rPr>
          <w:rFonts w:ascii="Arial" w:hAnsi="Arial" w:cs="Arial"/>
          <w:sz w:val="20"/>
          <w:lang w:val="en"/>
        </w:rPr>
        <w:tab/>
        <w:t xml:space="preserve">Postal code: this shall include the postal code of the postal (mailing) address of the customer whom the statement of fees is addressed to, </w:t>
      </w:r>
      <w:proofErr w:type="gramStart"/>
      <w:r w:rsidRPr="00B6319A">
        <w:rPr>
          <w:rFonts w:ascii="Arial" w:hAnsi="Arial" w:cs="Arial"/>
          <w:sz w:val="20"/>
          <w:lang w:val="en"/>
        </w:rPr>
        <w:t>i.e.</w:t>
      </w:r>
      <w:proofErr w:type="gramEnd"/>
      <w:r w:rsidRPr="00B6319A">
        <w:rPr>
          <w:rFonts w:ascii="Arial" w:hAnsi="Arial" w:cs="Arial"/>
          <w:sz w:val="20"/>
          <w:lang w:val="en"/>
        </w:rPr>
        <w:t xml:space="preserve"> in the case of one statement of fees the column shall contain the same code in each row. In the case of a change of address during the year, the address valid at the time of sending the statement of fees shall be taken into consideration. If the customer only has a credit card contract, for the purposes of the postal code, set out from the address valid on the date reported in the ‘Period end’ column or from the current address.</w:t>
      </w:r>
    </w:p>
    <w:p w14:paraId="108E4DED" w14:textId="47AC5DC5" w:rsidR="000D7A64" w:rsidRPr="00B6319A" w:rsidRDefault="00B737E8" w:rsidP="00BB52A3">
      <w:pPr>
        <w:ind w:left="851" w:hanging="491"/>
        <w:rPr>
          <w:rFonts w:ascii="Arial" w:hAnsi="Arial" w:cs="Arial"/>
          <w:iCs/>
          <w:sz w:val="20"/>
        </w:rPr>
      </w:pPr>
      <w:r w:rsidRPr="00B6319A">
        <w:rPr>
          <w:rFonts w:ascii="Arial" w:hAnsi="Arial" w:cs="Arial"/>
          <w:sz w:val="20"/>
          <w:lang w:val="en"/>
        </w:rPr>
        <w:t>i)</w:t>
      </w:r>
      <w:r w:rsidRPr="00B6319A">
        <w:rPr>
          <w:rFonts w:ascii="Arial" w:hAnsi="Arial" w:cs="Arial"/>
          <w:sz w:val="20"/>
          <w:lang w:val="en"/>
        </w:rPr>
        <w:tab/>
        <w:t xml:space="preserve">Data type: this column shall contain the type of the data sent in the statement of fees defined </w:t>
      </w:r>
      <w:proofErr w:type="gramStart"/>
      <w:r w:rsidRPr="00B6319A">
        <w:rPr>
          <w:rFonts w:ascii="Arial" w:hAnsi="Arial" w:cs="Arial"/>
          <w:sz w:val="20"/>
          <w:lang w:val="en"/>
        </w:rPr>
        <w:t>on the basis of</w:t>
      </w:r>
      <w:proofErr w:type="gramEnd"/>
      <w:r w:rsidRPr="00B6319A">
        <w:rPr>
          <w:rFonts w:ascii="Arial" w:hAnsi="Arial" w:cs="Arial"/>
          <w:sz w:val="20"/>
          <w:lang w:val="en"/>
        </w:rPr>
        <w:t xml:space="preserve"> the Commission implementing regulation and the code list. When using the ‘</w:t>
      </w:r>
      <w:proofErr w:type="spellStart"/>
      <w:r w:rsidRPr="00B6319A">
        <w:rPr>
          <w:rFonts w:ascii="Arial" w:hAnsi="Arial" w:cs="Arial"/>
          <w:sz w:val="20"/>
          <w:lang w:val="en"/>
        </w:rPr>
        <w:t>OSSZES</w:t>
      </w:r>
      <w:proofErr w:type="spellEnd"/>
      <w:r w:rsidRPr="00B6319A">
        <w:rPr>
          <w:rFonts w:ascii="Arial" w:hAnsi="Arial" w:cs="Arial"/>
          <w:sz w:val="20"/>
          <w:lang w:val="en"/>
        </w:rPr>
        <w:t>’, ‘</w:t>
      </w:r>
      <w:proofErr w:type="spellStart"/>
      <w:r w:rsidRPr="00B6319A">
        <w:rPr>
          <w:rFonts w:ascii="Arial" w:hAnsi="Arial" w:cs="Arial"/>
          <w:sz w:val="20"/>
          <w:lang w:val="en"/>
        </w:rPr>
        <w:t>FIZKAM</w:t>
      </w:r>
      <w:proofErr w:type="spellEnd"/>
      <w:r w:rsidRPr="00B6319A">
        <w:rPr>
          <w:rFonts w:ascii="Arial" w:hAnsi="Arial" w:cs="Arial"/>
          <w:sz w:val="20"/>
          <w:lang w:val="en"/>
        </w:rPr>
        <w:t>’ and ‘</w:t>
      </w:r>
      <w:proofErr w:type="spellStart"/>
      <w:r w:rsidRPr="00B6319A">
        <w:rPr>
          <w:rFonts w:ascii="Arial" w:hAnsi="Arial" w:cs="Arial"/>
          <w:sz w:val="20"/>
          <w:lang w:val="en"/>
        </w:rPr>
        <w:t>JOVKAM</w:t>
      </w:r>
      <w:proofErr w:type="spellEnd"/>
      <w:r w:rsidRPr="00B6319A">
        <w:rPr>
          <w:rFonts w:ascii="Arial" w:hAnsi="Arial" w:cs="Arial"/>
          <w:sz w:val="20"/>
          <w:lang w:val="en"/>
        </w:rPr>
        <w:t>’ codes only a value is to be specified. Report all incoming payments and cash deposits under the ‘</w:t>
      </w:r>
      <w:proofErr w:type="spellStart"/>
      <w:r w:rsidRPr="00B6319A">
        <w:rPr>
          <w:rFonts w:ascii="Arial" w:hAnsi="Arial" w:cs="Arial"/>
          <w:sz w:val="20"/>
          <w:lang w:val="en"/>
        </w:rPr>
        <w:t>UTALASBE</w:t>
      </w:r>
      <w:proofErr w:type="spellEnd"/>
      <w:r w:rsidRPr="00B6319A">
        <w:rPr>
          <w:rFonts w:ascii="Arial" w:hAnsi="Arial" w:cs="Arial"/>
          <w:sz w:val="20"/>
          <w:lang w:val="en"/>
        </w:rPr>
        <w:t>’ and ‘</w:t>
      </w:r>
      <w:proofErr w:type="spellStart"/>
      <w:r w:rsidRPr="00B6319A">
        <w:rPr>
          <w:rFonts w:ascii="Arial" w:hAnsi="Arial" w:cs="Arial"/>
          <w:sz w:val="20"/>
          <w:lang w:val="en"/>
        </w:rPr>
        <w:t>KPBE</w:t>
      </w:r>
      <w:proofErr w:type="spellEnd"/>
      <w:r w:rsidRPr="00B6319A">
        <w:rPr>
          <w:rFonts w:ascii="Arial" w:hAnsi="Arial" w:cs="Arial"/>
          <w:sz w:val="20"/>
          <w:lang w:val="en"/>
        </w:rPr>
        <w:t>’ code; when using the code, also provide quantity and value data, in separate rows; for the k) and value fill in column p) (direction of transaction and currency</w:t>
      </w:r>
      <w:proofErr w:type="gramStart"/>
      <w:r w:rsidRPr="00B6319A">
        <w:rPr>
          <w:rFonts w:ascii="Arial" w:hAnsi="Arial" w:cs="Arial"/>
          <w:sz w:val="20"/>
          <w:lang w:val="en"/>
        </w:rPr>
        <w:t>), and</w:t>
      </w:r>
      <w:proofErr w:type="gramEnd"/>
      <w:r w:rsidRPr="00B6319A">
        <w:rPr>
          <w:rFonts w:ascii="Arial" w:hAnsi="Arial" w:cs="Arial"/>
          <w:sz w:val="20"/>
          <w:lang w:val="en"/>
        </w:rPr>
        <w:t xml:space="preserve"> leave columns j) and l) (services and submission channel) blank. Do not report rejected payment orders, withdrawn credit transfers and transfers between own accounts – </w:t>
      </w:r>
      <w:proofErr w:type="gramStart"/>
      <w:r w:rsidRPr="00B6319A">
        <w:rPr>
          <w:rFonts w:ascii="Arial" w:hAnsi="Arial" w:cs="Arial"/>
          <w:sz w:val="20"/>
          <w:lang w:val="en"/>
        </w:rPr>
        <w:t>e.g.</w:t>
      </w:r>
      <w:proofErr w:type="gramEnd"/>
      <w:r w:rsidRPr="00B6319A">
        <w:rPr>
          <w:rFonts w:ascii="Arial" w:hAnsi="Arial" w:cs="Arial"/>
          <w:sz w:val="20"/>
          <w:lang w:val="en"/>
        </w:rPr>
        <w:t xml:space="preserve"> from securities accounts – under the ‘</w:t>
      </w:r>
      <w:proofErr w:type="spellStart"/>
      <w:r w:rsidRPr="00B6319A">
        <w:rPr>
          <w:rFonts w:ascii="Arial" w:hAnsi="Arial" w:cs="Arial"/>
          <w:sz w:val="20"/>
          <w:lang w:val="en"/>
        </w:rPr>
        <w:t>UTALASBE</w:t>
      </w:r>
      <w:proofErr w:type="spellEnd"/>
      <w:r w:rsidRPr="00B6319A">
        <w:rPr>
          <w:rFonts w:ascii="Arial" w:hAnsi="Arial" w:cs="Arial"/>
          <w:sz w:val="20"/>
          <w:lang w:val="en"/>
        </w:rPr>
        <w:t>’ code. Report the number of all outgoing transactions belonging to the respective service type in the column under the ‘</w:t>
      </w:r>
      <w:proofErr w:type="spellStart"/>
      <w:r w:rsidRPr="00B6319A">
        <w:rPr>
          <w:rFonts w:ascii="Arial" w:hAnsi="Arial" w:cs="Arial"/>
          <w:sz w:val="20"/>
          <w:lang w:val="en"/>
        </w:rPr>
        <w:t>SZOLGDB</w:t>
      </w:r>
      <w:proofErr w:type="spellEnd"/>
      <w:r w:rsidRPr="00B6319A">
        <w:rPr>
          <w:rFonts w:ascii="Arial" w:hAnsi="Arial" w:cs="Arial"/>
          <w:sz w:val="20"/>
          <w:lang w:val="en"/>
        </w:rPr>
        <w:t xml:space="preserve">’ code, </w:t>
      </w:r>
      <w:proofErr w:type="gramStart"/>
      <w:r w:rsidRPr="00B6319A">
        <w:rPr>
          <w:rFonts w:ascii="Arial" w:hAnsi="Arial" w:cs="Arial"/>
          <w:sz w:val="20"/>
          <w:lang w:val="en"/>
        </w:rPr>
        <w:t>i.e.</w:t>
      </w:r>
      <w:proofErr w:type="gramEnd"/>
      <w:r w:rsidRPr="00B6319A">
        <w:rPr>
          <w:rFonts w:ascii="Arial" w:hAnsi="Arial" w:cs="Arial"/>
          <w:sz w:val="20"/>
          <w:lang w:val="en"/>
        </w:rPr>
        <w:t xml:space="preserve"> the number of all outgoing transactions belonging to all payment methods. If the customer also has transactions for which no fee was charged, the value reported in the ‘Number of pieces’ column belonging to the ‘</w:t>
      </w:r>
      <w:proofErr w:type="spellStart"/>
      <w:r w:rsidRPr="00B6319A">
        <w:rPr>
          <w:rFonts w:ascii="Arial" w:hAnsi="Arial" w:cs="Arial"/>
          <w:sz w:val="20"/>
          <w:lang w:val="en"/>
        </w:rPr>
        <w:t>SZOLGDB</w:t>
      </w:r>
      <w:proofErr w:type="spellEnd"/>
      <w:r w:rsidRPr="00B6319A">
        <w:rPr>
          <w:rFonts w:ascii="Arial" w:hAnsi="Arial" w:cs="Arial"/>
          <w:sz w:val="20"/>
          <w:lang w:val="en"/>
        </w:rPr>
        <w:t>’ and ‘</w:t>
      </w:r>
      <w:proofErr w:type="spellStart"/>
      <w:r w:rsidRPr="00B6319A">
        <w:rPr>
          <w:rFonts w:ascii="Arial" w:hAnsi="Arial" w:cs="Arial"/>
          <w:sz w:val="20"/>
          <w:lang w:val="en"/>
        </w:rPr>
        <w:t>DIJDB</w:t>
      </w:r>
      <w:proofErr w:type="spellEnd"/>
      <w:r w:rsidRPr="00B6319A">
        <w:rPr>
          <w:rFonts w:ascii="Arial" w:hAnsi="Arial" w:cs="Arial"/>
          <w:sz w:val="20"/>
          <w:lang w:val="en"/>
        </w:rPr>
        <w:t>’ code will differ. The difference of the two values reported in the ‘Number of pieces’ column shall show the number of free transactions performed by the customer. If the customer has transactions in respect of which no fee has been charged, those shall be reported only under the ‘</w:t>
      </w:r>
      <w:proofErr w:type="spellStart"/>
      <w:r w:rsidRPr="00B6319A">
        <w:rPr>
          <w:rFonts w:ascii="Arial" w:hAnsi="Arial" w:cs="Arial"/>
          <w:sz w:val="20"/>
          <w:lang w:val="en"/>
        </w:rPr>
        <w:t>SZOLGDB</w:t>
      </w:r>
      <w:proofErr w:type="spellEnd"/>
      <w:r w:rsidRPr="00B6319A">
        <w:rPr>
          <w:rFonts w:ascii="Arial" w:hAnsi="Arial" w:cs="Arial"/>
          <w:sz w:val="20"/>
          <w:lang w:val="en"/>
        </w:rPr>
        <w:t>’ code and not under the ‘</w:t>
      </w:r>
      <w:proofErr w:type="spellStart"/>
      <w:r w:rsidRPr="00B6319A">
        <w:rPr>
          <w:rFonts w:ascii="Arial" w:hAnsi="Arial" w:cs="Arial"/>
          <w:sz w:val="20"/>
          <w:lang w:val="en"/>
        </w:rPr>
        <w:t>DIJDB</w:t>
      </w:r>
      <w:proofErr w:type="spellEnd"/>
      <w:r w:rsidRPr="00B6319A">
        <w:rPr>
          <w:rFonts w:ascii="Arial" w:hAnsi="Arial" w:cs="Arial"/>
          <w:sz w:val="20"/>
          <w:lang w:val="en"/>
        </w:rPr>
        <w:t>’ code.</w:t>
      </w:r>
    </w:p>
    <w:p w14:paraId="2ED0A8F7" w14:textId="4A5C9FFF" w:rsidR="007103E2" w:rsidRPr="00B6319A" w:rsidRDefault="007103E2" w:rsidP="007103E2">
      <w:pPr>
        <w:ind w:left="851"/>
        <w:rPr>
          <w:rFonts w:ascii="Arial" w:hAnsi="Arial" w:cs="Arial"/>
          <w:iCs/>
          <w:sz w:val="20"/>
        </w:rPr>
      </w:pPr>
      <w:r w:rsidRPr="00B6319A">
        <w:rPr>
          <w:rFonts w:ascii="Arial" w:hAnsi="Arial" w:cs="Arial"/>
          <w:sz w:val="20"/>
          <w:lang w:val="en"/>
        </w:rPr>
        <w:t>The codes ‘</w:t>
      </w:r>
      <w:proofErr w:type="spellStart"/>
      <w:r w:rsidRPr="00B6319A">
        <w:rPr>
          <w:rFonts w:ascii="Arial" w:hAnsi="Arial" w:cs="Arial"/>
          <w:sz w:val="20"/>
          <w:lang w:val="en"/>
        </w:rPr>
        <w:t>VISSZATERDB</w:t>
      </w:r>
      <w:proofErr w:type="spellEnd"/>
      <w:r w:rsidRPr="00B6319A">
        <w:rPr>
          <w:rFonts w:ascii="Arial" w:hAnsi="Arial" w:cs="Arial"/>
          <w:sz w:val="20"/>
          <w:lang w:val="en"/>
        </w:rPr>
        <w:t>’ and ‘</w:t>
      </w:r>
      <w:proofErr w:type="spellStart"/>
      <w:r w:rsidRPr="00B6319A">
        <w:rPr>
          <w:rFonts w:ascii="Arial" w:hAnsi="Arial" w:cs="Arial"/>
          <w:sz w:val="20"/>
          <w:lang w:val="en"/>
        </w:rPr>
        <w:t>VISSZATERERTEK</w:t>
      </w:r>
      <w:proofErr w:type="spellEnd"/>
      <w:r w:rsidRPr="00B6319A">
        <w:rPr>
          <w:rFonts w:ascii="Arial" w:hAnsi="Arial" w:cs="Arial"/>
          <w:sz w:val="20"/>
          <w:lang w:val="en"/>
        </w:rPr>
        <w:t>’ must be used to report, by type of Service, the crediting of discounts (number and value of discounts must also be reported) that are granted retrospectively (</w:t>
      </w:r>
      <w:proofErr w:type="gramStart"/>
      <w:r w:rsidRPr="00B6319A">
        <w:rPr>
          <w:rFonts w:ascii="Arial" w:hAnsi="Arial" w:cs="Arial"/>
          <w:sz w:val="20"/>
          <w:lang w:val="en"/>
        </w:rPr>
        <w:t>e.g.</w:t>
      </w:r>
      <w:proofErr w:type="gramEnd"/>
      <w:r w:rsidRPr="00B6319A">
        <w:rPr>
          <w:rFonts w:ascii="Arial" w:hAnsi="Arial" w:cs="Arial"/>
          <w:sz w:val="20"/>
          <w:lang w:val="en"/>
        </w:rPr>
        <w:t xml:space="preserve"> because a certain condition is met), the number of cancelled items not executed and the value of the refunded fee, with a positive sign, if the fee was originally charged. If the refunded fee is not related to any service, it must be reported under service code 21 ‘other’.</w:t>
      </w:r>
    </w:p>
    <w:p w14:paraId="46B4D330" w14:textId="5E72D6EC" w:rsidR="00E44666" w:rsidRPr="00B6319A" w:rsidRDefault="00E44666" w:rsidP="002B7351">
      <w:pPr>
        <w:ind w:left="851"/>
        <w:rPr>
          <w:rFonts w:ascii="Arial" w:hAnsi="Arial" w:cs="Arial"/>
          <w:iCs/>
          <w:sz w:val="20"/>
        </w:rPr>
      </w:pPr>
      <w:r w:rsidRPr="00B6319A">
        <w:rPr>
          <w:rFonts w:ascii="Arial" w:hAnsi="Arial" w:cs="Arial"/>
          <w:sz w:val="20"/>
          <w:lang w:val="en"/>
        </w:rPr>
        <w:t>If the customer has a credit card contract, for reporting the data related to the credit card use only the ‘</w:t>
      </w:r>
      <w:proofErr w:type="spellStart"/>
      <w:r w:rsidRPr="00B6319A">
        <w:rPr>
          <w:rFonts w:ascii="Arial" w:hAnsi="Arial" w:cs="Arial"/>
          <w:sz w:val="20"/>
          <w:lang w:val="en"/>
        </w:rPr>
        <w:t>OSSZES</w:t>
      </w:r>
      <w:proofErr w:type="spellEnd"/>
      <w:r w:rsidRPr="00B6319A">
        <w:rPr>
          <w:rFonts w:ascii="Arial" w:hAnsi="Arial" w:cs="Arial"/>
          <w:sz w:val="20"/>
          <w:lang w:val="en"/>
        </w:rPr>
        <w:t>’, ‘</w:t>
      </w:r>
      <w:proofErr w:type="spellStart"/>
      <w:r w:rsidRPr="00B6319A">
        <w:rPr>
          <w:rFonts w:ascii="Arial" w:hAnsi="Arial" w:cs="Arial"/>
          <w:sz w:val="20"/>
          <w:lang w:val="en"/>
        </w:rPr>
        <w:t>JOVKAM</w:t>
      </w:r>
      <w:proofErr w:type="spellEnd"/>
      <w:r w:rsidRPr="00B6319A">
        <w:rPr>
          <w:rFonts w:ascii="Arial" w:hAnsi="Arial" w:cs="Arial"/>
          <w:sz w:val="20"/>
          <w:lang w:val="en"/>
        </w:rPr>
        <w:t>’, ‘</w:t>
      </w:r>
      <w:proofErr w:type="spellStart"/>
      <w:r w:rsidRPr="00B6319A">
        <w:rPr>
          <w:rFonts w:ascii="Arial" w:hAnsi="Arial" w:cs="Arial"/>
          <w:sz w:val="20"/>
          <w:lang w:val="en"/>
        </w:rPr>
        <w:t>FIZKAM</w:t>
      </w:r>
      <w:proofErr w:type="spellEnd"/>
      <w:r w:rsidRPr="00B6319A">
        <w:rPr>
          <w:rFonts w:ascii="Arial" w:hAnsi="Arial" w:cs="Arial"/>
          <w:sz w:val="20"/>
          <w:lang w:val="en"/>
        </w:rPr>
        <w:t>’, ‘</w:t>
      </w:r>
      <w:proofErr w:type="spellStart"/>
      <w:r w:rsidRPr="00B6319A">
        <w:rPr>
          <w:rFonts w:ascii="Arial" w:hAnsi="Arial" w:cs="Arial"/>
          <w:sz w:val="20"/>
          <w:lang w:val="en"/>
        </w:rPr>
        <w:t>SZOLGDB</w:t>
      </w:r>
      <w:proofErr w:type="spellEnd"/>
      <w:r w:rsidRPr="00B6319A">
        <w:rPr>
          <w:rFonts w:ascii="Arial" w:hAnsi="Arial" w:cs="Arial"/>
          <w:sz w:val="20"/>
          <w:lang w:val="en"/>
        </w:rPr>
        <w:t>’, ‘</w:t>
      </w:r>
      <w:proofErr w:type="spellStart"/>
      <w:r w:rsidRPr="00B6319A">
        <w:rPr>
          <w:rFonts w:ascii="Arial" w:hAnsi="Arial" w:cs="Arial"/>
          <w:sz w:val="20"/>
          <w:lang w:val="en"/>
        </w:rPr>
        <w:t>EGYSDIJ</w:t>
      </w:r>
      <w:proofErr w:type="spellEnd"/>
      <w:r w:rsidRPr="00B6319A">
        <w:rPr>
          <w:rFonts w:ascii="Arial" w:hAnsi="Arial" w:cs="Arial"/>
          <w:sz w:val="20"/>
          <w:lang w:val="en"/>
        </w:rPr>
        <w:t>’, ‘</w:t>
      </w:r>
      <w:proofErr w:type="spellStart"/>
      <w:r w:rsidRPr="00B6319A">
        <w:rPr>
          <w:rFonts w:ascii="Arial" w:hAnsi="Arial" w:cs="Arial"/>
          <w:sz w:val="20"/>
          <w:lang w:val="en"/>
        </w:rPr>
        <w:t>DIJDB</w:t>
      </w:r>
      <w:proofErr w:type="spellEnd"/>
      <w:r w:rsidRPr="00B6319A">
        <w:rPr>
          <w:rFonts w:ascii="Arial" w:hAnsi="Arial" w:cs="Arial"/>
          <w:sz w:val="20"/>
          <w:lang w:val="en"/>
        </w:rPr>
        <w:t>’, ‘</w:t>
      </w:r>
      <w:proofErr w:type="spellStart"/>
      <w:r w:rsidRPr="00B6319A">
        <w:rPr>
          <w:rFonts w:ascii="Arial" w:hAnsi="Arial" w:cs="Arial"/>
          <w:sz w:val="20"/>
          <w:lang w:val="en"/>
        </w:rPr>
        <w:t>SZOLGDIJ</w:t>
      </w:r>
      <w:proofErr w:type="spellEnd"/>
      <w:r w:rsidRPr="00B6319A">
        <w:rPr>
          <w:rFonts w:ascii="Arial" w:hAnsi="Arial" w:cs="Arial"/>
          <w:sz w:val="20"/>
          <w:lang w:val="en"/>
        </w:rPr>
        <w:t>’, ‘</w:t>
      </w:r>
      <w:proofErr w:type="spellStart"/>
      <w:r w:rsidRPr="00B6319A">
        <w:rPr>
          <w:rFonts w:ascii="Arial" w:hAnsi="Arial" w:cs="Arial"/>
          <w:sz w:val="20"/>
          <w:lang w:val="en"/>
        </w:rPr>
        <w:t>VISSZATERDB</w:t>
      </w:r>
      <w:proofErr w:type="spellEnd"/>
      <w:r w:rsidRPr="00B6319A">
        <w:rPr>
          <w:rFonts w:ascii="Arial" w:hAnsi="Arial" w:cs="Arial"/>
          <w:sz w:val="20"/>
          <w:lang w:val="en"/>
        </w:rPr>
        <w:t>’ and ‘</w:t>
      </w:r>
      <w:proofErr w:type="spellStart"/>
      <w:r w:rsidRPr="00B6319A">
        <w:rPr>
          <w:rFonts w:ascii="Arial" w:hAnsi="Arial" w:cs="Arial"/>
          <w:sz w:val="20"/>
          <w:lang w:val="en"/>
        </w:rPr>
        <w:t>VISSZATERERTEK</w:t>
      </w:r>
      <w:proofErr w:type="spellEnd"/>
      <w:r w:rsidRPr="00B6319A">
        <w:rPr>
          <w:rFonts w:ascii="Arial" w:hAnsi="Arial" w:cs="Arial"/>
          <w:sz w:val="20"/>
          <w:lang w:val="en"/>
        </w:rPr>
        <w:t>’ codes.</w:t>
      </w:r>
    </w:p>
    <w:p w14:paraId="753350C6" w14:textId="76ABFB0A" w:rsidR="00014111" w:rsidRPr="00B6319A" w:rsidRDefault="00E44666" w:rsidP="002B7351">
      <w:pPr>
        <w:ind w:left="851"/>
        <w:rPr>
          <w:rFonts w:ascii="Arial" w:hAnsi="Arial" w:cs="Arial"/>
          <w:sz w:val="20"/>
        </w:rPr>
      </w:pPr>
      <w:r w:rsidRPr="00B6319A">
        <w:rPr>
          <w:rFonts w:ascii="Arial" w:hAnsi="Arial" w:cs="Arial"/>
          <w:sz w:val="20"/>
          <w:lang w:val="en"/>
        </w:rPr>
        <w:t xml:space="preserve">If the customer has a bank account </w:t>
      </w:r>
      <w:proofErr w:type="gramStart"/>
      <w:r w:rsidRPr="00B6319A">
        <w:rPr>
          <w:rFonts w:ascii="Arial" w:hAnsi="Arial" w:cs="Arial"/>
          <w:sz w:val="20"/>
          <w:lang w:val="en"/>
        </w:rPr>
        <w:t>and also</w:t>
      </w:r>
      <w:proofErr w:type="gramEnd"/>
      <w:r w:rsidRPr="00B6319A">
        <w:rPr>
          <w:rFonts w:ascii="Arial" w:hAnsi="Arial" w:cs="Arial"/>
          <w:sz w:val="20"/>
          <w:lang w:val="en"/>
        </w:rPr>
        <w:t xml:space="preserve"> a credit card, the data of those shall be reported separately using the appropriate codes; do not combine the data related to the account and to the credit card.</w:t>
      </w:r>
    </w:p>
    <w:p w14:paraId="18697F1E" w14:textId="3ECAB0A2" w:rsidR="00BE5B7A" w:rsidRPr="00B6319A" w:rsidRDefault="00B737E8" w:rsidP="000324AC">
      <w:pPr>
        <w:ind w:left="851" w:hanging="491"/>
        <w:rPr>
          <w:rFonts w:ascii="Arial" w:hAnsi="Arial" w:cs="Arial"/>
          <w:sz w:val="20"/>
        </w:rPr>
      </w:pPr>
      <w:r w:rsidRPr="00B6319A">
        <w:rPr>
          <w:rFonts w:ascii="Arial" w:hAnsi="Arial" w:cs="Arial"/>
          <w:sz w:val="20"/>
          <w:lang w:val="en"/>
        </w:rPr>
        <w:t>j)</w:t>
      </w:r>
      <w:r w:rsidRPr="00B6319A">
        <w:rPr>
          <w:rFonts w:ascii="Arial" w:hAnsi="Arial" w:cs="Arial"/>
          <w:sz w:val="20"/>
          <w:lang w:val="en"/>
        </w:rPr>
        <w:tab/>
        <w:t>Service: this column shall contain the data related to the individual services in the statement of fees, based on the Commission implementing regulation and the code list. That is, when column i) contains the ‘</w:t>
      </w:r>
      <w:proofErr w:type="spellStart"/>
      <w:r w:rsidRPr="00B6319A">
        <w:rPr>
          <w:rFonts w:ascii="Arial" w:hAnsi="Arial" w:cs="Arial"/>
          <w:sz w:val="20"/>
          <w:lang w:val="en"/>
        </w:rPr>
        <w:t>SZOLGDB</w:t>
      </w:r>
      <w:proofErr w:type="spellEnd"/>
      <w:r w:rsidRPr="00B6319A">
        <w:rPr>
          <w:rFonts w:ascii="Arial" w:hAnsi="Arial" w:cs="Arial"/>
          <w:sz w:val="20"/>
          <w:lang w:val="en"/>
        </w:rPr>
        <w:t>’, ‘</w:t>
      </w:r>
      <w:proofErr w:type="spellStart"/>
      <w:r w:rsidRPr="00B6319A">
        <w:rPr>
          <w:rFonts w:ascii="Arial" w:hAnsi="Arial" w:cs="Arial"/>
          <w:sz w:val="20"/>
          <w:lang w:val="en"/>
        </w:rPr>
        <w:t>EGYSDIJ</w:t>
      </w:r>
      <w:proofErr w:type="spellEnd"/>
      <w:r w:rsidRPr="00B6319A">
        <w:rPr>
          <w:rFonts w:ascii="Arial" w:hAnsi="Arial" w:cs="Arial"/>
          <w:sz w:val="20"/>
          <w:lang w:val="en"/>
        </w:rPr>
        <w:t>’, ‘</w:t>
      </w:r>
      <w:proofErr w:type="spellStart"/>
      <w:r w:rsidRPr="00B6319A">
        <w:rPr>
          <w:rFonts w:ascii="Arial" w:hAnsi="Arial" w:cs="Arial"/>
          <w:sz w:val="20"/>
          <w:lang w:val="en"/>
        </w:rPr>
        <w:t>DIJDB</w:t>
      </w:r>
      <w:proofErr w:type="spellEnd"/>
      <w:r w:rsidRPr="00B6319A">
        <w:rPr>
          <w:rFonts w:ascii="Arial" w:hAnsi="Arial" w:cs="Arial"/>
          <w:sz w:val="20"/>
          <w:lang w:val="en"/>
        </w:rPr>
        <w:t>’, ‘</w:t>
      </w:r>
      <w:proofErr w:type="spellStart"/>
      <w:r w:rsidRPr="00B6319A">
        <w:rPr>
          <w:rFonts w:ascii="Arial" w:hAnsi="Arial" w:cs="Arial"/>
          <w:sz w:val="20"/>
          <w:lang w:val="en"/>
        </w:rPr>
        <w:t>SZOLGDIJ</w:t>
      </w:r>
      <w:proofErr w:type="spellEnd"/>
      <w:r w:rsidRPr="00B6319A">
        <w:rPr>
          <w:rFonts w:ascii="Arial" w:hAnsi="Arial" w:cs="Arial"/>
          <w:sz w:val="20"/>
          <w:lang w:val="en"/>
        </w:rPr>
        <w:t>’, ‘</w:t>
      </w:r>
      <w:proofErr w:type="spellStart"/>
      <w:r w:rsidRPr="00B6319A">
        <w:rPr>
          <w:rFonts w:ascii="Arial" w:hAnsi="Arial" w:cs="Arial"/>
          <w:sz w:val="20"/>
          <w:lang w:val="en"/>
        </w:rPr>
        <w:t>VISSZATERDB</w:t>
      </w:r>
      <w:proofErr w:type="spellEnd"/>
      <w:r w:rsidRPr="00B6319A">
        <w:rPr>
          <w:rFonts w:ascii="Arial" w:hAnsi="Arial" w:cs="Arial"/>
          <w:sz w:val="20"/>
          <w:lang w:val="en"/>
        </w:rPr>
        <w:t>’ and ‘</w:t>
      </w:r>
      <w:proofErr w:type="spellStart"/>
      <w:r w:rsidRPr="00B6319A">
        <w:rPr>
          <w:rFonts w:ascii="Arial" w:hAnsi="Arial" w:cs="Arial"/>
          <w:sz w:val="20"/>
          <w:lang w:val="en"/>
        </w:rPr>
        <w:t>VISSZATERERTEK</w:t>
      </w:r>
      <w:proofErr w:type="spellEnd"/>
      <w:r w:rsidRPr="00B6319A">
        <w:rPr>
          <w:rFonts w:ascii="Arial" w:hAnsi="Arial" w:cs="Arial"/>
          <w:sz w:val="20"/>
          <w:lang w:val="en"/>
        </w:rPr>
        <w:t>’ codes, the data shall be broken down by services [column j)], when this is relevant for the respective customer. When the data provider used additional sub-categories for certain services and fees that cannot be designated even with the use of columns k) and l) (</w:t>
      </w:r>
      <w:proofErr w:type="gramStart"/>
      <w:r w:rsidRPr="00B6319A">
        <w:rPr>
          <w:rFonts w:ascii="Arial" w:hAnsi="Arial" w:cs="Arial"/>
          <w:sz w:val="20"/>
          <w:lang w:val="en"/>
        </w:rPr>
        <w:t>e.g.</w:t>
      </w:r>
      <w:proofErr w:type="gramEnd"/>
      <w:r w:rsidRPr="00B6319A">
        <w:rPr>
          <w:rFonts w:ascii="Arial" w:hAnsi="Arial" w:cs="Arial"/>
          <w:sz w:val="20"/>
          <w:lang w:val="en"/>
        </w:rPr>
        <w:t xml:space="preserve"> SMS fees varying by telecom providers), the fees connected to the respective service (‘Total fee paid for the service’) and the number of transactions (‘Number of occasions of charging the fee’) shall be specified in aggregate for the respective service.</w:t>
      </w:r>
    </w:p>
    <w:p w14:paraId="5212B472" w14:textId="00E71664" w:rsidR="00E44666" w:rsidRPr="00B6319A" w:rsidRDefault="00E44666" w:rsidP="00360ED7">
      <w:pPr>
        <w:ind w:left="851"/>
        <w:rPr>
          <w:rFonts w:ascii="Arial" w:hAnsi="Arial" w:cs="Arial"/>
          <w:iCs/>
          <w:sz w:val="20"/>
        </w:rPr>
      </w:pPr>
      <w:r w:rsidRPr="00B6319A">
        <w:rPr>
          <w:rFonts w:ascii="Arial" w:hAnsi="Arial" w:cs="Arial"/>
          <w:sz w:val="20"/>
          <w:lang w:val="en"/>
        </w:rPr>
        <w:lastRenderedPageBreak/>
        <w:t xml:space="preserve">If the customer has a bank account </w:t>
      </w:r>
      <w:proofErr w:type="gramStart"/>
      <w:r w:rsidRPr="00B6319A">
        <w:rPr>
          <w:rFonts w:ascii="Arial" w:hAnsi="Arial" w:cs="Arial"/>
          <w:sz w:val="20"/>
          <w:lang w:val="en"/>
        </w:rPr>
        <w:t>and also</w:t>
      </w:r>
      <w:proofErr w:type="gramEnd"/>
      <w:r w:rsidRPr="00B6319A">
        <w:rPr>
          <w:rFonts w:ascii="Arial" w:hAnsi="Arial" w:cs="Arial"/>
          <w:sz w:val="20"/>
          <w:lang w:val="en"/>
        </w:rPr>
        <w:t xml:space="preserve"> a credit card, the data of those shall be reported separately using the appropriate codes; do not combine the data related to the account and to the credit card.</w:t>
      </w:r>
    </w:p>
    <w:p w14:paraId="223E65EF" w14:textId="3C529E25" w:rsidR="007367B7" w:rsidRPr="00B6319A" w:rsidRDefault="00B737E8" w:rsidP="000324AC">
      <w:pPr>
        <w:ind w:left="851" w:hanging="491"/>
        <w:rPr>
          <w:rFonts w:ascii="Arial" w:hAnsi="Arial" w:cs="Arial"/>
          <w:sz w:val="20"/>
        </w:rPr>
      </w:pPr>
      <w:r w:rsidRPr="00B6319A">
        <w:rPr>
          <w:rFonts w:ascii="Arial" w:hAnsi="Arial" w:cs="Arial"/>
          <w:sz w:val="20"/>
          <w:lang w:val="en"/>
        </w:rPr>
        <w:t>k)</w:t>
      </w:r>
      <w:r w:rsidRPr="00B6319A">
        <w:rPr>
          <w:rFonts w:ascii="Arial" w:hAnsi="Arial" w:cs="Arial"/>
          <w:sz w:val="20"/>
          <w:lang w:val="en"/>
        </w:rPr>
        <w:tab/>
        <w:t>Transaction direction: this column shall indicate intrabank (internal), interbank (domestic) and cross-border transactions data under the ‘Domestic credit transfer in forint’, ‘Standing order’, ‘Collection’, ‘Credit transfer in euro (SEPA)’, ‘Credit transfer in other currency’, ‘Send request to pay’ and ‘Receive request to pay’ services. If a refund has been made for these services, it is also necessary to indicate the direction of the refunded transaction when using the codes ‘</w:t>
      </w:r>
      <w:proofErr w:type="spellStart"/>
      <w:r w:rsidRPr="00B6319A">
        <w:rPr>
          <w:rFonts w:ascii="Arial" w:hAnsi="Arial" w:cs="Arial"/>
          <w:sz w:val="20"/>
          <w:lang w:val="en"/>
        </w:rPr>
        <w:t>VISSZATERDB</w:t>
      </w:r>
      <w:proofErr w:type="spellEnd"/>
      <w:r w:rsidRPr="00B6319A">
        <w:rPr>
          <w:rFonts w:ascii="Arial" w:hAnsi="Arial" w:cs="Arial"/>
          <w:sz w:val="20"/>
          <w:lang w:val="en"/>
        </w:rPr>
        <w:t>’ and ‘</w:t>
      </w:r>
      <w:proofErr w:type="spellStart"/>
      <w:r w:rsidRPr="00B6319A">
        <w:rPr>
          <w:rFonts w:ascii="Arial" w:hAnsi="Arial" w:cs="Arial"/>
          <w:sz w:val="20"/>
          <w:lang w:val="en"/>
        </w:rPr>
        <w:t>VISSZATERERTEK</w:t>
      </w:r>
      <w:proofErr w:type="spellEnd"/>
      <w:r w:rsidRPr="00B6319A">
        <w:rPr>
          <w:rFonts w:ascii="Arial" w:hAnsi="Arial" w:cs="Arial"/>
          <w:sz w:val="20"/>
          <w:lang w:val="en"/>
        </w:rPr>
        <w:t>’. If the ‘Data type’ column shows ‘</w:t>
      </w:r>
      <w:proofErr w:type="spellStart"/>
      <w:r w:rsidRPr="00B6319A">
        <w:rPr>
          <w:rFonts w:ascii="Arial" w:hAnsi="Arial" w:cs="Arial"/>
          <w:sz w:val="20"/>
          <w:lang w:val="en"/>
        </w:rPr>
        <w:t>UTALSBE</w:t>
      </w:r>
      <w:proofErr w:type="spellEnd"/>
      <w:r w:rsidRPr="00B6319A">
        <w:rPr>
          <w:rFonts w:ascii="Arial" w:hAnsi="Arial" w:cs="Arial"/>
          <w:sz w:val="20"/>
          <w:lang w:val="en"/>
        </w:rPr>
        <w:t>’ and ‘</w:t>
      </w:r>
      <w:proofErr w:type="spellStart"/>
      <w:r w:rsidRPr="00B6319A">
        <w:rPr>
          <w:rFonts w:ascii="Arial" w:hAnsi="Arial" w:cs="Arial"/>
          <w:sz w:val="20"/>
          <w:lang w:val="en"/>
        </w:rPr>
        <w:t>KPBE</w:t>
      </w:r>
      <w:proofErr w:type="spellEnd"/>
      <w:r w:rsidRPr="00B6319A">
        <w:rPr>
          <w:rFonts w:ascii="Arial" w:hAnsi="Arial" w:cs="Arial"/>
          <w:sz w:val="20"/>
          <w:lang w:val="en"/>
        </w:rPr>
        <w:t>’ code, also fill in the direction of transaction column.</w:t>
      </w:r>
    </w:p>
    <w:p w14:paraId="4ED958F7" w14:textId="54C7E275" w:rsidR="00DA4EFB" w:rsidRPr="00B6319A" w:rsidRDefault="00B737E8" w:rsidP="000324AC">
      <w:pPr>
        <w:ind w:left="851" w:hanging="491"/>
        <w:rPr>
          <w:rFonts w:ascii="Arial" w:hAnsi="Arial" w:cs="Arial"/>
          <w:sz w:val="20"/>
        </w:rPr>
      </w:pPr>
      <w:r w:rsidRPr="00B6319A">
        <w:rPr>
          <w:rFonts w:ascii="Arial" w:hAnsi="Arial" w:cs="Arial"/>
          <w:sz w:val="20"/>
          <w:lang w:val="en"/>
        </w:rPr>
        <w:t>l)</w:t>
      </w:r>
      <w:r w:rsidRPr="00B6319A">
        <w:rPr>
          <w:rFonts w:ascii="Arial" w:hAnsi="Arial" w:cs="Arial"/>
          <w:sz w:val="20"/>
          <w:lang w:val="en"/>
        </w:rPr>
        <w:tab/>
        <w:t>Channel of submission: this column shall indicate the data as per the channels of submission under the ‘Domestic credit transfer in forint’, ‘Standing order’, ‘Credit transfer in euro (SEPA)’, ‘Credit transfer in other currency’, ‘Send request to pay’ and ‘Receive request to pay’ services. The code ‘MOBIL’ is only applicable to these services. If a refund has been made for the previous services, the submission channel must also be specified for the use of the codes ‘</w:t>
      </w:r>
      <w:proofErr w:type="spellStart"/>
      <w:r w:rsidRPr="00B6319A">
        <w:rPr>
          <w:rFonts w:ascii="Arial" w:hAnsi="Arial" w:cs="Arial"/>
          <w:sz w:val="20"/>
          <w:lang w:val="en"/>
        </w:rPr>
        <w:t>VISSZATERDB</w:t>
      </w:r>
      <w:proofErr w:type="spellEnd"/>
      <w:r w:rsidRPr="00B6319A">
        <w:rPr>
          <w:rFonts w:ascii="Arial" w:hAnsi="Arial" w:cs="Arial"/>
          <w:sz w:val="20"/>
          <w:lang w:val="en"/>
        </w:rPr>
        <w:t>’ and ‘</w:t>
      </w:r>
      <w:proofErr w:type="spellStart"/>
      <w:r w:rsidRPr="00B6319A">
        <w:rPr>
          <w:rFonts w:ascii="Arial" w:hAnsi="Arial" w:cs="Arial"/>
          <w:sz w:val="20"/>
          <w:lang w:val="en"/>
        </w:rPr>
        <w:t>VISSZATERERTEK</w:t>
      </w:r>
      <w:proofErr w:type="spellEnd"/>
      <w:r w:rsidRPr="00B6319A">
        <w:rPr>
          <w:rFonts w:ascii="Arial" w:hAnsi="Arial" w:cs="Arial"/>
          <w:sz w:val="20"/>
          <w:lang w:val="en"/>
        </w:rPr>
        <w:t>’.</w:t>
      </w:r>
    </w:p>
    <w:p w14:paraId="038DCB7D" w14:textId="323E3457" w:rsidR="001C5ABD" w:rsidRPr="00B6319A" w:rsidRDefault="001C5ABD" w:rsidP="00360ED7">
      <w:pPr>
        <w:ind w:left="851"/>
        <w:rPr>
          <w:rFonts w:ascii="Arial" w:hAnsi="Arial" w:cs="Arial"/>
          <w:sz w:val="20"/>
        </w:rPr>
      </w:pPr>
      <w:r w:rsidRPr="00B6319A">
        <w:rPr>
          <w:rFonts w:ascii="Arial" w:hAnsi="Arial" w:cs="Arial"/>
          <w:sz w:val="20"/>
          <w:lang w:val="en"/>
        </w:rPr>
        <w:t>If the customer has a card registered into mobile wallet, the column must be filled in for mobile wallet payments, using the codes ‘</w:t>
      </w:r>
      <w:proofErr w:type="spellStart"/>
      <w:r w:rsidRPr="00B6319A">
        <w:rPr>
          <w:rFonts w:ascii="Arial" w:hAnsi="Arial" w:cs="Arial"/>
          <w:sz w:val="20"/>
          <w:lang w:val="en"/>
        </w:rPr>
        <w:t>TARCA_SAJAT</w:t>
      </w:r>
      <w:proofErr w:type="spellEnd"/>
      <w:r w:rsidRPr="00B6319A">
        <w:rPr>
          <w:rFonts w:ascii="Arial" w:hAnsi="Arial" w:cs="Arial"/>
          <w:sz w:val="20"/>
          <w:lang w:val="en"/>
        </w:rPr>
        <w:t>’ and ‘</w:t>
      </w:r>
      <w:proofErr w:type="spellStart"/>
      <w:r w:rsidRPr="00B6319A">
        <w:rPr>
          <w:rFonts w:ascii="Arial" w:hAnsi="Arial" w:cs="Arial"/>
          <w:sz w:val="20"/>
          <w:lang w:val="en"/>
        </w:rPr>
        <w:t>TARCA_EGYEB</w:t>
      </w:r>
      <w:proofErr w:type="spellEnd"/>
      <w:r w:rsidRPr="00B6319A">
        <w:rPr>
          <w:rFonts w:ascii="Arial" w:hAnsi="Arial" w:cs="Arial"/>
          <w:sz w:val="20"/>
          <w:lang w:val="en"/>
        </w:rPr>
        <w:t xml:space="preserve">’. For all other card </w:t>
      </w:r>
      <w:proofErr w:type="gramStart"/>
      <w:r w:rsidRPr="00B6319A">
        <w:rPr>
          <w:rFonts w:ascii="Arial" w:hAnsi="Arial" w:cs="Arial"/>
          <w:sz w:val="20"/>
          <w:lang w:val="en"/>
        </w:rPr>
        <w:t>payments</w:t>
      </w:r>
      <w:proofErr w:type="gramEnd"/>
      <w:r w:rsidRPr="00B6319A">
        <w:rPr>
          <w:rFonts w:ascii="Arial" w:hAnsi="Arial" w:cs="Arial"/>
          <w:sz w:val="20"/>
          <w:lang w:val="en"/>
        </w:rPr>
        <w:t xml:space="preserve"> the column must be left blank. The codes ‘</w:t>
      </w:r>
      <w:proofErr w:type="spellStart"/>
      <w:r w:rsidRPr="00B6319A">
        <w:rPr>
          <w:rFonts w:ascii="Arial" w:hAnsi="Arial" w:cs="Arial"/>
          <w:sz w:val="20"/>
          <w:lang w:val="en"/>
        </w:rPr>
        <w:t>TARCA_SAJAT</w:t>
      </w:r>
      <w:proofErr w:type="spellEnd"/>
      <w:r w:rsidRPr="00B6319A">
        <w:rPr>
          <w:rFonts w:ascii="Arial" w:hAnsi="Arial" w:cs="Arial"/>
          <w:sz w:val="20"/>
          <w:lang w:val="en"/>
        </w:rPr>
        <w:t>’ and ‘</w:t>
      </w:r>
      <w:proofErr w:type="spellStart"/>
      <w:r w:rsidRPr="00B6319A">
        <w:rPr>
          <w:rFonts w:ascii="Arial" w:hAnsi="Arial" w:cs="Arial"/>
          <w:sz w:val="20"/>
          <w:lang w:val="en"/>
        </w:rPr>
        <w:t>TARCA_EGYEB</w:t>
      </w:r>
      <w:proofErr w:type="spellEnd"/>
      <w:r w:rsidRPr="00B6319A">
        <w:rPr>
          <w:rFonts w:ascii="Arial" w:hAnsi="Arial" w:cs="Arial"/>
          <w:sz w:val="20"/>
          <w:lang w:val="en"/>
        </w:rPr>
        <w:t>’ are only applicable for Service codes '13', '14', '22', '23'.</w:t>
      </w:r>
    </w:p>
    <w:p w14:paraId="20CAD60E" w14:textId="176AC1E7" w:rsidR="0015233C" w:rsidRPr="00B6319A" w:rsidRDefault="0015233C" w:rsidP="00360ED7">
      <w:pPr>
        <w:ind w:left="851"/>
        <w:rPr>
          <w:rFonts w:ascii="Arial" w:hAnsi="Arial" w:cs="Arial"/>
          <w:sz w:val="20"/>
        </w:rPr>
      </w:pPr>
      <w:r w:rsidRPr="00B6319A">
        <w:rPr>
          <w:rFonts w:ascii="Arial" w:hAnsi="Arial" w:cs="Arial"/>
          <w:sz w:val="20"/>
          <w:lang w:val="en"/>
        </w:rPr>
        <w:t xml:space="preserve">If the customer initiates a card payment or transfer via a </w:t>
      </w:r>
      <w:proofErr w:type="gramStart"/>
      <w:r w:rsidRPr="00B6319A">
        <w:rPr>
          <w:rFonts w:ascii="Arial" w:hAnsi="Arial" w:cs="Arial"/>
          <w:sz w:val="20"/>
          <w:lang w:val="en"/>
        </w:rPr>
        <w:t>third party</w:t>
      </w:r>
      <w:proofErr w:type="gramEnd"/>
      <w:r w:rsidRPr="00B6319A">
        <w:rPr>
          <w:rFonts w:ascii="Arial" w:hAnsi="Arial" w:cs="Arial"/>
          <w:sz w:val="20"/>
          <w:lang w:val="en"/>
        </w:rPr>
        <w:t xml:space="preserve"> service provider, it must be reported with the code ‘TPP’.</w:t>
      </w:r>
    </w:p>
    <w:p w14:paraId="0AD14753" w14:textId="759D7BA7" w:rsidR="0015233C" w:rsidRPr="00B6319A" w:rsidRDefault="0015233C" w:rsidP="00360ED7">
      <w:pPr>
        <w:ind w:left="851"/>
        <w:rPr>
          <w:rFonts w:ascii="Arial" w:hAnsi="Arial"/>
          <w:sz w:val="20"/>
        </w:rPr>
      </w:pPr>
      <w:r w:rsidRPr="00B6319A">
        <w:rPr>
          <w:rFonts w:ascii="Arial" w:hAnsi="Arial" w:cs="Arial"/>
          <w:sz w:val="20"/>
          <w:lang w:val="en"/>
        </w:rPr>
        <w:t>The codes 'ATM', 'POS' and '</w:t>
      </w:r>
      <w:proofErr w:type="spellStart"/>
      <w:r w:rsidRPr="00B6319A">
        <w:rPr>
          <w:rFonts w:ascii="Arial" w:hAnsi="Arial" w:cs="Arial"/>
          <w:sz w:val="20"/>
          <w:lang w:val="en"/>
        </w:rPr>
        <w:t>FIOK</w:t>
      </w:r>
      <w:proofErr w:type="spellEnd"/>
      <w:r w:rsidRPr="00B6319A">
        <w:rPr>
          <w:rFonts w:ascii="Arial" w:hAnsi="Arial" w:cs="Arial"/>
          <w:sz w:val="20"/>
          <w:lang w:val="en"/>
        </w:rPr>
        <w:t xml:space="preserve">' are used for cash withdrawals ('15', '16', '24', '25' Service codes). </w:t>
      </w:r>
    </w:p>
    <w:p w14:paraId="0336DF17" w14:textId="13478B08" w:rsidR="00286385" w:rsidRPr="00B6319A" w:rsidRDefault="00B737E8" w:rsidP="000324AC">
      <w:pPr>
        <w:ind w:left="851" w:hanging="491"/>
        <w:rPr>
          <w:rFonts w:ascii="Arial" w:hAnsi="Arial" w:cs="Arial"/>
          <w:sz w:val="20"/>
        </w:rPr>
      </w:pPr>
      <w:r w:rsidRPr="00B6319A">
        <w:rPr>
          <w:rFonts w:ascii="Arial" w:hAnsi="Arial" w:cs="Arial"/>
          <w:sz w:val="20"/>
          <w:lang w:val="en"/>
        </w:rPr>
        <w:t>m)</w:t>
      </w:r>
      <w:r w:rsidRPr="00B6319A">
        <w:rPr>
          <w:rFonts w:ascii="Arial" w:hAnsi="Arial" w:cs="Arial"/>
          <w:sz w:val="20"/>
          <w:lang w:val="en"/>
        </w:rPr>
        <w:tab/>
        <w:t xml:space="preserve">Quantity: this shall contain the quantity in number of pieces if the </w:t>
      </w:r>
      <w:r w:rsidRPr="00B6319A">
        <w:rPr>
          <w:rFonts w:ascii="Arial" w:hAnsi="Arial" w:cs="Arial"/>
          <w:i/>
          <w:iCs/>
          <w:sz w:val="20"/>
          <w:lang w:val="en"/>
        </w:rPr>
        <w:t>Data type</w:t>
      </w:r>
      <w:r w:rsidRPr="00B6319A">
        <w:rPr>
          <w:rFonts w:ascii="Arial" w:hAnsi="Arial" w:cs="Arial"/>
          <w:sz w:val="20"/>
          <w:lang w:val="en"/>
        </w:rPr>
        <w:t xml:space="preserve"> column includes any of the ‘</w:t>
      </w:r>
      <w:proofErr w:type="spellStart"/>
      <w:r w:rsidRPr="00B6319A">
        <w:rPr>
          <w:rFonts w:ascii="Arial" w:hAnsi="Arial" w:cs="Arial"/>
          <w:sz w:val="20"/>
          <w:lang w:val="en"/>
        </w:rPr>
        <w:t>SZOLGDB</w:t>
      </w:r>
      <w:proofErr w:type="spellEnd"/>
      <w:r w:rsidRPr="00B6319A">
        <w:rPr>
          <w:rFonts w:ascii="Arial" w:hAnsi="Arial" w:cs="Arial"/>
          <w:sz w:val="20"/>
          <w:lang w:val="en"/>
        </w:rPr>
        <w:t>’, ‘</w:t>
      </w:r>
      <w:proofErr w:type="spellStart"/>
      <w:r w:rsidRPr="00B6319A">
        <w:rPr>
          <w:rFonts w:ascii="Arial" w:hAnsi="Arial" w:cs="Arial"/>
          <w:sz w:val="20"/>
          <w:lang w:val="en"/>
        </w:rPr>
        <w:t>DIJDB</w:t>
      </w:r>
      <w:proofErr w:type="spellEnd"/>
      <w:r w:rsidRPr="00B6319A">
        <w:rPr>
          <w:rFonts w:ascii="Arial" w:hAnsi="Arial" w:cs="Arial"/>
          <w:sz w:val="20"/>
          <w:lang w:val="en"/>
        </w:rPr>
        <w:t>’, ‘</w:t>
      </w:r>
      <w:proofErr w:type="spellStart"/>
      <w:r w:rsidRPr="00B6319A">
        <w:rPr>
          <w:rFonts w:ascii="Arial" w:hAnsi="Arial" w:cs="Arial"/>
          <w:sz w:val="20"/>
          <w:lang w:val="en"/>
        </w:rPr>
        <w:t>UTALASBE</w:t>
      </w:r>
      <w:proofErr w:type="spellEnd"/>
      <w:r w:rsidRPr="00B6319A">
        <w:rPr>
          <w:rFonts w:ascii="Arial" w:hAnsi="Arial" w:cs="Arial"/>
          <w:sz w:val="20"/>
          <w:lang w:val="en"/>
        </w:rPr>
        <w:t>’, ‘</w:t>
      </w:r>
      <w:proofErr w:type="spellStart"/>
      <w:r w:rsidRPr="00B6319A">
        <w:rPr>
          <w:rFonts w:ascii="Arial" w:hAnsi="Arial" w:cs="Arial"/>
          <w:sz w:val="20"/>
          <w:lang w:val="en"/>
        </w:rPr>
        <w:t>KPBE</w:t>
      </w:r>
      <w:proofErr w:type="spellEnd"/>
      <w:r w:rsidRPr="00B6319A">
        <w:rPr>
          <w:rFonts w:ascii="Arial" w:hAnsi="Arial" w:cs="Arial"/>
          <w:sz w:val="20"/>
          <w:lang w:val="en"/>
        </w:rPr>
        <w:t>’ and ‘</w:t>
      </w:r>
      <w:proofErr w:type="spellStart"/>
      <w:r w:rsidRPr="00B6319A">
        <w:rPr>
          <w:rFonts w:ascii="Arial" w:hAnsi="Arial" w:cs="Arial"/>
          <w:sz w:val="20"/>
          <w:lang w:val="en"/>
        </w:rPr>
        <w:t>VISSZATERDB</w:t>
      </w:r>
      <w:proofErr w:type="spellEnd"/>
      <w:r w:rsidRPr="00B6319A">
        <w:rPr>
          <w:rFonts w:ascii="Arial" w:hAnsi="Arial" w:cs="Arial"/>
          <w:sz w:val="20"/>
          <w:lang w:val="en"/>
        </w:rPr>
        <w:t xml:space="preserve">’ codes. </w:t>
      </w:r>
    </w:p>
    <w:p w14:paraId="6B192349" w14:textId="2B53388A" w:rsidR="00137E34" w:rsidRPr="00B6319A" w:rsidRDefault="00B737E8" w:rsidP="000324AC">
      <w:pPr>
        <w:ind w:left="851" w:hanging="491"/>
        <w:rPr>
          <w:rFonts w:ascii="Arial" w:hAnsi="Arial" w:cs="Arial"/>
          <w:sz w:val="20"/>
        </w:rPr>
      </w:pPr>
      <w:r w:rsidRPr="00B6319A">
        <w:rPr>
          <w:rFonts w:ascii="Arial" w:hAnsi="Arial" w:cs="Arial"/>
          <w:sz w:val="20"/>
          <w:lang w:val="en"/>
        </w:rPr>
        <w:t>n)</w:t>
      </w:r>
      <w:r w:rsidRPr="00B6319A">
        <w:rPr>
          <w:rFonts w:ascii="Arial" w:hAnsi="Arial" w:cs="Arial"/>
          <w:sz w:val="20"/>
          <w:lang w:val="en"/>
        </w:rPr>
        <w:tab/>
        <w:t xml:space="preserve">Value: this field shall contain the value data in units, rounded to two decimals, if the </w:t>
      </w:r>
      <w:r w:rsidRPr="00B6319A">
        <w:rPr>
          <w:rFonts w:ascii="Arial" w:hAnsi="Arial" w:cs="Arial"/>
          <w:i/>
          <w:iCs/>
          <w:sz w:val="20"/>
          <w:lang w:val="en"/>
        </w:rPr>
        <w:t>Data type</w:t>
      </w:r>
      <w:r w:rsidRPr="00B6319A">
        <w:rPr>
          <w:rFonts w:ascii="Arial" w:hAnsi="Arial" w:cs="Arial"/>
          <w:sz w:val="20"/>
          <w:lang w:val="en"/>
        </w:rPr>
        <w:t xml:space="preserve"> column includes any of the ‘</w:t>
      </w:r>
      <w:proofErr w:type="spellStart"/>
      <w:r w:rsidRPr="00B6319A">
        <w:rPr>
          <w:rFonts w:ascii="Arial" w:hAnsi="Arial" w:cs="Arial"/>
          <w:sz w:val="20"/>
          <w:lang w:val="en"/>
        </w:rPr>
        <w:t>OSSZES</w:t>
      </w:r>
      <w:proofErr w:type="spellEnd"/>
      <w:r w:rsidRPr="00B6319A">
        <w:rPr>
          <w:rFonts w:ascii="Arial" w:hAnsi="Arial" w:cs="Arial"/>
          <w:sz w:val="20"/>
          <w:lang w:val="en"/>
        </w:rPr>
        <w:t>’, ‘</w:t>
      </w:r>
      <w:proofErr w:type="spellStart"/>
      <w:r w:rsidRPr="00B6319A">
        <w:rPr>
          <w:rFonts w:ascii="Arial" w:hAnsi="Arial" w:cs="Arial"/>
          <w:sz w:val="20"/>
          <w:lang w:val="en"/>
        </w:rPr>
        <w:t>FIZKAM</w:t>
      </w:r>
      <w:proofErr w:type="spellEnd"/>
      <w:r w:rsidRPr="00B6319A">
        <w:rPr>
          <w:rFonts w:ascii="Arial" w:hAnsi="Arial" w:cs="Arial"/>
          <w:sz w:val="20"/>
          <w:lang w:val="en"/>
        </w:rPr>
        <w:t>’, ‘</w:t>
      </w:r>
      <w:proofErr w:type="spellStart"/>
      <w:r w:rsidRPr="00B6319A">
        <w:rPr>
          <w:rFonts w:ascii="Arial" w:hAnsi="Arial" w:cs="Arial"/>
          <w:sz w:val="20"/>
          <w:lang w:val="en"/>
        </w:rPr>
        <w:t>JOVKAM</w:t>
      </w:r>
      <w:proofErr w:type="spellEnd"/>
      <w:r w:rsidRPr="00B6319A">
        <w:rPr>
          <w:rFonts w:ascii="Arial" w:hAnsi="Arial" w:cs="Arial"/>
          <w:sz w:val="20"/>
          <w:lang w:val="en"/>
        </w:rPr>
        <w:t>’, ‘</w:t>
      </w:r>
      <w:proofErr w:type="spellStart"/>
      <w:r w:rsidRPr="00B6319A">
        <w:rPr>
          <w:rFonts w:ascii="Arial" w:hAnsi="Arial" w:cs="Arial"/>
          <w:sz w:val="20"/>
          <w:lang w:val="en"/>
        </w:rPr>
        <w:t>EGYSDIJ</w:t>
      </w:r>
      <w:proofErr w:type="spellEnd"/>
      <w:r w:rsidRPr="00B6319A">
        <w:rPr>
          <w:rFonts w:ascii="Arial" w:hAnsi="Arial" w:cs="Arial"/>
          <w:sz w:val="20"/>
          <w:lang w:val="en"/>
        </w:rPr>
        <w:t>’, (</w:t>
      </w:r>
      <w:proofErr w:type="gramStart"/>
      <w:r w:rsidRPr="00B6319A">
        <w:rPr>
          <w:rFonts w:ascii="Arial" w:hAnsi="Arial" w:cs="Arial"/>
          <w:sz w:val="20"/>
          <w:lang w:val="en"/>
        </w:rPr>
        <w:t>as long as</w:t>
      </w:r>
      <w:proofErr w:type="gramEnd"/>
      <w:r w:rsidRPr="00B6319A">
        <w:rPr>
          <w:rFonts w:ascii="Arial" w:hAnsi="Arial" w:cs="Arial"/>
          <w:sz w:val="20"/>
          <w:lang w:val="en"/>
        </w:rPr>
        <w:t xml:space="preserve"> the ‘Fee per unit’ is not specified by a formula), ‘</w:t>
      </w:r>
      <w:proofErr w:type="spellStart"/>
      <w:r w:rsidRPr="00B6319A">
        <w:rPr>
          <w:rFonts w:ascii="Arial" w:hAnsi="Arial" w:cs="Arial"/>
          <w:sz w:val="20"/>
          <w:lang w:val="en"/>
        </w:rPr>
        <w:t>SZOLGDIJ</w:t>
      </w:r>
      <w:proofErr w:type="spellEnd"/>
      <w:r w:rsidRPr="00B6319A">
        <w:rPr>
          <w:rFonts w:ascii="Arial" w:hAnsi="Arial" w:cs="Arial"/>
          <w:sz w:val="20"/>
          <w:lang w:val="en"/>
        </w:rPr>
        <w:t>’, ‘</w:t>
      </w:r>
      <w:proofErr w:type="spellStart"/>
      <w:r w:rsidRPr="00B6319A">
        <w:rPr>
          <w:rFonts w:ascii="Arial" w:hAnsi="Arial" w:cs="Arial"/>
          <w:sz w:val="20"/>
          <w:lang w:val="en"/>
        </w:rPr>
        <w:t>UTALASBE</w:t>
      </w:r>
      <w:proofErr w:type="spellEnd"/>
      <w:r w:rsidRPr="00B6319A">
        <w:rPr>
          <w:rFonts w:ascii="Arial" w:hAnsi="Arial" w:cs="Arial"/>
          <w:sz w:val="20"/>
          <w:lang w:val="en"/>
        </w:rPr>
        <w:t>’, ‘</w:t>
      </w:r>
      <w:proofErr w:type="spellStart"/>
      <w:r w:rsidRPr="00B6319A">
        <w:rPr>
          <w:rFonts w:ascii="Arial" w:hAnsi="Arial" w:cs="Arial"/>
          <w:sz w:val="20"/>
          <w:lang w:val="en"/>
        </w:rPr>
        <w:t>KPBE</w:t>
      </w:r>
      <w:proofErr w:type="spellEnd"/>
      <w:r w:rsidRPr="00B6319A">
        <w:rPr>
          <w:rFonts w:ascii="Arial" w:hAnsi="Arial" w:cs="Arial"/>
          <w:sz w:val="20"/>
          <w:lang w:val="en"/>
        </w:rPr>
        <w:t>’ and ‘</w:t>
      </w:r>
      <w:proofErr w:type="spellStart"/>
      <w:r w:rsidRPr="00B6319A">
        <w:rPr>
          <w:rFonts w:ascii="Arial" w:hAnsi="Arial" w:cs="Arial"/>
          <w:sz w:val="20"/>
          <w:lang w:val="en"/>
        </w:rPr>
        <w:t>VISSZATERERTEK</w:t>
      </w:r>
      <w:proofErr w:type="spellEnd"/>
      <w:r w:rsidRPr="00B6319A">
        <w:rPr>
          <w:rFonts w:ascii="Arial" w:hAnsi="Arial" w:cs="Arial"/>
          <w:sz w:val="20"/>
          <w:lang w:val="en"/>
        </w:rPr>
        <w:t>’ codes. This column shall contain only numeric data. If the ‘Fee per unit’ is specified by a formula, or it also contains a minimum or maximum value, the ‘Fee per unit’ shall be reported in column o) rather than here. For each service either column n) or column o) shall be completed. In the case of codes ‘</w:t>
      </w:r>
      <w:proofErr w:type="spellStart"/>
      <w:r w:rsidRPr="00B6319A">
        <w:rPr>
          <w:rFonts w:ascii="Arial" w:hAnsi="Arial" w:cs="Arial"/>
          <w:sz w:val="20"/>
          <w:lang w:val="en"/>
        </w:rPr>
        <w:t>UTALASBE</w:t>
      </w:r>
      <w:proofErr w:type="spellEnd"/>
      <w:r w:rsidRPr="00B6319A">
        <w:rPr>
          <w:rFonts w:ascii="Arial" w:hAnsi="Arial" w:cs="Arial"/>
          <w:sz w:val="20"/>
          <w:lang w:val="en"/>
        </w:rPr>
        <w:t>’ and ‘</w:t>
      </w:r>
      <w:proofErr w:type="spellStart"/>
      <w:r w:rsidRPr="00B6319A">
        <w:rPr>
          <w:rFonts w:ascii="Arial" w:hAnsi="Arial" w:cs="Arial"/>
          <w:sz w:val="20"/>
          <w:lang w:val="en"/>
        </w:rPr>
        <w:t>KPBE</w:t>
      </w:r>
      <w:proofErr w:type="spellEnd"/>
      <w:r w:rsidRPr="00B6319A">
        <w:rPr>
          <w:rFonts w:ascii="Arial" w:hAnsi="Arial" w:cs="Arial"/>
          <w:sz w:val="20"/>
          <w:lang w:val="en"/>
        </w:rPr>
        <w:t>’, if the credit entries differ from the currency of the account, those shall be stated in the account currency in aggregated form, calculated at the exchange rate specified in the announcement prevailing at the time of crediting each such item.</w:t>
      </w:r>
    </w:p>
    <w:p w14:paraId="3E6B8EA0" w14:textId="61A9271C" w:rsidR="00D20959" w:rsidRPr="00B6319A" w:rsidRDefault="00B737E8" w:rsidP="000324AC">
      <w:pPr>
        <w:ind w:left="851" w:hanging="491"/>
        <w:rPr>
          <w:rFonts w:ascii="Arial" w:hAnsi="Arial" w:cs="Arial"/>
          <w:sz w:val="20"/>
        </w:rPr>
      </w:pPr>
      <w:r w:rsidRPr="00B6319A">
        <w:rPr>
          <w:rFonts w:ascii="Arial" w:hAnsi="Arial" w:cs="Arial"/>
          <w:sz w:val="20"/>
          <w:lang w:val="en"/>
        </w:rPr>
        <w:t>o)</w:t>
      </w:r>
      <w:r w:rsidRPr="00B6319A">
        <w:rPr>
          <w:rFonts w:ascii="Arial" w:hAnsi="Arial" w:cs="Arial"/>
          <w:sz w:val="20"/>
          <w:lang w:val="en"/>
        </w:rPr>
        <w:tab/>
        <w:t>Formula: provide the formula here, if column i) contains the ‘</w:t>
      </w:r>
      <w:proofErr w:type="spellStart"/>
      <w:r w:rsidRPr="00B6319A">
        <w:rPr>
          <w:rFonts w:ascii="Arial" w:hAnsi="Arial" w:cs="Arial"/>
          <w:sz w:val="20"/>
          <w:lang w:val="en"/>
        </w:rPr>
        <w:t>EGYSDIJ</w:t>
      </w:r>
      <w:proofErr w:type="spellEnd"/>
      <w:r w:rsidRPr="00B6319A">
        <w:rPr>
          <w:rFonts w:ascii="Arial" w:hAnsi="Arial" w:cs="Arial"/>
          <w:sz w:val="20"/>
          <w:lang w:val="en"/>
        </w:rPr>
        <w:t xml:space="preserve">’ code and it could not be reported in column n). If the ‘Fee per unit’ contains no formula, </w:t>
      </w:r>
      <w:proofErr w:type="gramStart"/>
      <w:r w:rsidRPr="00B6319A">
        <w:rPr>
          <w:rFonts w:ascii="Arial" w:hAnsi="Arial" w:cs="Arial"/>
          <w:sz w:val="20"/>
          <w:lang w:val="en"/>
        </w:rPr>
        <w:t>i.e.</w:t>
      </w:r>
      <w:proofErr w:type="gramEnd"/>
      <w:r w:rsidRPr="00B6319A">
        <w:rPr>
          <w:rFonts w:ascii="Arial" w:hAnsi="Arial" w:cs="Arial"/>
          <w:sz w:val="20"/>
          <w:lang w:val="en"/>
        </w:rPr>
        <w:t xml:space="preserve"> it is a constant value, it shall be reported in column n) in accordance with the completion instructions. </w:t>
      </w:r>
    </w:p>
    <w:p w14:paraId="3F4B5848" w14:textId="25474A39" w:rsidR="0016703B" w:rsidRPr="00B6319A" w:rsidRDefault="00B737E8" w:rsidP="000324AC">
      <w:pPr>
        <w:ind w:left="851" w:hanging="491"/>
        <w:rPr>
          <w:rFonts w:ascii="Arial" w:hAnsi="Arial" w:cs="Arial"/>
          <w:sz w:val="20"/>
        </w:rPr>
      </w:pPr>
      <w:r w:rsidRPr="00B6319A">
        <w:rPr>
          <w:rFonts w:ascii="Arial" w:hAnsi="Arial" w:cs="Arial"/>
          <w:sz w:val="20"/>
          <w:lang w:val="en"/>
        </w:rPr>
        <w:t>p)</w:t>
      </w:r>
      <w:r w:rsidRPr="00B6319A">
        <w:rPr>
          <w:rFonts w:ascii="Arial" w:hAnsi="Arial" w:cs="Arial"/>
          <w:sz w:val="20"/>
          <w:lang w:val="en"/>
        </w:rPr>
        <w:tab/>
        <w:t>Currency: this column shall contain the currency of the fee reported in column n) and the currency of the tariffs of the formula reported in column o).</w:t>
      </w:r>
    </w:p>
    <w:p w14:paraId="488698EC" w14:textId="77777777" w:rsidR="00993E97" w:rsidRPr="00B6319A" w:rsidRDefault="00993E97" w:rsidP="00284857">
      <w:pPr>
        <w:rPr>
          <w:rFonts w:ascii="Arial" w:hAnsi="Arial" w:cs="Arial"/>
          <w:b/>
          <w:sz w:val="20"/>
        </w:rPr>
      </w:pPr>
    </w:p>
    <w:p w14:paraId="6EA57C9C" w14:textId="0551C28D" w:rsidR="007D2864" w:rsidRPr="00B6319A" w:rsidRDefault="005E4F64" w:rsidP="00284857">
      <w:pPr>
        <w:rPr>
          <w:rFonts w:ascii="Arial" w:hAnsi="Arial" w:cs="Arial"/>
          <w:b/>
          <w:sz w:val="20"/>
        </w:rPr>
      </w:pPr>
      <w:r w:rsidRPr="00B6319A">
        <w:rPr>
          <w:rFonts w:ascii="Arial" w:hAnsi="Arial" w:cs="Arial"/>
          <w:b/>
          <w:bCs/>
          <w:sz w:val="20"/>
          <w:lang w:val="en"/>
        </w:rPr>
        <w:t>Table P7402:</w:t>
      </w:r>
    </w:p>
    <w:p w14:paraId="2E0E8660" w14:textId="68F6C9EB" w:rsidR="00D91613" w:rsidRPr="00B6319A" w:rsidRDefault="009E75AD" w:rsidP="006C00DE">
      <w:pPr>
        <w:rPr>
          <w:rFonts w:ascii="Arial" w:hAnsi="Arial" w:cs="Arial"/>
          <w:bCs/>
          <w:sz w:val="20"/>
        </w:rPr>
      </w:pPr>
      <w:r w:rsidRPr="00B6319A">
        <w:rPr>
          <w:rFonts w:ascii="Arial" w:hAnsi="Arial" w:cs="Arial"/>
          <w:sz w:val="20"/>
          <w:lang w:val="en"/>
        </w:rPr>
        <w:t xml:space="preserve">It shall be reported in this table when the anonymous identifier – generated in accordance with the Code Generation description mentioned in Section I.3 – changes for a specific customer. The table is to be completed only if the anonymous identifier changes compared to previous year, and it shall be completed only in the data supply where the customer’s name is indicated for the first time with the changed customer identifier. </w:t>
      </w:r>
    </w:p>
    <w:p w14:paraId="5EAD19CE" w14:textId="44D0F95B" w:rsidR="00482D00" w:rsidRPr="00B6319A" w:rsidRDefault="00482D00" w:rsidP="006C00DE">
      <w:pPr>
        <w:rPr>
          <w:rFonts w:ascii="Arial" w:hAnsi="Arial" w:cs="Arial"/>
          <w:bCs/>
          <w:sz w:val="20"/>
        </w:rPr>
      </w:pPr>
    </w:p>
    <w:p w14:paraId="1FFB03F5" w14:textId="7F56F81B" w:rsidR="007404CD" w:rsidRPr="00B6319A" w:rsidRDefault="007404CD" w:rsidP="006C00DE">
      <w:pPr>
        <w:rPr>
          <w:rFonts w:ascii="Arial" w:hAnsi="Arial" w:cs="Arial"/>
          <w:bCs/>
          <w:sz w:val="20"/>
        </w:rPr>
      </w:pPr>
      <w:r w:rsidRPr="00B6319A">
        <w:rPr>
          <w:rFonts w:ascii="Arial" w:hAnsi="Arial" w:cs="Arial"/>
          <w:sz w:val="20"/>
          <w:lang w:val="en"/>
        </w:rPr>
        <w:t>Data to be reported in the individual columns:</w:t>
      </w:r>
    </w:p>
    <w:p w14:paraId="3F7C20B9" w14:textId="7310BD21" w:rsidR="00482D00" w:rsidRPr="00482D00" w:rsidRDefault="00482D00" w:rsidP="00482D00">
      <w:pPr>
        <w:ind w:left="851" w:hanging="491"/>
        <w:rPr>
          <w:rFonts w:ascii="Arial" w:hAnsi="Arial" w:cs="Arial"/>
          <w:sz w:val="20"/>
        </w:rPr>
      </w:pPr>
      <w:r w:rsidRPr="00B6319A">
        <w:rPr>
          <w:rFonts w:ascii="Arial" w:hAnsi="Arial" w:cs="Arial"/>
          <w:sz w:val="20"/>
          <w:lang w:val="en"/>
        </w:rPr>
        <w:t>b)</w:t>
      </w:r>
      <w:r w:rsidRPr="00B6319A">
        <w:rPr>
          <w:rFonts w:ascii="Arial" w:hAnsi="Arial" w:cs="Arial"/>
          <w:sz w:val="20"/>
          <w:lang w:val="en"/>
        </w:rPr>
        <w:tab/>
        <w:t>Year of change of Customer ID: this column shall include the year for which the customer is reported for the first time with the changed customer ID.</w:t>
      </w:r>
      <w:r>
        <w:rPr>
          <w:rFonts w:ascii="Arial" w:hAnsi="Arial" w:cs="Arial"/>
          <w:sz w:val="20"/>
          <w:lang w:val="en"/>
        </w:rPr>
        <w:t xml:space="preserve"> </w:t>
      </w:r>
    </w:p>
    <w:p w14:paraId="6EF8B81B" w14:textId="77777777" w:rsidR="00655C77" w:rsidRPr="00267886" w:rsidRDefault="00655C77" w:rsidP="0048508F">
      <w:pPr>
        <w:rPr>
          <w:rFonts w:ascii="Arial" w:hAnsi="Arial" w:cs="Arial"/>
          <w:bCs/>
          <w:sz w:val="20"/>
        </w:rPr>
      </w:pPr>
    </w:p>
    <w:sectPr w:rsidR="00655C77" w:rsidRPr="00267886" w:rsidSect="00CB3E49">
      <w:headerReference w:type="default" r:id="rId12"/>
      <w:footerReference w:type="default" r:id="rId13"/>
      <w:footerReference w:type="first" r:id="rId14"/>
      <w:pgSz w:w="11907" w:h="16840" w:code="9"/>
      <w:pgMar w:top="1134" w:right="1247" w:bottom="1418" w:left="124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34EEC" w14:textId="77777777" w:rsidR="002A4B43" w:rsidRDefault="002A4B43">
      <w:r>
        <w:separator/>
      </w:r>
    </w:p>
  </w:endnote>
  <w:endnote w:type="continuationSeparator" w:id="0">
    <w:p w14:paraId="1E8345FA" w14:textId="77777777" w:rsidR="002A4B43" w:rsidRDefault="002A4B43">
      <w:r>
        <w:continuationSeparator/>
      </w:r>
    </w:p>
  </w:endnote>
  <w:endnote w:type="continuationNotice" w:id="1">
    <w:p w14:paraId="4A9DAC9D" w14:textId="77777777" w:rsidR="002A4B43" w:rsidRDefault="002A4B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41CDB" w14:textId="77777777" w:rsidR="000D1538" w:rsidRDefault="000D153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CA818" w14:textId="77777777" w:rsidR="000D1538" w:rsidRDefault="000D153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8D67F" w14:textId="77777777" w:rsidR="002A4B43" w:rsidRDefault="002A4B43">
      <w:r>
        <w:separator/>
      </w:r>
    </w:p>
  </w:footnote>
  <w:footnote w:type="continuationSeparator" w:id="0">
    <w:p w14:paraId="2E767C52" w14:textId="77777777" w:rsidR="002A4B43" w:rsidRDefault="002A4B43">
      <w:r>
        <w:continuationSeparator/>
      </w:r>
    </w:p>
  </w:footnote>
  <w:footnote w:type="continuationNotice" w:id="1">
    <w:p w14:paraId="27C6DCC1" w14:textId="77777777" w:rsidR="002A4B43" w:rsidRDefault="002A4B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F227E" w14:textId="77777777" w:rsidR="00F9618A" w:rsidRDefault="00F9618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1285E35"/>
    <w:multiLevelType w:val="hybridMultilevel"/>
    <w:tmpl w:val="DDA251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62353A"/>
    <w:multiLevelType w:val="hybridMultilevel"/>
    <w:tmpl w:val="83E8E87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E4140C8"/>
    <w:multiLevelType w:val="hybridMultilevel"/>
    <w:tmpl w:val="CE564C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389412E"/>
    <w:multiLevelType w:val="hybridMultilevel"/>
    <w:tmpl w:val="7904065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35024044"/>
    <w:multiLevelType w:val="hybridMultilevel"/>
    <w:tmpl w:val="733072DC"/>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7" w15:restartNumberingAfterBreak="0">
    <w:nsid w:val="374516D6"/>
    <w:multiLevelType w:val="hybridMultilevel"/>
    <w:tmpl w:val="6B40E5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80A181F"/>
    <w:multiLevelType w:val="hybridMultilevel"/>
    <w:tmpl w:val="0F962C60"/>
    <w:lvl w:ilvl="0" w:tplc="040E0017">
      <w:start w:val="1"/>
      <w:numFmt w:val="lowerLetter"/>
      <w:lvlText w:val="%1)"/>
      <w:lvlJc w:val="left"/>
      <w:pPr>
        <w:ind w:left="2484" w:hanging="360"/>
      </w:pPr>
    </w:lvl>
    <w:lvl w:ilvl="1" w:tplc="040E0019">
      <w:start w:val="1"/>
      <w:numFmt w:val="lowerLetter"/>
      <w:lvlText w:val="%2."/>
      <w:lvlJc w:val="left"/>
      <w:pPr>
        <w:ind w:left="3204" w:hanging="360"/>
      </w:pPr>
    </w:lvl>
    <w:lvl w:ilvl="2" w:tplc="040E001B">
      <w:start w:val="1"/>
      <w:numFmt w:val="lowerRoman"/>
      <w:lvlText w:val="%3."/>
      <w:lvlJc w:val="right"/>
      <w:pPr>
        <w:ind w:left="3924" w:hanging="180"/>
      </w:pPr>
    </w:lvl>
    <w:lvl w:ilvl="3" w:tplc="040E000F">
      <w:start w:val="1"/>
      <w:numFmt w:val="decimal"/>
      <w:lvlText w:val="%4."/>
      <w:lvlJc w:val="left"/>
      <w:pPr>
        <w:ind w:left="4644" w:hanging="360"/>
      </w:pPr>
    </w:lvl>
    <w:lvl w:ilvl="4" w:tplc="040E0019">
      <w:start w:val="1"/>
      <w:numFmt w:val="lowerLetter"/>
      <w:lvlText w:val="%5."/>
      <w:lvlJc w:val="left"/>
      <w:pPr>
        <w:ind w:left="5364" w:hanging="360"/>
      </w:pPr>
    </w:lvl>
    <w:lvl w:ilvl="5" w:tplc="040E001B">
      <w:start w:val="1"/>
      <w:numFmt w:val="lowerRoman"/>
      <w:lvlText w:val="%6."/>
      <w:lvlJc w:val="right"/>
      <w:pPr>
        <w:ind w:left="6084" w:hanging="180"/>
      </w:pPr>
    </w:lvl>
    <w:lvl w:ilvl="6" w:tplc="040E000F">
      <w:start w:val="1"/>
      <w:numFmt w:val="decimal"/>
      <w:lvlText w:val="%7."/>
      <w:lvlJc w:val="left"/>
      <w:pPr>
        <w:ind w:left="6804" w:hanging="360"/>
      </w:pPr>
    </w:lvl>
    <w:lvl w:ilvl="7" w:tplc="040E0019">
      <w:start w:val="1"/>
      <w:numFmt w:val="lowerLetter"/>
      <w:lvlText w:val="%8."/>
      <w:lvlJc w:val="left"/>
      <w:pPr>
        <w:ind w:left="7524" w:hanging="360"/>
      </w:pPr>
    </w:lvl>
    <w:lvl w:ilvl="8" w:tplc="040E001B">
      <w:start w:val="1"/>
      <w:numFmt w:val="lowerRoman"/>
      <w:lvlText w:val="%9."/>
      <w:lvlJc w:val="right"/>
      <w:pPr>
        <w:ind w:left="8244" w:hanging="180"/>
      </w:pPr>
    </w:lvl>
  </w:abstractNum>
  <w:abstractNum w:abstractNumId="9" w15:restartNumberingAfterBreak="0">
    <w:nsid w:val="3FA96708"/>
    <w:multiLevelType w:val="hybridMultilevel"/>
    <w:tmpl w:val="EEA02F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11D3A19"/>
    <w:multiLevelType w:val="hybridMultilevel"/>
    <w:tmpl w:val="FC3082DC"/>
    <w:lvl w:ilvl="0" w:tplc="1EF28E3C">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A0146FB"/>
    <w:multiLevelType w:val="hybridMultilevel"/>
    <w:tmpl w:val="9334D3B4"/>
    <w:lvl w:ilvl="0" w:tplc="4C6667E8">
      <w:start w:val="1"/>
      <w:numFmt w:val="decimal"/>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CAD2BC8"/>
    <w:multiLevelType w:val="hybridMultilevel"/>
    <w:tmpl w:val="8E98D8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6580675"/>
    <w:multiLevelType w:val="hybridMultilevel"/>
    <w:tmpl w:val="EAF2D6E6"/>
    <w:lvl w:ilvl="0" w:tplc="040E0001">
      <w:start w:val="1"/>
      <w:numFmt w:val="bullet"/>
      <w:lvlText w:val=""/>
      <w:lvlJc w:val="left"/>
      <w:pPr>
        <w:ind w:left="720" w:hanging="360"/>
      </w:pPr>
      <w:rPr>
        <w:rFonts w:ascii="Symbol" w:hAnsi="Symbol" w:hint="default"/>
      </w:rPr>
    </w:lvl>
    <w:lvl w:ilvl="1" w:tplc="D6E6BDE0">
      <w:numFmt w:val="bullet"/>
      <w:lvlText w:val="-"/>
      <w:lvlJc w:val="left"/>
      <w:pPr>
        <w:ind w:left="1440" w:hanging="360"/>
      </w:pPr>
      <w:rPr>
        <w:rFonts w:ascii="Calibri" w:eastAsia="Times New Roman" w:hAnsi="Calibri" w:cs="Times New Roman"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E2B36C4"/>
    <w:multiLevelType w:val="hybridMultilevel"/>
    <w:tmpl w:val="BEFC58F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FAB33A2"/>
    <w:multiLevelType w:val="multilevel"/>
    <w:tmpl w:val="334A2A4C"/>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8"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49E21D2"/>
    <w:multiLevelType w:val="hybridMultilevel"/>
    <w:tmpl w:val="45763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370C15"/>
    <w:multiLevelType w:val="multilevel"/>
    <w:tmpl w:val="747E73E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2" w15:restartNumberingAfterBreak="0">
    <w:nsid w:val="7AF720ED"/>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C923839"/>
    <w:multiLevelType w:val="hybridMultilevel"/>
    <w:tmpl w:val="95F45E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DE05CD4"/>
    <w:multiLevelType w:val="hybridMultilevel"/>
    <w:tmpl w:val="19F4EC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940066660">
    <w:abstractNumId w:val="2"/>
  </w:num>
  <w:num w:numId="2" w16cid:durableId="1505053240">
    <w:abstractNumId w:val="0"/>
  </w:num>
  <w:num w:numId="3" w16cid:durableId="42222580">
    <w:abstractNumId w:val="20"/>
  </w:num>
  <w:num w:numId="4" w16cid:durableId="1442804111">
    <w:abstractNumId w:val="23"/>
  </w:num>
  <w:num w:numId="5" w16cid:durableId="237206089">
    <w:abstractNumId w:val="13"/>
  </w:num>
  <w:num w:numId="6" w16cid:durableId="1110204254">
    <w:abstractNumId w:val="3"/>
  </w:num>
  <w:num w:numId="7" w16cid:durableId="928466468">
    <w:abstractNumId w:val="4"/>
  </w:num>
  <w:num w:numId="8" w16cid:durableId="421411416">
    <w:abstractNumId w:val="15"/>
  </w:num>
  <w:num w:numId="9" w16cid:durableId="1877308575">
    <w:abstractNumId w:val="19"/>
  </w:num>
  <w:num w:numId="10" w16cid:durableId="2030519924">
    <w:abstractNumId w:val="14"/>
  </w:num>
  <w:num w:numId="11" w16cid:durableId="1454908668">
    <w:abstractNumId w:val="5"/>
  </w:num>
  <w:num w:numId="12" w16cid:durableId="1969234609">
    <w:abstractNumId w:val="18"/>
  </w:num>
  <w:num w:numId="13" w16cid:durableId="1430614369">
    <w:abstractNumId w:val="10"/>
  </w:num>
  <w:num w:numId="14" w16cid:durableId="576862724">
    <w:abstractNumId w:val="11"/>
    <w:lvlOverride w:ilvl="0">
      <w:startOverride w:val="1"/>
    </w:lvlOverride>
  </w:num>
  <w:num w:numId="15" w16cid:durableId="1986153772">
    <w:abstractNumId w:val="9"/>
  </w:num>
  <w:num w:numId="16" w16cid:durableId="539561517">
    <w:abstractNumId w:val="1"/>
  </w:num>
  <w:num w:numId="17" w16cid:durableId="146555030">
    <w:abstractNumId w:val="22"/>
  </w:num>
  <w:num w:numId="18" w16cid:durableId="960722929">
    <w:abstractNumId w:val="12"/>
  </w:num>
  <w:num w:numId="19" w16cid:durableId="1057358603">
    <w:abstractNumId w:val="17"/>
  </w:num>
  <w:num w:numId="20" w16cid:durableId="1057046047">
    <w:abstractNumId w:val="21"/>
  </w:num>
  <w:num w:numId="21" w16cid:durableId="1694382564">
    <w:abstractNumId w:val="7"/>
  </w:num>
  <w:num w:numId="22" w16cid:durableId="1005937750">
    <w:abstractNumId w:val="25"/>
  </w:num>
  <w:num w:numId="23" w16cid:durableId="1022246218">
    <w:abstractNumId w:val="6"/>
  </w:num>
  <w:num w:numId="24" w16cid:durableId="1871531060">
    <w:abstractNumId w:val="24"/>
  </w:num>
  <w:num w:numId="25" w16cid:durableId="20747689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373008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F7"/>
    <w:rsid w:val="0000064B"/>
    <w:rsid w:val="00001E2C"/>
    <w:rsid w:val="00001E48"/>
    <w:rsid w:val="00007850"/>
    <w:rsid w:val="000136A2"/>
    <w:rsid w:val="00014111"/>
    <w:rsid w:val="00020D61"/>
    <w:rsid w:val="0002291C"/>
    <w:rsid w:val="0002342D"/>
    <w:rsid w:val="00027538"/>
    <w:rsid w:val="00027664"/>
    <w:rsid w:val="00027D3B"/>
    <w:rsid w:val="00032480"/>
    <w:rsid w:val="000324AC"/>
    <w:rsid w:val="00033510"/>
    <w:rsid w:val="00046B12"/>
    <w:rsid w:val="00046CDA"/>
    <w:rsid w:val="00051F49"/>
    <w:rsid w:val="0005378E"/>
    <w:rsid w:val="00054DD6"/>
    <w:rsid w:val="00060240"/>
    <w:rsid w:val="000629C0"/>
    <w:rsid w:val="00062BDB"/>
    <w:rsid w:val="00062C0B"/>
    <w:rsid w:val="00065679"/>
    <w:rsid w:val="000657F3"/>
    <w:rsid w:val="00076377"/>
    <w:rsid w:val="0007681A"/>
    <w:rsid w:val="0007717C"/>
    <w:rsid w:val="00081BDC"/>
    <w:rsid w:val="0008244A"/>
    <w:rsid w:val="00083BCA"/>
    <w:rsid w:val="00086B23"/>
    <w:rsid w:val="00092671"/>
    <w:rsid w:val="000943D1"/>
    <w:rsid w:val="000947C9"/>
    <w:rsid w:val="000976EB"/>
    <w:rsid w:val="000A49C1"/>
    <w:rsid w:val="000B1B54"/>
    <w:rsid w:val="000B1CD3"/>
    <w:rsid w:val="000B3EAF"/>
    <w:rsid w:val="000B5B5D"/>
    <w:rsid w:val="000C5AA4"/>
    <w:rsid w:val="000C6FB6"/>
    <w:rsid w:val="000C79D3"/>
    <w:rsid w:val="000D0FB4"/>
    <w:rsid w:val="000D1538"/>
    <w:rsid w:val="000D585D"/>
    <w:rsid w:val="000D5F9B"/>
    <w:rsid w:val="000D7463"/>
    <w:rsid w:val="000D7A64"/>
    <w:rsid w:val="000E0CAA"/>
    <w:rsid w:val="000E1B87"/>
    <w:rsid w:val="000E3A49"/>
    <w:rsid w:val="000E687C"/>
    <w:rsid w:val="000F02C7"/>
    <w:rsid w:val="000F6519"/>
    <w:rsid w:val="00101AF2"/>
    <w:rsid w:val="001046B1"/>
    <w:rsid w:val="001049AB"/>
    <w:rsid w:val="0010531C"/>
    <w:rsid w:val="00110C47"/>
    <w:rsid w:val="00115E21"/>
    <w:rsid w:val="00120523"/>
    <w:rsid w:val="00122F40"/>
    <w:rsid w:val="0012383E"/>
    <w:rsid w:val="001318DD"/>
    <w:rsid w:val="00131E74"/>
    <w:rsid w:val="0013238A"/>
    <w:rsid w:val="00132BB8"/>
    <w:rsid w:val="00136D48"/>
    <w:rsid w:val="00137E34"/>
    <w:rsid w:val="00141D10"/>
    <w:rsid w:val="001516EE"/>
    <w:rsid w:val="00151A1B"/>
    <w:rsid w:val="0015233C"/>
    <w:rsid w:val="00157ED2"/>
    <w:rsid w:val="00162B8A"/>
    <w:rsid w:val="001639DC"/>
    <w:rsid w:val="00163A73"/>
    <w:rsid w:val="001667B9"/>
    <w:rsid w:val="0016703B"/>
    <w:rsid w:val="00170905"/>
    <w:rsid w:val="00176D56"/>
    <w:rsid w:val="0017704A"/>
    <w:rsid w:val="00181F27"/>
    <w:rsid w:val="00182ED7"/>
    <w:rsid w:val="00184378"/>
    <w:rsid w:val="00186BA6"/>
    <w:rsid w:val="0019549A"/>
    <w:rsid w:val="001971B2"/>
    <w:rsid w:val="001A0300"/>
    <w:rsid w:val="001A26F8"/>
    <w:rsid w:val="001A6AFA"/>
    <w:rsid w:val="001A74F4"/>
    <w:rsid w:val="001B0A2F"/>
    <w:rsid w:val="001B2A06"/>
    <w:rsid w:val="001B32E7"/>
    <w:rsid w:val="001B5BCA"/>
    <w:rsid w:val="001B6F86"/>
    <w:rsid w:val="001C462C"/>
    <w:rsid w:val="001C49F9"/>
    <w:rsid w:val="001C5ABD"/>
    <w:rsid w:val="001C5B7A"/>
    <w:rsid w:val="001C6EA6"/>
    <w:rsid w:val="001D01EB"/>
    <w:rsid w:val="001D0FF5"/>
    <w:rsid w:val="001D1DF5"/>
    <w:rsid w:val="001D221D"/>
    <w:rsid w:val="001E01B4"/>
    <w:rsid w:val="001E0EE2"/>
    <w:rsid w:val="001E685D"/>
    <w:rsid w:val="001F0AE0"/>
    <w:rsid w:val="001F2307"/>
    <w:rsid w:val="001F5B5D"/>
    <w:rsid w:val="001F65FB"/>
    <w:rsid w:val="00214779"/>
    <w:rsid w:val="00215B0E"/>
    <w:rsid w:val="00216072"/>
    <w:rsid w:val="0022074E"/>
    <w:rsid w:val="00220856"/>
    <w:rsid w:val="00223595"/>
    <w:rsid w:val="00224C22"/>
    <w:rsid w:val="00224DA8"/>
    <w:rsid w:val="0022725F"/>
    <w:rsid w:val="00227F9D"/>
    <w:rsid w:val="00230C2A"/>
    <w:rsid w:val="00231527"/>
    <w:rsid w:val="00231560"/>
    <w:rsid w:val="00232913"/>
    <w:rsid w:val="0023372D"/>
    <w:rsid w:val="0023414E"/>
    <w:rsid w:val="00241FC0"/>
    <w:rsid w:val="00244570"/>
    <w:rsid w:val="002453DF"/>
    <w:rsid w:val="00245F0D"/>
    <w:rsid w:val="002466A5"/>
    <w:rsid w:val="00246EB8"/>
    <w:rsid w:val="002565C5"/>
    <w:rsid w:val="002636D8"/>
    <w:rsid w:val="00267886"/>
    <w:rsid w:val="00274F60"/>
    <w:rsid w:val="00275343"/>
    <w:rsid w:val="002768E6"/>
    <w:rsid w:val="00281F1F"/>
    <w:rsid w:val="002830B1"/>
    <w:rsid w:val="0028351E"/>
    <w:rsid w:val="00284857"/>
    <w:rsid w:val="00286385"/>
    <w:rsid w:val="00290879"/>
    <w:rsid w:val="00290E05"/>
    <w:rsid w:val="00292516"/>
    <w:rsid w:val="00292D96"/>
    <w:rsid w:val="00295197"/>
    <w:rsid w:val="002959E0"/>
    <w:rsid w:val="002A1E0B"/>
    <w:rsid w:val="002A306F"/>
    <w:rsid w:val="002A4B43"/>
    <w:rsid w:val="002A5BC1"/>
    <w:rsid w:val="002A5BF2"/>
    <w:rsid w:val="002A6B93"/>
    <w:rsid w:val="002A6D4A"/>
    <w:rsid w:val="002B1E44"/>
    <w:rsid w:val="002B1F72"/>
    <w:rsid w:val="002B3B24"/>
    <w:rsid w:val="002B7351"/>
    <w:rsid w:val="002C0831"/>
    <w:rsid w:val="002C5D13"/>
    <w:rsid w:val="002C5DD1"/>
    <w:rsid w:val="002D228F"/>
    <w:rsid w:val="002D2598"/>
    <w:rsid w:val="002D37E7"/>
    <w:rsid w:val="002D5E64"/>
    <w:rsid w:val="002D7BC1"/>
    <w:rsid w:val="002E0307"/>
    <w:rsid w:val="002E3E37"/>
    <w:rsid w:val="002F2437"/>
    <w:rsid w:val="002F51D7"/>
    <w:rsid w:val="00301038"/>
    <w:rsid w:val="00302B82"/>
    <w:rsid w:val="00305527"/>
    <w:rsid w:val="0030614F"/>
    <w:rsid w:val="00311F7C"/>
    <w:rsid w:val="00314376"/>
    <w:rsid w:val="00316D57"/>
    <w:rsid w:val="00317A46"/>
    <w:rsid w:val="00321281"/>
    <w:rsid w:val="00327B26"/>
    <w:rsid w:val="00327EDE"/>
    <w:rsid w:val="00330898"/>
    <w:rsid w:val="0033377E"/>
    <w:rsid w:val="00335DD9"/>
    <w:rsid w:val="00340EEC"/>
    <w:rsid w:val="00341C44"/>
    <w:rsid w:val="00344779"/>
    <w:rsid w:val="0034531A"/>
    <w:rsid w:val="003456DA"/>
    <w:rsid w:val="00345BA0"/>
    <w:rsid w:val="00351893"/>
    <w:rsid w:val="00352179"/>
    <w:rsid w:val="0035482E"/>
    <w:rsid w:val="00360ED7"/>
    <w:rsid w:val="003616AD"/>
    <w:rsid w:val="00374476"/>
    <w:rsid w:val="00374A65"/>
    <w:rsid w:val="003754B2"/>
    <w:rsid w:val="00375D48"/>
    <w:rsid w:val="0038704C"/>
    <w:rsid w:val="00390279"/>
    <w:rsid w:val="003932E1"/>
    <w:rsid w:val="0039754A"/>
    <w:rsid w:val="003A0156"/>
    <w:rsid w:val="003A1330"/>
    <w:rsid w:val="003A4CD5"/>
    <w:rsid w:val="003A7040"/>
    <w:rsid w:val="003B266D"/>
    <w:rsid w:val="003B4C7C"/>
    <w:rsid w:val="003C2740"/>
    <w:rsid w:val="003C43F8"/>
    <w:rsid w:val="003C66CB"/>
    <w:rsid w:val="003C7AF6"/>
    <w:rsid w:val="003D16F3"/>
    <w:rsid w:val="003D2BBB"/>
    <w:rsid w:val="003D33D2"/>
    <w:rsid w:val="003E2640"/>
    <w:rsid w:val="003E2ED5"/>
    <w:rsid w:val="003E46B4"/>
    <w:rsid w:val="003E4E64"/>
    <w:rsid w:val="003E7A6D"/>
    <w:rsid w:val="003E7B9E"/>
    <w:rsid w:val="003F5486"/>
    <w:rsid w:val="003F5942"/>
    <w:rsid w:val="003F615D"/>
    <w:rsid w:val="003F6C1D"/>
    <w:rsid w:val="00401730"/>
    <w:rsid w:val="00402603"/>
    <w:rsid w:val="00402BC8"/>
    <w:rsid w:val="0040356D"/>
    <w:rsid w:val="00415241"/>
    <w:rsid w:val="00417278"/>
    <w:rsid w:val="004225BB"/>
    <w:rsid w:val="00423D79"/>
    <w:rsid w:val="004264F6"/>
    <w:rsid w:val="00427A31"/>
    <w:rsid w:val="0043066C"/>
    <w:rsid w:val="0043138B"/>
    <w:rsid w:val="00432238"/>
    <w:rsid w:val="00432B80"/>
    <w:rsid w:val="00434105"/>
    <w:rsid w:val="00434CC9"/>
    <w:rsid w:val="00436B3C"/>
    <w:rsid w:val="00442087"/>
    <w:rsid w:val="00443105"/>
    <w:rsid w:val="00443BDB"/>
    <w:rsid w:val="004514C2"/>
    <w:rsid w:val="0045154D"/>
    <w:rsid w:val="004515FF"/>
    <w:rsid w:val="004527E0"/>
    <w:rsid w:val="00452DD2"/>
    <w:rsid w:val="004561DF"/>
    <w:rsid w:val="00457C72"/>
    <w:rsid w:val="00461C8D"/>
    <w:rsid w:val="00462872"/>
    <w:rsid w:val="00463AE9"/>
    <w:rsid w:val="0047247F"/>
    <w:rsid w:val="004742BA"/>
    <w:rsid w:val="004750FB"/>
    <w:rsid w:val="0048029B"/>
    <w:rsid w:val="00482146"/>
    <w:rsid w:val="004826EA"/>
    <w:rsid w:val="00482D00"/>
    <w:rsid w:val="00484E1A"/>
    <w:rsid w:val="0048508F"/>
    <w:rsid w:val="00486A68"/>
    <w:rsid w:val="0049157C"/>
    <w:rsid w:val="00497D73"/>
    <w:rsid w:val="004A1A0D"/>
    <w:rsid w:val="004A5121"/>
    <w:rsid w:val="004A5388"/>
    <w:rsid w:val="004A7020"/>
    <w:rsid w:val="004A71F0"/>
    <w:rsid w:val="004A7B67"/>
    <w:rsid w:val="004B1837"/>
    <w:rsid w:val="004B402B"/>
    <w:rsid w:val="004B5152"/>
    <w:rsid w:val="004C0C39"/>
    <w:rsid w:val="004C208A"/>
    <w:rsid w:val="004C5EE8"/>
    <w:rsid w:val="004C6F53"/>
    <w:rsid w:val="004C7533"/>
    <w:rsid w:val="004D1543"/>
    <w:rsid w:val="004D2080"/>
    <w:rsid w:val="004D3636"/>
    <w:rsid w:val="004E343D"/>
    <w:rsid w:val="004F0AE1"/>
    <w:rsid w:val="004F0C80"/>
    <w:rsid w:val="004F50E3"/>
    <w:rsid w:val="004F5432"/>
    <w:rsid w:val="004F66C2"/>
    <w:rsid w:val="004F6EF7"/>
    <w:rsid w:val="004F7000"/>
    <w:rsid w:val="00503CF4"/>
    <w:rsid w:val="00505854"/>
    <w:rsid w:val="005067EA"/>
    <w:rsid w:val="005079F9"/>
    <w:rsid w:val="00510A7E"/>
    <w:rsid w:val="00510DFC"/>
    <w:rsid w:val="00512B2B"/>
    <w:rsid w:val="005156DA"/>
    <w:rsid w:val="0051754C"/>
    <w:rsid w:val="00520B59"/>
    <w:rsid w:val="00521624"/>
    <w:rsid w:val="00522B24"/>
    <w:rsid w:val="00522C37"/>
    <w:rsid w:val="00523E6D"/>
    <w:rsid w:val="00526D5A"/>
    <w:rsid w:val="0053247A"/>
    <w:rsid w:val="00533262"/>
    <w:rsid w:val="00535468"/>
    <w:rsid w:val="00540F07"/>
    <w:rsid w:val="0054616E"/>
    <w:rsid w:val="00547248"/>
    <w:rsid w:val="00551376"/>
    <w:rsid w:val="00551BC2"/>
    <w:rsid w:val="00553278"/>
    <w:rsid w:val="00555FCD"/>
    <w:rsid w:val="005733FE"/>
    <w:rsid w:val="005745C2"/>
    <w:rsid w:val="00577F4B"/>
    <w:rsid w:val="00584225"/>
    <w:rsid w:val="00585477"/>
    <w:rsid w:val="00591F78"/>
    <w:rsid w:val="00592692"/>
    <w:rsid w:val="005943E1"/>
    <w:rsid w:val="00595C3A"/>
    <w:rsid w:val="005A4493"/>
    <w:rsid w:val="005A5AA0"/>
    <w:rsid w:val="005B146F"/>
    <w:rsid w:val="005B2C2B"/>
    <w:rsid w:val="005B57B5"/>
    <w:rsid w:val="005B6B02"/>
    <w:rsid w:val="005C3A5F"/>
    <w:rsid w:val="005D06A2"/>
    <w:rsid w:val="005D2F1A"/>
    <w:rsid w:val="005D6773"/>
    <w:rsid w:val="005E1D78"/>
    <w:rsid w:val="005E2C4D"/>
    <w:rsid w:val="005E4F64"/>
    <w:rsid w:val="005F0D20"/>
    <w:rsid w:val="005F0D68"/>
    <w:rsid w:val="0060696E"/>
    <w:rsid w:val="00607728"/>
    <w:rsid w:val="00615557"/>
    <w:rsid w:val="006237C2"/>
    <w:rsid w:val="006257EE"/>
    <w:rsid w:val="00625D3E"/>
    <w:rsid w:val="00630C4D"/>
    <w:rsid w:val="00634F2D"/>
    <w:rsid w:val="00637B42"/>
    <w:rsid w:val="00641308"/>
    <w:rsid w:val="00647573"/>
    <w:rsid w:val="006542DB"/>
    <w:rsid w:val="00655C77"/>
    <w:rsid w:val="00661C95"/>
    <w:rsid w:val="0066434F"/>
    <w:rsid w:val="00664D8D"/>
    <w:rsid w:val="006659BA"/>
    <w:rsid w:val="00665E27"/>
    <w:rsid w:val="00666FE7"/>
    <w:rsid w:val="006745D3"/>
    <w:rsid w:val="006767BE"/>
    <w:rsid w:val="00677FC1"/>
    <w:rsid w:val="00682800"/>
    <w:rsid w:val="00685600"/>
    <w:rsid w:val="006875C6"/>
    <w:rsid w:val="00687957"/>
    <w:rsid w:val="0069089A"/>
    <w:rsid w:val="00692E50"/>
    <w:rsid w:val="006975AA"/>
    <w:rsid w:val="00697BC1"/>
    <w:rsid w:val="006A2505"/>
    <w:rsid w:val="006A4986"/>
    <w:rsid w:val="006B0BBD"/>
    <w:rsid w:val="006B277A"/>
    <w:rsid w:val="006B4178"/>
    <w:rsid w:val="006B49B6"/>
    <w:rsid w:val="006B73FA"/>
    <w:rsid w:val="006C00DE"/>
    <w:rsid w:val="006C3882"/>
    <w:rsid w:val="006C3BDF"/>
    <w:rsid w:val="006D1354"/>
    <w:rsid w:val="006D4752"/>
    <w:rsid w:val="006D5ADA"/>
    <w:rsid w:val="006D6638"/>
    <w:rsid w:val="006E0AE4"/>
    <w:rsid w:val="006E57FF"/>
    <w:rsid w:val="006E58FF"/>
    <w:rsid w:val="006E6600"/>
    <w:rsid w:val="006E6DA9"/>
    <w:rsid w:val="006F2555"/>
    <w:rsid w:val="006F46CD"/>
    <w:rsid w:val="006F617C"/>
    <w:rsid w:val="007003B4"/>
    <w:rsid w:val="007007BD"/>
    <w:rsid w:val="00701E35"/>
    <w:rsid w:val="007040E3"/>
    <w:rsid w:val="007041B9"/>
    <w:rsid w:val="00704BE5"/>
    <w:rsid w:val="007103E2"/>
    <w:rsid w:val="00711339"/>
    <w:rsid w:val="007119C0"/>
    <w:rsid w:val="00716CFC"/>
    <w:rsid w:val="00720578"/>
    <w:rsid w:val="0072268D"/>
    <w:rsid w:val="00723A96"/>
    <w:rsid w:val="00723DBB"/>
    <w:rsid w:val="00724D4A"/>
    <w:rsid w:val="007263A8"/>
    <w:rsid w:val="0072767C"/>
    <w:rsid w:val="0073181F"/>
    <w:rsid w:val="007330A6"/>
    <w:rsid w:val="007367B7"/>
    <w:rsid w:val="00736914"/>
    <w:rsid w:val="00736B17"/>
    <w:rsid w:val="007404CD"/>
    <w:rsid w:val="0074144F"/>
    <w:rsid w:val="00743B9B"/>
    <w:rsid w:val="00745BA4"/>
    <w:rsid w:val="00746B4E"/>
    <w:rsid w:val="00750D42"/>
    <w:rsid w:val="00756ED0"/>
    <w:rsid w:val="007647B2"/>
    <w:rsid w:val="00764DD6"/>
    <w:rsid w:val="0076637C"/>
    <w:rsid w:val="00772F70"/>
    <w:rsid w:val="0077303F"/>
    <w:rsid w:val="00773937"/>
    <w:rsid w:val="00782B69"/>
    <w:rsid w:val="00783DE5"/>
    <w:rsid w:val="00785EBE"/>
    <w:rsid w:val="007860DE"/>
    <w:rsid w:val="00787ED7"/>
    <w:rsid w:val="00791818"/>
    <w:rsid w:val="00792076"/>
    <w:rsid w:val="00792C7F"/>
    <w:rsid w:val="007A19AD"/>
    <w:rsid w:val="007A2446"/>
    <w:rsid w:val="007A71D9"/>
    <w:rsid w:val="007B4639"/>
    <w:rsid w:val="007B675B"/>
    <w:rsid w:val="007C044B"/>
    <w:rsid w:val="007C19CF"/>
    <w:rsid w:val="007C1E23"/>
    <w:rsid w:val="007C26ED"/>
    <w:rsid w:val="007C2C06"/>
    <w:rsid w:val="007C2DE0"/>
    <w:rsid w:val="007C31CA"/>
    <w:rsid w:val="007D2864"/>
    <w:rsid w:val="007D3399"/>
    <w:rsid w:val="007D3575"/>
    <w:rsid w:val="007D490E"/>
    <w:rsid w:val="007D57AC"/>
    <w:rsid w:val="007D58ED"/>
    <w:rsid w:val="007E31F0"/>
    <w:rsid w:val="007E3785"/>
    <w:rsid w:val="007E40FD"/>
    <w:rsid w:val="007E48A3"/>
    <w:rsid w:val="007E4C86"/>
    <w:rsid w:val="007E7823"/>
    <w:rsid w:val="007F256A"/>
    <w:rsid w:val="00814EE5"/>
    <w:rsid w:val="00826EC3"/>
    <w:rsid w:val="008332F4"/>
    <w:rsid w:val="00835E75"/>
    <w:rsid w:val="00841F29"/>
    <w:rsid w:val="008436A8"/>
    <w:rsid w:val="0084382C"/>
    <w:rsid w:val="008515CF"/>
    <w:rsid w:val="0085430E"/>
    <w:rsid w:val="008562CC"/>
    <w:rsid w:val="0086435D"/>
    <w:rsid w:val="00866B1F"/>
    <w:rsid w:val="00875167"/>
    <w:rsid w:val="00876CB1"/>
    <w:rsid w:val="00881F62"/>
    <w:rsid w:val="00885578"/>
    <w:rsid w:val="00885602"/>
    <w:rsid w:val="00886058"/>
    <w:rsid w:val="00891789"/>
    <w:rsid w:val="00891D43"/>
    <w:rsid w:val="008A06CE"/>
    <w:rsid w:val="008A509A"/>
    <w:rsid w:val="008B035B"/>
    <w:rsid w:val="008B19B5"/>
    <w:rsid w:val="008B210B"/>
    <w:rsid w:val="008B6B8B"/>
    <w:rsid w:val="008C2827"/>
    <w:rsid w:val="008D0C9B"/>
    <w:rsid w:val="008D3211"/>
    <w:rsid w:val="008D4D75"/>
    <w:rsid w:val="008D50E3"/>
    <w:rsid w:val="008E0C1B"/>
    <w:rsid w:val="008E5E6A"/>
    <w:rsid w:val="008E6C1B"/>
    <w:rsid w:val="008F64FF"/>
    <w:rsid w:val="008F65DC"/>
    <w:rsid w:val="0090007C"/>
    <w:rsid w:val="009012DD"/>
    <w:rsid w:val="009026A3"/>
    <w:rsid w:val="00904B05"/>
    <w:rsid w:val="00904EEF"/>
    <w:rsid w:val="009107A8"/>
    <w:rsid w:val="00910D63"/>
    <w:rsid w:val="00911DFC"/>
    <w:rsid w:val="00911F66"/>
    <w:rsid w:val="00914861"/>
    <w:rsid w:val="00917F80"/>
    <w:rsid w:val="00920CD1"/>
    <w:rsid w:val="009228FD"/>
    <w:rsid w:val="00922A35"/>
    <w:rsid w:val="00924523"/>
    <w:rsid w:val="009274E6"/>
    <w:rsid w:val="009321DF"/>
    <w:rsid w:val="00935F86"/>
    <w:rsid w:val="009370EF"/>
    <w:rsid w:val="00937D4A"/>
    <w:rsid w:val="009421DB"/>
    <w:rsid w:val="00945118"/>
    <w:rsid w:val="00945771"/>
    <w:rsid w:val="0095216D"/>
    <w:rsid w:val="0095284C"/>
    <w:rsid w:val="00954775"/>
    <w:rsid w:val="00954865"/>
    <w:rsid w:val="00956BEA"/>
    <w:rsid w:val="009736E4"/>
    <w:rsid w:val="009751F2"/>
    <w:rsid w:val="00977635"/>
    <w:rsid w:val="00977F20"/>
    <w:rsid w:val="00980270"/>
    <w:rsid w:val="009823C0"/>
    <w:rsid w:val="00993E97"/>
    <w:rsid w:val="009A1479"/>
    <w:rsid w:val="009A585D"/>
    <w:rsid w:val="009A782F"/>
    <w:rsid w:val="009B0029"/>
    <w:rsid w:val="009B0517"/>
    <w:rsid w:val="009B17A9"/>
    <w:rsid w:val="009C17CC"/>
    <w:rsid w:val="009C1B90"/>
    <w:rsid w:val="009C1F6E"/>
    <w:rsid w:val="009C3E2B"/>
    <w:rsid w:val="009C3E35"/>
    <w:rsid w:val="009C4FEC"/>
    <w:rsid w:val="009C5D4F"/>
    <w:rsid w:val="009C6EA2"/>
    <w:rsid w:val="009C7F4B"/>
    <w:rsid w:val="009D4945"/>
    <w:rsid w:val="009D4B48"/>
    <w:rsid w:val="009D78D1"/>
    <w:rsid w:val="009E47E8"/>
    <w:rsid w:val="009E64CE"/>
    <w:rsid w:val="009E708A"/>
    <w:rsid w:val="009E75AD"/>
    <w:rsid w:val="009F26D3"/>
    <w:rsid w:val="009F5EFE"/>
    <w:rsid w:val="009F7D2E"/>
    <w:rsid w:val="00A00C4E"/>
    <w:rsid w:val="00A02221"/>
    <w:rsid w:val="00A02FDE"/>
    <w:rsid w:val="00A072DB"/>
    <w:rsid w:val="00A10446"/>
    <w:rsid w:val="00A127AF"/>
    <w:rsid w:val="00A1352C"/>
    <w:rsid w:val="00A13E05"/>
    <w:rsid w:val="00A1498E"/>
    <w:rsid w:val="00A150A5"/>
    <w:rsid w:val="00A1723A"/>
    <w:rsid w:val="00A2010C"/>
    <w:rsid w:val="00A20131"/>
    <w:rsid w:val="00A21263"/>
    <w:rsid w:val="00A2359B"/>
    <w:rsid w:val="00A2556A"/>
    <w:rsid w:val="00A25C4C"/>
    <w:rsid w:val="00A27430"/>
    <w:rsid w:val="00A30F01"/>
    <w:rsid w:val="00A34702"/>
    <w:rsid w:val="00A3689E"/>
    <w:rsid w:val="00A369B3"/>
    <w:rsid w:val="00A400CD"/>
    <w:rsid w:val="00A41248"/>
    <w:rsid w:val="00A466AB"/>
    <w:rsid w:val="00A506D9"/>
    <w:rsid w:val="00A50C5D"/>
    <w:rsid w:val="00A54022"/>
    <w:rsid w:val="00A55989"/>
    <w:rsid w:val="00A568FA"/>
    <w:rsid w:val="00A625CC"/>
    <w:rsid w:val="00A7077B"/>
    <w:rsid w:val="00A71060"/>
    <w:rsid w:val="00A7463B"/>
    <w:rsid w:val="00A74B56"/>
    <w:rsid w:val="00A76776"/>
    <w:rsid w:val="00A80ECF"/>
    <w:rsid w:val="00A8347E"/>
    <w:rsid w:val="00A861AB"/>
    <w:rsid w:val="00A86921"/>
    <w:rsid w:val="00A9105E"/>
    <w:rsid w:val="00A91915"/>
    <w:rsid w:val="00A93C94"/>
    <w:rsid w:val="00A976F3"/>
    <w:rsid w:val="00AA012C"/>
    <w:rsid w:val="00AA0FB0"/>
    <w:rsid w:val="00AA641C"/>
    <w:rsid w:val="00AB00D0"/>
    <w:rsid w:val="00AB4B09"/>
    <w:rsid w:val="00AC1D94"/>
    <w:rsid w:val="00AC2521"/>
    <w:rsid w:val="00AC36FE"/>
    <w:rsid w:val="00AC6C5B"/>
    <w:rsid w:val="00AD291E"/>
    <w:rsid w:val="00AD3CD6"/>
    <w:rsid w:val="00AD6B2F"/>
    <w:rsid w:val="00AE2C9C"/>
    <w:rsid w:val="00AE35E7"/>
    <w:rsid w:val="00AE5703"/>
    <w:rsid w:val="00AF24CA"/>
    <w:rsid w:val="00B2750F"/>
    <w:rsid w:val="00B31407"/>
    <w:rsid w:val="00B32BFB"/>
    <w:rsid w:val="00B35F43"/>
    <w:rsid w:val="00B373C5"/>
    <w:rsid w:val="00B41CC4"/>
    <w:rsid w:val="00B42140"/>
    <w:rsid w:val="00B4238A"/>
    <w:rsid w:val="00B433B6"/>
    <w:rsid w:val="00B45156"/>
    <w:rsid w:val="00B45C9E"/>
    <w:rsid w:val="00B47FEF"/>
    <w:rsid w:val="00B512A4"/>
    <w:rsid w:val="00B5399D"/>
    <w:rsid w:val="00B54E99"/>
    <w:rsid w:val="00B551DA"/>
    <w:rsid w:val="00B61BAF"/>
    <w:rsid w:val="00B6319A"/>
    <w:rsid w:val="00B665AB"/>
    <w:rsid w:val="00B66C7C"/>
    <w:rsid w:val="00B66D20"/>
    <w:rsid w:val="00B6765A"/>
    <w:rsid w:val="00B718A8"/>
    <w:rsid w:val="00B722FE"/>
    <w:rsid w:val="00B737E8"/>
    <w:rsid w:val="00B75917"/>
    <w:rsid w:val="00B827B0"/>
    <w:rsid w:val="00B82B87"/>
    <w:rsid w:val="00B83138"/>
    <w:rsid w:val="00B85262"/>
    <w:rsid w:val="00B90C52"/>
    <w:rsid w:val="00B9415D"/>
    <w:rsid w:val="00BA488B"/>
    <w:rsid w:val="00BA6515"/>
    <w:rsid w:val="00BB33C7"/>
    <w:rsid w:val="00BB3A80"/>
    <w:rsid w:val="00BB52A3"/>
    <w:rsid w:val="00BB6C19"/>
    <w:rsid w:val="00BC4C8F"/>
    <w:rsid w:val="00BC60FC"/>
    <w:rsid w:val="00BD1707"/>
    <w:rsid w:val="00BD2791"/>
    <w:rsid w:val="00BD4791"/>
    <w:rsid w:val="00BD4921"/>
    <w:rsid w:val="00BD57E3"/>
    <w:rsid w:val="00BD5C1A"/>
    <w:rsid w:val="00BE17EE"/>
    <w:rsid w:val="00BE1CF4"/>
    <w:rsid w:val="00BE26AE"/>
    <w:rsid w:val="00BE2E72"/>
    <w:rsid w:val="00BE3886"/>
    <w:rsid w:val="00BE5B7A"/>
    <w:rsid w:val="00BF3718"/>
    <w:rsid w:val="00BF616F"/>
    <w:rsid w:val="00BF6214"/>
    <w:rsid w:val="00BF7E28"/>
    <w:rsid w:val="00C04570"/>
    <w:rsid w:val="00C04E18"/>
    <w:rsid w:val="00C1295B"/>
    <w:rsid w:val="00C13F5B"/>
    <w:rsid w:val="00C144A5"/>
    <w:rsid w:val="00C152C7"/>
    <w:rsid w:val="00C17DA4"/>
    <w:rsid w:val="00C21B17"/>
    <w:rsid w:val="00C2538D"/>
    <w:rsid w:val="00C2694C"/>
    <w:rsid w:val="00C33BA4"/>
    <w:rsid w:val="00C3728A"/>
    <w:rsid w:val="00C379DF"/>
    <w:rsid w:val="00C37B77"/>
    <w:rsid w:val="00C40003"/>
    <w:rsid w:val="00C42630"/>
    <w:rsid w:val="00C42FDD"/>
    <w:rsid w:val="00C4473E"/>
    <w:rsid w:val="00C5190D"/>
    <w:rsid w:val="00C528C9"/>
    <w:rsid w:val="00C52939"/>
    <w:rsid w:val="00C5376D"/>
    <w:rsid w:val="00C564F5"/>
    <w:rsid w:val="00C62155"/>
    <w:rsid w:val="00C64182"/>
    <w:rsid w:val="00C67884"/>
    <w:rsid w:val="00C70A91"/>
    <w:rsid w:val="00C72001"/>
    <w:rsid w:val="00C72409"/>
    <w:rsid w:val="00C75DF3"/>
    <w:rsid w:val="00C84D32"/>
    <w:rsid w:val="00C8780C"/>
    <w:rsid w:val="00C9221C"/>
    <w:rsid w:val="00C949ED"/>
    <w:rsid w:val="00C96223"/>
    <w:rsid w:val="00C97A68"/>
    <w:rsid w:val="00CA1281"/>
    <w:rsid w:val="00CA1BB4"/>
    <w:rsid w:val="00CB2C53"/>
    <w:rsid w:val="00CB3C1A"/>
    <w:rsid w:val="00CB3E49"/>
    <w:rsid w:val="00CB59B8"/>
    <w:rsid w:val="00CB6FAD"/>
    <w:rsid w:val="00CC1A03"/>
    <w:rsid w:val="00CC36FB"/>
    <w:rsid w:val="00CC5798"/>
    <w:rsid w:val="00CD1AF7"/>
    <w:rsid w:val="00CD376F"/>
    <w:rsid w:val="00CD3A4F"/>
    <w:rsid w:val="00CE7A3D"/>
    <w:rsid w:val="00CE7BBB"/>
    <w:rsid w:val="00CF0D94"/>
    <w:rsid w:val="00CF1B29"/>
    <w:rsid w:val="00CF2543"/>
    <w:rsid w:val="00CF2B5D"/>
    <w:rsid w:val="00CF655C"/>
    <w:rsid w:val="00CF7009"/>
    <w:rsid w:val="00CF7471"/>
    <w:rsid w:val="00D00221"/>
    <w:rsid w:val="00D01962"/>
    <w:rsid w:val="00D01C70"/>
    <w:rsid w:val="00D05206"/>
    <w:rsid w:val="00D1045B"/>
    <w:rsid w:val="00D112C5"/>
    <w:rsid w:val="00D11C0A"/>
    <w:rsid w:val="00D14A59"/>
    <w:rsid w:val="00D20959"/>
    <w:rsid w:val="00D20EC0"/>
    <w:rsid w:val="00D21658"/>
    <w:rsid w:val="00D21C2C"/>
    <w:rsid w:val="00D22958"/>
    <w:rsid w:val="00D2624E"/>
    <w:rsid w:val="00D27F88"/>
    <w:rsid w:val="00D329BE"/>
    <w:rsid w:val="00D4384C"/>
    <w:rsid w:val="00D44E68"/>
    <w:rsid w:val="00D46CF9"/>
    <w:rsid w:val="00D47DEC"/>
    <w:rsid w:val="00D52F94"/>
    <w:rsid w:val="00D56EAE"/>
    <w:rsid w:val="00D631AB"/>
    <w:rsid w:val="00D65878"/>
    <w:rsid w:val="00D719C5"/>
    <w:rsid w:val="00D75A28"/>
    <w:rsid w:val="00D77951"/>
    <w:rsid w:val="00D8053B"/>
    <w:rsid w:val="00D8333F"/>
    <w:rsid w:val="00D836B2"/>
    <w:rsid w:val="00D83711"/>
    <w:rsid w:val="00D8394A"/>
    <w:rsid w:val="00D91613"/>
    <w:rsid w:val="00D923B8"/>
    <w:rsid w:val="00D93D43"/>
    <w:rsid w:val="00D93D8D"/>
    <w:rsid w:val="00DA00F8"/>
    <w:rsid w:val="00DA2B02"/>
    <w:rsid w:val="00DA4384"/>
    <w:rsid w:val="00DA4EFB"/>
    <w:rsid w:val="00DA6CCA"/>
    <w:rsid w:val="00DA7800"/>
    <w:rsid w:val="00DB1633"/>
    <w:rsid w:val="00DC082F"/>
    <w:rsid w:val="00DC1429"/>
    <w:rsid w:val="00DC1EB2"/>
    <w:rsid w:val="00DC28C4"/>
    <w:rsid w:val="00DC4E62"/>
    <w:rsid w:val="00DC52BB"/>
    <w:rsid w:val="00DC60F7"/>
    <w:rsid w:val="00DC691E"/>
    <w:rsid w:val="00DC7625"/>
    <w:rsid w:val="00DC79C5"/>
    <w:rsid w:val="00DC7BEF"/>
    <w:rsid w:val="00DD2192"/>
    <w:rsid w:val="00DD594C"/>
    <w:rsid w:val="00DD6B6D"/>
    <w:rsid w:val="00DE01D0"/>
    <w:rsid w:val="00DE1BF6"/>
    <w:rsid w:val="00DE2369"/>
    <w:rsid w:val="00DE752F"/>
    <w:rsid w:val="00DF0D6B"/>
    <w:rsid w:val="00DF15C5"/>
    <w:rsid w:val="00DF472D"/>
    <w:rsid w:val="00DF516E"/>
    <w:rsid w:val="00DF5472"/>
    <w:rsid w:val="00E02BD2"/>
    <w:rsid w:val="00E10950"/>
    <w:rsid w:val="00E1222E"/>
    <w:rsid w:val="00E12B8A"/>
    <w:rsid w:val="00E23F93"/>
    <w:rsid w:val="00E26E58"/>
    <w:rsid w:val="00E27920"/>
    <w:rsid w:val="00E325A0"/>
    <w:rsid w:val="00E340C4"/>
    <w:rsid w:val="00E36127"/>
    <w:rsid w:val="00E401F8"/>
    <w:rsid w:val="00E44666"/>
    <w:rsid w:val="00E45F09"/>
    <w:rsid w:val="00E46FEC"/>
    <w:rsid w:val="00E47641"/>
    <w:rsid w:val="00E47B18"/>
    <w:rsid w:val="00E53476"/>
    <w:rsid w:val="00E53DB2"/>
    <w:rsid w:val="00E5643D"/>
    <w:rsid w:val="00E57B7C"/>
    <w:rsid w:val="00E60576"/>
    <w:rsid w:val="00E61B2A"/>
    <w:rsid w:val="00E65B2D"/>
    <w:rsid w:val="00E65E3C"/>
    <w:rsid w:val="00E66560"/>
    <w:rsid w:val="00E67485"/>
    <w:rsid w:val="00E75C23"/>
    <w:rsid w:val="00E81D59"/>
    <w:rsid w:val="00E82FB1"/>
    <w:rsid w:val="00E83071"/>
    <w:rsid w:val="00E91BA2"/>
    <w:rsid w:val="00E953CF"/>
    <w:rsid w:val="00E95452"/>
    <w:rsid w:val="00EA043A"/>
    <w:rsid w:val="00EA2A28"/>
    <w:rsid w:val="00EA457C"/>
    <w:rsid w:val="00EA48A4"/>
    <w:rsid w:val="00EA5C50"/>
    <w:rsid w:val="00EA5D99"/>
    <w:rsid w:val="00EA674A"/>
    <w:rsid w:val="00EA766E"/>
    <w:rsid w:val="00EB0692"/>
    <w:rsid w:val="00EB2C79"/>
    <w:rsid w:val="00EB3CAD"/>
    <w:rsid w:val="00EB56E7"/>
    <w:rsid w:val="00EC05B7"/>
    <w:rsid w:val="00EC0F0A"/>
    <w:rsid w:val="00EC227E"/>
    <w:rsid w:val="00EC4D7D"/>
    <w:rsid w:val="00EC61E2"/>
    <w:rsid w:val="00EC6F76"/>
    <w:rsid w:val="00ED0567"/>
    <w:rsid w:val="00ED3BEE"/>
    <w:rsid w:val="00ED5028"/>
    <w:rsid w:val="00ED6B43"/>
    <w:rsid w:val="00EE3989"/>
    <w:rsid w:val="00EE7450"/>
    <w:rsid w:val="00EF0B8C"/>
    <w:rsid w:val="00EF1B53"/>
    <w:rsid w:val="00EF4F7B"/>
    <w:rsid w:val="00EF51A5"/>
    <w:rsid w:val="00EF5238"/>
    <w:rsid w:val="00F02EC4"/>
    <w:rsid w:val="00F04F8D"/>
    <w:rsid w:val="00F129BB"/>
    <w:rsid w:val="00F1509A"/>
    <w:rsid w:val="00F21B55"/>
    <w:rsid w:val="00F24801"/>
    <w:rsid w:val="00F3421E"/>
    <w:rsid w:val="00F41099"/>
    <w:rsid w:val="00F4125A"/>
    <w:rsid w:val="00F41A04"/>
    <w:rsid w:val="00F4317A"/>
    <w:rsid w:val="00F44B65"/>
    <w:rsid w:val="00F44EE6"/>
    <w:rsid w:val="00F470E7"/>
    <w:rsid w:val="00F522B1"/>
    <w:rsid w:val="00F54515"/>
    <w:rsid w:val="00F54564"/>
    <w:rsid w:val="00F55359"/>
    <w:rsid w:val="00F553CF"/>
    <w:rsid w:val="00F574A1"/>
    <w:rsid w:val="00F62AB5"/>
    <w:rsid w:val="00F638D0"/>
    <w:rsid w:val="00F64809"/>
    <w:rsid w:val="00F64D60"/>
    <w:rsid w:val="00F67D9B"/>
    <w:rsid w:val="00F72F87"/>
    <w:rsid w:val="00F76101"/>
    <w:rsid w:val="00F77615"/>
    <w:rsid w:val="00F80089"/>
    <w:rsid w:val="00F80958"/>
    <w:rsid w:val="00F849ED"/>
    <w:rsid w:val="00F85C59"/>
    <w:rsid w:val="00F92DD5"/>
    <w:rsid w:val="00F936E3"/>
    <w:rsid w:val="00F93E70"/>
    <w:rsid w:val="00F9533B"/>
    <w:rsid w:val="00F9618A"/>
    <w:rsid w:val="00F9711C"/>
    <w:rsid w:val="00FA2F17"/>
    <w:rsid w:val="00FA54FC"/>
    <w:rsid w:val="00FB1DE3"/>
    <w:rsid w:val="00FB4E45"/>
    <w:rsid w:val="00FC3898"/>
    <w:rsid w:val="00FC614F"/>
    <w:rsid w:val="00FC623F"/>
    <w:rsid w:val="00FC697D"/>
    <w:rsid w:val="00FD2850"/>
    <w:rsid w:val="00FD3D03"/>
    <w:rsid w:val="00FD4F8E"/>
    <w:rsid w:val="00FD5CDA"/>
    <w:rsid w:val="00FE1918"/>
    <w:rsid w:val="00FE26AE"/>
    <w:rsid w:val="00FE7BF7"/>
    <w:rsid w:val="00FF09BD"/>
    <w:rsid w:val="00FF32A8"/>
    <w:rsid w:val="00FF47EB"/>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A82C55"/>
  <w15:chartTrackingRefBased/>
  <w15:docId w15:val="{A7DF503C-ED23-4B38-BDF2-63AA6FD10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jc w:val="both"/>
    </w:pPr>
    <w:rPr>
      <w:sz w:val="24"/>
    </w:rPr>
  </w:style>
  <w:style w:type="paragraph" w:styleId="Cmsor1">
    <w:name w:val="heading 1"/>
    <w:basedOn w:val="Norml"/>
    <w:next w:val="Norml"/>
    <w:link w:val="Cmsor1Char"/>
    <w:uiPriority w:val="9"/>
    <w:qFormat/>
    <w:rsid w:val="007330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qFormat/>
    <w:pPr>
      <w:keepNext/>
      <w:spacing w:before="240" w:after="60"/>
      <w:outlineLvl w:val="1"/>
    </w:pPr>
    <w:rPr>
      <w:rFonts w:ascii="Arial" w:hAnsi="Arial"/>
      <w:b/>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1bajusz">
    <w:name w:val="1.–bajusz"/>
    <w:basedOn w:val="Norml"/>
    <w:pPr>
      <w:ind w:left="567" w:hanging="283"/>
    </w:pPr>
  </w:style>
  <w:style w:type="paragraph" w:customStyle="1" w:styleId="ALcim">
    <w:name w:val="ALcim"/>
    <w:basedOn w:val="Norml"/>
    <w:next w:val="Norml"/>
    <w:rPr>
      <w:b/>
    </w:rPr>
  </w:style>
  <w:style w:type="paragraph" w:customStyle="1" w:styleId="1bajusz0">
    <w:name w:val="1.=bajusz"/>
    <w:basedOn w:val="Norml"/>
    <w:pPr>
      <w:ind w:left="851" w:hanging="284"/>
    </w:pPr>
  </w:style>
  <w:style w:type="paragraph" w:customStyle="1" w:styleId="11-baj">
    <w:name w:val="1.1-baj"/>
    <w:basedOn w:val="Norml"/>
    <w:pPr>
      <w:ind w:left="709" w:hanging="284"/>
    </w:pPr>
  </w:style>
  <w:style w:type="paragraph" w:customStyle="1" w:styleId="1pont">
    <w:name w:val="1.pont"/>
    <w:basedOn w:val="Norml"/>
    <w:pPr>
      <w:ind w:left="284" w:hanging="284"/>
    </w:pPr>
  </w:style>
  <w:style w:type="paragraph" w:customStyle="1" w:styleId="Focim">
    <w:name w:val="Focim"/>
    <w:basedOn w:val="Norml"/>
    <w:pPr>
      <w:jc w:val="center"/>
    </w:pPr>
    <w:rPr>
      <w:b/>
      <w:i/>
      <w:u w:val="single"/>
    </w:rPr>
  </w:style>
  <w:style w:type="paragraph" w:customStyle="1" w:styleId="surunb">
    <w:name w:val="surunb"/>
    <w:basedOn w:val="Norml"/>
    <w:pPr>
      <w:ind w:left="2268"/>
    </w:pPr>
  </w:style>
  <w:style w:type="paragraph" w:customStyle="1" w:styleId="apontb">
    <w:name w:val="a/pontb"/>
    <w:basedOn w:val="Norml"/>
    <w:pPr>
      <w:ind w:left="709" w:hanging="425"/>
    </w:pPr>
  </w:style>
  <w:style w:type="paragraph" w:customStyle="1" w:styleId="111-baj">
    <w:name w:val="1.1.1-baj"/>
    <w:basedOn w:val="Norml"/>
    <w:pPr>
      <w:ind w:left="993" w:hanging="284"/>
    </w:pPr>
  </w:style>
  <w:style w:type="paragraph" w:customStyle="1" w:styleId="111baj">
    <w:name w:val="1.1.1=baj"/>
    <w:basedOn w:val="111-baj"/>
    <w:pPr>
      <w:ind w:left="1276"/>
    </w:pPr>
  </w:style>
  <w:style w:type="paragraph" w:customStyle="1" w:styleId="111pont">
    <w:name w:val="1.1.1pont"/>
    <w:basedOn w:val="Norm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lfej">
    <w:name w:val="header"/>
    <w:basedOn w:val="Norml"/>
    <w:link w:val="lfejChar"/>
    <w:uiPriority w:val="99"/>
    <w:pPr>
      <w:tabs>
        <w:tab w:val="center" w:pos="4536"/>
        <w:tab w:val="right" w:pos="9072"/>
      </w:tabs>
    </w:pPr>
  </w:style>
  <w:style w:type="character" w:styleId="Jegyzethivatkozs">
    <w:name w:val="annotation reference"/>
    <w:semiHidden/>
    <w:rPr>
      <w:sz w:val="16"/>
    </w:rPr>
  </w:style>
  <w:style w:type="paragraph" w:styleId="Jegyzetszveg">
    <w:name w:val="annotation text"/>
    <w:basedOn w:val="Norml"/>
    <w:semiHidden/>
    <w:rPr>
      <w:sz w:val="20"/>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Kiemels2">
    <w:name w:val="Strong"/>
    <w:qFormat/>
    <w:rPr>
      <w:b/>
      <w:bCs/>
    </w:rPr>
  </w:style>
  <w:style w:type="paragraph" w:styleId="Szvegtrzs">
    <w:name w:val="Body Text"/>
    <w:basedOn w:val="Norml"/>
    <w:link w:val="SzvegtrzsChar"/>
    <w:rsid w:val="00876CB1"/>
    <w:pPr>
      <w:tabs>
        <w:tab w:val="left" w:pos="567"/>
        <w:tab w:val="left" w:pos="8535"/>
      </w:tabs>
      <w:jc w:val="left"/>
    </w:pPr>
    <w:rPr>
      <w:rFonts w:ascii="Arial" w:hAnsi="Arial"/>
      <w:color w:val="000000"/>
      <w:sz w:val="20"/>
    </w:rPr>
  </w:style>
  <w:style w:type="character" w:customStyle="1" w:styleId="SzvegtrzsChar">
    <w:name w:val="Szövegtörzs Char"/>
    <w:link w:val="Szvegtrzs"/>
    <w:rsid w:val="00876CB1"/>
    <w:rPr>
      <w:rFonts w:ascii="Arial" w:hAnsi="Arial"/>
      <w:color w:val="000000"/>
    </w:rPr>
  </w:style>
  <w:style w:type="paragraph" w:styleId="Szvegtrzs2">
    <w:name w:val="Body Text 2"/>
    <w:basedOn w:val="Norml"/>
    <w:link w:val="Szvegtrzs2Char"/>
    <w:rsid w:val="00876CB1"/>
  </w:style>
  <w:style w:type="character" w:customStyle="1" w:styleId="Szvegtrzs2Char">
    <w:name w:val="Szövegtörzs 2 Char"/>
    <w:link w:val="Szvegtrzs2"/>
    <w:rsid w:val="00876CB1"/>
    <w:rPr>
      <w:sz w:val="24"/>
    </w:rPr>
  </w:style>
  <w:style w:type="character" w:customStyle="1" w:styleId="lfejChar">
    <w:name w:val="Élőfej Char"/>
    <w:link w:val="lfej"/>
    <w:uiPriority w:val="99"/>
    <w:rsid w:val="00BE5B7A"/>
    <w:rPr>
      <w:sz w:val="24"/>
    </w:rPr>
  </w:style>
  <w:style w:type="character" w:customStyle="1" w:styleId="llbChar">
    <w:name w:val="Élőláb Char"/>
    <w:link w:val="llb"/>
    <w:uiPriority w:val="99"/>
    <w:rsid w:val="00BE5B7A"/>
    <w:rPr>
      <w:sz w:val="24"/>
    </w:rPr>
  </w:style>
  <w:style w:type="paragraph" w:styleId="Listaszerbekezds">
    <w:name w:val="List Paragraph"/>
    <w:basedOn w:val="Norml"/>
    <w:link w:val="ListaszerbekezdsChar"/>
    <w:uiPriority w:val="4"/>
    <w:qFormat/>
    <w:rsid w:val="001971B2"/>
    <w:pPr>
      <w:ind w:left="720"/>
      <w:contextualSpacing/>
    </w:pPr>
  </w:style>
  <w:style w:type="paragraph" w:styleId="Vltozat">
    <w:name w:val="Revision"/>
    <w:hidden/>
    <w:uiPriority w:val="99"/>
    <w:semiHidden/>
    <w:rsid w:val="00286385"/>
    <w:rPr>
      <w:sz w:val="24"/>
    </w:rPr>
  </w:style>
  <w:style w:type="character" w:customStyle="1" w:styleId="ListaszerbekezdsChar">
    <w:name w:val="Listaszerű bekezdés Char"/>
    <w:basedOn w:val="Bekezdsalapbettpusa"/>
    <w:link w:val="Listaszerbekezds"/>
    <w:uiPriority w:val="4"/>
    <w:rsid w:val="00286385"/>
    <w:rPr>
      <w:sz w:val="24"/>
    </w:rPr>
  </w:style>
  <w:style w:type="character" w:customStyle="1" w:styleId="Cmsor1Char">
    <w:name w:val="Címsor 1 Char"/>
    <w:basedOn w:val="Bekezdsalapbettpusa"/>
    <w:link w:val="Cmsor1"/>
    <w:uiPriority w:val="9"/>
    <w:rsid w:val="007330A6"/>
    <w:rPr>
      <w:rFonts w:asciiTheme="majorHAnsi" w:eastAsiaTheme="majorEastAsia" w:hAnsiTheme="majorHAnsi" w:cstheme="majorBidi"/>
      <w:color w:val="2F5496" w:themeColor="accent1" w:themeShade="BF"/>
      <w:sz w:val="32"/>
      <w:szCs w:val="32"/>
    </w:rPr>
  </w:style>
  <w:style w:type="table" w:styleId="Rcsostblzat">
    <w:name w:val="Table Grid"/>
    <w:basedOn w:val="Normltblzat"/>
    <w:uiPriority w:val="59"/>
    <w:rsid w:val="003F6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360932370">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25659133">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A8F98-3C25-4795-A405-BA555668B225}">
  <ds:schemaRefs>
    <ds:schemaRef ds:uri="http://schemas.microsoft.com/sharepoint/v3/contenttype/forms"/>
  </ds:schemaRefs>
</ds:datastoreItem>
</file>

<file path=customXml/itemProps2.xml><?xml version="1.0" encoding="utf-8"?>
<ds:datastoreItem xmlns:ds="http://schemas.openxmlformats.org/officeDocument/2006/customXml" ds:itemID="{BDD5BEFD-BFB3-448E-AF1D-463069652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615AF35-C0DF-47D2-A232-F3762795A0D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B6BC02-B032-4B4C-82CC-D5FA9B2E9947}">
  <ds:schemaRefs>
    <ds:schemaRef ds:uri="http://schemas.openxmlformats.org/officeDocument/2006/bibliography"/>
  </ds:schemaRefs>
</ds:datastoreItem>
</file>

<file path=customXml/itemProps5.xml><?xml version="1.0" encoding="utf-8"?>
<ds:datastoreItem xmlns:ds="http://schemas.openxmlformats.org/officeDocument/2006/customXml" ds:itemID="{6033064D-85B0-4F7B-B5E9-A18D62235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ELVIRA.DOT</Template>
  <TotalTime>58</TotalTime>
  <Pages>3</Pages>
  <Words>2280</Words>
  <Characters>11471</Characters>
  <Application>Microsoft Office Word</Application>
  <DocSecurity>0</DocSecurity>
  <Lines>95</Lines>
  <Paragraphs>27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Juhász Katalin</cp:lastModifiedBy>
  <cp:revision>4</cp:revision>
  <cp:lastPrinted>2008-03-31T06:45:00Z</cp:lastPrinted>
  <dcterms:created xsi:type="dcterms:W3CDTF">2024-03-25T08:57:00Z</dcterms:created>
  <dcterms:modified xsi:type="dcterms:W3CDTF">2024-03-27T12:15:00Z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2025-08-12T07:17:19Z</vt:filetime>
  </property>
  <property fmtid="{D5CDD505-2E9C-101B-9397-08002B2CF9AE}" pid="13" name="Érvényességet beállító">
    <vt:lpwstr>gubeknei</vt:lpwstr>
  </property>
  <property fmtid="{D5CDD505-2E9C-101B-9397-08002B2CF9AE}" pid="14" name="Érvényességi idő első beállítása">
    <vt:filetime>2020-08-12T07:17:19Z</vt:filetime>
  </property>
</Properties>
</file>