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D6200C" w14:textId="25218DA1" w:rsidR="007035D7" w:rsidRDefault="004765D2" w:rsidP="007035D7">
      <w:pPr>
        <w:spacing w:after="240"/>
        <w:rPr>
          <w:rFonts w:ascii="Arial" w:hAnsi="Arial" w:cs="Arial"/>
          <w:b/>
        </w:rPr>
      </w:pPr>
      <w:bookmarkStart w:id="0" w:name="_GoBack"/>
      <w:bookmarkEnd w:id="0"/>
      <w:r>
        <w:rPr>
          <w:rFonts w:ascii="Arial" w:hAnsi="Arial" w:cs="Arial"/>
          <w:b/>
          <w:bCs/>
          <w:lang w:val="en-GB"/>
        </w:rPr>
        <w:t>MNB identification code: F39</w:t>
      </w:r>
    </w:p>
    <w:p w14:paraId="6498534F" w14:textId="77777777" w:rsidR="004765D2" w:rsidRPr="007035D7" w:rsidRDefault="004765D2" w:rsidP="007035D7">
      <w:pPr>
        <w:spacing w:before="240"/>
        <w:jc w:val="center"/>
        <w:rPr>
          <w:rFonts w:ascii="Arial" w:hAnsi="Arial" w:cs="Arial"/>
          <w:b/>
        </w:rPr>
      </w:pPr>
      <w:r>
        <w:rPr>
          <w:rFonts w:ascii="Arial" w:hAnsi="Arial" w:cs="Arial"/>
          <w:b/>
          <w:bCs/>
          <w:lang w:val="en-GB"/>
        </w:rPr>
        <w:t>Completion instructions for the report</w:t>
      </w:r>
    </w:p>
    <w:p w14:paraId="42C0ED91" w14:textId="77777777" w:rsidR="007035D7" w:rsidRPr="00680792" w:rsidRDefault="004765D2" w:rsidP="007035D7">
      <w:pPr>
        <w:spacing w:after="240"/>
        <w:jc w:val="center"/>
        <w:rPr>
          <w:rFonts w:ascii="Arial" w:hAnsi="Arial" w:cs="Arial"/>
          <w:b/>
        </w:rPr>
      </w:pPr>
      <w:r>
        <w:rPr>
          <w:rFonts w:ascii="Arial" w:hAnsi="Arial" w:cs="Arial"/>
          <w:b/>
          <w:bCs/>
          <w:lang w:val="en-GB"/>
        </w:rPr>
        <w:t>Statistical balance sheet of non-monetary financial intermediaries</w:t>
      </w:r>
    </w:p>
    <w:p w14:paraId="7E66B4C8" w14:textId="77777777" w:rsidR="004765D2" w:rsidRPr="007035D7" w:rsidRDefault="00943698" w:rsidP="007035D7">
      <w:pPr>
        <w:pStyle w:val="Szvegtrzsbehzssal"/>
        <w:spacing w:before="240" w:after="240"/>
        <w:rPr>
          <w:rFonts w:ascii="Arial" w:hAnsi="Arial" w:cs="Arial"/>
          <w:b/>
          <w:sz w:val="20"/>
        </w:rPr>
      </w:pPr>
      <w:r>
        <w:rPr>
          <w:rFonts w:ascii="Arial" w:hAnsi="Arial" w:cs="Arial"/>
          <w:b/>
          <w:bCs/>
          <w:sz w:val="20"/>
          <w:lang w:val="en-GB"/>
        </w:rPr>
        <w:t>I. General instructions</w:t>
      </w:r>
    </w:p>
    <w:p w14:paraId="45324615" w14:textId="59E6F74B" w:rsidR="004765D2" w:rsidRPr="007035D7" w:rsidRDefault="004765D2" w:rsidP="000C09D6">
      <w:pPr>
        <w:pStyle w:val="Szvegtrzs"/>
        <w:numPr>
          <w:ilvl w:val="0"/>
          <w:numId w:val="2"/>
        </w:numPr>
        <w:tabs>
          <w:tab w:val="clear" w:pos="720"/>
          <w:tab w:val="num" w:pos="284"/>
        </w:tabs>
        <w:ind w:left="284" w:hanging="284"/>
        <w:rPr>
          <w:rFonts w:ascii="Arial" w:hAnsi="Arial" w:cs="Arial"/>
          <w:sz w:val="20"/>
        </w:rPr>
      </w:pPr>
      <w:r>
        <w:rPr>
          <w:rFonts w:ascii="Arial" w:hAnsi="Arial" w:cs="Arial"/>
          <w:sz w:val="20"/>
          <w:lang w:val="en-GB"/>
        </w:rPr>
        <w:t xml:space="preserve">This statistical balance sheet shall be compiled based on the records kept according to the accounting regulations applied by the data supplier. Unless provided otherwise by any regulations, the content and valuation of the data included in the statistical balance sheet shall be governed by the laws applicable to the data provider’s accounting and reporting obligations. </w:t>
      </w:r>
    </w:p>
    <w:p w14:paraId="34B75CFC" w14:textId="77777777" w:rsidR="004765D2" w:rsidRPr="007035D7" w:rsidRDefault="004765D2">
      <w:pPr>
        <w:pStyle w:val="Szvegtrzs"/>
        <w:rPr>
          <w:rFonts w:ascii="Arial" w:hAnsi="Arial" w:cs="Arial"/>
          <w:sz w:val="20"/>
        </w:rPr>
      </w:pPr>
    </w:p>
    <w:p w14:paraId="797702B7" w14:textId="07E03FCE" w:rsidR="004765D2" w:rsidRPr="007035D7" w:rsidRDefault="004765D2">
      <w:pPr>
        <w:pStyle w:val="Szvegtrzs"/>
        <w:numPr>
          <w:ilvl w:val="0"/>
          <w:numId w:val="2"/>
        </w:numPr>
        <w:tabs>
          <w:tab w:val="clear" w:pos="720"/>
          <w:tab w:val="num" w:pos="284"/>
        </w:tabs>
        <w:ind w:left="284" w:hanging="284"/>
        <w:rPr>
          <w:rFonts w:ascii="Arial" w:hAnsi="Arial" w:cs="Arial"/>
          <w:sz w:val="20"/>
        </w:rPr>
      </w:pPr>
      <w:r>
        <w:rPr>
          <w:rFonts w:ascii="Arial" w:hAnsi="Arial" w:cs="Arial"/>
          <w:sz w:val="20"/>
          <w:lang w:val="en-GB"/>
        </w:rPr>
        <w:t xml:space="preserve">This statistical balance sheet covers the resident (domestic) part of the data provider; </w:t>
      </w:r>
      <w:proofErr w:type="gramStart"/>
      <w:r>
        <w:rPr>
          <w:rFonts w:ascii="Arial" w:hAnsi="Arial" w:cs="Arial"/>
          <w:sz w:val="20"/>
          <w:lang w:val="en-GB"/>
        </w:rPr>
        <w:t>accordingly</w:t>
      </w:r>
      <w:proofErr w:type="gramEnd"/>
      <w:r>
        <w:rPr>
          <w:rFonts w:ascii="Arial" w:hAnsi="Arial" w:cs="Arial"/>
          <w:sz w:val="20"/>
          <w:lang w:val="en-GB"/>
        </w:rPr>
        <w:t xml:space="preserve"> the assets and liabilities of any foreign branch(es) shall not be included. The foreign branch office of the data provider shall be reported on the assets side of the balance sheet, stating the assets transferred to such branch as participation.</w:t>
      </w:r>
    </w:p>
    <w:p w14:paraId="65B01825" w14:textId="77777777" w:rsidR="0036753B" w:rsidRPr="007035D7" w:rsidRDefault="0036753B" w:rsidP="0036753B">
      <w:pPr>
        <w:pStyle w:val="Szvegtrzs"/>
        <w:rPr>
          <w:rFonts w:ascii="Arial" w:hAnsi="Arial" w:cs="Arial"/>
          <w:sz w:val="20"/>
        </w:rPr>
      </w:pPr>
    </w:p>
    <w:p w14:paraId="6FE9C05B" w14:textId="77777777" w:rsidR="004765D2" w:rsidRPr="007035D7" w:rsidRDefault="00943698" w:rsidP="007035D7">
      <w:pPr>
        <w:pStyle w:val="Szvegtrzsbehzssal"/>
        <w:spacing w:before="240" w:after="240"/>
        <w:rPr>
          <w:rFonts w:ascii="Arial" w:hAnsi="Arial" w:cs="Arial"/>
          <w:b/>
          <w:sz w:val="20"/>
        </w:rPr>
      </w:pPr>
      <w:r>
        <w:rPr>
          <w:rFonts w:ascii="Arial" w:hAnsi="Arial" w:cs="Arial"/>
          <w:b/>
          <w:bCs/>
          <w:sz w:val="20"/>
          <w:lang w:val="en-GB"/>
        </w:rPr>
        <w:t>II. Detailed instructions for the completion of the tables</w:t>
      </w:r>
    </w:p>
    <w:p w14:paraId="75855792" w14:textId="36D77DD8" w:rsidR="004765D2" w:rsidRPr="007035D7" w:rsidRDefault="004765D2">
      <w:pPr>
        <w:pStyle w:val="Szvegtrzs"/>
        <w:rPr>
          <w:rFonts w:ascii="Arial" w:hAnsi="Arial" w:cs="Arial"/>
          <w:sz w:val="20"/>
        </w:rPr>
      </w:pPr>
      <w:r>
        <w:rPr>
          <w:rFonts w:ascii="Arial" w:hAnsi="Arial" w:cs="Arial"/>
          <w:sz w:val="20"/>
          <w:lang w:val="en-GB"/>
        </w:rPr>
        <w:t xml:space="preserve">The total rows of the various assets and liabilities shall be reported </w:t>
      </w:r>
      <w:proofErr w:type="spellStart"/>
      <w:r>
        <w:rPr>
          <w:rFonts w:ascii="Arial" w:hAnsi="Arial" w:cs="Arial"/>
          <w:sz w:val="20"/>
          <w:lang w:val="en-GB"/>
        </w:rPr>
        <w:t>at</w:t>
      </w:r>
      <w:proofErr w:type="spellEnd"/>
      <w:r>
        <w:rPr>
          <w:rFonts w:ascii="Arial" w:hAnsi="Arial" w:cs="Arial"/>
          <w:sz w:val="20"/>
          <w:lang w:val="en-GB"/>
        </w:rPr>
        <w:t xml:space="preserve"> net value, reduced by impairments and adjusted for valuation difference.</w:t>
      </w:r>
    </w:p>
    <w:p w14:paraId="177D6744" w14:textId="77777777" w:rsidR="004765D2" w:rsidRPr="007035D7" w:rsidRDefault="004765D2">
      <w:pPr>
        <w:pStyle w:val="Szvegtrzs"/>
        <w:rPr>
          <w:rFonts w:ascii="Arial" w:hAnsi="Arial" w:cs="Arial"/>
          <w:sz w:val="20"/>
        </w:rPr>
      </w:pPr>
    </w:p>
    <w:p w14:paraId="40EF4C7B" w14:textId="6A22C78C" w:rsidR="004765D2" w:rsidRPr="007035D7" w:rsidRDefault="004765D2" w:rsidP="000C09D6">
      <w:pPr>
        <w:pStyle w:val="Szvegtrzs"/>
        <w:rPr>
          <w:rFonts w:ascii="Arial" w:hAnsi="Arial" w:cs="Arial"/>
          <w:sz w:val="20"/>
        </w:rPr>
      </w:pPr>
      <w:bookmarkStart w:id="1" w:name="_Hlk105507387"/>
      <w:r>
        <w:rPr>
          <w:rFonts w:ascii="Arial" w:hAnsi="Arial" w:cs="Arial"/>
          <w:sz w:val="20"/>
          <w:lang w:val="en-GB"/>
        </w:rPr>
        <w:t xml:space="preserve">Loan receivables and loan payables shall include all loan, credit and credit-type receivables and payables. This category shall also include items deriving from deferred payments, financial lease, factoring transactions and reverse transactions. Amounts provided or received </w:t>
      </w:r>
      <w:proofErr w:type="gramStart"/>
      <w:r>
        <w:rPr>
          <w:rFonts w:ascii="Arial" w:hAnsi="Arial" w:cs="Arial"/>
          <w:sz w:val="20"/>
          <w:lang w:val="en-GB"/>
        </w:rPr>
        <w:t>for the purpose of</w:t>
      </w:r>
      <w:proofErr w:type="gramEnd"/>
      <w:r>
        <w:rPr>
          <w:rFonts w:ascii="Arial" w:hAnsi="Arial" w:cs="Arial"/>
          <w:sz w:val="20"/>
          <w:lang w:val="en-GB"/>
        </w:rPr>
        <w:t xml:space="preserve"> security deposit, surety bonds, collateral or guarantee as well as repos, cash pool, intercompany loans, margin accounts (mark-to-market deposits) placed with non-credit institution actors or held by them with the data provider and also liabilities to guarantee funds shall be reported as loans.</w:t>
      </w:r>
    </w:p>
    <w:bookmarkEnd w:id="1"/>
    <w:p w14:paraId="3755EE0A" w14:textId="77777777" w:rsidR="004765D2" w:rsidRPr="007035D7" w:rsidRDefault="004765D2">
      <w:pPr>
        <w:pStyle w:val="Szvegtrzs"/>
        <w:rPr>
          <w:rFonts w:ascii="Arial" w:hAnsi="Arial" w:cs="Arial"/>
          <w:sz w:val="20"/>
        </w:rPr>
      </w:pPr>
    </w:p>
    <w:p w14:paraId="7699C9ED" w14:textId="77777777" w:rsidR="004765D2" w:rsidRDefault="004765D2">
      <w:pPr>
        <w:pStyle w:val="Szvegtrzs"/>
        <w:rPr>
          <w:rFonts w:ascii="Arial" w:hAnsi="Arial" w:cs="Arial"/>
          <w:sz w:val="20"/>
        </w:rPr>
      </w:pPr>
      <w:r>
        <w:rPr>
          <w:rFonts w:ascii="Arial" w:hAnsi="Arial" w:cs="Arial"/>
          <w:sz w:val="20"/>
          <w:lang w:val="en-GB"/>
        </w:rPr>
        <w:t>The outstanding loans granted by the data provider to its own employees shall be reported in the appropriate sector, i.e. under households.</w:t>
      </w:r>
    </w:p>
    <w:p w14:paraId="04E47034" w14:textId="77777777" w:rsidR="00764999" w:rsidRDefault="00764999">
      <w:pPr>
        <w:pStyle w:val="Szvegtrzs"/>
        <w:rPr>
          <w:rFonts w:ascii="Arial" w:hAnsi="Arial" w:cs="Arial"/>
          <w:sz w:val="20"/>
        </w:rPr>
      </w:pPr>
    </w:p>
    <w:p w14:paraId="4AB12BF8" w14:textId="5823A965" w:rsidR="00764999" w:rsidRPr="007035D7" w:rsidRDefault="00764999">
      <w:pPr>
        <w:pStyle w:val="Szvegtrzs"/>
        <w:rPr>
          <w:rFonts w:ascii="Arial" w:hAnsi="Arial" w:cs="Arial"/>
          <w:sz w:val="20"/>
        </w:rPr>
      </w:pPr>
      <w:r>
        <w:rPr>
          <w:rFonts w:ascii="Arial" w:hAnsi="Arial" w:cs="Arial"/>
          <w:sz w:val="20"/>
          <w:lang w:val="en-GB"/>
        </w:rPr>
        <w:t>The ‘Data provider-specific information’ row shall be completed only by data providers specifically called upon by the MNB to this effect in the designation for the performance of data supply. The MNB defines the expected data content of this row in the designation.</w:t>
      </w:r>
    </w:p>
    <w:sectPr w:rsidR="00764999" w:rsidRPr="007035D7" w:rsidSect="000C09D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44D6D" w14:textId="77777777" w:rsidR="005633C6" w:rsidRDefault="005633C6" w:rsidP="0031144D">
      <w:r>
        <w:separator/>
      </w:r>
    </w:p>
  </w:endnote>
  <w:endnote w:type="continuationSeparator" w:id="0">
    <w:p w14:paraId="4984429A" w14:textId="77777777" w:rsidR="005633C6" w:rsidRDefault="005633C6" w:rsidP="0031144D">
      <w:r>
        <w:continuationSeparator/>
      </w:r>
    </w:p>
  </w:endnote>
  <w:endnote w:type="continuationNotice" w:id="1">
    <w:p w14:paraId="6822F9C0" w14:textId="77777777" w:rsidR="005633C6" w:rsidRDefault="00563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40B61" w14:textId="77777777" w:rsidR="007C0674" w:rsidRDefault="007C067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A5DB1F" w14:textId="77777777" w:rsidR="005633C6" w:rsidRDefault="005633C6" w:rsidP="0031144D">
      <w:r>
        <w:separator/>
      </w:r>
    </w:p>
  </w:footnote>
  <w:footnote w:type="continuationSeparator" w:id="0">
    <w:p w14:paraId="7E0A1E3F" w14:textId="77777777" w:rsidR="005633C6" w:rsidRDefault="005633C6" w:rsidP="0031144D">
      <w:r>
        <w:continuationSeparator/>
      </w:r>
    </w:p>
  </w:footnote>
  <w:footnote w:type="continuationNotice" w:id="1">
    <w:p w14:paraId="157411EF" w14:textId="77777777" w:rsidR="005633C6" w:rsidRDefault="005633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B8712" w14:textId="77777777" w:rsidR="007C0674" w:rsidRDefault="007C067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5F13D4"/>
    <w:multiLevelType w:val="singleLevel"/>
    <w:tmpl w:val="0C090013"/>
    <w:lvl w:ilvl="0">
      <w:start w:val="2"/>
      <w:numFmt w:val="upperRoman"/>
      <w:lvlText w:val="%1."/>
      <w:lvlJc w:val="left"/>
      <w:pPr>
        <w:tabs>
          <w:tab w:val="num" w:pos="720"/>
        </w:tabs>
        <w:ind w:left="720" w:hanging="720"/>
      </w:pPr>
      <w:rPr>
        <w:rFonts w:cs="Times New Roman" w:hint="default"/>
      </w:rPr>
    </w:lvl>
  </w:abstractNum>
  <w:abstractNum w:abstractNumId="1" w15:restartNumberingAfterBreak="0">
    <w:nsid w:val="6E1A1D40"/>
    <w:multiLevelType w:val="hybridMultilevel"/>
    <w:tmpl w:val="999213E0"/>
    <w:lvl w:ilvl="0" w:tplc="040E0013">
      <w:start w:val="1"/>
      <w:numFmt w:val="upperRoman"/>
      <w:lvlText w:val="%1."/>
      <w:lvlJc w:val="right"/>
      <w:pPr>
        <w:ind w:left="864" w:hanging="360"/>
      </w:pPr>
    </w:lvl>
    <w:lvl w:ilvl="1" w:tplc="040E0019" w:tentative="1">
      <w:start w:val="1"/>
      <w:numFmt w:val="lowerLetter"/>
      <w:lvlText w:val="%2."/>
      <w:lvlJc w:val="left"/>
      <w:pPr>
        <w:ind w:left="1584" w:hanging="360"/>
      </w:pPr>
    </w:lvl>
    <w:lvl w:ilvl="2" w:tplc="040E001B" w:tentative="1">
      <w:start w:val="1"/>
      <w:numFmt w:val="lowerRoman"/>
      <w:lvlText w:val="%3."/>
      <w:lvlJc w:val="right"/>
      <w:pPr>
        <w:ind w:left="2304" w:hanging="180"/>
      </w:pPr>
    </w:lvl>
    <w:lvl w:ilvl="3" w:tplc="040E000F" w:tentative="1">
      <w:start w:val="1"/>
      <w:numFmt w:val="decimal"/>
      <w:lvlText w:val="%4."/>
      <w:lvlJc w:val="left"/>
      <w:pPr>
        <w:ind w:left="3024" w:hanging="360"/>
      </w:pPr>
    </w:lvl>
    <w:lvl w:ilvl="4" w:tplc="040E0019" w:tentative="1">
      <w:start w:val="1"/>
      <w:numFmt w:val="lowerLetter"/>
      <w:lvlText w:val="%5."/>
      <w:lvlJc w:val="left"/>
      <w:pPr>
        <w:ind w:left="3744" w:hanging="360"/>
      </w:pPr>
    </w:lvl>
    <w:lvl w:ilvl="5" w:tplc="040E001B" w:tentative="1">
      <w:start w:val="1"/>
      <w:numFmt w:val="lowerRoman"/>
      <w:lvlText w:val="%6."/>
      <w:lvlJc w:val="right"/>
      <w:pPr>
        <w:ind w:left="4464" w:hanging="180"/>
      </w:pPr>
    </w:lvl>
    <w:lvl w:ilvl="6" w:tplc="040E000F" w:tentative="1">
      <w:start w:val="1"/>
      <w:numFmt w:val="decimal"/>
      <w:lvlText w:val="%7."/>
      <w:lvlJc w:val="left"/>
      <w:pPr>
        <w:ind w:left="5184" w:hanging="360"/>
      </w:pPr>
    </w:lvl>
    <w:lvl w:ilvl="7" w:tplc="040E0019" w:tentative="1">
      <w:start w:val="1"/>
      <w:numFmt w:val="lowerLetter"/>
      <w:lvlText w:val="%8."/>
      <w:lvlJc w:val="left"/>
      <w:pPr>
        <w:ind w:left="5904" w:hanging="360"/>
      </w:pPr>
    </w:lvl>
    <w:lvl w:ilvl="8" w:tplc="040E001B" w:tentative="1">
      <w:start w:val="1"/>
      <w:numFmt w:val="lowerRoman"/>
      <w:lvlText w:val="%9."/>
      <w:lvlJc w:val="right"/>
      <w:pPr>
        <w:ind w:left="6624" w:hanging="180"/>
      </w:pPr>
    </w:lvl>
  </w:abstractNum>
  <w:abstractNum w:abstractNumId="2" w15:restartNumberingAfterBreak="0">
    <w:nsid w:val="783D1F80"/>
    <w:multiLevelType w:val="hybridMultilevel"/>
    <w:tmpl w:val="ED208A3C"/>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641"/>
    <w:rsid w:val="00040C8F"/>
    <w:rsid w:val="000450B0"/>
    <w:rsid w:val="00062679"/>
    <w:rsid w:val="000C09D6"/>
    <w:rsid w:val="000E2461"/>
    <w:rsid w:val="0011380F"/>
    <w:rsid w:val="00144F9C"/>
    <w:rsid w:val="001E465C"/>
    <w:rsid w:val="001F33D3"/>
    <w:rsid w:val="00203B75"/>
    <w:rsid w:val="002665B8"/>
    <w:rsid w:val="002C40DB"/>
    <w:rsid w:val="0031144D"/>
    <w:rsid w:val="00314765"/>
    <w:rsid w:val="003220D9"/>
    <w:rsid w:val="0036753B"/>
    <w:rsid w:val="003847B3"/>
    <w:rsid w:val="003972EC"/>
    <w:rsid w:val="003C4D78"/>
    <w:rsid w:val="003E6FA8"/>
    <w:rsid w:val="004500B3"/>
    <w:rsid w:val="00473E66"/>
    <w:rsid w:val="004765D2"/>
    <w:rsid w:val="004852FC"/>
    <w:rsid w:val="00494BD1"/>
    <w:rsid w:val="004B4AEC"/>
    <w:rsid w:val="004C299C"/>
    <w:rsid w:val="004C4A37"/>
    <w:rsid w:val="004D11E0"/>
    <w:rsid w:val="005633C6"/>
    <w:rsid w:val="00621721"/>
    <w:rsid w:val="006453E1"/>
    <w:rsid w:val="006520F3"/>
    <w:rsid w:val="00680792"/>
    <w:rsid w:val="007035D7"/>
    <w:rsid w:val="00732FB0"/>
    <w:rsid w:val="00764999"/>
    <w:rsid w:val="00780A9B"/>
    <w:rsid w:val="007C0674"/>
    <w:rsid w:val="007F49B3"/>
    <w:rsid w:val="00845705"/>
    <w:rsid w:val="00872E89"/>
    <w:rsid w:val="008864D5"/>
    <w:rsid w:val="009224E6"/>
    <w:rsid w:val="00935079"/>
    <w:rsid w:val="00943698"/>
    <w:rsid w:val="00986388"/>
    <w:rsid w:val="00995B65"/>
    <w:rsid w:val="00A506AD"/>
    <w:rsid w:val="00A648A0"/>
    <w:rsid w:val="00A7202D"/>
    <w:rsid w:val="00A96162"/>
    <w:rsid w:val="00A96858"/>
    <w:rsid w:val="00A96BD7"/>
    <w:rsid w:val="00AC1AE2"/>
    <w:rsid w:val="00AD4FEB"/>
    <w:rsid w:val="00B00D8F"/>
    <w:rsid w:val="00B804BA"/>
    <w:rsid w:val="00C836FA"/>
    <w:rsid w:val="00CA315D"/>
    <w:rsid w:val="00CD1C89"/>
    <w:rsid w:val="00CD7048"/>
    <w:rsid w:val="00CF7CAF"/>
    <w:rsid w:val="00D27FA6"/>
    <w:rsid w:val="00D436F3"/>
    <w:rsid w:val="00D856F8"/>
    <w:rsid w:val="00DA1AE3"/>
    <w:rsid w:val="00DA6FF7"/>
    <w:rsid w:val="00DE4680"/>
    <w:rsid w:val="00E03E01"/>
    <w:rsid w:val="00E049B8"/>
    <w:rsid w:val="00ED1641"/>
    <w:rsid w:val="00EE54ED"/>
    <w:rsid w:val="00F02F41"/>
    <w:rsid w:val="00F0794C"/>
    <w:rsid w:val="00F11D4C"/>
    <w:rsid w:val="00F50174"/>
    <w:rsid w:val="00F631EF"/>
    <w:rsid w:val="00F64B9D"/>
    <w:rsid w:val="00F76BC2"/>
    <w:rsid w:val="00FE5DA1"/>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162368"/>
  <w15:chartTrackingRefBased/>
  <w15:docId w15:val="{63E6B948-6312-4AFE-AC69-78E55BB3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B4AEC"/>
    <w:rPr>
      <w:lang w:val="en-AU"/>
    </w:rPr>
  </w:style>
  <w:style w:type="paragraph" w:styleId="Cmsor1">
    <w:name w:val="heading 1"/>
    <w:basedOn w:val="Norml"/>
    <w:next w:val="Norml"/>
    <w:link w:val="Cmsor1Char"/>
    <w:qFormat/>
    <w:rsid w:val="004B4AEC"/>
    <w:pPr>
      <w:keepNext/>
      <w:outlineLvl w:val="0"/>
    </w:pPr>
    <w:rPr>
      <w:sz w:val="24"/>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Pr>
      <w:rFonts w:ascii="Cambria" w:hAnsi="Cambria" w:cs="Times New Roman"/>
      <w:b/>
      <w:bCs/>
      <w:kern w:val="32"/>
      <w:sz w:val="32"/>
      <w:szCs w:val="32"/>
      <w:lang w:val="en-AU" w:eastAsia="x-none"/>
    </w:rPr>
  </w:style>
  <w:style w:type="paragraph" w:styleId="Szvegtrzs">
    <w:name w:val="Body Text"/>
    <w:basedOn w:val="Norml"/>
    <w:link w:val="SzvegtrzsChar"/>
    <w:rsid w:val="004B4AEC"/>
    <w:pPr>
      <w:jc w:val="both"/>
    </w:pPr>
    <w:rPr>
      <w:sz w:val="24"/>
      <w:lang w:val="hu-HU"/>
    </w:rPr>
  </w:style>
  <w:style w:type="character" w:customStyle="1" w:styleId="SzvegtrzsChar">
    <w:name w:val="Szövegtörzs Char"/>
    <w:link w:val="Szvegtrzs"/>
    <w:semiHidden/>
    <w:rPr>
      <w:rFonts w:cs="Times New Roman"/>
      <w:lang w:val="en-AU" w:eastAsia="x-none"/>
    </w:rPr>
  </w:style>
  <w:style w:type="paragraph" w:styleId="Szvegtrzsbehzssal">
    <w:name w:val="Body Text Indent"/>
    <w:basedOn w:val="Norml"/>
    <w:link w:val="SzvegtrzsbehzssalChar"/>
    <w:rsid w:val="004B4AEC"/>
    <w:pPr>
      <w:jc w:val="both"/>
    </w:pPr>
    <w:rPr>
      <w:sz w:val="24"/>
      <w:lang w:val="hu-HU"/>
    </w:rPr>
  </w:style>
  <w:style w:type="character" w:customStyle="1" w:styleId="SzvegtrzsbehzssalChar">
    <w:name w:val="Szövegtörzs behúzással Char"/>
    <w:link w:val="Szvegtrzsbehzssal"/>
    <w:semiHidden/>
    <w:rPr>
      <w:rFonts w:cs="Times New Roman"/>
      <w:lang w:val="en-AU" w:eastAsia="x-none"/>
    </w:rPr>
  </w:style>
  <w:style w:type="character" w:customStyle="1" w:styleId="Kiemels2">
    <w:name w:val="Kiemelés2"/>
    <w:qFormat/>
    <w:rsid w:val="004B4AEC"/>
    <w:rPr>
      <w:rFonts w:cs="Times New Roman"/>
      <w:b/>
      <w:bCs/>
    </w:rPr>
  </w:style>
  <w:style w:type="paragraph" w:styleId="Buborkszveg">
    <w:name w:val="Balloon Text"/>
    <w:basedOn w:val="Norml"/>
    <w:link w:val="BuborkszvegChar"/>
    <w:semiHidden/>
    <w:rsid w:val="004D11E0"/>
    <w:rPr>
      <w:rFonts w:ascii="Tahoma" w:hAnsi="Tahoma" w:cs="Tahoma"/>
      <w:sz w:val="16"/>
      <w:szCs w:val="16"/>
    </w:rPr>
  </w:style>
  <w:style w:type="character" w:customStyle="1" w:styleId="BuborkszvegChar">
    <w:name w:val="Buborékszöveg Char"/>
    <w:link w:val="Buborkszveg"/>
    <w:semiHidden/>
    <w:rPr>
      <w:rFonts w:cs="Times New Roman"/>
      <w:sz w:val="2"/>
      <w:lang w:val="en-AU" w:eastAsia="x-none"/>
    </w:rPr>
  </w:style>
  <w:style w:type="character" w:styleId="Jegyzethivatkozs">
    <w:name w:val="annotation reference"/>
    <w:uiPriority w:val="99"/>
    <w:semiHidden/>
    <w:unhideWhenUsed/>
    <w:rsid w:val="00A96162"/>
    <w:rPr>
      <w:sz w:val="16"/>
      <w:szCs w:val="16"/>
    </w:rPr>
  </w:style>
  <w:style w:type="paragraph" w:styleId="Jegyzetszveg">
    <w:name w:val="annotation text"/>
    <w:basedOn w:val="Norml"/>
    <w:link w:val="JegyzetszvegChar"/>
    <w:uiPriority w:val="99"/>
    <w:semiHidden/>
    <w:unhideWhenUsed/>
    <w:rsid w:val="00A96162"/>
  </w:style>
  <w:style w:type="character" w:customStyle="1" w:styleId="JegyzetszvegChar">
    <w:name w:val="Jegyzetszöveg Char"/>
    <w:link w:val="Jegyzetszveg"/>
    <w:uiPriority w:val="99"/>
    <w:semiHidden/>
    <w:rsid w:val="00A96162"/>
    <w:rPr>
      <w:lang w:val="en-AU"/>
    </w:rPr>
  </w:style>
  <w:style w:type="paragraph" w:styleId="Megjegyzstrgya">
    <w:name w:val="annotation subject"/>
    <w:basedOn w:val="Jegyzetszveg"/>
    <w:next w:val="Jegyzetszveg"/>
    <w:link w:val="MegjegyzstrgyaChar"/>
    <w:uiPriority w:val="99"/>
    <w:semiHidden/>
    <w:unhideWhenUsed/>
    <w:rsid w:val="00A96162"/>
    <w:rPr>
      <w:b/>
      <w:bCs/>
    </w:rPr>
  </w:style>
  <w:style w:type="character" w:customStyle="1" w:styleId="MegjegyzstrgyaChar">
    <w:name w:val="Megjegyzés tárgya Char"/>
    <w:link w:val="Megjegyzstrgya"/>
    <w:uiPriority w:val="99"/>
    <w:semiHidden/>
    <w:rsid w:val="00A96162"/>
    <w:rPr>
      <w:b/>
      <w:bCs/>
      <w:lang w:val="en-AU"/>
    </w:rPr>
  </w:style>
  <w:style w:type="paragraph" w:styleId="Vltozat">
    <w:name w:val="Revision"/>
    <w:hidden/>
    <w:uiPriority w:val="99"/>
    <w:semiHidden/>
    <w:rsid w:val="00CF7CAF"/>
    <w:rPr>
      <w:lang w:val="en-AU"/>
    </w:rPr>
  </w:style>
  <w:style w:type="paragraph" w:styleId="lfej">
    <w:name w:val="header"/>
    <w:basedOn w:val="Norml"/>
    <w:link w:val="lfejChar"/>
    <w:uiPriority w:val="99"/>
    <w:unhideWhenUsed/>
    <w:rsid w:val="00A96BD7"/>
    <w:pPr>
      <w:tabs>
        <w:tab w:val="center" w:pos="4536"/>
        <w:tab w:val="right" w:pos="9072"/>
      </w:tabs>
    </w:pPr>
  </w:style>
  <w:style w:type="character" w:customStyle="1" w:styleId="lfejChar">
    <w:name w:val="Élőfej Char"/>
    <w:basedOn w:val="Bekezdsalapbettpusa"/>
    <w:link w:val="lfej"/>
    <w:uiPriority w:val="99"/>
    <w:rsid w:val="00A96BD7"/>
    <w:rPr>
      <w:lang w:val="en-AU"/>
    </w:rPr>
  </w:style>
  <w:style w:type="paragraph" w:styleId="llb">
    <w:name w:val="footer"/>
    <w:basedOn w:val="Norml"/>
    <w:link w:val="llbChar"/>
    <w:uiPriority w:val="99"/>
    <w:unhideWhenUsed/>
    <w:rsid w:val="00A96BD7"/>
    <w:pPr>
      <w:tabs>
        <w:tab w:val="center" w:pos="4536"/>
        <w:tab w:val="right" w:pos="9072"/>
      </w:tabs>
    </w:pPr>
  </w:style>
  <w:style w:type="character" w:customStyle="1" w:styleId="llbChar">
    <w:name w:val="Élőláb Char"/>
    <w:basedOn w:val="Bekezdsalapbettpusa"/>
    <w:link w:val="llb"/>
    <w:uiPriority w:val="99"/>
    <w:rsid w:val="00A96BD7"/>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C7EB2-27FE-4D77-ABEE-2819D6756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311</Words>
  <Characters>1777</Characters>
  <Application>Microsoft Office Word</Application>
  <DocSecurity>0</DocSecurity>
  <Lines>14</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Kitöltési útmutató</vt:lpstr>
      <vt:lpstr>Kitöltési útmutató</vt:lpstr>
    </vt:vector>
  </TitlesOfParts>
  <Company>Magyar Nemzeti Bank</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Kitöltési útmutató</dc:title>
  <dc:subject/>
  <dc:creator>simon béla</dc:creator>
  <cp:keywords/>
  <cp:lastModifiedBy>Juhász Katalin</cp:lastModifiedBy>
  <cp:revision>3</cp:revision>
  <cp:lastPrinted>2006-08-31T09:33:00Z</cp:lastPrinted>
  <dcterms:created xsi:type="dcterms:W3CDTF">2022-06-08T14:17:00Z</dcterms:created>
  <dcterms:modified xsi:type="dcterms:W3CDTF">2023-03-23T09:30:00Z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kozmitsi@mnb.hu</vt:lpwstr>
  </property>
  <property fmtid="{D5CDD505-2E9C-101B-9397-08002B2CF9AE}" pid="6" name="MSIP_Label_b0d11092-50c9-4e74-84b5-b1af078dc3d0_SetDate">
    <vt:lpwstr>2019-04-12T09:51:07.6874920+02:00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2027-06-07T13:45:40Z</vt:filetime>
  </property>
  <property fmtid="{D5CDD505-2E9C-101B-9397-08002B2CF9AE}" pid="12" name="Érvényességet beállító">
    <vt:lpwstr>kozmitsi</vt:lpwstr>
  </property>
  <property fmtid="{D5CDD505-2E9C-101B-9397-08002B2CF9AE}" pid="13" name="Érvényességi idő első beállítása">
    <vt:filetime>2022-06-07T13:45:40Z</vt:filetime>
  </property>
</Properties>
</file>