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056BC1A2" w:rsidR="00747A2B" w:rsidRPr="004E75B9" w:rsidRDefault="00747A2B" w:rsidP="003172C5">
      <w:pPr>
        <w:tabs>
          <w:tab w:val="right" w:pos="14601"/>
        </w:tabs>
        <w:spacing w:after="240"/>
        <w:ind w:left="851"/>
        <w:rPr>
          <w:rFonts w:ascii="Arial" w:hAnsi="Arial" w:cs="Arial"/>
          <w:snapToGrid w:val="0"/>
          <w:sz w:val="20"/>
          <w:lang w:val="en-GB"/>
        </w:rPr>
      </w:pPr>
      <w:r w:rsidRPr="004E75B9">
        <w:rPr>
          <w:rFonts w:ascii="Arial" w:hAnsi="Arial" w:cs="Arial"/>
          <w:snapToGrid w:val="0"/>
          <w:sz w:val="20"/>
          <w:lang w:val="en-GB"/>
        </w:rPr>
        <w:t xml:space="preserve">Annex 1 to </w:t>
      </w:r>
      <w:proofErr w:type="spellStart"/>
      <w:r w:rsidRPr="004E75B9">
        <w:rPr>
          <w:rFonts w:ascii="Arial" w:hAnsi="Arial" w:cs="Arial"/>
          <w:snapToGrid w:val="0"/>
          <w:sz w:val="20"/>
          <w:lang w:val="en-GB"/>
        </w:rPr>
        <w:t>MNB</w:t>
      </w:r>
      <w:proofErr w:type="spellEnd"/>
      <w:r w:rsidRPr="004E75B9">
        <w:rPr>
          <w:rFonts w:ascii="Arial" w:hAnsi="Arial" w:cs="Arial"/>
          <w:snapToGrid w:val="0"/>
          <w:sz w:val="20"/>
          <w:lang w:val="en-GB"/>
        </w:rPr>
        <w:t xml:space="preserve"> Decree No 54/2021 (XI. 23.)</w:t>
      </w:r>
    </w:p>
    <w:p w14:paraId="34B02DB0" w14:textId="77777777" w:rsidR="00747A2B" w:rsidRPr="004E75B9" w:rsidRDefault="00747A2B">
      <w:pPr>
        <w:jc w:val="center"/>
        <w:rPr>
          <w:rFonts w:ascii="Arial" w:hAnsi="Arial" w:cs="Arial"/>
          <w:sz w:val="20"/>
          <w:lang w:val="en-GB"/>
        </w:rPr>
      </w:pPr>
    </w:p>
    <w:p w14:paraId="34B02DB1" w14:textId="77777777" w:rsidR="00747A2B" w:rsidRPr="004E75B9" w:rsidRDefault="00747A2B">
      <w:pPr>
        <w:spacing w:after="120"/>
        <w:jc w:val="center"/>
        <w:rPr>
          <w:rFonts w:ascii="Arial" w:hAnsi="Arial" w:cs="Arial"/>
          <w:sz w:val="20"/>
          <w:lang w:val="en-GB"/>
        </w:rPr>
      </w:pPr>
    </w:p>
    <w:p w14:paraId="34B02DB2" w14:textId="34FF1FB5" w:rsidR="00747A2B" w:rsidRPr="004E75B9" w:rsidRDefault="00747A2B" w:rsidP="00481406">
      <w:pPr>
        <w:spacing w:after="120"/>
        <w:jc w:val="center"/>
        <w:rPr>
          <w:rFonts w:ascii="Arial" w:hAnsi="Arial" w:cs="Arial"/>
          <w:sz w:val="24"/>
          <w:szCs w:val="24"/>
          <w:lang w:val="en-GB"/>
        </w:rPr>
      </w:pPr>
      <w:r w:rsidRPr="004E75B9">
        <w:rPr>
          <w:rFonts w:ascii="Arial" w:hAnsi="Arial" w:cs="Arial"/>
          <w:sz w:val="24"/>
          <w:szCs w:val="24"/>
          <w:lang w:val="en-GB"/>
        </w:rPr>
        <w:t xml:space="preserve">Reporting obligations for the central bank information system to be fulfilled primarily in the relation to carry out the basic tasks of the Magyar </w:t>
      </w:r>
      <w:proofErr w:type="spellStart"/>
      <w:r w:rsidRPr="004E75B9">
        <w:rPr>
          <w:rFonts w:ascii="Arial" w:hAnsi="Arial" w:cs="Arial"/>
          <w:sz w:val="24"/>
          <w:szCs w:val="24"/>
          <w:lang w:val="en-GB"/>
        </w:rPr>
        <w:t>Nemzeti</w:t>
      </w:r>
      <w:proofErr w:type="spellEnd"/>
      <w:r w:rsidRPr="004E75B9">
        <w:rPr>
          <w:rFonts w:ascii="Arial" w:hAnsi="Arial" w:cs="Arial"/>
          <w:sz w:val="24"/>
          <w:szCs w:val="24"/>
          <w:lang w:val="en-GB"/>
        </w:rPr>
        <w:t xml:space="preserve"> Bank</w:t>
      </w:r>
    </w:p>
    <w:p w14:paraId="34B02DB3" w14:textId="77777777" w:rsidR="00747A2B" w:rsidRPr="004E75B9" w:rsidRDefault="00747A2B">
      <w:pPr>
        <w:jc w:val="center"/>
        <w:rPr>
          <w:rFonts w:ascii="Arial" w:hAnsi="Arial" w:cs="Arial"/>
          <w:b/>
          <w:sz w:val="20"/>
          <w:lang w:val="en-GB"/>
        </w:rPr>
      </w:pPr>
      <w:r w:rsidRPr="004E75B9">
        <w:rPr>
          <w:rFonts w:ascii="Arial" w:hAnsi="Arial" w:cs="Arial"/>
          <w:b/>
          <w:bCs/>
          <w:sz w:val="20"/>
          <w:lang w:val="en-GB"/>
        </w:rPr>
        <w:t>I.</w:t>
      </w:r>
    </w:p>
    <w:p w14:paraId="34B02DB4" w14:textId="77777777" w:rsidR="00747A2B" w:rsidRPr="004E75B9" w:rsidRDefault="00747A2B" w:rsidP="00A81A98">
      <w:pPr>
        <w:jc w:val="center"/>
        <w:rPr>
          <w:rFonts w:ascii="Arial" w:hAnsi="Arial" w:cs="Arial"/>
          <w:sz w:val="20"/>
          <w:lang w:val="en-GB"/>
        </w:rPr>
      </w:pPr>
    </w:p>
    <w:tbl>
      <w:tblPr>
        <w:tblW w:w="14454" w:type="dxa"/>
        <w:jc w:val="center"/>
        <w:tblLayout w:type="fixed"/>
        <w:tblCellMar>
          <w:left w:w="70" w:type="dxa"/>
          <w:right w:w="70" w:type="dxa"/>
        </w:tblCellMar>
        <w:tblLook w:val="0000" w:firstRow="0" w:lastRow="0" w:firstColumn="0" w:lastColumn="0" w:noHBand="0" w:noVBand="0"/>
      </w:tblPr>
      <w:tblGrid>
        <w:gridCol w:w="704"/>
        <w:gridCol w:w="1418"/>
        <w:gridCol w:w="2598"/>
        <w:gridCol w:w="2835"/>
        <w:gridCol w:w="1701"/>
        <w:gridCol w:w="1796"/>
        <w:gridCol w:w="3402"/>
      </w:tblGrid>
      <w:tr w:rsidR="004E75B9" w:rsidRPr="004E75B9" w14:paraId="34B02DBA" w14:textId="77777777" w:rsidTr="00481406">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4E75B9" w:rsidRDefault="00A90B90" w:rsidP="00A81A98">
            <w:pPr>
              <w:jc w:val="center"/>
              <w:rPr>
                <w:rFonts w:ascii="Arial" w:hAnsi="Arial" w:cs="Arial"/>
                <w:b/>
                <w:bCs/>
                <w:sz w:val="20"/>
                <w:lang w:val="en-GB"/>
              </w:rPr>
            </w:pPr>
          </w:p>
        </w:tc>
        <w:tc>
          <w:tcPr>
            <w:tcW w:w="1418" w:type="dxa"/>
            <w:vMerge w:val="restart"/>
            <w:tcBorders>
              <w:top w:val="single" w:sz="4" w:space="0" w:color="auto"/>
              <w:left w:val="single" w:sz="4" w:space="0" w:color="auto"/>
              <w:right w:val="single" w:sz="4" w:space="0" w:color="auto"/>
            </w:tcBorders>
            <w:vAlign w:val="center"/>
          </w:tcPr>
          <w:p w14:paraId="34B02DB6" w14:textId="0D208E15" w:rsidR="00DB1753" w:rsidRPr="004E75B9" w:rsidRDefault="00A90B90" w:rsidP="00481406">
            <w:pPr>
              <w:jc w:val="center"/>
              <w:rPr>
                <w:rFonts w:ascii="Arial" w:hAnsi="Arial" w:cs="Arial"/>
                <w:b/>
                <w:bCs/>
                <w:sz w:val="20"/>
                <w:lang w:val="en-GB"/>
              </w:rPr>
            </w:pPr>
            <w:proofErr w:type="spellStart"/>
            <w:r w:rsidRPr="004E75B9">
              <w:rPr>
                <w:rFonts w:ascii="Arial" w:hAnsi="Arial" w:cs="Arial"/>
                <w:b/>
                <w:bCs/>
                <w:sz w:val="20"/>
                <w:lang w:val="en-GB"/>
              </w:rPr>
              <w:t>MNB</w:t>
            </w:r>
            <w:proofErr w:type="spellEnd"/>
            <w:r w:rsidRPr="004E75B9">
              <w:rPr>
                <w:rFonts w:ascii="Arial" w:hAnsi="Arial" w:cs="Arial"/>
                <w:b/>
                <w:bCs/>
                <w:sz w:val="20"/>
                <w:lang w:val="en-GB"/>
              </w:rPr>
              <w:t xml:space="preserve"> identification</w:t>
            </w:r>
            <w:r w:rsidR="00481406" w:rsidRPr="004E75B9">
              <w:rPr>
                <w:rFonts w:ascii="Arial" w:hAnsi="Arial" w:cs="Arial"/>
                <w:b/>
                <w:bCs/>
                <w:sz w:val="20"/>
                <w:lang w:val="en-GB"/>
              </w:rPr>
              <w:t xml:space="preserve"> </w:t>
            </w:r>
            <w:r w:rsidRPr="004E75B9">
              <w:rPr>
                <w:rFonts w:ascii="Arial" w:hAnsi="Arial" w:cs="Arial"/>
                <w:b/>
                <w:bCs/>
                <w:sz w:val="20"/>
                <w:lang w:val="en-GB"/>
              </w:rPr>
              <w:t>code</w:t>
            </w:r>
          </w:p>
        </w:tc>
        <w:tc>
          <w:tcPr>
            <w:tcW w:w="2598"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Description</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34B02DB8" w14:textId="11F01190"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Scope of data providers</w:t>
            </w:r>
          </w:p>
        </w:tc>
        <w:tc>
          <w:tcPr>
            <w:tcW w:w="6899" w:type="dxa"/>
            <w:gridSpan w:val="3"/>
            <w:tcBorders>
              <w:top w:val="single" w:sz="4" w:space="0" w:color="auto"/>
              <w:left w:val="nil"/>
              <w:bottom w:val="single" w:sz="4" w:space="0" w:color="auto"/>
              <w:right w:val="single" w:sz="4" w:space="0" w:color="auto"/>
            </w:tcBorders>
            <w:vAlign w:val="center"/>
          </w:tcPr>
          <w:p w14:paraId="34B02DB9" w14:textId="77777777"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Data supply</w:t>
            </w:r>
          </w:p>
        </w:tc>
      </w:tr>
      <w:tr w:rsidR="004E75B9" w:rsidRPr="004E75B9" w14:paraId="34B02DC2" w14:textId="77777777" w:rsidTr="00481406">
        <w:trPr>
          <w:cantSplit/>
          <w:trHeight w:val="559"/>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4E75B9" w:rsidRDefault="00A90B90" w:rsidP="00A81A98">
            <w:pPr>
              <w:jc w:val="center"/>
              <w:rPr>
                <w:rFonts w:ascii="Arial" w:hAnsi="Arial" w:cs="Arial"/>
                <w:b/>
                <w:bCs/>
                <w:sz w:val="20"/>
                <w:lang w:val="en-GB"/>
              </w:rPr>
            </w:pPr>
          </w:p>
        </w:tc>
        <w:tc>
          <w:tcPr>
            <w:tcW w:w="1418" w:type="dxa"/>
            <w:vMerge/>
            <w:tcBorders>
              <w:left w:val="single" w:sz="4" w:space="0" w:color="auto"/>
              <w:bottom w:val="single" w:sz="4" w:space="0" w:color="auto"/>
              <w:right w:val="single" w:sz="4" w:space="0" w:color="auto"/>
            </w:tcBorders>
          </w:tcPr>
          <w:p w14:paraId="34B02DBC" w14:textId="3F638B3B" w:rsidR="00A90B90" w:rsidRPr="004E75B9" w:rsidRDefault="00A90B90" w:rsidP="00A81A98">
            <w:pPr>
              <w:jc w:val="center"/>
              <w:rPr>
                <w:rFonts w:ascii="Arial" w:hAnsi="Arial" w:cs="Arial"/>
                <w:b/>
                <w:bCs/>
                <w:sz w:val="20"/>
                <w:lang w:val="en-GB"/>
              </w:rPr>
            </w:pPr>
          </w:p>
        </w:tc>
        <w:tc>
          <w:tcPr>
            <w:tcW w:w="2598"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4E75B9" w:rsidRDefault="00A90B90" w:rsidP="00481406">
            <w:pPr>
              <w:jc w:val="center"/>
              <w:rPr>
                <w:rFonts w:ascii="Arial" w:hAnsi="Arial" w:cs="Arial"/>
                <w:b/>
                <w:bCs/>
                <w:sz w:val="20"/>
                <w:lang w:val="en-GB"/>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4E75B9" w:rsidRDefault="00A90B90" w:rsidP="00481406">
            <w:pPr>
              <w:jc w:val="center"/>
              <w:rPr>
                <w:rFonts w:ascii="Arial" w:hAnsi="Arial" w:cs="Arial"/>
                <w:b/>
                <w:bCs/>
                <w:sz w:val="20"/>
                <w:lang w:val="en-GB"/>
              </w:rPr>
            </w:pPr>
          </w:p>
        </w:tc>
        <w:tc>
          <w:tcPr>
            <w:tcW w:w="1701" w:type="dxa"/>
            <w:tcBorders>
              <w:top w:val="nil"/>
              <w:left w:val="nil"/>
              <w:bottom w:val="single" w:sz="4" w:space="0" w:color="auto"/>
              <w:right w:val="single" w:sz="4" w:space="0" w:color="auto"/>
            </w:tcBorders>
            <w:vAlign w:val="center"/>
          </w:tcPr>
          <w:p w14:paraId="34B02DBF" w14:textId="77777777"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frequency</w:t>
            </w:r>
          </w:p>
        </w:tc>
        <w:tc>
          <w:tcPr>
            <w:tcW w:w="1796" w:type="dxa"/>
            <w:tcBorders>
              <w:top w:val="nil"/>
              <w:left w:val="nil"/>
              <w:bottom w:val="single" w:sz="4" w:space="0" w:color="auto"/>
              <w:right w:val="single" w:sz="4" w:space="0" w:color="auto"/>
            </w:tcBorders>
            <w:vAlign w:val="center"/>
          </w:tcPr>
          <w:p w14:paraId="34B02DC0" w14:textId="77777777"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method</w:t>
            </w:r>
          </w:p>
        </w:tc>
        <w:tc>
          <w:tcPr>
            <w:tcW w:w="3402" w:type="dxa"/>
            <w:tcBorders>
              <w:top w:val="nil"/>
              <w:left w:val="nil"/>
              <w:bottom w:val="single" w:sz="4" w:space="0" w:color="auto"/>
              <w:right w:val="single" w:sz="4" w:space="0" w:color="auto"/>
            </w:tcBorders>
            <w:vAlign w:val="center"/>
          </w:tcPr>
          <w:p w14:paraId="34B02DC1" w14:textId="77777777" w:rsidR="00A90B90" w:rsidRPr="004E75B9" w:rsidRDefault="00A90B90" w:rsidP="00481406">
            <w:pPr>
              <w:jc w:val="center"/>
              <w:rPr>
                <w:rFonts w:ascii="Arial" w:hAnsi="Arial" w:cs="Arial"/>
                <w:b/>
                <w:bCs/>
                <w:sz w:val="20"/>
                <w:lang w:val="en-GB"/>
              </w:rPr>
            </w:pPr>
            <w:r w:rsidRPr="004E75B9">
              <w:rPr>
                <w:rFonts w:ascii="Arial" w:hAnsi="Arial" w:cs="Arial"/>
                <w:b/>
                <w:bCs/>
                <w:sz w:val="20"/>
                <w:lang w:val="en-GB"/>
              </w:rPr>
              <w:t>deadline</w:t>
            </w:r>
          </w:p>
        </w:tc>
      </w:tr>
      <w:tr w:rsidR="004E75B9" w:rsidRPr="004E75B9" w14:paraId="34B02DCB" w14:textId="77777777" w:rsidTr="00481406">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DC3" w14:textId="77777777" w:rsidR="001051D1" w:rsidRPr="004E75B9" w:rsidRDefault="001051D1" w:rsidP="001051D1">
            <w:pPr>
              <w:jc w:val="center"/>
              <w:rPr>
                <w:rFonts w:ascii="Arial" w:hAnsi="Arial" w:cs="Arial"/>
                <w:sz w:val="20"/>
                <w:lang w:val="en-GB"/>
              </w:rPr>
            </w:pPr>
            <w:r w:rsidRPr="004E75B9">
              <w:rPr>
                <w:rFonts w:ascii="Arial" w:hAnsi="Arial" w:cs="Arial"/>
                <w:sz w:val="20"/>
                <w:lang w:val="en-GB"/>
              </w:rPr>
              <w:t>1</w:t>
            </w:r>
          </w:p>
        </w:tc>
        <w:tc>
          <w:tcPr>
            <w:tcW w:w="1418" w:type="dxa"/>
            <w:tcBorders>
              <w:top w:val="nil"/>
              <w:left w:val="single" w:sz="4" w:space="0" w:color="auto"/>
              <w:bottom w:val="single" w:sz="4" w:space="0" w:color="auto"/>
              <w:right w:val="single" w:sz="4" w:space="0" w:color="auto"/>
            </w:tcBorders>
            <w:vAlign w:val="center"/>
          </w:tcPr>
          <w:p w14:paraId="34B02DC4" w14:textId="77777777" w:rsidR="001051D1" w:rsidRPr="004E75B9" w:rsidRDefault="001051D1" w:rsidP="001051D1">
            <w:pPr>
              <w:jc w:val="center"/>
              <w:rPr>
                <w:rFonts w:ascii="Arial" w:hAnsi="Arial" w:cs="Arial"/>
                <w:sz w:val="20"/>
                <w:lang w:val="en-GB"/>
              </w:rPr>
            </w:pPr>
            <w:r w:rsidRPr="004E75B9">
              <w:rPr>
                <w:rFonts w:ascii="Arial" w:hAnsi="Arial" w:cs="Arial"/>
                <w:sz w:val="20"/>
                <w:lang w:val="en-GB"/>
              </w:rPr>
              <w:t>AL7</w:t>
            </w:r>
          </w:p>
        </w:tc>
        <w:tc>
          <w:tcPr>
            <w:tcW w:w="2598" w:type="dxa"/>
            <w:tcBorders>
              <w:top w:val="nil"/>
              <w:left w:val="nil"/>
              <w:bottom w:val="single" w:sz="4" w:space="0" w:color="auto"/>
              <w:right w:val="single" w:sz="4" w:space="0" w:color="auto"/>
            </w:tcBorders>
            <w:vAlign w:val="center"/>
          </w:tcPr>
          <w:p w14:paraId="34B02DC5" w14:textId="41DE6D25" w:rsidR="001051D1" w:rsidRPr="004E75B9" w:rsidRDefault="001051D1" w:rsidP="001051D1">
            <w:pPr>
              <w:rPr>
                <w:rFonts w:ascii="Arial" w:hAnsi="Arial" w:cs="Arial"/>
                <w:sz w:val="20"/>
                <w:lang w:val="en-GB"/>
              </w:rPr>
            </w:pPr>
            <w:r w:rsidRPr="004E75B9">
              <w:rPr>
                <w:rFonts w:ascii="Arial" w:hAnsi="Arial" w:cs="Arial"/>
                <w:sz w:val="20"/>
                <w:lang w:val="en-GB"/>
              </w:rPr>
              <w:t>Components of the change in debt liabilities originating from abroad</w:t>
            </w:r>
          </w:p>
        </w:tc>
        <w:tc>
          <w:tcPr>
            <w:tcW w:w="2835" w:type="dxa"/>
            <w:tcBorders>
              <w:top w:val="nil"/>
              <w:left w:val="nil"/>
              <w:bottom w:val="single" w:sz="4" w:space="0" w:color="auto"/>
              <w:right w:val="single" w:sz="4" w:space="0" w:color="auto"/>
            </w:tcBorders>
            <w:vAlign w:val="center"/>
          </w:tcPr>
          <w:p w14:paraId="34B02DC6" w14:textId="32191E20" w:rsidR="001051D1" w:rsidRPr="004E75B9" w:rsidRDefault="001051D1" w:rsidP="001051D1">
            <w:pPr>
              <w:rPr>
                <w:rFonts w:ascii="Arial" w:hAnsi="Arial" w:cs="Arial"/>
                <w:sz w:val="20"/>
                <w:lang w:val="en-GB"/>
              </w:rPr>
            </w:pPr>
            <w:r w:rsidRPr="004E75B9">
              <w:rPr>
                <w:rFonts w:ascii="Arial" w:hAnsi="Arial" w:cs="Arial"/>
                <w:sz w:val="20"/>
                <w:lang w:val="en-GB"/>
              </w:rPr>
              <w:t xml:space="preserve">designated credit institutions, and Hungarian branch offices of financial institutions of this type, established in another EU Member State or in another state that is a party to the Agreement on the European Economic Area (hereinafter collectively: EEA State) (hereinafter: EEA branch) </w:t>
            </w:r>
          </w:p>
        </w:tc>
        <w:tc>
          <w:tcPr>
            <w:tcW w:w="1701" w:type="dxa"/>
            <w:tcBorders>
              <w:top w:val="nil"/>
              <w:left w:val="nil"/>
              <w:bottom w:val="single" w:sz="4" w:space="0" w:color="auto"/>
              <w:right w:val="single" w:sz="4" w:space="0" w:color="auto"/>
            </w:tcBorders>
            <w:vAlign w:val="center"/>
          </w:tcPr>
          <w:p w14:paraId="34B02DC7" w14:textId="08A5834D" w:rsidR="001051D1" w:rsidRPr="004E75B9" w:rsidRDefault="001051D1" w:rsidP="001051D1">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2DC9" w14:textId="34F767B0" w:rsidR="001051D1" w:rsidRPr="004E75B9" w:rsidRDefault="001051D1" w:rsidP="00481406">
            <w:pPr>
              <w:jc w:val="center"/>
              <w:rPr>
                <w:rFonts w:ascii="Arial" w:hAnsi="Arial" w:cs="Arial"/>
                <w:sz w:val="20"/>
                <w:lang w:val="en-GB"/>
              </w:rPr>
            </w:pPr>
            <w:r w:rsidRPr="004E75B9">
              <w:rPr>
                <w:rFonts w:ascii="Arial" w:hAnsi="Arial" w:cs="Arial"/>
                <w:sz w:val="20"/>
                <w:lang w:val="en-GB"/>
              </w:rPr>
              <w:t>electronic</w:t>
            </w:r>
            <w:r w:rsidR="00481406" w:rsidRPr="004E75B9">
              <w:rPr>
                <w:rFonts w:ascii="Arial" w:hAnsi="Arial" w:cs="Arial"/>
                <w:sz w:val="20"/>
                <w:lang w:val="en-GB"/>
              </w:rPr>
              <w:t xml:space="preserve"> </w:t>
            </w:r>
            <w:r w:rsidR="008774C3" w:rsidRPr="004E75B9">
              <w:rPr>
                <w:rFonts w:ascii="Arial" w:hAnsi="Arial" w:cs="Arial"/>
                <w:sz w:val="20"/>
                <w:lang w:val="en-GB"/>
              </w:rPr>
              <w:t>['Electronic System for the Reception of Authenticated Data’ (hereinafter: ERA system)]</w:t>
            </w:r>
          </w:p>
        </w:tc>
        <w:tc>
          <w:tcPr>
            <w:tcW w:w="3402" w:type="dxa"/>
            <w:tcBorders>
              <w:top w:val="nil"/>
              <w:left w:val="nil"/>
              <w:bottom w:val="single" w:sz="4" w:space="0" w:color="auto"/>
              <w:right w:val="single" w:sz="4" w:space="0" w:color="auto"/>
            </w:tcBorders>
            <w:vAlign w:val="center"/>
          </w:tcPr>
          <w:p w14:paraId="34B02DCA" w14:textId="1F60F986" w:rsidR="001051D1" w:rsidRPr="004E75B9" w:rsidRDefault="001051D1" w:rsidP="001051D1">
            <w:pPr>
              <w:jc w:val="center"/>
              <w:rPr>
                <w:rFonts w:ascii="Arial" w:hAnsi="Arial" w:cs="Arial"/>
                <w:sz w:val="20"/>
                <w:lang w:val="en-GB"/>
              </w:rPr>
            </w:pPr>
            <w:r w:rsidRPr="004E75B9">
              <w:rPr>
                <w:rFonts w:ascii="Arial" w:hAnsi="Arial" w:cs="Arial"/>
                <w:sz w:val="20"/>
                <w:lang w:val="en-GB"/>
              </w:rPr>
              <w:t>12 p.m. on the 3rd working day following the reference period</w:t>
            </w:r>
          </w:p>
        </w:tc>
      </w:tr>
      <w:tr w:rsidR="004E75B9" w:rsidRPr="004E75B9" w14:paraId="34B02DD8" w14:textId="77777777" w:rsidTr="00481406">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77777777" w:rsidR="00EA74CA" w:rsidRPr="004E75B9" w:rsidRDefault="00EA74CA" w:rsidP="00EA74CA">
            <w:pPr>
              <w:jc w:val="center"/>
              <w:rPr>
                <w:rFonts w:ascii="Arial" w:hAnsi="Arial" w:cs="Arial"/>
                <w:sz w:val="20"/>
                <w:lang w:val="en-GB"/>
              </w:rPr>
            </w:pPr>
            <w:r w:rsidRPr="004E75B9">
              <w:rPr>
                <w:rFonts w:ascii="Arial" w:hAnsi="Arial" w:cs="Arial"/>
                <w:sz w:val="20"/>
                <w:lang w:val="en-GB"/>
              </w:rPr>
              <w:lastRenderedPageBreak/>
              <w:t>2</w:t>
            </w:r>
          </w:p>
        </w:tc>
        <w:tc>
          <w:tcPr>
            <w:tcW w:w="1418" w:type="dxa"/>
            <w:tcBorders>
              <w:top w:val="nil"/>
              <w:left w:val="single" w:sz="4" w:space="0" w:color="auto"/>
              <w:bottom w:val="single" w:sz="4" w:space="0" w:color="auto"/>
              <w:right w:val="single" w:sz="4" w:space="0" w:color="auto"/>
            </w:tcBorders>
            <w:vAlign w:val="center"/>
          </w:tcPr>
          <w:p w14:paraId="34B02DCD" w14:textId="77777777" w:rsidR="00EA74CA" w:rsidRPr="004E75B9" w:rsidRDefault="00EA74CA" w:rsidP="00EA74CA">
            <w:pPr>
              <w:jc w:val="center"/>
              <w:rPr>
                <w:rFonts w:ascii="Arial" w:hAnsi="Arial" w:cs="Arial"/>
                <w:sz w:val="20"/>
                <w:lang w:val="en-GB"/>
              </w:rPr>
            </w:pPr>
            <w:r w:rsidRPr="004E75B9">
              <w:rPr>
                <w:rFonts w:ascii="Arial" w:hAnsi="Arial" w:cs="Arial"/>
                <w:sz w:val="20"/>
                <w:lang w:val="en-GB"/>
              </w:rPr>
              <w:t>AL8</w:t>
            </w:r>
          </w:p>
        </w:tc>
        <w:tc>
          <w:tcPr>
            <w:tcW w:w="2598" w:type="dxa"/>
            <w:tcBorders>
              <w:top w:val="nil"/>
              <w:left w:val="nil"/>
              <w:bottom w:val="single" w:sz="4" w:space="0" w:color="auto"/>
              <w:right w:val="single" w:sz="4" w:space="0" w:color="auto"/>
            </w:tcBorders>
            <w:vAlign w:val="center"/>
          </w:tcPr>
          <w:p w14:paraId="34B02DCE" w14:textId="183DAAB6" w:rsidR="00EA74CA" w:rsidRPr="004E75B9" w:rsidRDefault="00EA74CA" w:rsidP="00EA74CA">
            <w:pPr>
              <w:rPr>
                <w:rFonts w:ascii="Arial" w:hAnsi="Arial" w:cs="Arial"/>
                <w:sz w:val="20"/>
                <w:lang w:val="en-GB"/>
              </w:rPr>
            </w:pPr>
            <w:r w:rsidRPr="004E75B9">
              <w:rPr>
                <w:rFonts w:ascii="Arial" w:hAnsi="Arial" w:cs="Arial"/>
                <w:sz w:val="20"/>
                <w:lang w:val="en-GB"/>
              </w:rPr>
              <w:t>Data on loans granted to small and medium-sized enterprises under each FGS phase and scheme; credit institutions and EEA branches of this type, participating in the</w:t>
            </w:r>
          </w:p>
        </w:tc>
        <w:tc>
          <w:tcPr>
            <w:tcW w:w="2835" w:type="dxa"/>
            <w:tcBorders>
              <w:top w:val="nil"/>
              <w:left w:val="nil"/>
              <w:bottom w:val="single" w:sz="4" w:space="0" w:color="auto"/>
              <w:right w:val="single" w:sz="4" w:space="0" w:color="auto"/>
            </w:tcBorders>
            <w:vAlign w:val="center"/>
          </w:tcPr>
          <w:p w14:paraId="34B02DCF" w14:textId="1B8CD2EB" w:rsidR="00EA74CA" w:rsidRPr="004E75B9" w:rsidRDefault="00EA74CA" w:rsidP="00EA74CA">
            <w:pPr>
              <w:rPr>
                <w:rFonts w:ascii="Arial" w:hAnsi="Arial" w:cs="Arial"/>
                <w:sz w:val="20"/>
                <w:lang w:val="en-GB"/>
              </w:rPr>
            </w:pPr>
            <w:r w:rsidRPr="004E75B9">
              <w:rPr>
                <w:rFonts w:ascii="Arial" w:hAnsi="Arial" w:cs="Arial"/>
                <w:sz w:val="20"/>
                <w:lang w:val="en-GB"/>
              </w:rPr>
              <w:t xml:space="preserve">Funding for Growth Scheme (hereinafter: FGS), Funding for Growth Scheme Plus (hereinafter: FGS+), Funding for Growth Scheme fix (hereinafter: FGS </w:t>
            </w:r>
            <w:r w:rsidRPr="004E75B9">
              <w:rPr>
                <w:rFonts w:ascii="Arial" w:hAnsi="Arial" w:cs="Arial"/>
                <w:i/>
                <w:iCs/>
                <w:sz w:val="20"/>
                <w:lang w:val="en-GB"/>
              </w:rPr>
              <w:t>fix</w:t>
            </w:r>
            <w:r w:rsidRPr="004E75B9">
              <w:rPr>
                <w:rFonts w:ascii="Arial" w:hAnsi="Arial" w:cs="Arial"/>
                <w:sz w:val="20"/>
                <w:lang w:val="en-GB"/>
              </w:rPr>
              <w:t>) and Funding for Growth Scheme Go! (</w:t>
            </w:r>
            <w:proofErr w:type="gramStart"/>
            <w:r w:rsidRPr="004E75B9">
              <w:rPr>
                <w:rFonts w:ascii="Arial" w:hAnsi="Arial" w:cs="Arial"/>
                <w:sz w:val="20"/>
                <w:lang w:val="en-GB"/>
              </w:rPr>
              <w:t>hereinafter</w:t>
            </w:r>
            <w:proofErr w:type="gramEnd"/>
            <w:r w:rsidRPr="004E75B9">
              <w:rPr>
                <w:rFonts w:ascii="Arial" w:hAnsi="Arial" w:cs="Arial"/>
                <w:sz w:val="20"/>
                <w:lang w:val="en-GB"/>
              </w:rPr>
              <w:t>: FGS Go!) (hereinafter collectively: FGS phases and schemes)</w:t>
            </w:r>
          </w:p>
        </w:tc>
        <w:tc>
          <w:tcPr>
            <w:tcW w:w="1701" w:type="dxa"/>
            <w:tcBorders>
              <w:top w:val="nil"/>
              <w:left w:val="nil"/>
              <w:bottom w:val="single" w:sz="4" w:space="0" w:color="auto"/>
              <w:right w:val="single" w:sz="4" w:space="0" w:color="auto"/>
            </w:tcBorders>
            <w:vAlign w:val="center"/>
          </w:tcPr>
          <w:p w14:paraId="34B02DD0" w14:textId="048437D9" w:rsidR="00EA74CA" w:rsidRPr="004E75B9" w:rsidRDefault="00EA74CA" w:rsidP="00EA74CA">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2DD1" w14:textId="77777777" w:rsidR="00EA74CA" w:rsidRPr="004E75B9" w:rsidRDefault="00EA74CA" w:rsidP="00EA74CA">
            <w:pPr>
              <w:jc w:val="center"/>
              <w:rPr>
                <w:rFonts w:ascii="Arial" w:hAnsi="Arial" w:cs="Arial"/>
                <w:sz w:val="20"/>
                <w:lang w:val="en-GB"/>
              </w:rPr>
            </w:pPr>
            <w:r w:rsidRPr="004E75B9">
              <w:rPr>
                <w:rFonts w:ascii="Arial" w:hAnsi="Arial" w:cs="Arial"/>
                <w:sz w:val="20"/>
                <w:lang w:val="en-GB"/>
              </w:rPr>
              <w:t>electronic (</w:t>
            </w:r>
            <w:proofErr w:type="spellStart"/>
            <w:r w:rsidRPr="004E75B9">
              <w:rPr>
                <w:rFonts w:ascii="Arial" w:hAnsi="Arial" w:cs="Arial"/>
                <w:sz w:val="20"/>
                <w:lang w:val="en-GB"/>
              </w:rPr>
              <w:t>GiroNetworkMail</w:t>
            </w:r>
            <w:proofErr w:type="spellEnd"/>
            <w:r w:rsidRPr="004E75B9">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67A774E4" w14:textId="7708B23B" w:rsidR="00EA74CA" w:rsidRPr="004E75B9" w:rsidRDefault="00EA74CA" w:rsidP="00EA74CA">
            <w:pPr>
              <w:rPr>
                <w:rFonts w:ascii="Arial" w:hAnsi="Arial" w:cs="Arial"/>
                <w:sz w:val="20"/>
                <w:lang w:val="en-GB"/>
              </w:rPr>
            </w:pPr>
            <w:r w:rsidRPr="004E75B9">
              <w:rPr>
                <w:rFonts w:ascii="Arial" w:hAnsi="Arial" w:cs="Arial"/>
                <w:sz w:val="20"/>
                <w:lang w:val="en-GB"/>
              </w:rPr>
              <w:t xml:space="preserve">in respect of the data of SME loans, to be refinanced by the MNB under the individual FGS phases and schemes, with the exception of Pillar II of phase three of FGS: </w:t>
            </w:r>
          </w:p>
          <w:p w14:paraId="1E3C4405" w14:textId="5B50E92C" w:rsidR="00EA74CA" w:rsidRPr="004E75B9" w:rsidRDefault="00EA74CA" w:rsidP="00EA74CA">
            <w:pPr>
              <w:ind w:left="75"/>
              <w:rPr>
                <w:rFonts w:ascii="Arial" w:hAnsi="Arial" w:cs="Arial"/>
                <w:sz w:val="20"/>
                <w:lang w:val="en-GB"/>
              </w:rPr>
            </w:pPr>
            <w:r w:rsidRPr="004E75B9">
              <w:rPr>
                <w:rFonts w:ascii="Arial" w:hAnsi="Arial" w:cs="Arial"/>
                <w:sz w:val="20"/>
                <w:lang w:val="en-GB"/>
              </w:rPr>
              <w:t>– 3 p.m. on the working day before the requested date of disbursement of the refinancing loan (12 p.m. when Saturday is a working day);</w:t>
            </w:r>
          </w:p>
          <w:p w14:paraId="090A2A98" w14:textId="18A598CD" w:rsidR="00EA74CA" w:rsidRPr="004E75B9" w:rsidRDefault="00EA74CA" w:rsidP="00EA74CA">
            <w:pPr>
              <w:ind w:left="75"/>
              <w:rPr>
                <w:rFonts w:ascii="Arial" w:hAnsi="Arial" w:cs="Arial"/>
                <w:sz w:val="20"/>
                <w:lang w:val="en-GB"/>
              </w:rPr>
            </w:pPr>
            <w:r w:rsidRPr="004E75B9">
              <w:rPr>
                <w:rFonts w:ascii="Arial" w:hAnsi="Arial" w:cs="Arial"/>
                <w:sz w:val="20"/>
                <w:lang w:val="en-GB"/>
              </w:rPr>
              <w:t xml:space="preserve">– if any change occurs in the reported data: unless provided otherwise by the filling instructions, 3 p.m. on the day when the change is known for the data provider in advance; 12 p.m. when Saturday is a working day; </w:t>
            </w:r>
          </w:p>
          <w:p w14:paraId="6610B43A" w14:textId="77777777" w:rsidR="00EA74CA" w:rsidRPr="004E75B9" w:rsidRDefault="00EA74CA" w:rsidP="00EA74CA">
            <w:pPr>
              <w:rPr>
                <w:rFonts w:ascii="Arial" w:hAnsi="Arial" w:cs="Arial"/>
                <w:sz w:val="20"/>
                <w:lang w:val="en-GB"/>
              </w:rPr>
            </w:pPr>
          </w:p>
          <w:p w14:paraId="29DEF8F4" w14:textId="67D2A614" w:rsidR="00EA74CA" w:rsidRPr="004E75B9" w:rsidRDefault="00EA74CA" w:rsidP="00EA74CA">
            <w:pPr>
              <w:rPr>
                <w:rFonts w:ascii="Arial" w:hAnsi="Arial" w:cs="Arial"/>
                <w:sz w:val="20"/>
                <w:lang w:val="en-GB"/>
              </w:rPr>
            </w:pPr>
            <w:r w:rsidRPr="004E75B9">
              <w:rPr>
                <w:rFonts w:ascii="Arial" w:hAnsi="Arial" w:cs="Arial"/>
                <w:sz w:val="20"/>
                <w:lang w:val="en-GB"/>
              </w:rPr>
              <w:t>in respect of the data of SME loans, to be refinanced by the MNB under Pillar II of phase three of FGS:</w:t>
            </w:r>
          </w:p>
          <w:p w14:paraId="34B02DD7" w14:textId="5A2091B7" w:rsidR="00EA74CA" w:rsidRPr="004E75B9" w:rsidRDefault="00EA74CA" w:rsidP="00EA74CA">
            <w:pPr>
              <w:rPr>
                <w:rFonts w:ascii="Arial" w:hAnsi="Arial" w:cs="Arial"/>
                <w:sz w:val="20"/>
                <w:lang w:val="en-GB"/>
              </w:rPr>
            </w:pPr>
            <w:r w:rsidRPr="004E75B9">
              <w:rPr>
                <w:rFonts w:ascii="Arial" w:hAnsi="Arial" w:cs="Arial"/>
                <w:sz w:val="20"/>
                <w:lang w:val="en-GB"/>
              </w:rPr>
              <w:t>3 p.m. on the day of data supply specified in the Product Notice on the method and conditions of utilising the refinancing loans disbursed under Pillar I and II of phase three of FGS, following the conclusion of the SME loan contract or the changes occurred in the reported data;</w:t>
            </w:r>
          </w:p>
        </w:tc>
      </w:tr>
      <w:tr w:rsidR="004E75B9" w:rsidRPr="004E75B9" w14:paraId="2A0158A8"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04694F17" w:rsidR="00471EE4" w:rsidRPr="004E75B9" w:rsidRDefault="00471EE4" w:rsidP="00471EE4">
            <w:pPr>
              <w:jc w:val="center"/>
              <w:rPr>
                <w:rFonts w:ascii="Arial" w:hAnsi="Arial" w:cs="Arial"/>
                <w:sz w:val="20"/>
                <w:lang w:val="en-GB"/>
              </w:rPr>
            </w:pPr>
            <w:r w:rsidRPr="004E75B9">
              <w:rPr>
                <w:rFonts w:ascii="Arial" w:hAnsi="Arial" w:cs="Arial"/>
                <w:sz w:val="20"/>
                <w:lang w:val="en-GB"/>
              </w:rPr>
              <w:lastRenderedPageBreak/>
              <w:t>3</w:t>
            </w:r>
          </w:p>
        </w:tc>
        <w:tc>
          <w:tcPr>
            <w:tcW w:w="1418" w:type="dxa"/>
            <w:tcBorders>
              <w:top w:val="nil"/>
              <w:left w:val="single" w:sz="4" w:space="0" w:color="auto"/>
              <w:bottom w:val="single" w:sz="4" w:space="0" w:color="auto"/>
              <w:right w:val="single" w:sz="4" w:space="0" w:color="auto"/>
            </w:tcBorders>
            <w:vAlign w:val="center"/>
          </w:tcPr>
          <w:p w14:paraId="2B72040F" w14:textId="362F7946" w:rsidR="00471EE4" w:rsidRPr="004E75B9" w:rsidRDefault="00471EE4" w:rsidP="00471EE4">
            <w:pPr>
              <w:jc w:val="center"/>
              <w:rPr>
                <w:rFonts w:ascii="Arial" w:hAnsi="Arial" w:cs="Arial"/>
                <w:sz w:val="20"/>
                <w:lang w:val="en-GB"/>
              </w:rPr>
            </w:pPr>
            <w:r w:rsidRPr="004E75B9">
              <w:rPr>
                <w:rFonts w:ascii="Arial" w:hAnsi="Arial" w:cs="Arial"/>
                <w:sz w:val="20"/>
                <w:lang w:val="en-GB"/>
              </w:rPr>
              <w:t>AL12</w:t>
            </w:r>
          </w:p>
        </w:tc>
        <w:tc>
          <w:tcPr>
            <w:tcW w:w="2598" w:type="dxa"/>
            <w:tcBorders>
              <w:top w:val="nil"/>
              <w:left w:val="nil"/>
              <w:bottom w:val="single" w:sz="4" w:space="0" w:color="auto"/>
              <w:right w:val="single" w:sz="4" w:space="0" w:color="auto"/>
            </w:tcBorders>
            <w:vAlign w:val="center"/>
          </w:tcPr>
          <w:p w14:paraId="50126F8B" w14:textId="47D23BE9" w:rsidR="00471EE4" w:rsidRPr="004E75B9" w:rsidRDefault="00471EE4" w:rsidP="00471EE4">
            <w:pPr>
              <w:rPr>
                <w:rFonts w:ascii="Arial" w:hAnsi="Arial" w:cs="Arial"/>
                <w:sz w:val="20"/>
                <w:lang w:val="en-GB"/>
              </w:rPr>
            </w:pPr>
            <w:r w:rsidRPr="004E75B9">
              <w:rPr>
                <w:rFonts w:ascii="Arial" w:hAnsi="Arial" w:cs="Arial"/>
                <w:sz w:val="20"/>
                <w:lang w:val="en-GB"/>
              </w:rPr>
              <w:t>Data of retail loans granted under the FGS Green Home Programme</w:t>
            </w:r>
          </w:p>
        </w:tc>
        <w:tc>
          <w:tcPr>
            <w:tcW w:w="2835" w:type="dxa"/>
            <w:tcBorders>
              <w:top w:val="nil"/>
              <w:left w:val="nil"/>
              <w:bottom w:val="single" w:sz="4" w:space="0" w:color="auto"/>
              <w:right w:val="single" w:sz="4" w:space="0" w:color="auto"/>
            </w:tcBorders>
            <w:vAlign w:val="center"/>
          </w:tcPr>
          <w:p w14:paraId="6E4DF4E5" w14:textId="6FCECD31" w:rsidR="00471EE4" w:rsidRPr="004E75B9" w:rsidRDefault="00471EE4" w:rsidP="00471EE4">
            <w:pPr>
              <w:rPr>
                <w:rFonts w:ascii="Arial" w:hAnsi="Arial" w:cs="Arial"/>
                <w:sz w:val="20"/>
                <w:lang w:val="en-GB"/>
              </w:rPr>
            </w:pPr>
            <w:r w:rsidRPr="004E75B9">
              <w:rPr>
                <w:rFonts w:ascii="Arial" w:hAnsi="Arial" w:cs="Arial"/>
                <w:sz w:val="20"/>
                <w:lang w:val="en-GB"/>
              </w:rPr>
              <w:t>credit institutions participating in the FGS Green Home Programme (hereinafter: FGS GHP), EEA branches of this type</w:t>
            </w:r>
          </w:p>
        </w:tc>
        <w:tc>
          <w:tcPr>
            <w:tcW w:w="1701" w:type="dxa"/>
            <w:tcBorders>
              <w:top w:val="nil"/>
              <w:left w:val="nil"/>
              <w:bottom w:val="single" w:sz="4" w:space="0" w:color="auto"/>
              <w:right w:val="single" w:sz="4" w:space="0" w:color="auto"/>
            </w:tcBorders>
            <w:vAlign w:val="center"/>
          </w:tcPr>
          <w:p w14:paraId="3FB8E762" w14:textId="6BA2CD54"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3916D8C" w14:textId="2144E946"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w:t>
            </w:r>
            <w:proofErr w:type="spellStart"/>
            <w:r w:rsidRPr="004E75B9">
              <w:rPr>
                <w:rFonts w:ascii="Arial" w:hAnsi="Arial" w:cs="Arial"/>
                <w:sz w:val="20"/>
                <w:lang w:val="en-GB"/>
              </w:rPr>
              <w:t>GiroNetworkMail</w:t>
            </w:r>
            <w:proofErr w:type="spellEnd"/>
            <w:r w:rsidRPr="004E75B9">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6BB5DAA0" w14:textId="77777777" w:rsidR="00471EE4" w:rsidRPr="004E75B9" w:rsidRDefault="00471EE4" w:rsidP="00471EE4">
            <w:pPr>
              <w:rPr>
                <w:rFonts w:ascii="Arial" w:hAnsi="Arial" w:cs="Arial"/>
                <w:sz w:val="20"/>
                <w:lang w:val="en-GB"/>
              </w:rPr>
            </w:pPr>
            <w:r w:rsidRPr="004E75B9">
              <w:rPr>
                <w:rFonts w:ascii="Arial" w:hAnsi="Arial" w:cs="Arial"/>
                <w:sz w:val="20"/>
                <w:lang w:val="en-GB"/>
              </w:rPr>
              <w:t>in respect of the data of retail loans requested to be refinanced by the MNB under FGS GHP:</w:t>
            </w:r>
          </w:p>
          <w:p w14:paraId="3A910ECE" w14:textId="6642DED5" w:rsidR="00471EE4" w:rsidRPr="004E75B9" w:rsidRDefault="00471EE4" w:rsidP="00471EE4">
            <w:pPr>
              <w:rPr>
                <w:rFonts w:ascii="Arial" w:hAnsi="Arial" w:cs="Arial"/>
                <w:sz w:val="20"/>
                <w:lang w:val="en-GB"/>
              </w:rPr>
            </w:pPr>
            <w:r w:rsidRPr="004E75B9">
              <w:rPr>
                <w:rFonts w:ascii="Arial" w:hAnsi="Arial" w:cs="Arial"/>
                <w:sz w:val="20"/>
                <w:lang w:val="en-GB"/>
              </w:rPr>
              <w:t>– 3 p.m. on the working day before the requested date of disbursement of the refinancing loan (12 p.m. when Saturday is a working day);</w:t>
            </w:r>
          </w:p>
          <w:p w14:paraId="6D24709E" w14:textId="6B0E28BA" w:rsidR="00471EE4" w:rsidRPr="004E75B9" w:rsidRDefault="00471EE4" w:rsidP="00845A8D">
            <w:pPr>
              <w:jc w:val="left"/>
              <w:rPr>
                <w:rFonts w:ascii="Arial" w:hAnsi="Arial" w:cs="Arial"/>
                <w:sz w:val="20"/>
                <w:lang w:val="en-GB"/>
              </w:rPr>
            </w:pPr>
            <w:r w:rsidRPr="004E75B9">
              <w:rPr>
                <w:rFonts w:ascii="Arial" w:hAnsi="Arial" w:cs="Arial"/>
                <w:sz w:val="20"/>
                <w:lang w:val="en-GB"/>
              </w:rPr>
              <w:t>– if any change occurs in the reported data: unless provided otherwise by the filling instructions, 3 p.m. on the day when the change is known for the data provider in advance; 12 p.m. when Saturday is a working day;</w:t>
            </w:r>
          </w:p>
        </w:tc>
      </w:tr>
      <w:tr w:rsidR="004E75B9" w:rsidRPr="004E75B9" w14:paraId="16559F39"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1067A7A0" w:rsidR="00471EE4" w:rsidRPr="004E75B9" w:rsidRDefault="00EE63E1" w:rsidP="00471EE4">
            <w:pPr>
              <w:jc w:val="center"/>
              <w:rPr>
                <w:rFonts w:ascii="Arial" w:hAnsi="Arial" w:cs="Arial"/>
                <w:sz w:val="20"/>
                <w:lang w:val="en-GB"/>
              </w:rPr>
            </w:pPr>
            <w:r w:rsidRPr="004E75B9">
              <w:rPr>
                <w:rFonts w:ascii="Arial" w:hAnsi="Arial" w:cs="Arial"/>
                <w:sz w:val="20"/>
                <w:lang w:val="en-GB"/>
              </w:rPr>
              <w:t>4</w:t>
            </w:r>
          </w:p>
        </w:tc>
        <w:tc>
          <w:tcPr>
            <w:tcW w:w="1418" w:type="dxa"/>
            <w:tcBorders>
              <w:top w:val="nil"/>
              <w:left w:val="single" w:sz="4" w:space="0" w:color="auto"/>
              <w:bottom w:val="single" w:sz="4" w:space="0" w:color="auto"/>
              <w:right w:val="single" w:sz="4" w:space="0" w:color="auto"/>
            </w:tcBorders>
            <w:vAlign w:val="center"/>
          </w:tcPr>
          <w:p w14:paraId="5EA2EF06" w14:textId="7D2DF60D" w:rsidR="00471EE4" w:rsidRPr="004E75B9" w:rsidRDefault="00471EE4" w:rsidP="00471EE4">
            <w:pPr>
              <w:jc w:val="center"/>
              <w:rPr>
                <w:rFonts w:ascii="Arial" w:hAnsi="Arial" w:cs="Arial"/>
                <w:sz w:val="20"/>
                <w:lang w:val="en-GB"/>
              </w:rPr>
            </w:pPr>
            <w:r w:rsidRPr="004E75B9">
              <w:rPr>
                <w:rFonts w:ascii="Arial" w:hAnsi="Arial" w:cs="Arial"/>
                <w:sz w:val="20"/>
                <w:lang w:val="en-GB"/>
              </w:rPr>
              <w:t>BSI</w:t>
            </w:r>
          </w:p>
        </w:tc>
        <w:tc>
          <w:tcPr>
            <w:tcW w:w="2598" w:type="dxa"/>
            <w:tcBorders>
              <w:top w:val="nil"/>
              <w:left w:val="nil"/>
              <w:bottom w:val="single" w:sz="4" w:space="0" w:color="auto"/>
              <w:right w:val="single" w:sz="4" w:space="0" w:color="auto"/>
            </w:tcBorders>
            <w:vAlign w:val="center"/>
          </w:tcPr>
          <w:p w14:paraId="2BB89C29" w14:textId="193D5F75" w:rsidR="00471EE4" w:rsidRPr="004E75B9" w:rsidRDefault="00471EE4" w:rsidP="00471EE4">
            <w:pPr>
              <w:rPr>
                <w:rFonts w:ascii="Arial" w:hAnsi="Arial" w:cs="Arial"/>
                <w:sz w:val="20"/>
                <w:lang w:val="en-GB"/>
              </w:rPr>
            </w:pPr>
            <w:r w:rsidRPr="004E75B9">
              <w:rPr>
                <w:rFonts w:ascii="Arial" w:hAnsi="Arial" w:cs="Arial"/>
                <w:sz w:val="20"/>
                <w:lang w:val="en-GB"/>
              </w:rPr>
              <w:t>Bank Sentiment Survey</w:t>
            </w:r>
          </w:p>
        </w:tc>
        <w:tc>
          <w:tcPr>
            <w:tcW w:w="2835" w:type="dxa"/>
            <w:tcBorders>
              <w:top w:val="nil"/>
              <w:left w:val="nil"/>
              <w:bottom w:val="single" w:sz="4" w:space="0" w:color="auto"/>
              <w:right w:val="single" w:sz="4" w:space="0" w:color="auto"/>
            </w:tcBorders>
            <w:vAlign w:val="center"/>
          </w:tcPr>
          <w:p w14:paraId="644BA8B5" w14:textId="68D44CF2" w:rsidR="00471EE4" w:rsidRPr="004E75B9" w:rsidRDefault="00471EE4" w:rsidP="00471EE4">
            <w:pPr>
              <w:rPr>
                <w:rFonts w:ascii="Arial" w:hAnsi="Arial" w:cs="Arial"/>
                <w:sz w:val="20"/>
                <w:lang w:val="en-GB"/>
              </w:rPr>
            </w:pPr>
            <w:r w:rsidRPr="004E75B9">
              <w:rPr>
                <w:rFonts w:ascii="Arial" w:hAnsi="Arial" w:cs="Arial"/>
                <w:sz w:val="20"/>
                <w:lang w:val="en-GB"/>
              </w:rPr>
              <w:t>banks, including also cooperative credit institutions operating as joint stock companies (hereinafter collectively: bank), specialised credit institutions, and EEA branches of this type</w:t>
            </w:r>
          </w:p>
        </w:tc>
        <w:tc>
          <w:tcPr>
            <w:tcW w:w="1701" w:type="dxa"/>
            <w:tcBorders>
              <w:top w:val="nil"/>
              <w:left w:val="nil"/>
              <w:bottom w:val="single" w:sz="4" w:space="0" w:color="auto"/>
              <w:right w:val="single" w:sz="4" w:space="0" w:color="auto"/>
            </w:tcBorders>
            <w:vAlign w:val="center"/>
          </w:tcPr>
          <w:p w14:paraId="45942376" w14:textId="3DAA4C91"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 for table 01, semi-annual for tables 02–06</w:t>
            </w:r>
          </w:p>
        </w:tc>
        <w:tc>
          <w:tcPr>
            <w:tcW w:w="1796" w:type="dxa"/>
            <w:tcBorders>
              <w:top w:val="nil"/>
              <w:left w:val="nil"/>
              <w:bottom w:val="single" w:sz="4" w:space="0" w:color="auto"/>
              <w:right w:val="single" w:sz="4" w:space="0" w:color="auto"/>
            </w:tcBorders>
            <w:vAlign w:val="center"/>
          </w:tcPr>
          <w:p w14:paraId="7EAEC70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5F213B6F" w14:textId="12172EDE"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18F1FBCD" w14:textId="03C63AB6" w:rsidR="00471EE4" w:rsidRPr="004E75B9" w:rsidRDefault="00471EE4" w:rsidP="00471EE4">
            <w:pPr>
              <w:jc w:val="center"/>
              <w:rPr>
                <w:rFonts w:ascii="Arial" w:hAnsi="Arial" w:cs="Arial"/>
                <w:sz w:val="20"/>
                <w:lang w:val="en-GB"/>
              </w:rPr>
            </w:pPr>
            <w:r w:rsidRPr="004E75B9">
              <w:rPr>
                <w:rFonts w:ascii="Arial" w:hAnsi="Arial" w:cs="Arial"/>
                <w:sz w:val="20"/>
                <w:lang w:val="en-GB"/>
              </w:rPr>
              <w:t>20th working day following the reference period</w:t>
            </w:r>
          </w:p>
        </w:tc>
      </w:tr>
      <w:tr w:rsidR="004E75B9" w:rsidRPr="004E75B9" w14:paraId="34B02DE1" w14:textId="77777777" w:rsidTr="00481406">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651C8" w:rsidR="00471EE4" w:rsidRPr="004E75B9" w:rsidRDefault="00EE63E1" w:rsidP="00471EE4">
            <w:pPr>
              <w:jc w:val="center"/>
              <w:rPr>
                <w:rFonts w:ascii="Arial" w:hAnsi="Arial" w:cs="Arial"/>
                <w:sz w:val="20"/>
                <w:lang w:val="en-GB"/>
              </w:rPr>
            </w:pPr>
            <w:r w:rsidRPr="004E75B9">
              <w:rPr>
                <w:rFonts w:ascii="Arial" w:hAnsi="Arial" w:cs="Arial"/>
                <w:sz w:val="20"/>
                <w:lang w:val="en-GB"/>
              </w:rPr>
              <w:t>5</w:t>
            </w:r>
          </w:p>
        </w:tc>
        <w:tc>
          <w:tcPr>
            <w:tcW w:w="1418" w:type="dxa"/>
            <w:tcBorders>
              <w:top w:val="nil"/>
              <w:left w:val="single" w:sz="4" w:space="0" w:color="auto"/>
              <w:bottom w:val="single" w:sz="4" w:space="0" w:color="auto"/>
              <w:right w:val="single" w:sz="4" w:space="0" w:color="auto"/>
            </w:tcBorders>
            <w:vAlign w:val="center"/>
          </w:tcPr>
          <w:p w14:paraId="34B02DD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D01</w:t>
            </w:r>
          </w:p>
        </w:tc>
        <w:tc>
          <w:tcPr>
            <w:tcW w:w="2598" w:type="dxa"/>
            <w:tcBorders>
              <w:top w:val="nil"/>
              <w:left w:val="nil"/>
              <w:bottom w:val="single" w:sz="4" w:space="0" w:color="auto"/>
              <w:right w:val="single" w:sz="4" w:space="0" w:color="auto"/>
            </w:tcBorders>
            <w:vAlign w:val="center"/>
          </w:tcPr>
          <w:p w14:paraId="34B02DDB" w14:textId="6F802062" w:rsidR="00471EE4" w:rsidRPr="004E75B9" w:rsidRDefault="00471EE4" w:rsidP="00471EE4">
            <w:pPr>
              <w:rPr>
                <w:rFonts w:ascii="Arial" w:hAnsi="Arial" w:cs="Arial"/>
                <w:sz w:val="20"/>
                <w:lang w:val="en-GB"/>
              </w:rPr>
            </w:pPr>
            <w:r w:rsidRPr="004E75B9">
              <w:rPr>
                <w:rFonts w:ascii="Arial" w:hAnsi="Arial" w:cs="Arial"/>
                <w:sz w:val="20"/>
                <w:lang w:val="en-GB"/>
              </w:rPr>
              <w:t xml:space="preserve">Daily operative report on the changes in the foreign exchange position of credit institutions </w:t>
            </w:r>
          </w:p>
        </w:tc>
        <w:tc>
          <w:tcPr>
            <w:tcW w:w="2835" w:type="dxa"/>
            <w:tcBorders>
              <w:top w:val="nil"/>
              <w:left w:val="nil"/>
              <w:bottom w:val="single" w:sz="4" w:space="0" w:color="auto"/>
              <w:right w:val="single" w:sz="4" w:space="0" w:color="auto"/>
            </w:tcBorders>
            <w:vAlign w:val="center"/>
          </w:tcPr>
          <w:p w14:paraId="34B02DDC" w14:textId="12D22A92"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DD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2DD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DDF" w14:textId="2309577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DE0" w14:textId="607A0BFD" w:rsidR="00471EE4" w:rsidRPr="004E75B9" w:rsidRDefault="00471EE4" w:rsidP="00471EE4">
            <w:pPr>
              <w:jc w:val="center"/>
              <w:rPr>
                <w:rFonts w:ascii="Arial" w:hAnsi="Arial" w:cs="Arial"/>
                <w:sz w:val="20"/>
                <w:lang w:val="en-GB"/>
              </w:rPr>
            </w:pPr>
            <w:r w:rsidRPr="004E75B9">
              <w:rPr>
                <w:rFonts w:ascii="Arial" w:hAnsi="Arial" w:cs="Arial"/>
                <w:sz w:val="20"/>
                <w:lang w:val="en-GB"/>
              </w:rPr>
              <w:t>12 p.m. on the working day following the reference day</w:t>
            </w:r>
          </w:p>
        </w:tc>
      </w:tr>
      <w:tr w:rsidR="004E75B9" w:rsidRPr="004E75B9" w14:paraId="34B02DEA" w14:textId="77777777" w:rsidTr="00481406">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68CC4962"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6</w:t>
            </w:r>
          </w:p>
        </w:tc>
        <w:tc>
          <w:tcPr>
            <w:tcW w:w="1418" w:type="dxa"/>
            <w:tcBorders>
              <w:top w:val="nil"/>
              <w:left w:val="single" w:sz="4" w:space="0" w:color="auto"/>
              <w:bottom w:val="single" w:sz="4" w:space="0" w:color="auto"/>
              <w:right w:val="single" w:sz="4" w:space="0" w:color="auto"/>
            </w:tcBorders>
            <w:vAlign w:val="center"/>
          </w:tcPr>
          <w:p w14:paraId="34B02DE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D02</w:t>
            </w:r>
          </w:p>
        </w:tc>
        <w:tc>
          <w:tcPr>
            <w:tcW w:w="2598" w:type="dxa"/>
            <w:tcBorders>
              <w:top w:val="nil"/>
              <w:left w:val="nil"/>
              <w:bottom w:val="single" w:sz="4" w:space="0" w:color="auto"/>
              <w:right w:val="single" w:sz="4" w:space="0" w:color="auto"/>
            </w:tcBorders>
            <w:vAlign w:val="center"/>
          </w:tcPr>
          <w:p w14:paraId="34B02DE4" w14:textId="77777777" w:rsidR="00471EE4" w:rsidRPr="004E75B9" w:rsidRDefault="00471EE4" w:rsidP="00471EE4">
            <w:pPr>
              <w:rPr>
                <w:rFonts w:ascii="Arial" w:hAnsi="Arial" w:cs="Arial"/>
                <w:sz w:val="20"/>
                <w:lang w:val="en-GB"/>
              </w:rPr>
            </w:pPr>
            <w:r w:rsidRPr="004E75B9">
              <w:rPr>
                <w:rFonts w:ascii="Arial" w:hAnsi="Arial" w:cs="Arial"/>
                <w:sz w:val="20"/>
                <w:lang w:val="en-GB"/>
              </w:rPr>
              <w:t>Daily operative report on the changes in the group members' foreign exchange position</w:t>
            </w:r>
          </w:p>
        </w:tc>
        <w:tc>
          <w:tcPr>
            <w:tcW w:w="2835" w:type="dxa"/>
            <w:tcBorders>
              <w:top w:val="nil"/>
              <w:left w:val="nil"/>
              <w:bottom w:val="single" w:sz="4" w:space="0" w:color="auto"/>
              <w:right w:val="single" w:sz="4" w:space="0" w:color="auto"/>
            </w:tcBorders>
            <w:vAlign w:val="center"/>
          </w:tcPr>
          <w:p w14:paraId="34B02DE5" w14:textId="0D9C4B86" w:rsidR="00471EE4" w:rsidRPr="004E75B9" w:rsidRDefault="00471EE4" w:rsidP="00471EE4">
            <w:pPr>
              <w:spacing w:before="120"/>
              <w:rPr>
                <w:rFonts w:ascii="Arial" w:hAnsi="Arial" w:cs="Arial"/>
                <w:sz w:val="20"/>
                <w:lang w:val="en-GB"/>
              </w:rPr>
            </w:pPr>
            <w:bookmarkStart w:id="0" w:name="_Hlk520108919"/>
            <w:r w:rsidRPr="004E75B9">
              <w:rPr>
                <w:rFonts w:ascii="Arial" w:hAnsi="Arial" w:cs="Arial"/>
                <w:sz w:val="20"/>
                <w:lang w:val="en-GB"/>
              </w:rPr>
              <w:t>group leader credit institution subject to consolidated supervision, if any of its subsidiaries included in the consolidation specified by Regulation 575/2013/EU of the European Parliament and of the Council of 26 June 2013 on prudential requirements for credit institutions and amending Regulation 648/2012/EU (hereinafter: CRR), but not fulfilling the data supply with MNB identification code D01, is a credit institution or if the foreign currency open position of its subsidiary, as specified by Article 352 of CRR, measured at individual level, reaches or exceeds HUF 300 million at the end of the quarter preceding the reference day</w:t>
            </w:r>
            <w:bookmarkEnd w:id="0"/>
          </w:p>
        </w:tc>
        <w:tc>
          <w:tcPr>
            <w:tcW w:w="1701" w:type="dxa"/>
            <w:tcBorders>
              <w:top w:val="nil"/>
              <w:left w:val="nil"/>
              <w:bottom w:val="single" w:sz="4" w:space="0" w:color="auto"/>
              <w:right w:val="single" w:sz="4" w:space="0" w:color="auto"/>
            </w:tcBorders>
            <w:vAlign w:val="center"/>
          </w:tcPr>
          <w:p w14:paraId="34B02DE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2DE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DE8" w14:textId="386CE94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DE9" w14:textId="19E51E72" w:rsidR="00471EE4" w:rsidRPr="004E75B9" w:rsidRDefault="00471EE4" w:rsidP="00471EE4">
            <w:pPr>
              <w:jc w:val="center"/>
              <w:rPr>
                <w:rFonts w:ascii="Arial" w:hAnsi="Arial" w:cs="Arial"/>
                <w:sz w:val="20"/>
                <w:lang w:val="en-GB"/>
              </w:rPr>
            </w:pPr>
            <w:r w:rsidRPr="004E75B9">
              <w:rPr>
                <w:rFonts w:ascii="Arial" w:hAnsi="Arial" w:cs="Arial"/>
                <w:sz w:val="20"/>
                <w:lang w:val="en-GB"/>
              </w:rPr>
              <w:t>12 p.m. on the 2nd working day following the reference day</w:t>
            </w:r>
          </w:p>
        </w:tc>
      </w:tr>
      <w:tr w:rsidR="004E75B9" w:rsidRPr="004E75B9" w:rsidDel="00F43AEA" w14:paraId="17EF6440"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00402DF4" w:rsidR="00471EE4" w:rsidRPr="004E75B9" w:rsidDel="00F43AEA" w:rsidRDefault="00EE63E1" w:rsidP="00471EE4">
            <w:pPr>
              <w:jc w:val="center"/>
              <w:rPr>
                <w:rFonts w:ascii="Arial" w:hAnsi="Arial" w:cs="Arial"/>
                <w:sz w:val="20"/>
                <w:lang w:val="en-GB"/>
              </w:rPr>
            </w:pPr>
            <w:r w:rsidRPr="004E75B9">
              <w:rPr>
                <w:rFonts w:ascii="Arial" w:hAnsi="Arial" w:cs="Arial"/>
                <w:sz w:val="20"/>
                <w:lang w:val="en-GB"/>
              </w:rPr>
              <w:t>7</w:t>
            </w:r>
          </w:p>
        </w:tc>
        <w:tc>
          <w:tcPr>
            <w:tcW w:w="1418" w:type="dxa"/>
            <w:tcBorders>
              <w:top w:val="nil"/>
              <w:left w:val="single" w:sz="4" w:space="0" w:color="auto"/>
              <w:bottom w:val="single" w:sz="4" w:space="0" w:color="auto"/>
              <w:right w:val="single" w:sz="4" w:space="0" w:color="auto"/>
            </w:tcBorders>
            <w:vAlign w:val="center"/>
          </w:tcPr>
          <w:p w14:paraId="7B106946" w14:textId="1E716095" w:rsidR="00471EE4" w:rsidRPr="004E75B9" w:rsidDel="00F43AEA" w:rsidRDefault="00471EE4" w:rsidP="00471EE4">
            <w:pPr>
              <w:jc w:val="center"/>
              <w:rPr>
                <w:rFonts w:ascii="Arial" w:hAnsi="Arial" w:cs="Arial"/>
                <w:sz w:val="20"/>
                <w:lang w:val="en-GB"/>
              </w:rPr>
            </w:pPr>
            <w:r w:rsidRPr="004E75B9">
              <w:rPr>
                <w:rFonts w:ascii="Arial" w:hAnsi="Arial" w:cs="Arial"/>
                <w:sz w:val="20"/>
                <w:lang w:val="en-GB"/>
              </w:rPr>
              <w:t>D10</w:t>
            </w:r>
          </w:p>
        </w:tc>
        <w:tc>
          <w:tcPr>
            <w:tcW w:w="2598" w:type="dxa"/>
            <w:tcBorders>
              <w:top w:val="nil"/>
              <w:left w:val="nil"/>
              <w:bottom w:val="single" w:sz="4" w:space="0" w:color="auto"/>
              <w:right w:val="single" w:sz="4" w:space="0" w:color="auto"/>
            </w:tcBorders>
            <w:vAlign w:val="center"/>
          </w:tcPr>
          <w:p w14:paraId="3FA39957" w14:textId="05CDAED2" w:rsidR="00471EE4" w:rsidRPr="004E75B9" w:rsidDel="00F43AEA" w:rsidRDefault="00471EE4" w:rsidP="00471EE4">
            <w:pPr>
              <w:rPr>
                <w:rFonts w:ascii="Arial" w:hAnsi="Arial" w:cs="Arial"/>
                <w:sz w:val="20"/>
                <w:lang w:val="en-GB"/>
              </w:rPr>
            </w:pPr>
            <w:r w:rsidRPr="004E75B9">
              <w:rPr>
                <w:rFonts w:ascii="Arial" w:hAnsi="Arial" w:cs="Arial"/>
                <w:sz w:val="20"/>
                <w:lang w:val="en-GB"/>
              </w:rPr>
              <w:t>Data of accounts used digitally</w:t>
            </w:r>
          </w:p>
        </w:tc>
        <w:tc>
          <w:tcPr>
            <w:tcW w:w="2835" w:type="dxa"/>
            <w:tcBorders>
              <w:top w:val="nil"/>
              <w:left w:val="nil"/>
              <w:bottom w:val="single" w:sz="4" w:space="0" w:color="auto"/>
              <w:right w:val="single" w:sz="4" w:space="0" w:color="auto"/>
            </w:tcBorders>
            <w:vAlign w:val="center"/>
          </w:tcPr>
          <w:p w14:paraId="023E82A4" w14:textId="3EB852A1" w:rsidR="00471EE4" w:rsidRPr="004E75B9" w:rsidDel="00F43AEA" w:rsidRDefault="00471EE4" w:rsidP="00471EE4">
            <w:pPr>
              <w:rPr>
                <w:rFonts w:ascii="Arial" w:hAnsi="Arial" w:cs="Arial"/>
                <w:sz w:val="20"/>
                <w:lang w:val="en-GB"/>
              </w:rPr>
            </w:pPr>
            <w:bookmarkStart w:id="1" w:name="_Hlk49958951"/>
            <w:r w:rsidRPr="004E75B9">
              <w:rPr>
                <w:rFonts w:ascii="Arial" w:hAnsi="Arial" w:cs="Arial"/>
                <w:sz w:val="20"/>
                <w:lang w:val="en-GB"/>
              </w:rPr>
              <w:t xml:space="preserve">banks, specialised credit institutions excluding </w:t>
            </w:r>
            <w:proofErr w:type="spellStart"/>
            <w:r w:rsidRPr="004E75B9">
              <w:rPr>
                <w:rFonts w:ascii="Arial" w:hAnsi="Arial" w:cs="Arial"/>
                <w:sz w:val="20"/>
                <w:lang w:val="en-GB"/>
              </w:rPr>
              <w:t>Eximbank</w:t>
            </w:r>
            <w:proofErr w:type="spellEnd"/>
            <w:r w:rsidRPr="004E75B9">
              <w:rPr>
                <w:rFonts w:ascii="Arial" w:hAnsi="Arial" w:cs="Arial"/>
                <w:sz w:val="20"/>
                <w:lang w:val="en-GB"/>
              </w:rPr>
              <w:t xml:space="preserve"> </w:t>
            </w:r>
            <w:proofErr w:type="spellStart"/>
            <w:r w:rsidRPr="004E75B9">
              <w:rPr>
                <w:rFonts w:ascii="Arial" w:hAnsi="Arial" w:cs="Arial"/>
                <w:sz w:val="20"/>
                <w:lang w:val="en-GB"/>
              </w:rPr>
              <w:t>Zrt</w:t>
            </w:r>
            <w:proofErr w:type="spellEnd"/>
            <w:r w:rsidRPr="004E75B9">
              <w:rPr>
                <w:rFonts w:ascii="Arial" w:hAnsi="Arial" w:cs="Arial"/>
                <w:sz w:val="20"/>
                <w:lang w:val="en-GB"/>
              </w:rPr>
              <w:t xml:space="preserve">., </w:t>
            </w:r>
            <w:proofErr w:type="spellStart"/>
            <w:r w:rsidRPr="004E75B9">
              <w:rPr>
                <w:rFonts w:ascii="Arial" w:hAnsi="Arial" w:cs="Arial"/>
                <w:sz w:val="20"/>
                <w:lang w:val="en-GB"/>
              </w:rPr>
              <w:t>KELER</w:t>
            </w:r>
            <w:proofErr w:type="spellEnd"/>
            <w:r w:rsidRPr="004E75B9">
              <w:rPr>
                <w:rFonts w:ascii="Arial" w:hAnsi="Arial" w:cs="Arial"/>
                <w:sz w:val="20"/>
                <w:lang w:val="en-GB"/>
              </w:rPr>
              <w:t xml:space="preserve"> </w:t>
            </w:r>
            <w:proofErr w:type="spellStart"/>
            <w:r w:rsidRPr="004E75B9">
              <w:rPr>
                <w:rFonts w:ascii="Arial" w:hAnsi="Arial" w:cs="Arial"/>
                <w:sz w:val="20"/>
                <w:lang w:val="en-GB"/>
              </w:rPr>
              <w:t>Zrt</w:t>
            </w:r>
            <w:proofErr w:type="spellEnd"/>
            <w:r w:rsidRPr="004E75B9">
              <w:rPr>
                <w:rFonts w:ascii="Arial" w:hAnsi="Arial" w:cs="Arial"/>
                <w:sz w:val="20"/>
                <w:lang w:val="en-GB"/>
              </w:rPr>
              <w:t xml:space="preserve">. and </w:t>
            </w:r>
            <w:proofErr w:type="spellStart"/>
            <w:r w:rsidRPr="004E75B9">
              <w:rPr>
                <w:rFonts w:ascii="Arial" w:hAnsi="Arial" w:cs="Arial"/>
                <w:sz w:val="20"/>
                <w:lang w:val="en-GB"/>
              </w:rPr>
              <w:t>MFB</w:t>
            </w:r>
            <w:proofErr w:type="spellEnd"/>
            <w:r w:rsidRPr="004E75B9">
              <w:rPr>
                <w:rFonts w:ascii="Arial" w:hAnsi="Arial" w:cs="Arial"/>
                <w:sz w:val="20"/>
                <w:lang w:val="en-GB"/>
              </w:rPr>
              <w:t xml:space="preserve"> </w:t>
            </w:r>
            <w:proofErr w:type="spellStart"/>
            <w:r w:rsidRPr="004E75B9">
              <w:rPr>
                <w:rFonts w:ascii="Arial" w:hAnsi="Arial" w:cs="Arial"/>
                <w:sz w:val="20"/>
                <w:lang w:val="en-GB"/>
              </w:rPr>
              <w:t>Zrt</w:t>
            </w:r>
            <w:proofErr w:type="spellEnd"/>
            <w:r w:rsidRPr="004E75B9">
              <w:rPr>
                <w:rFonts w:ascii="Arial" w:hAnsi="Arial" w:cs="Arial"/>
                <w:sz w:val="20"/>
                <w:lang w:val="en-GB"/>
              </w:rPr>
              <w:t>., and EEA branches of the same type</w:t>
            </w:r>
            <w:bookmarkEnd w:id="1"/>
          </w:p>
        </w:tc>
        <w:tc>
          <w:tcPr>
            <w:tcW w:w="1701" w:type="dxa"/>
            <w:tcBorders>
              <w:top w:val="nil"/>
              <w:left w:val="nil"/>
              <w:bottom w:val="single" w:sz="4" w:space="0" w:color="auto"/>
              <w:right w:val="single" w:sz="4" w:space="0" w:color="auto"/>
            </w:tcBorders>
            <w:vAlign w:val="center"/>
          </w:tcPr>
          <w:p w14:paraId="33266D80" w14:textId="135B099E" w:rsidR="00471EE4" w:rsidRPr="004E75B9" w:rsidDel="00F43AEA"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7568E3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64438983" w14:textId="0E99A94C" w:rsidR="00471EE4" w:rsidRPr="004E75B9" w:rsidDel="00F43AEA"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DFF5869" w14:textId="52041D55" w:rsidR="00471EE4" w:rsidRPr="004E75B9" w:rsidDel="00F43AEA"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6E99B4ED"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4B5EFEFC" w14:textId="56976B72" w:rsidR="00471EE4" w:rsidRPr="004E75B9" w:rsidRDefault="00EC6BF6" w:rsidP="00471EE4">
            <w:pPr>
              <w:jc w:val="center"/>
              <w:rPr>
                <w:rFonts w:ascii="Arial" w:hAnsi="Arial" w:cs="Arial"/>
                <w:sz w:val="20"/>
                <w:lang w:val="en-GB"/>
              </w:rPr>
            </w:pPr>
            <w:r>
              <w:rPr>
                <w:rFonts w:ascii="Arial" w:hAnsi="Arial" w:cs="Arial"/>
                <w:sz w:val="20"/>
                <w:lang w:val="en-GB"/>
              </w:rPr>
              <w:t>8</w:t>
            </w:r>
          </w:p>
        </w:tc>
        <w:tc>
          <w:tcPr>
            <w:tcW w:w="1418" w:type="dxa"/>
            <w:tcBorders>
              <w:top w:val="nil"/>
              <w:left w:val="single" w:sz="4" w:space="0" w:color="auto"/>
              <w:bottom w:val="single" w:sz="4" w:space="0" w:color="auto"/>
              <w:right w:val="single" w:sz="4" w:space="0" w:color="auto"/>
            </w:tcBorders>
            <w:vAlign w:val="center"/>
          </w:tcPr>
          <w:p w14:paraId="1668D96D" w14:textId="544508F7" w:rsidR="00471EE4" w:rsidRPr="004E75B9" w:rsidRDefault="00471EE4" w:rsidP="00471EE4">
            <w:pPr>
              <w:jc w:val="center"/>
              <w:rPr>
                <w:rFonts w:ascii="Arial" w:hAnsi="Arial" w:cs="Arial"/>
                <w:sz w:val="20"/>
                <w:lang w:val="en-GB"/>
              </w:rPr>
            </w:pPr>
          </w:p>
        </w:tc>
        <w:tc>
          <w:tcPr>
            <w:tcW w:w="2598" w:type="dxa"/>
            <w:tcBorders>
              <w:top w:val="nil"/>
              <w:left w:val="nil"/>
              <w:bottom w:val="single" w:sz="4" w:space="0" w:color="auto"/>
              <w:right w:val="single" w:sz="4" w:space="0" w:color="auto"/>
            </w:tcBorders>
            <w:vAlign w:val="center"/>
          </w:tcPr>
          <w:p w14:paraId="301729E3" w14:textId="7775DC7F" w:rsidR="00471EE4" w:rsidRPr="004E75B9" w:rsidRDefault="00471EE4" w:rsidP="00471EE4">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2B0EF55C" w14:textId="7F98DC22" w:rsidR="00471EE4" w:rsidRPr="004E75B9" w:rsidRDefault="00471EE4" w:rsidP="00471EE4">
            <w:pPr>
              <w:rPr>
                <w:rFonts w:ascii="Arial" w:hAnsi="Arial" w:cs="Arial"/>
                <w:sz w:val="20"/>
                <w:lang w:val="en-GB"/>
              </w:rPr>
            </w:pPr>
          </w:p>
        </w:tc>
        <w:tc>
          <w:tcPr>
            <w:tcW w:w="1701" w:type="dxa"/>
            <w:tcBorders>
              <w:top w:val="nil"/>
              <w:left w:val="nil"/>
              <w:bottom w:val="single" w:sz="4" w:space="0" w:color="auto"/>
              <w:right w:val="single" w:sz="4" w:space="0" w:color="auto"/>
            </w:tcBorders>
            <w:vAlign w:val="center"/>
          </w:tcPr>
          <w:p w14:paraId="77E7A2D6" w14:textId="2642090D" w:rsidR="00471EE4" w:rsidRPr="004E75B9" w:rsidRDefault="00471EE4" w:rsidP="00471EE4">
            <w:pPr>
              <w:jc w:val="center"/>
              <w:rPr>
                <w:rFonts w:ascii="Arial" w:hAnsi="Arial" w:cs="Arial"/>
                <w:sz w:val="20"/>
                <w:lang w:val="en-GB"/>
              </w:rPr>
            </w:pPr>
          </w:p>
        </w:tc>
        <w:tc>
          <w:tcPr>
            <w:tcW w:w="1796" w:type="dxa"/>
            <w:tcBorders>
              <w:top w:val="nil"/>
              <w:left w:val="nil"/>
              <w:bottom w:val="single" w:sz="4" w:space="0" w:color="auto"/>
              <w:right w:val="single" w:sz="4" w:space="0" w:color="auto"/>
            </w:tcBorders>
            <w:vAlign w:val="center"/>
          </w:tcPr>
          <w:p w14:paraId="0C5ED279" w14:textId="4639786E" w:rsidR="00471EE4" w:rsidRPr="004E75B9" w:rsidRDefault="00471EE4" w:rsidP="00471EE4">
            <w:pPr>
              <w:jc w:val="center"/>
              <w:rPr>
                <w:rFonts w:ascii="Arial" w:hAnsi="Arial" w:cs="Arial"/>
                <w:sz w:val="20"/>
                <w:lang w:val="en-GB"/>
              </w:rPr>
            </w:pPr>
          </w:p>
        </w:tc>
        <w:tc>
          <w:tcPr>
            <w:tcW w:w="3402" w:type="dxa"/>
            <w:tcBorders>
              <w:top w:val="nil"/>
              <w:left w:val="nil"/>
              <w:bottom w:val="single" w:sz="4" w:space="0" w:color="auto"/>
              <w:right w:val="single" w:sz="4" w:space="0" w:color="auto"/>
            </w:tcBorders>
            <w:vAlign w:val="center"/>
          </w:tcPr>
          <w:p w14:paraId="2CBD20A2" w14:textId="25CDF2F9" w:rsidR="00471EE4" w:rsidRPr="004E75B9" w:rsidRDefault="00471EE4" w:rsidP="00471EE4">
            <w:pPr>
              <w:jc w:val="center"/>
              <w:rPr>
                <w:rFonts w:ascii="Arial" w:hAnsi="Arial" w:cs="Arial"/>
                <w:sz w:val="20"/>
                <w:lang w:val="en-GB"/>
              </w:rPr>
            </w:pPr>
          </w:p>
        </w:tc>
      </w:tr>
      <w:tr w:rsidR="004E75B9" w:rsidRPr="004E75B9" w14:paraId="2DF71DA3"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19BECC48" w14:textId="0A01E329" w:rsidR="00471EE4" w:rsidRPr="004E75B9" w:rsidRDefault="00EC6BF6" w:rsidP="00471EE4">
            <w:pPr>
              <w:jc w:val="center"/>
              <w:rPr>
                <w:rFonts w:ascii="Arial" w:hAnsi="Arial" w:cs="Arial"/>
                <w:sz w:val="20"/>
                <w:lang w:val="en-GB"/>
              </w:rPr>
            </w:pPr>
            <w:r>
              <w:rPr>
                <w:rFonts w:ascii="Arial" w:hAnsi="Arial" w:cs="Arial"/>
                <w:sz w:val="20"/>
                <w:lang w:val="en-GB"/>
              </w:rPr>
              <w:t>9</w:t>
            </w:r>
          </w:p>
        </w:tc>
        <w:tc>
          <w:tcPr>
            <w:tcW w:w="1418" w:type="dxa"/>
            <w:tcBorders>
              <w:top w:val="nil"/>
              <w:left w:val="single" w:sz="4" w:space="0" w:color="auto"/>
              <w:bottom w:val="single" w:sz="4" w:space="0" w:color="auto"/>
              <w:right w:val="single" w:sz="4" w:space="0" w:color="auto"/>
            </w:tcBorders>
            <w:vAlign w:val="center"/>
          </w:tcPr>
          <w:p w14:paraId="47AF9416" w14:textId="3302264A" w:rsidR="00471EE4" w:rsidRPr="004E75B9" w:rsidRDefault="00471EE4" w:rsidP="00471EE4">
            <w:pPr>
              <w:jc w:val="center"/>
              <w:rPr>
                <w:rFonts w:ascii="Arial" w:hAnsi="Arial" w:cs="Arial"/>
                <w:sz w:val="20"/>
                <w:lang w:val="en-GB"/>
              </w:rPr>
            </w:pPr>
          </w:p>
        </w:tc>
        <w:tc>
          <w:tcPr>
            <w:tcW w:w="2598" w:type="dxa"/>
            <w:tcBorders>
              <w:top w:val="nil"/>
              <w:left w:val="nil"/>
              <w:bottom w:val="single" w:sz="4" w:space="0" w:color="auto"/>
              <w:right w:val="single" w:sz="4" w:space="0" w:color="auto"/>
            </w:tcBorders>
            <w:vAlign w:val="center"/>
          </w:tcPr>
          <w:p w14:paraId="35D0F718" w14:textId="7483A698" w:rsidR="00471EE4" w:rsidRPr="004E75B9" w:rsidRDefault="00471EE4" w:rsidP="00471EE4">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2CA42B29" w14:textId="799AFA85" w:rsidR="00471EE4" w:rsidRPr="004E75B9" w:rsidRDefault="00471EE4" w:rsidP="00471EE4">
            <w:pPr>
              <w:rPr>
                <w:rFonts w:ascii="Arial" w:hAnsi="Arial" w:cs="Arial"/>
                <w:sz w:val="20"/>
                <w:lang w:val="en-GB"/>
              </w:rPr>
            </w:pPr>
          </w:p>
        </w:tc>
        <w:tc>
          <w:tcPr>
            <w:tcW w:w="1701" w:type="dxa"/>
            <w:tcBorders>
              <w:top w:val="nil"/>
              <w:left w:val="nil"/>
              <w:bottom w:val="single" w:sz="4" w:space="0" w:color="auto"/>
              <w:right w:val="single" w:sz="4" w:space="0" w:color="auto"/>
            </w:tcBorders>
            <w:vAlign w:val="center"/>
          </w:tcPr>
          <w:p w14:paraId="31189CC3" w14:textId="4989B055" w:rsidR="00471EE4" w:rsidRPr="004E75B9" w:rsidRDefault="00471EE4" w:rsidP="00471EE4">
            <w:pPr>
              <w:jc w:val="center"/>
              <w:rPr>
                <w:rFonts w:ascii="Arial" w:hAnsi="Arial" w:cs="Arial"/>
                <w:sz w:val="20"/>
                <w:lang w:val="en-GB"/>
              </w:rPr>
            </w:pPr>
          </w:p>
        </w:tc>
        <w:tc>
          <w:tcPr>
            <w:tcW w:w="1796" w:type="dxa"/>
            <w:tcBorders>
              <w:top w:val="nil"/>
              <w:left w:val="nil"/>
              <w:bottom w:val="single" w:sz="4" w:space="0" w:color="auto"/>
              <w:right w:val="single" w:sz="4" w:space="0" w:color="auto"/>
            </w:tcBorders>
            <w:vAlign w:val="center"/>
          </w:tcPr>
          <w:p w14:paraId="1842A8A7" w14:textId="76F36DC9" w:rsidR="00471EE4" w:rsidRPr="004E75B9" w:rsidRDefault="00471EE4" w:rsidP="00471EE4">
            <w:pPr>
              <w:jc w:val="center"/>
              <w:rPr>
                <w:rFonts w:ascii="Arial" w:hAnsi="Arial" w:cs="Arial"/>
                <w:sz w:val="20"/>
                <w:lang w:val="en-GB"/>
              </w:rPr>
            </w:pPr>
          </w:p>
        </w:tc>
        <w:tc>
          <w:tcPr>
            <w:tcW w:w="3402" w:type="dxa"/>
            <w:tcBorders>
              <w:top w:val="nil"/>
              <w:left w:val="nil"/>
              <w:bottom w:val="single" w:sz="4" w:space="0" w:color="auto"/>
              <w:right w:val="single" w:sz="4" w:space="0" w:color="auto"/>
            </w:tcBorders>
            <w:vAlign w:val="center"/>
          </w:tcPr>
          <w:p w14:paraId="504CD0E7" w14:textId="73C7A44A" w:rsidR="00471EE4" w:rsidRPr="004E75B9" w:rsidRDefault="00471EE4" w:rsidP="00471EE4">
            <w:pPr>
              <w:jc w:val="center"/>
              <w:rPr>
                <w:rFonts w:ascii="Arial" w:hAnsi="Arial" w:cs="Arial"/>
                <w:sz w:val="20"/>
                <w:lang w:val="en-GB"/>
              </w:rPr>
            </w:pPr>
          </w:p>
        </w:tc>
      </w:tr>
      <w:tr w:rsidR="004E75B9" w:rsidRPr="004E75B9" w14:paraId="34B02E05"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10</w:t>
            </w:r>
          </w:p>
        </w:tc>
        <w:tc>
          <w:tcPr>
            <w:tcW w:w="1418" w:type="dxa"/>
            <w:tcBorders>
              <w:top w:val="nil"/>
              <w:left w:val="single" w:sz="4" w:space="0" w:color="auto"/>
              <w:bottom w:val="single" w:sz="4" w:space="0" w:color="auto"/>
              <w:right w:val="single" w:sz="4" w:space="0" w:color="auto"/>
            </w:tcBorders>
            <w:vAlign w:val="center"/>
          </w:tcPr>
          <w:p w14:paraId="34B02DF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E04</w:t>
            </w:r>
          </w:p>
        </w:tc>
        <w:tc>
          <w:tcPr>
            <w:tcW w:w="2598" w:type="dxa"/>
            <w:tcBorders>
              <w:top w:val="nil"/>
              <w:left w:val="nil"/>
              <w:bottom w:val="single" w:sz="4" w:space="0" w:color="auto"/>
              <w:right w:val="single" w:sz="4" w:space="0" w:color="auto"/>
            </w:tcBorders>
            <w:vAlign w:val="center"/>
          </w:tcPr>
          <w:p w14:paraId="34B02DFF" w14:textId="2B061FA9" w:rsidR="00471EE4" w:rsidRPr="004E75B9" w:rsidRDefault="00471EE4" w:rsidP="00471EE4">
            <w:pPr>
              <w:rPr>
                <w:rFonts w:ascii="Arial" w:hAnsi="Arial" w:cs="Arial"/>
                <w:sz w:val="20"/>
                <w:lang w:val="en-GB"/>
              </w:rPr>
            </w:pPr>
            <w:r w:rsidRPr="004E75B9">
              <w:rPr>
                <w:rFonts w:ascii="Arial" w:hAnsi="Arial" w:cs="Arial"/>
                <w:sz w:val="20"/>
                <w:lang w:val="en-GB"/>
              </w:rPr>
              <w:t xml:space="preserve">Daily report on securities portfolios </w:t>
            </w:r>
          </w:p>
        </w:tc>
        <w:tc>
          <w:tcPr>
            <w:tcW w:w="2835" w:type="dxa"/>
            <w:tcBorders>
              <w:top w:val="nil"/>
              <w:left w:val="nil"/>
              <w:bottom w:val="single" w:sz="4" w:space="0" w:color="auto"/>
              <w:right w:val="single" w:sz="4" w:space="0" w:color="auto"/>
            </w:tcBorders>
            <w:vAlign w:val="center"/>
          </w:tcPr>
          <w:p w14:paraId="34B02E00" w14:textId="0B93962D" w:rsidR="00471EE4" w:rsidRPr="004E75B9" w:rsidRDefault="00471EE4" w:rsidP="00471EE4">
            <w:pPr>
              <w:rPr>
                <w:rFonts w:ascii="Arial" w:hAnsi="Arial" w:cs="Arial"/>
                <w:sz w:val="20"/>
                <w:lang w:val="en-GB"/>
              </w:rPr>
            </w:pPr>
            <w:r w:rsidRPr="004E75B9">
              <w:rPr>
                <w:rFonts w:ascii="Arial" w:hAnsi="Arial" w:cs="Arial"/>
                <w:sz w:val="20"/>
                <w:lang w:val="en-GB"/>
              </w:rPr>
              <w:t xml:space="preserve">institutions performing central depository activities, and EEA branches of this type </w:t>
            </w:r>
          </w:p>
        </w:tc>
        <w:tc>
          <w:tcPr>
            <w:tcW w:w="1701" w:type="dxa"/>
            <w:tcBorders>
              <w:top w:val="nil"/>
              <w:left w:val="nil"/>
              <w:bottom w:val="single" w:sz="4" w:space="0" w:color="auto"/>
              <w:right w:val="single" w:sz="4" w:space="0" w:color="auto"/>
            </w:tcBorders>
            <w:vAlign w:val="center"/>
          </w:tcPr>
          <w:p w14:paraId="34B02E0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0EDEF4A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03" w14:textId="4F3FAB20"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0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9 a.m. on the working day following the reference day</w:t>
            </w:r>
          </w:p>
        </w:tc>
      </w:tr>
      <w:tr w:rsidR="004E75B9" w:rsidRPr="004E75B9" w14:paraId="34B02E0E" w14:textId="77777777" w:rsidTr="00481406">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4E75B9" w:rsidRDefault="00EE63E1" w:rsidP="00532940">
            <w:pPr>
              <w:jc w:val="center"/>
              <w:rPr>
                <w:rFonts w:ascii="Arial" w:hAnsi="Arial" w:cs="Arial"/>
                <w:sz w:val="20"/>
                <w:lang w:val="en-GB"/>
              </w:rPr>
            </w:pPr>
            <w:r w:rsidRPr="004E75B9">
              <w:rPr>
                <w:rFonts w:ascii="Arial" w:hAnsi="Arial" w:cs="Arial"/>
                <w:sz w:val="20"/>
                <w:lang w:val="en-GB"/>
              </w:rPr>
              <w:t>11</w:t>
            </w:r>
          </w:p>
        </w:tc>
        <w:tc>
          <w:tcPr>
            <w:tcW w:w="1418" w:type="dxa"/>
            <w:tcBorders>
              <w:top w:val="nil"/>
              <w:left w:val="single" w:sz="4" w:space="0" w:color="auto"/>
              <w:bottom w:val="single" w:sz="4" w:space="0" w:color="auto"/>
              <w:right w:val="single" w:sz="4" w:space="0" w:color="auto"/>
            </w:tcBorders>
            <w:vAlign w:val="center"/>
          </w:tcPr>
          <w:p w14:paraId="34B02E0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E06</w:t>
            </w:r>
          </w:p>
        </w:tc>
        <w:tc>
          <w:tcPr>
            <w:tcW w:w="2598" w:type="dxa"/>
            <w:tcBorders>
              <w:top w:val="nil"/>
              <w:left w:val="nil"/>
              <w:bottom w:val="single" w:sz="4" w:space="0" w:color="auto"/>
              <w:right w:val="single" w:sz="4" w:space="0" w:color="auto"/>
            </w:tcBorders>
            <w:vAlign w:val="center"/>
          </w:tcPr>
          <w:p w14:paraId="34B02E08" w14:textId="4D16C700" w:rsidR="00471EE4" w:rsidRPr="004E75B9" w:rsidRDefault="00471EE4" w:rsidP="00471EE4">
            <w:pPr>
              <w:rPr>
                <w:rFonts w:ascii="Arial" w:hAnsi="Arial" w:cs="Arial"/>
                <w:sz w:val="20"/>
                <w:lang w:val="en-GB"/>
              </w:rPr>
            </w:pPr>
            <w:bookmarkStart w:id="2" w:name="_Hlk487723791"/>
            <w:r w:rsidRPr="004E75B9">
              <w:rPr>
                <w:rFonts w:ascii="Arial" w:hAnsi="Arial" w:cs="Arial"/>
                <w:sz w:val="20"/>
                <w:lang w:val="en-GB"/>
              </w:rPr>
              <w:t xml:space="preserve">Data of transactions linked to securities accounts </w:t>
            </w:r>
            <w:bookmarkEnd w:id="2"/>
          </w:p>
        </w:tc>
        <w:tc>
          <w:tcPr>
            <w:tcW w:w="2835" w:type="dxa"/>
            <w:tcBorders>
              <w:top w:val="nil"/>
              <w:left w:val="nil"/>
              <w:bottom w:val="single" w:sz="4" w:space="0" w:color="auto"/>
              <w:right w:val="single" w:sz="4" w:space="0" w:color="auto"/>
            </w:tcBorders>
            <w:vAlign w:val="center"/>
          </w:tcPr>
          <w:p w14:paraId="34B02E09" w14:textId="753F3513"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0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68DBB7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0C" w14:textId="5894B8B3"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0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9 a.m. on the working day following the reference day</w:t>
            </w:r>
          </w:p>
        </w:tc>
      </w:tr>
      <w:tr w:rsidR="004E75B9" w:rsidRPr="004E75B9" w14:paraId="34B02E17" w14:textId="77777777" w:rsidTr="00481406">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4E75B9" w:rsidRDefault="00EE63E1" w:rsidP="00471EE4">
            <w:pPr>
              <w:jc w:val="center"/>
              <w:rPr>
                <w:rFonts w:ascii="Arial" w:hAnsi="Arial" w:cs="Arial"/>
                <w:sz w:val="20"/>
                <w:lang w:val="en-GB"/>
              </w:rPr>
            </w:pPr>
            <w:r w:rsidRPr="004E75B9">
              <w:rPr>
                <w:rFonts w:ascii="Arial" w:hAnsi="Arial" w:cs="Arial"/>
                <w:sz w:val="20"/>
                <w:lang w:val="en-GB"/>
              </w:rPr>
              <w:t>12</w:t>
            </w:r>
          </w:p>
        </w:tc>
        <w:tc>
          <w:tcPr>
            <w:tcW w:w="1418" w:type="dxa"/>
            <w:tcBorders>
              <w:top w:val="nil"/>
              <w:left w:val="single" w:sz="4" w:space="0" w:color="auto"/>
              <w:bottom w:val="single" w:sz="4" w:space="0" w:color="auto"/>
              <w:right w:val="single" w:sz="4" w:space="0" w:color="auto"/>
            </w:tcBorders>
            <w:vAlign w:val="center"/>
          </w:tcPr>
          <w:p w14:paraId="34B02E1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E14</w:t>
            </w:r>
          </w:p>
        </w:tc>
        <w:tc>
          <w:tcPr>
            <w:tcW w:w="2598" w:type="dxa"/>
            <w:tcBorders>
              <w:top w:val="nil"/>
              <w:left w:val="nil"/>
              <w:bottom w:val="single" w:sz="4" w:space="0" w:color="auto"/>
              <w:right w:val="single" w:sz="4" w:space="0" w:color="auto"/>
            </w:tcBorders>
            <w:vAlign w:val="center"/>
          </w:tcPr>
          <w:p w14:paraId="34B02E11" w14:textId="0E0BB5C1" w:rsidR="00471EE4" w:rsidRPr="004E75B9" w:rsidRDefault="00471EE4" w:rsidP="00471EE4">
            <w:pPr>
              <w:rPr>
                <w:rFonts w:ascii="Arial" w:hAnsi="Arial" w:cs="Arial"/>
                <w:sz w:val="20"/>
                <w:lang w:val="en-GB"/>
              </w:rPr>
            </w:pPr>
            <w:r w:rsidRPr="004E75B9">
              <w:rPr>
                <w:rFonts w:ascii="Arial" w:hAnsi="Arial" w:cs="Arial"/>
                <w:sz w:val="20"/>
                <w:lang w:val="en-GB"/>
              </w:rPr>
              <w:t xml:space="preserve">Equity futures on BSE </w:t>
            </w:r>
          </w:p>
        </w:tc>
        <w:tc>
          <w:tcPr>
            <w:tcW w:w="2835" w:type="dxa"/>
            <w:tcBorders>
              <w:top w:val="nil"/>
              <w:left w:val="nil"/>
              <w:bottom w:val="single" w:sz="4" w:space="0" w:color="auto"/>
              <w:right w:val="single" w:sz="4" w:space="0" w:color="auto"/>
            </w:tcBorders>
            <w:vAlign w:val="center"/>
          </w:tcPr>
          <w:p w14:paraId="34B02E12" w14:textId="5D2A187A"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1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007AC31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15" w14:textId="5C7E8F3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1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2 p.m. on the working day following the trading day</w:t>
            </w:r>
          </w:p>
        </w:tc>
      </w:tr>
      <w:tr w:rsidR="004E75B9" w:rsidRPr="004E75B9" w14:paraId="34B02E20" w14:textId="77777777" w:rsidTr="00481406">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4E75B9" w:rsidRDefault="00EE63E1" w:rsidP="00471EE4">
            <w:pPr>
              <w:jc w:val="center"/>
              <w:rPr>
                <w:rFonts w:ascii="Arial" w:hAnsi="Arial" w:cs="Arial"/>
                <w:sz w:val="20"/>
                <w:lang w:val="en-GB"/>
              </w:rPr>
            </w:pPr>
            <w:r w:rsidRPr="004E75B9">
              <w:rPr>
                <w:rFonts w:ascii="Arial" w:hAnsi="Arial" w:cs="Arial"/>
                <w:sz w:val="20"/>
                <w:lang w:val="en-GB"/>
              </w:rPr>
              <w:t>13</w:t>
            </w:r>
          </w:p>
        </w:tc>
        <w:tc>
          <w:tcPr>
            <w:tcW w:w="1418" w:type="dxa"/>
            <w:tcBorders>
              <w:top w:val="nil"/>
              <w:left w:val="single" w:sz="4" w:space="0" w:color="auto"/>
              <w:bottom w:val="single" w:sz="4" w:space="0" w:color="auto"/>
              <w:right w:val="single" w:sz="4" w:space="0" w:color="auto"/>
            </w:tcBorders>
            <w:vAlign w:val="center"/>
          </w:tcPr>
          <w:p w14:paraId="34B02E1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E20</w:t>
            </w:r>
          </w:p>
        </w:tc>
        <w:tc>
          <w:tcPr>
            <w:tcW w:w="2598" w:type="dxa"/>
            <w:tcBorders>
              <w:top w:val="nil"/>
              <w:left w:val="nil"/>
              <w:bottom w:val="single" w:sz="4" w:space="0" w:color="auto"/>
              <w:right w:val="single" w:sz="4" w:space="0" w:color="auto"/>
            </w:tcBorders>
            <w:vAlign w:val="center"/>
          </w:tcPr>
          <w:p w14:paraId="34B02E1A" w14:textId="61C13800" w:rsidR="00471EE4" w:rsidRPr="004E75B9" w:rsidRDefault="00471EE4" w:rsidP="00471EE4">
            <w:pPr>
              <w:rPr>
                <w:rFonts w:ascii="Arial" w:hAnsi="Arial" w:cs="Arial"/>
                <w:sz w:val="20"/>
                <w:lang w:val="en-GB"/>
              </w:rPr>
            </w:pPr>
            <w:r w:rsidRPr="004E75B9">
              <w:rPr>
                <w:rFonts w:ascii="Arial" w:hAnsi="Arial" w:cs="Arial"/>
                <w:sz w:val="20"/>
                <w:lang w:val="en-GB"/>
              </w:rPr>
              <w:t xml:space="preserve">Securities portfolio (issued by residents or non-residents) owned by or deposited with custodians not qualifying as credit institutions, broken down by owners </w:t>
            </w:r>
          </w:p>
        </w:tc>
        <w:tc>
          <w:tcPr>
            <w:tcW w:w="2835" w:type="dxa"/>
            <w:tcBorders>
              <w:top w:val="nil"/>
              <w:left w:val="nil"/>
              <w:bottom w:val="single" w:sz="4" w:space="0" w:color="auto"/>
              <w:right w:val="single" w:sz="4" w:space="0" w:color="auto"/>
            </w:tcBorders>
            <w:vAlign w:val="center"/>
          </w:tcPr>
          <w:p w14:paraId="34B02E1B" w14:textId="2F703F7D" w:rsidR="00471EE4" w:rsidRPr="004E75B9" w:rsidRDefault="00471EE4" w:rsidP="00471EE4">
            <w:pPr>
              <w:rPr>
                <w:rFonts w:ascii="Arial" w:hAnsi="Arial" w:cs="Arial"/>
                <w:sz w:val="20"/>
                <w:lang w:val="en-GB"/>
              </w:rPr>
            </w:pPr>
            <w:r w:rsidRPr="004E75B9">
              <w:rPr>
                <w:rFonts w:ascii="Arial" w:hAnsi="Arial" w:cs="Arial"/>
                <w:sz w:val="20"/>
                <w:lang w:val="en-GB"/>
              </w:rPr>
              <w:t>investment firms and custodians not qualifying as credit institutions, and EEA branches of this type</w:t>
            </w:r>
          </w:p>
        </w:tc>
        <w:tc>
          <w:tcPr>
            <w:tcW w:w="1701" w:type="dxa"/>
            <w:tcBorders>
              <w:top w:val="nil"/>
              <w:left w:val="nil"/>
              <w:bottom w:val="single" w:sz="4" w:space="0" w:color="auto"/>
              <w:right w:val="single" w:sz="4" w:space="0" w:color="auto"/>
            </w:tcBorders>
            <w:vAlign w:val="center"/>
          </w:tcPr>
          <w:p w14:paraId="34B02E1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41723D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1E" w14:textId="7E48B878"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1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8th working day of the month following the reference period</w:t>
            </w:r>
          </w:p>
        </w:tc>
      </w:tr>
      <w:tr w:rsidR="004E75B9" w:rsidRPr="004E75B9" w14:paraId="34B02E29" w14:textId="77777777" w:rsidTr="00481406">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4E75B9" w:rsidRDefault="00EE63E1" w:rsidP="00471EE4">
            <w:pPr>
              <w:jc w:val="center"/>
              <w:rPr>
                <w:rFonts w:ascii="Arial" w:hAnsi="Arial" w:cs="Arial"/>
                <w:sz w:val="20"/>
                <w:lang w:val="en-GB"/>
              </w:rPr>
            </w:pPr>
            <w:r w:rsidRPr="004E75B9">
              <w:rPr>
                <w:rFonts w:ascii="Arial" w:hAnsi="Arial" w:cs="Arial"/>
                <w:sz w:val="20"/>
                <w:lang w:val="en-GB"/>
              </w:rPr>
              <w:t>14</w:t>
            </w:r>
          </w:p>
        </w:tc>
        <w:tc>
          <w:tcPr>
            <w:tcW w:w="1418" w:type="dxa"/>
            <w:tcBorders>
              <w:top w:val="nil"/>
              <w:left w:val="single" w:sz="4" w:space="0" w:color="auto"/>
              <w:bottom w:val="single" w:sz="4" w:space="0" w:color="auto"/>
              <w:right w:val="single" w:sz="4" w:space="0" w:color="auto"/>
            </w:tcBorders>
            <w:vAlign w:val="center"/>
          </w:tcPr>
          <w:p w14:paraId="34B02E2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E21</w:t>
            </w:r>
          </w:p>
        </w:tc>
        <w:tc>
          <w:tcPr>
            <w:tcW w:w="2598" w:type="dxa"/>
            <w:tcBorders>
              <w:top w:val="nil"/>
              <w:left w:val="nil"/>
              <w:bottom w:val="single" w:sz="4" w:space="0" w:color="auto"/>
              <w:right w:val="single" w:sz="4" w:space="0" w:color="auto"/>
            </w:tcBorders>
            <w:vAlign w:val="center"/>
          </w:tcPr>
          <w:p w14:paraId="34B02E23" w14:textId="77777777" w:rsidR="00471EE4" w:rsidRPr="004E75B9" w:rsidRDefault="00471EE4" w:rsidP="00471EE4">
            <w:pPr>
              <w:rPr>
                <w:rFonts w:ascii="Arial" w:hAnsi="Arial" w:cs="Arial"/>
                <w:sz w:val="20"/>
                <w:lang w:val="en-GB"/>
              </w:rPr>
            </w:pPr>
            <w:r w:rsidRPr="004E75B9">
              <w:rPr>
                <w:rFonts w:ascii="Arial" w:hAnsi="Arial" w:cs="Arial"/>
                <w:sz w:val="20"/>
                <w:lang w:val="en-GB"/>
              </w:rPr>
              <w:t>Securities portfolio (issued by residents or non-residents) owned by and deposited with credit institutions broken down by owners</w:t>
            </w:r>
          </w:p>
        </w:tc>
        <w:tc>
          <w:tcPr>
            <w:tcW w:w="2835" w:type="dxa"/>
            <w:tcBorders>
              <w:top w:val="nil"/>
              <w:left w:val="nil"/>
              <w:bottom w:val="single" w:sz="4" w:space="0" w:color="auto"/>
              <w:right w:val="single" w:sz="4" w:space="0" w:color="auto"/>
            </w:tcBorders>
            <w:vAlign w:val="center"/>
          </w:tcPr>
          <w:p w14:paraId="34B02E24" w14:textId="43522C6F"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cooperative credit institutions pursuing custodian activity and EEA branches of this type</w:t>
            </w:r>
          </w:p>
        </w:tc>
        <w:tc>
          <w:tcPr>
            <w:tcW w:w="1701" w:type="dxa"/>
            <w:tcBorders>
              <w:top w:val="nil"/>
              <w:left w:val="nil"/>
              <w:bottom w:val="single" w:sz="4" w:space="0" w:color="auto"/>
              <w:right w:val="single" w:sz="4" w:space="0" w:color="auto"/>
            </w:tcBorders>
            <w:vAlign w:val="center"/>
          </w:tcPr>
          <w:p w14:paraId="34B02E2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A1989C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27" w14:textId="46D9DA17"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2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8th working day of the month following the reference period</w:t>
            </w:r>
          </w:p>
        </w:tc>
      </w:tr>
      <w:tr w:rsidR="004E75B9" w:rsidRPr="004E75B9" w14:paraId="34B02E32" w14:textId="77777777" w:rsidTr="00481406">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4E75B9" w:rsidRDefault="00EE63E1" w:rsidP="00471EE4">
            <w:pPr>
              <w:jc w:val="center"/>
              <w:rPr>
                <w:rFonts w:ascii="Arial" w:hAnsi="Arial" w:cs="Arial"/>
                <w:sz w:val="20"/>
                <w:lang w:val="en-GB"/>
              </w:rPr>
            </w:pPr>
            <w:r w:rsidRPr="004E75B9">
              <w:rPr>
                <w:rFonts w:ascii="Arial" w:hAnsi="Arial" w:cs="Arial"/>
                <w:sz w:val="20"/>
                <w:lang w:val="en-GB"/>
              </w:rPr>
              <w:t>15</w:t>
            </w:r>
          </w:p>
        </w:tc>
        <w:tc>
          <w:tcPr>
            <w:tcW w:w="1418" w:type="dxa"/>
            <w:tcBorders>
              <w:top w:val="nil"/>
              <w:left w:val="single" w:sz="4" w:space="0" w:color="auto"/>
              <w:bottom w:val="single" w:sz="4" w:space="0" w:color="auto"/>
              <w:right w:val="single" w:sz="4" w:space="0" w:color="auto"/>
            </w:tcBorders>
            <w:vAlign w:val="center"/>
          </w:tcPr>
          <w:p w14:paraId="34B02E2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E22</w:t>
            </w:r>
          </w:p>
        </w:tc>
        <w:tc>
          <w:tcPr>
            <w:tcW w:w="2598" w:type="dxa"/>
            <w:tcBorders>
              <w:top w:val="nil"/>
              <w:left w:val="nil"/>
              <w:bottom w:val="single" w:sz="4" w:space="0" w:color="auto"/>
              <w:right w:val="single" w:sz="4" w:space="0" w:color="auto"/>
            </w:tcBorders>
            <w:vAlign w:val="center"/>
          </w:tcPr>
          <w:p w14:paraId="34B02E2C" w14:textId="2C99C131" w:rsidR="00471EE4" w:rsidRPr="004E75B9" w:rsidRDefault="00471EE4" w:rsidP="00471EE4">
            <w:pPr>
              <w:rPr>
                <w:rFonts w:ascii="Arial" w:hAnsi="Arial" w:cs="Arial"/>
                <w:sz w:val="20"/>
                <w:lang w:val="en-GB"/>
              </w:rPr>
            </w:pPr>
            <w:r w:rsidRPr="004E75B9">
              <w:rPr>
                <w:rFonts w:ascii="Arial" w:hAnsi="Arial" w:cs="Arial"/>
                <w:sz w:val="20"/>
                <w:lang w:val="en-GB"/>
              </w:rPr>
              <w:t>Monthly data on the securities portfolio owned by credit institutions</w:t>
            </w:r>
          </w:p>
        </w:tc>
        <w:tc>
          <w:tcPr>
            <w:tcW w:w="2835" w:type="dxa"/>
            <w:tcBorders>
              <w:top w:val="nil"/>
              <w:left w:val="nil"/>
              <w:bottom w:val="single" w:sz="4" w:space="0" w:color="auto"/>
              <w:right w:val="single" w:sz="4" w:space="0" w:color="auto"/>
            </w:tcBorders>
            <w:vAlign w:val="center"/>
          </w:tcPr>
          <w:p w14:paraId="78B27E73" w14:textId="3C181FAE"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E2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BDEF51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30" w14:textId="2E907FFF"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3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15th working day of the month following the reference period</w:t>
            </w:r>
          </w:p>
        </w:tc>
      </w:tr>
      <w:tr w:rsidR="004E75B9" w:rsidRPr="004E75B9" w14:paraId="34B02E3B" w14:textId="77777777" w:rsidTr="00481406">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4E75B9" w:rsidRDefault="00EE63E1" w:rsidP="00471EE4">
            <w:pPr>
              <w:jc w:val="center"/>
              <w:rPr>
                <w:rFonts w:ascii="Arial" w:hAnsi="Arial" w:cs="Arial"/>
                <w:sz w:val="20"/>
                <w:lang w:val="en-GB"/>
              </w:rPr>
            </w:pPr>
            <w:r w:rsidRPr="004E75B9">
              <w:rPr>
                <w:rFonts w:ascii="Arial" w:hAnsi="Arial" w:cs="Arial"/>
                <w:sz w:val="20"/>
                <w:lang w:val="en-GB"/>
              </w:rPr>
              <w:t>16</w:t>
            </w:r>
          </w:p>
        </w:tc>
        <w:tc>
          <w:tcPr>
            <w:tcW w:w="1418" w:type="dxa"/>
            <w:tcBorders>
              <w:top w:val="nil"/>
              <w:left w:val="single" w:sz="4" w:space="0" w:color="auto"/>
              <w:bottom w:val="single" w:sz="4" w:space="0" w:color="auto"/>
              <w:right w:val="single" w:sz="4" w:space="0" w:color="auto"/>
            </w:tcBorders>
            <w:vAlign w:val="center"/>
          </w:tcPr>
          <w:p w14:paraId="34B02E3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E23</w:t>
            </w:r>
          </w:p>
        </w:tc>
        <w:tc>
          <w:tcPr>
            <w:tcW w:w="2598" w:type="dxa"/>
            <w:tcBorders>
              <w:top w:val="nil"/>
              <w:left w:val="nil"/>
              <w:bottom w:val="single" w:sz="4" w:space="0" w:color="auto"/>
              <w:right w:val="single" w:sz="4" w:space="0" w:color="auto"/>
            </w:tcBorders>
            <w:vAlign w:val="center"/>
          </w:tcPr>
          <w:p w14:paraId="34B02E35" w14:textId="07E51346" w:rsidR="00471EE4" w:rsidRPr="004E75B9" w:rsidRDefault="00471EE4" w:rsidP="00471EE4">
            <w:pPr>
              <w:rPr>
                <w:rFonts w:ascii="Arial" w:hAnsi="Arial" w:cs="Arial"/>
                <w:sz w:val="20"/>
                <w:lang w:val="en-GB"/>
              </w:rPr>
            </w:pPr>
            <w:r w:rsidRPr="004E75B9">
              <w:rPr>
                <w:rFonts w:ascii="Arial" w:hAnsi="Arial" w:cs="Arial"/>
                <w:sz w:val="20"/>
                <w:lang w:val="en-GB"/>
              </w:rPr>
              <w:t>Consolidated securities portfolio on combined securities accounts and collateral securities deposit accounts kept by the central securities depository.</w:t>
            </w:r>
          </w:p>
        </w:tc>
        <w:tc>
          <w:tcPr>
            <w:tcW w:w="2835" w:type="dxa"/>
            <w:tcBorders>
              <w:top w:val="nil"/>
              <w:left w:val="nil"/>
              <w:bottom w:val="single" w:sz="4" w:space="0" w:color="auto"/>
              <w:right w:val="single" w:sz="4" w:space="0" w:color="auto"/>
            </w:tcBorders>
            <w:vAlign w:val="center"/>
          </w:tcPr>
          <w:p w14:paraId="34B02E36" w14:textId="066F7D00"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3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013E85D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39" w14:textId="788B12BB"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3A" w14:textId="7E1B302E" w:rsidR="00471EE4" w:rsidRPr="004E75B9" w:rsidRDefault="00471EE4" w:rsidP="00471EE4">
            <w:pPr>
              <w:jc w:val="center"/>
              <w:rPr>
                <w:rFonts w:ascii="Arial" w:hAnsi="Arial" w:cs="Arial"/>
                <w:sz w:val="20"/>
                <w:lang w:val="en-GB"/>
              </w:rPr>
            </w:pPr>
            <w:r w:rsidRPr="004E75B9">
              <w:rPr>
                <w:rFonts w:ascii="Arial" w:hAnsi="Arial" w:cs="Arial"/>
                <w:sz w:val="20"/>
                <w:lang w:val="en-GB"/>
              </w:rPr>
              <w:t>3rd working day of the month following the reference period</w:t>
            </w:r>
          </w:p>
        </w:tc>
      </w:tr>
      <w:tr w:rsidR="004E75B9" w:rsidRPr="004E75B9" w14:paraId="34B02E44" w14:textId="77777777" w:rsidTr="00481406">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17</w:t>
            </w:r>
          </w:p>
        </w:tc>
        <w:tc>
          <w:tcPr>
            <w:tcW w:w="1418" w:type="dxa"/>
            <w:tcBorders>
              <w:top w:val="nil"/>
              <w:left w:val="single" w:sz="4" w:space="0" w:color="auto"/>
              <w:bottom w:val="single" w:sz="4" w:space="0" w:color="auto"/>
              <w:right w:val="single" w:sz="4" w:space="0" w:color="auto"/>
            </w:tcBorders>
            <w:vAlign w:val="center"/>
          </w:tcPr>
          <w:p w14:paraId="34B02E3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E24</w:t>
            </w:r>
          </w:p>
        </w:tc>
        <w:tc>
          <w:tcPr>
            <w:tcW w:w="2598" w:type="dxa"/>
            <w:tcBorders>
              <w:top w:val="nil"/>
              <w:left w:val="nil"/>
              <w:bottom w:val="single" w:sz="4" w:space="0" w:color="auto"/>
              <w:right w:val="single" w:sz="4" w:space="0" w:color="auto"/>
            </w:tcBorders>
            <w:vAlign w:val="center"/>
          </w:tcPr>
          <w:p w14:paraId="34B02E3E" w14:textId="741443FA" w:rsidR="00471EE4" w:rsidRPr="004E75B9" w:rsidRDefault="00471EE4" w:rsidP="00471EE4">
            <w:pPr>
              <w:rPr>
                <w:rFonts w:ascii="Arial" w:hAnsi="Arial" w:cs="Arial"/>
                <w:sz w:val="20"/>
                <w:lang w:val="en-GB"/>
              </w:rPr>
            </w:pPr>
            <w:r w:rsidRPr="004E75B9">
              <w:rPr>
                <w:rFonts w:ascii="Arial" w:hAnsi="Arial" w:cs="Arial"/>
                <w:sz w:val="20"/>
                <w:lang w:val="en-GB"/>
              </w:rPr>
              <w:t>Daily data on the securities portfolio owned by the credit institutions</w:t>
            </w:r>
          </w:p>
        </w:tc>
        <w:tc>
          <w:tcPr>
            <w:tcW w:w="2835" w:type="dxa"/>
            <w:tcBorders>
              <w:top w:val="nil"/>
              <w:left w:val="nil"/>
              <w:bottom w:val="single" w:sz="4" w:space="0" w:color="auto"/>
              <w:right w:val="single" w:sz="4" w:space="0" w:color="auto"/>
            </w:tcBorders>
            <w:vAlign w:val="center"/>
          </w:tcPr>
          <w:p w14:paraId="34B02E3F" w14:textId="2CEC6070" w:rsidR="00471EE4" w:rsidRPr="004E75B9" w:rsidRDefault="00471EE4" w:rsidP="00471EE4">
            <w:pPr>
              <w:rPr>
                <w:rFonts w:ascii="Arial" w:hAnsi="Arial" w:cs="Arial"/>
                <w:sz w:val="20"/>
                <w:lang w:val="en-GB"/>
              </w:rPr>
            </w:pPr>
            <w:r w:rsidRPr="004E75B9">
              <w:rPr>
                <w:rFonts w:ascii="Arial" w:hAnsi="Arial" w:cs="Arial"/>
                <w:sz w:val="20"/>
                <w:lang w:val="en-GB"/>
              </w:rPr>
              <w:t>non-group leader banks belonging to a group of credit institutions, with registered office in Hungary, EEA branches of this type, and designated specialised credit institutions</w:t>
            </w:r>
          </w:p>
        </w:tc>
        <w:tc>
          <w:tcPr>
            <w:tcW w:w="1701" w:type="dxa"/>
            <w:tcBorders>
              <w:top w:val="nil"/>
              <w:left w:val="nil"/>
              <w:bottom w:val="single" w:sz="4" w:space="0" w:color="auto"/>
              <w:right w:val="single" w:sz="4" w:space="0" w:color="auto"/>
            </w:tcBorders>
            <w:vAlign w:val="center"/>
          </w:tcPr>
          <w:p w14:paraId="34B02E4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68F66BA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42" w14:textId="0A5A7983"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43" w14:textId="12519D49" w:rsidR="00471EE4" w:rsidRPr="004E75B9" w:rsidRDefault="00CB6C1B" w:rsidP="00471EE4">
            <w:pPr>
              <w:jc w:val="center"/>
              <w:rPr>
                <w:rFonts w:ascii="Arial" w:hAnsi="Arial" w:cs="Arial"/>
                <w:sz w:val="20"/>
                <w:lang w:val="en-GB"/>
              </w:rPr>
            </w:pPr>
            <w:r w:rsidRPr="004E75B9">
              <w:rPr>
                <w:rFonts w:ascii="Arial" w:hAnsi="Arial" w:cs="Arial"/>
                <w:sz w:val="20"/>
                <w:lang w:val="en-GB"/>
              </w:rPr>
              <w:t>1 p.m. on the first working day following the reference period</w:t>
            </w:r>
          </w:p>
        </w:tc>
      </w:tr>
      <w:tr w:rsidR="004E75B9" w:rsidRPr="004E75B9" w14:paraId="34B02E4D" w14:textId="77777777" w:rsidTr="00481406">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4E75B9" w:rsidRDefault="00EE63E1" w:rsidP="00471EE4">
            <w:pPr>
              <w:jc w:val="center"/>
              <w:rPr>
                <w:rFonts w:ascii="Arial" w:hAnsi="Arial" w:cs="Arial"/>
                <w:sz w:val="20"/>
                <w:lang w:val="en-GB"/>
              </w:rPr>
            </w:pPr>
            <w:r w:rsidRPr="004E75B9">
              <w:rPr>
                <w:rFonts w:ascii="Arial" w:hAnsi="Arial" w:cs="Arial"/>
                <w:sz w:val="20"/>
                <w:lang w:val="en-GB"/>
              </w:rPr>
              <w:t>18</w:t>
            </w:r>
          </w:p>
        </w:tc>
        <w:tc>
          <w:tcPr>
            <w:tcW w:w="1418" w:type="dxa"/>
            <w:tcBorders>
              <w:top w:val="nil"/>
              <w:left w:val="single" w:sz="4" w:space="0" w:color="auto"/>
              <w:bottom w:val="single" w:sz="4" w:space="0" w:color="auto"/>
              <w:right w:val="single" w:sz="4" w:space="0" w:color="auto"/>
            </w:tcBorders>
            <w:vAlign w:val="center"/>
          </w:tcPr>
          <w:p w14:paraId="34B02E4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E27</w:t>
            </w:r>
          </w:p>
        </w:tc>
        <w:tc>
          <w:tcPr>
            <w:tcW w:w="2598" w:type="dxa"/>
            <w:tcBorders>
              <w:top w:val="nil"/>
              <w:left w:val="nil"/>
              <w:bottom w:val="single" w:sz="4" w:space="0" w:color="auto"/>
              <w:right w:val="single" w:sz="4" w:space="0" w:color="auto"/>
            </w:tcBorders>
            <w:vAlign w:val="center"/>
          </w:tcPr>
          <w:p w14:paraId="34B02E47" w14:textId="39419190" w:rsidR="00471EE4" w:rsidRPr="004E75B9" w:rsidRDefault="00471EE4" w:rsidP="00471EE4">
            <w:pPr>
              <w:rPr>
                <w:rFonts w:ascii="Arial" w:hAnsi="Arial" w:cs="Arial"/>
                <w:sz w:val="20"/>
                <w:lang w:val="en-GB"/>
              </w:rPr>
            </w:pPr>
            <w:r w:rsidRPr="004E75B9">
              <w:rPr>
                <w:rFonts w:ascii="Arial" w:hAnsi="Arial" w:cs="Arial"/>
                <w:sz w:val="20"/>
                <w:lang w:val="en-GB"/>
              </w:rPr>
              <w:t xml:space="preserve">ISIN codes issued by the central securities depository and other basic data of securities </w:t>
            </w:r>
          </w:p>
        </w:tc>
        <w:tc>
          <w:tcPr>
            <w:tcW w:w="2835" w:type="dxa"/>
            <w:tcBorders>
              <w:top w:val="nil"/>
              <w:left w:val="nil"/>
              <w:bottom w:val="single" w:sz="4" w:space="0" w:color="auto"/>
              <w:right w:val="single" w:sz="4" w:space="0" w:color="auto"/>
            </w:tcBorders>
            <w:vAlign w:val="center"/>
          </w:tcPr>
          <w:p w14:paraId="34B02E48" w14:textId="1E3FB20B"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49" w14:textId="4ABC03A0"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499527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4B" w14:textId="4BF4478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4C" w14:textId="672327D5" w:rsidR="00920E18" w:rsidRPr="004E75B9" w:rsidRDefault="00471EE4" w:rsidP="00471EE4">
            <w:pPr>
              <w:jc w:val="center"/>
              <w:rPr>
                <w:rFonts w:ascii="Arial" w:hAnsi="Arial" w:cs="Arial"/>
                <w:sz w:val="20"/>
                <w:lang w:val="en-GB"/>
              </w:rPr>
            </w:pPr>
            <w:r w:rsidRPr="004E75B9">
              <w:rPr>
                <w:rFonts w:ascii="Arial" w:hAnsi="Arial" w:cs="Arial"/>
                <w:sz w:val="20"/>
                <w:lang w:val="en-GB"/>
              </w:rPr>
              <w:t>9 a.m. on the working day following the reference day</w:t>
            </w:r>
          </w:p>
        </w:tc>
      </w:tr>
      <w:tr w:rsidR="004E75B9" w:rsidRPr="004E75B9" w14:paraId="34B02E56" w14:textId="77777777" w:rsidTr="00481406">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4E75B9" w:rsidRDefault="00EE63E1" w:rsidP="00471EE4">
            <w:pPr>
              <w:jc w:val="center"/>
              <w:rPr>
                <w:rFonts w:ascii="Arial" w:hAnsi="Arial" w:cs="Arial"/>
                <w:sz w:val="20"/>
                <w:lang w:val="en-GB"/>
              </w:rPr>
            </w:pPr>
            <w:r w:rsidRPr="004E75B9">
              <w:rPr>
                <w:rFonts w:ascii="Arial" w:hAnsi="Arial" w:cs="Arial"/>
                <w:sz w:val="20"/>
                <w:lang w:val="en-GB"/>
              </w:rPr>
              <w:t>19</w:t>
            </w:r>
          </w:p>
        </w:tc>
        <w:tc>
          <w:tcPr>
            <w:tcW w:w="1418" w:type="dxa"/>
            <w:tcBorders>
              <w:top w:val="nil"/>
              <w:left w:val="single" w:sz="4" w:space="0" w:color="auto"/>
              <w:bottom w:val="single" w:sz="4" w:space="0" w:color="auto"/>
              <w:right w:val="single" w:sz="4" w:space="0" w:color="auto"/>
            </w:tcBorders>
            <w:vAlign w:val="center"/>
          </w:tcPr>
          <w:p w14:paraId="34B02E4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E43</w:t>
            </w:r>
          </w:p>
        </w:tc>
        <w:tc>
          <w:tcPr>
            <w:tcW w:w="2598" w:type="dxa"/>
            <w:tcBorders>
              <w:top w:val="nil"/>
              <w:left w:val="nil"/>
              <w:bottom w:val="single" w:sz="4" w:space="0" w:color="auto"/>
              <w:right w:val="single" w:sz="4" w:space="0" w:color="auto"/>
            </w:tcBorders>
            <w:vAlign w:val="center"/>
          </w:tcPr>
          <w:p w14:paraId="34B02E50" w14:textId="0C9E19A7" w:rsidR="00471EE4" w:rsidRPr="004E75B9" w:rsidRDefault="00471EE4" w:rsidP="00471EE4">
            <w:pPr>
              <w:rPr>
                <w:rFonts w:ascii="Arial" w:hAnsi="Arial" w:cs="Arial"/>
                <w:sz w:val="20"/>
                <w:lang w:val="en-GB"/>
              </w:rPr>
            </w:pPr>
            <w:r w:rsidRPr="004E75B9">
              <w:rPr>
                <w:rFonts w:ascii="Arial" w:hAnsi="Arial" w:cs="Arial"/>
                <w:sz w:val="20"/>
                <w:lang w:val="en-GB"/>
              </w:rPr>
              <w:t xml:space="preserve">Equity options on BSE </w:t>
            </w:r>
          </w:p>
        </w:tc>
        <w:tc>
          <w:tcPr>
            <w:tcW w:w="2835" w:type="dxa"/>
            <w:tcBorders>
              <w:top w:val="nil"/>
              <w:left w:val="nil"/>
              <w:bottom w:val="single" w:sz="4" w:space="0" w:color="auto"/>
              <w:right w:val="single" w:sz="4" w:space="0" w:color="auto"/>
            </w:tcBorders>
            <w:vAlign w:val="center"/>
          </w:tcPr>
          <w:p w14:paraId="34B02E51" w14:textId="5C270B83"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5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A9A298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54" w14:textId="7568843E"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5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2 p.m. on the working day following the trading day</w:t>
            </w:r>
          </w:p>
        </w:tc>
      </w:tr>
      <w:tr w:rsidR="004E75B9" w:rsidRPr="004E75B9" w14:paraId="34B02E5F" w14:textId="77777777" w:rsidTr="00481406">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4E75B9" w:rsidRDefault="00EE63E1" w:rsidP="00471EE4">
            <w:pPr>
              <w:jc w:val="center"/>
              <w:rPr>
                <w:rFonts w:ascii="Arial" w:hAnsi="Arial" w:cs="Arial"/>
                <w:sz w:val="20"/>
                <w:lang w:val="en-GB"/>
              </w:rPr>
            </w:pPr>
            <w:r w:rsidRPr="004E75B9">
              <w:rPr>
                <w:rFonts w:ascii="Arial" w:hAnsi="Arial" w:cs="Arial"/>
                <w:sz w:val="20"/>
                <w:lang w:val="en-GB"/>
              </w:rPr>
              <w:t>20</w:t>
            </w:r>
          </w:p>
        </w:tc>
        <w:tc>
          <w:tcPr>
            <w:tcW w:w="1418" w:type="dxa"/>
            <w:tcBorders>
              <w:top w:val="nil"/>
              <w:left w:val="single" w:sz="4" w:space="0" w:color="auto"/>
              <w:bottom w:val="single" w:sz="4" w:space="0" w:color="auto"/>
              <w:right w:val="single" w:sz="4" w:space="0" w:color="auto"/>
            </w:tcBorders>
            <w:vAlign w:val="center"/>
          </w:tcPr>
          <w:p w14:paraId="34B02E5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E45</w:t>
            </w:r>
          </w:p>
        </w:tc>
        <w:tc>
          <w:tcPr>
            <w:tcW w:w="2598" w:type="dxa"/>
            <w:tcBorders>
              <w:top w:val="nil"/>
              <w:left w:val="nil"/>
              <w:bottom w:val="single" w:sz="4" w:space="0" w:color="auto"/>
              <w:right w:val="single" w:sz="4" w:space="0" w:color="auto"/>
            </w:tcBorders>
            <w:vAlign w:val="center"/>
          </w:tcPr>
          <w:p w14:paraId="34B02E59" w14:textId="77777777" w:rsidR="00471EE4" w:rsidRPr="004E75B9" w:rsidRDefault="00471EE4" w:rsidP="00471EE4">
            <w:pPr>
              <w:rPr>
                <w:rFonts w:ascii="Arial" w:hAnsi="Arial" w:cs="Arial"/>
                <w:sz w:val="20"/>
                <w:lang w:val="en-GB"/>
              </w:rPr>
            </w:pPr>
            <w:r w:rsidRPr="004E75B9">
              <w:rPr>
                <w:rFonts w:ascii="Arial" w:hAnsi="Arial" w:cs="Arial"/>
                <w:sz w:val="20"/>
                <w:lang w:val="en-GB"/>
              </w:rPr>
              <w:t>Securities owned by or deposited with the Hungarian State Treasury, broken down by owners</w:t>
            </w:r>
          </w:p>
        </w:tc>
        <w:tc>
          <w:tcPr>
            <w:tcW w:w="2835" w:type="dxa"/>
            <w:tcBorders>
              <w:top w:val="nil"/>
              <w:left w:val="nil"/>
              <w:bottom w:val="single" w:sz="4" w:space="0" w:color="auto"/>
              <w:right w:val="single" w:sz="4" w:space="0" w:color="auto"/>
            </w:tcBorders>
            <w:vAlign w:val="center"/>
          </w:tcPr>
          <w:p w14:paraId="34B02E5A" w14:textId="60F190FB" w:rsidR="00471EE4" w:rsidRPr="004E75B9" w:rsidRDefault="00471EE4" w:rsidP="00471EE4">
            <w:pPr>
              <w:rPr>
                <w:rFonts w:ascii="Arial" w:hAnsi="Arial" w:cs="Arial"/>
                <w:sz w:val="20"/>
                <w:lang w:val="en-GB"/>
              </w:rPr>
            </w:pPr>
            <w:r w:rsidRPr="004E75B9">
              <w:rPr>
                <w:rFonts w:ascii="Arial" w:hAnsi="Arial" w:cs="Arial"/>
                <w:sz w:val="20"/>
                <w:lang w:val="en-GB"/>
              </w:rPr>
              <w:t>Hungarian State Treasury (hereinafter: HST)</w:t>
            </w:r>
          </w:p>
        </w:tc>
        <w:tc>
          <w:tcPr>
            <w:tcW w:w="1701" w:type="dxa"/>
            <w:tcBorders>
              <w:top w:val="nil"/>
              <w:left w:val="nil"/>
              <w:bottom w:val="single" w:sz="4" w:space="0" w:color="auto"/>
              <w:right w:val="single" w:sz="4" w:space="0" w:color="auto"/>
            </w:tcBorders>
            <w:vAlign w:val="center"/>
          </w:tcPr>
          <w:p w14:paraId="34B02E5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871260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5D" w14:textId="45A630F0"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5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8th working day of the month following the reference period</w:t>
            </w:r>
          </w:p>
        </w:tc>
      </w:tr>
      <w:tr w:rsidR="004E75B9" w:rsidRPr="004E75B9" w14:paraId="34B02E68" w14:textId="77777777" w:rsidTr="00481406">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471EE4" w:rsidRPr="004E75B9" w:rsidRDefault="00EE63E1" w:rsidP="00471EE4">
            <w:pPr>
              <w:jc w:val="center"/>
              <w:rPr>
                <w:rFonts w:ascii="Arial" w:hAnsi="Arial" w:cs="Arial"/>
                <w:sz w:val="20"/>
                <w:lang w:val="en-GB"/>
              </w:rPr>
            </w:pPr>
            <w:r w:rsidRPr="004E75B9">
              <w:rPr>
                <w:rFonts w:ascii="Arial" w:hAnsi="Arial" w:cs="Arial"/>
                <w:sz w:val="20"/>
                <w:lang w:val="en-GB"/>
              </w:rPr>
              <w:t>21</w:t>
            </w:r>
          </w:p>
        </w:tc>
        <w:tc>
          <w:tcPr>
            <w:tcW w:w="1418" w:type="dxa"/>
            <w:tcBorders>
              <w:top w:val="nil"/>
              <w:left w:val="single" w:sz="4" w:space="0" w:color="auto"/>
              <w:bottom w:val="single" w:sz="4" w:space="0" w:color="auto"/>
              <w:right w:val="single" w:sz="4" w:space="0" w:color="auto"/>
            </w:tcBorders>
            <w:vAlign w:val="center"/>
          </w:tcPr>
          <w:p w14:paraId="34B02E6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E48</w:t>
            </w:r>
          </w:p>
        </w:tc>
        <w:tc>
          <w:tcPr>
            <w:tcW w:w="2598" w:type="dxa"/>
            <w:tcBorders>
              <w:top w:val="nil"/>
              <w:left w:val="nil"/>
              <w:bottom w:val="single" w:sz="4" w:space="0" w:color="auto"/>
              <w:right w:val="single" w:sz="4" w:space="0" w:color="auto"/>
            </w:tcBorders>
            <w:vAlign w:val="center"/>
          </w:tcPr>
          <w:p w14:paraId="34B02E62" w14:textId="0D98BE93" w:rsidR="00471EE4" w:rsidRPr="004E75B9" w:rsidRDefault="00471EE4" w:rsidP="00471EE4">
            <w:pPr>
              <w:rPr>
                <w:rFonts w:ascii="Arial" w:hAnsi="Arial" w:cs="Arial"/>
                <w:b/>
                <w:bCs/>
                <w:sz w:val="20"/>
                <w:lang w:val="en-GB"/>
              </w:rPr>
            </w:pPr>
            <w:r w:rsidRPr="004E75B9">
              <w:rPr>
                <w:rFonts w:ascii="Arial" w:hAnsi="Arial" w:cs="Arial"/>
                <w:sz w:val="20"/>
                <w:lang w:val="en-GB"/>
              </w:rPr>
              <w:t xml:space="preserve">Capitalisation and turnover of equities traded on BSE, listing and delisting of equities </w:t>
            </w:r>
          </w:p>
        </w:tc>
        <w:tc>
          <w:tcPr>
            <w:tcW w:w="2835" w:type="dxa"/>
            <w:tcBorders>
              <w:top w:val="nil"/>
              <w:left w:val="nil"/>
              <w:bottom w:val="single" w:sz="4" w:space="0" w:color="auto"/>
              <w:right w:val="single" w:sz="4" w:space="0" w:color="auto"/>
            </w:tcBorders>
            <w:vAlign w:val="center"/>
          </w:tcPr>
          <w:p w14:paraId="34B02E63" w14:textId="516D4B7B" w:rsidR="00471EE4" w:rsidRPr="004E75B9" w:rsidRDefault="00471EE4" w:rsidP="00471EE4">
            <w:pPr>
              <w:rPr>
                <w:rFonts w:ascii="Arial" w:hAnsi="Arial" w:cs="Arial"/>
                <w:sz w:val="20"/>
                <w:lang w:val="en-GB"/>
              </w:rPr>
            </w:pPr>
            <w:r w:rsidRPr="004E75B9">
              <w:rPr>
                <w:rFonts w:ascii="Arial" w:hAnsi="Arial" w:cs="Arial"/>
                <w:sz w:val="20"/>
                <w:lang w:val="en-GB"/>
              </w:rPr>
              <w:t xml:space="preserve">stock exchanges trading in financial instruments, EEA branches of this type </w:t>
            </w:r>
          </w:p>
        </w:tc>
        <w:tc>
          <w:tcPr>
            <w:tcW w:w="1701" w:type="dxa"/>
            <w:tcBorders>
              <w:top w:val="nil"/>
              <w:left w:val="nil"/>
              <w:bottom w:val="single" w:sz="4" w:space="0" w:color="auto"/>
              <w:right w:val="single" w:sz="4" w:space="0" w:color="auto"/>
            </w:tcBorders>
            <w:vAlign w:val="center"/>
          </w:tcPr>
          <w:p w14:paraId="34B02E6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8A1F1A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66" w14:textId="13B04F1E"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6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of the month following the reference period</w:t>
            </w:r>
          </w:p>
        </w:tc>
      </w:tr>
      <w:tr w:rsidR="004E75B9" w:rsidRPr="004E75B9" w14:paraId="34B02E71" w14:textId="77777777" w:rsidTr="00481406">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471EE4" w:rsidRPr="004E75B9" w:rsidRDefault="00EE63E1" w:rsidP="00471EE4">
            <w:pPr>
              <w:jc w:val="center"/>
              <w:rPr>
                <w:rFonts w:ascii="Arial" w:hAnsi="Arial" w:cs="Arial"/>
                <w:sz w:val="20"/>
                <w:lang w:val="en-GB"/>
              </w:rPr>
            </w:pPr>
            <w:r w:rsidRPr="004E75B9">
              <w:rPr>
                <w:rFonts w:ascii="Arial" w:hAnsi="Arial" w:cs="Arial"/>
                <w:sz w:val="20"/>
                <w:lang w:val="en-GB"/>
              </w:rPr>
              <w:t>22</w:t>
            </w:r>
          </w:p>
        </w:tc>
        <w:tc>
          <w:tcPr>
            <w:tcW w:w="1418" w:type="dxa"/>
            <w:tcBorders>
              <w:top w:val="nil"/>
              <w:left w:val="single" w:sz="4" w:space="0" w:color="auto"/>
              <w:bottom w:val="single" w:sz="4" w:space="0" w:color="auto"/>
              <w:right w:val="single" w:sz="4" w:space="0" w:color="auto"/>
            </w:tcBorders>
            <w:vAlign w:val="center"/>
          </w:tcPr>
          <w:p w14:paraId="34B02E6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E50</w:t>
            </w:r>
          </w:p>
        </w:tc>
        <w:tc>
          <w:tcPr>
            <w:tcW w:w="2598" w:type="dxa"/>
            <w:tcBorders>
              <w:top w:val="nil"/>
              <w:left w:val="nil"/>
              <w:bottom w:val="single" w:sz="4" w:space="0" w:color="auto"/>
              <w:right w:val="single" w:sz="4" w:space="0" w:color="auto"/>
            </w:tcBorders>
            <w:vAlign w:val="center"/>
          </w:tcPr>
          <w:p w14:paraId="34B02E6B" w14:textId="2161D77D" w:rsidR="00471EE4" w:rsidRPr="004E75B9" w:rsidRDefault="00471EE4" w:rsidP="00471EE4">
            <w:pPr>
              <w:rPr>
                <w:rFonts w:ascii="Arial" w:hAnsi="Arial" w:cs="Arial"/>
                <w:bCs/>
                <w:sz w:val="20"/>
                <w:lang w:val="en-GB"/>
              </w:rPr>
            </w:pPr>
            <w:r w:rsidRPr="004E75B9">
              <w:rPr>
                <w:rFonts w:ascii="Arial" w:hAnsi="Arial" w:cs="Arial"/>
                <w:sz w:val="20"/>
                <w:lang w:val="en-GB"/>
              </w:rPr>
              <w:t>Accumulated interest and accrued interest on government securities, on government debt and on general government receivables</w:t>
            </w:r>
          </w:p>
        </w:tc>
        <w:tc>
          <w:tcPr>
            <w:tcW w:w="2835" w:type="dxa"/>
            <w:tcBorders>
              <w:top w:val="nil"/>
              <w:left w:val="nil"/>
              <w:bottom w:val="single" w:sz="4" w:space="0" w:color="auto"/>
              <w:right w:val="single" w:sz="4" w:space="0" w:color="auto"/>
            </w:tcBorders>
            <w:vAlign w:val="center"/>
          </w:tcPr>
          <w:p w14:paraId="34B02E6C" w14:textId="419492CD" w:rsidR="00471EE4" w:rsidRPr="004E75B9" w:rsidRDefault="00471EE4" w:rsidP="00471EE4">
            <w:pPr>
              <w:rPr>
                <w:rFonts w:ascii="Arial" w:hAnsi="Arial" w:cs="Arial"/>
                <w:sz w:val="20"/>
                <w:lang w:val="en-GB"/>
              </w:rPr>
            </w:pPr>
            <w:r w:rsidRPr="004E75B9">
              <w:rPr>
                <w:rFonts w:ascii="Arial" w:hAnsi="Arial" w:cs="Arial"/>
                <w:sz w:val="20"/>
                <w:lang w:val="en-GB"/>
              </w:rPr>
              <w:t>Government Debt Management Agency Ltd. (hereinafter: Government Debt Management Agency)</w:t>
            </w:r>
          </w:p>
        </w:tc>
        <w:tc>
          <w:tcPr>
            <w:tcW w:w="1701" w:type="dxa"/>
            <w:tcBorders>
              <w:top w:val="nil"/>
              <w:left w:val="nil"/>
              <w:bottom w:val="single" w:sz="4" w:space="0" w:color="auto"/>
              <w:right w:val="single" w:sz="4" w:space="0" w:color="auto"/>
            </w:tcBorders>
            <w:vAlign w:val="center"/>
          </w:tcPr>
          <w:p w14:paraId="34B02E6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 and quarterly</w:t>
            </w:r>
          </w:p>
        </w:tc>
        <w:tc>
          <w:tcPr>
            <w:tcW w:w="1796" w:type="dxa"/>
            <w:tcBorders>
              <w:top w:val="nil"/>
              <w:left w:val="nil"/>
              <w:bottom w:val="single" w:sz="4" w:space="0" w:color="auto"/>
              <w:right w:val="single" w:sz="4" w:space="0" w:color="auto"/>
            </w:tcBorders>
            <w:vAlign w:val="center"/>
          </w:tcPr>
          <w:p w14:paraId="373AAE0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6F" w14:textId="6DD7E2E6"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7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20th day of the month following the reference period</w:t>
            </w:r>
          </w:p>
        </w:tc>
      </w:tr>
      <w:tr w:rsidR="004E75B9" w:rsidRPr="004E75B9" w14:paraId="34B02E7A" w14:textId="77777777" w:rsidTr="00481406">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471EE4" w:rsidRPr="004E75B9" w:rsidRDefault="00EE63E1" w:rsidP="00471EE4">
            <w:pPr>
              <w:jc w:val="center"/>
              <w:rPr>
                <w:rFonts w:ascii="Arial" w:hAnsi="Arial" w:cs="Arial"/>
                <w:sz w:val="20"/>
                <w:lang w:val="en-GB"/>
              </w:rPr>
            </w:pPr>
            <w:r w:rsidRPr="004E75B9">
              <w:rPr>
                <w:rFonts w:ascii="Arial" w:hAnsi="Arial" w:cs="Arial"/>
                <w:sz w:val="20"/>
                <w:lang w:val="en-GB"/>
              </w:rPr>
              <w:t>23</w:t>
            </w:r>
          </w:p>
        </w:tc>
        <w:tc>
          <w:tcPr>
            <w:tcW w:w="1418" w:type="dxa"/>
            <w:tcBorders>
              <w:top w:val="nil"/>
              <w:left w:val="single" w:sz="4" w:space="0" w:color="auto"/>
              <w:bottom w:val="single" w:sz="4" w:space="0" w:color="auto"/>
              <w:right w:val="single" w:sz="4" w:space="0" w:color="auto"/>
            </w:tcBorders>
            <w:vAlign w:val="center"/>
          </w:tcPr>
          <w:p w14:paraId="34B02E7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E53</w:t>
            </w:r>
          </w:p>
        </w:tc>
        <w:tc>
          <w:tcPr>
            <w:tcW w:w="2598" w:type="dxa"/>
            <w:tcBorders>
              <w:top w:val="nil"/>
              <w:left w:val="nil"/>
              <w:bottom w:val="single" w:sz="4" w:space="0" w:color="auto"/>
              <w:right w:val="single" w:sz="4" w:space="0" w:color="auto"/>
            </w:tcBorders>
            <w:vAlign w:val="center"/>
          </w:tcPr>
          <w:p w14:paraId="34B02E74" w14:textId="0F59A019" w:rsidR="00471EE4" w:rsidRPr="004E75B9" w:rsidRDefault="00471EE4" w:rsidP="00471EE4">
            <w:pPr>
              <w:rPr>
                <w:rFonts w:ascii="Arial" w:hAnsi="Arial" w:cs="Arial"/>
                <w:sz w:val="20"/>
                <w:lang w:val="en-GB"/>
              </w:rPr>
            </w:pPr>
            <w:r w:rsidRPr="004E75B9">
              <w:rPr>
                <w:rFonts w:ascii="Arial" w:hAnsi="Arial" w:cs="Arial"/>
                <w:sz w:val="20"/>
                <w:lang w:val="en-GB"/>
              </w:rPr>
              <w:t>Securities issues by the Hungarian State</w:t>
            </w:r>
          </w:p>
        </w:tc>
        <w:tc>
          <w:tcPr>
            <w:tcW w:w="2835" w:type="dxa"/>
            <w:tcBorders>
              <w:top w:val="nil"/>
              <w:left w:val="nil"/>
              <w:bottom w:val="single" w:sz="4" w:space="0" w:color="auto"/>
              <w:right w:val="single" w:sz="4" w:space="0" w:color="auto"/>
            </w:tcBorders>
            <w:vAlign w:val="center"/>
          </w:tcPr>
          <w:p w14:paraId="34B02E75" w14:textId="7C5F8D29" w:rsidR="00471EE4" w:rsidRPr="004E75B9" w:rsidRDefault="00471EE4" w:rsidP="00471EE4">
            <w:pPr>
              <w:rPr>
                <w:rFonts w:ascii="Arial" w:hAnsi="Arial" w:cs="Arial"/>
                <w:sz w:val="20"/>
                <w:lang w:val="en-GB"/>
              </w:rPr>
            </w:pPr>
            <w:r w:rsidRPr="004E75B9">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7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3A3F476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78" w14:textId="0E2889D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7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9 a.m. on the 2nd working day following the reference period</w:t>
            </w:r>
          </w:p>
        </w:tc>
      </w:tr>
      <w:tr w:rsidR="004E75B9" w:rsidRPr="004E75B9" w14:paraId="34B02E83"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471EE4" w:rsidRPr="004E75B9" w:rsidRDefault="00EE63E1" w:rsidP="00471EE4">
            <w:pPr>
              <w:jc w:val="center"/>
              <w:rPr>
                <w:rFonts w:ascii="Arial" w:hAnsi="Arial" w:cs="Arial"/>
                <w:sz w:val="20"/>
                <w:lang w:val="en-GB"/>
              </w:rPr>
            </w:pPr>
            <w:r w:rsidRPr="004E75B9">
              <w:rPr>
                <w:rFonts w:ascii="Arial" w:hAnsi="Arial" w:cs="Arial"/>
                <w:sz w:val="20"/>
                <w:lang w:val="en-GB"/>
              </w:rPr>
              <w:t>24</w:t>
            </w:r>
          </w:p>
        </w:tc>
        <w:tc>
          <w:tcPr>
            <w:tcW w:w="1418" w:type="dxa"/>
            <w:tcBorders>
              <w:top w:val="nil"/>
              <w:left w:val="single" w:sz="4" w:space="0" w:color="auto"/>
              <w:bottom w:val="single" w:sz="4" w:space="0" w:color="auto"/>
              <w:right w:val="single" w:sz="4" w:space="0" w:color="auto"/>
            </w:tcBorders>
            <w:vAlign w:val="center"/>
          </w:tcPr>
          <w:p w14:paraId="34B02E7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E58</w:t>
            </w:r>
          </w:p>
        </w:tc>
        <w:tc>
          <w:tcPr>
            <w:tcW w:w="2598" w:type="dxa"/>
            <w:tcBorders>
              <w:top w:val="nil"/>
              <w:left w:val="nil"/>
              <w:bottom w:val="single" w:sz="4" w:space="0" w:color="auto"/>
              <w:right w:val="single" w:sz="4" w:space="0" w:color="auto"/>
            </w:tcBorders>
            <w:vAlign w:val="center"/>
          </w:tcPr>
          <w:p w14:paraId="34B02E7D" w14:textId="78B752EE" w:rsidR="00471EE4" w:rsidRPr="004E75B9" w:rsidRDefault="00471EE4" w:rsidP="00471EE4">
            <w:pPr>
              <w:rPr>
                <w:rFonts w:ascii="Arial" w:hAnsi="Arial" w:cs="Arial"/>
                <w:sz w:val="20"/>
                <w:lang w:val="en-GB"/>
              </w:rPr>
            </w:pPr>
            <w:r w:rsidRPr="004E75B9">
              <w:rPr>
                <w:rFonts w:ascii="Arial" w:hAnsi="Arial" w:cs="Arial"/>
                <w:sz w:val="20"/>
                <w:lang w:val="en-GB"/>
              </w:rPr>
              <w:t>Cash-flow and interest data related to interest-bearing securities issued by the Hungarian State</w:t>
            </w:r>
          </w:p>
        </w:tc>
        <w:tc>
          <w:tcPr>
            <w:tcW w:w="2835" w:type="dxa"/>
            <w:tcBorders>
              <w:top w:val="nil"/>
              <w:left w:val="nil"/>
              <w:bottom w:val="single" w:sz="4" w:space="0" w:color="auto"/>
              <w:right w:val="single" w:sz="4" w:space="0" w:color="auto"/>
            </w:tcBorders>
            <w:vAlign w:val="center"/>
          </w:tcPr>
          <w:p w14:paraId="34B02E7E" w14:textId="2BF56A2D" w:rsidR="00471EE4" w:rsidRPr="004E75B9" w:rsidRDefault="00471EE4" w:rsidP="00471EE4">
            <w:pPr>
              <w:rPr>
                <w:rFonts w:ascii="Arial" w:hAnsi="Arial" w:cs="Arial"/>
                <w:sz w:val="20"/>
                <w:lang w:val="en-GB"/>
              </w:rPr>
            </w:pPr>
            <w:r w:rsidRPr="004E75B9">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7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9987EA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81" w14:textId="443BDEEF"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8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of the month following the reference period</w:t>
            </w:r>
          </w:p>
        </w:tc>
      </w:tr>
      <w:tr w:rsidR="004E75B9" w:rsidRPr="004E75B9" w14:paraId="34B02E8C" w14:textId="77777777" w:rsidTr="00481406">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25</w:t>
            </w:r>
          </w:p>
        </w:tc>
        <w:tc>
          <w:tcPr>
            <w:tcW w:w="1418" w:type="dxa"/>
            <w:tcBorders>
              <w:top w:val="nil"/>
              <w:left w:val="single" w:sz="4" w:space="0" w:color="auto"/>
              <w:bottom w:val="single" w:sz="4" w:space="0" w:color="auto"/>
              <w:right w:val="single" w:sz="4" w:space="0" w:color="auto"/>
            </w:tcBorders>
            <w:vAlign w:val="center"/>
          </w:tcPr>
          <w:p w14:paraId="34B02E8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E60</w:t>
            </w:r>
          </w:p>
        </w:tc>
        <w:tc>
          <w:tcPr>
            <w:tcW w:w="2598" w:type="dxa"/>
            <w:tcBorders>
              <w:top w:val="nil"/>
              <w:left w:val="nil"/>
              <w:bottom w:val="single" w:sz="4" w:space="0" w:color="auto"/>
              <w:right w:val="single" w:sz="4" w:space="0" w:color="auto"/>
            </w:tcBorders>
            <w:vAlign w:val="center"/>
          </w:tcPr>
          <w:p w14:paraId="34B02E86" w14:textId="00F7019D" w:rsidR="00471EE4" w:rsidRPr="004E75B9" w:rsidRDefault="00471EE4" w:rsidP="00471EE4">
            <w:pPr>
              <w:rPr>
                <w:rFonts w:ascii="Arial" w:hAnsi="Arial" w:cs="Arial"/>
                <w:sz w:val="20"/>
                <w:lang w:val="en-GB"/>
              </w:rPr>
            </w:pPr>
            <w:r w:rsidRPr="004E75B9">
              <w:rPr>
                <w:rFonts w:ascii="Arial" w:hAnsi="Arial" w:cs="Arial"/>
                <w:sz w:val="20"/>
                <w:lang w:val="en-GB"/>
              </w:rPr>
              <w:t>Data supply related to repos and other securities transactions</w:t>
            </w:r>
          </w:p>
        </w:tc>
        <w:tc>
          <w:tcPr>
            <w:tcW w:w="2835" w:type="dxa"/>
            <w:tcBorders>
              <w:top w:val="nil"/>
              <w:left w:val="nil"/>
              <w:bottom w:val="single" w:sz="4" w:space="0" w:color="auto"/>
              <w:right w:val="single" w:sz="4" w:space="0" w:color="auto"/>
            </w:tcBorders>
            <w:vAlign w:val="center"/>
          </w:tcPr>
          <w:p w14:paraId="34B02E87" w14:textId="122BC86B"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custodian cooperative credit institutions, investment firms and other organisations, EEA branches of this type, Government Debt Management Agency</w:t>
            </w:r>
          </w:p>
        </w:tc>
        <w:tc>
          <w:tcPr>
            <w:tcW w:w="1701" w:type="dxa"/>
            <w:tcBorders>
              <w:top w:val="nil"/>
              <w:left w:val="nil"/>
              <w:bottom w:val="single" w:sz="4" w:space="0" w:color="auto"/>
              <w:right w:val="single" w:sz="4" w:space="0" w:color="auto"/>
            </w:tcBorders>
            <w:vAlign w:val="center"/>
          </w:tcPr>
          <w:p w14:paraId="34B02E8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15717D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8A" w14:textId="47E43FA8"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8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of the month following the reference period</w:t>
            </w:r>
          </w:p>
        </w:tc>
      </w:tr>
      <w:tr w:rsidR="004E75B9" w:rsidRPr="004E75B9" w14:paraId="34B02E95" w14:textId="77777777" w:rsidTr="00481406">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1925BA" w:rsidRPr="004E75B9" w:rsidRDefault="001925BA" w:rsidP="001925BA">
            <w:pPr>
              <w:jc w:val="center"/>
              <w:rPr>
                <w:rFonts w:ascii="Arial" w:hAnsi="Arial" w:cs="Arial"/>
                <w:sz w:val="20"/>
                <w:lang w:val="en-GB"/>
              </w:rPr>
            </w:pPr>
            <w:r w:rsidRPr="004E75B9">
              <w:rPr>
                <w:rFonts w:ascii="Arial" w:hAnsi="Arial" w:cs="Arial"/>
                <w:sz w:val="20"/>
                <w:lang w:val="en-GB"/>
              </w:rPr>
              <w:t>26</w:t>
            </w:r>
          </w:p>
        </w:tc>
        <w:tc>
          <w:tcPr>
            <w:tcW w:w="1418" w:type="dxa"/>
            <w:tcBorders>
              <w:top w:val="nil"/>
              <w:left w:val="single" w:sz="4" w:space="0" w:color="auto"/>
              <w:bottom w:val="single" w:sz="4" w:space="0" w:color="auto"/>
              <w:right w:val="single" w:sz="4" w:space="0" w:color="auto"/>
            </w:tcBorders>
            <w:vAlign w:val="center"/>
          </w:tcPr>
          <w:p w14:paraId="34B02E8E"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E61</w:t>
            </w:r>
          </w:p>
        </w:tc>
        <w:tc>
          <w:tcPr>
            <w:tcW w:w="2598" w:type="dxa"/>
            <w:tcBorders>
              <w:top w:val="nil"/>
              <w:left w:val="nil"/>
              <w:bottom w:val="single" w:sz="4" w:space="0" w:color="auto"/>
              <w:right w:val="single" w:sz="4" w:space="0" w:color="auto"/>
            </w:tcBorders>
            <w:vAlign w:val="center"/>
          </w:tcPr>
          <w:p w14:paraId="34B02E8F" w14:textId="77777777" w:rsidR="001925BA" w:rsidRPr="004E75B9" w:rsidRDefault="001925BA" w:rsidP="001925BA">
            <w:pPr>
              <w:rPr>
                <w:rFonts w:ascii="Arial" w:hAnsi="Arial" w:cs="Arial"/>
                <w:sz w:val="20"/>
                <w:lang w:val="en-GB"/>
              </w:rPr>
            </w:pPr>
            <w:r w:rsidRPr="004E75B9">
              <w:rPr>
                <w:rFonts w:ascii="Arial" w:hAnsi="Arial" w:cs="Arial"/>
                <w:sz w:val="20"/>
                <w:lang w:val="en-GB"/>
              </w:rPr>
              <w:t>Data on mortgage bonds issued in Hungary and abroad</w:t>
            </w:r>
          </w:p>
        </w:tc>
        <w:tc>
          <w:tcPr>
            <w:tcW w:w="2835" w:type="dxa"/>
            <w:tcBorders>
              <w:top w:val="nil"/>
              <w:left w:val="nil"/>
              <w:bottom w:val="single" w:sz="4" w:space="0" w:color="auto"/>
              <w:right w:val="single" w:sz="4" w:space="0" w:color="auto"/>
            </w:tcBorders>
            <w:vAlign w:val="center"/>
          </w:tcPr>
          <w:p w14:paraId="34B02E90" w14:textId="067207E8" w:rsidR="001925BA" w:rsidRPr="004E75B9" w:rsidRDefault="001925BA" w:rsidP="001925BA">
            <w:pPr>
              <w:rPr>
                <w:rFonts w:ascii="Arial" w:hAnsi="Arial" w:cs="Arial"/>
                <w:sz w:val="20"/>
                <w:lang w:val="en-GB"/>
              </w:rPr>
            </w:pPr>
            <w:r w:rsidRPr="004E75B9">
              <w:rPr>
                <w:rFonts w:ascii="Arial" w:hAnsi="Arial" w:cs="Arial"/>
                <w:sz w:val="20"/>
                <w:lang w:val="en-GB"/>
              </w:rPr>
              <w:t>mortgage credit institutions, EEA branches of this type</w:t>
            </w:r>
          </w:p>
        </w:tc>
        <w:tc>
          <w:tcPr>
            <w:tcW w:w="1701" w:type="dxa"/>
            <w:tcBorders>
              <w:top w:val="nil"/>
              <w:left w:val="nil"/>
              <w:bottom w:val="single" w:sz="4" w:space="0" w:color="auto"/>
              <w:right w:val="single" w:sz="4" w:space="0" w:color="auto"/>
            </w:tcBorders>
            <w:vAlign w:val="center"/>
          </w:tcPr>
          <w:p w14:paraId="34B02E91" w14:textId="2299DE4B" w:rsidR="001925BA" w:rsidRPr="004E75B9" w:rsidRDefault="001925BA" w:rsidP="001925BA">
            <w:pPr>
              <w:jc w:val="center"/>
              <w:rPr>
                <w:rFonts w:ascii="Arial" w:hAnsi="Arial" w:cs="Arial"/>
                <w:sz w:val="20"/>
                <w:lang w:val="en-GB"/>
              </w:rPr>
            </w:pPr>
            <w:r w:rsidRPr="004E75B9">
              <w:rPr>
                <w:rFonts w:ascii="Arial" w:hAnsi="Arial" w:cs="Arial"/>
                <w:sz w:val="20"/>
                <w:lang w:val="en-GB"/>
              </w:rPr>
              <w:t>monthly, ad hoc</w:t>
            </w:r>
          </w:p>
        </w:tc>
        <w:tc>
          <w:tcPr>
            <w:tcW w:w="1796" w:type="dxa"/>
            <w:tcBorders>
              <w:top w:val="nil"/>
              <w:left w:val="nil"/>
              <w:bottom w:val="single" w:sz="4" w:space="0" w:color="auto"/>
              <w:right w:val="single" w:sz="4" w:space="0" w:color="auto"/>
            </w:tcBorders>
            <w:vAlign w:val="center"/>
          </w:tcPr>
          <w:p w14:paraId="23103DE8"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electronic</w:t>
            </w:r>
          </w:p>
          <w:p w14:paraId="34B02E93" w14:textId="1A6AD8CA" w:rsidR="001925BA" w:rsidRPr="004E75B9" w:rsidRDefault="001925BA" w:rsidP="001925BA">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C166629"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monthly: 8th working day of the month following the reference period;</w:t>
            </w:r>
          </w:p>
          <w:p w14:paraId="34B02E94" w14:textId="425A0C82" w:rsidR="001925BA" w:rsidRPr="004E75B9" w:rsidRDefault="001925BA" w:rsidP="001925BA">
            <w:pPr>
              <w:jc w:val="center"/>
              <w:rPr>
                <w:rFonts w:ascii="Arial" w:hAnsi="Arial" w:cs="Arial"/>
                <w:sz w:val="20"/>
                <w:lang w:val="en-GB"/>
              </w:rPr>
            </w:pPr>
            <w:r w:rsidRPr="004E75B9">
              <w:rPr>
                <w:rFonts w:ascii="Arial" w:hAnsi="Arial" w:cs="Arial"/>
                <w:sz w:val="20"/>
                <w:lang w:val="en-GB"/>
              </w:rPr>
              <w:t>for ad hoc data supply, 10th working day after the MNB’s request for ad hoc data</w:t>
            </w:r>
          </w:p>
        </w:tc>
      </w:tr>
      <w:tr w:rsidR="004E75B9" w:rsidRPr="004E75B9" w14:paraId="34B02E9E" w14:textId="77777777" w:rsidTr="00481406">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1925BA" w:rsidRPr="004E75B9" w:rsidRDefault="001925BA" w:rsidP="001925BA">
            <w:pPr>
              <w:jc w:val="center"/>
              <w:rPr>
                <w:rFonts w:ascii="Arial" w:hAnsi="Arial" w:cs="Arial"/>
                <w:sz w:val="20"/>
                <w:lang w:val="en-GB"/>
              </w:rPr>
            </w:pPr>
            <w:r w:rsidRPr="004E75B9">
              <w:rPr>
                <w:rFonts w:ascii="Arial" w:hAnsi="Arial" w:cs="Arial"/>
                <w:sz w:val="20"/>
                <w:lang w:val="en-GB"/>
              </w:rPr>
              <w:t>27</w:t>
            </w:r>
          </w:p>
        </w:tc>
        <w:tc>
          <w:tcPr>
            <w:tcW w:w="1418" w:type="dxa"/>
            <w:tcBorders>
              <w:top w:val="nil"/>
              <w:left w:val="single" w:sz="4" w:space="0" w:color="auto"/>
              <w:bottom w:val="single" w:sz="4" w:space="0" w:color="auto"/>
              <w:right w:val="single" w:sz="4" w:space="0" w:color="auto"/>
            </w:tcBorders>
            <w:vAlign w:val="center"/>
          </w:tcPr>
          <w:p w14:paraId="34B02E97"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E62</w:t>
            </w:r>
          </w:p>
        </w:tc>
        <w:tc>
          <w:tcPr>
            <w:tcW w:w="2598" w:type="dxa"/>
            <w:tcBorders>
              <w:top w:val="nil"/>
              <w:left w:val="nil"/>
              <w:bottom w:val="single" w:sz="4" w:space="0" w:color="auto"/>
              <w:right w:val="single" w:sz="4" w:space="0" w:color="auto"/>
            </w:tcBorders>
            <w:vAlign w:val="center"/>
          </w:tcPr>
          <w:p w14:paraId="34B02E98" w14:textId="5FA5FDCF" w:rsidR="001925BA" w:rsidRPr="004E75B9" w:rsidRDefault="001925BA" w:rsidP="001925BA">
            <w:pPr>
              <w:rPr>
                <w:rFonts w:ascii="Arial" w:hAnsi="Arial" w:cs="Arial"/>
                <w:sz w:val="20"/>
                <w:lang w:val="en-GB"/>
              </w:rPr>
            </w:pPr>
            <w:r w:rsidRPr="004E75B9">
              <w:rPr>
                <w:rFonts w:ascii="Arial" w:hAnsi="Arial" w:cs="Arial"/>
                <w:sz w:val="20"/>
                <w:lang w:val="en-GB"/>
              </w:rPr>
              <w:t>Data on bonds not qualifying as government securities, issued in Hungary and abroad</w:t>
            </w:r>
          </w:p>
        </w:tc>
        <w:tc>
          <w:tcPr>
            <w:tcW w:w="2835" w:type="dxa"/>
            <w:tcBorders>
              <w:top w:val="nil"/>
              <w:left w:val="nil"/>
              <w:bottom w:val="single" w:sz="4" w:space="0" w:color="auto"/>
              <w:right w:val="single" w:sz="4" w:space="0" w:color="auto"/>
            </w:tcBorders>
            <w:vAlign w:val="center"/>
          </w:tcPr>
          <w:p w14:paraId="34B02E99" w14:textId="6ACC2C14" w:rsidR="001925BA" w:rsidRPr="004E75B9" w:rsidRDefault="001925BA" w:rsidP="001925BA">
            <w:pPr>
              <w:rPr>
                <w:rFonts w:ascii="Arial" w:hAnsi="Arial" w:cs="Arial"/>
                <w:sz w:val="20"/>
                <w:lang w:val="en-GB"/>
              </w:rPr>
            </w:pPr>
            <w:r w:rsidRPr="004E75B9">
              <w:rPr>
                <w:rFonts w:ascii="Arial" w:hAnsi="Arial" w:cs="Arial"/>
                <w:sz w:val="20"/>
                <w:lang w:val="en-GB"/>
              </w:rPr>
              <w:t>bond issuer municipalities, legal entity enterprises, Hungarian branch office of non-resident legal entity enterprises</w:t>
            </w:r>
          </w:p>
        </w:tc>
        <w:tc>
          <w:tcPr>
            <w:tcW w:w="1701" w:type="dxa"/>
            <w:tcBorders>
              <w:top w:val="nil"/>
              <w:left w:val="nil"/>
              <w:bottom w:val="single" w:sz="4" w:space="0" w:color="auto"/>
              <w:right w:val="single" w:sz="4" w:space="0" w:color="auto"/>
            </w:tcBorders>
            <w:vAlign w:val="center"/>
          </w:tcPr>
          <w:p w14:paraId="34B02E9A" w14:textId="664427F9" w:rsidR="001925BA" w:rsidRPr="004E75B9" w:rsidRDefault="001925BA" w:rsidP="001925BA">
            <w:pPr>
              <w:jc w:val="center"/>
              <w:rPr>
                <w:rFonts w:ascii="Arial" w:hAnsi="Arial" w:cs="Arial"/>
                <w:sz w:val="20"/>
                <w:lang w:val="en-GB"/>
              </w:rPr>
            </w:pPr>
            <w:r w:rsidRPr="004E75B9">
              <w:rPr>
                <w:rFonts w:ascii="Arial" w:hAnsi="Arial" w:cs="Arial"/>
                <w:sz w:val="20"/>
                <w:lang w:val="en-GB"/>
              </w:rPr>
              <w:t>monthly, ad hoc</w:t>
            </w:r>
          </w:p>
        </w:tc>
        <w:tc>
          <w:tcPr>
            <w:tcW w:w="1796" w:type="dxa"/>
            <w:tcBorders>
              <w:top w:val="nil"/>
              <w:left w:val="nil"/>
              <w:bottom w:val="single" w:sz="4" w:space="0" w:color="auto"/>
              <w:right w:val="single" w:sz="4" w:space="0" w:color="auto"/>
            </w:tcBorders>
            <w:vAlign w:val="center"/>
          </w:tcPr>
          <w:p w14:paraId="666C81DD"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electronic</w:t>
            </w:r>
          </w:p>
          <w:p w14:paraId="34B02E9C" w14:textId="100B7F2C" w:rsidR="001925BA" w:rsidRPr="004E75B9" w:rsidRDefault="001925BA" w:rsidP="001925BA">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B601AD0" w14:textId="77777777" w:rsidR="001925BA" w:rsidRPr="004E75B9" w:rsidRDefault="001925BA" w:rsidP="001925BA">
            <w:pPr>
              <w:jc w:val="center"/>
              <w:rPr>
                <w:rFonts w:ascii="Arial" w:hAnsi="Arial" w:cs="Arial"/>
                <w:sz w:val="20"/>
                <w:lang w:val="en-GB"/>
              </w:rPr>
            </w:pPr>
            <w:r w:rsidRPr="004E75B9">
              <w:rPr>
                <w:rFonts w:ascii="Arial" w:hAnsi="Arial" w:cs="Arial"/>
                <w:sz w:val="20"/>
                <w:lang w:val="en-GB"/>
              </w:rPr>
              <w:t>monthly: 8th working day of the month following the reference period;</w:t>
            </w:r>
          </w:p>
          <w:p w14:paraId="34B02E9D" w14:textId="40F16AAA" w:rsidR="001925BA" w:rsidRPr="004E75B9" w:rsidRDefault="001925BA" w:rsidP="001925BA">
            <w:pPr>
              <w:jc w:val="center"/>
              <w:rPr>
                <w:rFonts w:ascii="Arial" w:hAnsi="Arial" w:cs="Arial"/>
                <w:sz w:val="20"/>
                <w:lang w:val="en-GB"/>
              </w:rPr>
            </w:pPr>
            <w:r w:rsidRPr="004E75B9">
              <w:rPr>
                <w:rFonts w:ascii="Arial" w:hAnsi="Arial" w:cs="Arial"/>
                <w:sz w:val="20"/>
                <w:lang w:val="en-GB"/>
              </w:rPr>
              <w:t>for ad hoc data supply, 10th working day after the MNB’s request for ad hoc data</w:t>
            </w:r>
          </w:p>
        </w:tc>
      </w:tr>
      <w:tr w:rsidR="004E75B9" w:rsidRPr="004E75B9" w14:paraId="34B02EA7" w14:textId="77777777" w:rsidTr="00481406">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471EE4" w:rsidRPr="004E75B9" w:rsidRDefault="00EE63E1" w:rsidP="00471EE4">
            <w:pPr>
              <w:jc w:val="center"/>
              <w:rPr>
                <w:rFonts w:ascii="Arial" w:hAnsi="Arial" w:cs="Arial"/>
                <w:sz w:val="20"/>
                <w:lang w:val="en-GB"/>
              </w:rPr>
            </w:pPr>
            <w:r w:rsidRPr="004E75B9">
              <w:rPr>
                <w:rFonts w:ascii="Arial" w:hAnsi="Arial" w:cs="Arial"/>
                <w:sz w:val="20"/>
                <w:lang w:val="en-GB"/>
              </w:rPr>
              <w:t>28</w:t>
            </w:r>
          </w:p>
        </w:tc>
        <w:tc>
          <w:tcPr>
            <w:tcW w:w="1418" w:type="dxa"/>
            <w:tcBorders>
              <w:top w:val="nil"/>
              <w:left w:val="single" w:sz="4" w:space="0" w:color="auto"/>
              <w:bottom w:val="single" w:sz="4" w:space="0" w:color="auto"/>
              <w:right w:val="single" w:sz="4" w:space="0" w:color="auto"/>
            </w:tcBorders>
            <w:vAlign w:val="center"/>
          </w:tcPr>
          <w:p w14:paraId="34B02EA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E64</w:t>
            </w:r>
          </w:p>
        </w:tc>
        <w:tc>
          <w:tcPr>
            <w:tcW w:w="2598" w:type="dxa"/>
            <w:tcBorders>
              <w:top w:val="nil"/>
              <w:left w:val="nil"/>
              <w:bottom w:val="single" w:sz="4" w:space="0" w:color="auto"/>
              <w:right w:val="single" w:sz="4" w:space="0" w:color="auto"/>
            </w:tcBorders>
            <w:vAlign w:val="center"/>
          </w:tcPr>
          <w:p w14:paraId="34B02EA1" w14:textId="3E27D2BD" w:rsidR="00471EE4" w:rsidRPr="004E75B9" w:rsidRDefault="00471EE4" w:rsidP="00471EE4">
            <w:pPr>
              <w:rPr>
                <w:rFonts w:ascii="Arial" w:hAnsi="Arial" w:cs="Arial"/>
                <w:sz w:val="20"/>
                <w:lang w:val="en-GB"/>
              </w:rPr>
            </w:pPr>
            <w:r w:rsidRPr="004E75B9">
              <w:rPr>
                <w:rFonts w:ascii="Arial" w:hAnsi="Arial" w:cs="Arial"/>
                <w:sz w:val="20"/>
                <w:lang w:val="en-GB"/>
              </w:rPr>
              <w:t>Data of debt securities issued by credit institutions and organisations pursuing investment services, and price information related to debt securities owned and held in custody by organisations pursuing custody activity</w:t>
            </w:r>
          </w:p>
        </w:tc>
        <w:tc>
          <w:tcPr>
            <w:tcW w:w="2835" w:type="dxa"/>
            <w:tcBorders>
              <w:top w:val="nil"/>
              <w:left w:val="nil"/>
              <w:bottom w:val="single" w:sz="4" w:space="0" w:color="auto"/>
              <w:right w:val="single" w:sz="4" w:space="0" w:color="auto"/>
            </w:tcBorders>
            <w:vAlign w:val="center"/>
          </w:tcPr>
          <w:p w14:paraId="34B02EA2" w14:textId="5CA656AE"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cooperative credit institutions, investment firms and other organisations pursuing custody activity, EEA branches of this type</w:t>
            </w:r>
          </w:p>
        </w:tc>
        <w:tc>
          <w:tcPr>
            <w:tcW w:w="1701" w:type="dxa"/>
            <w:tcBorders>
              <w:top w:val="nil"/>
              <w:left w:val="nil"/>
              <w:bottom w:val="single" w:sz="4" w:space="0" w:color="auto"/>
              <w:right w:val="single" w:sz="4" w:space="0" w:color="auto"/>
            </w:tcBorders>
            <w:vAlign w:val="center"/>
          </w:tcPr>
          <w:p w14:paraId="34B02EA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586CEA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A5" w14:textId="241A80E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A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8th working day of the month following the reference period</w:t>
            </w:r>
          </w:p>
        </w:tc>
      </w:tr>
      <w:tr w:rsidR="004E75B9" w:rsidRPr="004E75B9" w14:paraId="30E35CE6" w14:textId="77777777" w:rsidTr="00481406">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471EE4" w:rsidRPr="004E75B9" w:rsidRDefault="00EE63E1" w:rsidP="00471EE4">
            <w:pPr>
              <w:jc w:val="center"/>
              <w:rPr>
                <w:rFonts w:ascii="Arial" w:hAnsi="Arial" w:cs="Arial"/>
                <w:sz w:val="20"/>
                <w:lang w:val="en-GB"/>
              </w:rPr>
            </w:pPr>
            <w:r w:rsidRPr="004E75B9">
              <w:rPr>
                <w:rFonts w:ascii="Arial" w:hAnsi="Arial" w:cs="Arial"/>
                <w:sz w:val="20"/>
                <w:lang w:val="en-GB"/>
              </w:rPr>
              <w:t>29</w:t>
            </w:r>
          </w:p>
        </w:tc>
        <w:tc>
          <w:tcPr>
            <w:tcW w:w="1418" w:type="dxa"/>
            <w:tcBorders>
              <w:top w:val="nil"/>
              <w:left w:val="single" w:sz="4" w:space="0" w:color="auto"/>
              <w:bottom w:val="single" w:sz="4" w:space="0" w:color="auto"/>
              <w:right w:val="single" w:sz="4" w:space="0" w:color="auto"/>
            </w:tcBorders>
            <w:vAlign w:val="center"/>
          </w:tcPr>
          <w:p w14:paraId="7EA9C228" w14:textId="6BC67639" w:rsidR="00471EE4" w:rsidRPr="004E75B9" w:rsidRDefault="00471EE4" w:rsidP="00471EE4">
            <w:pPr>
              <w:jc w:val="center"/>
              <w:rPr>
                <w:rFonts w:ascii="Arial" w:hAnsi="Arial" w:cs="Arial"/>
                <w:sz w:val="20"/>
                <w:lang w:val="en-GB"/>
              </w:rPr>
            </w:pPr>
            <w:r w:rsidRPr="004E75B9">
              <w:rPr>
                <w:rFonts w:ascii="Arial" w:hAnsi="Arial" w:cs="Arial"/>
                <w:sz w:val="20"/>
                <w:lang w:val="en-GB"/>
              </w:rPr>
              <w:t>E65</w:t>
            </w:r>
          </w:p>
        </w:tc>
        <w:tc>
          <w:tcPr>
            <w:tcW w:w="2598" w:type="dxa"/>
            <w:tcBorders>
              <w:top w:val="nil"/>
              <w:left w:val="nil"/>
              <w:bottom w:val="single" w:sz="4" w:space="0" w:color="auto"/>
              <w:right w:val="single" w:sz="4" w:space="0" w:color="auto"/>
            </w:tcBorders>
            <w:vAlign w:val="center"/>
          </w:tcPr>
          <w:p w14:paraId="518A7057" w14:textId="74583FF4" w:rsidR="00471EE4" w:rsidRPr="004E75B9" w:rsidRDefault="00471EE4" w:rsidP="00471EE4">
            <w:pPr>
              <w:rPr>
                <w:rFonts w:ascii="Arial" w:hAnsi="Arial" w:cs="Arial"/>
                <w:sz w:val="20"/>
                <w:lang w:val="en-GB"/>
              </w:rPr>
            </w:pPr>
            <w:r w:rsidRPr="004E75B9">
              <w:rPr>
                <w:rFonts w:ascii="Arial" w:hAnsi="Arial" w:cs="Arial"/>
                <w:sz w:val="20"/>
                <w:lang w:val="en-GB"/>
              </w:rPr>
              <w:t>Daily report on repo and repo-type transactions</w:t>
            </w:r>
          </w:p>
        </w:tc>
        <w:tc>
          <w:tcPr>
            <w:tcW w:w="2835" w:type="dxa"/>
            <w:tcBorders>
              <w:top w:val="nil"/>
              <w:left w:val="nil"/>
              <w:bottom w:val="single" w:sz="4" w:space="0" w:color="auto"/>
              <w:right w:val="single" w:sz="4" w:space="0" w:color="auto"/>
            </w:tcBorders>
            <w:vAlign w:val="center"/>
          </w:tcPr>
          <w:p w14:paraId="4704A487" w14:textId="58B9D2DF"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1828B09A" w14:textId="232D4B3D"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64CE6E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6C0BCA73" w14:textId="5F431737"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1B629B0F" w14:textId="6BDB9FEF" w:rsidR="00471EE4" w:rsidRPr="004E75B9" w:rsidRDefault="00471EE4" w:rsidP="00471EE4">
            <w:pPr>
              <w:jc w:val="center"/>
              <w:rPr>
                <w:rFonts w:ascii="Arial" w:hAnsi="Arial" w:cs="Arial"/>
                <w:sz w:val="20"/>
                <w:lang w:val="en-GB"/>
              </w:rPr>
            </w:pPr>
            <w:r w:rsidRPr="004E75B9">
              <w:rPr>
                <w:rFonts w:ascii="Arial" w:hAnsi="Arial" w:cs="Arial"/>
                <w:sz w:val="20"/>
                <w:lang w:val="en-GB"/>
              </w:rPr>
              <w:t>2 p.m. on the 2nd working day following the reference period</w:t>
            </w:r>
          </w:p>
        </w:tc>
      </w:tr>
      <w:tr w:rsidR="004E75B9" w:rsidRPr="004E75B9" w14:paraId="34B02EB0" w14:textId="77777777" w:rsidTr="00481406">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35EBCB46" w:rsidR="00471EE4" w:rsidRPr="004E75B9" w:rsidRDefault="00EE63E1" w:rsidP="00471EE4">
            <w:pPr>
              <w:jc w:val="center"/>
              <w:rPr>
                <w:rFonts w:ascii="Arial" w:hAnsi="Arial" w:cs="Arial"/>
                <w:sz w:val="20"/>
                <w:lang w:val="en-GB"/>
              </w:rPr>
            </w:pPr>
            <w:r w:rsidRPr="004E75B9">
              <w:rPr>
                <w:rFonts w:ascii="Arial" w:hAnsi="Arial" w:cs="Arial"/>
                <w:sz w:val="20"/>
                <w:lang w:val="en-GB"/>
              </w:rPr>
              <w:t>30</w:t>
            </w:r>
          </w:p>
        </w:tc>
        <w:tc>
          <w:tcPr>
            <w:tcW w:w="1418" w:type="dxa"/>
            <w:tcBorders>
              <w:top w:val="nil"/>
              <w:left w:val="single" w:sz="4" w:space="0" w:color="auto"/>
              <w:bottom w:val="single" w:sz="4" w:space="0" w:color="auto"/>
              <w:right w:val="single" w:sz="4" w:space="0" w:color="auto"/>
            </w:tcBorders>
            <w:vAlign w:val="center"/>
          </w:tcPr>
          <w:p w14:paraId="34B02EA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F02</w:t>
            </w:r>
          </w:p>
        </w:tc>
        <w:tc>
          <w:tcPr>
            <w:tcW w:w="2598" w:type="dxa"/>
            <w:tcBorders>
              <w:top w:val="nil"/>
              <w:left w:val="nil"/>
              <w:bottom w:val="single" w:sz="4" w:space="0" w:color="auto"/>
              <w:right w:val="single" w:sz="4" w:space="0" w:color="auto"/>
            </w:tcBorders>
            <w:vAlign w:val="center"/>
          </w:tcPr>
          <w:p w14:paraId="34B02EAA" w14:textId="77777777" w:rsidR="00471EE4" w:rsidRPr="004E75B9" w:rsidRDefault="00471EE4" w:rsidP="00471EE4">
            <w:pPr>
              <w:rPr>
                <w:rFonts w:ascii="Arial" w:hAnsi="Arial" w:cs="Arial"/>
                <w:sz w:val="20"/>
                <w:lang w:val="en-GB"/>
              </w:rPr>
            </w:pPr>
            <w:r w:rsidRPr="004E75B9">
              <w:rPr>
                <w:rFonts w:ascii="Arial" w:hAnsi="Arial" w:cs="Arial"/>
                <w:sz w:val="20"/>
                <w:lang w:val="en-GB"/>
              </w:rPr>
              <w:t>Statistical balance sheet of insurance companies</w:t>
            </w:r>
          </w:p>
        </w:tc>
        <w:tc>
          <w:tcPr>
            <w:tcW w:w="2835" w:type="dxa"/>
            <w:tcBorders>
              <w:top w:val="nil"/>
              <w:left w:val="nil"/>
              <w:bottom w:val="single" w:sz="4" w:space="0" w:color="auto"/>
              <w:right w:val="single" w:sz="4" w:space="0" w:color="auto"/>
            </w:tcBorders>
            <w:vAlign w:val="center"/>
          </w:tcPr>
          <w:p w14:paraId="34B02EAB" w14:textId="2B0AF743" w:rsidR="00471EE4" w:rsidRPr="004E75B9" w:rsidRDefault="00471EE4" w:rsidP="00471EE4">
            <w:pPr>
              <w:rPr>
                <w:rFonts w:ascii="Arial" w:hAnsi="Arial" w:cs="Arial"/>
                <w:sz w:val="20"/>
                <w:lang w:val="en-GB"/>
              </w:rPr>
            </w:pPr>
            <w:r w:rsidRPr="004E75B9">
              <w:rPr>
                <w:rFonts w:ascii="Arial" w:hAnsi="Arial" w:cs="Arial"/>
                <w:sz w:val="20"/>
                <w:lang w:val="en-GB"/>
              </w:rPr>
              <w:t>insurance companies, EEA branches of this type</w:t>
            </w:r>
          </w:p>
        </w:tc>
        <w:tc>
          <w:tcPr>
            <w:tcW w:w="1701" w:type="dxa"/>
            <w:tcBorders>
              <w:top w:val="nil"/>
              <w:left w:val="nil"/>
              <w:bottom w:val="single" w:sz="4" w:space="0" w:color="auto"/>
              <w:right w:val="single" w:sz="4" w:space="0" w:color="auto"/>
            </w:tcBorders>
            <w:vAlign w:val="center"/>
          </w:tcPr>
          <w:p w14:paraId="34B02EA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66B675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AE" w14:textId="27CF96BA"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A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13th working day of the month following the reference period</w:t>
            </w:r>
          </w:p>
        </w:tc>
      </w:tr>
      <w:tr w:rsidR="004E75B9" w:rsidRPr="004E75B9" w14:paraId="34B02EBB" w14:textId="77777777" w:rsidTr="00481406">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31E20F60" w:rsidR="00471EE4" w:rsidRPr="004E75B9" w:rsidRDefault="00EE63E1" w:rsidP="00471EE4">
            <w:pPr>
              <w:jc w:val="center"/>
              <w:rPr>
                <w:rFonts w:ascii="Arial" w:hAnsi="Arial" w:cs="Arial"/>
                <w:sz w:val="20"/>
                <w:lang w:val="en-GB"/>
              </w:rPr>
            </w:pPr>
            <w:r w:rsidRPr="004E75B9">
              <w:rPr>
                <w:rFonts w:ascii="Arial" w:hAnsi="Arial" w:cs="Arial"/>
                <w:sz w:val="20"/>
                <w:lang w:val="en-GB"/>
              </w:rPr>
              <w:t>31</w:t>
            </w:r>
          </w:p>
        </w:tc>
        <w:tc>
          <w:tcPr>
            <w:tcW w:w="1418" w:type="dxa"/>
            <w:tcBorders>
              <w:top w:val="nil"/>
              <w:left w:val="single" w:sz="4" w:space="0" w:color="auto"/>
              <w:bottom w:val="single" w:sz="4" w:space="0" w:color="auto"/>
              <w:right w:val="single" w:sz="4" w:space="0" w:color="auto"/>
            </w:tcBorders>
            <w:vAlign w:val="center"/>
          </w:tcPr>
          <w:p w14:paraId="34B02EB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F07</w:t>
            </w:r>
          </w:p>
        </w:tc>
        <w:tc>
          <w:tcPr>
            <w:tcW w:w="2598" w:type="dxa"/>
            <w:tcBorders>
              <w:top w:val="nil"/>
              <w:left w:val="nil"/>
              <w:bottom w:val="single" w:sz="4" w:space="0" w:color="auto"/>
              <w:right w:val="single" w:sz="4" w:space="0" w:color="auto"/>
            </w:tcBorders>
            <w:vAlign w:val="center"/>
          </w:tcPr>
          <w:p w14:paraId="34B02EB3" w14:textId="77777777" w:rsidR="00471EE4" w:rsidRPr="004E75B9" w:rsidRDefault="00471EE4" w:rsidP="00471EE4">
            <w:pPr>
              <w:rPr>
                <w:rFonts w:ascii="Arial" w:hAnsi="Arial" w:cs="Arial"/>
                <w:sz w:val="20"/>
                <w:lang w:val="en-GB"/>
              </w:rPr>
            </w:pPr>
            <w:r w:rsidRPr="004E75B9">
              <w:rPr>
                <w:rFonts w:ascii="Arial" w:hAnsi="Arial" w:cs="Arial"/>
                <w:sz w:val="20"/>
                <w:lang w:val="en-GB"/>
              </w:rPr>
              <w:t>Statistical balance sheet of investment funds</w:t>
            </w:r>
          </w:p>
        </w:tc>
        <w:tc>
          <w:tcPr>
            <w:tcW w:w="2835" w:type="dxa"/>
            <w:tcBorders>
              <w:top w:val="nil"/>
              <w:left w:val="nil"/>
              <w:bottom w:val="single" w:sz="4" w:space="0" w:color="auto"/>
              <w:right w:val="single" w:sz="4" w:space="0" w:color="auto"/>
            </w:tcBorders>
            <w:vAlign w:val="center"/>
          </w:tcPr>
          <w:p w14:paraId="34B02EB4" w14:textId="506F33A8" w:rsidR="00471EE4" w:rsidRPr="004E75B9" w:rsidRDefault="00471EE4" w:rsidP="00471EE4">
            <w:pPr>
              <w:rPr>
                <w:rFonts w:ascii="Arial" w:hAnsi="Arial" w:cs="Arial"/>
                <w:sz w:val="20"/>
                <w:lang w:val="en-GB"/>
              </w:rPr>
            </w:pPr>
            <w:r w:rsidRPr="004E75B9">
              <w:rPr>
                <w:rFonts w:ascii="Arial" w:hAnsi="Arial" w:cs="Arial"/>
                <w:sz w:val="20"/>
                <w:lang w:val="en-GB"/>
              </w:rPr>
              <w:t>investment funds</w:t>
            </w:r>
          </w:p>
        </w:tc>
        <w:tc>
          <w:tcPr>
            <w:tcW w:w="1701" w:type="dxa"/>
            <w:tcBorders>
              <w:top w:val="nil"/>
              <w:left w:val="nil"/>
              <w:bottom w:val="single" w:sz="4" w:space="0" w:color="auto"/>
              <w:right w:val="single" w:sz="4" w:space="0" w:color="auto"/>
            </w:tcBorders>
            <w:vAlign w:val="center"/>
          </w:tcPr>
          <w:p w14:paraId="34B02EB5" w14:textId="5EBC83D4"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265500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B7" w14:textId="61D626A0"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BA" w14:textId="0A60EBE2" w:rsidR="00471EE4" w:rsidRPr="004E75B9" w:rsidRDefault="00471EE4" w:rsidP="00471EE4">
            <w:pPr>
              <w:autoSpaceDE w:val="0"/>
              <w:autoSpaceDN w:val="0"/>
              <w:adjustRightInd w:val="0"/>
              <w:jc w:val="center"/>
              <w:rPr>
                <w:rFonts w:ascii="Arial" w:hAnsi="Arial" w:cs="Arial"/>
                <w:sz w:val="20"/>
                <w:lang w:val="en-GB"/>
              </w:rPr>
            </w:pPr>
            <w:r w:rsidRPr="004E75B9">
              <w:rPr>
                <w:rFonts w:ascii="Arial" w:hAnsi="Arial" w:cs="Arial"/>
                <w:sz w:val="20"/>
                <w:lang w:val="en-GB"/>
              </w:rPr>
              <w:t>6th working day of the month following the reference period</w:t>
            </w:r>
          </w:p>
        </w:tc>
      </w:tr>
      <w:tr w:rsidR="004E75B9" w:rsidRPr="004E75B9" w14:paraId="164EF906" w14:textId="77777777" w:rsidTr="00481406">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700411F5" w14:textId="77777777" w:rsidR="001C5479" w:rsidRPr="004E75B9" w:rsidRDefault="001C5479" w:rsidP="00481406">
            <w:pPr>
              <w:jc w:val="center"/>
              <w:rPr>
                <w:rFonts w:ascii="Arial" w:hAnsi="Arial" w:cs="Arial"/>
                <w:sz w:val="20"/>
                <w:lang w:val="en-GB"/>
              </w:rPr>
            </w:pPr>
            <w:r w:rsidRPr="004E75B9">
              <w:rPr>
                <w:rFonts w:ascii="Arial" w:hAnsi="Arial" w:cs="Arial"/>
                <w:sz w:val="20"/>
                <w:lang w:val="en-GB"/>
              </w:rPr>
              <w:lastRenderedPageBreak/>
              <w:t>31a</w:t>
            </w:r>
          </w:p>
        </w:tc>
        <w:tc>
          <w:tcPr>
            <w:tcW w:w="1418" w:type="dxa"/>
            <w:tcBorders>
              <w:top w:val="nil"/>
              <w:left w:val="single" w:sz="4" w:space="0" w:color="auto"/>
              <w:bottom w:val="single" w:sz="4" w:space="0" w:color="auto"/>
              <w:right w:val="single" w:sz="4" w:space="0" w:color="auto"/>
            </w:tcBorders>
            <w:vAlign w:val="center"/>
          </w:tcPr>
          <w:p w14:paraId="6731C6C2" w14:textId="77777777" w:rsidR="001C5479" w:rsidRPr="004E75B9" w:rsidRDefault="001C5479" w:rsidP="00481406">
            <w:pPr>
              <w:jc w:val="center"/>
              <w:rPr>
                <w:rFonts w:ascii="Arial" w:hAnsi="Arial" w:cs="Arial"/>
                <w:sz w:val="20"/>
                <w:lang w:val="en-GB"/>
              </w:rPr>
            </w:pPr>
            <w:r w:rsidRPr="004E75B9">
              <w:rPr>
                <w:rFonts w:ascii="Arial" w:hAnsi="Arial" w:cs="Arial"/>
                <w:sz w:val="20"/>
                <w:lang w:val="en-GB"/>
              </w:rPr>
              <w:t>F10</w:t>
            </w:r>
          </w:p>
        </w:tc>
        <w:tc>
          <w:tcPr>
            <w:tcW w:w="2598" w:type="dxa"/>
            <w:tcBorders>
              <w:top w:val="nil"/>
              <w:left w:val="nil"/>
              <w:bottom w:val="single" w:sz="4" w:space="0" w:color="auto"/>
              <w:right w:val="single" w:sz="4" w:space="0" w:color="auto"/>
            </w:tcBorders>
            <w:vAlign w:val="center"/>
          </w:tcPr>
          <w:p w14:paraId="7BA2E9E6" w14:textId="77777777" w:rsidR="001C5479" w:rsidRPr="004E75B9" w:rsidRDefault="001C5479" w:rsidP="00481406">
            <w:pPr>
              <w:rPr>
                <w:rFonts w:ascii="Arial" w:hAnsi="Arial" w:cs="Arial"/>
                <w:sz w:val="20"/>
                <w:lang w:val="en-GB"/>
              </w:rPr>
            </w:pPr>
            <w:r w:rsidRPr="004E75B9">
              <w:rPr>
                <w:rFonts w:ascii="Arial" w:hAnsi="Arial" w:cs="Arial"/>
                <w:sz w:val="20"/>
                <w:lang w:val="en-GB"/>
              </w:rPr>
              <w:t>Balance of assets held by trustees</w:t>
            </w:r>
          </w:p>
        </w:tc>
        <w:tc>
          <w:tcPr>
            <w:tcW w:w="2835" w:type="dxa"/>
            <w:tcBorders>
              <w:top w:val="nil"/>
              <w:left w:val="nil"/>
              <w:bottom w:val="single" w:sz="4" w:space="0" w:color="auto"/>
              <w:right w:val="single" w:sz="4" w:space="0" w:color="auto"/>
            </w:tcBorders>
            <w:vAlign w:val="center"/>
          </w:tcPr>
          <w:p w14:paraId="33F40C33" w14:textId="77777777" w:rsidR="001C5479" w:rsidRPr="004E75B9" w:rsidRDefault="001C5479" w:rsidP="00481406">
            <w:pPr>
              <w:rPr>
                <w:rFonts w:ascii="Arial" w:hAnsi="Arial" w:cs="Arial"/>
                <w:sz w:val="20"/>
                <w:lang w:val="en-GB"/>
              </w:rPr>
            </w:pPr>
            <w:r w:rsidRPr="004E75B9">
              <w:rPr>
                <w:rFonts w:ascii="Arial" w:hAnsi="Arial" w:cs="Arial"/>
                <w:sz w:val="20"/>
                <w:lang w:val="en-GB"/>
              </w:rPr>
              <w:t>organisation acting as a trustee</w:t>
            </w:r>
          </w:p>
        </w:tc>
        <w:tc>
          <w:tcPr>
            <w:tcW w:w="1701" w:type="dxa"/>
            <w:tcBorders>
              <w:top w:val="nil"/>
              <w:left w:val="nil"/>
              <w:bottom w:val="single" w:sz="4" w:space="0" w:color="auto"/>
              <w:right w:val="single" w:sz="4" w:space="0" w:color="auto"/>
            </w:tcBorders>
            <w:vAlign w:val="center"/>
          </w:tcPr>
          <w:p w14:paraId="3484CCE1" w14:textId="77777777" w:rsidR="001C5479" w:rsidRPr="004E75B9" w:rsidRDefault="001C5479" w:rsidP="00481406">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65B4B119" w14:textId="77777777" w:rsidR="001C5479" w:rsidRPr="004E75B9" w:rsidRDefault="001C5479" w:rsidP="00481406">
            <w:pPr>
              <w:jc w:val="center"/>
              <w:rPr>
                <w:rFonts w:ascii="Arial" w:hAnsi="Arial" w:cs="Arial"/>
                <w:sz w:val="20"/>
                <w:lang w:val="en-GB"/>
              </w:rPr>
            </w:pPr>
            <w:r w:rsidRPr="004E75B9">
              <w:rPr>
                <w:rFonts w:ascii="Arial" w:hAnsi="Arial" w:cs="Arial"/>
                <w:sz w:val="20"/>
                <w:lang w:val="en-GB"/>
              </w:rPr>
              <w:t>electronic</w:t>
            </w:r>
          </w:p>
          <w:p w14:paraId="5FFAF25C" w14:textId="77777777" w:rsidR="001C5479" w:rsidRPr="004E75B9" w:rsidRDefault="001C5479" w:rsidP="00481406">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9308AF0" w14:textId="3529C616" w:rsidR="001C5479" w:rsidRPr="004E75B9" w:rsidRDefault="001C5479" w:rsidP="00481406">
            <w:pPr>
              <w:jc w:val="center"/>
              <w:rPr>
                <w:rFonts w:ascii="Arial" w:hAnsi="Arial" w:cs="Arial"/>
                <w:sz w:val="20"/>
                <w:lang w:val="en-GB"/>
              </w:rPr>
            </w:pPr>
            <w:r w:rsidRPr="004E75B9">
              <w:rPr>
                <w:rFonts w:ascii="Arial" w:hAnsi="Arial" w:cs="Arial"/>
                <w:sz w:val="20"/>
                <w:lang w:val="en-GB"/>
              </w:rPr>
              <w:t>28 February of the year following the reference period</w:t>
            </w:r>
          </w:p>
        </w:tc>
      </w:tr>
      <w:tr w:rsidR="004E75B9" w:rsidRPr="004E75B9" w14:paraId="34B02EC4" w14:textId="77777777" w:rsidTr="00481406">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4874B2A3" w:rsidR="00471EE4" w:rsidRPr="004E75B9" w:rsidRDefault="00EE63E1" w:rsidP="00471EE4">
            <w:pPr>
              <w:jc w:val="center"/>
              <w:rPr>
                <w:rFonts w:ascii="Arial" w:hAnsi="Arial" w:cs="Arial"/>
                <w:sz w:val="20"/>
                <w:lang w:val="en-GB"/>
              </w:rPr>
            </w:pPr>
            <w:r w:rsidRPr="004E75B9">
              <w:rPr>
                <w:rFonts w:ascii="Arial" w:hAnsi="Arial" w:cs="Arial"/>
                <w:sz w:val="20"/>
                <w:lang w:val="en-GB"/>
              </w:rPr>
              <w:t>32</w:t>
            </w:r>
          </w:p>
        </w:tc>
        <w:tc>
          <w:tcPr>
            <w:tcW w:w="1418" w:type="dxa"/>
            <w:tcBorders>
              <w:top w:val="nil"/>
              <w:left w:val="single" w:sz="4" w:space="0" w:color="auto"/>
              <w:bottom w:val="single" w:sz="4" w:space="0" w:color="auto"/>
              <w:right w:val="single" w:sz="4" w:space="0" w:color="auto"/>
            </w:tcBorders>
            <w:vAlign w:val="center"/>
          </w:tcPr>
          <w:p w14:paraId="34B02EB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F20</w:t>
            </w:r>
          </w:p>
        </w:tc>
        <w:tc>
          <w:tcPr>
            <w:tcW w:w="2598" w:type="dxa"/>
            <w:tcBorders>
              <w:top w:val="nil"/>
              <w:left w:val="nil"/>
              <w:bottom w:val="single" w:sz="4" w:space="0" w:color="auto"/>
              <w:right w:val="single" w:sz="4" w:space="0" w:color="auto"/>
            </w:tcBorders>
            <w:vAlign w:val="center"/>
          </w:tcPr>
          <w:p w14:paraId="34B02EBE" w14:textId="685F83E6" w:rsidR="00471EE4" w:rsidRPr="004E75B9" w:rsidRDefault="00471EE4" w:rsidP="00471EE4">
            <w:pPr>
              <w:rPr>
                <w:rFonts w:ascii="Arial" w:hAnsi="Arial" w:cs="Arial"/>
                <w:sz w:val="20"/>
                <w:lang w:val="en-GB"/>
              </w:rPr>
            </w:pPr>
            <w:r w:rsidRPr="004E75B9">
              <w:rPr>
                <w:rFonts w:ascii="Arial" w:hAnsi="Arial" w:cs="Arial"/>
                <w:sz w:val="20"/>
                <w:lang w:val="en-GB"/>
              </w:rPr>
              <w:t>Balance Sheet report of budgetary organisations broken down by sub-systems (balance sheet)</w:t>
            </w:r>
          </w:p>
        </w:tc>
        <w:tc>
          <w:tcPr>
            <w:tcW w:w="2835" w:type="dxa"/>
            <w:tcBorders>
              <w:top w:val="nil"/>
              <w:left w:val="nil"/>
              <w:bottom w:val="single" w:sz="4" w:space="0" w:color="auto"/>
              <w:right w:val="single" w:sz="4" w:space="0" w:color="auto"/>
            </w:tcBorders>
            <w:vAlign w:val="center"/>
          </w:tcPr>
          <w:p w14:paraId="34B02EBF" w14:textId="3353ED7E"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EC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274C9C6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C2" w14:textId="6F94A5C8"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C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1st working day following the processing</w:t>
            </w:r>
          </w:p>
        </w:tc>
      </w:tr>
      <w:tr w:rsidR="004E75B9" w:rsidRPr="004E75B9" w14:paraId="34B02ECD" w14:textId="77777777" w:rsidTr="00481406">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3FF5EC1C" w:rsidR="00471EE4" w:rsidRPr="004E75B9" w:rsidRDefault="00EE63E1" w:rsidP="00471EE4">
            <w:pPr>
              <w:jc w:val="center"/>
              <w:rPr>
                <w:rFonts w:ascii="Arial" w:hAnsi="Arial" w:cs="Arial"/>
                <w:sz w:val="20"/>
                <w:lang w:val="en-GB"/>
              </w:rPr>
            </w:pPr>
            <w:r w:rsidRPr="004E75B9">
              <w:rPr>
                <w:rFonts w:ascii="Arial" w:hAnsi="Arial" w:cs="Arial"/>
                <w:sz w:val="20"/>
                <w:lang w:val="en-GB"/>
              </w:rPr>
              <w:t>33</w:t>
            </w:r>
          </w:p>
        </w:tc>
        <w:tc>
          <w:tcPr>
            <w:tcW w:w="1418" w:type="dxa"/>
            <w:tcBorders>
              <w:top w:val="nil"/>
              <w:left w:val="single" w:sz="4" w:space="0" w:color="auto"/>
              <w:bottom w:val="single" w:sz="4" w:space="0" w:color="auto"/>
              <w:right w:val="single" w:sz="4" w:space="0" w:color="auto"/>
            </w:tcBorders>
            <w:vAlign w:val="center"/>
          </w:tcPr>
          <w:p w14:paraId="34B02EC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F21</w:t>
            </w:r>
          </w:p>
        </w:tc>
        <w:tc>
          <w:tcPr>
            <w:tcW w:w="2598" w:type="dxa"/>
            <w:tcBorders>
              <w:top w:val="nil"/>
              <w:left w:val="nil"/>
              <w:bottom w:val="single" w:sz="4" w:space="0" w:color="auto"/>
              <w:right w:val="single" w:sz="4" w:space="0" w:color="auto"/>
            </w:tcBorders>
            <w:vAlign w:val="center"/>
          </w:tcPr>
          <w:p w14:paraId="34B02EC7" w14:textId="77777777" w:rsidR="00471EE4" w:rsidRPr="004E75B9" w:rsidRDefault="00471EE4" w:rsidP="00471EE4">
            <w:pPr>
              <w:rPr>
                <w:rFonts w:ascii="Arial" w:hAnsi="Arial" w:cs="Arial"/>
                <w:sz w:val="20"/>
                <w:lang w:val="en-GB"/>
              </w:rPr>
            </w:pPr>
            <w:r w:rsidRPr="004E75B9">
              <w:rPr>
                <w:rFonts w:ascii="Arial" w:hAnsi="Arial" w:cs="Arial"/>
                <w:sz w:val="20"/>
                <w:lang w:val="en-GB"/>
              </w:rPr>
              <w:t xml:space="preserve">Budget report of social security funds </w:t>
            </w:r>
          </w:p>
        </w:tc>
        <w:tc>
          <w:tcPr>
            <w:tcW w:w="2835" w:type="dxa"/>
            <w:tcBorders>
              <w:top w:val="nil"/>
              <w:left w:val="nil"/>
              <w:bottom w:val="single" w:sz="4" w:space="0" w:color="auto"/>
              <w:right w:val="single" w:sz="4" w:space="0" w:color="auto"/>
            </w:tcBorders>
            <w:vAlign w:val="center"/>
          </w:tcPr>
          <w:p w14:paraId="34B02EC8" w14:textId="35CABF09"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EC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F417FA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CB" w14:textId="34A8EBCF"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2B7E40A" w14:textId="4D30C5F8" w:rsidR="00471EE4" w:rsidRPr="004E75B9" w:rsidRDefault="00471EE4" w:rsidP="00471EE4">
            <w:pPr>
              <w:jc w:val="center"/>
              <w:rPr>
                <w:rFonts w:ascii="Arial" w:hAnsi="Arial" w:cs="Arial"/>
                <w:sz w:val="20"/>
                <w:lang w:val="en-GB"/>
              </w:rPr>
            </w:pPr>
            <w:r w:rsidRPr="004E75B9">
              <w:rPr>
                <w:rFonts w:ascii="Arial" w:hAnsi="Arial" w:cs="Arial"/>
                <w:sz w:val="20"/>
                <w:lang w:val="en-GB"/>
              </w:rPr>
              <w:t>for months January – November: 28th day of the month following the reference period</w:t>
            </w:r>
          </w:p>
          <w:p w14:paraId="34B02ECC" w14:textId="7E0BB5FD" w:rsidR="00471EE4" w:rsidRPr="004E75B9" w:rsidRDefault="00471EE4" w:rsidP="00471EE4">
            <w:pPr>
              <w:jc w:val="center"/>
              <w:rPr>
                <w:rFonts w:ascii="Arial" w:hAnsi="Arial" w:cs="Arial"/>
                <w:sz w:val="20"/>
                <w:lang w:val="en-GB"/>
              </w:rPr>
            </w:pPr>
            <w:r w:rsidRPr="004E75B9">
              <w:rPr>
                <w:rFonts w:ascii="Arial" w:hAnsi="Arial" w:cs="Arial"/>
                <w:sz w:val="20"/>
                <w:lang w:val="en-GB"/>
              </w:rPr>
              <w:t>for December: the first working day after 5 February of the year following the reference period</w:t>
            </w:r>
          </w:p>
        </w:tc>
      </w:tr>
      <w:tr w:rsidR="004E75B9" w:rsidRPr="004E75B9" w14:paraId="34B02ED6" w14:textId="77777777" w:rsidTr="00481406">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86FC04B" w:rsidR="00471EE4" w:rsidRPr="004E75B9" w:rsidRDefault="00EE63E1" w:rsidP="00471EE4">
            <w:pPr>
              <w:jc w:val="center"/>
              <w:rPr>
                <w:rFonts w:ascii="Arial" w:hAnsi="Arial" w:cs="Arial"/>
                <w:sz w:val="20"/>
                <w:lang w:val="en-GB"/>
              </w:rPr>
            </w:pPr>
            <w:r w:rsidRPr="004E75B9">
              <w:rPr>
                <w:rFonts w:ascii="Arial" w:hAnsi="Arial" w:cs="Arial"/>
                <w:sz w:val="20"/>
                <w:lang w:val="en-GB"/>
              </w:rPr>
              <w:t>34</w:t>
            </w:r>
          </w:p>
        </w:tc>
        <w:tc>
          <w:tcPr>
            <w:tcW w:w="1418" w:type="dxa"/>
            <w:tcBorders>
              <w:top w:val="nil"/>
              <w:left w:val="single" w:sz="4" w:space="0" w:color="auto"/>
              <w:bottom w:val="single" w:sz="4" w:space="0" w:color="auto"/>
              <w:right w:val="single" w:sz="4" w:space="0" w:color="auto"/>
            </w:tcBorders>
            <w:vAlign w:val="center"/>
          </w:tcPr>
          <w:p w14:paraId="34B02EC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F28</w:t>
            </w:r>
          </w:p>
        </w:tc>
        <w:tc>
          <w:tcPr>
            <w:tcW w:w="2598" w:type="dxa"/>
            <w:tcBorders>
              <w:top w:val="nil"/>
              <w:left w:val="nil"/>
              <w:bottom w:val="single" w:sz="4" w:space="0" w:color="auto"/>
              <w:right w:val="single" w:sz="4" w:space="0" w:color="auto"/>
            </w:tcBorders>
            <w:vAlign w:val="center"/>
          </w:tcPr>
          <w:p w14:paraId="34B02ED0" w14:textId="77777777" w:rsidR="00471EE4" w:rsidRPr="004E75B9" w:rsidRDefault="00471EE4" w:rsidP="00471EE4">
            <w:pPr>
              <w:rPr>
                <w:rFonts w:ascii="Arial" w:hAnsi="Arial" w:cs="Arial"/>
                <w:sz w:val="20"/>
                <w:lang w:val="en-GB"/>
              </w:rPr>
            </w:pPr>
            <w:r w:rsidRPr="004E75B9">
              <w:rPr>
                <w:rFonts w:ascii="Arial" w:hAnsi="Arial" w:cs="Arial"/>
                <w:sz w:val="20"/>
                <w:lang w:val="en-GB"/>
              </w:rPr>
              <w:t>Aggregated budget report of local governments</w:t>
            </w:r>
          </w:p>
        </w:tc>
        <w:tc>
          <w:tcPr>
            <w:tcW w:w="2835" w:type="dxa"/>
            <w:tcBorders>
              <w:top w:val="nil"/>
              <w:left w:val="nil"/>
              <w:bottom w:val="single" w:sz="4" w:space="0" w:color="auto"/>
              <w:right w:val="single" w:sz="4" w:space="0" w:color="auto"/>
            </w:tcBorders>
            <w:vAlign w:val="center"/>
          </w:tcPr>
          <w:p w14:paraId="34B02ED1" w14:textId="3E0F81F4"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ED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04DE0AD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D4" w14:textId="4F6B2B4E"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D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1st working day following the processing</w:t>
            </w:r>
          </w:p>
        </w:tc>
      </w:tr>
      <w:tr w:rsidR="004E75B9" w:rsidRPr="004E75B9" w14:paraId="7492548E" w14:textId="77777777" w:rsidTr="00481406">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73F944A1" w:rsidR="00E7366A" w:rsidRPr="004E75B9" w:rsidRDefault="00E7366A" w:rsidP="00471EE4">
            <w:pPr>
              <w:jc w:val="center"/>
              <w:rPr>
                <w:rFonts w:ascii="Arial" w:hAnsi="Arial" w:cs="Arial"/>
                <w:sz w:val="20"/>
                <w:lang w:val="en-GB"/>
              </w:rPr>
            </w:pPr>
            <w:r w:rsidRPr="004E75B9">
              <w:rPr>
                <w:rFonts w:ascii="Arial" w:hAnsi="Arial" w:cs="Arial"/>
                <w:sz w:val="20"/>
                <w:lang w:val="en-GB"/>
              </w:rPr>
              <w:t>34a</w:t>
            </w:r>
          </w:p>
        </w:tc>
        <w:tc>
          <w:tcPr>
            <w:tcW w:w="1418" w:type="dxa"/>
            <w:tcBorders>
              <w:top w:val="nil"/>
              <w:left w:val="single" w:sz="4" w:space="0" w:color="auto"/>
              <w:bottom w:val="single" w:sz="4" w:space="0" w:color="auto"/>
              <w:right w:val="single" w:sz="4" w:space="0" w:color="auto"/>
            </w:tcBorders>
            <w:vAlign w:val="center"/>
          </w:tcPr>
          <w:p w14:paraId="549C9A6F" w14:textId="3CCAD045" w:rsidR="00E7366A" w:rsidRPr="004E75B9" w:rsidRDefault="00E7366A" w:rsidP="00471EE4">
            <w:pPr>
              <w:jc w:val="center"/>
              <w:rPr>
                <w:rFonts w:ascii="Arial" w:hAnsi="Arial" w:cs="Arial"/>
                <w:sz w:val="20"/>
                <w:lang w:val="en-GB"/>
              </w:rPr>
            </w:pPr>
            <w:r w:rsidRPr="004E75B9">
              <w:rPr>
                <w:rFonts w:ascii="Arial" w:hAnsi="Arial" w:cs="Arial"/>
                <w:sz w:val="20"/>
                <w:lang w:val="en-GB"/>
              </w:rPr>
              <w:t>F29</w:t>
            </w:r>
          </w:p>
        </w:tc>
        <w:tc>
          <w:tcPr>
            <w:tcW w:w="2598" w:type="dxa"/>
            <w:tcBorders>
              <w:top w:val="nil"/>
              <w:left w:val="nil"/>
              <w:bottom w:val="single" w:sz="4" w:space="0" w:color="auto"/>
              <w:right w:val="single" w:sz="4" w:space="0" w:color="auto"/>
            </w:tcBorders>
            <w:vAlign w:val="center"/>
          </w:tcPr>
          <w:p w14:paraId="16DD876B" w14:textId="4BA4C39A" w:rsidR="00E7366A" w:rsidRPr="004E75B9" w:rsidRDefault="00E7366A" w:rsidP="00471EE4">
            <w:pPr>
              <w:rPr>
                <w:rFonts w:ascii="Arial" w:hAnsi="Arial" w:cs="Arial"/>
                <w:sz w:val="20"/>
                <w:lang w:val="en-GB"/>
              </w:rPr>
            </w:pPr>
            <w:r w:rsidRPr="004E75B9">
              <w:rPr>
                <w:rFonts w:ascii="Arial" w:hAnsi="Arial" w:cs="Arial"/>
                <w:sz w:val="20"/>
                <w:lang w:val="en-GB"/>
              </w:rPr>
              <w:t>Statistical balance sheet of the Hungarian State Treasury (centrally administered appropriations)</w:t>
            </w:r>
          </w:p>
        </w:tc>
        <w:tc>
          <w:tcPr>
            <w:tcW w:w="2835" w:type="dxa"/>
            <w:tcBorders>
              <w:top w:val="nil"/>
              <w:left w:val="nil"/>
              <w:bottom w:val="single" w:sz="4" w:space="0" w:color="auto"/>
              <w:right w:val="single" w:sz="4" w:space="0" w:color="auto"/>
            </w:tcBorders>
            <w:vAlign w:val="center"/>
          </w:tcPr>
          <w:p w14:paraId="4BA0D2CF" w14:textId="0AF0D14D" w:rsidR="00E7366A" w:rsidRPr="004E75B9" w:rsidRDefault="00E7366A"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73C43F37" w14:textId="539A2F18" w:rsidR="00E7366A" w:rsidRPr="004E75B9" w:rsidRDefault="00E7366A"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60441D4D" w14:textId="77777777" w:rsidR="00A5202B" w:rsidRPr="004E75B9" w:rsidRDefault="00A5202B" w:rsidP="00A5202B">
            <w:pPr>
              <w:jc w:val="center"/>
              <w:rPr>
                <w:rFonts w:ascii="Arial" w:hAnsi="Arial" w:cs="Arial"/>
                <w:sz w:val="20"/>
                <w:lang w:val="en-GB"/>
              </w:rPr>
            </w:pPr>
            <w:r w:rsidRPr="004E75B9">
              <w:rPr>
                <w:rFonts w:ascii="Arial" w:hAnsi="Arial" w:cs="Arial"/>
                <w:sz w:val="20"/>
                <w:lang w:val="en-GB"/>
              </w:rPr>
              <w:t>electronic</w:t>
            </w:r>
          </w:p>
          <w:p w14:paraId="4ABA1006" w14:textId="3024FF2C" w:rsidR="00E7366A" w:rsidRPr="004E75B9" w:rsidRDefault="00A5202B" w:rsidP="00A5202B">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F059783" w14:textId="5D0D876E" w:rsidR="00E7366A" w:rsidRPr="004E75B9" w:rsidRDefault="00A5202B" w:rsidP="00471EE4">
            <w:pPr>
              <w:jc w:val="center"/>
              <w:rPr>
                <w:rFonts w:ascii="Arial" w:hAnsi="Arial" w:cs="Arial"/>
                <w:sz w:val="20"/>
                <w:lang w:val="en-GB"/>
              </w:rPr>
            </w:pPr>
            <w:r w:rsidRPr="004E75B9">
              <w:rPr>
                <w:rFonts w:ascii="Arial" w:hAnsi="Arial" w:cs="Arial"/>
                <w:sz w:val="20"/>
                <w:lang w:val="en-GB"/>
              </w:rPr>
              <w:t>30th day of the month following the reference period</w:t>
            </w:r>
          </w:p>
        </w:tc>
      </w:tr>
      <w:tr w:rsidR="004E75B9" w:rsidRPr="004E75B9" w14:paraId="34B02EDF" w14:textId="77777777" w:rsidTr="00481406">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6B116D63" w:rsidR="00471EE4" w:rsidRPr="004E75B9" w:rsidRDefault="00EE63E1" w:rsidP="00471EE4">
            <w:pPr>
              <w:jc w:val="center"/>
              <w:rPr>
                <w:rFonts w:ascii="Arial" w:hAnsi="Arial" w:cs="Arial"/>
                <w:sz w:val="20"/>
                <w:lang w:val="en-GB"/>
              </w:rPr>
            </w:pPr>
            <w:r w:rsidRPr="004E75B9">
              <w:rPr>
                <w:rFonts w:ascii="Arial" w:hAnsi="Arial" w:cs="Arial"/>
                <w:sz w:val="20"/>
                <w:lang w:val="en-GB"/>
              </w:rPr>
              <w:t>35</w:t>
            </w:r>
          </w:p>
        </w:tc>
        <w:tc>
          <w:tcPr>
            <w:tcW w:w="1418" w:type="dxa"/>
            <w:tcBorders>
              <w:top w:val="nil"/>
              <w:left w:val="single" w:sz="4" w:space="0" w:color="auto"/>
              <w:bottom w:val="single" w:sz="4" w:space="0" w:color="auto"/>
              <w:right w:val="single" w:sz="4" w:space="0" w:color="auto"/>
            </w:tcBorders>
            <w:vAlign w:val="center"/>
          </w:tcPr>
          <w:p w14:paraId="34B02ED8" w14:textId="169E546C" w:rsidR="00471EE4" w:rsidRPr="004E75B9" w:rsidRDefault="00471EE4" w:rsidP="00471EE4">
            <w:pPr>
              <w:jc w:val="center"/>
              <w:rPr>
                <w:rFonts w:ascii="Arial" w:hAnsi="Arial" w:cs="Arial"/>
                <w:sz w:val="20"/>
                <w:lang w:val="en-GB"/>
              </w:rPr>
            </w:pPr>
            <w:r w:rsidRPr="004E75B9">
              <w:rPr>
                <w:rFonts w:ascii="Arial" w:hAnsi="Arial" w:cs="Arial"/>
                <w:sz w:val="20"/>
                <w:lang w:val="en-GB"/>
              </w:rPr>
              <w:t>F32</w:t>
            </w:r>
          </w:p>
        </w:tc>
        <w:tc>
          <w:tcPr>
            <w:tcW w:w="2598" w:type="dxa"/>
            <w:tcBorders>
              <w:top w:val="nil"/>
              <w:left w:val="nil"/>
              <w:bottom w:val="single" w:sz="4" w:space="0" w:color="auto"/>
              <w:right w:val="single" w:sz="4" w:space="0" w:color="auto"/>
            </w:tcBorders>
            <w:vAlign w:val="center"/>
          </w:tcPr>
          <w:p w14:paraId="34B02ED9" w14:textId="5319649C" w:rsidR="00471EE4" w:rsidRPr="004E75B9" w:rsidRDefault="00471EE4" w:rsidP="00471EE4">
            <w:pPr>
              <w:rPr>
                <w:rFonts w:ascii="Arial" w:hAnsi="Arial" w:cs="Arial"/>
                <w:sz w:val="20"/>
                <w:lang w:val="en-GB"/>
              </w:rPr>
            </w:pPr>
            <w:r w:rsidRPr="004E75B9">
              <w:rPr>
                <w:rFonts w:ascii="Arial" w:hAnsi="Arial" w:cs="Arial"/>
                <w:sz w:val="20"/>
                <w:lang w:val="en-GB"/>
              </w:rPr>
              <w:t>Report on the gross debt of the central budget</w:t>
            </w:r>
          </w:p>
        </w:tc>
        <w:tc>
          <w:tcPr>
            <w:tcW w:w="2835" w:type="dxa"/>
            <w:tcBorders>
              <w:top w:val="nil"/>
              <w:left w:val="nil"/>
              <w:bottom w:val="single" w:sz="4" w:space="0" w:color="auto"/>
              <w:right w:val="single" w:sz="4" w:space="0" w:color="auto"/>
            </w:tcBorders>
            <w:vAlign w:val="center"/>
          </w:tcPr>
          <w:p w14:paraId="34B02EDA" w14:textId="75B0FAD5" w:rsidR="00471EE4" w:rsidRPr="004E75B9" w:rsidRDefault="00471EE4" w:rsidP="00471EE4">
            <w:pPr>
              <w:rPr>
                <w:rFonts w:ascii="Arial" w:hAnsi="Arial" w:cs="Arial"/>
                <w:sz w:val="20"/>
                <w:lang w:val="en-GB"/>
              </w:rPr>
            </w:pPr>
            <w:r w:rsidRPr="004E75B9">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DB" w14:textId="0DD2621F"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023BE97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DD" w14:textId="5D6937A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DE" w14:textId="5B0AEBB1"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2EE9" w14:textId="77777777" w:rsidTr="00481406">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4D00DA7D" w:rsidR="00471EE4" w:rsidRPr="004E75B9" w:rsidRDefault="00EE63E1" w:rsidP="00471EE4">
            <w:pPr>
              <w:jc w:val="center"/>
              <w:rPr>
                <w:rFonts w:ascii="Arial" w:hAnsi="Arial" w:cs="Arial"/>
                <w:sz w:val="20"/>
                <w:lang w:val="en-GB"/>
              </w:rPr>
            </w:pPr>
            <w:r w:rsidRPr="004E75B9">
              <w:rPr>
                <w:rFonts w:ascii="Arial" w:hAnsi="Arial" w:cs="Arial"/>
                <w:sz w:val="20"/>
                <w:lang w:val="en-GB"/>
              </w:rPr>
              <w:t>36</w:t>
            </w:r>
          </w:p>
        </w:tc>
        <w:tc>
          <w:tcPr>
            <w:tcW w:w="1418" w:type="dxa"/>
            <w:tcBorders>
              <w:top w:val="nil"/>
              <w:left w:val="single" w:sz="4" w:space="0" w:color="auto"/>
              <w:bottom w:val="single" w:sz="4" w:space="0" w:color="auto"/>
              <w:right w:val="single" w:sz="4" w:space="0" w:color="auto"/>
            </w:tcBorders>
            <w:vAlign w:val="center"/>
          </w:tcPr>
          <w:p w14:paraId="34B02EE1" w14:textId="34CACA8C" w:rsidR="00471EE4" w:rsidRPr="004E75B9" w:rsidRDefault="00471EE4" w:rsidP="00471EE4">
            <w:pPr>
              <w:jc w:val="center"/>
              <w:rPr>
                <w:rFonts w:ascii="Arial" w:hAnsi="Arial" w:cs="Arial"/>
                <w:sz w:val="20"/>
                <w:lang w:val="en-GB"/>
              </w:rPr>
            </w:pPr>
            <w:r w:rsidRPr="004E75B9">
              <w:rPr>
                <w:rFonts w:ascii="Arial" w:hAnsi="Arial" w:cs="Arial"/>
                <w:sz w:val="20"/>
                <w:lang w:val="en-GB"/>
              </w:rPr>
              <w:t>F39</w:t>
            </w:r>
          </w:p>
        </w:tc>
        <w:tc>
          <w:tcPr>
            <w:tcW w:w="2598" w:type="dxa"/>
            <w:tcBorders>
              <w:top w:val="nil"/>
              <w:left w:val="nil"/>
              <w:bottom w:val="single" w:sz="4" w:space="0" w:color="auto"/>
              <w:right w:val="single" w:sz="4" w:space="0" w:color="auto"/>
            </w:tcBorders>
            <w:vAlign w:val="center"/>
          </w:tcPr>
          <w:p w14:paraId="34B02EE2" w14:textId="62C92E3B" w:rsidR="00471EE4" w:rsidRPr="004E75B9" w:rsidRDefault="00471EE4" w:rsidP="00471EE4">
            <w:pPr>
              <w:rPr>
                <w:rFonts w:ascii="Arial" w:hAnsi="Arial" w:cs="Arial"/>
                <w:sz w:val="20"/>
                <w:lang w:val="en-GB"/>
              </w:rPr>
            </w:pPr>
            <w:r w:rsidRPr="004E75B9">
              <w:rPr>
                <w:rFonts w:ascii="Arial" w:hAnsi="Arial" w:cs="Arial"/>
                <w:sz w:val="20"/>
                <w:lang w:val="en-GB"/>
              </w:rPr>
              <w:t>Statistical Balance Sheet of non-monetary financial intermediaries</w:t>
            </w:r>
          </w:p>
        </w:tc>
        <w:tc>
          <w:tcPr>
            <w:tcW w:w="2835" w:type="dxa"/>
            <w:tcBorders>
              <w:top w:val="nil"/>
              <w:left w:val="nil"/>
              <w:bottom w:val="single" w:sz="4" w:space="0" w:color="auto"/>
              <w:right w:val="single" w:sz="4" w:space="0" w:color="auto"/>
            </w:tcBorders>
            <w:vAlign w:val="center"/>
          </w:tcPr>
          <w:p w14:paraId="34B02EE3" w14:textId="5AFF7150" w:rsidR="00471EE4" w:rsidRPr="004E75B9" w:rsidRDefault="00471EE4" w:rsidP="00471EE4">
            <w:pPr>
              <w:rPr>
                <w:rFonts w:ascii="Arial" w:hAnsi="Arial" w:cs="Arial"/>
                <w:sz w:val="20"/>
                <w:lang w:val="en-GB"/>
              </w:rPr>
            </w:pPr>
            <w:r w:rsidRPr="004E75B9">
              <w:rPr>
                <w:rFonts w:ascii="Arial" w:hAnsi="Arial" w:cs="Arial"/>
                <w:sz w:val="20"/>
                <w:lang w:val="en-GB"/>
              </w:rPr>
              <w:t>designated economic agents allocated to the sectors of D) Other financial intermediaries, E) Financial auxiliaries and G) of point I. A. of Annex 2 hereto</w:t>
            </w:r>
          </w:p>
        </w:tc>
        <w:tc>
          <w:tcPr>
            <w:tcW w:w="1701" w:type="dxa"/>
            <w:tcBorders>
              <w:top w:val="nil"/>
              <w:left w:val="nil"/>
              <w:bottom w:val="single" w:sz="4" w:space="0" w:color="auto"/>
              <w:right w:val="single" w:sz="4" w:space="0" w:color="auto"/>
            </w:tcBorders>
            <w:vAlign w:val="center"/>
          </w:tcPr>
          <w:p w14:paraId="34B02EE4" w14:textId="14AAE8C6" w:rsidR="00471EE4" w:rsidRPr="004E75B9" w:rsidRDefault="00471EE4" w:rsidP="00471EE4">
            <w:pPr>
              <w:jc w:val="center"/>
              <w:rPr>
                <w:rFonts w:ascii="Arial" w:hAnsi="Arial" w:cs="Arial"/>
                <w:sz w:val="20"/>
                <w:lang w:val="en-GB"/>
              </w:rPr>
            </w:pPr>
            <w:r w:rsidRPr="004E75B9">
              <w:rPr>
                <w:rFonts w:ascii="Arial" w:hAnsi="Arial" w:cs="Arial"/>
                <w:sz w:val="20"/>
                <w:lang w:val="en-GB"/>
              </w:rPr>
              <w:t>based on individual order,</w:t>
            </w:r>
          </w:p>
          <w:p w14:paraId="34B02EE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5723B9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E7" w14:textId="28883C10"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E8" w14:textId="467CEB23" w:rsidR="00471EE4" w:rsidRPr="004E75B9" w:rsidRDefault="00471EE4" w:rsidP="00471EE4">
            <w:pPr>
              <w:jc w:val="center"/>
              <w:rPr>
                <w:rFonts w:ascii="Arial" w:hAnsi="Arial" w:cs="Arial"/>
                <w:sz w:val="20"/>
                <w:lang w:val="en-GB"/>
              </w:rPr>
            </w:pPr>
            <w:r w:rsidRPr="004E75B9">
              <w:rPr>
                <w:rFonts w:ascii="Arial" w:hAnsi="Arial" w:cs="Arial"/>
                <w:sz w:val="20"/>
                <w:lang w:val="en-GB"/>
              </w:rPr>
              <w:t>30th day of the month following the reference period</w:t>
            </w:r>
          </w:p>
        </w:tc>
      </w:tr>
      <w:tr w:rsidR="004E75B9" w:rsidRPr="004E75B9" w14:paraId="34B02EF2" w14:textId="77777777" w:rsidTr="00481406">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41558471" w:rsidR="00471EE4" w:rsidRPr="004E75B9" w:rsidRDefault="00EE63E1" w:rsidP="00471EE4">
            <w:pPr>
              <w:jc w:val="center"/>
              <w:rPr>
                <w:rFonts w:ascii="Arial" w:hAnsi="Arial" w:cs="Arial"/>
                <w:sz w:val="20"/>
                <w:lang w:val="en-GB"/>
              </w:rPr>
            </w:pPr>
            <w:r w:rsidRPr="004E75B9">
              <w:rPr>
                <w:rFonts w:ascii="Arial" w:hAnsi="Arial" w:cs="Arial"/>
                <w:sz w:val="20"/>
                <w:lang w:val="en-GB"/>
              </w:rPr>
              <w:t>37</w:t>
            </w:r>
          </w:p>
        </w:tc>
        <w:tc>
          <w:tcPr>
            <w:tcW w:w="1418" w:type="dxa"/>
            <w:tcBorders>
              <w:top w:val="nil"/>
              <w:left w:val="single" w:sz="4" w:space="0" w:color="auto"/>
              <w:bottom w:val="single" w:sz="4" w:space="0" w:color="auto"/>
              <w:right w:val="single" w:sz="4" w:space="0" w:color="auto"/>
            </w:tcBorders>
            <w:vAlign w:val="center"/>
          </w:tcPr>
          <w:p w14:paraId="34B02EEB" w14:textId="08C6BE04" w:rsidR="00471EE4" w:rsidRPr="004E75B9" w:rsidRDefault="00471EE4" w:rsidP="00471EE4">
            <w:pPr>
              <w:jc w:val="center"/>
              <w:rPr>
                <w:rFonts w:ascii="Arial" w:hAnsi="Arial" w:cs="Arial"/>
                <w:sz w:val="20"/>
                <w:lang w:val="en-GB"/>
              </w:rPr>
            </w:pPr>
            <w:r w:rsidRPr="004E75B9">
              <w:rPr>
                <w:rFonts w:ascii="Arial" w:hAnsi="Arial" w:cs="Arial"/>
                <w:sz w:val="20"/>
                <w:lang w:val="en-GB"/>
              </w:rPr>
              <w:t>F57</w:t>
            </w:r>
          </w:p>
        </w:tc>
        <w:tc>
          <w:tcPr>
            <w:tcW w:w="2598" w:type="dxa"/>
            <w:tcBorders>
              <w:top w:val="nil"/>
              <w:left w:val="nil"/>
              <w:bottom w:val="single" w:sz="4" w:space="0" w:color="auto"/>
              <w:right w:val="single" w:sz="4" w:space="0" w:color="auto"/>
            </w:tcBorders>
            <w:vAlign w:val="center"/>
          </w:tcPr>
          <w:p w14:paraId="34B02EEC" w14:textId="4B8F6440" w:rsidR="00471EE4" w:rsidRPr="004E75B9" w:rsidRDefault="00471EE4" w:rsidP="00471EE4">
            <w:pPr>
              <w:rPr>
                <w:rFonts w:ascii="Arial" w:hAnsi="Arial" w:cs="Arial"/>
                <w:sz w:val="20"/>
                <w:lang w:val="en-GB"/>
              </w:rPr>
            </w:pPr>
            <w:r w:rsidRPr="004E75B9">
              <w:rPr>
                <w:rFonts w:ascii="Arial" w:hAnsi="Arial" w:cs="Arial"/>
                <w:sz w:val="20"/>
                <w:lang w:val="en-GB"/>
              </w:rPr>
              <w:t>Daily flash report and detailed report of the Hungarian State Treasury</w:t>
            </w:r>
          </w:p>
        </w:tc>
        <w:tc>
          <w:tcPr>
            <w:tcW w:w="2835" w:type="dxa"/>
            <w:tcBorders>
              <w:top w:val="nil"/>
              <w:left w:val="nil"/>
              <w:bottom w:val="single" w:sz="4" w:space="0" w:color="auto"/>
              <w:right w:val="single" w:sz="4" w:space="0" w:color="auto"/>
            </w:tcBorders>
            <w:vAlign w:val="center"/>
          </w:tcPr>
          <w:p w14:paraId="34B02EED" w14:textId="5705BF18"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EEE" w14:textId="5A421B98" w:rsidR="00471EE4" w:rsidRPr="004E75B9" w:rsidRDefault="00471EE4" w:rsidP="00471EE4">
            <w:pPr>
              <w:jc w:val="center"/>
              <w:rPr>
                <w:rFonts w:ascii="Arial" w:hAnsi="Arial" w:cs="Arial"/>
                <w:sz w:val="20"/>
                <w:lang w:val="en-GB"/>
              </w:rPr>
            </w:pPr>
            <w:r w:rsidRPr="004E75B9">
              <w:rPr>
                <w:rFonts w:ascii="Arial" w:hAnsi="Arial" w:cs="Arial"/>
                <w:sz w:val="20"/>
                <w:lang w:val="en-GB"/>
              </w:rPr>
              <w:t>daily (flash report), monthly (detailed report)</w:t>
            </w:r>
          </w:p>
        </w:tc>
        <w:tc>
          <w:tcPr>
            <w:tcW w:w="1796" w:type="dxa"/>
            <w:tcBorders>
              <w:top w:val="nil"/>
              <w:left w:val="nil"/>
              <w:bottom w:val="single" w:sz="4" w:space="0" w:color="auto"/>
              <w:right w:val="single" w:sz="4" w:space="0" w:color="auto"/>
            </w:tcBorders>
            <w:vAlign w:val="center"/>
          </w:tcPr>
          <w:p w14:paraId="0E13837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F0" w14:textId="0D74EF1B"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F1" w14:textId="75062FAD" w:rsidR="00471EE4" w:rsidRPr="004E75B9" w:rsidRDefault="00471EE4" w:rsidP="00471EE4">
            <w:pPr>
              <w:jc w:val="center"/>
              <w:rPr>
                <w:rFonts w:ascii="Arial" w:hAnsi="Arial" w:cs="Arial"/>
                <w:sz w:val="20"/>
                <w:lang w:val="en-GB"/>
              </w:rPr>
            </w:pPr>
            <w:r w:rsidRPr="004E75B9">
              <w:rPr>
                <w:rFonts w:ascii="Arial" w:hAnsi="Arial" w:cs="Arial"/>
                <w:sz w:val="20"/>
                <w:lang w:val="en-GB"/>
              </w:rPr>
              <w:t>11 a.m. on the first working day following the reference period</w:t>
            </w:r>
          </w:p>
        </w:tc>
      </w:tr>
      <w:tr w:rsidR="004E75B9" w:rsidRPr="004E75B9" w14:paraId="34B02EFB" w14:textId="77777777" w:rsidTr="00481406">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095FFCD5"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38</w:t>
            </w:r>
          </w:p>
        </w:tc>
        <w:tc>
          <w:tcPr>
            <w:tcW w:w="1418" w:type="dxa"/>
            <w:tcBorders>
              <w:top w:val="nil"/>
              <w:left w:val="single" w:sz="4" w:space="0" w:color="auto"/>
              <w:bottom w:val="single" w:sz="4" w:space="0" w:color="auto"/>
              <w:right w:val="single" w:sz="4" w:space="0" w:color="auto"/>
            </w:tcBorders>
            <w:vAlign w:val="center"/>
          </w:tcPr>
          <w:p w14:paraId="34B02EF4" w14:textId="427329F5" w:rsidR="00471EE4" w:rsidRPr="004E75B9" w:rsidRDefault="00471EE4" w:rsidP="00471EE4">
            <w:pPr>
              <w:ind w:left="62" w:hanging="62"/>
              <w:jc w:val="center"/>
              <w:rPr>
                <w:rFonts w:ascii="Arial" w:hAnsi="Arial" w:cs="Arial"/>
                <w:sz w:val="20"/>
                <w:lang w:val="en-GB"/>
              </w:rPr>
            </w:pPr>
            <w:r w:rsidRPr="004E75B9">
              <w:rPr>
                <w:rFonts w:ascii="Arial" w:hAnsi="Arial" w:cs="Arial"/>
                <w:sz w:val="20"/>
                <w:lang w:val="en-GB"/>
              </w:rPr>
              <w:t>F58</w:t>
            </w:r>
          </w:p>
        </w:tc>
        <w:tc>
          <w:tcPr>
            <w:tcW w:w="2598" w:type="dxa"/>
            <w:tcBorders>
              <w:top w:val="nil"/>
              <w:left w:val="nil"/>
              <w:bottom w:val="single" w:sz="4" w:space="0" w:color="auto"/>
              <w:right w:val="single" w:sz="4" w:space="0" w:color="auto"/>
            </w:tcBorders>
            <w:vAlign w:val="center"/>
          </w:tcPr>
          <w:p w14:paraId="34B02EF5" w14:textId="37EE5010" w:rsidR="00471EE4" w:rsidRPr="004E75B9" w:rsidRDefault="00471EE4" w:rsidP="00471EE4">
            <w:pPr>
              <w:rPr>
                <w:rFonts w:ascii="Arial" w:hAnsi="Arial" w:cs="Arial"/>
                <w:sz w:val="20"/>
                <w:lang w:val="en-GB"/>
              </w:rPr>
            </w:pPr>
            <w:r w:rsidRPr="004E75B9">
              <w:rPr>
                <w:rFonts w:ascii="Arial" w:hAnsi="Arial" w:cs="Arial"/>
                <w:sz w:val="20"/>
                <w:lang w:val="en-GB"/>
              </w:rPr>
              <w:t>Monthly report of the Hungarian State Treasury on the data of the government budget’s sub-systems.</w:t>
            </w:r>
          </w:p>
        </w:tc>
        <w:tc>
          <w:tcPr>
            <w:tcW w:w="2835" w:type="dxa"/>
            <w:tcBorders>
              <w:top w:val="nil"/>
              <w:left w:val="nil"/>
              <w:bottom w:val="single" w:sz="4" w:space="0" w:color="auto"/>
              <w:right w:val="single" w:sz="4" w:space="0" w:color="auto"/>
            </w:tcBorders>
            <w:vAlign w:val="center"/>
          </w:tcPr>
          <w:p w14:paraId="34B02EF6" w14:textId="4C8252DF"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EF7" w14:textId="3EB225C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6C1A057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EF9" w14:textId="5A05A89D"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FA" w14:textId="2B69BA95" w:rsidR="00471EE4" w:rsidRPr="004E75B9" w:rsidRDefault="00471EE4" w:rsidP="00471EE4">
            <w:pPr>
              <w:jc w:val="center"/>
              <w:rPr>
                <w:rFonts w:ascii="Arial" w:hAnsi="Arial" w:cs="Arial"/>
                <w:sz w:val="20"/>
                <w:lang w:val="en-GB"/>
              </w:rPr>
            </w:pPr>
            <w:r w:rsidRPr="004E75B9">
              <w:rPr>
                <w:rFonts w:ascii="Arial" w:hAnsi="Arial" w:cs="Arial"/>
                <w:sz w:val="20"/>
                <w:lang w:val="en-GB"/>
              </w:rPr>
              <w:t>5th and 15th working days of the month following the reference period</w:t>
            </w:r>
          </w:p>
        </w:tc>
      </w:tr>
      <w:tr w:rsidR="004E75B9" w:rsidRPr="004E75B9" w14:paraId="53A07913" w14:textId="77777777" w:rsidTr="00481406">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1227B3E8" w:rsidR="00471EE4" w:rsidRPr="004E75B9" w:rsidRDefault="00EE63E1" w:rsidP="00471EE4">
            <w:pPr>
              <w:jc w:val="center"/>
              <w:rPr>
                <w:rFonts w:ascii="Arial" w:hAnsi="Arial" w:cs="Arial"/>
                <w:sz w:val="20"/>
                <w:lang w:val="en-GB"/>
              </w:rPr>
            </w:pPr>
            <w:r w:rsidRPr="004E75B9">
              <w:rPr>
                <w:rFonts w:ascii="Arial" w:hAnsi="Arial" w:cs="Arial"/>
                <w:sz w:val="20"/>
                <w:lang w:val="en-GB"/>
              </w:rPr>
              <w:t>39</w:t>
            </w:r>
          </w:p>
        </w:tc>
        <w:tc>
          <w:tcPr>
            <w:tcW w:w="1418" w:type="dxa"/>
            <w:tcBorders>
              <w:top w:val="nil"/>
              <w:left w:val="single" w:sz="4" w:space="0" w:color="auto"/>
              <w:bottom w:val="single" w:sz="4" w:space="0" w:color="auto"/>
              <w:right w:val="single" w:sz="4" w:space="0" w:color="auto"/>
            </w:tcBorders>
            <w:vAlign w:val="center"/>
          </w:tcPr>
          <w:p w14:paraId="6C0EAE1D" w14:textId="182D9397" w:rsidR="00471EE4" w:rsidRPr="004E75B9" w:rsidRDefault="00471EE4" w:rsidP="00471EE4">
            <w:pPr>
              <w:ind w:left="62" w:hanging="62"/>
              <w:jc w:val="center"/>
              <w:rPr>
                <w:rFonts w:ascii="Arial" w:hAnsi="Arial" w:cs="Arial"/>
                <w:sz w:val="20"/>
                <w:lang w:val="en-GB"/>
              </w:rPr>
            </w:pPr>
            <w:r w:rsidRPr="004E75B9">
              <w:rPr>
                <w:rFonts w:ascii="Arial" w:hAnsi="Arial" w:cs="Arial"/>
                <w:sz w:val="20"/>
                <w:lang w:val="en-GB"/>
              </w:rPr>
              <w:t>F59</w:t>
            </w:r>
          </w:p>
        </w:tc>
        <w:tc>
          <w:tcPr>
            <w:tcW w:w="2598" w:type="dxa"/>
            <w:tcBorders>
              <w:top w:val="nil"/>
              <w:left w:val="nil"/>
              <w:bottom w:val="single" w:sz="4" w:space="0" w:color="auto"/>
              <w:right w:val="single" w:sz="4" w:space="0" w:color="auto"/>
            </w:tcBorders>
            <w:vAlign w:val="center"/>
          </w:tcPr>
          <w:p w14:paraId="0A3A8D05" w14:textId="05574ACD" w:rsidR="00471EE4" w:rsidRPr="004E75B9" w:rsidRDefault="00471EE4" w:rsidP="00471EE4">
            <w:pPr>
              <w:rPr>
                <w:rFonts w:ascii="Arial" w:hAnsi="Arial" w:cs="Arial"/>
                <w:sz w:val="20"/>
                <w:lang w:val="en-GB"/>
              </w:rPr>
            </w:pPr>
            <w:r w:rsidRPr="004E75B9">
              <w:rPr>
                <w:rFonts w:ascii="Arial" w:hAnsi="Arial" w:cs="Arial"/>
                <w:sz w:val="20"/>
                <w:lang w:val="en-GB"/>
              </w:rPr>
              <w:t>Quarterly report of the Hungarian State Treasury on the stock of cash accounts linked to securities and of the accounts kept for non-budgetary organisations</w:t>
            </w:r>
          </w:p>
        </w:tc>
        <w:tc>
          <w:tcPr>
            <w:tcW w:w="2835" w:type="dxa"/>
            <w:tcBorders>
              <w:top w:val="nil"/>
              <w:left w:val="nil"/>
              <w:bottom w:val="single" w:sz="4" w:space="0" w:color="auto"/>
              <w:right w:val="single" w:sz="4" w:space="0" w:color="auto"/>
            </w:tcBorders>
            <w:vAlign w:val="center"/>
          </w:tcPr>
          <w:p w14:paraId="0340B463" w14:textId="00DD5DC3"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6454FCF3" w14:textId="4762B9A9"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2B78DEF5" w14:textId="3E8D7B0E" w:rsidR="00471EE4" w:rsidRPr="004E75B9" w:rsidRDefault="00471EE4" w:rsidP="00481406">
            <w:pPr>
              <w:jc w:val="center"/>
              <w:rPr>
                <w:rFonts w:ascii="Arial" w:hAnsi="Arial" w:cs="Arial"/>
                <w:sz w:val="20"/>
                <w:lang w:val="en-GB"/>
              </w:rPr>
            </w:pPr>
            <w:r w:rsidRPr="004E75B9">
              <w:rPr>
                <w:rFonts w:ascii="Arial" w:hAnsi="Arial" w:cs="Arial"/>
                <w:sz w:val="20"/>
                <w:lang w:val="en-GB"/>
              </w:rPr>
              <w:t>electronic</w:t>
            </w:r>
          </w:p>
        </w:tc>
        <w:tc>
          <w:tcPr>
            <w:tcW w:w="3402" w:type="dxa"/>
            <w:tcBorders>
              <w:top w:val="nil"/>
              <w:left w:val="nil"/>
              <w:bottom w:val="single" w:sz="4" w:space="0" w:color="auto"/>
              <w:right w:val="single" w:sz="4" w:space="0" w:color="auto"/>
            </w:tcBorders>
            <w:vAlign w:val="center"/>
          </w:tcPr>
          <w:p w14:paraId="570E1DF7" w14:textId="47A2CDF9"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2F04"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31796E99" w:rsidR="00471EE4" w:rsidRPr="004E75B9" w:rsidRDefault="00EE63E1" w:rsidP="00471EE4">
            <w:pPr>
              <w:jc w:val="center"/>
              <w:rPr>
                <w:rFonts w:ascii="Arial" w:hAnsi="Arial" w:cs="Arial"/>
                <w:sz w:val="20"/>
                <w:lang w:val="en-GB"/>
              </w:rPr>
            </w:pPr>
            <w:r w:rsidRPr="004E75B9">
              <w:rPr>
                <w:rFonts w:ascii="Arial" w:hAnsi="Arial" w:cs="Arial"/>
                <w:sz w:val="20"/>
                <w:lang w:val="en-GB"/>
              </w:rPr>
              <w:t>40</w:t>
            </w:r>
          </w:p>
        </w:tc>
        <w:tc>
          <w:tcPr>
            <w:tcW w:w="1418" w:type="dxa"/>
            <w:tcBorders>
              <w:top w:val="nil"/>
              <w:left w:val="single" w:sz="4" w:space="0" w:color="auto"/>
              <w:bottom w:val="single" w:sz="4" w:space="0" w:color="auto"/>
              <w:right w:val="single" w:sz="4" w:space="0" w:color="auto"/>
            </w:tcBorders>
            <w:vAlign w:val="center"/>
          </w:tcPr>
          <w:p w14:paraId="34B02EFD" w14:textId="1A94BF99" w:rsidR="00471EE4" w:rsidRPr="004E75B9" w:rsidRDefault="00471EE4" w:rsidP="00471EE4">
            <w:pPr>
              <w:jc w:val="center"/>
              <w:rPr>
                <w:rFonts w:ascii="Arial" w:hAnsi="Arial" w:cs="Arial"/>
                <w:sz w:val="20"/>
                <w:lang w:val="en-GB"/>
              </w:rPr>
            </w:pPr>
            <w:r w:rsidRPr="004E75B9">
              <w:rPr>
                <w:rFonts w:ascii="Arial" w:hAnsi="Arial" w:cs="Arial"/>
                <w:sz w:val="20"/>
                <w:lang w:val="en-GB"/>
              </w:rPr>
              <w:t>F68</w:t>
            </w:r>
          </w:p>
        </w:tc>
        <w:tc>
          <w:tcPr>
            <w:tcW w:w="2598" w:type="dxa"/>
            <w:tcBorders>
              <w:top w:val="nil"/>
              <w:left w:val="nil"/>
              <w:bottom w:val="single" w:sz="4" w:space="0" w:color="auto"/>
              <w:right w:val="single" w:sz="4" w:space="0" w:color="auto"/>
            </w:tcBorders>
            <w:vAlign w:val="center"/>
          </w:tcPr>
          <w:p w14:paraId="34B02EFE" w14:textId="57870628" w:rsidR="00471EE4" w:rsidRPr="004E75B9" w:rsidRDefault="00471EE4" w:rsidP="00471EE4">
            <w:pPr>
              <w:rPr>
                <w:rFonts w:ascii="Arial" w:hAnsi="Arial" w:cs="Arial"/>
                <w:bCs/>
                <w:sz w:val="20"/>
                <w:lang w:val="en-GB"/>
              </w:rPr>
            </w:pPr>
            <w:r w:rsidRPr="004E75B9">
              <w:rPr>
                <w:rFonts w:ascii="Arial" w:hAnsi="Arial" w:cs="Arial"/>
                <w:sz w:val="20"/>
                <w:lang w:val="en-GB"/>
              </w:rPr>
              <w:t>Outstanding debt of budgetary organisations belonging to the general government’s central subsector</w:t>
            </w:r>
          </w:p>
        </w:tc>
        <w:tc>
          <w:tcPr>
            <w:tcW w:w="2835" w:type="dxa"/>
            <w:tcBorders>
              <w:top w:val="nil"/>
              <w:left w:val="nil"/>
              <w:bottom w:val="single" w:sz="4" w:space="0" w:color="auto"/>
              <w:right w:val="single" w:sz="4" w:space="0" w:color="auto"/>
            </w:tcBorders>
            <w:vAlign w:val="center"/>
          </w:tcPr>
          <w:p w14:paraId="34B02EFF" w14:textId="7204017F"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F0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4A9734D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02" w14:textId="262265A7"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03" w14:textId="4BC4998E"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2F0D"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1EBA6498" w:rsidR="00471EE4" w:rsidRPr="004E75B9" w:rsidRDefault="00EE63E1" w:rsidP="00471EE4">
            <w:pPr>
              <w:jc w:val="center"/>
              <w:rPr>
                <w:rFonts w:ascii="Arial" w:hAnsi="Arial" w:cs="Arial"/>
                <w:sz w:val="20"/>
                <w:lang w:val="en-GB"/>
              </w:rPr>
            </w:pPr>
            <w:r w:rsidRPr="004E75B9">
              <w:rPr>
                <w:rFonts w:ascii="Arial" w:hAnsi="Arial" w:cs="Arial"/>
                <w:sz w:val="20"/>
                <w:lang w:val="en-GB"/>
              </w:rPr>
              <w:t>41</w:t>
            </w:r>
          </w:p>
        </w:tc>
        <w:tc>
          <w:tcPr>
            <w:tcW w:w="1418" w:type="dxa"/>
            <w:tcBorders>
              <w:top w:val="nil"/>
              <w:left w:val="single" w:sz="4" w:space="0" w:color="auto"/>
              <w:bottom w:val="single" w:sz="4" w:space="0" w:color="auto"/>
              <w:right w:val="single" w:sz="4" w:space="0" w:color="auto"/>
            </w:tcBorders>
            <w:vAlign w:val="center"/>
          </w:tcPr>
          <w:p w14:paraId="34B02F06" w14:textId="6FB1CDA5" w:rsidR="00471EE4" w:rsidRPr="004E75B9" w:rsidRDefault="00471EE4" w:rsidP="00471EE4">
            <w:pPr>
              <w:jc w:val="center"/>
              <w:rPr>
                <w:rFonts w:ascii="Arial" w:hAnsi="Arial" w:cs="Arial"/>
                <w:sz w:val="20"/>
                <w:lang w:val="en-GB"/>
              </w:rPr>
            </w:pPr>
            <w:r w:rsidRPr="004E75B9">
              <w:rPr>
                <w:rFonts w:ascii="Arial" w:hAnsi="Arial" w:cs="Arial"/>
                <w:sz w:val="20"/>
                <w:lang w:val="en-GB"/>
              </w:rPr>
              <w:t>F69</w:t>
            </w:r>
          </w:p>
        </w:tc>
        <w:tc>
          <w:tcPr>
            <w:tcW w:w="2598" w:type="dxa"/>
            <w:tcBorders>
              <w:top w:val="nil"/>
              <w:left w:val="nil"/>
              <w:bottom w:val="single" w:sz="4" w:space="0" w:color="auto"/>
              <w:right w:val="single" w:sz="4" w:space="0" w:color="auto"/>
            </w:tcBorders>
            <w:vAlign w:val="center"/>
          </w:tcPr>
          <w:p w14:paraId="34B02F07" w14:textId="132B1626" w:rsidR="00471EE4" w:rsidRPr="004E75B9" w:rsidRDefault="00471EE4" w:rsidP="00471EE4">
            <w:pPr>
              <w:rPr>
                <w:rFonts w:ascii="Arial" w:hAnsi="Arial" w:cs="Arial"/>
                <w:bCs/>
                <w:sz w:val="20"/>
                <w:lang w:val="en-GB"/>
              </w:rPr>
            </w:pPr>
            <w:r w:rsidRPr="004E75B9">
              <w:rPr>
                <w:rFonts w:ascii="Arial" w:hAnsi="Arial" w:cs="Arial"/>
                <w:sz w:val="20"/>
                <w:lang w:val="en-GB"/>
              </w:rPr>
              <w:t>Staff statistical data related to persons receiving pension, allowance, annuity and other benefits</w:t>
            </w:r>
          </w:p>
        </w:tc>
        <w:tc>
          <w:tcPr>
            <w:tcW w:w="2835" w:type="dxa"/>
            <w:tcBorders>
              <w:top w:val="nil"/>
              <w:left w:val="nil"/>
              <w:bottom w:val="single" w:sz="4" w:space="0" w:color="auto"/>
              <w:right w:val="single" w:sz="4" w:space="0" w:color="auto"/>
            </w:tcBorders>
            <w:vAlign w:val="center"/>
          </w:tcPr>
          <w:p w14:paraId="34B02F08" w14:textId="76FD7629"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F0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47C4FBA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0B" w14:textId="10A2909C"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0C" w14:textId="122D1EEC"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2F16" w14:textId="77777777" w:rsidTr="00481406">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6808091E" w:rsidR="00471EE4" w:rsidRPr="004E75B9" w:rsidRDefault="00EE63E1" w:rsidP="00471EE4">
            <w:pPr>
              <w:jc w:val="center"/>
              <w:rPr>
                <w:rFonts w:ascii="Arial" w:hAnsi="Arial" w:cs="Arial"/>
                <w:sz w:val="20"/>
                <w:lang w:val="en-GB"/>
              </w:rPr>
            </w:pPr>
            <w:r w:rsidRPr="004E75B9">
              <w:rPr>
                <w:rFonts w:ascii="Arial" w:hAnsi="Arial" w:cs="Arial"/>
                <w:sz w:val="20"/>
                <w:lang w:val="en-GB"/>
              </w:rPr>
              <w:t>42</w:t>
            </w:r>
          </w:p>
        </w:tc>
        <w:tc>
          <w:tcPr>
            <w:tcW w:w="1418" w:type="dxa"/>
            <w:tcBorders>
              <w:top w:val="nil"/>
              <w:left w:val="single" w:sz="4" w:space="0" w:color="auto"/>
              <w:bottom w:val="single" w:sz="4" w:space="0" w:color="auto"/>
              <w:right w:val="single" w:sz="4" w:space="0" w:color="auto"/>
            </w:tcBorders>
            <w:vAlign w:val="center"/>
          </w:tcPr>
          <w:p w14:paraId="34B02F0F" w14:textId="1752A562" w:rsidR="00471EE4" w:rsidRPr="004E75B9" w:rsidRDefault="00471EE4" w:rsidP="00471EE4">
            <w:pPr>
              <w:jc w:val="center"/>
              <w:rPr>
                <w:rFonts w:ascii="Arial" w:hAnsi="Arial" w:cs="Arial"/>
                <w:sz w:val="20"/>
                <w:lang w:val="en-GB"/>
              </w:rPr>
            </w:pPr>
            <w:r w:rsidRPr="004E75B9">
              <w:rPr>
                <w:rFonts w:ascii="Arial" w:hAnsi="Arial" w:cs="Arial"/>
                <w:sz w:val="20"/>
                <w:lang w:val="en-GB"/>
              </w:rPr>
              <w:t>F70</w:t>
            </w:r>
          </w:p>
        </w:tc>
        <w:tc>
          <w:tcPr>
            <w:tcW w:w="2598" w:type="dxa"/>
            <w:tcBorders>
              <w:top w:val="nil"/>
              <w:left w:val="nil"/>
              <w:bottom w:val="single" w:sz="4" w:space="0" w:color="auto"/>
              <w:right w:val="single" w:sz="4" w:space="0" w:color="auto"/>
            </w:tcBorders>
            <w:vAlign w:val="center"/>
          </w:tcPr>
          <w:p w14:paraId="34B02F10" w14:textId="589F6024" w:rsidR="00471EE4" w:rsidRPr="004E75B9" w:rsidRDefault="00471EE4" w:rsidP="00471EE4">
            <w:pPr>
              <w:rPr>
                <w:rFonts w:ascii="Arial" w:hAnsi="Arial" w:cs="Arial"/>
                <w:bCs/>
                <w:sz w:val="20"/>
                <w:lang w:val="en-GB"/>
              </w:rPr>
            </w:pPr>
            <w:r w:rsidRPr="004E75B9">
              <w:rPr>
                <w:rFonts w:ascii="Arial" w:hAnsi="Arial" w:cs="Arial"/>
                <w:sz w:val="20"/>
                <w:lang w:val="en-GB"/>
              </w:rPr>
              <w:t>Data on health insurance cash benefits</w:t>
            </w:r>
          </w:p>
        </w:tc>
        <w:tc>
          <w:tcPr>
            <w:tcW w:w="2835" w:type="dxa"/>
            <w:tcBorders>
              <w:top w:val="nil"/>
              <w:left w:val="nil"/>
              <w:bottom w:val="single" w:sz="4" w:space="0" w:color="auto"/>
              <w:right w:val="single" w:sz="4" w:space="0" w:color="auto"/>
            </w:tcBorders>
            <w:vAlign w:val="center"/>
          </w:tcPr>
          <w:p w14:paraId="34B02F11" w14:textId="7538201D"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2F12" w14:textId="0534ECFA"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14F4400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14" w14:textId="47927B73"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15" w14:textId="2CE9312D" w:rsidR="00471EE4" w:rsidRPr="004E75B9" w:rsidRDefault="00471EE4" w:rsidP="00471EE4">
            <w:pPr>
              <w:jc w:val="center"/>
              <w:rPr>
                <w:rFonts w:ascii="Arial" w:hAnsi="Arial" w:cs="Arial"/>
                <w:sz w:val="20"/>
                <w:lang w:val="en-GB"/>
              </w:rPr>
            </w:pPr>
            <w:r w:rsidRPr="004E75B9">
              <w:rPr>
                <w:rFonts w:ascii="Arial" w:hAnsi="Arial" w:cs="Arial"/>
                <w:sz w:val="20"/>
                <w:lang w:val="en-GB"/>
              </w:rPr>
              <w:t>20th working days of the second month following the reference period</w:t>
            </w:r>
          </w:p>
        </w:tc>
      </w:tr>
      <w:tr w:rsidR="004E75B9" w:rsidRPr="004E75B9" w14:paraId="34B02F1F"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0910633E" w:rsidR="00471EE4" w:rsidRPr="004E75B9" w:rsidRDefault="00EE63E1" w:rsidP="00471EE4">
            <w:pPr>
              <w:jc w:val="center"/>
              <w:rPr>
                <w:rFonts w:ascii="Arial" w:hAnsi="Arial" w:cs="Arial"/>
                <w:sz w:val="20"/>
                <w:lang w:val="en-GB"/>
              </w:rPr>
            </w:pPr>
            <w:r w:rsidRPr="004E75B9">
              <w:rPr>
                <w:rFonts w:ascii="Arial" w:hAnsi="Arial" w:cs="Arial"/>
                <w:sz w:val="20"/>
                <w:lang w:val="en-GB"/>
              </w:rPr>
              <w:t>43</w:t>
            </w:r>
          </w:p>
        </w:tc>
        <w:tc>
          <w:tcPr>
            <w:tcW w:w="1418" w:type="dxa"/>
            <w:tcBorders>
              <w:top w:val="nil"/>
              <w:left w:val="single" w:sz="4" w:space="0" w:color="auto"/>
              <w:bottom w:val="single" w:sz="4" w:space="0" w:color="auto"/>
              <w:right w:val="single" w:sz="4" w:space="0" w:color="auto"/>
            </w:tcBorders>
            <w:vAlign w:val="center"/>
          </w:tcPr>
          <w:p w14:paraId="34B02F18" w14:textId="54BBF779" w:rsidR="00471EE4" w:rsidRPr="004E75B9" w:rsidRDefault="00471EE4" w:rsidP="00471EE4">
            <w:pPr>
              <w:jc w:val="center"/>
              <w:rPr>
                <w:rFonts w:ascii="Arial" w:hAnsi="Arial" w:cs="Arial"/>
                <w:sz w:val="20"/>
                <w:lang w:val="en-GB"/>
              </w:rPr>
            </w:pPr>
            <w:r w:rsidRPr="004E75B9">
              <w:rPr>
                <w:rFonts w:ascii="Arial" w:hAnsi="Arial" w:cs="Arial"/>
                <w:sz w:val="20"/>
                <w:lang w:val="en-GB"/>
              </w:rPr>
              <w:t>F94</w:t>
            </w:r>
          </w:p>
        </w:tc>
        <w:tc>
          <w:tcPr>
            <w:tcW w:w="2598" w:type="dxa"/>
            <w:tcBorders>
              <w:top w:val="nil"/>
              <w:left w:val="nil"/>
              <w:bottom w:val="single" w:sz="4" w:space="0" w:color="auto"/>
              <w:right w:val="single" w:sz="4" w:space="0" w:color="auto"/>
            </w:tcBorders>
            <w:vAlign w:val="center"/>
          </w:tcPr>
          <w:p w14:paraId="34B02F19" w14:textId="235C9045" w:rsidR="00471EE4" w:rsidRPr="004E75B9" w:rsidRDefault="00471EE4" w:rsidP="00471EE4">
            <w:pPr>
              <w:rPr>
                <w:rFonts w:ascii="Arial" w:hAnsi="Arial" w:cs="Arial"/>
                <w:bCs/>
                <w:sz w:val="20"/>
                <w:lang w:val="en-GB"/>
              </w:rPr>
            </w:pPr>
            <w:r w:rsidRPr="004E75B9">
              <w:rPr>
                <w:rFonts w:ascii="Arial" w:hAnsi="Arial" w:cs="Arial"/>
                <w:sz w:val="20"/>
                <w:lang w:val="en-GB"/>
              </w:rPr>
              <w:t>Data of financial organisation in liquidation or voluntary dissolution</w:t>
            </w:r>
          </w:p>
        </w:tc>
        <w:tc>
          <w:tcPr>
            <w:tcW w:w="2835" w:type="dxa"/>
            <w:tcBorders>
              <w:top w:val="nil"/>
              <w:left w:val="nil"/>
              <w:bottom w:val="single" w:sz="4" w:space="0" w:color="auto"/>
              <w:right w:val="single" w:sz="4" w:space="0" w:color="auto"/>
            </w:tcBorders>
            <w:vAlign w:val="center"/>
          </w:tcPr>
          <w:p w14:paraId="34B02F1A" w14:textId="31175B4B" w:rsidR="00471EE4" w:rsidRPr="004E75B9" w:rsidRDefault="00471EE4" w:rsidP="00471EE4">
            <w:pPr>
              <w:rPr>
                <w:rFonts w:ascii="Arial" w:hAnsi="Arial" w:cs="Arial"/>
                <w:sz w:val="20"/>
                <w:lang w:val="en-GB"/>
              </w:rPr>
            </w:pPr>
            <w:r w:rsidRPr="004E75B9">
              <w:rPr>
                <w:rFonts w:ascii="Arial" w:hAnsi="Arial" w:cs="Arial"/>
                <w:sz w:val="20"/>
                <w:lang w:val="en-GB"/>
              </w:rPr>
              <w:t>Financial Stability and Liquidator Non-profit Limited Liability Company</w:t>
            </w:r>
          </w:p>
        </w:tc>
        <w:tc>
          <w:tcPr>
            <w:tcW w:w="1701" w:type="dxa"/>
            <w:tcBorders>
              <w:top w:val="nil"/>
              <w:left w:val="nil"/>
              <w:bottom w:val="single" w:sz="4" w:space="0" w:color="auto"/>
              <w:right w:val="single" w:sz="4" w:space="0" w:color="auto"/>
            </w:tcBorders>
            <w:vAlign w:val="center"/>
          </w:tcPr>
          <w:p w14:paraId="34B02F1B" w14:textId="681616DF" w:rsidR="00471EE4" w:rsidRPr="004E75B9" w:rsidRDefault="00471EE4" w:rsidP="00471EE4">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45BC6FDC" w14:textId="327865EB"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1D" w14:textId="5996CF4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1E" w14:textId="4FEABA58" w:rsidR="00471EE4" w:rsidRPr="004E75B9" w:rsidRDefault="00471EE4" w:rsidP="00471EE4">
            <w:pPr>
              <w:jc w:val="center"/>
              <w:rPr>
                <w:rFonts w:ascii="Arial" w:hAnsi="Arial" w:cs="Arial"/>
                <w:sz w:val="20"/>
                <w:lang w:val="en-GB"/>
              </w:rPr>
            </w:pPr>
            <w:r w:rsidRPr="004E75B9">
              <w:rPr>
                <w:rFonts w:ascii="Arial" w:hAnsi="Arial" w:cs="Arial"/>
                <w:sz w:val="20"/>
                <w:lang w:val="en-GB"/>
              </w:rPr>
              <w:t>28 February of the year following the reference period</w:t>
            </w:r>
          </w:p>
        </w:tc>
      </w:tr>
      <w:tr w:rsidR="004E75B9" w:rsidRPr="004E75B9" w14:paraId="37CD6719" w14:textId="77777777" w:rsidTr="00481406">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7AFB90DD" w:rsidR="00471EE4" w:rsidRPr="004E75B9" w:rsidRDefault="00EE63E1" w:rsidP="00471EE4">
            <w:pPr>
              <w:jc w:val="center"/>
              <w:rPr>
                <w:rFonts w:ascii="Arial" w:hAnsi="Arial" w:cs="Arial"/>
                <w:sz w:val="20"/>
                <w:lang w:val="en-GB"/>
              </w:rPr>
            </w:pPr>
            <w:r w:rsidRPr="004E75B9">
              <w:rPr>
                <w:rFonts w:ascii="Arial" w:hAnsi="Arial" w:cs="Arial"/>
                <w:sz w:val="20"/>
                <w:lang w:val="en-GB"/>
              </w:rPr>
              <w:t>44</w:t>
            </w:r>
          </w:p>
        </w:tc>
        <w:tc>
          <w:tcPr>
            <w:tcW w:w="1418" w:type="dxa"/>
            <w:tcBorders>
              <w:top w:val="nil"/>
              <w:left w:val="single" w:sz="4" w:space="0" w:color="auto"/>
              <w:bottom w:val="single" w:sz="4" w:space="0" w:color="auto"/>
              <w:right w:val="single" w:sz="4" w:space="0" w:color="auto"/>
            </w:tcBorders>
            <w:vAlign w:val="center"/>
          </w:tcPr>
          <w:p w14:paraId="6F84BED8" w14:textId="1FF178C1" w:rsidR="00471EE4" w:rsidRPr="004E75B9" w:rsidRDefault="00471EE4" w:rsidP="00471EE4">
            <w:pPr>
              <w:jc w:val="center"/>
              <w:rPr>
                <w:rFonts w:ascii="Arial" w:hAnsi="Arial" w:cs="Arial"/>
                <w:sz w:val="20"/>
                <w:lang w:val="en-GB"/>
              </w:rPr>
            </w:pPr>
            <w:r w:rsidRPr="004E75B9">
              <w:rPr>
                <w:rFonts w:ascii="Arial" w:hAnsi="Arial" w:cs="Arial"/>
                <w:sz w:val="20"/>
                <w:lang w:val="en-GB"/>
              </w:rPr>
              <w:t>F96</w:t>
            </w:r>
          </w:p>
        </w:tc>
        <w:tc>
          <w:tcPr>
            <w:tcW w:w="2598" w:type="dxa"/>
            <w:tcBorders>
              <w:top w:val="nil"/>
              <w:left w:val="nil"/>
              <w:bottom w:val="single" w:sz="4" w:space="0" w:color="auto"/>
              <w:right w:val="single" w:sz="4" w:space="0" w:color="auto"/>
            </w:tcBorders>
            <w:vAlign w:val="center"/>
          </w:tcPr>
          <w:p w14:paraId="529A5EAD" w14:textId="0CE8410B" w:rsidR="00471EE4" w:rsidRPr="004E75B9" w:rsidRDefault="00471EE4" w:rsidP="00471EE4">
            <w:pPr>
              <w:rPr>
                <w:rFonts w:ascii="Arial" w:hAnsi="Arial" w:cs="Arial"/>
                <w:bCs/>
                <w:sz w:val="20"/>
                <w:lang w:val="en-GB"/>
              </w:rPr>
            </w:pPr>
            <w:r w:rsidRPr="004E75B9">
              <w:rPr>
                <w:rFonts w:ascii="Arial" w:hAnsi="Arial" w:cs="Arial"/>
                <w:sz w:val="20"/>
                <w:lang w:val="en-GB"/>
              </w:rPr>
              <w:t>Balance sheet and profit and loss account of civil organisations that prepare annual accounts</w:t>
            </w:r>
          </w:p>
        </w:tc>
        <w:tc>
          <w:tcPr>
            <w:tcW w:w="2835" w:type="dxa"/>
            <w:tcBorders>
              <w:top w:val="nil"/>
              <w:left w:val="nil"/>
              <w:bottom w:val="single" w:sz="4" w:space="0" w:color="auto"/>
              <w:right w:val="single" w:sz="4" w:space="0" w:color="auto"/>
            </w:tcBorders>
            <w:vAlign w:val="center"/>
          </w:tcPr>
          <w:p w14:paraId="072EF695" w14:textId="4513F7D2" w:rsidR="00471EE4" w:rsidRPr="004E75B9" w:rsidRDefault="00471EE4" w:rsidP="00471EE4">
            <w:pPr>
              <w:rPr>
                <w:rFonts w:ascii="Arial" w:hAnsi="Arial" w:cs="Arial"/>
                <w:bCs/>
                <w:sz w:val="20"/>
                <w:lang w:val="en-GB"/>
              </w:rPr>
            </w:pPr>
            <w:r w:rsidRPr="004E75B9">
              <w:rPr>
                <w:rFonts w:ascii="Arial" w:hAnsi="Arial" w:cs="Arial"/>
                <w:sz w:val="20"/>
                <w:lang w:val="en-GB"/>
              </w:rPr>
              <w:t>National Office for the Judiciary</w:t>
            </w:r>
          </w:p>
        </w:tc>
        <w:tc>
          <w:tcPr>
            <w:tcW w:w="1701" w:type="dxa"/>
            <w:tcBorders>
              <w:top w:val="nil"/>
              <w:left w:val="nil"/>
              <w:bottom w:val="single" w:sz="4" w:space="0" w:color="auto"/>
              <w:right w:val="single" w:sz="4" w:space="0" w:color="auto"/>
            </w:tcBorders>
            <w:vAlign w:val="center"/>
          </w:tcPr>
          <w:p w14:paraId="2FB65C8A" w14:textId="2A170F4D" w:rsidR="00471EE4" w:rsidRPr="004E75B9" w:rsidRDefault="00471EE4" w:rsidP="00471EE4">
            <w:pPr>
              <w:jc w:val="center"/>
              <w:rPr>
                <w:rFonts w:ascii="Arial" w:hAnsi="Arial" w:cs="Arial"/>
                <w:bCs/>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0208ECA2" w14:textId="5538379D" w:rsidR="00471EE4" w:rsidRPr="004E75B9" w:rsidRDefault="00471EE4" w:rsidP="00471EE4">
            <w:pPr>
              <w:jc w:val="center"/>
              <w:rPr>
                <w:rFonts w:ascii="Arial" w:hAnsi="Arial" w:cs="Arial"/>
                <w:bCs/>
                <w:sz w:val="20"/>
                <w:lang w:val="en-GB"/>
              </w:rPr>
            </w:pPr>
            <w:r w:rsidRPr="004E75B9">
              <w:rPr>
                <w:rFonts w:ascii="Arial" w:hAnsi="Arial" w:cs="Arial"/>
                <w:sz w:val="20"/>
                <w:lang w:val="en-GB"/>
              </w:rPr>
              <w:t>electronic (electronic data carrier)</w:t>
            </w:r>
          </w:p>
        </w:tc>
        <w:tc>
          <w:tcPr>
            <w:tcW w:w="3402" w:type="dxa"/>
            <w:tcBorders>
              <w:top w:val="nil"/>
              <w:left w:val="nil"/>
              <w:bottom w:val="single" w:sz="4" w:space="0" w:color="auto"/>
              <w:right w:val="single" w:sz="4" w:space="0" w:color="auto"/>
            </w:tcBorders>
            <w:vAlign w:val="center"/>
          </w:tcPr>
          <w:p w14:paraId="2B6AB5CE" w14:textId="5046B357" w:rsidR="00471EE4" w:rsidRPr="004E75B9" w:rsidRDefault="00471EE4" w:rsidP="00471EE4">
            <w:pPr>
              <w:jc w:val="center"/>
              <w:rPr>
                <w:rFonts w:ascii="Arial" w:hAnsi="Arial" w:cs="Arial"/>
                <w:bCs/>
                <w:sz w:val="20"/>
                <w:lang w:val="en-GB"/>
              </w:rPr>
            </w:pPr>
            <w:r w:rsidRPr="004E75B9">
              <w:rPr>
                <w:rFonts w:ascii="Arial" w:hAnsi="Arial" w:cs="Arial"/>
                <w:sz w:val="20"/>
                <w:lang w:val="en-GB"/>
              </w:rPr>
              <w:t>31st July of the year following the reference period</w:t>
            </w:r>
          </w:p>
        </w:tc>
      </w:tr>
      <w:tr w:rsidR="004E75B9" w:rsidRPr="004E75B9" w14:paraId="34B02F31"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435AECD8" w:rsidR="00471EE4" w:rsidRPr="004E75B9" w:rsidRDefault="00EE63E1" w:rsidP="00471EE4">
            <w:pPr>
              <w:jc w:val="center"/>
              <w:rPr>
                <w:rFonts w:ascii="Arial" w:hAnsi="Arial" w:cs="Arial"/>
                <w:sz w:val="20"/>
                <w:lang w:val="en-GB"/>
              </w:rPr>
            </w:pPr>
            <w:r w:rsidRPr="004E75B9">
              <w:rPr>
                <w:rFonts w:ascii="Arial" w:hAnsi="Arial" w:cs="Arial"/>
                <w:sz w:val="20"/>
                <w:lang w:val="en-GB"/>
              </w:rPr>
              <w:t>45</w:t>
            </w:r>
          </w:p>
        </w:tc>
        <w:tc>
          <w:tcPr>
            <w:tcW w:w="1418" w:type="dxa"/>
            <w:tcBorders>
              <w:top w:val="nil"/>
              <w:left w:val="single" w:sz="4" w:space="0" w:color="auto"/>
              <w:bottom w:val="single" w:sz="4" w:space="0" w:color="auto"/>
              <w:right w:val="single" w:sz="4" w:space="0" w:color="auto"/>
            </w:tcBorders>
            <w:vAlign w:val="center"/>
          </w:tcPr>
          <w:p w14:paraId="34B02F2A" w14:textId="123CE4F3" w:rsidR="00471EE4" w:rsidRPr="004E75B9" w:rsidRDefault="00471EE4" w:rsidP="00471EE4">
            <w:pPr>
              <w:jc w:val="center"/>
              <w:rPr>
                <w:rFonts w:ascii="Arial" w:hAnsi="Arial" w:cs="Arial"/>
                <w:sz w:val="20"/>
                <w:lang w:val="en-GB"/>
              </w:rPr>
            </w:pPr>
            <w:r w:rsidRPr="004E75B9">
              <w:rPr>
                <w:rFonts w:ascii="Arial" w:hAnsi="Arial" w:cs="Arial"/>
                <w:sz w:val="20"/>
                <w:lang w:val="en-GB"/>
              </w:rPr>
              <w:t>F97</w:t>
            </w:r>
          </w:p>
        </w:tc>
        <w:tc>
          <w:tcPr>
            <w:tcW w:w="2598" w:type="dxa"/>
            <w:tcBorders>
              <w:top w:val="nil"/>
              <w:left w:val="nil"/>
              <w:bottom w:val="single" w:sz="4" w:space="0" w:color="auto"/>
              <w:right w:val="single" w:sz="4" w:space="0" w:color="auto"/>
            </w:tcBorders>
            <w:vAlign w:val="center"/>
          </w:tcPr>
          <w:p w14:paraId="34B02F2B" w14:textId="452806E2" w:rsidR="00471EE4" w:rsidRPr="004E75B9" w:rsidRDefault="00471EE4" w:rsidP="00471EE4">
            <w:pPr>
              <w:rPr>
                <w:rFonts w:ascii="Arial" w:hAnsi="Arial" w:cs="Arial"/>
                <w:sz w:val="20"/>
                <w:lang w:val="en-GB"/>
              </w:rPr>
            </w:pPr>
            <w:r w:rsidRPr="004E75B9">
              <w:rPr>
                <w:rFonts w:ascii="Arial" w:hAnsi="Arial" w:cs="Arial"/>
                <w:sz w:val="20"/>
                <w:lang w:val="en-GB"/>
              </w:rPr>
              <w:t xml:space="preserve">Interim balance sheet report </w:t>
            </w:r>
          </w:p>
        </w:tc>
        <w:tc>
          <w:tcPr>
            <w:tcW w:w="2835" w:type="dxa"/>
            <w:tcBorders>
              <w:top w:val="nil"/>
              <w:left w:val="nil"/>
              <w:bottom w:val="single" w:sz="4" w:space="0" w:color="auto"/>
              <w:right w:val="single" w:sz="4" w:space="0" w:color="auto"/>
            </w:tcBorders>
            <w:vAlign w:val="center"/>
          </w:tcPr>
          <w:p w14:paraId="34B02F2C" w14:textId="2B9CE651" w:rsidR="00471EE4" w:rsidRPr="004E75B9" w:rsidRDefault="00471EE4" w:rsidP="00471EE4">
            <w:pPr>
              <w:rPr>
                <w:rFonts w:ascii="Arial" w:hAnsi="Arial" w:cs="Arial"/>
                <w:sz w:val="20"/>
                <w:lang w:val="en-GB"/>
              </w:rPr>
            </w:pPr>
            <w:r w:rsidRPr="004E75B9">
              <w:rPr>
                <w:rFonts w:ascii="Arial" w:hAnsi="Arial" w:cs="Arial"/>
                <w:sz w:val="20"/>
                <w:lang w:val="en-GB"/>
              </w:rPr>
              <w:t>designated legal entities not qualifying as financial institutions</w:t>
            </w:r>
          </w:p>
        </w:tc>
        <w:tc>
          <w:tcPr>
            <w:tcW w:w="1701" w:type="dxa"/>
            <w:tcBorders>
              <w:top w:val="nil"/>
              <w:left w:val="nil"/>
              <w:bottom w:val="single" w:sz="4" w:space="0" w:color="auto"/>
              <w:right w:val="single" w:sz="4" w:space="0" w:color="auto"/>
            </w:tcBorders>
            <w:vAlign w:val="center"/>
          </w:tcPr>
          <w:p w14:paraId="34B02F2D" w14:textId="3D3C7F94" w:rsidR="00471EE4" w:rsidRPr="004E75B9" w:rsidRDefault="00471EE4" w:rsidP="00471EE4">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235D9D6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2F" w14:textId="54F7158D"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30" w14:textId="4BB4344C" w:rsidR="00471EE4" w:rsidRPr="004E75B9" w:rsidRDefault="00471EE4" w:rsidP="00471EE4">
            <w:pPr>
              <w:jc w:val="center"/>
              <w:rPr>
                <w:rFonts w:ascii="Arial" w:hAnsi="Arial" w:cs="Arial"/>
                <w:sz w:val="20"/>
                <w:lang w:val="en-GB"/>
              </w:rPr>
            </w:pPr>
            <w:r w:rsidRPr="004E75B9">
              <w:rPr>
                <w:rFonts w:ascii="Arial" w:hAnsi="Arial" w:cs="Arial"/>
                <w:sz w:val="20"/>
                <w:lang w:val="en-GB"/>
              </w:rPr>
              <w:t>30th day of the month following the reference period</w:t>
            </w:r>
          </w:p>
        </w:tc>
      </w:tr>
      <w:tr w:rsidR="004E75B9" w:rsidRPr="004E75B9" w14:paraId="34B02F3A" w14:textId="77777777" w:rsidTr="00481406">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5B471FA6" w:rsidR="00471EE4" w:rsidRPr="004E75B9" w:rsidRDefault="00EE63E1" w:rsidP="00471EE4">
            <w:pPr>
              <w:jc w:val="center"/>
              <w:rPr>
                <w:rFonts w:ascii="Arial" w:hAnsi="Arial" w:cs="Arial"/>
                <w:sz w:val="20"/>
                <w:lang w:val="en-GB"/>
              </w:rPr>
            </w:pPr>
            <w:r w:rsidRPr="004E75B9">
              <w:rPr>
                <w:rFonts w:ascii="Arial" w:hAnsi="Arial" w:cs="Arial"/>
                <w:sz w:val="20"/>
                <w:lang w:val="en-GB"/>
              </w:rPr>
              <w:t>46</w:t>
            </w:r>
          </w:p>
        </w:tc>
        <w:tc>
          <w:tcPr>
            <w:tcW w:w="1418" w:type="dxa"/>
            <w:tcBorders>
              <w:top w:val="nil"/>
              <w:left w:val="single" w:sz="4" w:space="0" w:color="auto"/>
              <w:bottom w:val="single" w:sz="4" w:space="0" w:color="auto"/>
              <w:right w:val="single" w:sz="4" w:space="0" w:color="auto"/>
            </w:tcBorders>
            <w:vAlign w:val="center"/>
          </w:tcPr>
          <w:p w14:paraId="34B02F33" w14:textId="52960D8D" w:rsidR="00471EE4" w:rsidRPr="004E75B9" w:rsidRDefault="00471EE4" w:rsidP="00471EE4">
            <w:pPr>
              <w:jc w:val="center"/>
              <w:rPr>
                <w:rFonts w:ascii="Arial" w:hAnsi="Arial" w:cs="Arial"/>
                <w:sz w:val="20"/>
                <w:lang w:val="en-GB"/>
              </w:rPr>
            </w:pPr>
            <w:r w:rsidRPr="004E75B9">
              <w:rPr>
                <w:rFonts w:ascii="Arial" w:hAnsi="Arial" w:cs="Arial"/>
                <w:sz w:val="20"/>
                <w:lang w:val="en-GB"/>
              </w:rPr>
              <w:t>F98</w:t>
            </w:r>
          </w:p>
        </w:tc>
        <w:tc>
          <w:tcPr>
            <w:tcW w:w="2598" w:type="dxa"/>
            <w:tcBorders>
              <w:top w:val="nil"/>
              <w:left w:val="nil"/>
              <w:bottom w:val="single" w:sz="4" w:space="0" w:color="auto"/>
              <w:right w:val="single" w:sz="4" w:space="0" w:color="auto"/>
            </w:tcBorders>
            <w:vAlign w:val="center"/>
          </w:tcPr>
          <w:p w14:paraId="34B02F34" w14:textId="6192C9CA" w:rsidR="00471EE4" w:rsidRPr="004E75B9" w:rsidRDefault="00471EE4" w:rsidP="00471EE4">
            <w:pPr>
              <w:rPr>
                <w:rFonts w:ascii="Arial" w:hAnsi="Arial" w:cs="Arial"/>
                <w:sz w:val="20"/>
                <w:lang w:val="en-GB"/>
              </w:rPr>
            </w:pPr>
            <w:r w:rsidRPr="004E75B9">
              <w:rPr>
                <w:rFonts w:ascii="Arial" w:hAnsi="Arial" w:cs="Arial"/>
                <w:sz w:val="20"/>
                <w:lang w:val="en-GB"/>
              </w:rPr>
              <w:t>Balance sheet of corporations obliged to prepare an annual report</w:t>
            </w:r>
          </w:p>
        </w:tc>
        <w:tc>
          <w:tcPr>
            <w:tcW w:w="2835" w:type="dxa"/>
            <w:tcBorders>
              <w:top w:val="nil"/>
              <w:left w:val="nil"/>
              <w:bottom w:val="single" w:sz="4" w:space="0" w:color="auto"/>
              <w:right w:val="single" w:sz="4" w:space="0" w:color="auto"/>
            </w:tcBorders>
            <w:vAlign w:val="center"/>
          </w:tcPr>
          <w:p w14:paraId="34B02F35" w14:textId="575435FB" w:rsidR="00471EE4" w:rsidRPr="004E75B9" w:rsidRDefault="00471EE4" w:rsidP="00471EE4">
            <w:pPr>
              <w:rPr>
                <w:rFonts w:ascii="Arial" w:hAnsi="Arial" w:cs="Arial"/>
                <w:sz w:val="20"/>
                <w:lang w:val="en-GB"/>
              </w:rPr>
            </w:pPr>
            <w:r w:rsidRPr="004E75B9">
              <w:rPr>
                <w:rFonts w:ascii="Arial" w:hAnsi="Arial" w:cs="Arial"/>
                <w:sz w:val="20"/>
                <w:lang w:val="en-GB"/>
              </w:rPr>
              <w:t>Ministry of Justice</w:t>
            </w:r>
          </w:p>
        </w:tc>
        <w:tc>
          <w:tcPr>
            <w:tcW w:w="1701" w:type="dxa"/>
            <w:tcBorders>
              <w:top w:val="nil"/>
              <w:left w:val="nil"/>
              <w:bottom w:val="single" w:sz="4" w:space="0" w:color="auto"/>
              <w:right w:val="single" w:sz="4" w:space="0" w:color="auto"/>
            </w:tcBorders>
            <w:vAlign w:val="center"/>
          </w:tcPr>
          <w:p w14:paraId="34B02F36" w14:textId="405A1AB7" w:rsidR="00471EE4" w:rsidRPr="004E75B9" w:rsidRDefault="00471EE4" w:rsidP="00471EE4">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2F3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38" w14:textId="5BBFB8C5"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34B02F39" w14:textId="54B69736" w:rsidR="00471EE4" w:rsidRPr="004E75B9" w:rsidRDefault="00EB21D8" w:rsidP="00471EE4">
            <w:pPr>
              <w:jc w:val="center"/>
              <w:rPr>
                <w:rFonts w:ascii="Arial" w:hAnsi="Arial" w:cs="Arial"/>
                <w:sz w:val="20"/>
                <w:lang w:val="en-GB"/>
              </w:rPr>
            </w:pPr>
            <w:r w:rsidRPr="004E75B9">
              <w:rPr>
                <w:rFonts w:ascii="Arial" w:hAnsi="Arial" w:cs="Arial"/>
                <w:snapToGrid w:val="0"/>
                <w:sz w:val="20"/>
                <w:lang w:val="en-GB"/>
              </w:rPr>
              <w:t>31st July and 31st December of the year following the reference period</w:t>
            </w:r>
          </w:p>
        </w:tc>
      </w:tr>
      <w:tr w:rsidR="004E75B9" w:rsidRPr="004E75B9" w14:paraId="34B02F44" w14:textId="77777777" w:rsidTr="00481406">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3607D3DC"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47</w:t>
            </w:r>
          </w:p>
        </w:tc>
        <w:tc>
          <w:tcPr>
            <w:tcW w:w="1418" w:type="dxa"/>
            <w:tcBorders>
              <w:top w:val="nil"/>
              <w:left w:val="single" w:sz="4" w:space="0" w:color="auto"/>
              <w:bottom w:val="single" w:sz="4" w:space="0" w:color="auto"/>
              <w:right w:val="single" w:sz="4" w:space="0" w:color="auto"/>
            </w:tcBorders>
            <w:vAlign w:val="center"/>
          </w:tcPr>
          <w:p w14:paraId="34B02F3C" w14:textId="6557625B" w:rsidR="00471EE4" w:rsidRPr="004E75B9" w:rsidRDefault="00471EE4" w:rsidP="00471EE4">
            <w:pPr>
              <w:jc w:val="center"/>
              <w:rPr>
                <w:rFonts w:ascii="Arial" w:hAnsi="Arial" w:cs="Arial"/>
                <w:sz w:val="20"/>
                <w:lang w:val="en-GB"/>
              </w:rPr>
            </w:pPr>
            <w:r w:rsidRPr="004E75B9">
              <w:rPr>
                <w:rFonts w:ascii="Arial" w:hAnsi="Arial" w:cs="Arial"/>
                <w:sz w:val="20"/>
                <w:lang w:val="en-GB"/>
              </w:rPr>
              <w:t>F99</w:t>
            </w:r>
          </w:p>
        </w:tc>
        <w:tc>
          <w:tcPr>
            <w:tcW w:w="2598" w:type="dxa"/>
            <w:tcBorders>
              <w:top w:val="nil"/>
              <w:left w:val="nil"/>
              <w:bottom w:val="single" w:sz="4" w:space="0" w:color="auto"/>
              <w:right w:val="single" w:sz="4" w:space="0" w:color="auto"/>
            </w:tcBorders>
            <w:vAlign w:val="center"/>
          </w:tcPr>
          <w:p w14:paraId="34B02F3D" w14:textId="6465292E" w:rsidR="00471EE4" w:rsidRPr="004E75B9" w:rsidRDefault="00471EE4" w:rsidP="00471EE4">
            <w:pPr>
              <w:rPr>
                <w:rFonts w:ascii="Arial" w:hAnsi="Arial" w:cs="Arial"/>
                <w:sz w:val="20"/>
                <w:lang w:val="en-GB"/>
              </w:rPr>
            </w:pPr>
            <w:r w:rsidRPr="004E75B9">
              <w:rPr>
                <w:rFonts w:ascii="Arial" w:hAnsi="Arial" w:cs="Arial"/>
                <w:sz w:val="20"/>
                <w:lang w:val="en-GB"/>
              </w:rPr>
              <w:t>Financial data of companies performing asset management and group financing activities</w:t>
            </w:r>
          </w:p>
        </w:tc>
        <w:tc>
          <w:tcPr>
            <w:tcW w:w="2835" w:type="dxa"/>
            <w:tcBorders>
              <w:top w:val="nil"/>
              <w:left w:val="nil"/>
              <w:bottom w:val="single" w:sz="4" w:space="0" w:color="auto"/>
              <w:right w:val="single" w:sz="4" w:space="0" w:color="auto"/>
            </w:tcBorders>
            <w:vAlign w:val="center"/>
          </w:tcPr>
          <w:p w14:paraId="34B02F3E" w14:textId="17E9A7AC" w:rsidR="00471EE4" w:rsidRPr="004E75B9" w:rsidRDefault="00471EE4" w:rsidP="00471EE4">
            <w:pPr>
              <w:rPr>
                <w:rFonts w:ascii="Arial" w:hAnsi="Arial" w:cs="Arial"/>
                <w:sz w:val="20"/>
                <w:lang w:val="en-GB"/>
              </w:rPr>
            </w:pPr>
            <w:r w:rsidRPr="004E75B9">
              <w:rPr>
                <w:rFonts w:ascii="Arial" w:hAnsi="Arial" w:cs="Arial"/>
                <w:sz w:val="20"/>
                <w:lang w:val="en-GB"/>
              </w:rPr>
              <w:t>designated economic agents allocated to the sector of Z) Captive financial institutions under point I. A. of Annex 2</w:t>
            </w:r>
          </w:p>
        </w:tc>
        <w:tc>
          <w:tcPr>
            <w:tcW w:w="1701" w:type="dxa"/>
            <w:tcBorders>
              <w:top w:val="nil"/>
              <w:left w:val="nil"/>
              <w:bottom w:val="single" w:sz="4" w:space="0" w:color="auto"/>
              <w:right w:val="single" w:sz="4" w:space="0" w:color="auto"/>
            </w:tcBorders>
            <w:vAlign w:val="center"/>
          </w:tcPr>
          <w:p w14:paraId="34B02F3F" w14:textId="79D242C7" w:rsidR="00471EE4" w:rsidRPr="004E75B9" w:rsidRDefault="00471EE4" w:rsidP="00471EE4">
            <w:pPr>
              <w:jc w:val="center"/>
              <w:rPr>
                <w:rFonts w:ascii="Arial" w:hAnsi="Arial" w:cs="Arial"/>
                <w:sz w:val="20"/>
                <w:lang w:val="en-GB"/>
              </w:rPr>
            </w:pPr>
            <w:r w:rsidRPr="004E75B9">
              <w:rPr>
                <w:rFonts w:ascii="Arial" w:hAnsi="Arial" w:cs="Arial"/>
                <w:sz w:val="20"/>
                <w:lang w:val="en-GB"/>
              </w:rPr>
              <w:t>based on individual order,</w:t>
            </w:r>
          </w:p>
          <w:p w14:paraId="34B02F4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176B32F" w14:textId="1F553473"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42" w14:textId="1258CF9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43" w14:textId="038ED51C" w:rsidR="00471EE4" w:rsidRPr="004E75B9" w:rsidRDefault="00471EE4" w:rsidP="00471EE4">
            <w:pPr>
              <w:jc w:val="center"/>
              <w:rPr>
                <w:rFonts w:ascii="Arial" w:hAnsi="Arial" w:cs="Arial"/>
                <w:sz w:val="20"/>
                <w:lang w:val="en-GB"/>
              </w:rPr>
            </w:pPr>
            <w:r w:rsidRPr="004E75B9">
              <w:rPr>
                <w:rFonts w:ascii="Arial" w:hAnsi="Arial" w:cs="Arial"/>
                <w:sz w:val="20"/>
                <w:lang w:val="en-GB"/>
              </w:rPr>
              <w:t>30th day of the month following the reference period</w:t>
            </w:r>
          </w:p>
        </w:tc>
      </w:tr>
      <w:tr w:rsidR="004E75B9" w:rsidRPr="004E75B9" w14:paraId="164B90CD"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19924A8C" w:rsidR="00471EE4" w:rsidRPr="004E75B9" w:rsidRDefault="00EE63E1" w:rsidP="00471EE4">
            <w:pPr>
              <w:jc w:val="center"/>
              <w:rPr>
                <w:rFonts w:ascii="Arial" w:hAnsi="Arial" w:cs="Arial"/>
                <w:sz w:val="20"/>
                <w:lang w:val="en-GB"/>
              </w:rPr>
            </w:pPr>
            <w:r w:rsidRPr="004E75B9">
              <w:rPr>
                <w:rFonts w:ascii="Arial" w:hAnsi="Arial" w:cs="Arial"/>
                <w:sz w:val="20"/>
                <w:lang w:val="en-GB"/>
              </w:rPr>
              <w:t>48</w:t>
            </w:r>
          </w:p>
        </w:tc>
        <w:tc>
          <w:tcPr>
            <w:tcW w:w="1418" w:type="dxa"/>
            <w:tcBorders>
              <w:top w:val="nil"/>
              <w:left w:val="single" w:sz="4" w:space="0" w:color="auto"/>
              <w:bottom w:val="single" w:sz="4" w:space="0" w:color="auto"/>
              <w:right w:val="single" w:sz="4" w:space="0" w:color="auto"/>
            </w:tcBorders>
            <w:vAlign w:val="center"/>
          </w:tcPr>
          <w:p w14:paraId="42BA97D9" w14:textId="1C429941" w:rsidR="00471EE4" w:rsidRPr="004E75B9" w:rsidRDefault="00471EE4" w:rsidP="00471EE4">
            <w:pPr>
              <w:jc w:val="center"/>
              <w:rPr>
                <w:rFonts w:ascii="Arial" w:hAnsi="Arial" w:cs="Arial"/>
                <w:sz w:val="20"/>
                <w:lang w:val="en-GB"/>
              </w:rPr>
            </w:pPr>
            <w:r w:rsidRPr="004E75B9">
              <w:rPr>
                <w:rFonts w:ascii="Arial" w:hAnsi="Arial" w:cs="Arial"/>
                <w:sz w:val="20"/>
                <w:lang w:val="en-GB"/>
              </w:rPr>
              <w:t>J01</w:t>
            </w:r>
          </w:p>
        </w:tc>
        <w:tc>
          <w:tcPr>
            <w:tcW w:w="2598" w:type="dxa"/>
            <w:tcBorders>
              <w:top w:val="nil"/>
              <w:left w:val="nil"/>
              <w:bottom w:val="single" w:sz="4" w:space="0" w:color="auto"/>
              <w:right w:val="single" w:sz="4" w:space="0" w:color="auto"/>
            </w:tcBorders>
            <w:vAlign w:val="center"/>
          </w:tcPr>
          <w:p w14:paraId="0B602572" w14:textId="41FE1586" w:rsidR="00471EE4" w:rsidRPr="004E75B9" w:rsidRDefault="00471EE4" w:rsidP="00471EE4">
            <w:pPr>
              <w:rPr>
                <w:rFonts w:ascii="Arial" w:hAnsi="Arial" w:cs="Arial"/>
                <w:sz w:val="20"/>
                <w:lang w:val="en-GB"/>
              </w:rPr>
            </w:pPr>
            <w:r w:rsidRPr="004E75B9">
              <w:rPr>
                <w:rFonts w:ascii="Arial" w:hAnsi="Arial" w:cs="Arial"/>
                <w:sz w:val="20"/>
                <w:lang w:val="en-GB"/>
              </w:rPr>
              <w:t>Anonymised income and employment history data of natural persons</w:t>
            </w:r>
          </w:p>
        </w:tc>
        <w:tc>
          <w:tcPr>
            <w:tcW w:w="2835" w:type="dxa"/>
            <w:tcBorders>
              <w:top w:val="nil"/>
              <w:left w:val="nil"/>
              <w:bottom w:val="single" w:sz="4" w:space="0" w:color="auto"/>
              <w:right w:val="single" w:sz="4" w:space="0" w:color="auto"/>
            </w:tcBorders>
            <w:vAlign w:val="center"/>
          </w:tcPr>
          <w:p w14:paraId="02893014" w14:textId="4B8C9763" w:rsidR="00471EE4" w:rsidRPr="004E75B9" w:rsidRDefault="00471EE4" w:rsidP="00471EE4">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64062271" w14:textId="6B988568" w:rsidR="00471EE4" w:rsidRPr="004E75B9" w:rsidRDefault="00471EE4" w:rsidP="00471EE4">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43D9DDF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5A642537" w14:textId="06438298" w:rsidR="00471EE4" w:rsidRPr="004E75B9" w:rsidRDefault="00B7054D"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EF4897E" w14:textId="67C6C417" w:rsidR="00471EE4" w:rsidRPr="004E75B9" w:rsidRDefault="00471EE4" w:rsidP="00471EE4">
            <w:pPr>
              <w:jc w:val="center"/>
              <w:rPr>
                <w:rFonts w:ascii="Arial" w:hAnsi="Arial" w:cs="Arial"/>
                <w:sz w:val="20"/>
                <w:lang w:val="en-GB"/>
              </w:rPr>
            </w:pPr>
            <w:r w:rsidRPr="004E75B9">
              <w:rPr>
                <w:rFonts w:ascii="Arial" w:hAnsi="Arial" w:cs="Arial"/>
                <w:sz w:val="20"/>
                <w:lang w:val="en-GB"/>
              </w:rPr>
              <w:t>31 October of the year following the reference period</w:t>
            </w:r>
          </w:p>
        </w:tc>
      </w:tr>
      <w:tr w:rsidR="004E75B9" w:rsidRPr="004E75B9" w14:paraId="50DED5F1"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BCFB7E7"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48a</w:t>
            </w:r>
          </w:p>
        </w:tc>
        <w:tc>
          <w:tcPr>
            <w:tcW w:w="1418" w:type="dxa"/>
            <w:tcBorders>
              <w:top w:val="nil"/>
              <w:left w:val="single" w:sz="4" w:space="0" w:color="auto"/>
              <w:bottom w:val="single" w:sz="4" w:space="0" w:color="auto"/>
              <w:right w:val="single" w:sz="4" w:space="0" w:color="auto"/>
            </w:tcBorders>
            <w:vAlign w:val="center"/>
          </w:tcPr>
          <w:p w14:paraId="1ACF02B8"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J02</w:t>
            </w:r>
          </w:p>
        </w:tc>
        <w:tc>
          <w:tcPr>
            <w:tcW w:w="2598" w:type="dxa"/>
            <w:tcBorders>
              <w:top w:val="nil"/>
              <w:left w:val="nil"/>
              <w:bottom w:val="single" w:sz="4" w:space="0" w:color="auto"/>
              <w:right w:val="single" w:sz="4" w:space="0" w:color="auto"/>
            </w:tcBorders>
            <w:vAlign w:val="center"/>
          </w:tcPr>
          <w:p w14:paraId="12A8129B" w14:textId="77777777" w:rsidR="007B6E04" w:rsidRPr="004E75B9" w:rsidRDefault="007B6E04" w:rsidP="00481406">
            <w:pPr>
              <w:rPr>
                <w:rFonts w:ascii="Arial" w:hAnsi="Arial" w:cs="Arial"/>
                <w:sz w:val="20"/>
                <w:lang w:val="en-GB"/>
              </w:rPr>
            </w:pPr>
            <w:r w:rsidRPr="004E75B9">
              <w:rPr>
                <w:rFonts w:ascii="Arial" w:hAnsi="Arial" w:cs="Arial"/>
                <w:sz w:val="20"/>
                <w:lang w:val="en-GB"/>
              </w:rPr>
              <w:t>Certain data concerning natural persons claiming family allowances, the allowances and the eligible property</w:t>
            </w:r>
          </w:p>
        </w:tc>
        <w:tc>
          <w:tcPr>
            <w:tcW w:w="2835" w:type="dxa"/>
            <w:tcBorders>
              <w:top w:val="nil"/>
              <w:left w:val="nil"/>
              <w:bottom w:val="single" w:sz="4" w:space="0" w:color="auto"/>
              <w:right w:val="single" w:sz="4" w:space="0" w:color="auto"/>
            </w:tcBorders>
            <w:vAlign w:val="center"/>
          </w:tcPr>
          <w:p w14:paraId="54DE7BE8" w14:textId="77777777" w:rsidR="007B6E04" w:rsidRPr="004E75B9" w:rsidRDefault="007B6E04" w:rsidP="00481406">
            <w:pPr>
              <w:rPr>
                <w:rFonts w:ascii="Arial" w:hAnsi="Arial" w:cs="Arial"/>
                <w:sz w:val="20"/>
                <w:lang w:val="en-GB"/>
              </w:rPr>
            </w:pPr>
            <w:r w:rsidRPr="004E75B9">
              <w:rPr>
                <w:rFonts w:ascii="Arial" w:hAnsi="Arial" w:cs="Arial"/>
                <w:sz w:val="20"/>
                <w:lang w:val="en-GB"/>
              </w:rPr>
              <w:t>Hungarian State Treasury</w:t>
            </w:r>
          </w:p>
        </w:tc>
        <w:tc>
          <w:tcPr>
            <w:tcW w:w="1701" w:type="dxa"/>
            <w:tcBorders>
              <w:top w:val="nil"/>
              <w:left w:val="nil"/>
              <w:bottom w:val="single" w:sz="4" w:space="0" w:color="auto"/>
              <w:right w:val="single" w:sz="4" w:space="0" w:color="auto"/>
            </w:tcBorders>
            <w:vAlign w:val="center"/>
          </w:tcPr>
          <w:p w14:paraId="76444493"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07BEAE"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electronic</w:t>
            </w:r>
          </w:p>
          <w:p w14:paraId="282AD5AE"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0E543E18"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31 October</w:t>
            </w:r>
          </w:p>
        </w:tc>
      </w:tr>
      <w:tr w:rsidR="004E75B9" w:rsidRPr="004E75B9" w14:paraId="484C96DD"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0FC2535F"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48b</w:t>
            </w:r>
          </w:p>
        </w:tc>
        <w:tc>
          <w:tcPr>
            <w:tcW w:w="1418" w:type="dxa"/>
            <w:tcBorders>
              <w:top w:val="nil"/>
              <w:left w:val="single" w:sz="4" w:space="0" w:color="auto"/>
              <w:bottom w:val="single" w:sz="4" w:space="0" w:color="auto"/>
              <w:right w:val="single" w:sz="4" w:space="0" w:color="auto"/>
            </w:tcBorders>
            <w:vAlign w:val="center"/>
          </w:tcPr>
          <w:p w14:paraId="2D052EAB"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J03</w:t>
            </w:r>
          </w:p>
        </w:tc>
        <w:tc>
          <w:tcPr>
            <w:tcW w:w="2598" w:type="dxa"/>
            <w:tcBorders>
              <w:top w:val="nil"/>
              <w:left w:val="nil"/>
              <w:bottom w:val="single" w:sz="4" w:space="0" w:color="auto"/>
              <w:right w:val="single" w:sz="4" w:space="0" w:color="auto"/>
            </w:tcBorders>
            <w:vAlign w:val="center"/>
          </w:tcPr>
          <w:p w14:paraId="3ADC10B7" w14:textId="77777777" w:rsidR="007B6E04" w:rsidRPr="004E75B9" w:rsidRDefault="007B6E04" w:rsidP="00481406">
            <w:pPr>
              <w:rPr>
                <w:rFonts w:ascii="Arial" w:hAnsi="Arial" w:cs="Arial"/>
                <w:sz w:val="20"/>
                <w:lang w:val="en-GB"/>
              </w:rPr>
            </w:pPr>
            <w:r w:rsidRPr="004E75B9">
              <w:rPr>
                <w:rFonts w:ascii="Arial" w:hAnsi="Arial" w:cs="Arial"/>
                <w:sz w:val="20"/>
                <w:lang w:val="en-GB"/>
              </w:rPr>
              <w:t>Data on compliance with the conditions for family allowances</w:t>
            </w:r>
          </w:p>
        </w:tc>
        <w:tc>
          <w:tcPr>
            <w:tcW w:w="2835" w:type="dxa"/>
            <w:tcBorders>
              <w:top w:val="nil"/>
              <w:left w:val="nil"/>
              <w:bottom w:val="single" w:sz="4" w:space="0" w:color="auto"/>
              <w:right w:val="single" w:sz="4" w:space="0" w:color="auto"/>
            </w:tcBorders>
            <w:vAlign w:val="center"/>
          </w:tcPr>
          <w:p w14:paraId="277A17F8" w14:textId="77777777" w:rsidR="007B6E04" w:rsidRPr="004E75B9" w:rsidRDefault="007B6E04" w:rsidP="00481406">
            <w:pPr>
              <w:rPr>
                <w:rFonts w:ascii="Arial" w:hAnsi="Arial" w:cs="Arial"/>
                <w:sz w:val="20"/>
                <w:lang w:val="en-GB"/>
              </w:rPr>
            </w:pPr>
            <w:r w:rsidRPr="004E75B9">
              <w:rPr>
                <w:rFonts w:ascii="Arial" w:hAnsi="Arial" w:cs="Arial"/>
                <w:sz w:val="20"/>
                <w:lang w:val="en-GB"/>
              </w:rPr>
              <w:t>Hungarian State Treasury</w:t>
            </w:r>
          </w:p>
        </w:tc>
        <w:tc>
          <w:tcPr>
            <w:tcW w:w="1701" w:type="dxa"/>
            <w:tcBorders>
              <w:top w:val="nil"/>
              <w:left w:val="nil"/>
              <w:bottom w:val="single" w:sz="4" w:space="0" w:color="auto"/>
              <w:right w:val="single" w:sz="4" w:space="0" w:color="auto"/>
            </w:tcBorders>
            <w:vAlign w:val="center"/>
          </w:tcPr>
          <w:p w14:paraId="11F6569E"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quarterly, for calendar quarters I, III and IV</w:t>
            </w:r>
          </w:p>
        </w:tc>
        <w:tc>
          <w:tcPr>
            <w:tcW w:w="1796" w:type="dxa"/>
            <w:tcBorders>
              <w:top w:val="nil"/>
              <w:left w:val="nil"/>
              <w:bottom w:val="single" w:sz="4" w:space="0" w:color="auto"/>
              <w:right w:val="single" w:sz="4" w:space="0" w:color="auto"/>
            </w:tcBorders>
            <w:vAlign w:val="center"/>
          </w:tcPr>
          <w:p w14:paraId="3265B6DA"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electronic</w:t>
            </w:r>
          </w:p>
          <w:p w14:paraId="03249FAB"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2F0E07C3" w14:textId="77777777" w:rsidR="007B6E04" w:rsidRPr="004E75B9" w:rsidRDefault="007B6E04" w:rsidP="00481406">
            <w:pPr>
              <w:jc w:val="center"/>
              <w:rPr>
                <w:rFonts w:ascii="Arial" w:hAnsi="Arial" w:cs="Arial"/>
                <w:sz w:val="20"/>
                <w:lang w:val="en-GB"/>
              </w:rPr>
            </w:pPr>
            <w:r w:rsidRPr="004E75B9">
              <w:rPr>
                <w:rFonts w:ascii="Arial" w:hAnsi="Arial" w:cs="Arial"/>
                <w:sz w:val="20"/>
                <w:lang w:val="en-GB"/>
              </w:rPr>
              <w:t>last working day of the fourth month following the reference period</w:t>
            </w:r>
          </w:p>
        </w:tc>
      </w:tr>
      <w:tr w:rsidR="004E75B9" w:rsidRPr="004E75B9" w14:paraId="34B02F4D" w14:textId="77777777" w:rsidTr="00481406">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4F5D9852" w:rsidR="00471EE4" w:rsidRPr="004E75B9" w:rsidRDefault="00EE63E1" w:rsidP="00471EE4">
            <w:pPr>
              <w:jc w:val="center"/>
              <w:rPr>
                <w:rFonts w:ascii="Arial" w:hAnsi="Arial" w:cs="Arial"/>
                <w:sz w:val="20"/>
                <w:lang w:val="en-GB"/>
              </w:rPr>
            </w:pPr>
            <w:r w:rsidRPr="004E75B9">
              <w:rPr>
                <w:rFonts w:ascii="Arial" w:hAnsi="Arial" w:cs="Arial"/>
                <w:sz w:val="20"/>
                <w:lang w:val="en-GB"/>
              </w:rPr>
              <w:t>49</w:t>
            </w:r>
          </w:p>
        </w:tc>
        <w:tc>
          <w:tcPr>
            <w:tcW w:w="1418" w:type="dxa"/>
            <w:tcBorders>
              <w:top w:val="nil"/>
              <w:left w:val="single" w:sz="4" w:space="0" w:color="auto"/>
              <w:bottom w:val="single" w:sz="4" w:space="0" w:color="auto"/>
              <w:right w:val="single" w:sz="4" w:space="0" w:color="auto"/>
            </w:tcBorders>
            <w:vAlign w:val="center"/>
          </w:tcPr>
          <w:p w14:paraId="34B02F46" w14:textId="54A96631" w:rsidR="00471EE4" w:rsidRPr="004E75B9" w:rsidRDefault="00471EE4" w:rsidP="00471EE4">
            <w:pPr>
              <w:jc w:val="center"/>
              <w:rPr>
                <w:rFonts w:ascii="Arial" w:hAnsi="Arial" w:cs="Arial"/>
                <w:sz w:val="20"/>
                <w:lang w:val="en-GB"/>
              </w:rPr>
            </w:pPr>
            <w:r w:rsidRPr="004E75B9">
              <w:rPr>
                <w:rFonts w:ascii="Arial" w:hAnsi="Arial" w:cs="Arial"/>
                <w:sz w:val="20"/>
                <w:lang w:val="en-GB"/>
              </w:rPr>
              <w:t>K02</w:t>
            </w:r>
          </w:p>
        </w:tc>
        <w:tc>
          <w:tcPr>
            <w:tcW w:w="2598" w:type="dxa"/>
            <w:tcBorders>
              <w:top w:val="nil"/>
              <w:left w:val="nil"/>
              <w:bottom w:val="single" w:sz="4" w:space="0" w:color="auto"/>
              <w:right w:val="single" w:sz="4" w:space="0" w:color="auto"/>
            </w:tcBorders>
            <w:vAlign w:val="center"/>
          </w:tcPr>
          <w:p w14:paraId="34B02F47" w14:textId="65AC9A2B" w:rsidR="00471EE4" w:rsidRPr="004E75B9" w:rsidRDefault="00471EE4" w:rsidP="00471EE4">
            <w:pPr>
              <w:rPr>
                <w:rFonts w:ascii="Arial" w:hAnsi="Arial" w:cs="Arial"/>
                <w:sz w:val="20"/>
                <w:lang w:val="en-GB"/>
              </w:rPr>
            </w:pPr>
            <w:r w:rsidRPr="004E75B9">
              <w:rPr>
                <w:rFonts w:ascii="Arial" w:hAnsi="Arial" w:cs="Arial"/>
                <w:sz w:val="20"/>
                <w:lang w:val="en-GB"/>
              </w:rPr>
              <w:t xml:space="preserve">Daily report on the interest rates on interbank HUF loans and HUF deposits </w:t>
            </w:r>
          </w:p>
        </w:tc>
        <w:tc>
          <w:tcPr>
            <w:tcW w:w="2835" w:type="dxa"/>
            <w:tcBorders>
              <w:top w:val="nil"/>
              <w:left w:val="nil"/>
              <w:bottom w:val="single" w:sz="4" w:space="0" w:color="auto"/>
              <w:right w:val="single" w:sz="4" w:space="0" w:color="auto"/>
            </w:tcBorders>
            <w:vAlign w:val="center"/>
          </w:tcPr>
          <w:p w14:paraId="34B02F48" w14:textId="7A539D2D" w:rsidR="00471EE4" w:rsidRPr="004E75B9" w:rsidRDefault="00471EE4" w:rsidP="00471EE4">
            <w:pPr>
              <w:rPr>
                <w:rFonts w:ascii="Arial" w:hAnsi="Arial" w:cs="Arial"/>
                <w:sz w:val="20"/>
                <w:lang w:val="en-GB"/>
              </w:rPr>
            </w:pPr>
            <w:r w:rsidRPr="004E75B9">
              <w:rPr>
                <w:rFonts w:ascii="Arial" w:hAnsi="Arial" w:cs="Arial"/>
                <w:sz w:val="20"/>
                <w:lang w:val="en-GB"/>
              </w:rPr>
              <w:t xml:space="preserve">banks, specialised credit institutions, and EEA branches of this type </w:t>
            </w:r>
          </w:p>
        </w:tc>
        <w:tc>
          <w:tcPr>
            <w:tcW w:w="1701" w:type="dxa"/>
            <w:tcBorders>
              <w:top w:val="nil"/>
              <w:left w:val="nil"/>
              <w:bottom w:val="single" w:sz="4" w:space="0" w:color="auto"/>
              <w:right w:val="single" w:sz="4" w:space="0" w:color="auto"/>
            </w:tcBorders>
            <w:vAlign w:val="center"/>
          </w:tcPr>
          <w:p w14:paraId="34B02F49" w14:textId="74C1CD04"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3E091B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4B" w14:textId="4D7DDC3D"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4C" w14:textId="2C15C7A4" w:rsidR="00471EE4" w:rsidRPr="004E75B9" w:rsidRDefault="00471EE4" w:rsidP="00471EE4">
            <w:pPr>
              <w:jc w:val="center"/>
              <w:rPr>
                <w:rFonts w:ascii="Arial" w:hAnsi="Arial" w:cs="Arial"/>
                <w:sz w:val="20"/>
                <w:lang w:val="en-GB"/>
              </w:rPr>
            </w:pPr>
            <w:r w:rsidRPr="004E75B9">
              <w:rPr>
                <w:rFonts w:ascii="Arial" w:hAnsi="Arial" w:cs="Arial"/>
                <w:sz w:val="20"/>
                <w:lang w:val="en-GB"/>
              </w:rPr>
              <w:t>08:30 a.m. on the 1st working day following the reference day</w:t>
            </w:r>
          </w:p>
        </w:tc>
      </w:tr>
      <w:tr w:rsidR="004E75B9" w:rsidRPr="004E75B9" w14:paraId="34B02F56" w14:textId="77777777" w:rsidTr="00481406">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5A98A2E9" w:rsidR="00471EE4" w:rsidRPr="004E75B9" w:rsidRDefault="00EE63E1" w:rsidP="00471EE4">
            <w:pPr>
              <w:jc w:val="center"/>
              <w:rPr>
                <w:rFonts w:ascii="Arial" w:hAnsi="Arial" w:cs="Arial"/>
                <w:sz w:val="20"/>
                <w:lang w:val="en-GB"/>
              </w:rPr>
            </w:pPr>
            <w:r w:rsidRPr="004E75B9">
              <w:rPr>
                <w:rFonts w:ascii="Arial" w:hAnsi="Arial" w:cs="Arial"/>
                <w:sz w:val="20"/>
                <w:lang w:val="en-GB"/>
              </w:rPr>
              <w:t>50</w:t>
            </w:r>
          </w:p>
        </w:tc>
        <w:tc>
          <w:tcPr>
            <w:tcW w:w="1418" w:type="dxa"/>
            <w:tcBorders>
              <w:top w:val="nil"/>
              <w:left w:val="single" w:sz="4" w:space="0" w:color="auto"/>
              <w:bottom w:val="single" w:sz="4" w:space="0" w:color="auto"/>
              <w:right w:val="single" w:sz="4" w:space="0" w:color="auto"/>
            </w:tcBorders>
            <w:vAlign w:val="center"/>
          </w:tcPr>
          <w:p w14:paraId="34B02F4F" w14:textId="2CAEB7A9" w:rsidR="00471EE4" w:rsidRPr="004E75B9" w:rsidRDefault="00471EE4" w:rsidP="00471EE4">
            <w:pPr>
              <w:jc w:val="center"/>
              <w:rPr>
                <w:rFonts w:ascii="Arial" w:hAnsi="Arial" w:cs="Arial"/>
                <w:sz w:val="20"/>
                <w:lang w:val="en-GB"/>
              </w:rPr>
            </w:pPr>
            <w:r w:rsidRPr="004E75B9">
              <w:rPr>
                <w:rFonts w:ascii="Arial" w:hAnsi="Arial" w:cs="Arial"/>
                <w:sz w:val="20"/>
                <w:lang w:val="en-GB"/>
              </w:rPr>
              <w:t>K04</w:t>
            </w:r>
          </w:p>
        </w:tc>
        <w:tc>
          <w:tcPr>
            <w:tcW w:w="2598" w:type="dxa"/>
            <w:tcBorders>
              <w:top w:val="nil"/>
              <w:left w:val="nil"/>
              <w:bottom w:val="single" w:sz="4" w:space="0" w:color="auto"/>
              <w:right w:val="single" w:sz="4" w:space="0" w:color="auto"/>
            </w:tcBorders>
            <w:vAlign w:val="center"/>
          </w:tcPr>
          <w:p w14:paraId="34B02F50" w14:textId="2F1A2517" w:rsidR="00471EE4" w:rsidRPr="004E75B9" w:rsidRDefault="00574F67" w:rsidP="00471EE4">
            <w:pPr>
              <w:rPr>
                <w:rFonts w:ascii="Arial" w:hAnsi="Arial" w:cs="Arial"/>
                <w:sz w:val="20"/>
                <w:lang w:val="en-GB"/>
              </w:rPr>
            </w:pPr>
            <w:r w:rsidRPr="004E75B9">
              <w:rPr>
                <w:rFonts w:ascii="Arial" w:hAnsi="Arial" w:cs="Arial"/>
                <w:sz w:val="20"/>
                <w:lang w:val="en-GB"/>
              </w:rPr>
              <w:t>Monthly report on the outstanding stock and interest rates of on-balance interbank transactions</w:t>
            </w:r>
          </w:p>
        </w:tc>
        <w:tc>
          <w:tcPr>
            <w:tcW w:w="2835" w:type="dxa"/>
            <w:tcBorders>
              <w:top w:val="nil"/>
              <w:left w:val="nil"/>
              <w:bottom w:val="single" w:sz="4" w:space="0" w:color="auto"/>
              <w:right w:val="single" w:sz="4" w:space="0" w:color="auto"/>
            </w:tcBorders>
            <w:vAlign w:val="center"/>
          </w:tcPr>
          <w:p w14:paraId="34B02F51" w14:textId="3D4241EA"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52" w14:textId="31E78E5E" w:rsidR="00471EE4" w:rsidRPr="004E75B9" w:rsidRDefault="00A2688F"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FC0A60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54" w14:textId="7076DFBB"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55" w14:textId="05BE67BF"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of the month following the reference period</w:t>
            </w:r>
          </w:p>
        </w:tc>
      </w:tr>
      <w:tr w:rsidR="004E75B9" w:rsidRPr="004E75B9" w14:paraId="140B15D9"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C916A60"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50a</w:t>
            </w:r>
          </w:p>
        </w:tc>
        <w:tc>
          <w:tcPr>
            <w:tcW w:w="1418" w:type="dxa"/>
            <w:tcBorders>
              <w:top w:val="nil"/>
              <w:left w:val="single" w:sz="4" w:space="0" w:color="auto"/>
              <w:bottom w:val="single" w:sz="4" w:space="0" w:color="auto"/>
              <w:right w:val="single" w:sz="4" w:space="0" w:color="auto"/>
            </w:tcBorders>
            <w:vAlign w:val="center"/>
          </w:tcPr>
          <w:p w14:paraId="31AAB44D"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K05</w:t>
            </w:r>
          </w:p>
        </w:tc>
        <w:tc>
          <w:tcPr>
            <w:tcW w:w="2598" w:type="dxa"/>
            <w:tcBorders>
              <w:top w:val="nil"/>
              <w:left w:val="nil"/>
              <w:bottom w:val="single" w:sz="4" w:space="0" w:color="auto"/>
              <w:right w:val="single" w:sz="4" w:space="0" w:color="auto"/>
            </w:tcBorders>
            <w:vAlign w:val="center"/>
          </w:tcPr>
          <w:p w14:paraId="7CD3B620" w14:textId="77777777" w:rsidR="000F2CC9" w:rsidRPr="004E75B9" w:rsidRDefault="000F2CC9" w:rsidP="00481406">
            <w:pPr>
              <w:rPr>
                <w:rFonts w:ascii="Arial" w:hAnsi="Arial" w:cs="Arial"/>
                <w:sz w:val="20"/>
                <w:lang w:val="en-GB"/>
              </w:rPr>
            </w:pPr>
            <w:r w:rsidRPr="004E75B9">
              <w:rPr>
                <w:rFonts w:ascii="Arial" w:hAnsi="Arial" w:cs="Arial"/>
                <w:sz w:val="20"/>
                <w:lang w:val="en-GB"/>
              </w:rPr>
              <w:t>Daily report on the stock and interest rates of on-balance interbank transactions</w:t>
            </w:r>
          </w:p>
        </w:tc>
        <w:tc>
          <w:tcPr>
            <w:tcW w:w="2835" w:type="dxa"/>
            <w:tcBorders>
              <w:top w:val="nil"/>
              <w:left w:val="nil"/>
              <w:bottom w:val="single" w:sz="4" w:space="0" w:color="auto"/>
              <w:right w:val="single" w:sz="4" w:space="0" w:color="auto"/>
            </w:tcBorders>
            <w:vAlign w:val="center"/>
          </w:tcPr>
          <w:p w14:paraId="60FEE6C1" w14:textId="77777777" w:rsidR="000F2CC9" w:rsidRPr="004E75B9" w:rsidRDefault="000F2CC9" w:rsidP="00481406">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2DE76124"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086728E"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electronic</w:t>
            </w:r>
          </w:p>
          <w:p w14:paraId="60E56835"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BDBA30D"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12 p.m. on the working day following the reference day</w:t>
            </w:r>
          </w:p>
        </w:tc>
      </w:tr>
      <w:tr w:rsidR="004E75B9" w:rsidRPr="004E75B9" w14:paraId="16243C63"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851DD6F"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50b</w:t>
            </w:r>
          </w:p>
        </w:tc>
        <w:tc>
          <w:tcPr>
            <w:tcW w:w="1418" w:type="dxa"/>
            <w:tcBorders>
              <w:top w:val="nil"/>
              <w:left w:val="single" w:sz="4" w:space="0" w:color="auto"/>
              <w:bottom w:val="single" w:sz="4" w:space="0" w:color="auto"/>
              <w:right w:val="single" w:sz="4" w:space="0" w:color="auto"/>
            </w:tcBorders>
            <w:vAlign w:val="center"/>
          </w:tcPr>
          <w:p w14:paraId="47A89642"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K10</w:t>
            </w:r>
          </w:p>
        </w:tc>
        <w:tc>
          <w:tcPr>
            <w:tcW w:w="2598" w:type="dxa"/>
            <w:tcBorders>
              <w:top w:val="nil"/>
              <w:left w:val="nil"/>
              <w:bottom w:val="single" w:sz="4" w:space="0" w:color="auto"/>
              <w:right w:val="single" w:sz="4" w:space="0" w:color="auto"/>
            </w:tcBorders>
            <w:vAlign w:val="center"/>
          </w:tcPr>
          <w:p w14:paraId="29993EE4" w14:textId="77777777" w:rsidR="000F2CC9" w:rsidRPr="004E75B9" w:rsidRDefault="000F2CC9" w:rsidP="00481406">
            <w:pPr>
              <w:rPr>
                <w:rFonts w:ascii="Arial" w:hAnsi="Arial" w:cs="Arial"/>
                <w:sz w:val="20"/>
                <w:lang w:val="en-GB"/>
              </w:rPr>
            </w:pPr>
            <w:r w:rsidRPr="004E75B9">
              <w:rPr>
                <w:rFonts w:ascii="Arial" w:hAnsi="Arial" w:cs="Arial"/>
                <w:sz w:val="20"/>
                <w:lang w:val="en-GB"/>
              </w:rPr>
              <w:t>Daily report on non-interbank overnight HUF loan and HUF deposit interest rates</w:t>
            </w:r>
          </w:p>
        </w:tc>
        <w:tc>
          <w:tcPr>
            <w:tcW w:w="2835" w:type="dxa"/>
            <w:tcBorders>
              <w:top w:val="nil"/>
              <w:left w:val="nil"/>
              <w:bottom w:val="single" w:sz="4" w:space="0" w:color="auto"/>
              <w:right w:val="single" w:sz="4" w:space="0" w:color="auto"/>
            </w:tcBorders>
            <w:vAlign w:val="center"/>
          </w:tcPr>
          <w:p w14:paraId="770E6D4B" w14:textId="77777777" w:rsidR="000F2CC9" w:rsidRPr="004E75B9" w:rsidRDefault="000F2CC9" w:rsidP="00481406">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7F83C67C"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7D628724"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electronic (ERA system)</w:t>
            </w:r>
          </w:p>
        </w:tc>
        <w:tc>
          <w:tcPr>
            <w:tcW w:w="3402" w:type="dxa"/>
            <w:tcBorders>
              <w:top w:val="nil"/>
              <w:left w:val="nil"/>
              <w:bottom w:val="single" w:sz="4" w:space="0" w:color="auto"/>
              <w:right w:val="single" w:sz="4" w:space="0" w:color="auto"/>
            </w:tcBorders>
            <w:vAlign w:val="center"/>
          </w:tcPr>
          <w:p w14:paraId="47E77946" w14:textId="77777777" w:rsidR="000F2CC9" w:rsidRPr="004E75B9" w:rsidRDefault="000F2CC9" w:rsidP="00481406">
            <w:pPr>
              <w:jc w:val="center"/>
              <w:rPr>
                <w:rFonts w:ascii="Arial" w:hAnsi="Arial" w:cs="Arial"/>
                <w:sz w:val="20"/>
                <w:lang w:val="en-GB"/>
              </w:rPr>
            </w:pPr>
            <w:r w:rsidRPr="004E75B9">
              <w:rPr>
                <w:rFonts w:ascii="Arial" w:hAnsi="Arial" w:cs="Arial"/>
                <w:sz w:val="20"/>
                <w:lang w:val="en-GB"/>
              </w:rPr>
              <w:t>2 p.m. on the working day following the reference day</w:t>
            </w:r>
          </w:p>
        </w:tc>
      </w:tr>
      <w:tr w:rsidR="004E75B9" w:rsidRPr="004E75B9" w14:paraId="34B02F5F"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749EAC7A" w:rsidR="00471EE4" w:rsidRPr="004E75B9" w:rsidRDefault="00EE63E1" w:rsidP="00471EE4">
            <w:pPr>
              <w:jc w:val="center"/>
              <w:rPr>
                <w:rFonts w:ascii="Arial" w:hAnsi="Arial" w:cs="Arial"/>
                <w:sz w:val="20"/>
                <w:lang w:val="en-GB"/>
              </w:rPr>
            </w:pPr>
            <w:r w:rsidRPr="004E75B9">
              <w:rPr>
                <w:rFonts w:ascii="Arial" w:hAnsi="Arial" w:cs="Arial"/>
                <w:sz w:val="20"/>
                <w:lang w:val="en-GB"/>
              </w:rPr>
              <w:t>51</w:t>
            </w:r>
          </w:p>
        </w:tc>
        <w:tc>
          <w:tcPr>
            <w:tcW w:w="1418" w:type="dxa"/>
            <w:tcBorders>
              <w:top w:val="nil"/>
              <w:left w:val="single" w:sz="4" w:space="0" w:color="auto"/>
              <w:bottom w:val="single" w:sz="4" w:space="0" w:color="auto"/>
              <w:right w:val="single" w:sz="4" w:space="0" w:color="auto"/>
            </w:tcBorders>
            <w:vAlign w:val="center"/>
          </w:tcPr>
          <w:p w14:paraId="34B02F58" w14:textId="064BB6F7" w:rsidR="00471EE4" w:rsidRPr="004E75B9" w:rsidRDefault="00471EE4" w:rsidP="00471EE4">
            <w:pPr>
              <w:jc w:val="center"/>
              <w:rPr>
                <w:rFonts w:ascii="Arial" w:hAnsi="Arial" w:cs="Arial"/>
                <w:sz w:val="20"/>
                <w:lang w:val="en-GB"/>
              </w:rPr>
            </w:pPr>
            <w:r w:rsidRPr="004E75B9">
              <w:rPr>
                <w:rFonts w:ascii="Arial" w:hAnsi="Arial" w:cs="Arial"/>
                <w:sz w:val="20"/>
                <w:lang w:val="en-GB"/>
              </w:rPr>
              <w:t>K12</w:t>
            </w:r>
          </w:p>
        </w:tc>
        <w:tc>
          <w:tcPr>
            <w:tcW w:w="2598" w:type="dxa"/>
            <w:tcBorders>
              <w:top w:val="nil"/>
              <w:left w:val="nil"/>
              <w:bottom w:val="single" w:sz="4" w:space="0" w:color="auto"/>
              <w:right w:val="single" w:sz="4" w:space="0" w:color="auto"/>
            </w:tcBorders>
            <w:vAlign w:val="center"/>
          </w:tcPr>
          <w:p w14:paraId="34B02F59" w14:textId="7D9FA99D" w:rsidR="00471EE4" w:rsidRPr="004E75B9" w:rsidRDefault="00471EE4" w:rsidP="00471EE4">
            <w:pPr>
              <w:rPr>
                <w:rFonts w:ascii="Arial" w:hAnsi="Arial" w:cs="Arial"/>
                <w:sz w:val="20"/>
                <w:lang w:val="en-GB"/>
              </w:rPr>
            </w:pPr>
            <w:r w:rsidRPr="004E75B9">
              <w:rPr>
                <w:rFonts w:ascii="Arial" w:hAnsi="Arial" w:cs="Arial"/>
                <w:sz w:val="20"/>
                <w:lang w:val="en-GB"/>
              </w:rPr>
              <w:t xml:space="preserve">Daily report on the interest rates on interbank overnight HUF loans and HUF deposits </w:t>
            </w:r>
          </w:p>
        </w:tc>
        <w:tc>
          <w:tcPr>
            <w:tcW w:w="2835" w:type="dxa"/>
            <w:tcBorders>
              <w:top w:val="nil"/>
              <w:left w:val="nil"/>
              <w:bottom w:val="single" w:sz="4" w:space="0" w:color="auto"/>
              <w:right w:val="single" w:sz="4" w:space="0" w:color="auto"/>
            </w:tcBorders>
            <w:vAlign w:val="center"/>
          </w:tcPr>
          <w:p w14:paraId="34B02F5A" w14:textId="7AE204C9"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5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68BC3F0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5D" w14:textId="1B72056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5E" w14:textId="33EE0D06" w:rsidR="00471EE4" w:rsidRPr="004E75B9" w:rsidRDefault="00471EE4" w:rsidP="00471EE4">
            <w:pPr>
              <w:jc w:val="center"/>
              <w:rPr>
                <w:rFonts w:ascii="Arial" w:hAnsi="Arial" w:cs="Arial"/>
                <w:sz w:val="20"/>
                <w:lang w:val="en-GB"/>
              </w:rPr>
            </w:pPr>
            <w:r w:rsidRPr="004E75B9">
              <w:rPr>
                <w:rFonts w:ascii="Arial" w:hAnsi="Arial" w:cs="Arial"/>
                <w:sz w:val="20"/>
                <w:lang w:val="en-GB"/>
              </w:rPr>
              <w:t>8 a.m. on the first working day following reference day</w:t>
            </w:r>
          </w:p>
        </w:tc>
      </w:tr>
      <w:tr w:rsidR="004E75B9" w:rsidRPr="004E75B9" w14:paraId="34B02F68" w14:textId="77777777" w:rsidTr="00481406">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4E767D97"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52</w:t>
            </w:r>
          </w:p>
        </w:tc>
        <w:tc>
          <w:tcPr>
            <w:tcW w:w="1418" w:type="dxa"/>
            <w:tcBorders>
              <w:top w:val="nil"/>
              <w:left w:val="single" w:sz="4" w:space="0" w:color="auto"/>
              <w:bottom w:val="single" w:sz="4" w:space="0" w:color="auto"/>
              <w:right w:val="single" w:sz="4" w:space="0" w:color="auto"/>
            </w:tcBorders>
            <w:vAlign w:val="center"/>
          </w:tcPr>
          <w:p w14:paraId="34B02F61" w14:textId="32BCDE9A" w:rsidR="00471EE4" w:rsidRPr="004E75B9" w:rsidRDefault="00471EE4" w:rsidP="00471EE4">
            <w:pPr>
              <w:jc w:val="center"/>
              <w:rPr>
                <w:rFonts w:ascii="Arial" w:hAnsi="Arial" w:cs="Arial"/>
                <w:sz w:val="20"/>
                <w:lang w:val="en-GB"/>
              </w:rPr>
            </w:pPr>
            <w:r w:rsidRPr="004E75B9">
              <w:rPr>
                <w:rFonts w:ascii="Arial" w:hAnsi="Arial" w:cs="Arial"/>
                <w:sz w:val="20"/>
                <w:lang w:val="en-GB"/>
              </w:rPr>
              <w:t>K14</w:t>
            </w:r>
          </w:p>
        </w:tc>
        <w:tc>
          <w:tcPr>
            <w:tcW w:w="2598" w:type="dxa"/>
            <w:tcBorders>
              <w:top w:val="nil"/>
              <w:left w:val="nil"/>
              <w:bottom w:val="single" w:sz="4" w:space="0" w:color="auto"/>
              <w:right w:val="single" w:sz="4" w:space="0" w:color="auto"/>
            </w:tcBorders>
            <w:vAlign w:val="center"/>
          </w:tcPr>
          <w:p w14:paraId="34B02F62" w14:textId="12B47E22" w:rsidR="00471EE4" w:rsidRPr="004E75B9" w:rsidRDefault="00471EE4" w:rsidP="00471EE4">
            <w:pPr>
              <w:rPr>
                <w:rFonts w:ascii="Arial" w:hAnsi="Arial" w:cs="Arial"/>
                <w:sz w:val="20"/>
                <w:lang w:val="en-GB"/>
              </w:rPr>
            </w:pPr>
            <w:r w:rsidRPr="004E75B9">
              <w:rPr>
                <w:rFonts w:ascii="Arial" w:hAnsi="Arial" w:cs="Arial"/>
                <w:sz w:val="20"/>
                <w:lang w:val="en-GB"/>
              </w:rPr>
              <w:t>Daily report on interest rate derivative transactions</w:t>
            </w:r>
          </w:p>
        </w:tc>
        <w:tc>
          <w:tcPr>
            <w:tcW w:w="2835" w:type="dxa"/>
            <w:tcBorders>
              <w:top w:val="nil"/>
              <w:left w:val="nil"/>
              <w:bottom w:val="single" w:sz="4" w:space="0" w:color="auto"/>
              <w:right w:val="single" w:sz="4" w:space="0" w:color="auto"/>
            </w:tcBorders>
            <w:vAlign w:val="center"/>
          </w:tcPr>
          <w:p w14:paraId="34B02F63" w14:textId="0931704B" w:rsidR="00471EE4" w:rsidRPr="004E75B9" w:rsidRDefault="00471EE4" w:rsidP="00471EE4">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64" w14:textId="48AD9BED"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785937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66" w14:textId="00459BEF"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67" w14:textId="3888DA3D" w:rsidR="00471EE4" w:rsidRPr="004E75B9" w:rsidRDefault="00471EE4" w:rsidP="00471EE4">
            <w:pPr>
              <w:jc w:val="center"/>
              <w:rPr>
                <w:rFonts w:ascii="Arial" w:hAnsi="Arial" w:cs="Arial"/>
                <w:sz w:val="20"/>
                <w:lang w:val="en-GB"/>
              </w:rPr>
            </w:pPr>
            <w:r w:rsidRPr="004E75B9">
              <w:rPr>
                <w:rFonts w:ascii="Arial" w:hAnsi="Arial" w:cs="Arial"/>
                <w:sz w:val="20"/>
                <w:lang w:val="en-GB"/>
              </w:rPr>
              <w:t>12 p.m. on the working day following the reference day</w:t>
            </w:r>
          </w:p>
        </w:tc>
      </w:tr>
      <w:tr w:rsidR="004E75B9" w:rsidRPr="004E75B9" w14:paraId="34B02F71" w14:textId="77777777" w:rsidTr="00481406">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75291D1D" w:rsidR="00471EE4" w:rsidRPr="004E75B9" w:rsidRDefault="00EE63E1" w:rsidP="00471EE4">
            <w:pPr>
              <w:jc w:val="center"/>
              <w:rPr>
                <w:rFonts w:ascii="Arial" w:hAnsi="Arial" w:cs="Arial"/>
                <w:sz w:val="20"/>
                <w:lang w:val="en-GB"/>
              </w:rPr>
            </w:pPr>
            <w:r w:rsidRPr="004E75B9">
              <w:rPr>
                <w:rFonts w:ascii="Arial" w:hAnsi="Arial" w:cs="Arial"/>
                <w:sz w:val="20"/>
                <w:lang w:val="en-GB"/>
              </w:rPr>
              <w:t>53</w:t>
            </w:r>
          </w:p>
        </w:tc>
        <w:tc>
          <w:tcPr>
            <w:tcW w:w="1418" w:type="dxa"/>
            <w:tcBorders>
              <w:top w:val="nil"/>
              <w:left w:val="single" w:sz="4" w:space="0" w:color="auto"/>
              <w:bottom w:val="single" w:sz="4" w:space="0" w:color="auto"/>
              <w:right w:val="single" w:sz="4" w:space="0" w:color="auto"/>
            </w:tcBorders>
            <w:vAlign w:val="center"/>
          </w:tcPr>
          <w:p w14:paraId="34B02F6A" w14:textId="454EE243" w:rsidR="00471EE4" w:rsidRPr="004E75B9" w:rsidRDefault="00471EE4" w:rsidP="00471EE4">
            <w:pPr>
              <w:jc w:val="center"/>
              <w:rPr>
                <w:rFonts w:ascii="Arial" w:hAnsi="Arial" w:cs="Arial"/>
                <w:sz w:val="20"/>
                <w:lang w:val="en-GB"/>
              </w:rPr>
            </w:pPr>
            <w:r w:rsidRPr="004E75B9">
              <w:rPr>
                <w:rFonts w:ascii="Arial" w:hAnsi="Arial" w:cs="Arial"/>
                <w:sz w:val="20"/>
                <w:lang w:val="en-GB"/>
              </w:rPr>
              <w:t>K21</w:t>
            </w:r>
          </w:p>
        </w:tc>
        <w:tc>
          <w:tcPr>
            <w:tcW w:w="2598" w:type="dxa"/>
            <w:tcBorders>
              <w:top w:val="nil"/>
              <w:left w:val="nil"/>
              <w:bottom w:val="single" w:sz="4" w:space="0" w:color="auto"/>
              <w:right w:val="single" w:sz="4" w:space="0" w:color="auto"/>
            </w:tcBorders>
            <w:vAlign w:val="center"/>
          </w:tcPr>
          <w:p w14:paraId="34B02F6B" w14:textId="1E61F83F" w:rsidR="00471EE4" w:rsidRPr="004E75B9" w:rsidRDefault="00471EE4" w:rsidP="00471EE4">
            <w:pPr>
              <w:rPr>
                <w:rFonts w:ascii="Arial" w:hAnsi="Arial" w:cs="Arial"/>
                <w:sz w:val="20"/>
                <w:lang w:val="en-GB"/>
              </w:rPr>
            </w:pPr>
            <w:r w:rsidRPr="004E75B9">
              <w:rPr>
                <w:rFonts w:ascii="Arial" w:hAnsi="Arial" w:cs="Arial"/>
                <w:sz w:val="20"/>
                <w:lang w:val="en-GB"/>
              </w:rPr>
              <w:t>Report on the individual loan contracts of non-financial corporations</w:t>
            </w:r>
          </w:p>
        </w:tc>
        <w:tc>
          <w:tcPr>
            <w:tcW w:w="2835" w:type="dxa"/>
            <w:tcBorders>
              <w:top w:val="nil"/>
              <w:left w:val="nil"/>
              <w:bottom w:val="single" w:sz="4" w:space="0" w:color="auto"/>
              <w:right w:val="single" w:sz="4" w:space="0" w:color="auto"/>
            </w:tcBorders>
            <w:vAlign w:val="center"/>
          </w:tcPr>
          <w:p w14:paraId="34B02F6C" w14:textId="75B1E8BA"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6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BBF8EE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6F" w14:textId="097BC1B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7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9th working day of the month following the reference period</w:t>
            </w:r>
          </w:p>
        </w:tc>
      </w:tr>
      <w:tr w:rsidR="004E75B9" w:rsidRPr="004E75B9" w14:paraId="34B02F7A" w14:textId="77777777" w:rsidTr="00481406">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453A13D7" w:rsidR="00471EE4" w:rsidRPr="004E75B9" w:rsidRDefault="00EE63E1" w:rsidP="00471EE4">
            <w:pPr>
              <w:jc w:val="center"/>
              <w:rPr>
                <w:rFonts w:ascii="Arial" w:hAnsi="Arial" w:cs="Arial"/>
                <w:sz w:val="20"/>
                <w:lang w:val="en-GB"/>
              </w:rPr>
            </w:pPr>
            <w:r w:rsidRPr="004E75B9">
              <w:rPr>
                <w:rFonts w:ascii="Arial" w:hAnsi="Arial" w:cs="Arial"/>
                <w:sz w:val="20"/>
                <w:lang w:val="en-GB"/>
              </w:rPr>
              <w:t>54</w:t>
            </w:r>
          </w:p>
        </w:tc>
        <w:tc>
          <w:tcPr>
            <w:tcW w:w="1418" w:type="dxa"/>
            <w:tcBorders>
              <w:top w:val="nil"/>
              <w:left w:val="single" w:sz="4" w:space="0" w:color="auto"/>
              <w:bottom w:val="single" w:sz="4" w:space="0" w:color="auto"/>
              <w:right w:val="single" w:sz="4" w:space="0" w:color="auto"/>
            </w:tcBorders>
            <w:vAlign w:val="center"/>
          </w:tcPr>
          <w:p w14:paraId="34B02F73" w14:textId="60180B13" w:rsidR="00471EE4" w:rsidRPr="004E75B9" w:rsidRDefault="00471EE4" w:rsidP="00471EE4">
            <w:pPr>
              <w:jc w:val="center"/>
              <w:rPr>
                <w:rFonts w:ascii="Arial" w:hAnsi="Arial" w:cs="Arial"/>
                <w:sz w:val="20"/>
                <w:lang w:val="en-GB"/>
              </w:rPr>
            </w:pPr>
            <w:r w:rsidRPr="004E75B9">
              <w:rPr>
                <w:rFonts w:ascii="Arial" w:hAnsi="Arial" w:cs="Arial"/>
                <w:sz w:val="20"/>
                <w:lang w:val="en-GB"/>
              </w:rPr>
              <w:t>K23</w:t>
            </w:r>
          </w:p>
        </w:tc>
        <w:tc>
          <w:tcPr>
            <w:tcW w:w="2598" w:type="dxa"/>
            <w:tcBorders>
              <w:top w:val="nil"/>
              <w:left w:val="nil"/>
              <w:bottom w:val="single" w:sz="4" w:space="0" w:color="auto"/>
              <w:right w:val="single" w:sz="4" w:space="0" w:color="auto"/>
            </w:tcBorders>
            <w:vAlign w:val="center"/>
          </w:tcPr>
          <w:p w14:paraId="34B02F74" w14:textId="156DCE4B" w:rsidR="00471EE4" w:rsidRPr="004E75B9" w:rsidRDefault="00471EE4" w:rsidP="00471EE4">
            <w:pPr>
              <w:rPr>
                <w:rFonts w:ascii="Arial" w:hAnsi="Arial" w:cs="Arial"/>
                <w:sz w:val="20"/>
                <w:lang w:val="en-GB"/>
              </w:rPr>
            </w:pPr>
            <w:r w:rsidRPr="004E75B9">
              <w:rPr>
                <w:rFonts w:ascii="Arial" w:hAnsi="Arial" w:cs="Arial"/>
                <w:sz w:val="20"/>
                <w:lang w:val="en-GB"/>
              </w:rPr>
              <w:t>Report on the loan contracts of households and non-profit institutions serving households</w:t>
            </w:r>
          </w:p>
        </w:tc>
        <w:tc>
          <w:tcPr>
            <w:tcW w:w="2835" w:type="dxa"/>
            <w:tcBorders>
              <w:top w:val="nil"/>
              <w:left w:val="nil"/>
              <w:bottom w:val="single" w:sz="4" w:space="0" w:color="auto"/>
              <w:right w:val="single" w:sz="4" w:space="0" w:color="auto"/>
            </w:tcBorders>
            <w:vAlign w:val="center"/>
          </w:tcPr>
          <w:p w14:paraId="34B02F75" w14:textId="308FC66C" w:rsidR="00471EE4" w:rsidRPr="004E75B9" w:rsidRDefault="00471EE4" w:rsidP="00471EE4">
            <w:pPr>
              <w:rPr>
                <w:rFonts w:ascii="Arial" w:hAnsi="Arial" w:cs="Arial"/>
                <w:sz w:val="20"/>
                <w:lang w:val="en-GB"/>
              </w:rPr>
            </w:pPr>
            <w:r w:rsidRPr="004E75B9">
              <w:rPr>
                <w:rFonts w:ascii="Arial" w:hAnsi="Arial" w:cs="Arial"/>
                <w:sz w:val="20"/>
                <w:lang w:val="en-GB"/>
              </w:rPr>
              <w:t xml:space="preserve">credit institutions, EEA branches of this type </w:t>
            </w:r>
          </w:p>
        </w:tc>
        <w:tc>
          <w:tcPr>
            <w:tcW w:w="1701" w:type="dxa"/>
            <w:tcBorders>
              <w:top w:val="nil"/>
              <w:left w:val="nil"/>
              <w:bottom w:val="single" w:sz="4" w:space="0" w:color="auto"/>
              <w:right w:val="single" w:sz="4" w:space="0" w:color="auto"/>
            </w:tcBorders>
            <w:vAlign w:val="center"/>
          </w:tcPr>
          <w:p w14:paraId="34B02F7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603425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78" w14:textId="6BC28109"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79" w14:textId="16BBF966" w:rsidR="00471EE4" w:rsidRPr="004E75B9" w:rsidRDefault="00471EE4" w:rsidP="00471EE4">
            <w:pPr>
              <w:jc w:val="center"/>
              <w:rPr>
                <w:rFonts w:ascii="Arial" w:hAnsi="Arial" w:cs="Arial"/>
                <w:sz w:val="20"/>
                <w:lang w:val="en-GB"/>
              </w:rPr>
            </w:pPr>
            <w:r w:rsidRPr="004E75B9">
              <w:rPr>
                <w:rFonts w:ascii="Arial" w:hAnsi="Arial" w:cs="Arial"/>
                <w:sz w:val="20"/>
                <w:lang w:val="en-GB"/>
              </w:rPr>
              <w:t>9th working day of the month following the reference period</w:t>
            </w:r>
          </w:p>
        </w:tc>
      </w:tr>
      <w:tr w:rsidR="004E75B9" w:rsidRPr="004E75B9" w14:paraId="34B02F83" w14:textId="77777777" w:rsidTr="00481406">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445B8191" w:rsidR="00471EE4" w:rsidRPr="004E75B9" w:rsidRDefault="00EE63E1" w:rsidP="00471EE4">
            <w:pPr>
              <w:jc w:val="center"/>
              <w:rPr>
                <w:rFonts w:ascii="Arial" w:hAnsi="Arial" w:cs="Arial"/>
                <w:sz w:val="20"/>
                <w:lang w:val="en-GB"/>
              </w:rPr>
            </w:pPr>
            <w:r w:rsidRPr="004E75B9">
              <w:rPr>
                <w:rFonts w:ascii="Arial" w:hAnsi="Arial" w:cs="Arial"/>
                <w:sz w:val="20"/>
                <w:lang w:val="en-GB"/>
              </w:rPr>
              <w:t>55</w:t>
            </w:r>
          </w:p>
        </w:tc>
        <w:tc>
          <w:tcPr>
            <w:tcW w:w="1418" w:type="dxa"/>
            <w:tcBorders>
              <w:top w:val="nil"/>
              <w:left w:val="single" w:sz="4" w:space="0" w:color="auto"/>
              <w:bottom w:val="single" w:sz="4" w:space="0" w:color="auto"/>
              <w:right w:val="single" w:sz="4" w:space="0" w:color="auto"/>
            </w:tcBorders>
            <w:vAlign w:val="center"/>
          </w:tcPr>
          <w:p w14:paraId="34B02F7C" w14:textId="05866468" w:rsidR="00471EE4" w:rsidRPr="004E75B9" w:rsidRDefault="00471EE4" w:rsidP="00471EE4">
            <w:pPr>
              <w:jc w:val="center"/>
              <w:rPr>
                <w:rFonts w:ascii="Arial" w:hAnsi="Arial" w:cs="Arial"/>
                <w:sz w:val="20"/>
                <w:lang w:val="en-GB"/>
              </w:rPr>
            </w:pPr>
            <w:r w:rsidRPr="004E75B9">
              <w:rPr>
                <w:rFonts w:ascii="Arial" w:hAnsi="Arial" w:cs="Arial"/>
                <w:sz w:val="20"/>
                <w:lang w:val="en-GB"/>
              </w:rPr>
              <w:t>L01</w:t>
            </w:r>
          </w:p>
        </w:tc>
        <w:tc>
          <w:tcPr>
            <w:tcW w:w="2598" w:type="dxa"/>
            <w:tcBorders>
              <w:top w:val="nil"/>
              <w:left w:val="nil"/>
              <w:bottom w:val="single" w:sz="4" w:space="0" w:color="auto"/>
              <w:right w:val="single" w:sz="4" w:space="0" w:color="auto"/>
            </w:tcBorders>
            <w:vAlign w:val="center"/>
          </w:tcPr>
          <w:p w14:paraId="34B02F7D" w14:textId="0FC69D43" w:rsidR="00471EE4" w:rsidRPr="004E75B9" w:rsidRDefault="00471EE4" w:rsidP="00471EE4">
            <w:pPr>
              <w:rPr>
                <w:rFonts w:ascii="Arial" w:hAnsi="Arial" w:cs="Arial"/>
                <w:sz w:val="20"/>
                <w:lang w:val="en-GB"/>
              </w:rPr>
            </w:pPr>
            <w:r w:rsidRPr="004E75B9">
              <w:rPr>
                <w:rFonts w:ascii="Arial" w:hAnsi="Arial" w:cs="Arial"/>
                <w:sz w:val="20"/>
                <w:lang w:val="en-GB"/>
              </w:rPr>
              <w:t>International reserves and foreign currency liquidity</w:t>
            </w:r>
          </w:p>
        </w:tc>
        <w:tc>
          <w:tcPr>
            <w:tcW w:w="2835" w:type="dxa"/>
            <w:tcBorders>
              <w:top w:val="nil"/>
              <w:left w:val="nil"/>
              <w:bottom w:val="single" w:sz="4" w:space="0" w:color="auto"/>
              <w:right w:val="single" w:sz="4" w:space="0" w:color="auto"/>
            </w:tcBorders>
            <w:vAlign w:val="center"/>
          </w:tcPr>
          <w:p w14:paraId="34B02F7E" w14:textId="518BBEA6" w:rsidR="00471EE4" w:rsidRPr="004E75B9" w:rsidRDefault="00471EE4" w:rsidP="00471EE4">
            <w:pPr>
              <w:rPr>
                <w:rFonts w:ascii="Arial" w:hAnsi="Arial" w:cs="Arial"/>
                <w:sz w:val="20"/>
                <w:lang w:val="en-GB"/>
              </w:rPr>
            </w:pPr>
            <w:r w:rsidRPr="004E75B9">
              <w:rPr>
                <w:rFonts w:ascii="Arial" w:hAnsi="Arial" w:cs="Arial"/>
                <w:sz w:val="20"/>
                <w:lang w:val="en-GB"/>
              </w:rPr>
              <w:t>HST, Government Debt Management Agency</w:t>
            </w:r>
          </w:p>
        </w:tc>
        <w:tc>
          <w:tcPr>
            <w:tcW w:w="1701" w:type="dxa"/>
            <w:tcBorders>
              <w:top w:val="nil"/>
              <w:left w:val="nil"/>
              <w:bottom w:val="single" w:sz="4" w:space="0" w:color="auto"/>
              <w:right w:val="single" w:sz="4" w:space="0" w:color="auto"/>
            </w:tcBorders>
            <w:vAlign w:val="center"/>
          </w:tcPr>
          <w:p w14:paraId="34B02F7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F98A71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81" w14:textId="054FDDE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82" w14:textId="7894031A" w:rsidR="00471EE4" w:rsidRPr="004E75B9" w:rsidRDefault="00471EE4" w:rsidP="00471EE4">
            <w:pPr>
              <w:jc w:val="center"/>
              <w:rPr>
                <w:rFonts w:ascii="Arial" w:hAnsi="Arial" w:cs="Arial"/>
                <w:sz w:val="20"/>
                <w:lang w:val="en-GB"/>
              </w:rPr>
            </w:pPr>
            <w:r w:rsidRPr="004E75B9">
              <w:rPr>
                <w:rFonts w:ascii="Arial" w:hAnsi="Arial" w:cs="Arial"/>
                <w:sz w:val="20"/>
                <w:lang w:val="en-GB"/>
              </w:rPr>
              <w:t>15th day of the month following the reference period</w:t>
            </w:r>
          </w:p>
        </w:tc>
      </w:tr>
      <w:tr w:rsidR="004E75B9" w:rsidRPr="004E75B9" w14:paraId="34B02F8C" w14:textId="77777777" w:rsidTr="00481406">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1CA74031" w:rsidR="00471EE4" w:rsidRPr="004E75B9" w:rsidRDefault="00EE63E1" w:rsidP="00471EE4">
            <w:pPr>
              <w:jc w:val="center"/>
              <w:rPr>
                <w:rFonts w:ascii="Arial" w:hAnsi="Arial" w:cs="Arial"/>
                <w:sz w:val="20"/>
                <w:lang w:val="en-GB"/>
              </w:rPr>
            </w:pPr>
            <w:r w:rsidRPr="004E75B9">
              <w:rPr>
                <w:rFonts w:ascii="Arial" w:hAnsi="Arial" w:cs="Arial"/>
                <w:sz w:val="20"/>
                <w:lang w:val="en-GB"/>
              </w:rPr>
              <w:t>56</w:t>
            </w:r>
          </w:p>
        </w:tc>
        <w:tc>
          <w:tcPr>
            <w:tcW w:w="1418" w:type="dxa"/>
            <w:tcBorders>
              <w:top w:val="nil"/>
              <w:left w:val="single" w:sz="4" w:space="0" w:color="auto"/>
              <w:bottom w:val="single" w:sz="4" w:space="0" w:color="auto"/>
              <w:right w:val="single" w:sz="4" w:space="0" w:color="auto"/>
            </w:tcBorders>
            <w:vAlign w:val="center"/>
          </w:tcPr>
          <w:p w14:paraId="34B02F85" w14:textId="614803B0" w:rsidR="00471EE4" w:rsidRPr="004E75B9" w:rsidRDefault="00471EE4" w:rsidP="00471EE4">
            <w:pPr>
              <w:jc w:val="center"/>
              <w:rPr>
                <w:rFonts w:ascii="Arial" w:hAnsi="Arial" w:cs="Arial"/>
                <w:sz w:val="20"/>
                <w:lang w:val="en-GB"/>
              </w:rPr>
            </w:pPr>
            <w:r w:rsidRPr="004E75B9">
              <w:rPr>
                <w:rFonts w:ascii="Arial" w:hAnsi="Arial" w:cs="Arial"/>
                <w:sz w:val="20"/>
                <w:lang w:val="en-GB"/>
              </w:rPr>
              <w:t>L10</w:t>
            </w:r>
          </w:p>
        </w:tc>
        <w:tc>
          <w:tcPr>
            <w:tcW w:w="2598" w:type="dxa"/>
            <w:tcBorders>
              <w:top w:val="nil"/>
              <w:left w:val="nil"/>
              <w:bottom w:val="single" w:sz="4" w:space="0" w:color="auto"/>
              <w:right w:val="single" w:sz="4" w:space="0" w:color="auto"/>
            </w:tcBorders>
            <w:vAlign w:val="center"/>
          </w:tcPr>
          <w:p w14:paraId="34B02F86" w14:textId="18983ACE" w:rsidR="00471EE4" w:rsidRPr="004E75B9" w:rsidRDefault="00471EE4" w:rsidP="00471EE4">
            <w:pPr>
              <w:rPr>
                <w:rFonts w:ascii="Arial" w:hAnsi="Arial" w:cs="Arial"/>
                <w:sz w:val="20"/>
                <w:lang w:val="en-GB"/>
              </w:rPr>
            </w:pPr>
            <w:r w:rsidRPr="004E75B9">
              <w:rPr>
                <w:rFonts w:ascii="Arial" w:hAnsi="Arial" w:cs="Arial"/>
                <w:sz w:val="20"/>
                <w:lang w:val="en-GB"/>
              </w:rPr>
              <w:t>Data on loans disbursed to corporations and households</w:t>
            </w:r>
          </w:p>
        </w:tc>
        <w:tc>
          <w:tcPr>
            <w:tcW w:w="2835" w:type="dxa"/>
            <w:tcBorders>
              <w:top w:val="nil"/>
              <w:left w:val="nil"/>
              <w:bottom w:val="single" w:sz="4" w:space="0" w:color="auto"/>
              <w:right w:val="single" w:sz="4" w:space="0" w:color="auto"/>
            </w:tcBorders>
            <w:vAlign w:val="center"/>
          </w:tcPr>
          <w:p w14:paraId="34B02F87" w14:textId="6CDBC11B" w:rsidR="00471EE4" w:rsidRPr="004E75B9" w:rsidRDefault="00471EE4" w:rsidP="00471EE4">
            <w:pPr>
              <w:rPr>
                <w:rFonts w:ascii="Arial" w:hAnsi="Arial" w:cs="Arial"/>
                <w:sz w:val="20"/>
                <w:lang w:val="en-GB"/>
              </w:rPr>
            </w:pPr>
            <w:r w:rsidRPr="004E75B9">
              <w:rPr>
                <w:rFonts w:ascii="Arial" w:hAnsi="Arial" w:cs="Arial"/>
                <w:sz w:val="20"/>
                <w:lang w:val="en-GB"/>
              </w:rPr>
              <w:t>the financial enterprise operating the central credit information system (hereinafter: CCIS)</w:t>
            </w:r>
          </w:p>
        </w:tc>
        <w:tc>
          <w:tcPr>
            <w:tcW w:w="1701" w:type="dxa"/>
            <w:tcBorders>
              <w:top w:val="nil"/>
              <w:left w:val="nil"/>
              <w:bottom w:val="single" w:sz="4" w:space="0" w:color="auto"/>
              <w:right w:val="single" w:sz="4" w:space="0" w:color="auto"/>
            </w:tcBorders>
            <w:vAlign w:val="center"/>
          </w:tcPr>
          <w:p w14:paraId="34B02F88" w14:textId="458C2B42"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8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2F8A" w14:textId="7FA83FD1" w:rsidR="00471EE4" w:rsidRPr="004E75B9" w:rsidRDefault="00471EE4" w:rsidP="00471EE4">
            <w:pPr>
              <w:jc w:val="center"/>
              <w:rPr>
                <w:rFonts w:ascii="Arial" w:hAnsi="Arial" w:cs="Arial"/>
                <w:sz w:val="20"/>
                <w:lang w:val="en-GB"/>
              </w:rPr>
            </w:pPr>
            <w:r w:rsidRPr="004E75B9">
              <w:rPr>
                <w:rFonts w:ascii="Arial" w:hAnsi="Arial" w:cs="Arial"/>
                <w:sz w:val="20"/>
                <w:lang w:val="en-GB"/>
              </w:rPr>
              <w:t xml:space="preserve">(ERA system, template), with enhanced security or qualified electronic signature </w:t>
            </w:r>
          </w:p>
        </w:tc>
        <w:tc>
          <w:tcPr>
            <w:tcW w:w="3402" w:type="dxa"/>
            <w:tcBorders>
              <w:top w:val="nil"/>
              <w:left w:val="nil"/>
              <w:bottom w:val="single" w:sz="4" w:space="0" w:color="auto"/>
              <w:right w:val="single" w:sz="4" w:space="0" w:color="auto"/>
            </w:tcBorders>
            <w:vAlign w:val="center"/>
          </w:tcPr>
          <w:p w14:paraId="34B02F8B" w14:textId="74A530A1"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713815EE" w14:textId="77777777" w:rsidTr="00481406">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57565F22" w:rsidR="00471EE4" w:rsidRPr="004E75B9" w:rsidRDefault="00EE63E1" w:rsidP="00471EE4">
            <w:pPr>
              <w:jc w:val="center"/>
              <w:rPr>
                <w:rFonts w:ascii="Arial" w:hAnsi="Arial" w:cs="Arial"/>
                <w:strike/>
                <w:sz w:val="20"/>
                <w:lang w:val="en-GB"/>
              </w:rPr>
            </w:pPr>
            <w:r w:rsidRPr="004E75B9">
              <w:rPr>
                <w:rFonts w:ascii="Arial" w:hAnsi="Arial" w:cs="Arial"/>
                <w:sz w:val="20"/>
                <w:lang w:val="en-GB"/>
              </w:rPr>
              <w:t>57</w:t>
            </w:r>
          </w:p>
        </w:tc>
        <w:tc>
          <w:tcPr>
            <w:tcW w:w="1418" w:type="dxa"/>
            <w:tcBorders>
              <w:top w:val="nil"/>
              <w:left w:val="single" w:sz="4" w:space="0" w:color="auto"/>
              <w:bottom w:val="single" w:sz="4" w:space="0" w:color="auto"/>
              <w:right w:val="single" w:sz="4" w:space="0" w:color="auto"/>
            </w:tcBorders>
            <w:vAlign w:val="center"/>
          </w:tcPr>
          <w:p w14:paraId="400A05C8" w14:textId="01544867" w:rsidR="00471EE4" w:rsidRPr="004E75B9" w:rsidRDefault="00471EE4" w:rsidP="00471EE4">
            <w:pPr>
              <w:jc w:val="center"/>
              <w:rPr>
                <w:rFonts w:ascii="Arial" w:hAnsi="Arial" w:cs="Arial"/>
                <w:sz w:val="20"/>
                <w:lang w:val="en-GB"/>
              </w:rPr>
            </w:pPr>
            <w:r w:rsidRPr="004E75B9">
              <w:rPr>
                <w:rFonts w:ascii="Arial" w:hAnsi="Arial" w:cs="Arial"/>
                <w:sz w:val="20"/>
                <w:lang w:val="en-GB"/>
              </w:rPr>
              <w:t>L12</w:t>
            </w:r>
          </w:p>
        </w:tc>
        <w:tc>
          <w:tcPr>
            <w:tcW w:w="2598" w:type="dxa"/>
            <w:tcBorders>
              <w:top w:val="nil"/>
              <w:left w:val="nil"/>
              <w:bottom w:val="single" w:sz="4" w:space="0" w:color="auto"/>
              <w:right w:val="single" w:sz="4" w:space="0" w:color="auto"/>
            </w:tcBorders>
            <w:vAlign w:val="center"/>
          </w:tcPr>
          <w:p w14:paraId="5B8C999A" w14:textId="1065C13E" w:rsidR="00471EE4" w:rsidRPr="004E75B9" w:rsidRDefault="00471EE4" w:rsidP="00471EE4">
            <w:pPr>
              <w:rPr>
                <w:rFonts w:ascii="Arial" w:hAnsi="Arial" w:cs="Arial"/>
                <w:sz w:val="20"/>
                <w:lang w:val="en-GB"/>
              </w:rPr>
            </w:pPr>
            <w:r w:rsidRPr="004E75B9">
              <w:rPr>
                <w:rFonts w:ascii="Arial" w:hAnsi="Arial" w:cs="Arial"/>
                <w:sz w:val="20"/>
                <w:lang w:val="en-GB"/>
              </w:rPr>
              <w:t>Weekly CCIS data</w:t>
            </w:r>
          </w:p>
        </w:tc>
        <w:tc>
          <w:tcPr>
            <w:tcW w:w="2835" w:type="dxa"/>
            <w:tcBorders>
              <w:top w:val="nil"/>
              <w:left w:val="nil"/>
              <w:bottom w:val="single" w:sz="4" w:space="0" w:color="auto"/>
              <w:right w:val="single" w:sz="4" w:space="0" w:color="auto"/>
            </w:tcBorders>
            <w:vAlign w:val="center"/>
          </w:tcPr>
          <w:p w14:paraId="3BEDA1E1" w14:textId="00478C80" w:rsidR="00471EE4" w:rsidRPr="004E75B9" w:rsidRDefault="00471EE4" w:rsidP="00471EE4">
            <w:pPr>
              <w:rPr>
                <w:rFonts w:ascii="Arial" w:hAnsi="Arial" w:cs="Arial"/>
                <w:sz w:val="20"/>
                <w:lang w:val="en-GB"/>
              </w:rPr>
            </w:pPr>
            <w:r w:rsidRPr="004E75B9">
              <w:rPr>
                <w:rFonts w:ascii="Arial" w:hAnsi="Arial" w:cs="Arial"/>
                <w:sz w:val="20"/>
                <w:lang w:val="en-GB"/>
              </w:rPr>
              <w:t>the financial enterprise operating the CCIS</w:t>
            </w:r>
          </w:p>
        </w:tc>
        <w:tc>
          <w:tcPr>
            <w:tcW w:w="1701" w:type="dxa"/>
            <w:tcBorders>
              <w:top w:val="nil"/>
              <w:left w:val="nil"/>
              <w:bottom w:val="single" w:sz="4" w:space="0" w:color="auto"/>
              <w:right w:val="single" w:sz="4" w:space="0" w:color="auto"/>
            </w:tcBorders>
            <w:vAlign w:val="center"/>
          </w:tcPr>
          <w:p w14:paraId="26681506" w14:textId="71C3EDC7" w:rsidR="00471EE4" w:rsidRPr="004E75B9" w:rsidRDefault="00471EE4" w:rsidP="00471EE4">
            <w:pPr>
              <w:jc w:val="center"/>
              <w:rPr>
                <w:rFonts w:ascii="Arial" w:hAnsi="Arial" w:cs="Arial"/>
                <w:sz w:val="20"/>
                <w:lang w:val="en-GB"/>
              </w:rPr>
            </w:pPr>
            <w:r w:rsidRPr="004E75B9">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61A0A47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01FB4A52" w14:textId="53E5AF4A"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205ED5AD" w14:textId="560AF27B" w:rsidR="00471EE4" w:rsidRPr="004E75B9" w:rsidRDefault="00471EE4" w:rsidP="00471EE4">
            <w:pPr>
              <w:jc w:val="center"/>
              <w:rPr>
                <w:rFonts w:ascii="Arial" w:hAnsi="Arial" w:cs="Arial"/>
                <w:sz w:val="20"/>
                <w:lang w:val="en-GB"/>
              </w:rPr>
            </w:pPr>
            <w:r w:rsidRPr="004E75B9">
              <w:rPr>
                <w:rFonts w:ascii="Arial" w:hAnsi="Arial" w:cs="Arial"/>
                <w:sz w:val="20"/>
                <w:lang w:val="en-GB"/>
              </w:rPr>
              <w:t>10 a.m. on 2nd working day of the week following the reference period</w:t>
            </w:r>
          </w:p>
        </w:tc>
      </w:tr>
      <w:tr w:rsidR="004E75B9" w:rsidRPr="004E75B9" w14:paraId="34B02F9C" w14:textId="77777777" w:rsidTr="00481406">
        <w:trPr>
          <w:cantSplit/>
          <w:trHeight w:val="1543"/>
          <w:jc w:val="center"/>
        </w:trPr>
        <w:tc>
          <w:tcPr>
            <w:tcW w:w="704" w:type="dxa"/>
            <w:tcBorders>
              <w:top w:val="nil"/>
              <w:left w:val="single" w:sz="4" w:space="0" w:color="auto"/>
              <w:bottom w:val="single" w:sz="4" w:space="0" w:color="auto"/>
              <w:right w:val="single" w:sz="4" w:space="0" w:color="auto"/>
            </w:tcBorders>
            <w:vAlign w:val="center"/>
          </w:tcPr>
          <w:p w14:paraId="34B02F95" w14:textId="278C7DB2" w:rsidR="00471EE4" w:rsidRPr="004E75B9" w:rsidRDefault="00EE63E1" w:rsidP="00471EE4">
            <w:pPr>
              <w:jc w:val="center"/>
              <w:rPr>
                <w:rFonts w:ascii="Arial" w:hAnsi="Arial" w:cs="Arial"/>
                <w:sz w:val="20"/>
                <w:lang w:val="en-GB"/>
              </w:rPr>
            </w:pPr>
            <w:r w:rsidRPr="004E75B9">
              <w:rPr>
                <w:rFonts w:ascii="Arial" w:hAnsi="Arial" w:cs="Arial"/>
                <w:sz w:val="20"/>
                <w:lang w:val="en-GB"/>
              </w:rPr>
              <w:t>58</w:t>
            </w:r>
          </w:p>
        </w:tc>
        <w:tc>
          <w:tcPr>
            <w:tcW w:w="1418" w:type="dxa"/>
            <w:tcBorders>
              <w:top w:val="nil"/>
              <w:left w:val="single" w:sz="4" w:space="0" w:color="auto"/>
              <w:bottom w:val="single" w:sz="4" w:space="0" w:color="auto"/>
              <w:right w:val="single" w:sz="4" w:space="0" w:color="auto"/>
            </w:tcBorders>
            <w:vAlign w:val="center"/>
          </w:tcPr>
          <w:p w14:paraId="34B02F96" w14:textId="3E092562" w:rsidR="00471EE4" w:rsidRPr="004E75B9" w:rsidRDefault="00471EE4" w:rsidP="00471EE4">
            <w:pPr>
              <w:jc w:val="center"/>
              <w:rPr>
                <w:rFonts w:ascii="Arial" w:hAnsi="Arial" w:cs="Arial"/>
                <w:sz w:val="20"/>
                <w:lang w:val="en-GB"/>
              </w:rPr>
            </w:pPr>
          </w:p>
        </w:tc>
        <w:tc>
          <w:tcPr>
            <w:tcW w:w="2598" w:type="dxa"/>
            <w:tcBorders>
              <w:top w:val="nil"/>
              <w:left w:val="nil"/>
              <w:bottom w:val="single" w:sz="4" w:space="0" w:color="auto"/>
              <w:right w:val="single" w:sz="4" w:space="0" w:color="auto"/>
            </w:tcBorders>
            <w:vAlign w:val="center"/>
          </w:tcPr>
          <w:p w14:paraId="34B02F97" w14:textId="178C99E9" w:rsidR="00471EE4" w:rsidRPr="004E75B9" w:rsidRDefault="00471EE4" w:rsidP="00471EE4">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34B02F98" w14:textId="07F947CE" w:rsidR="00471EE4" w:rsidRPr="004E75B9" w:rsidRDefault="00471EE4" w:rsidP="00471EE4">
            <w:pPr>
              <w:rPr>
                <w:rFonts w:ascii="Arial" w:hAnsi="Arial" w:cs="Arial"/>
                <w:sz w:val="20"/>
                <w:lang w:val="en-GB"/>
              </w:rPr>
            </w:pPr>
          </w:p>
        </w:tc>
        <w:tc>
          <w:tcPr>
            <w:tcW w:w="1701" w:type="dxa"/>
            <w:tcBorders>
              <w:top w:val="nil"/>
              <w:left w:val="nil"/>
              <w:bottom w:val="single" w:sz="4" w:space="0" w:color="auto"/>
              <w:right w:val="single" w:sz="4" w:space="0" w:color="auto"/>
            </w:tcBorders>
            <w:vAlign w:val="center"/>
          </w:tcPr>
          <w:p w14:paraId="34B02F99" w14:textId="01445A3E" w:rsidR="00471EE4" w:rsidRPr="004E75B9" w:rsidRDefault="00471EE4" w:rsidP="00471EE4">
            <w:pPr>
              <w:jc w:val="center"/>
              <w:rPr>
                <w:rFonts w:ascii="Arial" w:hAnsi="Arial" w:cs="Arial"/>
                <w:sz w:val="20"/>
                <w:lang w:val="en-GB"/>
              </w:rPr>
            </w:pPr>
          </w:p>
        </w:tc>
        <w:tc>
          <w:tcPr>
            <w:tcW w:w="1796" w:type="dxa"/>
            <w:tcBorders>
              <w:top w:val="nil"/>
              <w:left w:val="nil"/>
              <w:bottom w:val="single" w:sz="4" w:space="0" w:color="auto"/>
              <w:right w:val="single" w:sz="4" w:space="0" w:color="auto"/>
            </w:tcBorders>
            <w:vAlign w:val="center"/>
          </w:tcPr>
          <w:p w14:paraId="34B02F9A" w14:textId="52CEEB2B" w:rsidR="00471EE4" w:rsidRPr="004E75B9" w:rsidRDefault="00471EE4" w:rsidP="00471EE4">
            <w:pPr>
              <w:jc w:val="center"/>
              <w:rPr>
                <w:rFonts w:ascii="Arial" w:hAnsi="Arial" w:cs="Arial"/>
                <w:sz w:val="20"/>
                <w:lang w:val="en-GB"/>
              </w:rPr>
            </w:pPr>
          </w:p>
        </w:tc>
        <w:tc>
          <w:tcPr>
            <w:tcW w:w="3402" w:type="dxa"/>
            <w:tcBorders>
              <w:top w:val="nil"/>
              <w:left w:val="nil"/>
              <w:bottom w:val="single" w:sz="4" w:space="0" w:color="auto"/>
              <w:right w:val="single" w:sz="4" w:space="0" w:color="auto"/>
            </w:tcBorders>
            <w:vAlign w:val="center"/>
          </w:tcPr>
          <w:p w14:paraId="34B02F9B" w14:textId="6EA4FB18" w:rsidR="00471EE4" w:rsidRPr="004E75B9" w:rsidRDefault="00471EE4" w:rsidP="00471EE4">
            <w:pPr>
              <w:jc w:val="center"/>
              <w:rPr>
                <w:rFonts w:ascii="Arial" w:hAnsi="Arial" w:cs="Arial"/>
                <w:sz w:val="20"/>
                <w:lang w:val="en-GB"/>
              </w:rPr>
            </w:pPr>
          </w:p>
        </w:tc>
      </w:tr>
      <w:tr w:rsidR="004E75B9" w:rsidRPr="004E75B9" w14:paraId="34B02FA4" w14:textId="77777777" w:rsidTr="00481406">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53BEEBD5"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59</w:t>
            </w:r>
          </w:p>
        </w:tc>
        <w:tc>
          <w:tcPr>
            <w:tcW w:w="1418" w:type="dxa"/>
            <w:tcBorders>
              <w:top w:val="nil"/>
              <w:left w:val="single" w:sz="4" w:space="0" w:color="auto"/>
              <w:bottom w:val="single" w:sz="4" w:space="0" w:color="auto"/>
              <w:right w:val="single" w:sz="4" w:space="0" w:color="auto"/>
            </w:tcBorders>
            <w:vAlign w:val="center"/>
          </w:tcPr>
          <w:p w14:paraId="34B02F9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L71</w:t>
            </w:r>
          </w:p>
        </w:tc>
        <w:tc>
          <w:tcPr>
            <w:tcW w:w="2598" w:type="dxa"/>
            <w:tcBorders>
              <w:top w:val="nil"/>
              <w:left w:val="nil"/>
              <w:bottom w:val="single" w:sz="4" w:space="0" w:color="auto"/>
              <w:right w:val="single" w:sz="4" w:space="0" w:color="auto"/>
            </w:tcBorders>
            <w:vAlign w:val="center"/>
          </w:tcPr>
          <w:p w14:paraId="34B02F9F" w14:textId="77777777" w:rsidR="00471EE4" w:rsidRPr="004E75B9" w:rsidRDefault="00471EE4" w:rsidP="00471EE4">
            <w:pPr>
              <w:rPr>
                <w:rFonts w:ascii="Arial" w:hAnsi="Arial" w:cs="Arial"/>
                <w:sz w:val="20"/>
                <w:lang w:val="en-GB"/>
              </w:rPr>
            </w:pPr>
            <w:r w:rsidRPr="004E75B9">
              <w:rPr>
                <w:rFonts w:ascii="Arial" w:hAnsi="Arial" w:cs="Arial"/>
                <w:sz w:val="20"/>
                <w:lang w:val="en-GB"/>
              </w:rPr>
              <w:t>Quarterly report on the distribution of risk-weighted exposures</w:t>
            </w:r>
          </w:p>
        </w:tc>
        <w:tc>
          <w:tcPr>
            <w:tcW w:w="2835" w:type="dxa"/>
            <w:tcBorders>
              <w:top w:val="nil"/>
              <w:left w:val="nil"/>
              <w:bottom w:val="single" w:sz="4" w:space="0" w:color="auto"/>
              <w:right w:val="single" w:sz="4" w:space="0" w:color="auto"/>
            </w:tcBorders>
            <w:vAlign w:val="center"/>
          </w:tcPr>
          <w:p w14:paraId="34B02FA0" w14:textId="3E39B978" w:rsidR="00471EE4" w:rsidRPr="004E75B9" w:rsidRDefault="00471EE4" w:rsidP="00471EE4">
            <w:pPr>
              <w:rPr>
                <w:rFonts w:ascii="Arial" w:hAnsi="Arial" w:cs="Arial"/>
                <w:sz w:val="20"/>
                <w:lang w:val="en-GB"/>
              </w:rPr>
            </w:pPr>
            <w:r w:rsidRPr="004E75B9">
              <w:rPr>
                <w:rFonts w:ascii="Arial" w:hAnsi="Arial" w:cs="Arial"/>
                <w:sz w:val="20"/>
                <w:lang w:val="en-GB"/>
              </w:rPr>
              <w:t xml:space="preserve">credit institutions, excluding </w:t>
            </w:r>
            <w:r w:rsidRPr="004E75B9">
              <w:rPr>
                <w:rFonts w:ascii="Arial" w:hAnsi="Arial" w:cs="Arial"/>
                <w:snapToGrid w:val="0"/>
                <w:sz w:val="20"/>
                <w:lang w:val="en-GB"/>
              </w:rPr>
              <w:t>credit institutions operating as the Hungarian branch office of credit institutions registered in a non-EEA state (hereinafter: branch of third-country credit institutions</w:t>
            </w:r>
          </w:p>
        </w:tc>
        <w:tc>
          <w:tcPr>
            <w:tcW w:w="1701" w:type="dxa"/>
            <w:tcBorders>
              <w:top w:val="nil"/>
              <w:left w:val="nil"/>
              <w:bottom w:val="single" w:sz="4" w:space="0" w:color="auto"/>
              <w:right w:val="single" w:sz="4" w:space="0" w:color="auto"/>
            </w:tcBorders>
            <w:vAlign w:val="center"/>
          </w:tcPr>
          <w:p w14:paraId="34B02FA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A2" w14:textId="08437C98"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15999C9" w14:textId="200F989B" w:rsidR="00FE0497" w:rsidRPr="004E75B9" w:rsidRDefault="00471EE4" w:rsidP="00471EE4">
            <w:pPr>
              <w:jc w:val="center"/>
              <w:rPr>
                <w:rFonts w:ascii="Arial" w:hAnsi="Arial" w:cs="Arial"/>
                <w:sz w:val="20"/>
                <w:lang w:val="en-GB"/>
              </w:rPr>
            </w:pPr>
            <w:r w:rsidRPr="004E75B9">
              <w:rPr>
                <w:rFonts w:ascii="Arial" w:hAnsi="Arial" w:cs="Arial"/>
                <w:sz w:val="20"/>
                <w:lang w:val="en-GB"/>
              </w:rPr>
              <w:t xml:space="preserve">for the first quarter: 12th day of the second month following the reference period; </w:t>
            </w:r>
          </w:p>
          <w:p w14:paraId="34B02FA3" w14:textId="115E2D6E" w:rsidR="00471EE4" w:rsidRPr="004E75B9" w:rsidRDefault="00471EE4" w:rsidP="00471EE4">
            <w:pPr>
              <w:jc w:val="center"/>
              <w:rPr>
                <w:rFonts w:ascii="Arial" w:hAnsi="Arial" w:cs="Arial"/>
                <w:sz w:val="20"/>
                <w:lang w:val="en-GB"/>
              </w:rPr>
            </w:pPr>
            <w:r w:rsidRPr="004E75B9">
              <w:rPr>
                <w:rFonts w:ascii="Arial" w:hAnsi="Arial" w:cs="Arial"/>
                <w:sz w:val="20"/>
                <w:lang w:val="en-GB"/>
              </w:rPr>
              <w:t>for the second – fourth quarters: 11th day of the second month following the reference period</w:t>
            </w:r>
          </w:p>
        </w:tc>
      </w:tr>
      <w:tr w:rsidR="004E75B9" w:rsidRPr="004E75B9" w14:paraId="34B02FAC" w14:textId="77777777" w:rsidTr="00481406">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5E6A1FDF" w:rsidR="00471EE4" w:rsidRPr="004E75B9" w:rsidRDefault="00EE63E1" w:rsidP="00471EE4">
            <w:pPr>
              <w:jc w:val="center"/>
              <w:rPr>
                <w:rFonts w:ascii="Arial" w:hAnsi="Arial" w:cs="Arial"/>
                <w:sz w:val="20"/>
                <w:lang w:val="en-GB"/>
              </w:rPr>
            </w:pPr>
            <w:r w:rsidRPr="004E75B9">
              <w:rPr>
                <w:rFonts w:ascii="Arial" w:hAnsi="Arial" w:cs="Arial"/>
                <w:sz w:val="20"/>
                <w:lang w:val="en-GB"/>
              </w:rPr>
              <w:t>60</w:t>
            </w:r>
          </w:p>
        </w:tc>
        <w:tc>
          <w:tcPr>
            <w:tcW w:w="1418" w:type="dxa"/>
            <w:tcBorders>
              <w:top w:val="nil"/>
              <w:left w:val="single" w:sz="4" w:space="0" w:color="auto"/>
              <w:bottom w:val="single" w:sz="4" w:space="0" w:color="auto"/>
              <w:right w:val="single" w:sz="4" w:space="0" w:color="auto"/>
            </w:tcBorders>
            <w:vAlign w:val="center"/>
          </w:tcPr>
          <w:p w14:paraId="34B02FA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L72</w:t>
            </w:r>
          </w:p>
        </w:tc>
        <w:tc>
          <w:tcPr>
            <w:tcW w:w="2598" w:type="dxa"/>
            <w:tcBorders>
              <w:top w:val="nil"/>
              <w:left w:val="nil"/>
              <w:bottom w:val="single" w:sz="4" w:space="0" w:color="auto"/>
              <w:right w:val="single" w:sz="4" w:space="0" w:color="auto"/>
            </w:tcBorders>
            <w:vAlign w:val="center"/>
          </w:tcPr>
          <w:p w14:paraId="34B02FA7" w14:textId="77777777" w:rsidR="00471EE4" w:rsidRPr="004E75B9" w:rsidRDefault="00471EE4" w:rsidP="00471EE4">
            <w:pPr>
              <w:rPr>
                <w:rFonts w:ascii="Arial" w:hAnsi="Arial" w:cs="Arial"/>
                <w:sz w:val="20"/>
                <w:lang w:val="en-GB"/>
              </w:rPr>
            </w:pPr>
            <w:r w:rsidRPr="004E75B9">
              <w:rPr>
                <w:rFonts w:ascii="Arial" w:hAnsi="Arial" w:cs="Arial"/>
                <w:sz w:val="20"/>
                <w:lang w:val="en-GB"/>
              </w:rPr>
              <w:t>Quarterly report on the mortgage funding adequacy ratio</w:t>
            </w:r>
          </w:p>
        </w:tc>
        <w:tc>
          <w:tcPr>
            <w:tcW w:w="2835" w:type="dxa"/>
            <w:tcBorders>
              <w:top w:val="nil"/>
              <w:left w:val="nil"/>
              <w:bottom w:val="single" w:sz="4" w:space="0" w:color="auto"/>
              <w:right w:val="single" w:sz="4" w:space="0" w:color="auto"/>
            </w:tcBorders>
            <w:vAlign w:val="center"/>
          </w:tcPr>
          <w:p w14:paraId="34B02FA8" w14:textId="25A1348C" w:rsidR="00471EE4" w:rsidRPr="004E75B9" w:rsidRDefault="00471EE4" w:rsidP="00471EE4">
            <w:pPr>
              <w:rPr>
                <w:rFonts w:ascii="Arial" w:hAnsi="Arial" w:cs="Arial"/>
                <w:sz w:val="20"/>
                <w:lang w:val="en-GB"/>
              </w:rPr>
            </w:pPr>
            <w:r w:rsidRPr="004E75B9">
              <w:rPr>
                <w:rFonts w:ascii="Arial" w:hAnsi="Arial" w:cs="Arial"/>
                <w:sz w:val="20"/>
                <w:lang w:val="en-GB"/>
              </w:rPr>
              <w:t>banks and mortgage credit institutions excluding non-group leader banks and mortgage credit institutions with registered office in Hungary belonging to a credit institution group</w:t>
            </w:r>
          </w:p>
        </w:tc>
        <w:tc>
          <w:tcPr>
            <w:tcW w:w="1701" w:type="dxa"/>
            <w:tcBorders>
              <w:top w:val="nil"/>
              <w:left w:val="nil"/>
              <w:bottom w:val="single" w:sz="4" w:space="0" w:color="auto"/>
              <w:right w:val="single" w:sz="4" w:space="0" w:color="auto"/>
            </w:tcBorders>
            <w:vAlign w:val="center"/>
          </w:tcPr>
          <w:p w14:paraId="34B02FA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AA" w14:textId="5211340D"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280495F1" w14:textId="7906AF36" w:rsidR="00FE0497" w:rsidRPr="004E75B9" w:rsidRDefault="00471EE4" w:rsidP="00471EE4">
            <w:pPr>
              <w:jc w:val="center"/>
              <w:rPr>
                <w:rFonts w:ascii="Arial" w:hAnsi="Arial" w:cs="Arial"/>
                <w:sz w:val="20"/>
                <w:lang w:val="en-GB"/>
              </w:rPr>
            </w:pPr>
            <w:r w:rsidRPr="004E75B9">
              <w:rPr>
                <w:rFonts w:ascii="Arial" w:hAnsi="Arial" w:cs="Arial"/>
                <w:sz w:val="20"/>
                <w:lang w:val="en-GB"/>
              </w:rPr>
              <w:t xml:space="preserve">for the first quarter: 12th day of the second month following the reference period; </w:t>
            </w:r>
          </w:p>
          <w:p w14:paraId="34B02FAB" w14:textId="107C9851" w:rsidR="00471EE4" w:rsidRPr="004E75B9" w:rsidRDefault="00471EE4" w:rsidP="00471EE4">
            <w:pPr>
              <w:jc w:val="center"/>
              <w:rPr>
                <w:rFonts w:ascii="Arial" w:hAnsi="Arial" w:cs="Arial"/>
                <w:sz w:val="20"/>
                <w:lang w:val="en-GB"/>
              </w:rPr>
            </w:pPr>
            <w:r w:rsidRPr="004E75B9">
              <w:rPr>
                <w:rFonts w:ascii="Arial" w:hAnsi="Arial" w:cs="Arial"/>
                <w:sz w:val="20"/>
                <w:lang w:val="en-GB"/>
              </w:rPr>
              <w:t>for the second – fourth quarters: 11th day of the second month following the reference period</w:t>
            </w:r>
          </w:p>
        </w:tc>
      </w:tr>
      <w:tr w:rsidR="004E75B9" w:rsidRPr="004E75B9" w14:paraId="34B02FB4" w14:textId="77777777" w:rsidTr="00481406">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28559185" w:rsidR="00471EE4" w:rsidRPr="004E75B9" w:rsidRDefault="00EE63E1" w:rsidP="00471EE4">
            <w:pPr>
              <w:jc w:val="center"/>
              <w:rPr>
                <w:rFonts w:ascii="Arial" w:hAnsi="Arial" w:cs="Arial"/>
                <w:sz w:val="20"/>
                <w:lang w:val="en-GB"/>
              </w:rPr>
            </w:pPr>
            <w:r w:rsidRPr="004E75B9">
              <w:rPr>
                <w:rFonts w:ascii="Arial" w:hAnsi="Arial" w:cs="Arial"/>
                <w:sz w:val="20"/>
                <w:lang w:val="en-GB"/>
              </w:rPr>
              <w:t>61</w:t>
            </w:r>
          </w:p>
        </w:tc>
        <w:tc>
          <w:tcPr>
            <w:tcW w:w="1418" w:type="dxa"/>
            <w:tcBorders>
              <w:top w:val="nil"/>
              <w:left w:val="single" w:sz="4" w:space="0" w:color="auto"/>
              <w:bottom w:val="single" w:sz="4" w:space="0" w:color="auto"/>
              <w:right w:val="single" w:sz="4" w:space="0" w:color="auto"/>
            </w:tcBorders>
            <w:vAlign w:val="center"/>
          </w:tcPr>
          <w:p w14:paraId="34B02FA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L73</w:t>
            </w:r>
          </w:p>
        </w:tc>
        <w:tc>
          <w:tcPr>
            <w:tcW w:w="2598" w:type="dxa"/>
            <w:tcBorders>
              <w:top w:val="nil"/>
              <w:left w:val="nil"/>
              <w:bottom w:val="single" w:sz="4" w:space="0" w:color="auto"/>
              <w:right w:val="single" w:sz="4" w:space="0" w:color="auto"/>
            </w:tcBorders>
            <w:vAlign w:val="center"/>
          </w:tcPr>
          <w:p w14:paraId="34B02FAF" w14:textId="16EC0BE8" w:rsidR="00471EE4" w:rsidRPr="004E75B9" w:rsidRDefault="00471EE4" w:rsidP="00471EE4">
            <w:pPr>
              <w:rPr>
                <w:rFonts w:ascii="Arial" w:hAnsi="Arial" w:cs="Arial"/>
                <w:sz w:val="20"/>
                <w:lang w:val="en-GB"/>
              </w:rPr>
            </w:pPr>
            <w:r w:rsidRPr="004E75B9">
              <w:rPr>
                <w:rFonts w:ascii="Arial" w:hAnsi="Arial" w:cs="Arial"/>
                <w:sz w:val="20"/>
                <w:lang w:val="en-GB"/>
              </w:rPr>
              <w:t>Monthly report on the foreign currency equilibrium ratio</w:t>
            </w:r>
          </w:p>
        </w:tc>
        <w:tc>
          <w:tcPr>
            <w:tcW w:w="2835" w:type="dxa"/>
            <w:tcBorders>
              <w:top w:val="nil"/>
              <w:left w:val="nil"/>
              <w:bottom w:val="single" w:sz="4" w:space="0" w:color="auto"/>
              <w:right w:val="single" w:sz="4" w:space="0" w:color="auto"/>
            </w:tcBorders>
            <w:vAlign w:val="center"/>
          </w:tcPr>
          <w:p w14:paraId="34B02FB0" w14:textId="77777777" w:rsidR="00471EE4" w:rsidRPr="004E75B9" w:rsidRDefault="00471EE4" w:rsidP="00471EE4">
            <w:pPr>
              <w:rPr>
                <w:rFonts w:ascii="Arial" w:hAnsi="Arial" w:cs="Arial"/>
                <w:sz w:val="20"/>
                <w:lang w:val="en-GB"/>
              </w:rPr>
            </w:pPr>
            <w:bookmarkStart w:id="3" w:name="_Hlk508013993"/>
            <w:r w:rsidRPr="004E75B9">
              <w:rPr>
                <w:rFonts w:ascii="Arial" w:hAnsi="Arial" w:cs="Arial"/>
                <w:sz w:val="20"/>
                <w:lang w:val="en-GB"/>
              </w:rPr>
              <w:t>with the exception of banks and mortgage credit institutions belonging to the group of credit institutions, not being the leader of the group, with registered office in Hungary, banks and mortgage credit institutions, and EEA branches of this type</w:t>
            </w:r>
            <w:bookmarkEnd w:id="3"/>
          </w:p>
        </w:tc>
        <w:tc>
          <w:tcPr>
            <w:tcW w:w="1701" w:type="dxa"/>
            <w:tcBorders>
              <w:top w:val="nil"/>
              <w:left w:val="nil"/>
              <w:bottom w:val="single" w:sz="4" w:space="0" w:color="auto"/>
              <w:right w:val="single" w:sz="4" w:space="0" w:color="auto"/>
            </w:tcBorders>
            <w:vAlign w:val="center"/>
          </w:tcPr>
          <w:p w14:paraId="34B02FB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B2" w14:textId="02853F9F"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34B02FB3" w14:textId="5725717F" w:rsidR="00471EE4" w:rsidRPr="004E75B9" w:rsidRDefault="00471EE4" w:rsidP="00471EE4">
            <w:pPr>
              <w:jc w:val="center"/>
              <w:rPr>
                <w:rFonts w:ascii="Arial" w:hAnsi="Arial" w:cs="Arial"/>
                <w:sz w:val="20"/>
                <w:lang w:val="en-GB"/>
              </w:rPr>
            </w:pPr>
            <w:r w:rsidRPr="004E75B9">
              <w:rPr>
                <w:rFonts w:ascii="Arial" w:hAnsi="Arial" w:cs="Arial"/>
                <w:sz w:val="20"/>
                <w:lang w:val="en-GB"/>
              </w:rPr>
              <w:t xml:space="preserve">for the first two months of the calendar quarter: 15th working day of the month following the reference period; </w:t>
            </w:r>
            <w:r w:rsidRPr="004E75B9">
              <w:rPr>
                <w:rFonts w:ascii="Arial" w:hAnsi="Arial" w:cs="Arial"/>
                <w:sz w:val="20"/>
                <w:lang w:val="en-GB"/>
              </w:rPr>
              <w:br/>
              <w:t>for the last month of the calendar quarter: for the last month of the first quarter: 12th day of the second month following the reference period; for the last month of the second – fourth quarters: 11th day of the second month following the reference period</w:t>
            </w:r>
          </w:p>
        </w:tc>
      </w:tr>
      <w:tr w:rsidR="004E75B9" w:rsidRPr="004E75B9" w14:paraId="34B02FBC"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75BC572E" w:rsidR="00471EE4" w:rsidRPr="004E75B9" w:rsidRDefault="00EE63E1" w:rsidP="00471EE4">
            <w:pPr>
              <w:jc w:val="center"/>
              <w:rPr>
                <w:rFonts w:ascii="Arial" w:hAnsi="Arial" w:cs="Arial"/>
                <w:sz w:val="20"/>
                <w:lang w:val="en-GB"/>
              </w:rPr>
            </w:pPr>
            <w:r w:rsidRPr="004E75B9">
              <w:rPr>
                <w:rFonts w:ascii="Arial" w:hAnsi="Arial" w:cs="Arial"/>
                <w:sz w:val="20"/>
                <w:lang w:val="en-GB"/>
              </w:rPr>
              <w:t>62</w:t>
            </w:r>
          </w:p>
        </w:tc>
        <w:tc>
          <w:tcPr>
            <w:tcW w:w="1418" w:type="dxa"/>
            <w:tcBorders>
              <w:top w:val="nil"/>
              <w:left w:val="single" w:sz="4" w:space="0" w:color="auto"/>
              <w:bottom w:val="single" w:sz="4" w:space="0" w:color="auto"/>
              <w:right w:val="single" w:sz="4" w:space="0" w:color="auto"/>
            </w:tcBorders>
            <w:vAlign w:val="center"/>
          </w:tcPr>
          <w:p w14:paraId="34B02FB6" w14:textId="77777777" w:rsidR="00471EE4" w:rsidRPr="004E75B9" w:rsidRDefault="00471EE4" w:rsidP="00471EE4">
            <w:pPr>
              <w:jc w:val="center"/>
              <w:rPr>
                <w:rFonts w:ascii="Arial" w:eastAsia="Calibri" w:hAnsi="Arial" w:cs="Arial"/>
                <w:sz w:val="20"/>
                <w:lang w:val="en-GB"/>
              </w:rPr>
            </w:pPr>
            <w:r w:rsidRPr="004E75B9">
              <w:rPr>
                <w:rFonts w:ascii="Arial" w:hAnsi="Arial" w:cs="Arial"/>
                <w:sz w:val="20"/>
                <w:lang w:val="en-GB"/>
              </w:rPr>
              <w:t>L74</w:t>
            </w:r>
          </w:p>
        </w:tc>
        <w:tc>
          <w:tcPr>
            <w:tcW w:w="2598" w:type="dxa"/>
            <w:tcBorders>
              <w:top w:val="nil"/>
              <w:left w:val="nil"/>
              <w:bottom w:val="single" w:sz="4" w:space="0" w:color="auto"/>
              <w:right w:val="single" w:sz="4" w:space="0" w:color="auto"/>
            </w:tcBorders>
            <w:vAlign w:val="center"/>
          </w:tcPr>
          <w:p w14:paraId="34B02FB7" w14:textId="77777777" w:rsidR="00471EE4" w:rsidRPr="004E75B9" w:rsidRDefault="00471EE4" w:rsidP="00471EE4">
            <w:pPr>
              <w:rPr>
                <w:rFonts w:ascii="Arial" w:hAnsi="Arial" w:cs="Arial"/>
                <w:sz w:val="20"/>
                <w:lang w:val="en-GB"/>
              </w:rPr>
            </w:pPr>
            <w:r w:rsidRPr="004E75B9">
              <w:rPr>
                <w:rFonts w:ascii="Arial" w:hAnsi="Arial" w:cs="Arial"/>
                <w:sz w:val="20"/>
                <w:lang w:val="en-GB"/>
              </w:rPr>
              <w:t>Quarterly report on the Interbank Funding Ratio</w:t>
            </w:r>
          </w:p>
        </w:tc>
        <w:tc>
          <w:tcPr>
            <w:tcW w:w="2835" w:type="dxa"/>
            <w:tcBorders>
              <w:top w:val="nil"/>
              <w:left w:val="nil"/>
              <w:bottom w:val="single" w:sz="4" w:space="0" w:color="auto"/>
              <w:right w:val="single" w:sz="4" w:space="0" w:color="auto"/>
            </w:tcBorders>
            <w:vAlign w:val="center"/>
          </w:tcPr>
          <w:p w14:paraId="34B02FB8" w14:textId="77777777" w:rsidR="00471EE4" w:rsidRPr="004E75B9" w:rsidRDefault="00471EE4" w:rsidP="00471EE4">
            <w:pPr>
              <w:rPr>
                <w:rFonts w:ascii="Arial" w:hAnsi="Arial" w:cs="Arial"/>
                <w:sz w:val="20"/>
                <w:lang w:val="en-GB"/>
              </w:rPr>
            </w:pPr>
            <w:bookmarkStart w:id="4" w:name="_Hlk508012872"/>
            <w:r w:rsidRPr="004E75B9">
              <w:rPr>
                <w:rFonts w:ascii="Arial" w:hAnsi="Arial" w:cs="Arial"/>
                <w:sz w:val="20"/>
                <w:lang w:val="en-GB"/>
              </w:rPr>
              <w:t>with the exception of banks and mortgage credit institutions belonging to the group of credit institutions, not being the leader of the group, with registered office in Hungary, banks and mortgage credit institutions, and EEA branches of this type</w:t>
            </w:r>
            <w:bookmarkEnd w:id="4"/>
          </w:p>
        </w:tc>
        <w:tc>
          <w:tcPr>
            <w:tcW w:w="1701" w:type="dxa"/>
            <w:tcBorders>
              <w:top w:val="nil"/>
              <w:left w:val="nil"/>
              <w:bottom w:val="single" w:sz="4" w:space="0" w:color="auto"/>
              <w:right w:val="single" w:sz="4" w:space="0" w:color="auto"/>
            </w:tcBorders>
            <w:vAlign w:val="center"/>
          </w:tcPr>
          <w:p w14:paraId="34B02FB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BA" w14:textId="11057E3D"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0B6E5EB" w14:textId="1AC894F2" w:rsidR="00F24255" w:rsidRPr="004E75B9" w:rsidRDefault="00471EE4" w:rsidP="00471EE4">
            <w:pPr>
              <w:jc w:val="center"/>
              <w:rPr>
                <w:rFonts w:ascii="Arial" w:hAnsi="Arial" w:cs="Arial"/>
                <w:sz w:val="20"/>
                <w:lang w:val="en-GB"/>
              </w:rPr>
            </w:pPr>
            <w:r w:rsidRPr="004E75B9">
              <w:rPr>
                <w:rFonts w:ascii="Arial" w:hAnsi="Arial" w:cs="Arial"/>
                <w:sz w:val="20"/>
                <w:lang w:val="en-GB"/>
              </w:rPr>
              <w:t>for the first quarter: 12th day of the second month following the reference period;</w:t>
            </w:r>
          </w:p>
          <w:p w14:paraId="34B02FBB" w14:textId="4D5C27AC" w:rsidR="00471EE4" w:rsidRPr="004E75B9" w:rsidRDefault="00471EE4" w:rsidP="00471EE4">
            <w:pPr>
              <w:jc w:val="center"/>
              <w:rPr>
                <w:rFonts w:ascii="Arial" w:hAnsi="Arial" w:cs="Arial"/>
                <w:sz w:val="20"/>
                <w:lang w:val="en-GB"/>
              </w:rPr>
            </w:pPr>
            <w:r w:rsidRPr="004E75B9">
              <w:rPr>
                <w:rFonts w:ascii="Arial" w:hAnsi="Arial" w:cs="Arial"/>
                <w:sz w:val="20"/>
                <w:lang w:val="en-GB"/>
              </w:rPr>
              <w:t>for the second – fourth quarters: 11th day of the second month following the reference period</w:t>
            </w:r>
          </w:p>
        </w:tc>
      </w:tr>
      <w:tr w:rsidR="004E75B9" w:rsidRPr="004E75B9" w14:paraId="34B02FC5"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556984EF"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63</w:t>
            </w:r>
          </w:p>
        </w:tc>
        <w:tc>
          <w:tcPr>
            <w:tcW w:w="1418" w:type="dxa"/>
            <w:tcBorders>
              <w:top w:val="nil"/>
              <w:left w:val="single" w:sz="4" w:space="0" w:color="auto"/>
              <w:bottom w:val="single" w:sz="4" w:space="0" w:color="auto"/>
              <w:right w:val="single" w:sz="4" w:space="0" w:color="auto"/>
            </w:tcBorders>
            <w:vAlign w:val="center"/>
          </w:tcPr>
          <w:p w14:paraId="34B02FB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M01</w:t>
            </w:r>
          </w:p>
        </w:tc>
        <w:tc>
          <w:tcPr>
            <w:tcW w:w="2598" w:type="dxa"/>
            <w:tcBorders>
              <w:top w:val="nil"/>
              <w:left w:val="nil"/>
              <w:bottom w:val="single" w:sz="4" w:space="0" w:color="auto"/>
              <w:right w:val="single" w:sz="4" w:space="0" w:color="auto"/>
            </w:tcBorders>
            <w:vAlign w:val="center"/>
          </w:tcPr>
          <w:p w14:paraId="34B02FBF" w14:textId="0B8880C6" w:rsidR="00471EE4" w:rsidRPr="004E75B9" w:rsidRDefault="00471EE4" w:rsidP="00471EE4">
            <w:pPr>
              <w:rPr>
                <w:rFonts w:ascii="Arial" w:hAnsi="Arial" w:cs="Arial"/>
                <w:sz w:val="20"/>
                <w:lang w:val="en-GB"/>
              </w:rPr>
            </w:pPr>
            <w:r w:rsidRPr="004E75B9">
              <w:rPr>
                <w:rFonts w:ascii="Arial" w:hAnsi="Arial" w:cs="Arial"/>
                <w:sz w:val="20"/>
                <w:lang w:val="en-GB"/>
              </w:rPr>
              <w:t>Statistical balance sheet and profit and loss statement of credit institutions</w:t>
            </w:r>
          </w:p>
        </w:tc>
        <w:tc>
          <w:tcPr>
            <w:tcW w:w="2835" w:type="dxa"/>
            <w:tcBorders>
              <w:top w:val="nil"/>
              <w:left w:val="nil"/>
              <w:bottom w:val="single" w:sz="4" w:space="0" w:color="auto"/>
              <w:right w:val="single" w:sz="4" w:space="0" w:color="auto"/>
            </w:tcBorders>
            <w:vAlign w:val="center"/>
          </w:tcPr>
          <w:p w14:paraId="34B02FC0" w14:textId="4D6EAD89"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C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C2" w14:textId="21883F68"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C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for the first two months of the calendar quarter: 11th working day of the month following the reference period;</w:t>
            </w:r>
          </w:p>
          <w:p w14:paraId="34B02FC4" w14:textId="4DC6CB40" w:rsidR="00471EE4" w:rsidRPr="004E75B9" w:rsidRDefault="00471EE4" w:rsidP="00471EE4">
            <w:pPr>
              <w:jc w:val="center"/>
              <w:rPr>
                <w:rFonts w:ascii="Arial" w:hAnsi="Arial" w:cs="Arial"/>
                <w:sz w:val="20"/>
                <w:lang w:val="en-GB"/>
              </w:rPr>
            </w:pPr>
            <w:r w:rsidRPr="004E75B9">
              <w:rPr>
                <w:rFonts w:ascii="Arial" w:hAnsi="Arial" w:cs="Arial"/>
                <w:sz w:val="20"/>
                <w:lang w:val="en-GB"/>
              </w:rPr>
              <w:t xml:space="preserve"> 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4E75B9" w:rsidRPr="004E75B9" w14:paraId="34B02FCE"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4C1D9D2A" w:rsidR="00471EE4" w:rsidRPr="004E75B9" w:rsidRDefault="00EE63E1" w:rsidP="00471EE4">
            <w:pPr>
              <w:jc w:val="center"/>
              <w:rPr>
                <w:rFonts w:ascii="Arial" w:hAnsi="Arial" w:cs="Arial"/>
                <w:sz w:val="20"/>
                <w:lang w:val="en-GB"/>
              </w:rPr>
            </w:pPr>
            <w:r w:rsidRPr="004E75B9">
              <w:rPr>
                <w:rFonts w:ascii="Arial" w:hAnsi="Arial" w:cs="Arial"/>
                <w:sz w:val="20"/>
                <w:lang w:val="en-GB"/>
              </w:rPr>
              <w:t>64</w:t>
            </w:r>
          </w:p>
        </w:tc>
        <w:tc>
          <w:tcPr>
            <w:tcW w:w="1418" w:type="dxa"/>
            <w:tcBorders>
              <w:top w:val="nil"/>
              <w:left w:val="single" w:sz="4" w:space="0" w:color="auto"/>
              <w:bottom w:val="single" w:sz="4" w:space="0" w:color="auto"/>
              <w:right w:val="single" w:sz="4" w:space="0" w:color="auto"/>
            </w:tcBorders>
            <w:vAlign w:val="center"/>
          </w:tcPr>
          <w:p w14:paraId="34B02FC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M02</w:t>
            </w:r>
          </w:p>
        </w:tc>
        <w:tc>
          <w:tcPr>
            <w:tcW w:w="2598" w:type="dxa"/>
            <w:tcBorders>
              <w:top w:val="nil"/>
              <w:left w:val="nil"/>
              <w:bottom w:val="single" w:sz="4" w:space="0" w:color="auto"/>
              <w:right w:val="single" w:sz="4" w:space="0" w:color="auto"/>
            </w:tcBorders>
            <w:vAlign w:val="center"/>
          </w:tcPr>
          <w:p w14:paraId="34B02FC8" w14:textId="0F3CC7B0" w:rsidR="00471EE4" w:rsidRPr="004E75B9" w:rsidRDefault="00471EE4" w:rsidP="00471EE4">
            <w:pPr>
              <w:rPr>
                <w:rFonts w:ascii="Arial" w:hAnsi="Arial" w:cs="Arial"/>
                <w:sz w:val="20"/>
                <w:lang w:val="en-GB"/>
              </w:rPr>
            </w:pPr>
            <w:r w:rsidRPr="004E75B9">
              <w:rPr>
                <w:rFonts w:ascii="Arial" w:hAnsi="Arial" w:cs="Arial"/>
                <w:sz w:val="20"/>
                <w:lang w:val="en-GB"/>
              </w:rPr>
              <w:t>Breakdown of the statistical balance sheet of credit institutions – loans, credit-type receivables and certain other assets</w:t>
            </w:r>
          </w:p>
        </w:tc>
        <w:tc>
          <w:tcPr>
            <w:tcW w:w="2835" w:type="dxa"/>
            <w:tcBorders>
              <w:top w:val="nil"/>
              <w:left w:val="nil"/>
              <w:bottom w:val="single" w:sz="4" w:space="0" w:color="auto"/>
              <w:right w:val="single" w:sz="4" w:space="0" w:color="auto"/>
            </w:tcBorders>
            <w:vAlign w:val="center"/>
          </w:tcPr>
          <w:p w14:paraId="34B02FC9" w14:textId="1595853B"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C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CB" w14:textId="659015F9"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C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for the first two months of the calendar quarter: 11th working day of the month following the reference period;</w:t>
            </w:r>
          </w:p>
          <w:p w14:paraId="34B02FCD" w14:textId="612C8BFB" w:rsidR="00471EE4" w:rsidRPr="004E75B9" w:rsidRDefault="00471EE4" w:rsidP="00471EE4">
            <w:pPr>
              <w:jc w:val="center"/>
              <w:rPr>
                <w:rFonts w:ascii="Arial" w:hAnsi="Arial" w:cs="Arial"/>
                <w:sz w:val="20"/>
                <w:lang w:val="en-GB"/>
              </w:rPr>
            </w:pPr>
            <w:r w:rsidRPr="004E75B9">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4E75B9" w:rsidRPr="004E75B9" w14:paraId="34B02FD7" w14:textId="77777777" w:rsidTr="00481406">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27233405"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65</w:t>
            </w:r>
          </w:p>
        </w:tc>
        <w:tc>
          <w:tcPr>
            <w:tcW w:w="1418" w:type="dxa"/>
            <w:tcBorders>
              <w:top w:val="nil"/>
              <w:left w:val="single" w:sz="4" w:space="0" w:color="auto"/>
              <w:bottom w:val="single" w:sz="4" w:space="0" w:color="auto"/>
              <w:right w:val="single" w:sz="4" w:space="0" w:color="auto"/>
            </w:tcBorders>
            <w:vAlign w:val="center"/>
          </w:tcPr>
          <w:p w14:paraId="34B02FD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M03</w:t>
            </w:r>
          </w:p>
        </w:tc>
        <w:tc>
          <w:tcPr>
            <w:tcW w:w="2598" w:type="dxa"/>
            <w:tcBorders>
              <w:top w:val="nil"/>
              <w:left w:val="nil"/>
              <w:bottom w:val="single" w:sz="4" w:space="0" w:color="auto"/>
              <w:right w:val="single" w:sz="4" w:space="0" w:color="auto"/>
            </w:tcBorders>
            <w:vAlign w:val="center"/>
          </w:tcPr>
          <w:p w14:paraId="34B02FD1" w14:textId="6CB1C373" w:rsidR="00471EE4" w:rsidRPr="004E75B9" w:rsidRDefault="00471EE4" w:rsidP="00471EE4">
            <w:pPr>
              <w:rPr>
                <w:rFonts w:ascii="Arial" w:hAnsi="Arial" w:cs="Arial"/>
                <w:sz w:val="20"/>
                <w:lang w:val="en-GB"/>
              </w:rPr>
            </w:pPr>
            <w:r w:rsidRPr="004E75B9">
              <w:rPr>
                <w:rFonts w:ascii="Arial" w:hAnsi="Arial" w:cs="Arial"/>
                <w:sz w:val="20"/>
                <w:lang w:val="en-GB"/>
              </w:rPr>
              <w:t>Breakdown of the statistical balance sheet of credit institutions – loans, credit-type receivables and certain other assets – non-financial corporations, households and non-profit institutions serving households</w:t>
            </w:r>
          </w:p>
        </w:tc>
        <w:tc>
          <w:tcPr>
            <w:tcW w:w="2835" w:type="dxa"/>
            <w:tcBorders>
              <w:top w:val="nil"/>
              <w:left w:val="nil"/>
              <w:bottom w:val="single" w:sz="4" w:space="0" w:color="auto"/>
              <w:right w:val="single" w:sz="4" w:space="0" w:color="auto"/>
            </w:tcBorders>
            <w:vAlign w:val="center"/>
          </w:tcPr>
          <w:p w14:paraId="34B02FD2" w14:textId="7F06AC24"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D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D4" w14:textId="3B53A490"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D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for the first two months of the calendar quarter: 11th working day of the month following the reference period;</w:t>
            </w:r>
          </w:p>
          <w:p w14:paraId="34B02FD6" w14:textId="00CFEDE4" w:rsidR="00471EE4" w:rsidRPr="004E75B9" w:rsidRDefault="00471EE4" w:rsidP="00471EE4">
            <w:pPr>
              <w:jc w:val="center"/>
              <w:rPr>
                <w:rFonts w:ascii="Arial" w:hAnsi="Arial" w:cs="Arial"/>
                <w:sz w:val="20"/>
                <w:lang w:val="en-GB"/>
              </w:rPr>
            </w:pPr>
            <w:r w:rsidRPr="004E75B9">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4E75B9" w:rsidRPr="004E75B9" w14:paraId="34B02FE0"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0C8F5C8A" w:rsidR="00471EE4" w:rsidRPr="004E75B9" w:rsidRDefault="00EE63E1" w:rsidP="00471EE4">
            <w:pPr>
              <w:jc w:val="center"/>
              <w:rPr>
                <w:rFonts w:ascii="Arial" w:hAnsi="Arial" w:cs="Arial"/>
                <w:sz w:val="20"/>
                <w:lang w:val="en-GB"/>
              </w:rPr>
            </w:pPr>
            <w:r w:rsidRPr="004E75B9">
              <w:rPr>
                <w:rFonts w:ascii="Arial" w:hAnsi="Arial" w:cs="Arial"/>
                <w:sz w:val="20"/>
                <w:lang w:val="en-GB"/>
              </w:rPr>
              <w:t>66</w:t>
            </w:r>
          </w:p>
        </w:tc>
        <w:tc>
          <w:tcPr>
            <w:tcW w:w="1418" w:type="dxa"/>
            <w:tcBorders>
              <w:top w:val="nil"/>
              <w:left w:val="single" w:sz="4" w:space="0" w:color="auto"/>
              <w:bottom w:val="single" w:sz="4" w:space="0" w:color="auto"/>
              <w:right w:val="single" w:sz="4" w:space="0" w:color="auto"/>
            </w:tcBorders>
            <w:vAlign w:val="center"/>
          </w:tcPr>
          <w:p w14:paraId="34B02FD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M04</w:t>
            </w:r>
          </w:p>
        </w:tc>
        <w:tc>
          <w:tcPr>
            <w:tcW w:w="2598" w:type="dxa"/>
            <w:tcBorders>
              <w:top w:val="nil"/>
              <w:left w:val="nil"/>
              <w:bottom w:val="single" w:sz="4" w:space="0" w:color="auto"/>
              <w:right w:val="single" w:sz="4" w:space="0" w:color="auto"/>
            </w:tcBorders>
            <w:vAlign w:val="center"/>
          </w:tcPr>
          <w:p w14:paraId="34B02FDA" w14:textId="699D8DE0" w:rsidR="00471EE4" w:rsidRPr="004E75B9" w:rsidRDefault="00471EE4" w:rsidP="00471EE4">
            <w:pPr>
              <w:rPr>
                <w:rFonts w:ascii="Arial" w:hAnsi="Arial" w:cs="Arial"/>
                <w:sz w:val="20"/>
                <w:lang w:val="en-GB"/>
              </w:rPr>
            </w:pPr>
            <w:r w:rsidRPr="004E75B9">
              <w:rPr>
                <w:rFonts w:ascii="Arial" w:hAnsi="Arial" w:cs="Arial"/>
                <w:sz w:val="20"/>
                <w:lang w:val="en-GB"/>
              </w:rPr>
              <w:t>Breakdown of the statistical balance sheet of credit institutions – deposits, deposit-type liabilities and certain other liabilities</w:t>
            </w:r>
          </w:p>
        </w:tc>
        <w:tc>
          <w:tcPr>
            <w:tcW w:w="2835" w:type="dxa"/>
            <w:tcBorders>
              <w:top w:val="nil"/>
              <w:left w:val="nil"/>
              <w:bottom w:val="single" w:sz="4" w:space="0" w:color="auto"/>
              <w:right w:val="single" w:sz="4" w:space="0" w:color="auto"/>
            </w:tcBorders>
            <w:vAlign w:val="center"/>
          </w:tcPr>
          <w:p w14:paraId="34B02FDB" w14:textId="53C2740F"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D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DD" w14:textId="3FEB2EE8"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D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for the first two months of the calendar quarter: 11th working day of the month following the reference period;</w:t>
            </w:r>
          </w:p>
          <w:p w14:paraId="34B02FDF" w14:textId="1B668D7F" w:rsidR="00471EE4" w:rsidRPr="004E75B9" w:rsidRDefault="00471EE4" w:rsidP="00471EE4">
            <w:pPr>
              <w:jc w:val="center"/>
              <w:rPr>
                <w:rFonts w:ascii="Arial" w:hAnsi="Arial" w:cs="Arial"/>
                <w:sz w:val="20"/>
                <w:lang w:val="en-GB"/>
              </w:rPr>
            </w:pPr>
            <w:r w:rsidRPr="004E75B9">
              <w:rPr>
                <w:rFonts w:ascii="Arial" w:hAnsi="Arial" w:cs="Arial"/>
                <w:sz w:val="20"/>
                <w:lang w:val="en-GB"/>
              </w:rPr>
              <w:t xml:space="preserve"> 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4E75B9" w:rsidRPr="004E75B9" w14:paraId="34B02FE9" w14:textId="77777777" w:rsidTr="00481406">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72DDE0DD"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67</w:t>
            </w:r>
          </w:p>
        </w:tc>
        <w:tc>
          <w:tcPr>
            <w:tcW w:w="1418" w:type="dxa"/>
            <w:tcBorders>
              <w:top w:val="nil"/>
              <w:left w:val="single" w:sz="4" w:space="0" w:color="auto"/>
              <w:bottom w:val="single" w:sz="4" w:space="0" w:color="auto"/>
              <w:right w:val="single" w:sz="4" w:space="0" w:color="auto"/>
            </w:tcBorders>
            <w:vAlign w:val="center"/>
          </w:tcPr>
          <w:p w14:paraId="34B02FE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M05</w:t>
            </w:r>
          </w:p>
        </w:tc>
        <w:tc>
          <w:tcPr>
            <w:tcW w:w="2598" w:type="dxa"/>
            <w:tcBorders>
              <w:top w:val="nil"/>
              <w:left w:val="nil"/>
              <w:bottom w:val="single" w:sz="4" w:space="0" w:color="auto"/>
              <w:right w:val="single" w:sz="4" w:space="0" w:color="auto"/>
            </w:tcBorders>
            <w:vAlign w:val="center"/>
          </w:tcPr>
          <w:p w14:paraId="34B02FE3" w14:textId="18EB4102" w:rsidR="00471EE4" w:rsidRPr="004E75B9" w:rsidRDefault="00471EE4" w:rsidP="00471EE4">
            <w:pPr>
              <w:rPr>
                <w:rFonts w:ascii="Arial" w:hAnsi="Arial" w:cs="Arial"/>
                <w:sz w:val="20"/>
                <w:lang w:val="en-GB"/>
              </w:rPr>
            </w:pPr>
            <w:r w:rsidRPr="004E75B9">
              <w:rPr>
                <w:rFonts w:ascii="Arial" w:hAnsi="Arial" w:cs="Arial"/>
                <w:sz w:val="20"/>
                <w:lang w:val="en-GB"/>
              </w:rPr>
              <w:t>Breakdown of the statistical balance sheet of credit institutions – derivatives</w:t>
            </w:r>
          </w:p>
        </w:tc>
        <w:tc>
          <w:tcPr>
            <w:tcW w:w="2835" w:type="dxa"/>
            <w:tcBorders>
              <w:top w:val="nil"/>
              <w:left w:val="nil"/>
              <w:bottom w:val="single" w:sz="4" w:space="0" w:color="auto"/>
              <w:right w:val="single" w:sz="4" w:space="0" w:color="auto"/>
            </w:tcBorders>
            <w:vAlign w:val="center"/>
          </w:tcPr>
          <w:p w14:paraId="34B02FE4" w14:textId="1E49857E"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E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E6" w14:textId="2E0D6AD8"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E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for the first two months of the calendar quarter: 11th working day of the month following the reference period;</w:t>
            </w:r>
          </w:p>
          <w:p w14:paraId="34B02FE8" w14:textId="47BD7F04" w:rsidR="00471EE4" w:rsidRPr="004E75B9" w:rsidRDefault="00471EE4" w:rsidP="00471EE4">
            <w:pPr>
              <w:jc w:val="center"/>
              <w:rPr>
                <w:rFonts w:ascii="Arial" w:hAnsi="Arial" w:cs="Arial"/>
                <w:sz w:val="20"/>
                <w:lang w:val="en-GB"/>
              </w:rPr>
            </w:pPr>
            <w:r w:rsidRPr="004E75B9">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4E75B9" w:rsidRPr="004E75B9" w14:paraId="00C220C0" w14:textId="77777777" w:rsidTr="00481406">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83BF51D" w14:textId="77777777" w:rsidR="00ED6947" w:rsidRPr="004E75B9" w:rsidRDefault="00ED6947" w:rsidP="00481406">
            <w:pPr>
              <w:jc w:val="center"/>
              <w:rPr>
                <w:rFonts w:ascii="Arial" w:hAnsi="Arial" w:cs="Arial"/>
                <w:sz w:val="20"/>
                <w:lang w:val="en-GB"/>
              </w:rPr>
            </w:pPr>
            <w:r w:rsidRPr="004E75B9">
              <w:rPr>
                <w:rFonts w:ascii="Arial" w:hAnsi="Arial" w:cs="Arial"/>
                <w:sz w:val="20"/>
                <w:lang w:val="en-GB"/>
              </w:rPr>
              <w:t>67a</w:t>
            </w:r>
          </w:p>
        </w:tc>
        <w:tc>
          <w:tcPr>
            <w:tcW w:w="1418" w:type="dxa"/>
            <w:tcBorders>
              <w:top w:val="nil"/>
              <w:left w:val="single" w:sz="4" w:space="0" w:color="auto"/>
              <w:bottom w:val="single" w:sz="4" w:space="0" w:color="auto"/>
              <w:right w:val="single" w:sz="4" w:space="0" w:color="auto"/>
            </w:tcBorders>
            <w:vAlign w:val="center"/>
          </w:tcPr>
          <w:p w14:paraId="6F3731CC" w14:textId="77777777" w:rsidR="00ED6947" w:rsidRPr="004E75B9" w:rsidRDefault="00ED6947" w:rsidP="00481406">
            <w:pPr>
              <w:jc w:val="center"/>
              <w:rPr>
                <w:rFonts w:ascii="Arial" w:hAnsi="Arial" w:cs="Arial"/>
                <w:sz w:val="20"/>
                <w:lang w:val="en-GB"/>
              </w:rPr>
            </w:pPr>
            <w:r w:rsidRPr="004E75B9">
              <w:rPr>
                <w:rFonts w:ascii="Arial" w:hAnsi="Arial" w:cs="Arial"/>
                <w:sz w:val="20"/>
                <w:lang w:val="en-GB"/>
              </w:rPr>
              <w:t>M06</w:t>
            </w:r>
          </w:p>
        </w:tc>
        <w:tc>
          <w:tcPr>
            <w:tcW w:w="2598" w:type="dxa"/>
            <w:tcBorders>
              <w:top w:val="nil"/>
              <w:left w:val="nil"/>
              <w:bottom w:val="single" w:sz="4" w:space="0" w:color="auto"/>
              <w:right w:val="single" w:sz="4" w:space="0" w:color="auto"/>
            </w:tcBorders>
            <w:vAlign w:val="center"/>
          </w:tcPr>
          <w:p w14:paraId="337E5E44" w14:textId="77777777" w:rsidR="00ED6947" w:rsidRPr="004E75B9" w:rsidRDefault="00ED6947" w:rsidP="00481406">
            <w:pPr>
              <w:rPr>
                <w:rFonts w:ascii="Arial" w:hAnsi="Arial" w:cs="Arial"/>
                <w:sz w:val="20"/>
                <w:lang w:val="en-GB"/>
              </w:rPr>
            </w:pPr>
            <w:r w:rsidRPr="004E75B9">
              <w:rPr>
                <w:rFonts w:ascii="Arial" w:hAnsi="Arial" w:cs="Arial"/>
                <w:sz w:val="20"/>
                <w:lang w:val="en-GB"/>
              </w:rPr>
              <w:t>Rows subject to reserve requirements in the statistical balance sheets of credit institutions, and cash collateral amounts for securities lending transactions – end-of-day balances</w:t>
            </w:r>
          </w:p>
        </w:tc>
        <w:tc>
          <w:tcPr>
            <w:tcW w:w="2835" w:type="dxa"/>
            <w:tcBorders>
              <w:top w:val="nil"/>
              <w:left w:val="nil"/>
              <w:bottom w:val="single" w:sz="4" w:space="0" w:color="auto"/>
              <w:right w:val="single" w:sz="4" w:space="0" w:color="auto"/>
            </w:tcBorders>
            <w:vAlign w:val="center"/>
          </w:tcPr>
          <w:p w14:paraId="11F3139F" w14:textId="77777777" w:rsidR="00ED6947" w:rsidRPr="004E75B9" w:rsidRDefault="00ED6947" w:rsidP="00481406">
            <w:pPr>
              <w:rPr>
                <w:rFonts w:ascii="Arial" w:hAnsi="Arial" w:cs="Arial"/>
                <w:sz w:val="20"/>
                <w:lang w:val="en-GB"/>
              </w:rPr>
            </w:pPr>
            <w:r w:rsidRPr="004E75B9">
              <w:rPr>
                <w:rFonts w:ascii="Arial" w:hAnsi="Arial" w:cs="Arial"/>
                <w:sz w:val="20"/>
                <w:lang w:val="en-GB"/>
              </w:rPr>
              <w:t>credit institutions subject to reserve requirements in accordance with the MNB Decree on the Calculation, Method of Allocation and Placement of Required Reserves</w:t>
            </w:r>
          </w:p>
        </w:tc>
        <w:tc>
          <w:tcPr>
            <w:tcW w:w="1701" w:type="dxa"/>
            <w:tcBorders>
              <w:top w:val="nil"/>
              <w:left w:val="nil"/>
              <w:bottom w:val="single" w:sz="4" w:space="0" w:color="auto"/>
              <w:right w:val="single" w:sz="4" w:space="0" w:color="auto"/>
            </w:tcBorders>
            <w:vAlign w:val="center"/>
          </w:tcPr>
          <w:p w14:paraId="35448817" w14:textId="77777777" w:rsidR="00ED6947" w:rsidRPr="004E75B9" w:rsidRDefault="00ED6947" w:rsidP="00481406">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1259F37" w14:textId="77777777" w:rsidR="00ED6947" w:rsidRPr="004E75B9" w:rsidRDefault="00ED6947" w:rsidP="00481406">
            <w:pPr>
              <w:jc w:val="center"/>
              <w:rPr>
                <w:rFonts w:ascii="Arial" w:hAnsi="Arial" w:cs="Arial"/>
                <w:sz w:val="20"/>
                <w:lang w:val="en-GB"/>
              </w:rPr>
            </w:pPr>
            <w:r w:rsidRPr="004E75B9">
              <w:rPr>
                <w:rFonts w:ascii="Arial" w:hAnsi="Arial" w:cs="Arial"/>
                <w:sz w:val="20"/>
                <w:lang w:val="en-GB"/>
              </w:rPr>
              <w:t xml:space="preserve">electronic </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B59D80C" w14:textId="77777777" w:rsidR="00ED6947" w:rsidRPr="004E75B9" w:rsidRDefault="00ED6947" w:rsidP="00481406">
            <w:pPr>
              <w:jc w:val="center"/>
              <w:rPr>
                <w:rFonts w:ascii="Arial" w:hAnsi="Arial" w:cs="Arial"/>
                <w:sz w:val="20"/>
                <w:lang w:val="en-GB"/>
              </w:rPr>
            </w:pPr>
            <w:r w:rsidRPr="004E75B9">
              <w:rPr>
                <w:rFonts w:ascii="Arial" w:hAnsi="Arial" w:cs="Arial"/>
                <w:sz w:val="20"/>
                <w:lang w:val="en-GB"/>
              </w:rPr>
              <w:t>11th working day after the subject period</w:t>
            </w:r>
          </w:p>
        </w:tc>
      </w:tr>
      <w:tr w:rsidR="004E75B9" w:rsidRPr="004E75B9" w14:paraId="34B02FF1" w14:textId="77777777" w:rsidTr="00481406">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45086A1B" w:rsidR="00471EE4" w:rsidRPr="004E75B9" w:rsidRDefault="00EE63E1" w:rsidP="00471EE4">
            <w:pPr>
              <w:jc w:val="center"/>
              <w:rPr>
                <w:rFonts w:ascii="Arial" w:hAnsi="Arial" w:cs="Arial"/>
                <w:sz w:val="20"/>
                <w:lang w:val="en-GB"/>
              </w:rPr>
            </w:pPr>
            <w:r w:rsidRPr="004E75B9">
              <w:rPr>
                <w:rFonts w:ascii="Arial" w:hAnsi="Arial" w:cs="Arial"/>
                <w:sz w:val="20"/>
                <w:lang w:val="en-GB"/>
              </w:rPr>
              <w:t>68</w:t>
            </w:r>
          </w:p>
        </w:tc>
        <w:tc>
          <w:tcPr>
            <w:tcW w:w="1418" w:type="dxa"/>
            <w:tcBorders>
              <w:top w:val="nil"/>
              <w:left w:val="single" w:sz="4" w:space="0" w:color="auto"/>
              <w:bottom w:val="single" w:sz="4" w:space="0" w:color="auto"/>
              <w:right w:val="single" w:sz="4" w:space="0" w:color="auto"/>
            </w:tcBorders>
            <w:vAlign w:val="center"/>
          </w:tcPr>
          <w:p w14:paraId="34B02FE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M11</w:t>
            </w:r>
          </w:p>
        </w:tc>
        <w:tc>
          <w:tcPr>
            <w:tcW w:w="2598" w:type="dxa"/>
            <w:tcBorders>
              <w:top w:val="nil"/>
              <w:left w:val="nil"/>
              <w:bottom w:val="single" w:sz="4" w:space="0" w:color="auto"/>
              <w:right w:val="single" w:sz="4" w:space="0" w:color="auto"/>
            </w:tcBorders>
            <w:vAlign w:val="center"/>
          </w:tcPr>
          <w:p w14:paraId="34B02FEC" w14:textId="77777777" w:rsidR="00471EE4" w:rsidRPr="004E75B9" w:rsidRDefault="00471EE4" w:rsidP="00471EE4">
            <w:pPr>
              <w:rPr>
                <w:rFonts w:ascii="Arial" w:hAnsi="Arial" w:cs="Arial"/>
                <w:sz w:val="20"/>
                <w:lang w:val="en-GB"/>
              </w:rPr>
            </w:pPr>
            <w:r w:rsidRPr="004E75B9">
              <w:rPr>
                <w:rFonts w:ascii="Arial" w:hAnsi="Arial" w:cs="Arial"/>
                <w:sz w:val="20"/>
                <w:lang w:val="en-GB"/>
              </w:rPr>
              <w:t>Statistical balance sheet and profit and loss statement of credit institutions (annual audited figures)</w:t>
            </w:r>
          </w:p>
        </w:tc>
        <w:tc>
          <w:tcPr>
            <w:tcW w:w="2835" w:type="dxa"/>
            <w:tcBorders>
              <w:top w:val="nil"/>
              <w:left w:val="nil"/>
              <w:bottom w:val="single" w:sz="4" w:space="0" w:color="auto"/>
              <w:right w:val="single" w:sz="4" w:space="0" w:color="auto"/>
            </w:tcBorders>
            <w:vAlign w:val="center"/>
          </w:tcPr>
          <w:p w14:paraId="34B02FED" w14:textId="6C530D7D" w:rsidR="00471EE4" w:rsidRPr="004E75B9" w:rsidRDefault="00471EE4" w:rsidP="00471EE4">
            <w:pPr>
              <w:rPr>
                <w:rFonts w:ascii="Arial" w:hAnsi="Arial" w:cs="Arial"/>
                <w:sz w:val="20"/>
                <w:lang w:val="en-GB"/>
              </w:rPr>
            </w:pPr>
            <w:r w:rsidRPr="004E75B9">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E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2FEF" w14:textId="52088F44"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r w:rsidRPr="004E75B9">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F0" w14:textId="49397031" w:rsidR="00471EE4" w:rsidRPr="004E75B9" w:rsidRDefault="00471EE4" w:rsidP="00471EE4">
            <w:pPr>
              <w:jc w:val="center"/>
              <w:rPr>
                <w:rFonts w:ascii="Arial" w:hAnsi="Arial" w:cs="Arial"/>
                <w:sz w:val="20"/>
                <w:lang w:val="en-GB"/>
              </w:rPr>
            </w:pPr>
            <w:r w:rsidRPr="004E75B9">
              <w:rPr>
                <w:rFonts w:ascii="Arial" w:hAnsi="Arial" w:cs="Arial"/>
                <w:sz w:val="20"/>
                <w:lang w:val="en-GB"/>
              </w:rPr>
              <w:t>15th working day following the closing General Meeting, but 31 May of the of the year following the reference year, at latest</w:t>
            </w:r>
          </w:p>
        </w:tc>
      </w:tr>
      <w:tr w:rsidR="004E75B9" w:rsidRPr="004E75B9" w14:paraId="34B03023" w14:textId="77777777" w:rsidTr="00481406">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6EDB7655" w:rsidR="00471EE4" w:rsidRPr="004E75B9" w:rsidRDefault="00EE63E1" w:rsidP="00471EE4">
            <w:pPr>
              <w:jc w:val="center"/>
              <w:rPr>
                <w:rFonts w:ascii="Arial" w:hAnsi="Arial" w:cs="Arial"/>
                <w:sz w:val="20"/>
                <w:lang w:val="en-GB"/>
              </w:rPr>
            </w:pPr>
            <w:r w:rsidRPr="004E75B9">
              <w:rPr>
                <w:rFonts w:ascii="Arial" w:hAnsi="Arial" w:cs="Arial"/>
                <w:sz w:val="20"/>
                <w:lang w:val="en-GB"/>
              </w:rPr>
              <w:t>69</w:t>
            </w:r>
          </w:p>
        </w:tc>
        <w:tc>
          <w:tcPr>
            <w:tcW w:w="1418" w:type="dxa"/>
            <w:tcBorders>
              <w:top w:val="nil"/>
              <w:left w:val="single" w:sz="4" w:space="0" w:color="auto"/>
              <w:bottom w:val="single" w:sz="4" w:space="0" w:color="auto"/>
              <w:right w:val="single" w:sz="4" w:space="0" w:color="auto"/>
            </w:tcBorders>
            <w:vAlign w:val="center"/>
          </w:tcPr>
          <w:p w14:paraId="34B0301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P03</w:t>
            </w:r>
          </w:p>
        </w:tc>
        <w:tc>
          <w:tcPr>
            <w:tcW w:w="2598" w:type="dxa"/>
            <w:tcBorders>
              <w:top w:val="nil"/>
              <w:left w:val="nil"/>
              <w:bottom w:val="single" w:sz="4" w:space="0" w:color="auto"/>
              <w:right w:val="single" w:sz="4" w:space="0" w:color="auto"/>
            </w:tcBorders>
            <w:vAlign w:val="center"/>
          </w:tcPr>
          <w:p w14:paraId="34B0301D" w14:textId="3B91E456" w:rsidR="00471EE4" w:rsidRPr="004E75B9" w:rsidRDefault="00471EE4" w:rsidP="00471EE4">
            <w:pPr>
              <w:rPr>
                <w:rFonts w:ascii="Arial" w:hAnsi="Arial" w:cs="Arial"/>
                <w:sz w:val="20"/>
                <w:lang w:val="en-GB"/>
              </w:rPr>
            </w:pPr>
            <w:r w:rsidRPr="004E75B9">
              <w:rPr>
                <w:rFonts w:ascii="Arial" w:hAnsi="Arial" w:cs="Arial"/>
                <w:sz w:val="20"/>
                <w:lang w:val="en-GB"/>
              </w:rPr>
              <w:t>Ad hoc supervisory notifications</w:t>
            </w:r>
          </w:p>
        </w:tc>
        <w:tc>
          <w:tcPr>
            <w:tcW w:w="2835" w:type="dxa"/>
            <w:tcBorders>
              <w:top w:val="nil"/>
              <w:left w:val="nil"/>
              <w:bottom w:val="single" w:sz="4" w:space="0" w:color="auto"/>
              <w:right w:val="single" w:sz="4" w:space="0" w:color="auto"/>
            </w:tcBorders>
            <w:vAlign w:val="center"/>
          </w:tcPr>
          <w:p w14:paraId="34B0301E" w14:textId="5E37AEB4" w:rsidR="00471EE4" w:rsidRPr="004E75B9" w:rsidRDefault="00471EE4" w:rsidP="00471EE4">
            <w:pPr>
              <w:rPr>
                <w:rFonts w:ascii="Arial" w:hAnsi="Arial" w:cs="Arial"/>
                <w:sz w:val="20"/>
                <w:lang w:val="en-GB"/>
              </w:rPr>
            </w:pPr>
            <w:r w:rsidRPr="004E75B9">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01F" w14:textId="19360B1B"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02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21" w14:textId="2D68E6E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22" w14:textId="74440FC1" w:rsidR="00471EE4" w:rsidRPr="004E75B9" w:rsidRDefault="00471EE4" w:rsidP="00471EE4">
            <w:pPr>
              <w:jc w:val="center"/>
              <w:rPr>
                <w:rFonts w:ascii="Arial" w:hAnsi="Arial" w:cs="Arial"/>
                <w:sz w:val="20"/>
                <w:lang w:val="en-GB"/>
              </w:rPr>
            </w:pPr>
            <w:r w:rsidRPr="004E75B9">
              <w:rPr>
                <w:rFonts w:ascii="Arial" w:hAnsi="Arial" w:cs="Arial"/>
                <w:sz w:val="20"/>
                <w:lang w:val="en-GB"/>
              </w:rPr>
              <w:t>first working day following the event</w:t>
            </w:r>
          </w:p>
        </w:tc>
      </w:tr>
      <w:tr w:rsidR="004E75B9" w:rsidRPr="004E75B9" w14:paraId="34B0303F" w14:textId="77777777" w:rsidTr="00481406">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45783A0" w:rsidR="00471EE4" w:rsidRPr="004E75B9" w:rsidRDefault="00EE63E1" w:rsidP="00471EE4">
            <w:pPr>
              <w:jc w:val="center"/>
              <w:rPr>
                <w:rFonts w:ascii="Arial" w:hAnsi="Arial" w:cs="Arial"/>
                <w:sz w:val="20"/>
                <w:lang w:val="en-GB"/>
              </w:rPr>
            </w:pPr>
            <w:r w:rsidRPr="004E75B9">
              <w:rPr>
                <w:rFonts w:ascii="Arial" w:hAnsi="Arial" w:cs="Arial"/>
                <w:sz w:val="20"/>
                <w:lang w:val="en-GB"/>
              </w:rPr>
              <w:t>70</w:t>
            </w:r>
          </w:p>
        </w:tc>
        <w:tc>
          <w:tcPr>
            <w:tcW w:w="1418" w:type="dxa"/>
            <w:tcBorders>
              <w:top w:val="nil"/>
              <w:left w:val="single" w:sz="4" w:space="0" w:color="auto"/>
              <w:bottom w:val="single" w:sz="4" w:space="0" w:color="auto"/>
              <w:right w:val="single" w:sz="4" w:space="0" w:color="auto"/>
            </w:tcBorders>
            <w:vAlign w:val="center"/>
          </w:tcPr>
          <w:p w14:paraId="34B0303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P06</w:t>
            </w:r>
          </w:p>
        </w:tc>
        <w:tc>
          <w:tcPr>
            <w:tcW w:w="2598" w:type="dxa"/>
            <w:tcBorders>
              <w:top w:val="nil"/>
              <w:left w:val="nil"/>
              <w:bottom w:val="single" w:sz="4" w:space="0" w:color="auto"/>
              <w:right w:val="single" w:sz="4" w:space="0" w:color="auto"/>
            </w:tcBorders>
            <w:vAlign w:val="center"/>
          </w:tcPr>
          <w:p w14:paraId="34B03038" w14:textId="77777777" w:rsidR="00471EE4" w:rsidRPr="004E75B9" w:rsidRDefault="00471EE4" w:rsidP="00471EE4">
            <w:pPr>
              <w:rPr>
                <w:rFonts w:ascii="Arial" w:hAnsi="Arial" w:cs="Arial"/>
                <w:sz w:val="20"/>
                <w:lang w:val="en-GB"/>
              </w:rPr>
            </w:pPr>
            <w:r w:rsidRPr="004E75B9">
              <w:rPr>
                <w:rFonts w:ascii="Arial" w:hAnsi="Arial" w:cs="Arial"/>
                <w:sz w:val="20"/>
                <w:lang w:val="en-GB"/>
              </w:rPr>
              <w:t>Stress tests</w:t>
            </w:r>
          </w:p>
        </w:tc>
        <w:tc>
          <w:tcPr>
            <w:tcW w:w="2835" w:type="dxa"/>
            <w:tcBorders>
              <w:top w:val="nil"/>
              <w:left w:val="nil"/>
              <w:bottom w:val="single" w:sz="4" w:space="0" w:color="auto"/>
              <w:right w:val="single" w:sz="4" w:space="0" w:color="auto"/>
            </w:tcBorders>
            <w:vAlign w:val="center"/>
          </w:tcPr>
          <w:p w14:paraId="34B03039" w14:textId="54F7B277" w:rsidR="00471EE4" w:rsidRPr="004E75B9" w:rsidRDefault="00471EE4" w:rsidP="00471EE4">
            <w:pPr>
              <w:rPr>
                <w:rFonts w:ascii="Arial" w:hAnsi="Arial" w:cs="Arial"/>
                <w:sz w:val="20"/>
                <w:lang w:val="en-GB"/>
              </w:rPr>
            </w:pPr>
            <w:r w:rsidRPr="004E75B9">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03A" w14:textId="3D8656D2" w:rsidR="00471EE4" w:rsidRPr="004E75B9" w:rsidRDefault="00471EE4" w:rsidP="00471EE4">
            <w:pPr>
              <w:jc w:val="center"/>
              <w:rPr>
                <w:rFonts w:ascii="Arial" w:hAnsi="Arial" w:cs="Arial"/>
                <w:sz w:val="20"/>
                <w:lang w:val="en-GB"/>
              </w:rPr>
            </w:pPr>
            <w:r w:rsidRPr="004E75B9">
              <w:rPr>
                <w:rFonts w:ascii="Arial" w:hAnsi="Arial" w:cs="Arial"/>
                <w:sz w:val="20"/>
                <w:lang w:val="en-GB"/>
              </w:rPr>
              <w:t>monthly and ad hoc</w:t>
            </w:r>
          </w:p>
        </w:tc>
        <w:tc>
          <w:tcPr>
            <w:tcW w:w="1796" w:type="dxa"/>
            <w:tcBorders>
              <w:top w:val="nil"/>
              <w:left w:val="nil"/>
              <w:bottom w:val="single" w:sz="4" w:space="0" w:color="auto"/>
              <w:right w:val="single" w:sz="4" w:space="0" w:color="auto"/>
            </w:tcBorders>
            <w:vAlign w:val="center"/>
          </w:tcPr>
          <w:p w14:paraId="34B0303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3C" w14:textId="11BB8CF6"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3D" w14:textId="5856030C" w:rsidR="00471EE4" w:rsidRPr="004E75B9" w:rsidRDefault="00471EE4" w:rsidP="00471EE4">
            <w:pPr>
              <w:jc w:val="center"/>
              <w:rPr>
                <w:rFonts w:ascii="Arial" w:hAnsi="Arial" w:cs="Arial"/>
                <w:sz w:val="20"/>
                <w:lang w:val="en-GB"/>
              </w:rPr>
            </w:pPr>
            <w:r w:rsidRPr="004E75B9">
              <w:rPr>
                <w:rFonts w:ascii="Arial" w:hAnsi="Arial" w:cs="Arial"/>
                <w:sz w:val="20"/>
                <w:lang w:val="en-GB"/>
              </w:rPr>
              <w:t>monthly: 10th working day of the month following the reference period;</w:t>
            </w:r>
          </w:p>
          <w:p w14:paraId="34B0303E" w14:textId="65BD9D17" w:rsidR="00471EE4" w:rsidRPr="004E75B9" w:rsidRDefault="00471EE4" w:rsidP="00471EE4">
            <w:pPr>
              <w:jc w:val="center"/>
              <w:rPr>
                <w:rFonts w:ascii="Arial" w:hAnsi="Arial" w:cs="Arial"/>
                <w:sz w:val="20"/>
                <w:lang w:val="en-GB"/>
              </w:rPr>
            </w:pPr>
            <w:r w:rsidRPr="004E75B9">
              <w:rPr>
                <w:rFonts w:ascii="Arial" w:hAnsi="Arial" w:cs="Arial"/>
                <w:sz w:val="20"/>
                <w:lang w:val="en-GB"/>
              </w:rPr>
              <w:t>ad hoc: 3rd working day after receiving the notification from the MNB</w:t>
            </w:r>
          </w:p>
        </w:tc>
      </w:tr>
      <w:tr w:rsidR="004E75B9" w:rsidRPr="004E75B9" w14:paraId="47DB2C80"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4DE0B769"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71</w:t>
            </w:r>
          </w:p>
        </w:tc>
        <w:tc>
          <w:tcPr>
            <w:tcW w:w="1418" w:type="dxa"/>
            <w:tcBorders>
              <w:top w:val="nil"/>
              <w:left w:val="single" w:sz="4" w:space="0" w:color="auto"/>
              <w:bottom w:val="single" w:sz="4" w:space="0" w:color="auto"/>
              <w:right w:val="single" w:sz="4" w:space="0" w:color="auto"/>
            </w:tcBorders>
            <w:vAlign w:val="center"/>
          </w:tcPr>
          <w:p w14:paraId="2AD899E9" w14:textId="0A009B3F" w:rsidR="00471EE4" w:rsidRPr="004E75B9" w:rsidRDefault="00471EE4" w:rsidP="00471EE4">
            <w:pPr>
              <w:jc w:val="center"/>
              <w:rPr>
                <w:rFonts w:ascii="Arial" w:hAnsi="Arial" w:cs="Arial"/>
                <w:sz w:val="20"/>
                <w:lang w:val="en-GB"/>
              </w:rPr>
            </w:pPr>
            <w:r w:rsidRPr="004E75B9">
              <w:rPr>
                <w:rFonts w:ascii="Arial" w:hAnsi="Arial" w:cs="Arial"/>
                <w:sz w:val="20"/>
                <w:lang w:val="en-GB"/>
              </w:rPr>
              <w:t>P11</w:t>
            </w:r>
          </w:p>
        </w:tc>
        <w:tc>
          <w:tcPr>
            <w:tcW w:w="2598" w:type="dxa"/>
            <w:tcBorders>
              <w:top w:val="nil"/>
              <w:left w:val="nil"/>
              <w:bottom w:val="single" w:sz="4" w:space="0" w:color="auto"/>
              <w:right w:val="single" w:sz="4" w:space="0" w:color="auto"/>
            </w:tcBorders>
            <w:vAlign w:val="center"/>
          </w:tcPr>
          <w:p w14:paraId="529538E4" w14:textId="3C6623DF" w:rsidR="00471EE4" w:rsidRPr="004E75B9" w:rsidRDefault="00471EE4" w:rsidP="00471EE4">
            <w:pPr>
              <w:rPr>
                <w:rFonts w:ascii="Arial" w:hAnsi="Arial" w:cs="Arial"/>
                <w:sz w:val="20"/>
                <w:lang w:val="en-GB"/>
              </w:rPr>
            </w:pPr>
            <w:r w:rsidRPr="004E75B9">
              <w:rPr>
                <w:rFonts w:ascii="Arial" w:hAnsi="Arial" w:cs="Arial"/>
                <w:sz w:val="20"/>
                <w:lang w:val="en-GB"/>
              </w:rPr>
              <w:t>Payment infrastructures</w:t>
            </w:r>
          </w:p>
        </w:tc>
        <w:tc>
          <w:tcPr>
            <w:tcW w:w="2835" w:type="dxa"/>
            <w:tcBorders>
              <w:top w:val="nil"/>
              <w:left w:val="nil"/>
              <w:bottom w:val="single" w:sz="4" w:space="0" w:color="auto"/>
              <w:right w:val="single" w:sz="4" w:space="0" w:color="auto"/>
            </w:tcBorders>
            <w:vAlign w:val="center"/>
          </w:tcPr>
          <w:p w14:paraId="41B453FA" w14:textId="083BD660"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electronic money institutions not providing payment services, EEA branches of this type, legal entities directly rendering automatic teller machine (hereinafter: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institutions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3E066CCC" w14:textId="24F7BD5B"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120ABE2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178892D2" w14:textId="412D5B8C"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6D754B6B" w14:textId="2F9EC96D"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0BBAA7F"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40E927E9"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72</w:t>
            </w:r>
          </w:p>
        </w:tc>
        <w:tc>
          <w:tcPr>
            <w:tcW w:w="1418" w:type="dxa"/>
            <w:tcBorders>
              <w:top w:val="nil"/>
              <w:left w:val="single" w:sz="4" w:space="0" w:color="auto"/>
              <w:bottom w:val="single" w:sz="4" w:space="0" w:color="auto"/>
              <w:right w:val="single" w:sz="4" w:space="0" w:color="auto"/>
            </w:tcBorders>
            <w:vAlign w:val="center"/>
          </w:tcPr>
          <w:p w14:paraId="38FFC806" w14:textId="4B3D8C2B" w:rsidR="00471EE4" w:rsidRPr="004E75B9" w:rsidRDefault="00471EE4" w:rsidP="00471EE4">
            <w:pPr>
              <w:jc w:val="center"/>
              <w:rPr>
                <w:rFonts w:ascii="Arial" w:hAnsi="Arial" w:cs="Arial"/>
                <w:sz w:val="20"/>
                <w:lang w:val="en-GB"/>
              </w:rPr>
            </w:pPr>
            <w:r w:rsidRPr="004E75B9">
              <w:rPr>
                <w:rFonts w:ascii="Arial" w:hAnsi="Arial" w:cs="Arial"/>
                <w:sz w:val="20"/>
                <w:lang w:val="en-GB"/>
              </w:rPr>
              <w:t>P12</w:t>
            </w:r>
          </w:p>
        </w:tc>
        <w:tc>
          <w:tcPr>
            <w:tcW w:w="2598" w:type="dxa"/>
            <w:tcBorders>
              <w:top w:val="nil"/>
              <w:left w:val="nil"/>
              <w:bottom w:val="single" w:sz="4" w:space="0" w:color="auto"/>
              <w:right w:val="single" w:sz="4" w:space="0" w:color="auto"/>
            </w:tcBorders>
            <w:vAlign w:val="center"/>
          </w:tcPr>
          <w:p w14:paraId="47A96E8A" w14:textId="7A9BC630" w:rsidR="00471EE4" w:rsidRPr="004E75B9" w:rsidRDefault="00471EE4" w:rsidP="00471EE4">
            <w:pPr>
              <w:rPr>
                <w:rFonts w:ascii="Arial" w:hAnsi="Arial" w:cs="Arial"/>
                <w:sz w:val="20"/>
                <w:lang w:val="en-GB"/>
              </w:rPr>
            </w:pPr>
            <w:r w:rsidRPr="004E75B9">
              <w:rPr>
                <w:rFonts w:ascii="Arial" w:hAnsi="Arial" w:cs="Arial"/>
                <w:sz w:val="20"/>
                <w:lang w:val="en-GB"/>
              </w:rPr>
              <w:t>Data related to payment turnover and abuses</w:t>
            </w:r>
          </w:p>
        </w:tc>
        <w:tc>
          <w:tcPr>
            <w:tcW w:w="2835" w:type="dxa"/>
            <w:tcBorders>
              <w:top w:val="nil"/>
              <w:left w:val="nil"/>
              <w:bottom w:val="single" w:sz="4" w:space="0" w:color="auto"/>
              <w:right w:val="single" w:sz="4" w:space="0" w:color="auto"/>
            </w:tcBorders>
          </w:tcPr>
          <w:p w14:paraId="4A026E3D" w14:textId="0E8A8F37"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electronic money institutions not providing payment services, EEA branches of this type, legal entities directly rendering</w:t>
            </w:r>
            <w:r w:rsidRPr="004E75B9">
              <w:rPr>
                <w:rFonts w:ascii="Arial" w:hAnsi="Arial" w:cs="Arial"/>
                <w:lang w:val="en-GB"/>
              </w:rPr>
              <w:t xml:space="preserve"> </w:t>
            </w:r>
            <w:r w:rsidRPr="004E75B9">
              <w:rPr>
                <w:rFonts w:ascii="Arial" w:hAnsi="Arial" w:cs="Arial"/>
                <w:sz w:val="20"/>
                <w:lang w:val="en-GB"/>
              </w:rPr>
              <w:t>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institutions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5A4BE649" w14:textId="60999B04"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7FDCE11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2CCE6D57" w14:textId="57B3F3C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6456EE3" w14:textId="2D9B79E6"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93A867E"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4BACFDA5"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73</w:t>
            </w:r>
          </w:p>
        </w:tc>
        <w:tc>
          <w:tcPr>
            <w:tcW w:w="1418" w:type="dxa"/>
            <w:tcBorders>
              <w:top w:val="nil"/>
              <w:left w:val="single" w:sz="4" w:space="0" w:color="auto"/>
              <w:bottom w:val="single" w:sz="4" w:space="0" w:color="auto"/>
              <w:right w:val="single" w:sz="4" w:space="0" w:color="auto"/>
            </w:tcBorders>
            <w:vAlign w:val="center"/>
          </w:tcPr>
          <w:p w14:paraId="53C30520" w14:textId="6573C4CC" w:rsidR="00471EE4" w:rsidRPr="004E75B9" w:rsidRDefault="00471EE4" w:rsidP="00471EE4">
            <w:pPr>
              <w:jc w:val="center"/>
              <w:rPr>
                <w:rFonts w:ascii="Arial" w:hAnsi="Arial" w:cs="Arial"/>
                <w:sz w:val="20"/>
                <w:lang w:val="en-GB"/>
              </w:rPr>
            </w:pPr>
            <w:r w:rsidRPr="004E75B9">
              <w:rPr>
                <w:rFonts w:ascii="Arial" w:hAnsi="Arial" w:cs="Arial"/>
                <w:sz w:val="20"/>
                <w:lang w:val="en-GB"/>
              </w:rPr>
              <w:t>P13</w:t>
            </w:r>
          </w:p>
        </w:tc>
        <w:tc>
          <w:tcPr>
            <w:tcW w:w="2598" w:type="dxa"/>
            <w:tcBorders>
              <w:top w:val="nil"/>
              <w:left w:val="nil"/>
              <w:bottom w:val="single" w:sz="4" w:space="0" w:color="auto"/>
              <w:right w:val="single" w:sz="4" w:space="0" w:color="auto"/>
            </w:tcBorders>
            <w:vAlign w:val="center"/>
          </w:tcPr>
          <w:p w14:paraId="7BA87FFA" w14:textId="75CAB305" w:rsidR="00471EE4" w:rsidRPr="004E75B9" w:rsidRDefault="00471EE4" w:rsidP="00471EE4">
            <w:pPr>
              <w:rPr>
                <w:rFonts w:ascii="Arial" w:hAnsi="Arial" w:cs="Arial"/>
                <w:sz w:val="20"/>
                <w:lang w:val="en-GB"/>
              </w:rPr>
            </w:pPr>
            <w:r w:rsidRPr="004E75B9">
              <w:rPr>
                <w:rFonts w:ascii="Arial" w:hAnsi="Arial" w:cs="Arial"/>
                <w:sz w:val="20"/>
                <w:lang w:val="en-GB"/>
              </w:rPr>
              <w:t>Data related to payment card turnover</w:t>
            </w:r>
          </w:p>
        </w:tc>
        <w:tc>
          <w:tcPr>
            <w:tcW w:w="2835" w:type="dxa"/>
            <w:tcBorders>
              <w:top w:val="nil"/>
              <w:left w:val="nil"/>
              <w:bottom w:val="single" w:sz="4" w:space="0" w:color="auto"/>
              <w:right w:val="single" w:sz="4" w:space="0" w:color="auto"/>
            </w:tcBorders>
          </w:tcPr>
          <w:p w14:paraId="0A42947B" w14:textId="2405E143"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electronic money institutions not providing payment services, EEA branches of this type, legal entities directly rendering</w:t>
            </w:r>
            <w:r w:rsidRPr="004E75B9">
              <w:rPr>
                <w:rFonts w:ascii="Arial" w:hAnsi="Arial" w:cs="Arial"/>
                <w:lang w:val="en-GB"/>
              </w:rPr>
              <w:t xml:space="preserve"> </w:t>
            </w:r>
            <w:r w:rsidRPr="004E75B9">
              <w:rPr>
                <w:rFonts w:ascii="Arial" w:hAnsi="Arial" w:cs="Arial"/>
                <w:sz w:val="20"/>
                <w:lang w:val="en-GB"/>
              </w:rPr>
              <w:t>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3746F37F" w14:textId="40A04246"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F1B497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7F82D8C" w14:textId="34DEA330"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6F8289A" w14:textId="5C27486B"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6E899B41"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468B8147"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74</w:t>
            </w:r>
          </w:p>
        </w:tc>
        <w:tc>
          <w:tcPr>
            <w:tcW w:w="1418" w:type="dxa"/>
            <w:tcBorders>
              <w:top w:val="nil"/>
              <w:left w:val="single" w:sz="4" w:space="0" w:color="auto"/>
              <w:bottom w:val="single" w:sz="4" w:space="0" w:color="auto"/>
              <w:right w:val="single" w:sz="4" w:space="0" w:color="auto"/>
            </w:tcBorders>
            <w:vAlign w:val="center"/>
          </w:tcPr>
          <w:p w14:paraId="56B52AF2" w14:textId="5B0D940A" w:rsidR="00471EE4" w:rsidRPr="004E75B9" w:rsidRDefault="00471EE4" w:rsidP="00471EE4">
            <w:pPr>
              <w:jc w:val="center"/>
              <w:rPr>
                <w:rFonts w:ascii="Arial" w:hAnsi="Arial" w:cs="Arial"/>
                <w:sz w:val="20"/>
                <w:lang w:val="en-GB"/>
              </w:rPr>
            </w:pPr>
            <w:r w:rsidRPr="004E75B9">
              <w:rPr>
                <w:rFonts w:ascii="Arial" w:hAnsi="Arial" w:cs="Arial"/>
                <w:sz w:val="20"/>
                <w:lang w:val="en-GB"/>
              </w:rPr>
              <w:t>P14</w:t>
            </w:r>
          </w:p>
        </w:tc>
        <w:tc>
          <w:tcPr>
            <w:tcW w:w="2598" w:type="dxa"/>
            <w:tcBorders>
              <w:top w:val="nil"/>
              <w:left w:val="nil"/>
              <w:bottom w:val="single" w:sz="4" w:space="0" w:color="auto"/>
              <w:right w:val="single" w:sz="4" w:space="0" w:color="auto"/>
            </w:tcBorders>
            <w:vAlign w:val="center"/>
          </w:tcPr>
          <w:p w14:paraId="7F3D6140" w14:textId="149D6452" w:rsidR="00471EE4" w:rsidRPr="004E75B9" w:rsidRDefault="00471EE4" w:rsidP="00471EE4">
            <w:pPr>
              <w:rPr>
                <w:rFonts w:ascii="Arial" w:hAnsi="Arial" w:cs="Arial"/>
                <w:sz w:val="20"/>
                <w:lang w:val="en-GB"/>
              </w:rPr>
            </w:pPr>
            <w:r w:rsidRPr="004E75B9">
              <w:rPr>
                <w:rFonts w:ascii="Arial" w:hAnsi="Arial" w:cs="Arial"/>
                <w:sz w:val="20"/>
                <w:lang w:val="en-GB"/>
              </w:rPr>
              <w:t>Data related to damages incurred, losses written off and abuses in the payment card issuance and acceptance business</w:t>
            </w:r>
          </w:p>
        </w:tc>
        <w:tc>
          <w:tcPr>
            <w:tcW w:w="2835" w:type="dxa"/>
            <w:tcBorders>
              <w:top w:val="nil"/>
              <w:left w:val="nil"/>
              <w:bottom w:val="single" w:sz="4" w:space="0" w:color="auto"/>
              <w:right w:val="single" w:sz="4" w:space="0" w:color="auto"/>
            </w:tcBorders>
          </w:tcPr>
          <w:p w14:paraId="70C8BE32" w14:textId="5A82D3BF"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electronic money institutions not providing payment services, EEA branches of this type, legal entities directly rendering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60357E5F" w14:textId="6A1224DC"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51CECA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7F3DE63D" w14:textId="51AFAF9D"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4B6A94D" w14:textId="5BF0F7EB"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4DF94A77"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70EB4E91"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75</w:t>
            </w:r>
          </w:p>
        </w:tc>
        <w:tc>
          <w:tcPr>
            <w:tcW w:w="1418" w:type="dxa"/>
            <w:tcBorders>
              <w:top w:val="nil"/>
              <w:left w:val="single" w:sz="4" w:space="0" w:color="auto"/>
              <w:bottom w:val="single" w:sz="4" w:space="0" w:color="auto"/>
              <w:right w:val="single" w:sz="4" w:space="0" w:color="auto"/>
            </w:tcBorders>
            <w:vAlign w:val="center"/>
          </w:tcPr>
          <w:p w14:paraId="55394AD0" w14:textId="1CEFC4A4" w:rsidR="00471EE4" w:rsidRPr="004E75B9" w:rsidRDefault="00471EE4" w:rsidP="00471EE4">
            <w:pPr>
              <w:jc w:val="center"/>
              <w:rPr>
                <w:rFonts w:ascii="Arial" w:hAnsi="Arial" w:cs="Arial"/>
                <w:sz w:val="20"/>
                <w:lang w:val="en-GB"/>
              </w:rPr>
            </w:pPr>
            <w:r w:rsidRPr="004E75B9">
              <w:rPr>
                <w:rFonts w:ascii="Arial" w:hAnsi="Arial" w:cs="Arial"/>
                <w:sz w:val="20"/>
                <w:lang w:val="en-GB"/>
              </w:rPr>
              <w:t>P15</w:t>
            </w:r>
          </w:p>
        </w:tc>
        <w:tc>
          <w:tcPr>
            <w:tcW w:w="2598" w:type="dxa"/>
            <w:tcBorders>
              <w:top w:val="nil"/>
              <w:left w:val="nil"/>
              <w:bottom w:val="single" w:sz="4" w:space="0" w:color="auto"/>
              <w:right w:val="single" w:sz="4" w:space="0" w:color="auto"/>
            </w:tcBorders>
            <w:vAlign w:val="center"/>
          </w:tcPr>
          <w:p w14:paraId="11F7EC20" w14:textId="68021DE7" w:rsidR="00471EE4" w:rsidRPr="004E75B9" w:rsidRDefault="00471EE4" w:rsidP="00471EE4">
            <w:pPr>
              <w:rPr>
                <w:rFonts w:ascii="Arial" w:hAnsi="Arial" w:cs="Arial"/>
                <w:sz w:val="20"/>
                <w:lang w:val="en-GB"/>
              </w:rPr>
            </w:pPr>
            <w:r w:rsidRPr="004E75B9">
              <w:rPr>
                <w:rFonts w:ascii="Arial" w:hAnsi="Arial" w:cs="Arial"/>
                <w:sz w:val="20"/>
                <w:lang w:val="en-GB"/>
              </w:rPr>
              <w:t>Electronic money – data related to turnover and abuses</w:t>
            </w:r>
          </w:p>
        </w:tc>
        <w:tc>
          <w:tcPr>
            <w:tcW w:w="2835" w:type="dxa"/>
            <w:tcBorders>
              <w:top w:val="nil"/>
              <w:left w:val="nil"/>
              <w:bottom w:val="single" w:sz="4" w:space="0" w:color="auto"/>
              <w:right w:val="single" w:sz="4" w:space="0" w:color="auto"/>
            </w:tcBorders>
          </w:tcPr>
          <w:p w14:paraId="6F2A43F1" w14:textId="1408489A"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electronic money institutions not providing payment services, EEA branches of this type, legal entities directly rendering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437D56DB" w14:textId="4663E310"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010ABDD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A79F563" w14:textId="1421E9ED"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3C7AB08" w14:textId="7417F67F"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7A4E668D"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0E31FF59" w:rsidR="00471EE4" w:rsidRPr="004E75B9" w:rsidRDefault="00EE63E1" w:rsidP="00471EE4">
            <w:pPr>
              <w:jc w:val="center"/>
              <w:rPr>
                <w:rFonts w:ascii="Arial" w:hAnsi="Arial" w:cs="Arial"/>
                <w:sz w:val="20"/>
                <w:lang w:val="en-GB"/>
              </w:rPr>
            </w:pPr>
            <w:r w:rsidRPr="004E75B9">
              <w:rPr>
                <w:rFonts w:ascii="Arial" w:hAnsi="Arial" w:cs="Arial"/>
                <w:sz w:val="20"/>
                <w:lang w:val="en-GB"/>
              </w:rPr>
              <w:t>76</w:t>
            </w:r>
          </w:p>
        </w:tc>
        <w:tc>
          <w:tcPr>
            <w:tcW w:w="1418" w:type="dxa"/>
            <w:tcBorders>
              <w:top w:val="nil"/>
              <w:left w:val="single" w:sz="4" w:space="0" w:color="auto"/>
              <w:bottom w:val="single" w:sz="4" w:space="0" w:color="auto"/>
              <w:right w:val="single" w:sz="4" w:space="0" w:color="auto"/>
            </w:tcBorders>
            <w:vAlign w:val="center"/>
          </w:tcPr>
          <w:p w14:paraId="621BD053" w14:textId="38CFFB87" w:rsidR="00471EE4" w:rsidRPr="004E75B9" w:rsidRDefault="00471EE4" w:rsidP="00471EE4">
            <w:pPr>
              <w:jc w:val="center"/>
              <w:rPr>
                <w:rFonts w:ascii="Arial" w:hAnsi="Arial" w:cs="Arial"/>
                <w:sz w:val="20"/>
                <w:lang w:val="en-GB"/>
              </w:rPr>
            </w:pPr>
            <w:r w:rsidRPr="004E75B9">
              <w:rPr>
                <w:rFonts w:ascii="Arial" w:hAnsi="Arial" w:cs="Arial"/>
                <w:sz w:val="20"/>
                <w:lang w:val="en-GB"/>
              </w:rPr>
              <w:t>P23</w:t>
            </w:r>
          </w:p>
        </w:tc>
        <w:tc>
          <w:tcPr>
            <w:tcW w:w="2598" w:type="dxa"/>
            <w:tcBorders>
              <w:top w:val="nil"/>
              <w:left w:val="nil"/>
              <w:bottom w:val="single" w:sz="4" w:space="0" w:color="auto"/>
              <w:right w:val="single" w:sz="4" w:space="0" w:color="auto"/>
            </w:tcBorders>
            <w:vAlign w:val="center"/>
          </w:tcPr>
          <w:p w14:paraId="6013F018" w14:textId="1CD60920" w:rsidR="00471EE4" w:rsidRPr="004E75B9" w:rsidRDefault="00471EE4" w:rsidP="00471EE4">
            <w:pPr>
              <w:rPr>
                <w:rFonts w:ascii="Arial" w:hAnsi="Arial" w:cs="Arial"/>
                <w:sz w:val="20"/>
                <w:lang w:val="en-GB"/>
              </w:rPr>
            </w:pPr>
            <w:r w:rsidRPr="004E75B9">
              <w:rPr>
                <w:rFonts w:ascii="Arial" w:hAnsi="Arial" w:cs="Arial"/>
                <w:sz w:val="20"/>
                <w:lang w:val="en-GB"/>
              </w:rPr>
              <w:t>Report on local banknote processing and banknote distribution</w:t>
            </w:r>
          </w:p>
        </w:tc>
        <w:tc>
          <w:tcPr>
            <w:tcW w:w="2835" w:type="dxa"/>
            <w:tcBorders>
              <w:top w:val="nil"/>
              <w:left w:val="nil"/>
              <w:bottom w:val="single" w:sz="4" w:space="0" w:color="auto"/>
              <w:right w:val="single" w:sz="4" w:space="0" w:color="auto"/>
            </w:tcBorders>
            <w:vAlign w:val="center"/>
          </w:tcPr>
          <w:p w14:paraId="77EEB0CB" w14:textId="697C252A" w:rsidR="00471EE4" w:rsidRPr="004E75B9" w:rsidRDefault="00471EE4" w:rsidP="00471EE4">
            <w:pPr>
              <w:rPr>
                <w:rFonts w:ascii="Arial" w:hAnsi="Arial" w:cs="Arial"/>
                <w:sz w:val="20"/>
                <w:lang w:val="en-GB"/>
              </w:rPr>
            </w:pPr>
            <w:r w:rsidRPr="004E75B9">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1B01410D" w14:textId="03FE9C5C"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9C12DC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1A295961" w14:textId="6305A8D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F56A6EB" w14:textId="6B2A5A5A"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6FD351F2"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D98793E"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76a</w:t>
            </w:r>
          </w:p>
        </w:tc>
        <w:tc>
          <w:tcPr>
            <w:tcW w:w="1418" w:type="dxa"/>
            <w:tcBorders>
              <w:top w:val="nil"/>
              <w:left w:val="single" w:sz="4" w:space="0" w:color="auto"/>
              <w:bottom w:val="single" w:sz="4" w:space="0" w:color="auto"/>
              <w:right w:val="single" w:sz="4" w:space="0" w:color="auto"/>
            </w:tcBorders>
            <w:vAlign w:val="center"/>
          </w:tcPr>
          <w:p w14:paraId="2D70001D"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P24</w:t>
            </w:r>
          </w:p>
        </w:tc>
        <w:tc>
          <w:tcPr>
            <w:tcW w:w="2598" w:type="dxa"/>
            <w:tcBorders>
              <w:top w:val="nil"/>
              <w:left w:val="nil"/>
              <w:bottom w:val="single" w:sz="4" w:space="0" w:color="auto"/>
              <w:right w:val="single" w:sz="4" w:space="0" w:color="auto"/>
            </w:tcBorders>
            <w:vAlign w:val="center"/>
          </w:tcPr>
          <w:p w14:paraId="3CC1220A" w14:textId="77777777" w:rsidR="00B82665" w:rsidRPr="004E75B9" w:rsidRDefault="00B82665" w:rsidP="00481406">
            <w:pPr>
              <w:rPr>
                <w:rFonts w:ascii="Arial" w:hAnsi="Arial" w:cs="Arial"/>
                <w:sz w:val="20"/>
                <w:lang w:val="en-GB"/>
              </w:rPr>
            </w:pPr>
            <w:r w:rsidRPr="004E75B9">
              <w:rPr>
                <w:rFonts w:ascii="Arial" w:hAnsi="Arial" w:cs="Arial"/>
                <w:sz w:val="20"/>
                <w:lang w:val="en-GB"/>
              </w:rPr>
              <w:t>Daily HUF cash flow report</w:t>
            </w:r>
          </w:p>
        </w:tc>
        <w:tc>
          <w:tcPr>
            <w:tcW w:w="2835" w:type="dxa"/>
            <w:tcBorders>
              <w:top w:val="nil"/>
              <w:left w:val="nil"/>
              <w:bottom w:val="single" w:sz="4" w:space="0" w:color="auto"/>
              <w:right w:val="single" w:sz="4" w:space="0" w:color="auto"/>
            </w:tcBorders>
            <w:vAlign w:val="center"/>
          </w:tcPr>
          <w:p w14:paraId="5843BABD" w14:textId="77777777" w:rsidR="00B82665" w:rsidRPr="004E75B9" w:rsidRDefault="00B82665" w:rsidP="00481406">
            <w:pPr>
              <w:rPr>
                <w:rFonts w:ascii="Arial" w:hAnsi="Arial" w:cs="Arial"/>
                <w:sz w:val="20"/>
                <w:lang w:val="en-GB"/>
              </w:rPr>
            </w:pPr>
            <w:r w:rsidRPr="004E75B9">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395FCE16"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B71EB46"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electronic</w:t>
            </w:r>
          </w:p>
          <w:p w14:paraId="4C5BA8A2"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3611E46" w14:textId="77777777" w:rsidR="00B82665" w:rsidRPr="004E75B9" w:rsidRDefault="00B82665" w:rsidP="00481406">
            <w:pPr>
              <w:jc w:val="center"/>
              <w:rPr>
                <w:rFonts w:ascii="Arial" w:hAnsi="Arial" w:cs="Arial"/>
                <w:sz w:val="20"/>
                <w:lang w:val="en-GB"/>
              </w:rPr>
            </w:pPr>
            <w:r w:rsidRPr="004E75B9">
              <w:rPr>
                <w:rFonts w:ascii="Arial" w:hAnsi="Arial" w:cs="Arial"/>
                <w:sz w:val="20"/>
                <w:lang w:val="en-GB"/>
              </w:rPr>
              <w:t>12 p.m. on the 2nd working day following reference day</w:t>
            </w:r>
          </w:p>
        </w:tc>
      </w:tr>
      <w:tr w:rsidR="004E75B9" w:rsidRPr="004E75B9" w14:paraId="34B03063"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2F1DB7C0" w:rsidR="00471EE4" w:rsidRPr="004E75B9" w:rsidRDefault="00EE63E1" w:rsidP="00471EE4">
            <w:pPr>
              <w:jc w:val="center"/>
              <w:rPr>
                <w:rFonts w:ascii="Arial" w:hAnsi="Arial" w:cs="Arial"/>
                <w:sz w:val="20"/>
                <w:lang w:val="en-GB"/>
              </w:rPr>
            </w:pPr>
            <w:r w:rsidRPr="004E75B9">
              <w:rPr>
                <w:rFonts w:ascii="Arial" w:hAnsi="Arial" w:cs="Arial"/>
                <w:sz w:val="20"/>
                <w:lang w:val="en-GB"/>
              </w:rPr>
              <w:t>77</w:t>
            </w:r>
          </w:p>
        </w:tc>
        <w:tc>
          <w:tcPr>
            <w:tcW w:w="1418" w:type="dxa"/>
            <w:tcBorders>
              <w:top w:val="nil"/>
              <w:left w:val="single" w:sz="4" w:space="0" w:color="auto"/>
              <w:bottom w:val="single" w:sz="4" w:space="0" w:color="auto"/>
              <w:right w:val="single" w:sz="4" w:space="0" w:color="auto"/>
            </w:tcBorders>
            <w:vAlign w:val="center"/>
          </w:tcPr>
          <w:p w14:paraId="34B0305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P26</w:t>
            </w:r>
          </w:p>
        </w:tc>
        <w:tc>
          <w:tcPr>
            <w:tcW w:w="2598" w:type="dxa"/>
            <w:tcBorders>
              <w:top w:val="nil"/>
              <w:left w:val="nil"/>
              <w:bottom w:val="single" w:sz="4" w:space="0" w:color="auto"/>
              <w:right w:val="single" w:sz="4" w:space="0" w:color="auto"/>
            </w:tcBorders>
            <w:vAlign w:val="center"/>
          </w:tcPr>
          <w:p w14:paraId="34B0305D" w14:textId="77777777" w:rsidR="00471EE4" w:rsidRPr="004E75B9" w:rsidRDefault="00471EE4" w:rsidP="00471EE4">
            <w:pPr>
              <w:rPr>
                <w:rFonts w:ascii="Arial" w:hAnsi="Arial" w:cs="Arial"/>
                <w:sz w:val="20"/>
                <w:lang w:val="en-GB"/>
              </w:rPr>
            </w:pPr>
            <w:r w:rsidRPr="004E75B9">
              <w:rPr>
                <w:rFonts w:ascii="Arial" w:hAnsi="Arial" w:cs="Arial"/>
                <w:sz w:val="20"/>
                <w:lang w:val="en-GB"/>
              </w:rPr>
              <w:t>Report on cash processing activity</w:t>
            </w:r>
          </w:p>
        </w:tc>
        <w:tc>
          <w:tcPr>
            <w:tcW w:w="2835" w:type="dxa"/>
            <w:tcBorders>
              <w:top w:val="nil"/>
              <w:left w:val="nil"/>
              <w:bottom w:val="single" w:sz="4" w:space="0" w:color="auto"/>
              <w:right w:val="single" w:sz="4" w:space="0" w:color="auto"/>
            </w:tcBorders>
            <w:vAlign w:val="center"/>
          </w:tcPr>
          <w:p w14:paraId="34B0305E" w14:textId="77777777" w:rsidR="00471EE4" w:rsidRPr="004E75B9" w:rsidRDefault="00471EE4" w:rsidP="00471EE4">
            <w:pPr>
              <w:rPr>
                <w:rFonts w:ascii="Arial" w:hAnsi="Arial" w:cs="Arial"/>
                <w:sz w:val="20"/>
                <w:lang w:val="en-GB"/>
              </w:rPr>
            </w:pPr>
            <w:r w:rsidRPr="004E75B9">
              <w:rPr>
                <w:rFonts w:ascii="Arial" w:hAnsi="Arial" w:cs="Arial"/>
                <w:sz w:val="20"/>
                <w:lang w:val="en-GB"/>
              </w:rPr>
              <w:t>institutions licensed to perform cash processing activities and designated credit institutions</w:t>
            </w:r>
          </w:p>
        </w:tc>
        <w:tc>
          <w:tcPr>
            <w:tcW w:w="1701" w:type="dxa"/>
            <w:tcBorders>
              <w:top w:val="nil"/>
              <w:left w:val="nil"/>
              <w:bottom w:val="single" w:sz="4" w:space="0" w:color="auto"/>
              <w:right w:val="single" w:sz="4" w:space="0" w:color="auto"/>
            </w:tcBorders>
            <w:vAlign w:val="center"/>
          </w:tcPr>
          <w:p w14:paraId="34B0305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6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61" w14:textId="0A24230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6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07E" w14:textId="77777777" w:rsidTr="00481406">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2B6A440D" w:rsidR="00471EE4" w:rsidRPr="004E75B9" w:rsidRDefault="00EE63E1" w:rsidP="00471EE4">
            <w:pPr>
              <w:jc w:val="center"/>
              <w:rPr>
                <w:rFonts w:ascii="Arial" w:hAnsi="Arial" w:cs="Arial"/>
                <w:sz w:val="20"/>
                <w:lang w:val="en-GB"/>
              </w:rPr>
            </w:pPr>
            <w:r w:rsidRPr="004E75B9">
              <w:rPr>
                <w:rFonts w:ascii="Arial" w:hAnsi="Arial" w:cs="Arial"/>
                <w:sz w:val="20"/>
                <w:lang w:val="en-GB"/>
              </w:rPr>
              <w:t>78</w:t>
            </w:r>
          </w:p>
        </w:tc>
        <w:tc>
          <w:tcPr>
            <w:tcW w:w="1418" w:type="dxa"/>
            <w:tcBorders>
              <w:top w:val="nil"/>
              <w:left w:val="single" w:sz="4" w:space="0" w:color="auto"/>
              <w:bottom w:val="single" w:sz="4" w:space="0" w:color="auto"/>
              <w:right w:val="single" w:sz="4" w:space="0" w:color="auto"/>
            </w:tcBorders>
            <w:vAlign w:val="center"/>
          </w:tcPr>
          <w:p w14:paraId="34B0307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P37</w:t>
            </w:r>
          </w:p>
        </w:tc>
        <w:tc>
          <w:tcPr>
            <w:tcW w:w="2598" w:type="dxa"/>
            <w:tcBorders>
              <w:top w:val="nil"/>
              <w:left w:val="nil"/>
              <w:bottom w:val="single" w:sz="4" w:space="0" w:color="auto"/>
              <w:right w:val="single" w:sz="4" w:space="0" w:color="auto"/>
            </w:tcBorders>
            <w:vAlign w:val="center"/>
          </w:tcPr>
          <w:p w14:paraId="34B03078" w14:textId="53A990E6" w:rsidR="00471EE4" w:rsidRPr="004E75B9" w:rsidRDefault="00471EE4" w:rsidP="00471EE4">
            <w:pPr>
              <w:rPr>
                <w:rFonts w:ascii="Arial" w:hAnsi="Arial" w:cs="Arial"/>
                <w:sz w:val="20"/>
                <w:lang w:val="en-GB"/>
              </w:rPr>
            </w:pPr>
            <w:r w:rsidRPr="004E75B9">
              <w:rPr>
                <w:rFonts w:ascii="Arial" w:hAnsi="Arial" w:cs="Arial"/>
                <w:sz w:val="20"/>
                <w:lang w:val="en-GB"/>
              </w:rPr>
              <w:t>Monthly report on the payment (settlement) account balances of respondent credit institution holding an account with the correspondent bank</w:t>
            </w:r>
          </w:p>
        </w:tc>
        <w:tc>
          <w:tcPr>
            <w:tcW w:w="2835" w:type="dxa"/>
            <w:tcBorders>
              <w:top w:val="nil"/>
              <w:left w:val="nil"/>
              <w:bottom w:val="single" w:sz="4" w:space="0" w:color="auto"/>
              <w:right w:val="single" w:sz="4" w:space="0" w:color="auto"/>
            </w:tcBorders>
            <w:vAlign w:val="center"/>
          </w:tcPr>
          <w:p w14:paraId="34B03079" w14:textId="079D5C01" w:rsidR="00471EE4" w:rsidRPr="004E75B9" w:rsidRDefault="00471EE4" w:rsidP="00471EE4">
            <w:pPr>
              <w:rPr>
                <w:rFonts w:ascii="Arial" w:hAnsi="Arial" w:cs="Arial"/>
                <w:sz w:val="20"/>
                <w:lang w:val="en-GB"/>
              </w:rPr>
            </w:pPr>
            <w:r w:rsidRPr="004E75B9">
              <w:rPr>
                <w:rFonts w:ascii="Arial" w:hAnsi="Arial" w:cs="Arial"/>
                <w:sz w:val="20"/>
                <w:lang w:val="en-GB"/>
              </w:rPr>
              <w:t xml:space="preserve">a credit institution or EEA branch of this type, keeping a forint payment account for credit institutions for the purposes of fulfilling the minimum reserve requirement  </w:t>
            </w:r>
          </w:p>
        </w:tc>
        <w:tc>
          <w:tcPr>
            <w:tcW w:w="1701" w:type="dxa"/>
            <w:tcBorders>
              <w:top w:val="nil"/>
              <w:left w:val="nil"/>
              <w:bottom w:val="single" w:sz="4" w:space="0" w:color="auto"/>
              <w:right w:val="single" w:sz="4" w:space="0" w:color="auto"/>
            </w:tcBorders>
            <w:vAlign w:val="center"/>
          </w:tcPr>
          <w:p w14:paraId="34B0307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7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7C" w14:textId="418AF1A8"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7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 a.m. on the 1st working day of the month following the reference period</w:t>
            </w:r>
          </w:p>
        </w:tc>
      </w:tr>
      <w:tr w:rsidR="004E75B9" w:rsidRPr="004E75B9" w14:paraId="34B03087" w14:textId="77777777" w:rsidTr="00481406">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26C1794C"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79</w:t>
            </w:r>
          </w:p>
        </w:tc>
        <w:tc>
          <w:tcPr>
            <w:tcW w:w="1418" w:type="dxa"/>
            <w:tcBorders>
              <w:top w:val="nil"/>
              <w:left w:val="single" w:sz="4" w:space="0" w:color="auto"/>
              <w:bottom w:val="single" w:sz="4" w:space="0" w:color="auto"/>
              <w:right w:val="single" w:sz="4" w:space="0" w:color="auto"/>
            </w:tcBorders>
            <w:vAlign w:val="center"/>
          </w:tcPr>
          <w:p w14:paraId="34B0308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P38</w:t>
            </w:r>
          </w:p>
        </w:tc>
        <w:tc>
          <w:tcPr>
            <w:tcW w:w="2598" w:type="dxa"/>
            <w:tcBorders>
              <w:top w:val="nil"/>
              <w:left w:val="nil"/>
              <w:bottom w:val="single" w:sz="4" w:space="0" w:color="auto"/>
              <w:right w:val="single" w:sz="4" w:space="0" w:color="auto"/>
            </w:tcBorders>
            <w:vAlign w:val="center"/>
          </w:tcPr>
          <w:p w14:paraId="34B03081" w14:textId="2492433E" w:rsidR="00471EE4" w:rsidRPr="004E75B9" w:rsidRDefault="00471EE4" w:rsidP="00471EE4">
            <w:pPr>
              <w:rPr>
                <w:rFonts w:ascii="Arial" w:hAnsi="Arial" w:cs="Arial"/>
                <w:sz w:val="20"/>
                <w:lang w:val="en-GB"/>
              </w:rPr>
            </w:pPr>
            <w:r w:rsidRPr="004E75B9">
              <w:rPr>
                <w:rFonts w:ascii="Arial" w:hAnsi="Arial" w:cs="Arial"/>
                <w:sz w:val="20"/>
                <w:lang w:val="en-GB"/>
              </w:rPr>
              <w:t>Authorisations related to direct debits</w:t>
            </w:r>
          </w:p>
        </w:tc>
        <w:tc>
          <w:tcPr>
            <w:tcW w:w="2835" w:type="dxa"/>
            <w:tcBorders>
              <w:top w:val="nil"/>
              <w:left w:val="nil"/>
              <w:bottom w:val="single" w:sz="4" w:space="0" w:color="auto"/>
              <w:right w:val="single" w:sz="4" w:space="0" w:color="auto"/>
            </w:tcBorders>
            <w:vAlign w:val="center"/>
          </w:tcPr>
          <w:p w14:paraId="34B03082" w14:textId="1A2A65C9" w:rsidR="00471EE4" w:rsidRPr="004E75B9" w:rsidRDefault="00471EE4" w:rsidP="00471EE4">
            <w:pPr>
              <w:rPr>
                <w:rFonts w:ascii="Arial" w:hAnsi="Arial" w:cs="Arial"/>
                <w:sz w:val="20"/>
                <w:lang w:val="en-GB"/>
              </w:rPr>
            </w:pPr>
            <w:r w:rsidRPr="004E75B9">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08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8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85" w14:textId="2C9EBE6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8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of the month following the reference period</w:t>
            </w:r>
          </w:p>
        </w:tc>
      </w:tr>
      <w:tr w:rsidR="004E75B9" w:rsidRPr="004E75B9" w14:paraId="34B03090" w14:textId="77777777" w:rsidTr="00481406">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67571287" w:rsidR="00471EE4" w:rsidRPr="004E75B9" w:rsidRDefault="00EE63E1" w:rsidP="00471EE4">
            <w:pPr>
              <w:jc w:val="center"/>
              <w:rPr>
                <w:rFonts w:ascii="Arial" w:hAnsi="Arial" w:cs="Arial"/>
                <w:sz w:val="20"/>
                <w:lang w:val="en-GB"/>
              </w:rPr>
            </w:pPr>
            <w:r w:rsidRPr="004E75B9">
              <w:rPr>
                <w:rFonts w:ascii="Arial" w:hAnsi="Arial" w:cs="Arial"/>
                <w:sz w:val="20"/>
                <w:lang w:val="en-GB"/>
              </w:rPr>
              <w:t>80</w:t>
            </w:r>
          </w:p>
        </w:tc>
        <w:tc>
          <w:tcPr>
            <w:tcW w:w="1418" w:type="dxa"/>
            <w:tcBorders>
              <w:top w:val="nil"/>
              <w:left w:val="single" w:sz="4" w:space="0" w:color="auto"/>
              <w:bottom w:val="single" w:sz="4" w:space="0" w:color="auto"/>
              <w:right w:val="single" w:sz="4" w:space="0" w:color="auto"/>
            </w:tcBorders>
            <w:vAlign w:val="center"/>
          </w:tcPr>
          <w:p w14:paraId="34B0308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P39</w:t>
            </w:r>
          </w:p>
        </w:tc>
        <w:tc>
          <w:tcPr>
            <w:tcW w:w="2598" w:type="dxa"/>
            <w:tcBorders>
              <w:top w:val="nil"/>
              <w:left w:val="nil"/>
              <w:bottom w:val="single" w:sz="4" w:space="0" w:color="auto"/>
              <w:right w:val="single" w:sz="4" w:space="0" w:color="auto"/>
            </w:tcBorders>
            <w:vAlign w:val="center"/>
          </w:tcPr>
          <w:p w14:paraId="34B0308A" w14:textId="4BF1C76D" w:rsidR="00471EE4" w:rsidRPr="004E75B9" w:rsidRDefault="00471EE4" w:rsidP="00471EE4">
            <w:pPr>
              <w:rPr>
                <w:rFonts w:ascii="Arial" w:hAnsi="Arial" w:cs="Arial"/>
                <w:sz w:val="20"/>
                <w:lang w:val="en-GB"/>
              </w:rPr>
            </w:pPr>
            <w:r w:rsidRPr="004E75B9">
              <w:rPr>
                <w:rFonts w:ascii="Arial" w:hAnsi="Arial" w:cs="Arial"/>
                <w:sz w:val="20"/>
                <w:lang w:val="en-GB"/>
              </w:rPr>
              <w:t>Payment system statistics</w:t>
            </w:r>
          </w:p>
        </w:tc>
        <w:tc>
          <w:tcPr>
            <w:tcW w:w="2835" w:type="dxa"/>
            <w:tcBorders>
              <w:top w:val="nil"/>
              <w:left w:val="nil"/>
              <w:bottom w:val="single" w:sz="4" w:space="0" w:color="auto"/>
              <w:right w:val="single" w:sz="4" w:space="0" w:color="auto"/>
            </w:tcBorders>
            <w:vAlign w:val="center"/>
          </w:tcPr>
          <w:p w14:paraId="34B0308B" w14:textId="678F95B3" w:rsidR="00471EE4" w:rsidRPr="004E75B9" w:rsidRDefault="00471EE4" w:rsidP="00471EE4">
            <w:pPr>
              <w:rPr>
                <w:rFonts w:ascii="Arial" w:hAnsi="Arial" w:cs="Arial"/>
                <w:sz w:val="20"/>
                <w:lang w:val="en-GB"/>
              </w:rPr>
            </w:pPr>
            <w:r w:rsidRPr="004E75B9">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08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8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8E" w14:textId="1CFA14AC"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8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099" w14:textId="77777777" w:rsidTr="00481406">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126EAE8C" w:rsidR="00471EE4" w:rsidRPr="004E75B9" w:rsidRDefault="00EE63E1" w:rsidP="00471EE4">
            <w:pPr>
              <w:jc w:val="center"/>
              <w:rPr>
                <w:rFonts w:ascii="Arial" w:hAnsi="Arial" w:cs="Arial"/>
                <w:sz w:val="20"/>
                <w:lang w:val="en-GB"/>
              </w:rPr>
            </w:pPr>
            <w:r w:rsidRPr="004E75B9">
              <w:rPr>
                <w:rFonts w:ascii="Arial" w:hAnsi="Arial" w:cs="Arial"/>
                <w:sz w:val="20"/>
                <w:lang w:val="en-GB"/>
              </w:rPr>
              <w:t>81</w:t>
            </w:r>
          </w:p>
        </w:tc>
        <w:tc>
          <w:tcPr>
            <w:tcW w:w="1418" w:type="dxa"/>
            <w:tcBorders>
              <w:top w:val="nil"/>
              <w:left w:val="single" w:sz="4" w:space="0" w:color="auto"/>
              <w:bottom w:val="single" w:sz="4" w:space="0" w:color="auto"/>
              <w:right w:val="single" w:sz="4" w:space="0" w:color="auto"/>
            </w:tcBorders>
            <w:vAlign w:val="center"/>
          </w:tcPr>
          <w:p w14:paraId="34B0309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P41</w:t>
            </w:r>
          </w:p>
        </w:tc>
        <w:tc>
          <w:tcPr>
            <w:tcW w:w="2598" w:type="dxa"/>
            <w:tcBorders>
              <w:top w:val="nil"/>
              <w:left w:val="nil"/>
              <w:bottom w:val="single" w:sz="4" w:space="0" w:color="auto"/>
              <w:right w:val="single" w:sz="4" w:space="0" w:color="auto"/>
            </w:tcBorders>
            <w:vAlign w:val="center"/>
          </w:tcPr>
          <w:p w14:paraId="34B03093" w14:textId="0A6EF163" w:rsidR="00471EE4" w:rsidRPr="004E75B9" w:rsidRDefault="00471EE4" w:rsidP="00471EE4">
            <w:pPr>
              <w:rPr>
                <w:rFonts w:ascii="Arial" w:hAnsi="Arial" w:cs="Arial"/>
                <w:sz w:val="20"/>
                <w:lang w:val="en-GB"/>
              </w:rPr>
            </w:pPr>
            <w:r w:rsidRPr="004E75B9">
              <w:rPr>
                <w:rFonts w:ascii="Arial" w:hAnsi="Arial" w:cs="Arial"/>
                <w:sz w:val="20"/>
                <w:lang w:val="en-GB"/>
              </w:rPr>
              <w:t>Supervisory statistics</w:t>
            </w:r>
          </w:p>
        </w:tc>
        <w:tc>
          <w:tcPr>
            <w:tcW w:w="2835" w:type="dxa"/>
            <w:tcBorders>
              <w:top w:val="nil"/>
              <w:left w:val="nil"/>
              <w:bottom w:val="single" w:sz="4" w:space="0" w:color="auto"/>
              <w:right w:val="single" w:sz="4" w:space="0" w:color="auto"/>
            </w:tcBorders>
            <w:vAlign w:val="center"/>
          </w:tcPr>
          <w:p w14:paraId="34B03094" w14:textId="4C73310C"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central counterparty and EEA branches of this type</w:t>
            </w:r>
          </w:p>
        </w:tc>
        <w:tc>
          <w:tcPr>
            <w:tcW w:w="1701" w:type="dxa"/>
            <w:tcBorders>
              <w:top w:val="nil"/>
              <w:left w:val="nil"/>
              <w:bottom w:val="single" w:sz="4" w:space="0" w:color="auto"/>
              <w:right w:val="single" w:sz="4" w:space="0" w:color="auto"/>
            </w:tcBorders>
            <w:vAlign w:val="center"/>
          </w:tcPr>
          <w:p w14:paraId="34B0309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9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97" w14:textId="2044CB2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9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0AB" w14:textId="77777777" w:rsidTr="00481406">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3B2ADABF" w:rsidR="00471EE4" w:rsidRPr="004E75B9" w:rsidRDefault="00EE63E1" w:rsidP="00471EE4">
            <w:pPr>
              <w:jc w:val="center"/>
              <w:rPr>
                <w:rFonts w:ascii="Arial" w:hAnsi="Arial" w:cs="Arial"/>
                <w:sz w:val="20"/>
                <w:lang w:val="en-GB"/>
              </w:rPr>
            </w:pPr>
            <w:r w:rsidRPr="004E75B9">
              <w:rPr>
                <w:rFonts w:ascii="Arial" w:hAnsi="Arial" w:cs="Arial"/>
                <w:sz w:val="20"/>
                <w:lang w:val="en-GB"/>
              </w:rPr>
              <w:t>82</w:t>
            </w:r>
          </w:p>
        </w:tc>
        <w:tc>
          <w:tcPr>
            <w:tcW w:w="1418" w:type="dxa"/>
            <w:tcBorders>
              <w:top w:val="nil"/>
              <w:left w:val="single" w:sz="4" w:space="0" w:color="auto"/>
              <w:bottom w:val="single" w:sz="4" w:space="0" w:color="auto"/>
              <w:right w:val="single" w:sz="4" w:space="0" w:color="auto"/>
            </w:tcBorders>
            <w:vAlign w:val="center"/>
          </w:tcPr>
          <w:p w14:paraId="34B030A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P44</w:t>
            </w:r>
          </w:p>
        </w:tc>
        <w:tc>
          <w:tcPr>
            <w:tcW w:w="2598" w:type="dxa"/>
            <w:tcBorders>
              <w:top w:val="nil"/>
              <w:left w:val="nil"/>
              <w:bottom w:val="single" w:sz="4" w:space="0" w:color="auto"/>
              <w:right w:val="single" w:sz="4" w:space="0" w:color="auto"/>
            </w:tcBorders>
            <w:vAlign w:val="center"/>
          </w:tcPr>
          <w:p w14:paraId="34B030A5" w14:textId="77777777" w:rsidR="00471EE4" w:rsidRPr="004E75B9" w:rsidRDefault="00471EE4" w:rsidP="00471EE4">
            <w:pPr>
              <w:jc w:val="left"/>
              <w:rPr>
                <w:rFonts w:ascii="Arial" w:hAnsi="Arial" w:cs="Arial"/>
                <w:sz w:val="20"/>
                <w:lang w:val="en-GB"/>
              </w:rPr>
            </w:pPr>
            <w:bookmarkStart w:id="5" w:name="OLE_LINK1"/>
            <w:r w:rsidRPr="004E75B9">
              <w:rPr>
                <w:rFonts w:ascii="Arial" w:hAnsi="Arial" w:cs="Arial"/>
                <w:sz w:val="20"/>
                <w:lang w:val="en-GB"/>
              </w:rPr>
              <w:t>Securities settlement systems statistics</w:t>
            </w:r>
            <w:bookmarkEnd w:id="5"/>
          </w:p>
        </w:tc>
        <w:tc>
          <w:tcPr>
            <w:tcW w:w="2835" w:type="dxa"/>
            <w:tcBorders>
              <w:top w:val="nil"/>
              <w:left w:val="nil"/>
              <w:bottom w:val="single" w:sz="4" w:space="0" w:color="auto"/>
              <w:right w:val="single" w:sz="4" w:space="0" w:color="auto"/>
            </w:tcBorders>
            <w:vAlign w:val="center"/>
          </w:tcPr>
          <w:p w14:paraId="34B030A6" w14:textId="3D6134EC"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0A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0A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A9" w14:textId="6B2FB29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A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28 February of the year following the reference period</w:t>
            </w:r>
          </w:p>
        </w:tc>
      </w:tr>
      <w:tr w:rsidR="004E75B9" w:rsidRPr="004E75B9" w14:paraId="34B030BD" w14:textId="77777777" w:rsidTr="00481406">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76169977" w:rsidR="00471EE4" w:rsidRPr="004E75B9" w:rsidRDefault="00EE63E1" w:rsidP="00471EE4">
            <w:pPr>
              <w:jc w:val="center"/>
              <w:rPr>
                <w:rFonts w:ascii="Arial" w:hAnsi="Arial" w:cs="Arial"/>
                <w:sz w:val="20"/>
                <w:lang w:val="en-GB"/>
              </w:rPr>
            </w:pPr>
            <w:r w:rsidRPr="004E75B9">
              <w:rPr>
                <w:rFonts w:ascii="Arial" w:hAnsi="Arial" w:cs="Arial"/>
                <w:sz w:val="20"/>
                <w:lang w:val="en-GB"/>
              </w:rPr>
              <w:t>83</w:t>
            </w:r>
          </w:p>
        </w:tc>
        <w:tc>
          <w:tcPr>
            <w:tcW w:w="1418" w:type="dxa"/>
            <w:tcBorders>
              <w:top w:val="nil"/>
              <w:left w:val="single" w:sz="4" w:space="0" w:color="auto"/>
              <w:bottom w:val="single" w:sz="4" w:space="0" w:color="auto"/>
              <w:right w:val="single" w:sz="4" w:space="0" w:color="auto"/>
            </w:tcBorders>
            <w:vAlign w:val="center"/>
          </w:tcPr>
          <w:p w14:paraId="34B030B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P46</w:t>
            </w:r>
          </w:p>
        </w:tc>
        <w:tc>
          <w:tcPr>
            <w:tcW w:w="2598" w:type="dxa"/>
            <w:tcBorders>
              <w:top w:val="nil"/>
              <w:left w:val="nil"/>
              <w:bottom w:val="single" w:sz="4" w:space="0" w:color="auto"/>
              <w:right w:val="single" w:sz="4" w:space="0" w:color="auto"/>
            </w:tcBorders>
            <w:vAlign w:val="center"/>
          </w:tcPr>
          <w:p w14:paraId="34B030B7" w14:textId="55382011" w:rsidR="00471EE4" w:rsidRPr="004E75B9" w:rsidRDefault="00471EE4" w:rsidP="00471EE4">
            <w:pPr>
              <w:rPr>
                <w:rFonts w:ascii="Arial" w:hAnsi="Arial" w:cs="Arial"/>
                <w:sz w:val="20"/>
                <w:lang w:val="en-GB"/>
              </w:rPr>
            </w:pPr>
            <w:r w:rsidRPr="004E75B9">
              <w:rPr>
                <w:rFonts w:ascii="Arial" w:hAnsi="Arial" w:cs="Arial"/>
                <w:sz w:val="20"/>
                <w:lang w:val="en-GB"/>
              </w:rPr>
              <w:t>Data supply on purchases by mobile phone</w:t>
            </w:r>
          </w:p>
        </w:tc>
        <w:tc>
          <w:tcPr>
            <w:tcW w:w="2835" w:type="dxa"/>
            <w:tcBorders>
              <w:top w:val="nil"/>
              <w:left w:val="nil"/>
              <w:bottom w:val="single" w:sz="4" w:space="0" w:color="auto"/>
              <w:right w:val="single" w:sz="4" w:space="0" w:color="auto"/>
            </w:tcBorders>
            <w:vAlign w:val="center"/>
          </w:tcPr>
          <w:p w14:paraId="34B030B8" w14:textId="77777777" w:rsidR="00471EE4" w:rsidRPr="004E75B9" w:rsidRDefault="00471EE4" w:rsidP="00471EE4">
            <w:pPr>
              <w:rPr>
                <w:rFonts w:ascii="Arial" w:hAnsi="Arial" w:cs="Arial"/>
                <w:sz w:val="20"/>
                <w:lang w:val="en-GB"/>
              </w:rPr>
            </w:pPr>
            <w:r w:rsidRPr="004E75B9">
              <w:rPr>
                <w:rFonts w:ascii="Arial" w:hAnsi="Arial" w:cs="Arial"/>
                <w:sz w:val="20"/>
                <w:lang w:val="en-GB"/>
              </w:rPr>
              <w:t>mobile phone service providers</w:t>
            </w:r>
          </w:p>
        </w:tc>
        <w:tc>
          <w:tcPr>
            <w:tcW w:w="1701" w:type="dxa"/>
            <w:tcBorders>
              <w:top w:val="nil"/>
              <w:left w:val="nil"/>
              <w:bottom w:val="single" w:sz="4" w:space="0" w:color="auto"/>
              <w:right w:val="single" w:sz="4" w:space="0" w:color="auto"/>
            </w:tcBorders>
            <w:vAlign w:val="center"/>
          </w:tcPr>
          <w:p w14:paraId="34B030B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B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BB" w14:textId="17CB9D25"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B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30C6" w14:textId="77777777" w:rsidTr="00481406">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5C0A6064" w:rsidR="00471EE4" w:rsidRPr="004E75B9" w:rsidRDefault="00EE63E1" w:rsidP="00471EE4">
            <w:pPr>
              <w:jc w:val="center"/>
              <w:rPr>
                <w:rFonts w:ascii="Arial" w:hAnsi="Arial" w:cs="Arial"/>
                <w:sz w:val="20"/>
                <w:lang w:val="en-GB"/>
              </w:rPr>
            </w:pPr>
            <w:r w:rsidRPr="004E75B9">
              <w:rPr>
                <w:rFonts w:ascii="Arial" w:hAnsi="Arial" w:cs="Arial"/>
                <w:sz w:val="20"/>
                <w:lang w:val="en-GB"/>
              </w:rPr>
              <w:t>84</w:t>
            </w:r>
          </w:p>
        </w:tc>
        <w:tc>
          <w:tcPr>
            <w:tcW w:w="1418" w:type="dxa"/>
            <w:tcBorders>
              <w:top w:val="nil"/>
              <w:left w:val="single" w:sz="4" w:space="0" w:color="auto"/>
              <w:bottom w:val="single" w:sz="4" w:space="0" w:color="auto"/>
              <w:right w:val="single" w:sz="4" w:space="0" w:color="auto"/>
            </w:tcBorders>
            <w:vAlign w:val="center"/>
          </w:tcPr>
          <w:p w14:paraId="34B030B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P47</w:t>
            </w:r>
          </w:p>
        </w:tc>
        <w:tc>
          <w:tcPr>
            <w:tcW w:w="2598" w:type="dxa"/>
            <w:tcBorders>
              <w:top w:val="nil"/>
              <w:left w:val="nil"/>
              <w:bottom w:val="single" w:sz="4" w:space="0" w:color="auto"/>
              <w:right w:val="single" w:sz="4" w:space="0" w:color="auto"/>
            </w:tcBorders>
            <w:vAlign w:val="center"/>
          </w:tcPr>
          <w:p w14:paraId="34B030C0" w14:textId="65332050" w:rsidR="00471EE4" w:rsidRPr="004E75B9" w:rsidRDefault="00471EE4" w:rsidP="00471EE4">
            <w:pPr>
              <w:rPr>
                <w:rFonts w:ascii="Arial" w:hAnsi="Arial" w:cs="Arial"/>
                <w:sz w:val="20"/>
                <w:lang w:val="en-GB"/>
              </w:rPr>
            </w:pPr>
            <w:r w:rsidRPr="004E75B9">
              <w:rPr>
                <w:rFonts w:ascii="Arial" w:hAnsi="Arial" w:cs="Arial"/>
                <w:sz w:val="20"/>
                <w:lang w:val="en-GB"/>
              </w:rPr>
              <w:t>Postal payment turnover</w:t>
            </w:r>
          </w:p>
        </w:tc>
        <w:tc>
          <w:tcPr>
            <w:tcW w:w="2835" w:type="dxa"/>
            <w:tcBorders>
              <w:top w:val="nil"/>
              <w:left w:val="nil"/>
              <w:bottom w:val="single" w:sz="4" w:space="0" w:color="auto"/>
              <w:right w:val="single" w:sz="4" w:space="0" w:color="auto"/>
            </w:tcBorders>
            <w:vAlign w:val="center"/>
          </w:tcPr>
          <w:p w14:paraId="34B030C1" w14:textId="756B8BBB" w:rsidR="00471EE4" w:rsidRPr="004E75B9" w:rsidRDefault="00471EE4" w:rsidP="00471EE4">
            <w:pPr>
              <w:rPr>
                <w:rFonts w:ascii="Arial" w:hAnsi="Arial" w:cs="Arial"/>
                <w:sz w:val="20"/>
                <w:lang w:val="en-GB"/>
              </w:rPr>
            </w:pPr>
            <w:r w:rsidRPr="004E75B9">
              <w:rPr>
                <w:rFonts w:ascii="Arial" w:hAnsi="Arial" w:cs="Arial"/>
                <w:sz w:val="20"/>
                <w:lang w:val="en-GB"/>
              </w:rPr>
              <w:t xml:space="preserve">the institution operating the Postal Clearing House  </w:t>
            </w:r>
          </w:p>
        </w:tc>
        <w:tc>
          <w:tcPr>
            <w:tcW w:w="1701" w:type="dxa"/>
            <w:tcBorders>
              <w:top w:val="nil"/>
              <w:left w:val="nil"/>
              <w:bottom w:val="single" w:sz="4" w:space="0" w:color="auto"/>
              <w:right w:val="single" w:sz="4" w:space="0" w:color="auto"/>
            </w:tcBorders>
            <w:vAlign w:val="center"/>
          </w:tcPr>
          <w:p w14:paraId="34B030C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C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C4" w14:textId="7088AF8C"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C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30CF"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520C767" w:rsidR="00471EE4" w:rsidRPr="004E75B9" w:rsidRDefault="00EE63E1" w:rsidP="00471EE4">
            <w:pPr>
              <w:jc w:val="center"/>
              <w:rPr>
                <w:rFonts w:ascii="Arial" w:hAnsi="Arial" w:cs="Arial"/>
                <w:sz w:val="20"/>
                <w:lang w:val="en-GB"/>
              </w:rPr>
            </w:pPr>
            <w:r w:rsidRPr="004E75B9">
              <w:rPr>
                <w:rFonts w:ascii="Arial" w:hAnsi="Arial" w:cs="Arial"/>
                <w:sz w:val="20"/>
                <w:lang w:val="en-GB"/>
              </w:rPr>
              <w:t>85</w:t>
            </w:r>
          </w:p>
        </w:tc>
        <w:tc>
          <w:tcPr>
            <w:tcW w:w="1418" w:type="dxa"/>
            <w:tcBorders>
              <w:top w:val="nil"/>
              <w:left w:val="single" w:sz="4" w:space="0" w:color="auto"/>
              <w:bottom w:val="single" w:sz="4" w:space="0" w:color="auto"/>
              <w:right w:val="single" w:sz="4" w:space="0" w:color="auto"/>
            </w:tcBorders>
            <w:vAlign w:val="center"/>
          </w:tcPr>
          <w:p w14:paraId="34B030C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P48</w:t>
            </w:r>
          </w:p>
        </w:tc>
        <w:tc>
          <w:tcPr>
            <w:tcW w:w="2598" w:type="dxa"/>
            <w:tcBorders>
              <w:top w:val="nil"/>
              <w:left w:val="nil"/>
              <w:bottom w:val="single" w:sz="4" w:space="0" w:color="auto"/>
              <w:right w:val="single" w:sz="4" w:space="0" w:color="auto"/>
            </w:tcBorders>
            <w:vAlign w:val="center"/>
          </w:tcPr>
          <w:p w14:paraId="34B030C9" w14:textId="39DC69A3" w:rsidR="00471EE4" w:rsidRPr="004E75B9" w:rsidRDefault="00471EE4" w:rsidP="00471EE4">
            <w:pPr>
              <w:rPr>
                <w:rFonts w:ascii="Arial" w:hAnsi="Arial" w:cs="Arial"/>
                <w:sz w:val="20"/>
                <w:lang w:val="en-GB"/>
              </w:rPr>
            </w:pPr>
            <w:r w:rsidRPr="004E75B9">
              <w:rPr>
                <w:rFonts w:ascii="Arial" w:hAnsi="Arial" w:cs="Arial"/>
                <w:sz w:val="20"/>
                <w:lang w:val="en-GB"/>
              </w:rPr>
              <w:t>Cash transfer turnover</w:t>
            </w:r>
          </w:p>
        </w:tc>
        <w:tc>
          <w:tcPr>
            <w:tcW w:w="2835" w:type="dxa"/>
            <w:tcBorders>
              <w:top w:val="nil"/>
              <w:left w:val="nil"/>
              <w:bottom w:val="single" w:sz="4" w:space="0" w:color="auto"/>
              <w:right w:val="single" w:sz="4" w:space="0" w:color="auto"/>
            </w:tcBorders>
            <w:vAlign w:val="center"/>
          </w:tcPr>
          <w:p w14:paraId="34B030CA" w14:textId="64F132DE"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connected directly to the money transfer system, the Hungarian intermediary of non-resident institutions providing cash transfer as cross-border services</w:t>
            </w:r>
          </w:p>
        </w:tc>
        <w:tc>
          <w:tcPr>
            <w:tcW w:w="1701" w:type="dxa"/>
            <w:tcBorders>
              <w:top w:val="nil"/>
              <w:left w:val="nil"/>
              <w:bottom w:val="single" w:sz="4" w:space="0" w:color="auto"/>
              <w:right w:val="single" w:sz="4" w:space="0" w:color="auto"/>
            </w:tcBorders>
            <w:vAlign w:val="center"/>
          </w:tcPr>
          <w:p w14:paraId="34B030C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C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CD" w14:textId="3CBBD6E9"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C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last working day of the month following the reference period</w:t>
            </w:r>
          </w:p>
        </w:tc>
      </w:tr>
      <w:tr w:rsidR="004E75B9" w:rsidRPr="004E75B9" w14:paraId="34B030D8" w14:textId="77777777" w:rsidTr="00481406">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258E838D" w:rsidR="00471EE4" w:rsidRPr="004E75B9" w:rsidRDefault="00EE63E1" w:rsidP="00471EE4">
            <w:pPr>
              <w:jc w:val="center"/>
              <w:rPr>
                <w:rFonts w:ascii="Arial" w:hAnsi="Arial" w:cs="Arial"/>
                <w:sz w:val="20"/>
                <w:lang w:val="en-GB"/>
              </w:rPr>
            </w:pPr>
            <w:r w:rsidRPr="004E75B9">
              <w:rPr>
                <w:rFonts w:ascii="Arial" w:hAnsi="Arial" w:cs="Arial"/>
                <w:sz w:val="20"/>
                <w:lang w:val="en-GB"/>
              </w:rPr>
              <w:t>86</w:t>
            </w:r>
          </w:p>
        </w:tc>
        <w:tc>
          <w:tcPr>
            <w:tcW w:w="1418" w:type="dxa"/>
            <w:tcBorders>
              <w:top w:val="nil"/>
              <w:left w:val="single" w:sz="4" w:space="0" w:color="auto"/>
              <w:bottom w:val="single" w:sz="4" w:space="0" w:color="auto"/>
              <w:right w:val="single" w:sz="4" w:space="0" w:color="auto"/>
            </w:tcBorders>
            <w:vAlign w:val="center"/>
          </w:tcPr>
          <w:p w14:paraId="34B030D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P49</w:t>
            </w:r>
          </w:p>
        </w:tc>
        <w:tc>
          <w:tcPr>
            <w:tcW w:w="2598" w:type="dxa"/>
            <w:tcBorders>
              <w:top w:val="nil"/>
              <w:left w:val="nil"/>
              <w:bottom w:val="single" w:sz="4" w:space="0" w:color="auto"/>
              <w:right w:val="single" w:sz="4" w:space="0" w:color="auto"/>
            </w:tcBorders>
            <w:vAlign w:val="center"/>
          </w:tcPr>
          <w:p w14:paraId="34B030D2" w14:textId="77777777" w:rsidR="00471EE4" w:rsidRPr="004E75B9" w:rsidRDefault="00471EE4" w:rsidP="00471EE4">
            <w:pPr>
              <w:rPr>
                <w:rFonts w:ascii="Arial" w:hAnsi="Arial" w:cs="Arial"/>
                <w:sz w:val="20"/>
                <w:lang w:val="en-GB"/>
              </w:rPr>
            </w:pPr>
            <w:r w:rsidRPr="004E75B9">
              <w:rPr>
                <w:rFonts w:ascii="Arial" w:hAnsi="Arial" w:cs="Arial"/>
                <w:sz w:val="20"/>
                <w:lang w:val="en-GB"/>
              </w:rPr>
              <w:t>Central counterparty statistics</w:t>
            </w:r>
          </w:p>
        </w:tc>
        <w:tc>
          <w:tcPr>
            <w:tcW w:w="2835" w:type="dxa"/>
            <w:tcBorders>
              <w:top w:val="nil"/>
              <w:left w:val="nil"/>
              <w:bottom w:val="single" w:sz="4" w:space="0" w:color="auto"/>
              <w:right w:val="single" w:sz="4" w:space="0" w:color="auto"/>
            </w:tcBorders>
            <w:vAlign w:val="center"/>
          </w:tcPr>
          <w:p w14:paraId="34B030D3" w14:textId="01B14EE0" w:rsidR="00471EE4" w:rsidRPr="004E75B9" w:rsidRDefault="00471EE4" w:rsidP="00471EE4">
            <w:pPr>
              <w:rPr>
                <w:rFonts w:ascii="Arial" w:hAnsi="Arial" w:cs="Arial"/>
                <w:sz w:val="20"/>
                <w:lang w:val="en-GB"/>
              </w:rPr>
            </w:pPr>
            <w:r w:rsidRPr="004E75B9">
              <w:rPr>
                <w:rFonts w:ascii="Arial" w:hAnsi="Arial" w:cs="Arial"/>
                <w:sz w:val="20"/>
                <w:lang w:val="en-GB"/>
              </w:rPr>
              <w:t xml:space="preserve">central counterparty, institutions performing the settlement of transaction guaranteed by the central counterparty, institutions performing central depository activities, and EEA branches of this type </w:t>
            </w:r>
          </w:p>
        </w:tc>
        <w:tc>
          <w:tcPr>
            <w:tcW w:w="1701" w:type="dxa"/>
            <w:tcBorders>
              <w:top w:val="nil"/>
              <w:left w:val="nil"/>
              <w:bottom w:val="single" w:sz="4" w:space="0" w:color="auto"/>
              <w:right w:val="single" w:sz="4" w:space="0" w:color="auto"/>
            </w:tcBorders>
            <w:vAlign w:val="center"/>
          </w:tcPr>
          <w:p w14:paraId="34B030D4" w14:textId="0A2BA917" w:rsidR="00471EE4" w:rsidRPr="004E75B9" w:rsidRDefault="00471EE4" w:rsidP="00471EE4">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0D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D6" w14:textId="7D4EA5E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D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28 February of the year following the reference period</w:t>
            </w:r>
          </w:p>
        </w:tc>
      </w:tr>
      <w:tr w:rsidR="004E75B9" w:rsidRPr="004E75B9" w14:paraId="34B030E1" w14:textId="77777777" w:rsidTr="00481406">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6759767C" w:rsidR="00471EE4" w:rsidRPr="004E75B9" w:rsidRDefault="00EE63E1" w:rsidP="00471EE4">
            <w:pPr>
              <w:jc w:val="center"/>
              <w:rPr>
                <w:rFonts w:ascii="Arial" w:hAnsi="Arial" w:cs="Arial"/>
                <w:sz w:val="20"/>
                <w:lang w:val="en-GB"/>
              </w:rPr>
            </w:pPr>
            <w:r w:rsidRPr="004E75B9">
              <w:rPr>
                <w:rFonts w:ascii="Arial" w:hAnsi="Arial" w:cs="Arial"/>
                <w:sz w:val="20"/>
                <w:lang w:val="en-GB"/>
              </w:rPr>
              <w:t>87</w:t>
            </w:r>
          </w:p>
        </w:tc>
        <w:tc>
          <w:tcPr>
            <w:tcW w:w="1418" w:type="dxa"/>
            <w:tcBorders>
              <w:top w:val="nil"/>
              <w:left w:val="single" w:sz="4" w:space="0" w:color="auto"/>
              <w:bottom w:val="single" w:sz="4" w:space="0" w:color="auto"/>
              <w:right w:val="single" w:sz="4" w:space="0" w:color="auto"/>
            </w:tcBorders>
            <w:vAlign w:val="center"/>
          </w:tcPr>
          <w:p w14:paraId="34B030D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P50</w:t>
            </w:r>
          </w:p>
        </w:tc>
        <w:tc>
          <w:tcPr>
            <w:tcW w:w="2598" w:type="dxa"/>
            <w:tcBorders>
              <w:top w:val="nil"/>
              <w:left w:val="nil"/>
              <w:bottom w:val="single" w:sz="4" w:space="0" w:color="auto"/>
              <w:right w:val="single" w:sz="4" w:space="0" w:color="auto"/>
            </w:tcBorders>
            <w:vAlign w:val="center"/>
          </w:tcPr>
          <w:p w14:paraId="34B030DB" w14:textId="77777777" w:rsidR="00471EE4" w:rsidRPr="004E75B9" w:rsidRDefault="00471EE4" w:rsidP="00471EE4">
            <w:pPr>
              <w:rPr>
                <w:rFonts w:ascii="Arial" w:hAnsi="Arial" w:cs="Arial"/>
                <w:sz w:val="20"/>
                <w:lang w:val="en-GB"/>
              </w:rPr>
            </w:pPr>
            <w:r w:rsidRPr="004E75B9">
              <w:rPr>
                <w:rFonts w:ascii="Arial" w:hAnsi="Arial" w:cs="Arial"/>
                <w:sz w:val="20"/>
                <w:lang w:val="en-GB"/>
              </w:rPr>
              <w:t>Other information related to cash processing activities</w:t>
            </w:r>
          </w:p>
        </w:tc>
        <w:tc>
          <w:tcPr>
            <w:tcW w:w="2835" w:type="dxa"/>
            <w:tcBorders>
              <w:top w:val="nil"/>
              <w:left w:val="nil"/>
              <w:bottom w:val="single" w:sz="4" w:space="0" w:color="auto"/>
              <w:right w:val="single" w:sz="4" w:space="0" w:color="auto"/>
            </w:tcBorders>
            <w:vAlign w:val="center"/>
          </w:tcPr>
          <w:p w14:paraId="34B030DC" w14:textId="578E230A" w:rsidR="00471EE4" w:rsidRPr="004E75B9" w:rsidRDefault="00471EE4" w:rsidP="00471E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lang w:val="en-GB"/>
              </w:rPr>
            </w:pPr>
            <w:r w:rsidRPr="004E75B9">
              <w:rPr>
                <w:rFonts w:ascii="Arial" w:hAnsi="Arial" w:cs="Arial"/>
                <w:sz w:val="20"/>
                <w:lang w:val="en-GB"/>
              </w:rPr>
              <w:t>Institutions licensed to perform cash processing activities and designated credit institutions</w:t>
            </w:r>
          </w:p>
        </w:tc>
        <w:tc>
          <w:tcPr>
            <w:tcW w:w="1701" w:type="dxa"/>
            <w:tcBorders>
              <w:top w:val="nil"/>
              <w:left w:val="nil"/>
              <w:bottom w:val="single" w:sz="4" w:space="0" w:color="auto"/>
              <w:right w:val="single" w:sz="4" w:space="0" w:color="auto"/>
            </w:tcBorders>
            <w:vAlign w:val="center"/>
          </w:tcPr>
          <w:p w14:paraId="34B030D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0D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DF" w14:textId="604DD21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E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31 January of the year following the reference period</w:t>
            </w:r>
          </w:p>
        </w:tc>
      </w:tr>
      <w:tr w:rsidR="004E75B9" w:rsidRPr="004E75B9" w14:paraId="34B030EB" w14:textId="77777777" w:rsidTr="00481406">
        <w:trPr>
          <w:cantSplit/>
          <w:trHeight w:val="1279"/>
          <w:jc w:val="center"/>
        </w:trPr>
        <w:tc>
          <w:tcPr>
            <w:tcW w:w="704" w:type="dxa"/>
            <w:tcBorders>
              <w:top w:val="nil"/>
              <w:left w:val="single" w:sz="4" w:space="0" w:color="auto"/>
              <w:bottom w:val="single" w:sz="4" w:space="0" w:color="auto"/>
              <w:right w:val="single" w:sz="4" w:space="0" w:color="auto"/>
            </w:tcBorders>
            <w:vAlign w:val="center"/>
          </w:tcPr>
          <w:p w14:paraId="34B030E2" w14:textId="6E237113"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88</w:t>
            </w:r>
          </w:p>
        </w:tc>
        <w:tc>
          <w:tcPr>
            <w:tcW w:w="1418" w:type="dxa"/>
            <w:tcBorders>
              <w:top w:val="nil"/>
              <w:left w:val="single" w:sz="4" w:space="0" w:color="auto"/>
              <w:bottom w:val="single" w:sz="4" w:space="0" w:color="auto"/>
              <w:right w:val="single" w:sz="4" w:space="0" w:color="auto"/>
            </w:tcBorders>
            <w:vAlign w:val="center"/>
          </w:tcPr>
          <w:p w14:paraId="34B030E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P51</w:t>
            </w:r>
          </w:p>
        </w:tc>
        <w:tc>
          <w:tcPr>
            <w:tcW w:w="2598" w:type="dxa"/>
            <w:tcBorders>
              <w:top w:val="nil"/>
              <w:left w:val="nil"/>
              <w:bottom w:val="single" w:sz="4" w:space="0" w:color="auto"/>
              <w:right w:val="single" w:sz="4" w:space="0" w:color="auto"/>
            </w:tcBorders>
            <w:vAlign w:val="center"/>
          </w:tcPr>
          <w:p w14:paraId="34B030E4" w14:textId="4802964C" w:rsidR="00471EE4" w:rsidRPr="004E75B9" w:rsidRDefault="00471EE4" w:rsidP="00471EE4">
            <w:pPr>
              <w:rPr>
                <w:rFonts w:ascii="Arial" w:hAnsi="Arial" w:cs="Arial"/>
                <w:sz w:val="20"/>
                <w:lang w:val="en-GB"/>
              </w:rPr>
            </w:pPr>
            <w:r w:rsidRPr="004E75B9">
              <w:rPr>
                <w:rFonts w:ascii="Arial" w:hAnsi="Arial" w:cs="Arial"/>
                <w:sz w:val="20"/>
                <w:lang w:val="en-GB"/>
              </w:rPr>
              <w:t>Daily report on foreign currency turnover</w:t>
            </w:r>
          </w:p>
        </w:tc>
        <w:tc>
          <w:tcPr>
            <w:tcW w:w="2835" w:type="dxa"/>
            <w:tcBorders>
              <w:top w:val="nil"/>
              <w:left w:val="nil"/>
              <w:bottom w:val="single" w:sz="4" w:space="0" w:color="auto"/>
              <w:right w:val="single" w:sz="4" w:space="0" w:color="auto"/>
            </w:tcBorders>
            <w:vAlign w:val="center"/>
          </w:tcPr>
          <w:p w14:paraId="34B030E5" w14:textId="264CC242" w:rsidR="00471EE4" w:rsidRPr="004E75B9" w:rsidRDefault="00471EE4" w:rsidP="00471E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lang w:val="en-GB"/>
              </w:rPr>
            </w:pPr>
            <w:r w:rsidRPr="004E75B9">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34B030E6" w14:textId="69C534AB" w:rsidR="00471EE4" w:rsidRPr="004E75B9" w:rsidRDefault="003B44A0"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0E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E8" w14:textId="1AB63AF6"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EA" w14:textId="3E35236C" w:rsidR="00471EE4" w:rsidRPr="004E75B9" w:rsidRDefault="00471EE4" w:rsidP="00471EE4">
            <w:pPr>
              <w:jc w:val="center"/>
              <w:rPr>
                <w:rFonts w:ascii="Arial" w:hAnsi="Arial" w:cs="Arial"/>
                <w:sz w:val="20"/>
                <w:lang w:val="en-GB"/>
              </w:rPr>
            </w:pPr>
            <w:r w:rsidRPr="004E75B9">
              <w:rPr>
                <w:rFonts w:ascii="Arial" w:hAnsi="Arial" w:cs="Arial"/>
                <w:sz w:val="20"/>
                <w:lang w:val="en-GB"/>
              </w:rPr>
              <w:t>8 a.m. on the 2nd working day following reference day</w:t>
            </w:r>
          </w:p>
        </w:tc>
      </w:tr>
      <w:tr w:rsidR="004E75B9" w:rsidRPr="004E75B9" w14:paraId="34B030F4" w14:textId="77777777" w:rsidTr="00481406">
        <w:trPr>
          <w:cantSplit/>
          <w:trHeight w:val="589"/>
          <w:jc w:val="center"/>
        </w:trPr>
        <w:tc>
          <w:tcPr>
            <w:tcW w:w="704" w:type="dxa"/>
            <w:tcBorders>
              <w:top w:val="nil"/>
              <w:left w:val="single" w:sz="4" w:space="0" w:color="auto"/>
              <w:bottom w:val="single" w:sz="4" w:space="0" w:color="auto"/>
              <w:right w:val="single" w:sz="4" w:space="0" w:color="auto"/>
            </w:tcBorders>
            <w:vAlign w:val="center"/>
          </w:tcPr>
          <w:p w14:paraId="34B030EC" w14:textId="4A41AA2D" w:rsidR="00471EE4" w:rsidRPr="004E75B9" w:rsidRDefault="00471EE4" w:rsidP="00471EE4">
            <w:pPr>
              <w:jc w:val="center"/>
              <w:rPr>
                <w:rFonts w:ascii="Arial" w:hAnsi="Arial" w:cs="Arial"/>
                <w:sz w:val="20"/>
                <w:lang w:val="en-GB"/>
              </w:rPr>
            </w:pPr>
          </w:p>
        </w:tc>
        <w:tc>
          <w:tcPr>
            <w:tcW w:w="1418" w:type="dxa"/>
            <w:tcBorders>
              <w:top w:val="nil"/>
              <w:left w:val="single" w:sz="4" w:space="0" w:color="auto"/>
              <w:bottom w:val="single" w:sz="4" w:space="0" w:color="auto"/>
              <w:right w:val="single" w:sz="4" w:space="0" w:color="auto"/>
            </w:tcBorders>
            <w:vAlign w:val="center"/>
          </w:tcPr>
          <w:p w14:paraId="34B030ED" w14:textId="542A4DE6" w:rsidR="00471EE4" w:rsidRPr="004E75B9" w:rsidRDefault="00471EE4" w:rsidP="00471EE4">
            <w:pPr>
              <w:jc w:val="center"/>
              <w:rPr>
                <w:rFonts w:ascii="Arial" w:hAnsi="Arial" w:cs="Arial"/>
                <w:sz w:val="20"/>
                <w:lang w:val="en-GB"/>
              </w:rPr>
            </w:pPr>
          </w:p>
        </w:tc>
        <w:tc>
          <w:tcPr>
            <w:tcW w:w="2598" w:type="dxa"/>
            <w:tcBorders>
              <w:top w:val="nil"/>
              <w:left w:val="nil"/>
              <w:bottom w:val="single" w:sz="4" w:space="0" w:color="auto"/>
              <w:right w:val="single" w:sz="4" w:space="0" w:color="auto"/>
            </w:tcBorders>
            <w:vAlign w:val="center"/>
          </w:tcPr>
          <w:p w14:paraId="34B030EE" w14:textId="445EF67E" w:rsidR="00471EE4" w:rsidRPr="004E75B9" w:rsidRDefault="00471EE4" w:rsidP="00471EE4">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34B030EF" w14:textId="0A231D5D" w:rsidR="00471EE4" w:rsidRPr="004E75B9" w:rsidRDefault="00471EE4" w:rsidP="00471EE4">
            <w:pPr>
              <w:rPr>
                <w:rFonts w:ascii="Arial" w:hAnsi="Arial" w:cs="Arial"/>
                <w:sz w:val="20"/>
                <w:lang w:val="en-GB"/>
              </w:rPr>
            </w:pPr>
          </w:p>
        </w:tc>
        <w:tc>
          <w:tcPr>
            <w:tcW w:w="1701" w:type="dxa"/>
            <w:tcBorders>
              <w:top w:val="nil"/>
              <w:left w:val="nil"/>
              <w:bottom w:val="single" w:sz="4" w:space="0" w:color="auto"/>
              <w:right w:val="single" w:sz="4" w:space="0" w:color="auto"/>
            </w:tcBorders>
            <w:vAlign w:val="center"/>
          </w:tcPr>
          <w:p w14:paraId="34B030F0" w14:textId="002A273F" w:rsidR="00471EE4" w:rsidRPr="004E75B9" w:rsidRDefault="00471EE4" w:rsidP="00471EE4">
            <w:pPr>
              <w:jc w:val="center"/>
              <w:rPr>
                <w:rFonts w:ascii="Arial" w:hAnsi="Arial" w:cs="Arial"/>
                <w:sz w:val="20"/>
                <w:lang w:val="en-GB"/>
              </w:rPr>
            </w:pPr>
          </w:p>
        </w:tc>
        <w:tc>
          <w:tcPr>
            <w:tcW w:w="1796" w:type="dxa"/>
            <w:tcBorders>
              <w:top w:val="nil"/>
              <w:left w:val="nil"/>
              <w:bottom w:val="single" w:sz="4" w:space="0" w:color="auto"/>
              <w:right w:val="single" w:sz="4" w:space="0" w:color="auto"/>
            </w:tcBorders>
            <w:vAlign w:val="center"/>
          </w:tcPr>
          <w:p w14:paraId="34B030F2" w14:textId="190DB5EE" w:rsidR="00471EE4" w:rsidRPr="004E75B9" w:rsidRDefault="00471EE4" w:rsidP="00471EE4">
            <w:pPr>
              <w:jc w:val="center"/>
              <w:rPr>
                <w:rFonts w:ascii="Arial" w:hAnsi="Arial" w:cs="Arial"/>
                <w:sz w:val="20"/>
                <w:lang w:val="en-GB"/>
              </w:rPr>
            </w:pPr>
          </w:p>
        </w:tc>
        <w:tc>
          <w:tcPr>
            <w:tcW w:w="3402" w:type="dxa"/>
            <w:tcBorders>
              <w:top w:val="nil"/>
              <w:left w:val="nil"/>
              <w:bottom w:val="single" w:sz="4" w:space="0" w:color="auto"/>
              <w:right w:val="single" w:sz="4" w:space="0" w:color="auto"/>
            </w:tcBorders>
            <w:vAlign w:val="center"/>
          </w:tcPr>
          <w:p w14:paraId="34B030F3" w14:textId="6C3040AD" w:rsidR="00471EE4" w:rsidRPr="004E75B9" w:rsidRDefault="00471EE4" w:rsidP="00471EE4">
            <w:pPr>
              <w:jc w:val="center"/>
              <w:rPr>
                <w:rFonts w:ascii="Arial" w:hAnsi="Arial" w:cs="Arial"/>
                <w:sz w:val="20"/>
                <w:lang w:val="en-GB"/>
              </w:rPr>
            </w:pPr>
          </w:p>
        </w:tc>
      </w:tr>
      <w:tr w:rsidR="004E75B9" w:rsidRPr="004E75B9" w14:paraId="34B030FD" w14:textId="77777777" w:rsidTr="00481406">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3A864B5F" w:rsidR="00471EE4" w:rsidRPr="004E75B9" w:rsidDel="00443104" w:rsidRDefault="00EE63E1" w:rsidP="00471EE4">
            <w:pPr>
              <w:jc w:val="center"/>
              <w:rPr>
                <w:rFonts w:ascii="Arial" w:hAnsi="Arial" w:cs="Arial"/>
                <w:sz w:val="20"/>
                <w:lang w:val="en-GB"/>
              </w:rPr>
            </w:pPr>
            <w:r w:rsidRPr="004E75B9">
              <w:rPr>
                <w:rFonts w:ascii="Arial" w:hAnsi="Arial" w:cs="Arial"/>
                <w:sz w:val="20"/>
                <w:lang w:val="en-GB"/>
              </w:rPr>
              <w:t>90</w:t>
            </w:r>
          </w:p>
        </w:tc>
        <w:tc>
          <w:tcPr>
            <w:tcW w:w="1418" w:type="dxa"/>
            <w:tcBorders>
              <w:top w:val="nil"/>
              <w:left w:val="single" w:sz="4" w:space="0" w:color="auto"/>
              <w:bottom w:val="single" w:sz="4" w:space="0" w:color="auto"/>
              <w:right w:val="single" w:sz="4" w:space="0" w:color="auto"/>
            </w:tcBorders>
            <w:vAlign w:val="center"/>
          </w:tcPr>
          <w:p w14:paraId="34B030F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P54</w:t>
            </w:r>
          </w:p>
        </w:tc>
        <w:tc>
          <w:tcPr>
            <w:tcW w:w="2598" w:type="dxa"/>
            <w:tcBorders>
              <w:top w:val="nil"/>
              <w:left w:val="nil"/>
              <w:bottom w:val="single" w:sz="4" w:space="0" w:color="auto"/>
              <w:right w:val="single" w:sz="4" w:space="0" w:color="auto"/>
            </w:tcBorders>
            <w:vAlign w:val="center"/>
          </w:tcPr>
          <w:p w14:paraId="34B030F7" w14:textId="7444E1C7" w:rsidR="00471EE4" w:rsidRPr="004E75B9" w:rsidRDefault="00471EE4" w:rsidP="00471EE4">
            <w:pPr>
              <w:rPr>
                <w:rFonts w:ascii="Arial" w:hAnsi="Arial" w:cs="Arial"/>
                <w:sz w:val="20"/>
                <w:lang w:val="en-GB"/>
              </w:rPr>
            </w:pPr>
            <w:r w:rsidRPr="004E75B9">
              <w:rPr>
                <w:rFonts w:ascii="Arial" w:hAnsi="Arial" w:cs="Arial"/>
                <w:sz w:val="20"/>
                <w:lang w:val="en-GB"/>
              </w:rPr>
              <w:t>Report negotiable warrants issued</w:t>
            </w:r>
          </w:p>
        </w:tc>
        <w:tc>
          <w:tcPr>
            <w:tcW w:w="2835" w:type="dxa"/>
            <w:tcBorders>
              <w:top w:val="nil"/>
              <w:left w:val="nil"/>
              <w:bottom w:val="single" w:sz="4" w:space="0" w:color="auto"/>
              <w:right w:val="single" w:sz="4" w:space="0" w:color="auto"/>
            </w:tcBorders>
            <w:vAlign w:val="center"/>
          </w:tcPr>
          <w:p w14:paraId="34B030F8" w14:textId="563A21D5" w:rsidR="00471EE4" w:rsidRPr="004E75B9" w:rsidRDefault="00471EE4" w:rsidP="00471EE4">
            <w:pPr>
              <w:rPr>
                <w:rFonts w:ascii="Arial" w:hAnsi="Arial" w:cs="Arial"/>
                <w:sz w:val="20"/>
                <w:lang w:val="en-GB"/>
              </w:rPr>
            </w:pPr>
            <w:r w:rsidRPr="004E75B9">
              <w:rPr>
                <w:rFonts w:ascii="Arial" w:hAnsi="Arial" w:cs="Arial"/>
                <w:sz w:val="20"/>
                <w:lang w:val="en-GB"/>
              </w:rPr>
              <w:t>organisations issuing negotiable warrants as supplementary financial services</w:t>
            </w:r>
          </w:p>
        </w:tc>
        <w:tc>
          <w:tcPr>
            <w:tcW w:w="1701" w:type="dxa"/>
            <w:tcBorders>
              <w:top w:val="nil"/>
              <w:left w:val="nil"/>
              <w:bottom w:val="single" w:sz="4" w:space="0" w:color="auto"/>
              <w:right w:val="single" w:sz="4" w:space="0" w:color="auto"/>
            </w:tcBorders>
            <w:vAlign w:val="center"/>
          </w:tcPr>
          <w:p w14:paraId="34B030F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F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0FB" w14:textId="45E3226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FC" w14:textId="1CE8EC1A" w:rsidR="00471EE4" w:rsidRPr="004E75B9" w:rsidRDefault="00471EE4" w:rsidP="00471EE4">
            <w:pPr>
              <w:jc w:val="center"/>
              <w:rPr>
                <w:rFonts w:ascii="Arial" w:hAnsi="Arial" w:cs="Arial"/>
                <w:sz w:val="20"/>
                <w:lang w:val="en-GB"/>
              </w:rPr>
            </w:pPr>
            <w:r w:rsidRPr="004E75B9">
              <w:rPr>
                <w:rFonts w:ascii="Arial" w:hAnsi="Arial" w:cs="Arial"/>
                <w:sz w:val="20"/>
                <w:lang w:val="en-GB"/>
              </w:rPr>
              <w:t>20th working day of the month following the reference period</w:t>
            </w:r>
          </w:p>
        </w:tc>
      </w:tr>
      <w:tr w:rsidR="004E75B9" w:rsidRPr="004E75B9" w14:paraId="34B03110" w14:textId="77777777" w:rsidTr="00481406">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4D0645D7" w:rsidR="00471EE4" w:rsidRPr="004E75B9" w:rsidRDefault="00EE63E1" w:rsidP="00471EE4">
            <w:pPr>
              <w:jc w:val="center"/>
              <w:rPr>
                <w:rFonts w:ascii="Arial" w:hAnsi="Arial" w:cs="Arial"/>
                <w:sz w:val="20"/>
                <w:lang w:val="en-GB"/>
              </w:rPr>
            </w:pPr>
            <w:r w:rsidRPr="004E75B9">
              <w:rPr>
                <w:rFonts w:ascii="Arial" w:hAnsi="Arial" w:cs="Arial"/>
                <w:sz w:val="20"/>
                <w:lang w:val="en-GB"/>
              </w:rPr>
              <w:t>91</w:t>
            </w:r>
          </w:p>
        </w:tc>
        <w:tc>
          <w:tcPr>
            <w:tcW w:w="1418" w:type="dxa"/>
            <w:tcBorders>
              <w:top w:val="nil"/>
              <w:left w:val="single" w:sz="4" w:space="0" w:color="auto"/>
              <w:bottom w:val="single" w:sz="4" w:space="0" w:color="auto"/>
              <w:right w:val="single" w:sz="4" w:space="0" w:color="auto"/>
            </w:tcBorders>
            <w:vAlign w:val="center"/>
          </w:tcPr>
          <w:p w14:paraId="34B0310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P56</w:t>
            </w:r>
          </w:p>
        </w:tc>
        <w:tc>
          <w:tcPr>
            <w:tcW w:w="2598" w:type="dxa"/>
            <w:tcBorders>
              <w:top w:val="nil"/>
              <w:left w:val="nil"/>
              <w:bottom w:val="single" w:sz="4" w:space="0" w:color="auto"/>
              <w:right w:val="single" w:sz="4" w:space="0" w:color="auto"/>
            </w:tcBorders>
            <w:vAlign w:val="center"/>
          </w:tcPr>
          <w:p w14:paraId="34B0310A" w14:textId="5FE1EA1F" w:rsidR="00471EE4" w:rsidRPr="004E75B9" w:rsidRDefault="00471EE4" w:rsidP="00471EE4">
            <w:pPr>
              <w:rPr>
                <w:rFonts w:ascii="Arial" w:hAnsi="Arial" w:cs="Arial"/>
                <w:sz w:val="20"/>
                <w:lang w:val="en-GB"/>
              </w:rPr>
            </w:pPr>
            <w:r w:rsidRPr="004E75B9">
              <w:rPr>
                <w:rFonts w:ascii="Arial" w:hAnsi="Arial" w:cs="Arial"/>
                <w:sz w:val="20"/>
                <w:lang w:val="en-GB"/>
              </w:rPr>
              <w:t>Data related to network units performing payment turnover, the location of ATMs and the services provided</w:t>
            </w:r>
          </w:p>
        </w:tc>
        <w:tc>
          <w:tcPr>
            <w:tcW w:w="2835" w:type="dxa"/>
            <w:tcBorders>
              <w:top w:val="nil"/>
              <w:left w:val="nil"/>
              <w:bottom w:val="single" w:sz="4" w:space="0" w:color="auto"/>
              <w:right w:val="single" w:sz="4" w:space="0" w:color="auto"/>
            </w:tcBorders>
            <w:vAlign w:val="center"/>
          </w:tcPr>
          <w:p w14:paraId="34B0310B" w14:textId="251C9EAC" w:rsidR="00471EE4" w:rsidRPr="004E75B9" w:rsidRDefault="00471EE4" w:rsidP="00471EE4">
            <w:pPr>
              <w:rPr>
                <w:rFonts w:ascii="Arial" w:hAnsi="Arial" w:cs="Arial"/>
                <w:sz w:val="20"/>
                <w:lang w:val="en-GB"/>
              </w:rPr>
            </w:pPr>
            <w:r w:rsidRPr="004E75B9">
              <w:rPr>
                <w:rFonts w:ascii="Arial" w:hAnsi="Arial" w:cs="Arial"/>
                <w:sz w:val="20"/>
                <w:lang w:val="en-GB"/>
              </w:rPr>
              <w:t xml:space="preserve">credit institutions, other payment service providers issuing or accepting cash substitute payment instruments, EEA branches of this type, legal entities not qualifying as payment service provider, rendering ATM services directly </w:t>
            </w:r>
          </w:p>
        </w:tc>
        <w:tc>
          <w:tcPr>
            <w:tcW w:w="1701" w:type="dxa"/>
            <w:tcBorders>
              <w:top w:val="nil"/>
              <w:left w:val="nil"/>
              <w:bottom w:val="single" w:sz="4" w:space="0" w:color="auto"/>
              <w:right w:val="single" w:sz="4" w:space="0" w:color="auto"/>
            </w:tcBorders>
            <w:vAlign w:val="center"/>
          </w:tcPr>
          <w:p w14:paraId="34B0310C" w14:textId="560003C6"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0D"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0E" w14:textId="1217BAC3"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0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in the case of changes, the working day before the date of the change</w:t>
            </w:r>
          </w:p>
        </w:tc>
      </w:tr>
      <w:tr w:rsidR="004E75B9" w:rsidRPr="004E75B9" w14:paraId="34B03118" w14:textId="77777777" w:rsidTr="00481406">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04B22A24" w:rsidR="00471EE4" w:rsidRPr="004E75B9" w:rsidRDefault="00EE63E1" w:rsidP="00471EE4">
            <w:pPr>
              <w:jc w:val="center"/>
              <w:rPr>
                <w:rFonts w:ascii="Arial" w:hAnsi="Arial" w:cs="Arial"/>
                <w:sz w:val="20"/>
                <w:lang w:val="en-GB"/>
              </w:rPr>
            </w:pPr>
            <w:r w:rsidRPr="004E75B9">
              <w:rPr>
                <w:rFonts w:ascii="Arial" w:hAnsi="Arial" w:cs="Arial"/>
                <w:sz w:val="20"/>
                <w:lang w:val="en-GB"/>
              </w:rPr>
              <w:t>92</w:t>
            </w:r>
          </w:p>
        </w:tc>
        <w:tc>
          <w:tcPr>
            <w:tcW w:w="1418" w:type="dxa"/>
            <w:tcBorders>
              <w:top w:val="nil"/>
              <w:left w:val="single" w:sz="4" w:space="0" w:color="auto"/>
              <w:bottom w:val="single" w:sz="4" w:space="0" w:color="auto"/>
              <w:right w:val="single" w:sz="4" w:space="0" w:color="auto"/>
            </w:tcBorders>
            <w:vAlign w:val="center"/>
          </w:tcPr>
          <w:p w14:paraId="34B0311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P57</w:t>
            </w:r>
          </w:p>
        </w:tc>
        <w:tc>
          <w:tcPr>
            <w:tcW w:w="2598" w:type="dxa"/>
            <w:tcBorders>
              <w:top w:val="nil"/>
              <w:left w:val="nil"/>
              <w:bottom w:val="single" w:sz="4" w:space="0" w:color="auto"/>
              <w:right w:val="single" w:sz="4" w:space="0" w:color="auto"/>
            </w:tcBorders>
            <w:vAlign w:val="center"/>
          </w:tcPr>
          <w:p w14:paraId="34B03113" w14:textId="77777777" w:rsidR="00471EE4" w:rsidRPr="004E75B9" w:rsidRDefault="00471EE4" w:rsidP="00471EE4">
            <w:pPr>
              <w:rPr>
                <w:rFonts w:ascii="Arial" w:hAnsi="Arial" w:cs="Arial"/>
                <w:sz w:val="20"/>
                <w:lang w:val="en-GB"/>
              </w:rPr>
            </w:pPr>
            <w:r w:rsidRPr="004E75B9">
              <w:rPr>
                <w:rFonts w:ascii="Arial" w:hAnsi="Arial" w:cs="Arial"/>
                <w:sz w:val="20"/>
                <w:lang w:val="en-GB"/>
              </w:rPr>
              <w:t>ICS turnover transaction level data</w:t>
            </w:r>
          </w:p>
        </w:tc>
        <w:tc>
          <w:tcPr>
            <w:tcW w:w="2835" w:type="dxa"/>
            <w:tcBorders>
              <w:top w:val="nil"/>
              <w:left w:val="nil"/>
              <w:bottom w:val="single" w:sz="4" w:space="0" w:color="auto"/>
              <w:right w:val="single" w:sz="4" w:space="0" w:color="auto"/>
            </w:tcBorders>
            <w:vAlign w:val="center"/>
          </w:tcPr>
          <w:p w14:paraId="34B03114" w14:textId="33648C54" w:rsidR="00471EE4" w:rsidRPr="004E75B9" w:rsidRDefault="00471EE4" w:rsidP="00471EE4">
            <w:pPr>
              <w:rPr>
                <w:rFonts w:ascii="Arial" w:hAnsi="Arial" w:cs="Arial"/>
                <w:sz w:val="20"/>
                <w:lang w:val="en-GB"/>
              </w:rPr>
            </w:pPr>
            <w:r w:rsidRPr="004E75B9">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11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34B0311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w:t>
            </w:r>
            <w:proofErr w:type="spellStart"/>
            <w:r w:rsidRPr="004E75B9">
              <w:rPr>
                <w:rFonts w:ascii="Arial" w:hAnsi="Arial" w:cs="Arial"/>
                <w:sz w:val="20"/>
                <w:lang w:val="en-GB"/>
              </w:rPr>
              <w:t>GiroNetworkMail</w:t>
            </w:r>
            <w:proofErr w:type="spellEnd"/>
            <w:r w:rsidRPr="004E75B9">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34B0311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following the last working day of the reference week</w:t>
            </w:r>
          </w:p>
        </w:tc>
      </w:tr>
      <w:tr w:rsidR="004E75B9" w:rsidRPr="004E75B9" w14:paraId="34B03121" w14:textId="77777777" w:rsidTr="00481406">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4207632C" w:rsidR="00471EE4" w:rsidRPr="004E75B9" w:rsidRDefault="00EE63E1" w:rsidP="00471EE4">
            <w:pPr>
              <w:jc w:val="center"/>
              <w:rPr>
                <w:rFonts w:ascii="Arial" w:hAnsi="Arial" w:cs="Arial"/>
                <w:sz w:val="20"/>
                <w:lang w:val="en-GB"/>
              </w:rPr>
            </w:pPr>
            <w:r w:rsidRPr="004E75B9">
              <w:rPr>
                <w:rFonts w:ascii="Arial" w:hAnsi="Arial" w:cs="Arial"/>
                <w:sz w:val="20"/>
                <w:lang w:val="en-GB"/>
              </w:rPr>
              <w:t>93</w:t>
            </w:r>
          </w:p>
        </w:tc>
        <w:tc>
          <w:tcPr>
            <w:tcW w:w="1418" w:type="dxa"/>
            <w:tcBorders>
              <w:top w:val="nil"/>
              <w:left w:val="single" w:sz="4" w:space="0" w:color="auto"/>
              <w:bottom w:val="single" w:sz="4" w:space="0" w:color="auto"/>
              <w:right w:val="single" w:sz="4" w:space="0" w:color="auto"/>
            </w:tcBorders>
            <w:vAlign w:val="center"/>
          </w:tcPr>
          <w:p w14:paraId="34B0311A"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P58</w:t>
            </w:r>
          </w:p>
        </w:tc>
        <w:tc>
          <w:tcPr>
            <w:tcW w:w="2598" w:type="dxa"/>
            <w:tcBorders>
              <w:top w:val="nil"/>
              <w:left w:val="nil"/>
              <w:bottom w:val="single" w:sz="4" w:space="0" w:color="auto"/>
              <w:right w:val="single" w:sz="4" w:space="0" w:color="auto"/>
            </w:tcBorders>
            <w:vAlign w:val="center"/>
          </w:tcPr>
          <w:p w14:paraId="34B0311B" w14:textId="336842EA" w:rsidR="00471EE4" w:rsidRPr="004E75B9" w:rsidRDefault="00471EE4" w:rsidP="00471EE4">
            <w:pPr>
              <w:rPr>
                <w:rFonts w:ascii="Arial" w:hAnsi="Arial" w:cs="Arial"/>
                <w:sz w:val="20"/>
                <w:lang w:val="en-GB"/>
              </w:rPr>
            </w:pPr>
            <w:bookmarkStart w:id="6" w:name="_Hlk504485665"/>
            <w:r w:rsidRPr="004E75B9">
              <w:rPr>
                <w:rFonts w:ascii="Arial" w:hAnsi="Arial" w:cs="Arial"/>
                <w:sz w:val="20"/>
                <w:lang w:val="en-GB"/>
              </w:rPr>
              <w:t>Ad hoc statement on malfunctions affecting payment services</w:t>
            </w:r>
            <w:bookmarkEnd w:id="6"/>
          </w:p>
        </w:tc>
        <w:tc>
          <w:tcPr>
            <w:tcW w:w="2835" w:type="dxa"/>
            <w:tcBorders>
              <w:top w:val="nil"/>
              <w:left w:val="nil"/>
              <w:bottom w:val="single" w:sz="4" w:space="0" w:color="auto"/>
              <w:right w:val="single" w:sz="4" w:space="0" w:color="auto"/>
            </w:tcBorders>
            <w:vAlign w:val="center"/>
          </w:tcPr>
          <w:p w14:paraId="34B0311C" w14:textId="0A1CD9AD"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1D" w14:textId="0FD769A3"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1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1F" w14:textId="241707B1"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20" w14:textId="4CA26B19" w:rsidR="00471EE4" w:rsidRPr="004E75B9" w:rsidRDefault="00471EE4" w:rsidP="00471EE4">
            <w:pPr>
              <w:jc w:val="center"/>
              <w:rPr>
                <w:rFonts w:ascii="Arial" w:hAnsi="Arial" w:cs="Arial"/>
                <w:sz w:val="20"/>
                <w:lang w:val="en-GB"/>
              </w:rPr>
            </w:pPr>
            <w:r w:rsidRPr="004E75B9">
              <w:rPr>
                <w:rFonts w:ascii="Arial" w:hAnsi="Arial" w:cs="Arial"/>
                <w:sz w:val="20"/>
                <w:lang w:val="en-GB"/>
              </w:rPr>
              <w:t>5th working day following the investigation of the incident, but on the 20th working day following the incident, at latest</w:t>
            </w:r>
          </w:p>
        </w:tc>
      </w:tr>
      <w:tr w:rsidR="004E75B9" w:rsidRPr="004E75B9" w14:paraId="34B0312A" w14:textId="77777777" w:rsidTr="00481406">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30745C63" w:rsidR="00471EE4" w:rsidRPr="004E75B9" w:rsidRDefault="00EE63E1" w:rsidP="00471EE4">
            <w:pPr>
              <w:jc w:val="center"/>
              <w:rPr>
                <w:rFonts w:ascii="Arial" w:hAnsi="Arial" w:cs="Arial"/>
                <w:sz w:val="20"/>
                <w:lang w:val="en-GB"/>
              </w:rPr>
            </w:pPr>
            <w:r w:rsidRPr="004E75B9">
              <w:rPr>
                <w:rFonts w:ascii="Arial" w:hAnsi="Arial" w:cs="Arial"/>
                <w:sz w:val="20"/>
                <w:lang w:val="en-GB"/>
              </w:rPr>
              <w:t>94</w:t>
            </w:r>
          </w:p>
        </w:tc>
        <w:tc>
          <w:tcPr>
            <w:tcW w:w="1418" w:type="dxa"/>
            <w:tcBorders>
              <w:top w:val="nil"/>
              <w:left w:val="single" w:sz="4" w:space="0" w:color="auto"/>
              <w:bottom w:val="single" w:sz="4" w:space="0" w:color="auto"/>
              <w:right w:val="single" w:sz="4" w:space="0" w:color="auto"/>
            </w:tcBorders>
            <w:vAlign w:val="center"/>
          </w:tcPr>
          <w:p w14:paraId="34B0312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P59</w:t>
            </w:r>
          </w:p>
        </w:tc>
        <w:tc>
          <w:tcPr>
            <w:tcW w:w="2598" w:type="dxa"/>
            <w:tcBorders>
              <w:top w:val="nil"/>
              <w:left w:val="nil"/>
              <w:bottom w:val="single" w:sz="4" w:space="0" w:color="auto"/>
              <w:right w:val="single" w:sz="4" w:space="0" w:color="auto"/>
            </w:tcBorders>
            <w:vAlign w:val="center"/>
          </w:tcPr>
          <w:p w14:paraId="34B03124" w14:textId="0DF37E98" w:rsidR="00471EE4" w:rsidRPr="004E75B9" w:rsidRDefault="00471EE4" w:rsidP="00471EE4">
            <w:pPr>
              <w:rPr>
                <w:rFonts w:ascii="Arial" w:hAnsi="Arial" w:cs="Arial"/>
                <w:sz w:val="20"/>
                <w:lang w:val="en-GB"/>
              </w:rPr>
            </w:pPr>
            <w:r w:rsidRPr="004E75B9">
              <w:rPr>
                <w:rFonts w:ascii="Arial" w:hAnsi="Arial" w:cs="Arial"/>
                <w:sz w:val="20"/>
                <w:lang w:val="en-GB"/>
              </w:rPr>
              <w:t>Quarterly statement on malfunctions reported in data supply of MNB identification code P58</w:t>
            </w:r>
          </w:p>
        </w:tc>
        <w:tc>
          <w:tcPr>
            <w:tcW w:w="2835" w:type="dxa"/>
            <w:tcBorders>
              <w:top w:val="nil"/>
              <w:left w:val="nil"/>
              <w:bottom w:val="single" w:sz="4" w:space="0" w:color="auto"/>
              <w:right w:val="single" w:sz="4" w:space="0" w:color="auto"/>
            </w:tcBorders>
            <w:vAlign w:val="center"/>
          </w:tcPr>
          <w:p w14:paraId="34B03125" w14:textId="7515C170"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2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27"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28" w14:textId="2BC3E446"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2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following the reference period</w:t>
            </w:r>
          </w:p>
        </w:tc>
      </w:tr>
      <w:tr w:rsidR="004E75B9" w:rsidRPr="004E75B9" w14:paraId="34B03133" w14:textId="77777777" w:rsidTr="00481406">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7B090DCA" w:rsidR="00471EE4" w:rsidRPr="004E75B9" w:rsidRDefault="00EE63E1" w:rsidP="00471EE4">
            <w:pPr>
              <w:jc w:val="center"/>
              <w:rPr>
                <w:rFonts w:ascii="Arial" w:hAnsi="Arial" w:cs="Arial"/>
                <w:sz w:val="20"/>
                <w:lang w:val="en-GB"/>
              </w:rPr>
            </w:pPr>
            <w:r w:rsidRPr="004E75B9">
              <w:rPr>
                <w:rFonts w:ascii="Arial" w:hAnsi="Arial" w:cs="Arial"/>
                <w:sz w:val="20"/>
                <w:lang w:val="en-GB"/>
              </w:rPr>
              <w:t>95</w:t>
            </w:r>
          </w:p>
        </w:tc>
        <w:tc>
          <w:tcPr>
            <w:tcW w:w="1418" w:type="dxa"/>
            <w:tcBorders>
              <w:top w:val="nil"/>
              <w:left w:val="single" w:sz="4" w:space="0" w:color="auto"/>
              <w:bottom w:val="single" w:sz="4" w:space="0" w:color="auto"/>
              <w:right w:val="single" w:sz="4" w:space="0" w:color="auto"/>
            </w:tcBorders>
            <w:vAlign w:val="center"/>
          </w:tcPr>
          <w:p w14:paraId="34B0312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P60</w:t>
            </w:r>
          </w:p>
        </w:tc>
        <w:tc>
          <w:tcPr>
            <w:tcW w:w="2598" w:type="dxa"/>
            <w:tcBorders>
              <w:top w:val="nil"/>
              <w:left w:val="nil"/>
              <w:bottom w:val="single" w:sz="4" w:space="0" w:color="auto"/>
              <w:right w:val="single" w:sz="4" w:space="0" w:color="auto"/>
            </w:tcBorders>
            <w:vAlign w:val="center"/>
          </w:tcPr>
          <w:p w14:paraId="34B0312D" w14:textId="42BFDB1D" w:rsidR="00471EE4" w:rsidRPr="004E75B9" w:rsidRDefault="00471EE4" w:rsidP="00471EE4">
            <w:pPr>
              <w:rPr>
                <w:rFonts w:ascii="Arial" w:hAnsi="Arial" w:cs="Arial"/>
                <w:sz w:val="20"/>
                <w:lang w:val="en-GB"/>
              </w:rPr>
            </w:pPr>
            <w:r w:rsidRPr="004E75B9">
              <w:rPr>
                <w:rFonts w:ascii="Arial" w:hAnsi="Arial" w:cs="Arial"/>
                <w:sz w:val="20"/>
                <w:lang w:val="en-GB"/>
              </w:rPr>
              <w:t>Central counterparty statistics</w:t>
            </w:r>
          </w:p>
        </w:tc>
        <w:tc>
          <w:tcPr>
            <w:tcW w:w="2835" w:type="dxa"/>
            <w:tcBorders>
              <w:top w:val="nil"/>
              <w:left w:val="nil"/>
              <w:bottom w:val="single" w:sz="4" w:space="0" w:color="auto"/>
              <w:right w:val="single" w:sz="4" w:space="0" w:color="auto"/>
            </w:tcBorders>
            <w:vAlign w:val="center"/>
          </w:tcPr>
          <w:p w14:paraId="34B0312E" w14:textId="5AC40A49" w:rsidR="00471EE4" w:rsidRPr="004E75B9" w:rsidRDefault="00471EE4" w:rsidP="00471EE4">
            <w:pPr>
              <w:rPr>
                <w:rFonts w:ascii="Arial" w:hAnsi="Arial" w:cs="Arial"/>
                <w:sz w:val="20"/>
                <w:lang w:val="en-GB"/>
              </w:rPr>
            </w:pPr>
            <w:r w:rsidRPr="004E75B9">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12F"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13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31" w14:textId="2F599EB2"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32"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12 p.m. on the working day following the reference day</w:t>
            </w:r>
          </w:p>
        </w:tc>
      </w:tr>
      <w:tr w:rsidR="004E75B9" w:rsidRPr="004E75B9" w14:paraId="34B0313C" w14:textId="77777777" w:rsidTr="00481406">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2562F7B2" w:rsidR="00471EE4" w:rsidRPr="004E75B9" w:rsidDel="00361EB1" w:rsidRDefault="00EE63E1" w:rsidP="00471EE4">
            <w:pPr>
              <w:jc w:val="center"/>
              <w:rPr>
                <w:rFonts w:ascii="Arial" w:hAnsi="Arial" w:cs="Arial"/>
                <w:sz w:val="20"/>
                <w:lang w:val="en-GB"/>
              </w:rPr>
            </w:pPr>
            <w:r w:rsidRPr="004E75B9">
              <w:rPr>
                <w:rFonts w:ascii="Arial" w:hAnsi="Arial" w:cs="Arial"/>
                <w:sz w:val="20"/>
                <w:lang w:val="en-GB"/>
              </w:rPr>
              <w:t>96</w:t>
            </w:r>
          </w:p>
        </w:tc>
        <w:tc>
          <w:tcPr>
            <w:tcW w:w="1418" w:type="dxa"/>
            <w:tcBorders>
              <w:top w:val="nil"/>
              <w:left w:val="single" w:sz="4" w:space="0" w:color="auto"/>
              <w:bottom w:val="single" w:sz="4" w:space="0" w:color="auto"/>
              <w:right w:val="single" w:sz="4" w:space="0" w:color="auto"/>
            </w:tcBorders>
            <w:vAlign w:val="center"/>
          </w:tcPr>
          <w:p w14:paraId="34B0313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P61</w:t>
            </w:r>
          </w:p>
        </w:tc>
        <w:tc>
          <w:tcPr>
            <w:tcW w:w="2598" w:type="dxa"/>
            <w:tcBorders>
              <w:top w:val="nil"/>
              <w:left w:val="nil"/>
              <w:bottom w:val="single" w:sz="4" w:space="0" w:color="auto"/>
              <w:right w:val="single" w:sz="4" w:space="0" w:color="auto"/>
            </w:tcBorders>
            <w:vAlign w:val="center"/>
          </w:tcPr>
          <w:p w14:paraId="34B03136" w14:textId="77777777" w:rsidR="00471EE4" w:rsidRPr="004E75B9" w:rsidRDefault="00471EE4" w:rsidP="00471EE4">
            <w:pPr>
              <w:rPr>
                <w:rFonts w:ascii="Arial" w:hAnsi="Arial" w:cs="Arial"/>
                <w:sz w:val="20"/>
                <w:lang w:val="en-GB"/>
              </w:rPr>
            </w:pPr>
            <w:r w:rsidRPr="004E75B9">
              <w:rPr>
                <w:rFonts w:ascii="Arial" w:hAnsi="Arial" w:cs="Arial"/>
                <w:sz w:val="20"/>
                <w:lang w:val="en-GB"/>
              </w:rPr>
              <w:t>Bank change statistics</w:t>
            </w:r>
          </w:p>
        </w:tc>
        <w:tc>
          <w:tcPr>
            <w:tcW w:w="2835" w:type="dxa"/>
            <w:tcBorders>
              <w:top w:val="nil"/>
              <w:left w:val="nil"/>
              <w:bottom w:val="single" w:sz="4" w:space="0" w:color="auto"/>
              <w:right w:val="single" w:sz="4" w:space="0" w:color="auto"/>
            </w:tcBorders>
            <w:vAlign w:val="center"/>
          </w:tcPr>
          <w:p w14:paraId="34B03137" w14:textId="2DCB6D09" w:rsidR="00471EE4" w:rsidRPr="004E75B9" w:rsidRDefault="00471EE4" w:rsidP="00471EE4">
            <w:pPr>
              <w:rPr>
                <w:rFonts w:ascii="Arial" w:hAnsi="Arial" w:cs="Arial"/>
                <w:sz w:val="20"/>
                <w:lang w:val="en-GB"/>
              </w:rPr>
            </w:pPr>
            <w:r w:rsidRPr="004E75B9">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138"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13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3A" w14:textId="0B62E647"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3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10th working day following the reference period</w:t>
            </w:r>
          </w:p>
        </w:tc>
      </w:tr>
      <w:tr w:rsidR="004E75B9" w:rsidRPr="004E75B9" w14:paraId="34B0315A" w14:textId="77777777" w:rsidTr="00481406">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60C51E23" w:rsidR="00471EE4" w:rsidRPr="004E75B9" w:rsidRDefault="00EE63E1" w:rsidP="00471EE4">
            <w:pPr>
              <w:jc w:val="center"/>
              <w:rPr>
                <w:rFonts w:ascii="Arial" w:hAnsi="Arial" w:cs="Arial"/>
                <w:sz w:val="20"/>
                <w:lang w:val="en-GB"/>
              </w:rPr>
            </w:pPr>
            <w:r w:rsidRPr="004E75B9">
              <w:rPr>
                <w:rFonts w:ascii="Arial" w:hAnsi="Arial" w:cs="Arial"/>
                <w:sz w:val="20"/>
                <w:lang w:val="en-GB"/>
              </w:rPr>
              <w:lastRenderedPageBreak/>
              <w:t>97</w:t>
            </w:r>
          </w:p>
        </w:tc>
        <w:tc>
          <w:tcPr>
            <w:tcW w:w="1418" w:type="dxa"/>
            <w:tcBorders>
              <w:top w:val="nil"/>
              <w:left w:val="single" w:sz="4" w:space="0" w:color="auto"/>
              <w:bottom w:val="single" w:sz="4" w:space="0" w:color="auto"/>
              <w:right w:val="single" w:sz="4" w:space="0" w:color="auto"/>
            </w:tcBorders>
            <w:vAlign w:val="center"/>
          </w:tcPr>
          <w:p w14:paraId="34B0315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P64</w:t>
            </w:r>
          </w:p>
        </w:tc>
        <w:tc>
          <w:tcPr>
            <w:tcW w:w="2598" w:type="dxa"/>
            <w:tcBorders>
              <w:top w:val="nil"/>
              <w:left w:val="nil"/>
              <w:bottom w:val="single" w:sz="4" w:space="0" w:color="auto"/>
              <w:right w:val="single" w:sz="4" w:space="0" w:color="auto"/>
            </w:tcBorders>
            <w:vAlign w:val="center"/>
          </w:tcPr>
          <w:p w14:paraId="34B03151" w14:textId="77777777" w:rsidR="00471EE4" w:rsidRPr="004E75B9" w:rsidRDefault="00471EE4" w:rsidP="00471EE4">
            <w:pPr>
              <w:rPr>
                <w:rFonts w:ascii="Arial" w:hAnsi="Arial" w:cs="Arial"/>
                <w:sz w:val="20"/>
                <w:lang w:val="en-GB"/>
              </w:rPr>
            </w:pPr>
            <w:r w:rsidRPr="004E75B9">
              <w:rPr>
                <w:rFonts w:ascii="Arial" w:hAnsi="Arial" w:cs="Arial"/>
                <w:sz w:val="20"/>
                <w:lang w:val="en-GB"/>
              </w:rPr>
              <w:t>Reporting of major operational or security incidents by the payment service provider</w:t>
            </w:r>
          </w:p>
        </w:tc>
        <w:tc>
          <w:tcPr>
            <w:tcW w:w="2835" w:type="dxa"/>
            <w:tcBorders>
              <w:top w:val="nil"/>
              <w:left w:val="nil"/>
              <w:bottom w:val="single" w:sz="4" w:space="0" w:color="auto"/>
              <w:right w:val="single" w:sz="4" w:space="0" w:color="auto"/>
            </w:tcBorders>
            <w:vAlign w:val="center"/>
          </w:tcPr>
          <w:p w14:paraId="34B03152" w14:textId="7EAA461F" w:rsidR="00471EE4" w:rsidRPr="004E75B9" w:rsidRDefault="00471EE4" w:rsidP="00471EE4">
            <w:pPr>
              <w:rPr>
                <w:rFonts w:ascii="Arial" w:hAnsi="Arial" w:cs="Arial"/>
                <w:sz w:val="20"/>
                <w:lang w:val="en-GB"/>
              </w:rPr>
            </w:pPr>
            <w:r w:rsidRPr="004E75B9">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53" w14:textId="65510B5F"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54"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55" w14:textId="003147F2" w:rsidR="00471EE4" w:rsidRPr="004E75B9" w:rsidRDefault="00471EE4" w:rsidP="00471EE4">
            <w:pPr>
              <w:jc w:val="center"/>
              <w:rPr>
                <w:rFonts w:ascii="Arial" w:hAnsi="Arial" w:cs="Arial"/>
                <w:sz w:val="20"/>
                <w:lang w:val="en-GB"/>
              </w:rPr>
            </w:pPr>
            <w:r w:rsidRPr="004E75B9">
              <w:rPr>
                <w:rFonts w:ascii="Arial" w:hAnsi="Arial" w:cs="Arial"/>
                <w:sz w:val="20"/>
                <w:lang w:val="en-GB"/>
              </w:rPr>
              <w:t xml:space="preserve">(ERA system, template), with enhanced security or qualified electronic signature(ERA system, form), and encrypted email in the case of the initial report </w:t>
            </w:r>
          </w:p>
        </w:tc>
        <w:tc>
          <w:tcPr>
            <w:tcW w:w="3402" w:type="dxa"/>
            <w:tcBorders>
              <w:top w:val="nil"/>
              <w:left w:val="nil"/>
              <w:bottom w:val="single" w:sz="4" w:space="0" w:color="auto"/>
              <w:right w:val="single" w:sz="4" w:space="0" w:color="auto"/>
            </w:tcBorders>
            <w:vAlign w:val="center"/>
          </w:tcPr>
          <w:p w14:paraId="34B03156" w14:textId="7DA1CF6D" w:rsidR="00471EE4" w:rsidRPr="004E75B9" w:rsidRDefault="00471EE4" w:rsidP="00471EE4">
            <w:pPr>
              <w:jc w:val="center"/>
              <w:rPr>
                <w:rFonts w:ascii="Arial" w:hAnsi="Arial" w:cs="Arial"/>
                <w:sz w:val="16"/>
                <w:lang w:val="en-GB"/>
              </w:rPr>
            </w:pPr>
            <w:r w:rsidRPr="004E75B9">
              <w:rPr>
                <w:rFonts w:ascii="Arial" w:hAnsi="Arial" w:cs="Arial"/>
                <w:sz w:val="20"/>
                <w:lang w:val="en-GB"/>
              </w:rPr>
              <w:t>initial report: within 4 hours after classifying the incident;</w:t>
            </w:r>
            <w:r w:rsidRPr="004E75B9">
              <w:rPr>
                <w:rFonts w:ascii="Arial" w:hAnsi="Arial" w:cs="Arial"/>
                <w:sz w:val="20"/>
                <w:lang w:val="en-GB"/>
              </w:rPr>
              <w:br/>
            </w:r>
          </w:p>
          <w:p w14:paraId="34B03157" w14:textId="5B3C0B8D" w:rsidR="00471EE4" w:rsidRPr="004E75B9" w:rsidRDefault="00471EE4" w:rsidP="00471EE4">
            <w:pPr>
              <w:jc w:val="center"/>
              <w:rPr>
                <w:rFonts w:ascii="Arial" w:hAnsi="Arial" w:cs="Arial"/>
                <w:sz w:val="16"/>
                <w:lang w:val="en-GB"/>
              </w:rPr>
            </w:pPr>
            <w:r w:rsidRPr="004E75B9">
              <w:rPr>
                <w:rFonts w:ascii="Arial" w:hAnsi="Arial" w:cs="Arial"/>
                <w:sz w:val="20"/>
                <w:lang w:val="en-GB"/>
              </w:rPr>
              <w:t>interim report: within 3 working days after submitting the initial report, unless provided otherwise by the filling instructions;</w:t>
            </w:r>
            <w:r w:rsidRPr="004E75B9">
              <w:rPr>
                <w:rFonts w:ascii="Arial" w:hAnsi="Arial" w:cs="Arial"/>
                <w:sz w:val="20"/>
                <w:lang w:val="en-GB"/>
              </w:rPr>
              <w:br/>
            </w:r>
          </w:p>
          <w:p w14:paraId="34B03158" w14:textId="2993FC3C" w:rsidR="00471EE4" w:rsidRPr="004E75B9" w:rsidRDefault="00471EE4" w:rsidP="00471EE4">
            <w:pPr>
              <w:jc w:val="center"/>
              <w:rPr>
                <w:rFonts w:ascii="Arial" w:hAnsi="Arial" w:cs="Arial"/>
                <w:sz w:val="16"/>
                <w:lang w:val="en-GB"/>
              </w:rPr>
            </w:pPr>
            <w:r w:rsidRPr="004E75B9">
              <w:rPr>
                <w:rFonts w:ascii="Arial" w:hAnsi="Arial" w:cs="Arial"/>
                <w:sz w:val="20"/>
                <w:lang w:val="en-GB"/>
              </w:rPr>
              <w:t>final report: unless provided otherwise by the filling instructions, within 20 working days after restoring the normal level of operation; in the case of downgrading, within 1 hour after the downgrading;</w:t>
            </w:r>
            <w:r w:rsidRPr="004E75B9">
              <w:rPr>
                <w:rFonts w:ascii="Arial" w:hAnsi="Arial" w:cs="Arial"/>
                <w:sz w:val="20"/>
                <w:lang w:val="en-GB"/>
              </w:rPr>
              <w:br/>
            </w:r>
          </w:p>
          <w:p w14:paraId="34B03159" w14:textId="0F3D20C2" w:rsidR="00471EE4" w:rsidRPr="004E75B9" w:rsidRDefault="00471EE4" w:rsidP="00845A8D">
            <w:pPr>
              <w:jc w:val="center"/>
              <w:rPr>
                <w:rFonts w:ascii="Arial" w:hAnsi="Arial" w:cs="Arial"/>
                <w:sz w:val="20"/>
                <w:lang w:val="en-GB"/>
              </w:rPr>
            </w:pPr>
            <w:r w:rsidRPr="004E75B9">
              <w:rPr>
                <w:rFonts w:ascii="Arial" w:hAnsi="Arial" w:cs="Arial"/>
                <w:sz w:val="20"/>
                <w:lang w:val="en-GB"/>
              </w:rPr>
              <w:t>ad hoc evaluation: within 20 working days following the MNB’s request</w:t>
            </w:r>
          </w:p>
        </w:tc>
      </w:tr>
      <w:tr w:rsidR="004E75B9" w:rsidRPr="004E75B9" w14:paraId="34B03163" w14:textId="77777777" w:rsidTr="00481406">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05220095" w:rsidR="00471EE4" w:rsidRPr="004E75B9" w:rsidRDefault="00EE63E1" w:rsidP="00471EE4">
            <w:pPr>
              <w:jc w:val="center"/>
              <w:rPr>
                <w:rFonts w:ascii="Arial" w:hAnsi="Arial" w:cs="Arial"/>
                <w:sz w:val="20"/>
                <w:lang w:val="en-GB"/>
              </w:rPr>
            </w:pPr>
            <w:r w:rsidRPr="004E75B9">
              <w:rPr>
                <w:rFonts w:ascii="Arial" w:hAnsi="Arial" w:cs="Arial"/>
                <w:sz w:val="20"/>
                <w:lang w:val="en-GB"/>
              </w:rPr>
              <w:t>98</w:t>
            </w:r>
          </w:p>
        </w:tc>
        <w:tc>
          <w:tcPr>
            <w:tcW w:w="1418" w:type="dxa"/>
            <w:tcBorders>
              <w:top w:val="nil"/>
              <w:left w:val="single" w:sz="4" w:space="0" w:color="auto"/>
              <w:bottom w:val="single" w:sz="4" w:space="0" w:color="auto"/>
              <w:right w:val="single" w:sz="4" w:space="0" w:color="auto"/>
            </w:tcBorders>
            <w:vAlign w:val="center"/>
          </w:tcPr>
          <w:p w14:paraId="34B0315C"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P65</w:t>
            </w:r>
          </w:p>
        </w:tc>
        <w:tc>
          <w:tcPr>
            <w:tcW w:w="2598" w:type="dxa"/>
            <w:tcBorders>
              <w:top w:val="nil"/>
              <w:left w:val="nil"/>
              <w:bottom w:val="single" w:sz="4" w:space="0" w:color="auto"/>
              <w:right w:val="single" w:sz="4" w:space="0" w:color="auto"/>
            </w:tcBorders>
            <w:vAlign w:val="center"/>
          </w:tcPr>
          <w:p w14:paraId="34B0315D" w14:textId="1A8BB245" w:rsidR="00471EE4" w:rsidRPr="004E75B9" w:rsidRDefault="00471EE4" w:rsidP="00471EE4">
            <w:pPr>
              <w:rPr>
                <w:rFonts w:ascii="Arial" w:hAnsi="Arial" w:cs="Arial"/>
                <w:sz w:val="20"/>
                <w:lang w:val="en-GB"/>
              </w:rPr>
            </w:pPr>
            <w:r w:rsidRPr="004E75B9">
              <w:rPr>
                <w:rFonts w:ascii="Arial" w:hAnsi="Arial" w:cs="Arial"/>
                <w:sz w:val="20"/>
                <w:lang w:val="en-GB"/>
              </w:rPr>
              <w:t>Non-reimbursement payment transactions</w:t>
            </w:r>
          </w:p>
        </w:tc>
        <w:tc>
          <w:tcPr>
            <w:tcW w:w="2835" w:type="dxa"/>
            <w:tcBorders>
              <w:top w:val="nil"/>
              <w:left w:val="nil"/>
              <w:bottom w:val="single" w:sz="4" w:space="0" w:color="auto"/>
              <w:right w:val="single" w:sz="4" w:space="0" w:color="auto"/>
            </w:tcBorders>
            <w:vAlign w:val="center"/>
          </w:tcPr>
          <w:p w14:paraId="34B0315E" w14:textId="4173CA1B" w:rsidR="00471EE4" w:rsidRPr="004E75B9" w:rsidRDefault="00471EE4" w:rsidP="00471EE4">
            <w:pPr>
              <w:rPr>
                <w:rFonts w:ascii="Arial" w:hAnsi="Arial" w:cs="Arial"/>
                <w:sz w:val="20"/>
                <w:lang w:val="en-GB"/>
              </w:rPr>
            </w:pPr>
            <w:r w:rsidRPr="004E75B9">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34B0315F" w14:textId="121D384A"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60"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61" w14:textId="3A7061C8"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62" w14:textId="0605377E" w:rsidR="00471EE4" w:rsidRPr="004E75B9" w:rsidRDefault="00471EE4" w:rsidP="00471EE4">
            <w:pPr>
              <w:jc w:val="center"/>
              <w:rPr>
                <w:rFonts w:ascii="Arial" w:hAnsi="Arial" w:cs="Arial"/>
                <w:sz w:val="20"/>
                <w:lang w:val="en-GB"/>
              </w:rPr>
            </w:pPr>
            <w:r w:rsidRPr="004E75B9">
              <w:rPr>
                <w:rFonts w:ascii="Arial" w:hAnsi="Arial" w:cs="Arial"/>
                <w:sz w:val="20"/>
                <w:lang w:val="en-GB"/>
              </w:rPr>
              <w:t>first working day following the notification by the client</w:t>
            </w:r>
          </w:p>
        </w:tc>
      </w:tr>
      <w:tr w:rsidR="004E75B9" w:rsidRPr="004E75B9" w14:paraId="34B0316C" w14:textId="77777777" w:rsidTr="00481406">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047CFBC5" w:rsidR="00471EE4" w:rsidRPr="004E75B9" w:rsidRDefault="00EE63E1" w:rsidP="00471EE4">
            <w:pPr>
              <w:jc w:val="center"/>
              <w:rPr>
                <w:rFonts w:ascii="Arial" w:hAnsi="Arial" w:cs="Arial"/>
                <w:sz w:val="20"/>
                <w:lang w:val="en-GB"/>
              </w:rPr>
            </w:pPr>
            <w:r w:rsidRPr="004E75B9">
              <w:rPr>
                <w:rFonts w:ascii="Arial" w:hAnsi="Arial" w:cs="Arial"/>
                <w:sz w:val="20"/>
                <w:lang w:val="en-GB"/>
              </w:rPr>
              <w:t>99</w:t>
            </w:r>
          </w:p>
        </w:tc>
        <w:tc>
          <w:tcPr>
            <w:tcW w:w="1418" w:type="dxa"/>
            <w:tcBorders>
              <w:top w:val="nil"/>
              <w:left w:val="single" w:sz="4" w:space="0" w:color="auto"/>
              <w:bottom w:val="single" w:sz="4" w:space="0" w:color="auto"/>
              <w:right w:val="single" w:sz="4" w:space="0" w:color="auto"/>
            </w:tcBorders>
            <w:vAlign w:val="center"/>
          </w:tcPr>
          <w:p w14:paraId="34B03165"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P66</w:t>
            </w:r>
          </w:p>
        </w:tc>
        <w:tc>
          <w:tcPr>
            <w:tcW w:w="2598" w:type="dxa"/>
            <w:tcBorders>
              <w:top w:val="nil"/>
              <w:left w:val="nil"/>
              <w:bottom w:val="single" w:sz="4" w:space="0" w:color="auto"/>
              <w:right w:val="single" w:sz="4" w:space="0" w:color="auto"/>
            </w:tcBorders>
            <w:vAlign w:val="center"/>
          </w:tcPr>
          <w:p w14:paraId="34B03166" w14:textId="77777777" w:rsidR="00471EE4" w:rsidRPr="004E75B9" w:rsidRDefault="00471EE4" w:rsidP="00471EE4">
            <w:pPr>
              <w:rPr>
                <w:rFonts w:ascii="Arial" w:hAnsi="Arial" w:cs="Arial"/>
                <w:sz w:val="20"/>
                <w:lang w:val="en-GB"/>
              </w:rPr>
            </w:pPr>
            <w:r w:rsidRPr="004E75B9">
              <w:rPr>
                <w:rFonts w:ascii="Arial" w:hAnsi="Arial" w:cs="Arial"/>
                <w:sz w:val="20"/>
                <w:lang w:val="en-GB"/>
              </w:rPr>
              <w:t>Denial of access to payment account</w:t>
            </w:r>
          </w:p>
        </w:tc>
        <w:tc>
          <w:tcPr>
            <w:tcW w:w="2835" w:type="dxa"/>
            <w:tcBorders>
              <w:top w:val="nil"/>
              <w:left w:val="nil"/>
              <w:bottom w:val="single" w:sz="4" w:space="0" w:color="auto"/>
              <w:right w:val="single" w:sz="4" w:space="0" w:color="auto"/>
            </w:tcBorders>
            <w:vAlign w:val="center"/>
          </w:tcPr>
          <w:p w14:paraId="34B03167" w14:textId="3B032094" w:rsidR="00471EE4" w:rsidRPr="004E75B9" w:rsidRDefault="00471EE4" w:rsidP="00471EE4">
            <w:pPr>
              <w:rPr>
                <w:rFonts w:ascii="Arial" w:hAnsi="Arial" w:cs="Arial"/>
                <w:sz w:val="20"/>
                <w:lang w:val="en-GB"/>
              </w:rPr>
            </w:pPr>
            <w:r w:rsidRPr="004E75B9">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34B03168" w14:textId="02059DDE" w:rsidR="00471EE4" w:rsidRPr="004E75B9" w:rsidRDefault="00471EE4" w:rsidP="00471EE4">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6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w:t>
            </w:r>
          </w:p>
          <w:p w14:paraId="34B0316A" w14:textId="5C7901A4" w:rsidR="00471EE4" w:rsidRPr="004E75B9" w:rsidRDefault="00471EE4" w:rsidP="00471EE4">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6B" w14:textId="2C8607CB" w:rsidR="00471EE4" w:rsidRPr="004E75B9" w:rsidRDefault="00471EE4" w:rsidP="00471EE4">
            <w:pPr>
              <w:jc w:val="center"/>
              <w:rPr>
                <w:rFonts w:ascii="Arial" w:hAnsi="Arial" w:cs="Arial"/>
                <w:sz w:val="20"/>
                <w:lang w:val="en-GB"/>
              </w:rPr>
            </w:pPr>
            <w:r w:rsidRPr="004E75B9">
              <w:rPr>
                <w:rFonts w:ascii="Arial" w:hAnsi="Arial" w:cs="Arial"/>
                <w:sz w:val="20"/>
                <w:lang w:val="en-GB"/>
              </w:rPr>
              <w:t>first working day following the reference day</w:t>
            </w:r>
          </w:p>
        </w:tc>
      </w:tr>
      <w:tr w:rsidR="004E75B9" w:rsidRPr="004E75B9" w14:paraId="34B03174" w14:textId="77777777" w:rsidTr="00481406">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9D36B6A" w:rsidR="00471EE4" w:rsidRPr="004E75B9" w:rsidRDefault="00EE63E1" w:rsidP="00471EE4">
            <w:pPr>
              <w:jc w:val="center"/>
              <w:rPr>
                <w:rFonts w:ascii="Arial" w:hAnsi="Arial" w:cs="Arial"/>
                <w:sz w:val="20"/>
                <w:lang w:val="en-GB"/>
              </w:rPr>
            </w:pPr>
            <w:r w:rsidRPr="004E75B9">
              <w:rPr>
                <w:rFonts w:ascii="Arial" w:hAnsi="Arial" w:cs="Arial"/>
                <w:sz w:val="20"/>
                <w:lang w:val="en-GB"/>
              </w:rPr>
              <w:t>100</w:t>
            </w:r>
          </w:p>
        </w:tc>
        <w:tc>
          <w:tcPr>
            <w:tcW w:w="1418" w:type="dxa"/>
            <w:tcBorders>
              <w:top w:val="nil"/>
              <w:left w:val="single" w:sz="4" w:space="0" w:color="auto"/>
              <w:bottom w:val="single" w:sz="4" w:space="0" w:color="auto"/>
              <w:right w:val="single" w:sz="4" w:space="0" w:color="auto"/>
            </w:tcBorders>
            <w:vAlign w:val="center"/>
          </w:tcPr>
          <w:p w14:paraId="34B0316E"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P67</w:t>
            </w:r>
          </w:p>
        </w:tc>
        <w:tc>
          <w:tcPr>
            <w:tcW w:w="2598" w:type="dxa"/>
            <w:tcBorders>
              <w:top w:val="nil"/>
              <w:left w:val="nil"/>
              <w:bottom w:val="single" w:sz="4" w:space="0" w:color="auto"/>
              <w:right w:val="single" w:sz="4" w:space="0" w:color="auto"/>
            </w:tcBorders>
            <w:vAlign w:val="center"/>
          </w:tcPr>
          <w:p w14:paraId="34B0316F" w14:textId="2CE5CECA" w:rsidR="00471EE4" w:rsidRPr="004E75B9" w:rsidRDefault="00471EE4" w:rsidP="00471EE4">
            <w:pPr>
              <w:rPr>
                <w:rFonts w:ascii="Arial" w:hAnsi="Arial" w:cs="Arial"/>
                <w:sz w:val="20"/>
                <w:lang w:val="en-GB"/>
              </w:rPr>
            </w:pPr>
            <w:r w:rsidRPr="004E75B9">
              <w:rPr>
                <w:rFonts w:ascii="Arial" w:hAnsi="Arial" w:cs="Arial"/>
                <w:sz w:val="20"/>
                <w:lang w:val="en-GB"/>
              </w:rPr>
              <w:t>Definition of material importance</w:t>
            </w:r>
          </w:p>
        </w:tc>
        <w:tc>
          <w:tcPr>
            <w:tcW w:w="2835" w:type="dxa"/>
            <w:tcBorders>
              <w:top w:val="nil"/>
              <w:left w:val="nil"/>
              <w:bottom w:val="single" w:sz="4" w:space="0" w:color="auto"/>
              <w:right w:val="single" w:sz="4" w:space="0" w:color="auto"/>
            </w:tcBorders>
            <w:vAlign w:val="center"/>
          </w:tcPr>
          <w:p w14:paraId="34B03170" w14:textId="7C069B91"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171"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72" w14:textId="020FF0A2"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73"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31 January of the year following the reference period</w:t>
            </w:r>
          </w:p>
        </w:tc>
      </w:tr>
      <w:tr w:rsidR="004E75B9" w:rsidRPr="004E75B9" w14:paraId="34B0317C" w14:textId="77777777" w:rsidTr="00481406">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ECC99D9" w:rsidR="00471EE4" w:rsidRPr="004E75B9" w:rsidRDefault="00EE63E1" w:rsidP="00471EE4">
            <w:pPr>
              <w:jc w:val="center"/>
              <w:rPr>
                <w:rFonts w:ascii="Arial" w:hAnsi="Arial" w:cs="Arial"/>
                <w:sz w:val="20"/>
                <w:lang w:val="en-GB"/>
              </w:rPr>
            </w:pPr>
            <w:r w:rsidRPr="004E75B9">
              <w:rPr>
                <w:rFonts w:ascii="Arial" w:hAnsi="Arial" w:cs="Arial"/>
                <w:sz w:val="20"/>
                <w:lang w:val="en-GB"/>
              </w:rPr>
              <w:t>101</w:t>
            </w:r>
          </w:p>
        </w:tc>
        <w:tc>
          <w:tcPr>
            <w:tcW w:w="1418" w:type="dxa"/>
            <w:tcBorders>
              <w:top w:val="nil"/>
              <w:left w:val="single" w:sz="4" w:space="0" w:color="auto"/>
              <w:bottom w:val="single" w:sz="4" w:space="0" w:color="auto"/>
              <w:right w:val="single" w:sz="4" w:space="0" w:color="auto"/>
            </w:tcBorders>
            <w:vAlign w:val="center"/>
          </w:tcPr>
          <w:p w14:paraId="34B03176"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P68</w:t>
            </w:r>
          </w:p>
        </w:tc>
        <w:tc>
          <w:tcPr>
            <w:tcW w:w="2598" w:type="dxa"/>
            <w:tcBorders>
              <w:top w:val="nil"/>
              <w:left w:val="nil"/>
              <w:bottom w:val="single" w:sz="4" w:space="0" w:color="auto"/>
              <w:right w:val="single" w:sz="4" w:space="0" w:color="auto"/>
            </w:tcBorders>
            <w:vAlign w:val="center"/>
          </w:tcPr>
          <w:p w14:paraId="34B03177" w14:textId="388F1845" w:rsidR="00471EE4" w:rsidRPr="004E75B9" w:rsidRDefault="00471EE4" w:rsidP="00471EE4">
            <w:pPr>
              <w:rPr>
                <w:rFonts w:ascii="Arial" w:hAnsi="Arial" w:cs="Arial"/>
                <w:sz w:val="20"/>
                <w:lang w:val="en-GB"/>
              </w:rPr>
            </w:pPr>
            <w:r w:rsidRPr="004E75B9">
              <w:rPr>
                <w:rFonts w:ascii="Arial" w:hAnsi="Arial" w:cs="Arial"/>
                <w:sz w:val="20"/>
                <w:lang w:val="en-GB"/>
              </w:rPr>
              <w:t>Definition of the most relevant currencies</w:t>
            </w:r>
          </w:p>
        </w:tc>
        <w:tc>
          <w:tcPr>
            <w:tcW w:w="2835" w:type="dxa"/>
            <w:tcBorders>
              <w:top w:val="nil"/>
              <w:left w:val="nil"/>
              <w:bottom w:val="single" w:sz="4" w:space="0" w:color="auto"/>
              <w:right w:val="single" w:sz="4" w:space="0" w:color="auto"/>
            </w:tcBorders>
            <w:vAlign w:val="center"/>
          </w:tcPr>
          <w:p w14:paraId="34B03178" w14:textId="58DF342E" w:rsidR="00471EE4" w:rsidRPr="004E75B9" w:rsidRDefault="00471EE4" w:rsidP="00471EE4">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179"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7A" w14:textId="3CC3E5C8" w:rsidR="00471EE4" w:rsidRPr="004E75B9" w:rsidRDefault="00471EE4" w:rsidP="00471EE4">
            <w:pPr>
              <w:jc w:val="center"/>
              <w:rPr>
                <w:rFonts w:ascii="Arial" w:hAnsi="Arial" w:cs="Arial"/>
                <w:sz w:val="20"/>
                <w:lang w:val="en-GB"/>
              </w:rPr>
            </w:pPr>
            <w:r w:rsidRPr="004E75B9">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7B" w14:textId="77777777" w:rsidR="00471EE4" w:rsidRPr="004E75B9" w:rsidRDefault="00471EE4" w:rsidP="00471EE4">
            <w:pPr>
              <w:jc w:val="center"/>
              <w:rPr>
                <w:rFonts w:ascii="Arial" w:hAnsi="Arial" w:cs="Arial"/>
                <w:sz w:val="20"/>
                <w:lang w:val="en-GB"/>
              </w:rPr>
            </w:pPr>
            <w:r w:rsidRPr="004E75B9">
              <w:rPr>
                <w:rFonts w:ascii="Arial" w:hAnsi="Arial" w:cs="Arial"/>
                <w:sz w:val="20"/>
                <w:lang w:val="en-GB"/>
              </w:rPr>
              <w:t>31 January of the year following the reference period</w:t>
            </w:r>
          </w:p>
        </w:tc>
      </w:tr>
      <w:tr w:rsidR="004E75B9" w:rsidRPr="004E75B9" w14:paraId="34B03184" w14:textId="77777777" w:rsidTr="00481406">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1A36F998"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102</w:t>
            </w:r>
          </w:p>
        </w:tc>
        <w:tc>
          <w:tcPr>
            <w:tcW w:w="1418" w:type="dxa"/>
            <w:tcBorders>
              <w:top w:val="nil"/>
              <w:left w:val="single" w:sz="4" w:space="0" w:color="auto"/>
              <w:bottom w:val="single" w:sz="4" w:space="0" w:color="auto"/>
              <w:right w:val="single" w:sz="4" w:space="0" w:color="auto"/>
            </w:tcBorders>
            <w:vAlign w:val="center"/>
          </w:tcPr>
          <w:p w14:paraId="34B0317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P69</w:t>
            </w:r>
          </w:p>
        </w:tc>
        <w:tc>
          <w:tcPr>
            <w:tcW w:w="2598" w:type="dxa"/>
            <w:tcBorders>
              <w:top w:val="nil"/>
              <w:left w:val="nil"/>
              <w:bottom w:val="single" w:sz="4" w:space="0" w:color="auto"/>
              <w:right w:val="single" w:sz="4" w:space="0" w:color="auto"/>
            </w:tcBorders>
            <w:vAlign w:val="center"/>
          </w:tcPr>
          <w:p w14:paraId="34B0317F" w14:textId="729F041A" w:rsidR="00187BC7" w:rsidRPr="004E75B9" w:rsidRDefault="00187BC7" w:rsidP="00187BC7">
            <w:pPr>
              <w:rPr>
                <w:rFonts w:ascii="Arial" w:hAnsi="Arial" w:cs="Arial"/>
                <w:sz w:val="20"/>
                <w:lang w:val="en-GB"/>
              </w:rPr>
            </w:pPr>
            <w:r w:rsidRPr="004E75B9">
              <w:rPr>
                <w:rFonts w:ascii="Arial" w:hAnsi="Arial" w:cs="Arial"/>
                <w:sz w:val="20"/>
                <w:lang w:val="en-GB"/>
              </w:rPr>
              <w:t>Report related to Article 55/A (2) of Act LXXXV of 2009 on the Pursuit of the Business of Payment Services</w:t>
            </w:r>
          </w:p>
        </w:tc>
        <w:tc>
          <w:tcPr>
            <w:tcW w:w="2835" w:type="dxa"/>
            <w:tcBorders>
              <w:top w:val="nil"/>
              <w:left w:val="nil"/>
              <w:bottom w:val="single" w:sz="4" w:space="0" w:color="auto"/>
              <w:right w:val="single" w:sz="4" w:space="0" w:color="auto"/>
            </w:tcBorders>
            <w:vAlign w:val="center"/>
          </w:tcPr>
          <w:p w14:paraId="34B03180" w14:textId="122E0DCF" w:rsidR="00187BC7" w:rsidRPr="004E75B9" w:rsidRDefault="00187BC7" w:rsidP="00187BC7">
            <w:pPr>
              <w:rPr>
                <w:rFonts w:ascii="Arial" w:hAnsi="Arial" w:cs="Arial"/>
                <w:sz w:val="20"/>
                <w:lang w:val="en-GB"/>
              </w:rPr>
            </w:pPr>
            <w:r w:rsidRPr="004E75B9">
              <w:rPr>
                <w:rFonts w:ascii="Arial" w:hAnsi="Arial" w:cs="Arial"/>
                <w:sz w:val="20"/>
                <w:lang w:val="en-GB"/>
              </w:rPr>
              <w:t xml:space="preserve">a payment service provider and an EEA branch of this type, </w:t>
            </w:r>
            <w:proofErr w:type="gramStart"/>
            <w:r w:rsidRPr="004E75B9">
              <w:rPr>
                <w:rFonts w:ascii="Arial" w:hAnsi="Arial" w:cs="Arial"/>
                <w:sz w:val="20"/>
                <w:lang w:val="en-GB"/>
              </w:rPr>
              <w:t>with the exception of</w:t>
            </w:r>
            <w:proofErr w:type="gramEnd"/>
            <w:r w:rsidRPr="004E75B9">
              <w:rPr>
                <w:rFonts w:ascii="Arial" w:hAnsi="Arial" w:cs="Arial"/>
                <w:sz w:val="20"/>
                <w:lang w:val="en-GB"/>
              </w:rPr>
              <w:t xml:space="preserve"> an institution operating a Postal Clearing Centre, the Hungarian State Treasury and an EEA branch using an account management system identical to that of its parent company for the provision of payment services</w:t>
            </w:r>
          </w:p>
        </w:tc>
        <w:tc>
          <w:tcPr>
            <w:tcW w:w="1701" w:type="dxa"/>
            <w:tcBorders>
              <w:top w:val="nil"/>
              <w:left w:val="nil"/>
              <w:bottom w:val="single" w:sz="4" w:space="0" w:color="auto"/>
              <w:right w:val="single" w:sz="4" w:space="0" w:color="auto"/>
            </w:tcBorders>
            <w:vAlign w:val="center"/>
          </w:tcPr>
          <w:p w14:paraId="34B0318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82" w14:textId="1984A773"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electronic </w:t>
            </w:r>
            <w:r w:rsidRPr="004E75B9">
              <w:rPr>
                <w:rFonts w:ascii="Arial" w:hAnsi="Arial" w:cs="Arial"/>
                <w:sz w:val="20"/>
                <w:lang w:val="en-GB"/>
              </w:rPr>
              <w:br/>
              <w:t>(ERA system, template)</w:t>
            </w:r>
          </w:p>
        </w:tc>
        <w:tc>
          <w:tcPr>
            <w:tcW w:w="3402" w:type="dxa"/>
            <w:tcBorders>
              <w:top w:val="nil"/>
              <w:left w:val="nil"/>
              <w:bottom w:val="single" w:sz="4" w:space="0" w:color="auto"/>
              <w:right w:val="single" w:sz="4" w:space="0" w:color="auto"/>
            </w:tcBorders>
            <w:vAlign w:val="center"/>
          </w:tcPr>
          <w:p w14:paraId="34B0318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31 March of the year following the reference period</w:t>
            </w:r>
          </w:p>
        </w:tc>
      </w:tr>
      <w:tr w:rsidR="004E75B9" w:rsidRPr="004E75B9" w14:paraId="303188BB" w14:textId="77777777" w:rsidTr="00481406">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4A11F4F0" w:rsidR="00187BC7" w:rsidRPr="004E75B9" w:rsidRDefault="00187BC7" w:rsidP="00187BC7">
            <w:pPr>
              <w:jc w:val="center"/>
              <w:rPr>
                <w:rFonts w:ascii="Arial" w:hAnsi="Arial" w:cs="Arial"/>
                <w:sz w:val="20"/>
                <w:lang w:val="en-GB"/>
              </w:rPr>
            </w:pPr>
            <w:r w:rsidRPr="004E75B9">
              <w:rPr>
                <w:rFonts w:ascii="Arial" w:hAnsi="Arial" w:cs="Arial"/>
                <w:sz w:val="20"/>
                <w:lang w:val="en-GB"/>
              </w:rPr>
              <w:t>103</w:t>
            </w:r>
          </w:p>
        </w:tc>
        <w:tc>
          <w:tcPr>
            <w:tcW w:w="1418" w:type="dxa"/>
            <w:tcBorders>
              <w:top w:val="nil"/>
              <w:left w:val="single" w:sz="4" w:space="0" w:color="auto"/>
              <w:bottom w:val="single" w:sz="4" w:space="0" w:color="auto"/>
              <w:right w:val="single" w:sz="4" w:space="0" w:color="auto"/>
            </w:tcBorders>
            <w:vAlign w:val="center"/>
          </w:tcPr>
          <w:p w14:paraId="00B534D3" w14:textId="2A92A7A5" w:rsidR="00187BC7" w:rsidRPr="004E75B9" w:rsidRDefault="00187BC7" w:rsidP="00187BC7">
            <w:pPr>
              <w:jc w:val="center"/>
              <w:rPr>
                <w:rFonts w:ascii="Arial" w:hAnsi="Arial" w:cs="Arial"/>
                <w:sz w:val="20"/>
                <w:lang w:val="en-GB"/>
              </w:rPr>
            </w:pPr>
            <w:r w:rsidRPr="004E75B9">
              <w:rPr>
                <w:rFonts w:ascii="Arial" w:hAnsi="Arial" w:cs="Arial"/>
                <w:sz w:val="20"/>
                <w:lang w:val="en-GB"/>
              </w:rPr>
              <w:t>P70</w:t>
            </w:r>
          </w:p>
        </w:tc>
        <w:tc>
          <w:tcPr>
            <w:tcW w:w="2598" w:type="dxa"/>
            <w:tcBorders>
              <w:top w:val="nil"/>
              <w:left w:val="nil"/>
              <w:bottom w:val="single" w:sz="4" w:space="0" w:color="auto"/>
              <w:right w:val="single" w:sz="4" w:space="0" w:color="auto"/>
            </w:tcBorders>
            <w:vAlign w:val="center"/>
          </w:tcPr>
          <w:p w14:paraId="42B82798" w14:textId="5736363D" w:rsidR="00187BC7" w:rsidRPr="004E75B9" w:rsidRDefault="00187BC7" w:rsidP="00187BC7">
            <w:pPr>
              <w:rPr>
                <w:rFonts w:ascii="Arial" w:hAnsi="Arial" w:cs="Arial"/>
                <w:sz w:val="20"/>
                <w:lang w:val="en-GB"/>
              </w:rPr>
            </w:pPr>
            <w:r w:rsidRPr="004E75B9">
              <w:rPr>
                <w:rFonts w:ascii="Arial" w:hAnsi="Arial" w:cs="Arial"/>
                <w:sz w:val="20"/>
                <w:lang w:val="en-GB"/>
              </w:rPr>
              <w:t>Ad hoc data supply on non-compliance with certain requirements for the dedicated interface</w:t>
            </w:r>
          </w:p>
        </w:tc>
        <w:tc>
          <w:tcPr>
            <w:tcW w:w="2835" w:type="dxa"/>
            <w:tcBorders>
              <w:top w:val="nil"/>
              <w:left w:val="nil"/>
              <w:bottom w:val="single" w:sz="4" w:space="0" w:color="auto"/>
              <w:right w:val="single" w:sz="4" w:space="0" w:color="auto"/>
            </w:tcBorders>
            <w:vAlign w:val="center"/>
          </w:tcPr>
          <w:p w14:paraId="2DD3BAC0" w14:textId="34DEA43F" w:rsidR="00187BC7" w:rsidRPr="004E75B9" w:rsidRDefault="00187BC7" w:rsidP="00187BC7">
            <w:pPr>
              <w:rPr>
                <w:rFonts w:ascii="Arial" w:hAnsi="Arial" w:cs="Arial"/>
                <w:sz w:val="20"/>
                <w:lang w:val="en-GB"/>
              </w:rPr>
            </w:pPr>
            <w:r w:rsidRPr="004E75B9">
              <w:rPr>
                <w:rFonts w:ascii="Arial" w:hAnsi="Arial" w:cs="Arial"/>
                <w:sz w:val="20"/>
                <w:lang w:val="en-GB"/>
              </w:rPr>
              <w:t>account manager payment service providers and EEA branches of this type exempted from establishing a fallback mechanism</w:t>
            </w:r>
          </w:p>
        </w:tc>
        <w:tc>
          <w:tcPr>
            <w:tcW w:w="1701" w:type="dxa"/>
            <w:tcBorders>
              <w:top w:val="nil"/>
              <w:left w:val="nil"/>
              <w:bottom w:val="single" w:sz="4" w:space="0" w:color="auto"/>
              <w:right w:val="single" w:sz="4" w:space="0" w:color="auto"/>
            </w:tcBorders>
            <w:vAlign w:val="center"/>
          </w:tcPr>
          <w:p w14:paraId="2EB03676" w14:textId="5C4FDDFA" w:rsidR="00187BC7" w:rsidRPr="004E75B9" w:rsidRDefault="00187BC7" w:rsidP="00187BC7">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926171F" w14:textId="7F039888"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electronic </w:t>
            </w:r>
            <w:r w:rsidRPr="004E75B9">
              <w:rPr>
                <w:rFonts w:ascii="Arial" w:hAnsi="Arial" w:cs="Arial"/>
                <w:sz w:val="20"/>
                <w:lang w:val="en-GB"/>
              </w:rPr>
              <w:b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0551DA54" w14:textId="75D2943C" w:rsidR="00187BC7" w:rsidRPr="004E75B9" w:rsidRDefault="00187BC7" w:rsidP="00187BC7">
            <w:pPr>
              <w:jc w:val="center"/>
              <w:rPr>
                <w:rFonts w:ascii="Arial" w:hAnsi="Arial" w:cs="Arial"/>
                <w:sz w:val="20"/>
                <w:lang w:val="en-GB"/>
              </w:rPr>
            </w:pPr>
            <w:r w:rsidRPr="004E75B9">
              <w:rPr>
                <w:rFonts w:ascii="Arial" w:hAnsi="Arial" w:cs="Arial"/>
                <w:sz w:val="20"/>
                <w:lang w:val="en-GB"/>
              </w:rPr>
              <w:t>first working day after failing – for two consecutive calendar weeks – to fulfil the conditions specified in Article 33(6)a) and d) of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SCAR)</w:t>
            </w:r>
          </w:p>
        </w:tc>
      </w:tr>
      <w:tr w:rsidR="004E75B9" w:rsidRPr="004E75B9" w14:paraId="69F97105" w14:textId="77777777" w:rsidTr="00481406">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2DEE8849" w:rsidR="00187BC7" w:rsidRPr="004E75B9" w:rsidRDefault="00187BC7" w:rsidP="00187BC7">
            <w:pPr>
              <w:jc w:val="center"/>
              <w:rPr>
                <w:rFonts w:ascii="Arial" w:hAnsi="Arial" w:cs="Arial"/>
                <w:sz w:val="20"/>
                <w:lang w:val="en-GB"/>
              </w:rPr>
            </w:pPr>
            <w:r w:rsidRPr="004E75B9">
              <w:rPr>
                <w:rFonts w:ascii="Arial" w:hAnsi="Arial" w:cs="Arial"/>
                <w:sz w:val="20"/>
                <w:lang w:val="en-GB"/>
              </w:rPr>
              <w:t>104</w:t>
            </w:r>
          </w:p>
        </w:tc>
        <w:tc>
          <w:tcPr>
            <w:tcW w:w="1418" w:type="dxa"/>
            <w:tcBorders>
              <w:top w:val="nil"/>
              <w:left w:val="single" w:sz="4" w:space="0" w:color="auto"/>
              <w:bottom w:val="single" w:sz="4" w:space="0" w:color="auto"/>
              <w:right w:val="single" w:sz="4" w:space="0" w:color="auto"/>
            </w:tcBorders>
            <w:vAlign w:val="center"/>
          </w:tcPr>
          <w:p w14:paraId="4C691615" w14:textId="10F1E835" w:rsidR="00187BC7" w:rsidRPr="004E75B9" w:rsidRDefault="00187BC7" w:rsidP="00187BC7">
            <w:pPr>
              <w:jc w:val="center"/>
              <w:rPr>
                <w:rFonts w:ascii="Arial" w:hAnsi="Arial" w:cs="Arial"/>
                <w:sz w:val="20"/>
                <w:lang w:val="en-GB"/>
              </w:rPr>
            </w:pPr>
            <w:r w:rsidRPr="004E75B9">
              <w:rPr>
                <w:rFonts w:ascii="Arial" w:hAnsi="Arial" w:cs="Arial"/>
                <w:sz w:val="20"/>
                <w:lang w:val="en-GB"/>
              </w:rPr>
              <w:t>P71</w:t>
            </w:r>
          </w:p>
        </w:tc>
        <w:tc>
          <w:tcPr>
            <w:tcW w:w="2598" w:type="dxa"/>
            <w:tcBorders>
              <w:top w:val="nil"/>
              <w:left w:val="nil"/>
              <w:bottom w:val="single" w:sz="4" w:space="0" w:color="auto"/>
              <w:right w:val="single" w:sz="4" w:space="0" w:color="auto"/>
            </w:tcBorders>
            <w:vAlign w:val="center"/>
          </w:tcPr>
          <w:p w14:paraId="76810C00" w14:textId="18D188EC" w:rsidR="00187BC7" w:rsidRPr="004E75B9" w:rsidRDefault="00187BC7" w:rsidP="00187BC7">
            <w:pPr>
              <w:rPr>
                <w:rFonts w:ascii="Arial" w:hAnsi="Arial" w:cs="Arial"/>
                <w:sz w:val="20"/>
                <w:lang w:val="en-GB"/>
              </w:rPr>
            </w:pPr>
            <w:bookmarkStart w:id="7" w:name="_Hlk17980726"/>
            <w:r w:rsidRPr="004E75B9">
              <w:rPr>
                <w:rFonts w:ascii="Arial" w:hAnsi="Arial" w:cs="Arial"/>
                <w:sz w:val="20"/>
                <w:lang w:val="en-GB"/>
              </w:rPr>
              <w:t>Termination or restart of the use of exemptions based on transaction risk analysis</w:t>
            </w:r>
            <w:bookmarkEnd w:id="7"/>
          </w:p>
        </w:tc>
        <w:tc>
          <w:tcPr>
            <w:tcW w:w="2835" w:type="dxa"/>
            <w:tcBorders>
              <w:top w:val="nil"/>
              <w:left w:val="nil"/>
              <w:bottom w:val="single" w:sz="4" w:space="0" w:color="auto"/>
              <w:right w:val="single" w:sz="4" w:space="0" w:color="auto"/>
            </w:tcBorders>
            <w:vAlign w:val="center"/>
          </w:tcPr>
          <w:p w14:paraId="4FB65D2D" w14:textId="6B5B27C2" w:rsidR="00187BC7" w:rsidRPr="004E75B9" w:rsidRDefault="00187BC7" w:rsidP="00187BC7">
            <w:pPr>
              <w:rPr>
                <w:rFonts w:ascii="Arial" w:hAnsi="Arial" w:cs="Arial"/>
                <w:sz w:val="20"/>
                <w:lang w:val="en-GB"/>
              </w:rPr>
            </w:pPr>
            <w:r w:rsidRPr="004E75B9">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222166E2" w14:textId="2311234E" w:rsidR="00187BC7" w:rsidRPr="004E75B9" w:rsidRDefault="00187BC7" w:rsidP="00187BC7">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7674B647" w14:textId="61758284"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electronic </w:t>
            </w:r>
            <w:r w:rsidRPr="004E75B9">
              <w:rPr>
                <w:rFonts w:ascii="Arial" w:hAnsi="Arial" w:cs="Arial"/>
                <w:sz w:val="20"/>
                <w:lang w:val="en-GB"/>
              </w:rPr>
              <w:b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92B8E08" w14:textId="06ECC9C7" w:rsidR="00187BC7" w:rsidRPr="004E75B9" w:rsidRDefault="00187BC7" w:rsidP="00187BC7">
            <w:pPr>
              <w:jc w:val="center"/>
              <w:rPr>
                <w:rFonts w:ascii="Arial" w:hAnsi="Arial" w:cs="Arial"/>
                <w:sz w:val="20"/>
                <w:lang w:val="en-GB"/>
              </w:rPr>
            </w:pPr>
            <w:r w:rsidRPr="004E75B9">
              <w:rPr>
                <w:rFonts w:ascii="Arial" w:hAnsi="Arial" w:cs="Arial"/>
                <w:sz w:val="20"/>
                <w:lang w:val="en-GB"/>
              </w:rPr>
              <w:t>with regard to the termination of the use of exemptions based on transaction risk analysis: immediately, in accordance with the provisions of Article 20(1) of the SCAR;</w:t>
            </w:r>
          </w:p>
          <w:p w14:paraId="03AC78B3" w14:textId="77777777" w:rsidR="00187BC7" w:rsidRPr="004E75B9" w:rsidRDefault="00187BC7" w:rsidP="00187BC7">
            <w:pPr>
              <w:jc w:val="center"/>
              <w:rPr>
                <w:rFonts w:ascii="Arial" w:hAnsi="Arial" w:cs="Arial"/>
                <w:sz w:val="20"/>
                <w:lang w:val="en-GB"/>
              </w:rPr>
            </w:pPr>
          </w:p>
          <w:p w14:paraId="7681BB40" w14:textId="65068DC1" w:rsidR="00187BC7" w:rsidRPr="004E75B9" w:rsidRDefault="00187BC7" w:rsidP="00187BC7">
            <w:pPr>
              <w:jc w:val="center"/>
              <w:rPr>
                <w:rFonts w:ascii="Arial" w:hAnsi="Arial" w:cs="Arial"/>
                <w:sz w:val="20"/>
                <w:lang w:val="en-GB"/>
              </w:rPr>
            </w:pPr>
            <w:r w:rsidRPr="004E75B9">
              <w:rPr>
                <w:rFonts w:ascii="Arial" w:hAnsi="Arial" w:cs="Arial"/>
                <w:sz w:val="20"/>
                <w:lang w:val="en-GB"/>
              </w:rPr>
              <w:t>with regard to the restarting of the use of exemptions based on transaction risk analysis: 5th working day preceding the planned date of the restarting;</w:t>
            </w:r>
          </w:p>
        </w:tc>
      </w:tr>
      <w:tr w:rsidR="004E75B9" w:rsidRPr="004E75B9" w14:paraId="797CC81F" w14:textId="77777777" w:rsidTr="00481406">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32EF1DFB"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105</w:t>
            </w:r>
          </w:p>
        </w:tc>
        <w:tc>
          <w:tcPr>
            <w:tcW w:w="1418" w:type="dxa"/>
            <w:tcBorders>
              <w:top w:val="nil"/>
              <w:left w:val="single" w:sz="4" w:space="0" w:color="auto"/>
              <w:bottom w:val="single" w:sz="4" w:space="0" w:color="auto"/>
              <w:right w:val="single" w:sz="4" w:space="0" w:color="auto"/>
            </w:tcBorders>
            <w:vAlign w:val="center"/>
          </w:tcPr>
          <w:p w14:paraId="3B31241F" w14:textId="171463E6" w:rsidR="00187BC7" w:rsidRPr="004E75B9" w:rsidRDefault="00187BC7" w:rsidP="00187BC7">
            <w:pPr>
              <w:jc w:val="center"/>
              <w:rPr>
                <w:rFonts w:ascii="Arial" w:hAnsi="Arial" w:cs="Arial"/>
                <w:sz w:val="20"/>
                <w:lang w:val="en-GB"/>
              </w:rPr>
            </w:pPr>
            <w:r w:rsidRPr="004E75B9">
              <w:rPr>
                <w:rFonts w:ascii="Arial" w:hAnsi="Arial" w:cs="Arial"/>
                <w:sz w:val="20"/>
                <w:lang w:val="en-GB"/>
              </w:rPr>
              <w:t>P72</w:t>
            </w:r>
          </w:p>
        </w:tc>
        <w:tc>
          <w:tcPr>
            <w:tcW w:w="2598" w:type="dxa"/>
            <w:tcBorders>
              <w:top w:val="nil"/>
              <w:left w:val="nil"/>
              <w:bottom w:val="single" w:sz="4" w:space="0" w:color="auto"/>
              <w:right w:val="single" w:sz="4" w:space="0" w:color="auto"/>
            </w:tcBorders>
            <w:vAlign w:val="center"/>
          </w:tcPr>
          <w:p w14:paraId="67438982" w14:textId="45057CD5" w:rsidR="00187BC7" w:rsidRPr="004E75B9" w:rsidRDefault="00187BC7" w:rsidP="00187BC7">
            <w:pPr>
              <w:rPr>
                <w:rFonts w:ascii="Arial" w:hAnsi="Arial" w:cs="Arial"/>
                <w:sz w:val="20"/>
                <w:lang w:val="en-GB"/>
              </w:rPr>
            </w:pPr>
            <w:r w:rsidRPr="004E75B9">
              <w:rPr>
                <w:rFonts w:ascii="Arial" w:hAnsi="Arial" w:cs="Arial"/>
                <w:sz w:val="20"/>
                <w:lang w:val="en-GB"/>
              </w:rPr>
              <w:t>Problems related to the dedicated interface requiring extraordinary measures</w:t>
            </w:r>
          </w:p>
        </w:tc>
        <w:tc>
          <w:tcPr>
            <w:tcW w:w="2835" w:type="dxa"/>
            <w:tcBorders>
              <w:top w:val="nil"/>
              <w:left w:val="nil"/>
              <w:bottom w:val="single" w:sz="4" w:space="0" w:color="auto"/>
              <w:right w:val="single" w:sz="4" w:space="0" w:color="auto"/>
            </w:tcBorders>
            <w:vAlign w:val="center"/>
          </w:tcPr>
          <w:p w14:paraId="24FF2EAC" w14:textId="617402E2" w:rsidR="00187BC7" w:rsidRPr="004E75B9" w:rsidRDefault="00187BC7" w:rsidP="00187BC7">
            <w:pPr>
              <w:rPr>
                <w:rFonts w:ascii="Arial" w:hAnsi="Arial" w:cs="Arial"/>
                <w:sz w:val="20"/>
                <w:lang w:val="en-GB"/>
              </w:rPr>
            </w:pPr>
            <w:r w:rsidRPr="004E75B9">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6CAE4C48" w14:textId="3A9F93CF" w:rsidR="00187BC7" w:rsidRPr="004E75B9" w:rsidRDefault="00187BC7" w:rsidP="00187BC7">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603B6B7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75B15127" w14:textId="14AF58F6"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(ERA system, template), with enhanced security or qualified electronic signature </w:t>
            </w:r>
          </w:p>
        </w:tc>
        <w:tc>
          <w:tcPr>
            <w:tcW w:w="3402" w:type="dxa"/>
            <w:tcBorders>
              <w:top w:val="nil"/>
              <w:left w:val="nil"/>
              <w:bottom w:val="single" w:sz="4" w:space="0" w:color="auto"/>
              <w:right w:val="single" w:sz="4" w:space="0" w:color="auto"/>
            </w:tcBorders>
            <w:vAlign w:val="center"/>
          </w:tcPr>
          <w:p w14:paraId="2E832DB2" w14:textId="32019D33" w:rsidR="00187BC7" w:rsidRPr="004E75B9" w:rsidRDefault="00187BC7" w:rsidP="00187BC7">
            <w:pPr>
              <w:jc w:val="center"/>
              <w:rPr>
                <w:rFonts w:ascii="Arial" w:hAnsi="Arial" w:cs="Arial"/>
                <w:sz w:val="20"/>
                <w:lang w:val="en-GB"/>
              </w:rPr>
            </w:pPr>
            <w:r w:rsidRPr="004E75B9">
              <w:rPr>
                <w:rFonts w:ascii="Arial" w:hAnsi="Arial" w:cs="Arial"/>
                <w:sz w:val="20"/>
                <w:lang w:val="en-GB"/>
              </w:rPr>
              <w:t>without delay, in accordance with the provisions of Article 33(3) of the SCAR</w:t>
            </w:r>
          </w:p>
        </w:tc>
      </w:tr>
      <w:tr w:rsidR="004E75B9" w:rsidRPr="004E75B9" w14:paraId="77B04267" w14:textId="77777777" w:rsidTr="00481406">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A5DE846" w:rsidR="00187BC7" w:rsidRPr="004E75B9" w:rsidRDefault="00187BC7" w:rsidP="00187BC7">
            <w:pPr>
              <w:jc w:val="center"/>
              <w:rPr>
                <w:rFonts w:ascii="Arial" w:hAnsi="Arial" w:cs="Arial"/>
                <w:sz w:val="20"/>
                <w:lang w:val="en-GB"/>
              </w:rPr>
            </w:pPr>
            <w:r w:rsidRPr="004E75B9">
              <w:rPr>
                <w:rFonts w:ascii="Arial" w:hAnsi="Arial" w:cs="Arial"/>
                <w:sz w:val="20"/>
                <w:lang w:val="en-GB"/>
              </w:rPr>
              <w:t>106</w:t>
            </w:r>
          </w:p>
        </w:tc>
        <w:tc>
          <w:tcPr>
            <w:tcW w:w="1418" w:type="dxa"/>
            <w:tcBorders>
              <w:top w:val="nil"/>
              <w:left w:val="single" w:sz="4" w:space="0" w:color="auto"/>
              <w:bottom w:val="single" w:sz="4" w:space="0" w:color="auto"/>
              <w:right w:val="single" w:sz="4" w:space="0" w:color="auto"/>
            </w:tcBorders>
            <w:vAlign w:val="center"/>
          </w:tcPr>
          <w:p w14:paraId="4089EFD8" w14:textId="7666DE33" w:rsidR="00187BC7" w:rsidRPr="004E75B9" w:rsidRDefault="00187BC7" w:rsidP="00187BC7">
            <w:pPr>
              <w:jc w:val="center"/>
              <w:rPr>
                <w:rFonts w:ascii="Arial" w:hAnsi="Arial" w:cs="Arial"/>
                <w:sz w:val="20"/>
                <w:lang w:val="en-GB"/>
              </w:rPr>
            </w:pPr>
            <w:r w:rsidRPr="004E75B9">
              <w:rPr>
                <w:rFonts w:ascii="Arial" w:hAnsi="Arial" w:cs="Arial"/>
                <w:sz w:val="20"/>
                <w:lang w:val="en-GB"/>
              </w:rPr>
              <w:t>P73</w:t>
            </w:r>
          </w:p>
        </w:tc>
        <w:tc>
          <w:tcPr>
            <w:tcW w:w="2598" w:type="dxa"/>
            <w:tcBorders>
              <w:top w:val="nil"/>
              <w:left w:val="nil"/>
              <w:bottom w:val="single" w:sz="4" w:space="0" w:color="auto"/>
              <w:right w:val="single" w:sz="4" w:space="0" w:color="auto"/>
            </w:tcBorders>
            <w:vAlign w:val="center"/>
          </w:tcPr>
          <w:p w14:paraId="06C310B5" w14:textId="33E01573" w:rsidR="00187BC7" w:rsidRPr="004E75B9" w:rsidRDefault="00187BC7" w:rsidP="00187BC7">
            <w:pPr>
              <w:rPr>
                <w:rFonts w:ascii="Arial" w:hAnsi="Arial" w:cs="Arial"/>
                <w:sz w:val="20"/>
                <w:lang w:val="en-GB"/>
              </w:rPr>
            </w:pPr>
            <w:bookmarkStart w:id="8" w:name="_Hlk43982018"/>
            <w:r w:rsidRPr="004E75B9">
              <w:rPr>
                <w:rFonts w:ascii="Arial" w:hAnsi="Arial" w:cs="Arial"/>
                <w:sz w:val="20"/>
                <w:lang w:val="en-GB"/>
              </w:rPr>
              <w:t>Central counterparty – collective guarantee fund and capital data</w:t>
            </w:r>
            <w:bookmarkEnd w:id="8"/>
          </w:p>
        </w:tc>
        <w:tc>
          <w:tcPr>
            <w:tcW w:w="2835" w:type="dxa"/>
            <w:tcBorders>
              <w:top w:val="nil"/>
              <w:left w:val="nil"/>
              <w:bottom w:val="single" w:sz="4" w:space="0" w:color="auto"/>
              <w:right w:val="single" w:sz="4" w:space="0" w:color="auto"/>
            </w:tcBorders>
            <w:vAlign w:val="center"/>
          </w:tcPr>
          <w:p w14:paraId="04649E10" w14:textId="0F99BEEC" w:rsidR="00187BC7" w:rsidRPr="004E75B9" w:rsidRDefault="00187BC7" w:rsidP="00187BC7">
            <w:pPr>
              <w:rPr>
                <w:rFonts w:ascii="Arial" w:hAnsi="Arial" w:cs="Arial"/>
                <w:sz w:val="20"/>
                <w:lang w:val="en-GB"/>
              </w:rPr>
            </w:pPr>
            <w:r w:rsidRPr="004E75B9">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23108908" w14:textId="2A7DE066" w:rsidR="00187BC7" w:rsidRPr="004E75B9" w:rsidRDefault="00187BC7" w:rsidP="00187BC7">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6C549DE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4C65BABE" w14:textId="0539C66A"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5B9E5C2" w14:textId="3E68A230" w:rsidR="00187BC7" w:rsidRPr="004E75B9" w:rsidRDefault="00187BC7" w:rsidP="00187BC7">
            <w:pPr>
              <w:jc w:val="center"/>
              <w:rPr>
                <w:rFonts w:ascii="Arial" w:hAnsi="Arial" w:cs="Arial"/>
                <w:sz w:val="20"/>
                <w:lang w:val="en-GB"/>
              </w:rPr>
            </w:pPr>
            <w:r w:rsidRPr="004E75B9">
              <w:rPr>
                <w:rFonts w:ascii="Arial" w:hAnsi="Arial" w:cs="Arial"/>
                <w:sz w:val="20"/>
                <w:lang w:val="en-GB"/>
              </w:rPr>
              <w:t>20th working day following the reference period</w:t>
            </w:r>
          </w:p>
        </w:tc>
      </w:tr>
      <w:tr w:rsidR="004E75B9" w:rsidRPr="004E75B9" w14:paraId="10797C12" w14:textId="77777777" w:rsidTr="00481406">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1FA480DA" w:rsidR="00187BC7" w:rsidRPr="004E75B9" w:rsidRDefault="00187BC7" w:rsidP="00187BC7">
            <w:pPr>
              <w:jc w:val="center"/>
              <w:rPr>
                <w:rFonts w:ascii="Arial" w:hAnsi="Arial" w:cs="Arial"/>
                <w:sz w:val="20"/>
                <w:lang w:val="en-GB"/>
              </w:rPr>
            </w:pPr>
            <w:r w:rsidRPr="004E75B9">
              <w:rPr>
                <w:rFonts w:ascii="Arial" w:hAnsi="Arial" w:cs="Arial"/>
                <w:sz w:val="20"/>
                <w:lang w:val="en-GB"/>
              </w:rPr>
              <w:t>107</w:t>
            </w:r>
          </w:p>
        </w:tc>
        <w:tc>
          <w:tcPr>
            <w:tcW w:w="1418" w:type="dxa"/>
            <w:tcBorders>
              <w:top w:val="nil"/>
              <w:left w:val="single" w:sz="4" w:space="0" w:color="auto"/>
              <w:bottom w:val="single" w:sz="4" w:space="0" w:color="auto"/>
              <w:right w:val="single" w:sz="4" w:space="0" w:color="auto"/>
            </w:tcBorders>
            <w:vAlign w:val="center"/>
          </w:tcPr>
          <w:p w14:paraId="40D3EF5C" w14:textId="019F52CD" w:rsidR="00187BC7" w:rsidRPr="004E75B9" w:rsidRDefault="00187BC7" w:rsidP="00187BC7">
            <w:pPr>
              <w:jc w:val="center"/>
              <w:rPr>
                <w:rFonts w:ascii="Arial" w:hAnsi="Arial" w:cs="Arial"/>
                <w:sz w:val="20"/>
                <w:lang w:val="en-GB"/>
              </w:rPr>
            </w:pPr>
            <w:r w:rsidRPr="004E75B9">
              <w:rPr>
                <w:rFonts w:ascii="Arial" w:hAnsi="Arial" w:cs="Arial"/>
                <w:sz w:val="20"/>
                <w:lang w:val="en-GB"/>
              </w:rPr>
              <w:t>P74</w:t>
            </w:r>
          </w:p>
        </w:tc>
        <w:tc>
          <w:tcPr>
            <w:tcW w:w="2598" w:type="dxa"/>
            <w:tcBorders>
              <w:top w:val="nil"/>
              <w:left w:val="nil"/>
              <w:bottom w:val="single" w:sz="4" w:space="0" w:color="auto"/>
              <w:right w:val="single" w:sz="4" w:space="0" w:color="auto"/>
            </w:tcBorders>
            <w:vAlign w:val="center"/>
          </w:tcPr>
          <w:p w14:paraId="1D927F1B" w14:textId="390E3754" w:rsidR="00187BC7" w:rsidRPr="004E75B9" w:rsidRDefault="00187BC7" w:rsidP="00187BC7">
            <w:pPr>
              <w:rPr>
                <w:rFonts w:ascii="Arial" w:hAnsi="Arial" w:cs="Arial"/>
                <w:sz w:val="20"/>
                <w:lang w:val="en-GB"/>
              </w:rPr>
            </w:pPr>
            <w:r w:rsidRPr="004E75B9">
              <w:rPr>
                <w:rFonts w:ascii="Arial" w:hAnsi="Arial" w:cs="Arial"/>
                <w:sz w:val="20"/>
                <w:lang w:val="en-GB"/>
              </w:rPr>
              <w:t>Data of the statement of fees related to payments</w:t>
            </w:r>
          </w:p>
        </w:tc>
        <w:tc>
          <w:tcPr>
            <w:tcW w:w="2835" w:type="dxa"/>
            <w:tcBorders>
              <w:top w:val="nil"/>
              <w:left w:val="nil"/>
              <w:bottom w:val="single" w:sz="4" w:space="0" w:color="auto"/>
              <w:right w:val="single" w:sz="4" w:space="0" w:color="auto"/>
            </w:tcBorders>
            <w:vAlign w:val="center"/>
          </w:tcPr>
          <w:p w14:paraId="1822EAC1" w14:textId="21CADA02" w:rsidR="00187BC7" w:rsidRPr="004E75B9" w:rsidRDefault="00187BC7" w:rsidP="00187BC7">
            <w:pPr>
              <w:rPr>
                <w:rFonts w:ascii="Arial" w:hAnsi="Arial" w:cs="Arial"/>
                <w:sz w:val="20"/>
                <w:lang w:val="en-GB"/>
              </w:rPr>
            </w:pPr>
            <w:r w:rsidRPr="004E75B9">
              <w:rPr>
                <w:rFonts w:ascii="Arial" w:hAnsi="Arial" w:cs="Arial"/>
                <w:sz w:val="20"/>
                <w:lang w:val="en-GB"/>
              </w:rPr>
              <w:t>payment service providers falling within Government Decree No 144/2018 (VIII. 13.) on certain issues of the information given on the fees related to consumer payment accounts</w:t>
            </w:r>
            <w:r w:rsidRPr="004E75B9">
              <w:rPr>
                <w:rFonts w:ascii="Arial" w:hAnsi="Arial" w:cs="Arial"/>
                <w:sz w:val="20"/>
                <w:lang w:val="en-GB"/>
              </w:rPr>
              <w:br/>
            </w:r>
          </w:p>
        </w:tc>
        <w:tc>
          <w:tcPr>
            <w:tcW w:w="1701" w:type="dxa"/>
            <w:tcBorders>
              <w:top w:val="nil"/>
              <w:left w:val="nil"/>
              <w:bottom w:val="single" w:sz="4" w:space="0" w:color="auto"/>
              <w:right w:val="single" w:sz="4" w:space="0" w:color="auto"/>
            </w:tcBorders>
            <w:vAlign w:val="center"/>
          </w:tcPr>
          <w:p w14:paraId="0E94AD95" w14:textId="7E1A399E" w:rsidR="00187BC7" w:rsidRPr="004E75B9" w:rsidRDefault="00187BC7" w:rsidP="00187BC7">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78D3DAD5" w14:textId="4D7D4EF4"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27F15F0" w14:textId="2777D9B6"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28 February </w:t>
            </w:r>
            <w:r w:rsidRPr="004E75B9">
              <w:rPr>
                <w:rFonts w:ascii="Arial" w:hAnsi="Arial" w:cs="Arial"/>
                <w:sz w:val="20"/>
                <w:lang w:val="en-GB"/>
              </w:rPr>
              <w:br/>
              <w:t>of the year following the reference period</w:t>
            </w:r>
          </w:p>
        </w:tc>
      </w:tr>
      <w:tr w:rsidR="004E75B9" w:rsidRPr="004E75B9" w14:paraId="2C286B9C" w14:textId="77777777" w:rsidTr="00481406">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04EFE040" w:rsidR="00187BC7" w:rsidRPr="004E75B9" w:rsidRDefault="00187BC7" w:rsidP="00187BC7">
            <w:pPr>
              <w:jc w:val="center"/>
              <w:rPr>
                <w:rFonts w:ascii="Arial" w:hAnsi="Arial" w:cs="Arial"/>
                <w:sz w:val="20"/>
                <w:lang w:val="en-GB"/>
              </w:rPr>
            </w:pPr>
            <w:r w:rsidRPr="004E75B9">
              <w:rPr>
                <w:rFonts w:ascii="Arial" w:hAnsi="Arial" w:cs="Arial"/>
                <w:sz w:val="20"/>
                <w:lang w:val="en-GB"/>
              </w:rPr>
              <w:t>108</w:t>
            </w:r>
          </w:p>
        </w:tc>
        <w:tc>
          <w:tcPr>
            <w:tcW w:w="1418" w:type="dxa"/>
            <w:tcBorders>
              <w:top w:val="nil"/>
              <w:left w:val="single" w:sz="4" w:space="0" w:color="auto"/>
              <w:bottom w:val="single" w:sz="4" w:space="0" w:color="auto"/>
              <w:right w:val="single" w:sz="4" w:space="0" w:color="auto"/>
            </w:tcBorders>
            <w:vAlign w:val="center"/>
          </w:tcPr>
          <w:p w14:paraId="19C77FA6" w14:textId="3EC5646E" w:rsidR="00187BC7" w:rsidRPr="004E75B9" w:rsidRDefault="00187BC7" w:rsidP="00187BC7">
            <w:pPr>
              <w:jc w:val="center"/>
              <w:rPr>
                <w:rFonts w:ascii="Arial" w:hAnsi="Arial" w:cs="Arial"/>
                <w:sz w:val="20"/>
                <w:lang w:val="en-GB"/>
              </w:rPr>
            </w:pPr>
            <w:r w:rsidRPr="004E75B9">
              <w:rPr>
                <w:rFonts w:ascii="Arial" w:hAnsi="Arial" w:cs="Arial"/>
                <w:sz w:val="20"/>
                <w:lang w:val="en-GB"/>
              </w:rPr>
              <w:t>P75</w:t>
            </w:r>
          </w:p>
        </w:tc>
        <w:tc>
          <w:tcPr>
            <w:tcW w:w="2598" w:type="dxa"/>
            <w:tcBorders>
              <w:top w:val="nil"/>
              <w:left w:val="nil"/>
              <w:bottom w:val="single" w:sz="4" w:space="0" w:color="auto"/>
              <w:right w:val="single" w:sz="4" w:space="0" w:color="auto"/>
            </w:tcBorders>
            <w:vAlign w:val="center"/>
          </w:tcPr>
          <w:p w14:paraId="1578D37C" w14:textId="789340A6" w:rsidR="00187BC7" w:rsidRPr="004E75B9" w:rsidRDefault="00187BC7" w:rsidP="00187BC7">
            <w:pPr>
              <w:rPr>
                <w:rFonts w:ascii="Arial" w:hAnsi="Arial" w:cs="Arial"/>
                <w:sz w:val="20"/>
                <w:lang w:val="en-GB"/>
              </w:rPr>
            </w:pPr>
            <w:r w:rsidRPr="004E75B9">
              <w:rPr>
                <w:rFonts w:ascii="Arial" w:hAnsi="Arial" w:cs="Arial"/>
                <w:sz w:val="20"/>
                <w:lang w:val="en-GB"/>
              </w:rPr>
              <w:t>Data of instant clearing turnover</w:t>
            </w:r>
          </w:p>
        </w:tc>
        <w:tc>
          <w:tcPr>
            <w:tcW w:w="2835" w:type="dxa"/>
            <w:tcBorders>
              <w:top w:val="nil"/>
              <w:left w:val="nil"/>
              <w:bottom w:val="single" w:sz="4" w:space="0" w:color="auto"/>
              <w:right w:val="single" w:sz="4" w:space="0" w:color="auto"/>
            </w:tcBorders>
            <w:vAlign w:val="center"/>
          </w:tcPr>
          <w:p w14:paraId="5755EDCC" w14:textId="5B4ABA8F" w:rsidR="00187BC7" w:rsidRPr="004E75B9" w:rsidRDefault="00187BC7" w:rsidP="00187BC7">
            <w:pPr>
              <w:rPr>
                <w:rFonts w:ascii="Arial" w:hAnsi="Arial" w:cs="Arial"/>
                <w:sz w:val="20"/>
                <w:lang w:val="en-GB"/>
              </w:rPr>
            </w:pPr>
            <w:r w:rsidRPr="004E75B9">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16909C54" w14:textId="37C45672" w:rsidR="00187BC7" w:rsidRPr="004E75B9" w:rsidRDefault="00187BC7" w:rsidP="00187BC7">
            <w:pPr>
              <w:jc w:val="center"/>
              <w:rPr>
                <w:rFonts w:ascii="Arial" w:hAnsi="Arial" w:cs="Arial"/>
                <w:sz w:val="20"/>
                <w:lang w:val="en-GB"/>
              </w:rPr>
            </w:pPr>
            <w:r w:rsidRPr="004E75B9">
              <w:rPr>
                <w:rFonts w:ascii="Arial" w:hAnsi="Arial" w:cs="Arial"/>
                <w:sz w:val="20"/>
                <w:lang w:val="en-GB"/>
              </w:rPr>
              <w:t>twice a day</w:t>
            </w:r>
          </w:p>
        </w:tc>
        <w:tc>
          <w:tcPr>
            <w:tcW w:w="1796" w:type="dxa"/>
            <w:tcBorders>
              <w:top w:val="nil"/>
              <w:left w:val="nil"/>
              <w:bottom w:val="single" w:sz="4" w:space="0" w:color="auto"/>
              <w:right w:val="single" w:sz="4" w:space="0" w:color="auto"/>
            </w:tcBorders>
            <w:vAlign w:val="center"/>
          </w:tcPr>
          <w:p w14:paraId="44CA0799" w14:textId="1EE4CD89"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 (</w:t>
            </w:r>
            <w:proofErr w:type="spellStart"/>
            <w:r w:rsidRPr="004E75B9">
              <w:rPr>
                <w:rFonts w:ascii="Arial" w:hAnsi="Arial" w:cs="Arial"/>
                <w:sz w:val="20"/>
                <w:lang w:val="en-GB"/>
              </w:rPr>
              <w:t>GiroNetworkMail</w:t>
            </w:r>
            <w:proofErr w:type="spellEnd"/>
            <w:r w:rsidRPr="004E75B9">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1592648E" w14:textId="050A79F8" w:rsidR="00187BC7" w:rsidRPr="004E75B9" w:rsidRDefault="00187BC7" w:rsidP="00187BC7">
            <w:pPr>
              <w:jc w:val="center"/>
              <w:rPr>
                <w:rFonts w:ascii="Arial" w:hAnsi="Arial" w:cs="Arial"/>
                <w:sz w:val="20"/>
                <w:lang w:val="en-GB"/>
              </w:rPr>
            </w:pPr>
            <w:r w:rsidRPr="004E75B9">
              <w:rPr>
                <w:rFonts w:ascii="Arial" w:hAnsi="Arial" w:cs="Arial"/>
                <w:sz w:val="20"/>
                <w:lang w:val="en-GB"/>
              </w:rPr>
              <w:t>Real-time Gross Settlement System (hereinafter: VIBER) working days: within 30 minutes of VIBER opening and VIBER closing time;</w:t>
            </w:r>
          </w:p>
        </w:tc>
      </w:tr>
      <w:tr w:rsidR="004E75B9" w:rsidRPr="004E75B9" w14:paraId="1BE187DD" w14:textId="77777777" w:rsidTr="00481406">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4A39AF6D" w:rsidR="00187BC7" w:rsidRPr="004E75B9" w:rsidRDefault="00187BC7" w:rsidP="00187BC7">
            <w:pPr>
              <w:jc w:val="center"/>
              <w:rPr>
                <w:rFonts w:ascii="Arial" w:hAnsi="Arial" w:cs="Arial"/>
                <w:sz w:val="20"/>
                <w:lang w:val="en-GB"/>
              </w:rPr>
            </w:pPr>
            <w:r w:rsidRPr="004E75B9">
              <w:rPr>
                <w:rFonts w:ascii="Arial" w:hAnsi="Arial" w:cs="Arial"/>
                <w:sz w:val="20"/>
                <w:lang w:val="en-GB"/>
              </w:rPr>
              <w:t>109</w:t>
            </w:r>
          </w:p>
        </w:tc>
        <w:tc>
          <w:tcPr>
            <w:tcW w:w="1418" w:type="dxa"/>
            <w:tcBorders>
              <w:top w:val="nil"/>
              <w:left w:val="single" w:sz="4" w:space="0" w:color="auto"/>
              <w:bottom w:val="single" w:sz="4" w:space="0" w:color="auto"/>
              <w:right w:val="single" w:sz="4" w:space="0" w:color="auto"/>
            </w:tcBorders>
            <w:vAlign w:val="center"/>
          </w:tcPr>
          <w:p w14:paraId="5D75D1B8" w14:textId="1A77BE2A" w:rsidR="00187BC7" w:rsidRPr="004E75B9" w:rsidRDefault="00187BC7" w:rsidP="00187BC7">
            <w:pPr>
              <w:jc w:val="center"/>
              <w:rPr>
                <w:rFonts w:ascii="Arial" w:hAnsi="Arial" w:cs="Arial"/>
                <w:sz w:val="20"/>
                <w:lang w:val="en-GB"/>
              </w:rPr>
            </w:pPr>
            <w:r w:rsidRPr="004E75B9">
              <w:rPr>
                <w:rFonts w:ascii="Arial" w:hAnsi="Arial" w:cs="Arial"/>
                <w:sz w:val="20"/>
                <w:lang w:val="en-GB"/>
              </w:rPr>
              <w:t>P76</w:t>
            </w:r>
          </w:p>
        </w:tc>
        <w:tc>
          <w:tcPr>
            <w:tcW w:w="2598" w:type="dxa"/>
            <w:tcBorders>
              <w:top w:val="nil"/>
              <w:left w:val="nil"/>
              <w:bottom w:val="single" w:sz="4" w:space="0" w:color="auto"/>
              <w:right w:val="single" w:sz="4" w:space="0" w:color="auto"/>
            </w:tcBorders>
            <w:vAlign w:val="center"/>
          </w:tcPr>
          <w:p w14:paraId="0BFB72A3" w14:textId="34C4C6BA" w:rsidR="00187BC7" w:rsidRPr="004E75B9" w:rsidRDefault="00187BC7" w:rsidP="00187BC7">
            <w:pPr>
              <w:jc w:val="center"/>
              <w:rPr>
                <w:rFonts w:ascii="Arial" w:hAnsi="Arial" w:cs="Arial"/>
                <w:sz w:val="20"/>
                <w:lang w:val="en-GB"/>
              </w:rPr>
            </w:pPr>
            <w:r w:rsidRPr="004E75B9">
              <w:rPr>
                <w:rFonts w:ascii="Arial" w:hAnsi="Arial" w:cs="Arial"/>
                <w:sz w:val="20"/>
                <w:lang w:val="en-GB"/>
              </w:rPr>
              <w:t>Transaction data of instant settlement</w:t>
            </w:r>
          </w:p>
        </w:tc>
        <w:tc>
          <w:tcPr>
            <w:tcW w:w="2835" w:type="dxa"/>
            <w:tcBorders>
              <w:top w:val="nil"/>
              <w:left w:val="nil"/>
              <w:bottom w:val="single" w:sz="4" w:space="0" w:color="auto"/>
              <w:right w:val="single" w:sz="4" w:space="0" w:color="auto"/>
            </w:tcBorders>
            <w:vAlign w:val="center"/>
          </w:tcPr>
          <w:p w14:paraId="4869952E" w14:textId="5B03780E" w:rsidR="00187BC7" w:rsidRPr="004E75B9" w:rsidRDefault="00187BC7" w:rsidP="00187BC7">
            <w:pPr>
              <w:rPr>
                <w:rFonts w:ascii="Arial" w:hAnsi="Arial" w:cs="Arial"/>
                <w:sz w:val="20"/>
                <w:lang w:val="en-GB"/>
              </w:rPr>
            </w:pPr>
            <w:r w:rsidRPr="004E75B9">
              <w:rPr>
                <w:rFonts w:ascii="Arial" w:hAnsi="Arial" w:cs="Arial"/>
                <w:sz w:val="20"/>
                <w:lang w:val="en-GB"/>
              </w:rPr>
              <w:t>direct or indirect participants, connected to the domestic payment system performing the settlement and execution of instant payment orders, with the exception of specialised credit institutions and the Hungarian State Treasury</w:t>
            </w:r>
          </w:p>
        </w:tc>
        <w:tc>
          <w:tcPr>
            <w:tcW w:w="1701" w:type="dxa"/>
            <w:tcBorders>
              <w:top w:val="nil"/>
              <w:left w:val="nil"/>
              <w:bottom w:val="single" w:sz="4" w:space="0" w:color="auto"/>
              <w:right w:val="single" w:sz="4" w:space="0" w:color="auto"/>
            </w:tcBorders>
            <w:vAlign w:val="center"/>
          </w:tcPr>
          <w:p w14:paraId="158CE7DF" w14:textId="5BEAF7D7" w:rsidR="00187BC7" w:rsidRPr="004E75B9" w:rsidRDefault="00187BC7" w:rsidP="00187BC7">
            <w:pPr>
              <w:jc w:val="center"/>
              <w:rPr>
                <w:rFonts w:ascii="Arial" w:hAnsi="Arial" w:cs="Arial"/>
                <w:sz w:val="20"/>
                <w:lang w:val="en-GB"/>
              </w:rPr>
            </w:pPr>
            <w:r w:rsidRPr="004E75B9">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203CB6C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59A8078A" w14:textId="742912F5"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1E361572" w14:textId="52BE17F6" w:rsidR="00187BC7" w:rsidRPr="004E75B9" w:rsidRDefault="00187BC7" w:rsidP="00187BC7">
            <w:pPr>
              <w:jc w:val="center"/>
              <w:rPr>
                <w:rFonts w:ascii="Arial" w:hAnsi="Arial" w:cs="Arial"/>
                <w:sz w:val="20"/>
                <w:lang w:val="en-GB"/>
              </w:rPr>
            </w:pPr>
            <w:r w:rsidRPr="004E75B9">
              <w:rPr>
                <w:rFonts w:ascii="Arial" w:hAnsi="Arial" w:cs="Arial"/>
                <w:sz w:val="20"/>
                <w:lang w:val="en-GB"/>
              </w:rPr>
              <w:t>4th working day following the reference period</w:t>
            </w:r>
          </w:p>
        </w:tc>
      </w:tr>
      <w:tr w:rsidR="004E75B9" w:rsidRPr="004E75B9" w14:paraId="72349350" w14:textId="77777777" w:rsidTr="00481406">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220BBBEC" w:rsidR="00187BC7" w:rsidRPr="004E75B9" w:rsidRDefault="00187BC7" w:rsidP="00187BC7">
            <w:pPr>
              <w:jc w:val="center"/>
              <w:rPr>
                <w:rFonts w:ascii="Arial" w:hAnsi="Arial" w:cs="Arial"/>
                <w:sz w:val="20"/>
                <w:lang w:val="en-GB"/>
              </w:rPr>
            </w:pPr>
            <w:r w:rsidRPr="004E75B9">
              <w:rPr>
                <w:rFonts w:ascii="Arial" w:hAnsi="Arial" w:cs="Arial"/>
                <w:sz w:val="20"/>
                <w:lang w:val="en-GB"/>
              </w:rPr>
              <w:t>110</w:t>
            </w:r>
          </w:p>
        </w:tc>
        <w:tc>
          <w:tcPr>
            <w:tcW w:w="1418" w:type="dxa"/>
            <w:tcBorders>
              <w:top w:val="nil"/>
              <w:left w:val="single" w:sz="4" w:space="0" w:color="auto"/>
              <w:bottom w:val="single" w:sz="4" w:space="0" w:color="auto"/>
              <w:right w:val="single" w:sz="4" w:space="0" w:color="auto"/>
            </w:tcBorders>
            <w:vAlign w:val="center"/>
          </w:tcPr>
          <w:p w14:paraId="42A42839" w14:textId="5494D0E7" w:rsidR="00187BC7" w:rsidRPr="004E75B9" w:rsidRDefault="00187BC7" w:rsidP="00187BC7">
            <w:pPr>
              <w:jc w:val="center"/>
              <w:rPr>
                <w:rFonts w:ascii="Arial" w:hAnsi="Arial" w:cs="Arial"/>
                <w:sz w:val="20"/>
                <w:lang w:val="en-GB"/>
              </w:rPr>
            </w:pPr>
            <w:r w:rsidRPr="004E75B9">
              <w:rPr>
                <w:rFonts w:ascii="Arial" w:hAnsi="Arial" w:cs="Arial"/>
                <w:sz w:val="20"/>
                <w:lang w:val="en-GB"/>
              </w:rPr>
              <w:t>P81</w:t>
            </w:r>
          </w:p>
        </w:tc>
        <w:tc>
          <w:tcPr>
            <w:tcW w:w="2598" w:type="dxa"/>
            <w:tcBorders>
              <w:top w:val="nil"/>
              <w:left w:val="nil"/>
              <w:bottom w:val="single" w:sz="4" w:space="0" w:color="auto"/>
              <w:right w:val="single" w:sz="4" w:space="0" w:color="auto"/>
            </w:tcBorders>
            <w:vAlign w:val="center"/>
          </w:tcPr>
          <w:p w14:paraId="2EA7F16B" w14:textId="6AFF762E" w:rsidR="00187BC7" w:rsidRPr="004E75B9" w:rsidRDefault="00187BC7" w:rsidP="00187BC7">
            <w:pPr>
              <w:rPr>
                <w:rFonts w:ascii="Arial" w:hAnsi="Arial" w:cs="Arial"/>
                <w:sz w:val="20"/>
                <w:lang w:val="en-GB"/>
              </w:rPr>
            </w:pPr>
            <w:r w:rsidRPr="004E75B9">
              <w:rPr>
                <w:rFonts w:ascii="Arial" w:hAnsi="Arial" w:cs="Arial"/>
                <w:sz w:val="20"/>
                <w:lang w:val="en-GB"/>
              </w:rPr>
              <w:t>Daily currency delivery report</w:t>
            </w:r>
          </w:p>
        </w:tc>
        <w:tc>
          <w:tcPr>
            <w:tcW w:w="2835" w:type="dxa"/>
            <w:tcBorders>
              <w:top w:val="nil"/>
              <w:left w:val="nil"/>
              <w:bottom w:val="single" w:sz="4" w:space="0" w:color="auto"/>
              <w:right w:val="single" w:sz="4" w:space="0" w:color="auto"/>
            </w:tcBorders>
            <w:vAlign w:val="center"/>
          </w:tcPr>
          <w:p w14:paraId="7BE5601F" w14:textId="352B50B1" w:rsidR="00187BC7" w:rsidRPr="004E75B9" w:rsidRDefault="00187BC7" w:rsidP="00187BC7">
            <w:pPr>
              <w:rPr>
                <w:rFonts w:ascii="Arial" w:hAnsi="Arial" w:cs="Arial"/>
                <w:sz w:val="20"/>
                <w:lang w:val="en-GB"/>
              </w:rPr>
            </w:pPr>
            <w:r w:rsidRPr="004E75B9">
              <w:rPr>
                <w:rFonts w:ascii="Arial" w:hAnsi="Arial" w:cs="Arial"/>
                <w:sz w:val="20"/>
                <w:lang w:val="en-GB"/>
              </w:rPr>
              <w:t>designated organisations, licensed to perform cash processing activities</w:t>
            </w:r>
          </w:p>
        </w:tc>
        <w:tc>
          <w:tcPr>
            <w:tcW w:w="1701" w:type="dxa"/>
            <w:tcBorders>
              <w:top w:val="nil"/>
              <w:left w:val="nil"/>
              <w:bottom w:val="single" w:sz="4" w:space="0" w:color="auto"/>
              <w:right w:val="single" w:sz="4" w:space="0" w:color="auto"/>
            </w:tcBorders>
            <w:vAlign w:val="center"/>
          </w:tcPr>
          <w:p w14:paraId="29A585B1" w14:textId="730EAE41" w:rsidR="00187BC7" w:rsidRPr="004E75B9" w:rsidRDefault="00187BC7" w:rsidP="00187BC7">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4E0697AA" w14:textId="7227A6CC"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 (ERA system)</w:t>
            </w:r>
          </w:p>
        </w:tc>
        <w:tc>
          <w:tcPr>
            <w:tcW w:w="3402" w:type="dxa"/>
            <w:tcBorders>
              <w:top w:val="nil"/>
              <w:left w:val="nil"/>
              <w:bottom w:val="single" w:sz="4" w:space="0" w:color="auto"/>
              <w:right w:val="single" w:sz="4" w:space="0" w:color="auto"/>
            </w:tcBorders>
            <w:vAlign w:val="center"/>
          </w:tcPr>
          <w:p w14:paraId="6DF52FB8" w14:textId="79C4701B"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working day following the reference day</w:t>
            </w:r>
          </w:p>
        </w:tc>
      </w:tr>
      <w:tr w:rsidR="004E75B9" w:rsidRPr="004E75B9" w14:paraId="4A85737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14E3EEB2"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110a</w:t>
            </w:r>
          </w:p>
        </w:tc>
        <w:tc>
          <w:tcPr>
            <w:tcW w:w="1418" w:type="dxa"/>
            <w:tcBorders>
              <w:top w:val="nil"/>
              <w:left w:val="single" w:sz="4" w:space="0" w:color="auto"/>
              <w:bottom w:val="single" w:sz="4" w:space="0" w:color="auto"/>
              <w:right w:val="single" w:sz="4" w:space="0" w:color="auto"/>
            </w:tcBorders>
            <w:vAlign w:val="center"/>
          </w:tcPr>
          <w:p w14:paraId="0748D6F8"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P82</w:t>
            </w:r>
          </w:p>
        </w:tc>
        <w:tc>
          <w:tcPr>
            <w:tcW w:w="2598" w:type="dxa"/>
            <w:tcBorders>
              <w:top w:val="nil"/>
              <w:left w:val="nil"/>
              <w:bottom w:val="single" w:sz="4" w:space="0" w:color="auto"/>
              <w:right w:val="single" w:sz="4" w:space="0" w:color="auto"/>
            </w:tcBorders>
            <w:vAlign w:val="center"/>
          </w:tcPr>
          <w:p w14:paraId="106B9355"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 xml:space="preserve">Certain data related to open banking </w:t>
            </w:r>
          </w:p>
        </w:tc>
        <w:tc>
          <w:tcPr>
            <w:tcW w:w="2835" w:type="dxa"/>
            <w:tcBorders>
              <w:top w:val="nil"/>
              <w:left w:val="nil"/>
              <w:bottom w:val="single" w:sz="4" w:space="0" w:color="auto"/>
              <w:right w:val="single" w:sz="4" w:space="0" w:color="auto"/>
            </w:tcBorders>
            <w:vAlign w:val="center"/>
          </w:tcPr>
          <w:p w14:paraId="09FFCFF1"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5D8FC89"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605CDF25"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electronic (ERA system, form)</w:t>
            </w:r>
          </w:p>
        </w:tc>
        <w:tc>
          <w:tcPr>
            <w:tcW w:w="3402" w:type="dxa"/>
            <w:tcBorders>
              <w:top w:val="nil"/>
              <w:left w:val="nil"/>
              <w:bottom w:val="single" w:sz="4" w:space="0" w:color="auto"/>
              <w:right w:val="single" w:sz="4" w:space="0" w:color="auto"/>
            </w:tcBorders>
            <w:vAlign w:val="center"/>
          </w:tcPr>
          <w:p w14:paraId="65E9844D" w14:textId="77777777" w:rsidR="00D62E38" w:rsidRPr="004E75B9" w:rsidRDefault="00D62E38" w:rsidP="00481406">
            <w:pPr>
              <w:jc w:val="center"/>
              <w:rPr>
                <w:rFonts w:ascii="Arial" w:hAnsi="Arial" w:cs="Arial"/>
                <w:sz w:val="20"/>
                <w:lang w:val="en-GB"/>
              </w:rPr>
            </w:pPr>
            <w:r w:rsidRPr="004E75B9">
              <w:rPr>
                <w:rFonts w:ascii="Arial" w:hAnsi="Arial" w:cs="Arial"/>
                <w:sz w:val="20"/>
                <w:lang w:val="en-GB"/>
              </w:rPr>
              <w:t>the working day following the change of data</w:t>
            </w:r>
          </w:p>
        </w:tc>
      </w:tr>
      <w:tr w:rsidR="004E75B9" w:rsidRPr="004E75B9" w14:paraId="34B0318D"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3734FF9D"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111</w:t>
            </w:r>
          </w:p>
        </w:tc>
        <w:tc>
          <w:tcPr>
            <w:tcW w:w="1418" w:type="dxa"/>
            <w:tcBorders>
              <w:top w:val="nil"/>
              <w:left w:val="single" w:sz="4" w:space="0" w:color="auto"/>
              <w:bottom w:val="single" w:sz="4" w:space="0" w:color="auto"/>
              <w:right w:val="single" w:sz="4" w:space="0" w:color="auto"/>
            </w:tcBorders>
            <w:vAlign w:val="center"/>
          </w:tcPr>
          <w:p w14:paraId="34B0318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R01</w:t>
            </w:r>
          </w:p>
        </w:tc>
        <w:tc>
          <w:tcPr>
            <w:tcW w:w="2598" w:type="dxa"/>
            <w:tcBorders>
              <w:top w:val="nil"/>
              <w:left w:val="nil"/>
              <w:bottom w:val="single" w:sz="4" w:space="0" w:color="auto"/>
              <w:right w:val="single" w:sz="4" w:space="0" w:color="auto"/>
            </w:tcBorders>
            <w:vAlign w:val="center"/>
          </w:tcPr>
          <w:p w14:paraId="34B03187" w14:textId="5516586D" w:rsidR="00187BC7" w:rsidRPr="004E75B9" w:rsidRDefault="00187BC7" w:rsidP="00187BC7">
            <w:pPr>
              <w:rPr>
                <w:rFonts w:ascii="Arial" w:hAnsi="Arial" w:cs="Arial"/>
                <w:sz w:val="20"/>
                <w:lang w:val="en-GB"/>
              </w:rPr>
            </w:pPr>
            <w:r w:rsidRPr="004E75B9">
              <w:rPr>
                <w:rFonts w:ascii="Arial" w:hAnsi="Arial" w:cs="Arial"/>
                <w:sz w:val="20"/>
                <w:lang w:val="en-GB"/>
              </w:rPr>
              <w:t>Registration data of the final investors and non-resident counterparties of data providers involved in capital investment</w:t>
            </w:r>
          </w:p>
        </w:tc>
        <w:tc>
          <w:tcPr>
            <w:tcW w:w="2835" w:type="dxa"/>
            <w:tcBorders>
              <w:top w:val="nil"/>
              <w:left w:val="nil"/>
              <w:bottom w:val="single" w:sz="4" w:space="0" w:color="auto"/>
              <w:right w:val="single" w:sz="4" w:space="0" w:color="auto"/>
            </w:tcBorders>
            <w:vAlign w:val="center"/>
          </w:tcPr>
          <w:p w14:paraId="34B03188" w14:textId="40FAF0ED" w:rsidR="00187BC7" w:rsidRPr="004E75B9" w:rsidRDefault="00187BC7" w:rsidP="00187BC7">
            <w:pPr>
              <w:rPr>
                <w:rFonts w:ascii="Arial" w:hAnsi="Arial" w:cs="Arial"/>
                <w:sz w:val="20"/>
                <w:lang w:val="en-GB"/>
              </w:rPr>
            </w:pPr>
            <w:r w:rsidRPr="004E75B9">
              <w:rPr>
                <w:rFonts w:ascii="Arial" w:hAnsi="Arial" w:cs="Arial"/>
                <w:sz w:val="20"/>
                <w:lang w:val="en-GB"/>
              </w:rPr>
              <w:t>economic agents obliged to fulfil the data supplies with MNB identification codes of R02, R03, R12, R13 or R29</w:t>
            </w:r>
          </w:p>
        </w:tc>
        <w:tc>
          <w:tcPr>
            <w:tcW w:w="1701" w:type="dxa"/>
            <w:tcBorders>
              <w:top w:val="nil"/>
              <w:left w:val="nil"/>
              <w:bottom w:val="single" w:sz="4" w:space="0" w:color="auto"/>
              <w:right w:val="single" w:sz="4" w:space="0" w:color="auto"/>
            </w:tcBorders>
            <w:vAlign w:val="center"/>
          </w:tcPr>
          <w:p w14:paraId="34B03189" w14:textId="75F98E88" w:rsidR="00187BC7" w:rsidRPr="004E75B9" w:rsidRDefault="00187BC7" w:rsidP="00187BC7">
            <w:pPr>
              <w:jc w:val="center"/>
              <w:rPr>
                <w:rFonts w:ascii="Arial" w:hAnsi="Arial" w:cs="Arial"/>
                <w:sz w:val="20"/>
                <w:lang w:val="en-GB"/>
              </w:rPr>
            </w:pPr>
            <w:r w:rsidRPr="004E75B9">
              <w:rPr>
                <w:rFonts w:ascii="Arial" w:hAnsi="Arial" w:cs="Arial"/>
                <w:sz w:val="20"/>
                <w:lang w:val="en-GB"/>
              </w:rPr>
              <w:t>upon the first submission of data supplies MNB identification codes R02, R03, R12, R13 or R29, thereafter in the case of changes</w:t>
            </w:r>
          </w:p>
        </w:tc>
        <w:tc>
          <w:tcPr>
            <w:tcW w:w="1796" w:type="dxa"/>
            <w:tcBorders>
              <w:top w:val="nil"/>
              <w:left w:val="nil"/>
              <w:bottom w:val="single" w:sz="4" w:space="0" w:color="auto"/>
              <w:right w:val="single" w:sz="4" w:space="0" w:color="auto"/>
            </w:tcBorders>
            <w:vAlign w:val="center"/>
          </w:tcPr>
          <w:p w14:paraId="34B0318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8B" w14:textId="5F3F5826"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8C" w14:textId="7228C2A7"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with respect to data supplies with MNB identification codes of R02, R03, R12 or R13: the 9th working day of the month following their respective reference period; </w:t>
            </w:r>
            <w:r w:rsidRPr="004E75B9">
              <w:rPr>
                <w:rFonts w:ascii="Arial" w:hAnsi="Arial" w:cs="Arial"/>
                <w:sz w:val="20"/>
                <w:lang w:val="en-GB"/>
              </w:rPr>
              <w:br/>
              <w:t>with respect to data supply with MNB identification code of R29: 20 June of the year following the reference period of the data supply</w:t>
            </w:r>
          </w:p>
        </w:tc>
      </w:tr>
      <w:tr w:rsidR="004E75B9" w:rsidRPr="004E75B9" w14:paraId="34B0319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73EEA54" w:rsidR="00187BC7" w:rsidRPr="004E75B9" w:rsidRDefault="00187BC7" w:rsidP="00187BC7">
            <w:pPr>
              <w:jc w:val="center"/>
              <w:rPr>
                <w:rFonts w:ascii="Arial" w:hAnsi="Arial" w:cs="Arial"/>
                <w:sz w:val="20"/>
                <w:lang w:val="en-GB"/>
              </w:rPr>
            </w:pPr>
            <w:r w:rsidRPr="004E75B9">
              <w:rPr>
                <w:rFonts w:ascii="Arial" w:hAnsi="Arial" w:cs="Arial"/>
                <w:sz w:val="20"/>
                <w:lang w:val="en-GB"/>
              </w:rPr>
              <w:t>112</w:t>
            </w:r>
          </w:p>
        </w:tc>
        <w:tc>
          <w:tcPr>
            <w:tcW w:w="1418" w:type="dxa"/>
            <w:tcBorders>
              <w:top w:val="nil"/>
              <w:left w:val="single" w:sz="4" w:space="0" w:color="auto"/>
              <w:bottom w:val="single" w:sz="4" w:space="0" w:color="auto"/>
              <w:right w:val="single" w:sz="4" w:space="0" w:color="auto"/>
            </w:tcBorders>
            <w:vAlign w:val="center"/>
          </w:tcPr>
          <w:p w14:paraId="34B0318F"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R02</w:t>
            </w:r>
          </w:p>
        </w:tc>
        <w:tc>
          <w:tcPr>
            <w:tcW w:w="2598" w:type="dxa"/>
            <w:tcBorders>
              <w:top w:val="nil"/>
              <w:left w:val="nil"/>
              <w:bottom w:val="single" w:sz="4" w:space="0" w:color="auto"/>
              <w:right w:val="single" w:sz="4" w:space="0" w:color="auto"/>
            </w:tcBorders>
            <w:vAlign w:val="center"/>
          </w:tcPr>
          <w:p w14:paraId="34B03190" w14:textId="0FFDCC26" w:rsidR="00187BC7" w:rsidRPr="004E75B9" w:rsidRDefault="00187BC7" w:rsidP="00187BC7">
            <w:pPr>
              <w:rPr>
                <w:rFonts w:ascii="Arial" w:hAnsi="Arial" w:cs="Arial"/>
                <w:sz w:val="20"/>
                <w:lang w:val="en-GB"/>
              </w:rPr>
            </w:pPr>
            <w:r w:rsidRPr="004E75B9">
              <w:rPr>
                <w:rFonts w:ascii="Arial" w:hAnsi="Arial" w:cs="Arial"/>
                <w:sz w:val="20"/>
                <w:lang w:val="en-GB"/>
              </w:rPr>
              <w:t>Monthly data supply on capital investments – economic agents not allocated to the sector of other monetary financial institutions</w:t>
            </w:r>
          </w:p>
        </w:tc>
        <w:tc>
          <w:tcPr>
            <w:tcW w:w="2835" w:type="dxa"/>
            <w:tcBorders>
              <w:top w:val="nil"/>
              <w:left w:val="nil"/>
              <w:bottom w:val="single" w:sz="4" w:space="0" w:color="auto"/>
              <w:right w:val="single" w:sz="4" w:space="0" w:color="auto"/>
            </w:tcBorders>
            <w:vAlign w:val="center"/>
          </w:tcPr>
          <w:p w14:paraId="34B03191" w14:textId="44227D56"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 not allocated to sector C) Other monetary financial institutions under point I. A. of Annex 2</w:t>
            </w:r>
          </w:p>
        </w:tc>
        <w:tc>
          <w:tcPr>
            <w:tcW w:w="1701" w:type="dxa"/>
            <w:tcBorders>
              <w:top w:val="nil"/>
              <w:left w:val="nil"/>
              <w:bottom w:val="single" w:sz="4" w:space="0" w:color="auto"/>
              <w:right w:val="single" w:sz="4" w:space="0" w:color="auto"/>
            </w:tcBorders>
            <w:vAlign w:val="center"/>
          </w:tcPr>
          <w:p w14:paraId="34B03192" w14:textId="7A2F1CC9"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9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94" w14:textId="5B23BCB6"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9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9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13B04626" w:rsidR="00187BC7" w:rsidRPr="004E75B9" w:rsidRDefault="00187BC7" w:rsidP="00187BC7">
            <w:pPr>
              <w:jc w:val="center"/>
              <w:rPr>
                <w:rFonts w:ascii="Arial" w:hAnsi="Arial" w:cs="Arial"/>
                <w:sz w:val="20"/>
                <w:lang w:val="en-GB"/>
              </w:rPr>
            </w:pPr>
            <w:r w:rsidRPr="004E75B9">
              <w:rPr>
                <w:rFonts w:ascii="Arial" w:hAnsi="Arial" w:cs="Arial"/>
                <w:sz w:val="20"/>
                <w:lang w:val="en-GB"/>
              </w:rPr>
              <w:t>113</w:t>
            </w:r>
          </w:p>
        </w:tc>
        <w:tc>
          <w:tcPr>
            <w:tcW w:w="1418" w:type="dxa"/>
            <w:tcBorders>
              <w:top w:val="nil"/>
              <w:left w:val="single" w:sz="4" w:space="0" w:color="auto"/>
              <w:bottom w:val="single" w:sz="4" w:space="0" w:color="auto"/>
              <w:right w:val="single" w:sz="4" w:space="0" w:color="auto"/>
            </w:tcBorders>
            <w:vAlign w:val="center"/>
          </w:tcPr>
          <w:p w14:paraId="34B0319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R03</w:t>
            </w:r>
          </w:p>
        </w:tc>
        <w:tc>
          <w:tcPr>
            <w:tcW w:w="2598" w:type="dxa"/>
            <w:tcBorders>
              <w:top w:val="nil"/>
              <w:left w:val="nil"/>
              <w:bottom w:val="single" w:sz="4" w:space="0" w:color="auto"/>
              <w:right w:val="single" w:sz="4" w:space="0" w:color="auto"/>
            </w:tcBorders>
            <w:vAlign w:val="center"/>
          </w:tcPr>
          <w:p w14:paraId="34B03199" w14:textId="1DD920DE" w:rsidR="00187BC7" w:rsidRPr="004E75B9" w:rsidRDefault="00187BC7" w:rsidP="00187BC7">
            <w:pPr>
              <w:rPr>
                <w:rFonts w:ascii="Arial" w:hAnsi="Arial" w:cs="Arial"/>
                <w:sz w:val="20"/>
                <w:lang w:val="en-GB"/>
              </w:rPr>
            </w:pPr>
            <w:r w:rsidRPr="004E75B9">
              <w:rPr>
                <w:rFonts w:ascii="Arial" w:hAnsi="Arial" w:cs="Arial"/>
                <w:sz w:val="20"/>
                <w:lang w:val="en-GB"/>
              </w:rPr>
              <w:t xml:space="preserve">Monthly data supply on capital investments – other monetary financial institutions </w:t>
            </w:r>
          </w:p>
        </w:tc>
        <w:tc>
          <w:tcPr>
            <w:tcW w:w="2835" w:type="dxa"/>
            <w:tcBorders>
              <w:top w:val="nil"/>
              <w:left w:val="nil"/>
              <w:bottom w:val="single" w:sz="4" w:space="0" w:color="auto"/>
              <w:right w:val="single" w:sz="4" w:space="0" w:color="auto"/>
            </w:tcBorders>
            <w:vAlign w:val="center"/>
          </w:tcPr>
          <w:p w14:paraId="34B0319A" w14:textId="553748AF" w:rsidR="00187BC7" w:rsidRPr="004E75B9" w:rsidRDefault="00187BC7" w:rsidP="00187BC7">
            <w:pPr>
              <w:rPr>
                <w:rFonts w:ascii="Arial" w:hAnsi="Arial" w:cs="Arial"/>
                <w:sz w:val="20"/>
                <w:lang w:val="en-GB"/>
              </w:rPr>
            </w:pPr>
            <w:bookmarkStart w:id="9" w:name="OLE_LINK2"/>
            <w:bookmarkStart w:id="10" w:name="OLE_LINK3"/>
            <w:r w:rsidRPr="004E75B9">
              <w:rPr>
                <w:rFonts w:ascii="Arial" w:hAnsi="Arial" w:cs="Arial"/>
                <w:sz w:val="20"/>
                <w:lang w:val="en-GB"/>
              </w:rPr>
              <w:t xml:space="preserve">designated </w:t>
            </w:r>
            <w:bookmarkStart w:id="11" w:name="_Hlk70426860"/>
            <w:r w:rsidRPr="004E75B9">
              <w:rPr>
                <w:rFonts w:ascii="Arial" w:hAnsi="Arial" w:cs="Arial"/>
                <w:sz w:val="20"/>
                <w:lang w:val="en-GB"/>
              </w:rPr>
              <w:t>economic agents, allocated to sector C) Other monetary financial institutions</w:t>
            </w:r>
            <w:bookmarkEnd w:id="9"/>
            <w:bookmarkEnd w:id="10"/>
            <w:r w:rsidRPr="004E75B9">
              <w:rPr>
                <w:rFonts w:ascii="Arial" w:hAnsi="Arial" w:cs="Arial"/>
                <w:sz w:val="20"/>
                <w:lang w:val="en-GB"/>
              </w:rPr>
              <w:t xml:space="preserve"> under point I. A. of Annex 2</w:t>
            </w:r>
            <w:bookmarkEnd w:id="11"/>
          </w:p>
        </w:tc>
        <w:tc>
          <w:tcPr>
            <w:tcW w:w="1701" w:type="dxa"/>
            <w:tcBorders>
              <w:top w:val="nil"/>
              <w:left w:val="nil"/>
              <w:bottom w:val="single" w:sz="4" w:space="0" w:color="auto"/>
              <w:right w:val="single" w:sz="4" w:space="0" w:color="auto"/>
            </w:tcBorders>
            <w:vAlign w:val="center"/>
          </w:tcPr>
          <w:p w14:paraId="34B0319B" w14:textId="4E51BB49"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9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9D" w14:textId="28A0579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9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A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6C7FEB08" w:rsidR="00187BC7" w:rsidRPr="004E75B9" w:rsidRDefault="00187BC7" w:rsidP="00187BC7">
            <w:pPr>
              <w:jc w:val="center"/>
              <w:rPr>
                <w:rFonts w:ascii="Arial" w:hAnsi="Arial" w:cs="Arial"/>
                <w:sz w:val="20"/>
                <w:lang w:val="en-GB"/>
              </w:rPr>
            </w:pPr>
            <w:r w:rsidRPr="004E75B9">
              <w:rPr>
                <w:rFonts w:ascii="Arial" w:hAnsi="Arial" w:cs="Arial"/>
                <w:sz w:val="20"/>
                <w:lang w:val="en-GB"/>
              </w:rPr>
              <w:t>114</w:t>
            </w:r>
          </w:p>
        </w:tc>
        <w:tc>
          <w:tcPr>
            <w:tcW w:w="1418" w:type="dxa"/>
            <w:tcBorders>
              <w:top w:val="nil"/>
              <w:left w:val="single" w:sz="4" w:space="0" w:color="auto"/>
              <w:bottom w:val="single" w:sz="4" w:space="0" w:color="auto"/>
              <w:right w:val="single" w:sz="4" w:space="0" w:color="auto"/>
            </w:tcBorders>
            <w:vAlign w:val="center"/>
          </w:tcPr>
          <w:p w14:paraId="34B031A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R04</w:t>
            </w:r>
          </w:p>
        </w:tc>
        <w:tc>
          <w:tcPr>
            <w:tcW w:w="2598" w:type="dxa"/>
            <w:tcBorders>
              <w:top w:val="nil"/>
              <w:left w:val="nil"/>
              <w:bottom w:val="single" w:sz="4" w:space="0" w:color="auto"/>
              <w:right w:val="single" w:sz="4" w:space="0" w:color="auto"/>
            </w:tcBorders>
            <w:vAlign w:val="center"/>
          </w:tcPr>
          <w:p w14:paraId="34B031A2" w14:textId="77777777" w:rsidR="00187BC7" w:rsidRPr="004E75B9" w:rsidRDefault="00187BC7" w:rsidP="00187BC7">
            <w:pPr>
              <w:rPr>
                <w:rFonts w:ascii="Arial" w:hAnsi="Arial" w:cs="Arial"/>
                <w:sz w:val="20"/>
                <w:lang w:val="en-GB"/>
              </w:rPr>
            </w:pPr>
            <w:r w:rsidRPr="004E75B9">
              <w:rPr>
                <w:rFonts w:ascii="Arial" w:hAnsi="Arial" w:cs="Arial"/>
                <w:sz w:val="20"/>
                <w:lang w:val="en-GB"/>
              </w:rPr>
              <w:t xml:space="preserve">Securities investments </w:t>
            </w:r>
          </w:p>
        </w:tc>
        <w:tc>
          <w:tcPr>
            <w:tcW w:w="2835" w:type="dxa"/>
            <w:tcBorders>
              <w:top w:val="nil"/>
              <w:left w:val="nil"/>
              <w:bottom w:val="single" w:sz="4" w:space="0" w:color="auto"/>
              <w:right w:val="single" w:sz="4" w:space="0" w:color="auto"/>
            </w:tcBorders>
            <w:vAlign w:val="center"/>
          </w:tcPr>
          <w:p w14:paraId="34B031A3" w14:textId="308AB6E3" w:rsidR="00187BC7" w:rsidRPr="004E75B9" w:rsidRDefault="00187BC7" w:rsidP="00187BC7">
            <w:pPr>
              <w:rPr>
                <w:rFonts w:ascii="Arial" w:hAnsi="Arial" w:cs="Arial"/>
                <w:sz w:val="20"/>
                <w:lang w:val="en-GB"/>
              </w:rPr>
            </w:pPr>
            <w:r w:rsidRPr="004E75B9">
              <w:rPr>
                <w:rFonts w:ascii="Arial" w:hAnsi="Arial" w:cs="Arial"/>
                <w:sz w:val="20"/>
                <w:lang w:val="en-GB"/>
              </w:rPr>
              <w:t xml:space="preserve">designated economic agents </w:t>
            </w:r>
          </w:p>
        </w:tc>
        <w:tc>
          <w:tcPr>
            <w:tcW w:w="1701" w:type="dxa"/>
            <w:tcBorders>
              <w:top w:val="nil"/>
              <w:left w:val="nil"/>
              <w:bottom w:val="single" w:sz="4" w:space="0" w:color="auto"/>
              <w:right w:val="single" w:sz="4" w:space="0" w:color="auto"/>
            </w:tcBorders>
            <w:vAlign w:val="center"/>
          </w:tcPr>
          <w:p w14:paraId="34B031A4" w14:textId="5496F45C"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A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A6" w14:textId="72DC3270"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A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B1" w14:textId="77777777" w:rsidTr="00481406">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026879D6" w:rsidR="00187BC7" w:rsidRPr="004E75B9" w:rsidRDefault="00187BC7" w:rsidP="00187BC7">
            <w:pPr>
              <w:jc w:val="center"/>
              <w:rPr>
                <w:rFonts w:ascii="Arial" w:hAnsi="Arial" w:cs="Arial"/>
                <w:sz w:val="20"/>
                <w:lang w:val="en-GB"/>
              </w:rPr>
            </w:pPr>
            <w:r w:rsidRPr="004E75B9">
              <w:rPr>
                <w:rFonts w:ascii="Arial" w:hAnsi="Arial" w:cs="Arial"/>
                <w:sz w:val="20"/>
                <w:lang w:val="en-GB"/>
              </w:rPr>
              <w:t>115</w:t>
            </w:r>
          </w:p>
        </w:tc>
        <w:tc>
          <w:tcPr>
            <w:tcW w:w="1418" w:type="dxa"/>
            <w:tcBorders>
              <w:top w:val="nil"/>
              <w:left w:val="single" w:sz="4" w:space="0" w:color="auto"/>
              <w:bottom w:val="single" w:sz="4" w:space="0" w:color="auto"/>
              <w:right w:val="single" w:sz="4" w:space="0" w:color="auto"/>
            </w:tcBorders>
            <w:vAlign w:val="center"/>
          </w:tcPr>
          <w:p w14:paraId="34B031A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R05</w:t>
            </w:r>
          </w:p>
        </w:tc>
        <w:tc>
          <w:tcPr>
            <w:tcW w:w="2598" w:type="dxa"/>
            <w:tcBorders>
              <w:top w:val="nil"/>
              <w:left w:val="nil"/>
              <w:bottom w:val="single" w:sz="4" w:space="0" w:color="auto"/>
              <w:right w:val="single" w:sz="4" w:space="0" w:color="auto"/>
            </w:tcBorders>
            <w:vAlign w:val="center"/>
          </w:tcPr>
          <w:p w14:paraId="34B031AB" w14:textId="77777777" w:rsidR="00187BC7" w:rsidRPr="004E75B9" w:rsidRDefault="00187BC7" w:rsidP="00187BC7">
            <w:pPr>
              <w:rPr>
                <w:rFonts w:ascii="Arial" w:hAnsi="Arial" w:cs="Arial"/>
                <w:sz w:val="20"/>
                <w:lang w:val="en-GB"/>
              </w:rPr>
            </w:pPr>
            <w:r w:rsidRPr="004E75B9">
              <w:rPr>
                <w:rFonts w:ascii="Arial" w:hAnsi="Arial" w:cs="Arial"/>
                <w:sz w:val="20"/>
                <w:lang w:val="en-GB"/>
              </w:rPr>
              <w:t>Monthly data supply on financial derivatives</w:t>
            </w:r>
          </w:p>
        </w:tc>
        <w:tc>
          <w:tcPr>
            <w:tcW w:w="2835" w:type="dxa"/>
            <w:tcBorders>
              <w:top w:val="nil"/>
              <w:left w:val="nil"/>
              <w:bottom w:val="single" w:sz="4" w:space="0" w:color="auto"/>
              <w:right w:val="single" w:sz="4" w:space="0" w:color="auto"/>
            </w:tcBorders>
            <w:vAlign w:val="center"/>
          </w:tcPr>
          <w:p w14:paraId="34B031AC" w14:textId="3E295BB7"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w:t>
            </w:r>
          </w:p>
        </w:tc>
        <w:tc>
          <w:tcPr>
            <w:tcW w:w="1701" w:type="dxa"/>
            <w:tcBorders>
              <w:top w:val="nil"/>
              <w:left w:val="nil"/>
              <w:bottom w:val="single" w:sz="4" w:space="0" w:color="auto"/>
              <w:right w:val="single" w:sz="4" w:space="0" w:color="auto"/>
            </w:tcBorders>
            <w:vAlign w:val="center"/>
          </w:tcPr>
          <w:p w14:paraId="34B031AD" w14:textId="53B063B4"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A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AF" w14:textId="7AAB085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B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BA" w14:textId="77777777" w:rsidTr="00481406">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7D16B7D1" w:rsidR="00187BC7" w:rsidRPr="004E75B9" w:rsidRDefault="00187BC7" w:rsidP="00187BC7">
            <w:pPr>
              <w:jc w:val="center"/>
              <w:rPr>
                <w:rFonts w:ascii="Arial" w:hAnsi="Arial" w:cs="Arial"/>
                <w:sz w:val="20"/>
                <w:lang w:val="en-GB"/>
              </w:rPr>
            </w:pPr>
            <w:r w:rsidRPr="004E75B9">
              <w:rPr>
                <w:rFonts w:ascii="Arial" w:hAnsi="Arial" w:cs="Arial"/>
                <w:sz w:val="20"/>
                <w:lang w:val="en-GB"/>
              </w:rPr>
              <w:t>116</w:t>
            </w:r>
          </w:p>
        </w:tc>
        <w:tc>
          <w:tcPr>
            <w:tcW w:w="1418" w:type="dxa"/>
            <w:tcBorders>
              <w:top w:val="nil"/>
              <w:left w:val="single" w:sz="4" w:space="0" w:color="auto"/>
              <w:bottom w:val="single" w:sz="4" w:space="0" w:color="auto"/>
              <w:right w:val="single" w:sz="4" w:space="0" w:color="auto"/>
            </w:tcBorders>
            <w:vAlign w:val="center"/>
          </w:tcPr>
          <w:p w14:paraId="34B031B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R06</w:t>
            </w:r>
          </w:p>
        </w:tc>
        <w:tc>
          <w:tcPr>
            <w:tcW w:w="2598" w:type="dxa"/>
            <w:tcBorders>
              <w:top w:val="nil"/>
              <w:left w:val="nil"/>
              <w:bottom w:val="single" w:sz="4" w:space="0" w:color="auto"/>
              <w:right w:val="single" w:sz="4" w:space="0" w:color="auto"/>
            </w:tcBorders>
            <w:vAlign w:val="center"/>
          </w:tcPr>
          <w:p w14:paraId="34B031B4" w14:textId="30EDE3A2" w:rsidR="00187BC7" w:rsidRPr="004E75B9" w:rsidRDefault="00187BC7" w:rsidP="00187BC7">
            <w:pPr>
              <w:rPr>
                <w:rFonts w:ascii="Arial" w:hAnsi="Arial" w:cs="Arial"/>
                <w:sz w:val="20"/>
                <w:lang w:val="en-GB"/>
              </w:rPr>
            </w:pPr>
            <w:bookmarkStart w:id="12" w:name="_Hlk70427723"/>
            <w:r w:rsidRPr="004E75B9">
              <w:rPr>
                <w:rFonts w:ascii="Arial" w:hAnsi="Arial" w:cs="Arial"/>
                <w:sz w:val="20"/>
                <w:lang w:val="en-GB"/>
              </w:rPr>
              <w:t xml:space="preserve">Monthly data supply on other investments </w:t>
            </w:r>
            <w:bookmarkEnd w:id="12"/>
            <w:r w:rsidRPr="004E75B9">
              <w:rPr>
                <w:rFonts w:ascii="Arial" w:hAnsi="Arial" w:cs="Arial"/>
                <w:sz w:val="20"/>
                <w:lang w:val="en-GB"/>
              </w:rPr>
              <w:t>– non-financial corporations, insurance corporations and pension funds, non-profit institutions serving households, captive financial institutions, and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1B5" w14:textId="72B157F4"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 allocated to sectors A) Non-financial corporations, F) Insurance corporations and pension funds, K) Non-profit institutions serving households and Z) Captive financial institutions, as well as to G) companies and non-profit organisations classified as central government under point I. A. of Annex 2</w:t>
            </w:r>
          </w:p>
        </w:tc>
        <w:tc>
          <w:tcPr>
            <w:tcW w:w="1701" w:type="dxa"/>
            <w:tcBorders>
              <w:top w:val="nil"/>
              <w:left w:val="nil"/>
              <w:bottom w:val="single" w:sz="4" w:space="0" w:color="auto"/>
              <w:right w:val="single" w:sz="4" w:space="0" w:color="auto"/>
            </w:tcBorders>
            <w:vAlign w:val="center"/>
          </w:tcPr>
          <w:p w14:paraId="34B031B6" w14:textId="18881AE9"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B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B8" w14:textId="398D7347"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B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C3" w14:textId="77777777" w:rsidTr="00481406">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6B96CC27"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117</w:t>
            </w:r>
          </w:p>
        </w:tc>
        <w:tc>
          <w:tcPr>
            <w:tcW w:w="1418" w:type="dxa"/>
            <w:tcBorders>
              <w:top w:val="nil"/>
              <w:left w:val="single" w:sz="4" w:space="0" w:color="auto"/>
              <w:bottom w:val="single" w:sz="4" w:space="0" w:color="auto"/>
              <w:right w:val="single" w:sz="4" w:space="0" w:color="auto"/>
            </w:tcBorders>
            <w:vAlign w:val="center"/>
          </w:tcPr>
          <w:p w14:paraId="34B031B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R08</w:t>
            </w:r>
          </w:p>
        </w:tc>
        <w:tc>
          <w:tcPr>
            <w:tcW w:w="2598" w:type="dxa"/>
            <w:tcBorders>
              <w:top w:val="nil"/>
              <w:left w:val="nil"/>
              <w:bottom w:val="single" w:sz="4" w:space="0" w:color="auto"/>
              <w:right w:val="single" w:sz="4" w:space="0" w:color="auto"/>
            </w:tcBorders>
            <w:vAlign w:val="center"/>
          </w:tcPr>
          <w:p w14:paraId="34B031BD" w14:textId="77777777" w:rsidR="00187BC7" w:rsidRPr="004E75B9" w:rsidRDefault="00187BC7" w:rsidP="00187BC7">
            <w:pPr>
              <w:rPr>
                <w:rFonts w:ascii="Arial" w:hAnsi="Arial" w:cs="Arial"/>
                <w:sz w:val="20"/>
                <w:lang w:val="en-GB"/>
              </w:rPr>
            </w:pPr>
            <w:r w:rsidRPr="004E75B9">
              <w:rPr>
                <w:rFonts w:ascii="Arial" w:hAnsi="Arial" w:cs="Arial"/>
                <w:sz w:val="20"/>
                <w:lang w:val="en-GB"/>
              </w:rPr>
              <w:t xml:space="preserve">Monthly data supply on other investments – other financial intermediaries and financial auxiliaries </w:t>
            </w:r>
          </w:p>
        </w:tc>
        <w:tc>
          <w:tcPr>
            <w:tcW w:w="2835" w:type="dxa"/>
            <w:tcBorders>
              <w:top w:val="nil"/>
              <w:left w:val="nil"/>
              <w:bottom w:val="single" w:sz="4" w:space="0" w:color="auto"/>
              <w:right w:val="single" w:sz="4" w:space="0" w:color="auto"/>
            </w:tcBorders>
            <w:vAlign w:val="center"/>
          </w:tcPr>
          <w:p w14:paraId="34B031BE" w14:textId="387D2C72"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 allocated to sector D) Other financial intermediaries and E) Financial auxiliaries under point I. A. of Annex 2</w:t>
            </w:r>
          </w:p>
        </w:tc>
        <w:tc>
          <w:tcPr>
            <w:tcW w:w="1701" w:type="dxa"/>
            <w:tcBorders>
              <w:top w:val="nil"/>
              <w:left w:val="nil"/>
              <w:bottom w:val="single" w:sz="4" w:space="0" w:color="auto"/>
              <w:right w:val="single" w:sz="4" w:space="0" w:color="auto"/>
            </w:tcBorders>
            <w:vAlign w:val="center"/>
          </w:tcPr>
          <w:p w14:paraId="34B031BF" w14:textId="351ED60D"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C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C1" w14:textId="67317080"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C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CC" w14:textId="77777777" w:rsidTr="00481406">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1322F56C" w:rsidR="00187BC7" w:rsidRPr="004E75B9" w:rsidRDefault="00187BC7" w:rsidP="00187BC7">
            <w:pPr>
              <w:jc w:val="center"/>
              <w:rPr>
                <w:rFonts w:ascii="Arial" w:hAnsi="Arial" w:cs="Arial"/>
                <w:sz w:val="20"/>
                <w:lang w:val="en-GB"/>
              </w:rPr>
            </w:pPr>
            <w:r w:rsidRPr="004E75B9">
              <w:rPr>
                <w:rFonts w:ascii="Arial" w:hAnsi="Arial" w:cs="Arial"/>
                <w:sz w:val="20"/>
                <w:lang w:val="en-GB"/>
              </w:rPr>
              <w:t>118</w:t>
            </w:r>
          </w:p>
        </w:tc>
        <w:tc>
          <w:tcPr>
            <w:tcW w:w="1418" w:type="dxa"/>
            <w:tcBorders>
              <w:top w:val="nil"/>
              <w:left w:val="single" w:sz="4" w:space="0" w:color="auto"/>
              <w:bottom w:val="single" w:sz="4" w:space="0" w:color="auto"/>
              <w:right w:val="single" w:sz="4" w:space="0" w:color="auto"/>
            </w:tcBorders>
            <w:vAlign w:val="center"/>
          </w:tcPr>
          <w:p w14:paraId="34B031C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R09</w:t>
            </w:r>
          </w:p>
        </w:tc>
        <w:tc>
          <w:tcPr>
            <w:tcW w:w="2598" w:type="dxa"/>
            <w:tcBorders>
              <w:top w:val="nil"/>
              <w:left w:val="nil"/>
              <w:bottom w:val="single" w:sz="4" w:space="0" w:color="auto"/>
              <w:right w:val="single" w:sz="4" w:space="0" w:color="auto"/>
            </w:tcBorders>
            <w:vAlign w:val="center"/>
          </w:tcPr>
          <w:p w14:paraId="34B031C6" w14:textId="7B0672E2" w:rsidR="00187BC7" w:rsidRPr="004E75B9" w:rsidRDefault="00187BC7" w:rsidP="00187BC7">
            <w:pPr>
              <w:rPr>
                <w:rFonts w:ascii="Arial" w:hAnsi="Arial" w:cs="Arial"/>
                <w:sz w:val="20"/>
                <w:lang w:val="en-GB"/>
              </w:rPr>
            </w:pPr>
            <w:r w:rsidRPr="004E75B9">
              <w:rPr>
                <w:rFonts w:ascii="Arial" w:hAnsi="Arial" w:cs="Arial"/>
                <w:sz w:val="20"/>
                <w:lang w:val="en-GB"/>
              </w:rPr>
              <w:t xml:space="preserve">Monthly data supply on other investments – with the exception of companies and non-profit organisations classified as central government, the central government, local governments and social security funds </w:t>
            </w:r>
          </w:p>
        </w:tc>
        <w:tc>
          <w:tcPr>
            <w:tcW w:w="2835" w:type="dxa"/>
            <w:tcBorders>
              <w:top w:val="nil"/>
              <w:left w:val="nil"/>
              <w:bottom w:val="single" w:sz="4" w:space="0" w:color="auto"/>
              <w:right w:val="single" w:sz="4" w:space="0" w:color="auto"/>
            </w:tcBorders>
            <w:vAlign w:val="center"/>
          </w:tcPr>
          <w:p w14:paraId="34B031C7" w14:textId="417230DA" w:rsidR="00187BC7" w:rsidRPr="004E75B9" w:rsidRDefault="00187BC7" w:rsidP="00187BC7">
            <w:pPr>
              <w:rPr>
                <w:rFonts w:ascii="Arial" w:hAnsi="Arial" w:cs="Arial"/>
                <w:sz w:val="20"/>
                <w:lang w:val="en-GB"/>
              </w:rPr>
            </w:pPr>
            <w:bookmarkStart w:id="13" w:name="_Hlk14166110"/>
            <w:bookmarkStart w:id="14" w:name="_Hlk14166143"/>
            <w:r w:rsidRPr="004E75B9">
              <w:rPr>
                <w:rFonts w:ascii="Arial" w:hAnsi="Arial" w:cs="Arial"/>
                <w:sz w:val="20"/>
                <w:lang w:val="en-GB"/>
              </w:rPr>
              <w:t>designated legal entities – with the exception of companies and non-profit organisations classified as central government – allocated to sector G) Central government, H) Local governments, I) Social security funds under point I. A. of Annex 2</w:t>
            </w:r>
            <w:bookmarkEnd w:id="13"/>
            <w:bookmarkEnd w:id="14"/>
          </w:p>
        </w:tc>
        <w:tc>
          <w:tcPr>
            <w:tcW w:w="1701" w:type="dxa"/>
            <w:tcBorders>
              <w:top w:val="nil"/>
              <w:left w:val="nil"/>
              <w:bottom w:val="single" w:sz="4" w:space="0" w:color="auto"/>
              <w:right w:val="single" w:sz="4" w:space="0" w:color="auto"/>
            </w:tcBorders>
            <w:vAlign w:val="center"/>
          </w:tcPr>
          <w:p w14:paraId="34B031C8" w14:textId="5C800E3C"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C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CA" w14:textId="6D70F3E9"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C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D5"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3F2DF073" w:rsidR="00187BC7" w:rsidRPr="004E75B9" w:rsidRDefault="00187BC7" w:rsidP="00187BC7">
            <w:pPr>
              <w:jc w:val="center"/>
              <w:rPr>
                <w:rFonts w:ascii="Arial" w:hAnsi="Arial" w:cs="Arial"/>
                <w:sz w:val="20"/>
                <w:lang w:val="en-GB"/>
              </w:rPr>
            </w:pPr>
            <w:r w:rsidRPr="004E75B9">
              <w:rPr>
                <w:rFonts w:ascii="Arial" w:hAnsi="Arial" w:cs="Arial"/>
                <w:sz w:val="20"/>
                <w:lang w:val="en-GB"/>
              </w:rPr>
              <w:t>119</w:t>
            </w:r>
          </w:p>
        </w:tc>
        <w:tc>
          <w:tcPr>
            <w:tcW w:w="1418" w:type="dxa"/>
            <w:tcBorders>
              <w:top w:val="nil"/>
              <w:left w:val="single" w:sz="4" w:space="0" w:color="auto"/>
              <w:bottom w:val="single" w:sz="4" w:space="0" w:color="auto"/>
              <w:right w:val="single" w:sz="4" w:space="0" w:color="auto"/>
            </w:tcBorders>
            <w:vAlign w:val="center"/>
          </w:tcPr>
          <w:p w14:paraId="34B031C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R10</w:t>
            </w:r>
          </w:p>
        </w:tc>
        <w:tc>
          <w:tcPr>
            <w:tcW w:w="2598" w:type="dxa"/>
            <w:tcBorders>
              <w:top w:val="nil"/>
              <w:left w:val="nil"/>
              <w:bottom w:val="single" w:sz="4" w:space="0" w:color="auto"/>
              <w:right w:val="single" w:sz="4" w:space="0" w:color="auto"/>
            </w:tcBorders>
            <w:vAlign w:val="center"/>
          </w:tcPr>
          <w:p w14:paraId="34B031CF" w14:textId="77777777" w:rsidR="00187BC7" w:rsidRPr="004E75B9" w:rsidRDefault="00187BC7" w:rsidP="00187BC7">
            <w:pPr>
              <w:rPr>
                <w:rFonts w:ascii="Arial" w:hAnsi="Arial" w:cs="Arial"/>
                <w:sz w:val="20"/>
                <w:lang w:val="en-GB"/>
              </w:rPr>
            </w:pPr>
            <w:r w:rsidRPr="004E75B9">
              <w:rPr>
                <w:rFonts w:ascii="Arial" w:hAnsi="Arial" w:cs="Arial"/>
                <w:sz w:val="20"/>
                <w:lang w:val="en-GB"/>
              </w:rPr>
              <w:t xml:space="preserve">Syndicated loans </w:t>
            </w:r>
          </w:p>
        </w:tc>
        <w:tc>
          <w:tcPr>
            <w:tcW w:w="2835" w:type="dxa"/>
            <w:tcBorders>
              <w:top w:val="nil"/>
              <w:left w:val="nil"/>
              <w:bottom w:val="single" w:sz="4" w:space="0" w:color="auto"/>
              <w:right w:val="single" w:sz="4" w:space="0" w:color="auto"/>
            </w:tcBorders>
            <w:vAlign w:val="center"/>
          </w:tcPr>
          <w:p w14:paraId="34B031D0" w14:textId="51A2210D" w:rsidR="00187BC7" w:rsidRPr="004E75B9" w:rsidRDefault="00187BC7" w:rsidP="00187BC7">
            <w:pPr>
              <w:rPr>
                <w:rFonts w:ascii="Arial" w:hAnsi="Arial" w:cs="Arial"/>
                <w:sz w:val="20"/>
                <w:lang w:val="en-GB"/>
              </w:rPr>
            </w:pPr>
            <w:r w:rsidRPr="004E75B9">
              <w:rPr>
                <w:rFonts w:ascii="Arial" w:hAnsi="Arial" w:cs="Arial"/>
                <w:sz w:val="20"/>
                <w:lang w:val="en-GB"/>
              </w:rPr>
              <w:t>designated credit institutions, EEA branches of this type</w:t>
            </w:r>
          </w:p>
        </w:tc>
        <w:tc>
          <w:tcPr>
            <w:tcW w:w="1701" w:type="dxa"/>
            <w:tcBorders>
              <w:top w:val="nil"/>
              <w:left w:val="nil"/>
              <w:bottom w:val="single" w:sz="4" w:space="0" w:color="auto"/>
              <w:right w:val="single" w:sz="4" w:space="0" w:color="auto"/>
            </w:tcBorders>
            <w:vAlign w:val="center"/>
          </w:tcPr>
          <w:p w14:paraId="34B031D1" w14:textId="53DADA7F"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D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D3" w14:textId="25D6BD6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D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DE"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06E38CD" w:rsidR="00187BC7" w:rsidRPr="004E75B9" w:rsidRDefault="00187BC7" w:rsidP="00187BC7">
            <w:pPr>
              <w:jc w:val="center"/>
              <w:rPr>
                <w:rFonts w:ascii="Arial" w:hAnsi="Arial" w:cs="Arial"/>
                <w:sz w:val="20"/>
                <w:lang w:val="en-GB"/>
              </w:rPr>
            </w:pPr>
            <w:r w:rsidRPr="004E75B9">
              <w:rPr>
                <w:rFonts w:ascii="Arial" w:hAnsi="Arial" w:cs="Arial"/>
                <w:sz w:val="20"/>
                <w:lang w:val="en-GB"/>
              </w:rPr>
              <w:t>120</w:t>
            </w:r>
          </w:p>
        </w:tc>
        <w:tc>
          <w:tcPr>
            <w:tcW w:w="1418" w:type="dxa"/>
            <w:tcBorders>
              <w:top w:val="nil"/>
              <w:left w:val="single" w:sz="4" w:space="0" w:color="auto"/>
              <w:bottom w:val="single" w:sz="4" w:space="0" w:color="auto"/>
              <w:right w:val="single" w:sz="4" w:space="0" w:color="auto"/>
            </w:tcBorders>
            <w:vAlign w:val="center"/>
          </w:tcPr>
          <w:p w14:paraId="34B031D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R11</w:t>
            </w:r>
          </w:p>
        </w:tc>
        <w:tc>
          <w:tcPr>
            <w:tcW w:w="2598" w:type="dxa"/>
            <w:tcBorders>
              <w:top w:val="nil"/>
              <w:left w:val="nil"/>
              <w:bottom w:val="single" w:sz="4" w:space="0" w:color="auto"/>
              <w:right w:val="single" w:sz="4" w:space="0" w:color="auto"/>
            </w:tcBorders>
            <w:vAlign w:val="center"/>
          </w:tcPr>
          <w:p w14:paraId="34B031D8" w14:textId="0DFD0DC3" w:rsidR="00187BC7" w:rsidRPr="004E75B9" w:rsidRDefault="00187BC7" w:rsidP="00187BC7">
            <w:pPr>
              <w:rPr>
                <w:rFonts w:ascii="Arial" w:hAnsi="Arial" w:cs="Arial"/>
                <w:sz w:val="20"/>
                <w:lang w:val="en-GB"/>
              </w:rPr>
            </w:pPr>
            <w:r w:rsidRPr="004E75B9">
              <w:rPr>
                <w:rFonts w:ascii="Arial" w:hAnsi="Arial" w:cs="Arial"/>
                <w:sz w:val="20"/>
                <w:lang w:val="en-GB"/>
              </w:rPr>
              <w:t>Monthly data supply on unrequited transfers and intangible assets</w:t>
            </w:r>
          </w:p>
        </w:tc>
        <w:tc>
          <w:tcPr>
            <w:tcW w:w="2835" w:type="dxa"/>
            <w:tcBorders>
              <w:top w:val="nil"/>
              <w:left w:val="nil"/>
              <w:bottom w:val="single" w:sz="4" w:space="0" w:color="auto"/>
              <w:right w:val="single" w:sz="4" w:space="0" w:color="auto"/>
            </w:tcBorders>
            <w:vAlign w:val="center"/>
          </w:tcPr>
          <w:p w14:paraId="34B031D9" w14:textId="40059A3A"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w:t>
            </w:r>
          </w:p>
        </w:tc>
        <w:tc>
          <w:tcPr>
            <w:tcW w:w="1701" w:type="dxa"/>
            <w:tcBorders>
              <w:top w:val="nil"/>
              <w:left w:val="nil"/>
              <w:bottom w:val="single" w:sz="4" w:space="0" w:color="auto"/>
              <w:right w:val="single" w:sz="4" w:space="0" w:color="auto"/>
            </w:tcBorders>
            <w:vAlign w:val="center"/>
          </w:tcPr>
          <w:p w14:paraId="34B031DA" w14:textId="31FA793D"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D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DC" w14:textId="1FC679DE"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DD"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1F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7F86062E"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121</w:t>
            </w:r>
          </w:p>
        </w:tc>
        <w:tc>
          <w:tcPr>
            <w:tcW w:w="1418" w:type="dxa"/>
            <w:tcBorders>
              <w:top w:val="nil"/>
              <w:left w:val="single" w:sz="4" w:space="0" w:color="auto"/>
              <w:bottom w:val="single" w:sz="4" w:space="0" w:color="auto"/>
              <w:right w:val="single" w:sz="4" w:space="0" w:color="auto"/>
            </w:tcBorders>
            <w:vAlign w:val="center"/>
          </w:tcPr>
          <w:p w14:paraId="34B031E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R12</w:t>
            </w:r>
          </w:p>
        </w:tc>
        <w:tc>
          <w:tcPr>
            <w:tcW w:w="2598" w:type="dxa"/>
            <w:tcBorders>
              <w:top w:val="nil"/>
              <w:left w:val="nil"/>
              <w:bottom w:val="single" w:sz="4" w:space="0" w:color="auto"/>
              <w:right w:val="single" w:sz="4" w:space="0" w:color="auto"/>
            </w:tcBorders>
            <w:vAlign w:val="center"/>
          </w:tcPr>
          <w:p w14:paraId="34B031E1" w14:textId="2515602D" w:rsidR="00187BC7" w:rsidRPr="004E75B9" w:rsidRDefault="00187BC7" w:rsidP="00187BC7">
            <w:pPr>
              <w:rPr>
                <w:rFonts w:ascii="Arial" w:hAnsi="Arial" w:cs="Arial"/>
                <w:sz w:val="20"/>
                <w:lang w:val="en-GB"/>
              </w:rPr>
            </w:pPr>
            <w:r w:rsidRPr="004E75B9">
              <w:rPr>
                <w:rFonts w:ascii="Arial" w:hAnsi="Arial" w:cs="Arial"/>
                <w:sz w:val="20"/>
                <w:lang w:val="en-GB"/>
              </w:rPr>
              <w:t>Quarterly data supply on capital investments – economic agents not allocated to the sector of other monetary financial institutions</w:t>
            </w:r>
          </w:p>
        </w:tc>
        <w:tc>
          <w:tcPr>
            <w:tcW w:w="2835" w:type="dxa"/>
            <w:tcBorders>
              <w:top w:val="nil"/>
              <w:left w:val="nil"/>
              <w:bottom w:val="single" w:sz="4" w:space="0" w:color="auto"/>
              <w:right w:val="single" w:sz="4" w:space="0" w:color="auto"/>
            </w:tcBorders>
            <w:vAlign w:val="center"/>
          </w:tcPr>
          <w:p w14:paraId="34B031E2" w14:textId="58A61909" w:rsidR="00187BC7" w:rsidRPr="004E75B9" w:rsidRDefault="00187BC7" w:rsidP="00187BC7">
            <w:pPr>
              <w:rPr>
                <w:rFonts w:ascii="Arial" w:hAnsi="Arial" w:cs="Arial"/>
                <w:sz w:val="16"/>
                <w:szCs w:val="16"/>
                <w:lang w:val="en-GB"/>
              </w:rPr>
            </w:pPr>
            <w:r w:rsidRPr="004E75B9">
              <w:rPr>
                <w:rFonts w:ascii="Arial" w:hAnsi="Arial" w:cs="Arial"/>
                <w:sz w:val="16"/>
                <w:szCs w:val="16"/>
                <w:lang w:val="en-GB"/>
              </w:rPr>
              <w:t xml:space="preserve">designated economic agents, and economic agents not designated for data supply with MNB identification codes R02 or R12, not allocated to </w:t>
            </w:r>
            <w:bookmarkStart w:id="15" w:name="_Hlk40890516"/>
            <w:r w:rsidRPr="004E75B9">
              <w:rPr>
                <w:rFonts w:ascii="Arial" w:hAnsi="Arial" w:cs="Arial"/>
                <w:sz w:val="16"/>
                <w:szCs w:val="16"/>
                <w:lang w:val="en-GB"/>
              </w:rPr>
              <w:t xml:space="preserve">sector C) other monetary </w:t>
            </w:r>
            <w:bookmarkEnd w:id="15"/>
            <w:r w:rsidRPr="004E75B9">
              <w:rPr>
                <w:rFonts w:ascii="Arial" w:hAnsi="Arial" w:cs="Arial"/>
                <w:sz w:val="16"/>
                <w:szCs w:val="16"/>
                <w:lang w:val="en-GB"/>
              </w:rPr>
              <w:t>financial institutions under point I. A. of Annex 2, in the case of which</w:t>
            </w:r>
            <w:r w:rsidRPr="004E75B9">
              <w:rPr>
                <w:rFonts w:ascii="Arial" w:hAnsi="Arial" w:cs="Arial"/>
                <w:sz w:val="16"/>
                <w:szCs w:val="16"/>
                <w:lang w:val="en-GB"/>
              </w:rPr>
              <w:br/>
              <w:t>– on the first or last day of the reference quarter the total amount of equity (as specified by the Hungarian accounting standards) available to the non-resident members of the company group having direct voting rights in the data provider is at least HUF 2 billion or lower than minus HUF 2 billion, or</w:t>
            </w:r>
            <w:r w:rsidRPr="004E75B9">
              <w:rPr>
                <w:rFonts w:ascii="Arial" w:hAnsi="Arial" w:cs="Arial"/>
                <w:sz w:val="16"/>
                <w:szCs w:val="16"/>
                <w:lang w:val="en-GB"/>
              </w:rPr>
              <w:br/>
              <w:t>– have voting right in the subscribed capital of one or several non-resident companies of the company group, and the total value of these interests or the value of assets transferred to a foreign branch is at least HUF 500 million, or</w:t>
            </w:r>
            <w:r w:rsidRPr="004E75B9">
              <w:rPr>
                <w:rFonts w:ascii="Arial" w:hAnsi="Arial" w:cs="Arial"/>
                <w:sz w:val="16"/>
                <w:szCs w:val="16"/>
                <w:lang w:val="en-GB"/>
              </w:rPr>
              <w:br/>
              <w:t>– on the first or last day of the reference quarter, the total value of accounts receivable from or payable to the non-resident companies or non-resident branches belonging to the company group outside the scope of ownership relations is at least HUF 500 million, or</w:t>
            </w:r>
            <w:r w:rsidRPr="004E75B9">
              <w:rPr>
                <w:rFonts w:ascii="Arial" w:hAnsi="Arial" w:cs="Arial"/>
                <w:sz w:val="16"/>
                <w:szCs w:val="16"/>
                <w:lang w:val="en-GB"/>
              </w:rPr>
              <w:br/>
              <w:t>– participation in the amount of at least HUF 500 million, providing a voting right of at least 10% in a resident company was purchased from or sold to a non-resident entity in the reference period</w:t>
            </w:r>
          </w:p>
        </w:tc>
        <w:tc>
          <w:tcPr>
            <w:tcW w:w="1701" w:type="dxa"/>
            <w:tcBorders>
              <w:top w:val="nil"/>
              <w:left w:val="nil"/>
              <w:bottom w:val="single" w:sz="4" w:space="0" w:color="auto"/>
              <w:right w:val="single" w:sz="4" w:space="0" w:color="auto"/>
            </w:tcBorders>
            <w:vAlign w:val="center"/>
          </w:tcPr>
          <w:p w14:paraId="34B031F2" w14:textId="3F3DBDA3"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F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F4" w14:textId="5F57767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F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12th working day of the month following the reference period</w:t>
            </w:r>
          </w:p>
        </w:tc>
      </w:tr>
      <w:tr w:rsidR="004E75B9" w:rsidRPr="004E75B9" w14:paraId="34B031FF" w14:textId="77777777" w:rsidTr="00481406">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73F87529"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122</w:t>
            </w:r>
          </w:p>
        </w:tc>
        <w:tc>
          <w:tcPr>
            <w:tcW w:w="1418" w:type="dxa"/>
            <w:tcBorders>
              <w:top w:val="nil"/>
              <w:left w:val="single" w:sz="4" w:space="0" w:color="auto"/>
              <w:bottom w:val="single" w:sz="4" w:space="0" w:color="auto"/>
              <w:right w:val="single" w:sz="4" w:space="0" w:color="auto"/>
            </w:tcBorders>
            <w:vAlign w:val="center"/>
          </w:tcPr>
          <w:p w14:paraId="34B031F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R13</w:t>
            </w:r>
          </w:p>
        </w:tc>
        <w:tc>
          <w:tcPr>
            <w:tcW w:w="2598" w:type="dxa"/>
            <w:tcBorders>
              <w:top w:val="nil"/>
              <w:left w:val="nil"/>
              <w:bottom w:val="single" w:sz="4" w:space="0" w:color="auto"/>
              <w:right w:val="single" w:sz="4" w:space="0" w:color="auto"/>
            </w:tcBorders>
            <w:vAlign w:val="center"/>
          </w:tcPr>
          <w:p w14:paraId="34B031F9" w14:textId="72838350" w:rsidR="00187BC7" w:rsidRPr="004E75B9" w:rsidRDefault="00187BC7" w:rsidP="00187BC7">
            <w:pPr>
              <w:rPr>
                <w:rFonts w:ascii="Arial" w:hAnsi="Arial" w:cs="Arial"/>
                <w:sz w:val="20"/>
                <w:lang w:val="en-GB"/>
              </w:rPr>
            </w:pPr>
            <w:r w:rsidRPr="004E75B9">
              <w:rPr>
                <w:rFonts w:ascii="Arial" w:hAnsi="Arial" w:cs="Arial"/>
                <w:sz w:val="20"/>
                <w:lang w:val="en-GB"/>
              </w:rPr>
              <w:t xml:space="preserve">Quarterly data supply on capital investments – other monetary financial institutions </w:t>
            </w:r>
          </w:p>
        </w:tc>
        <w:tc>
          <w:tcPr>
            <w:tcW w:w="2835" w:type="dxa"/>
            <w:tcBorders>
              <w:top w:val="nil"/>
              <w:left w:val="nil"/>
              <w:bottom w:val="single" w:sz="4" w:space="0" w:color="auto"/>
              <w:right w:val="single" w:sz="4" w:space="0" w:color="auto"/>
            </w:tcBorders>
            <w:vAlign w:val="center"/>
          </w:tcPr>
          <w:p w14:paraId="34B031FA" w14:textId="5F771635" w:rsidR="00187BC7" w:rsidRPr="004E75B9" w:rsidRDefault="00187BC7" w:rsidP="00187BC7">
            <w:pPr>
              <w:rPr>
                <w:rFonts w:ascii="Arial" w:hAnsi="Arial" w:cs="Arial"/>
                <w:sz w:val="18"/>
                <w:szCs w:val="18"/>
                <w:lang w:val="en-GB"/>
              </w:rPr>
            </w:pPr>
            <w:r w:rsidRPr="004E75B9">
              <w:rPr>
                <w:rFonts w:ascii="Arial" w:hAnsi="Arial" w:cs="Arial"/>
                <w:sz w:val="18"/>
                <w:szCs w:val="18"/>
                <w:lang w:val="en-GB"/>
              </w:rPr>
              <w:t>designated economic agents, and economic agents not designated for data supply with MNB identification codes R03 or R13, allocated to sector C) Other monetary financial institutions under point I. A. of Annex 2, in the case of which</w:t>
            </w:r>
            <w:r w:rsidRPr="004E75B9">
              <w:rPr>
                <w:rFonts w:ascii="Arial" w:hAnsi="Arial" w:cs="Arial"/>
                <w:sz w:val="18"/>
                <w:szCs w:val="18"/>
                <w:lang w:val="en-GB"/>
              </w:rPr>
              <w:br/>
              <w:t>– on the first or last day of the reference quarter the amount of equity (as specified by the Hungarian accounting standards) available to the non-resident members of the company group having direct voting rights in the data provider is at least HUF 2 billion or lower than minus HUF 2 billion, or</w:t>
            </w:r>
            <w:r w:rsidRPr="004E75B9">
              <w:rPr>
                <w:rFonts w:ascii="Arial" w:hAnsi="Arial" w:cs="Arial"/>
                <w:sz w:val="18"/>
                <w:szCs w:val="18"/>
                <w:lang w:val="en-GB"/>
              </w:rPr>
              <w:br/>
              <w:t>– have voting right in the subscribed capital of one or several non-resident companies of the company group, and the total value of these interests or the value of assets transferred to a foreign branch is at least HUF 500 million, or</w:t>
            </w:r>
            <w:r w:rsidRPr="004E75B9">
              <w:rPr>
                <w:rFonts w:ascii="Arial" w:hAnsi="Arial" w:cs="Arial"/>
                <w:sz w:val="18"/>
                <w:szCs w:val="18"/>
                <w:lang w:val="en-GB"/>
              </w:rPr>
              <w:br/>
              <w:t>– participation in the amount of at least HUF 500 million, providing a voting right of at least 10% in a resident company was purchased from or sold to a non-resident entity in the reference period</w:t>
            </w:r>
          </w:p>
        </w:tc>
        <w:tc>
          <w:tcPr>
            <w:tcW w:w="1701" w:type="dxa"/>
            <w:tcBorders>
              <w:top w:val="nil"/>
              <w:left w:val="nil"/>
              <w:bottom w:val="single" w:sz="4" w:space="0" w:color="auto"/>
              <w:right w:val="single" w:sz="4" w:space="0" w:color="auto"/>
            </w:tcBorders>
            <w:vAlign w:val="center"/>
          </w:tcPr>
          <w:p w14:paraId="34B031F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F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1FD" w14:textId="56BDCDD3"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F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0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1DB39A56"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123</w:t>
            </w:r>
          </w:p>
        </w:tc>
        <w:tc>
          <w:tcPr>
            <w:tcW w:w="1418" w:type="dxa"/>
            <w:tcBorders>
              <w:top w:val="nil"/>
              <w:left w:val="single" w:sz="4" w:space="0" w:color="auto"/>
              <w:bottom w:val="single" w:sz="4" w:space="0" w:color="auto"/>
              <w:right w:val="single" w:sz="4" w:space="0" w:color="auto"/>
            </w:tcBorders>
            <w:vAlign w:val="center"/>
          </w:tcPr>
          <w:p w14:paraId="34B0320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R14</w:t>
            </w:r>
          </w:p>
        </w:tc>
        <w:tc>
          <w:tcPr>
            <w:tcW w:w="2598" w:type="dxa"/>
            <w:tcBorders>
              <w:top w:val="nil"/>
              <w:left w:val="nil"/>
              <w:bottom w:val="single" w:sz="4" w:space="0" w:color="auto"/>
              <w:right w:val="single" w:sz="4" w:space="0" w:color="auto"/>
            </w:tcBorders>
            <w:vAlign w:val="center"/>
          </w:tcPr>
          <w:p w14:paraId="34B03202" w14:textId="77777777" w:rsidR="00187BC7" w:rsidRPr="004E75B9" w:rsidRDefault="00187BC7" w:rsidP="00187BC7">
            <w:pPr>
              <w:rPr>
                <w:rFonts w:ascii="Arial" w:hAnsi="Arial" w:cs="Arial"/>
                <w:sz w:val="20"/>
                <w:lang w:val="en-GB"/>
              </w:rPr>
            </w:pPr>
            <w:r w:rsidRPr="004E75B9">
              <w:rPr>
                <w:rFonts w:ascii="Arial" w:hAnsi="Arial" w:cs="Arial"/>
                <w:sz w:val="20"/>
                <w:lang w:val="en-GB"/>
              </w:rPr>
              <w:t>Quarterly data supply on financial derivatives</w:t>
            </w:r>
          </w:p>
        </w:tc>
        <w:tc>
          <w:tcPr>
            <w:tcW w:w="2835" w:type="dxa"/>
            <w:tcBorders>
              <w:top w:val="nil"/>
              <w:left w:val="nil"/>
              <w:bottom w:val="single" w:sz="4" w:space="0" w:color="auto"/>
              <w:right w:val="single" w:sz="4" w:space="0" w:color="auto"/>
            </w:tcBorders>
            <w:vAlign w:val="center"/>
          </w:tcPr>
          <w:p w14:paraId="65609157" w14:textId="7ED33077" w:rsidR="00187BC7" w:rsidRPr="004E75B9" w:rsidRDefault="00187BC7" w:rsidP="00187BC7">
            <w:pPr>
              <w:rPr>
                <w:rFonts w:ascii="Arial" w:hAnsi="Arial" w:cs="Arial"/>
                <w:sz w:val="18"/>
                <w:lang w:val="en-GB"/>
              </w:rPr>
            </w:pPr>
            <w:r w:rsidRPr="004E75B9">
              <w:rPr>
                <w:rFonts w:ascii="Arial" w:hAnsi="Arial" w:cs="Arial"/>
                <w:sz w:val="20"/>
                <w:lang w:val="en-GB"/>
              </w:rPr>
              <w:t xml:space="preserve">designated economic agents and economic agents not designated for data supply with MNB identification codes R05 or R14 – excluding credit institutions and EEA branches of this type – in the case of which in the financial derivative contracts concluded with non-resident counterparties, </w:t>
            </w:r>
            <w:r w:rsidRPr="004E75B9">
              <w:rPr>
                <w:rFonts w:ascii="Arial" w:hAnsi="Arial" w:cs="Arial"/>
                <w:sz w:val="20"/>
                <w:lang w:val="en-GB"/>
              </w:rPr>
              <w:br/>
              <w:t>– the amount of the transactions (revenues and expenditure) concluded and settled during the reference quarter is at least HUF 500 million, or</w:t>
            </w:r>
            <w:r w:rsidRPr="004E75B9">
              <w:rPr>
                <w:rFonts w:ascii="Arial" w:hAnsi="Arial" w:cs="Arial"/>
                <w:sz w:val="20"/>
                <w:lang w:val="en-GB"/>
              </w:rPr>
              <w:br/>
              <w:t>– on the first or on the last day of the reference quarter the total market value of the financial derivative positions (receivables and payables) is at least HUF 100 million</w:t>
            </w:r>
          </w:p>
        </w:tc>
        <w:tc>
          <w:tcPr>
            <w:tcW w:w="1701" w:type="dxa"/>
            <w:tcBorders>
              <w:top w:val="nil"/>
              <w:left w:val="nil"/>
              <w:bottom w:val="single" w:sz="4" w:space="0" w:color="auto"/>
              <w:right w:val="single" w:sz="4" w:space="0" w:color="auto"/>
            </w:tcBorders>
            <w:vAlign w:val="center"/>
          </w:tcPr>
          <w:p w14:paraId="34B0320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0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06" w14:textId="2BC8AC70"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0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11"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0E349336"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124</w:t>
            </w:r>
          </w:p>
        </w:tc>
        <w:tc>
          <w:tcPr>
            <w:tcW w:w="1418" w:type="dxa"/>
            <w:tcBorders>
              <w:top w:val="nil"/>
              <w:left w:val="single" w:sz="4" w:space="0" w:color="auto"/>
              <w:bottom w:val="single" w:sz="4" w:space="0" w:color="auto"/>
              <w:right w:val="single" w:sz="4" w:space="0" w:color="auto"/>
            </w:tcBorders>
            <w:vAlign w:val="center"/>
          </w:tcPr>
          <w:p w14:paraId="34B0320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R15</w:t>
            </w:r>
          </w:p>
        </w:tc>
        <w:tc>
          <w:tcPr>
            <w:tcW w:w="2598" w:type="dxa"/>
            <w:tcBorders>
              <w:top w:val="nil"/>
              <w:left w:val="nil"/>
              <w:bottom w:val="single" w:sz="4" w:space="0" w:color="auto"/>
              <w:right w:val="single" w:sz="4" w:space="0" w:color="auto"/>
            </w:tcBorders>
            <w:vAlign w:val="center"/>
          </w:tcPr>
          <w:p w14:paraId="34B0320B" w14:textId="0767DBDD" w:rsidR="00187BC7" w:rsidRPr="004E75B9" w:rsidRDefault="00187BC7" w:rsidP="00187BC7">
            <w:pPr>
              <w:rPr>
                <w:rFonts w:ascii="Arial" w:hAnsi="Arial" w:cs="Arial"/>
                <w:sz w:val="20"/>
                <w:lang w:val="en-GB"/>
              </w:rPr>
            </w:pPr>
            <w:r w:rsidRPr="004E75B9">
              <w:rPr>
                <w:rFonts w:ascii="Arial" w:hAnsi="Arial" w:cs="Arial"/>
                <w:sz w:val="20"/>
                <w:lang w:val="en-GB"/>
              </w:rPr>
              <w:t>Quarterly data supply on other investments – non-financial corporations, insurance corporations, pension funds, non-profit institutions serving households, captive financial institutions and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20C" w14:textId="44306577"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 and economic agents not designated for data supply with MNB identification codes R06 or R15 – allocated to sector A) Non-financial corporations, F) Insurance corporations and pension funds, K) Non-profit institutions serving households and Z) Captive financial intermediaries, as well as companies and non-profit organisations allocated to sector G) Central government under point I. A. of Annex 2 – in the case of which the total receivables or payables included in the data supply on the first or last day of the reference quarter is at least HUF 500 million</w:t>
            </w:r>
          </w:p>
        </w:tc>
        <w:tc>
          <w:tcPr>
            <w:tcW w:w="1701" w:type="dxa"/>
            <w:tcBorders>
              <w:top w:val="nil"/>
              <w:left w:val="nil"/>
              <w:bottom w:val="single" w:sz="4" w:space="0" w:color="auto"/>
              <w:right w:val="single" w:sz="4" w:space="0" w:color="auto"/>
            </w:tcBorders>
            <w:vAlign w:val="center"/>
          </w:tcPr>
          <w:p w14:paraId="34B0320D"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0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0F" w14:textId="44DCF6EF"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1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1A"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12003A6A" w:rsidR="00187BC7" w:rsidRPr="004E75B9" w:rsidRDefault="00187BC7" w:rsidP="00187BC7">
            <w:pPr>
              <w:jc w:val="center"/>
              <w:rPr>
                <w:rFonts w:ascii="Arial" w:hAnsi="Arial" w:cs="Arial"/>
                <w:sz w:val="20"/>
                <w:lang w:val="en-GB"/>
              </w:rPr>
            </w:pPr>
            <w:r w:rsidRPr="004E75B9">
              <w:rPr>
                <w:rFonts w:ascii="Arial" w:hAnsi="Arial" w:cs="Arial"/>
                <w:sz w:val="20"/>
                <w:lang w:val="en-GB"/>
              </w:rPr>
              <w:t>125</w:t>
            </w:r>
          </w:p>
        </w:tc>
        <w:tc>
          <w:tcPr>
            <w:tcW w:w="1418" w:type="dxa"/>
            <w:tcBorders>
              <w:top w:val="nil"/>
              <w:left w:val="single" w:sz="4" w:space="0" w:color="auto"/>
              <w:bottom w:val="single" w:sz="4" w:space="0" w:color="auto"/>
              <w:right w:val="single" w:sz="4" w:space="0" w:color="auto"/>
            </w:tcBorders>
            <w:vAlign w:val="center"/>
          </w:tcPr>
          <w:p w14:paraId="34B0321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R17</w:t>
            </w:r>
          </w:p>
        </w:tc>
        <w:tc>
          <w:tcPr>
            <w:tcW w:w="2598" w:type="dxa"/>
            <w:tcBorders>
              <w:top w:val="nil"/>
              <w:left w:val="nil"/>
              <w:bottom w:val="single" w:sz="4" w:space="0" w:color="auto"/>
              <w:right w:val="single" w:sz="4" w:space="0" w:color="auto"/>
            </w:tcBorders>
            <w:vAlign w:val="center"/>
          </w:tcPr>
          <w:p w14:paraId="34B03214" w14:textId="77777777" w:rsidR="00187BC7" w:rsidRPr="004E75B9" w:rsidRDefault="00187BC7" w:rsidP="00187BC7">
            <w:pPr>
              <w:rPr>
                <w:rFonts w:ascii="Arial" w:hAnsi="Arial" w:cs="Arial"/>
                <w:sz w:val="20"/>
                <w:lang w:val="en-GB"/>
              </w:rPr>
            </w:pPr>
            <w:r w:rsidRPr="004E75B9">
              <w:rPr>
                <w:rFonts w:ascii="Arial" w:hAnsi="Arial" w:cs="Arial"/>
                <w:sz w:val="20"/>
                <w:lang w:val="en-GB"/>
              </w:rPr>
              <w:t xml:space="preserve">Quarterly data supply on other investments – other financial intermediaries and financial auxiliaries </w:t>
            </w:r>
          </w:p>
        </w:tc>
        <w:tc>
          <w:tcPr>
            <w:tcW w:w="2835" w:type="dxa"/>
            <w:tcBorders>
              <w:top w:val="nil"/>
              <w:left w:val="nil"/>
              <w:bottom w:val="single" w:sz="4" w:space="0" w:color="auto"/>
              <w:right w:val="single" w:sz="4" w:space="0" w:color="auto"/>
            </w:tcBorders>
            <w:vAlign w:val="center"/>
          </w:tcPr>
          <w:p w14:paraId="4DA8742F" w14:textId="09EC9233"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agents and economic agents not designated for data supply with MNB identification codes R08 or R17,– allocated to sector D) Other financial intermediaries and E) Financial auxiliaries under point I. A. of Annex 2 – in the case of which the total receivables or payables included in the data supply on the first or last day of the reference quarter is at least  HUF 500 million</w:t>
            </w:r>
          </w:p>
        </w:tc>
        <w:tc>
          <w:tcPr>
            <w:tcW w:w="1701" w:type="dxa"/>
            <w:tcBorders>
              <w:top w:val="nil"/>
              <w:left w:val="nil"/>
              <w:bottom w:val="single" w:sz="4" w:space="0" w:color="auto"/>
              <w:right w:val="single" w:sz="4" w:space="0" w:color="auto"/>
            </w:tcBorders>
            <w:vAlign w:val="center"/>
          </w:tcPr>
          <w:p w14:paraId="34B0321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1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18" w14:textId="48D6C2B4"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1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23" w14:textId="77777777" w:rsidTr="00481406">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2DCDA609"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126</w:t>
            </w:r>
          </w:p>
        </w:tc>
        <w:tc>
          <w:tcPr>
            <w:tcW w:w="1418" w:type="dxa"/>
            <w:tcBorders>
              <w:top w:val="nil"/>
              <w:left w:val="single" w:sz="4" w:space="0" w:color="auto"/>
              <w:bottom w:val="single" w:sz="4" w:space="0" w:color="auto"/>
              <w:right w:val="single" w:sz="4" w:space="0" w:color="auto"/>
            </w:tcBorders>
            <w:vAlign w:val="center"/>
          </w:tcPr>
          <w:p w14:paraId="34B0321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R18</w:t>
            </w:r>
          </w:p>
        </w:tc>
        <w:tc>
          <w:tcPr>
            <w:tcW w:w="2598" w:type="dxa"/>
            <w:tcBorders>
              <w:top w:val="nil"/>
              <w:left w:val="nil"/>
              <w:bottom w:val="single" w:sz="4" w:space="0" w:color="auto"/>
              <w:right w:val="single" w:sz="4" w:space="0" w:color="auto"/>
            </w:tcBorders>
            <w:vAlign w:val="center"/>
          </w:tcPr>
          <w:p w14:paraId="34B0321D" w14:textId="53B16ED1" w:rsidR="00187BC7" w:rsidRPr="004E75B9" w:rsidRDefault="00187BC7" w:rsidP="00187BC7">
            <w:pPr>
              <w:rPr>
                <w:rFonts w:ascii="Arial" w:hAnsi="Arial" w:cs="Arial"/>
                <w:sz w:val="20"/>
                <w:lang w:val="en-GB"/>
              </w:rPr>
            </w:pPr>
            <w:r w:rsidRPr="004E75B9">
              <w:rPr>
                <w:rFonts w:ascii="Arial" w:hAnsi="Arial" w:cs="Arial"/>
                <w:sz w:val="20"/>
                <w:lang w:val="en-GB"/>
              </w:rPr>
              <w:t>Quarterly data supply on unrequited transfers and intangible assets – non-financial corporations, insurance corporations and pension funds, other monetary financial institutions, other financial intermediaries, financial auxiliaries and captive financial institutions</w:t>
            </w:r>
          </w:p>
        </w:tc>
        <w:tc>
          <w:tcPr>
            <w:tcW w:w="2835" w:type="dxa"/>
            <w:tcBorders>
              <w:top w:val="nil"/>
              <w:left w:val="nil"/>
              <w:bottom w:val="single" w:sz="4" w:space="0" w:color="auto"/>
              <w:right w:val="single" w:sz="4" w:space="0" w:color="auto"/>
            </w:tcBorders>
            <w:vAlign w:val="center"/>
          </w:tcPr>
          <w:p w14:paraId="34B0321E" w14:textId="6527C4C1" w:rsidR="00187BC7" w:rsidRPr="004E75B9" w:rsidRDefault="00187BC7" w:rsidP="00187BC7">
            <w:pPr>
              <w:rPr>
                <w:rFonts w:ascii="Arial" w:hAnsi="Arial" w:cs="Arial"/>
                <w:sz w:val="20"/>
                <w:lang w:val="en-GB"/>
              </w:rPr>
            </w:pPr>
            <w:r w:rsidRPr="004E75B9">
              <w:rPr>
                <w:rFonts w:ascii="Arial" w:hAnsi="Arial" w:cs="Arial"/>
                <w:sz w:val="20"/>
                <w:lang w:val="en-GB"/>
              </w:rPr>
              <w:t>economic agents not designated for data supply MNB identification code R11 – allocated to sector A) Non-financial corporations, F) Insurance corporations and pension funds, C) Other monetary financial institutions, D) Other financial intermediaries, E) Financial auxiliaries and Z) Captive financial institutions under point I. A. of Annex 2 – in the case of which the total amount of income or expense turnover in the reference quarter included in the data supply is at least HUF 200 million</w:t>
            </w:r>
          </w:p>
        </w:tc>
        <w:tc>
          <w:tcPr>
            <w:tcW w:w="1701" w:type="dxa"/>
            <w:tcBorders>
              <w:top w:val="nil"/>
              <w:left w:val="nil"/>
              <w:bottom w:val="single" w:sz="4" w:space="0" w:color="auto"/>
              <w:right w:val="single" w:sz="4" w:space="0" w:color="auto"/>
            </w:tcBorders>
            <w:vAlign w:val="center"/>
          </w:tcPr>
          <w:p w14:paraId="34B0321F"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2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21" w14:textId="6D1CFBE7"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2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2C" w14:textId="77777777" w:rsidTr="00481406">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45678395" w:rsidR="00187BC7" w:rsidRPr="004E75B9" w:rsidRDefault="00187BC7" w:rsidP="00187BC7">
            <w:pPr>
              <w:jc w:val="center"/>
              <w:rPr>
                <w:rFonts w:ascii="Arial" w:hAnsi="Arial" w:cs="Arial"/>
                <w:sz w:val="20"/>
                <w:lang w:val="en-GB"/>
              </w:rPr>
            </w:pPr>
            <w:r w:rsidRPr="004E75B9">
              <w:rPr>
                <w:rFonts w:ascii="Arial" w:hAnsi="Arial" w:cs="Arial"/>
                <w:sz w:val="20"/>
                <w:lang w:val="en-GB"/>
              </w:rPr>
              <w:t>127</w:t>
            </w:r>
          </w:p>
        </w:tc>
        <w:tc>
          <w:tcPr>
            <w:tcW w:w="1418" w:type="dxa"/>
            <w:tcBorders>
              <w:top w:val="nil"/>
              <w:left w:val="single" w:sz="4" w:space="0" w:color="auto"/>
              <w:bottom w:val="single" w:sz="4" w:space="0" w:color="auto"/>
              <w:right w:val="single" w:sz="4" w:space="0" w:color="auto"/>
            </w:tcBorders>
            <w:vAlign w:val="center"/>
          </w:tcPr>
          <w:p w14:paraId="34B0322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R19</w:t>
            </w:r>
          </w:p>
        </w:tc>
        <w:tc>
          <w:tcPr>
            <w:tcW w:w="2598" w:type="dxa"/>
            <w:tcBorders>
              <w:top w:val="nil"/>
              <w:left w:val="nil"/>
              <w:bottom w:val="single" w:sz="4" w:space="0" w:color="auto"/>
              <w:right w:val="single" w:sz="4" w:space="0" w:color="auto"/>
            </w:tcBorders>
            <w:vAlign w:val="center"/>
          </w:tcPr>
          <w:p w14:paraId="34B03226" w14:textId="41B40857" w:rsidR="00187BC7" w:rsidRPr="004E75B9" w:rsidRDefault="00187BC7" w:rsidP="00187BC7">
            <w:pPr>
              <w:rPr>
                <w:rFonts w:ascii="Arial" w:hAnsi="Arial" w:cs="Arial"/>
                <w:sz w:val="20"/>
                <w:lang w:val="en-GB"/>
              </w:rPr>
            </w:pPr>
            <w:r w:rsidRPr="004E75B9">
              <w:rPr>
                <w:rFonts w:ascii="Arial" w:hAnsi="Arial" w:cs="Arial"/>
                <w:sz w:val="20"/>
                <w:lang w:val="en-GB"/>
              </w:rPr>
              <w:t xml:space="preserve">Informative balance sheet data of non-financial corporations </w:t>
            </w:r>
          </w:p>
        </w:tc>
        <w:tc>
          <w:tcPr>
            <w:tcW w:w="2835" w:type="dxa"/>
            <w:tcBorders>
              <w:top w:val="nil"/>
              <w:left w:val="nil"/>
              <w:bottom w:val="single" w:sz="4" w:space="0" w:color="auto"/>
              <w:right w:val="single" w:sz="4" w:space="0" w:color="auto"/>
            </w:tcBorders>
            <w:vAlign w:val="center"/>
          </w:tcPr>
          <w:p w14:paraId="34B03227" w14:textId="41885C76" w:rsidR="00187BC7" w:rsidRPr="004E75B9" w:rsidRDefault="00187BC7" w:rsidP="00187BC7">
            <w:pPr>
              <w:autoSpaceDE w:val="0"/>
              <w:autoSpaceDN w:val="0"/>
              <w:adjustRightInd w:val="0"/>
              <w:rPr>
                <w:rFonts w:ascii="Arial" w:hAnsi="Arial" w:cs="Arial"/>
                <w:sz w:val="20"/>
                <w:lang w:val="en-GB"/>
              </w:rPr>
            </w:pPr>
            <w:r w:rsidRPr="004E75B9">
              <w:rPr>
                <w:rFonts w:ascii="Arial" w:hAnsi="Arial" w:cs="Arial"/>
                <w:sz w:val="20"/>
                <w:lang w:val="en-GB"/>
              </w:rPr>
              <w:t>designated economic agent allocated to the sector of A) Non-financial corporations under point I. A. of Annex 2</w:t>
            </w:r>
          </w:p>
        </w:tc>
        <w:tc>
          <w:tcPr>
            <w:tcW w:w="1701" w:type="dxa"/>
            <w:tcBorders>
              <w:top w:val="nil"/>
              <w:left w:val="nil"/>
              <w:bottom w:val="single" w:sz="4" w:space="0" w:color="auto"/>
              <w:right w:val="single" w:sz="4" w:space="0" w:color="auto"/>
            </w:tcBorders>
            <w:vAlign w:val="center"/>
          </w:tcPr>
          <w:p w14:paraId="34B0322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2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2A" w14:textId="0D92065D"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2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30th day of the month following the reference period</w:t>
            </w:r>
          </w:p>
        </w:tc>
      </w:tr>
      <w:tr w:rsidR="004E75B9" w:rsidRPr="004E75B9" w14:paraId="34B03235" w14:textId="77777777" w:rsidTr="00481406">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2F2FBC94" w:rsidR="00187BC7" w:rsidRPr="004E75B9" w:rsidRDefault="00187BC7" w:rsidP="00187BC7">
            <w:pPr>
              <w:jc w:val="center"/>
              <w:rPr>
                <w:rFonts w:ascii="Arial" w:hAnsi="Arial" w:cs="Arial"/>
                <w:sz w:val="20"/>
                <w:lang w:val="en-GB"/>
              </w:rPr>
            </w:pPr>
            <w:r w:rsidRPr="004E75B9">
              <w:rPr>
                <w:rFonts w:ascii="Arial" w:hAnsi="Arial" w:cs="Arial"/>
                <w:sz w:val="20"/>
                <w:lang w:val="en-GB"/>
              </w:rPr>
              <w:t>128</w:t>
            </w:r>
          </w:p>
        </w:tc>
        <w:tc>
          <w:tcPr>
            <w:tcW w:w="1418" w:type="dxa"/>
            <w:tcBorders>
              <w:top w:val="nil"/>
              <w:left w:val="single" w:sz="4" w:space="0" w:color="auto"/>
              <w:bottom w:val="single" w:sz="4" w:space="0" w:color="auto"/>
              <w:right w:val="single" w:sz="4" w:space="0" w:color="auto"/>
            </w:tcBorders>
            <w:vAlign w:val="center"/>
          </w:tcPr>
          <w:p w14:paraId="34B0322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R20</w:t>
            </w:r>
          </w:p>
        </w:tc>
        <w:tc>
          <w:tcPr>
            <w:tcW w:w="2598" w:type="dxa"/>
            <w:tcBorders>
              <w:top w:val="nil"/>
              <w:left w:val="nil"/>
              <w:bottom w:val="single" w:sz="4" w:space="0" w:color="auto"/>
              <w:right w:val="single" w:sz="4" w:space="0" w:color="auto"/>
            </w:tcBorders>
            <w:vAlign w:val="center"/>
          </w:tcPr>
          <w:p w14:paraId="34B0322F" w14:textId="2985C3E1" w:rsidR="00187BC7" w:rsidRPr="004E75B9" w:rsidRDefault="00187BC7" w:rsidP="00187BC7">
            <w:pPr>
              <w:rPr>
                <w:rFonts w:ascii="Arial" w:hAnsi="Arial" w:cs="Arial"/>
                <w:sz w:val="20"/>
                <w:lang w:val="en-GB"/>
              </w:rPr>
            </w:pPr>
            <w:r w:rsidRPr="004E75B9">
              <w:rPr>
                <w:rFonts w:ascii="Arial" w:hAnsi="Arial" w:cs="Arial"/>
                <w:sz w:val="20"/>
                <w:lang w:val="en-GB"/>
              </w:rPr>
              <w:t>Maturity breakdown of long term liabilities – non-financial corporations, insurance corporations and pension funds, non-profit institutions serving households, other financial intermediaries, financial auxiliaries, captive financial institutions, as well as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230" w14:textId="6CD0CEBA" w:rsidR="00187BC7" w:rsidRPr="004E75B9" w:rsidRDefault="00187BC7" w:rsidP="00187BC7">
            <w:pPr>
              <w:rPr>
                <w:rFonts w:ascii="Arial" w:hAnsi="Arial" w:cs="Arial"/>
                <w:sz w:val="20"/>
                <w:lang w:val="en-GB"/>
              </w:rPr>
            </w:pPr>
            <w:r w:rsidRPr="004E75B9">
              <w:rPr>
                <w:rFonts w:ascii="Arial" w:hAnsi="Arial" w:cs="Arial"/>
                <w:sz w:val="20"/>
                <w:lang w:val="en-GB"/>
              </w:rPr>
              <w:t>economic agents with debts the maturity of which is over one year, obliged to submit data supplies with MNB identification codes R06, R08, R15 or R17</w:t>
            </w:r>
          </w:p>
        </w:tc>
        <w:tc>
          <w:tcPr>
            <w:tcW w:w="1701" w:type="dxa"/>
            <w:tcBorders>
              <w:top w:val="nil"/>
              <w:left w:val="nil"/>
              <w:bottom w:val="single" w:sz="4" w:space="0" w:color="auto"/>
              <w:right w:val="single" w:sz="4" w:space="0" w:color="auto"/>
            </w:tcBorders>
            <w:vAlign w:val="center"/>
          </w:tcPr>
          <w:p w14:paraId="34B0323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3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33" w14:textId="3A128B96"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3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3E" w14:textId="77777777" w:rsidTr="00481406">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55623E40"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129</w:t>
            </w:r>
          </w:p>
        </w:tc>
        <w:tc>
          <w:tcPr>
            <w:tcW w:w="1418" w:type="dxa"/>
            <w:tcBorders>
              <w:top w:val="nil"/>
              <w:left w:val="single" w:sz="4" w:space="0" w:color="auto"/>
              <w:bottom w:val="single" w:sz="4" w:space="0" w:color="auto"/>
              <w:right w:val="single" w:sz="4" w:space="0" w:color="auto"/>
            </w:tcBorders>
            <w:vAlign w:val="center"/>
          </w:tcPr>
          <w:p w14:paraId="34B0323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R21</w:t>
            </w:r>
          </w:p>
        </w:tc>
        <w:tc>
          <w:tcPr>
            <w:tcW w:w="2598" w:type="dxa"/>
            <w:tcBorders>
              <w:top w:val="nil"/>
              <w:left w:val="nil"/>
              <w:bottom w:val="single" w:sz="4" w:space="0" w:color="auto"/>
              <w:right w:val="single" w:sz="4" w:space="0" w:color="auto"/>
            </w:tcBorders>
            <w:vAlign w:val="center"/>
          </w:tcPr>
          <w:p w14:paraId="34B03238" w14:textId="2197ABA9" w:rsidR="00187BC7" w:rsidRPr="004E75B9" w:rsidRDefault="00187BC7" w:rsidP="00187BC7">
            <w:pPr>
              <w:rPr>
                <w:rFonts w:ascii="Arial" w:hAnsi="Arial" w:cs="Arial"/>
                <w:sz w:val="20"/>
                <w:lang w:val="en-GB"/>
              </w:rPr>
            </w:pPr>
            <w:r w:rsidRPr="004E75B9">
              <w:rPr>
                <w:rFonts w:ascii="Arial" w:hAnsi="Arial" w:cs="Arial"/>
                <w:sz w:val="20"/>
                <w:lang w:val="en-GB"/>
              </w:rPr>
              <w:t xml:space="preserve">Maturity breakdown of assets and liabilities with maturity over one year – other monetary financial institutions </w:t>
            </w:r>
          </w:p>
        </w:tc>
        <w:tc>
          <w:tcPr>
            <w:tcW w:w="2835" w:type="dxa"/>
            <w:tcBorders>
              <w:top w:val="nil"/>
              <w:left w:val="nil"/>
              <w:bottom w:val="single" w:sz="4" w:space="0" w:color="auto"/>
              <w:right w:val="single" w:sz="4" w:space="0" w:color="auto"/>
            </w:tcBorders>
            <w:vAlign w:val="center"/>
          </w:tcPr>
          <w:p w14:paraId="34B03239" w14:textId="7AB197D1" w:rsidR="00187BC7" w:rsidRPr="004E75B9" w:rsidRDefault="00187BC7" w:rsidP="00187BC7">
            <w:pPr>
              <w:rPr>
                <w:rFonts w:ascii="Arial" w:hAnsi="Arial" w:cs="Arial"/>
                <w:sz w:val="20"/>
                <w:lang w:val="en-GB"/>
              </w:rPr>
            </w:pPr>
            <w:r w:rsidRPr="004E75B9">
              <w:rPr>
                <w:rFonts w:ascii="Arial" w:hAnsi="Arial" w:cs="Arial"/>
                <w:sz w:val="20"/>
                <w:lang w:val="en-GB"/>
              </w:rPr>
              <w:t>credit institutions and EEA branches of this type with receivables or payables with maturity over one year</w:t>
            </w:r>
          </w:p>
        </w:tc>
        <w:tc>
          <w:tcPr>
            <w:tcW w:w="1701" w:type="dxa"/>
            <w:tcBorders>
              <w:top w:val="nil"/>
              <w:left w:val="nil"/>
              <w:bottom w:val="single" w:sz="4" w:space="0" w:color="auto"/>
              <w:right w:val="single" w:sz="4" w:space="0" w:color="auto"/>
            </w:tcBorders>
            <w:vAlign w:val="center"/>
          </w:tcPr>
          <w:p w14:paraId="34B0323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23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3C" w14:textId="416BE91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3D"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11th working day of the month following the reference period</w:t>
            </w:r>
          </w:p>
        </w:tc>
      </w:tr>
      <w:tr w:rsidR="004E75B9" w:rsidRPr="004E75B9" w14:paraId="34B03247" w14:textId="77777777" w:rsidTr="00481406">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34FAF7D7" w:rsidR="00187BC7" w:rsidRPr="004E75B9" w:rsidRDefault="00187BC7" w:rsidP="00187BC7">
            <w:pPr>
              <w:jc w:val="center"/>
              <w:rPr>
                <w:rFonts w:ascii="Arial" w:hAnsi="Arial" w:cs="Arial"/>
                <w:sz w:val="20"/>
                <w:lang w:val="en-GB"/>
              </w:rPr>
            </w:pPr>
            <w:r w:rsidRPr="004E75B9">
              <w:rPr>
                <w:rFonts w:ascii="Arial" w:hAnsi="Arial" w:cs="Arial"/>
                <w:sz w:val="20"/>
                <w:lang w:val="en-GB"/>
              </w:rPr>
              <w:t>130</w:t>
            </w:r>
          </w:p>
        </w:tc>
        <w:tc>
          <w:tcPr>
            <w:tcW w:w="1418" w:type="dxa"/>
            <w:tcBorders>
              <w:top w:val="nil"/>
              <w:left w:val="single" w:sz="4" w:space="0" w:color="auto"/>
              <w:bottom w:val="single" w:sz="4" w:space="0" w:color="auto"/>
              <w:right w:val="single" w:sz="4" w:space="0" w:color="auto"/>
            </w:tcBorders>
            <w:vAlign w:val="center"/>
          </w:tcPr>
          <w:p w14:paraId="34B0324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R22</w:t>
            </w:r>
          </w:p>
        </w:tc>
        <w:tc>
          <w:tcPr>
            <w:tcW w:w="2598" w:type="dxa"/>
            <w:tcBorders>
              <w:top w:val="nil"/>
              <w:left w:val="nil"/>
              <w:bottom w:val="single" w:sz="4" w:space="0" w:color="auto"/>
              <w:right w:val="single" w:sz="4" w:space="0" w:color="auto"/>
            </w:tcBorders>
            <w:vAlign w:val="center"/>
          </w:tcPr>
          <w:p w14:paraId="34B03241" w14:textId="0A1A1468" w:rsidR="00187BC7" w:rsidRPr="004E75B9" w:rsidRDefault="00187BC7" w:rsidP="00187BC7">
            <w:pPr>
              <w:rPr>
                <w:rFonts w:ascii="Arial" w:hAnsi="Arial" w:cs="Arial"/>
                <w:sz w:val="20"/>
                <w:lang w:val="en-GB"/>
              </w:rPr>
            </w:pPr>
            <w:r w:rsidRPr="004E75B9">
              <w:rPr>
                <w:rFonts w:ascii="Arial" w:hAnsi="Arial" w:cs="Arial"/>
                <w:sz w:val="20"/>
                <w:lang w:val="en-GB"/>
              </w:rPr>
              <w:t xml:space="preserve">Maturity breakdown of long term liabilities – with the exception of companies and non-profit organisations classified as central government, the central government, local governments and social security funds </w:t>
            </w:r>
          </w:p>
        </w:tc>
        <w:tc>
          <w:tcPr>
            <w:tcW w:w="2835" w:type="dxa"/>
            <w:tcBorders>
              <w:top w:val="nil"/>
              <w:left w:val="nil"/>
              <w:bottom w:val="single" w:sz="4" w:space="0" w:color="auto"/>
              <w:right w:val="single" w:sz="4" w:space="0" w:color="auto"/>
            </w:tcBorders>
            <w:vAlign w:val="center"/>
          </w:tcPr>
          <w:p w14:paraId="34B03242" w14:textId="2C721E13" w:rsidR="00187BC7" w:rsidRPr="004E75B9" w:rsidRDefault="00187BC7" w:rsidP="00187BC7">
            <w:pPr>
              <w:rPr>
                <w:rFonts w:ascii="Arial" w:hAnsi="Arial" w:cs="Arial"/>
                <w:sz w:val="20"/>
                <w:lang w:val="en-GB"/>
              </w:rPr>
            </w:pPr>
            <w:r w:rsidRPr="004E75B9">
              <w:rPr>
                <w:rFonts w:ascii="Arial" w:hAnsi="Arial" w:cs="Arial"/>
                <w:sz w:val="20"/>
                <w:lang w:val="en-GB"/>
              </w:rPr>
              <w:t>economic agents with debts of maturity over one year, obliged to submit data supply with MNB identification code R09</w:t>
            </w:r>
          </w:p>
        </w:tc>
        <w:tc>
          <w:tcPr>
            <w:tcW w:w="1701" w:type="dxa"/>
            <w:tcBorders>
              <w:top w:val="nil"/>
              <w:left w:val="nil"/>
              <w:bottom w:val="single" w:sz="4" w:space="0" w:color="auto"/>
              <w:right w:val="single" w:sz="4" w:space="0" w:color="auto"/>
            </w:tcBorders>
            <w:vAlign w:val="center"/>
          </w:tcPr>
          <w:p w14:paraId="34B0324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4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45" w14:textId="6C7E7D17"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4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50" w14:textId="77777777" w:rsidTr="00481406">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1B02BDBD" w:rsidR="00187BC7" w:rsidRPr="004E75B9" w:rsidRDefault="00187BC7" w:rsidP="00187BC7">
            <w:pPr>
              <w:jc w:val="center"/>
              <w:rPr>
                <w:rFonts w:ascii="Arial" w:hAnsi="Arial" w:cs="Arial"/>
                <w:sz w:val="20"/>
                <w:lang w:val="en-GB"/>
              </w:rPr>
            </w:pPr>
            <w:r w:rsidRPr="004E75B9">
              <w:rPr>
                <w:rFonts w:ascii="Arial" w:hAnsi="Arial" w:cs="Arial"/>
                <w:sz w:val="20"/>
                <w:lang w:val="en-GB"/>
              </w:rPr>
              <w:t>131</w:t>
            </w:r>
          </w:p>
        </w:tc>
        <w:tc>
          <w:tcPr>
            <w:tcW w:w="1418" w:type="dxa"/>
            <w:tcBorders>
              <w:top w:val="nil"/>
              <w:left w:val="single" w:sz="4" w:space="0" w:color="auto"/>
              <w:bottom w:val="single" w:sz="4" w:space="0" w:color="auto"/>
              <w:right w:val="single" w:sz="4" w:space="0" w:color="auto"/>
            </w:tcBorders>
            <w:vAlign w:val="center"/>
          </w:tcPr>
          <w:p w14:paraId="34B0324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R24</w:t>
            </w:r>
          </w:p>
        </w:tc>
        <w:tc>
          <w:tcPr>
            <w:tcW w:w="2598" w:type="dxa"/>
            <w:tcBorders>
              <w:top w:val="nil"/>
              <w:left w:val="nil"/>
              <w:bottom w:val="single" w:sz="4" w:space="0" w:color="auto"/>
              <w:right w:val="single" w:sz="4" w:space="0" w:color="auto"/>
            </w:tcBorders>
            <w:vAlign w:val="center"/>
          </w:tcPr>
          <w:p w14:paraId="34B0324A" w14:textId="715D71D1" w:rsidR="00187BC7" w:rsidRPr="004E75B9" w:rsidRDefault="00187BC7" w:rsidP="00187BC7">
            <w:pPr>
              <w:rPr>
                <w:rFonts w:ascii="Arial" w:hAnsi="Arial" w:cs="Arial"/>
                <w:sz w:val="20"/>
                <w:lang w:val="en-GB"/>
              </w:rPr>
            </w:pPr>
            <w:r w:rsidRPr="004E75B9">
              <w:rPr>
                <w:rFonts w:ascii="Arial" w:hAnsi="Arial" w:cs="Arial"/>
                <w:sz w:val="20"/>
                <w:lang w:val="en-GB"/>
              </w:rPr>
              <w:t>Quarterly data supply on certain data of the long-term debts – vis-à-vis the non-resident sector – of the central government, economic agents controlled by the central government, and economic agents not controlled by the central government but whose long term debts vis-à-vis the non-resident sector are guaranteed by the central government</w:t>
            </w:r>
          </w:p>
        </w:tc>
        <w:tc>
          <w:tcPr>
            <w:tcW w:w="2835" w:type="dxa"/>
            <w:tcBorders>
              <w:top w:val="nil"/>
              <w:left w:val="nil"/>
              <w:bottom w:val="single" w:sz="4" w:space="0" w:color="auto"/>
              <w:right w:val="single" w:sz="4" w:space="0" w:color="auto"/>
            </w:tcBorders>
            <w:vAlign w:val="center"/>
          </w:tcPr>
          <w:p w14:paraId="34B0324B" w14:textId="4C79E66D" w:rsidR="00187BC7" w:rsidRPr="004E75B9" w:rsidRDefault="00187BC7" w:rsidP="00187BC7">
            <w:pPr>
              <w:rPr>
                <w:rFonts w:ascii="Arial" w:hAnsi="Arial" w:cs="Arial"/>
                <w:sz w:val="20"/>
                <w:lang w:val="en-GB"/>
              </w:rPr>
            </w:pPr>
            <w:r w:rsidRPr="004E75B9">
              <w:rPr>
                <w:rFonts w:ascii="Arial" w:hAnsi="Arial" w:cs="Arial"/>
                <w:sz w:val="20"/>
                <w:lang w:val="en-GB"/>
              </w:rPr>
              <w:t>budgetary organisations and economic agents controlled by the central government with long-term debts vis-à-vis non-resident sector, and economic agents not controlled by the central government whose long-term debts vis-à-vis the non-resident sector are guaranteed by the central government</w:t>
            </w:r>
          </w:p>
        </w:tc>
        <w:tc>
          <w:tcPr>
            <w:tcW w:w="1701" w:type="dxa"/>
            <w:tcBorders>
              <w:top w:val="nil"/>
              <w:left w:val="nil"/>
              <w:bottom w:val="single" w:sz="4" w:space="0" w:color="auto"/>
              <w:right w:val="single" w:sz="4" w:space="0" w:color="auto"/>
            </w:tcBorders>
            <w:vAlign w:val="center"/>
          </w:tcPr>
          <w:p w14:paraId="34B0324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4D"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4E" w14:textId="117A736A"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4F"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59" w14:textId="77777777" w:rsidTr="00481406">
        <w:trPr>
          <w:cantSplit/>
          <w:trHeight w:val="455"/>
          <w:jc w:val="center"/>
        </w:trPr>
        <w:tc>
          <w:tcPr>
            <w:tcW w:w="704" w:type="dxa"/>
            <w:tcBorders>
              <w:top w:val="nil"/>
              <w:left w:val="single" w:sz="4" w:space="0" w:color="auto"/>
              <w:bottom w:val="single" w:sz="4" w:space="0" w:color="auto"/>
              <w:right w:val="single" w:sz="4" w:space="0" w:color="auto"/>
            </w:tcBorders>
            <w:vAlign w:val="center"/>
          </w:tcPr>
          <w:p w14:paraId="34B03251" w14:textId="5335ABD7" w:rsidR="00187BC7" w:rsidRPr="004E75B9" w:rsidRDefault="00187BC7" w:rsidP="00187BC7">
            <w:pPr>
              <w:jc w:val="center"/>
              <w:rPr>
                <w:rFonts w:ascii="Arial" w:hAnsi="Arial" w:cs="Arial"/>
                <w:sz w:val="20"/>
                <w:lang w:val="en-GB"/>
              </w:rPr>
            </w:pPr>
            <w:r w:rsidRPr="004E75B9">
              <w:rPr>
                <w:rFonts w:ascii="Arial" w:hAnsi="Arial" w:cs="Arial"/>
                <w:sz w:val="20"/>
                <w:lang w:val="en-GB"/>
              </w:rPr>
              <w:t>132</w:t>
            </w:r>
          </w:p>
        </w:tc>
        <w:tc>
          <w:tcPr>
            <w:tcW w:w="1418" w:type="dxa"/>
            <w:tcBorders>
              <w:top w:val="nil"/>
              <w:left w:val="single" w:sz="4" w:space="0" w:color="auto"/>
              <w:bottom w:val="single" w:sz="4" w:space="0" w:color="auto"/>
              <w:right w:val="single" w:sz="4" w:space="0" w:color="auto"/>
            </w:tcBorders>
            <w:vAlign w:val="center"/>
          </w:tcPr>
          <w:p w14:paraId="34B0325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R25</w:t>
            </w:r>
          </w:p>
        </w:tc>
        <w:tc>
          <w:tcPr>
            <w:tcW w:w="2598" w:type="dxa"/>
            <w:tcBorders>
              <w:top w:val="nil"/>
              <w:left w:val="nil"/>
              <w:bottom w:val="single" w:sz="4" w:space="0" w:color="auto"/>
              <w:right w:val="single" w:sz="4" w:space="0" w:color="auto"/>
            </w:tcBorders>
            <w:vAlign w:val="center"/>
          </w:tcPr>
          <w:p w14:paraId="34B03253" w14:textId="77777777" w:rsidR="00187BC7" w:rsidRPr="004E75B9" w:rsidRDefault="00187BC7" w:rsidP="00187BC7">
            <w:pPr>
              <w:rPr>
                <w:rFonts w:ascii="Arial" w:hAnsi="Arial" w:cs="Arial"/>
                <w:sz w:val="20"/>
                <w:lang w:val="en-GB"/>
              </w:rPr>
            </w:pPr>
            <w:r w:rsidRPr="004E75B9">
              <w:rPr>
                <w:rFonts w:ascii="Arial" w:hAnsi="Arial" w:cs="Arial"/>
                <w:sz w:val="20"/>
                <w:lang w:val="en-GB"/>
              </w:rPr>
              <w:t xml:space="preserve">Guarantees undertaken by the central government </w:t>
            </w:r>
          </w:p>
        </w:tc>
        <w:tc>
          <w:tcPr>
            <w:tcW w:w="2835" w:type="dxa"/>
            <w:tcBorders>
              <w:top w:val="nil"/>
              <w:left w:val="nil"/>
              <w:bottom w:val="single" w:sz="4" w:space="0" w:color="auto"/>
              <w:right w:val="single" w:sz="4" w:space="0" w:color="auto"/>
            </w:tcBorders>
            <w:vAlign w:val="center"/>
          </w:tcPr>
          <w:p w14:paraId="34B03254" w14:textId="7B89B305" w:rsidR="00187BC7" w:rsidRPr="004E75B9" w:rsidRDefault="00187BC7" w:rsidP="00187BC7">
            <w:pPr>
              <w:rPr>
                <w:rFonts w:ascii="Arial" w:hAnsi="Arial" w:cs="Arial"/>
                <w:sz w:val="20"/>
                <w:lang w:val="en-GB"/>
              </w:rPr>
            </w:pPr>
            <w:r w:rsidRPr="004E75B9">
              <w:rPr>
                <w:rFonts w:ascii="Arial" w:hAnsi="Arial" w:cs="Arial"/>
                <w:sz w:val="20"/>
                <w:lang w:val="en-GB"/>
              </w:rPr>
              <w:t>HST</w:t>
            </w:r>
          </w:p>
        </w:tc>
        <w:tc>
          <w:tcPr>
            <w:tcW w:w="1701" w:type="dxa"/>
            <w:tcBorders>
              <w:top w:val="nil"/>
              <w:left w:val="nil"/>
              <w:bottom w:val="single" w:sz="4" w:space="0" w:color="auto"/>
              <w:right w:val="single" w:sz="4" w:space="0" w:color="auto"/>
            </w:tcBorders>
            <w:vAlign w:val="center"/>
          </w:tcPr>
          <w:p w14:paraId="34B0325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5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57" w14:textId="2F45F7BF"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58" w14:textId="2C2A7B16" w:rsidR="00187BC7" w:rsidRPr="004E75B9" w:rsidRDefault="00187BC7" w:rsidP="00187BC7">
            <w:pPr>
              <w:jc w:val="center"/>
              <w:rPr>
                <w:rFonts w:ascii="Arial" w:hAnsi="Arial" w:cs="Arial"/>
                <w:sz w:val="20"/>
                <w:lang w:val="en-GB"/>
              </w:rPr>
            </w:pPr>
            <w:r w:rsidRPr="004E75B9">
              <w:rPr>
                <w:rFonts w:ascii="Arial" w:hAnsi="Arial" w:cs="Arial"/>
                <w:sz w:val="20"/>
                <w:lang w:val="en-GB"/>
              </w:rPr>
              <w:t>51st working day following the reference period</w:t>
            </w:r>
          </w:p>
        </w:tc>
      </w:tr>
      <w:tr w:rsidR="004E75B9" w:rsidRPr="004E75B9" w14:paraId="34B03262" w14:textId="77777777" w:rsidTr="00481406">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325A" w14:textId="334AB32B" w:rsidR="00187BC7" w:rsidRPr="004E75B9" w:rsidRDefault="00187BC7" w:rsidP="00187BC7">
            <w:pPr>
              <w:jc w:val="center"/>
              <w:rPr>
                <w:rFonts w:ascii="Arial" w:hAnsi="Arial" w:cs="Arial"/>
                <w:sz w:val="20"/>
                <w:lang w:val="en-GB"/>
              </w:rPr>
            </w:pPr>
            <w:r w:rsidRPr="004E75B9">
              <w:rPr>
                <w:rFonts w:ascii="Arial" w:hAnsi="Arial" w:cs="Arial"/>
                <w:sz w:val="20"/>
                <w:lang w:val="en-GB"/>
              </w:rPr>
              <w:t>133</w:t>
            </w:r>
          </w:p>
        </w:tc>
        <w:tc>
          <w:tcPr>
            <w:tcW w:w="1418" w:type="dxa"/>
            <w:tcBorders>
              <w:top w:val="nil"/>
              <w:left w:val="single" w:sz="4" w:space="0" w:color="auto"/>
              <w:bottom w:val="single" w:sz="4" w:space="0" w:color="auto"/>
              <w:right w:val="single" w:sz="4" w:space="0" w:color="auto"/>
            </w:tcBorders>
            <w:vAlign w:val="center"/>
          </w:tcPr>
          <w:p w14:paraId="34B0325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R26</w:t>
            </w:r>
          </w:p>
        </w:tc>
        <w:tc>
          <w:tcPr>
            <w:tcW w:w="2598" w:type="dxa"/>
            <w:tcBorders>
              <w:top w:val="nil"/>
              <w:left w:val="nil"/>
              <w:bottom w:val="single" w:sz="4" w:space="0" w:color="auto"/>
              <w:right w:val="single" w:sz="4" w:space="0" w:color="auto"/>
            </w:tcBorders>
            <w:vAlign w:val="center"/>
          </w:tcPr>
          <w:p w14:paraId="34B0325C" w14:textId="372AFBF1" w:rsidR="00187BC7" w:rsidRPr="004E75B9" w:rsidRDefault="00187BC7" w:rsidP="00187BC7">
            <w:pPr>
              <w:rPr>
                <w:rFonts w:ascii="Arial" w:hAnsi="Arial" w:cs="Arial"/>
                <w:sz w:val="20"/>
                <w:lang w:val="en-GB"/>
              </w:rPr>
            </w:pPr>
            <w:r w:rsidRPr="004E75B9">
              <w:rPr>
                <w:rFonts w:ascii="Arial" w:hAnsi="Arial" w:cs="Arial"/>
                <w:sz w:val="20"/>
                <w:lang w:val="en-GB"/>
              </w:rPr>
              <w:t xml:space="preserve">Stocks and turnover of receivables and payables outstanding vis-à-vis the non-resident sector on due to VAT accounts held in euro </w:t>
            </w:r>
          </w:p>
        </w:tc>
        <w:tc>
          <w:tcPr>
            <w:tcW w:w="2835" w:type="dxa"/>
            <w:tcBorders>
              <w:top w:val="nil"/>
              <w:left w:val="nil"/>
              <w:bottom w:val="single" w:sz="4" w:space="0" w:color="auto"/>
              <w:right w:val="single" w:sz="4" w:space="0" w:color="auto"/>
            </w:tcBorders>
            <w:vAlign w:val="center"/>
          </w:tcPr>
          <w:p w14:paraId="34B0325D" w14:textId="07101A08" w:rsidR="00187BC7" w:rsidRPr="004E75B9" w:rsidRDefault="00187BC7" w:rsidP="00187BC7">
            <w:pPr>
              <w:rPr>
                <w:rFonts w:ascii="Arial" w:hAnsi="Arial" w:cs="Arial"/>
                <w:sz w:val="20"/>
                <w:lang w:val="en-GB"/>
              </w:rPr>
            </w:pPr>
            <w:r w:rsidRPr="004E75B9">
              <w:rPr>
                <w:rFonts w:ascii="Arial" w:hAnsi="Arial" w:cs="Arial"/>
                <w:sz w:val="20"/>
                <w:lang w:val="en-GB"/>
              </w:rPr>
              <w:t>National Tax and Customs Administration (hereinafter: NTCA)</w:t>
            </w:r>
          </w:p>
        </w:tc>
        <w:tc>
          <w:tcPr>
            <w:tcW w:w="1701" w:type="dxa"/>
            <w:tcBorders>
              <w:top w:val="nil"/>
              <w:left w:val="nil"/>
              <w:bottom w:val="single" w:sz="4" w:space="0" w:color="auto"/>
              <w:right w:val="single" w:sz="4" w:space="0" w:color="auto"/>
            </w:tcBorders>
            <w:vAlign w:val="center"/>
          </w:tcPr>
          <w:p w14:paraId="34B0325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5F"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60" w14:textId="5378BC5D"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6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6B" w14:textId="77777777" w:rsidTr="00481406">
        <w:trPr>
          <w:cantSplit/>
          <w:trHeight w:val="843"/>
          <w:jc w:val="center"/>
        </w:trPr>
        <w:tc>
          <w:tcPr>
            <w:tcW w:w="704" w:type="dxa"/>
            <w:tcBorders>
              <w:top w:val="nil"/>
              <w:left w:val="single" w:sz="4" w:space="0" w:color="auto"/>
              <w:bottom w:val="single" w:sz="4" w:space="0" w:color="auto"/>
              <w:right w:val="single" w:sz="4" w:space="0" w:color="auto"/>
            </w:tcBorders>
            <w:vAlign w:val="center"/>
          </w:tcPr>
          <w:p w14:paraId="34B03263" w14:textId="0FC35158" w:rsidR="00187BC7" w:rsidRPr="004E75B9" w:rsidRDefault="00187BC7" w:rsidP="00187BC7">
            <w:pPr>
              <w:jc w:val="center"/>
              <w:rPr>
                <w:rFonts w:ascii="Arial" w:hAnsi="Arial" w:cs="Arial"/>
                <w:sz w:val="20"/>
                <w:lang w:val="en-GB"/>
              </w:rPr>
            </w:pPr>
          </w:p>
        </w:tc>
        <w:tc>
          <w:tcPr>
            <w:tcW w:w="1418" w:type="dxa"/>
            <w:tcBorders>
              <w:top w:val="nil"/>
              <w:left w:val="single" w:sz="4" w:space="0" w:color="auto"/>
              <w:bottom w:val="single" w:sz="4" w:space="0" w:color="auto"/>
              <w:right w:val="single" w:sz="4" w:space="0" w:color="auto"/>
            </w:tcBorders>
            <w:vAlign w:val="center"/>
          </w:tcPr>
          <w:p w14:paraId="34B03264" w14:textId="5314456E" w:rsidR="00187BC7" w:rsidRPr="004E75B9" w:rsidRDefault="00187BC7" w:rsidP="00187BC7">
            <w:pPr>
              <w:jc w:val="center"/>
              <w:rPr>
                <w:rFonts w:ascii="Arial" w:hAnsi="Arial" w:cs="Arial"/>
                <w:sz w:val="20"/>
                <w:lang w:val="en-GB"/>
              </w:rPr>
            </w:pPr>
          </w:p>
        </w:tc>
        <w:tc>
          <w:tcPr>
            <w:tcW w:w="2598" w:type="dxa"/>
            <w:tcBorders>
              <w:top w:val="nil"/>
              <w:left w:val="nil"/>
              <w:bottom w:val="single" w:sz="4" w:space="0" w:color="auto"/>
              <w:right w:val="single" w:sz="4" w:space="0" w:color="auto"/>
            </w:tcBorders>
            <w:vAlign w:val="center"/>
          </w:tcPr>
          <w:p w14:paraId="34B03265" w14:textId="4BB86A19" w:rsidR="00187BC7" w:rsidRPr="004E75B9" w:rsidRDefault="00187BC7" w:rsidP="00187BC7">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34B03266" w14:textId="7CCB1273" w:rsidR="00187BC7" w:rsidRPr="004E75B9" w:rsidRDefault="00187BC7" w:rsidP="00187BC7">
            <w:pPr>
              <w:rPr>
                <w:rFonts w:ascii="Arial" w:hAnsi="Arial" w:cs="Arial"/>
                <w:sz w:val="20"/>
                <w:lang w:val="en-GB"/>
              </w:rPr>
            </w:pPr>
          </w:p>
        </w:tc>
        <w:tc>
          <w:tcPr>
            <w:tcW w:w="1701" w:type="dxa"/>
            <w:tcBorders>
              <w:top w:val="nil"/>
              <w:left w:val="nil"/>
              <w:bottom w:val="single" w:sz="4" w:space="0" w:color="auto"/>
              <w:right w:val="single" w:sz="4" w:space="0" w:color="auto"/>
            </w:tcBorders>
            <w:vAlign w:val="center"/>
          </w:tcPr>
          <w:p w14:paraId="34B03267" w14:textId="158FD006" w:rsidR="00187BC7" w:rsidRPr="004E75B9" w:rsidRDefault="00187BC7" w:rsidP="00187BC7">
            <w:pPr>
              <w:jc w:val="center"/>
              <w:rPr>
                <w:rFonts w:ascii="Arial" w:hAnsi="Arial" w:cs="Arial"/>
                <w:sz w:val="20"/>
                <w:lang w:val="en-GB"/>
              </w:rPr>
            </w:pPr>
          </w:p>
        </w:tc>
        <w:tc>
          <w:tcPr>
            <w:tcW w:w="1796" w:type="dxa"/>
            <w:tcBorders>
              <w:top w:val="nil"/>
              <w:left w:val="nil"/>
              <w:bottom w:val="single" w:sz="4" w:space="0" w:color="auto"/>
              <w:right w:val="single" w:sz="4" w:space="0" w:color="auto"/>
            </w:tcBorders>
            <w:vAlign w:val="center"/>
          </w:tcPr>
          <w:p w14:paraId="34B03269" w14:textId="2EC19691" w:rsidR="00187BC7" w:rsidRPr="004E75B9" w:rsidRDefault="00187BC7" w:rsidP="00187BC7">
            <w:pPr>
              <w:jc w:val="center"/>
              <w:rPr>
                <w:rFonts w:ascii="Arial" w:hAnsi="Arial" w:cs="Arial"/>
                <w:sz w:val="20"/>
                <w:lang w:val="en-GB"/>
              </w:rPr>
            </w:pPr>
          </w:p>
        </w:tc>
        <w:tc>
          <w:tcPr>
            <w:tcW w:w="3402" w:type="dxa"/>
            <w:tcBorders>
              <w:top w:val="nil"/>
              <w:left w:val="nil"/>
              <w:bottom w:val="single" w:sz="4" w:space="0" w:color="auto"/>
              <w:right w:val="single" w:sz="4" w:space="0" w:color="auto"/>
            </w:tcBorders>
            <w:vAlign w:val="center"/>
          </w:tcPr>
          <w:p w14:paraId="34B0326A" w14:textId="53B9F943" w:rsidR="00187BC7" w:rsidRPr="004E75B9" w:rsidRDefault="00187BC7" w:rsidP="00187BC7">
            <w:pPr>
              <w:jc w:val="center"/>
              <w:rPr>
                <w:rFonts w:ascii="Arial" w:hAnsi="Arial" w:cs="Arial"/>
                <w:sz w:val="20"/>
                <w:lang w:val="en-GB"/>
              </w:rPr>
            </w:pPr>
          </w:p>
        </w:tc>
      </w:tr>
      <w:tr w:rsidR="004E75B9" w:rsidRPr="004E75B9" w14:paraId="34B03274"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53C8365C" w:rsidR="00187BC7" w:rsidRPr="004E75B9" w:rsidRDefault="00187BC7" w:rsidP="00187BC7">
            <w:pPr>
              <w:jc w:val="center"/>
              <w:rPr>
                <w:rFonts w:ascii="Arial" w:hAnsi="Arial" w:cs="Arial"/>
                <w:sz w:val="20"/>
                <w:lang w:val="en-GB"/>
              </w:rPr>
            </w:pPr>
            <w:r w:rsidRPr="004E75B9">
              <w:rPr>
                <w:rFonts w:ascii="Arial" w:hAnsi="Arial" w:cs="Arial"/>
                <w:sz w:val="20"/>
                <w:lang w:val="en-GB"/>
              </w:rPr>
              <w:t>135</w:t>
            </w:r>
          </w:p>
        </w:tc>
        <w:tc>
          <w:tcPr>
            <w:tcW w:w="1418" w:type="dxa"/>
            <w:tcBorders>
              <w:top w:val="nil"/>
              <w:left w:val="single" w:sz="4" w:space="0" w:color="auto"/>
              <w:bottom w:val="single" w:sz="4" w:space="0" w:color="auto"/>
              <w:right w:val="single" w:sz="4" w:space="0" w:color="auto"/>
            </w:tcBorders>
            <w:vAlign w:val="center"/>
          </w:tcPr>
          <w:p w14:paraId="34B0326D"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R28</w:t>
            </w:r>
          </w:p>
        </w:tc>
        <w:tc>
          <w:tcPr>
            <w:tcW w:w="2598" w:type="dxa"/>
            <w:tcBorders>
              <w:top w:val="nil"/>
              <w:left w:val="nil"/>
              <w:bottom w:val="single" w:sz="4" w:space="0" w:color="auto"/>
              <w:right w:val="single" w:sz="4" w:space="0" w:color="auto"/>
            </w:tcBorders>
            <w:vAlign w:val="center"/>
          </w:tcPr>
          <w:p w14:paraId="34B0326E" w14:textId="5151F5E3" w:rsidR="00187BC7" w:rsidRPr="004E75B9" w:rsidRDefault="00187BC7" w:rsidP="00187BC7">
            <w:pPr>
              <w:rPr>
                <w:rFonts w:ascii="Arial" w:hAnsi="Arial" w:cs="Arial"/>
                <w:sz w:val="20"/>
                <w:lang w:val="en-GB"/>
              </w:rPr>
            </w:pPr>
            <w:r w:rsidRPr="004E75B9">
              <w:rPr>
                <w:rFonts w:ascii="Arial" w:hAnsi="Arial" w:cs="Arial"/>
                <w:sz w:val="20"/>
                <w:lang w:val="en-GB"/>
              </w:rPr>
              <w:t>Annual data supply on certain data of the long-term debts – vis-à-vis the non-resident sector – of the central government, economic agents controlled by the central government, and economic agents not controlled by the central government but whose long term debts vis-à-vis the non-resident sector are guaranteed by the central government</w:t>
            </w:r>
          </w:p>
        </w:tc>
        <w:tc>
          <w:tcPr>
            <w:tcW w:w="2835" w:type="dxa"/>
            <w:tcBorders>
              <w:top w:val="nil"/>
              <w:left w:val="nil"/>
              <w:bottom w:val="single" w:sz="4" w:space="0" w:color="auto"/>
              <w:right w:val="single" w:sz="4" w:space="0" w:color="auto"/>
            </w:tcBorders>
            <w:vAlign w:val="center"/>
          </w:tcPr>
          <w:p w14:paraId="34B0326F" w14:textId="75DF20C3" w:rsidR="00187BC7" w:rsidRPr="004E75B9" w:rsidRDefault="00187BC7" w:rsidP="00187BC7">
            <w:pPr>
              <w:rPr>
                <w:rFonts w:ascii="Arial" w:hAnsi="Arial" w:cs="Arial"/>
                <w:sz w:val="20"/>
                <w:lang w:val="en-GB"/>
              </w:rPr>
            </w:pPr>
            <w:r w:rsidRPr="004E75B9">
              <w:rPr>
                <w:rFonts w:ascii="Arial" w:hAnsi="Arial" w:cs="Arial"/>
                <w:sz w:val="20"/>
                <w:lang w:val="en-GB"/>
              </w:rPr>
              <w:t>budgetary organisations and economic agents controlled by the central government with long-term debts vis-à-vis non-resident sector, and economic agents not controlled by the central government whose long-term debts vis-à-vis the non-resident sector are guaranteed by the central government</w:t>
            </w:r>
          </w:p>
        </w:tc>
        <w:tc>
          <w:tcPr>
            <w:tcW w:w="1701" w:type="dxa"/>
            <w:tcBorders>
              <w:top w:val="nil"/>
              <w:left w:val="nil"/>
              <w:bottom w:val="single" w:sz="4" w:space="0" w:color="auto"/>
              <w:right w:val="single" w:sz="4" w:space="0" w:color="auto"/>
            </w:tcBorders>
            <w:vAlign w:val="center"/>
          </w:tcPr>
          <w:p w14:paraId="34B0327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7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72" w14:textId="005EDD61"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73" w14:textId="62190A6F" w:rsidR="00187BC7" w:rsidRPr="004E75B9" w:rsidRDefault="00187BC7" w:rsidP="00187BC7">
            <w:pPr>
              <w:jc w:val="center"/>
              <w:rPr>
                <w:rFonts w:ascii="Arial" w:hAnsi="Arial" w:cs="Arial"/>
                <w:sz w:val="20"/>
                <w:lang w:val="en-GB"/>
              </w:rPr>
            </w:pPr>
            <w:r w:rsidRPr="004E75B9">
              <w:rPr>
                <w:rFonts w:ascii="Arial" w:hAnsi="Arial" w:cs="Arial"/>
                <w:sz w:val="20"/>
                <w:lang w:val="en-GB"/>
              </w:rPr>
              <w:t>32nd working day following the reference period</w:t>
            </w:r>
          </w:p>
        </w:tc>
      </w:tr>
      <w:tr w:rsidR="004E75B9" w:rsidRPr="004E75B9" w14:paraId="34B0327D"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37DB0D13"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136</w:t>
            </w:r>
          </w:p>
        </w:tc>
        <w:tc>
          <w:tcPr>
            <w:tcW w:w="1418" w:type="dxa"/>
            <w:tcBorders>
              <w:top w:val="nil"/>
              <w:left w:val="single" w:sz="4" w:space="0" w:color="auto"/>
              <w:bottom w:val="single" w:sz="4" w:space="0" w:color="auto"/>
              <w:right w:val="single" w:sz="4" w:space="0" w:color="auto"/>
            </w:tcBorders>
            <w:vAlign w:val="center"/>
          </w:tcPr>
          <w:p w14:paraId="34B0327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R29</w:t>
            </w:r>
          </w:p>
        </w:tc>
        <w:tc>
          <w:tcPr>
            <w:tcW w:w="2598" w:type="dxa"/>
            <w:tcBorders>
              <w:top w:val="nil"/>
              <w:left w:val="nil"/>
              <w:bottom w:val="single" w:sz="4" w:space="0" w:color="auto"/>
              <w:right w:val="single" w:sz="4" w:space="0" w:color="auto"/>
            </w:tcBorders>
            <w:vAlign w:val="center"/>
          </w:tcPr>
          <w:p w14:paraId="34B03277" w14:textId="77777777" w:rsidR="00187BC7" w:rsidRPr="004E75B9" w:rsidRDefault="00187BC7" w:rsidP="00187BC7">
            <w:pPr>
              <w:rPr>
                <w:rFonts w:ascii="Arial" w:hAnsi="Arial" w:cs="Arial"/>
                <w:sz w:val="20"/>
                <w:lang w:val="en-GB"/>
              </w:rPr>
            </w:pPr>
            <w:r w:rsidRPr="004E75B9">
              <w:rPr>
                <w:rFonts w:ascii="Arial" w:hAnsi="Arial" w:cs="Arial"/>
                <w:sz w:val="20"/>
                <w:lang w:val="en-GB"/>
              </w:rPr>
              <w:t>Annual data supply on capital investments</w:t>
            </w:r>
          </w:p>
        </w:tc>
        <w:tc>
          <w:tcPr>
            <w:tcW w:w="2835" w:type="dxa"/>
            <w:tcBorders>
              <w:top w:val="nil"/>
              <w:left w:val="nil"/>
              <w:bottom w:val="single" w:sz="4" w:space="0" w:color="auto"/>
              <w:right w:val="single" w:sz="4" w:space="0" w:color="auto"/>
            </w:tcBorders>
            <w:vAlign w:val="center"/>
          </w:tcPr>
          <w:p w14:paraId="34B03278" w14:textId="2996CF59" w:rsidR="00187BC7" w:rsidRPr="004E75B9" w:rsidRDefault="00187BC7" w:rsidP="00187BC7">
            <w:pPr>
              <w:rPr>
                <w:rFonts w:ascii="Arial" w:hAnsi="Arial" w:cs="Arial"/>
                <w:sz w:val="20"/>
                <w:lang w:val="en-GB"/>
              </w:rPr>
            </w:pPr>
            <w:r w:rsidRPr="004E75B9">
              <w:rPr>
                <w:rFonts w:ascii="Arial" w:hAnsi="Arial" w:cs="Arial"/>
                <w:sz w:val="20"/>
                <w:lang w:val="en-GB"/>
              </w:rPr>
              <w:t>economic agents, which</w:t>
            </w:r>
            <w:r w:rsidRPr="004E75B9">
              <w:rPr>
                <w:rFonts w:ascii="Arial" w:hAnsi="Arial" w:cs="Arial"/>
                <w:sz w:val="20"/>
                <w:lang w:val="en-GB"/>
              </w:rPr>
              <w:br/>
              <w:t>– have non-resident investor(s) belonging to a company group, and at the balance sheet date of the reference year /previous year</w:t>
            </w:r>
            <w:r w:rsidRPr="004E75B9">
              <w:rPr>
                <w:rFonts w:ascii="Arial" w:hAnsi="Arial" w:cs="Arial"/>
                <w:sz w:val="14"/>
                <w:szCs w:val="14"/>
                <w:lang w:val="en-GB"/>
              </w:rPr>
              <w:t xml:space="preserve"> </w:t>
            </w:r>
            <w:r w:rsidRPr="004E75B9">
              <w:rPr>
                <w:rFonts w:ascii="Arial" w:hAnsi="Arial" w:cs="Arial"/>
                <w:sz w:val="20"/>
                <w:lang w:val="en-GB"/>
              </w:rPr>
              <w:t xml:space="preserve">the amount of the total equity available to the non-resident investor(s) (according to the Hungarian accounting standards) is at least HUF 800 million, or below minus HUF 800 million, or </w:t>
            </w:r>
            <w:r w:rsidRPr="004E75B9">
              <w:rPr>
                <w:rFonts w:ascii="Arial" w:hAnsi="Arial" w:cs="Arial"/>
                <w:sz w:val="20"/>
                <w:lang w:val="en-GB"/>
              </w:rPr>
              <w:br/>
              <w:t>have voting rights in the subscribed capital of one or several non-resident companies belonging to the group or have foreign branch offices, and the aggregate value of such participations or the value of the assets transferred to the foreign branch office reaches HUF 10 million on the balance sheet date of the reference year or of the year preceding the reference year</w:t>
            </w:r>
          </w:p>
        </w:tc>
        <w:tc>
          <w:tcPr>
            <w:tcW w:w="1701" w:type="dxa"/>
            <w:tcBorders>
              <w:top w:val="nil"/>
              <w:left w:val="nil"/>
              <w:bottom w:val="single" w:sz="4" w:space="0" w:color="auto"/>
              <w:right w:val="single" w:sz="4" w:space="0" w:color="auto"/>
            </w:tcBorders>
            <w:vAlign w:val="center"/>
          </w:tcPr>
          <w:p w14:paraId="34B03279" w14:textId="199D3FE2" w:rsidR="00187BC7" w:rsidRPr="004E75B9" w:rsidRDefault="00187BC7" w:rsidP="00187BC7">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7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7B" w14:textId="41F2C474"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7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30 June of the year following the reference period</w:t>
            </w:r>
          </w:p>
        </w:tc>
      </w:tr>
      <w:tr w:rsidR="004E75B9" w:rsidRPr="004E75B9" w14:paraId="34B03286"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69915230" w:rsidR="00187BC7" w:rsidRPr="004E75B9" w:rsidRDefault="00187BC7" w:rsidP="00187BC7">
            <w:pPr>
              <w:jc w:val="center"/>
              <w:rPr>
                <w:rFonts w:ascii="Arial" w:hAnsi="Arial" w:cs="Arial"/>
                <w:sz w:val="20"/>
                <w:lang w:val="en-GB"/>
              </w:rPr>
            </w:pPr>
            <w:r w:rsidRPr="004E75B9">
              <w:rPr>
                <w:rFonts w:ascii="Arial" w:hAnsi="Arial" w:cs="Arial"/>
                <w:sz w:val="20"/>
                <w:lang w:val="en-GB"/>
              </w:rPr>
              <w:t>137</w:t>
            </w:r>
          </w:p>
        </w:tc>
        <w:tc>
          <w:tcPr>
            <w:tcW w:w="1418" w:type="dxa"/>
            <w:tcBorders>
              <w:top w:val="nil"/>
              <w:left w:val="single" w:sz="4" w:space="0" w:color="auto"/>
              <w:bottom w:val="single" w:sz="4" w:space="0" w:color="auto"/>
              <w:right w:val="single" w:sz="4" w:space="0" w:color="auto"/>
            </w:tcBorders>
            <w:vAlign w:val="center"/>
          </w:tcPr>
          <w:p w14:paraId="34B0327F"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R38</w:t>
            </w:r>
          </w:p>
        </w:tc>
        <w:tc>
          <w:tcPr>
            <w:tcW w:w="2598" w:type="dxa"/>
            <w:tcBorders>
              <w:top w:val="nil"/>
              <w:left w:val="nil"/>
              <w:bottom w:val="single" w:sz="4" w:space="0" w:color="auto"/>
              <w:right w:val="single" w:sz="4" w:space="0" w:color="auto"/>
            </w:tcBorders>
            <w:vAlign w:val="center"/>
          </w:tcPr>
          <w:p w14:paraId="34B03280" w14:textId="40A87D92" w:rsidR="00187BC7" w:rsidRPr="004E75B9" w:rsidRDefault="00187BC7" w:rsidP="00187BC7">
            <w:pPr>
              <w:rPr>
                <w:rFonts w:ascii="Arial" w:hAnsi="Arial" w:cs="Arial"/>
                <w:sz w:val="20"/>
                <w:lang w:val="en-GB"/>
              </w:rPr>
            </w:pPr>
            <w:r w:rsidRPr="004E75B9">
              <w:rPr>
                <w:rFonts w:ascii="Arial" w:hAnsi="Arial" w:cs="Arial"/>
                <w:sz w:val="20"/>
                <w:lang w:val="en-GB"/>
              </w:rPr>
              <w:t>Credit and debit transactions of resident, non-bank clients due to their cross-border payment turnover (in forint and foreign currency)</w:t>
            </w:r>
          </w:p>
        </w:tc>
        <w:tc>
          <w:tcPr>
            <w:tcW w:w="2835" w:type="dxa"/>
            <w:tcBorders>
              <w:top w:val="nil"/>
              <w:left w:val="nil"/>
              <w:bottom w:val="single" w:sz="4" w:space="0" w:color="auto"/>
              <w:right w:val="single" w:sz="4" w:space="0" w:color="auto"/>
            </w:tcBorders>
            <w:vAlign w:val="center"/>
          </w:tcPr>
          <w:p w14:paraId="34B03281" w14:textId="0796FBF6" w:rsidR="00187BC7" w:rsidRPr="004E75B9" w:rsidRDefault="00187BC7" w:rsidP="00187BC7">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8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8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84" w14:textId="4AB91978"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85" w14:textId="2B282134" w:rsidR="00187BC7" w:rsidRPr="004E75B9" w:rsidRDefault="00187BC7" w:rsidP="00187BC7">
            <w:pPr>
              <w:jc w:val="center"/>
              <w:rPr>
                <w:rFonts w:ascii="Arial" w:hAnsi="Arial" w:cs="Arial"/>
                <w:sz w:val="20"/>
                <w:lang w:val="en-GB"/>
              </w:rPr>
            </w:pPr>
            <w:r w:rsidRPr="004E75B9">
              <w:rPr>
                <w:rFonts w:ascii="Arial" w:hAnsi="Arial" w:cs="Arial"/>
                <w:sz w:val="20"/>
                <w:lang w:val="en-GB"/>
              </w:rPr>
              <w:t>12th working day of the month following the reference period</w:t>
            </w:r>
          </w:p>
        </w:tc>
      </w:tr>
      <w:tr w:rsidR="004E75B9" w:rsidRPr="004E75B9" w14:paraId="34B0328F" w14:textId="77777777" w:rsidTr="00481406">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070AF5CD"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138</w:t>
            </w:r>
          </w:p>
        </w:tc>
        <w:tc>
          <w:tcPr>
            <w:tcW w:w="1418" w:type="dxa"/>
            <w:tcBorders>
              <w:top w:val="nil"/>
              <w:left w:val="single" w:sz="4" w:space="0" w:color="auto"/>
              <w:bottom w:val="single" w:sz="4" w:space="0" w:color="auto"/>
              <w:right w:val="single" w:sz="4" w:space="0" w:color="auto"/>
            </w:tcBorders>
            <w:vAlign w:val="center"/>
          </w:tcPr>
          <w:p w14:paraId="34B0328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R39</w:t>
            </w:r>
          </w:p>
        </w:tc>
        <w:tc>
          <w:tcPr>
            <w:tcW w:w="2598" w:type="dxa"/>
            <w:tcBorders>
              <w:top w:val="nil"/>
              <w:left w:val="nil"/>
              <w:bottom w:val="single" w:sz="4" w:space="0" w:color="auto"/>
              <w:right w:val="single" w:sz="4" w:space="0" w:color="auto"/>
            </w:tcBorders>
            <w:vAlign w:val="center"/>
          </w:tcPr>
          <w:p w14:paraId="34B03289" w14:textId="2F73EECB" w:rsidR="00187BC7" w:rsidRPr="004E75B9" w:rsidRDefault="00187BC7" w:rsidP="00187BC7">
            <w:pPr>
              <w:rPr>
                <w:rFonts w:ascii="Arial" w:hAnsi="Arial" w:cs="Arial"/>
                <w:sz w:val="20"/>
                <w:lang w:val="en-GB"/>
              </w:rPr>
            </w:pPr>
            <w:r w:rsidRPr="004E75B9">
              <w:rPr>
                <w:rFonts w:ascii="Arial" w:hAnsi="Arial" w:cs="Arial"/>
                <w:sz w:val="20"/>
                <w:lang w:val="en-GB"/>
              </w:rPr>
              <w:t>Prepayments of loans with maturity over one year</w:t>
            </w:r>
          </w:p>
        </w:tc>
        <w:tc>
          <w:tcPr>
            <w:tcW w:w="2835" w:type="dxa"/>
            <w:tcBorders>
              <w:top w:val="nil"/>
              <w:left w:val="nil"/>
              <w:bottom w:val="single" w:sz="4" w:space="0" w:color="auto"/>
              <w:right w:val="single" w:sz="4" w:space="0" w:color="auto"/>
            </w:tcBorders>
            <w:vAlign w:val="center"/>
          </w:tcPr>
          <w:p w14:paraId="34B0328A" w14:textId="51147851" w:rsidR="00187BC7" w:rsidRPr="004E75B9" w:rsidRDefault="00187BC7" w:rsidP="00187BC7">
            <w:pPr>
              <w:rPr>
                <w:rFonts w:ascii="Arial" w:hAnsi="Arial" w:cs="Arial"/>
                <w:sz w:val="20"/>
                <w:lang w:val="en-GB"/>
              </w:rPr>
            </w:pPr>
            <w:r w:rsidRPr="004E75B9">
              <w:rPr>
                <w:rFonts w:ascii="Arial" w:hAnsi="Arial" w:cs="Arial"/>
                <w:sz w:val="20"/>
                <w:lang w:val="en-GB"/>
              </w:rPr>
              <w:t>economic agents obliged to fulfil the data supplies with MNB identification codes R06, R08, R09, R15 or R17, having long-term debts to the non-resident sector and performed prepayment in the reference period</w:t>
            </w:r>
          </w:p>
        </w:tc>
        <w:tc>
          <w:tcPr>
            <w:tcW w:w="1701" w:type="dxa"/>
            <w:tcBorders>
              <w:top w:val="nil"/>
              <w:left w:val="nil"/>
              <w:bottom w:val="single" w:sz="4" w:space="0" w:color="auto"/>
              <w:right w:val="single" w:sz="4" w:space="0" w:color="auto"/>
            </w:tcBorders>
            <w:vAlign w:val="center"/>
          </w:tcPr>
          <w:p w14:paraId="34B0328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8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8D" w14:textId="541A63A3"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8E" w14:textId="79FAF9FD" w:rsidR="00187BC7" w:rsidRPr="004E75B9" w:rsidRDefault="00187BC7" w:rsidP="00187BC7">
            <w:pPr>
              <w:jc w:val="center"/>
              <w:rPr>
                <w:rFonts w:ascii="Arial" w:hAnsi="Arial" w:cs="Arial"/>
                <w:sz w:val="20"/>
                <w:lang w:val="en-GB"/>
              </w:rPr>
            </w:pPr>
            <w:r w:rsidRPr="004E75B9">
              <w:rPr>
                <w:rFonts w:ascii="Arial" w:hAnsi="Arial" w:cs="Arial"/>
                <w:sz w:val="20"/>
                <w:lang w:val="en-GB"/>
              </w:rPr>
              <w:t>32nd working day following the reference period</w:t>
            </w:r>
          </w:p>
        </w:tc>
      </w:tr>
      <w:tr w:rsidR="004E75B9" w:rsidRPr="004E75B9" w14:paraId="34B03298" w14:textId="77777777" w:rsidTr="00481406">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4A845E56" w:rsidR="00187BC7" w:rsidRPr="004E75B9" w:rsidRDefault="00187BC7" w:rsidP="00187BC7">
            <w:pPr>
              <w:jc w:val="center"/>
              <w:rPr>
                <w:rFonts w:ascii="Arial" w:hAnsi="Arial" w:cs="Arial"/>
                <w:sz w:val="20"/>
                <w:lang w:val="en-GB"/>
              </w:rPr>
            </w:pPr>
            <w:r w:rsidRPr="004E75B9">
              <w:rPr>
                <w:rFonts w:ascii="Arial" w:hAnsi="Arial" w:cs="Arial"/>
                <w:sz w:val="20"/>
                <w:lang w:val="en-GB"/>
              </w:rPr>
              <w:t>139</w:t>
            </w:r>
          </w:p>
        </w:tc>
        <w:tc>
          <w:tcPr>
            <w:tcW w:w="1418" w:type="dxa"/>
            <w:tcBorders>
              <w:top w:val="nil"/>
              <w:left w:val="single" w:sz="4" w:space="0" w:color="auto"/>
              <w:bottom w:val="single" w:sz="4" w:space="0" w:color="auto"/>
              <w:right w:val="single" w:sz="4" w:space="0" w:color="auto"/>
            </w:tcBorders>
            <w:vAlign w:val="center"/>
          </w:tcPr>
          <w:p w14:paraId="34B0329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R43</w:t>
            </w:r>
          </w:p>
        </w:tc>
        <w:tc>
          <w:tcPr>
            <w:tcW w:w="2598" w:type="dxa"/>
            <w:tcBorders>
              <w:top w:val="nil"/>
              <w:left w:val="nil"/>
              <w:bottom w:val="single" w:sz="4" w:space="0" w:color="auto"/>
              <w:right w:val="single" w:sz="4" w:space="0" w:color="auto"/>
            </w:tcBorders>
            <w:vAlign w:val="center"/>
          </w:tcPr>
          <w:p w14:paraId="34B03292" w14:textId="69449D29" w:rsidR="00187BC7" w:rsidRPr="004E75B9" w:rsidRDefault="00187BC7" w:rsidP="00187BC7">
            <w:pPr>
              <w:rPr>
                <w:rFonts w:ascii="Arial" w:hAnsi="Arial" w:cs="Arial"/>
                <w:sz w:val="20"/>
                <w:lang w:val="en-GB"/>
              </w:rPr>
            </w:pPr>
            <w:r w:rsidRPr="004E75B9">
              <w:rPr>
                <w:rFonts w:ascii="Arial" w:hAnsi="Arial" w:cs="Arial"/>
                <w:sz w:val="20"/>
                <w:lang w:val="en-GB"/>
              </w:rPr>
              <w:t>Ad hoc report of companies with non-resident investors, liquidated through transformation (final balance sheet)</w:t>
            </w:r>
          </w:p>
        </w:tc>
        <w:tc>
          <w:tcPr>
            <w:tcW w:w="2835" w:type="dxa"/>
            <w:tcBorders>
              <w:top w:val="nil"/>
              <w:left w:val="nil"/>
              <w:bottom w:val="single" w:sz="4" w:space="0" w:color="auto"/>
              <w:right w:val="single" w:sz="4" w:space="0" w:color="auto"/>
            </w:tcBorders>
            <w:vAlign w:val="center"/>
          </w:tcPr>
          <w:p w14:paraId="34B03293" w14:textId="75BFEF29" w:rsidR="00187BC7" w:rsidRPr="004E75B9" w:rsidRDefault="00187BC7" w:rsidP="00187BC7">
            <w:pPr>
              <w:rPr>
                <w:rFonts w:ascii="Arial" w:hAnsi="Arial" w:cs="Arial"/>
                <w:sz w:val="20"/>
                <w:lang w:val="en-GB"/>
              </w:rPr>
            </w:pPr>
            <w:r w:rsidRPr="004E75B9">
              <w:rPr>
                <w:rFonts w:ascii="Arial" w:hAnsi="Arial" w:cs="Arial"/>
                <w:sz w:val="20"/>
                <w:lang w:val="en-GB"/>
              </w:rPr>
              <w:t>the legal successor of a business entity that has a non-resident investor belonging to the company group, and at the date of transformation the total amount of equity available to the non-resident investor is at least HUF 1 billion or less than minus 1 billion</w:t>
            </w:r>
          </w:p>
        </w:tc>
        <w:tc>
          <w:tcPr>
            <w:tcW w:w="1701" w:type="dxa"/>
            <w:tcBorders>
              <w:top w:val="nil"/>
              <w:left w:val="nil"/>
              <w:bottom w:val="single" w:sz="4" w:space="0" w:color="auto"/>
              <w:right w:val="single" w:sz="4" w:space="0" w:color="auto"/>
            </w:tcBorders>
            <w:vAlign w:val="center"/>
          </w:tcPr>
          <w:p w14:paraId="34B03294" w14:textId="5F46FEB0" w:rsidR="00187BC7" w:rsidRPr="004E75B9" w:rsidRDefault="00187BC7" w:rsidP="00187BC7">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29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96" w14:textId="534F142A"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9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150th day following the date of transformation</w:t>
            </w:r>
          </w:p>
        </w:tc>
      </w:tr>
      <w:tr w:rsidR="004E75B9" w:rsidRPr="004E75B9" w14:paraId="34B032A1" w14:textId="77777777" w:rsidTr="00481406">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5323F12B" w:rsidR="00187BC7" w:rsidRPr="004E75B9" w:rsidRDefault="00187BC7" w:rsidP="00187BC7">
            <w:pPr>
              <w:jc w:val="center"/>
              <w:rPr>
                <w:rFonts w:ascii="Arial" w:hAnsi="Arial" w:cs="Arial"/>
                <w:sz w:val="20"/>
                <w:lang w:val="en-GB"/>
              </w:rPr>
            </w:pPr>
            <w:r w:rsidRPr="004E75B9">
              <w:rPr>
                <w:rFonts w:ascii="Arial" w:hAnsi="Arial" w:cs="Arial"/>
                <w:sz w:val="20"/>
                <w:lang w:val="en-GB"/>
              </w:rPr>
              <w:t>140</w:t>
            </w:r>
          </w:p>
        </w:tc>
        <w:tc>
          <w:tcPr>
            <w:tcW w:w="1418" w:type="dxa"/>
            <w:tcBorders>
              <w:top w:val="nil"/>
              <w:left w:val="single" w:sz="4" w:space="0" w:color="auto"/>
              <w:bottom w:val="single" w:sz="4" w:space="0" w:color="auto"/>
              <w:right w:val="single" w:sz="4" w:space="0" w:color="auto"/>
            </w:tcBorders>
            <w:vAlign w:val="center"/>
          </w:tcPr>
          <w:p w14:paraId="34B0329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R44</w:t>
            </w:r>
          </w:p>
        </w:tc>
        <w:tc>
          <w:tcPr>
            <w:tcW w:w="2598" w:type="dxa"/>
            <w:tcBorders>
              <w:top w:val="nil"/>
              <w:left w:val="nil"/>
              <w:bottom w:val="single" w:sz="4" w:space="0" w:color="auto"/>
              <w:right w:val="single" w:sz="4" w:space="0" w:color="auto"/>
            </w:tcBorders>
            <w:vAlign w:val="center"/>
          </w:tcPr>
          <w:p w14:paraId="34B0329B" w14:textId="77777777" w:rsidR="00187BC7" w:rsidRPr="004E75B9" w:rsidRDefault="00187BC7" w:rsidP="00187BC7">
            <w:pPr>
              <w:rPr>
                <w:rFonts w:ascii="Arial" w:hAnsi="Arial" w:cs="Arial"/>
                <w:sz w:val="20"/>
                <w:lang w:val="en-GB"/>
              </w:rPr>
            </w:pPr>
            <w:r w:rsidRPr="004E75B9">
              <w:rPr>
                <w:rFonts w:ascii="Arial" w:hAnsi="Arial" w:cs="Arial"/>
                <w:sz w:val="20"/>
                <w:lang w:val="en-GB"/>
              </w:rPr>
              <w:t>Turnover of assets taken on financial lease by non-financial corporations</w:t>
            </w:r>
          </w:p>
        </w:tc>
        <w:tc>
          <w:tcPr>
            <w:tcW w:w="2835" w:type="dxa"/>
            <w:tcBorders>
              <w:top w:val="nil"/>
              <w:left w:val="nil"/>
              <w:bottom w:val="single" w:sz="4" w:space="0" w:color="auto"/>
              <w:right w:val="single" w:sz="4" w:space="0" w:color="auto"/>
            </w:tcBorders>
            <w:vAlign w:val="center"/>
          </w:tcPr>
          <w:p w14:paraId="34B0329C" w14:textId="5D8097D2" w:rsidR="00187BC7" w:rsidRPr="004E75B9" w:rsidRDefault="00187BC7" w:rsidP="00187BC7">
            <w:pPr>
              <w:autoSpaceDE w:val="0"/>
              <w:autoSpaceDN w:val="0"/>
              <w:adjustRightInd w:val="0"/>
              <w:rPr>
                <w:rFonts w:ascii="Arial" w:hAnsi="Arial" w:cs="Arial"/>
                <w:sz w:val="20"/>
                <w:lang w:val="en-GB"/>
              </w:rPr>
            </w:pPr>
            <w:r w:rsidRPr="004E75B9">
              <w:rPr>
                <w:rFonts w:ascii="Arial" w:hAnsi="Arial" w:cs="Arial"/>
                <w:sz w:val="20"/>
                <w:lang w:val="en-GB"/>
              </w:rPr>
              <w:t xml:space="preserve">designated economic agent allocated to the sector of A) Non-financial corporations under point I. A. of Annex 2 </w:t>
            </w:r>
          </w:p>
        </w:tc>
        <w:tc>
          <w:tcPr>
            <w:tcW w:w="1701" w:type="dxa"/>
            <w:tcBorders>
              <w:top w:val="nil"/>
              <w:left w:val="nil"/>
              <w:bottom w:val="single" w:sz="4" w:space="0" w:color="auto"/>
              <w:right w:val="single" w:sz="4" w:space="0" w:color="auto"/>
            </w:tcBorders>
            <w:vAlign w:val="center"/>
          </w:tcPr>
          <w:p w14:paraId="34B0329D" w14:textId="294D42C9"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29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9F" w14:textId="4176F63F"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A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10th working day of the month following the reference period</w:t>
            </w:r>
          </w:p>
        </w:tc>
      </w:tr>
      <w:tr w:rsidR="004E75B9" w:rsidRPr="004E75B9" w14:paraId="34B032AA"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24E7D5FD" w:rsidR="00187BC7" w:rsidRPr="004E75B9" w:rsidRDefault="00187BC7" w:rsidP="00187BC7">
            <w:pPr>
              <w:jc w:val="center"/>
              <w:rPr>
                <w:rFonts w:ascii="Arial" w:hAnsi="Arial" w:cs="Arial"/>
                <w:sz w:val="20"/>
                <w:lang w:val="en-GB"/>
              </w:rPr>
            </w:pPr>
            <w:r w:rsidRPr="004E75B9">
              <w:rPr>
                <w:rFonts w:ascii="Arial" w:hAnsi="Arial" w:cs="Arial"/>
                <w:sz w:val="20"/>
                <w:lang w:val="en-GB"/>
              </w:rPr>
              <w:t>141</w:t>
            </w:r>
          </w:p>
        </w:tc>
        <w:tc>
          <w:tcPr>
            <w:tcW w:w="1418" w:type="dxa"/>
            <w:tcBorders>
              <w:top w:val="nil"/>
              <w:left w:val="single" w:sz="4" w:space="0" w:color="auto"/>
              <w:bottom w:val="single" w:sz="4" w:space="0" w:color="auto"/>
              <w:right w:val="single" w:sz="4" w:space="0" w:color="auto"/>
            </w:tcBorders>
            <w:vAlign w:val="center"/>
          </w:tcPr>
          <w:p w14:paraId="34B032A3"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R45</w:t>
            </w:r>
          </w:p>
        </w:tc>
        <w:tc>
          <w:tcPr>
            <w:tcW w:w="2598" w:type="dxa"/>
            <w:tcBorders>
              <w:top w:val="nil"/>
              <w:left w:val="nil"/>
              <w:bottom w:val="single" w:sz="4" w:space="0" w:color="auto"/>
              <w:right w:val="single" w:sz="4" w:space="0" w:color="auto"/>
            </w:tcBorders>
            <w:vAlign w:val="center"/>
          </w:tcPr>
          <w:p w14:paraId="34B032A4" w14:textId="2DB18F48" w:rsidR="00187BC7" w:rsidRPr="004E75B9" w:rsidRDefault="00187BC7" w:rsidP="00187BC7">
            <w:pPr>
              <w:rPr>
                <w:rFonts w:ascii="Arial" w:hAnsi="Arial" w:cs="Arial"/>
                <w:sz w:val="20"/>
                <w:lang w:val="en-GB"/>
              </w:rPr>
            </w:pPr>
            <w:r w:rsidRPr="004E75B9">
              <w:rPr>
                <w:rFonts w:ascii="Arial" w:hAnsi="Arial" w:cs="Arial"/>
                <w:sz w:val="20"/>
                <w:lang w:val="en-GB"/>
              </w:rPr>
              <w:t>Prepayments of loans with maturity over one year – other monetary financial institutions</w:t>
            </w:r>
          </w:p>
        </w:tc>
        <w:tc>
          <w:tcPr>
            <w:tcW w:w="2835" w:type="dxa"/>
            <w:tcBorders>
              <w:top w:val="nil"/>
              <w:left w:val="nil"/>
              <w:bottom w:val="single" w:sz="4" w:space="0" w:color="auto"/>
              <w:right w:val="single" w:sz="4" w:space="0" w:color="auto"/>
            </w:tcBorders>
            <w:vAlign w:val="center"/>
          </w:tcPr>
          <w:p w14:paraId="34B032A5" w14:textId="3C3CC8D0" w:rsidR="00187BC7" w:rsidRPr="004E75B9" w:rsidRDefault="00187BC7" w:rsidP="00187BC7">
            <w:pPr>
              <w:rPr>
                <w:rFonts w:ascii="Arial" w:hAnsi="Arial" w:cs="Arial"/>
                <w:sz w:val="20"/>
                <w:lang w:val="en-GB"/>
              </w:rPr>
            </w:pPr>
            <w:r w:rsidRPr="004E75B9">
              <w:rPr>
                <w:rFonts w:ascii="Arial" w:hAnsi="Arial" w:cs="Arial"/>
                <w:sz w:val="20"/>
                <w:lang w:val="en-GB"/>
              </w:rPr>
              <w:t>credit institutions and EEA of this type, having foreign loans with maturity over one year and performed prepayments in the reference period</w:t>
            </w:r>
          </w:p>
        </w:tc>
        <w:tc>
          <w:tcPr>
            <w:tcW w:w="1701" w:type="dxa"/>
            <w:tcBorders>
              <w:top w:val="nil"/>
              <w:left w:val="nil"/>
              <w:bottom w:val="single" w:sz="4" w:space="0" w:color="auto"/>
              <w:right w:val="single" w:sz="4" w:space="0" w:color="auto"/>
            </w:tcBorders>
            <w:vAlign w:val="center"/>
          </w:tcPr>
          <w:p w14:paraId="34B032A6"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A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A8" w14:textId="090B6484"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A9" w14:textId="6F3AD890" w:rsidR="00187BC7" w:rsidRPr="004E75B9" w:rsidRDefault="00187BC7" w:rsidP="00187BC7">
            <w:pPr>
              <w:jc w:val="center"/>
              <w:rPr>
                <w:rFonts w:ascii="Arial" w:hAnsi="Arial" w:cs="Arial"/>
                <w:sz w:val="20"/>
                <w:lang w:val="en-GB"/>
              </w:rPr>
            </w:pPr>
            <w:r w:rsidRPr="004E75B9">
              <w:rPr>
                <w:rFonts w:ascii="Arial" w:hAnsi="Arial" w:cs="Arial"/>
                <w:sz w:val="20"/>
                <w:lang w:val="en-GB"/>
              </w:rPr>
              <w:t>32nd working day following the reference period</w:t>
            </w:r>
          </w:p>
        </w:tc>
      </w:tr>
      <w:tr w:rsidR="004E75B9" w:rsidRPr="004E75B9" w14:paraId="680FC75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6D091CCE" w:rsidR="00187BC7" w:rsidRPr="004E75B9" w:rsidRDefault="00187BC7" w:rsidP="00187BC7">
            <w:pPr>
              <w:jc w:val="center"/>
              <w:rPr>
                <w:rFonts w:ascii="Arial" w:hAnsi="Arial" w:cs="Arial"/>
                <w:sz w:val="20"/>
                <w:lang w:val="en-GB"/>
              </w:rPr>
            </w:pPr>
            <w:r w:rsidRPr="004E75B9">
              <w:rPr>
                <w:rFonts w:ascii="Arial" w:hAnsi="Arial" w:cs="Arial"/>
                <w:sz w:val="20"/>
                <w:lang w:val="en-GB"/>
              </w:rPr>
              <w:t>142</w:t>
            </w:r>
          </w:p>
        </w:tc>
        <w:tc>
          <w:tcPr>
            <w:tcW w:w="1418" w:type="dxa"/>
            <w:tcBorders>
              <w:top w:val="nil"/>
              <w:left w:val="single" w:sz="4" w:space="0" w:color="auto"/>
              <w:bottom w:val="single" w:sz="4" w:space="0" w:color="auto"/>
              <w:right w:val="single" w:sz="4" w:space="0" w:color="auto"/>
            </w:tcBorders>
            <w:vAlign w:val="center"/>
          </w:tcPr>
          <w:p w14:paraId="2C0D1A1E" w14:textId="36348DEF" w:rsidR="00187BC7" w:rsidRPr="004E75B9" w:rsidRDefault="00187BC7" w:rsidP="00187BC7">
            <w:pPr>
              <w:jc w:val="center"/>
              <w:rPr>
                <w:rFonts w:ascii="Arial" w:hAnsi="Arial" w:cs="Arial"/>
                <w:sz w:val="20"/>
                <w:lang w:val="en-GB"/>
              </w:rPr>
            </w:pPr>
            <w:r w:rsidRPr="004E75B9">
              <w:rPr>
                <w:rFonts w:ascii="Arial" w:hAnsi="Arial" w:cs="Arial"/>
                <w:sz w:val="20"/>
                <w:lang w:val="en-GB"/>
              </w:rPr>
              <w:t>R46</w:t>
            </w:r>
          </w:p>
        </w:tc>
        <w:tc>
          <w:tcPr>
            <w:tcW w:w="2598" w:type="dxa"/>
            <w:tcBorders>
              <w:top w:val="nil"/>
              <w:left w:val="nil"/>
              <w:bottom w:val="single" w:sz="4" w:space="0" w:color="auto"/>
              <w:right w:val="single" w:sz="4" w:space="0" w:color="auto"/>
            </w:tcBorders>
            <w:vAlign w:val="center"/>
          </w:tcPr>
          <w:p w14:paraId="0DAFAD98" w14:textId="1ED001D9" w:rsidR="00187BC7" w:rsidRPr="004E75B9" w:rsidRDefault="00187BC7" w:rsidP="00187BC7">
            <w:pPr>
              <w:rPr>
                <w:rFonts w:ascii="Arial" w:hAnsi="Arial" w:cs="Arial"/>
                <w:sz w:val="20"/>
                <w:lang w:val="en-GB"/>
              </w:rPr>
            </w:pPr>
            <w:r w:rsidRPr="004E75B9">
              <w:rPr>
                <w:rFonts w:ascii="Arial" w:hAnsi="Arial" w:cs="Arial"/>
                <w:sz w:val="20"/>
                <w:lang w:val="en-GB"/>
              </w:rPr>
              <w:t>Ad hoc asset survey questionnaire for designated economic agents and non-profit organisations</w:t>
            </w:r>
          </w:p>
        </w:tc>
        <w:tc>
          <w:tcPr>
            <w:tcW w:w="2835" w:type="dxa"/>
            <w:tcBorders>
              <w:top w:val="nil"/>
              <w:left w:val="nil"/>
              <w:bottom w:val="single" w:sz="4" w:space="0" w:color="auto"/>
              <w:right w:val="single" w:sz="4" w:space="0" w:color="auto"/>
            </w:tcBorders>
            <w:vAlign w:val="center"/>
          </w:tcPr>
          <w:p w14:paraId="27A358A4" w14:textId="6449CA08" w:rsidR="00187BC7" w:rsidRPr="004E75B9" w:rsidRDefault="00187BC7" w:rsidP="00187BC7">
            <w:pPr>
              <w:rPr>
                <w:rFonts w:ascii="Arial" w:hAnsi="Arial" w:cs="Arial"/>
                <w:sz w:val="20"/>
                <w:lang w:val="en-GB"/>
              </w:rPr>
            </w:pPr>
            <w:r w:rsidRPr="004E75B9">
              <w:rPr>
                <w:rFonts w:ascii="Arial" w:hAnsi="Arial" w:cs="Arial"/>
                <w:sz w:val="20"/>
                <w:lang w:val="en-GB"/>
              </w:rPr>
              <w:t>designated economic agent allocated to the sector of A) Non-financial corporations under point I. A. of Annex 2</w:t>
            </w:r>
          </w:p>
        </w:tc>
        <w:tc>
          <w:tcPr>
            <w:tcW w:w="1701" w:type="dxa"/>
            <w:tcBorders>
              <w:top w:val="nil"/>
              <w:left w:val="nil"/>
              <w:bottom w:val="single" w:sz="4" w:space="0" w:color="auto"/>
              <w:right w:val="single" w:sz="4" w:space="0" w:color="auto"/>
            </w:tcBorders>
            <w:vAlign w:val="center"/>
          </w:tcPr>
          <w:p w14:paraId="408C5CCD" w14:textId="7DD8727D"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based on individual order, ad hoc </w:t>
            </w:r>
          </w:p>
        </w:tc>
        <w:tc>
          <w:tcPr>
            <w:tcW w:w="1796" w:type="dxa"/>
            <w:tcBorders>
              <w:top w:val="nil"/>
              <w:left w:val="nil"/>
              <w:bottom w:val="single" w:sz="4" w:space="0" w:color="auto"/>
              <w:right w:val="single" w:sz="4" w:space="0" w:color="auto"/>
            </w:tcBorders>
            <w:vAlign w:val="center"/>
          </w:tcPr>
          <w:p w14:paraId="63D0FA6A" w14:textId="6A8DF75C" w:rsidR="00187BC7" w:rsidRPr="004E75B9" w:rsidRDefault="00187BC7" w:rsidP="00187BC7">
            <w:pPr>
              <w:jc w:val="center"/>
              <w:rPr>
                <w:rFonts w:ascii="Arial" w:hAnsi="Arial" w:cs="Arial"/>
                <w:sz w:val="20"/>
                <w:lang w:val="en-GB"/>
              </w:rPr>
            </w:pPr>
            <w:r w:rsidRPr="004E75B9">
              <w:rPr>
                <w:rFonts w:ascii="Arial" w:hAnsi="Arial" w:cs="Arial"/>
                <w:sz w:val="20"/>
                <w:lang w:val="en-GB"/>
              </w:rPr>
              <w:t>on paper</w:t>
            </w:r>
          </w:p>
        </w:tc>
        <w:tc>
          <w:tcPr>
            <w:tcW w:w="3402" w:type="dxa"/>
            <w:tcBorders>
              <w:top w:val="nil"/>
              <w:left w:val="nil"/>
              <w:bottom w:val="single" w:sz="4" w:space="0" w:color="auto"/>
              <w:right w:val="single" w:sz="4" w:space="0" w:color="auto"/>
            </w:tcBorders>
            <w:vAlign w:val="center"/>
          </w:tcPr>
          <w:p w14:paraId="63239B75" w14:textId="23DF34CA" w:rsidR="00187BC7" w:rsidRPr="004E75B9" w:rsidRDefault="00187BC7" w:rsidP="00187BC7">
            <w:pPr>
              <w:jc w:val="center"/>
              <w:rPr>
                <w:rFonts w:ascii="Arial" w:hAnsi="Arial" w:cs="Arial"/>
                <w:sz w:val="20"/>
                <w:lang w:val="en-GB"/>
              </w:rPr>
            </w:pPr>
            <w:r w:rsidRPr="004E75B9">
              <w:rPr>
                <w:rFonts w:ascii="Arial" w:hAnsi="Arial" w:cs="Arial"/>
                <w:sz w:val="20"/>
                <w:lang w:val="en-GB"/>
              </w:rPr>
              <w:t>within 15 days after receiving the designation (for the quarter preceding the designation)</w:t>
            </w:r>
          </w:p>
        </w:tc>
      </w:tr>
      <w:tr w:rsidR="004E75B9" w:rsidRPr="004E75B9" w14:paraId="34B032B3"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11A2F922" w:rsidR="00187BC7" w:rsidRPr="004E75B9" w:rsidRDefault="00187BC7" w:rsidP="00187BC7">
            <w:pPr>
              <w:jc w:val="center"/>
              <w:rPr>
                <w:rFonts w:ascii="Arial" w:hAnsi="Arial" w:cs="Arial"/>
                <w:sz w:val="20"/>
                <w:lang w:val="en-GB"/>
              </w:rPr>
            </w:pPr>
            <w:r w:rsidRPr="004E75B9">
              <w:rPr>
                <w:rFonts w:ascii="Arial" w:hAnsi="Arial" w:cs="Arial"/>
                <w:sz w:val="20"/>
                <w:lang w:val="en-GB"/>
              </w:rPr>
              <w:t>143</w:t>
            </w:r>
          </w:p>
        </w:tc>
        <w:tc>
          <w:tcPr>
            <w:tcW w:w="1418" w:type="dxa"/>
            <w:tcBorders>
              <w:top w:val="nil"/>
              <w:left w:val="single" w:sz="4" w:space="0" w:color="auto"/>
              <w:bottom w:val="single" w:sz="4" w:space="0" w:color="auto"/>
              <w:right w:val="single" w:sz="4" w:space="0" w:color="auto"/>
            </w:tcBorders>
            <w:vAlign w:val="center"/>
          </w:tcPr>
          <w:p w14:paraId="34B032A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SL2</w:t>
            </w:r>
          </w:p>
        </w:tc>
        <w:tc>
          <w:tcPr>
            <w:tcW w:w="2598" w:type="dxa"/>
            <w:tcBorders>
              <w:top w:val="nil"/>
              <w:left w:val="nil"/>
              <w:bottom w:val="single" w:sz="4" w:space="0" w:color="auto"/>
              <w:right w:val="single" w:sz="4" w:space="0" w:color="auto"/>
            </w:tcBorders>
            <w:vAlign w:val="center"/>
          </w:tcPr>
          <w:p w14:paraId="34B032AD" w14:textId="77777777" w:rsidR="00187BC7" w:rsidRPr="004E75B9" w:rsidRDefault="00187BC7" w:rsidP="00187BC7">
            <w:pPr>
              <w:rPr>
                <w:rFonts w:ascii="Arial" w:hAnsi="Arial" w:cs="Arial"/>
                <w:sz w:val="20"/>
                <w:lang w:val="en-GB"/>
              </w:rPr>
            </w:pPr>
            <w:r w:rsidRPr="004E75B9">
              <w:rPr>
                <w:rFonts w:ascii="Arial" w:hAnsi="Arial" w:cs="Arial"/>
                <w:sz w:val="20"/>
                <w:lang w:val="en-GB"/>
              </w:rPr>
              <w:t>Consumer loans</w:t>
            </w:r>
          </w:p>
        </w:tc>
        <w:tc>
          <w:tcPr>
            <w:tcW w:w="2835" w:type="dxa"/>
            <w:tcBorders>
              <w:top w:val="nil"/>
              <w:left w:val="nil"/>
              <w:bottom w:val="single" w:sz="4" w:space="0" w:color="auto"/>
              <w:right w:val="single" w:sz="4" w:space="0" w:color="auto"/>
            </w:tcBorders>
            <w:vAlign w:val="center"/>
          </w:tcPr>
          <w:p w14:paraId="34B032AE" w14:textId="53C8325F" w:rsidR="00187BC7" w:rsidRPr="004E75B9" w:rsidRDefault="00187BC7" w:rsidP="00187BC7">
            <w:pPr>
              <w:rPr>
                <w:rFonts w:ascii="Arial" w:hAnsi="Arial" w:cs="Arial"/>
                <w:sz w:val="20"/>
                <w:lang w:val="en-GB"/>
              </w:rPr>
            </w:pPr>
            <w:r w:rsidRPr="004E75B9">
              <w:rPr>
                <w:rFonts w:ascii="Arial" w:hAnsi="Arial" w:cs="Arial"/>
                <w:sz w:val="20"/>
                <w:lang w:val="en-GB"/>
              </w:rPr>
              <w:t xml:space="preserve">designated banks, specialised credit institutions and EEA branches of this type </w:t>
            </w:r>
          </w:p>
        </w:tc>
        <w:tc>
          <w:tcPr>
            <w:tcW w:w="1701" w:type="dxa"/>
            <w:tcBorders>
              <w:top w:val="nil"/>
              <w:left w:val="nil"/>
              <w:bottom w:val="single" w:sz="4" w:space="0" w:color="auto"/>
              <w:right w:val="single" w:sz="4" w:space="0" w:color="auto"/>
            </w:tcBorders>
            <w:vAlign w:val="center"/>
          </w:tcPr>
          <w:p w14:paraId="34B032AF" w14:textId="4241478B"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B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B1" w14:textId="1AB4F52B"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B2" w14:textId="5D6281F3"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12th working day of the month following the reference period</w:t>
            </w:r>
          </w:p>
        </w:tc>
      </w:tr>
      <w:tr w:rsidR="004E75B9" w:rsidRPr="004E75B9" w14:paraId="34B032BC"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343C4F37"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144</w:t>
            </w:r>
          </w:p>
        </w:tc>
        <w:tc>
          <w:tcPr>
            <w:tcW w:w="1418" w:type="dxa"/>
            <w:tcBorders>
              <w:top w:val="nil"/>
              <w:left w:val="single" w:sz="4" w:space="0" w:color="auto"/>
              <w:bottom w:val="single" w:sz="4" w:space="0" w:color="auto"/>
              <w:right w:val="single" w:sz="4" w:space="0" w:color="auto"/>
            </w:tcBorders>
            <w:vAlign w:val="center"/>
          </w:tcPr>
          <w:p w14:paraId="34B032B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SL3</w:t>
            </w:r>
          </w:p>
        </w:tc>
        <w:tc>
          <w:tcPr>
            <w:tcW w:w="2598" w:type="dxa"/>
            <w:tcBorders>
              <w:top w:val="nil"/>
              <w:left w:val="nil"/>
              <w:bottom w:val="single" w:sz="4" w:space="0" w:color="auto"/>
              <w:right w:val="single" w:sz="4" w:space="0" w:color="auto"/>
            </w:tcBorders>
            <w:vAlign w:val="center"/>
          </w:tcPr>
          <w:p w14:paraId="34B032B6" w14:textId="77777777" w:rsidR="00187BC7" w:rsidRPr="004E75B9" w:rsidRDefault="00187BC7" w:rsidP="00187BC7">
            <w:pPr>
              <w:rPr>
                <w:rFonts w:ascii="Arial" w:hAnsi="Arial" w:cs="Arial"/>
                <w:sz w:val="20"/>
                <w:lang w:val="en-GB"/>
              </w:rPr>
            </w:pPr>
            <w:r w:rsidRPr="004E75B9">
              <w:rPr>
                <w:rFonts w:ascii="Arial" w:hAnsi="Arial" w:cs="Arial"/>
                <w:sz w:val="20"/>
                <w:lang w:val="en-GB"/>
              </w:rPr>
              <w:t>Corporate loans</w:t>
            </w:r>
          </w:p>
        </w:tc>
        <w:tc>
          <w:tcPr>
            <w:tcW w:w="2835" w:type="dxa"/>
            <w:tcBorders>
              <w:top w:val="nil"/>
              <w:left w:val="nil"/>
              <w:bottom w:val="single" w:sz="4" w:space="0" w:color="auto"/>
              <w:right w:val="single" w:sz="4" w:space="0" w:color="auto"/>
            </w:tcBorders>
            <w:vAlign w:val="center"/>
          </w:tcPr>
          <w:p w14:paraId="34B032B7" w14:textId="1A85E0D3" w:rsidR="00187BC7" w:rsidRPr="004E75B9" w:rsidRDefault="00187BC7" w:rsidP="00187BC7">
            <w:pPr>
              <w:rPr>
                <w:rFonts w:ascii="Arial" w:hAnsi="Arial" w:cs="Arial"/>
                <w:sz w:val="20"/>
                <w:lang w:val="en-GB"/>
              </w:rPr>
            </w:pPr>
            <w:r w:rsidRPr="004E75B9">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B8" w14:textId="1D0ED19A"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B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BA" w14:textId="385B7713"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BB" w14:textId="5C8BB758"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12th working day of the month following the reference period</w:t>
            </w:r>
          </w:p>
        </w:tc>
      </w:tr>
      <w:tr w:rsidR="004E75B9" w:rsidRPr="004E75B9" w14:paraId="34B032C5"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08B7BDDC" w:rsidR="00187BC7" w:rsidRPr="004E75B9" w:rsidRDefault="00187BC7" w:rsidP="00187BC7">
            <w:pPr>
              <w:jc w:val="center"/>
              <w:rPr>
                <w:rFonts w:ascii="Arial" w:hAnsi="Arial" w:cs="Arial"/>
                <w:sz w:val="20"/>
                <w:lang w:val="en-GB"/>
              </w:rPr>
            </w:pPr>
            <w:r w:rsidRPr="004E75B9">
              <w:rPr>
                <w:rFonts w:ascii="Arial" w:hAnsi="Arial" w:cs="Arial"/>
                <w:sz w:val="20"/>
                <w:lang w:val="en-GB"/>
              </w:rPr>
              <w:t>145</w:t>
            </w:r>
          </w:p>
        </w:tc>
        <w:tc>
          <w:tcPr>
            <w:tcW w:w="1418" w:type="dxa"/>
            <w:tcBorders>
              <w:top w:val="nil"/>
              <w:left w:val="single" w:sz="4" w:space="0" w:color="auto"/>
              <w:bottom w:val="single" w:sz="4" w:space="0" w:color="auto"/>
              <w:right w:val="single" w:sz="4" w:space="0" w:color="auto"/>
            </w:tcBorders>
            <w:vAlign w:val="center"/>
          </w:tcPr>
          <w:p w14:paraId="34B032B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SL4</w:t>
            </w:r>
          </w:p>
        </w:tc>
        <w:tc>
          <w:tcPr>
            <w:tcW w:w="2598" w:type="dxa"/>
            <w:tcBorders>
              <w:top w:val="nil"/>
              <w:left w:val="nil"/>
              <w:bottom w:val="single" w:sz="4" w:space="0" w:color="auto"/>
              <w:right w:val="single" w:sz="4" w:space="0" w:color="auto"/>
            </w:tcBorders>
            <w:vAlign w:val="center"/>
          </w:tcPr>
          <w:p w14:paraId="34B032BF" w14:textId="77777777" w:rsidR="00187BC7" w:rsidRPr="004E75B9" w:rsidRDefault="00187BC7" w:rsidP="00187BC7">
            <w:pPr>
              <w:rPr>
                <w:rFonts w:ascii="Arial" w:hAnsi="Arial" w:cs="Arial"/>
                <w:sz w:val="20"/>
                <w:lang w:val="en-GB"/>
              </w:rPr>
            </w:pPr>
            <w:r w:rsidRPr="004E75B9">
              <w:rPr>
                <w:rFonts w:ascii="Arial" w:hAnsi="Arial" w:cs="Arial"/>
                <w:sz w:val="20"/>
                <w:lang w:val="en-GB"/>
              </w:rPr>
              <w:t>Commercial real estate financing</w:t>
            </w:r>
          </w:p>
        </w:tc>
        <w:tc>
          <w:tcPr>
            <w:tcW w:w="2835" w:type="dxa"/>
            <w:tcBorders>
              <w:top w:val="nil"/>
              <w:left w:val="nil"/>
              <w:bottom w:val="single" w:sz="4" w:space="0" w:color="auto"/>
              <w:right w:val="single" w:sz="4" w:space="0" w:color="auto"/>
            </w:tcBorders>
            <w:vAlign w:val="center"/>
          </w:tcPr>
          <w:p w14:paraId="34B032C0" w14:textId="29071369" w:rsidR="00187BC7" w:rsidRPr="004E75B9" w:rsidRDefault="00187BC7" w:rsidP="00187BC7">
            <w:pPr>
              <w:rPr>
                <w:rFonts w:ascii="Arial" w:hAnsi="Arial" w:cs="Arial"/>
                <w:sz w:val="20"/>
                <w:lang w:val="en-GB"/>
              </w:rPr>
            </w:pPr>
            <w:r w:rsidRPr="004E75B9">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C1" w14:textId="0F80599F"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C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C3" w14:textId="00E989D4"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C4" w14:textId="49FADE43"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12th working day of the month following the reference period</w:t>
            </w:r>
          </w:p>
        </w:tc>
      </w:tr>
      <w:tr w:rsidR="004E75B9" w:rsidRPr="004E75B9" w14:paraId="34B032CE"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0BFB6256" w:rsidR="00187BC7" w:rsidRPr="004E75B9" w:rsidRDefault="00187BC7" w:rsidP="00187BC7">
            <w:pPr>
              <w:jc w:val="center"/>
              <w:rPr>
                <w:rFonts w:ascii="Arial" w:hAnsi="Arial" w:cs="Arial"/>
                <w:sz w:val="20"/>
                <w:lang w:val="en-GB"/>
              </w:rPr>
            </w:pPr>
            <w:r w:rsidRPr="004E75B9">
              <w:rPr>
                <w:rFonts w:ascii="Arial" w:hAnsi="Arial" w:cs="Arial"/>
                <w:sz w:val="20"/>
                <w:lang w:val="en-GB"/>
              </w:rPr>
              <w:t>146</w:t>
            </w:r>
          </w:p>
        </w:tc>
        <w:tc>
          <w:tcPr>
            <w:tcW w:w="1418" w:type="dxa"/>
            <w:tcBorders>
              <w:top w:val="nil"/>
              <w:left w:val="single" w:sz="4" w:space="0" w:color="auto"/>
              <w:bottom w:val="single" w:sz="4" w:space="0" w:color="auto"/>
              <w:right w:val="single" w:sz="4" w:space="0" w:color="auto"/>
            </w:tcBorders>
            <w:vAlign w:val="center"/>
          </w:tcPr>
          <w:p w14:paraId="34B032C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SL5</w:t>
            </w:r>
          </w:p>
        </w:tc>
        <w:tc>
          <w:tcPr>
            <w:tcW w:w="2598" w:type="dxa"/>
            <w:tcBorders>
              <w:top w:val="nil"/>
              <w:left w:val="nil"/>
              <w:bottom w:val="single" w:sz="4" w:space="0" w:color="auto"/>
              <w:right w:val="single" w:sz="4" w:space="0" w:color="auto"/>
            </w:tcBorders>
            <w:vAlign w:val="center"/>
          </w:tcPr>
          <w:p w14:paraId="34B032C8" w14:textId="77777777" w:rsidR="00187BC7" w:rsidRPr="004E75B9" w:rsidRDefault="00187BC7" w:rsidP="00187BC7">
            <w:pPr>
              <w:rPr>
                <w:rFonts w:ascii="Arial" w:hAnsi="Arial" w:cs="Arial"/>
                <w:sz w:val="20"/>
                <w:lang w:val="en-GB"/>
              </w:rPr>
            </w:pPr>
            <w:r w:rsidRPr="004E75B9">
              <w:rPr>
                <w:rFonts w:ascii="Arial" w:hAnsi="Arial" w:cs="Arial"/>
                <w:sz w:val="20"/>
                <w:lang w:val="en-GB"/>
              </w:rPr>
              <w:t>Housing loans</w:t>
            </w:r>
          </w:p>
        </w:tc>
        <w:tc>
          <w:tcPr>
            <w:tcW w:w="2835" w:type="dxa"/>
            <w:tcBorders>
              <w:top w:val="nil"/>
              <w:left w:val="nil"/>
              <w:bottom w:val="single" w:sz="4" w:space="0" w:color="auto"/>
              <w:right w:val="single" w:sz="4" w:space="0" w:color="auto"/>
            </w:tcBorders>
            <w:vAlign w:val="center"/>
          </w:tcPr>
          <w:p w14:paraId="34B032C9" w14:textId="4454ACD1" w:rsidR="00187BC7" w:rsidRPr="004E75B9" w:rsidRDefault="00187BC7" w:rsidP="00187BC7">
            <w:pPr>
              <w:rPr>
                <w:rFonts w:ascii="Arial" w:hAnsi="Arial" w:cs="Arial"/>
                <w:sz w:val="20"/>
                <w:lang w:val="en-GB"/>
              </w:rPr>
            </w:pPr>
            <w:r w:rsidRPr="004E75B9">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CA" w14:textId="7F76A643"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CB"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CC" w14:textId="0A404116"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CD" w14:textId="05D55E77"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12th working day of the month following the reference period</w:t>
            </w:r>
          </w:p>
        </w:tc>
      </w:tr>
      <w:tr w:rsidR="004E75B9" w:rsidRPr="004E75B9" w14:paraId="34B032D7"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45F846AC" w:rsidR="00187BC7" w:rsidRPr="004E75B9" w:rsidRDefault="00187BC7" w:rsidP="00187BC7">
            <w:pPr>
              <w:jc w:val="center"/>
              <w:rPr>
                <w:rFonts w:ascii="Arial" w:hAnsi="Arial" w:cs="Arial"/>
                <w:sz w:val="20"/>
                <w:lang w:val="en-GB"/>
              </w:rPr>
            </w:pPr>
            <w:r w:rsidRPr="004E75B9">
              <w:rPr>
                <w:rFonts w:ascii="Arial" w:hAnsi="Arial" w:cs="Arial"/>
                <w:sz w:val="20"/>
                <w:lang w:val="en-GB"/>
              </w:rPr>
              <w:t>147</w:t>
            </w:r>
          </w:p>
        </w:tc>
        <w:tc>
          <w:tcPr>
            <w:tcW w:w="1418" w:type="dxa"/>
            <w:tcBorders>
              <w:top w:val="nil"/>
              <w:left w:val="single" w:sz="4" w:space="0" w:color="auto"/>
              <w:bottom w:val="single" w:sz="4" w:space="0" w:color="auto"/>
              <w:right w:val="single" w:sz="4" w:space="0" w:color="auto"/>
            </w:tcBorders>
            <w:vAlign w:val="center"/>
          </w:tcPr>
          <w:p w14:paraId="34B032D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SL6</w:t>
            </w:r>
          </w:p>
        </w:tc>
        <w:tc>
          <w:tcPr>
            <w:tcW w:w="2598" w:type="dxa"/>
            <w:tcBorders>
              <w:top w:val="nil"/>
              <w:left w:val="nil"/>
              <w:bottom w:val="single" w:sz="4" w:space="0" w:color="auto"/>
              <w:right w:val="single" w:sz="4" w:space="0" w:color="auto"/>
            </w:tcBorders>
            <w:vAlign w:val="center"/>
          </w:tcPr>
          <w:p w14:paraId="34B032D1" w14:textId="6595B419" w:rsidR="00187BC7" w:rsidRPr="004E75B9" w:rsidRDefault="00187BC7" w:rsidP="00187BC7">
            <w:pPr>
              <w:rPr>
                <w:rFonts w:ascii="Arial" w:hAnsi="Arial" w:cs="Arial"/>
                <w:sz w:val="20"/>
                <w:lang w:val="en-GB"/>
              </w:rPr>
            </w:pPr>
            <w:r w:rsidRPr="004E75B9">
              <w:rPr>
                <w:rFonts w:ascii="Arial" w:hAnsi="Arial" w:cs="Arial"/>
                <w:sz w:val="20"/>
                <w:lang w:val="en-GB"/>
              </w:rPr>
              <w:t>Car purchase finance</w:t>
            </w:r>
          </w:p>
        </w:tc>
        <w:tc>
          <w:tcPr>
            <w:tcW w:w="2835" w:type="dxa"/>
            <w:tcBorders>
              <w:top w:val="nil"/>
              <w:left w:val="nil"/>
              <w:bottom w:val="single" w:sz="4" w:space="0" w:color="auto"/>
              <w:right w:val="single" w:sz="4" w:space="0" w:color="auto"/>
            </w:tcBorders>
            <w:vAlign w:val="center"/>
          </w:tcPr>
          <w:p w14:paraId="34B032D2" w14:textId="2B3C9BBC" w:rsidR="00187BC7" w:rsidRPr="004E75B9" w:rsidRDefault="00187BC7" w:rsidP="00187BC7">
            <w:pPr>
              <w:rPr>
                <w:rFonts w:ascii="Arial" w:hAnsi="Arial" w:cs="Arial"/>
                <w:sz w:val="20"/>
                <w:lang w:val="en-GB"/>
              </w:rPr>
            </w:pPr>
            <w:r w:rsidRPr="004E75B9">
              <w:rPr>
                <w:rFonts w:ascii="Arial" w:hAnsi="Arial" w:cs="Arial"/>
                <w:sz w:val="20"/>
                <w:lang w:val="en-GB"/>
              </w:rPr>
              <w:t xml:space="preserve">designated banks, specialised credit institutions, EEA branches of this type, financial enterprises </w:t>
            </w:r>
          </w:p>
        </w:tc>
        <w:tc>
          <w:tcPr>
            <w:tcW w:w="1701" w:type="dxa"/>
            <w:tcBorders>
              <w:top w:val="nil"/>
              <w:left w:val="nil"/>
              <w:bottom w:val="single" w:sz="4" w:space="0" w:color="auto"/>
              <w:right w:val="single" w:sz="4" w:space="0" w:color="auto"/>
            </w:tcBorders>
            <w:vAlign w:val="center"/>
          </w:tcPr>
          <w:p w14:paraId="34B032D3" w14:textId="4F2F5609"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D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D5" w14:textId="6BADEC69"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D6" w14:textId="66047E38" w:rsidR="00187BC7" w:rsidRPr="004E75B9" w:rsidRDefault="00187BC7" w:rsidP="00187BC7">
            <w:pPr>
              <w:jc w:val="center"/>
              <w:rPr>
                <w:rFonts w:ascii="Arial" w:hAnsi="Arial" w:cs="Arial"/>
                <w:sz w:val="20"/>
                <w:lang w:val="en-GB"/>
              </w:rPr>
            </w:pPr>
            <w:r w:rsidRPr="004E75B9">
              <w:rPr>
                <w:rFonts w:ascii="Arial" w:hAnsi="Arial" w:cs="Arial"/>
                <w:sz w:val="20"/>
                <w:lang w:val="en-GB"/>
              </w:rPr>
              <w:t>12 p.m. on the 12th working day of the month following the reference period</w:t>
            </w:r>
          </w:p>
        </w:tc>
      </w:tr>
      <w:tr w:rsidR="004E75B9" w:rsidRPr="004E75B9" w14:paraId="34B032D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60BC0E9F" w:rsidR="00187BC7" w:rsidRPr="004E75B9" w:rsidRDefault="00187BC7" w:rsidP="00187BC7">
            <w:pPr>
              <w:jc w:val="center"/>
              <w:rPr>
                <w:rFonts w:ascii="Arial" w:hAnsi="Arial" w:cs="Arial"/>
                <w:sz w:val="20"/>
                <w:lang w:val="en-GB"/>
              </w:rPr>
            </w:pPr>
            <w:r w:rsidRPr="004E75B9">
              <w:rPr>
                <w:rFonts w:ascii="Arial" w:hAnsi="Arial" w:cs="Arial"/>
                <w:sz w:val="20"/>
                <w:lang w:val="en-GB"/>
              </w:rPr>
              <w:t>148</w:t>
            </w:r>
          </w:p>
        </w:tc>
        <w:tc>
          <w:tcPr>
            <w:tcW w:w="1418" w:type="dxa"/>
            <w:tcBorders>
              <w:top w:val="nil"/>
              <w:left w:val="single" w:sz="4" w:space="0" w:color="auto"/>
              <w:bottom w:val="single" w:sz="4" w:space="0" w:color="auto"/>
              <w:right w:val="single" w:sz="4" w:space="0" w:color="auto"/>
            </w:tcBorders>
            <w:vAlign w:val="center"/>
          </w:tcPr>
          <w:p w14:paraId="34B032D9"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T02</w:t>
            </w:r>
          </w:p>
        </w:tc>
        <w:tc>
          <w:tcPr>
            <w:tcW w:w="2598" w:type="dxa"/>
            <w:tcBorders>
              <w:top w:val="nil"/>
              <w:left w:val="nil"/>
              <w:bottom w:val="single" w:sz="4" w:space="0" w:color="auto"/>
              <w:right w:val="single" w:sz="4" w:space="0" w:color="auto"/>
            </w:tcBorders>
            <w:vAlign w:val="center"/>
          </w:tcPr>
          <w:p w14:paraId="34B032DA" w14:textId="08D96ABA" w:rsidR="00187BC7" w:rsidRPr="004E75B9" w:rsidRDefault="00187BC7" w:rsidP="00187BC7">
            <w:pPr>
              <w:rPr>
                <w:rFonts w:ascii="Arial" w:hAnsi="Arial" w:cs="Arial"/>
                <w:sz w:val="20"/>
                <w:lang w:val="en-GB"/>
              </w:rPr>
            </w:pPr>
            <w:r w:rsidRPr="004E75B9">
              <w:rPr>
                <w:rFonts w:ascii="Arial" w:hAnsi="Arial" w:cs="Arial"/>
                <w:sz w:val="20"/>
                <w:lang w:val="en-GB"/>
              </w:rPr>
              <w:t>Daily data of BSE official equity index and daily trading data of equities traded on BSE</w:t>
            </w:r>
          </w:p>
        </w:tc>
        <w:tc>
          <w:tcPr>
            <w:tcW w:w="2835" w:type="dxa"/>
            <w:tcBorders>
              <w:top w:val="nil"/>
              <w:left w:val="nil"/>
              <w:bottom w:val="single" w:sz="4" w:space="0" w:color="auto"/>
              <w:right w:val="single" w:sz="4" w:space="0" w:color="auto"/>
            </w:tcBorders>
            <w:vAlign w:val="center"/>
          </w:tcPr>
          <w:p w14:paraId="34B032DB" w14:textId="0CEA2423" w:rsidR="00187BC7" w:rsidRPr="004E75B9" w:rsidRDefault="00187BC7" w:rsidP="00187BC7">
            <w:pPr>
              <w:rPr>
                <w:rFonts w:ascii="Arial" w:hAnsi="Arial" w:cs="Arial"/>
                <w:sz w:val="20"/>
                <w:lang w:val="en-GB"/>
              </w:rPr>
            </w:pPr>
            <w:r w:rsidRPr="004E75B9">
              <w:rPr>
                <w:rFonts w:ascii="Arial" w:hAnsi="Arial" w:cs="Arial"/>
                <w:sz w:val="20"/>
                <w:lang w:val="en-GB"/>
              </w:rPr>
              <w:t>stock exchanges trading in financial instruments, EEA branches of this type</w:t>
            </w:r>
          </w:p>
        </w:tc>
        <w:tc>
          <w:tcPr>
            <w:tcW w:w="1701" w:type="dxa"/>
            <w:tcBorders>
              <w:top w:val="nil"/>
              <w:left w:val="nil"/>
              <w:bottom w:val="single" w:sz="4" w:space="0" w:color="auto"/>
              <w:right w:val="single" w:sz="4" w:space="0" w:color="auto"/>
            </w:tcBorders>
            <w:vAlign w:val="center"/>
          </w:tcPr>
          <w:p w14:paraId="34B032DC"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2DD" w14:textId="74E42F02"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34B032D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9 a.m. on the working day following the reference day</w:t>
            </w:r>
          </w:p>
        </w:tc>
      </w:tr>
      <w:tr w:rsidR="004E75B9" w:rsidRPr="004E75B9" w14:paraId="34B032E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2989D74F" w:rsidR="00187BC7" w:rsidRPr="004E75B9" w:rsidRDefault="00187BC7" w:rsidP="00187BC7">
            <w:pPr>
              <w:jc w:val="center"/>
              <w:rPr>
                <w:rFonts w:ascii="Arial" w:hAnsi="Arial" w:cs="Arial"/>
                <w:sz w:val="20"/>
                <w:lang w:val="en-GB"/>
              </w:rPr>
            </w:pPr>
            <w:r w:rsidRPr="004E75B9">
              <w:rPr>
                <w:rFonts w:ascii="Arial" w:hAnsi="Arial" w:cs="Arial"/>
                <w:sz w:val="20"/>
                <w:lang w:val="en-GB"/>
              </w:rPr>
              <w:t>149</w:t>
            </w:r>
          </w:p>
        </w:tc>
        <w:tc>
          <w:tcPr>
            <w:tcW w:w="1418" w:type="dxa"/>
            <w:tcBorders>
              <w:top w:val="nil"/>
              <w:left w:val="single" w:sz="4" w:space="0" w:color="auto"/>
              <w:bottom w:val="single" w:sz="4" w:space="0" w:color="auto"/>
              <w:right w:val="single" w:sz="4" w:space="0" w:color="auto"/>
            </w:tcBorders>
            <w:vAlign w:val="center"/>
          </w:tcPr>
          <w:p w14:paraId="34B032E1"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T10</w:t>
            </w:r>
          </w:p>
        </w:tc>
        <w:tc>
          <w:tcPr>
            <w:tcW w:w="2598" w:type="dxa"/>
            <w:tcBorders>
              <w:top w:val="nil"/>
              <w:left w:val="nil"/>
              <w:bottom w:val="single" w:sz="4" w:space="0" w:color="auto"/>
              <w:right w:val="single" w:sz="4" w:space="0" w:color="auto"/>
            </w:tcBorders>
            <w:vAlign w:val="center"/>
          </w:tcPr>
          <w:p w14:paraId="34B032E2" w14:textId="70EC4E3E" w:rsidR="00187BC7" w:rsidRPr="004E75B9" w:rsidRDefault="00187BC7" w:rsidP="00187BC7">
            <w:pPr>
              <w:rPr>
                <w:rFonts w:ascii="Arial" w:hAnsi="Arial" w:cs="Arial"/>
                <w:sz w:val="20"/>
                <w:lang w:val="en-GB"/>
              </w:rPr>
            </w:pPr>
            <w:r w:rsidRPr="004E75B9">
              <w:rPr>
                <w:rFonts w:ascii="Arial" w:hAnsi="Arial" w:cs="Arial"/>
                <w:sz w:val="20"/>
                <w:lang w:val="en-GB"/>
              </w:rPr>
              <w:t>Prices of government securities</w:t>
            </w:r>
          </w:p>
        </w:tc>
        <w:tc>
          <w:tcPr>
            <w:tcW w:w="2835" w:type="dxa"/>
            <w:tcBorders>
              <w:top w:val="nil"/>
              <w:left w:val="nil"/>
              <w:bottom w:val="single" w:sz="4" w:space="0" w:color="auto"/>
              <w:right w:val="single" w:sz="4" w:space="0" w:color="auto"/>
            </w:tcBorders>
            <w:vAlign w:val="center"/>
          </w:tcPr>
          <w:p w14:paraId="34B032E3" w14:textId="34829DBB" w:rsidR="00187BC7" w:rsidRPr="004E75B9" w:rsidRDefault="00187BC7" w:rsidP="00187BC7">
            <w:pPr>
              <w:rPr>
                <w:rFonts w:ascii="Arial" w:hAnsi="Arial" w:cs="Arial"/>
                <w:sz w:val="20"/>
                <w:lang w:val="en-GB"/>
              </w:rPr>
            </w:pPr>
            <w:r w:rsidRPr="004E75B9">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32E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2E5"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E6" w14:textId="36E27290"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E7"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5th working day following the reference period</w:t>
            </w:r>
          </w:p>
        </w:tc>
      </w:tr>
      <w:tr w:rsidR="004E75B9" w:rsidRPr="004E75B9" w14:paraId="34B032F0"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815BA9B" w:rsidR="00187BC7" w:rsidRPr="004E75B9" w:rsidRDefault="00187BC7" w:rsidP="00187BC7">
            <w:pPr>
              <w:jc w:val="center"/>
              <w:rPr>
                <w:rFonts w:ascii="Arial" w:hAnsi="Arial" w:cs="Arial"/>
                <w:sz w:val="20"/>
                <w:lang w:val="en-GB"/>
              </w:rPr>
            </w:pPr>
            <w:r w:rsidRPr="004E75B9">
              <w:rPr>
                <w:rFonts w:ascii="Arial" w:hAnsi="Arial" w:cs="Arial"/>
                <w:sz w:val="20"/>
                <w:lang w:val="en-GB"/>
              </w:rPr>
              <w:t>150</w:t>
            </w:r>
          </w:p>
        </w:tc>
        <w:tc>
          <w:tcPr>
            <w:tcW w:w="1418" w:type="dxa"/>
            <w:tcBorders>
              <w:top w:val="nil"/>
              <w:left w:val="single" w:sz="4" w:space="0" w:color="auto"/>
              <w:bottom w:val="single" w:sz="4" w:space="0" w:color="auto"/>
              <w:right w:val="single" w:sz="4" w:space="0" w:color="auto"/>
            </w:tcBorders>
            <w:vAlign w:val="center"/>
          </w:tcPr>
          <w:p w14:paraId="34B032EA"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W06</w:t>
            </w:r>
          </w:p>
        </w:tc>
        <w:tc>
          <w:tcPr>
            <w:tcW w:w="2598" w:type="dxa"/>
            <w:tcBorders>
              <w:top w:val="nil"/>
              <w:left w:val="nil"/>
              <w:bottom w:val="single" w:sz="4" w:space="0" w:color="auto"/>
              <w:right w:val="single" w:sz="4" w:space="0" w:color="auto"/>
            </w:tcBorders>
            <w:vAlign w:val="center"/>
          </w:tcPr>
          <w:p w14:paraId="34B032EB" w14:textId="11E9D67E" w:rsidR="00187BC7" w:rsidRPr="004E75B9" w:rsidRDefault="00187BC7" w:rsidP="00187BC7">
            <w:pPr>
              <w:rPr>
                <w:rFonts w:ascii="Arial" w:hAnsi="Arial" w:cs="Arial"/>
                <w:sz w:val="20"/>
                <w:lang w:val="en-GB"/>
              </w:rPr>
            </w:pPr>
            <w:r w:rsidRPr="004E75B9">
              <w:rPr>
                <w:rFonts w:ascii="Arial" w:hAnsi="Arial" w:cs="Arial"/>
                <w:sz w:val="20"/>
                <w:lang w:val="en-GB"/>
              </w:rPr>
              <w:t>Report of credit institutions on current topics</w:t>
            </w:r>
          </w:p>
        </w:tc>
        <w:tc>
          <w:tcPr>
            <w:tcW w:w="2835" w:type="dxa"/>
            <w:tcBorders>
              <w:top w:val="nil"/>
              <w:left w:val="nil"/>
              <w:bottom w:val="single" w:sz="4" w:space="0" w:color="auto"/>
              <w:right w:val="single" w:sz="4" w:space="0" w:color="auto"/>
            </w:tcBorders>
            <w:vAlign w:val="center"/>
          </w:tcPr>
          <w:p w14:paraId="34B032EC" w14:textId="05F39104" w:rsidR="00187BC7" w:rsidRPr="004E75B9" w:rsidRDefault="00187BC7" w:rsidP="00187BC7">
            <w:pPr>
              <w:rPr>
                <w:rFonts w:ascii="Arial" w:hAnsi="Arial" w:cs="Arial"/>
                <w:sz w:val="20"/>
                <w:lang w:val="en-GB"/>
              </w:rPr>
            </w:pPr>
            <w:r w:rsidRPr="004E75B9">
              <w:rPr>
                <w:rFonts w:ascii="Arial" w:hAnsi="Arial" w:cs="Arial"/>
                <w:sz w:val="20"/>
                <w:lang w:val="en-GB"/>
              </w:rPr>
              <w:t xml:space="preserve">designated banks, specialised credit institutions and EEA branches of this type  </w:t>
            </w:r>
          </w:p>
        </w:tc>
        <w:tc>
          <w:tcPr>
            <w:tcW w:w="1701" w:type="dxa"/>
            <w:tcBorders>
              <w:top w:val="nil"/>
              <w:left w:val="nil"/>
              <w:bottom w:val="single" w:sz="4" w:space="0" w:color="auto"/>
              <w:right w:val="single" w:sz="4" w:space="0" w:color="auto"/>
            </w:tcBorders>
            <w:vAlign w:val="center"/>
          </w:tcPr>
          <w:p w14:paraId="34B032ED" w14:textId="6C0F05FD" w:rsidR="00187BC7" w:rsidRPr="004E75B9" w:rsidRDefault="00187BC7" w:rsidP="00187BC7">
            <w:pPr>
              <w:jc w:val="center"/>
              <w:rPr>
                <w:rFonts w:ascii="Arial" w:hAnsi="Arial" w:cs="Arial"/>
                <w:sz w:val="20"/>
                <w:lang w:val="en-GB"/>
              </w:rPr>
            </w:pPr>
            <w:r w:rsidRPr="004E75B9">
              <w:rPr>
                <w:rFonts w:ascii="Arial" w:hAnsi="Arial" w:cs="Arial"/>
                <w:sz w:val="20"/>
                <w:lang w:val="en-GB"/>
              </w:rPr>
              <w:t>based on individual order, ad hoc</w:t>
            </w:r>
          </w:p>
        </w:tc>
        <w:tc>
          <w:tcPr>
            <w:tcW w:w="1796" w:type="dxa"/>
            <w:tcBorders>
              <w:top w:val="nil"/>
              <w:left w:val="nil"/>
              <w:bottom w:val="single" w:sz="4" w:space="0" w:color="auto"/>
              <w:right w:val="single" w:sz="4" w:space="0" w:color="auto"/>
            </w:tcBorders>
            <w:vAlign w:val="center"/>
          </w:tcPr>
          <w:p w14:paraId="34B032EE"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on paper</w:t>
            </w:r>
          </w:p>
        </w:tc>
        <w:tc>
          <w:tcPr>
            <w:tcW w:w="3402" w:type="dxa"/>
            <w:tcBorders>
              <w:top w:val="nil"/>
              <w:left w:val="nil"/>
              <w:bottom w:val="single" w:sz="4" w:space="0" w:color="auto"/>
              <w:right w:val="single" w:sz="4" w:space="0" w:color="auto"/>
            </w:tcBorders>
            <w:vAlign w:val="center"/>
          </w:tcPr>
          <w:p w14:paraId="34B032EF" w14:textId="34F61737" w:rsidR="00187BC7" w:rsidRPr="004E75B9" w:rsidRDefault="00187BC7" w:rsidP="00187BC7">
            <w:pPr>
              <w:jc w:val="center"/>
              <w:rPr>
                <w:rFonts w:ascii="Arial" w:hAnsi="Arial" w:cs="Arial"/>
                <w:sz w:val="20"/>
                <w:lang w:val="en-GB"/>
              </w:rPr>
            </w:pPr>
            <w:r w:rsidRPr="004E75B9">
              <w:rPr>
                <w:rFonts w:ascii="Arial" w:hAnsi="Arial" w:cs="Arial"/>
                <w:sz w:val="20"/>
                <w:lang w:val="en-GB"/>
              </w:rPr>
              <w:t>as prescribed in the individual order</w:t>
            </w:r>
          </w:p>
        </w:tc>
      </w:tr>
      <w:tr w:rsidR="004E75B9" w:rsidRPr="004E75B9" w14:paraId="34B032FE" w14:textId="77777777" w:rsidTr="00481406">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1A02C2F0" w:rsidR="00187BC7" w:rsidRPr="004E75B9" w:rsidRDefault="00187BC7" w:rsidP="00187BC7">
            <w:pPr>
              <w:jc w:val="center"/>
              <w:rPr>
                <w:rFonts w:ascii="Arial" w:hAnsi="Arial" w:cs="Arial"/>
                <w:sz w:val="20"/>
                <w:lang w:val="en-GB"/>
              </w:rPr>
            </w:pPr>
            <w:r w:rsidRPr="004E75B9">
              <w:rPr>
                <w:rFonts w:ascii="Arial" w:hAnsi="Arial" w:cs="Arial"/>
                <w:sz w:val="20"/>
                <w:lang w:val="en-GB"/>
              </w:rPr>
              <w:lastRenderedPageBreak/>
              <w:t>151</w:t>
            </w:r>
          </w:p>
        </w:tc>
        <w:tc>
          <w:tcPr>
            <w:tcW w:w="1418" w:type="dxa"/>
            <w:tcBorders>
              <w:top w:val="nil"/>
              <w:left w:val="single" w:sz="4" w:space="0" w:color="auto"/>
              <w:bottom w:val="single" w:sz="4" w:space="0" w:color="auto"/>
              <w:right w:val="single" w:sz="4" w:space="0" w:color="auto"/>
            </w:tcBorders>
            <w:vAlign w:val="center"/>
          </w:tcPr>
          <w:p w14:paraId="34B032F2"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W08</w:t>
            </w:r>
          </w:p>
        </w:tc>
        <w:tc>
          <w:tcPr>
            <w:tcW w:w="2598" w:type="dxa"/>
            <w:tcBorders>
              <w:top w:val="nil"/>
              <w:left w:val="nil"/>
              <w:bottom w:val="single" w:sz="4" w:space="0" w:color="auto"/>
              <w:right w:val="single" w:sz="4" w:space="0" w:color="auto"/>
            </w:tcBorders>
            <w:vAlign w:val="center"/>
          </w:tcPr>
          <w:p w14:paraId="7F91ABAC" w14:textId="5FE55DC3" w:rsidR="00187BC7" w:rsidRPr="004E75B9" w:rsidRDefault="00187BC7" w:rsidP="00187BC7">
            <w:pPr>
              <w:rPr>
                <w:rFonts w:ascii="Arial" w:hAnsi="Arial" w:cs="Arial"/>
                <w:sz w:val="20"/>
                <w:lang w:val="en-GB"/>
              </w:rPr>
            </w:pPr>
            <w:r w:rsidRPr="004E75B9">
              <w:rPr>
                <w:rFonts w:ascii="Arial" w:hAnsi="Arial" w:cs="Arial"/>
                <w:sz w:val="20"/>
                <w:lang w:val="en-GB"/>
              </w:rPr>
              <w:t>Report of financial infrastructures on operational and security incidents</w:t>
            </w:r>
          </w:p>
          <w:p w14:paraId="34B032F4" w14:textId="600B92D7" w:rsidR="00187BC7" w:rsidRPr="004E75B9" w:rsidRDefault="00187BC7" w:rsidP="00187BC7">
            <w:pPr>
              <w:rPr>
                <w:rFonts w:ascii="Arial" w:hAnsi="Arial" w:cs="Arial"/>
                <w:sz w:val="20"/>
                <w:lang w:val="en-GB"/>
              </w:rPr>
            </w:pPr>
          </w:p>
        </w:tc>
        <w:tc>
          <w:tcPr>
            <w:tcW w:w="2835" w:type="dxa"/>
            <w:tcBorders>
              <w:top w:val="nil"/>
              <w:left w:val="nil"/>
              <w:bottom w:val="single" w:sz="4" w:space="0" w:color="auto"/>
              <w:right w:val="single" w:sz="4" w:space="0" w:color="auto"/>
            </w:tcBorders>
            <w:vAlign w:val="center"/>
          </w:tcPr>
          <w:p w14:paraId="34B032F5" w14:textId="688D2374" w:rsidR="00187BC7" w:rsidRPr="004E75B9" w:rsidRDefault="00187BC7" w:rsidP="00187BC7">
            <w:pPr>
              <w:rPr>
                <w:rFonts w:ascii="Arial" w:hAnsi="Arial" w:cs="Arial"/>
                <w:sz w:val="20"/>
                <w:lang w:val="en-GB"/>
              </w:rPr>
            </w:pPr>
            <w:bookmarkStart w:id="16" w:name="_Hlk45199386"/>
            <w:r w:rsidRPr="004E75B9">
              <w:rPr>
                <w:rFonts w:ascii="Arial" w:hAnsi="Arial" w:cs="Arial"/>
                <w:sz w:val="20"/>
                <w:lang w:val="en-GB"/>
              </w:rPr>
              <w:t>clearing houses, institutions performing central depository activities, central counterparties specified in the Capital Markets Act and EEA branches of this type</w:t>
            </w:r>
            <w:bookmarkEnd w:id="16"/>
          </w:p>
        </w:tc>
        <w:tc>
          <w:tcPr>
            <w:tcW w:w="1701" w:type="dxa"/>
            <w:tcBorders>
              <w:top w:val="nil"/>
              <w:left w:val="nil"/>
              <w:bottom w:val="single" w:sz="4" w:space="0" w:color="auto"/>
              <w:right w:val="single" w:sz="4" w:space="0" w:color="auto"/>
            </w:tcBorders>
            <w:vAlign w:val="center"/>
          </w:tcPr>
          <w:p w14:paraId="34B032F6" w14:textId="2F96A3A0"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 and ad hoc</w:t>
            </w:r>
          </w:p>
        </w:tc>
        <w:tc>
          <w:tcPr>
            <w:tcW w:w="1796" w:type="dxa"/>
            <w:tcBorders>
              <w:top w:val="nil"/>
              <w:left w:val="nil"/>
              <w:bottom w:val="single" w:sz="4" w:space="0" w:color="auto"/>
              <w:right w:val="single" w:sz="4" w:space="0" w:color="auto"/>
            </w:tcBorders>
            <w:vAlign w:val="center"/>
          </w:tcPr>
          <w:p w14:paraId="1748AAA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2F8" w14:textId="41100652"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(ERA system, form), provided with increased security or qualified electronic signature, and in case of the initial report encrypted email </w:t>
            </w:r>
          </w:p>
        </w:tc>
        <w:tc>
          <w:tcPr>
            <w:tcW w:w="3402" w:type="dxa"/>
            <w:tcBorders>
              <w:top w:val="nil"/>
              <w:left w:val="nil"/>
              <w:bottom w:val="single" w:sz="4" w:space="0" w:color="auto"/>
              <w:right w:val="single" w:sz="4" w:space="0" w:color="auto"/>
            </w:tcBorders>
            <w:vAlign w:val="center"/>
          </w:tcPr>
          <w:p w14:paraId="51F95DA8"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 data supply: 10th working day following the reference period;</w:t>
            </w:r>
          </w:p>
          <w:p w14:paraId="668AE61F" w14:textId="77777777" w:rsidR="00187BC7" w:rsidRPr="004E75B9" w:rsidRDefault="00187BC7" w:rsidP="00187BC7">
            <w:pPr>
              <w:jc w:val="center"/>
              <w:rPr>
                <w:rFonts w:ascii="Arial" w:hAnsi="Arial" w:cs="Arial"/>
                <w:sz w:val="20"/>
                <w:lang w:val="en-GB"/>
              </w:rPr>
            </w:pPr>
          </w:p>
          <w:p w14:paraId="79AB2945" w14:textId="1ECF3F6C" w:rsidR="00187BC7" w:rsidRPr="004E75B9" w:rsidRDefault="00187BC7" w:rsidP="00187BC7">
            <w:pPr>
              <w:jc w:val="center"/>
              <w:rPr>
                <w:rFonts w:ascii="Arial" w:hAnsi="Arial" w:cs="Arial"/>
                <w:sz w:val="20"/>
                <w:lang w:val="en-GB"/>
              </w:rPr>
            </w:pPr>
            <w:r w:rsidRPr="004E75B9">
              <w:rPr>
                <w:rFonts w:ascii="Arial" w:hAnsi="Arial" w:cs="Arial"/>
                <w:sz w:val="20"/>
                <w:lang w:val="en-GB"/>
              </w:rPr>
              <w:t>initial report: within 5 minutes after classifying the incident;</w:t>
            </w:r>
          </w:p>
          <w:p w14:paraId="365B3F7E" w14:textId="0FC0DE97" w:rsidR="00187BC7" w:rsidRPr="004E75B9" w:rsidRDefault="00187BC7" w:rsidP="00187BC7">
            <w:pPr>
              <w:jc w:val="center"/>
              <w:rPr>
                <w:rFonts w:ascii="Arial" w:hAnsi="Arial" w:cs="Arial"/>
                <w:sz w:val="20"/>
                <w:lang w:val="en-GB"/>
              </w:rPr>
            </w:pPr>
            <w:r w:rsidRPr="004E75B9">
              <w:rPr>
                <w:rFonts w:ascii="Arial" w:hAnsi="Arial" w:cs="Arial"/>
                <w:sz w:val="20"/>
                <w:lang w:val="en-GB"/>
              </w:rPr>
              <w:t>interim report: within 3 working days after submitting the initial report;</w:t>
            </w:r>
          </w:p>
          <w:p w14:paraId="659F8F53" w14:textId="1A427A7A" w:rsidR="00187BC7" w:rsidRPr="004E75B9" w:rsidRDefault="00187BC7" w:rsidP="00187BC7">
            <w:pPr>
              <w:jc w:val="center"/>
              <w:rPr>
                <w:rFonts w:ascii="Arial" w:hAnsi="Arial" w:cs="Arial"/>
                <w:sz w:val="20"/>
                <w:lang w:val="en-GB"/>
              </w:rPr>
            </w:pPr>
            <w:r w:rsidRPr="004E75B9">
              <w:rPr>
                <w:rFonts w:ascii="Arial" w:hAnsi="Arial" w:cs="Arial"/>
                <w:sz w:val="20"/>
                <w:lang w:val="en-GB"/>
              </w:rPr>
              <w:t>closing data supply: within 30 days after closing the incident;</w:t>
            </w:r>
          </w:p>
          <w:p w14:paraId="354A5917" w14:textId="03614B8D" w:rsidR="00187BC7" w:rsidRPr="004E75B9" w:rsidRDefault="00187BC7" w:rsidP="00187BC7">
            <w:pPr>
              <w:jc w:val="center"/>
              <w:rPr>
                <w:rFonts w:ascii="Arial" w:hAnsi="Arial" w:cs="Arial"/>
                <w:sz w:val="20"/>
                <w:lang w:val="en-GB"/>
              </w:rPr>
            </w:pPr>
            <w:r w:rsidRPr="004E75B9">
              <w:rPr>
                <w:rFonts w:ascii="Arial" w:hAnsi="Arial" w:cs="Arial"/>
                <w:sz w:val="20"/>
                <w:lang w:val="en-GB"/>
              </w:rPr>
              <w:t>downgrading report: within 1 working day after the downgrading;</w:t>
            </w:r>
          </w:p>
          <w:p w14:paraId="00489D74" w14:textId="77777777" w:rsidR="00187BC7" w:rsidRPr="004E75B9" w:rsidRDefault="00187BC7" w:rsidP="00187BC7">
            <w:pPr>
              <w:jc w:val="center"/>
              <w:rPr>
                <w:rFonts w:ascii="Arial" w:hAnsi="Arial" w:cs="Arial"/>
                <w:sz w:val="20"/>
                <w:lang w:val="en-GB"/>
              </w:rPr>
            </w:pPr>
          </w:p>
          <w:p w14:paraId="34B032FD" w14:textId="469C20A9" w:rsidR="00187BC7" w:rsidRPr="004E75B9" w:rsidRDefault="00187BC7" w:rsidP="00187BC7">
            <w:pPr>
              <w:jc w:val="center"/>
              <w:rPr>
                <w:rFonts w:ascii="Arial" w:hAnsi="Arial" w:cs="Arial"/>
                <w:sz w:val="20"/>
                <w:lang w:val="en-GB"/>
              </w:rPr>
            </w:pPr>
            <w:r w:rsidRPr="004E75B9">
              <w:rPr>
                <w:rFonts w:ascii="Arial" w:hAnsi="Arial" w:cs="Arial"/>
                <w:sz w:val="20"/>
                <w:lang w:val="en-GB"/>
              </w:rPr>
              <w:t>ad hoc evaluation report: within 30 working days after the MNB’s request</w:t>
            </w:r>
          </w:p>
        </w:tc>
      </w:tr>
      <w:tr w:rsidR="004E75B9" w:rsidRPr="004E75B9" w14:paraId="6D2F0211" w14:textId="77777777" w:rsidTr="00481406">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76FD3778" w:rsidR="00187BC7" w:rsidRPr="004E75B9" w:rsidRDefault="00187BC7" w:rsidP="00187BC7">
            <w:pPr>
              <w:jc w:val="center"/>
              <w:rPr>
                <w:rFonts w:ascii="Arial" w:hAnsi="Arial" w:cs="Arial"/>
                <w:sz w:val="20"/>
                <w:lang w:val="en-GB"/>
              </w:rPr>
            </w:pPr>
            <w:r w:rsidRPr="004E75B9">
              <w:rPr>
                <w:rFonts w:ascii="Arial" w:hAnsi="Arial" w:cs="Arial"/>
                <w:sz w:val="20"/>
                <w:lang w:val="en-GB"/>
              </w:rPr>
              <w:t>152</w:t>
            </w:r>
          </w:p>
        </w:tc>
        <w:tc>
          <w:tcPr>
            <w:tcW w:w="1418" w:type="dxa"/>
            <w:tcBorders>
              <w:top w:val="nil"/>
              <w:left w:val="single" w:sz="4" w:space="0" w:color="auto"/>
              <w:bottom w:val="single" w:sz="4" w:space="0" w:color="auto"/>
              <w:right w:val="single" w:sz="4" w:space="0" w:color="auto"/>
            </w:tcBorders>
            <w:vAlign w:val="center"/>
          </w:tcPr>
          <w:p w14:paraId="4AD44FB2" w14:textId="2D74111F" w:rsidR="00187BC7" w:rsidRPr="004E75B9" w:rsidRDefault="00187BC7" w:rsidP="00187BC7">
            <w:pPr>
              <w:jc w:val="center"/>
              <w:rPr>
                <w:rFonts w:ascii="Arial" w:hAnsi="Arial" w:cs="Arial"/>
                <w:sz w:val="20"/>
                <w:lang w:val="en-GB"/>
              </w:rPr>
            </w:pPr>
            <w:r w:rsidRPr="004E75B9">
              <w:rPr>
                <w:rFonts w:ascii="Arial" w:hAnsi="Arial" w:cs="Arial"/>
                <w:sz w:val="20"/>
                <w:lang w:val="en-GB"/>
              </w:rPr>
              <w:t>W09</w:t>
            </w:r>
          </w:p>
        </w:tc>
        <w:tc>
          <w:tcPr>
            <w:tcW w:w="2598" w:type="dxa"/>
            <w:tcBorders>
              <w:top w:val="nil"/>
              <w:left w:val="nil"/>
              <w:bottom w:val="single" w:sz="4" w:space="0" w:color="auto"/>
              <w:right w:val="single" w:sz="4" w:space="0" w:color="auto"/>
            </w:tcBorders>
            <w:vAlign w:val="center"/>
          </w:tcPr>
          <w:p w14:paraId="4E0231C9" w14:textId="1EFA80B4" w:rsidR="00187BC7" w:rsidRPr="004E75B9" w:rsidRDefault="00187BC7" w:rsidP="00187BC7">
            <w:pPr>
              <w:rPr>
                <w:rFonts w:ascii="Arial" w:hAnsi="Arial" w:cs="Arial"/>
                <w:b/>
                <w:bCs/>
                <w:lang w:val="en-GB"/>
              </w:rPr>
            </w:pPr>
            <w:r w:rsidRPr="004E75B9">
              <w:rPr>
                <w:rFonts w:ascii="Arial" w:hAnsi="Arial" w:cs="Arial"/>
                <w:sz w:val="20"/>
                <w:lang w:val="en-GB"/>
              </w:rPr>
              <w:t>Problems related to comparison</w:t>
            </w:r>
          </w:p>
        </w:tc>
        <w:tc>
          <w:tcPr>
            <w:tcW w:w="2835" w:type="dxa"/>
            <w:tcBorders>
              <w:top w:val="nil"/>
              <w:left w:val="nil"/>
              <w:bottom w:val="single" w:sz="4" w:space="0" w:color="auto"/>
              <w:right w:val="single" w:sz="4" w:space="0" w:color="auto"/>
            </w:tcBorders>
            <w:vAlign w:val="center"/>
          </w:tcPr>
          <w:p w14:paraId="453CC8DB" w14:textId="380DBA81" w:rsidR="00187BC7" w:rsidRPr="004E75B9" w:rsidRDefault="00187BC7" w:rsidP="00187BC7">
            <w:pPr>
              <w:rPr>
                <w:rFonts w:ascii="Arial" w:hAnsi="Arial" w:cs="Arial"/>
                <w:sz w:val="20"/>
                <w:lang w:val="en-GB"/>
              </w:rPr>
            </w:pPr>
            <w:r w:rsidRPr="004E75B9">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47F2556C" w14:textId="01B8A954" w:rsidR="00187BC7" w:rsidRPr="004E75B9" w:rsidRDefault="00187BC7" w:rsidP="00187BC7">
            <w:pPr>
              <w:jc w:val="center"/>
              <w:rPr>
                <w:rFonts w:ascii="Arial" w:hAnsi="Arial" w:cs="Arial"/>
                <w:sz w:val="20"/>
                <w:lang w:val="en-GB"/>
              </w:rPr>
            </w:pPr>
            <w:r w:rsidRPr="004E75B9">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6C3DE3C" w14:textId="7AA3B050"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1B6D4FD8" w14:textId="1D9E0AE6" w:rsidR="00187BC7" w:rsidRPr="004E75B9" w:rsidRDefault="00187BC7" w:rsidP="00187BC7">
            <w:pPr>
              <w:jc w:val="center"/>
              <w:rPr>
                <w:rFonts w:ascii="Arial" w:hAnsi="Arial" w:cs="Arial"/>
                <w:sz w:val="20"/>
                <w:lang w:val="en-GB"/>
              </w:rPr>
            </w:pPr>
            <w:r w:rsidRPr="004E75B9">
              <w:rPr>
                <w:rFonts w:ascii="Arial" w:hAnsi="Arial" w:cs="Arial"/>
                <w:sz w:val="20"/>
                <w:lang w:val="en-GB"/>
              </w:rPr>
              <w:t>Case A): within 2 working hours of the suspension of settlement;</w:t>
            </w:r>
          </w:p>
          <w:p w14:paraId="4B9CC5B2" w14:textId="627761A4" w:rsidR="00187BC7" w:rsidRPr="004E75B9" w:rsidRDefault="00187BC7" w:rsidP="00187BC7">
            <w:pPr>
              <w:jc w:val="center"/>
              <w:rPr>
                <w:rFonts w:ascii="Arial" w:hAnsi="Arial" w:cs="Arial"/>
                <w:sz w:val="20"/>
                <w:lang w:val="en-GB"/>
              </w:rPr>
            </w:pPr>
            <w:r w:rsidRPr="004E75B9">
              <w:rPr>
                <w:rFonts w:ascii="Arial" w:hAnsi="Arial" w:cs="Arial"/>
                <w:sz w:val="20"/>
                <w:lang w:val="en-GB"/>
              </w:rPr>
              <w:t>Case B): 9 a.m. on the working day following trading day;</w:t>
            </w:r>
          </w:p>
          <w:p w14:paraId="5859084B" w14:textId="5BBF288D" w:rsidR="00187BC7" w:rsidRPr="004E75B9" w:rsidRDefault="00187BC7" w:rsidP="00187BC7">
            <w:pPr>
              <w:jc w:val="center"/>
              <w:rPr>
                <w:rFonts w:ascii="Arial" w:hAnsi="Arial" w:cs="Arial"/>
                <w:sz w:val="20"/>
                <w:lang w:val="en-GB"/>
              </w:rPr>
            </w:pPr>
            <w:r w:rsidRPr="004E75B9">
              <w:rPr>
                <w:rFonts w:ascii="Arial" w:hAnsi="Arial" w:cs="Arial"/>
                <w:sz w:val="20"/>
                <w:lang w:val="en-GB"/>
              </w:rPr>
              <w:t>Case C): within 3 working days following the resumption of settlement;</w:t>
            </w:r>
          </w:p>
          <w:p w14:paraId="13318103" w14:textId="07E81935" w:rsidR="00187BC7" w:rsidRPr="004E75B9" w:rsidRDefault="00187BC7" w:rsidP="00187BC7">
            <w:pPr>
              <w:jc w:val="center"/>
              <w:rPr>
                <w:rFonts w:ascii="Arial" w:hAnsi="Arial" w:cs="Arial"/>
                <w:sz w:val="20"/>
                <w:lang w:val="en-GB"/>
              </w:rPr>
            </w:pPr>
            <w:r w:rsidRPr="004E75B9">
              <w:rPr>
                <w:rFonts w:ascii="Arial" w:hAnsi="Arial" w:cs="Arial"/>
                <w:sz w:val="20"/>
                <w:lang w:val="en-GB"/>
              </w:rPr>
              <w:t>Case D): within 1 month from the occurrence of the sixth comparison problem</w:t>
            </w:r>
          </w:p>
        </w:tc>
      </w:tr>
      <w:tr w:rsidR="004E75B9" w:rsidRPr="004E75B9" w14:paraId="34B03308" w14:textId="77777777" w:rsidTr="00481406">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6B45DEF7" w:rsidR="00187BC7" w:rsidRPr="004E75B9" w:rsidRDefault="00187BC7" w:rsidP="00187BC7">
            <w:pPr>
              <w:jc w:val="center"/>
              <w:rPr>
                <w:rFonts w:ascii="Arial" w:hAnsi="Arial" w:cs="Arial"/>
                <w:sz w:val="20"/>
                <w:lang w:val="en-GB"/>
              </w:rPr>
            </w:pPr>
            <w:r w:rsidRPr="004E75B9">
              <w:rPr>
                <w:rFonts w:ascii="Arial" w:hAnsi="Arial" w:cs="Arial"/>
                <w:sz w:val="20"/>
                <w:lang w:val="en-GB"/>
              </w:rPr>
              <w:t>153</w:t>
            </w:r>
          </w:p>
        </w:tc>
        <w:tc>
          <w:tcPr>
            <w:tcW w:w="1418" w:type="dxa"/>
            <w:tcBorders>
              <w:top w:val="nil"/>
              <w:left w:val="single" w:sz="4" w:space="0" w:color="auto"/>
              <w:bottom w:val="single" w:sz="4" w:space="0" w:color="auto"/>
              <w:right w:val="single" w:sz="4" w:space="0" w:color="auto"/>
            </w:tcBorders>
            <w:vAlign w:val="center"/>
          </w:tcPr>
          <w:p w14:paraId="34B03300"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W12</w:t>
            </w:r>
          </w:p>
        </w:tc>
        <w:tc>
          <w:tcPr>
            <w:tcW w:w="2598" w:type="dxa"/>
            <w:tcBorders>
              <w:top w:val="nil"/>
              <w:left w:val="nil"/>
              <w:bottom w:val="single" w:sz="4" w:space="0" w:color="auto"/>
              <w:right w:val="single" w:sz="4" w:space="0" w:color="auto"/>
            </w:tcBorders>
            <w:vAlign w:val="center"/>
          </w:tcPr>
          <w:p w14:paraId="34B03301" w14:textId="6E1BAF63" w:rsidR="00187BC7" w:rsidRPr="004E75B9" w:rsidRDefault="00187BC7" w:rsidP="00187BC7">
            <w:pPr>
              <w:rPr>
                <w:rFonts w:ascii="Arial" w:hAnsi="Arial" w:cs="Arial"/>
                <w:sz w:val="20"/>
                <w:lang w:val="en-GB"/>
              </w:rPr>
            </w:pPr>
            <w:r w:rsidRPr="004E75B9">
              <w:rPr>
                <w:rFonts w:ascii="Arial" w:hAnsi="Arial" w:cs="Arial"/>
                <w:sz w:val="20"/>
                <w:lang w:val="en-GB"/>
              </w:rPr>
              <w:t>Report on major payment service frauds</w:t>
            </w:r>
          </w:p>
        </w:tc>
        <w:tc>
          <w:tcPr>
            <w:tcW w:w="2835" w:type="dxa"/>
            <w:tcBorders>
              <w:top w:val="nil"/>
              <w:left w:val="nil"/>
              <w:bottom w:val="single" w:sz="4" w:space="0" w:color="auto"/>
              <w:right w:val="single" w:sz="4" w:space="0" w:color="auto"/>
            </w:tcBorders>
            <w:vAlign w:val="center"/>
          </w:tcPr>
          <w:p w14:paraId="34B03302" w14:textId="09485ACA" w:rsidR="00187BC7" w:rsidRPr="004E75B9" w:rsidRDefault="00187BC7" w:rsidP="00187BC7">
            <w:pPr>
              <w:rPr>
                <w:rFonts w:ascii="Arial" w:hAnsi="Arial" w:cs="Arial"/>
                <w:sz w:val="20"/>
                <w:lang w:val="en-GB"/>
              </w:rPr>
            </w:pPr>
            <w:r w:rsidRPr="004E75B9">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303" w14:textId="37CFB846" w:rsidR="00187BC7" w:rsidRPr="004E75B9" w:rsidRDefault="00187BC7" w:rsidP="00187BC7">
            <w:pPr>
              <w:jc w:val="center"/>
              <w:rPr>
                <w:rFonts w:ascii="Arial" w:hAnsi="Arial" w:cs="Arial"/>
                <w:sz w:val="20"/>
                <w:lang w:val="en-GB"/>
              </w:rPr>
            </w:pPr>
            <w:r w:rsidRPr="004E75B9">
              <w:rPr>
                <w:rFonts w:ascii="Arial" w:hAnsi="Arial" w:cs="Arial"/>
                <w:sz w:val="20"/>
                <w:lang w:val="en-GB"/>
              </w:rPr>
              <w:t>quarterly and ad hoc</w:t>
            </w:r>
          </w:p>
        </w:tc>
        <w:tc>
          <w:tcPr>
            <w:tcW w:w="1796" w:type="dxa"/>
            <w:tcBorders>
              <w:top w:val="nil"/>
              <w:left w:val="nil"/>
              <w:bottom w:val="single" w:sz="4" w:space="0" w:color="auto"/>
              <w:right w:val="single" w:sz="4" w:space="0" w:color="auto"/>
            </w:tcBorders>
            <w:vAlign w:val="center"/>
          </w:tcPr>
          <w:p w14:paraId="34B03304" w14:textId="77777777" w:rsidR="00187BC7" w:rsidRPr="004E75B9" w:rsidRDefault="00187BC7" w:rsidP="00187BC7">
            <w:pPr>
              <w:jc w:val="center"/>
              <w:rPr>
                <w:rFonts w:ascii="Arial" w:hAnsi="Arial" w:cs="Arial"/>
                <w:sz w:val="20"/>
                <w:lang w:val="en-GB"/>
              </w:rPr>
            </w:pPr>
            <w:r w:rsidRPr="004E75B9">
              <w:rPr>
                <w:rFonts w:ascii="Arial" w:hAnsi="Arial" w:cs="Arial"/>
                <w:sz w:val="20"/>
                <w:lang w:val="en-GB"/>
              </w:rPr>
              <w:t>electronic</w:t>
            </w:r>
          </w:p>
          <w:p w14:paraId="34B03305" w14:textId="67EF358D" w:rsidR="00187BC7" w:rsidRPr="004E75B9" w:rsidRDefault="00187BC7" w:rsidP="00187BC7">
            <w:pPr>
              <w:jc w:val="center"/>
              <w:rPr>
                <w:rFonts w:ascii="Arial" w:hAnsi="Arial" w:cs="Arial"/>
                <w:sz w:val="20"/>
                <w:lang w:val="en-GB"/>
              </w:rPr>
            </w:pPr>
            <w:r w:rsidRPr="004E75B9">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306" w14:textId="4A93E75B" w:rsidR="00187BC7" w:rsidRPr="004E75B9" w:rsidRDefault="00187BC7" w:rsidP="00187BC7">
            <w:pPr>
              <w:jc w:val="center"/>
              <w:rPr>
                <w:rFonts w:ascii="Arial" w:hAnsi="Arial" w:cs="Arial"/>
                <w:sz w:val="20"/>
                <w:lang w:val="en-GB"/>
              </w:rPr>
            </w:pPr>
            <w:r w:rsidRPr="004E75B9">
              <w:rPr>
                <w:rFonts w:ascii="Arial" w:hAnsi="Arial" w:cs="Arial"/>
                <w:sz w:val="20"/>
                <w:lang w:val="en-GB"/>
              </w:rPr>
              <w:t xml:space="preserve">in respect of the quarterly data supply: 10th working day following the quarter </w:t>
            </w:r>
          </w:p>
          <w:p w14:paraId="34B03307" w14:textId="271F7AEE" w:rsidR="00187BC7" w:rsidRPr="004E75B9" w:rsidRDefault="00187BC7" w:rsidP="00187BC7">
            <w:pPr>
              <w:jc w:val="center"/>
              <w:rPr>
                <w:rFonts w:ascii="Arial" w:hAnsi="Arial" w:cs="Arial"/>
                <w:sz w:val="20"/>
                <w:lang w:val="en-GB"/>
              </w:rPr>
            </w:pPr>
            <w:r w:rsidRPr="004E75B9">
              <w:rPr>
                <w:rFonts w:ascii="Arial" w:hAnsi="Arial" w:cs="Arial"/>
                <w:sz w:val="20"/>
                <w:lang w:val="en-GB"/>
              </w:rPr>
              <w:t>in respect of the ad hoc data supply: 10th working day after completing the investigation of the incident</w:t>
            </w:r>
          </w:p>
        </w:tc>
      </w:tr>
    </w:tbl>
    <w:p w14:paraId="34B03309" w14:textId="77777777" w:rsidR="00AC4013" w:rsidRPr="004E75B9" w:rsidRDefault="001B0646">
      <w:pPr>
        <w:rPr>
          <w:rFonts w:ascii="Arial" w:hAnsi="Arial" w:cs="Arial"/>
          <w:sz w:val="20"/>
          <w:lang w:val="en-GB"/>
        </w:rPr>
      </w:pPr>
      <w:r w:rsidRPr="004E75B9">
        <w:rPr>
          <w:rFonts w:ascii="Arial" w:hAnsi="Arial" w:cs="Arial"/>
          <w:sz w:val="20"/>
          <w:lang w:val="en-GB"/>
        </w:rPr>
        <w:br w:type="page"/>
      </w:r>
    </w:p>
    <w:tbl>
      <w:tblPr>
        <w:tblW w:w="14013" w:type="dxa"/>
        <w:jc w:val="center"/>
        <w:tblCellMar>
          <w:left w:w="70" w:type="dxa"/>
          <w:right w:w="70" w:type="dxa"/>
        </w:tblCellMar>
        <w:tblLook w:val="0000" w:firstRow="0" w:lastRow="0" w:firstColumn="0" w:lastColumn="0" w:noHBand="0" w:noVBand="0"/>
      </w:tblPr>
      <w:tblGrid>
        <w:gridCol w:w="683"/>
        <w:gridCol w:w="1385"/>
        <w:gridCol w:w="3095"/>
        <w:gridCol w:w="2341"/>
        <w:gridCol w:w="1745"/>
        <w:gridCol w:w="2637"/>
        <w:gridCol w:w="2127"/>
      </w:tblGrid>
      <w:tr w:rsidR="004E75B9" w:rsidRPr="004E75B9" w14:paraId="34B0330B" w14:textId="77777777" w:rsidTr="000E6331">
        <w:trPr>
          <w:cantSplit/>
          <w:trHeight w:val="484"/>
          <w:jc w:val="center"/>
        </w:trPr>
        <w:tc>
          <w:tcPr>
            <w:tcW w:w="14013" w:type="dxa"/>
            <w:gridSpan w:val="7"/>
            <w:tcBorders>
              <w:bottom w:val="single" w:sz="4" w:space="0" w:color="auto"/>
            </w:tcBorders>
          </w:tcPr>
          <w:p w14:paraId="34B0330A" w14:textId="77777777" w:rsidR="000E6331" w:rsidRPr="004E75B9" w:rsidRDefault="000E6331" w:rsidP="00F34236">
            <w:pPr>
              <w:jc w:val="center"/>
              <w:rPr>
                <w:rFonts w:ascii="Arial" w:hAnsi="Arial" w:cs="Arial"/>
                <w:b/>
                <w:bCs/>
                <w:sz w:val="20"/>
                <w:lang w:val="en-GB"/>
              </w:rPr>
            </w:pPr>
            <w:r w:rsidRPr="004E75B9">
              <w:rPr>
                <w:rFonts w:ascii="Arial" w:hAnsi="Arial" w:cs="Arial"/>
                <w:b/>
                <w:bCs/>
                <w:sz w:val="20"/>
                <w:lang w:val="en-GB"/>
              </w:rPr>
              <w:lastRenderedPageBreak/>
              <w:t>II.</w:t>
            </w:r>
          </w:p>
        </w:tc>
      </w:tr>
      <w:tr w:rsidR="004E75B9" w:rsidRPr="004E75B9" w14:paraId="34B03311" w14:textId="77777777" w:rsidTr="000E6331">
        <w:trPr>
          <w:cantSplit/>
          <w:trHeight w:val="765"/>
          <w:jc w:val="center"/>
        </w:trPr>
        <w:tc>
          <w:tcPr>
            <w:tcW w:w="688"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4E75B9" w:rsidRDefault="00994542" w:rsidP="00F34236">
            <w:pPr>
              <w:jc w:val="center"/>
              <w:rPr>
                <w:rFonts w:ascii="Arial" w:hAnsi="Arial" w:cs="Arial"/>
                <w:b/>
                <w:bCs/>
                <w:sz w:val="20"/>
                <w:lang w:val="en-GB"/>
              </w:rPr>
            </w:pPr>
            <w:bookmarkStart w:id="17"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DBBD360" w:rsidR="00994542" w:rsidRPr="004E75B9" w:rsidRDefault="00994542" w:rsidP="008536ED">
            <w:pPr>
              <w:jc w:val="center"/>
              <w:rPr>
                <w:rFonts w:ascii="Arial" w:hAnsi="Arial" w:cs="Arial"/>
                <w:b/>
                <w:bCs/>
                <w:sz w:val="20"/>
                <w:lang w:val="en-GB"/>
              </w:rPr>
            </w:pPr>
            <w:r w:rsidRPr="004E75B9">
              <w:rPr>
                <w:rFonts w:ascii="Arial" w:hAnsi="Arial" w:cs="Arial"/>
                <w:b/>
                <w:bCs/>
                <w:sz w:val="20"/>
                <w:lang w:val="en-GB"/>
              </w:rPr>
              <w:t>MNB identification code</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Description</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29A8FEB1"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Scope of data providers</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Data supply</w:t>
            </w:r>
          </w:p>
        </w:tc>
      </w:tr>
      <w:tr w:rsidR="004E75B9" w:rsidRPr="004E75B9" w14:paraId="34B03319" w14:textId="77777777" w:rsidTr="000E6331">
        <w:trPr>
          <w:cantSplit/>
          <w:trHeight w:val="765"/>
          <w:jc w:val="center"/>
        </w:trPr>
        <w:tc>
          <w:tcPr>
            <w:tcW w:w="688" w:type="dxa"/>
            <w:vMerge/>
            <w:tcBorders>
              <w:top w:val="single" w:sz="4" w:space="0" w:color="auto"/>
              <w:left w:val="single" w:sz="4" w:space="0" w:color="auto"/>
              <w:bottom w:val="single" w:sz="4" w:space="0" w:color="auto"/>
              <w:right w:val="single" w:sz="4" w:space="0" w:color="auto"/>
            </w:tcBorders>
          </w:tcPr>
          <w:p w14:paraId="34B03312" w14:textId="77777777" w:rsidR="00994542" w:rsidRPr="004E75B9" w:rsidRDefault="00994542" w:rsidP="00F34236">
            <w:pPr>
              <w:rPr>
                <w:rFonts w:ascii="Arial" w:hAnsi="Arial" w:cs="Arial"/>
                <w:b/>
                <w:bCs/>
                <w:sz w:val="20"/>
                <w:lang w:val="en-GB"/>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4E75B9" w:rsidRDefault="00994542" w:rsidP="00F34236">
            <w:pPr>
              <w:rPr>
                <w:rFonts w:ascii="Arial" w:hAnsi="Arial" w:cs="Arial"/>
                <w:b/>
                <w:bCs/>
                <w:sz w:val="20"/>
                <w:lang w:val="en-GB"/>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4E75B9" w:rsidRDefault="00994542" w:rsidP="00F34236">
            <w:pPr>
              <w:rPr>
                <w:rFonts w:ascii="Arial" w:hAnsi="Arial" w:cs="Arial"/>
                <w:b/>
                <w:bCs/>
                <w:sz w:val="20"/>
                <w:lang w:val="en-GB"/>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4E75B9" w:rsidRDefault="00994542" w:rsidP="00F34236">
            <w:pPr>
              <w:rPr>
                <w:rFonts w:ascii="Arial" w:hAnsi="Arial" w:cs="Arial"/>
                <w:b/>
                <w:bCs/>
                <w:sz w:val="20"/>
                <w:lang w:val="en-GB"/>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frequency</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method</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4E75B9" w:rsidRDefault="00994542" w:rsidP="00F34236">
            <w:pPr>
              <w:jc w:val="center"/>
              <w:rPr>
                <w:rFonts w:ascii="Arial" w:hAnsi="Arial" w:cs="Arial"/>
                <w:b/>
                <w:bCs/>
                <w:sz w:val="20"/>
                <w:lang w:val="en-GB"/>
              </w:rPr>
            </w:pPr>
            <w:r w:rsidRPr="004E75B9">
              <w:rPr>
                <w:rFonts w:ascii="Arial" w:hAnsi="Arial" w:cs="Arial"/>
                <w:b/>
                <w:bCs/>
                <w:sz w:val="20"/>
                <w:lang w:val="en-GB"/>
              </w:rPr>
              <w:t>deadline</w:t>
            </w:r>
          </w:p>
        </w:tc>
      </w:tr>
      <w:tr w:rsidR="004E75B9" w:rsidRPr="004E75B9" w14:paraId="34B0332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4E75B9" w:rsidRDefault="00994542" w:rsidP="004150BE">
            <w:pPr>
              <w:jc w:val="center"/>
              <w:rPr>
                <w:rFonts w:ascii="Arial" w:hAnsi="Arial" w:cs="Arial"/>
                <w:sz w:val="20"/>
                <w:lang w:val="en-GB"/>
              </w:rPr>
            </w:pPr>
            <w:r w:rsidRPr="004E75B9">
              <w:rPr>
                <w:rFonts w:ascii="Arial" w:hAnsi="Arial" w:cs="Arial"/>
                <w:sz w:val="20"/>
                <w:lang w:val="en-GB"/>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4E75B9" w:rsidRDefault="00994542">
            <w:pPr>
              <w:jc w:val="center"/>
              <w:rPr>
                <w:rFonts w:ascii="Arial" w:hAnsi="Arial" w:cs="Arial"/>
                <w:sz w:val="20"/>
                <w:lang w:val="en-GB"/>
              </w:rPr>
            </w:pPr>
            <w:r w:rsidRPr="004E75B9">
              <w:rPr>
                <w:rFonts w:ascii="Arial" w:hAnsi="Arial" w:cs="Arial"/>
                <w:sz w:val="20"/>
                <w:lang w:val="en-GB"/>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4E75B9" w:rsidRDefault="00994542">
            <w:pPr>
              <w:rPr>
                <w:rFonts w:ascii="Arial" w:hAnsi="Arial" w:cs="Arial"/>
                <w:sz w:val="20"/>
                <w:lang w:val="en-GB"/>
              </w:rPr>
            </w:pPr>
            <w:r w:rsidRPr="004E75B9">
              <w:rPr>
                <w:rFonts w:ascii="Arial" w:hAnsi="Arial" w:cs="Arial"/>
                <w:sz w:val="20"/>
                <w:lang w:val="en-GB"/>
              </w:rPr>
              <w:t>Labour force survey anonymised data</w:t>
            </w:r>
          </w:p>
        </w:tc>
        <w:tc>
          <w:tcPr>
            <w:tcW w:w="2356" w:type="dxa"/>
            <w:tcBorders>
              <w:top w:val="single" w:sz="4" w:space="0" w:color="auto"/>
              <w:left w:val="nil"/>
              <w:bottom w:val="single" w:sz="4" w:space="0" w:color="auto"/>
              <w:right w:val="single" w:sz="4" w:space="0" w:color="auto"/>
            </w:tcBorders>
            <w:vAlign w:val="center"/>
          </w:tcPr>
          <w:p w14:paraId="34B0331D" w14:textId="471E3B11" w:rsidR="00994542" w:rsidRPr="004E75B9" w:rsidRDefault="00994542">
            <w:pPr>
              <w:jc w:val="center"/>
              <w:rPr>
                <w:rFonts w:ascii="Arial" w:hAnsi="Arial" w:cs="Arial"/>
                <w:sz w:val="20"/>
                <w:lang w:val="en-GB"/>
              </w:rPr>
            </w:pPr>
            <w:r w:rsidRPr="004E75B9">
              <w:rPr>
                <w:rFonts w:ascii="Arial" w:hAnsi="Arial" w:cs="Arial"/>
                <w:sz w:val="20"/>
                <w:lang w:val="en-GB"/>
              </w:rPr>
              <w:t>Hungarian Central Statistical Office (hereinafter: HCSO)</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4E75B9" w:rsidRDefault="00994542">
            <w:pPr>
              <w:jc w:val="center"/>
              <w:rPr>
                <w:rFonts w:ascii="Arial" w:hAnsi="Arial" w:cs="Arial"/>
                <w:sz w:val="20"/>
                <w:lang w:val="en-GB"/>
              </w:rPr>
            </w:pPr>
            <w:r w:rsidRPr="004E75B9">
              <w:rPr>
                <w:rFonts w:ascii="Arial" w:hAnsi="Arial" w:cs="Arial"/>
                <w:sz w:val="20"/>
                <w:lang w:val="en-GB"/>
              </w:rPr>
              <w:t>quarterly</w:t>
            </w:r>
          </w:p>
        </w:tc>
        <w:tc>
          <w:tcPr>
            <w:tcW w:w="2658" w:type="dxa"/>
            <w:tcBorders>
              <w:top w:val="single" w:sz="4" w:space="0" w:color="auto"/>
              <w:left w:val="nil"/>
              <w:bottom w:val="single" w:sz="4" w:space="0" w:color="auto"/>
              <w:right w:val="single" w:sz="4" w:space="0" w:color="auto"/>
            </w:tcBorders>
            <w:vAlign w:val="center"/>
          </w:tcPr>
          <w:p w14:paraId="34B0331F" w14:textId="6DCCD90F" w:rsidR="00994542" w:rsidRPr="004E75B9" w:rsidRDefault="00994542">
            <w:pPr>
              <w:jc w:val="center"/>
              <w:rPr>
                <w:rFonts w:ascii="Arial" w:hAnsi="Arial" w:cs="Arial"/>
                <w:sz w:val="20"/>
                <w:lang w:val="en-GB"/>
              </w:rPr>
            </w:pPr>
            <w:r w:rsidRPr="004E75B9">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20" w14:textId="66B00524" w:rsidR="00994542" w:rsidRPr="004E75B9" w:rsidRDefault="00994542">
            <w:pPr>
              <w:jc w:val="center"/>
              <w:rPr>
                <w:rFonts w:ascii="Arial" w:hAnsi="Arial" w:cs="Arial"/>
                <w:sz w:val="20"/>
                <w:lang w:val="en-GB"/>
              </w:rPr>
            </w:pPr>
            <w:r w:rsidRPr="004E75B9">
              <w:rPr>
                <w:rFonts w:ascii="Arial" w:hAnsi="Arial" w:cs="Arial"/>
                <w:sz w:val="20"/>
                <w:lang w:val="en-GB"/>
              </w:rPr>
              <w:t>as agreed</w:t>
            </w:r>
          </w:p>
        </w:tc>
      </w:tr>
      <w:tr w:rsidR="004E75B9" w:rsidRPr="004E75B9" w14:paraId="34B0332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4E75B9" w:rsidRDefault="00994542" w:rsidP="004150BE">
            <w:pPr>
              <w:jc w:val="center"/>
              <w:rPr>
                <w:rFonts w:ascii="Arial" w:hAnsi="Arial" w:cs="Arial"/>
                <w:sz w:val="20"/>
                <w:lang w:val="en-GB"/>
              </w:rPr>
            </w:pPr>
            <w:r w:rsidRPr="004E75B9">
              <w:rPr>
                <w:rFonts w:ascii="Arial" w:hAnsi="Arial" w:cs="Arial"/>
                <w:sz w:val="20"/>
                <w:lang w:val="en-GB"/>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4E75B9" w:rsidRDefault="00994542">
            <w:pPr>
              <w:jc w:val="center"/>
              <w:rPr>
                <w:rFonts w:ascii="Arial" w:hAnsi="Arial" w:cs="Arial"/>
                <w:sz w:val="20"/>
                <w:lang w:val="en-GB"/>
              </w:rPr>
            </w:pPr>
            <w:r w:rsidRPr="004E75B9">
              <w:rPr>
                <w:rFonts w:ascii="Arial" w:hAnsi="Arial" w:cs="Arial"/>
                <w:sz w:val="20"/>
                <w:lang w:val="en-GB"/>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4E75B9" w:rsidRDefault="00994542">
            <w:pPr>
              <w:rPr>
                <w:rFonts w:ascii="Arial" w:hAnsi="Arial" w:cs="Arial"/>
                <w:sz w:val="20"/>
                <w:lang w:val="en-GB"/>
              </w:rPr>
            </w:pPr>
            <w:r w:rsidRPr="004E75B9">
              <w:rPr>
                <w:rFonts w:ascii="Arial" w:hAnsi="Arial" w:cs="Arial"/>
                <w:sz w:val="20"/>
                <w:lang w:val="en-GB"/>
              </w:rPr>
              <w:t>Anonymised data relating to households’ income and consumption</w:t>
            </w:r>
          </w:p>
        </w:tc>
        <w:tc>
          <w:tcPr>
            <w:tcW w:w="2356" w:type="dxa"/>
            <w:tcBorders>
              <w:top w:val="single" w:sz="4" w:space="0" w:color="auto"/>
              <w:left w:val="nil"/>
              <w:bottom w:val="single" w:sz="4" w:space="0" w:color="auto"/>
              <w:right w:val="single" w:sz="4" w:space="0" w:color="auto"/>
            </w:tcBorders>
            <w:vAlign w:val="center"/>
          </w:tcPr>
          <w:p w14:paraId="34B03325" w14:textId="09C2171D" w:rsidR="00994542" w:rsidRPr="004E75B9" w:rsidRDefault="00994542">
            <w:pPr>
              <w:jc w:val="center"/>
              <w:rPr>
                <w:rFonts w:ascii="Arial" w:hAnsi="Arial" w:cs="Arial"/>
                <w:sz w:val="20"/>
                <w:lang w:val="en-GB"/>
              </w:rPr>
            </w:pPr>
            <w:r w:rsidRPr="004E75B9">
              <w:rPr>
                <w:rFonts w:ascii="Arial" w:hAnsi="Arial" w:cs="Arial"/>
                <w:sz w:val="20"/>
                <w:lang w:val="en-GB"/>
              </w:rPr>
              <w:t>HCSO</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4E75B9" w:rsidRDefault="00994542">
            <w:pPr>
              <w:jc w:val="center"/>
              <w:rPr>
                <w:rFonts w:ascii="Arial" w:hAnsi="Arial" w:cs="Arial"/>
                <w:sz w:val="20"/>
                <w:lang w:val="en-GB"/>
              </w:rPr>
            </w:pPr>
            <w:r w:rsidRPr="004E75B9">
              <w:rPr>
                <w:rFonts w:ascii="Arial" w:hAnsi="Arial" w:cs="Arial"/>
                <w:sz w:val="20"/>
                <w:lang w:val="en-GB"/>
              </w:rPr>
              <w:t>annual</w:t>
            </w:r>
          </w:p>
        </w:tc>
        <w:tc>
          <w:tcPr>
            <w:tcW w:w="2658" w:type="dxa"/>
            <w:tcBorders>
              <w:top w:val="single" w:sz="4" w:space="0" w:color="auto"/>
              <w:left w:val="nil"/>
              <w:bottom w:val="single" w:sz="4" w:space="0" w:color="auto"/>
              <w:right w:val="single" w:sz="4" w:space="0" w:color="auto"/>
            </w:tcBorders>
            <w:vAlign w:val="center"/>
          </w:tcPr>
          <w:p w14:paraId="34B03327" w14:textId="75FD6FA0" w:rsidR="00994542" w:rsidRPr="004E75B9" w:rsidRDefault="00994542">
            <w:pPr>
              <w:jc w:val="center"/>
              <w:rPr>
                <w:rFonts w:ascii="Arial" w:hAnsi="Arial" w:cs="Arial"/>
                <w:sz w:val="20"/>
                <w:lang w:val="en-GB"/>
              </w:rPr>
            </w:pPr>
            <w:r w:rsidRPr="004E75B9">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28" w14:textId="16B040E4" w:rsidR="00994542" w:rsidRPr="004E75B9" w:rsidRDefault="00994542">
            <w:pPr>
              <w:jc w:val="center"/>
              <w:rPr>
                <w:rFonts w:ascii="Arial" w:hAnsi="Arial" w:cs="Arial"/>
                <w:sz w:val="20"/>
                <w:lang w:val="en-GB"/>
              </w:rPr>
            </w:pPr>
            <w:r w:rsidRPr="004E75B9">
              <w:rPr>
                <w:rFonts w:ascii="Arial" w:hAnsi="Arial" w:cs="Arial"/>
                <w:sz w:val="20"/>
                <w:lang w:val="en-GB"/>
              </w:rPr>
              <w:t>as agreed</w:t>
            </w:r>
          </w:p>
        </w:tc>
      </w:tr>
      <w:tr w:rsidR="004E75B9" w:rsidRPr="004E75B9" w14:paraId="34B0333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4E75B9" w:rsidRDefault="00994542" w:rsidP="00ED54E4">
            <w:pPr>
              <w:jc w:val="center"/>
              <w:rPr>
                <w:rFonts w:ascii="Arial" w:hAnsi="Arial" w:cs="Arial"/>
                <w:sz w:val="20"/>
                <w:lang w:val="en-GB"/>
              </w:rPr>
            </w:pPr>
            <w:r w:rsidRPr="004E75B9">
              <w:rPr>
                <w:rFonts w:ascii="Arial" w:hAnsi="Arial" w:cs="Arial"/>
                <w:sz w:val="20"/>
                <w:lang w:val="en-GB"/>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4E75B9" w:rsidRDefault="00994542" w:rsidP="001C3737">
            <w:pPr>
              <w:jc w:val="center"/>
              <w:rPr>
                <w:rFonts w:ascii="Arial" w:hAnsi="Arial" w:cs="Arial"/>
                <w:sz w:val="20"/>
                <w:lang w:val="en-GB"/>
              </w:rPr>
            </w:pPr>
            <w:r w:rsidRPr="004E75B9">
              <w:rPr>
                <w:rFonts w:ascii="Arial" w:hAnsi="Arial" w:cs="Arial"/>
                <w:sz w:val="20"/>
                <w:lang w:val="en-GB"/>
              </w:rPr>
              <w:t>Z03</w:t>
            </w:r>
          </w:p>
        </w:tc>
        <w:tc>
          <w:tcPr>
            <w:tcW w:w="3119" w:type="dxa"/>
            <w:tcBorders>
              <w:top w:val="single" w:sz="4" w:space="0" w:color="auto"/>
              <w:left w:val="nil"/>
              <w:bottom w:val="single" w:sz="4" w:space="0" w:color="auto"/>
              <w:right w:val="single" w:sz="4" w:space="0" w:color="auto"/>
            </w:tcBorders>
            <w:vAlign w:val="center"/>
          </w:tcPr>
          <w:p w14:paraId="34B0332C" w14:textId="02B636BC" w:rsidR="00994542" w:rsidRPr="004E75B9" w:rsidRDefault="00994542" w:rsidP="00FB1496">
            <w:pPr>
              <w:rPr>
                <w:rFonts w:ascii="Arial" w:hAnsi="Arial" w:cs="Arial"/>
                <w:sz w:val="20"/>
                <w:lang w:val="en-GB"/>
              </w:rPr>
            </w:pPr>
            <w:r w:rsidRPr="004E75B9">
              <w:rPr>
                <w:rFonts w:ascii="Arial" w:hAnsi="Arial" w:cs="Arial"/>
                <w:sz w:val="20"/>
                <w:lang w:val="en-GB"/>
              </w:rPr>
              <w:t>Anonymised retail level price data used for the calculation of the consumer price index</w:t>
            </w:r>
          </w:p>
        </w:tc>
        <w:tc>
          <w:tcPr>
            <w:tcW w:w="2356" w:type="dxa"/>
            <w:tcBorders>
              <w:top w:val="single" w:sz="4" w:space="0" w:color="auto"/>
              <w:left w:val="nil"/>
              <w:bottom w:val="single" w:sz="4" w:space="0" w:color="auto"/>
              <w:right w:val="single" w:sz="4" w:space="0" w:color="auto"/>
            </w:tcBorders>
            <w:vAlign w:val="center"/>
          </w:tcPr>
          <w:p w14:paraId="34B0332D" w14:textId="235E7DDA" w:rsidR="00994542" w:rsidRPr="004E75B9" w:rsidRDefault="00994542">
            <w:pPr>
              <w:jc w:val="center"/>
              <w:rPr>
                <w:rFonts w:ascii="Arial" w:hAnsi="Arial" w:cs="Arial"/>
                <w:sz w:val="20"/>
                <w:lang w:val="en-GB"/>
              </w:rPr>
            </w:pPr>
            <w:r w:rsidRPr="004E75B9">
              <w:rPr>
                <w:rFonts w:ascii="Arial" w:hAnsi="Arial" w:cs="Arial"/>
                <w:sz w:val="20"/>
                <w:lang w:val="en-GB"/>
              </w:rPr>
              <w:t>HCSO</w:t>
            </w:r>
          </w:p>
        </w:tc>
        <w:tc>
          <w:tcPr>
            <w:tcW w:w="1754" w:type="dxa"/>
            <w:tcBorders>
              <w:top w:val="single" w:sz="4" w:space="0" w:color="auto"/>
              <w:left w:val="nil"/>
              <w:bottom w:val="single" w:sz="4" w:space="0" w:color="auto"/>
              <w:right w:val="single" w:sz="4" w:space="0" w:color="auto"/>
            </w:tcBorders>
            <w:vAlign w:val="center"/>
          </w:tcPr>
          <w:p w14:paraId="34B0332E" w14:textId="7B0EC679" w:rsidR="00994542" w:rsidRPr="004E75B9" w:rsidRDefault="00994542" w:rsidP="001C3737">
            <w:pPr>
              <w:jc w:val="center"/>
              <w:rPr>
                <w:rFonts w:ascii="Arial" w:hAnsi="Arial" w:cs="Arial"/>
                <w:sz w:val="20"/>
                <w:lang w:val="en-GB"/>
              </w:rPr>
            </w:pPr>
            <w:r w:rsidRPr="004E75B9">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4E75B9" w:rsidRDefault="00994542">
            <w:pPr>
              <w:jc w:val="center"/>
              <w:rPr>
                <w:rFonts w:ascii="Arial" w:hAnsi="Arial" w:cs="Arial"/>
                <w:sz w:val="20"/>
                <w:lang w:val="en-GB"/>
              </w:rPr>
            </w:pPr>
            <w:r w:rsidRPr="004E75B9">
              <w:rPr>
                <w:rFonts w:ascii="Arial" w:hAnsi="Arial" w:cs="Arial"/>
                <w:sz w:val="20"/>
                <w:lang w:val="en-GB"/>
              </w:rPr>
              <w:t>electronic</w:t>
            </w:r>
          </w:p>
        </w:tc>
        <w:tc>
          <w:tcPr>
            <w:tcW w:w="2142" w:type="dxa"/>
            <w:tcBorders>
              <w:top w:val="single" w:sz="4" w:space="0" w:color="auto"/>
              <w:left w:val="nil"/>
              <w:bottom w:val="single" w:sz="4" w:space="0" w:color="auto"/>
              <w:right w:val="single" w:sz="4" w:space="0" w:color="auto"/>
            </w:tcBorders>
            <w:vAlign w:val="center"/>
          </w:tcPr>
          <w:p w14:paraId="34B03330" w14:textId="00E0FC3C" w:rsidR="00994542" w:rsidRPr="004E75B9" w:rsidRDefault="00994542">
            <w:pPr>
              <w:jc w:val="center"/>
              <w:rPr>
                <w:rFonts w:ascii="Arial" w:hAnsi="Arial" w:cs="Arial"/>
                <w:sz w:val="20"/>
                <w:lang w:val="en-GB"/>
              </w:rPr>
            </w:pPr>
            <w:r w:rsidRPr="004E75B9">
              <w:rPr>
                <w:rFonts w:ascii="Arial" w:hAnsi="Arial" w:cs="Arial"/>
                <w:sz w:val="20"/>
                <w:lang w:val="en-GB"/>
              </w:rPr>
              <w:t>as agreed</w:t>
            </w:r>
          </w:p>
        </w:tc>
      </w:tr>
      <w:tr w:rsidR="004E75B9" w:rsidRPr="004E75B9" w14:paraId="34B0333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4E75B9" w:rsidRDefault="00994542" w:rsidP="00A22C68">
            <w:pPr>
              <w:jc w:val="center"/>
              <w:rPr>
                <w:rFonts w:ascii="Arial" w:hAnsi="Arial" w:cs="Arial"/>
                <w:sz w:val="20"/>
                <w:lang w:val="en-GB"/>
              </w:rPr>
            </w:pPr>
            <w:r w:rsidRPr="004E75B9">
              <w:rPr>
                <w:rFonts w:ascii="Arial" w:hAnsi="Arial" w:cs="Arial"/>
                <w:sz w:val="20"/>
                <w:lang w:val="en-GB"/>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4E75B9" w:rsidRDefault="00994542" w:rsidP="002C1C16">
            <w:pPr>
              <w:jc w:val="center"/>
              <w:rPr>
                <w:rFonts w:ascii="Arial" w:hAnsi="Arial" w:cs="Arial"/>
                <w:sz w:val="20"/>
                <w:lang w:val="en-GB"/>
              </w:rPr>
            </w:pPr>
            <w:r w:rsidRPr="004E75B9">
              <w:rPr>
                <w:rFonts w:ascii="Arial" w:hAnsi="Arial" w:cs="Arial"/>
                <w:sz w:val="20"/>
                <w:lang w:val="en-GB"/>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4E75B9" w:rsidRDefault="00994542" w:rsidP="000E0AE2">
            <w:pPr>
              <w:rPr>
                <w:rFonts w:ascii="Arial" w:hAnsi="Arial" w:cs="Arial"/>
                <w:sz w:val="20"/>
                <w:lang w:val="en-GB"/>
              </w:rPr>
            </w:pPr>
            <w:r w:rsidRPr="004E75B9">
              <w:rPr>
                <w:rFonts w:ascii="Arial" w:hAnsi="Arial" w:cs="Arial"/>
                <w:sz w:val="20"/>
                <w:lang w:val="en-GB"/>
              </w:rPr>
              <w:t>Anonymised income data of natural persons</w:t>
            </w:r>
          </w:p>
        </w:tc>
        <w:tc>
          <w:tcPr>
            <w:tcW w:w="2356" w:type="dxa"/>
            <w:tcBorders>
              <w:top w:val="single" w:sz="4" w:space="0" w:color="auto"/>
              <w:left w:val="nil"/>
              <w:bottom w:val="single" w:sz="4" w:space="0" w:color="auto"/>
              <w:right w:val="single" w:sz="4" w:space="0" w:color="auto"/>
            </w:tcBorders>
            <w:vAlign w:val="center"/>
          </w:tcPr>
          <w:p w14:paraId="34B03335" w14:textId="5239290B" w:rsidR="00994542" w:rsidRPr="004E75B9" w:rsidRDefault="00994542" w:rsidP="00AD7286">
            <w:pPr>
              <w:jc w:val="center"/>
              <w:rPr>
                <w:rFonts w:ascii="Arial" w:hAnsi="Arial" w:cs="Arial"/>
                <w:sz w:val="20"/>
                <w:lang w:val="en-GB"/>
              </w:rPr>
            </w:pPr>
            <w:r w:rsidRPr="004E75B9">
              <w:rPr>
                <w:rFonts w:ascii="Arial" w:hAnsi="Arial" w:cs="Arial"/>
                <w:sz w:val="20"/>
                <w:lang w:val="en-GB"/>
              </w:rPr>
              <w:t>NTCA</w:t>
            </w:r>
          </w:p>
        </w:tc>
        <w:tc>
          <w:tcPr>
            <w:tcW w:w="1754" w:type="dxa"/>
            <w:tcBorders>
              <w:top w:val="single" w:sz="4" w:space="0" w:color="auto"/>
              <w:left w:val="nil"/>
              <w:bottom w:val="single" w:sz="4" w:space="0" w:color="auto"/>
              <w:right w:val="single" w:sz="4" w:space="0" w:color="auto"/>
            </w:tcBorders>
            <w:vAlign w:val="center"/>
          </w:tcPr>
          <w:p w14:paraId="34B03336" w14:textId="75E85B05"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37" w14:textId="6DF8B3D1" w:rsidR="00994542" w:rsidRPr="004E75B9" w:rsidRDefault="00994542" w:rsidP="00AD7286">
            <w:pPr>
              <w:jc w:val="center"/>
              <w:rPr>
                <w:rFonts w:ascii="Arial" w:hAnsi="Arial" w:cs="Arial"/>
                <w:sz w:val="20"/>
                <w:lang w:val="en-GB"/>
              </w:rPr>
            </w:pPr>
            <w:r w:rsidRPr="004E75B9">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38" w14:textId="7917536E"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r>
      <w:tr w:rsidR="004E75B9" w:rsidRPr="004E75B9" w14:paraId="34B0334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4E75B9" w:rsidRDefault="00994542" w:rsidP="00A22C68">
            <w:pPr>
              <w:jc w:val="center"/>
              <w:rPr>
                <w:rFonts w:ascii="Arial" w:hAnsi="Arial" w:cs="Arial"/>
                <w:sz w:val="20"/>
                <w:lang w:val="en-GB"/>
              </w:rPr>
            </w:pPr>
            <w:r w:rsidRPr="004E75B9">
              <w:rPr>
                <w:rFonts w:ascii="Arial" w:hAnsi="Arial" w:cs="Arial"/>
                <w:sz w:val="20"/>
                <w:lang w:val="en-GB"/>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4E75B9" w:rsidRDefault="00994542" w:rsidP="002C1C16">
            <w:pPr>
              <w:jc w:val="center"/>
              <w:rPr>
                <w:rFonts w:ascii="Arial" w:hAnsi="Arial" w:cs="Arial"/>
                <w:sz w:val="20"/>
                <w:lang w:val="en-GB"/>
              </w:rPr>
            </w:pPr>
            <w:r w:rsidRPr="004E75B9">
              <w:rPr>
                <w:rFonts w:ascii="Arial" w:hAnsi="Arial" w:cs="Arial"/>
                <w:sz w:val="20"/>
                <w:lang w:val="en-GB"/>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4E75B9" w:rsidRDefault="00994542" w:rsidP="000E0AE2">
            <w:pPr>
              <w:rPr>
                <w:rFonts w:ascii="Arial" w:hAnsi="Arial" w:cs="Arial"/>
                <w:sz w:val="20"/>
                <w:lang w:val="en-GB"/>
              </w:rPr>
            </w:pPr>
            <w:r w:rsidRPr="004E75B9">
              <w:rPr>
                <w:rFonts w:ascii="Arial" w:hAnsi="Arial" w:cs="Arial"/>
                <w:sz w:val="20"/>
                <w:lang w:val="en-GB"/>
              </w:rPr>
              <w:t>Anonymised data of the central credit information system</w:t>
            </w:r>
          </w:p>
        </w:tc>
        <w:tc>
          <w:tcPr>
            <w:tcW w:w="2356" w:type="dxa"/>
            <w:tcBorders>
              <w:top w:val="single" w:sz="4" w:space="0" w:color="auto"/>
              <w:left w:val="nil"/>
              <w:bottom w:val="single" w:sz="4" w:space="0" w:color="auto"/>
              <w:right w:val="single" w:sz="4" w:space="0" w:color="auto"/>
            </w:tcBorders>
            <w:vAlign w:val="center"/>
          </w:tcPr>
          <w:p w14:paraId="34B0333D" w14:textId="0EE8A291" w:rsidR="00994542" w:rsidRPr="004E75B9" w:rsidRDefault="00994542" w:rsidP="003E3FF1">
            <w:pPr>
              <w:jc w:val="center"/>
              <w:rPr>
                <w:rFonts w:ascii="Arial" w:hAnsi="Arial" w:cs="Arial"/>
                <w:sz w:val="20"/>
                <w:lang w:val="en-GB"/>
              </w:rPr>
            </w:pPr>
            <w:r w:rsidRPr="004E75B9">
              <w:rPr>
                <w:rFonts w:ascii="Arial" w:hAnsi="Arial" w:cs="Arial"/>
                <w:sz w:val="20"/>
                <w:lang w:val="en-GB"/>
              </w:rPr>
              <w:t>the financial enterprise operating the CCIS</w:t>
            </w:r>
          </w:p>
        </w:tc>
        <w:tc>
          <w:tcPr>
            <w:tcW w:w="1754" w:type="dxa"/>
            <w:tcBorders>
              <w:top w:val="single" w:sz="4" w:space="0" w:color="auto"/>
              <w:left w:val="nil"/>
              <w:bottom w:val="single" w:sz="4" w:space="0" w:color="auto"/>
              <w:right w:val="single" w:sz="4" w:space="0" w:color="auto"/>
            </w:tcBorders>
            <w:vAlign w:val="center"/>
          </w:tcPr>
          <w:p w14:paraId="34B0333E" w14:textId="0DB1550B"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4E75B9" w:rsidRDefault="00655B6C" w:rsidP="00655B6C">
            <w:pPr>
              <w:jc w:val="center"/>
              <w:rPr>
                <w:rFonts w:ascii="Arial" w:hAnsi="Arial" w:cs="Arial"/>
                <w:sz w:val="20"/>
                <w:lang w:val="en-GB"/>
              </w:rPr>
            </w:pPr>
            <w:r w:rsidRPr="004E75B9">
              <w:rPr>
                <w:rFonts w:ascii="Arial" w:hAnsi="Arial" w:cs="Arial"/>
                <w:sz w:val="20"/>
                <w:lang w:val="en-GB"/>
              </w:rPr>
              <w:t>electronic</w:t>
            </w:r>
          </w:p>
          <w:p w14:paraId="34B0333F" w14:textId="1E6CFF3D" w:rsidR="00994542" w:rsidRPr="004E75B9" w:rsidRDefault="00655B6C" w:rsidP="00655B6C">
            <w:pPr>
              <w:jc w:val="center"/>
              <w:rPr>
                <w:rFonts w:ascii="Arial" w:hAnsi="Arial" w:cs="Arial"/>
                <w:sz w:val="20"/>
                <w:lang w:val="en-GB"/>
              </w:rPr>
            </w:pPr>
            <w:r w:rsidRPr="004E75B9">
              <w:rPr>
                <w:rFonts w:ascii="Arial" w:hAnsi="Arial" w:cs="Arial"/>
                <w:sz w:val="20"/>
                <w:lang w:val="en-GB"/>
              </w:rPr>
              <w:t>(ERA system, template), with enhanced security or qualified electronic signature</w:t>
            </w:r>
          </w:p>
        </w:tc>
        <w:tc>
          <w:tcPr>
            <w:tcW w:w="2142" w:type="dxa"/>
            <w:tcBorders>
              <w:top w:val="single" w:sz="4" w:space="0" w:color="auto"/>
              <w:left w:val="nil"/>
              <w:bottom w:val="single" w:sz="4" w:space="0" w:color="auto"/>
              <w:right w:val="single" w:sz="4" w:space="0" w:color="auto"/>
            </w:tcBorders>
            <w:vAlign w:val="center"/>
          </w:tcPr>
          <w:p w14:paraId="34B03340" w14:textId="56889B01"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r>
      <w:tr w:rsidR="004E75B9" w:rsidRPr="004E75B9" w14:paraId="34B0334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4E75B9" w:rsidRDefault="00994542" w:rsidP="00A22C68">
            <w:pPr>
              <w:jc w:val="center"/>
              <w:rPr>
                <w:rFonts w:ascii="Arial" w:hAnsi="Arial" w:cs="Arial"/>
                <w:sz w:val="20"/>
                <w:lang w:val="en-GB"/>
              </w:rPr>
            </w:pPr>
            <w:bookmarkStart w:id="18" w:name="_Hlk487637821"/>
            <w:r w:rsidRPr="004E75B9">
              <w:rPr>
                <w:rFonts w:ascii="Arial" w:hAnsi="Arial" w:cs="Arial"/>
                <w:sz w:val="20"/>
                <w:lang w:val="en-GB"/>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4E75B9" w:rsidRDefault="00994542" w:rsidP="002C1C16">
            <w:pPr>
              <w:jc w:val="center"/>
              <w:rPr>
                <w:rFonts w:ascii="Arial" w:hAnsi="Arial" w:cs="Arial"/>
                <w:sz w:val="20"/>
                <w:lang w:val="en-GB"/>
              </w:rPr>
            </w:pPr>
            <w:r w:rsidRPr="004E75B9">
              <w:rPr>
                <w:rFonts w:ascii="Arial" w:hAnsi="Arial" w:cs="Arial"/>
                <w:sz w:val="20"/>
                <w:lang w:val="en-GB"/>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4E75B9" w:rsidRDefault="00994542" w:rsidP="00A125B2">
            <w:pPr>
              <w:rPr>
                <w:rFonts w:ascii="Arial" w:hAnsi="Arial" w:cs="Arial"/>
                <w:sz w:val="20"/>
                <w:lang w:val="en-GB"/>
              </w:rPr>
            </w:pPr>
            <w:r w:rsidRPr="004E75B9">
              <w:rPr>
                <w:rFonts w:ascii="Arial" w:hAnsi="Arial" w:cs="Arial"/>
                <w:sz w:val="20"/>
                <w:lang w:val="en-GB"/>
              </w:rPr>
              <w:t xml:space="preserve">Anonymised health data of natural persons </w:t>
            </w:r>
          </w:p>
        </w:tc>
        <w:tc>
          <w:tcPr>
            <w:tcW w:w="2356" w:type="dxa"/>
            <w:tcBorders>
              <w:top w:val="single" w:sz="4" w:space="0" w:color="auto"/>
              <w:left w:val="nil"/>
              <w:bottom w:val="single" w:sz="4" w:space="0" w:color="auto"/>
              <w:right w:val="single" w:sz="4" w:space="0" w:color="auto"/>
            </w:tcBorders>
            <w:vAlign w:val="center"/>
          </w:tcPr>
          <w:p w14:paraId="34B03345" w14:textId="51AF5904" w:rsidR="00994542" w:rsidRPr="004E75B9" w:rsidRDefault="008711C1" w:rsidP="00AF0CBA">
            <w:pPr>
              <w:jc w:val="center"/>
              <w:rPr>
                <w:rFonts w:ascii="Arial" w:hAnsi="Arial" w:cs="Arial"/>
                <w:sz w:val="20"/>
                <w:lang w:val="en-GB"/>
              </w:rPr>
            </w:pPr>
            <w:r w:rsidRPr="004E75B9">
              <w:rPr>
                <w:rFonts w:ascii="Arial" w:hAnsi="Arial" w:cs="Arial"/>
                <w:sz w:val="20"/>
                <w:lang w:val="en-GB"/>
              </w:rPr>
              <w:t>National Health Insurance Fund of Hungary (hereinafter: NEAK)</w:t>
            </w:r>
          </w:p>
        </w:tc>
        <w:tc>
          <w:tcPr>
            <w:tcW w:w="1754" w:type="dxa"/>
            <w:tcBorders>
              <w:top w:val="single" w:sz="4" w:space="0" w:color="auto"/>
              <w:left w:val="nil"/>
              <w:bottom w:val="single" w:sz="4" w:space="0" w:color="auto"/>
              <w:right w:val="single" w:sz="4" w:space="0" w:color="auto"/>
            </w:tcBorders>
            <w:vAlign w:val="center"/>
          </w:tcPr>
          <w:p w14:paraId="34B03346" w14:textId="4EF6DE9F"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4E75B9" w:rsidRDefault="00994542" w:rsidP="00AD7286">
            <w:pPr>
              <w:jc w:val="center"/>
              <w:rPr>
                <w:rFonts w:ascii="Arial" w:hAnsi="Arial" w:cs="Arial"/>
                <w:sz w:val="20"/>
                <w:lang w:val="en-GB"/>
              </w:rPr>
            </w:pPr>
            <w:r w:rsidRPr="004E75B9">
              <w:rPr>
                <w:rFonts w:ascii="Arial" w:hAnsi="Arial" w:cs="Arial"/>
                <w:sz w:val="20"/>
                <w:lang w:val="en-GB"/>
              </w:rPr>
              <w:t>electronic (via electronic data carrier)</w:t>
            </w:r>
          </w:p>
        </w:tc>
        <w:tc>
          <w:tcPr>
            <w:tcW w:w="2142" w:type="dxa"/>
            <w:tcBorders>
              <w:top w:val="single" w:sz="4" w:space="0" w:color="auto"/>
              <w:left w:val="nil"/>
              <w:bottom w:val="single" w:sz="4" w:space="0" w:color="auto"/>
              <w:right w:val="single" w:sz="4" w:space="0" w:color="auto"/>
            </w:tcBorders>
            <w:vAlign w:val="center"/>
          </w:tcPr>
          <w:p w14:paraId="34B03348" w14:textId="6FC75060" w:rsidR="00994542" w:rsidRPr="004E75B9" w:rsidRDefault="00994542" w:rsidP="00AD7286">
            <w:pPr>
              <w:jc w:val="center"/>
              <w:rPr>
                <w:rFonts w:ascii="Arial" w:hAnsi="Arial" w:cs="Arial"/>
                <w:sz w:val="20"/>
                <w:lang w:val="en-GB"/>
              </w:rPr>
            </w:pPr>
            <w:r w:rsidRPr="004E75B9">
              <w:rPr>
                <w:rFonts w:ascii="Arial" w:hAnsi="Arial" w:cs="Arial"/>
                <w:sz w:val="20"/>
                <w:lang w:val="en-GB"/>
              </w:rPr>
              <w:t>as agreed</w:t>
            </w:r>
          </w:p>
        </w:tc>
      </w:tr>
      <w:tr w:rsidR="00387722" w:rsidRPr="004E75B9" w14:paraId="60EE8517"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4E75B9" w:rsidRDefault="00387722" w:rsidP="00A22C68">
            <w:pPr>
              <w:jc w:val="center"/>
              <w:rPr>
                <w:rFonts w:ascii="Arial" w:hAnsi="Arial" w:cs="Arial"/>
                <w:sz w:val="20"/>
                <w:lang w:val="en-GB"/>
              </w:rPr>
            </w:pPr>
            <w:r w:rsidRPr="004E75B9">
              <w:rPr>
                <w:rFonts w:ascii="Arial" w:hAnsi="Arial" w:cs="Arial"/>
                <w:sz w:val="20"/>
                <w:lang w:val="en-GB"/>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4E75B9" w:rsidRDefault="00387722" w:rsidP="002C1C16">
            <w:pPr>
              <w:jc w:val="center"/>
              <w:rPr>
                <w:rFonts w:ascii="Arial" w:hAnsi="Arial" w:cs="Arial"/>
                <w:sz w:val="20"/>
                <w:lang w:val="en-GB"/>
              </w:rPr>
            </w:pPr>
            <w:r w:rsidRPr="004E75B9">
              <w:rPr>
                <w:rFonts w:ascii="Arial" w:hAnsi="Arial" w:cs="Arial"/>
                <w:sz w:val="20"/>
                <w:lang w:val="en-GB"/>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4E75B9" w:rsidRDefault="0044066D" w:rsidP="009E4539">
            <w:pPr>
              <w:rPr>
                <w:rFonts w:ascii="Arial" w:hAnsi="Arial" w:cs="Arial"/>
                <w:sz w:val="20"/>
                <w:lang w:val="en-GB"/>
              </w:rPr>
            </w:pPr>
            <w:r w:rsidRPr="004E75B9">
              <w:rPr>
                <w:rFonts w:ascii="Arial" w:hAnsi="Arial" w:cs="Arial"/>
                <w:sz w:val="20"/>
                <w:lang w:val="en-GB"/>
              </w:rPr>
              <w:t>Anonymised consolidated data on insured deposits</w:t>
            </w:r>
          </w:p>
        </w:tc>
        <w:tc>
          <w:tcPr>
            <w:tcW w:w="2356" w:type="dxa"/>
            <w:tcBorders>
              <w:top w:val="single" w:sz="4" w:space="0" w:color="auto"/>
              <w:left w:val="nil"/>
              <w:bottom w:val="single" w:sz="4" w:space="0" w:color="auto"/>
              <w:right w:val="single" w:sz="4" w:space="0" w:color="auto"/>
            </w:tcBorders>
            <w:vAlign w:val="center"/>
          </w:tcPr>
          <w:p w14:paraId="6BF6B7D7" w14:textId="4C63722E" w:rsidR="00387722" w:rsidRPr="004E75B9" w:rsidRDefault="00B51348" w:rsidP="00AF0CBA">
            <w:pPr>
              <w:jc w:val="center"/>
              <w:rPr>
                <w:rFonts w:ascii="Arial" w:hAnsi="Arial" w:cs="Arial"/>
                <w:sz w:val="20"/>
                <w:lang w:val="en-GB"/>
              </w:rPr>
            </w:pPr>
            <w:r w:rsidRPr="004E75B9">
              <w:rPr>
                <w:rFonts w:ascii="Arial" w:hAnsi="Arial" w:cs="Arial"/>
                <w:sz w:val="20"/>
                <w:lang w:val="en-GB"/>
              </w:rPr>
              <w:t>National Deposit Insurance Fund</w:t>
            </w:r>
          </w:p>
        </w:tc>
        <w:tc>
          <w:tcPr>
            <w:tcW w:w="1754" w:type="dxa"/>
            <w:tcBorders>
              <w:top w:val="single" w:sz="4" w:space="0" w:color="auto"/>
              <w:left w:val="nil"/>
              <w:bottom w:val="single" w:sz="4" w:space="0" w:color="auto"/>
              <w:right w:val="single" w:sz="4" w:space="0" w:color="auto"/>
            </w:tcBorders>
            <w:vAlign w:val="center"/>
          </w:tcPr>
          <w:p w14:paraId="72F7927D" w14:textId="1E201991" w:rsidR="00387722" w:rsidRPr="004E75B9" w:rsidRDefault="00442BA1" w:rsidP="00AD7286">
            <w:pPr>
              <w:jc w:val="center"/>
              <w:rPr>
                <w:rFonts w:ascii="Arial" w:hAnsi="Arial" w:cs="Arial"/>
                <w:sz w:val="20"/>
                <w:lang w:val="en-GB"/>
              </w:rPr>
            </w:pPr>
            <w:r w:rsidRPr="004E75B9">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1EBBA818" w14:textId="508194C2" w:rsidR="00387722" w:rsidRPr="004E75B9" w:rsidRDefault="00B51348" w:rsidP="00AD7286">
            <w:pPr>
              <w:jc w:val="center"/>
              <w:rPr>
                <w:rFonts w:ascii="Arial" w:hAnsi="Arial" w:cs="Arial"/>
                <w:sz w:val="20"/>
                <w:lang w:val="en-GB"/>
              </w:rPr>
            </w:pPr>
            <w:r w:rsidRPr="004E75B9">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202C5CBD" w14:textId="1634C273" w:rsidR="00387722" w:rsidRPr="004E75B9" w:rsidRDefault="00442BA1" w:rsidP="00AD7286">
            <w:pPr>
              <w:jc w:val="center"/>
              <w:rPr>
                <w:rFonts w:ascii="Arial" w:hAnsi="Arial" w:cs="Arial"/>
                <w:sz w:val="20"/>
                <w:lang w:val="en-GB"/>
              </w:rPr>
            </w:pPr>
            <w:r w:rsidRPr="004E75B9">
              <w:rPr>
                <w:rFonts w:ascii="Arial" w:hAnsi="Arial" w:cs="Arial"/>
                <w:sz w:val="20"/>
                <w:lang w:val="en-GB"/>
              </w:rPr>
              <w:t>as agreed</w:t>
            </w:r>
          </w:p>
        </w:tc>
      </w:tr>
      <w:bookmarkEnd w:id="17"/>
      <w:bookmarkEnd w:id="18"/>
    </w:tbl>
    <w:p w14:paraId="34B03352" w14:textId="77777777" w:rsidR="00747A2B" w:rsidRPr="004E75B9" w:rsidRDefault="00747A2B" w:rsidP="007E0996">
      <w:pPr>
        <w:rPr>
          <w:rFonts w:ascii="Arial" w:hAnsi="Arial" w:cs="Arial"/>
          <w:sz w:val="20"/>
          <w:lang w:val="en-GB"/>
        </w:rPr>
      </w:pPr>
    </w:p>
    <w:sectPr w:rsidR="00747A2B" w:rsidRPr="004E75B9" w:rsidSect="00481406">
      <w:headerReference w:type="even" r:id="rId11"/>
      <w:headerReference w:type="default" r:id="rId12"/>
      <w:footerReference w:type="even" r:id="rId13"/>
      <w:footerReference w:type="default" r:id="rId14"/>
      <w:type w:val="nextColumn"/>
      <w:pgSz w:w="16834" w:h="11896" w:orient="landscape"/>
      <w:pgMar w:top="1134" w:right="1099"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20D04" w14:textId="77777777" w:rsidR="00195C1B" w:rsidRDefault="00195C1B">
      <w:r>
        <w:separator/>
      </w:r>
    </w:p>
  </w:endnote>
  <w:endnote w:type="continuationSeparator" w:id="0">
    <w:p w14:paraId="2DD83863" w14:textId="77777777" w:rsidR="00195C1B" w:rsidRDefault="00195C1B">
      <w:r>
        <w:continuationSeparator/>
      </w:r>
    </w:p>
  </w:endnote>
  <w:endnote w:type="continuationNotice" w:id="1">
    <w:p w14:paraId="747C079B" w14:textId="77777777" w:rsidR="00195C1B" w:rsidRDefault="00195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481406" w:rsidRDefault="00481406">
    <w:pPr>
      <w:pStyle w:val="llb"/>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13</w:t>
    </w:r>
    <w:r>
      <w:rPr>
        <w:rStyle w:val="Oldalszm"/>
        <w:lang w:val="en"/>
      </w:rPr>
      <w:fldChar w:fldCharType="end"/>
    </w:r>
  </w:p>
  <w:p w14:paraId="34B0335C" w14:textId="77777777" w:rsidR="00481406" w:rsidRDefault="004814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77777777" w:rsidR="00481406" w:rsidRDefault="00481406">
    <w:pPr>
      <w:pStyle w:val="llb"/>
      <w:framePr w:wrap="around" w:vAnchor="text" w:hAnchor="margin" w:xAlign="center" w:y="1"/>
      <w:rPr>
        <w:rStyle w:val="Oldalszm"/>
      </w:rPr>
    </w:pPr>
  </w:p>
  <w:p w14:paraId="34B0335F" w14:textId="77777777" w:rsidR="00481406" w:rsidRDefault="00481406">
    <w:pPr>
      <w:pStyle w:val="llb"/>
      <w:rPr>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68996" w14:textId="77777777" w:rsidR="00195C1B" w:rsidRDefault="00195C1B">
      <w:r>
        <w:separator/>
      </w:r>
    </w:p>
  </w:footnote>
  <w:footnote w:type="continuationSeparator" w:id="0">
    <w:p w14:paraId="6A7C3EF7" w14:textId="77777777" w:rsidR="00195C1B" w:rsidRDefault="00195C1B">
      <w:r>
        <w:continuationSeparator/>
      </w:r>
    </w:p>
  </w:footnote>
  <w:footnote w:type="continuationNotice" w:id="1">
    <w:p w14:paraId="7EC77703" w14:textId="77777777" w:rsidR="00195C1B" w:rsidRDefault="00195C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481406" w:rsidRDefault="004814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481406" w:rsidRDefault="004814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2060715">
    <w:abstractNumId w:val="0"/>
  </w:num>
  <w:num w:numId="2" w16cid:durableId="2120876923">
    <w:abstractNumId w:val="3"/>
  </w:num>
  <w:num w:numId="3" w16cid:durableId="475798007">
    <w:abstractNumId w:val="2"/>
  </w:num>
  <w:num w:numId="4" w16cid:durableId="106155824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076"/>
    <w:rsid w:val="00000907"/>
    <w:rsid w:val="0000138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D72"/>
    <w:rsid w:val="00055765"/>
    <w:rsid w:val="00056134"/>
    <w:rsid w:val="000578A3"/>
    <w:rsid w:val="00057EFA"/>
    <w:rsid w:val="0006088D"/>
    <w:rsid w:val="0006166C"/>
    <w:rsid w:val="00061710"/>
    <w:rsid w:val="00066F4D"/>
    <w:rsid w:val="000670E3"/>
    <w:rsid w:val="000709D9"/>
    <w:rsid w:val="000710FD"/>
    <w:rsid w:val="00072AF1"/>
    <w:rsid w:val="00074004"/>
    <w:rsid w:val="00074E15"/>
    <w:rsid w:val="00075C6D"/>
    <w:rsid w:val="00076766"/>
    <w:rsid w:val="00080245"/>
    <w:rsid w:val="00080FD5"/>
    <w:rsid w:val="00081F1C"/>
    <w:rsid w:val="00082330"/>
    <w:rsid w:val="00082B7B"/>
    <w:rsid w:val="00085DAC"/>
    <w:rsid w:val="000867F3"/>
    <w:rsid w:val="00087C00"/>
    <w:rsid w:val="0009079C"/>
    <w:rsid w:val="00091583"/>
    <w:rsid w:val="0009180B"/>
    <w:rsid w:val="00091898"/>
    <w:rsid w:val="00093B38"/>
    <w:rsid w:val="00093B74"/>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82E"/>
    <w:rsid w:val="000E36C6"/>
    <w:rsid w:val="000E3F28"/>
    <w:rsid w:val="000E6331"/>
    <w:rsid w:val="000E667F"/>
    <w:rsid w:val="000E753C"/>
    <w:rsid w:val="000F16A4"/>
    <w:rsid w:val="000F1AC1"/>
    <w:rsid w:val="000F28C2"/>
    <w:rsid w:val="000F2CC9"/>
    <w:rsid w:val="000F3076"/>
    <w:rsid w:val="000F42DC"/>
    <w:rsid w:val="000F4F80"/>
    <w:rsid w:val="000F610D"/>
    <w:rsid w:val="000F66CF"/>
    <w:rsid w:val="000F6BCF"/>
    <w:rsid w:val="000F7271"/>
    <w:rsid w:val="00100B4A"/>
    <w:rsid w:val="00100CA4"/>
    <w:rsid w:val="00101AB9"/>
    <w:rsid w:val="00104524"/>
    <w:rsid w:val="001051D1"/>
    <w:rsid w:val="00105A57"/>
    <w:rsid w:val="001072F6"/>
    <w:rsid w:val="00107540"/>
    <w:rsid w:val="00112B4B"/>
    <w:rsid w:val="00113523"/>
    <w:rsid w:val="001154C4"/>
    <w:rsid w:val="00116F45"/>
    <w:rsid w:val="00120068"/>
    <w:rsid w:val="00120FA6"/>
    <w:rsid w:val="001214CF"/>
    <w:rsid w:val="001214E7"/>
    <w:rsid w:val="00122C97"/>
    <w:rsid w:val="00123FF8"/>
    <w:rsid w:val="0012400D"/>
    <w:rsid w:val="00124DAD"/>
    <w:rsid w:val="00124EBD"/>
    <w:rsid w:val="00125253"/>
    <w:rsid w:val="00126EF2"/>
    <w:rsid w:val="00127B48"/>
    <w:rsid w:val="00127C78"/>
    <w:rsid w:val="00130497"/>
    <w:rsid w:val="001313BB"/>
    <w:rsid w:val="00132339"/>
    <w:rsid w:val="00136CB2"/>
    <w:rsid w:val="00136DAF"/>
    <w:rsid w:val="001371C1"/>
    <w:rsid w:val="001379D3"/>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7019E"/>
    <w:rsid w:val="00170A20"/>
    <w:rsid w:val="00172E21"/>
    <w:rsid w:val="00173FB4"/>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87BC7"/>
    <w:rsid w:val="001904BF"/>
    <w:rsid w:val="00190795"/>
    <w:rsid w:val="00190A1E"/>
    <w:rsid w:val="00191CD8"/>
    <w:rsid w:val="00191F4F"/>
    <w:rsid w:val="001922AE"/>
    <w:rsid w:val="001925BA"/>
    <w:rsid w:val="00192ACF"/>
    <w:rsid w:val="00193580"/>
    <w:rsid w:val="00195001"/>
    <w:rsid w:val="00195A2D"/>
    <w:rsid w:val="00195C1B"/>
    <w:rsid w:val="00196552"/>
    <w:rsid w:val="00197278"/>
    <w:rsid w:val="001A0B97"/>
    <w:rsid w:val="001A1E1A"/>
    <w:rsid w:val="001A4636"/>
    <w:rsid w:val="001A7737"/>
    <w:rsid w:val="001B0646"/>
    <w:rsid w:val="001B1625"/>
    <w:rsid w:val="001B2297"/>
    <w:rsid w:val="001B464D"/>
    <w:rsid w:val="001B5ECF"/>
    <w:rsid w:val="001B6897"/>
    <w:rsid w:val="001B6DC6"/>
    <w:rsid w:val="001B7CBC"/>
    <w:rsid w:val="001C17D0"/>
    <w:rsid w:val="001C22BF"/>
    <w:rsid w:val="001C2522"/>
    <w:rsid w:val="001C3737"/>
    <w:rsid w:val="001C4EF6"/>
    <w:rsid w:val="001C5479"/>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669E"/>
    <w:rsid w:val="00277667"/>
    <w:rsid w:val="00277B3D"/>
    <w:rsid w:val="00277E8A"/>
    <w:rsid w:val="00280A62"/>
    <w:rsid w:val="00281B5E"/>
    <w:rsid w:val="0028451C"/>
    <w:rsid w:val="00284856"/>
    <w:rsid w:val="0028728D"/>
    <w:rsid w:val="002901D2"/>
    <w:rsid w:val="00292CFB"/>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E6D"/>
    <w:rsid w:val="002D181D"/>
    <w:rsid w:val="002D36A8"/>
    <w:rsid w:val="002D4F2A"/>
    <w:rsid w:val="002D5215"/>
    <w:rsid w:val="002D5258"/>
    <w:rsid w:val="002D6F3D"/>
    <w:rsid w:val="002D790F"/>
    <w:rsid w:val="002E1070"/>
    <w:rsid w:val="002E2FF0"/>
    <w:rsid w:val="002E4701"/>
    <w:rsid w:val="002E4F62"/>
    <w:rsid w:val="002E5700"/>
    <w:rsid w:val="002E7223"/>
    <w:rsid w:val="002E73D2"/>
    <w:rsid w:val="002F16E5"/>
    <w:rsid w:val="002F1899"/>
    <w:rsid w:val="002F2895"/>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1189"/>
    <w:rsid w:val="003227E3"/>
    <w:rsid w:val="00325AF9"/>
    <w:rsid w:val="00327981"/>
    <w:rsid w:val="00330847"/>
    <w:rsid w:val="00333047"/>
    <w:rsid w:val="003335B3"/>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4CC"/>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8F0"/>
    <w:rsid w:val="00393C80"/>
    <w:rsid w:val="00393FA8"/>
    <w:rsid w:val="00394DC4"/>
    <w:rsid w:val="00394EC8"/>
    <w:rsid w:val="003A3CAA"/>
    <w:rsid w:val="003A3E33"/>
    <w:rsid w:val="003A4117"/>
    <w:rsid w:val="003A4FF3"/>
    <w:rsid w:val="003A5222"/>
    <w:rsid w:val="003A5D51"/>
    <w:rsid w:val="003A7AEE"/>
    <w:rsid w:val="003A7D0F"/>
    <w:rsid w:val="003A7ED2"/>
    <w:rsid w:val="003B0464"/>
    <w:rsid w:val="003B3359"/>
    <w:rsid w:val="003B44A0"/>
    <w:rsid w:val="003B4649"/>
    <w:rsid w:val="003B4D57"/>
    <w:rsid w:val="003C182F"/>
    <w:rsid w:val="003C1932"/>
    <w:rsid w:val="003C2B68"/>
    <w:rsid w:val="003C598D"/>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F0871"/>
    <w:rsid w:val="003F0C6F"/>
    <w:rsid w:val="003F0E0C"/>
    <w:rsid w:val="003F1F1A"/>
    <w:rsid w:val="003F408E"/>
    <w:rsid w:val="003F5CCF"/>
    <w:rsid w:val="003F6177"/>
    <w:rsid w:val="003F7363"/>
    <w:rsid w:val="0040011B"/>
    <w:rsid w:val="004032FE"/>
    <w:rsid w:val="0040389C"/>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A1"/>
    <w:rsid w:val="00443104"/>
    <w:rsid w:val="00443839"/>
    <w:rsid w:val="004450BB"/>
    <w:rsid w:val="00445106"/>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D98"/>
    <w:rsid w:val="0047367C"/>
    <w:rsid w:val="00474D17"/>
    <w:rsid w:val="00474D8F"/>
    <w:rsid w:val="00475D59"/>
    <w:rsid w:val="00477B77"/>
    <w:rsid w:val="00480182"/>
    <w:rsid w:val="00481406"/>
    <w:rsid w:val="00486104"/>
    <w:rsid w:val="004865EF"/>
    <w:rsid w:val="0049181F"/>
    <w:rsid w:val="0049354F"/>
    <w:rsid w:val="004957EA"/>
    <w:rsid w:val="0049695B"/>
    <w:rsid w:val="004A050E"/>
    <w:rsid w:val="004A14D0"/>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CF2"/>
    <w:rsid w:val="004D0F3F"/>
    <w:rsid w:val="004D37A6"/>
    <w:rsid w:val="004D3976"/>
    <w:rsid w:val="004D41A1"/>
    <w:rsid w:val="004D56B5"/>
    <w:rsid w:val="004D62C5"/>
    <w:rsid w:val="004E1461"/>
    <w:rsid w:val="004E24A3"/>
    <w:rsid w:val="004E276F"/>
    <w:rsid w:val="004E2FCB"/>
    <w:rsid w:val="004E3D1F"/>
    <w:rsid w:val="004E4D09"/>
    <w:rsid w:val="004E56E8"/>
    <w:rsid w:val="004E5BCF"/>
    <w:rsid w:val="004E75B9"/>
    <w:rsid w:val="004E77DE"/>
    <w:rsid w:val="004F0B99"/>
    <w:rsid w:val="004F125A"/>
    <w:rsid w:val="004F15B7"/>
    <w:rsid w:val="004F2E1E"/>
    <w:rsid w:val="004F30BC"/>
    <w:rsid w:val="004F40C5"/>
    <w:rsid w:val="004F5558"/>
    <w:rsid w:val="00502427"/>
    <w:rsid w:val="00504982"/>
    <w:rsid w:val="00505CB6"/>
    <w:rsid w:val="00510DA2"/>
    <w:rsid w:val="00511B55"/>
    <w:rsid w:val="00512719"/>
    <w:rsid w:val="00512E4E"/>
    <w:rsid w:val="005164E9"/>
    <w:rsid w:val="0051779A"/>
    <w:rsid w:val="00520F25"/>
    <w:rsid w:val="00521175"/>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1B89"/>
    <w:rsid w:val="00552F86"/>
    <w:rsid w:val="005542F3"/>
    <w:rsid w:val="00554A9B"/>
    <w:rsid w:val="00554E3A"/>
    <w:rsid w:val="00554F1A"/>
    <w:rsid w:val="00555063"/>
    <w:rsid w:val="00556379"/>
    <w:rsid w:val="00557ACF"/>
    <w:rsid w:val="00557CCC"/>
    <w:rsid w:val="0056157E"/>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4F67"/>
    <w:rsid w:val="00576777"/>
    <w:rsid w:val="00576A5B"/>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7327"/>
    <w:rsid w:val="005A79BA"/>
    <w:rsid w:val="005B182A"/>
    <w:rsid w:val="005B2BA9"/>
    <w:rsid w:val="005B312D"/>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DA9"/>
    <w:rsid w:val="005E3029"/>
    <w:rsid w:val="005E49F5"/>
    <w:rsid w:val="005E5B91"/>
    <w:rsid w:val="005E60E4"/>
    <w:rsid w:val="005E7F5C"/>
    <w:rsid w:val="005F0C81"/>
    <w:rsid w:val="005F13E3"/>
    <w:rsid w:val="005F1EBF"/>
    <w:rsid w:val="005F3570"/>
    <w:rsid w:val="005F51F9"/>
    <w:rsid w:val="005F563A"/>
    <w:rsid w:val="005F58C6"/>
    <w:rsid w:val="005F6BEB"/>
    <w:rsid w:val="0060009D"/>
    <w:rsid w:val="00602AAC"/>
    <w:rsid w:val="00605130"/>
    <w:rsid w:val="006071AE"/>
    <w:rsid w:val="00607388"/>
    <w:rsid w:val="0061011E"/>
    <w:rsid w:val="00610CF0"/>
    <w:rsid w:val="00612946"/>
    <w:rsid w:val="00614F0F"/>
    <w:rsid w:val="00617611"/>
    <w:rsid w:val="00617F82"/>
    <w:rsid w:val="00620C46"/>
    <w:rsid w:val="00620F63"/>
    <w:rsid w:val="006212E9"/>
    <w:rsid w:val="00622DA4"/>
    <w:rsid w:val="00624848"/>
    <w:rsid w:val="00624B6A"/>
    <w:rsid w:val="00624BAC"/>
    <w:rsid w:val="00627388"/>
    <w:rsid w:val="006300A1"/>
    <w:rsid w:val="00632D84"/>
    <w:rsid w:val="00635CEE"/>
    <w:rsid w:val="00636389"/>
    <w:rsid w:val="0063673A"/>
    <w:rsid w:val="006372EB"/>
    <w:rsid w:val="00637405"/>
    <w:rsid w:val="00642136"/>
    <w:rsid w:val="00642931"/>
    <w:rsid w:val="00643536"/>
    <w:rsid w:val="006476AB"/>
    <w:rsid w:val="006520AB"/>
    <w:rsid w:val="00652A3D"/>
    <w:rsid w:val="00652E20"/>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1BBC"/>
    <w:rsid w:val="006C2011"/>
    <w:rsid w:val="006C4E32"/>
    <w:rsid w:val="006C66F5"/>
    <w:rsid w:val="006D1897"/>
    <w:rsid w:val="006D18BC"/>
    <w:rsid w:val="006D33B5"/>
    <w:rsid w:val="006D42AD"/>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A5"/>
    <w:rsid w:val="00723F4A"/>
    <w:rsid w:val="00723F90"/>
    <w:rsid w:val="007241FE"/>
    <w:rsid w:val="00725280"/>
    <w:rsid w:val="0072580E"/>
    <w:rsid w:val="007258DB"/>
    <w:rsid w:val="00726F0D"/>
    <w:rsid w:val="00727809"/>
    <w:rsid w:val="007309CE"/>
    <w:rsid w:val="00730F59"/>
    <w:rsid w:val="00731049"/>
    <w:rsid w:val="00732FB5"/>
    <w:rsid w:val="00734868"/>
    <w:rsid w:val="007365D1"/>
    <w:rsid w:val="00737037"/>
    <w:rsid w:val="00737D1F"/>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E0D"/>
    <w:rsid w:val="007B4A44"/>
    <w:rsid w:val="007B6557"/>
    <w:rsid w:val="007B65AC"/>
    <w:rsid w:val="007B6AAC"/>
    <w:rsid w:val="007B6E04"/>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57C5"/>
    <w:rsid w:val="007E69C8"/>
    <w:rsid w:val="007E78F6"/>
    <w:rsid w:val="007F2300"/>
    <w:rsid w:val="007F32EF"/>
    <w:rsid w:val="007F3431"/>
    <w:rsid w:val="007F528C"/>
    <w:rsid w:val="007F586A"/>
    <w:rsid w:val="007F5B8D"/>
    <w:rsid w:val="007F5C32"/>
    <w:rsid w:val="00800519"/>
    <w:rsid w:val="0080058D"/>
    <w:rsid w:val="0080128F"/>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53A8"/>
    <w:rsid w:val="008261EB"/>
    <w:rsid w:val="00826508"/>
    <w:rsid w:val="008267AB"/>
    <w:rsid w:val="00826BBA"/>
    <w:rsid w:val="00826ED1"/>
    <w:rsid w:val="008277A9"/>
    <w:rsid w:val="00830313"/>
    <w:rsid w:val="00830758"/>
    <w:rsid w:val="00831B03"/>
    <w:rsid w:val="00832637"/>
    <w:rsid w:val="00832829"/>
    <w:rsid w:val="00834C21"/>
    <w:rsid w:val="00834DAD"/>
    <w:rsid w:val="00834E9E"/>
    <w:rsid w:val="0083577F"/>
    <w:rsid w:val="00836181"/>
    <w:rsid w:val="008375F9"/>
    <w:rsid w:val="00837BC0"/>
    <w:rsid w:val="00837F87"/>
    <w:rsid w:val="0084283A"/>
    <w:rsid w:val="00845A8D"/>
    <w:rsid w:val="0084605B"/>
    <w:rsid w:val="00846241"/>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38EC"/>
    <w:rsid w:val="0088441B"/>
    <w:rsid w:val="00884423"/>
    <w:rsid w:val="0088463E"/>
    <w:rsid w:val="00887010"/>
    <w:rsid w:val="008877AC"/>
    <w:rsid w:val="00887814"/>
    <w:rsid w:val="00890761"/>
    <w:rsid w:val="0089272A"/>
    <w:rsid w:val="00893442"/>
    <w:rsid w:val="00893FAA"/>
    <w:rsid w:val="00895B70"/>
    <w:rsid w:val="00895D70"/>
    <w:rsid w:val="00896D27"/>
    <w:rsid w:val="008A153A"/>
    <w:rsid w:val="008A3830"/>
    <w:rsid w:val="008A5560"/>
    <w:rsid w:val="008A6931"/>
    <w:rsid w:val="008A70C1"/>
    <w:rsid w:val="008B0337"/>
    <w:rsid w:val="008B072C"/>
    <w:rsid w:val="008B1B9B"/>
    <w:rsid w:val="008B1BAE"/>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E7DC0"/>
    <w:rsid w:val="008F36C7"/>
    <w:rsid w:val="008F3EF9"/>
    <w:rsid w:val="008F5BF4"/>
    <w:rsid w:val="008F5D8F"/>
    <w:rsid w:val="008F65FA"/>
    <w:rsid w:val="008F7E4E"/>
    <w:rsid w:val="00902617"/>
    <w:rsid w:val="009031B1"/>
    <w:rsid w:val="009045F1"/>
    <w:rsid w:val="009048F0"/>
    <w:rsid w:val="00905197"/>
    <w:rsid w:val="009079E9"/>
    <w:rsid w:val="00907CA3"/>
    <w:rsid w:val="00911B2E"/>
    <w:rsid w:val="0091393D"/>
    <w:rsid w:val="009141F1"/>
    <w:rsid w:val="00914256"/>
    <w:rsid w:val="0091425E"/>
    <w:rsid w:val="00917755"/>
    <w:rsid w:val="00917F48"/>
    <w:rsid w:val="00920E0A"/>
    <w:rsid w:val="00920E18"/>
    <w:rsid w:val="00922354"/>
    <w:rsid w:val="00922374"/>
    <w:rsid w:val="0092355D"/>
    <w:rsid w:val="00923E17"/>
    <w:rsid w:val="00930EB3"/>
    <w:rsid w:val="00933046"/>
    <w:rsid w:val="009333CB"/>
    <w:rsid w:val="00933602"/>
    <w:rsid w:val="00933B5A"/>
    <w:rsid w:val="00935AA1"/>
    <w:rsid w:val="009408E4"/>
    <w:rsid w:val="00942DAD"/>
    <w:rsid w:val="00943BEE"/>
    <w:rsid w:val="00943FE9"/>
    <w:rsid w:val="009464FA"/>
    <w:rsid w:val="00946795"/>
    <w:rsid w:val="009474D5"/>
    <w:rsid w:val="0094769A"/>
    <w:rsid w:val="00947BBA"/>
    <w:rsid w:val="00950C59"/>
    <w:rsid w:val="009516D8"/>
    <w:rsid w:val="00955CFE"/>
    <w:rsid w:val="00956343"/>
    <w:rsid w:val="0095762C"/>
    <w:rsid w:val="009624FF"/>
    <w:rsid w:val="00963084"/>
    <w:rsid w:val="009637BC"/>
    <w:rsid w:val="00964DB2"/>
    <w:rsid w:val="00965625"/>
    <w:rsid w:val="00967E81"/>
    <w:rsid w:val="009712D4"/>
    <w:rsid w:val="00971DBD"/>
    <w:rsid w:val="00973096"/>
    <w:rsid w:val="009770EC"/>
    <w:rsid w:val="00980668"/>
    <w:rsid w:val="00981A1C"/>
    <w:rsid w:val="00981D40"/>
    <w:rsid w:val="009843C6"/>
    <w:rsid w:val="00985148"/>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2E77"/>
    <w:rsid w:val="009C2F47"/>
    <w:rsid w:val="009C370B"/>
    <w:rsid w:val="009C4F77"/>
    <w:rsid w:val="009C5C4C"/>
    <w:rsid w:val="009C7505"/>
    <w:rsid w:val="009D18C3"/>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58C8"/>
    <w:rsid w:val="009E5CAC"/>
    <w:rsid w:val="009E7A9E"/>
    <w:rsid w:val="009F0005"/>
    <w:rsid w:val="009F1067"/>
    <w:rsid w:val="009F38AC"/>
    <w:rsid w:val="009F43DD"/>
    <w:rsid w:val="009F5C3C"/>
    <w:rsid w:val="009F6698"/>
    <w:rsid w:val="009F6C1F"/>
    <w:rsid w:val="009F6F54"/>
    <w:rsid w:val="009F76C1"/>
    <w:rsid w:val="009F79BC"/>
    <w:rsid w:val="00A006F4"/>
    <w:rsid w:val="00A00E19"/>
    <w:rsid w:val="00A03A21"/>
    <w:rsid w:val="00A0449F"/>
    <w:rsid w:val="00A06E24"/>
    <w:rsid w:val="00A10AC1"/>
    <w:rsid w:val="00A11702"/>
    <w:rsid w:val="00A125B2"/>
    <w:rsid w:val="00A13467"/>
    <w:rsid w:val="00A142E6"/>
    <w:rsid w:val="00A16428"/>
    <w:rsid w:val="00A20976"/>
    <w:rsid w:val="00A20FBD"/>
    <w:rsid w:val="00A219B1"/>
    <w:rsid w:val="00A226C6"/>
    <w:rsid w:val="00A22A2F"/>
    <w:rsid w:val="00A22C68"/>
    <w:rsid w:val="00A235C0"/>
    <w:rsid w:val="00A25196"/>
    <w:rsid w:val="00A2688F"/>
    <w:rsid w:val="00A3025B"/>
    <w:rsid w:val="00A32038"/>
    <w:rsid w:val="00A32043"/>
    <w:rsid w:val="00A32192"/>
    <w:rsid w:val="00A32E8C"/>
    <w:rsid w:val="00A35AD7"/>
    <w:rsid w:val="00A3714B"/>
    <w:rsid w:val="00A37402"/>
    <w:rsid w:val="00A402A9"/>
    <w:rsid w:val="00A415E8"/>
    <w:rsid w:val="00A41CC6"/>
    <w:rsid w:val="00A4240B"/>
    <w:rsid w:val="00A428EC"/>
    <w:rsid w:val="00A4420D"/>
    <w:rsid w:val="00A46423"/>
    <w:rsid w:val="00A47B2B"/>
    <w:rsid w:val="00A50C5A"/>
    <w:rsid w:val="00A50EC2"/>
    <w:rsid w:val="00A5202B"/>
    <w:rsid w:val="00A53006"/>
    <w:rsid w:val="00A541CE"/>
    <w:rsid w:val="00A54CAE"/>
    <w:rsid w:val="00A5503D"/>
    <w:rsid w:val="00A55BA4"/>
    <w:rsid w:val="00A61703"/>
    <w:rsid w:val="00A6692B"/>
    <w:rsid w:val="00A66EC1"/>
    <w:rsid w:val="00A67932"/>
    <w:rsid w:val="00A72217"/>
    <w:rsid w:val="00A7389D"/>
    <w:rsid w:val="00A73F2A"/>
    <w:rsid w:val="00A740F3"/>
    <w:rsid w:val="00A757AC"/>
    <w:rsid w:val="00A75813"/>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A1D"/>
    <w:rsid w:val="00AB1FDA"/>
    <w:rsid w:val="00AB35A0"/>
    <w:rsid w:val="00AB37C1"/>
    <w:rsid w:val="00AB3C6F"/>
    <w:rsid w:val="00AB63D6"/>
    <w:rsid w:val="00AC0317"/>
    <w:rsid w:val="00AC14DA"/>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48E7"/>
    <w:rsid w:val="00B1588D"/>
    <w:rsid w:val="00B17C8D"/>
    <w:rsid w:val="00B21779"/>
    <w:rsid w:val="00B21C35"/>
    <w:rsid w:val="00B222FE"/>
    <w:rsid w:val="00B22A0E"/>
    <w:rsid w:val="00B24071"/>
    <w:rsid w:val="00B240D1"/>
    <w:rsid w:val="00B240F0"/>
    <w:rsid w:val="00B243B9"/>
    <w:rsid w:val="00B254F9"/>
    <w:rsid w:val="00B256B7"/>
    <w:rsid w:val="00B2671E"/>
    <w:rsid w:val="00B26DA4"/>
    <w:rsid w:val="00B27DD9"/>
    <w:rsid w:val="00B31981"/>
    <w:rsid w:val="00B31BE0"/>
    <w:rsid w:val="00B32D68"/>
    <w:rsid w:val="00B33A6E"/>
    <w:rsid w:val="00B34AA6"/>
    <w:rsid w:val="00B34C06"/>
    <w:rsid w:val="00B365B3"/>
    <w:rsid w:val="00B37CAF"/>
    <w:rsid w:val="00B41BF2"/>
    <w:rsid w:val="00B440E1"/>
    <w:rsid w:val="00B45C80"/>
    <w:rsid w:val="00B45DF8"/>
    <w:rsid w:val="00B4727F"/>
    <w:rsid w:val="00B477CD"/>
    <w:rsid w:val="00B51348"/>
    <w:rsid w:val="00B51B5A"/>
    <w:rsid w:val="00B5306B"/>
    <w:rsid w:val="00B5526A"/>
    <w:rsid w:val="00B56305"/>
    <w:rsid w:val="00B56FCB"/>
    <w:rsid w:val="00B573CF"/>
    <w:rsid w:val="00B609C8"/>
    <w:rsid w:val="00B61196"/>
    <w:rsid w:val="00B6299C"/>
    <w:rsid w:val="00B63B8E"/>
    <w:rsid w:val="00B64789"/>
    <w:rsid w:val="00B64C96"/>
    <w:rsid w:val="00B65CBE"/>
    <w:rsid w:val="00B67C45"/>
    <w:rsid w:val="00B70169"/>
    <w:rsid w:val="00B7054D"/>
    <w:rsid w:val="00B707D3"/>
    <w:rsid w:val="00B718C2"/>
    <w:rsid w:val="00B73FFC"/>
    <w:rsid w:val="00B7467D"/>
    <w:rsid w:val="00B760ED"/>
    <w:rsid w:val="00B778AF"/>
    <w:rsid w:val="00B80B17"/>
    <w:rsid w:val="00B80C72"/>
    <w:rsid w:val="00B82665"/>
    <w:rsid w:val="00B82FE4"/>
    <w:rsid w:val="00B8660A"/>
    <w:rsid w:val="00B903E7"/>
    <w:rsid w:val="00B90953"/>
    <w:rsid w:val="00B90B2E"/>
    <w:rsid w:val="00B90DCE"/>
    <w:rsid w:val="00B9140C"/>
    <w:rsid w:val="00B91985"/>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601F"/>
    <w:rsid w:val="00BE755E"/>
    <w:rsid w:val="00BE78C7"/>
    <w:rsid w:val="00BE7C05"/>
    <w:rsid w:val="00BF2B97"/>
    <w:rsid w:val="00BF3AF0"/>
    <w:rsid w:val="00BF542D"/>
    <w:rsid w:val="00BF6260"/>
    <w:rsid w:val="00BF765D"/>
    <w:rsid w:val="00BF779F"/>
    <w:rsid w:val="00BF7FCB"/>
    <w:rsid w:val="00C0011B"/>
    <w:rsid w:val="00C0146D"/>
    <w:rsid w:val="00C01FBC"/>
    <w:rsid w:val="00C02503"/>
    <w:rsid w:val="00C02C42"/>
    <w:rsid w:val="00C02F9B"/>
    <w:rsid w:val="00C03C9A"/>
    <w:rsid w:val="00C049B1"/>
    <w:rsid w:val="00C04F83"/>
    <w:rsid w:val="00C0589B"/>
    <w:rsid w:val="00C065E0"/>
    <w:rsid w:val="00C10835"/>
    <w:rsid w:val="00C11184"/>
    <w:rsid w:val="00C11C7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63C0"/>
    <w:rsid w:val="00CB6C1B"/>
    <w:rsid w:val="00CB7AF8"/>
    <w:rsid w:val="00CC1263"/>
    <w:rsid w:val="00CC1A9F"/>
    <w:rsid w:val="00CC1D13"/>
    <w:rsid w:val="00CC3100"/>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59B5"/>
    <w:rsid w:val="00D46DDB"/>
    <w:rsid w:val="00D507DB"/>
    <w:rsid w:val="00D51A67"/>
    <w:rsid w:val="00D51BCF"/>
    <w:rsid w:val="00D51C4F"/>
    <w:rsid w:val="00D52B36"/>
    <w:rsid w:val="00D55201"/>
    <w:rsid w:val="00D55236"/>
    <w:rsid w:val="00D55FA6"/>
    <w:rsid w:val="00D5775E"/>
    <w:rsid w:val="00D57E5E"/>
    <w:rsid w:val="00D606EA"/>
    <w:rsid w:val="00D60F8F"/>
    <w:rsid w:val="00D625D4"/>
    <w:rsid w:val="00D62E38"/>
    <w:rsid w:val="00D62F77"/>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394"/>
    <w:rsid w:val="00DA4F80"/>
    <w:rsid w:val="00DA5780"/>
    <w:rsid w:val="00DA59B5"/>
    <w:rsid w:val="00DA6358"/>
    <w:rsid w:val="00DA6AF6"/>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D1E06"/>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20CE"/>
    <w:rsid w:val="00E53B5C"/>
    <w:rsid w:val="00E53BAD"/>
    <w:rsid w:val="00E54C43"/>
    <w:rsid w:val="00E54E91"/>
    <w:rsid w:val="00E553A5"/>
    <w:rsid w:val="00E61396"/>
    <w:rsid w:val="00E6143F"/>
    <w:rsid w:val="00E6165B"/>
    <w:rsid w:val="00E63CBB"/>
    <w:rsid w:val="00E64A24"/>
    <w:rsid w:val="00E64C82"/>
    <w:rsid w:val="00E659BE"/>
    <w:rsid w:val="00E71240"/>
    <w:rsid w:val="00E71A0A"/>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38AE"/>
    <w:rsid w:val="00E939A6"/>
    <w:rsid w:val="00E94683"/>
    <w:rsid w:val="00E958C2"/>
    <w:rsid w:val="00E95B3B"/>
    <w:rsid w:val="00E96210"/>
    <w:rsid w:val="00E96EBD"/>
    <w:rsid w:val="00EA1CDC"/>
    <w:rsid w:val="00EA1D83"/>
    <w:rsid w:val="00EA3B6F"/>
    <w:rsid w:val="00EA49BB"/>
    <w:rsid w:val="00EA4B71"/>
    <w:rsid w:val="00EA6501"/>
    <w:rsid w:val="00EA6633"/>
    <w:rsid w:val="00EA6ED0"/>
    <w:rsid w:val="00EA74CA"/>
    <w:rsid w:val="00EA786E"/>
    <w:rsid w:val="00EA7924"/>
    <w:rsid w:val="00EB067F"/>
    <w:rsid w:val="00EB0D8E"/>
    <w:rsid w:val="00EB1FA1"/>
    <w:rsid w:val="00EB21D8"/>
    <w:rsid w:val="00EB280D"/>
    <w:rsid w:val="00EB33AC"/>
    <w:rsid w:val="00EB39ED"/>
    <w:rsid w:val="00EB3A2D"/>
    <w:rsid w:val="00EB4931"/>
    <w:rsid w:val="00EB60A1"/>
    <w:rsid w:val="00EB76F7"/>
    <w:rsid w:val="00EB7BD6"/>
    <w:rsid w:val="00EC0544"/>
    <w:rsid w:val="00EC0978"/>
    <w:rsid w:val="00EC31E7"/>
    <w:rsid w:val="00EC420A"/>
    <w:rsid w:val="00EC4495"/>
    <w:rsid w:val="00EC4891"/>
    <w:rsid w:val="00EC5AC6"/>
    <w:rsid w:val="00EC6651"/>
    <w:rsid w:val="00EC6BF6"/>
    <w:rsid w:val="00ED06BC"/>
    <w:rsid w:val="00ED2174"/>
    <w:rsid w:val="00ED5432"/>
    <w:rsid w:val="00ED54E4"/>
    <w:rsid w:val="00ED6403"/>
    <w:rsid w:val="00ED6947"/>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59B7"/>
    <w:rsid w:val="00F069ED"/>
    <w:rsid w:val="00F076A8"/>
    <w:rsid w:val="00F07D04"/>
    <w:rsid w:val="00F1025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52A"/>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AAC"/>
    <w:rsid w:val="00F67ABD"/>
    <w:rsid w:val="00F710CF"/>
    <w:rsid w:val="00F72C2A"/>
    <w:rsid w:val="00F76090"/>
    <w:rsid w:val="00F76912"/>
    <w:rsid w:val="00F76DBF"/>
    <w:rsid w:val="00F80569"/>
    <w:rsid w:val="00F80AB6"/>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23E3"/>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B02DAF"/>
  <w15:chartTrackingRefBased/>
  <w15:docId w15:val="{5E1B8D7C-B93C-4BAD-9759-4B080DBD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2.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E71FCB-41C7-4C4D-8667-990A3D33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39</Pages>
  <Words>7592</Words>
  <Characters>52392</Characters>
  <Application>Microsoft Office Word</Application>
  <DocSecurity>0</DocSecurity>
  <Lines>436</Lines>
  <Paragraphs>119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Juhász Katalin</cp:lastModifiedBy>
  <cp:revision>3</cp:revision>
  <cp:lastPrinted>2019-07-12T05:33:00Z</cp:lastPrinted>
  <dcterms:created xsi:type="dcterms:W3CDTF">2023-03-03T10:00:00Z</dcterms:created>
  <dcterms:modified xsi:type="dcterms:W3CDTF">2024-03-27T08:09:00Z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