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67B2" w14:textId="5E03F076" w:rsidR="0036484D" w:rsidRPr="005C7B5E" w:rsidRDefault="0036484D" w:rsidP="00DD3C58">
      <w:pPr>
        <w:spacing w:after="240" w:line="240" w:lineRule="auto"/>
        <w:rPr>
          <w:rFonts w:cs="Calibri"/>
          <w:b/>
        </w:rPr>
      </w:pPr>
      <w:r w:rsidRPr="005C7B5E">
        <w:rPr>
          <w:rFonts w:cs="Calibri"/>
          <w:b/>
          <w:bCs/>
          <w:lang w:val="fr-FR"/>
        </w:rPr>
        <w:t>MNB identification code: M06</w:t>
      </w:r>
    </w:p>
    <w:p w14:paraId="7C842A2E" w14:textId="77777777" w:rsidR="00737651" w:rsidRPr="005C7B5E" w:rsidRDefault="00737651" w:rsidP="00737651">
      <w:pPr>
        <w:spacing w:line="240" w:lineRule="auto"/>
        <w:jc w:val="center"/>
        <w:rPr>
          <w:rFonts w:cs="Calibri"/>
          <w:b/>
        </w:rPr>
      </w:pPr>
    </w:p>
    <w:p w14:paraId="5A8808CE" w14:textId="5BCDAD74" w:rsidR="0036484D" w:rsidRPr="005C7B5E" w:rsidRDefault="0036484D" w:rsidP="00DD3C58">
      <w:pPr>
        <w:spacing w:after="0" w:line="240" w:lineRule="auto"/>
        <w:jc w:val="center"/>
        <w:rPr>
          <w:rFonts w:cs="Calibri"/>
          <w:b/>
        </w:rPr>
      </w:pPr>
      <w:proofErr w:type="spellStart"/>
      <w:r w:rsidRPr="005C7B5E">
        <w:rPr>
          <w:rFonts w:cs="Calibri"/>
          <w:b/>
          <w:bCs/>
          <w:lang w:val="fr-FR"/>
        </w:rPr>
        <w:t>Completion</w:t>
      </w:r>
      <w:proofErr w:type="spellEnd"/>
      <w:r w:rsidRPr="005C7B5E">
        <w:rPr>
          <w:rFonts w:cs="Calibri"/>
          <w:b/>
          <w:bCs/>
          <w:lang w:val="fr-FR"/>
        </w:rPr>
        <w:t xml:space="preserve"> instructions</w:t>
      </w:r>
    </w:p>
    <w:p w14:paraId="2FC6AB77" w14:textId="3D894289" w:rsidR="0036484D" w:rsidRPr="005C7B5E" w:rsidRDefault="001649DC" w:rsidP="00DD3C58">
      <w:pPr>
        <w:spacing w:after="240" w:line="240" w:lineRule="auto"/>
        <w:jc w:val="center"/>
        <w:rPr>
          <w:rFonts w:cs="Calibri"/>
          <w:b/>
        </w:rPr>
      </w:pPr>
      <w:r w:rsidRPr="005C7B5E">
        <w:rPr>
          <w:rFonts w:cs="Calibri"/>
          <w:b/>
          <w:bCs/>
          <w:lang w:val="en"/>
        </w:rPr>
        <w:t xml:space="preserve">Rows subject to reserve requirements in the statistical balance sheets of credit institutions, and cash </w:t>
      </w:r>
      <w:r w:rsidR="00150852">
        <w:rPr>
          <w:rFonts w:cs="Calibri"/>
          <w:b/>
          <w:bCs/>
          <w:lang w:val="en"/>
        </w:rPr>
        <w:t>deposit</w:t>
      </w:r>
      <w:r w:rsidRPr="005C7B5E">
        <w:rPr>
          <w:rFonts w:cs="Calibri"/>
          <w:b/>
          <w:bCs/>
          <w:lang w:val="en"/>
        </w:rPr>
        <w:t xml:space="preserve"> amounts for securities l</w:t>
      </w:r>
      <w:r w:rsidR="00150852">
        <w:rPr>
          <w:rFonts w:cs="Calibri"/>
          <w:b/>
          <w:bCs/>
          <w:lang w:val="en"/>
        </w:rPr>
        <w:t>oan</w:t>
      </w:r>
      <w:r w:rsidR="005F3FB6">
        <w:rPr>
          <w:rFonts w:cs="Calibri"/>
          <w:b/>
          <w:bCs/>
          <w:lang w:val="en"/>
        </w:rPr>
        <w:t>s</w:t>
      </w:r>
      <w:r w:rsidRPr="005C7B5E">
        <w:rPr>
          <w:rFonts w:cs="Calibri"/>
          <w:b/>
          <w:bCs/>
          <w:lang w:val="en"/>
        </w:rPr>
        <w:t xml:space="preserve"> – end-of-day balances</w:t>
      </w:r>
    </w:p>
    <w:p w14:paraId="08F81370" w14:textId="6479AEA6" w:rsidR="00C4470A" w:rsidRPr="005C7B5E" w:rsidRDefault="00C4470A" w:rsidP="00737651">
      <w:pPr>
        <w:tabs>
          <w:tab w:val="left" w:pos="664"/>
        </w:tabs>
        <w:spacing w:after="0" w:line="240" w:lineRule="auto"/>
        <w:rPr>
          <w:rFonts w:cs="Calibri"/>
          <w:b/>
        </w:rPr>
      </w:pPr>
    </w:p>
    <w:p w14:paraId="1F8D4113" w14:textId="77777777" w:rsidR="00C4470A" w:rsidRPr="005C7B5E" w:rsidRDefault="00C4470A" w:rsidP="00873F44">
      <w:pPr>
        <w:spacing w:before="240" w:after="120" w:line="240" w:lineRule="auto"/>
        <w:rPr>
          <w:rFonts w:cs="Calibri"/>
          <w:b/>
        </w:rPr>
      </w:pPr>
      <w:r w:rsidRPr="005C7B5E">
        <w:rPr>
          <w:rFonts w:cs="Calibri"/>
          <w:b/>
          <w:bCs/>
          <w:lang w:val="en"/>
        </w:rPr>
        <w:t>I. General instructions</w:t>
      </w:r>
    </w:p>
    <w:p w14:paraId="47415BDC" w14:textId="20B3DC18" w:rsidR="00C4470A" w:rsidRPr="005C7B5E" w:rsidRDefault="00353ED5" w:rsidP="00FD5A8E">
      <w:pPr>
        <w:spacing w:after="120" w:line="240" w:lineRule="auto"/>
        <w:rPr>
          <w:rFonts w:cs="Calibri"/>
          <w:bCs/>
        </w:rPr>
      </w:pPr>
      <w:r w:rsidRPr="005C7B5E">
        <w:rPr>
          <w:rFonts w:cs="Calibri"/>
          <w:lang w:val="en"/>
        </w:rPr>
        <w:t xml:space="preserve">1. Starting from Column 01 of the table, the end-of-day closing balance amounts shall be stated in as many columns as there are calendar days in the subject month of the report. A value of “n/a” shall be entered in the columns with sequence numbers higher than the number of calendar days in the subject month. </w:t>
      </w:r>
    </w:p>
    <w:p w14:paraId="48E4466D" w14:textId="77CBB23C" w:rsidR="00C4470A" w:rsidRPr="005C7B5E" w:rsidRDefault="00353ED5" w:rsidP="00FD5A8E">
      <w:pPr>
        <w:spacing w:after="120" w:line="240" w:lineRule="auto"/>
        <w:rPr>
          <w:rFonts w:cs="Calibri"/>
          <w:bCs/>
        </w:rPr>
      </w:pPr>
      <w:r w:rsidRPr="005C7B5E">
        <w:rPr>
          <w:rFonts w:cs="Calibri"/>
          <w:lang w:val="en"/>
        </w:rPr>
        <w:t>2. The value in the „Monthly average balances” column shall be calculated as the arithmetic mean of the end-of-day closing balances on the calendar days in the subject month of the report.</w:t>
      </w:r>
    </w:p>
    <w:p w14:paraId="63508B38" w14:textId="0A1B7562" w:rsidR="00C4470A" w:rsidRPr="005C7B5E" w:rsidRDefault="00C4470A" w:rsidP="00737651">
      <w:pPr>
        <w:pStyle w:val="Szvegtrzs2"/>
        <w:numPr>
          <w:ilvl w:val="0"/>
          <w:numId w:val="21"/>
        </w:numPr>
        <w:tabs>
          <w:tab w:val="num" w:pos="360"/>
        </w:tabs>
        <w:spacing w:before="240" w:after="240"/>
        <w:ind w:left="284" w:hanging="284"/>
        <w:rPr>
          <w:rFonts w:ascii="Calibri" w:hAnsi="Calibri" w:cs="Calibri"/>
          <w:b/>
          <w:sz w:val="22"/>
        </w:rPr>
      </w:pPr>
      <w:r w:rsidRPr="005C7B5E">
        <w:rPr>
          <w:rFonts w:ascii="Calibri" w:hAnsi="Calibri" w:cs="Calibri"/>
          <w:b/>
          <w:bCs/>
          <w:sz w:val="22"/>
          <w:lang w:val="en"/>
        </w:rPr>
        <w:t>Detailed instructions for the completion of the table</w:t>
      </w:r>
    </w:p>
    <w:p w14:paraId="4C191AA2" w14:textId="6EB1BB44" w:rsidR="00B944EB" w:rsidRPr="005C7B5E" w:rsidRDefault="00E85656" w:rsidP="00DD3C58">
      <w:pPr>
        <w:spacing w:line="240" w:lineRule="auto"/>
        <w:rPr>
          <w:rFonts w:cs="Calibri"/>
          <w:b/>
        </w:rPr>
      </w:pPr>
      <w:r w:rsidRPr="005C7B5E">
        <w:rPr>
          <w:rFonts w:cs="Calibri"/>
          <w:b/>
          <w:bCs/>
          <w:lang w:val="en"/>
        </w:rPr>
        <w:t xml:space="preserve">Table 01: Rows subject to reserve requirements in the statistical balance sheets of credit institutions, and cash </w:t>
      </w:r>
      <w:r w:rsidR="00150852">
        <w:rPr>
          <w:rFonts w:cs="Calibri"/>
          <w:b/>
          <w:bCs/>
          <w:lang w:val="en"/>
        </w:rPr>
        <w:t>deposit</w:t>
      </w:r>
      <w:r w:rsidRPr="005C7B5E">
        <w:rPr>
          <w:rFonts w:cs="Calibri"/>
          <w:b/>
          <w:bCs/>
          <w:lang w:val="en"/>
        </w:rPr>
        <w:t xml:space="preserve"> amounts for securities </w:t>
      </w:r>
      <w:proofErr w:type="gramStart"/>
      <w:r w:rsidRPr="005C7B5E">
        <w:rPr>
          <w:rFonts w:cs="Calibri"/>
          <w:b/>
          <w:bCs/>
          <w:lang w:val="en"/>
        </w:rPr>
        <w:t>l</w:t>
      </w:r>
      <w:r w:rsidR="00150852">
        <w:rPr>
          <w:rFonts w:cs="Calibri"/>
          <w:b/>
          <w:bCs/>
          <w:lang w:val="en"/>
        </w:rPr>
        <w:t>oans</w:t>
      </w:r>
      <w:r w:rsidR="005F3FB6">
        <w:rPr>
          <w:rFonts w:cs="Calibri"/>
          <w:b/>
          <w:bCs/>
          <w:lang w:val="en"/>
        </w:rPr>
        <w:t xml:space="preserve"> </w:t>
      </w:r>
      <w:r w:rsidRPr="005C7B5E">
        <w:rPr>
          <w:rFonts w:cs="Calibri"/>
          <w:b/>
          <w:bCs/>
          <w:lang w:val="en"/>
        </w:rPr>
        <w:t xml:space="preserve"> –</w:t>
      </w:r>
      <w:proofErr w:type="gramEnd"/>
      <w:r w:rsidRPr="005C7B5E">
        <w:rPr>
          <w:rFonts w:cs="Calibri"/>
          <w:b/>
          <w:bCs/>
          <w:lang w:val="en"/>
        </w:rPr>
        <w:t xml:space="preserve"> end-of-day balances</w:t>
      </w:r>
    </w:p>
    <w:p w14:paraId="0966D29A" w14:textId="5B6B39CA" w:rsidR="00001653" w:rsidRPr="005C7B5E" w:rsidRDefault="00001653" w:rsidP="00DD3C58">
      <w:pPr>
        <w:spacing w:line="240" w:lineRule="auto"/>
        <w:rPr>
          <w:rFonts w:cs="Calibri"/>
          <w:b/>
        </w:rPr>
      </w:pPr>
      <w:r w:rsidRPr="005C7B5E">
        <w:rPr>
          <w:rFonts w:cs="Calibri"/>
          <w:b/>
          <w:bCs/>
          <w:lang w:val="en"/>
        </w:rPr>
        <w:t>Rows 1–113</w:t>
      </w:r>
    </w:p>
    <w:p w14:paraId="1EDFBD5B" w14:textId="3CFE4E85" w:rsidR="00B41BBE" w:rsidRPr="005C7B5E" w:rsidRDefault="008A14EB" w:rsidP="00FD5A8E">
      <w:pPr>
        <w:spacing w:after="120" w:line="240" w:lineRule="auto"/>
        <w:rPr>
          <w:rFonts w:cs="Calibri"/>
          <w:bCs/>
        </w:rPr>
      </w:pPr>
      <w:r w:rsidRPr="005C7B5E">
        <w:rPr>
          <w:rFonts w:cs="Calibri"/>
          <w:lang w:val="en"/>
        </w:rPr>
        <w:t xml:space="preserve">When determining the balances to be reported in Rows 1–113 of the table, the completion instructions of “The statistical balance sheet and </w:t>
      </w:r>
      <w:proofErr w:type="spellStart"/>
      <w:r w:rsidRPr="005C7B5E">
        <w:rPr>
          <w:rFonts w:cs="Calibri"/>
          <w:lang w:val="en"/>
        </w:rPr>
        <w:t>profit&amp;loss</w:t>
      </w:r>
      <w:proofErr w:type="spellEnd"/>
      <w:r w:rsidRPr="005C7B5E">
        <w:rPr>
          <w:rFonts w:cs="Calibri"/>
          <w:lang w:val="en"/>
        </w:rPr>
        <w:t xml:space="preserve"> account of credit institutions” (MNB code: M01; hereinafter: Report with MNB Code M01) and the additional provisions herein shall be followed.</w:t>
      </w:r>
    </w:p>
    <w:p w14:paraId="11482AC1" w14:textId="295CDD03" w:rsidR="00001653" w:rsidRPr="005C7B5E" w:rsidRDefault="00B41BBE" w:rsidP="00FD5A8E">
      <w:pPr>
        <w:spacing w:after="120" w:line="240" w:lineRule="auto"/>
        <w:rPr>
          <w:rFonts w:cs="Calibri"/>
          <w:bCs/>
        </w:rPr>
      </w:pPr>
      <w:r w:rsidRPr="005C7B5E">
        <w:rPr>
          <w:rFonts w:cs="Calibri"/>
          <w:lang w:val="en"/>
        </w:rPr>
        <w:t>Liabilities shall be reported as gross figures not including accumulated interest (at capital value). The balances reported in the table shall reflect the statuses as of the settlement dates of the transactions as opposed to their trade dates.</w:t>
      </w:r>
    </w:p>
    <w:p w14:paraId="261F3430" w14:textId="21991524" w:rsidR="00B41BBE" w:rsidRPr="005C7B5E" w:rsidRDefault="00030A79" w:rsidP="00FD5A8E">
      <w:pPr>
        <w:spacing w:after="120" w:line="240" w:lineRule="auto"/>
        <w:rPr>
          <w:rFonts w:cs="Calibri"/>
          <w:bCs/>
        </w:rPr>
      </w:pPr>
      <w:r w:rsidRPr="005C7B5E">
        <w:rPr>
          <w:rFonts w:cs="Calibri"/>
          <w:lang w:val="en"/>
        </w:rPr>
        <w:t>The data reported in a particular row shall match the data reported in the row of the same description in Table 01 of the Report with MNB Code M01.</w:t>
      </w:r>
    </w:p>
    <w:p w14:paraId="1DD3DFB0" w14:textId="18C11516" w:rsidR="00BF070F" w:rsidRPr="005C7B5E" w:rsidRDefault="00BF070F" w:rsidP="00FD5A8E">
      <w:pPr>
        <w:spacing w:after="120" w:line="240" w:lineRule="auto"/>
        <w:rPr>
          <w:rFonts w:cs="Calibri"/>
          <w:bCs/>
        </w:rPr>
      </w:pPr>
      <w:r w:rsidRPr="005C7B5E">
        <w:rPr>
          <w:rFonts w:cs="Calibri"/>
          <w:lang w:val="en"/>
        </w:rPr>
        <w:t xml:space="preserve">Until such time as the final amount of the required reserves is calculated in accordance with the MNB Decree on the Calculation, Method of Allocation and Placement of Required Reserves (hereinafter: Required Reserve Decree), it shall be ensured that the end-of-day closing balance figures match those in the rows with the same descriptions in Table 01 of the Report with MNB Code M01 covering the same subject period. </w:t>
      </w:r>
    </w:p>
    <w:p w14:paraId="7AE7BCD7" w14:textId="7DB39C2E" w:rsidR="00BB41DE" w:rsidRPr="005C7B5E" w:rsidRDefault="00BB41DE" w:rsidP="00DD3C58">
      <w:pPr>
        <w:spacing w:after="0" w:line="240" w:lineRule="auto"/>
        <w:rPr>
          <w:rFonts w:cs="Calibri"/>
          <w:bCs/>
        </w:rPr>
      </w:pPr>
    </w:p>
    <w:p w14:paraId="0B999384" w14:textId="559B1897" w:rsidR="00030A79" w:rsidRPr="005C7B5E" w:rsidRDefault="00001653" w:rsidP="00873F44">
      <w:pPr>
        <w:spacing w:line="240" w:lineRule="auto"/>
        <w:rPr>
          <w:rFonts w:cs="Calibri"/>
          <w:b/>
        </w:rPr>
      </w:pPr>
      <w:r w:rsidRPr="005C7B5E">
        <w:rPr>
          <w:rFonts w:cs="Calibri"/>
          <w:b/>
          <w:bCs/>
          <w:lang w:val="en"/>
        </w:rPr>
        <w:t xml:space="preserve">Row 114 </w:t>
      </w:r>
    </w:p>
    <w:p w14:paraId="7E107C59" w14:textId="336A21A1" w:rsidR="00351909" w:rsidRPr="005C7B5E" w:rsidRDefault="00351909" w:rsidP="00351909">
      <w:pPr>
        <w:spacing w:after="120"/>
        <w:rPr>
          <w:rFonts w:eastAsia="Calibri" w:cs="Calibri"/>
          <w:bCs/>
        </w:rPr>
      </w:pPr>
      <w:r w:rsidRPr="005C7B5E">
        <w:rPr>
          <w:rFonts w:eastAsia="Calibri" w:cs="Calibri"/>
          <w:lang w:val="en"/>
        </w:rPr>
        <w:t xml:space="preserve">The end-of-day balance to be shown in Row 114 shall be the </w:t>
      </w:r>
      <w:proofErr w:type="gramStart"/>
      <w:r w:rsidRPr="005C7B5E">
        <w:rPr>
          <w:rFonts w:eastAsia="Calibri" w:cs="Calibri"/>
          <w:lang w:val="en"/>
        </w:rPr>
        <w:t>sum total</w:t>
      </w:r>
      <w:proofErr w:type="gramEnd"/>
      <w:r w:rsidRPr="005C7B5E">
        <w:rPr>
          <w:rFonts w:eastAsia="Calibri" w:cs="Calibri"/>
          <w:lang w:val="en"/>
        </w:rPr>
        <w:t xml:space="preserve"> of the cash </w:t>
      </w:r>
      <w:r w:rsidR="00150852">
        <w:rPr>
          <w:rFonts w:eastAsia="Calibri" w:cs="Calibri"/>
          <w:lang w:val="en"/>
        </w:rPr>
        <w:t>deposit</w:t>
      </w:r>
      <w:r w:rsidRPr="005C7B5E">
        <w:rPr>
          <w:rFonts w:eastAsia="Calibri" w:cs="Calibri"/>
          <w:lang w:val="en"/>
        </w:rPr>
        <w:t xml:space="preserve"> outstanding at the end of the day relating to transactions as per the scenarios a)–c) below.</w:t>
      </w:r>
    </w:p>
    <w:p w14:paraId="1D614481" w14:textId="0998F622" w:rsidR="008D39B2" w:rsidRPr="005C7B5E" w:rsidRDefault="0049593A" w:rsidP="00FD5A8E">
      <w:pPr>
        <w:spacing w:after="120" w:line="240" w:lineRule="auto"/>
        <w:rPr>
          <w:rFonts w:cs="Calibri"/>
          <w:bCs/>
        </w:rPr>
      </w:pPr>
      <w:r w:rsidRPr="005C7B5E">
        <w:rPr>
          <w:rFonts w:cs="Calibri"/>
          <w:lang w:val="en"/>
        </w:rPr>
        <w:t xml:space="preserve">In scenarios a) and b), the amount of cash </w:t>
      </w:r>
      <w:r w:rsidR="00150852">
        <w:rPr>
          <w:rFonts w:cs="Calibri"/>
          <w:lang w:val="en"/>
        </w:rPr>
        <w:t>deposit</w:t>
      </w:r>
      <w:r w:rsidRPr="005C7B5E">
        <w:rPr>
          <w:rFonts w:cs="Calibri"/>
          <w:lang w:val="en"/>
        </w:rPr>
        <w:t xml:space="preserve"> reported in Table 01 of the “Daily report of repo and repo-type transactions” (MNB code: E65; hereinafter: Report with MNB Code E65), as related to transactions in the following scenarios, shall be calculated as follows.</w:t>
      </w:r>
    </w:p>
    <w:p w14:paraId="52A06058" w14:textId="33C9A665" w:rsidR="00161DC8" w:rsidRPr="005C7B5E" w:rsidRDefault="003466F4" w:rsidP="00873F44">
      <w:pPr>
        <w:spacing w:after="60" w:line="240" w:lineRule="auto"/>
        <w:rPr>
          <w:rFonts w:cs="Calibri"/>
          <w:bCs/>
        </w:rPr>
      </w:pPr>
      <w:r w:rsidRPr="005C7B5E">
        <w:rPr>
          <w:rFonts w:cs="Calibri"/>
          <w:lang w:val="en"/>
        </w:rPr>
        <w:t>a) If in Table 01 of Report with MNB Code E65</w:t>
      </w:r>
    </w:p>
    <w:p w14:paraId="11E39F8C" w14:textId="0C2B9060" w:rsidR="00161DC8" w:rsidRPr="005C7B5E" w:rsidRDefault="003466F4" w:rsidP="00DD3C58">
      <w:pPr>
        <w:spacing w:after="0" w:line="240" w:lineRule="auto"/>
        <w:ind w:left="284"/>
        <w:rPr>
          <w:rFonts w:cs="Calibri"/>
          <w:bCs/>
        </w:rPr>
      </w:pPr>
      <w:r w:rsidRPr="005C7B5E">
        <w:rPr>
          <w:rFonts w:cs="Calibri"/>
          <w:lang w:val="en"/>
        </w:rPr>
        <w:t>aa) the “</w:t>
      </w:r>
      <w:r w:rsidR="0067038A">
        <w:rPr>
          <w:rFonts w:cs="Calibri"/>
          <w:lang w:val="en"/>
        </w:rPr>
        <w:t>Type of t</w:t>
      </w:r>
      <w:r w:rsidRPr="005C7B5E">
        <w:rPr>
          <w:rFonts w:cs="Calibri"/>
          <w:lang w:val="en"/>
        </w:rPr>
        <w:t xml:space="preserve">ransaction” column takes a value of 3 (“Securities </w:t>
      </w:r>
      <w:r w:rsidR="005F3FB6">
        <w:rPr>
          <w:rFonts w:cs="Calibri"/>
          <w:lang w:val="en"/>
        </w:rPr>
        <w:t>loans</w:t>
      </w:r>
      <w:r w:rsidRPr="005C7B5E">
        <w:rPr>
          <w:rFonts w:cs="Calibri"/>
          <w:lang w:val="en"/>
        </w:rPr>
        <w:t xml:space="preserve"> against cash </w:t>
      </w:r>
      <w:r w:rsidR="00150852">
        <w:rPr>
          <w:rFonts w:cs="Calibri"/>
          <w:lang w:val="en"/>
        </w:rPr>
        <w:t>deposit</w:t>
      </w:r>
      <w:r w:rsidRPr="005C7B5E">
        <w:rPr>
          <w:rFonts w:cs="Calibri"/>
          <w:lang w:val="en"/>
        </w:rPr>
        <w:t xml:space="preserve">”), </w:t>
      </w:r>
    </w:p>
    <w:p w14:paraId="2D154A1D" w14:textId="44D4949A" w:rsidR="00161DC8" w:rsidRPr="005C7B5E" w:rsidRDefault="003466F4" w:rsidP="00DD3C58">
      <w:pPr>
        <w:spacing w:after="0" w:line="240" w:lineRule="auto"/>
        <w:ind w:left="284"/>
        <w:rPr>
          <w:rFonts w:cs="Calibri"/>
          <w:bCs/>
        </w:rPr>
      </w:pPr>
      <w:r w:rsidRPr="005C7B5E">
        <w:rPr>
          <w:rFonts w:cs="Calibri"/>
          <w:lang w:val="en"/>
        </w:rPr>
        <w:t>ab) the “Co</w:t>
      </w:r>
      <w:r w:rsidR="0067038A">
        <w:rPr>
          <w:rFonts w:cs="Calibri"/>
          <w:lang w:val="en"/>
        </w:rPr>
        <w:t xml:space="preserve">ntracting </w:t>
      </w:r>
      <w:proofErr w:type="spellStart"/>
      <w:r w:rsidRPr="005C7B5E">
        <w:rPr>
          <w:rFonts w:cs="Calibri"/>
          <w:lang w:val="en"/>
        </w:rPr>
        <w:t>parties_</w:t>
      </w:r>
      <w:r w:rsidR="0067038A">
        <w:rPr>
          <w:rFonts w:cs="Calibri"/>
          <w:lang w:val="en"/>
        </w:rPr>
        <w:t>Registration</w:t>
      </w:r>
      <w:proofErr w:type="spellEnd"/>
      <w:r w:rsidR="0067038A">
        <w:rPr>
          <w:rFonts w:cs="Calibri"/>
          <w:lang w:val="en"/>
        </w:rPr>
        <w:t xml:space="preserve"> number of Partner1</w:t>
      </w:r>
      <w:r w:rsidRPr="005C7B5E">
        <w:rPr>
          <w:rFonts w:cs="Calibri"/>
          <w:lang w:val="en"/>
        </w:rPr>
        <w:t xml:space="preserve">” column contains the </w:t>
      </w:r>
      <w:r w:rsidR="0067038A">
        <w:rPr>
          <w:rFonts w:cs="Calibri"/>
          <w:lang w:val="en"/>
        </w:rPr>
        <w:t>registration</w:t>
      </w:r>
      <w:r w:rsidRPr="005C7B5E">
        <w:rPr>
          <w:rFonts w:cs="Calibri"/>
          <w:lang w:val="en"/>
        </w:rPr>
        <w:t xml:space="preserve"> number of the reporting entity, </w:t>
      </w:r>
      <w:proofErr w:type="gramStart"/>
      <w:r w:rsidRPr="005C7B5E">
        <w:rPr>
          <w:rFonts w:cs="Calibri"/>
          <w:lang w:val="en"/>
        </w:rPr>
        <w:t>i.e.</w:t>
      </w:r>
      <w:proofErr w:type="gramEnd"/>
      <w:r w:rsidRPr="005C7B5E">
        <w:rPr>
          <w:rFonts w:cs="Calibri"/>
          <w:lang w:val="en"/>
        </w:rPr>
        <w:t xml:space="preserve"> the reporting entity is the </w:t>
      </w:r>
      <w:proofErr w:type="spellStart"/>
      <w:r w:rsidRPr="005C7B5E">
        <w:rPr>
          <w:rFonts w:cs="Calibri"/>
          <w:lang w:val="en"/>
        </w:rPr>
        <w:t>organisation</w:t>
      </w:r>
      <w:proofErr w:type="spellEnd"/>
      <w:r w:rsidRPr="005C7B5E">
        <w:rPr>
          <w:rFonts w:cs="Calibri"/>
          <w:lang w:val="en"/>
        </w:rPr>
        <w:t xml:space="preserve"> giving the securities, and </w:t>
      </w:r>
    </w:p>
    <w:p w14:paraId="01980530" w14:textId="34CE9AFA" w:rsidR="00B569D8" w:rsidRPr="005C7B5E" w:rsidRDefault="003466F4" w:rsidP="00DD3C58">
      <w:pPr>
        <w:spacing w:after="0" w:line="240" w:lineRule="auto"/>
        <w:ind w:left="284"/>
        <w:rPr>
          <w:rFonts w:cs="Calibri"/>
          <w:bCs/>
        </w:rPr>
      </w:pPr>
      <w:r w:rsidRPr="005C7B5E">
        <w:rPr>
          <w:rFonts w:cs="Calibri"/>
          <w:lang w:val="en"/>
        </w:rPr>
        <w:t>ac) the sector code reported in the „Co</w:t>
      </w:r>
      <w:r w:rsidR="0067038A">
        <w:rPr>
          <w:rFonts w:cs="Calibri"/>
          <w:lang w:val="en"/>
        </w:rPr>
        <w:t xml:space="preserve">ntracting </w:t>
      </w:r>
      <w:proofErr w:type="spellStart"/>
      <w:r w:rsidRPr="005C7B5E">
        <w:rPr>
          <w:rFonts w:cs="Calibri"/>
          <w:lang w:val="en"/>
        </w:rPr>
        <w:t>parties_</w:t>
      </w:r>
      <w:r w:rsidR="0067038A">
        <w:rPr>
          <w:rFonts w:cs="Calibri"/>
          <w:lang w:val="en"/>
        </w:rPr>
        <w:t>Sector</w:t>
      </w:r>
      <w:proofErr w:type="spellEnd"/>
      <w:r w:rsidR="0067038A">
        <w:rPr>
          <w:rFonts w:cs="Calibri"/>
          <w:lang w:val="en"/>
        </w:rPr>
        <w:t xml:space="preserve"> of </w:t>
      </w:r>
      <w:r w:rsidRPr="005C7B5E">
        <w:rPr>
          <w:rFonts w:cs="Calibri"/>
          <w:lang w:val="en"/>
        </w:rPr>
        <w:t xml:space="preserve">Partner2” column does not start with a C, </w:t>
      </w:r>
    </w:p>
    <w:p w14:paraId="2747452E" w14:textId="4D4584FE" w:rsidR="00B95D4D" w:rsidRPr="005C7B5E" w:rsidRDefault="00B569D8"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of the value reported in the “Quantity of securities in </w:t>
      </w:r>
      <w:proofErr w:type="spellStart"/>
      <w:r w:rsidRPr="005C7B5E">
        <w:rPr>
          <w:rFonts w:cs="Calibri"/>
          <w:lang w:val="en"/>
        </w:rPr>
        <w:t>transaction_</w:t>
      </w:r>
      <w:r w:rsidR="0067038A">
        <w:rPr>
          <w:rFonts w:cs="Calibri"/>
          <w:lang w:val="en"/>
        </w:rPr>
        <w:t>Size</w:t>
      </w:r>
      <w:proofErr w:type="spellEnd"/>
      <w:r w:rsidR="0067038A">
        <w:rPr>
          <w:rFonts w:cs="Calibri"/>
          <w:lang w:val="en"/>
        </w:rPr>
        <w:t xml:space="preserve"> of cash deposit for securities loans (thousand HUF)</w:t>
      </w:r>
      <w:r w:rsidRPr="005C7B5E">
        <w:rPr>
          <w:rFonts w:cs="Calibri"/>
          <w:lang w:val="en"/>
        </w:rPr>
        <w:t>” column.</w:t>
      </w:r>
    </w:p>
    <w:p w14:paraId="061A98AC" w14:textId="28E7641C" w:rsidR="00B569D8" w:rsidRPr="005C7B5E" w:rsidRDefault="007E0F55" w:rsidP="00873F44">
      <w:pPr>
        <w:spacing w:after="60" w:line="240" w:lineRule="auto"/>
        <w:rPr>
          <w:rFonts w:cs="Calibri"/>
          <w:bCs/>
        </w:rPr>
      </w:pPr>
      <w:r w:rsidRPr="005C7B5E">
        <w:rPr>
          <w:rFonts w:cs="Calibri"/>
          <w:lang w:val="en"/>
        </w:rPr>
        <w:t>b) If in Report with MNB Code E65</w:t>
      </w:r>
    </w:p>
    <w:p w14:paraId="455FA838" w14:textId="305C4474" w:rsidR="00B569D8" w:rsidRPr="005C7B5E" w:rsidRDefault="007E0F55" w:rsidP="00DD3C58">
      <w:pPr>
        <w:spacing w:after="0" w:line="240" w:lineRule="auto"/>
        <w:ind w:left="284"/>
        <w:rPr>
          <w:rFonts w:cs="Calibri"/>
          <w:bCs/>
        </w:rPr>
      </w:pPr>
      <w:proofErr w:type="spellStart"/>
      <w:r w:rsidRPr="005C7B5E">
        <w:rPr>
          <w:rFonts w:cs="Calibri"/>
          <w:lang w:val="en"/>
        </w:rPr>
        <w:t>ba</w:t>
      </w:r>
      <w:proofErr w:type="spellEnd"/>
      <w:r w:rsidRPr="005C7B5E">
        <w:rPr>
          <w:rFonts w:cs="Calibri"/>
          <w:lang w:val="en"/>
        </w:rPr>
        <w:t>) the “</w:t>
      </w:r>
      <w:r w:rsidR="0067038A">
        <w:rPr>
          <w:rFonts w:cs="Calibri"/>
          <w:lang w:val="en"/>
        </w:rPr>
        <w:t>Type of t</w:t>
      </w:r>
      <w:r w:rsidRPr="005C7B5E">
        <w:rPr>
          <w:rFonts w:cs="Calibri"/>
          <w:lang w:val="en"/>
        </w:rPr>
        <w:t>ransaction” column takes a value of 3 (“Securities l</w:t>
      </w:r>
      <w:r w:rsidR="005F3FB6">
        <w:rPr>
          <w:rFonts w:cs="Calibri"/>
          <w:lang w:val="en"/>
        </w:rPr>
        <w:t>oans</w:t>
      </w:r>
      <w:r w:rsidRPr="005C7B5E">
        <w:rPr>
          <w:rFonts w:cs="Calibri"/>
          <w:lang w:val="en"/>
        </w:rPr>
        <w:t xml:space="preserve"> against cash </w:t>
      </w:r>
      <w:r w:rsidR="00150852">
        <w:rPr>
          <w:rFonts w:cs="Calibri"/>
          <w:lang w:val="en"/>
        </w:rPr>
        <w:t>deposit</w:t>
      </w:r>
      <w:r w:rsidRPr="005C7B5E">
        <w:rPr>
          <w:rFonts w:cs="Calibri"/>
          <w:lang w:val="en"/>
        </w:rPr>
        <w:t xml:space="preserve">”), </w:t>
      </w:r>
    </w:p>
    <w:p w14:paraId="01C54CDB" w14:textId="46FCFFD9" w:rsidR="00B569D8" w:rsidRPr="005C7B5E" w:rsidRDefault="007E0F55" w:rsidP="00DD3C58">
      <w:pPr>
        <w:spacing w:after="0" w:line="240" w:lineRule="auto"/>
        <w:ind w:left="284"/>
        <w:rPr>
          <w:rFonts w:cs="Calibri"/>
          <w:bCs/>
        </w:rPr>
      </w:pPr>
      <w:r w:rsidRPr="005C7B5E">
        <w:rPr>
          <w:rFonts w:cs="Calibri"/>
          <w:lang w:val="en"/>
        </w:rPr>
        <w:lastRenderedPageBreak/>
        <w:t>bb) the “Co</w:t>
      </w:r>
      <w:r w:rsidR="0067038A">
        <w:rPr>
          <w:rFonts w:cs="Calibri"/>
          <w:lang w:val="en"/>
        </w:rPr>
        <w:t xml:space="preserve">ntracting </w:t>
      </w:r>
      <w:proofErr w:type="spellStart"/>
      <w:r w:rsidRPr="005C7B5E">
        <w:rPr>
          <w:rFonts w:cs="Calibri"/>
          <w:lang w:val="en"/>
        </w:rPr>
        <w:t>parties_</w:t>
      </w:r>
      <w:r w:rsidR="0067038A">
        <w:rPr>
          <w:rFonts w:cs="Calibri"/>
          <w:lang w:val="en"/>
        </w:rPr>
        <w:t>Registration</w:t>
      </w:r>
      <w:proofErr w:type="spellEnd"/>
      <w:r w:rsidR="0067038A">
        <w:rPr>
          <w:rFonts w:cs="Calibri"/>
          <w:lang w:val="en"/>
        </w:rPr>
        <w:t xml:space="preserve"> number of </w:t>
      </w:r>
      <w:r w:rsidRPr="005C7B5E">
        <w:rPr>
          <w:rFonts w:cs="Calibri"/>
          <w:lang w:val="en"/>
        </w:rPr>
        <w:t xml:space="preserve">Partner2” column contains the </w:t>
      </w:r>
      <w:r w:rsidR="0067038A">
        <w:rPr>
          <w:rFonts w:cs="Calibri"/>
          <w:lang w:val="en"/>
        </w:rPr>
        <w:t>registration</w:t>
      </w:r>
      <w:r w:rsidRPr="005C7B5E">
        <w:rPr>
          <w:rFonts w:cs="Calibri"/>
          <w:lang w:val="en"/>
        </w:rPr>
        <w:t xml:space="preserve"> number of the reporting credit institution, </w:t>
      </w:r>
      <w:proofErr w:type="gramStart"/>
      <w:r w:rsidRPr="005C7B5E">
        <w:rPr>
          <w:rFonts w:cs="Calibri"/>
          <w:lang w:val="en"/>
        </w:rPr>
        <w:t>i.e.</w:t>
      </w:r>
      <w:proofErr w:type="gramEnd"/>
      <w:r w:rsidRPr="005C7B5E">
        <w:rPr>
          <w:rFonts w:cs="Calibri"/>
          <w:lang w:val="en"/>
        </w:rPr>
        <w:t xml:space="preserve"> the reporting credit institution is the </w:t>
      </w:r>
      <w:proofErr w:type="spellStart"/>
      <w:r w:rsidRPr="005C7B5E">
        <w:rPr>
          <w:rFonts w:cs="Calibri"/>
          <w:lang w:val="en"/>
        </w:rPr>
        <w:t>organisation</w:t>
      </w:r>
      <w:proofErr w:type="spellEnd"/>
      <w:r w:rsidRPr="005C7B5E">
        <w:rPr>
          <w:rFonts w:cs="Calibri"/>
          <w:lang w:val="en"/>
        </w:rPr>
        <w:t xml:space="preserve"> receiving the securities, and </w:t>
      </w:r>
    </w:p>
    <w:p w14:paraId="09221F3D" w14:textId="378EE37B" w:rsidR="00B569D8" w:rsidRPr="005C7B5E" w:rsidRDefault="007E0F55" w:rsidP="00DD3C58">
      <w:pPr>
        <w:spacing w:after="0" w:line="240" w:lineRule="auto"/>
        <w:ind w:left="284"/>
        <w:rPr>
          <w:rFonts w:cs="Calibri"/>
          <w:bCs/>
        </w:rPr>
      </w:pPr>
      <w:proofErr w:type="spellStart"/>
      <w:r w:rsidRPr="005C7B5E">
        <w:rPr>
          <w:rFonts w:cs="Calibri"/>
          <w:lang w:val="en"/>
        </w:rPr>
        <w:t>bc</w:t>
      </w:r>
      <w:proofErr w:type="spellEnd"/>
      <w:r w:rsidRPr="005C7B5E">
        <w:rPr>
          <w:rFonts w:cs="Calibri"/>
          <w:lang w:val="en"/>
        </w:rPr>
        <w:t>) the sector code reported in the „Co</w:t>
      </w:r>
      <w:r w:rsidR="0067038A">
        <w:rPr>
          <w:rFonts w:cs="Calibri"/>
          <w:lang w:val="en"/>
        </w:rPr>
        <w:t xml:space="preserve">ntracting </w:t>
      </w:r>
      <w:proofErr w:type="spellStart"/>
      <w:r w:rsidRPr="005C7B5E">
        <w:rPr>
          <w:rFonts w:cs="Calibri"/>
          <w:lang w:val="en"/>
        </w:rPr>
        <w:t>parties_</w:t>
      </w:r>
      <w:r w:rsidR="0067038A">
        <w:rPr>
          <w:rFonts w:cs="Calibri"/>
          <w:lang w:val="en"/>
        </w:rPr>
        <w:t>Sector</w:t>
      </w:r>
      <w:proofErr w:type="spellEnd"/>
      <w:r w:rsidR="0067038A">
        <w:rPr>
          <w:rFonts w:cs="Calibri"/>
          <w:lang w:val="en"/>
        </w:rPr>
        <w:t xml:space="preserve"> of </w:t>
      </w:r>
      <w:r w:rsidRPr="005C7B5E">
        <w:rPr>
          <w:rFonts w:cs="Calibri"/>
          <w:lang w:val="en"/>
        </w:rPr>
        <w:t xml:space="preserve">Partner1” column does not start with a C, </w:t>
      </w:r>
    </w:p>
    <w:p w14:paraId="085C8059" w14:textId="10F8ABC1" w:rsidR="00B569D8" w:rsidRPr="005C7B5E" w:rsidRDefault="00B569D8" w:rsidP="00FD5A8E">
      <w:pPr>
        <w:spacing w:after="12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of the value reported in the “Quantity of securities in </w:t>
      </w:r>
      <w:proofErr w:type="spellStart"/>
      <w:r w:rsidRPr="005C7B5E">
        <w:rPr>
          <w:rFonts w:cs="Calibri"/>
          <w:lang w:val="en"/>
        </w:rPr>
        <w:t>transaction_at</w:t>
      </w:r>
      <w:proofErr w:type="spellEnd"/>
      <w:r w:rsidRPr="005C7B5E">
        <w:rPr>
          <w:rFonts w:cs="Calibri"/>
          <w:lang w:val="en"/>
        </w:rPr>
        <w:t xml:space="preserve"> gross purchase price (</w:t>
      </w:r>
      <w:r w:rsidR="00D91FD1">
        <w:rPr>
          <w:rFonts w:cs="Calibri"/>
          <w:lang w:val="en"/>
        </w:rPr>
        <w:t xml:space="preserve">thousand </w:t>
      </w:r>
      <w:r w:rsidRPr="005C7B5E">
        <w:rPr>
          <w:rFonts w:cs="Calibri"/>
          <w:lang w:val="en"/>
        </w:rPr>
        <w:t>HUF)” column.</w:t>
      </w:r>
    </w:p>
    <w:p w14:paraId="67590501" w14:textId="2EE1D42B" w:rsidR="00785286" w:rsidRPr="005C7B5E" w:rsidRDefault="00785286" w:rsidP="00FD5A8E">
      <w:pPr>
        <w:spacing w:after="120" w:line="240" w:lineRule="auto"/>
        <w:rPr>
          <w:rFonts w:cs="Calibri"/>
          <w:bCs/>
        </w:rPr>
      </w:pPr>
      <w:r w:rsidRPr="005C7B5E">
        <w:rPr>
          <w:rFonts w:cs="Calibri"/>
          <w:lang w:val="en"/>
        </w:rPr>
        <w:t xml:space="preserve">The daily closing </w:t>
      </w:r>
      <w:proofErr w:type="gramStart"/>
      <w:r w:rsidRPr="005C7B5E">
        <w:rPr>
          <w:rFonts w:cs="Calibri"/>
          <w:lang w:val="en"/>
        </w:rPr>
        <w:t>sum total</w:t>
      </w:r>
      <w:proofErr w:type="gramEnd"/>
      <w:r w:rsidRPr="005C7B5E">
        <w:rPr>
          <w:rFonts w:cs="Calibri"/>
          <w:lang w:val="en"/>
        </w:rPr>
        <w:t xml:space="preserve"> of the cash </w:t>
      </w:r>
      <w:r w:rsidR="00150852">
        <w:rPr>
          <w:rFonts w:cs="Calibri"/>
          <w:lang w:val="en"/>
        </w:rPr>
        <w:t>deposit</w:t>
      </w:r>
      <w:r w:rsidRPr="005C7B5E">
        <w:rPr>
          <w:rFonts w:cs="Calibri"/>
          <w:lang w:val="en"/>
        </w:rPr>
        <w:t xml:space="preserve"> amounts calculated in scenarios a) and b) shall be included in the end-of-day balance reported in Row 114.</w:t>
      </w:r>
    </w:p>
    <w:p w14:paraId="5A78217C" w14:textId="28955349" w:rsidR="00ED74B5" w:rsidRPr="005C7B5E" w:rsidRDefault="00ED74B5" w:rsidP="00FD5A8E">
      <w:pPr>
        <w:spacing w:after="120" w:line="240" w:lineRule="auto"/>
        <w:rPr>
          <w:rFonts w:cs="Calibri"/>
          <w:bCs/>
        </w:rPr>
      </w:pPr>
      <w:r w:rsidRPr="005C7B5E">
        <w:rPr>
          <w:rFonts w:cs="Calibri"/>
          <w:lang w:val="en"/>
        </w:rPr>
        <w:t xml:space="preserve">If, in the month following the subject month of the data supply, the data supplier submits a modification report regarding Report with MNB Code E65 and the modification also concerns the cash </w:t>
      </w:r>
      <w:r w:rsidR="00150852">
        <w:rPr>
          <w:rFonts w:cs="Calibri"/>
          <w:lang w:val="en"/>
        </w:rPr>
        <w:t>deposit</w:t>
      </w:r>
      <w:r w:rsidRPr="005C7B5E">
        <w:rPr>
          <w:rFonts w:cs="Calibri"/>
          <w:lang w:val="en"/>
        </w:rPr>
        <w:t xml:space="preserve"> calculated in scenarios a) and b), the figure reported in Row 114 shall be modified as well, in alignment with the modification of Report with MNB Code E65. </w:t>
      </w:r>
    </w:p>
    <w:p w14:paraId="5C0108EF" w14:textId="7DCB26F1" w:rsidR="0095259E" w:rsidRPr="005C7B5E" w:rsidRDefault="0095259E" w:rsidP="00FD5A8E">
      <w:pPr>
        <w:spacing w:after="120" w:line="240" w:lineRule="auto"/>
        <w:rPr>
          <w:rFonts w:cs="Calibri"/>
          <w:bCs/>
        </w:rPr>
      </w:pPr>
      <w:r w:rsidRPr="005C7B5E">
        <w:rPr>
          <w:rFonts w:cs="Calibri"/>
          <w:lang w:val="en"/>
        </w:rPr>
        <w:t>In accordance with the completion instructions applicable to Table 01 of the report entitled “</w:t>
      </w:r>
      <w:r w:rsidR="00D91FD1">
        <w:rPr>
          <w:rFonts w:cs="Calibri"/>
          <w:lang w:val="en"/>
        </w:rPr>
        <w:t xml:space="preserve">Report on </w:t>
      </w:r>
      <w:r w:rsidRPr="005C7B5E">
        <w:rPr>
          <w:rFonts w:cs="Calibri"/>
          <w:lang w:val="en"/>
        </w:rPr>
        <w:t xml:space="preserve">repo-type and other securities transactions” (MNB code: E60; hereinafter: Report with MNB Code E60), the amount calculated in scenario c) as set out below shall also be included in the calculation of the end-of-day closing balance of the cash </w:t>
      </w:r>
      <w:r w:rsidR="00150852">
        <w:rPr>
          <w:rFonts w:cs="Calibri"/>
          <w:lang w:val="en"/>
        </w:rPr>
        <w:t>deposit</w:t>
      </w:r>
      <w:r w:rsidRPr="005C7B5E">
        <w:rPr>
          <w:rFonts w:cs="Calibri"/>
          <w:lang w:val="en"/>
        </w:rPr>
        <w:t>.</w:t>
      </w:r>
    </w:p>
    <w:p w14:paraId="6A300A76" w14:textId="60FD8FED" w:rsidR="0095259E" w:rsidRPr="005C7B5E" w:rsidRDefault="00161C09" w:rsidP="00FD5A8E">
      <w:pPr>
        <w:spacing w:after="120" w:line="240" w:lineRule="auto"/>
        <w:rPr>
          <w:rFonts w:cs="Calibri"/>
          <w:bCs/>
        </w:rPr>
      </w:pPr>
      <w:r w:rsidRPr="005C7B5E">
        <w:rPr>
          <w:rFonts w:cs="Calibri"/>
          <w:lang w:val="en"/>
        </w:rPr>
        <w:t xml:space="preserve">c) If securities received in a special delivery repo transaction are forwarded to a partner that is not a domestic credit institution or a domestic money market fund (regardless whether there is physical movement of the securities or not), the cash </w:t>
      </w:r>
      <w:r w:rsidR="00150852">
        <w:rPr>
          <w:rFonts w:cs="Calibri"/>
          <w:lang w:val="en"/>
        </w:rPr>
        <w:t>deposit</w:t>
      </w:r>
      <w:r w:rsidRPr="005C7B5E">
        <w:rPr>
          <w:rFonts w:cs="Calibri"/>
          <w:lang w:val="en"/>
        </w:rPr>
        <w:t xml:space="preserve"> of such transaction shall be added to the daily closing amount of the cash </w:t>
      </w:r>
      <w:r w:rsidR="00150852">
        <w:rPr>
          <w:rFonts w:cs="Calibri"/>
          <w:lang w:val="en"/>
        </w:rPr>
        <w:t>deposit</w:t>
      </w:r>
      <w:r w:rsidRPr="005C7B5E">
        <w:rPr>
          <w:rFonts w:cs="Calibri"/>
          <w:lang w:val="en"/>
        </w:rPr>
        <w:t xml:space="preserve"> calculated based on scenarios a) and b), and this sum total shall be shown in Row 114.</w:t>
      </w:r>
    </w:p>
    <w:p w14:paraId="7FEACE7C" w14:textId="7A87616B" w:rsidR="00F22999" w:rsidRPr="005C7B5E" w:rsidRDefault="00BF070F" w:rsidP="00FD5A8E">
      <w:pPr>
        <w:spacing w:after="120" w:line="240" w:lineRule="auto"/>
        <w:rPr>
          <w:rFonts w:cs="Calibri"/>
          <w:bCs/>
        </w:rPr>
      </w:pPr>
      <w:r w:rsidRPr="005C7B5E">
        <w:rPr>
          <w:rFonts w:cs="Calibri"/>
          <w:lang w:val="en"/>
        </w:rPr>
        <w:t xml:space="preserve">Until such time as the final amount of the required reserves is calculated in accordance with the Required Reserve Decree, the end-of-day balance of Row 114 shall match the </w:t>
      </w:r>
      <w:proofErr w:type="gramStart"/>
      <w:r w:rsidRPr="005C7B5E">
        <w:rPr>
          <w:rFonts w:cs="Calibri"/>
          <w:lang w:val="en"/>
        </w:rPr>
        <w:t>sum total</w:t>
      </w:r>
      <w:proofErr w:type="gramEnd"/>
      <w:r w:rsidRPr="005C7B5E">
        <w:rPr>
          <w:rFonts w:cs="Calibri"/>
          <w:lang w:val="en"/>
        </w:rPr>
        <w:t xml:space="preserve"> of the cash </w:t>
      </w:r>
      <w:r w:rsidR="00150852">
        <w:rPr>
          <w:rFonts w:cs="Calibri"/>
          <w:lang w:val="en"/>
        </w:rPr>
        <w:t>deposit</w:t>
      </w:r>
      <w:r w:rsidRPr="005C7B5E">
        <w:rPr>
          <w:rFonts w:cs="Calibri"/>
          <w:lang w:val="en"/>
        </w:rPr>
        <w:t xml:space="preserve"> calculated for the scenarios detailed below and reported in Table 01 of Report with MNB Code E60 for the same subject period.</w:t>
      </w:r>
    </w:p>
    <w:p w14:paraId="5C240019" w14:textId="4C8C4517" w:rsidR="00657C87" w:rsidRPr="005C7B5E" w:rsidRDefault="007E0F55" w:rsidP="00873F44">
      <w:pPr>
        <w:spacing w:after="60" w:line="240" w:lineRule="auto"/>
        <w:rPr>
          <w:rFonts w:cs="Calibri"/>
          <w:bCs/>
        </w:rPr>
      </w:pPr>
      <w:r w:rsidRPr="005C7B5E">
        <w:rPr>
          <w:rFonts w:cs="Calibri"/>
          <w:lang w:val="en"/>
        </w:rPr>
        <w:t>d) If</w:t>
      </w:r>
    </w:p>
    <w:p w14:paraId="10233ECA" w14:textId="48674968" w:rsidR="00657C87" w:rsidRPr="005C7B5E" w:rsidRDefault="007E0F55" w:rsidP="00DD3C58">
      <w:pPr>
        <w:spacing w:after="0" w:line="240" w:lineRule="auto"/>
        <w:ind w:left="284"/>
        <w:rPr>
          <w:rFonts w:cs="Calibri"/>
          <w:bCs/>
        </w:rPr>
      </w:pPr>
      <w:r w:rsidRPr="005C7B5E">
        <w:rPr>
          <w:rFonts w:cs="Calibri"/>
          <w:lang w:val="en"/>
        </w:rPr>
        <w:t>da) the “</w:t>
      </w:r>
      <w:r w:rsidR="00D91FD1">
        <w:rPr>
          <w:rFonts w:cs="Calibri"/>
          <w:lang w:val="en"/>
        </w:rPr>
        <w:t>Type of t</w:t>
      </w:r>
      <w:r w:rsidRPr="005C7B5E">
        <w:rPr>
          <w:rFonts w:cs="Calibri"/>
          <w:lang w:val="en"/>
        </w:rPr>
        <w:t>ransaction” column takes a value of 3,</w:t>
      </w:r>
    </w:p>
    <w:p w14:paraId="332C80CF" w14:textId="5DAC4303" w:rsidR="00657C87" w:rsidRPr="005C7B5E" w:rsidRDefault="007E0F55" w:rsidP="00DD3C58">
      <w:pPr>
        <w:spacing w:after="0" w:line="240" w:lineRule="auto"/>
        <w:ind w:left="284"/>
        <w:rPr>
          <w:rFonts w:cs="Calibri"/>
          <w:bCs/>
        </w:rPr>
      </w:pPr>
      <w:proofErr w:type="spellStart"/>
      <w:r w:rsidRPr="005C7B5E">
        <w:rPr>
          <w:rFonts w:cs="Calibri"/>
          <w:lang w:val="en"/>
        </w:rPr>
        <w:t>db</w:t>
      </w:r>
      <w:proofErr w:type="spellEnd"/>
      <w:r w:rsidRPr="005C7B5E">
        <w:rPr>
          <w:rFonts w:cs="Calibri"/>
          <w:lang w:val="en"/>
        </w:rPr>
        <w:t>) the “Co</w:t>
      </w:r>
      <w:r w:rsidR="00D91FD1">
        <w:rPr>
          <w:rFonts w:cs="Calibri"/>
          <w:lang w:val="en"/>
        </w:rPr>
        <w:t xml:space="preserve">ntracting </w:t>
      </w:r>
      <w:proofErr w:type="spellStart"/>
      <w:r w:rsidRPr="005C7B5E">
        <w:rPr>
          <w:rFonts w:cs="Calibri"/>
          <w:lang w:val="en"/>
        </w:rPr>
        <w:t>parties_</w:t>
      </w:r>
      <w:r w:rsidR="00D91FD1">
        <w:rPr>
          <w:rFonts w:cs="Calibri"/>
          <w:lang w:val="en"/>
        </w:rPr>
        <w:t>Registration</w:t>
      </w:r>
      <w:proofErr w:type="spellEnd"/>
      <w:r w:rsidR="00D91FD1">
        <w:rPr>
          <w:rFonts w:cs="Calibri"/>
          <w:lang w:val="en"/>
        </w:rPr>
        <w:t xml:space="preserve"> number of </w:t>
      </w:r>
      <w:r w:rsidRPr="005C7B5E">
        <w:rPr>
          <w:rFonts w:cs="Calibri"/>
          <w:lang w:val="en"/>
        </w:rPr>
        <w:t xml:space="preserve">Partner1” column contains the </w:t>
      </w:r>
      <w:r w:rsidR="00D91FD1">
        <w:rPr>
          <w:rFonts w:cs="Calibri"/>
          <w:lang w:val="en"/>
        </w:rPr>
        <w:t>registration</w:t>
      </w:r>
      <w:r w:rsidRPr="005C7B5E">
        <w:rPr>
          <w:rFonts w:cs="Calibri"/>
          <w:lang w:val="en"/>
        </w:rPr>
        <w:t xml:space="preserve"> number of the reporting credit institution, </w:t>
      </w:r>
      <w:proofErr w:type="gramStart"/>
      <w:r w:rsidRPr="005C7B5E">
        <w:rPr>
          <w:rFonts w:cs="Calibri"/>
          <w:lang w:val="en"/>
        </w:rPr>
        <w:t>i.e.</w:t>
      </w:r>
      <w:proofErr w:type="gramEnd"/>
      <w:r w:rsidRPr="005C7B5E">
        <w:rPr>
          <w:rFonts w:cs="Calibri"/>
          <w:lang w:val="en"/>
        </w:rPr>
        <w:t xml:space="preserve"> the reporting credit institution is the </w:t>
      </w:r>
      <w:proofErr w:type="spellStart"/>
      <w:r w:rsidRPr="005C7B5E">
        <w:rPr>
          <w:rFonts w:cs="Calibri"/>
          <w:lang w:val="en"/>
        </w:rPr>
        <w:t>organisation</w:t>
      </w:r>
      <w:proofErr w:type="spellEnd"/>
      <w:r w:rsidRPr="005C7B5E">
        <w:rPr>
          <w:rFonts w:cs="Calibri"/>
          <w:lang w:val="en"/>
        </w:rPr>
        <w:t xml:space="preserve"> giving the securities, and </w:t>
      </w:r>
    </w:p>
    <w:p w14:paraId="4D564C3B" w14:textId="234901FE" w:rsidR="00657C87" w:rsidRPr="005C7B5E" w:rsidRDefault="007E0F55" w:rsidP="00DD3C58">
      <w:pPr>
        <w:spacing w:after="0" w:line="240" w:lineRule="auto"/>
        <w:ind w:left="284"/>
        <w:rPr>
          <w:rFonts w:cs="Calibri"/>
          <w:bCs/>
        </w:rPr>
      </w:pPr>
      <w:r w:rsidRPr="005C7B5E">
        <w:rPr>
          <w:rFonts w:cs="Calibri"/>
          <w:lang w:val="en"/>
        </w:rPr>
        <w:t>dc) the sector code reported in the „Co</w:t>
      </w:r>
      <w:r w:rsidR="00D91FD1">
        <w:rPr>
          <w:rFonts w:cs="Calibri"/>
          <w:lang w:val="en"/>
        </w:rPr>
        <w:t xml:space="preserve">ntracting </w:t>
      </w:r>
      <w:proofErr w:type="spellStart"/>
      <w:r w:rsidRPr="005C7B5E">
        <w:rPr>
          <w:rFonts w:cs="Calibri"/>
          <w:lang w:val="en"/>
        </w:rPr>
        <w:t>parties_</w:t>
      </w:r>
      <w:r w:rsidR="00D91FD1">
        <w:rPr>
          <w:rFonts w:cs="Calibri"/>
          <w:lang w:val="en"/>
        </w:rPr>
        <w:t>Sector</w:t>
      </w:r>
      <w:proofErr w:type="spellEnd"/>
      <w:r w:rsidR="00D91FD1">
        <w:rPr>
          <w:rFonts w:cs="Calibri"/>
          <w:lang w:val="en"/>
        </w:rPr>
        <w:t xml:space="preserve"> of </w:t>
      </w:r>
      <w:r w:rsidRPr="005C7B5E">
        <w:rPr>
          <w:rFonts w:cs="Calibri"/>
          <w:lang w:val="en"/>
        </w:rPr>
        <w:t xml:space="preserve">Partner2” column does not start with a C, </w:t>
      </w:r>
    </w:p>
    <w:p w14:paraId="6C2B29E8" w14:textId="48E2A52E" w:rsidR="00657C87"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D91FD1">
        <w:rPr>
          <w:rFonts w:cs="Calibri"/>
          <w:lang w:val="en"/>
        </w:rPr>
        <w:t xml:space="preserve">Stock of </w:t>
      </w:r>
      <w:proofErr w:type="spellStart"/>
      <w:r w:rsidR="00D91FD1">
        <w:rPr>
          <w:rFonts w:cs="Calibri"/>
          <w:lang w:val="en"/>
        </w:rPr>
        <w:t>s</w:t>
      </w:r>
      <w:r w:rsidRPr="005C7B5E">
        <w:rPr>
          <w:rFonts w:cs="Calibri"/>
          <w:lang w:val="en"/>
        </w:rPr>
        <w:t>ecurities_</w:t>
      </w:r>
      <w:r w:rsidR="00D91FD1">
        <w:rPr>
          <w:rFonts w:cs="Calibri"/>
          <w:lang w:val="en"/>
        </w:rPr>
        <w:t>Size</w:t>
      </w:r>
      <w:proofErr w:type="spellEnd"/>
      <w:r w:rsidR="00D91FD1">
        <w:rPr>
          <w:rFonts w:cs="Calibri"/>
          <w:lang w:val="en"/>
        </w:rPr>
        <w:t xml:space="preserve"> of cash deposit for securities loans</w:t>
      </w:r>
      <w:r w:rsidRPr="005C7B5E">
        <w:rPr>
          <w:rFonts w:cs="Calibri"/>
          <w:lang w:val="en"/>
        </w:rPr>
        <w:t xml:space="preserve"> (</w:t>
      </w:r>
      <w:r w:rsidR="00D91FD1">
        <w:rPr>
          <w:rFonts w:cs="Calibri"/>
          <w:lang w:val="en"/>
        </w:rPr>
        <w:t xml:space="preserve">thousand </w:t>
      </w:r>
      <w:r w:rsidRPr="005C7B5E">
        <w:rPr>
          <w:rFonts w:cs="Calibri"/>
          <w:lang w:val="en"/>
        </w:rPr>
        <w:t>HUF)” column.</w:t>
      </w:r>
    </w:p>
    <w:p w14:paraId="7D589692" w14:textId="10BB94F5" w:rsidR="00657C87" w:rsidRPr="005C7B5E" w:rsidRDefault="007E0F55" w:rsidP="00873F44">
      <w:pPr>
        <w:spacing w:after="60" w:line="240" w:lineRule="auto"/>
        <w:rPr>
          <w:rFonts w:cs="Calibri"/>
          <w:bCs/>
        </w:rPr>
      </w:pPr>
      <w:r w:rsidRPr="005C7B5E">
        <w:rPr>
          <w:rFonts w:cs="Calibri"/>
          <w:lang w:val="en"/>
        </w:rPr>
        <w:t>e) If</w:t>
      </w:r>
    </w:p>
    <w:p w14:paraId="72876969" w14:textId="0AD8C848" w:rsidR="00657C87" w:rsidRPr="005C7B5E" w:rsidRDefault="007E0F55" w:rsidP="00DD3C58">
      <w:pPr>
        <w:spacing w:after="0" w:line="240" w:lineRule="auto"/>
        <w:ind w:left="284"/>
        <w:rPr>
          <w:rFonts w:cs="Calibri"/>
          <w:bCs/>
        </w:rPr>
      </w:pPr>
      <w:proofErr w:type="spellStart"/>
      <w:r w:rsidRPr="005C7B5E">
        <w:rPr>
          <w:rFonts w:cs="Calibri"/>
          <w:lang w:val="en"/>
        </w:rPr>
        <w:t>ea</w:t>
      </w:r>
      <w:proofErr w:type="spellEnd"/>
      <w:r w:rsidRPr="005C7B5E">
        <w:rPr>
          <w:rFonts w:cs="Calibri"/>
          <w:lang w:val="en"/>
        </w:rPr>
        <w:t>) the “</w:t>
      </w:r>
      <w:r w:rsidR="00D91FD1">
        <w:rPr>
          <w:rFonts w:cs="Calibri"/>
          <w:lang w:val="en"/>
        </w:rPr>
        <w:t>Type of t</w:t>
      </w:r>
      <w:r w:rsidRPr="005C7B5E">
        <w:rPr>
          <w:rFonts w:cs="Calibri"/>
          <w:lang w:val="en"/>
        </w:rPr>
        <w:t xml:space="preserve">ransaction” column takes a value of 3, </w:t>
      </w:r>
    </w:p>
    <w:p w14:paraId="4FE3CADE" w14:textId="7C1D034F" w:rsidR="00657C87" w:rsidRPr="005C7B5E" w:rsidRDefault="007E0F55" w:rsidP="00DD3C58">
      <w:pPr>
        <w:spacing w:after="0" w:line="240" w:lineRule="auto"/>
        <w:ind w:left="284"/>
        <w:rPr>
          <w:rFonts w:cs="Calibri"/>
          <w:bCs/>
        </w:rPr>
      </w:pPr>
      <w:proofErr w:type="spellStart"/>
      <w:r w:rsidRPr="005C7B5E">
        <w:rPr>
          <w:rFonts w:cs="Calibri"/>
          <w:lang w:val="en"/>
        </w:rPr>
        <w:t>eb</w:t>
      </w:r>
      <w:proofErr w:type="spellEnd"/>
      <w:r w:rsidRPr="005C7B5E">
        <w:rPr>
          <w:rFonts w:cs="Calibri"/>
          <w:lang w:val="en"/>
        </w:rPr>
        <w:t>) the “Co</w:t>
      </w:r>
      <w:r w:rsidR="00D91FD1">
        <w:rPr>
          <w:rFonts w:cs="Calibri"/>
          <w:lang w:val="en"/>
        </w:rPr>
        <w:t xml:space="preserve">ntracting </w:t>
      </w:r>
      <w:proofErr w:type="spellStart"/>
      <w:r w:rsidRPr="005C7B5E">
        <w:rPr>
          <w:rFonts w:cs="Calibri"/>
          <w:lang w:val="en"/>
        </w:rPr>
        <w:t>parties_</w:t>
      </w:r>
      <w:r w:rsidR="00150852">
        <w:rPr>
          <w:rFonts w:cs="Calibri"/>
          <w:lang w:val="en"/>
        </w:rPr>
        <w:t>Registration</w:t>
      </w:r>
      <w:proofErr w:type="spellEnd"/>
      <w:r w:rsidR="00150852">
        <w:rPr>
          <w:rFonts w:cs="Calibri"/>
          <w:lang w:val="en"/>
        </w:rPr>
        <w:t xml:space="preserve"> number of </w:t>
      </w:r>
      <w:r w:rsidRPr="005C7B5E">
        <w:rPr>
          <w:rFonts w:cs="Calibri"/>
          <w:lang w:val="en"/>
        </w:rPr>
        <w:t xml:space="preserve">Partner2” column contains the </w:t>
      </w:r>
      <w:proofErr w:type="gramStart"/>
      <w:r w:rsidR="00150852">
        <w:rPr>
          <w:rFonts w:cs="Calibri"/>
          <w:lang w:val="en"/>
        </w:rPr>
        <w:t xml:space="preserve">registration </w:t>
      </w:r>
      <w:r w:rsidRPr="005C7B5E">
        <w:rPr>
          <w:rFonts w:cs="Calibri"/>
          <w:lang w:val="en"/>
        </w:rPr>
        <w:t xml:space="preserve"> number</w:t>
      </w:r>
      <w:proofErr w:type="gramEnd"/>
      <w:r w:rsidRPr="005C7B5E">
        <w:rPr>
          <w:rFonts w:cs="Calibri"/>
          <w:lang w:val="en"/>
        </w:rPr>
        <w:t xml:space="preserve"> of the reporting credit institution, i.e. the reporting credit institution is the </w:t>
      </w:r>
      <w:proofErr w:type="spellStart"/>
      <w:r w:rsidRPr="005C7B5E">
        <w:rPr>
          <w:rFonts w:cs="Calibri"/>
          <w:lang w:val="en"/>
        </w:rPr>
        <w:t>organisation</w:t>
      </w:r>
      <w:proofErr w:type="spellEnd"/>
      <w:r w:rsidRPr="005C7B5E">
        <w:rPr>
          <w:rFonts w:cs="Calibri"/>
          <w:lang w:val="en"/>
        </w:rPr>
        <w:t xml:space="preserve"> receiving the securities, and </w:t>
      </w:r>
    </w:p>
    <w:p w14:paraId="70EA8BE0" w14:textId="3BE6A076" w:rsidR="00657C87" w:rsidRPr="005C7B5E" w:rsidRDefault="007E0F55" w:rsidP="00DD3C58">
      <w:pPr>
        <w:spacing w:after="0" w:line="240" w:lineRule="auto"/>
        <w:ind w:left="284"/>
        <w:rPr>
          <w:rFonts w:cs="Calibri"/>
          <w:bCs/>
        </w:rPr>
      </w:pPr>
      <w:proofErr w:type="spellStart"/>
      <w:r w:rsidRPr="005C7B5E">
        <w:rPr>
          <w:rFonts w:cs="Calibri"/>
          <w:lang w:val="en"/>
        </w:rPr>
        <w:t>ec</w:t>
      </w:r>
      <w:proofErr w:type="spellEnd"/>
      <w:r w:rsidRPr="005C7B5E">
        <w:rPr>
          <w:rFonts w:cs="Calibri"/>
          <w:lang w:val="en"/>
        </w:rPr>
        <w:t>) the sector code reported in the „Co</w:t>
      </w:r>
      <w:r w:rsidR="00D91FD1">
        <w:rPr>
          <w:rFonts w:cs="Calibri"/>
          <w:lang w:val="en"/>
        </w:rPr>
        <w:t xml:space="preserve">ntracting </w:t>
      </w:r>
      <w:proofErr w:type="spellStart"/>
      <w:r w:rsidRPr="005C7B5E">
        <w:rPr>
          <w:rFonts w:cs="Calibri"/>
          <w:lang w:val="en"/>
        </w:rPr>
        <w:t>parties_</w:t>
      </w:r>
      <w:r w:rsidR="00150852">
        <w:rPr>
          <w:rFonts w:cs="Calibri"/>
          <w:lang w:val="en"/>
        </w:rPr>
        <w:t>Sector</w:t>
      </w:r>
      <w:proofErr w:type="spellEnd"/>
      <w:r w:rsidR="00150852">
        <w:rPr>
          <w:rFonts w:cs="Calibri"/>
          <w:lang w:val="en"/>
        </w:rPr>
        <w:t xml:space="preserve"> of </w:t>
      </w:r>
      <w:r w:rsidRPr="005C7B5E">
        <w:rPr>
          <w:rFonts w:cs="Calibri"/>
          <w:lang w:val="en"/>
        </w:rPr>
        <w:t xml:space="preserve">Partner1” column does not start with a C, </w:t>
      </w:r>
    </w:p>
    <w:p w14:paraId="777FC4AD" w14:textId="0CA3E08C" w:rsidR="00657C87"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150852">
        <w:rPr>
          <w:rFonts w:cs="Calibri"/>
          <w:lang w:val="en"/>
        </w:rPr>
        <w:t xml:space="preserve">Stock of </w:t>
      </w:r>
      <w:proofErr w:type="spellStart"/>
      <w:r w:rsidR="00150852">
        <w:rPr>
          <w:rFonts w:cs="Calibri"/>
          <w:lang w:val="en"/>
        </w:rPr>
        <w:t>s</w:t>
      </w:r>
      <w:r w:rsidRPr="005C7B5E">
        <w:rPr>
          <w:rFonts w:cs="Calibri"/>
          <w:lang w:val="en"/>
        </w:rPr>
        <w:t>ecurities_at</w:t>
      </w:r>
      <w:proofErr w:type="spellEnd"/>
      <w:r w:rsidRPr="005C7B5E">
        <w:rPr>
          <w:rFonts w:cs="Calibri"/>
          <w:lang w:val="en"/>
        </w:rPr>
        <w:t xml:space="preserve"> gross purchase price (</w:t>
      </w:r>
      <w:r w:rsidR="00150852">
        <w:rPr>
          <w:rFonts w:cs="Calibri"/>
          <w:lang w:val="en"/>
        </w:rPr>
        <w:t xml:space="preserve">thousand </w:t>
      </w:r>
      <w:r w:rsidRPr="005C7B5E">
        <w:rPr>
          <w:rFonts w:cs="Calibri"/>
          <w:lang w:val="en"/>
        </w:rPr>
        <w:t>HUF)” column.</w:t>
      </w:r>
    </w:p>
    <w:p w14:paraId="116EBE47" w14:textId="14A38393" w:rsidR="00657C87" w:rsidRPr="005C7B5E" w:rsidRDefault="007E0F55" w:rsidP="005C7B5E">
      <w:pPr>
        <w:keepNext/>
        <w:spacing w:after="60" w:line="240" w:lineRule="auto"/>
        <w:rPr>
          <w:rFonts w:cs="Calibri"/>
          <w:bCs/>
        </w:rPr>
      </w:pPr>
      <w:r w:rsidRPr="005C7B5E">
        <w:rPr>
          <w:rFonts w:cs="Calibri"/>
          <w:lang w:val="en"/>
        </w:rPr>
        <w:t>f) If</w:t>
      </w:r>
    </w:p>
    <w:p w14:paraId="4D7EEF11" w14:textId="01BB8DD2" w:rsidR="00657C87" w:rsidRPr="005C7B5E" w:rsidRDefault="007E0F55" w:rsidP="00DD3C58">
      <w:pPr>
        <w:spacing w:after="0" w:line="240" w:lineRule="auto"/>
        <w:ind w:left="284"/>
        <w:rPr>
          <w:rFonts w:cs="Calibri"/>
          <w:bCs/>
        </w:rPr>
      </w:pPr>
      <w:r w:rsidRPr="005C7B5E">
        <w:rPr>
          <w:rFonts w:cs="Calibri"/>
          <w:lang w:val="en"/>
        </w:rPr>
        <w:t>fa) the “</w:t>
      </w:r>
      <w:r w:rsidR="00D91FD1">
        <w:rPr>
          <w:rFonts w:cs="Calibri"/>
          <w:lang w:val="en"/>
        </w:rPr>
        <w:t>Type of t</w:t>
      </w:r>
      <w:r w:rsidRPr="005C7B5E">
        <w:rPr>
          <w:rFonts w:cs="Calibri"/>
          <w:lang w:val="en"/>
        </w:rPr>
        <w:t xml:space="preserve">ransaction” column takes a value of 10 or 11, </w:t>
      </w:r>
    </w:p>
    <w:p w14:paraId="19A64DB3" w14:textId="794BFDEF" w:rsidR="00657C87" w:rsidRPr="005C7B5E" w:rsidRDefault="007E0F55" w:rsidP="00DD3C58">
      <w:pPr>
        <w:spacing w:after="0" w:line="240" w:lineRule="auto"/>
        <w:ind w:left="284"/>
        <w:rPr>
          <w:rFonts w:cs="Calibri"/>
          <w:bCs/>
        </w:rPr>
      </w:pPr>
      <w:r w:rsidRPr="005C7B5E">
        <w:rPr>
          <w:rFonts w:cs="Calibri"/>
          <w:lang w:val="en"/>
        </w:rPr>
        <w:t>fb) the “Co</w:t>
      </w:r>
      <w:r w:rsidR="00D91FD1">
        <w:rPr>
          <w:rFonts w:cs="Calibri"/>
          <w:lang w:val="en"/>
        </w:rPr>
        <w:t xml:space="preserve">ntracting </w:t>
      </w:r>
      <w:proofErr w:type="spellStart"/>
      <w:r w:rsidRPr="005C7B5E">
        <w:rPr>
          <w:rFonts w:cs="Calibri"/>
          <w:lang w:val="en"/>
        </w:rPr>
        <w:t>parties_</w:t>
      </w:r>
      <w:r w:rsidR="00D91FD1">
        <w:rPr>
          <w:rFonts w:cs="Calibri"/>
          <w:lang w:val="en"/>
        </w:rPr>
        <w:t>Registration</w:t>
      </w:r>
      <w:proofErr w:type="spellEnd"/>
      <w:r w:rsidR="00D91FD1">
        <w:rPr>
          <w:rFonts w:cs="Calibri"/>
          <w:lang w:val="en"/>
        </w:rPr>
        <w:t xml:space="preserve"> number </w:t>
      </w:r>
      <w:r w:rsidR="00150852">
        <w:rPr>
          <w:rFonts w:cs="Calibri"/>
          <w:lang w:val="en"/>
        </w:rPr>
        <w:t xml:space="preserve">of </w:t>
      </w:r>
      <w:r w:rsidRPr="005C7B5E">
        <w:rPr>
          <w:rFonts w:cs="Calibri"/>
          <w:lang w:val="en"/>
        </w:rPr>
        <w:t xml:space="preserve">Partner1” column contains the </w:t>
      </w:r>
      <w:r w:rsidR="00150852">
        <w:rPr>
          <w:rFonts w:cs="Calibri"/>
          <w:lang w:val="en"/>
        </w:rPr>
        <w:t>registration</w:t>
      </w:r>
      <w:r w:rsidRPr="005C7B5E">
        <w:rPr>
          <w:rFonts w:cs="Calibri"/>
          <w:lang w:val="en"/>
        </w:rPr>
        <w:t xml:space="preserve"> number of the reporting credit institution, </w:t>
      </w:r>
      <w:proofErr w:type="gramStart"/>
      <w:r w:rsidRPr="005C7B5E">
        <w:rPr>
          <w:rFonts w:cs="Calibri"/>
          <w:lang w:val="en"/>
        </w:rPr>
        <w:t>i.e.</w:t>
      </w:r>
      <w:proofErr w:type="gramEnd"/>
      <w:r w:rsidRPr="005C7B5E">
        <w:rPr>
          <w:rFonts w:cs="Calibri"/>
          <w:lang w:val="en"/>
        </w:rPr>
        <w:t xml:space="preserve"> the reporting credit institution is the </w:t>
      </w:r>
      <w:proofErr w:type="spellStart"/>
      <w:r w:rsidRPr="005C7B5E">
        <w:rPr>
          <w:rFonts w:cs="Calibri"/>
          <w:lang w:val="en"/>
        </w:rPr>
        <w:t>organisation</w:t>
      </w:r>
      <w:proofErr w:type="spellEnd"/>
      <w:r w:rsidRPr="005C7B5E">
        <w:rPr>
          <w:rFonts w:cs="Calibri"/>
          <w:lang w:val="en"/>
        </w:rPr>
        <w:t xml:space="preserve"> giving the securities, and</w:t>
      </w:r>
    </w:p>
    <w:p w14:paraId="1BFF7C6F" w14:textId="51B02DFB" w:rsidR="00657C87" w:rsidRPr="005C7B5E" w:rsidRDefault="007E0F55" w:rsidP="00DD3C58">
      <w:pPr>
        <w:spacing w:after="0" w:line="240" w:lineRule="auto"/>
        <w:ind w:left="284"/>
        <w:rPr>
          <w:rFonts w:cs="Calibri"/>
          <w:bCs/>
        </w:rPr>
      </w:pPr>
      <w:r w:rsidRPr="005C7B5E">
        <w:rPr>
          <w:rFonts w:cs="Calibri"/>
          <w:lang w:val="en"/>
        </w:rPr>
        <w:t>fc) the sector code reported in the „Co</w:t>
      </w:r>
      <w:r w:rsidR="00150852">
        <w:rPr>
          <w:rFonts w:cs="Calibri"/>
          <w:lang w:val="en"/>
        </w:rPr>
        <w:t xml:space="preserve">ntracting </w:t>
      </w:r>
      <w:proofErr w:type="spellStart"/>
      <w:r w:rsidRPr="005C7B5E">
        <w:rPr>
          <w:rFonts w:cs="Calibri"/>
          <w:lang w:val="en"/>
        </w:rPr>
        <w:t>parties_</w:t>
      </w:r>
      <w:r w:rsidR="00150852">
        <w:rPr>
          <w:rFonts w:cs="Calibri"/>
          <w:lang w:val="en"/>
        </w:rPr>
        <w:t>Sector</w:t>
      </w:r>
      <w:proofErr w:type="spellEnd"/>
      <w:r w:rsidR="00150852">
        <w:rPr>
          <w:rFonts w:cs="Calibri"/>
          <w:lang w:val="en"/>
        </w:rPr>
        <w:t xml:space="preserve"> of </w:t>
      </w:r>
      <w:r w:rsidRPr="005C7B5E">
        <w:rPr>
          <w:rFonts w:cs="Calibri"/>
          <w:lang w:val="en"/>
        </w:rPr>
        <w:t xml:space="preserve">Partner2” column does not start with a C, </w:t>
      </w:r>
    </w:p>
    <w:p w14:paraId="4CCD48C7" w14:textId="10E63698" w:rsidR="00EC0080"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150852">
        <w:rPr>
          <w:rFonts w:cs="Calibri"/>
          <w:lang w:val="en"/>
        </w:rPr>
        <w:t xml:space="preserve">Stock of </w:t>
      </w:r>
      <w:proofErr w:type="spellStart"/>
      <w:r w:rsidR="00150852">
        <w:rPr>
          <w:rFonts w:cs="Calibri"/>
          <w:lang w:val="en"/>
        </w:rPr>
        <w:t>s</w:t>
      </w:r>
      <w:r w:rsidRPr="005C7B5E">
        <w:rPr>
          <w:rFonts w:cs="Calibri"/>
          <w:lang w:val="en"/>
        </w:rPr>
        <w:t>ecurities_</w:t>
      </w:r>
      <w:r w:rsidR="00150852">
        <w:rPr>
          <w:rFonts w:cs="Calibri"/>
          <w:lang w:val="en"/>
        </w:rPr>
        <w:t>size</w:t>
      </w:r>
      <w:proofErr w:type="spellEnd"/>
      <w:r w:rsidR="00150852">
        <w:rPr>
          <w:rFonts w:cs="Calibri"/>
          <w:lang w:val="en"/>
        </w:rPr>
        <w:t xml:space="preserve"> of cash deposit for securities loans (thousand HUF)</w:t>
      </w:r>
      <w:r w:rsidRPr="005C7B5E">
        <w:rPr>
          <w:rFonts w:cs="Calibri"/>
          <w:lang w:val="en"/>
        </w:rPr>
        <w:t>” column.</w:t>
      </w:r>
    </w:p>
    <w:p w14:paraId="7602B75A" w14:textId="77777777" w:rsidR="00BB41DE" w:rsidRPr="005C7B5E" w:rsidRDefault="00BB41DE" w:rsidP="00DD3C58">
      <w:pPr>
        <w:spacing w:after="0" w:line="240" w:lineRule="auto"/>
        <w:ind w:left="284"/>
        <w:rPr>
          <w:rFonts w:cs="Calibri"/>
          <w:bCs/>
        </w:rPr>
      </w:pPr>
    </w:p>
    <w:p w14:paraId="517F75F5" w14:textId="798292F5" w:rsidR="00D70D21" w:rsidRPr="005C7B5E" w:rsidRDefault="00D70D21" w:rsidP="00DD3C58">
      <w:pPr>
        <w:spacing w:line="240" w:lineRule="auto"/>
        <w:rPr>
          <w:rFonts w:cs="Calibri"/>
          <w:bCs/>
        </w:rPr>
      </w:pPr>
      <w:r w:rsidRPr="005C7B5E">
        <w:rPr>
          <w:rFonts w:cs="Calibri"/>
          <w:b/>
          <w:bCs/>
          <w:lang w:val="en"/>
        </w:rPr>
        <w:t>Row 115</w:t>
      </w:r>
      <w:r w:rsidRPr="005C7B5E">
        <w:rPr>
          <w:rFonts w:cs="Calibri"/>
          <w:lang w:val="en"/>
        </w:rPr>
        <w:t xml:space="preserve"> </w:t>
      </w:r>
    </w:p>
    <w:p w14:paraId="0708A8A6" w14:textId="43574D36" w:rsidR="007E1D2C" w:rsidRPr="005C7B5E" w:rsidRDefault="00BC32F6" w:rsidP="00DD3C58">
      <w:pPr>
        <w:spacing w:after="0" w:line="240" w:lineRule="auto"/>
        <w:rPr>
          <w:rFonts w:cs="Calibri"/>
          <w:bCs/>
        </w:rPr>
      </w:pPr>
      <w:r w:rsidRPr="005C7B5E">
        <w:rPr>
          <w:rFonts w:cs="Calibri"/>
          <w:lang w:val="en"/>
        </w:rPr>
        <w:t xml:space="preserve">The difference between the monthly average balances reported in Row 1 and the cash </w:t>
      </w:r>
      <w:r w:rsidR="00150852">
        <w:rPr>
          <w:rFonts w:cs="Calibri"/>
          <w:lang w:val="en"/>
        </w:rPr>
        <w:t>deposit</w:t>
      </w:r>
      <w:r w:rsidRPr="005C7B5E">
        <w:rPr>
          <w:rFonts w:cs="Calibri"/>
          <w:lang w:val="en"/>
        </w:rPr>
        <w:t xml:space="preserve"> amount shown in Row 114 shall be reported in this row.”</w:t>
      </w:r>
    </w:p>
    <w:sectPr w:rsidR="007E1D2C" w:rsidRPr="005C7B5E"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4A63" w14:textId="77777777" w:rsidR="007E1BC6" w:rsidRDefault="007E1BC6">
      <w:r>
        <w:separator/>
      </w:r>
    </w:p>
  </w:endnote>
  <w:endnote w:type="continuationSeparator" w:id="0">
    <w:p w14:paraId="21B999A1" w14:textId="77777777" w:rsidR="007E1BC6" w:rsidRDefault="007E1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966D5" w14:textId="5449CD86" w:rsidR="009E3A57" w:rsidRPr="00AC6950" w:rsidRDefault="009E3A57" w:rsidP="00AC6950">
    <w:pPr>
      <w:tabs>
        <w:tab w:val="left" w:pos="8460"/>
      </w:tabs>
      <w:rPr>
        <w:sz w:val="18"/>
        <w:szCs w:val="18"/>
      </w:rPr>
    </w:pPr>
    <w:r>
      <w:rPr>
        <w:lang w:val="e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C148" w14:textId="77777777" w:rsidR="007E1BC6" w:rsidRDefault="007E1BC6">
      <w:r>
        <w:separator/>
      </w:r>
    </w:p>
  </w:footnote>
  <w:footnote w:type="continuationSeparator" w:id="0">
    <w:p w14:paraId="2C83915D" w14:textId="77777777" w:rsidR="007E1BC6" w:rsidRDefault="007E1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F3FB"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F5F13D4"/>
    <w:multiLevelType w:val="singleLevel"/>
    <w:tmpl w:val="0C090013"/>
    <w:lvl w:ilvl="0">
      <w:start w:val="2"/>
      <w:numFmt w:val="upperRoman"/>
      <w:lvlText w:val="%1."/>
      <w:lvlJc w:val="left"/>
      <w:pPr>
        <w:tabs>
          <w:tab w:val="num" w:pos="720"/>
        </w:tabs>
        <w:ind w:left="720" w:hanging="720"/>
      </w:pPr>
    </w:lvl>
  </w:abstractNum>
  <w:abstractNum w:abstractNumId="8" w15:restartNumberingAfterBreak="0">
    <w:nsid w:val="32A34AE5"/>
    <w:multiLevelType w:val="hybridMultilevel"/>
    <w:tmpl w:val="F4A058E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538812895">
    <w:abstractNumId w:val="4"/>
  </w:num>
  <w:num w:numId="2" w16cid:durableId="1687710691">
    <w:abstractNumId w:val="2"/>
  </w:num>
  <w:num w:numId="3" w16cid:durableId="2133818785">
    <w:abstractNumId w:val="5"/>
  </w:num>
  <w:num w:numId="4" w16cid:durableId="2079788874">
    <w:abstractNumId w:val="0"/>
  </w:num>
  <w:num w:numId="5" w16cid:durableId="439683333">
    <w:abstractNumId w:val="1"/>
  </w:num>
  <w:num w:numId="6" w16cid:durableId="1589000215">
    <w:abstractNumId w:val="9"/>
  </w:num>
  <w:num w:numId="7" w16cid:durableId="1875843216">
    <w:abstractNumId w:val="3"/>
  </w:num>
  <w:num w:numId="8" w16cid:durableId="1555703142">
    <w:abstractNumId w:val="12"/>
  </w:num>
  <w:num w:numId="9" w16cid:durableId="329870310">
    <w:abstractNumId w:val="9"/>
    <w:lvlOverride w:ilvl="0">
      <w:startOverride w:val="1"/>
    </w:lvlOverride>
  </w:num>
  <w:num w:numId="10" w16cid:durableId="839539508">
    <w:abstractNumId w:val="13"/>
  </w:num>
  <w:num w:numId="11" w16cid:durableId="1291203446">
    <w:abstractNumId w:val="10"/>
  </w:num>
  <w:num w:numId="12" w16cid:durableId="1287928226">
    <w:abstractNumId w:val="6"/>
  </w:num>
  <w:num w:numId="13" w16cid:durableId="2049405390">
    <w:abstractNumId w:val="5"/>
  </w:num>
  <w:num w:numId="14" w16cid:durableId="675883119">
    <w:abstractNumId w:val="5"/>
  </w:num>
  <w:num w:numId="15" w16cid:durableId="528838148">
    <w:abstractNumId w:val="5"/>
  </w:num>
  <w:num w:numId="16" w16cid:durableId="1236479678">
    <w:abstractNumId w:val="5"/>
  </w:num>
  <w:num w:numId="17" w16cid:durableId="535511020">
    <w:abstractNumId w:val="5"/>
  </w:num>
  <w:num w:numId="18" w16cid:durableId="2088570786">
    <w:abstractNumId w:val="5"/>
  </w:num>
  <w:num w:numId="19" w16cid:durableId="3752785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4323162">
    <w:abstractNumId w:val="11"/>
  </w:num>
  <w:num w:numId="21" w16cid:durableId="2131630175">
    <w:abstractNumId w:val="7"/>
    <w:lvlOverride w:ilvl="0">
      <w:startOverride w:val="2"/>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4D"/>
    <w:rsid w:val="00001653"/>
    <w:rsid w:val="0000273C"/>
    <w:rsid w:val="00017B1B"/>
    <w:rsid w:val="00024668"/>
    <w:rsid w:val="0002498B"/>
    <w:rsid w:val="000250E6"/>
    <w:rsid w:val="00027695"/>
    <w:rsid w:val="00027B62"/>
    <w:rsid w:val="00030A79"/>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A7CC0"/>
    <w:rsid w:val="000B13E1"/>
    <w:rsid w:val="000B3BE8"/>
    <w:rsid w:val="000C2918"/>
    <w:rsid w:val="000C3019"/>
    <w:rsid w:val="000C701E"/>
    <w:rsid w:val="000C701F"/>
    <w:rsid w:val="000D187F"/>
    <w:rsid w:val="000D1C8B"/>
    <w:rsid w:val="000D1E44"/>
    <w:rsid w:val="000D40AE"/>
    <w:rsid w:val="000D4F61"/>
    <w:rsid w:val="000D5F26"/>
    <w:rsid w:val="000E2CBD"/>
    <w:rsid w:val="000E4EE3"/>
    <w:rsid w:val="000F23B6"/>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0852"/>
    <w:rsid w:val="00150A0A"/>
    <w:rsid w:val="00152DBF"/>
    <w:rsid w:val="00157DC5"/>
    <w:rsid w:val="00161C09"/>
    <w:rsid w:val="00161DC8"/>
    <w:rsid w:val="001649DC"/>
    <w:rsid w:val="00166F6C"/>
    <w:rsid w:val="001747F6"/>
    <w:rsid w:val="0018359E"/>
    <w:rsid w:val="0018619A"/>
    <w:rsid w:val="001870A7"/>
    <w:rsid w:val="00197350"/>
    <w:rsid w:val="001A2BAA"/>
    <w:rsid w:val="001A6605"/>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1F333F"/>
    <w:rsid w:val="001F4A13"/>
    <w:rsid w:val="002012AD"/>
    <w:rsid w:val="00206642"/>
    <w:rsid w:val="00214230"/>
    <w:rsid w:val="0021484C"/>
    <w:rsid w:val="0022056B"/>
    <w:rsid w:val="0022764E"/>
    <w:rsid w:val="00240C97"/>
    <w:rsid w:val="0024525F"/>
    <w:rsid w:val="002522F1"/>
    <w:rsid w:val="002602F5"/>
    <w:rsid w:val="002611AE"/>
    <w:rsid w:val="0026180A"/>
    <w:rsid w:val="002665EA"/>
    <w:rsid w:val="00270724"/>
    <w:rsid w:val="00271371"/>
    <w:rsid w:val="00271549"/>
    <w:rsid w:val="00273052"/>
    <w:rsid w:val="0027402D"/>
    <w:rsid w:val="002751D4"/>
    <w:rsid w:val="00276A6B"/>
    <w:rsid w:val="002866DE"/>
    <w:rsid w:val="00287D15"/>
    <w:rsid w:val="00290D47"/>
    <w:rsid w:val="00292177"/>
    <w:rsid w:val="002935FF"/>
    <w:rsid w:val="00297D3C"/>
    <w:rsid w:val="002A3B0E"/>
    <w:rsid w:val="002B043F"/>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0392C"/>
    <w:rsid w:val="00313246"/>
    <w:rsid w:val="003231ED"/>
    <w:rsid w:val="00327487"/>
    <w:rsid w:val="00327A74"/>
    <w:rsid w:val="00341BB5"/>
    <w:rsid w:val="00343614"/>
    <w:rsid w:val="003466F4"/>
    <w:rsid w:val="0035153B"/>
    <w:rsid w:val="00351909"/>
    <w:rsid w:val="003524A6"/>
    <w:rsid w:val="0035294F"/>
    <w:rsid w:val="00353ED5"/>
    <w:rsid w:val="003548F7"/>
    <w:rsid w:val="0036484D"/>
    <w:rsid w:val="00364BC3"/>
    <w:rsid w:val="003701D4"/>
    <w:rsid w:val="003704B1"/>
    <w:rsid w:val="003728FE"/>
    <w:rsid w:val="00373BD2"/>
    <w:rsid w:val="0037696F"/>
    <w:rsid w:val="00380643"/>
    <w:rsid w:val="003818F8"/>
    <w:rsid w:val="003824BF"/>
    <w:rsid w:val="003827F0"/>
    <w:rsid w:val="00391B59"/>
    <w:rsid w:val="00395B14"/>
    <w:rsid w:val="00395D13"/>
    <w:rsid w:val="00396F07"/>
    <w:rsid w:val="00397F34"/>
    <w:rsid w:val="003B12B2"/>
    <w:rsid w:val="003B46BE"/>
    <w:rsid w:val="003C5699"/>
    <w:rsid w:val="003D04DD"/>
    <w:rsid w:val="003D52BC"/>
    <w:rsid w:val="003F0FAD"/>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394B"/>
    <w:rsid w:val="00474131"/>
    <w:rsid w:val="0048183A"/>
    <w:rsid w:val="00491483"/>
    <w:rsid w:val="004919C2"/>
    <w:rsid w:val="004924CA"/>
    <w:rsid w:val="00494C89"/>
    <w:rsid w:val="0049593A"/>
    <w:rsid w:val="00497257"/>
    <w:rsid w:val="004A58E3"/>
    <w:rsid w:val="004A5F09"/>
    <w:rsid w:val="004B1A68"/>
    <w:rsid w:val="004D0CD2"/>
    <w:rsid w:val="004D270F"/>
    <w:rsid w:val="004D3957"/>
    <w:rsid w:val="004D455D"/>
    <w:rsid w:val="004D7635"/>
    <w:rsid w:val="004E2BA2"/>
    <w:rsid w:val="004F1BAA"/>
    <w:rsid w:val="004F42D5"/>
    <w:rsid w:val="004F72B9"/>
    <w:rsid w:val="0050045B"/>
    <w:rsid w:val="00501172"/>
    <w:rsid w:val="00503A99"/>
    <w:rsid w:val="0050657B"/>
    <w:rsid w:val="00511338"/>
    <w:rsid w:val="005123A7"/>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915B2"/>
    <w:rsid w:val="00592E50"/>
    <w:rsid w:val="005A011E"/>
    <w:rsid w:val="005A3531"/>
    <w:rsid w:val="005A3DDE"/>
    <w:rsid w:val="005A788E"/>
    <w:rsid w:val="005B0A26"/>
    <w:rsid w:val="005C3F73"/>
    <w:rsid w:val="005C498A"/>
    <w:rsid w:val="005C5BB7"/>
    <w:rsid w:val="005C7B5E"/>
    <w:rsid w:val="005D0D65"/>
    <w:rsid w:val="005D1A2C"/>
    <w:rsid w:val="005F3818"/>
    <w:rsid w:val="005F3E3D"/>
    <w:rsid w:val="005F3FB6"/>
    <w:rsid w:val="00602F0C"/>
    <w:rsid w:val="00603723"/>
    <w:rsid w:val="00610E45"/>
    <w:rsid w:val="00627BFA"/>
    <w:rsid w:val="00635B9F"/>
    <w:rsid w:val="00642A07"/>
    <w:rsid w:val="00643529"/>
    <w:rsid w:val="00643CB4"/>
    <w:rsid w:val="00644B85"/>
    <w:rsid w:val="00644BE4"/>
    <w:rsid w:val="0065184D"/>
    <w:rsid w:val="00657C87"/>
    <w:rsid w:val="00657DCE"/>
    <w:rsid w:val="0067038A"/>
    <w:rsid w:val="0067570F"/>
    <w:rsid w:val="00681108"/>
    <w:rsid w:val="00690C97"/>
    <w:rsid w:val="0069441B"/>
    <w:rsid w:val="006A54BA"/>
    <w:rsid w:val="006A66EB"/>
    <w:rsid w:val="006B0392"/>
    <w:rsid w:val="006B2726"/>
    <w:rsid w:val="006B4271"/>
    <w:rsid w:val="006C2C3D"/>
    <w:rsid w:val="006C4871"/>
    <w:rsid w:val="006C4AA8"/>
    <w:rsid w:val="006C700F"/>
    <w:rsid w:val="006D0881"/>
    <w:rsid w:val="006D19B7"/>
    <w:rsid w:val="006D3867"/>
    <w:rsid w:val="006E34DA"/>
    <w:rsid w:val="006E45F8"/>
    <w:rsid w:val="006E5F78"/>
    <w:rsid w:val="006F0376"/>
    <w:rsid w:val="006F1B88"/>
    <w:rsid w:val="006F39C8"/>
    <w:rsid w:val="006F5D02"/>
    <w:rsid w:val="006F6144"/>
    <w:rsid w:val="00702E90"/>
    <w:rsid w:val="00703E97"/>
    <w:rsid w:val="0070653D"/>
    <w:rsid w:val="00707C38"/>
    <w:rsid w:val="007236B8"/>
    <w:rsid w:val="0072398E"/>
    <w:rsid w:val="00732D87"/>
    <w:rsid w:val="00737651"/>
    <w:rsid w:val="00737660"/>
    <w:rsid w:val="007376E0"/>
    <w:rsid w:val="00744A1F"/>
    <w:rsid w:val="00746D82"/>
    <w:rsid w:val="007474DD"/>
    <w:rsid w:val="00754A11"/>
    <w:rsid w:val="00767D3F"/>
    <w:rsid w:val="00774306"/>
    <w:rsid w:val="00782B80"/>
    <w:rsid w:val="00785286"/>
    <w:rsid w:val="00786EF4"/>
    <w:rsid w:val="007878CD"/>
    <w:rsid w:val="00791092"/>
    <w:rsid w:val="007913EE"/>
    <w:rsid w:val="00792C7B"/>
    <w:rsid w:val="007A2206"/>
    <w:rsid w:val="007A2BE7"/>
    <w:rsid w:val="007B1174"/>
    <w:rsid w:val="007B39B9"/>
    <w:rsid w:val="007B7FC8"/>
    <w:rsid w:val="007D18DE"/>
    <w:rsid w:val="007D67A3"/>
    <w:rsid w:val="007D7E92"/>
    <w:rsid w:val="007E0286"/>
    <w:rsid w:val="007E0F55"/>
    <w:rsid w:val="007E1BC6"/>
    <w:rsid w:val="007E1D2C"/>
    <w:rsid w:val="007F197C"/>
    <w:rsid w:val="007F1D57"/>
    <w:rsid w:val="007F586E"/>
    <w:rsid w:val="007F7E59"/>
    <w:rsid w:val="00814801"/>
    <w:rsid w:val="00823B7E"/>
    <w:rsid w:val="008276DA"/>
    <w:rsid w:val="0083252A"/>
    <w:rsid w:val="00832FB4"/>
    <w:rsid w:val="008349B3"/>
    <w:rsid w:val="00836076"/>
    <w:rsid w:val="0083670C"/>
    <w:rsid w:val="008370C0"/>
    <w:rsid w:val="00840065"/>
    <w:rsid w:val="00844283"/>
    <w:rsid w:val="0084582F"/>
    <w:rsid w:val="00847C0A"/>
    <w:rsid w:val="0085081B"/>
    <w:rsid w:val="008512C4"/>
    <w:rsid w:val="008528A0"/>
    <w:rsid w:val="00860131"/>
    <w:rsid w:val="00860860"/>
    <w:rsid w:val="00864147"/>
    <w:rsid w:val="00864468"/>
    <w:rsid w:val="00866547"/>
    <w:rsid w:val="00866E71"/>
    <w:rsid w:val="008735D5"/>
    <w:rsid w:val="00873F44"/>
    <w:rsid w:val="008755FC"/>
    <w:rsid w:val="00880A52"/>
    <w:rsid w:val="008935BD"/>
    <w:rsid w:val="008936DF"/>
    <w:rsid w:val="00896D0F"/>
    <w:rsid w:val="00896EC6"/>
    <w:rsid w:val="008A14EB"/>
    <w:rsid w:val="008A1C40"/>
    <w:rsid w:val="008A439B"/>
    <w:rsid w:val="008B61E3"/>
    <w:rsid w:val="008C474C"/>
    <w:rsid w:val="008C56D8"/>
    <w:rsid w:val="008D39B2"/>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259E"/>
    <w:rsid w:val="00957F22"/>
    <w:rsid w:val="00961F15"/>
    <w:rsid w:val="00962FE4"/>
    <w:rsid w:val="009665AC"/>
    <w:rsid w:val="00990B18"/>
    <w:rsid w:val="009A4F0C"/>
    <w:rsid w:val="009B2208"/>
    <w:rsid w:val="009B22EE"/>
    <w:rsid w:val="009B7F1B"/>
    <w:rsid w:val="009C09A6"/>
    <w:rsid w:val="009C6632"/>
    <w:rsid w:val="009C7D3A"/>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0129"/>
    <w:rsid w:val="00A44C60"/>
    <w:rsid w:val="00A5096A"/>
    <w:rsid w:val="00A55D4E"/>
    <w:rsid w:val="00A56BCD"/>
    <w:rsid w:val="00A57D44"/>
    <w:rsid w:val="00A60012"/>
    <w:rsid w:val="00A60016"/>
    <w:rsid w:val="00A77604"/>
    <w:rsid w:val="00A800A3"/>
    <w:rsid w:val="00A8261E"/>
    <w:rsid w:val="00A8495F"/>
    <w:rsid w:val="00A917E0"/>
    <w:rsid w:val="00A94C01"/>
    <w:rsid w:val="00AA7D28"/>
    <w:rsid w:val="00AB3E83"/>
    <w:rsid w:val="00AB5B26"/>
    <w:rsid w:val="00AB7DBF"/>
    <w:rsid w:val="00AC6950"/>
    <w:rsid w:val="00AE3CD1"/>
    <w:rsid w:val="00AE41D5"/>
    <w:rsid w:val="00AE4D73"/>
    <w:rsid w:val="00AE60A5"/>
    <w:rsid w:val="00AF1C92"/>
    <w:rsid w:val="00AF393D"/>
    <w:rsid w:val="00AF7B9B"/>
    <w:rsid w:val="00B06F8B"/>
    <w:rsid w:val="00B15880"/>
    <w:rsid w:val="00B1673D"/>
    <w:rsid w:val="00B250ED"/>
    <w:rsid w:val="00B25C26"/>
    <w:rsid w:val="00B25E02"/>
    <w:rsid w:val="00B261BA"/>
    <w:rsid w:val="00B3064A"/>
    <w:rsid w:val="00B3473A"/>
    <w:rsid w:val="00B36061"/>
    <w:rsid w:val="00B36A9C"/>
    <w:rsid w:val="00B37787"/>
    <w:rsid w:val="00B4059F"/>
    <w:rsid w:val="00B41BBE"/>
    <w:rsid w:val="00B4230E"/>
    <w:rsid w:val="00B4506F"/>
    <w:rsid w:val="00B45D0C"/>
    <w:rsid w:val="00B46F92"/>
    <w:rsid w:val="00B4727E"/>
    <w:rsid w:val="00B5018E"/>
    <w:rsid w:val="00B51E64"/>
    <w:rsid w:val="00B52E68"/>
    <w:rsid w:val="00B53005"/>
    <w:rsid w:val="00B53C3B"/>
    <w:rsid w:val="00B54E70"/>
    <w:rsid w:val="00B55827"/>
    <w:rsid w:val="00B56865"/>
    <w:rsid w:val="00B569D8"/>
    <w:rsid w:val="00B602C9"/>
    <w:rsid w:val="00B62845"/>
    <w:rsid w:val="00B64835"/>
    <w:rsid w:val="00B66A7E"/>
    <w:rsid w:val="00B702D5"/>
    <w:rsid w:val="00B723C6"/>
    <w:rsid w:val="00B800CB"/>
    <w:rsid w:val="00B8074B"/>
    <w:rsid w:val="00B8101A"/>
    <w:rsid w:val="00B861AB"/>
    <w:rsid w:val="00B944EB"/>
    <w:rsid w:val="00B95D4D"/>
    <w:rsid w:val="00BA2A45"/>
    <w:rsid w:val="00BA4D5C"/>
    <w:rsid w:val="00BA6B7D"/>
    <w:rsid w:val="00BB27C2"/>
    <w:rsid w:val="00BB4002"/>
    <w:rsid w:val="00BB41DE"/>
    <w:rsid w:val="00BB7D50"/>
    <w:rsid w:val="00BC32F6"/>
    <w:rsid w:val="00BD0575"/>
    <w:rsid w:val="00BD12AC"/>
    <w:rsid w:val="00BD29BB"/>
    <w:rsid w:val="00BD527B"/>
    <w:rsid w:val="00BD75B8"/>
    <w:rsid w:val="00BE0931"/>
    <w:rsid w:val="00BE125E"/>
    <w:rsid w:val="00BE5440"/>
    <w:rsid w:val="00BE5843"/>
    <w:rsid w:val="00BE7159"/>
    <w:rsid w:val="00BF0359"/>
    <w:rsid w:val="00BF070F"/>
    <w:rsid w:val="00BF3AF0"/>
    <w:rsid w:val="00C01E8F"/>
    <w:rsid w:val="00C0501F"/>
    <w:rsid w:val="00C06F2F"/>
    <w:rsid w:val="00C07885"/>
    <w:rsid w:val="00C136F8"/>
    <w:rsid w:val="00C146F6"/>
    <w:rsid w:val="00C1563C"/>
    <w:rsid w:val="00C16C8B"/>
    <w:rsid w:val="00C17469"/>
    <w:rsid w:val="00C20799"/>
    <w:rsid w:val="00C22FB8"/>
    <w:rsid w:val="00C31F64"/>
    <w:rsid w:val="00C43AC5"/>
    <w:rsid w:val="00C4470A"/>
    <w:rsid w:val="00C522BD"/>
    <w:rsid w:val="00C60F14"/>
    <w:rsid w:val="00C63C39"/>
    <w:rsid w:val="00C63F2A"/>
    <w:rsid w:val="00C64F11"/>
    <w:rsid w:val="00C66819"/>
    <w:rsid w:val="00C72FB8"/>
    <w:rsid w:val="00C828E1"/>
    <w:rsid w:val="00C907C0"/>
    <w:rsid w:val="00C93837"/>
    <w:rsid w:val="00CA398B"/>
    <w:rsid w:val="00CC4CB1"/>
    <w:rsid w:val="00CC6DC5"/>
    <w:rsid w:val="00CC7928"/>
    <w:rsid w:val="00CD36BC"/>
    <w:rsid w:val="00CD6E8D"/>
    <w:rsid w:val="00CD724F"/>
    <w:rsid w:val="00CD7F41"/>
    <w:rsid w:val="00CE188C"/>
    <w:rsid w:val="00CE4C82"/>
    <w:rsid w:val="00CF148C"/>
    <w:rsid w:val="00CF20AD"/>
    <w:rsid w:val="00D00D53"/>
    <w:rsid w:val="00D02170"/>
    <w:rsid w:val="00D03058"/>
    <w:rsid w:val="00D06F55"/>
    <w:rsid w:val="00D0775C"/>
    <w:rsid w:val="00D11D8B"/>
    <w:rsid w:val="00D144FA"/>
    <w:rsid w:val="00D21043"/>
    <w:rsid w:val="00D265EF"/>
    <w:rsid w:val="00D2761D"/>
    <w:rsid w:val="00D33C83"/>
    <w:rsid w:val="00D463F1"/>
    <w:rsid w:val="00D524BB"/>
    <w:rsid w:val="00D531F1"/>
    <w:rsid w:val="00D561C8"/>
    <w:rsid w:val="00D57CCE"/>
    <w:rsid w:val="00D65E8E"/>
    <w:rsid w:val="00D6703D"/>
    <w:rsid w:val="00D70D21"/>
    <w:rsid w:val="00D717DA"/>
    <w:rsid w:val="00D733F3"/>
    <w:rsid w:val="00D7659E"/>
    <w:rsid w:val="00D815CF"/>
    <w:rsid w:val="00D84BA5"/>
    <w:rsid w:val="00D91FD1"/>
    <w:rsid w:val="00D946B0"/>
    <w:rsid w:val="00DA2679"/>
    <w:rsid w:val="00DA3039"/>
    <w:rsid w:val="00DA6B88"/>
    <w:rsid w:val="00DA73B6"/>
    <w:rsid w:val="00DB127D"/>
    <w:rsid w:val="00DD3C58"/>
    <w:rsid w:val="00DD62AD"/>
    <w:rsid w:val="00DD63AB"/>
    <w:rsid w:val="00DD7153"/>
    <w:rsid w:val="00DF48BE"/>
    <w:rsid w:val="00DF4F58"/>
    <w:rsid w:val="00E11F2F"/>
    <w:rsid w:val="00E13A3A"/>
    <w:rsid w:val="00E14CD2"/>
    <w:rsid w:val="00E301AE"/>
    <w:rsid w:val="00E315BC"/>
    <w:rsid w:val="00E3239D"/>
    <w:rsid w:val="00E33610"/>
    <w:rsid w:val="00E35139"/>
    <w:rsid w:val="00E44555"/>
    <w:rsid w:val="00E4526A"/>
    <w:rsid w:val="00E50608"/>
    <w:rsid w:val="00E5165B"/>
    <w:rsid w:val="00E52ABA"/>
    <w:rsid w:val="00E5314F"/>
    <w:rsid w:val="00E653E3"/>
    <w:rsid w:val="00E66AEE"/>
    <w:rsid w:val="00E70FF5"/>
    <w:rsid w:val="00E736A7"/>
    <w:rsid w:val="00E764B1"/>
    <w:rsid w:val="00E80541"/>
    <w:rsid w:val="00E85656"/>
    <w:rsid w:val="00E87C26"/>
    <w:rsid w:val="00EA2361"/>
    <w:rsid w:val="00EB11D4"/>
    <w:rsid w:val="00EB2886"/>
    <w:rsid w:val="00EB398E"/>
    <w:rsid w:val="00EC0080"/>
    <w:rsid w:val="00EC4096"/>
    <w:rsid w:val="00EC429C"/>
    <w:rsid w:val="00EC6A51"/>
    <w:rsid w:val="00ED0199"/>
    <w:rsid w:val="00ED05AC"/>
    <w:rsid w:val="00ED10E2"/>
    <w:rsid w:val="00ED74B5"/>
    <w:rsid w:val="00EE4050"/>
    <w:rsid w:val="00EE4149"/>
    <w:rsid w:val="00F04867"/>
    <w:rsid w:val="00F04E3E"/>
    <w:rsid w:val="00F060CC"/>
    <w:rsid w:val="00F10771"/>
    <w:rsid w:val="00F205E5"/>
    <w:rsid w:val="00F22999"/>
    <w:rsid w:val="00F42AC0"/>
    <w:rsid w:val="00F44FDF"/>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5A8E"/>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29CDE9"/>
  <w15:chartTrackingRefBased/>
  <w15:docId w15:val="{B95D491C-DDCA-45C5-A070-57D50565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3C83"/>
    <w:pPr>
      <w:spacing w:after="150" w:line="276" w:lineRule="auto"/>
      <w:jc w:val="both"/>
    </w:pPr>
  </w:style>
  <w:style w:type="paragraph" w:styleId="Cmsor1">
    <w:name w:val="heading 1"/>
    <w:basedOn w:val="Norml"/>
    <w:next w:val="Norml"/>
    <w:link w:val="Cmsor1Char"/>
    <w:qFormat/>
    <w:rsid w:val="00D33C83"/>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D33C83"/>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D33C83"/>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D33C83"/>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D33C83"/>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D33C83"/>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D33C83"/>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33C83"/>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33C83"/>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33C8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33C83"/>
  </w:style>
  <w:style w:type="table" w:customStyle="1" w:styleId="tblzat-mtrix">
    <w:name w:val="táblázat - mátrix"/>
    <w:basedOn w:val="Normltblzat"/>
    <w:uiPriority w:val="2"/>
    <w:qFormat/>
    <w:rsid w:val="00D33C83"/>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33C8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33C83"/>
    <w:pPr>
      <w:numPr>
        <w:numId w:val="9"/>
      </w:numPr>
      <w:contextualSpacing/>
    </w:pPr>
  </w:style>
  <w:style w:type="character" w:styleId="Hiperhivatkozs">
    <w:name w:val="Hyperlink"/>
    <w:basedOn w:val="Vgjegyzet-hivatkozs"/>
    <w:uiPriority w:val="99"/>
    <w:rsid w:val="00D33C83"/>
    <w:rPr>
      <w:rFonts w:ascii="Calibri" w:hAnsi="Calibri"/>
      <w:color w:val="0000FF"/>
      <w:sz w:val="20"/>
      <w:u w:val="single"/>
      <w:vertAlign w:val="superscript"/>
    </w:rPr>
  </w:style>
  <w:style w:type="table" w:customStyle="1" w:styleId="tblzat-oldallces">
    <w:name w:val="táblázat - oldalléces"/>
    <w:basedOn w:val="Normltblzat"/>
    <w:uiPriority w:val="3"/>
    <w:qFormat/>
    <w:rsid w:val="00D33C8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33C83"/>
    <w:rPr>
      <w:vertAlign w:val="superscript"/>
    </w:rPr>
  </w:style>
  <w:style w:type="paragraph" w:styleId="Buborkszveg">
    <w:name w:val="Balloon Text"/>
    <w:basedOn w:val="Norml"/>
    <w:link w:val="BuborkszvegChar"/>
    <w:uiPriority w:val="99"/>
    <w:semiHidden/>
    <w:unhideWhenUsed/>
    <w:rsid w:val="00D33C83"/>
    <w:rPr>
      <w:rFonts w:ascii="Tahoma" w:hAnsi="Tahoma" w:cs="Tahoma"/>
      <w:sz w:val="16"/>
      <w:szCs w:val="16"/>
    </w:rPr>
  </w:style>
  <w:style w:type="paragraph" w:customStyle="1" w:styleId="Magyarzszveg">
    <w:name w:val="Magyarázó szöveg"/>
    <w:basedOn w:val="Norml"/>
    <w:next w:val="Norml"/>
    <w:uiPriority w:val="7"/>
    <w:rsid w:val="00D33C83"/>
    <w:rPr>
      <w:color w:val="F6A800" w:themeColor="accent5"/>
      <w:sz w:val="18"/>
    </w:rPr>
  </w:style>
  <w:style w:type="character" w:customStyle="1" w:styleId="BuborkszvegChar">
    <w:name w:val="Buborékszöveg Char"/>
    <w:basedOn w:val="Bekezdsalapbettpusa"/>
    <w:link w:val="Buborkszveg"/>
    <w:uiPriority w:val="99"/>
    <w:semiHidden/>
    <w:rsid w:val="00D33C83"/>
    <w:rPr>
      <w:rFonts w:ascii="Tahoma" w:hAnsi="Tahoma" w:cs="Tahoma"/>
      <w:sz w:val="16"/>
      <w:szCs w:val="16"/>
    </w:rPr>
  </w:style>
  <w:style w:type="paragraph" w:styleId="lfej">
    <w:name w:val="header"/>
    <w:basedOn w:val="Norml"/>
    <w:link w:val="lfejChar"/>
    <w:uiPriority w:val="99"/>
    <w:unhideWhenUsed/>
    <w:rsid w:val="00D33C83"/>
    <w:pPr>
      <w:tabs>
        <w:tab w:val="center" w:pos="4536"/>
        <w:tab w:val="right" w:pos="9072"/>
      </w:tabs>
    </w:pPr>
  </w:style>
  <w:style w:type="character" w:customStyle="1" w:styleId="lfejChar">
    <w:name w:val="Élőfej Char"/>
    <w:basedOn w:val="Bekezdsalapbettpusa"/>
    <w:link w:val="lfej"/>
    <w:uiPriority w:val="99"/>
    <w:rsid w:val="00D33C83"/>
  </w:style>
  <w:style w:type="paragraph" w:styleId="llb">
    <w:name w:val="footer"/>
    <w:basedOn w:val="Norml"/>
    <w:link w:val="llbChar"/>
    <w:uiPriority w:val="99"/>
    <w:unhideWhenUsed/>
    <w:rsid w:val="00D33C83"/>
    <w:pPr>
      <w:tabs>
        <w:tab w:val="center" w:pos="4536"/>
        <w:tab w:val="right" w:pos="9072"/>
      </w:tabs>
    </w:pPr>
  </w:style>
  <w:style w:type="character" w:customStyle="1" w:styleId="llbChar">
    <w:name w:val="Élőláb Char"/>
    <w:basedOn w:val="Bekezdsalapbettpusa"/>
    <w:link w:val="llb"/>
    <w:uiPriority w:val="99"/>
    <w:rsid w:val="00D33C83"/>
  </w:style>
  <w:style w:type="paragraph" w:customStyle="1" w:styleId="Szmozs">
    <w:name w:val="Számozás"/>
    <w:basedOn w:val="Norml"/>
    <w:uiPriority w:val="4"/>
    <w:qFormat/>
    <w:rsid w:val="00D33C83"/>
    <w:pPr>
      <w:numPr>
        <w:numId w:val="4"/>
      </w:numPr>
      <w:spacing w:before="120"/>
      <w:contextualSpacing/>
    </w:pPr>
  </w:style>
  <w:style w:type="table" w:styleId="Rcsostblzat">
    <w:name w:val="Table Grid"/>
    <w:aliases w:val="Szegély nélküli"/>
    <w:basedOn w:val="Normltblzat"/>
    <w:uiPriority w:val="59"/>
    <w:rsid w:val="00D33C83"/>
    <w:pPr>
      <w:contextualSpacing/>
    </w:pPr>
    <w:tblPr/>
    <w:tcPr>
      <w:vAlign w:val="center"/>
    </w:tcPr>
  </w:style>
  <w:style w:type="character" w:customStyle="1" w:styleId="Cmsor4Char">
    <w:name w:val="Címsor 4 Char"/>
    <w:basedOn w:val="Bekezdsalapbettpusa"/>
    <w:link w:val="Cmsor4"/>
    <w:rsid w:val="00D33C83"/>
    <w:rPr>
      <w:iCs/>
      <w:color w:val="0C2148" w:themeColor="text2"/>
      <w:szCs w:val="30"/>
    </w:rPr>
  </w:style>
  <w:style w:type="character" w:customStyle="1" w:styleId="Cmsor5Char">
    <w:name w:val="Címsor 5 Char"/>
    <w:basedOn w:val="Bekezdsalapbettpusa"/>
    <w:link w:val="Cmsor5"/>
    <w:rsid w:val="00D33C83"/>
    <w:rPr>
      <w:color w:val="0C2148" w:themeColor="text2"/>
      <w:szCs w:val="26"/>
    </w:rPr>
  </w:style>
  <w:style w:type="character" w:customStyle="1" w:styleId="Cmsor6Char">
    <w:name w:val="Címsor 6 Char"/>
    <w:basedOn w:val="Bekezdsalapbettpusa"/>
    <w:link w:val="Cmsor6"/>
    <w:rsid w:val="00D33C83"/>
    <w:rPr>
      <w:color w:val="0C2148" w:themeColor="text2"/>
    </w:rPr>
  </w:style>
  <w:style w:type="character" w:customStyle="1" w:styleId="Cmsor1Char">
    <w:name w:val="Címsor 1 Char"/>
    <w:basedOn w:val="Bekezdsalapbettpusa"/>
    <w:link w:val="Cmsor1"/>
    <w:rsid w:val="00D33C83"/>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D33C83"/>
    <w:rPr>
      <w:b/>
      <w:color w:val="0C2148" w:themeColor="text2"/>
      <w:sz w:val="24"/>
      <w:szCs w:val="38"/>
    </w:rPr>
  </w:style>
  <w:style w:type="character" w:customStyle="1" w:styleId="Cmsor3Char">
    <w:name w:val="Címsor 3 Char"/>
    <w:basedOn w:val="Bekezdsalapbettpusa"/>
    <w:link w:val="Cmsor3"/>
    <w:rsid w:val="00D33C83"/>
    <w:rPr>
      <w:bCs/>
      <w:color w:val="0C2148" w:themeColor="text2"/>
      <w:szCs w:val="34"/>
    </w:rPr>
  </w:style>
  <w:style w:type="paragraph" w:styleId="Cm">
    <w:name w:val="Title"/>
    <w:basedOn w:val="Norml"/>
    <w:next w:val="Norml"/>
    <w:link w:val="CmChar"/>
    <w:uiPriority w:val="3"/>
    <w:qFormat/>
    <w:rsid w:val="00D33C83"/>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D33C83"/>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D33C83"/>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D33C83"/>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D33C83"/>
    <w:rPr>
      <w:rFonts w:eastAsiaTheme="majorEastAsia" w:cstheme="majorBidi"/>
      <w:i/>
      <w:iCs/>
      <w:color w:val="404040" w:themeColor="text1" w:themeTint="BF"/>
    </w:rPr>
  </w:style>
  <w:style w:type="numbering" w:customStyle="1" w:styleId="Style1">
    <w:name w:val="Style1"/>
    <w:uiPriority w:val="99"/>
    <w:rsid w:val="00D33C83"/>
    <w:pPr>
      <w:numPr>
        <w:numId w:val="1"/>
      </w:numPr>
    </w:pPr>
  </w:style>
  <w:style w:type="paragraph" w:styleId="TJ7">
    <w:name w:val="toc 7"/>
    <w:basedOn w:val="Norml"/>
    <w:next w:val="Norml"/>
    <w:autoRedefine/>
    <w:uiPriority w:val="99"/>
    <w:semiHidden/>
    <w:locked/>
    <w:rsid w:val="00D33C83"/>
    <w:pPr>
      <w:spacing w:after="100"/>
      <w:ind w:left="1200"/>
    </w:pPr>
    <w:rPr>
      <w:color w:val="385623" w:themeColor="accent6" w:themeShade="80"/>
    </w:rPr>
  </w:style>
  <w:style w:type="paragraph" w:styleId="TJ8">
    <w:name w:val="toc 8"/>
    <w:basedOn w:val="Norml"/>
    <w:next w:val="Norml"/>
    <w:autoRedefine/>
    <w:uiPriority w:val="99"/>
    <w:semiHidden/>
    <w:locked/>
    <w:rsid w:val="00D33C83"/>
    <w:pPr>
      <w:spacing w:after="100"/>
      <w:ind w:left="1400"/>
    </w:pPr>
    <w:rPr>
      <w:color w:val="385623" w:themeColor="accent6" w:themeShade="80"/>
    </w:rPr>
  </w:style>
  <w:style w:type="paragraph" w:styleId="TJ9">
    <w:name w:val="toc 9"/>
    <w:basedOn w:val="Norml"/>
    <w:next w:val="Norml"/>
    <w:autoRedefine/>
    <w:uiPriority w:val="99"/>
    <w:semiHidden/>
    <w:locked/>
    <w:rsid w:val="00D33C83"/>
    <w:pPr>
      <w:spacing w:after="100"/>
      <w:ind w:left="1600"/>
    </w:pPr>
    <w:rPr>
      <w:color w:val="385623" w:themeColor="accent6" w:themeShade="80"/>
    </w:rPr>
  </w:style>
  <w:style w:type="table" w:customStyle="1" w:styleId="Calendar2">
    <w:name w:val="Calendar 2"/>
    <w:basedOn w:val="Normltblzat"/>
    <w:uiPriority w:val="99"/>
    <w:qFormat/>
    <w:rsid w:val="00D33C83"/>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33C83"/>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D33C83"/>
    <w:rPr>
      <w:rFonts w:eastAsiaTheme="minorEastAsia"/>
      <w:color w:val="0C2148" w:themeColor="text2"/>
      <w:sz w:val="16"/>
    </w:rPr>
  </w:style>
  <w:style w:type="character" w:styleId="Finomkiemels">
    <w:name w:val="Subtle Emphasis"/>
    <w:basedOn w:val="Bekezdsalapbettpusa"/>
    <w:uiPriority w:val="19"/>
    <w:qFormat/>
    <w:rsid w:val="00D33C8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33C83"/>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D33C8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33C83"/>
    <w:rPr>
      <w:color w:val="385623" w:themeColor="accent6" w:themeShade="80"/>
    </w:rPr>
  </w:style>
  <w:style w:type="character" w:customStyle="1" w:styleId="VgjegyzetszvegeChar">
    <w:name w:val="Végjegyzet szövege Char"/>
    <w:basedOn w:val="Bekezdsalapbettpusa"/>
    <w:link w:val="Vgjegyzetszvege"/>
    <w:uiPriority w:val="99"/>
    <w:semiHidden/>
    <w:rsid w:val="00D33C83"/>
    <w:rPr>
      <w:color w:val="385623" w:themeColor="accent6" w:themeShade="80"/>
    </w:rPr>
  </w:style>
  <w:style w:type="table" w:customStyle="1" w:styleId="Vilgosrnykols1jellszn1">
    <w:name w:val="Világos árnyékolás – 1. jelölőszín1"/>
    <w:basedOn w:val="Normltblzat"/>
    <w:uiPriority w:val="60"/>
    <w:rsid w:val="00D33C83"/>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D33C83"/>
    <w:pPr>
      <w:numPr>
        <w:numId w:val="5"/>
      </w:numPr>
    </w:pPr>
  </w:style>
  <w:style w:type="paragraph" w:customStyle="1" w:styleId="Tblaszvegstlus">
    <w:name w:val="Tábla szöveg stílus"/>
    <w:basedOn w:val="Norml"/>
    <w:link w:val="TblaszvegstlusChar"/>
    <w:uiPriority w:val="8"/>
    <w:qFormat/>
    <w:rsid w:val="00D33C83"/>
  </w:style>
  <w:style w:type="character" w:customStyle="1" w:styleId="ListaszerbekezdsChar">
    <w:name w:val="Listaszerű bekezdés Char"/>
    <w:basedOn w:val="Bekezdsalapbettpusa"/>
    <w:link w:val="Listaszerbekezds"/>
    <w:uiPriority w:val="4"/>
    <w:rsid w:val="00D33C83"/>
  </w:style>
  <w:style w:type="character" w:customStyle="1" w:styleId="Listaszerbekezds2Char">
    <w:name w:val="Listaszerű bekezdés 2 Char"/>
    <w:basedOn w:val="ListaszerbekezdsChar"/>
    <w:link w:val="Listaszerbekezds2"/>
    <w:uiPriority w:val="4"/>
    <w:rsid w:val="00D33C83"/>
  </w:style>
  <w:style w:type="character" w:customStyle="1" w:styleId="TblaszvegstlusChar">
    <w:name w:val="Tábla szöveg stílus Char"/>
    <w:basedOn w:val="Bekezdsalapbettpusa"/>
    <w:link w:val="Tblaszvegstlus"/>
    <w:uiPriority w:val="8"/>
    <w:rsid w:val="00D33C83"/>
  </w:style>
  <w:style w:type="character" w:styleId="Finomhivatkozs">
    <w:name w:val="Subtle Reference"/>
    <w:basedOn w:val="Bekezdsalapbettpusa"/>
    <w:uiPriority w:val="31"/>
    <w:rsid w:val="00D33C83"/>
    <w:rPr>
      <w:sz w:val="24"/>
      <w:szCs w:val="24"/>
      <w:u w:val="single"/>
    </w:rPr>
  </w:style>
  <w:style w:type="character" w:styleId="Ershivatkozs">
    <w:name w:val="Intense Reference"/>
    <w:basedOn w:val="Bekezdsalapbettpusa"/>
    <w:uiPriority w:val="32"/>
    <w:rsid w:val="00D33C83"/>
    <w:rPr>
      <w:b/>
      <w:sz w:val="24"/>
      <w:u w:val="single"/>
    </w:rPr>
  </w:style>
  <w:style w:type="paragraph" w:customStyle="1" w:styleId="Listaszerbekezds2szint">
    <w:name w:val="Listaszerű bekezdés 2. szint"/>
    <w:basedOn w:val="Listaszerbekezds"/>
    <w:link w:val="Listaszerbekezds2szintChar"/>
    <w:uiPriority w:val="4"/>
    <w:qFormat/>
    <w:rsid w:val="00D33C83"/>
    <w:pPr>
      <w:numPr>
        <w:numId w:val="8"/>
      </w:numPr>
    </w:pPr>
  </w:style>
  <w:style w:type="paragraph" w:customStyle="1" w:styleId="Listaszerbekezds3szint">
    <w:name w:val="Listaszerű bekezdés 3. szint"/>
    <w:basedOn w:val="Listaszerbekezds"/>
    <w:link w:val="Listaszerbekezds3szintChar"/>
    <w:uiPriority w:val="4"/>
    <w:qFormat/>
    <w:rsid w:val="00D33C83"/>
    <w:pPr>
      <w:numPr>
        <w:ilvl w:val="2"/>
        <w:numId w:val="10"/>
      </w:numPr>
    </w:pPr>
  </w:style>
  <w:style w:type="character" w:customStyle="1" w:styleId="Listaszerbekezds2szintChar">
    <w:name w:val="Listaszerű bekezdés 2. szint Char"/>
    <w:basedOn w:val="ListaszerbekezdsChar"/>
    <w:link w:val="Listaszerbekezds2szint"/>
    <w:uiPriority w:val="4"/>
    <w:rsid w:val="00D33C83"/>
  </w:style>
  <w:style w:type="character" w:customStyle="1" w:styleId="Listaszerbekezds3szintChar">
    <w:name w:val="Listaszerű bekezdés 3. szint Char"/>
    <w:basedOn w:val="ListaszerbekezdsChar"/>
    <w:link w:val="Listaszerbekezds3szint"/>
    <w:uiPriority w:val="4"/>
    <w:rsid w:val="00D33C83"/>
  </w:style>
  <w:style w:type="paragraph" w:styleId="Alcm">
    <w:name w:val="Subtitle"/>
    <w:basedOn w:val="Norml"/>
    <w:next w:val="Norml"/>
    <w:link w:val="AlcmChar"/>
    <w:uiPriority w:val="11"/>
    <w:rsid w:val="00D33C8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33C83"/>
    <w:rPr>
      <w:rFonts w:eastAsiaTheme="majorEastAsia" w:cstheme="majorBidi"/>
    </w:rPr>
  </w:style>
  <w:style w:type="paragraph" w:customStyle="1" w:styleId="Listabetvel">
    <w:name w:val="Lista betűvel"/>
    <w:basedOn w:val="Listaszerbekezds"/>
    <w:link w:val="ListabetvelChar"/>
    <w:uiPriority w:val="4"/>
    <w:qFormat/>
    <w:rsid w:val="00D33C83"/>
    <w:pPr>
      <w:numPr>
        <w:numId w:val="7"/>
      </w:numPr>
    </w:pPr>
  </w:style>
  <w:style w:type="character" w:customStyle="1" w:styleId="ListabetvelChar">
    <w:name w:val="Lista betűvel Char"/>
    <w:basedOn w:val="ListaszerbekezdsChar"/>
    <w:link w:val="Listabetvel"/>
    <w:uiPriority w:val="4"/>
    <w:rsid w:val="00D33C83"/>
  </w:style>
  <w:style w:type="paragraph" w:customStyle="1" w:styleId="Erskiemels1">
    <w:name w:val="Erős kiemelés1"/>
    <w:basedOn w:val="Norml"/>
    <w:link w:val="ErskiemelsChar"/>
    <w:uiPriority w:val="5"/>
    <w:qFormat/>
    <w:rsid w:val="00D33C83"/>
    <w:rPr>
      <w:b/>
      <w:i/>
    </w:rPr>
  </w:style>
  <w:style w:type="character" w:customStyle="1" w:styleId="ErskiemelsChar">
    <w:name w:val="Erős kiemelés Char"/>
    <w:basedOn w:val="Bekezdsalapbettpusa"/>
    <w:link w:val="Erskiemels1"/>
    <w:uiPriority w:val="5"/>
    <w:rsid w:val="00D33C83"/>
    <w:rPr>
      <w:b/>
      <w:i/>
    </w:rPr>
  </w:style>
  <w:style w:type="paragraph" w:customStyle="1" w:styleId="Bold">
    <w:name w:val="Bold"/>
    <w:basedOn w:val="Norml"/>
    <w:link w:val="BoldChar"/>
    <w:uiPriority w:val="6"/>
    <w:qFormat/>
    <w:rsid w:val="00D33C83"/>
    <w:rPr>
      <w:b/>
    </w:rPr>
  </w:style>
  <w:style w:type="character" w:customStyle="1" w:styleId="BoldChar">
    <w:name w:val="Bold Char"/>
    <w:basedOn w:val="Bekezdsalapbettpusa"/>
    <w:link w:val="Bold"/>
    <w:uiPriority w:val="6"/>
    <w:rsid w:val="00D33C83"/>
    <w:rPr>
      <w:b/>
    </w:rPr>
  </w:style>
  <w:style w:type="character" w:styleId="Mrltotthiperhivatkozs">
    <w:name w:val="FollowedHyperlink"/>
    <w:basedOn w:val="Bekezdsalapbettpusa"/>
    <w:uiPriority w:val="99"/>
    <w:semiHidden/>
    <w:unhideWhenUsed/>
    <w:rsid w:val="00D33C83"/>
    <w:rPr>
      <w:color w:val="954F72" w:themeColor="followedHyperlink"/>
      <w:u w:val="single"/>
    </w:rPr>
  </w:style>
  <w:style w:type="paragraph" w:styleId="Tartalomjegyzkcmsora">
    <w:name w:val="TOC Heading"/>
    <w:basedOn w:val="Cmsor1"/>
    <w:next w:val="Norml"/>
    <w:uiPriority w:val="39"/>
    <w:unhideWhenUsed/>
    <w:qFormat/>
    <w:rsid w:val="00D33C83"/>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33C83"/>
    <w:pPr>
      <w:spacing w:after="100"/>
      <w:ind w:left="220"/>
      <w:jc w:val="left"/>
    </w:pPr>
    <w:rPr>
      <w:rFonts w:eastAsiaTheme="minorEastAsia"/>
    </w:rPr>
  </w:style>
  <w:style w:type="paragraph" w:styleId="TJ1">
    <w:name w:val="toc 1"/>
    <w:basedOn w:val="Norml"/>
    <w:next w:val="Norml"/>
    <w:autoRedefine/>
    <w:uiPriority w:val="39"/>
    <w:unhideWhenUsed/>
    <w:qFormat/>
    <w:locked/>
    <w:rsid w:val="00D33C83"/>
    <w:pPr>
      <w:spacing w:after="100"/>
      <w:jc w:val="left"/>
    </w:pPr>
    <w:rPr>
      <w:rFonts w:eastAsiaTheme="minorEastAsia"/>
    </w:rPr>
  </w:style>
  <w:style w:type="paragraph" w:styleId="TJ3">
    <w:name w:val="toc 3"/>
    <w:basedOn w:val="Norml"/>
    <w:next w:val="Norml"/>
    <w:uiPriority w:val="39"/>
    <w:unhideWhenUsed/>
    <w:qFormat/>
    <w:locked/>
    <w:rsid w:val="00D33C83"/>
    <w:pPr>
      <w:spacing w:after="100"/>
      <w:ind w:left="400"/>
    </w:pPr>
  </w:style>
  <w:style w:type="paragraph" w:customStyle="1" w:styleId="StyleTOC2Left015">
    <w:name w:val="Style TOC 2 + Left:  0.15&quot;"/>
    <w:basedOn w:val="TJ2"/>
    <w:rsid w:val="00D33C83"/>
    <w:pPr>
      <w:ind w:left="216"/>
    </w:pPr>
    <w:rPr>
      <w:rFonts w:eastAsia="Times New Roman" w:cs="Times New Roman"/>
    </w:rPr>
  </w:style>
  <w:style w:type="paragraph" w:customStyle="1" w:styleId="StyleTOC3Left031">
    <w:name w:val="Style TOC 3 + Left:  0.31&quot;"/>
    <w:basedOn w:val="TJ3"/>
    <w:rsid w:val="00D33C83"/>
    <w:pPr>
      <w:ind w:left="446"/>
    </w:pPr>
    <w:rPr>
      <w:rFonts w:eastAsia="Times New Roman" w:cs="Times New Roman"/>
    </w:rPr>
  </w:style>
  <w:style w:type="numbering" w:customStyle="1" w:styleId="Hierarchikuslista">
    <w:name w:val="Hierarchikus lista"/>
    <w:uiPriority w:val="99"/>
    <w:rsid w:val="00D33C83"/>
    <w:pPr>
      <w:numPr>
        <w:numId w:val="2"/>
      </w:numPr>
    </w:pPr>
  </w:style>
  <w:style w:type="paragraph" w:customStyle="1" w:styleId="HierarchikusLista0">
    <w:name w:val="Hierarchikus Lista"/>
    <w:basedOn w:val="Listaszerbekezds"/>
    <w:link w:val="HierarchikusListaChar"/>
    <w:qFormat/>
    <w:rsid w:val="00D33C83"/>
    <w:pPr>
      <w:numPr>
        <w:numId w:val="0"/>
      </w:numPr>
    </w:pPr>
  </w:style>
  <w:style w:type="character" w:customStyle="1" w:styleId="HierarchikusListaChar">
    <w:name w:val="Hierarchikus Lista Char"/>
    <w:basedOn w:val="ListaszerbekezdsChar"/>
    <w:link w:val="HierarchikusLista0"/>
    <w:rsid w:val="00D33C83"/>
  </w:style>
  <w:style w:type="character" w:styleId="Kiemels2">
    <w:name w:val="Strong"/>
    <w:basedOn w:val="Bekezdsalapbettpusa"/>
    <w:uiPriority w:val="22"/>
    <w:rsid w:val="00D33C83"/>
    <w:rPr>
      <w:b/>
      <w:bCs/>
    </w:rPr>
  </w:style>
  <w:style w:type="character" w:styleId="Kiemels">
    <w:name w:val="Emphasis"/>
    <w:basedOn w:val="Bekezdsalapbettpusa"/>
    <w:uiPriority w:val="6"/>
    <w:qFormat/>
    <w:rsid w:val="00D33C83"/>
    <w:rPr>
      <w:i/>
      <w:iCs/>
    </w:rPr>
  </w:style>
  <w:style w:type="paragraph" w:styleId="Nincstrkz">
    <w:name w:val="No Spacing"/>
    <w:basedOn w:val="Norml"/>
    <w:uiPriority w:val="1"/>
    <w:rsid w:val="00D33C83"/>
    <w:rPr>
      <w:szCs w:val="32"/>
    </w:rPr>
  </w:style>
  <w:style w:type="paragraph" w:styleId="Idzet">
    <w:name w:val="Quote"/>
    <w:basedOn w:val="Norml"/>
    <w:next w:val="Norml"/>
    <w:link w:val="IdzetChar"/>
    <w:uiPriority w:val="29"/>
    <w:rsid w:val="00D33C83"/>
    <w:rPr>
      <w:i/>
    </w:rPr>
  </w:style>
  <w:style w:type="character" w:customStyle="1" w:styleId="IdzetChar">
    <w:name w:val="Idézet Char"/>
    <w:basedOn w:val="Bekezdsalapbettpusa"/>
    <w:link w:val="Idzet"/>
    <w:uiPriority w:val="29"/>
    <w:rsid w:val="00D33C83"/>
    <w:rPr>
      <w:i/>
    </w:rPr>
  </w:style>
  <w:style w:type="paragraph" w:styleId="Kiemeltidzet">
    <w:name w:val="Intense Quote"/>
    <w:basedOn w:val="Norml"/>
    <w:next w:val="Norml"/>
    <w:link w:val="KiemeltidzetChar"/>
    <w:uiPriority w:val="30"/>
    <w:rsid w:val="00D33C83"/>
    <w:pPr>
      <w:ind w:left="720" w:right="720"/>
    </w:pPr>
    <w:rPr>
      <w:b/>
      <w:i/>
    </w:rPr>
  </w:style>
  <w:style w:type="character" w:customStyle="1" w:styleId="KiemeltidzetChar">
    <w:name w:val="Kiemelt idézet Char"/>
    <w:basedOn w:val="Bekezdsalapbettpusa"/>
    <w:link w:val="Kiemeltidzet"/>
    <w:uiPriority w:val="30"/>
    <w:rsid w:val="00D33C83"/>
    <w:rPr>
      <w:b/>
      <w:i/>
    </w:rPr>
  </w:style>
  <w:style w:type="character" w:styleId="Erskiemels">
    <w:name w:val="Intense Emphasis"/>
    <w:basedOn w:val="Bekezdsalapbettpusa"/>
    <w:uiPriority w:val="21"/>
    <w:rsid w:val="00D33C83"/>
    <w:rPr>
      <w:b/>
      <w:i/>
      <w:sz w:val="24"/>
      <w:szCs w:val="24"/>
      <w:u w:val="single"/>
    </w:rPr>
  </w:style>
  <w:style w:type="character" w:styleId="Knyvcme">
    <w:name w:val="Book Title"/>
    <w:basedOn w:val="Bekezdsalapbettpusa"/>
    <w:uiPriority w:val="33"/>
    <w:rsid w:val="00D33C83"/>
    <w:rPr>
      <w:rFonts w:ascii="Calibri" w:eastAsiaTheme="majorEastAsia" w:hAnsi="Calibri"/>
      <w:b/>
      <w:i/>
      <w:sz w:val="24"/>
      <w:szCs w:val="24"/>
    </w:rPr>
  </w:style>
  <w:style w:type="paragraph" w:customStyle="1" w:styleId="Szvegdobozstlus">
    <w:name w:val="Szövegdoboz stílus"/>
    <w:basedOn w:val="HierarchikusLista0"/>
    <w:qFormat/>
    <w:rsid w:val="00D33C83"/>
    <w:rPr>
      <w:b/>
      <w:i/>
      <w:color w:val="009EE0"/>
    </w:rPr>
  </w:style>
  <w:style w:type="table" w:customStyle="1" w:styleId="Rcsos">
    <w:name w:val="Rácsos"/>
    <w:basedOn w:val="Normltblzat"/>
    <w:uiPriority w:val="99"/>
    <w:rsid w:val="00D33C83"/>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D33C8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33C83"/>
    <w:pPr>
      <w:keepNext/>
      <w:spacing w:after="40"/>
      <w:jc w:val="center"/>
    </w:pPr>
    <w:rPr>
      <w:b/>
      <w:bCs/>
      <w:color w:val="808080"/>
      <w:szCs w:val="18"/>
    </w:rPr>
  </w:style>
  <w:style w:type="paragraph" w:customStyle="1" w:styleId="ENCaption2Col">
    <w:name w:val="EN_Caption_2Col"/>
    <w:basedOn w:val="Norml"/>
    <w:next w:val="Norml"/>
    <w:uiPriority w:val="1"/>
    <w:qFormat/>
    <w:rsid w:val="00D33C83"/>
    <w:pPr>
      <w:keepNext/>
      <w:spacing w:after="40"/>
      <w:jc w:val="left"/>
    </w:pPr>
    <w:rPr>
      <w:b/>
      <w:bCs/>
      <w:color w:val="808080"/>
      <w:szCs w:val="18"/>
    </w:rPr>
  </w:style>
  <w:style w:type="paragraph" w:customStyle="1" w:styleId="ENCaptionBox">
    <w:name w:val="EN_Caption_Box"/>
    <w:basedOn w:val="Norml"/>
    <w:next w:val="Norml"/>
    <w:uiPriority w:val="1"/>
    <w:qFormat/>
    <w:rsid w:val="00D33C8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33C83"/>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33C83"/>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D33C83"/>
    <w:rPr>
      <w:rFonts w:eastAsiaTheme="minorEastAsia"/>
      <w:color w:val="808080"/>
      <w:sz w:val="18"/>
    </w:rPr>
  </w:style>
  <w:style w:type="paragraph" w:customStyle="1" w:styleId="ENNormal">
    <w:name w:val="EN_Normal"/>
    <w:basedOn w:val="Norml"/>
    <w:uiPriority w:val="1"/>
    <w:qFormat/>
    <w:rsid w:val="00D33C83"/>
  </w:style>
  <w:style w:type="paragraph" w:customStyle="1" w:styleId="ENNormalBox">
    <w:name w:val="EN_Normal_Box"/>
    <w:basedOn w:val="Norml"/>
    <w:uiPriority w:val="1"/>
    <w:qFormat/>
    <w:rsid w:val="00D33C8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D33C83"/>
    <w:pPr>
      <w:keepLines/>
      <w:jc w:val="center"/>
    </w:pPr>
    <w:rPr>
      <w:color w:val="808080"/>
      <w:sz w:val="18"/>
    </w:rPr>
  </w:style>
  <w:style w:type="paragraph" w:customStyle="1" w:styleId="ENNote2Col">
    <w:name w:val="EN_Note_2Col"/>
    <w:basedOn w:val="Norml"/>
    <w:next w:val="ENNormal"/>
    <w:uiPriority w:val="1"/>
    <w:qFormat/>
    <w:rsid w:val="00D33C83"/>
    <w:pPr>
      <w:keepLines/>
    </w:pPr>
    <w:rPr>
      <w:color w:val="808080"/>
      <w:sz w:val="18"/>
    </w:rPr>
  </w:style>
  <w:style w:type="paragraph" w:customStyle="1" w:styleId="ENNoteBox">
    <w:name w:val="EN_Note_Box"/>
    <w:basedOn w:val="Norml"/>
    <w:next w:val="ENNormalBox"/>
    <w:uiPriority w:val="1"/>
    <w:qFormat/>
    <w:rsid w:val="00D33C8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33C83"/>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D33C83"/>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D33C8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33C83"/>
    <w:pPr>
      <w:keepNext/>
      <w:spacing w:after="40"/>
      <w:jc w:val="center"/>
    </w:pPr>
    <w:rPr>
      <w:sz w:val="20"/>
    </w:rPr>
  </w:style>
  <w:style w:type="paragraph" w:customStyle="1" w:styleId="HUCaption2Col">
    <w:name w:val="HU_Caption_2Col"/>
    <w:basedOn w:val="Kpalrs"/>
    <w:next w:val="Norml"/>
    <w:uiPriority w:val="1"/>
    <w:qFormat/>
    <w:rsid w:val="00D33C83"/>
    <w:pPr>
      <w:keepNext/>
      <w:spacing w:after="40"/>
    </w:pPr>
    <w:rPr>
      <w:sz w:val="20"/>
    </w:rPr>
  </w:style>
  <w:style w:type="paragraph" w:customStyle="1" w:styleId="HUCaptionBox">
    <w:name w:val="HU_Caption_Box"/>
    <w:basedOn w:val="Kpalrs"/>
    <w:next w:val="Norml"/>
    <w:uiPriority w:val="1"/>
    <w:qFormat/>
    <w:rsid w:val="00D33C8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33C83"/>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33C83"/>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33C83"/>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D33C83"/>
    <w:rPr>
      <w:caps/>
      <w:color w:val="0C2148" w:themeColor="text2"/>
    </w:rPr>
  </w:style>
  <w:style w:type="paragraph" w:customStyle="1" w:styleId="HUFootnote">
    <w:name w:val="HU_Footnote"/>
    <w:basedOn w:val="Lbjegyzetszveg"/>
    <w:uiPriority w:val="1"/>
    <w:qFormat/>
    <w:rsid w:val="00D33C83"/>
    <w:rPr>
      <w:color w:val="808080"/>
      <w:sz w:val="18"/>
    </w:rPr>
  </w:style>
  <w:style w:type="paragraph" w:customStyle="1" w:styleId="HUNormalBox">
    <w:name w:val="HU_Normal_Box"/>
    <w:basedOn w:val="Norml"/>
    <w:uiPriority w:val="1"/>
    <w:qFormat/>
    <w:rsid w:val="00D33C8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D33C83"/>
    <w:pPr>
      <w:keepLines/>
      <w:jc w:val="center"/>
    </w:pPr>
    <w:rPr>
      <w:color w:val="808080"/>
      <w:sz w:val="18"/>
    </w:rPr>
  </w:style>
  <w:style w:type="paragraph" w:customStyle="1" w:styleId="HUNote2Col">
    <w:name w:val="HU_Note_2Col"/>
    <w:basedOn w:val="Norml"/>
    <w:next w:val="Norml"/>
    <w:uiPriority w:val="1"/>
    <w:qFormat/>
    <w:rsid w:val="00D33C83"/>
    <w:pPr>
      <w:keepLines/>
    </w:pPr>
    <w:rPr>
      <w:color w:val="808080"/>
      <w:sz w:val="18"/>
    </w:rPr>
  </w:style>
  <w:style w:type="paragraph" w:customStyle="1" w:styleId="HUNoteBox">
    <w:name w:val="HU_Note_Box"/>
    <w:basedOn w:val="Norml"/>
    <w:next w:val="HUNormalBox"/>
    <w:link w:val="HUNoteBoxChar"/>
    <w:uiPriority w:val="1"/>
    <w:qFormat/>
    <w:rsid w:val="00D33C8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33C83"/>
    <w:rPr>
      <w:color w:val="808080"/>
      <w:sz w:val="18"/>
      <w:shd w:val="clear" w:color="auto" w:fill="C6EEFF"/>
    </w:rPr>
  </w:style>
  <w:style w:type="paragraph" w:customStyle="1" w:styleId="HUSectionTitle">
    <w:name w:val="HU_Section_Title"/>
    <w:basedOn w:val="Cmsor2"/>
    <w:next w:val="Norml"/>
    <w:link w:val="HUSectionTitleChar"/>
    <w:uiPriority w:val="1"/>
    <w:rsid w:val="00D33C83"/>
    <w:pPr>
      <w:keepNext/>
    </w:pPr>
  </w:style>
  <w:style w:type="character" w:customStyle="1" w:styleId="HUSectionTitleChar">
    <w:name w:val="HU_Section_Title Char"/>
    <w:basedOn w:val="Cmsor2Char"/>
    <w:link w:val="HUSectionTitle"/>
    <w:uiPriority w:val="1"/>
    <w:rsid w:val="00D33C83"/>
    <w:rPr>
      <w:b/>
      <w:color w:val="0C2148" w:themeColor="text2"/>
      <w:sz w:val="24"/>
      <w:szCs w:val="38"/>
    </w:rPr>
  </w:style>
  <w:style w:type="paragraph" w:customStyle="1" w:styleId="HUSubsectionTitle">
    <w:name w:val="HU_Subsection_Title"/>
    <w:basedOn w:val="Cmsor3"/>
    <w:next w:val="Norml"/>
    <w:link w:val="HUSubsectionTitleChar"/>
    <w:uiPriority w:val="1"/>
    <w:rsid w:val="00D33C83"/>
    <w:pPr>
      <w:keepNext/>
      <w:ind w:left="595" w:hanging="595"/>
    </w:pPr>
  </w:style>
  <w:style w:type="character" w:customStyle="1" w:styleId="HUSubsectionTitleChar">
    <w:name w:val="HU_Subsection_Title Char"/>
    <w:basedOn w:val="Cmsor3Char"/>
    <w:link w:val="HUSubsectionTitle"/>
    <w:uiPriority w:val="1"/>
    <w:rsid w:val="00D33C83"/>
    <w:rPr>
      <w:bCs/>
      <w:color w:val="0C2148" w:themeColor="text2"/>
      <w:szCs w:val="34"/>
    </w:rPr>
  </w:style>
  <w:style w:type="paragraph" w:customStyle="1" w:styleId="Heading1Kiadvny">
    <w:name w:val="Heading 1 Kiadvány"/>
    <w:basedOn w:val="Cmsor1"/>
    <w:qFormat/>
    <w:rsid w:val="00D33C83"/>
    <w:rPr>
      <w:b w:val="0"/>
      <w:caps w:val="0"/>
      <w:sz w:val="52"/>
    </w:rPr>
  </w:style>
  <w:style w:type="paragraph" w:customStyle="1" w:styleId="Default">
    <w:name w:val="Default"/>
    <w:rsid w:val="00E85656"/>
    <w:pPr>
      <w:autoSpaceDE w:val="0"/>
      <w:autoSpaceDN w:val="0"/>
      <w:adjustRightInd w:val="0"/>
    </w:pPr>
    <w:rPr>
      <w:rFonts w:ascii="CJEJNL+HHelvetica" w:eastAsia="Calibri" w:hAnsi="CJEJNL+HHelvetica" w:cs="CJEJNL+HHelvetica"/>
      <w:color w:val="000000"/>
      <w:sz w:val="24"/>
      <w:szCs w:val="24"/>
    </w:rPr>
  </w:style>
  <w:style w:type="character" w:styleId="Jegyzethivatkozs">
    <w:name w:val="annotation reference"/>
    <w:basedOn w:val="Bekezdsalapbettpusa"/>
    <w:uiPriority w:val="99"/>
    <w:semiHidden/>
    <w:unhideWhenUsed/>
    <w:rsid w:val="0030392C"/>
    <w:rPr>
      <w:sz w:val="16"/>
      <w:szCs w:val="16"/>
    </w:rPr>
  </w:style>
  <w:style w:type="paragraph" w:styleId="Jegyzetszveg">
    <w:name w:val="annotation text"/>
    <w:basedOn w:val="Norml"/>
    <w:link w:val="JegyzetszvegChar"/>
    <w:uiPriority w:val="99"/>
    <w:unhideWhenUsed/>
    <w:rsid w:val="0030392C"/>
    <w:pPr>
      <w:spacing w:line="240" w:lineRule="auto"/>
    </w:pPr>
  </w:style>
  <w:style w:type="character" w:customStyle="1" w:styleId="JegyzetszvegChar">
    <w:name w:val="Jegyzetszöveg Char"/>
    <w:basedOn w:val="Bekezdsalapbettpusa"/>
    <w:link w:val="Jegyzetszveg"/>
    <w:uiPriority w:val="99"/>
    <w:rsid w:val="0030392C"/>
  </w:style>
  <w:style w:type="paragraph" w:styleId="Megjegyzstrgya">
    <w:name w:val="annotation subject"/>
    <w:basedOn w:val="Jegyzetszveg"/>
    <w:next w:val="Jegyzetszveg"/>
    <w:link w:val="MegjegyzstrgyaChar"/>
    <w:uiPriority w:val="99"/>
    <w:semiHidden/>
    <w:unhideWhenUsed/>
    <w:rsid w:val="0030392C"/>
    <w:rPr>
      <w:b/>
      <w:bCs/>
    </w:rPr>
  </w:style>
  <w:style w:type="character" w:customStyle="1" w:styleId="MegjegyzstrgyaChar">
    <w:name w:val="Megjegyzés tárgya Char"/>
    <w:basedOn w:val="JegyzetszvegChar"/>
    <w:link w:val="Megjegyzstrgya"/>
    <w:uiPriority w:val="99"/>
    <w:semiHidden/>
    <w:rsid w:val="0030392C"/>
    <w:rPr>
      <w:b/>
      <w:bCs/>
    </w:rPr>
  </w:style>
  <w:style w:type="paragraph" w:styleId="Szvegtrzs2">
    <w:name w:val="Body Text 2"/>
    <w:basedOn w:val="Norml"/>
    <w:link w:val="Szvegtrzs2Char"/>
    <w:semiHidden/>
    <w:unhideWhenUsed/>
    <w:rsid w:val="00C4470A"/>
    <w:pPr>
      <w:spacing w:after="0" w:line="240" w:lineRule="auto"/>
    </w:pPr>
    <w:rPr>
      <w:rFonts w:ascii="Times New Roman" w:eastAsia="Times New Roman" w:hAnsi="Times New Roman" w:cs="Times New Roman"/>
      <w:sz w:val="24"/>
    </w:rPr>
  </w:style>
  <w:style w:type="character" w:customStyle="1" w:styleId="Szvegtrzs2Char">
    <w:name w:val="Szövegtörzs 2 Char"/>
    <w:basedOn w:val="Bekezdsalapbettpusa"/>
    <w:link w:val="Szvegtrzs2"/>
    <w:semiHidden/>
    <w:rsid w:val="00C4470A"/>
    <w:rPr>
      <w:rFonts w:ascii="Times New Roman" w:eastAsia="Times New Roman" w:hAnsi="Times New Roman" w:cs="Times New Roman"/>
      <w:sz w:val="24"/>
    </w:rPr>
  </w:style>
  <w:style w:type="paragraph" w:customStyle="1" w:styleId="Erskiemels2">
    <w:name w:val="Erős kiemelés2"/>
    <w:basedOn w:val="Norml"/>
    <w:uiPriority w:val="5"/>
    <w:qFormat/>
    <w:rsid w:val="00B5018E"/>
    <w:rPr>
      <w:b/>
      <w:i/>
    </w:rPr>
  </w:style>
  <w:style w:type="paragraph" w:styleId="Vltozat">
    <w:name w:val="Revision"/>
    <w:hidden/>
    <w:uiPriority w:val="99"/>
    <w:semiHidden/>
    <w:rsid w:val="00B5018E"/>
  </w:style>
  <w:style w:type="paragraph" w:customStyle="1" w:styleId="Erskiemels3">
    <w:name w:val="Erős kiemelés3"/>
    <w:basedOn w:val="Norml"/>
    <w:uiPriority w:val="5"/>
    <w:qFormat/>
    <w:rsid w:val="001649D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20720941">
      <w:bodyDiv w:val="1"/>
      <w:marLeft w:val="0"/>
      <w:marRight w:val="0"/>
      <w:marTop w:val="0"/>
      <w:marBottom w:val="0"/>
      <w:divBdr>
        <w:top w:val="none" w:sz="0" w:space="0" w:color="auto"/>
        <w:left w:val="none" w:sz="0" w:space="0" w:color="auto"/>
        <w:bottom w:val="none" w:sz="0" w:space="0" w:color="auto"/>
        <w:right w:val="none" w:sz="0" w:space="0" w:color="auto"/>
      </w:divBdr>
    </w:div>
    <w:div w:id="1053701890">
      <w:bodyDiv w:val="1"/>
      <w:marLeft w:val="0"/>
      <w:marRight w:val="0"/>
      <w:marTop w:val="0"/>
      <w:marBottom w:val="0"/>
      <w:divBdr>
        <w:top w:val="none" w:sz="0" w:space="0" w:color="auto"/>
        <w:left w:val="none" w:sz="0" w:space="0" w:color="auto"/>
        <w:bottom w:val="none" w:sz="0" w:space="0" w:color="auto"/>
        <w:right w:val="none" w:sz="0" w:space="0" w:color="auto"/>
      </w:divBdr>
    </w:div>
    <w:div w:id="1213537633">
      <w:bodyDiv w:val="1"/>
      <w:marLeft w:val="0"/>
      <w:marRight w:val="0"/>
      <w:marTop w:val="0"/>
      <w:marBottom w:val="0"/>
      <w:divBdr>
        <w:top w:val="none" w:sz="0" w:space="0" w:color="auto"/>
        <w:left w:val="none" w:sz="0" w:space="0" w:color="auto"/>
        <w:bottom w:val="none" w:sz="0" w:space="0" w:color="auto"/>
        <w:right w:val="none" w:sz="0" w:space="0" w:color="auto"/>
      </w:divBdr>
    </w:div>
    <w:div w:id="1479306004">
      <w:bodyDiv w:val="1"/>
      <w:marLeft w:val="0"/>
      <w:marRight w:val="0"/>
      <w:marTop w:val="0"/>
      <w:marBottom w:val="0"/>
      <w:divBdr>
        <w:top w:val="none" w:sz="0" w:space="0" w:color="auto"/>
        <w:left w:val="none" w:sz="0" w:space="0" w:color="auto"/>
        <w:bottom w:val="none" w:sz="0" w:space="0" w:color="auto"/>
        <w:right w:val="none" w:sz="0" w:space="0" w:color="auto"/>
      </w:divBdr>
    </w:div>
    <w:div w:id="1548369776">
      <w:bodyDiv w:val="1"/>
      <w:marLeft w:val="0"/>
      <w:marRight w:val="0"/>
      <w:marTop w:val="0"/>
      <w:marBottom w:val="0"/>
      <w:divBdr>
        <w:top w:val="none" w:sz="0" w:space="0" w:color="auto"/>
        <w:left w:val="none" w:sz="0" w:space="0" w:color="auto"/>
        <w:bottom w:val="none" w:sz="0" w:space="0" w:color="auto"/>
        <w:right w:val="none" w:sz="0" w:space="0" w:color="auto"/>
      </w:divBdr>
    </w:div>
    <w:div w:id="203326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DC1E685-1B3B-41F1-A64B-61620944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1204</Words>
  <Characters>6205</Characters>
  <Application>Microsoft Office Word</Application>
  <DocSecurity>0</DocSecurity>
  <Lines>51</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Katona-Varga Edit</dc:creator>
  <cp:keywords/>
  <dc:description/>
  <cp:lastModifiedBy>Juhász Katalin</cp:lastModifiedBy>
  <cp:revision>3</cp:revision>
  <cp:lastPrinted>1900-12-31T23:00:00Z</cp:lastPrinted>
  <dcterms:created xsi:type="dcterms:W3CDTF">2024-03-14T12:34:00Z</dcterms:created>
  <dcterms:modified xsi:type="dcterms:W3CDTF">2024-03-27T11:28:00Z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2028-05-23T11:52:36Z</vt:filetime>
  </property>
  <property fmtid="{D5CDD505-2E9C-101B-9397-08002B2CF9AE}" pid="3" name="Érvényességet beállító">
    <vt:lpwstr>vargaed</vt:lpwstr>
  </property>
  <property fmtid="{D5CDD505-2E9C-101B-9397-08002B2CF9AE}" pid="4" name="Érvényességi idő első beállítása">
    <vt:filetime>2023-05-23T11:52:36Z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dunaik@mnb.hu</vt:lpwstr>
  </property>
  <property fmtid="{D5CDD505-2E9C-101B-9397-08002B2CF9AE}" pid="8" name="MSIP_Label_b0d11092-50c9-4e74-84b5-b1af078dc3d0_SetDate">
    <vt:lpwstr>2023-05-24T12:36:56.5566036Z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4472c84e-52ef-4eb3-8733-34e329f41f96</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