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50881" w14:textId="307219D2" w:rsidR="00304B4C" w:rsidRPr="00D23DD8" w:rsidRDefault="009D78BF" w:rsidP="001A6C54">
      <w:pPr>
        <w:spacing w:after="240"/>
        <w:rPr>
          <w:rFonts w:ascii="Arial" w:hAnsi="Arial" w:cs="Arial"/>
          <w:b/>
          <w:snapToGrid w:val="0"/>
          <w:sz w:val="20"/>
          <w:szCs w:val="20"/>
        </w:rPr>
      </w:pPr>
      <w:r w:rsidRPr="00D23DD8">
        <w:rPr>
          <w:rFonts w:ascii="Arial" w:hAnsi="Arial" w:cs="Arial"/>
          <w:b/>
          <w:bCs/>
          <w:snapToGrid w:val="0"/>
          <w:sz w:val="20"/>
          <w:szCs w:val="20"/>
          <w:lang w:val="en"/>
        </w:rPr>
        <w:t>MNB identification number: P49</w:t>
      </w:r>
    </w:p>
    <w:p w14:paraId="02542CDB" w14:textId="77777777" w:rsidR="00304B4C" w:rsidRPr="00D23DD8" w:rsidRDefault="00DB13D4" w:rsidP="009D78BF">
      <w:pPr>
        <w:spacing w:before="240"/>
        <w:jc w:val="center"/>
        <w:rPr>
          <w:rFonts w:ascii="Arial" w:hAnsi="Arial" w:cs="Arial"/>
          <w:b/>
          <w:snapToGrid w:val="0"/>
          <w:sz w:val="20"/>
          <w:szCs w:val="20"/>
        </w:rPr>
      </w:pPr>
      <w:r w:rsidRPr="00D23DD8">
        <w:rPr>
          <w:rFonts w:ascii="Arial" w:hAnsi="Arial" w:cs="Arial"/>
          <w:b/>
          <w:bCs/>
          <w:snapToGrid w:val="0"/>
          <w:sz w:val="20"/>
          <w:szCs w:val="20"/>
          <w:lang w:val="en"/>
        </w:rPr>
        <w:t>Completion instructions for the report</w:t>
      </w:r>
    </w:p>
    <w:p w14:paraId="72498EF8" w14:textId="77777777" w:rsidR="00304B4C" w:rsidRPr="00D23DD8" w:rsidRDefault="00DB13D4">
      <w:pPr>
        <w:jc w:val="center"/>
        <w:rPr>
          <w:rFonts w:ascii="Arial" w:hAnsi="Arial" w:cs="Arial"/>
          <w:b/>
          <w:snapToGrid w:val="0"/>
          <w:sz w:val="20"/>
          <w:szCs w:val="20"/>
        </w:rPr>
      </w:pPr>
      <w:r w:rsidRPr="00D23DD8">
        <w:rPr>
          <w:rFonts w:ascii="Arial" w:hAnsi="Arial" w:cs="Arial"/>
          <w:b/>
          <w:bCs/>
          <w:snapToGrid w:val="0"/>
          <w:sz w:val="20"/>
          <w:szCs w:val="20"/>
          <w:lang w:val="en"/>
        </w:rPr>
        <w:t>Central counterparty (CCP) statistics</w:t>
      </w:r>
    </w:p>
    <w:p w14:paraId="0AFEAFE5" w14:textId="77777777" w:rsidR="00304B4C" w:rsidRPr="00D23DD8" w:rsidRDefault="000C3297" w:rsidP="001A6C54">
      <w:pPr>
        <w:tabs>
          <w:tab w:val="left" w:pos="456"/>
        </w:tabs>
        <w:spacing w:before="240" w:after="240"/>
        <w:ind w:left="454" w:hanging="454"/>
        <w:rPr>
          <w:rFonts w:ascii="Arial" w:hAnsi="Arial" w:cs="Arial"/>
          <w:b/>
          <w:snapToGrid w:val="0"/>
          <w:sz w:val="20"/>
          <w:szCs w:val="20"/>
        </w:rPr>
      </w:pPr>
      <w:r w:rsidRPr="00D23DD8">
        <w:rPr>
          <w:rFonts w:ascii="Arial" w:hAnsi="Arial" w:cs="Arial"/>
          <w:b/>
          <w:bCs/>
          <w:snapToGrid w:val="0"/>
          <w:sz w:val="20"/>
          <w:szCs w:val="20"/>
          <w:lang w:val="en"/>
        </w:rPr>
        <w:t>I. General instructions</w:t>
      </w:r>
    </w:p>
    <w:p w14:paraId="67AE88AE" w14:textId="77777777" w:rsidR="00842A96" w:rsidRPr="00D23DD8" w:rsidRDefault="00DB13D4" w:rsidP="00EB74CC">
      <w:pPr>
        <w:numPr>
          <w:ilvl w:val="0"/>
          <w:numId w:val="8"/>
        </w:numPr>
        <w:tabs>
          <w:tab w:val="clear" w:pos="1077"/>
        </w:tabs>
        <w:ind w:left="456" w:hanging="456"/>
        <w:rPr>
          <w:rFonts w:ascii="Arial" w:hAnsi="Arial" w:cs="Arial"/>
          <w:snapToGrid w:val="0"/>
          <w:sz w:val="20"/>
          <w:szCs w:val="20"/>
        </w:rPr>
      </w:pPr>
      <w:r w:rsidRPr="00D23DD8">
        <w:rPr>
          <w:rFonts w:ascii="Arial" w:hAnsi="Arial" w:cs="Arial"/>
          <w:snapToGrid w:val="0"/>
          <w:sz w:val="20"/>
          <w:szCs w:val="20"/>
          <w:lang w:val="en"/>
        </w:rPr>
        <w:t xml:space="preserve">Data suppliers shall provide data in round figures, without decimals, and round data as necessary according to the general rounding rules. </w:t>
      </w:r>
    </w:p>
    <w:p w14:paraId="780D0C0C" w14:textId="54497406" w:rsidR="00F37250" w:rsidRPr="00D23DD8" w:rsidRDefault="00DB13D4" w:rsidP="007B209F">
      <w:pPr>
        <w:numPr>
          <w:ilvl w:val="0"/>
          <w:numId w:val="8"/>
        </w:numPr>
        <w:tabs>
          <w:tab w:val="clear" w:pos="1077"/>
        </w:tabs>
        <w:ind w:left="456" w:hanging="456"/>
        <w:rPr>
          <w:rFonts w:ascii="Arial" w:hAnsi="Arial" w:cs="Arial"/>
          <w:snapToGrid w:val="0"/>
          <w:sz w:val="20"/>
          <w:szCs w:val="20"/>
        </w:rPr>
      </w:pPr>
      <w:r w:rsidRPr="00D23DD8">
        <w:rPr>
          <w:rFonts w:ascii="Arial" w:hAnsi="Arial" w:cs="Arial"/>
          <w:snapToGrid w:val="0"/>
          <w:sz w:val="20"/>
          <w:szCs w:val="20"/>
          <w:lang w:val="en"/>
        </w:rPr>
        <w:t xml:space="preserve">If the contents of a specific table may not be interpreted for a data supplier </w:t>
      </w:r>
      <w:proofErr w:type="gramStart"/>
      <w:r w:rsidRPr="00D23DD8">
        <w:rPr>
          <w:rFonts w:ascii="Arial" w:hAnsi="Arial" w:cs="Arial"/>
          <w:snapToGrid w:val="0"/>
          <w:sz w:val="20"/>
          <w:szCs w:val="20"/>
          <w:lang w:val="en"/>
        </w:rPr>
        <w:t>on the basis of</w:t>
      </w:r>
      <w:proofErr w:type="gramEnd"/>
      <w:r w:rsidRPr="00D23DD8">
        <w:rPr>
          <w:rFonts w:ascii="Arial" w:hAnsi="Arial" w:cs="Arial"/>
          <w:snapToGrid w:val="0"/>
          <w:sz w:val="20"/>
          <w:szCs w:val="20"/>
          <w:lang w:val="en"/>
        </w:rPr>
        <w:t xml:space="preserve"> its business activity, the data supplier report</w:t>
      </w:r>
      <w:r w:rsidR="00F34378">
        <w:rPr>
          <w:rFonts w:ascii="Arial" w:hAnsi="Arial" w:cs="Arial"/>
          <w:snapToGrid w:val="0"/>
          <w:sz w:val="20"/>
          <w:szCs w:val="20"/>
          <w:lang w:val="en"/>
        </w:rPr>
        <w:t>s</w:t>
      </w:r>
      <w:r w:rsidRPr="00D23DD8">
        <w:rPr>
          <w:rFonts w:ascii="Arial" w:hAnsi="Arial" w:cs="Arial"/>
          <w:snapToGrid w:val="0"/>
          <w:sz w:val="20"/>
          <w:szCs w:val="20"/>
          <w:lang w:val="en"/>
        </w:rPr>
        <w:t xml:space="preserve"> the specific table of the report as negative (N/A).</w:t>
      </w:r>
    </w:p>
    <w:p w14:paraId="7C752700" w14:textId="63B6ECBB" w:rsidR="007B6C21" w:rsidRPr="00D23DD8" w:rsidRDefault="00DB13D4" w:rsidP="00ED45D7">
      <w:pPr>
        <w:numPr>
          <w:ilvl w:val="0"/>
          <w:numId w:val="8"/>
        </w:numPr>
        <w:tabs>
          <w:tab w:val="clear" w:pos="1077"/>
        </w:tabs>
        <w:ind w:left="456" w:hanging="456"/>
        <w:rPr>
          <w:rFonts w:ascii="Arial" w:hAnsi="Arial" w:cs="Arial"/>
          <w:snapToGrid w:val="0"/>
          <w:sz w:val="20"/>
          <w:szCs w:val="20"/>
        </w:rPr>
      </w:pPr>
      <w:bookmarkStart w:id="0" w:name="_Hlk77693748"/>
      <w:r w:rsidRPr="00D23DD8">
        <w:rPr>
          <w:rFonts w:ascii="Arial" w:hAnsi="Arial" w:cs="Arial"/>
          <w:snapToGrid w:val="0"/>
          <w:sz w:val="20"/>
          <w:szCs w:val="20"/>
          <w:lang w:val="en"/>
        </w:rPr>
        <w:t xml:space="preserve">The central counterparty within the meaning of Article 2(1) of Regulation No 648/2012/EU of the European Parliament and of the Council of 4 July 2012 on OTC derivatives, central counterparties and trade repositories (hereinafter: EMIR) shall not report the same table as not applicable, if the content of the respective table can interpreted due to the activity of any of these data providers or due to their combined activity. </w:t>
      </w:r>
    </w:p>
    <w:bookmarkEnd w:id="0"/>
    <w:p w14:paraId="35662163" w14:textId="77777777" w:rsidR="00304B4C" w:rsidRPr="00D23DD8" w:rsidRDefault="00DB13D4" w:rsidP="000B42A4">
      <w:pPr>
        <w:numPr>
          <w:ilvl w:val="0"/>
          <w:numId w:val="8"/>
        </w:numPr>
        <w:tabs>
          <w:tab w:val="clear" w:pos="1077"/>
          <w:tab w:val="num" w:pos="456"/>
        </w:tabs>
        <w:ind w:left="456" w:hanging="456"/>
        <w:rPr>
          <w:rFonts w:ascii="Arial" w:hAnsi="Arial" w:cs="Arial"/>
          <w:snapToGrid w:val="0"/>
          <w:sz w:val="20"/>
          <w:szCs w:val="20"/>
        </w:rPr>
      </w:pPr>
      <w:r w:rsidRPr="00D23DD8">
        <w:rPr>
          <w:rFonts w:ascii="Arial" w:hAnsi="Arial" w:cs="Arial"/>
          <w:snapToGrid w:val="0"/>
          <w:sz w:val="20"/>
          <w:szCs w:val="20"/>
          <w:lang w:val="en"/>
        </w:rPr>
        <w:t>Values of completed transactions shall be supplied broken down according to the type of transaction as follows:</w:t>
      </w:r>
    </w:p>
    <w:p w14:paraId="2A1BAC81" w14:textId="77777777" w:rsidR="00304B4C" w:rsidRPr="00D23DD8" w:rsidRDefault="00DB13D4" w:rsidP="000B42A4">
      <w:pPr>
        <w:ind w:left="456"/>
        <w:rPr>
          <w:rFonts w:ascii="Arial" w:hAnsi="Arial" w:cs="Arial"/>
          <w:snapToGrid w:val="0"/>
          <w:sz w:val="20"/>
          <w:szCs w:val="20"/>
        </w:rPr>
      </w:pPr>
      <w:r w:rsidRPr="00D23DD8">
        <w:rPr>
          <w:rFonts w:ascii="Arial" w:hAnsi="Arial" w:cs="Arial"/>
          <w:snapToGrid w:val="0"/>
          <w:sz w:val="20"/>
          <w:szCs w:val="20"/>
          <w:lang w:val="en"/>
        </w:rPr>
        <w:t>Derivative transactions:</w:t>
      </w:r>
    </w:p>
    <w:p w14:paraId="02B5AD07" w14:textId="77777777" w:rsidR="00304B4C" w:rsidRPr="00D23DD8" w:rsidRDefault="00DB13D4">
      <w:pPr>
        <w:ind w:left="855"/>
        <w:rPr>
          <w:rFonts w:ascii="Arial" w:hAnsi="Arial" w:cs="Arial"/>
          <w:snapToGrid w:val="0"/>
          <w:sz w:val="20"/>
          <w:szCs w:val="20"/>
        </w:rPr>
      </w:pPr>
      <w:r w:rsidRPr="00D23DD8">
        <w:rPr>
          <w:rFonts w:ascii="Arial" w:hAnsi="Arial" w:cs="Arial"/>
          <w:snapToGrid w:val="0"/>
          <w:sz w:val="20"/>
          <w:szCs w:val="20"/>
          <w:lang w:val="en"/>
        </w:rPr>
        <w:t xml:space="preserve">Values shall be determined based on the market value of the underlying product (hereinafter referred to as ‘underlying product’). In connection with options, the exercised price of the underlying product (not the option premium) shall be applied. For forward transactions the market value of the underlying product at the time the transaction took place shall apply, while in connection with notional futures contracts the market value at the time of the transaction shall apply. Values may also be determined relying on the relevant end-of-day or monthly average price. </w:t>
      </w:r>
    </w:p>
    <w:p w14:paraId="0EBBA90F" w14:textId="77777777" w:rsidR="00304B4C" w:rsidRPr="00D23DD8" w:rsidRDefault="00DB13D4" w:rsidP="000B42A4">
      <w:pPr>
        <w:ind w:left="456"/>
        <w:rPr>
          <w:rFonts w:ascii="Arial" w:hAnsi="Arial" w:cs="Arial"/>
          <w:snapToGrid w:val="0"/>
          <w:sz w:val="20"/>
          <w:szCs w:val="20"/>
        </w:rPr>
      </w:pPr>
      <w:r w:rsidRPr="00D23DD8">
        <w:rPr>
          <w:rFonts w:ascii="Arial" w:hAnsi="Arial" w:cs="Arial"/>
          <w:snapToGrid w:val="0"/>
          <w:sz w:val="20"/>
          <w:szCs w:val="20"/>
          <w:lang w:val="en"/>
        </w:rPr>
        <w:t>Repos:</w:t>
      </w:r>
    </w:p>
    <w:p w14:paraId="50514AD0" w14:textId="77777777" w:rsidR="00304B4C" w:rsidRPr="00D23DD8" w:rsidRDefault="00DB13D4">
      <w:pPr>
        <w:ind w:left="855"/>
        <w:rPr>
          <w:rFonts w:ascii="Arial" w:hAnsi="Arial" w:cs="Arial"/>
          <w:snapToGrid w:val="0"/>
          <w:sz w:val="20"/>
          <w:szCs w:val="20"/>
        </w:rPr>
      </w:pPr>
      <w:r w:rsidRPr="00D23DD8">
        <w:rPr>
          <w:rFonts w:ascii="Arial" w:hAnsi="Arial" w:cs="Arial"/>
          <w:snapToGrid w:val="0"/>
          <w:sz w:val="20"/>
          <w:szCs w:val="20"/>
          <w:lang w:val="en"/>
        </w:rPr>
        <w:t>Values shall be specified relying on the financial side. In the case of the spot leg, for repo transactions only the price shall be indicated without any interest. In the case of repurchase and absorption, the repurchase price shall be taken into account.</w:t>
      </w:r>
    </w:p>
    <w:p w14:paraId="59AFFE67" w14:textId="77777777" w:rsidR="00304B4C" w:rsidRPr="00D23DD8" w:rsidRDefault="00DB13D4" w:rsidP="000B42A4">
      <w:pPr>
        <w:ind w:left="456"/>
        <w:rPr>
          <w:rFonts w:ascii="Arial" w:hAnsi="Arial" w:cs="Arial"/>
          <w:snapToGrid w:val="0"/>
          <w:sz w:val="20"/>
          <w:szCs w:val="20"/>
        </w:rPr>
      </w:pPr>
      <w:r w:rsidRPr="00D23DD8">
        <w:rPr>
          <w:rFonts w:ascii="Arial" w:hAnsi="Arial" w:cs="Arial"/>
          <w:snapToGrid w:val="0"/>
          <w:sz w:val="20"/>
          <w:szCs w:val="20"/>
          <w:lang w:val="en"/>
        </w:rPr>
        <w:t xml:space="preserve">Securities transactions: </w:t>
      </w:r>
    </w:p>
    <w:p w14:paraId="4FBFA463" w14:textId="77777777" w:rsidR="00304B4C" w:rsidRPr="00D23DD8" w:rsidRDefault="00DB13D4">
      <w:pPr>
        <w:ind w:left="855"/>
        <w:rPr>
          <w:rFonts w:ascii="Arial" w:hAnsi="Arial" w:cs="Arial"/>
          <w:snapToGrid w:val="0"/>
          <w:sz w:val="20"/>
          <w:szCs w:val="20"/>
        </w:rPr>
      </w:pPr>
      <w:r w:rsidRPr="00D23DD8">
        <w:rPr>
          <w:rFonts w:ascii="Arial" w:hAnsi="Arial" w:cs="Arial"/>
          <w:snapToGrid w:val="0"/>
          <w:sz w:val="20"/>
          <w:szCs w:val="20"/>
          <w:lang w:val="en"/>
        </w:rPr>
        <w:t>Values shall be indicated at transaction value. Transactions without any movement of money shall be reported at the value calculated by the central counterparty.</w:t>
      </w:r>
    </w:p>
    <w:p w14:paraId="0612442F" w14:textId="6E04A3AD" w:rsidR="00304B4C" w:rsidRPr="00D23DD8" w:rsidDel="003004E0" w:rsidRDefault="00DB13D4" w:rsidP="00EB74CC">
      <w:pPr>
        <w:numPr>
          <w:ilvl w:val="0"/>
          <w:numId w:val="8"/>
        </w:numPr>
        <w:tabs>
          <w:tab w:val="clear" w:pos="1077"/>
          <w:tab w:val="num" w:pos="456"/>
        </w:tabs>
        <w:ind w:left="456" w:hanging="456"/>
        <w:rPr>
          <w:rFonts w:ascii="Arial" w:hAnsi="Arial" w:cs="Arial"/>
          <w:snapToGrid w:val="0"/>
          <w:sz w:val="20"/>
          <w:szCs w:val="20"/>
        </w:rPr>
      </w:pPr>
      <w:r w:rsidRPr="00D23DD8">
        <w:rPr>
          <w:rFonts w:ascii="Arial" w:hAnsi="Arial" w:cs="Arial"/>
          <w:snapToGrid w:val="0"/>
          <w:sz w:val="20"/>
          <w:szCs w:val="20"/>
          <w:lang w:val="en"/>
        </w:rPr>
        <w:t xml:space="preserve">The value data of securities transactions shall be reported as follows: </w:t>
      </w:r>
    </w:p>
    <w:p w14:paraId="05CE66DD" w14:textId="78B2FE4E" w:rsidR="00304B4C" w:rsidRPr="00D23DD8" w:rsidRDefault="00DB13D4" w:rsidP="00990BD4">
      <w:pPr>
        <w:ind w:left="456"/>
        <w:rPr>
          <w:rFonts w:ascii="Arial" w:hAnsi="Arial" w:cs="Arial"/>
          <w:snapToGrid w:val="0"/>
          <w:sz w:val="20"/>
          <w:szCs w:val="20"/>
        </w:rPr>
      </w:pPr>
      <w:r w:rsidRPr="00D23DD8">
        <w:rPr>
          <w:rFonts w:ascii="Arial" w:hAnsi="Arial" w:cs="Arial"/>
          <w:snapToGrid w:val="0"/>
          <w:sz w:val="20"/>
          <w:szCs w:val="20"/>
          <w:lang w:val="en"/>
        </w:rPr>
        <w:t>In the case of ‘Delivery v</w:t>
      </w:r>
      <w:r w:rsidR="00F34378">
        <w:rPr>
          <w:rFonts w:ascii="Arial" w:hAnsi="Arial" w:cs="Arial"/>
          <w:snapToGrid w:val="0"/>
          <w:sz w:val="20"/>
          <w:szCs w:val="20"/>
          <w:lang w:val="en"/>
        </w:rPr>
        <w:t>ersus</w:t>
      </w:r>
      <w:r w:rsidRPr="00D23DD8">
        <w:rPr>
          <w:rFonts w:ascii="Arial" w:hAnsi="Arial" w:cs="Arial"/>
          <w:snapToGrid w:val="0"/>
          <w:sz w:val="20"/>
          <w:szCs w:val="20"/>
          <w:lang w:val="en"/>
        </w:rPr>
        <w:t xml:space="preserve"> Payment’ (hereinafter: “</w:t>
      </w:r>
      <w:proofErr w:type="spellStart"/>
      <w:r w:rsidRPr="00D23DD8">
        <w:rPr>
          <w:rFonts w:ascii="Arial" w:hAnsi="Arial" w:cs="Arial"/>
          <w:snapToGrid w:val="0"/>
          <w:sz w:val="20"/>
          <w:szCs w:val="20"/>
          <w:lang w:val="en"/>
        </w:rPr>
        <w:t>DvP</w:t>
      </w:r>
      <w:proofErr w:type="spellEnd"/>
      <w:r w:rsidRPr="00D23DD8">
        <w:rPr>
          <w:rFonts w:ascii="Arial" w:hAnsi="Arial" w:cs="Arial"/>
          <w:snapToGrid w:val="0"/>
          <w:sz w:val="20"/>
          <w:szCs w:val="20"/>
          <w:lang w:val="en"/>
        </w:rPr>
        <w:t>”) the values shall be indicated relying on the relevant payment information. ‘</w:t>
      </w:r>
      <w:r w:rsidR="00F34378">
        <w:rPr>
          <w:rFonts w:ascii="Arial" w:hAnsi="Arial" w:cs="Arial"/>
          <w:snapToGrid w:val="0"/>
          <w:sz w:val="20"/>
          <w:szCs w:val="20"/>
          <w:lang w:val="en"/>
        </w:rPr>
        <w:t>Free of Payment</w:t>
      </w:r>
      <w:r w:rsidRPr="00D23DD8">
        <w:rPr>
          <w:rFonts w:ascii="Arial" w:hAnsi="Arial" w:cs="Arial"/>
          <w:snapToGrid w:val="0"/>
          <w:sz w:val="20"/>
          <w:szCs w:val="20"/>
          <w:lang w:val="en"/>
        </w:rPr>
        <w:t>’ (“</w:t>
      </w:r>
      <w:proofErr w:type="spellStart"/>
      <w:r w:rsidRPr="00D23DD8">
        <w:rPr>
          <w:rFonts w:ascii="Arial" w:hAnsi="Arial" w:cs="Arial"/>
          <w:snapToGrid w:val="0"/>
          <w:sz w:val="20"/>
          <w:szCs w:val="20"/>
          <w:lang w:val="en"/>
        </w:rPr>
        <w:t>FoP</w:t>
      </w:r>
      <w:proofErr w:type="spellEnd"/>
      <w:r w:rsidRPr="00D23DD8">
        <w:rPr>
          <w:rFonts w:ascii="Arial" w:hAnsi="Arial" w:cs="Arial"/>
          <w:snapToGrid w:val="0"/>
          <w:sz w:val="20"/>
          <w:szCs w:val="20"/>
          <w:lang w:val="en"/>
        </w:rPr>
        <w:t>”)</w:t>
      </w:r>
      <w:r w:rsidR="00F34378">
        <w:rPr>
          <w:rFonts w:ascii="Arial" w:hAnsi="Arial" w:cs="Arial"/>
          <w:snapToGrid w:val="0"/>
          <w:sz w:val="20"/>
          <w:szCs w:val="20"/>
          <w:lang w:val="en"/>
        </w:rPr>
        <w:t xml:space="preserve"> transactions</w:t>
      </w:r>
      <w:r w:rsidRPr="00D23DD8">
        <w:rPr>
          <w:rFonts w:ascii="Arial" w:hAnsi="Arial" w:cs="Arial"/>
          <w:snapToGrid w:val="0"/>
          <w:sz w:val="20"/>
          <w:szCs w:val="20"/>
          <w:lang w:val="en"/>
        </w:rPr>
        <w:t xml:space="preserve"> shall be reported showing the market value of the securities involved. The monthly average market value of the given security may also be accepted as market value. If the market value is not available, the last known price of the securities shall be indicated. If that is not available either, the </w:t>
      </w:r>
      <w:proofErr w:type="spellStart"/>
      <w:r w:rsidRPr="00D23DD8">
        <w:rPr>
          <w:rFonts w:ascii="Arial" w:hAnsi="Arial" w:cs="Arial"/>
          <w:snapToGrid w:val="0"/>
          <w:sz w:val="20"/>
          <w:szCs w:val="20"/>
          <w:lang w:val="en"/>
        </w:rPr>
        <w:t>facevalue</w:t>
      </w:r>
      <w:proofErr w:type="spellEnd"/>
      <w:r w:rsidRPr="00D23DD8">
        <w:rPr>
          <w:rFonts w:ascii="Arial" w:hAnsi="Arial" w:cs="Arial"/>
          <w:snapToGrid w:val="0"/>
          <w:sz w:val="20"/>
          <w:szCs w:val="20"/>
          <w:lang w:val="en"/>
        </w:rPr>
        <w:t xml:space="preserve"> shall be reported.</w:t>
      </w:r>
    </w:p>
    <w:p w14:paraId="5A4CF111" w14:textId="0B25901C" w:rsidR="00304B4C" w:rsidRPr="00D23DD8" w:rsidRDefault="00DB13D4" w:rsidP="00990BD4">
      <w:pPr>
        <w:numPr>
          <w:ilvl w:val="0"/>
          <w:numId w:val="8"/>
        </w:numPr>
        <w:tabs>
          <w:tab w:val="clear" w:pos="1077"/>
          <w:tab w:val="num" w:pos="456"/>
        </w:tabs>
        <w:ind w:left="456" w:hanging="456"/>
        <w:rPr>
          <w:rFonts w:ascii="Arial" w:hAnsi="Arial" w:cs="Arial"/>
          <w:snapToGrid w:val="0"/>
          <w:sz w:val="20"/>
          <w:szCs w:val="20"/>
        </w:rPr>
      </w:pPr>
      <w:r w:rsidRPr="00D23DD8">
        <w:rPr>
          <w:rFonts w:ascii="Arial" w:hAnsi="Arial" w:cs="Arial"/>
          <w:snapToGrid w:val="0"/>
          <w:sz w:val="20"/>
          <w:szCs w:val="20"/>
          <w:lang w:val="en"/>
        </w:rPr>
        <w:t xml:space="preserve">The value of transactions and securities transactions denominated and settled in foreign currency shall be converted into forint at the official exchange rate of the </w:t>
      </w:r>
      <w:proofErr w:type="spellStart"/>
      <w:r w:rsidRPr="00D23DD8">
        <w:rPr>
          <w:rFonts w:ascii="Arial" w:hAnsi="Arial" w:cs="Arial"/>
          <w:snapToGrid w:val="0"/>
          <w:sz w:val="20"/>
          <w:szCs w:val="20"/>
          <w:lang w:val="en"/>
        </w:rPr>
        <w:t>MNB</w:t>
      </w:r>
      <w:proofErr w:type="spellEnd"/>
      <w:r w:rsidRPr="00D23DD8">
        <w:rPr>
          <w:rFonts w:ascii="Arial" w:hAnsi="Arial" w:cs="Arial"/>
          <w:snapToGrid w:val="0"/>
          <w:sz w:val="20"/>
          <w:szCs w:val="20"/>
          <w:lang w:val="en"/>
        </w:rPr>
        <w:t xml:space="preserve"> prevailing on day of the </w:t>
      </w:r>
      <w:r w:rsidR="00F34378">
        <w:rPr>
          <w:rFonts w:ascii="Arial" w:hAnsi="Arial" w:cs="Arial"/>
          <w:snapToGrid w:val="0"/>
          <w:sz w:val="20"/>
          <w:szCs w:val="20"/>
          <w:lang w:val="en"/>
        </w:rPr>
        <w:t>intended settlement</w:t>
      </w:r>
      <w:r w:rsidRPr="00D23DD8">
        <w:rPr>
          <w:rFonts w:ascii="Arial" w:hAnsi="Arial" w:cs="Arial"/>
          <w:snapToGrid w:val="0"/>
          <w:sz w:val="20"/>
          <w:szCs w:val="20"/>
          <w:lang w:val="en"/>
        </w:rPr>
        <w:t xml:space="preserve"> date, or at the monthly average exchange rate calculated </w:t>
      </w:r>
      <w:proofErr w:type="gramStart"/>
      <w:r w:rsidRPr="00D23DD8">
        <w:rPr>
          <w:rFonts w:ascii="Arial" w:hAnsi="Arial" w:cs="Arial"/>
          <w:snapToGrid w:val="0"/>
          <w:sz w:val="20"/>
          <w:szCs w:val="20"/>
          <w:lang w:val="en"/>
        </w:rPr>
        <w:t>on the basis of</w:t>
      </w:r>
      <w:proofErr w:type="gramEnd"/>
      <w:r w:rsidRPr="00D23DD8">
        <w:rPr>
          <w:rFonts w:ascii="Arial" w:hAnsi="Arial" w:cs="Arial"/>
          <w:snapToGrid w:val="0"/>
          <w:sz w:val="20"/>
          <w:szCs w:val="20"/>
          <w:lang w:val="en"/>
        </w:rPr>
        <w:t xml:space="preserve"> the official foreign currency exchange rates published by the MNB.</w:t>
      </w:r>
    </w:p>
    <w:p w14:paraId="54C90FA3" w14:textId="77777777" w:rsidR="007121B1" w:rsidRPr="00D23DD8" w:rsidRDefault="00DB13D4" w:rsidP="00990BD4">
      <w:pPr>
        <w:numPr>
          <w:ilvl w:val="0"/>
          <w:numId w:val="8"/>
        </w:numPr>
        <w:tabs>
          <w:tab w:val="clear" w:pos="1077"/>
          <w:tab w:val="num" w:pos="456"/>
        </w:tabs>
        <w:ind w:left="456" w:hanging="456"/>
        <w:rPr>
          <w:rFonts w:ascii="Arial" w:hAnsi="Arial" w:cs="Arial"/>
          <w:snapToGrid w:val="0"/>
          <w:sz w:val="20"/>
          <w:szCs w:val="20"/>
        </w:rPr>
      </w:pPr>
      <w:r w:rsidRPr="00D23DD8">
        <w:rPr>
          <w:rFonts w:ascii="Arial" w:hAnsi="Arial" w:cs="Arial"/>
          <w:snapToGrid w:val="0"/>
          <w:sz w:val="20"/>
          <w:szCs w:val="20"/>
          <w:lang w:val="en"/>
        </w:rPr>
        <w:t>The number and value of settled transactions shall be reported in the status following novation.</w:t>
      </w:r>
    </w:p>
    <w:p w14:paraId="4069C0B9" w14:textId="77777777" w:rsidR="007C5616" w:rsidRPr="00D23DD8" w:rsidRDefault="00DB13D4" w:rsidP="00990BD4">
      <w:pPr>
        <w:ind w:left="456"/>
        <w:rPr>
          <w:rFonts w:ascii="Arial" w:hAnsi="Arial" w:cs="Arial"/>
          <w:snapToGrid w:val="0"/>
          <w:sz w:val="20"/>
          <w:szCs w:val="20"/>
        </w:rPr>
      </w:pPr>
      <w:r w:rsidRPr="00D23DD8">
        <w:rPr>
          <w:rFonts w:ascii="Arial" w:hAnsi="Arial" w:cs="Arial"/>
          <w:snapToGrid w:val="0"/>
          <w:sz w:val="20"/>
          <w:szCs w:val="20"/>
          <w:lang w:val="en"/>
        </w:rPr>
        <w:t>Novation is the replacement of original contractual obligations with new ones. For example, the result of novation may be the replacement of gross payment obligations with net payment obligations or the involvement of a new obligor in the transaction.</w:t>
      </w:r>
    </w:p>
    <w:p w14:paraId="34135140" w14:textId="77777777" w:rsidR="00304B4C" w:rsidRPr="00D23DD8" w:rsidRDefault="00DB13D4" w:rsidP="00990BD4">
      <w:pPr>
        <w:numPr>
          <w:ilvl w:val="0"/>
          <w:numId w:val="8"/>
        </w:numPr>
        <w:tabs>
          <w:tab w:val="clear" w:pos="1077"/>
          <w:tab w:val="num" w:pos="456"/>
        </w:tabs>
        <w:ind w:left="456" w:hanging="456"/>
        <w:rPr>
          <w:rFonts w:ascii="Arial" w:hAnsi="Arial" w:cs="Arial"/>
          <w:snapToGrid w:val="0"/>
          <w:sz w:val="20"/>
          <w:szCs w:val="20"/>
        </w:rPr>
      </w:pPr>
      <w:r w:rsidRPr="00D23DD8">
        <w:rPr>
          <w:rFonts w:ascii="Arial" w:hAnsi="Arial" w:cs="Arial"/>
          <w:snapToGrid w:val="0"/>
          <w:sz w:val="20"/>
          <w:szCs w:val="20"/>
          <w:lang w:val="en"/>
        </w:rPr>
        <w:t xml:space="preserve">If the data supplier central counterparty provides central counterparty services for other markets as well in addition to the domestic one, Tables 02–07 shall be completed separately for each country. </w:t>
      </w:r>
    </w:p>
    <w:p w14:paraId="6420C822" w14:textId="3B16459C" w:rsidR="00304B4C" w:rsidRPr="00D23DD8" w:rsidRDefault="00DB13D4" w:rsidP="00990BD4">
      <w:pPr>
        <w:numPr>
          <w:ilvl w:val="0"/>
          <w:numId w:val="8"/>
        </w:numPr>
        <w:tabs>
          <w:tab w:val="clear" w:pos="1077"/>
          <w:tab w:val="num" w:pos="456"/>
        </w:tabs>
        <w:ind w:left="456" w:hanging="456"/>
        <w:rPr>
          <w:rFonts w:ascii="Arial" w:hAnsi="Arial" w:cs="Arial"/>
          <w:snapToGrid w:val="0"/>
          <w:sz w:val="20"/>
          <w:szCs w:val="20"/>
        </w:rPr>
      </w:pPr>
      <w:r w:rsidRPr="00D23DD8">
        <w:rPr>
          <w:rFonts w:ascii="Arial" w:hAnsi="Arial" w:cs="Arial"/>
          <w:snapToGrid w:val="0"/>
          <w:sz w:val="20"/>
          <w:szCs w:val="20"/>
          <w:lang w:val="en"/>
        </w:rPr>
        <w:t>Tables 10–11 shall be completed separately for each central securities depository involved in the fulfilment of capital market transactions.</w:t>
      </w:r>
    </w:p>
    <w:p w14:paraId="02EC77FD" w14:textId="2F11B6F1" w:rsidR="007D0558" w:rsidRPr="00D23DD8" w:rsidRDefault="00CE62EE" w:rsidP="00990BD4">
      <w:pPr>
        <w:numPr>
          <w:ilvl w:val="0"/>
          <w:numId w:val="8"/>
        </w:numPr>
        <w:tabs>
          <w:tab w:val="clear" w:pos="1077"/>
          <w:tab w:val="num" w:pos="456"/>
        </w:tabs>
        <w:ind w:left="456" w:hanging="456"/>
        <w:rPr>
          <w:rFonts w:ascii="Arial" w:hAnsi="Arial" w:cs="Arial"/>
          <w:snapToGrid w:val="0"/>
          <w:sz w:val="20"/>
          <w:szCs w:val="20"/>
        </w:rPr>
      </w:pPr>
      <w:r w:rsidRPr="00D23DD8">
        <w:rPr>
          <w:rFonts w:ascii="Arial" w:hAnsi="Arial" w:cs="Arial"/>
          <w:snapToGrid w:val="0"/>
          <w:sz w:val="20"/>
          <w:szCs w:val="20"/>
          <w:lang w:val="en"/>
        </w:rPr>
        <w:t>For the purposes of data supply</w:t>
      </w:r>
    </w:p>
    <w:p w14:paraId="09A6FE1F" w14:textId="2DC8949D" w:rsidR="00FD47A8" w:rsidRPr="00D23DD8" w:rsidRDefault="007D0558" w:rsidP="00FD47A8">
      <w:pPr>
        <w:ind w:left="709" w:hanging="253"/>
        <w:rPr>
          <w:rFonts w:ascii="Arial" w:hAnsi="Arial" w:cs="Arial"/>
          <w:snapToGrid w:val="0"/>
          <w:sz w:val="20"/>
          <w:szCs w:val="20"/>
        </w:rPr>
      </w:pPr>
      <w:r w:rsidRPr="00D23DD8">
        <w:rPr>
          <w:rFonts w:ascii="Arial" w:hAnsi="Arial" w:cs="Arial"/>
          <w:snapToGrid w:val="0"/>
          <w:sz w:val="20"/>
          <w:szCs w:val="20"/>
          <w:lang w:val="en"/>
        </w:rPr>
        <w:t>a) transfer order: the term as defined in point I.6 of the completion instructions for the data supply with MNB identification code P44,</w:t>
      </w:r>
    </w:p>
    <w:p w14:paraId="753C586C" w14:textId="02FA130C" w:rsidR="00CE62EE" w:rsidRPr="00D23DD8" w:rsidRDefault="00FD47A8" w:rsidP="003736B7">
      <w:pPr>
        <w:ind w:left="709" w:hanging="253"/>
        <w:rPr>
          <w:rFonts w:ascii="Arial" w:hAnsi="Arial" w:cs="Arial"/>
          <w:snapToGrid w:val="0"/>
          <w:sz w:val="20"/>
          <w:szCs w:val="20"/>
        </w:rPr>
      </w:pPr>
      <w:r w:rsidRPr="00D23DD8">
        <w:rPr>
          <w:rFonts w:ascii="Arial" w:hAnsi="Arial" w:cs="Arial"/>
          <w:snapToGrid w:val="0"/>
          <w:sz w:val="20"/>
          <w:szCs w:val="20"/>
          <w:lang w:val="en"/>
        </w:rPr>
        <w:t>b) transaction: deals cleared by a central counterparty over the counter or traded on exchange.</w:t>
      </w:r>
    </w:p>
    <w:p w14:paraId="58AAAFEB" w14:textId="77777777" w:rsidR="00304B4C" w:rsidRPr="00D23DD8" w:rsidRDefault="00DB13D4" w:rsidP="001A6C54">
      <w:pPr>
        <w:tabs>
          <w:tab w:val="left" w:pos="456"/>
        </w:tabs>
        <w:spacing w:before="240" w:after="240"/>
        <w:ind w:left="454" w:hanging="454"/>
        <w:rPr>
          <w:rFonts w:ascii="Arial" w:hAnsi="Arial" w:cs="Arial"/>
          <w:b/>
          <w:snapToGrid w:val="0"/>
          <w:sz w:val="20"/>
          <w:szCs w:val="20"/>
        </w:rPr>
      </w:pPr>
      <w:r w:rsidRPr="00D23DD8">
        <w:rPr>
          <w:rFonts w:ascii="Arial" w:hAnsi="Arial" w:cs="Arial"/>
          <w:b/>
          <w:bCs/>
          <w:snapToGrid w:val="0"/>
          <w:sz w:val="20"/>
          <w:szCs w:val="20"/>
          <w:lang w:val="en"/>
        </w:rPr>
        <w:t>II. Detailed instructions for the completion of the tables</w:t>
      </w:r>
    </w:p>
    <w:p w14:paraId="272BB5F8" w14:textId="77777777" w:rsidR="00304B4C" w:rsidRPr="00D23DD8" w:rsidRDefault="00DB13D4" w:rsidP="001A6C54">
      <w:pPr>
        <w:tabs>
          <w:tab w:val="left" w:pos="456"/>
        </w:tabs>
        <w:spacing w:before="120" w:after="120"/>
        <w:rPr>
          <w:rFonts w:ascii="Arial" w:hAnsi="Arial" w:cs="Arial"/>
          <w:b/>
          <w:snapToGrid w:val="0"/>
          <w:sz w:val="20"/>
          <w:szCs w:val="20"/>
        </w:rPr>
      </w:pPr>
      <w:r w:rsidRPr="00D23DD8">
        <w:rPr>
          <w:rFonts w:ascii="Arial" w:hAnsi="Arial" w:cs="Arial"/>
          <w:b/>
          <w:bCs/>
          <w:snapToGrid w:val="0"/>
          <w:sz w:val="20"/>
          <w:szCs w:val="20"/>
          <w:lang w:val="en"/>
        </w:rPr>
        <w:t>Table 01a: Number of capital market clearing members</w:t>
      </w:r>
    </w:p>
    <w:p w14:paraId="52F0BEA3" w14:textId="77777777" w:rsidR="00677D27" w:rsidRPr="00D23DD8" w:rsidRDefault="00677D27" w:rsidP="00A05762">
      <w:pPr>
        <w:tabs>
          <w:tab w:val="left" w:pos="456"/>
        </w:tabs>
        <w:rPr>
          <w:rFonts w:ascii="Arial" w:hAnsi="Arial" w:cs="Arial"/>
          <w:snapToGrid w:val="0"/>
          <w:sz w:val="20"/>
          <w:szCs w:val="20"/>
        </w:rPr>
      </w:pPr>
      <w:r w:rsidRPr="00D23DD8">
        <w:rPr>
          <w:rFonts w:ascii="Arial" w:hAnsi="Arial" w:cs="Arial"/>
          <w:snapToGrid w:val="0"/>
          <w:sz w:val="20"/>
          <w:szCs w:val="20"/>
          <w:lang w:val="en"/>
        </w:rPr>
        <w:t>The data provider shall indicate the number of general and individual clearing members in relation to the capital markets cleared as a central counterparty, broken down according to the types listed.</w:t>
      </w:r>
    </w:p>
    <w:p w14:paraId="78CE615B" w14:textId="77777777" w:rsidR="00677D27" w:rsidRPr="00D23DD8" w:rsidRDefault="00677D27" w:rsidP="00A05762">
      <w:pPr>
        <w:tabs>
          <w:tab w:val="left" w:pos="456"/>
        </w:tabs>
        <w:rPr>
          <w:rFonts w:ascii="Arial" w:hAnsi="Arial" w:cs="Arial"/>
          <w:snapToGrid w:val="0"/>
          <w:sz w:val="20"/>
          <w:szCs w:val="20"/>
        </w:rPr>
      </w:pPr>
    </w:p>
    <w:p w14:paraId="2079E0B6" w14:textId="77777777" w:rsidR="00677D27" w:rsidRPr="00D23DD8" w:rsidRDefault="00677D27" w:rsidP="00A05762">
      <w:pPr>
        <w:tabs>
          <w:tab w:val="left" w:pos="456"/>
        </w:tabs>
        <w:rPr>
          <w:rFonts w:ascii="Arial" w:hAnsi="Arial" w:cs="Arial"/>
          <w:b/>
          <w:snapToGrid w:val="0"/>
          <w:sz w:val="20"/>
          <w:szCs w:val="20"/>
        </w:rPr>
      </w:pPr>
      <w:r w:rsidRPr="00D23DD8">
        <w:rPr>
          <w:rFonts w:ascii="Arial" w:hAnsi="Arial" w:cs="Arial"/>
          <w:b/>
          <w:bCs/>
          <w:snapToGrid w:val="0"/>
          <w:sz w:val="20"/>
          <w:szCs w:val="20"/>
          <w:lang w:val="en"/>
        </w:rPr>
        <w:t>Table 01b: Number of energy market clearing members</w:t>
      </w:r>
    </w:p>
    <w:p w14:paraId="7EAE7B4F" w14:textId="77777777" w:rsidR="00677D27" w:rsidRPr="00D23DD8" w:rsidRDefault="00677D27" w:rsidP="00A05762">
      <w:pPr>
        <w:tabs>
          <w:tab w:val="left" w:pos="456"/>
        </w:tabs>
        <w:rPr>
          <w:rFonts w:ascii="Arial" w:hAnsi="Arial" w:cs="Arial"/>
          <w:snapToGrid w:val="0"/>
          <w:sz w:val="20"/>
          <w:szCs w:val="20"/>
        </w:rPr>
      </w:pPr>
      <w:r w:rsidRPr="00D23DD8">
        <w:rPr>
          <w:rFonts w:ascii="Arial" w:hAnsi="Arial" w:cs="Arial"/>
          <w:snapToGrid w:val="0"/>
          <w:sz w:val="20"/>
          <w:szCs w:val="20"/>
          <w:lang w:val="en"/>
        </w:rPr>
        <w:lastRenderedPageBreak/>
        <w:t>The data provider shall indicate the number of general and individual clearing members in relation to the energy markets cleared as a central counterparty, broken down according to the types listed.</w:t>
      </w:r>
    </w:p>
    <w:p w14:paraId="06BD73B3" w14:textId="77777777" w:rsidR="00677D27" w:rsidRPr="00D23DD8" w:rsidRDefault="00677D27" w:rsidP="00A05762">
      <w:pPr>
        <w:tabs>
          <w:tab w:val="left" w:pos="456"/>
        </w:tabs>
        <w:rPr>
          <w:rFonts w:ascii="Arial" w:hAnsi="Arial" w:cs="Arial"/>
          <w:snapToGrid w:val="0"/>
          <w:sz w:val="20"/>
          <w:szCs w:val="20"/>
        </w:rPr>
      </w:pPr>
    </w:p>
    <w:p w14:paraId="2D0C4004" w14:textId="77777777" w:rsidR="00677D27" w:rsidRPr="00D23DD8" w:rsidRDefault="00677D27" w:rsidP="00986755">
      <w:pPr>
        <w:keepNext/>
        <w:tabs>
          <w:tab w:val="left" w:pos="456"/>
        </w:tabs>
        <w:rPr>
          <w:rFonts w:ascii="Arial" w:hAnsi="Arial" w:cs="Arial"/>
          <w:b/>
          <w:snapToGrid w:val="0"/>
          <w:sz w:val="20"/>
          <w:szCs w:val="20"/>
        </w:rPr>
      </w:pPr>
      <w:r w:rsidRPr="00D23DD8">
        <w:rPr>
          <w:rFonts w:ascii="Arial" w:hAnsi="Arial" w:cs="Arial"/>
          <w:b/>
          <w:bCs/>
          <w:snapToGrid w:val="0"/>
          <w:sz w:val="20"/>
          <w:szCs w:val="20"/>
          <w:lang w:val="en"/>
        </w:rPr>
        <w:t>Table 01c: Number of energy market non-clearing members</w:t>
      </w:r>
    </w:p>
    <w:p w14:paraId="4A00B6D0" w14:textId="77777777" w:rsidR="00677D27" w:rsidRPr="00D23DD8" w:rsidRDefault="00677D27" w:rsidP="002F57AA">
      <w:pPr>
        <w:tabs>
          <w:tab w:val="left" w:pos="456"/>
        </w:tabs>
        <w:spacing w:after="120"/>
        <w:rPr>
          <w:rFonts w:ascii="Arial" w:hAnsi="Arial" w:cs="Arial"/>
          <w:snapToGrid w:val="0"/>
          <w:sz w:val="20"/>
          <w:szCs w:val="20"/>
        </w:rPr>
      </w:pPr>
      <w:r w:rsidRPr="00D23DD8">
        <w:rPr>
          <w:rFonts w:ascii="Arial" w:hAnsi="Arial" w:cs="Arial"/>
          <w:snapToGrid w:val="0"/>
          <w:sz w:val="20"/>
          <w:szCs w:val="20"/>
          <w:lang w:val="en"/>
        </w:rPr>
        <w:t>The data provider shall indicate the number of non-clearing members in relation to the markets not cleared as a central counterparty, broken down according to the types listed.</w:t>
      </w:r>
    </w:p>
    <w:p w14:paraId="18722FD8" w14:textId="77777777" w:rsidR="00677D27" w:rsidRPr="00D23DD8" w:rsidRDefault="008B67E8" w:rsidP="00A05762">
      <w:pPr>
        <w:tabs>
          <w:tab w:val="left" w:pos="456"/>
        </w:tabs>
        <w:rPr>
          <w:rFonts w:ascii="Arial" w:hAnsi="Arial" w:cs="Arial"/>
          <w:snapToGrid w:val="0"/>
          <w:sz w:val="20"/>
          <w:szCs w:val="20"/>
        </w:rPr>
      </w:pPr>
      <w:r w:rsidRPr="00D23DD8">
        <w:rPr>
          <w:rFonts w:ascii="Arial" w:hAnsi="Arial" w:cs="Arial"/>
          <w:snapToGrid w:val="0"/>
          <w:sz w:val="20"/>
          <w:szCs w:val="20"/>
          <w:lang w:val="en"/>
        </w:rPr>
        <w:t>If a clearing member or non-clearing member is present in more than one market that is relevant in terms of completing Tables 01a, 01b or 01c, the given member shall be reported in all the tables concerned.</w:t>
      </w:r>
    </w:p>
    <w:p w14:paraId="6FA2229E" w14:textId="77777777" w:rsidR="00304B4C" w:rsidRPr="00D23DD8" w:rsidRDefault="00304B4C" w:rsidP="00A05762">
      <w:pPr>
        <w:tabs>
          <w:tab w:val="left" w:pos="456"/>
        </w:tabs>
        <w:rPr>
          <w:rFonts w:ascii="Arial" w:hAnsi="Arial" w:cs="Arial"/>
          <w:snapToGrid w:val="0"/>
          <w:sz w:val="20"/>
          <w:szCs w:val="20"/>
        </w:rPr>
      </w:pPr>
    </w:p>
    <w:p w14:paraId="3A170D98" w14:textId="77777777" w:rsidR="00304B4C" w:rsidRPr="00D23DD8" w:rsidRDefault="00DB13D4" w:rsidP="002F57AA">
      <w:pPr>
        <w:tabs>
          <w:tab w:val="left" w:pos="456"/>
        </w:tabs>
        <w:spacing w:after="120"/>
        <w:rPr>
          <w:rFonts w:ascii="Arial" w:hAnsi="Arial" w:cs="Arial"/>
          <w:b/>
          <w:snapToGrid w:val="0"/>
          <w:sz w:val="20"/>
          <w:szCs w:val="20"/>
        </w:rPr>
      </w:pPr>
      <w:r w:rsidRPr="00D23DD8">
        <w:rPr>
          <w:rFonts w:ascii="Arial" w:hAnsi="Arial" w:cs="Arial"/>
          <w:b/>
          <w:bCs/>
          <w:snapToGrid w:val="0"/>
          <w:sz w:val="20"/>
          <w:szCs w:val="20"/>
          <w:lang w:val="en"/>
        </w:rPr>
        <w:t>Table 02a: Quantity of cleared derivatives traded on stock exchange</w:t>
      </w:r>
    </w:p>
    <w:p w14:paraId="21716659" w14:textId="1EA91173" w:rsidR="00304B4C" w:rsidRPr="00D23DD8" w:rsidDel="007121B1" w:rsidRDefault="00DB13D4" w:rsidP="00B82536">
      <w:pPr>
        <w:tabs>
          <w:tab w:val="left" w:pos="456"/>
        </w:tabs>
        <w:ind w:left="456" w:hanging="456"/>
        <w:rPr>
          <w:rFonts w:ascii="Arial" w:hAnsi="Arial" w:cs="Arial"/>
          <w:snapToGrid w:val="0"/>
          <w:sz w:val="20"/>
          <w:szCs w:val="20"/>
        </w:rPr>
      </w:pPr>
      <w:r w:rsidRPr="00D23DD8">
        <w:rPr>
          <w:rFonts w:ascii="Arial" w:hAnsi="Arial" w:cs="Arial"/>
          <w:snapToGrid w:val="0"/>
          <w:sz w:val="20"/>
          <w:szCs w:val="20"/>
          <w:lang w:val="en"/>
        </w:rPr>
        <w:t>1.</w:t>
      </w:r>
      <w:r w:rsidRPr="00D23DD8">
        <w:rPr>
          <w:rFonts w:ascii="Arial" w:hAnsi="Arial" w:cs="Arial"/>
          <w:snapToGrid w:val="0"/>
          <w:sz w:val="20"/>
          <w:szCs w:val="20"/>
          <w:lang w:val="en"/>
        </w:rPr>
        <w:tab/>
        <w:t>This table shall contain the quantity of stock exchange derivatives during the reference period; namely, if a transaction consists of more than one contract, the quantity of the latter shall be indicated in this table.</w:t>
      </w:r>
    </w:p>
    <w:p w14:paraId="16702DEA" w14:textId="77777777" w:rsidR="00E11D7B" w:rsidRPr="00D23DD8" w:rsidRDefault="00DB13D4" w:rsidP="00E11D7B">
      <w:pPr>
        <w:numPr>
          <w:ilvl w:val="0"/>
          <w:numId w:val="21"/>
        </w:numPr>
        <w:tabs>
          <w:tab w:val="clear" w:pos="810"/>
          <w:tab w:val="num" w:pos="456"/>
        </w:tabs>
        <w:ind w:left="456" w:hanging="456"/>
        <w:rPr>
          <w:rFonts w:ascii="Arial" w:hAnsi="Arial" w:cs="Arial"/>
          <w:snapToGrid w:val="0"/>
          <w:sz w:val="20"/>
          <w:szCs w:val="20"/>
        </w:rPr>
      </w:pPr>
      <w:r w:rsidRPr="00D23DD8">
        <w:rPr>
          <w:rFonts w:ascii="Arial" w:hAnsi="Arial" w:cs="Arial"/>
          <w:snapToGrid w:val="0"/>
          <w:sz w:val="20"/>
          <w:szCs w:val="20"/>
          <w:lang w:val="en"/>
        </w:rPr>
        <w:t>The transactions shall be reported in line with point 6 of I. General instructions, in the status following novation.</w:t>
      </w:r>
    </w:p>
    <w:p w14:paraId="689E2BB8" w14:textId="77777777" w:rsidR="007121B1" w:rsidRPr="00D23DD8" w:rsidRDefault="00DB13D4" w:rsidP="00E11D7B">
      <w:pPr>
        <w:ind w:left="456"/>
        <w:rPr>
          <w:rFonts w:ascii="Arial" w:hAnsi="Arial" w:cs="Arial"/>
          <w:snapToGrid w:val="0"/>
          <w:sz w:val="20"/>
          <w:szCs w:val="20"/>
        </w:rPr>
      </w:pPr>
      <w:r w:rsidRPr="00D23DD8">
        <w:rPr>
          <w:rFonts w:ascii="Arial" w:hAnsi="Arial" w:cs="Arial"/>
          <w:snapToGrid w:val="0"/>
          <w:sz w:val="20"/>
          <w:szCs w:val="20"/>
          <w:lang w:val="en"/>
        </w:rPr>
        <w:t xml:space="preserve">Where a central counterparty in fact enters the transaction under novation, the quantity of the resulting new transactions shall be reported. </w:t>
      </w:r>
    </w:p>
    <w:p w14:paraId="17001726" w14:textId="77777777" w:rsidR="007121B1" w:rsidRPr="00D23DD8" w:rsidRDefault="00DB13D4" w:rsidP="007121B1">
      <w:pPr>
        <w:ind w:left="456"/>
        <w:rPr>
          <w:rFonts w:ascii="Arial" w:hAnsi="Arial" w:cs="Arial"/>
          <w:snapToGrid w:val="0"/>
          <w:sz w:val="20"/>
          <w:szCs w:val="20"/>
        </w:rPr>
      </w:pPr>
      <w:r w:rsidRPr="00D23DD8">
        <w:rPr>
          <w:rFonts w:ascii="Arial" w:hAnsi="Arial" w:cs="Arial"/>
          <w:snapToGrid w:val="0"/>
          <w:sz w:val="20"/>
          <w:szCs w:val="20"/>
          <w:lang w:val="en"/>
        </w:rPr>
        <w:t xml:space="preserve">In case the central counterparty guarantees the settlement of the contracts, but, it does not automatically enter the original contract as a seller and buyer, it shall be reported as a single contract. On the other hand, if, in the event of default, the central counterparty in fact enters the original contract as a buyer and a seller, the original contract shall be reported as two contracts. </w:t>
      </w:r>
    </w:p>
    <w:p w14:paraId="7984D675" w14:textId="36AF8D02" w:rsidR="00304B4C" w:rsidRPr="00D23DD8" w:rsidRDefault="00DB13D4" w:rsidP="007121B1">
      <w:pPr>
        <w:tabs>
          <w:tab w:val="left" w:pos="456"/>
        </w:tabs>
        <w:ind w:left="456" w:hanging="456"/>
        <w:rPr>
          <w:rFonts w:ascii="Arial" w:hAnsi="Arial" w:cs="Arial"/>
          <w:snapToGrid w:val="0"/>
          <w:sz w:val="20"/>
          <w:szCs w:val="20"/>
        </w:rPr>
      </w:pPr>
      <w:r w:rsidRPr="00D23DD8">
        <w:rPr>
          <w:rFonts w:ascii="Arial" w:hAnsi="Arial" w:cs="Arial"/>
          <w:snapToGrid w:val="0"/>
          <w:sz w:val="20"/>
          <w:szCs w:val="20"/>
          <w:lang w:val="en"/>
        </w:rPr>
        <w:t>3.</w:t>
      </w:r>
      <w:r w:rsidRPr="00D23DD8">
        <w:rPr>
          <w:rFonts w:ascii="Arial" w:hAnsi="Arial" w:cs="Arial"/>
          <w:snapToGrid w:val="0"/>
          <w:sz w:val="20"/>
          <w:szCs w:val="20"/>
          <w:lang w:val="en"/>
        </w:rPr>
        <w:tab/>
        <w:t>The transactions involving an underlying product and serving as a means of settlement for open positions at the maturity of derivatives by way of the physical delivery of the underlying product shall not be reported under derivatives. (If the underlying product is a security, the numbers of such securities transactions are to be indicated in Table 06, under spot securities transactions.)</w:t>
      </w:r>
    </w:p>
    <w:p w14:paraId="7824358B" w14:textId="77777777" w:rsidR="00304B4C" w:rsidRPr="00D23DD8" w:rsidRDefault="00DB13D4" w:rsidP="001A6C54">
      <w:pPr>
        <w:tabs>
          <w:tab w:val="left" w:pos="456"/>
        </w:tabs>
        <w:spacing w:before="120" w:after="120"/>
        <w:rPr>
          <w:rFonts w:ascii="Arial" w:hAnsi="Arial" w:cs="Arial"/>
          <w:b/>
          <w:snapToGrid w:val="0"/>
          <w:sz w:val="20"/>
          <w:szCs w:val="20"/>
        </w:rPr>
      </w:pPr>
      <w:r w:rsidRPr="00D23DD8">
        <w:rPr>
          <w:rFonts w:ascii="Arial" w:hAnsi="Arial" w:cs="Arial"/>
          <w:b/>
          <w:bCs/>
          <w:snapToGrid w:val="0"/>
          <w:sz w:val="20"/>
          <w:szCs w:val="20"/>
          <w:lang w:val="en"/>
        </w:rPr>
        <w:t>Table 02b: Quantity of cleared over-the-counter derivatives</w:t>
      </w:r>
    </w:p>
    <w:p w14:paraId="20271D32" w14:textId="77777777" w:rsidR="00304B4C" w:rsidRPr="00D23DD8" w:rsidRDefault="00DB13D4" w:rsidP="00A05762">
      <w:pPr>
        <w:tabs>
          <w:tab w:val="left" w:pos="456"/>
        </w:tabs>
        <w:rPr>
          <w:rFonts w:ascii="Arial" w:hAnsi="Arial" w:cs="Arial"/>
          <w:snapToGrid w:val="0"/>
          <w:sz w:val="20"/>
          <w:szCs w:val="20"/>
        </w:rPr>
      </w:pPr>
      <w:r w:rsidRPr="00D23DD8">
        <w:rPr>
          <w:rFonts w:ascii="Arial" w:hAnsi="Arial" w:cs="Arial"/>
          <w:snapToGrid w:val="0"/>
          <w:sz w:val="20"/>
          <w:szCs w:val="20"/>
          <w:lang w:val="en"/>
        </w:rPr>
        <w:t>The number of over-the-counter derivative transactions shall be reported as indicated by the criteria defined for Table 02a.</w:t>
      </w:r>
    </w:p>
    <w:p w14:paraId="1797B8D8" w14:textId="77777777" w:rsidR="00304B4C" w:rsidRPr="00D23DD8" w:rsidRDefault="00DB13D4" w:rsidP="001A6C54">
      <w:pPr>
        <w:tabs>
          <w:tab w:val="left" w:pos="456"/>
        </w:tabs>
        <w:spacing w:before="120" w:after="120"/>
        <w:rPr>
          <w:rFonts w:ascii="Arial" w:hAnsi="Arial" w:cs="Arial"/>
          <w:b/>
          <w:snapToGrid w:val="0"/>
          <w:sz w:val="20"/>
          <w:szCs w:val="20"/>
        </w:rPr>
      </w:pPr>
      <w:r w:rsidRPr="00D23DD8">
        <w:rPr>
          <w:rFonts w:ascii="Arial" w:hAnsi="Arial" w:cs="Arial"/>
          <w:b/>
          <w:bCs/>
          <w:snapToGrid w:val="0"/>
          <w:sz w:val="20"/>
          <w:szCs w:val="20"/>
          <w:lang w:val="en"/>
        </w:rPr>
        <w:t>Table 03a: Value of cleared derivatives traded on stock exchange</w:t>
      </w:r>
    </w:p>
    <w:p w14:paraId="329AFA5B" w14:textId="77777777" w:rsidR="00304B4C" w:rsidRPr="00D23DD8" w:rsidDel="00302682" w:rsidRDefault="00DB13D4" w:rsidP="00A05762">
      <w:pPr>
        <w:tabs>
          <w:tab w:val="left" w:pos="456"/>
        </w:tabs>
        <w:rPr>
          <w:rFonts w:ascii="Arial" w:hAnsi="Arial" w:cs="Arial"/>
          <w:snapToGrid w:val="0"/>
          <w:sz w:val="20"/>
          <w:szCs w:val="20"/>
        </w:rPr>
      </w:pPr>
      <w:r w:rsidRPr="00D23DD8">
        <w:rPr>
          <w:rFonts w:ascii="Arial" w:hAnsi="Arial" w:cs="Arial"/>
          <w:snapToGrid w:val="0"/>
          <w:sz w:val="20"/>
          <w:szCs w:val="20"/>
          <w:lang w:val="en"/>
        </w:rPr>
        <w:t>1.</w:t>
      </w:r>
      <w:r w:rsidRPr="00D23DD8">
        <w:rPr>
          <w:rFonts w:ascii="Arial" w:hAnsi="Arial" w:cs="Arial"/>
          <w:snapToGrid w:val="0"/>
          <w:sz w:val="20"/>
          <w:szCs w:val="20"/>
          <w:lang w:val="en"/>
        </w:rPr>
        <w:tab/>
        <w:t>The value of stock exchange derivatives shall be reported in accordance with point 2 of Table 02a.</w:t>
      </w:r>
    </w:p>
    <w:p w14:paraId="7E833E43" w14:textId="6079376E" w:rsidR="00304B4C" w:rsidRPr="00D23DD8" w:rsidRDefault="00DB13D4" w:rsidP="00302682">
      <w:pPr>
        <w:tabs>
          <w:tab w:val="left" w:pos="456"/>
        </w:tabs>
        <w:ind w:left="456" w:hanging="456"/>
        <w:rPr>
          <w:rFonts w:ascii="Arial" w:hAnsi="Arial" w:cs="Arial"/>
          <w:snapToGrid w:val="0"/>
          <w:sz w:val="20"/>
          <w:szCs w:val="20"/>
        </w:rPr>
      </w:pPr>
      <w:r w:rsidRPr="00D23DD8">
        <w:rPr>
          <w:rFonts w:ascii="Arial" w:hAnsi="Arial" w:cs="Arial"/>
          <w:snapToGrid w:val="0"/>
          <w:sz w:val="20"/>
          <w:szCs w:val="20"/>
          <w:lang w:val="en"/>
        </w:rPr>
        <w:t>2.</w:t>
      </w:r>
      <w:r w:rsidRPr="00D23DD8">
        <w:rPr>
          <w:rFonts w:ascii="Arial" w:hAnsi="Arial" w:cs="Arial"/>
          <w:snapToGrid w:val="0"/>
          <w:sz w:val="20"/>
          <w:szCs w:val="20"/>
          <w:lang w:val="en"/>
        </w:rPr>
        <w:tab/>
        <w:t>Any underlying product transactions as per point 3 of Table 02a should not be considered as derivative transaction. (If the underlying product is a security, the values of such securities transactions are to be indicated in Table 07, under spot securities transactions.)</w:t>
      </w:r>
    </w:p>
    <w:p w14:paraId="0BF87BF1" w14:textId="77777777" w:rsidR="00304B4C" w:rsidRPr="00D23DD8" w:rsidDel="009F72F1" w:rsidRDefault="00DB13D4" w:rsidP="001A6C54">
      <w:pPr>
        <w:tabs>
          <w:tab w:val="left" w:pos="456"/>
        </w:tabs>
        <w:spacing w:before="120" w:after="120"/>
        <w:rPr>
          <w:rFonts w:ascii="Arial" w:hAnsi="Arial" w:cs="Arial"/>
          <w:snapToGrid w:val="0"/>
          <w:sz w:val="20"/>
          <w:szCs w:val="20"/>
        </w:rPr>
      </w:pPr>
      <w:r w:rsidRPr="00D23DD8">
        <w:rPr>
          <w:rFonts w:ascii="Arial" w:hAnsi="Arial" w:cs="Arial"/>
          <w:b/>
          <w:bCs/>
          <w:snapToGrid w:val="0"/>
          <w:sz w:val="20"/>
          <w:szCs w:val="20"/>
          <w:lang w:val="en"/>
        </w:rPr>
        <w:t>Table 03b: Value of cleared over-the-counter derivatives</w:t>
      </w:r>
    </w:p>
    <w:p w14:paraId="56B779BB" w14:textId="77777777" w:rsidR="001A6C54" w:rsidRPr="00D23DD8" w:rsidRDefault="00DB13D4" w:rsidP="001A6C54">
      <w:pPr>
        <w:tabs>
          <w:tab w:val="left" w:pos="456"/>
        </w:tabs>
        <w:spacing w:before="120" w:after="120"/>
        <w:rPr>
          <w:rFonts w:ascii="Arial" w:hAnsi="Arial" w:cs="Arial"/>
          <w:snapToGrid w:val="0"/>
          <w:sz w:val="20"/>
          <w:szCs w:val="20"/>
        </w:rPr>
      </w:pPr>
      <w:r w:rsidRPr="00D23DD8">
        <w:rPr>
          <w:rFonts w:ascii="Arial" w:hAnsi="Arial" w:cs="Arial"/>
          <w:snapToGrid w:val="0"/>
          <w:sz w:val="20"/>
          <w:szCs w:val="20"/>
          <w:lang w:val="en"/>
        </w:rPr>
        <w:t>The value of over-the-counter derivative transactions shall be reported as indicated by the criteria defined for Table 03a.</w:t>
      </w:r>
    </w:p>
    <w:p w14:paraId="57C5E914" w14:textId="77777777" w:rsidR="00304B4C" w:rsidRPr="00D23DD8" w:rsidRDefault="00DB13D4" w:rsidP="001A6C54">
      <w:pPr>
        <w:tabs>
          <w:tab w:val="left" w:pos="456"/>
        </w:tabs>
        <w:spacing w:before="120" w:after="120"/>
        <w:rPr>
          <w:rFonts w:ascii="Arial" w:hAnsi="Arial" w:cs="Arial"/>
          <w:snapToGrid w:val="0"/>
          <w:sz w:val="20"/>
          <w:szCs w:val="20"/>
        </w:rPr>
      </w:pPr>
      <w:r w:rsidRPr="00D23DD8">
        <w:rPr>
          <w:rFonts w:ascii="Arial" w:hAnsi="Arial" w:cs="Arial"/>
          <w:b/>
          <w:bCs/>
          <w:snapToGrid w:val="0"/>
          <w:sz w:val="20"/>
          <w:szCs w:val="20"/>
          <w:lang w:val="en"/>
        </w:rPr>
        <w:t>Tables 04 and 05: Quantity and value of repo transactions</w:t>
      </w:r>
    </w:p>
    <w:p w14:paraId="5E8B7E8D" w14:textId="3A3B32C2" w:rsidR="00DB13D4" w:rsidRPr="00D23DD8" w:rsidRDefault="007659C0" w:rsidP="00DB13D4">
      <w:pPr>
        <w:tabs>
          <w:tab w:val="left" w:pos="426"/>
        </w:tabs>
        <w:ind w:left="426" w:hanging="426"/>
        <w:rPr>
          <w:rFonts w:ascii="Arial" w:hAnsi="Arial" w:cs="Arial"/>
          <w:snapToGrid w:val="0"/>
          <w:sz w:val="20"/>
          <w:szCs w:val="20"/>
        </w:rPr>
      </w:pPr>
      <w:r w:rsidRPr="00D23DD8">
        <w:rPr>
          <w:rFonts w:ascii="Arial" w:hAnsi="Arial" w:cs="Arial"/>
          <w:snapToGrid w:val="0"/>
          <w:sz w:val="20"/>
          <w:szCs w:val="20"/>
          <w:lang w:val="en"/>
        </w:rPr>
        <w:t>1.</w:t>
      </w:r>
      <w:r w:rsidRPr="00D23DD8">
        <w:rPr>
          <w:rFonts w:ascii="Arial" w:hAnsi="Arial" w:cs="Arial"/>
          <w:snapToGrid w:val="0"/>
          <w:sz w:val="20"/>
          <w:szCs w:val="20"/>
          <w:lang w:val="en"/>
        </w:rPr>
        <w:tab/>
        <w:t xml:space="preserve">In the tables, the repo transaction is counted once, </w:t>
      </w:r>
      <w:proofErr w:type="gramStart"/>
      <w:r w:rsidRPr="00D23DD8">
        <w:rPr>
          <w:rFonts w:ascii="Arial" w:hAnsi="Arial" w:cs="Arial"/>
          <w:snapToGrid w:val="0"/>
          <w:sz w:val="20"/>
          <w:szCs w:val="20"/>
          <w:lang w:val="en"/>
        </w:rPr>
        <w:t>i.e.</w:t>
      </w:r>
      <w:proofErr w:type="gramEnd"/>
      <w:r w:rsidRPr="00D23DD8">
        <w:rPr>
          <w:rFonts w:ascii="Arial" w:hAnsi="Arial" w:cs="Arial"/>
          <w:snapToGrid w:val="0"/>
          <w:sz w:val="20"/>
          <w:szCs w:val="20"/>
          <w:lang w:val="en"/>
        </w:rPr>
        <w:t xml:space="preserve"> the repurchase of securities is not taken into account.</w:t>
      </w:r>
    </w:p>
    <w:p w14:paraId="2882E2B5" w14:textId="3A5AFE4D" w:rsidR="00DB13D4" w:rsidRPr="00D23DD8" w:rsidRDefault="007659C0" w:rsidP="00DB13D4">
      <w:pPr>
        <w:tabs>
          <w:tab w:val="left" w:pos="426"/>
        </w:tabs>
        <w:ind w:left="426" w:hanging="426"/>
        <w:rPr>
          <w:rFonts w:ascii="Arial" w:hAnsi="Arial" w:cs="Arial"/>
          <w:snapToGrid w:val="0"/>
          <w:sz w:val="20"/>
          <w:szCs w:val="20"/>
        </w:rPr>
      </w:pPr>
      <w:r w:rsidRPr="00D23DD8">
        <w:rPr>
          <w:rFonts w:ascii="Arial" w:hAnsi="Arial" w:cs="Arial"/>
          <w:snapToGrid w:val="0"/>
          <w:sz w:val="20"/>
          <w:szCs w:val="20"/>
          <w:lang w:val="en"/>
        </w:rPr>
        <w:t>2.</w:t>
      </w:r>
      <w:r w:rsidRPr="00D23DD8">
        <w:rPr>
          <w:rFonts w:ascii="Arial" w:hAnsi="Arial" w:cs="Arial"/>
          <w:snapToGrid w:val="0"/>
          <w:sz w:val="20"/>
          <w:szCs w:val="20"/>
          <w:lang w:val="en"/>
        </w:rPr>
        <w:tab/>
        <w:t>The quantity and value of repos shall be reported in the status following novation, subject to the criteria referred to in point 2 of Table 02a and point 1 of Table 03a.</w:t>
      </w:r>
    </w:p>
    <w:p w14:paraId="403FFA6B" w14:textId="77777777" w:rsidR="00F01C1B" w:rsidRPr="00D23DD8" w:rsidRDefault="00DB13D4" w:rsidP="001A6C54">
      <w:pPr>
        <w:tabs>
          <w:tab w:val="left" w:pos="456"/>
        </w:tabs>
        <w:spacing w:before="120" w:after="120"/>
        <w:rPr>
          <w:rFonts w:ascii="Arial" w:hAnsi="Arial" w:cs="Arial"/>
          <w:b/>
          <w:snapToGrid w:val="0"/>
          <w:sz w:val="20"/>
          <w:szCs w:val="20"/>
        </w:rPr>
      </w:pPr>
      <w:r w:rsidRPr="00D23DD8">
        <w:rPr>
          <w:rFonts w:ascii="Arial" w:hAnsi="Arial" w:cs="Arial"/>
          <w:b/>
          <w:bCs/>
          <w:snapToGrid w:val="0"/>
          <w:sz w:val="20"/>
          <w:szCs w:val="20"/>
          <w:lang w:val="en"/>
        </w:rPr>
        <w:t>Tables 06 and 07: Quantity and value of spot securities transactions</w:t>
      </w:r>
    </w:p>
    <w:p w14:paraId="7176AB57" w14:textId="0C17065C" w:rsidR="00DB13D4" w:rsidRPr="00D23DD8" w:rsidRDefault="007659C0" w:rsidP="00DB13D4">
      <w:pPr>
        <w:tabs>
          <w:tab w:val="left" w:pos="456"/>
        </w:tabs>
        <w:ind w:left="426" w:hanging="426"/>
        <w:rPr>
          <w:rFonts w:ascii="Arial" w:hAnsi="Arial" w:cs="Arial"/>
          <w:snapToGrid w:val="0"/>
          <w:sz w:val="20"/>
          <w:szCs w:val="20"/>
        </w:rPr>
      </w:pPr>
      <w:r w:rsidRPr="00D23DD8">
        <w:rPr>
          <w:rFonts w:ascii="Arial" w:hAnsi="Arial" w:cs="Arial"/>
          <w:snapToGrid w:val="0"/>
          <w:sz w:val="20"/>
          <w:szCs w:val="20"/>
          <w:lang w:val="en"/>
        </w:rPr>
        <w:t>1.</w:t>
      </w:r>
      <w:r w:rsidRPr="00D23DD8">
        <w:rPr>
          <w:rFonts w:ascii="Arial" w:hAnsi="Arial" w:cs="Arial"/>
          <w:snapToGrid w:val="0"/>
          <w:sz w:val="20"/>
          <w:szCs w:val="20"/>
          <w:lang w:val="en"/>
        </w:rPr>
        <w:tab/>
        <w:t>These tables shall contain the quantity and value of spot stock exchange transactions, and the quantity and value of securities transactions serving as a means of settlement of liabilities (open positions) from derivatives by way of the physical delivery of the underlying securities upon maturity.</w:t>
      </w:r>
    </w:p>
    <w:p w14:paraId="70982BF4" w14:textId="4FDAA7F0" w:rsidR="00DB13D4" w:rsidRPr="00D23DD8" w:rsidRDefault="007659C0" w:rsidP="00DB13D4">
      <w:pPr>
        <w:tabs>
          <w:tab w:val="left" w:pos="426"/>
        </w:tabs>
        <w:ind w:left="426" w:hanging="426"/>
        <w:rPr>
          <w:rFonts w:ascii="Arial" w:hAnsi="Arial" w:cs="Arial"/>
          <w:snapToGrid w:val="0"/>
          <w:sz w:val="20"/>
          <w:szCs w:val="20"/>
        </w:rPr>
      </w:pPr>
      <w:r w:rsidRPr="00D23DD8">
        <w:rPr>
          <w:rFonts w:ascii="Arial" w:hAnsi="Arial" w:cs="Arial"/>
          <w:snapToGrid w:val="0"/>
          <w:sz w:val="20"/>
          <w:szCs w:val="20"/>
          <w:lang w:val="en"/>
        </w:rPr>
        <w:t>2.</w:t>
      </w:r>
      <w:r w:rsidRPr="00D23DD8">
        <w:rPr>
          <w:rFonts w:ascii="Arial" w:hAnsi="Arial" w:cs="Arial"/>
          <w:snapToGrid w:val="0"/>
          <w:sz w:val="20"/>
          <w:szCs w:val="20"/>
          <w:lang w:val="en"/>
        </w:rPr>
        <w:tab/>
        <w:t>The quantity and value of spot securities transactions shall be reported in the status following novation, subject to the criteria referred to in point 2 of Table 02a and point 1 of Table 03a.</w:t>
      </w:r>
    </w:p>
    <w:p w14:paraId="18DB1984" w14:textId="77777777" w:rsidR="00304B4C" w:rsidRPr="00D23DD8" w:rsidRDefault="00DB13D4" w:rsidP="001A6C54">
      <w:pPr>
        <w:tabs>
          <w:tab w:val="left" w:pos="456"/>
        </w:tabs>
        <w:spacing w:before="120" w:after="120"/>
        <w:rPr>
          <w:rFonts w:ascii="Arial" w:hAnsi="Arial" w:cs="Arial"/>
          <w:b/>
          <w:snapToGrid w:val="0"/>
          <w:sz w:val="20"/>
          <w:szCs w:val="20"/>
        </w:rPr>
      </w:pPr>
      <w:r w:rsidRPr="00D23DD8">
        <w:rPr>
          <w:rFonts w:ascii="Arial" w:hAnsi="Arial" w:cs="Arial"/>
          <w:b/>
          <w:bCs/>
          <w:snapToGrid w:val="0"/>
          <w:sz w:val="20"/>
          <w:szCs w:val="20"/>
          <w:lang w:val="en"/>
        </w:rPr>
        <w:t>Table 08: Quantity of contracts with other central counterparties (</w:t>
      </w:r>
      <w:proofErr w:type="spellStart"/>
      <w:r w:rsidRPr="00D23DD8">
        <w:rPr>
          <w:rFonts w:ascii="Arial" w:hAnsi="Arial" w:cs="Arial"/>
          <w:b/>
          <w:bCs/>
          <w:snapToGrid w:val="0"/>
          <w:sz w:val="20"/>
          <w:szCs w:val="20"/>
          <w:lang w:val="en"/>
        </w:rPr>
        <w:t>CCPs</w:t>
      </w:r>
      <w:proofErr w:type="spellEnd"/>
      <w:r w:rsidRPr="00D23DD8">
        <w:rPr>
          <w:rFonts w:ascii="Arial" w:hAnsi="Arial" w:cs="Arial"/>
          <w:b/>
          <w:bCs/>
          <w:snapToGrid w:val="0"/>
          <w:sz w:val="20"/>
          <w:szCs w:val="20"/>
          <w:lang w:val="en"/>
        </w:rPr>
        <w:t>) by way of horizontal links</w:t>
      </w:r>
    </w:p>
    <w:p w14:paraId="286EA9C2" w14:textId="77777777" w:rsidR="00DB13D4" w:rsidRPr="00D23DD8" w:rsidRDefault="007659C0" w:rsidP="00DB13D4">
      <w:pPr>
        <w:tabs>
          <w:tab w:val="left" w:pos="456"/>
        </w:tabs>
        <w:ind w:left="426" w:hanging="426"/>
        <w:rPr>
          <w:rFonts w:ascii="Arial" w:hAnsi="Arial" w:cs="Arial"/>
          <w:snapToGrid w:val="0"/>
          <w:sz w:val="20"/>
          <w:szCs w:val="20"/>
        </w:rPr>
      </w:pPr>
      <w:r w:rsidRPr="00D23DD8">
        <w:rPr>
          <w:rFonts w:ascii="Arial" w:hAnsi="Arial" w:cs="Arial"/>
          <w:snapToGrid w:val="0"/>
          <w:sz w:val="20"/>
          <w:szCs w:val="20"/>
          <w:lang w:val="en"/>
        </w:rPr>
        <w:t>1.</w:t>
      </w:r>
      <w:r w:rsidRPr="00D23DD8">
        <w:rPr>
          <w:rFonts w:ascii="Arial" w:hAnsi="Arial" w:cs="Arial"/>
          <w:snapToGrid w:val="0"/>
          <w:sz w:val="20"/>
          <w:szCs w:val="20"/>
          <w:lang w:val="en"/>
        </w:rPr>
        <w:tab/>
        <w:t xml:space="preserve">This table shall contain the number of transactions from among the transactions indicated in Tables 02a, 02b, 04 and 06 that were clearing through links established with another central counterparty functioning as a central counterparty, by way of novation. </w:t>
      </w:r>
    </w:p>
    <w:p w14:paraId="387331EC" w14:textId="10F54794" w:rsidR="00DB13D4" w:rsidRPr="00D23DD8" w:rsidRDefault="007659C0" w:rsidP="00DB13D4">
      <w:pPr>
        <w:tabs>
          <w:tab w:val="left" w:pos="456"/>
        </w:tabs>
        <w:ind w:left="426" w:hanging="426"/>
        <w:rPr>
          <w:rFonts w:ascii="Arial" w:hAnsi="Arial" w:cs="Arial"/>
          <w:snapToGrid w:val="0"/>
          <w:sz w:val="20"/>
          <w:szCs w:val="20"/>
        </w:rPr>
      </w:pPr>
      <w:r w:rsidRPr="00D23DD8">
        <w:rPr>
          <w:rFonts w:ascii="Arial" w:hAnsi="Arial" w:cs="Arial"/>
          <w:snapToGrid w:val="0"/>
          <w:sz w:val="20"/>
          <w:szCs w:val="20"/>
          <w:lang w:val="en"/>
        </w:rPr>
        <w:t>2.</w:t>
      </w:r>
      <w:r w:rsidRPr="00D23DD8">
        <w:rPr>
          <w:rFonts w:ascii="Arial" w:hAnsi="Arial" w:cs="Arial"/>
          <w:snapToGrid w:val="0"/>
          <w:sz w:val="20"/>
          <w:szCs w:val="20"/>
          <w:lang w:val="en"/>
        </w:rPr>
        <w:tab/>
        <w:t xml:space="preserve">The quantity of transactions shall be reported as per point 6 of I. General instructions in the status following novation. Only those transactions shall be taken into account where the central counterparty legally enters the deal to mediate between the seller and the buyer. (In the process of novation the original contract is replaced by three new contracts: between the central counterparty and its own clearing member, between the central counterparty and another central counterparty, and between the other central counterparty </w:t>
      </w:r>
      <w:r w:rsidRPr="00D23DD8">
        <w:rPr>
          <w:rFonts w:ascii="Arial" w:hAnsi="Arial" w:cs="Arial"/>
          <w:snapToGrid w:val="0"/>
          <w:sz w:val="20"/>
          <w:szCs w:val="20"/>
          <w:lang w:val="en"/>
        </w:rPr>
        <w:lastRenderedPageBreak/>
        <w:t xml:space="preserve">and its own clearing member. However, the data supplier is involved only in the first two; therefore, these two contracts are to be included in the report.) </w:t>
      </w:r>
    </w:p>
    <w:p w14:paraId="364EF849" w14:textId="77777777" w:rsidR="00304B4C" w:rsidRPr="00D23DD8" w:rsidRDefault="00DB13D4" w:rsidP="002F57AA">
      <w:pPr>
        <w:keepNext/>
        <w:tabs>
          <w:tab w:val="left" w:pos="456"/>
        </w:tabs>
        <w:spacing w:before="120" w:after="120"/>
        <w:rPr>
          <w:rFonts w:ascii="Arial" w:hAnsi="Arial" w:cs="Arial"/>
          <w:b/>
          <w:snapToGrid w:val="0"/>
          <w:sz w:val="20"/>
          <w:szCs w:val="20"/>
        </w:rPr>
      </w:pPr>
      <w:r w:rsidRPr="00D23DD8">
        <w:rPr>
          <w:rFonts w:ascii="Arial" w:hAnsi="Arial" w:cs="Arial"/>
          <w:b/>
          <w:bCs/>
          <w:snapToGrid w:val="0"/>
          <w:sz w:val="20"/>
          <w:szCs w:val="20"/>
          <w:lang w:val="en"/>
        </w:rPr>
        <w:t>Table 09: Value of contracts with other central counterparties (</w:t>
      </w:r>
      <w:proofErr w:type="spellStart"/>
      <w:r w:rsidRPr="00D23DD8">
        <w:rPr>
          <w:rFonts w:ascii="Arial" w:hAnsi="Arial" w:cs="Arial"/>
          <w:b/>
          <w:bCs/>
          <w:snapToGrid w:val="0"/>
          <w:sz w:val="20"/>
          <w:szCs w:val="20"/>
          <w:lang w:val="en"/>
        </w:rPr>
        <w:t>CCPs</w:t>
      </w:r>
      <w:proofErr w:type="spellEnd"/>
      <w:r w:rsidRPr="00D23DD8">
        <w:rPr>
          <w:rFonts w:ascii="Arial" w:hAnsi="Arial" w:cs="Arial"/>
          <w:b/>
          <w:bCs/>
          <w:snapToGrid w:val="0"/>
          <w:sz w:val="20"/>
          <w:szCs w:val="20"/>
          <w:lang w:val="en"/>
        </w:rPr>
        <w:t>) by way of horizontal links</w:t>
      </w:r>
    </w:p>
    <w:p w14:paraId="0E97E249" w14:textId="77777777" w:rsidR="00DB13D4" w:rsidRPr="00D23DD8" w:rsidRDefault="007659C0" w:rsidP="00DB13D4">
      <w:pPr>
        <w:tabs>
          <w:tab w:val="left" w:pos="456"/>
        </w:tabs>
        <w:ind w:left="426" w:hanging="426"/>
        <w:rPr>
          <w:rFonts w:ascii="Arial" w:hAnsi="Arial" w:cs="Arial"/>
          <w:snapToGrid w:val="0"/>
          <w:sz w:val="20"/>
          <w:szCs w:val="20"/>
        </w:rPr>
      </w:pPr>
      <w:r w:rsidRPr="00D23DD8">
        <w:rPr>
          <w:rFonts w:ascii="Arial" w:hAnsi="Arial" w:cs="Arial"/>
          <w:snapToGrid w:val="0"/>
          <w:sz w:val="20"/>
          <w:szCs w:val="20"/>
          <w:lang w:val="en"/>
        </w:rPr>
        <w:t>1.</w:t>
      </w:r>
      <w:r w:rsidRPr="00D23DD8">
        <w:rPr>
          <w:rFonts w:ascii="Arial" w:hAnsi="Arial" w:cs="Arial"/>
          <w:snapToGrid w:val="0"/>
          <w:sz w:val="20"/>
          <w:szCs w:val="20"/>
          <w:lang w:val="en"/>
        </w:rPr>
        <w:tab/>
        <w:t xml:space="preserve">This table shall contain the value of transactions from among the transactions indicated in Tables 03a, 03b, 05 and 07 that were settled through links established with another central counterparty functioning as a central counterparty, by way of real novation. </w:t>
      </w:r>
    </w:p>
    <w:p w14:paraId="73D0D538" w14:textId="0E5437FF" w:rsidR="00DB13D4" w:rsidRPr="00D23DD8" w:rsidRDefault="00124E65" w:rsidP="00DB13D4">
      <w:pPr>
        <w:tabs>
          <w:tab w:val="left" w:pos="456"/>
        </w:tabs>
        <w:ind w:left="426" w:hanging="426"/>
        <w:rPr>
          <w:rFonts w:ascii="Arial" w:hAnsi="Arial" w:cs="Arial"/>
          <w:snapToGrid w:val="0"/>
          <w:sz w:val="20"/>
          <w:szCs w:val="20"/>
        </w:rPr>
      </w:pPr>
      <w:r w:rsidRPr="00D23DD8">
        <w:rPr>
          <w:rFonts w:ascii="Arial" w:hAnsi="Arial" w:cs="Arial"/>
          <w:snapToGrid w:val="0"/>
          <w:sz w:val="20"/>
          <w:szCs w:val="20"/>
          <w:lang w:val="en"/>
        </w:rPr>
        <w:t>2.</w:t>
      </w:r>
      <w:r w:rsidRPr="00D23DD8">
        <w:rPr>
          <w:rFonts w:ascii="Arial" w:hAnsi="Arial" w:cs="Arial"/>
          <w:snapToGrid w:val="0"/>
          <w:sz w:val="20"/>
          <w:szCs w:val="20"/>
          <w:lang w:val="en"/>
        </w:rPr>
        <w:tab/>
        <w:t xml:space="preserve">The value of transactions shall be reported as per point 6 of I. General instructions in the status following novation. Only those transactions shall be taken into account where the central counterparty legally enters the deal to mediate between the seller and the buyer. (In the process of </w:t>
      </w:r>
      <w:proofErr w:type="gramStart"/>
      <w:r w:rsidRPr="00D23DD8">
        <w:rPr>
          <w:rFonts w:ascii="Arial" w:hAnsi="Arial" w:cs="Arial"/>
          <w:snapToGrid w:val="0"/>
          <w:sz w:val="20"/>
          <w:szCs w:val="20"/>
          <w:lang w:val="en"/>
        </w:rPr>
        <w:t>novation</w:t>
      </w:r>
      <w:proofErr w:type="gramEnd"/>
      <w:r w:rsidRPr="00D23DD8">
        <w:rPr>
          <w:rFonts w:ascii="Arial" w:hAnsi="Arial" w:cs="Arial"/>
          <w:snapToGrid w:val="0"/>
          <w:sz w:val="20"/>
          <w:szCs w:val="20"/>
          <w:lang w:val="en"/>
        </w:rPr>
        <w:t xml:space="preserve"> the original contract is replaced by three new contracts whose value equals the value of the original transaction: between the central counterparty and its own clearing member, between the central counterparty and another central counterparty, and between the other central counterparty and its own clearing member. However, the data supplier is involved only in the first two; therefore, the combined value of these two contracts is to be included in the report.)</w:t>
      </w:r>
    </w:p>
    <w:p w14:paraId="2D90C938" w14:textId="77777777" w:rsidR="00304B4C" w:rsidRPr="00D23DD8" w:rsidRDefault="00DB13D4" w:rsidP="001A6C54">
      <w:pPr>
        <w:tabs>
          <w:tab w:val="left" w:pos="456"/>
        </w:tabs>
        <w:spacing w:before="120" w:after="120"/>
        <w:rPr>
          <w:rFonts w:ascii="Arial" w:hAnsi="Arial" w:cs="Arial"/>
          <w:b/>
          <w:snapToGrid w:val="0"/>
          <w:sz w:val="20"/>
          <w:szCs w:val="20"/>
        </w:rPr>
      </w:pPr>
      <w:r w:rsidRPr="00D23DD8">
        <w:rPr>
          <w:rFonts w:ascii="Arial" w:hAnsi="Arial" w:cs="Arial"/>
          <w:b/>
          <w:bCs/>
          <w:snapToGrid w:val="0"/>
          <w:sz w:val="20"/>
          <w:szCs w:val="20"/>
          <w:lang w:val="en"/>
        </w:rPr>
        <w:t>Tables 10 and 11: Quantity and value of securities transfer orders given to central securities depositories (CSD) for the settlement of transactions</w:t>
      </w:r>
    </w:p>
    <w:p w14:paraId="26843732" w14:textId="4FF4EC3B" w:rsidR="0050231D" w:rsidRPr="00D23DD8" w:rsidRDefault="00124E65" w:rsidP="00DB13D4">
      <w:pPr>
        <w:tabs>
          <w:tab w:val="left" w:pos="456"/>
        </w:tabs>
        <w:ind w:left="426" w:hanging="426"/>
        <w:rPr>
          <w:rFonts w:ascii="Arial" w:hAnsi="Arial" w:cs="Arial"/>
          <w:snapToGrid w:val="0"/>
          <w:sz w:val="20"/>
          <w:szCs w:val="20"/>
        </w:rPr>
      </w:pPr>
      <w:r w:rsidRPr="00D23DD8">
        <w:rPr>
          <w:rFonts w:ascii="Arial" w:hAnsi="Arial" w:cs="Arial"/>
          <w:snapToGrid w:val="0"/>
          <w:sz w:val="20"/>
          <w:szCs w:val="20"/>
          <w:lang w:val="en"/>
        </w:rPr>
        <w:t>1.</w:t>
      </w:r>
      <w:r w:rsidRPr="00D23DD8">
        <w:rPr>
          <w:rFonts w:ascii="Arial" w:hAnsi="Arial" w:cs="Arial"/>
          <w:snapToGrid w:val="0"/>
          <w:sz w:val="20"/>
          <w:szCs w:val="20"/>
          <w:lang w:val="en"/>
        </w:rPr>
        <w:tab/>
        <w:t xml:space="preserve">Columns b–d shall only contain the quantity and value of securities transfer orders serving for the </w:t>
      </w:r>
      <w:proofErr w:type="spellStart"/>
      <w:r w:rsidRPr="00D23DD8">
        <w:rPr>
          <w:rFonts w:ascii="Arial" w:hAnsi="Arial" w:cs="Arial"/>
          <w:snapToGrid w:val="0"/>
          <w:sz w:val="20"/>
          <w:szCs w:val="20"/>
          <w:lang w:val="en"/>
        </w:rPr>
        <w:t>settlementof</w:t>
      </w:r>
      <w:proofErr w:type="spellEnd"/>
      <w:r w:rsidRPr="00D23DD8">
        <w:rPr>
          <w:rFonts w:ascii="Arial" w:hAnsi="Arial" w:cs="Arial"/>
          <w:snapToGrid w:val="0"/>
          <w:sz w:val="20"/>
          <w:szCs w:val="20"/>
          <w:lang w:val="en"/>
        </w:rPr>
        <w:t xml:space="preserve"> derivatives, repos and spot securities transactions conducted by the data provider, where the central counterparty legally </w:t>
      </w:r>
      <w:proofErr w:type="gramStart"/>
      <w:r w:rsidRPr="00D23DD8">
        <w:rPr>
          <w:rFonts w:ascii="Arial" w:hAnsi="Arial" w:cs="Arial"/>
          <w:snapToGrid w:val="0"/>
          <w:sz w:val="20"/>
          <w:szCs w:val="20"/>
          <w:lang w:val="en"/>
        </w:rPr>
        <w:t>enters into</w:t>
      </w:r>
      <w:proofErr w:type="gramEnd"/>
      <w:r w:rsidRPr="00D23DD8">
        <w:rPr>
          <w:rFonts w:ascii="Arial" w:hAnsi="Arial" w:cs="Arial"/>
          <w:snapToGrid w:val="0"/>
          <w:sz w:val="20"/>
          <w:szCs w:val="20"/>
          <w:lang w:val="en"/>
        </w:rPr>
        <w:t xml:space="preserve"> the transaction as the seller of the buyer and buyer of the seller.</w:t>
      </w:r>
    </w:p>
    <w:p w14:paraId="39464870" w14:textId="77777777" w:rsidR="0050231D" w:rsidRPr="00D23DD8" w:rsidRDefault="0050231D" w:rsidP="00DB13D4">
      <w:pPr>
        <w:tabs>
          <w:tab w:val="left" w:pos="456"/>
        </w:tabs>
        <w:ind w:left="426" w:hanging="426"/>
        <w:rPr>
          <w:rFonts w:ascii="Arial" w:hAnsi="Arial" w:cs="Arial"/>
          <w:snapToGrid w:val="0"/>
          <w:sz w:val="20"/>
          <w:szCs w:val="20"/>
        </w:rPr>
      </w:pPr>
      <w:r w:rsidRPr="00D23DD8">
        <w:rPr>
          <w:rFonts w:ascii="Arial" w:hAnsi="Arial" w:cs="Arial"/>
          <w:snapToGrid w:val="0"/>
          <w:sz w:val="20"/>
          <w:szCs w:val="20"/>
          <w:lang w:val="en"/>
        </w:rPr>
        <w:t xml:space="preserve">2. </w:t>
      </w:r>
      <w:r w:rsidRPr="00D23DD8">
        <w:rPr>
          <w:rFonts w:ascii="Arial" w:hAnsi="Arial" w:cs="Arial"/>
          <w:snapToGrid w:val="0"/>
          <w:sz w:val="20"/>
          <w:szCs w:val="20"/>
          <w:lang w:val="en"/>
        </w:rPr>
        <w:tab/>
        <w:t>Columns e–g shall only contain the quantity and value of securities transfer orders where the central counterparty guarantees the settlement of the underlying transactions, but legally does not enter the deal.</w:t>
      </w:r>
    </w:p>
    <w:p w14:paraId="5855D145" w14:textId="02176EED" w:rsidR="00DB13D4" w:rsidRPr="00D23DD8" w:rsidRDefault="0050231D" w:rsidP="00DB13D4">
      <w:pPr>
        <w:tabs>
          <w:tab w:val="left" w:pos="456"/>
        </w:tabs>
        <w:ind w:left="426" w:hanging="426"/>
        <w:rPr>
          <w:rFonts w:ascii="Arial" w:hAnsi="Arial" w:cs="Arial"/>
          <w:snapToGrid w:val="0"/>
          <w:sz w:val="20"/>
          <w:szCs w:val="20"/>
        </w:rPr>
      </w:pPr>
      <w:r w:rsidRPr="00D23DD8">
        <w:rPr>
          <w:rFonts w:ascii="Arial" w:hAnsi="Arial" w:cs="Arial"/>
          <w:snapToGrid w:val="0"/>
          <w:sz w:val="20"/>
          <w:szCs w:val="20"/>
          <w:lang w:val="en"/>
        </w:rPr>
        <w:t>3.</w:t>
      </w:r>
      <w:r w:rsidRPr="00D23DD8">
        <w:rPr>
          <w:rFonts w:ascii="Arial" w:hAnsi="Arial" w:cs="Arial"/>
          <w:snapToGrid w:val="0"/>
          <w:sz w:val="20"/>
          <w:szCs w:val="20"/>
          <w:lang w:val="en"/>
        </w:rPr>
        <w:tab/>
        <w:t>The securities transactions whose direct objective is to provide collateral rather than to settle the underlying transactions do not have to be reported in Tables 10 and 11.</w:t>
      </w:r>
    </w:p>
    <w:p w14:paraId="6F4A2313" w14:textId="77777777" w:rsidR="00DB13D4" w:rsidRPr="00D23DD8" w:rsidRDefault="00DB13D4" w:rsidP="00BA5327">
      <w:pPr>
        <w:tabs>
          <w:tab w:val="left" w:pos="456"/>
        </w:tabs>
        <w:rPr>
          <w:rFonts w:ascii="Arial" w:hAnsi="Arial" w:cs="Arial"/>
          <w:snapToGrid w:val="0"/>
          <w:sz w:val="20"/>
          <w:szCs w:val="20"/>
        </w:rPr>
      </w:pPr>
    </w:p>
    <w:p w14:paraId="0A307609" w14:textId="486178A9" w:rsidR="00514A92" w:rsidRPr="00D23DD8" w:rsidRDefault="00514A92" w:rsidP="00514A92">
      <w:pPr>
        <w:tabs>
          <w:tab w:val="left" w:pos="456"/>
        </w:tabs>
        <w:spacing w:before="120" w:after="120"/>
        <w:rPr>
          <w:rFonts w:ascii="Arial" w:hAnsi="Arial" w:cs="Arial"/>
          <w:b/>
          <w:snapToGrid w:val="0"/>
          <w:sz w:val="20"/>
          <w:szCs w:val="20"/>
        </w:rPr>
      </w:pPr>
      <w:r w:rsidRPr="00D23DD8">
        <w:rPr>
          <w:rFonts w:ascii="Arial" w:hAnsi="Arial" w:cs="Arial"/>
          <w:b/>
          <w:bCs/>
          <w:snapToGrid w:val="0"/>
          <w:sz w:val="20"/>
          <w:szCs w:val="20"/>
          <w:lang w:val="en"/>
        </w:rPr>
        <w:t>Table 12: Money side settlement of capital market transactions guaranteed by a central counterparty (value of transactions)</w:t>
      </w:r>
    </w:p>
    <w:p w14:paraId="002CDA91" w14:textId="4F42096E" w:rsidR="00514A92" w:rsidRPr="00D23DD8" w:rsidRDefault="00514A92" w:rsidP="00514A92">
      <w:pPr>
        <w:tabs>
          <w:tab w:val="left" w:pos="456"/>
        </w:tabs>
        <w:ind w:left="426" w:hanging="426"/>
        <w:rPr>
          <w:rFonts w:ascii="Arial" w:hAnsi="Arial" w:cs="Arial"/>
          <w:snapToGrid w:val="0"/>
          <w:sz w:val="20"/>
          <w:szCs w:val="20"/>
        </w:rPr>
      </w:pPr>
      <w:r w:rsidRPr="00D23DD8">
        <w:rPr>
          <w:rFonts w:ascii="Arial" w:hAnsi="Arial" w:cs="Arial"/>
          <w:snapToGrid w:val="0"/>
          <w:sz w:val="20"/>
          <w:szCs w:val="20"/>
          <w:lang w:val="en"/>
        </w:rPr>
        <w:t>1.</w:t>
      </w:r>
      <w:r w:rsidRPr="00D23DD8">
        <w:rPr>
          <w:rFonts w:ascii="Arial" w:hAnsi="Arial" w:cs="Arial"/>
          <w:snapToGrid w:val="0"/>
          <w:sz w:val="20"/>
          <w:szCs w:val="20"/>
          <w:lang w:val="en"/>
        </w:rPr>
        <w:tab/>
        <w:t xml:space="preserve">Table 12 shall contain the value related to </w:t>
      </w:r>
      <w:proofErr w:type="spellStart"/>
      <w:r w:rsidRPr="00D23DD8">
        <w:rPr>
          <w:rFonts w:ascii="Arial" w:hAnsi="Arial" w:cs="Arial"/>
          <w:snapToGrid w:val="0"/>
          <w:sz w:val="20"/>
          <w:szCs w:val="20"/>
          <w:lang w:val="en"/>
        </w:rPr>
        <w:t>DvP</w:t>
      </w:r>
      <w:proofErr w:type="spellEnd"/>
      <w:r w:rsidRPr="00D23DD8">
        <w:rPr>
          <w:rFonts w:ascii="Arial" w:hAnsi="Arial" w:cs="Arial"/>
          <w:snapToGrid w:val="0"/>
          <w:sz w:val="20"/>
          <w:szCs w:val="20"/>
          <w:lang w:val="en"/>
        </w:rPr>
        <w:t xml:space="preserve"> transfer orders, of monetary transactions belonging to securities settlements that serve the settlement of derivatives, repos and spot securities transactions conducted by the data provider, where the central counterparty legally enters the deal to mediate between the seller and the buyer. Accordingly, the table shall not contain the quantity and value of securities transfer orders where the central counterparty guarantees the settlement of the underlying transactions, but legally does not enter the deal, nor the transactions whose direct objective is to provide collateral rather than the settlement of the underlying transactions.</w:t>
      </w:r>
    </w:p>
    <w:p w14:paraId="53C98EFE" w14:textId="041A4330" w:rsidR="00514A92" w:rsidRPr="009C1C98" w:rsidRDefault="00514A92" w:rsidP="0066059B">
      <w:pPr>
        <w:tabs>
          <w:tab w:val="left" w:pos="456"/>
        </w:tabs>
        <w:spacing w:before="120" w:after="120"/>
        <w:ind w:left="426" w:hanging="426"/>
        <w:rPr>
          <w:rFonts w:ascii="Arial" w:hAnsi="Arial" w:cs="Arial"/>
          <w:snapToGrid w:val="0"/>
          <w:sz w:val="20"/>
          <w:szCs w:val="20"/>
        </w:rPr>
      </w:pPr>
      <w:r w:rsidRPr="00D23DD8">
        <w:rPr>
          <w:rFonts w:ascii="Arial" w:hAnsi="Arial" w:cs="Arial"/>
          <w:snapToGrid w:val="0"/>
          <w:sz w:val="20"/>
          <w:szCs w:val="20"/>
          <w:lang w:val="en"/>
        </w:rPr>
        <w:t xml:space="preserve">2. </w:t>
      </w:r>
      <w:r w:rsidRPr="00D23DD8">
        <w:rPr>
          <w:rFonts w:ascii="Arial" w:hAnsi="Arial" w:cs="Arial"/>
          <w:snapToGrid w:val="0"/>
          <w:sz w:val="20"/>
          <w:szCs w:val="20"/>
          <w:lang w:val="en"/>
        </w:rPr>
        <w:tab/>
        <w:t>In Table 12, the monetary transaction value of securities transfers (shown as a single transaction) should be reported, broken down by currency (forint, euro or other currency).”</w:t>
      </w:r>
    </w:p>
    <w:p w14:paraId="767F8774" w14:textId="77777777" w:rsidR="00514A92" w:rsidRPr="009C1C98" w:rsidRDefault="00514A92" w:rsidP="00DB13D4">
      <w:pPr>
        <w:tabs>
          <w:tab w:val="left" w:pos="456"/>
        </w:tabs>
        <w:ind w:left="426" w:hanging="426"/>
        <w:rPr>
          <w:rFonts w:ascii="Arial" w:hAnsi="Arial" w:cs="Arial"/>
          <w:snapToGrid w:val="0"/>
          <w:sz w:val="20"/>
          <w:szCs w:val="20"/>
        </w:rPr>
      </w:pPr>
    </w:p>
    <w:sectPr w:rsidR="00514A92" w:rsidRPr="009C1C98" w:rsidSect="001834E0">
      <w:headerReference w:type="even" r:id="rId7"/>
      <w:headerReference w:type="default" r:id="rId8"/>
      <w:footerReference w:type="defaul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3086A" w14:textId="77777777" w:rsidR="003045F4" w:rsidRDefault="003045F4">
      <w:r>
        <w:separator/>
      </w:r>
    </w:p>
  </w:endnote>
  <w:endnote w:type="continuationSeparator" w:id="0">
    <w:p w14:paraId="19F745E4" w14:textId="77777777" w:rsidR="003045F4" w:rsidRDefault="003045F4">
      <w:r>
        <w:continuationSeparator/>
      </w:r>
    </w:p>
  </w:endnote>
  <w:endnote w:type="continuationNotice" w:id="1">
    <w:p w14:paraId="5FB88C03" w14:textId="77777777" w:rsidR="003045F4" w:rsidRDefault="003045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3D740" w14:textId="77777777" w:rsidR="00794165" w:rsidRDefault="0079416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A1122" w14:textId="77777777" w:rsidR="003045F4" w:rsidRDefault="003045F4">
      <w:r>
        <w:separator/>
      </w:r>
    </w:p>
  </w:footnote>
  <w:footnote w:type="continuationSeparator" w:id="0">
    <w:p w14:paraId="14DDC17C" w14:textId="77777777" w:rsidR="003045F4" w:rsidRDefault="003045F4">
      <w:r>
        <w:continuationSeparator/>
      </w:r>
    </w:p>
  </w:footnote>
  <w:footnote w:type="continuationNotice" w:id="1">
    <w:p w14:paraId="31F5C0CB" w14:textId="77777777" w:rsidR="003045F4" w:rsidRDefault="003045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85589" w14:textId="77777777" w:rsidR="008B67E8" w:rsidRDefault="008B67E8">
    <w:pPr>
      <w:pStyle w:val="lfej"/>
      <w:framePr w:wrap="around" w:vAnchor="text" w:hAnchor="margin" w:xAlign="center" w:y="1"/>
      <w:rPr>
        <w:rStyle w:val="Oldalszm"/>
      </w:rPr>
    </w:pPr>
    <w:r>
      <w:rPr>
        <w:rStyle w:val="Oldalszm"/>
        <w:lang w:val="en"/>
      </w:rPr>
      <w:fldChar w:fldCharType="begin"/>
    </w:r>
    <w:r>
      <w:rPr>
        <w:rStyle w:val="Oldalszm"/>
        <w:lang w:val="en"/>
      </w:rPr>
      <w:instrText xml:space="preserve">PAGE  </w:instrText>
    </w:r>
    <w:r>
      <w:rPr>
        <w:rStyle w:val="Oldalszm"/>
        <w:lang w:val="en"/>
      </w:rPr>
      <w:fldChar w:fldCharType="separate"/>
    </w:r>
    <w:r>
      <w:rPr>
        <w:rStyle w:val="Oldalszm"/>
        <w:noProof/>
        <w:lang w:val="en"/>
      </w:rPr>
      <w:t>1</w:t>
    </w:r>
    <w:r>
      <w:rPr>
        <w:rStyle w:val="Oldalszm"/>
        <w:lang w:val="en"/>
      </w:rPr>
      <w:fldChar w:fldCharType="end"/>
    </w:r>
  </w:p>
  <w:p w14:paraId="0F766288" w14:textId="77777777" w:rsidR="008B67E8" w:rsidRDefault="008B67E8">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C3AC9" w14:textId="77777777" w:rsidR="00794165" w:rsidRDefault="0079416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C7B7D"/>
    <w:multiLevelType w:val="hybridMultilevel"/>
    <w:tmpl w:val="B454ACC0"/>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E03B7"/>
    <w:multiLevelType w:val="hybridMultilevel"/>
    <w:tmpl w:val="7ADCD7F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0331AAE"/>
    <w:multiLevelType w:val="hybridMultilevel"/>
    <w:tmpl w:val="86C25B96"/>
    <w:lvl w:ilvl="0" w:tplc="BD563580">
      <w:start w:val="1"/>
      <w:numFmt w:val="bullet"/>
      <w:lvlText w:val=""/>
      <w:lvlJc w:val="left"/>
      <w:pPr>
        <w:tabs>
          <w:tab w:val="num" w:pos="1267"/>
        </w:tabs>
        <w:ind w:left="1267" w:hanging="397"/>
      </w:pPr>
      <w:rPr>
        <w:rFonts w:ascii="Symbol" w:hAnsi="Symbol" w:hint="default"/>
        <w:color w:val="000000"/>
      </w:rPr>
    </w:lvl>
    <w:lvl w:ilvl="1" w:tplc="040E0003" w:tentative="1">
      <w:start w:val="1"/>
      <w:numFmt w:val="bullet"/>
      <w:lvlText w:val="o"/>
      <w:lvlJc w:val="left"/>
      <w:pPr>
        <w:tabs>
          <w:tab w:val="num" w:pos="1950"/>
        </w:tabs>
        <w:ind w:left="1950" w:hanging="360"/>
      </w:pPr>
      <w:rPr>
        <w:rFonts w:ascii="Courier New" w:hAnsi="Courier New" w:cs="Courier New" w:hint="default"/>
      </w:rPr>
    </w:lvl>
    <w:lvl w:ilvl="2" w:tplc="040E0005" w:tentative="1">
      <w:start w:val="1"/>
      <w:numFmt w:val="bullet"/>
      <w:lvlText w:val=""/>
      <w:lvlJc w:val="left"/>
      <w:pPr>
        <w:tabs>
          <w:tab w:val="num" w:pos="2670"/>
        </w:tabs>
        <w:ind w:left="2670" w:hanging="360"/>
      </w:pPr>
      <w:rPr>
        <w:rFonts w:ascii="Wingdings" w:hAnsi="Wingdings" w:hint="default"/>
      </w:rPr>
    </w:lvl>
    <w:lvl w:ilvl="3" w:tplc="040E0001" w:tentative="1">
      <w:start w:val="1"/>
      <w:numFmt w:val="bullet"/>
      <w:lvlText w:val=""/>
      <w:lvlJc w:val="left"/>
      <w:pPr>
        <w:tabs>
          <w:tab w:val="num" w:pos="3390"/>
        </w:tabs>
        <w:ind w:left="3390" w:hanging="360"/>
      </w:pPr>
      <w:rPr>
        <w:rFonts w:ascii="Symbol" w:hAnsi="Symbol" w:hint="default"/>
      </w:rPr>
    </w:lvl>
    <w:lvl w:ilvl="4" w:tplc="040E0003" w:tentative="1">
      <w:start w:val="1"/>
      <w:numFmt w:val="bullet"/>
      <w:lvlText w:val="o"/>
      <w:lvlJc w:val="left"/>
      <w:pPr>
        <w:tabs>
          <w:tab w:val="num" w:pos="4110"/>
        </w:tabs>
        <w:ind w:left="4110" w:hanging="360"/>
      </w:pPr>
      <w:rPr>
        <w:rFonts w:ascii="Courier New" w:hAnsi="Courier New" w:cs="Courier New" w:hint="default"/>
      </w:rPr>
    </w:lvl>
    <w:lvl w:ilvl="5" w:tplc="040E0005" w:tentative="1">
      <w:start w:val="1"/>
      <w:numFmt w:val="bullet"/>
      <w:lvlText w:val=""/>
      <w:lvlJc w:val="left"/>
      <w:pPr>
        <w:tabs>
          <w:tab w:val="num" w:pos="4830"/>
        </w:tabs>
        <w:ind w:left="4830" w:hanging="360"/>
      </w:pPr>
      <w:rPr>
        <w:rFonts w:ascii="Wingdings" w:hAnsi="Wingdings" w:hint="default"/>
      </w:rPr>
    </w:lvl>
    <w:lvl w:ilvl="6" w:tplc="040E0001" w:tentative="1">
      <w:start w:val="1"/>
      <w:numFmt w:val="bullet"/>
      <w:lvlText w:val=""/>
      <w:lvlJc w:val="left"/>
      <w:pPr>
        <w:tabs>
          <w:tab w:val="num" w:pos="5550"/>
        </w:tabs>
        <w:ind w:left="5550" w:hanging="360"/>
      </w:pPr>
      <w:rPr>
        <w:rFonts w:ascii="Symbol" w:hAnsi="Symbol" w:hint="default"/>
      </w:rPr>
    </w:lvl>
    <w:lvl w:ilvl="7" w:tplc="040E0003" w:tentative="1">
      <w:start w:val="1"/>
      <w:numFmt w:val="bullet"/>
      <w:lvlText w:val="o"/>
      <w:lvlJc w:val="left"/>
      <w:pPr>
        <w:tabs>
          <w:tab w:val="num" w:pos="6270"/>
        </w:tabs>
        <w:ind w:left="6270" w:hanging="360"/>
      </w:pPr>
      <w:rPr>
        <w:rFonts w:ascii="Courier New" w:hAnsi="Courier New" w:cs="Courier New" w:hint="default"/>
      </w:rPr>
    </w:lvl>
    <w:lvl w:ilvl="8" w:tplc="040E0005" w:tentative="1">
      <w:start w:val="1"/>
      <w:numFmt w:val="bullet"/>
      <w:lvlText w:val=""/>
      <w:lvlJc w:val="left"/>
      <w:pPr>
        <w:tabs>
          <w:tab w:val="num" w:pos="6990"/>
        </w:tabs>
        <w:ind w:left="6990" w:hanging="360"/>
      </w:pPr>
      <w:rPr>
        <w:rFonts w:ascii="Wingdings" w:hAnsi="Wingdings" w:hint="default"/>
      </w:rPr>
    </w:lvl>
  </w:abstractNum>
  <w:abstractNum w:abstractNumId="3" w15:restartNumberingAfterBreak="0">
    <w:nsid w:val="1252784D"/>
    <w:multiLevelType w:val="hybridMultilevel"/>
    <w:tmpl w:val="F210D6A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5046DF7"/>
    <w:multiLevelType w:val="hybridMultilevel"/>
    <w:tmpl w:val="DDBE57F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156616EC"/>
    <w:multiLevelType w:val="hybridMultilevel"/>
    <w:tmpl w:val="3A38F912"/>
    <w:lvl w:ilvl="0" w:tplc="040E0019">
      <w:start w:val="1"/>
      <w:numFmt w:val="lowerLetter"/>
      <w:lvlText w:val="%1."/>
      <w:lvlJc w:val="left"/>
      <w:pPr>
        <w:tabs>
          <w:tab w:val="num" w:pos="1503"/>
        </w:tabs>
        <w:ind w:left="1503" w:hanging="360"/>
      </w:pPr>
    </w:lvl>
    <w:lvl w:ilvl="1" w:tplc="040E0019" w:tentative="1">
      <w:start w:val="1"/>
      <w:numFmt w:val="lowerLetter"/>
      <w:lvlText w:val="%2."/>
      <w:lvlJc w:val="left"/>
      <w:pPr>
        <w:tabs>
          <w:tab w:val="num" w:pos="1503"/>
        </w:tabs>
        <w:ind w:left="1503" w:hanging="360"/>
      </w:pPr>
    </w:lvl>
    <w:lvl w:ilvl="2" w:tplc="040E001B" w:tentative="1">
      <w:start w:val="1"/>
      <w:numFmt w:val="lowerRoman"/>
      <w:lvlText w:val="%3."/>
      <w:lvlJc w:val="right"/>
      <w:pPr>
        <w:tabs>
          <w:tab w:val="num" w:pos="2223"/>
        </w:tabs>
        <w:ind w:left="2223" w:hanging="180"/>
      </w:pPr>
    </w:lvl>
    <w:lvl w:ilvl="3" w:tplc="040E000F" w:tentative="1">
      <w:start w:val="1"/>
      <w:numFmt w:val="decimal"/>
      <w:lvlText w:val="%4."/>
      <w:lvlJc w:val="left"/>
      <w:pPr>
        <w:tabs>
          <w:tab w:val="num" w:pos="2943"/>
        </w:tabs>
        <w:ind w:left="2943" w:hanging="360"/>
      </w:pPr>
    </w:lvl>
    <w:lvl w:ilvl="4" w:tplc="040E0019" w:tentative="1">
      <w:start w:val="1"/>
      <w:numFmt w:val="lowerLetter"/>
      <w:lvlText w:val="%5."/>
      <w:lvlJc w:val="left"/>
      <w:pPr>
        <w:tabs>
          <w:tab w:val="num" w:pos="3663"/>
        </w:tabs>
        <w:ind w:left="3663" w:hanging="360"/>
      </w:pPr>
    </w:lvl>
    <w:lvl w:ilvl="5" w:tplc="040E001B" w:tentative="1">
      <w:start w:val="1"/>
      <w:numFmt w:val="lowerRoman"/>
      <w:lvlText w:val="%6."/>
      <w:lvlJc w:val="right"/>
      <w:pPr>
        <w:tabs>
          <w:tab w:val="num" w:pos="4383"/>
        </w:tabs>
        <w:ind w:left="4383" w:hanging="180"/>
      </w:pPr>
    </w:lvl>
    <w:lvl w:ilvl="6" w:tplc="040E000F" w:tentative="1">
      <w:start w:val="1"/>
      <w:numFmt w:val="decimal"/>
      <w:lvlText w:val="%7."/>
      <w:lvlJc w:val="left"/>
      <w:pPr>
        <w:tabs>
          <w:tab w:val="num" w:pos="5103"/>
        </w:tabs>
        <w:ind w:left="5103" w:hanging="360"/>
      </w:pPr>
    </w:lvl>
    <w:lvl w:ilvl="7" w:tplc="040E0019" w:tentative="1">
      <w:start w:val="1"/>
      <w:numFmt w:val="lowerLetter"/>
      <w:lvlText w:val="%8."/>
      <w:lvlJc w:val="left"/>
      <w:pPr>
        <w:tabs>
          <w:tab w:val="num" w:pos="5823"/>
        </w:tabs>
        <w:ind w:left="5823" w:hanging="360"/>
      </w:pPr>
    </w:lvl>
    <w:lvl w:ilvl="8" w:tplc="040E001B" w:tentative="1">
      <w:start w:val="1"/>
      <w:numFmt w:val="lowerRoman"/>
      <w:lvlText w:val="%9."/>
      <w:lvlJc w:val="right"/>
      <w:pPr>
        <w:tabs>
          <w:tab w:val="num" w:pos="6543"/>
        </w:tabs>
        <w:ind w:left="6543" w:hanging="180"/>
      </w:pPr>
    </w:lvl>
  </w:abstractNum>
  <w:abstractNum w:abstractNumId="6" w15:restartNumberingAfterBreak="0">
    <w:nsid w:val="1C2864A4"/>
    <w:multiLevelType w:val="hybridMultilevel"/>
    <w:tmpl w:val="8160D0A6"/>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71672D"/>
    <w:multiLevelType w:val="hybridMultilevel"/>
    <w:tmpl w:val="03DEA122"/>
    <w:lvl w:ilvl="0" w:tplc="040E000F">
      <w:start w:val="1"/>
      <w:numFmt w:val="decimal"/>
      <w:lvlText w:val="%1."/>
      <w:lvlJc w:val="left"/>
      <w:pPr>
        <w:tabs>
          <w:tab w:val="num" w:pos="1176"/>
        </w:tabs>
        <w:ind w:left="1176" w:hanging="360"/>
      </w:pPr>
    </w:lvl>
    <w:lvl w:ilvl="1" w:tplc="040E0019" w:tentative="1">
      <w:start w:val="1"/>
      <w:numFmt w:val="lowerLetter"/>
      <w:lvlText w:val="%2."/>
      <w:lvlJc w:val="left"/>
      <w:pPr>
        <w:tabs>
          <w:tab w:val="num" w:pos="1896"/>
        </w:tabs>
        <w:ind w:left="1896" w:hanging="360"/>
      </w:pPr>
    </w:lvl>
    <w:lvl w:ilvl="2" w:tplc="040E001B" w:tentative="1">
      <w:start w:val="1"/>
      <w:numFmt w:val="lowerRoman"/>
      <w:lvlText w:val="%3."/>
      <w:lvlJc w:val="right"/>
      <w:pPr>
        <w:tabs>
          <w:tab w:val="num" w:pos="2616"/>
        </w:tabs>
        <w:ind w:left="2616" w:hanging="180"/>
      </w:pPr>
    </w:lvl>
    <w:lvl w:ilvl="3" w:tplc="040E000F" w:tentative="1">
      <w:start w:val="1"/>
      <w:numFmt w:val="decimal"/>
      <w:lvlText w:val="%4."/>
      <w:lvlJc w:val="left"/>
      <w:pPr>
        <w:tabs>
          <w:tab w:val="num" w:pos="3336"/>
        </w:tabs>
        <w:ind w:left="3336" w:hanging="360"/>
      </w:pPr>
    </w:lvl>
    <w:lvl w:ilvl="4" w:tplc="040E0019" w:tentative="1">
      <w:start w:val="1"/>
      <w:numFmt w:val="lowerLetter"/>
      <w:lvlText w:val="%5."/>
      <w:lvlJc w:val="left"/>
      <w:pPr>
        <w:tabs>
          <w:tab w:val="num" w:pos="4056"/>
        </w:tabs>
        <w:ind w:left="4056" w:hanging="360"/>
      </w:pPr>
    </w:lvl>
    <w:lvl w:ilvl="5" w:tplc="040E001B" w:tentative="1">
      <w:start w:val="1"/>
      <w:numFmt w:val="lowerRoman"/>
      <w:lvlText w:val="%6."/>
      <w:lvlJc w:val="right"/>
      <w:pPr>
        <w:tabs>
          <w:tab w:val="num" w:pos="4776"/>
        </w:tabs>
        <w:ind w:left="4776" w:hanging="180"/>
      </w:pPr>
    </w:lvl>
    <w:lvl w:ilvl="6" w:tplc="040E000F" w:tentative="1">
      <w:start w:val="1"/>
      <w:numFmt w:val="decimal"/>
      <w:lvlText w:val="%7."/>
      <w:lvlJc w:val="left"/>
      <w:pPr>
        <w:tabs>
          <w:tab w:val="num" w:pos="5496"/>
        </w:tabs>
        <w:ind w:left="5496" w:hanging="360"/>
      </w:pPr>
    </w:lvl>
    <w:lvl w:ilvl="7" w:tplc="040E0019" w:tentative="1">
      <w:start w:val="1"/>
      <w:numFmt w:val="lowerLetter"/>
      <w:lvlText w:val="%8."/>
      <w:lvlJc w:val="left"/>
      <w:pPr>
        <w:tabs>
          <w:tab w:val="num" w:pos="6216"/>
        </w:tabs>
        <w:ind w:left="6216" w:hanging="360"/>
      </w:pPr>
    </w:lvl>
    <w:lvl w:ilvl="8" w:tplc="040E001B" w:tentative="1">
      <w:start w:val="1"/>
      <w:numFmt w:val="lowerRoman"/>
      <w:lvlText w:val="%9."/>
      <w:lvlJc w:val="right"/>
      <w:pPr>
        <w:tabs>
          <w:tab w:val="num" w:pos="6936"/>
        </w:tabs>
        <w:ind w:left="6936" w:hanging="180"/>
      </w:pPr>
    </w:lvl>
  </w:abstractNum>
  <w:abstractNum w:abstractNumId="8" w15:restartNumberingAfterBreak="0">
    <w:nsid w:val="221C4330"/>
    <w:multiLevelType w:val="hybridMultilevel"/>
    <w:tmpl w:val="FE0CCF0E"/>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1B6E88"/>
    <w:multiLevelType w:val="multilevel"/>
    <w:tmpl w:val="B9A22E2C"/>
    <w:lvl w:ilvl="0">
      <w:start w:val="1"/>
      <w:numFmt w:val="decimal"/>
      <w:lvlText w:val="%1."/>
      <w:lvlJc w:val="left"/>
      <w:pPr>
        <w:tabs>
          <w:tab w:val="num" w:pos="1077"/>
        </w:tabs>
        <w:ind w:left="1077" w:hanging="357"/>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5E1209"/>
    <w:multiLevelType w:val="hybridMultilevel"/>
    <w:tmpl w:val="46E0577E"/>
    <w:lvl w:ilvl="0" w:tplc="040E0013">
      <w:start w:val="1"/>
      <w:numFmt w:val="upperRoman"/>
      <w:lvlText w:val="%1."/>
      <w:lvlJc w:val="right"/>
      <w:pPr>
        <w:ind w:left="1077" w:hanging="360"/>
      </w:p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11" w15:restartNumberingAfterBreak="0">
    <w:nsid w:val="274A6F0B"/>
    <w:multiLevelType w:val="hybridMultilevel"/>
    <w:tmpl w:val="CB54D076"/>
    <w:lvl w:ilvl="0" w:tplc="F344119C">
      <w:start w:val="1"/>
      <w:numFmt w:val="decimal"/>
      <w:lvlText w:val="%1."/>
      <w:lvlJc w:val="left"/>
      <w:pPr>
        <w:tabs>
          <w:tab w:val="num" w:pos="1077"/>
        </w:tabs>
        <w:ind w:left="1077" w:hanging="357"/>
      </w:pPr>
      <w:rPr>
        <w:rFonts w:hint="default"/>
        <w:b w:val="0"/>
        <w:i w:val="0"/>
        <w:sz w:val="20"/>
        <w:szCs w:val="20"/>
      </w:rPr>
    </w:lvl>
    <w:lvl w:ilvl="1" w:tplc="040E0019">
      <w:start w:val="1"/>
      <w:numFmt w:val="lowerLetter"/>
      <w:lvlText w:val="%2."/>
      <w:lvlJc w:val="left"/>
      <w:pPr>
        <w:tabs>
          <w:tab w:val="num" w:pos="1440"/>
        </w:tabs>
        <w:ind w:left="1440" w:hanging="360"/>
      </w:pPr>
      <w:rPr>
        <w:rFonts w:hint="default"/>
        <w:b w:val="0"/>
        <w:i w:val="0"/>
        <w:sz w:val="24"/>
        <w:szCs w:val="24"/>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2AB10088"/>
    <w:multiLevelType w:val="hybridMultilevel"/>
    <w:tmpl w:val="322C4F86"/>
    <w:lvl w:ilvl="0" w:tplc="BD563580">
      <w:start w:val="1"/>
      <w:numFmt w:val="bullet"/>
      <w:lvlText w:val=""/>
      <w:lvlJc w:val="left"/>
      <w:pPr>
        <w:tabs>
          <w:tab w:val="num" w:pos="1267"/>
        </w:tabs>
        <w:ind w:left="1267" w:hanging="397"/>
      </w:pPr>
      <w:rPr>
        <w:rFonts w:ascii="Symbol" w:hAnsi="Symbol" w:hint="default"/>
        <w:color w:val="000000"/>
      </w:rPr>
    </w:lvl>
    <w:lvl w:ilvl="1" w:tplc="040E0003" w:tentative="1">
      <w:start w:val="1"/>
      <w:numFmt w:val="bullet"/>
      <w:lvlText w:val="o"/>
      <w:lvlJc w:val="left"/>
      <w:pPr>
        <w:tabs>
          <w:tab w:val="num" w:pos="1950"/>
        </w:tabs>
        <w:ind w:left="1950" w:hanging="360"/>
      </w:pPr>
      <w:rPr>
        <w:rFonts w:ascii="Courier New" w:hAnsi="Courier New" w:cs="Courier New" w:hint="default"/>
      </w:rPr>
    </w:lvl>
    <w:lvl w:ilvl="2" w:tplc="040E0005" w:tentative="1">
      <w:start w:val="1"/>
      <w:numFmt w:val="bullet"/>
      <w:lvlText w:val=""/>
      <w:lvlJc w:val="left"/>
      <w:pPr>
        <w:tabs>
          <w:tab w:val="num" w:pos="2670"/>
        </w:tabs>
        <w:ind w:left="2670" w:hanging="360"/>
      </w:pPr>
      <w:rPr>
        <w:rFonts w:ascii="Wingdings" w:hAnsi="Wingdings" w:hint="default"/>
      </w:rPr>
    </w:lvl>
    <w:lvl w:ilvl="3" w:tplc="040E0001" w:tentative="1">
      <w:start w:val="1"/>
      <w:numFmt w:val="bullet"/>
      <w:lvlText w:val=""/>
      <w:lvlJc w:val="left"/>
      <w:pPr>
        <w:tabs>
          <w:tab w:val="num" w:pos="3390"/>
        </w:tabs>
        <w:ind w:left="3390" w:hanging="360"/>
      </w:pPr>
      <w:rPr>
        <w:rFonts w:ascii="Symbol" w:hAnsi="Symbol" w:hint="default"/>
      </w:rPr>
    </w:lvl>
    <w:lvl w:ilvl="4" w:tplc="040E0003" w:tentative="1">
      <w:start w:val="1"/>
      <w:numFmt w:val="bullet"/>
      <w:lvlText w:val="o"/>
      <w:lvlJc w:val="left"/>
      <w:pPr>
        <w:tabs>
          <w:tab w:val="num" w:pos="4110"/>
        </w:tabs>
        <w:ind w:left="4110" w:hanging="360"/>
      </w:pPr>
      <w:rPr>
        <w:rFonts w:ascii="Courier New" w:hAnsi="Courier New" w:cs="Courier New" w:hint="default"/>
      </w:rPr>
    </w:lvl>
    <w:lvl w:ilvl="5" w:tplc="040E0005" w:tentative="1">
      <w:start w:val="1"/>
      <w:numFmt w:val="bullet"/>
      <w:lvlText w:val=""/>
      <w:lvlJc w:val="left"/>
      <w:pPr>
        <w:tabs>
          <w:tab w:val="num" w:pos="4830"/>
        </w:tabs>
        <w:ind w:left="4830" w:hanging="360"/>
      </w:pPr>
      <w:rPr>
        <w:rFonts w:ascii="Wingdings" w:hAnsi="Wingdings" w:hint="default"/>
      </w:rPr>
    </w:lvl>
    <w:lvl w:ilvl="6" w:tplc="040E0001" w:tentative="1">
      <w:start w:val="1"/>
      <w:numFmt w:val="bullet"/>
      <w:lvlText w:val=""/>
      <w:lvlJc w:val="left"/>
      <w:pPr>
        <w:tabs>
          <w:tab w:val="num" w:pos="5550"/>
        </w:tabs>
        <w:ind w:left="5550" w:hanging="360"/>
      </w:pPr>
      <w:rPr>
        <w:rFonts w:ascii="Symbol" w:hAnsi="Symbol" w:hint="default"/>
      </w:rPr>
    </w:lvl>
    <w:lvl w:ilvl="7" w:tplc="040E0003" w:tentative="1">
      <w:start w:val="1"/>
      <w:numFmt w:val="bullet"/>
      <w:lvlText w:val="o"/>
      <w:lvlJc w:val="left"/>
      <w:pPr>
        <w:tabs>
          <w:tab w:val="num" w:pos="6270"/>
        </w:tabs>
        <w:ind w:left="6270" w:hanging="360"/>
      </w:pPr>
      <w:rPr>
        <w:rFonts w:ascii="Courier New" w:hAnsi="Courier New" w:cs="Courier New" w:hint="default"/>
      </w:rPr>
    </w:lvl>
    <w:lvl w:ilvl="8" w:tplc="040E0005" w:tentative="1">
      <w:start w:val="1"/>
      <w:numFmt w:val="bullet"/>
      <w:lvlText w:val=""/>
      <w:lvlJc w:val="left"/>
      <w:pPr>
        <w:tabs>
          <w:tab w:val="num" w:pos="6990"/>
        </w:tabs>
        <w:ind w:left="6990" w:hanging="360"/>
      </w:pPr>
      <w:rPr>
        <w:rFonts w:ascii="Wingdings" w:hAnsi="Wingdings" w:hint="default"/>
      </w:rPr>
    </w:lvl>
  </w:abstractNum>
  <w:abstractNum w:abstractNumId="13" w15:restartNumberingAfterBreak="0">
    <w:nsid w:val="2DD86E9D"/>
    <w:multiLevelType w:val="hybridMultilevel"/>
    <w:tmpl w:val="AC8276C8"/>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DA5F98"/>
    <w:multiLevelType w:val="multilevel"/>
    <w:tmpl w:val="B09CEE1A"/>
    <w:lvl w:ilvl="0">
      <w:start w:val="1"/>
      <w:numFmt w:val="decimal"/>
      <w:lvlText w:val="%1."/>
      <w:lvlJc w:val="left"/>
      <w:pPr>
        <w:tabs>
          <w:tab w:val="num" w:pos="1077"/>
        </w:tabs>
        <w:ind w:left="1077" w:hanging="357"/>
      </w:pPr>
      <w:rPr>
        <w:rFonts w:hint="default"/>
        <w:b w:val="0"/>
        <w:i w:val="0"/>
        <w:sz w:val="24"/>
        <w:szCs w:val="24"/>
      </w:rPr>
    </w:lvl>
    <w:lvl w:ilvl="1">
      <w:start w:val="1"/>
      <w:numFmt w:val="lowerLetter"/>
      <w:lvlText w:val="%2."/>
      <w:lvlJc w:val="left"/>
      <w:pPr>
        <w:tabs>
          <w:tab w:val="num" w:pos="1440"/>
        </w:tabs>
        <w:ind w:left="1440" w:hanging="360"/>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1CD31B0"/>
    <w:multiLevelType w:val="hybridMultilevel"/>
    <w:tmpl w:val="81008584"/>
    <w:lvl w:ilvl="0" w:tplc="2DC67A04">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24E2320"/>
    <w:multiLevelType w:val="hybridMultilevel"/>
    <w:tmpl w:val="7C9CCBA4"/>
    <w:lvl w:ilvl="0" w:tplc="0D8E8524">
      <w:start w:val="2"/>
      <w:numFmt w:val="decimal"/>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3839145F"/>
    <w:multiLevelType w:val="hybridMultilevel"/>
    <w:tmpl w:val="592667E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39192F14"/>
    <w:multiLevelType w:val="multilevel"/>
    <w:tmpl w:val="B09CEE1A"/>
    <w:lvl w:ilvl="0">
      <w:start w:val="1"/>
      <w:numFmt w:val="decimal"/>
      <w:lvlText w:val="%1."/>
      <w:lvlJc w:val="left"/>
      <w:pPr>
        <w:tabs>
          <w:tab w:val="num" w:pos="1077"/>
        </w:tabs>
        <w:ind w:left="1077" w:hanging="357"/>
      </w:pPr>
      <w:rPr>
        <w:rFonts w:hint="default"/>
        <w:b w:val="0"/>
        <w:i w:val="0"/>
        <w:sz w:val="24"/>
        <w:szCs w:val="24"/>
      </w:rPr>
    </w:lvl>
    <w:lvl w:ilvl="1">
      <w:start w:val="1"/>
      <w:numFmt w:val="lowerLetter"/>
      <w:lvlText w:val="%2."/>
      <w:lvlJc w:val="left"/>
      <w:pPr>
        <w:tabs>
          <w:tab w:val="num" w:pos="1440"/>
        </w:tabs>
        <w:ind w:left="1440" w:hanging="360"/>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4511CAB"/>
    <w:multiLevelType w:val="hybridMultilevel"/>
    <w:tmpl w:val="FA50738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54C25CBC"/>
    <w:multiLevelType w:val="hybridMultilevel"/>
    <w:tmpl w:val="9954C642"/>
    <w:lvl w:ilvl="0" w:tplc="84D2DAE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5817767"/>
    <w:multiLevelType w:val="hybridMultilevel"/>
    <w:tmpl w:val="FA52D82A"/>
    <w:lvl w:ilvl="0" w:tplc="0D8E8524">
      <w:start w:val="57"/>
      <w:numFmt w:val="decimal"/>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5D030CDE"/>
    <w:multiLevelType w:val="hybridMultilevel"/>
    <w:tmpl w:val="A5E85CB0"/>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3F1ADC"/>
    <w:multiLevelType w:val="hybridMultilevel"/>
    <w:tmpl w:val="34562FB0"/>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3020F5"/>
    <w:multiLevelType w:val="hybridMultilevel"/>
    <w:tmpl w:val="1972A586"/>
    <w:lvl w:ilvl="0" w:tplc="0D8E8524">
      <w:start w:val="57"/>
      <w:numFmt w:val="decimal"/>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73C340AD"/>
    <w:multiLevelType w:val="hybridMultilevel"/>
    <w:tmpl w:val="B9A22E2C"/>
    <w:lvl w:ilvl="0" w:tplc="96B2B53C">
      <w:start w:val="1"/>
      <w:numFmt w:val="decimal"/>
      <w:lvlText w:val="%1."/>
      <w:lvlJc w:val="left"/>
      <w:pPr>
        <w:tabs>
          <w:tab w:val="num" w:pos="1077"/>
        </w:tabs>
        <w:ind w:left="1077" w:hanging="357"/>
      </w:pPr>
      <w:rPr>
        <w:rFonts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15:restartNumberingAfterBreak="0">
    <w:nsid w:val="7C326219"/>
    <w:multiLevelType w:val="hybridMultilevel"/>
    <w:tmpl w:val="23745C2E"/>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392236481">
    <w:abstractNumId w:val="8"/>
  </w:num>
  <w:num w:numId="2" w16cid:durableId="1100028795">
    <w:abstractNumId w:val="23"/>
  </w:num>
  <w:num w:numId="3" w16cid:durableId="1354065983">
    <w:abstractNumId w:val="22"/>
  </w:num>
  <w:num w:numId="4" w16cid:durableId="1276331237">
    <w:abstractNumId w:val="0"/>
  </w:num>
  <w:num w:numId="5" w16cid:durableId="865757778">
    <w:abstractNumId w:val="26"/>
  </w:num>
  <w:num w:numId="6" w16cid:durableId="1725133165">
    <w:abstractNumId w:val="6"/>
  </w:num>
  <w:num w:numId="7" w16cid:durableId="1399665518">
    <w:abstractNumId w:val="13"/>
  </w:num>
  <w:num w:numId="8" w16cid:durableId="1517577773">
    <w:abstractNumId w:val="11"/>
  </w:num>
  <w:num w:numId="9" w16cid:durableId="2095592380">
    <w:abstractNumId w:val="4"/>
  </w:num>
  <w:num w:numId="10" w16cid:durableId="1313363356">
    <w:abstractNumId w:val="5"/>
  </w:num>
  <w:num w:numId="11" w16cid:durableId="1909923329">
    <w:abstractNumId w:val="14"/>
  </w:num>
  <w:num w:numId="12" w16cid:durableId="1837844037">
    <w:abstractNumId w:val="18"/>
  </w:num>
  <w:num w:numId="13" w16cid:durableId="2049717566">
    <w:abstractNumId w:val="25"/>
  </w:num>
  <w:num w:numId="14" w16cid:durableId="1265311627">
    <w:abstractNumId w:val="9"/>
  </w:num>
  <w:num w:numId="15" w16cid:durableId="911549877">
    <w:abstractNumId w:val="17"/>
  </w:num>
  <w:num w:numId="16" w16cid:durableId="1782918964">
    <w:abstractNumId w:val="19"/>
  </w:num>
  <w:num w:numId="17" w16cid:durableId="38406200">
    <w:abstractNumId w:val="7"/>
  </w:num>
  <w:num w:numId="18" w16cid:durableId="117768235">
    <w:abstractNumId w:val="3"/>
  </w:num>
  <w:num w:numId="19" w16cid:durableId="1350450691">
    <w:abstractNumId w:val="24"/>
  </w:num>
  <w:num w:numId="20" w16cid:durableId="375200362">
    <w:abstractNumId w:val="21"/>
  </w:num>
  <w:num w:numId="21" w16cid:durableId="440342717">
    <w:abstractNumId w:val="16"/>
  </w:num>
  <w:num w:numId="22" w16cid:durableId="1117137531">
    <w:abstractNumId w:val="12"/>
  </w:num>
  <w:num w:numId="23" w16cid:durableId="279149540">
    <w:abstractNumId w:val="2"/>
  </w:num>
  <w:num w:numId="24" w16cid:durableId="319388361">
    <w:abstractNumId w:val="15"/>
  </w:num>
  <w:num w:numId="25" w16cid:durableId="700471721">
    <w:abstractNumId w:val="20"/>
  </w:num>
  <w:num w:numId="26" w16cid:durableId="1208251506">
    <w:abstractNumId w:val="10"/>
  </w:num>
  <w:num w:numId="27" w16cid:durableId="8238627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22" w:checkStyle="1"/>
  <w:activeWritingStyle w:appName="MSWord" w:lang="hu-HU" w:vendorID="7"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FF9"/>
    <w:rsid w:val="00007713"/>
    <w:rsid w:val="0001255F"/>
    <w:rsid w:val="00014617"/>
    <w:rsid w:val="00014C8A"/>
    <w:rsid w:val="000161E5"/>
    <w:rsid w:val="000214EE"/>
    <w:rsid w:val="00032894"/>
    <w:rsid w:val="00032913"/>
    <w:rsid w:val="00047173"/>
    <w:rsid w:val="00053F39"/>
    <w:rsid w:val="00055568"/>
    <w:rsid w:val="00057FC5"/>
    <w:rsid w:val="0006711B"/>
    <w:rsid w:val="00067900"/>
    <w:rsid w:val="0007786F"/>
    <w:rsid w:val="00083BF8"/>
    <w:rsid w:val="0008549A"/>
    <w:rsid w:val="000A07DC"/>
    <w:rsid w:val="000A1EC1"/>
    <w:rsid w:val="000A284D"/>
    <w:rsid w:val="000B19FE"/>
    <w:rsid w:val="000B42A4"/>
    <w:rsid w:val="000B6618"/>
    <w:rsid w:val="000C3297"/>
    <w:rsid w:val="000C401D"/>
    <w:rsid w:val="00102B31"/>
    <w:rsid w:val="001054F3"/>
    <w:rsid w:val="00124E65"/>
    <w:rsid w:val="00124ED5"/>
    <w:rsid w:val="00130770"/>
    <w:rsid w:val="00132089"/>
    <w:rsid w:val="0013784D"/>
    <w:rsid w:val="001404BA"/>
    <w:rsid w:val="001450E7"/>
    <w:rsid w:val="00151EAE"/>
    <w:rsid w:val="00162685"/>
    <w:rsid w:val="00174898"/>
    <w:rsid w:val="0018027E"/>
    <w:rsid w:val="001834E0"/>
    <w:rsid w:val="00191A69"/>
    <w:rsid w:val="0019453B"/>
    <w:rsid w:val="001A02CD"/>
    <w:rsid w:val="001A5A15"/>
    <w:rsid w:val="001A6C54"/>
    <w:rsid w:val="001C330D"/>
    <w:rsid w:val="001C5BAF"/>
    <w:rsid w:val="001D5EC8"/>
    <w:rsid w:val="001F1404"/>
    <w:rsid w:val="00205317"/>
    <w:rsid w:val="00207083"/>
    <w:rsid w:val="00217A29"/>
    <w:rsid w:val="002255F8"/>
    <w:rsid w:val="002266D9"/>
    <w:rsid w:val="00235CB3"/>
    <w:rsid w:val="00243A62"/>
    <w:rsid w:val="002455BD"/>
    <w:rsid w:val="002465AD"/>
    <w:rsid w:val="00254F28"/>
    <w:rsid w:val="002708E8"/>
    <w:rsid w:val="00274541"/>
    <w:rsid w:val="00285BE1"/>
    <w:rsid w:val="0029381A"/>
    <w:rsid w:val="002A2BE1"/>
    <w:rsid w:val="002B16B4"/>
    <w:rsid w:val="002B46BC"/>
    <w:rsid w:val="002B71CF"/>
    <w:rsid w:val="002C3C32"/>
    <w:rsid w:val="002D1AF8"/>
    <w:rsid w:val="002F57AA"/>
    <w:rsid w:val="002F7CAF"/>
    <w:rsid w:val="003004E0"/>
    <w:rsid w:val="00302682"/>
    <w:rsid w:val="003045F4"/>
    <w:rsid w:val="00304B4C"/>
    <w:rsid w:val="00307883"/>
    <w:rsid w:val="00311C29"/>
    <w:rsid w:val="00315BB3"/>
    <w:rsid w:val="00322F6D"/>
    <w:rsid w:val="00330335"/>
    <w:rsid w:val="00360FFA"/>
    <w:rsid w:val="003648F7"/>
    <w:rsid w:val="003700AA"/>
    <w:rsid w:val="003736B7"/>
    <w:rsid w:val="00381772"/>
    <w:rsid w:val="003955EC"/>
    <w:rsid w:val="003A032A"/>
    <w:rsid w:val="003A35BF"/>
    <w:rsid w:val="003B5D6A"/>
    <w:rsid w:val="003B5D73"/>
    <w:rsid w:val="003C0BC7"/>
    <w:rsid w:val="003C31C6"/>
    <w:rsid w:val="003C3BCD"/>
    <w:rsid w:val="003E699B"/>
    <w:rsid w:val="003E7E17"/>
    <w:rsid w:val="003F4CC7"/>
    <w:rsid w:val="003F52A0"/>
    <w:rsid w:val="00413DAF"/>
    <w:rsid w:val="00422EB4"/>
    <w:rsid w:val="00423812"/>
    <w:rsid w:val="004271D0"/>
    <w:rsid w:val="00427AF9"/>
    <w:rsid w:val="00451E6A"/>
    <w:rsid w:val="004600D5"/>
    <w:rsid w:val="00473B8B"/>
    <w:rsid w:val="004869C9"/>
    <w:rsid w:val="00486AFA"/>
    <w:rsid w:val="00487DCC"/>
    <w:rsid w:val="004B7225"/>
    <w:rsid w:val="004C3445"/>
    <w:rsid w:val="004C5043"/>
    <w:rsid w:val="004E5F65"/>
    <w:rsid w:val="004F74B4"/>
    <w:rsid w:val="0050231D"/>
    <w:rsid w:val="005102E6"/>
    <w:rsid w:val="005115EF"/>
    <w:rsid w:val="00514A92"/>
    <w:rsid w:val="00517D4D"/>
    <w:rsid w:val="00536B43"/>
    <w:rsid w:val="00537B74"/>
    <w:rsid w:val="00545A26"/>
    <w:rsid w:val="0054617F"/>
    <w:rsid w:val="00547F8B"/>
    <w:rsid w:val="00551B68"/>
    <w:rsid w:val="00551F29"/>
    <w:rsid w:val="00552561"/>
    <w:rsid w:val="00561003"/>
    <w:rsid w:val="005700FC"/>
    <w:rsid w:val="00573389"/>
    <w:rsid w:val="005A1A15"/>
    <w:rsid w:val="005A57EF"/>
    <w:rsid w:val="005A74D0"/>
    <w:rsid w:val="005C1678"/>
    <w:rsid w:val="005C2C2D"/>
    <w:rsid w:val="005E195C"/>
    <w:rsid w:val="005F003A"/>
    <w:rsid w:val="005F1E90"/>
    <w:rsid w:val="005F4C8E"/>
    <w:rsid w:val="0060027F"/>
    <w:rsid w:val="006060D0"/>
    <w:rsid w:val="006068D6"/>
    <w:rsid w:val="00620042"/>
    <w:rsid w:val="00620325"/>
    <w:rsid w:val="006205E9"/>
    <w:rsid w:val="0064562F"/>
    <w:rsid w:val="00655230"/>
    <w:rsid w:val="0066059B"/>
    <w:rsid w:val="00665241"/>
    <w:rsid w:val="006771AB"/>
    <w:rsid w:val="00677D27"/>
    <w:rsid w:val="0068475A"/>
    <w:rsid w:val="0068796F"/>
    <w:rsid w:val="00690B4C"/>
    <w:rsid w:val="00694999"/>
    <w:rsid w:val="00696DA0"/>
    <w:rsid w:val="006B26AB"/>
    <w:rsid w:val="006D0902"/>
    <w:rsid w:val="006D2F91"/>
    <w:rsid w:val="006D4BAD"/>
    <w:rsid w:val="006E000E"/>
    <w:rsid w:val="006E187B"/>
    <w:rsid w:val="006E4119"/>
    <w:rsid w:val="006F5953"/>
    <w:rsid w:val="00701105"/>
    <w:rsid w:val="007121B1"/>
    <w:rsid w:val="00717D2F"/>
    <w:rsid w:val="00727851"/>
    <w:rsid w:val="0074595B"/>
    <w:rsid w:val="00757C65"/>
    <w:rsid w:val="007602C4"/>
    <w:rsid w:val="007602D2"/>
    <w:rsid w:val="007659C0"/>
    <w:rsid w:val="00774324"/>
    <w:rsid w:val="00776797"/>
    <w:rsid w:val="00777B12"/>
    <w:rsid w:val="00792EFE"/>
    <w:rsid w:val="00794165"/>
    <w:rsid w:val="007947F1"/>
    <w:rsid w:val="00797565"/>
    <w:rsid w:val="007A5364"/>
    <w:rsid w:val="007A5C23"/>
    <w:rsid w:val="007B0E12"/>
    <w:rsid w:val="007B209F"/>
    <w:rsid w:val="007B6C21"/>
    <w:rsid w:val="007C34E3"/>
    <w:rsid w:val="007C5616"/>
    <w:rsid w:val="007D0558"/>
    <w:rsid w:val="007D5746"/>
    <w:rsid w:val="007E5746"/>
    <w:rsid w:val="007E5BD3"/>
    <w:rsid w:val="007F3925"/>
    <w:rsid w:val="00805899"/>
    <w:rsid w:val="00805CB2"/>
    <w:rsid w:val="00812134"/>
    <w:rsid w:val="00816F09"/>
    <w:rsid w:val="00825877"/>
    <w:rsid w:val="0082606A"/>
    <w:rsid w:val="00842A96"/>
    <w:rsid w:val="00851C1B"/>
    <w:rsid w:val="008536C9"/>
    <w:rsid w:val="00854539"/>
    <w:rsid w:val="00863409"/>
    <w:rsid w:val="00867ADD"/>
    <w:rsid w:val="00871B13"/>
    <w:rsid w:val="0087672F"/>
    <w:rsid w:val="00881571"/>
    <w:rsid w:val="00883484"/>
    <w:rsid w:val="00896076"/>
    <w:rsid w:val="008B495F"/>
    <w:rsid w:val="008B67E8"/>
    <w:rsid w:val="008D0834"/>
    <w:rsid w:val="008D5E55"/>
    <w:rsid w:val="008E24A6"/>
    <w:rsid w:val="008E5AD6"/>
    <w:rsid w:val="0090073B"/>
    <w:rsid w:val="009250B2"/>
    <w:rsid w:val="00932354"/>
    <w:rsid w:val="00935E50"/>
    <w:rsid w:val="00951A73"/>
    <w:rsid w:val="00956EB8"/>
    <w:rsid w:val="009643A1"/>
    <w:rsid w:val="009702FE"/>
    <w:rsid w:val="009737DE"/>
    <w:rsid w:val="009763C7"/>
    <w:rsid w:val="009802AD"/>
    <w:rsid w:val="00981E88"/>
    <w:rsid w:val="00982BD8"/>
    <w:rsid w:val="00986755"/>
    <w:rsid w:val="00990BD4"/>
    <w:rsid w:val="009937D6"/>
    <w:rsid w:val="009A06EC"/>
    <w:rsid w:val="009A5FBC"/>
    <w:rsid w:val="009A7587"/>
    <w:rsid w:val="009A7F71"/>
    <w:rsid w:val="009C1C98"/>
    <w:rsid w:val="009D1AD8"/>
    <w:rsid w:val="009D78BF"/>
    <w:rsid w:val="009E76CC"/>
    <w:rsid w:val="009F72F1"/>
    <w:rsid w:val="00A0079F"/>
    <w:rsid w:val="00A03E47"/>
    <w:rsid w:val="00A04268"/>
    <w:rsid w:val="00A05762"/>
    <w:rsid w:val="00A151BA"/>
    <w:rsid w:val="00A43134"/>
    <w:rsid w:val="00A47E37"/>
    <w:rsid w:val="00A52E1C"/>
    <w:rsid w:val="00A6057B"/>
    <w:rsid w:val="00A637B3"/>
    <w:rsid w:val="00A67917"/>
    <w:rsid w:val="00A762FE"/>
    <w:rsid w:val="00A8686B"/>
    <w:rsid w:val="00A87125"/>
    <w:rsid w:val="00AA1F13"/>
    <w:rsid w:val="00AA2C46"/>
    <w:rsid w:val="00AA401D"/>
    <w:rsid w:val="00AA5982"/>
    <w:rsid w:val="00AB3483"/>
    <w:rsid w:val="00AB3920"/>
    <w:rsid w:val="00AC0322"/>
    <w:rsid w:val="00AC0613"/>
    <w:rsid w:val="00AC61D4"/>
    <w:rsid w:val="00AD1050"/>
    <w:rsid w:val="00AD4E2F"/>
    <w:rsid w:val="00AD68A9"/>
    <w:rsid w:val="00AE62C4"/>
    <w:rsid w:val="00B1056C"/>
    <w:rsid w:val="00B36DA3"/>
    <w:rsid w:val="00B63C3E"/>
    <w:rsid w:val="00B755C4"/>
    <w:rsid w:val="00B76008"/>
    <w:rsid w:val="00B8030E"/>
    <w:rsid w:val="00B82536"/>
    <w:rsid w:val="00B85070"/>
    <w:rsid w:val="00BA4EA7"/>
    <w:rsid w:val="00BA5327"/>
    <w:rsid w:val="00BB4C81"/>
    <w:rsid w:val="00BB6FAB"/>
    <w:rsid w:val="00BC2A7C"/>
    <w:rsid w:val="00BC5862"/>
    <w:rsid w:val="00BE164C"/>
    <w:rsid w:val="00BF0910"/>
    <w:rsid w:val="00BF2A44"/>
    <w:rsid w:val="00BF528A"/>
    <w:rsid w:val="00C0721F"/>
    <w:rsid w:val="00C24321"/>
    <w:rsid w:val="00C24FF9"/>
    <w:rsid w:val="00C25E3C"/>
    <w:rsid w:val="00C35C52"/>
    <w:rsid w:val="00C447E4"/>
    <w:rsid w:val="00C51B64"/>
    <w:rsid w:val="00C54A60"/>
    <w:rsid w:val="00C5564F"/>
    <w:rsid w:val="00C5776C"/>
    <w:rsid w:val="00C7359F"/>
    <w:rsid w:val="00C75E3C"/>
    <w:rsid w:val="00C838BC"/>
    <w:rsid w:val="00C84387"/>
    <w:rsid w:val="00C84CC2"/>
    <w:rsid w:val="00C95E99"/>
    <w:rsid w:val="00CA29A7"/>
    <w:rsid w:val="00CA2B42"/>
    <w:rsid w:val="00CA5F74"/>
    <w:rsid w:val="00CA7ED5"/>
    <w:rsid w:val="00CB41A6"/>
    <w:rsid w:val="00CC3749"/>
    <w:rsid w:val="00CC3F17"/>
    <w:rsid w:val="00CC402B"/>
    <w:rsid w:val="00CD0DE3"/>
    <w:rsid w:val="00CD2FB8"/>
    <w:rsid w:val="00CD3509"/>
    <w:rsid w:val="00CD44B7"/>
    <w:rsid w:val="00CD7DFC"/>
    <w:rsid w:val="00CE62EE"/>
    <w:rsid w:val="00CE72AF"/>
    <w:rsid w:val="00CF7E6C"/>
    <w:rsid w:val="00D04D1D"/>
    <w:rsid w:val="00D07715"/>
    <w:rsid w:val="00D13974"/>
    <w:rsid w:val="00D23DD8"/>
    <w:rsid w:val="00D32AA3"/>
    <w:rsid w:val="00D336CA"/>
    <w:rsid w:val="00D40250"/>
    <w:rsid w:val="00D4579A"/>
    <w:rsid w:val="00D47E97"/>
    <w:rsid w:val="00D55938"/>
    <w:rsid w:val="00D858C3"/>
    <w:rsid w:val="00D94851"/>
    <w:rsid w:val="00DA5C4E"/>
    <w:rsid w:val="00DB13D4"/>
    <w:rsid w:val="00DB1442"/>
    <w:rsid w:val="00DB7FB7"/>
    <w:rsid w:val="00DC2CD3"/>
    <w:rsid w:val="00DD24A9"/>
    <w:rsid w:val="00DD785C"/>
    <w:rsid w:val="00DE0011"/>
    <w:rsid w:val="00DE0888"/>
    <w:rsid w:val="00DE0CA5"/>
    <w:rsid w:val="00DE6C54"/>
    <w:rsid w:val="00DF06E8"/>
    <w:rsid w:val="00E01E15"/>
    <w:rsid w:val="00E069CB"/>
    <w:rsid w:val="00E11D7B"/>
    <w:rsid w:val="00E141DD"/>
    <w:rsid w:val="00E17C1B"/>
    <w:rsid w:val="00E30290"/>
    <w:rsid w:val="00E60FC0"/>
    <w:rsid w:val="00E6529E"/>
    <w:rsid w:val="00E66EB3"/>
    <w:rsid w:val="00E67CE1"/>
    <w:rsid w:val="00E704EA"/>
    <w:rsid w:val="00E808E0"/>
    <w:rsid w:val="00E80E02"/>
    <w:rsid w:val="00E870C0"/>
    <w:rsid w:val="00E91733"/>
    <w:rsid w:val="00E95D62"/>
    <w:rsid w:val="00E97414"/>
    <w:rsid w:val="00EA570A"/>
    <w:rsid w:val="00EB5945"/>
    <w:rsid w:val="00EB5A70"/>
    <w:rsid w:val="00EB6268"/>
    <w:rsid w:val="00EB74CC"/>
    <w:rsid w:val="00EC6A7B"/>
    <w:rsid w:val="00ED45D7"/>
    <w:rsid w:val="00ED6F7F"/>
    <w:rsid w:val="00EE1755"/>
    <w:rsid w:val="00EE25E4"/>
    <w:rsid w:val="00EF2763"/>
    <w:rsid w:val="00F01C1B"/>
    <w:rsid w:val="00F250EA"/>
    <w:rsid w:val="00F34378"/>
    <w:rsid w:val="00F37250"/>
    <w:rsid w:val="00F51029"/>
    <w:rsid w:val="00F56F06"/>
    <w:rsid w:val="00F5765B"/>
    <w:rsid w:val="00F644E7"/>
    <w:rsid w:val="00F6574A"/>
    <w:rsid w:val="00F6751F"/>
    <w:rsid w:val="00F722E3"/>
    <w:rsid w:val="00F740AB"/>
    <w:rsid w:val="00F85472"/>
    <w:rsid w:val="00F858D6"/>
    <w:rsid w:val="00F94D18"/>
    <w:rsid w:val="00FA234F"/>
    <w:rsid w:val="00FA430E"/>
    <w:rsid w:val="00FB421B"/>
    <w:rsid w:val="00FB4AAB"/>
    <w:rsid w:val="00FD0094"/>
    <w:rsid w:val="00FD0D9C"/>
    <w:rsid w:val="00FD10F8"/>
    <w:rsid w:val="00FD22F6"/>
    <w:rsid w:val="00FD47A8"/>
    <w:rsid w:val="00FE0AE4"/>
    <w:rsid w:val="00FE2AAC"/>
    <w:rsid w:val="00FE4F36"/>
    <w:rsid w:val="00FE7357"/>
    <w:rsid w:val="00FF3CE3"/>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70AE6A"/>
  <w15:chartTrackingRefBased/>
  <w15:docId w15:val="{ADF3EE90-BB64-4C3B-9D4A-17015F3BF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834E0"/>
    <w:pPr>
      <w:jc w:val="both"/>
    </w:pPr>
    <w:rPr>
      <w:rFonts w:ascii="Garamond" w:hAnsi="Garamond"/>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1834E0"/>
    <w:pPr>
      <w:tabs>
        <w:tab w:val="center" w:pos="4536"/>
        <w:tab w:val="right" w:pos="9072"/>
      </w:tabs>
    </w:pPr>
  </w:style>
  <w:style w:type="character" w:styleId="Oldalszm">
    <w:name w:val="page number"/>
    <w:basedOn w:val="Bekezdsalapbettpusa"/>
    <w:rsid w:val="001834E0"/>
  </w:style>
  <w:style w:type="paragraph" w:styleId="Buborkszveg">
    <w:name w:val="Balloon Text"/>
    <w:basedOn w:val="Norml"/>
    <w:semiHidden/>
    <w:rsid w:val="001834E0"/>
    <w:rPr>
      <w:rFonts w:ascii="Tahoma" w:hAnsi="Tahoma" w:cs="Tahoma"/>
      <w:sz w:val="16"/>
      <w:szCs w:val="16"/>
    </w:rPr>
  </w:style>
  <w:style w:type="paragraph" w:styleId="llb">
    <w:name w:val="footer"/>
    <w:basedOn w:val="Norml"/>
    <w:rsid w:val="001834E0"/>
    <w:pPr>
      <w:tabs>
        <w:tab w:val="center" w:pos="4536"/>
        <w:tab w:val="right" w:pos="9072"/>
      </w:tabs>
    </w:pPr>
  </w:style>
  <w:style w:type="character" w:styleId="Kiemels2">
    <w:name w:val="Strong"/>
    <w:qFormat/>
    <w:rsid w:val="001834E0"/>
    <w:rPr>
      <w:b/>
      <w:bCs/>
    </w:rPr>
  </w:style>
  <w:style w:type="character" w:styleId="Jegyzethivatkozs">
    <w:name w:val="annotation reference"/>
    <w:semiHidden/>
    <w:rsid w:val="00B76008"/>
    <w:rPr>
      <w:sz w:val="16"/>
      <w:szCs w:val="16"/>
    </w:rPr>
  </w:style>
  <w:style w:type="paragraph" w:styleId="Jegyzetszveg">
    <w:name w:val="annotation text"/>
    <w:basedOn w:val="Norml"/>
    <w:semiHidden/>
    <w:rsid w:val="00B76008"/>
    <w:rPr>
      <w:sz w:val="20"/>
      <w:szCs w:val="20"/>
    </w:rPr>
  </w:style>
  <w:style w:type="paragraph" w:styleId="Megjegyzstrgya">
    <w:name w:val="annotation subject"/>
    <w:basedOn w:val="Jegyzetszveg"/>
    <w:next w:val="Jegyzetszveg"/>
    <w:semiHidden/>
    <w:rsid w:val="00B76008"/>
    <w:rPr>
      <w:b/>
      <w:bCs/>
    </w:rPr>
  </w:style>
  <w:style w:type="paragraph" w:customStyle="1" w:styleId="CharChar1CharCharCharCharCharCharCharCharCharCharCharCharChar">
    <w:name w:val="Char Char1 Char Char Char Char Char Char Char Char Char Char Char Char Char"/>
    <w:basedOn w:val="Norml"/>
    <w:rsid w:val="00BF0910"/>
    <w:pPr>
      <w:spacing w:after="160" w:line="240" w:lineRule="exact"/>
      <w:jc w:val="left"/>
    </w:pPr>
    <w:rPr>
      <w:rFonts w:ascii="Verdana" w:hAnsi="Verdana"/>
      <w:sz w:val="20"/>
      <w:szCs w:val="20"/>
      <w:lang w:val="en-US" w:eastAsia="en-US"/>
    </w:rPr>
  </w:style>
  <w:style w:type="paragraph" w:styleId="Vltozat">
    <w:name w:val="Revision"/>
    <w:hidden/>
    <w:uiPriority w:val="99"/>
    <w:semiHidden/>
    <w:rsid w:val="00794165"/>
    <w:rPr>
      <w:rFonts w:ascii="Garamond" w:hAnsi="Garamond"/>
      <w:sz w:val="24"/>
      <w:szCs w:val="24"/>
    </w:rPr>
  </w:style>
  <w:style w:type="paragraph" w:styleId="Listaszerbekezds">
    <w:name w:val="List Paragraph"/>
    <w:basedOn w:val="Norml"/>
    <w:uiPriority w:val="34"/>
    <w:qFormat/>
    <w:rsid w:val="007D05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00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1898</Words>
  <Characters>10160</Characters>
  <Application>Microsoft Office Word</Application>
  <DocSecurity>0</DocSecurity>
  <Lines>84</Lines>
  <Paragraphs>24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 P43</vt:lpstr>
      <vt:lpstr>MNB adatgyűjtés azonosító: P43</vt:lpstr>
    </vt:vector>
  </TitlesOfParts>
  <Company>Magyar Nemzeti Bank</Company>
  <LinksUpToDate>false</LinksUpToDate>
  <CharactersWithSpaces>12034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P43</dc:title>
  <dc:subject/>
  <dc:creator>Brosch Judit</dc:creator>
  <cp:keywords/>
  <cp:lastModifiedBy>Juhász Katalin</cp:lastModifiedBy>
  <cp:revision>3</cp:revision>
  <cp:lastPrinted>2007-05-30T11:35:00Z</cp:lastPrinted>
  <dcterms:created xsi:type="dcterms:W3CDTF">2023-06-16T11:51:00Z</dcterms:created>
  <dcterms:modified xsi:type="dcterms:W3CDTF">2024-03-27T12:05:00Z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2026-07-19T17:58:07Z</vt:filetime>
  </property>
  <property fmtid="{D5CDD505-2E9C-101B-9397-08002B2CF9AE}" pid="3" name="Érvényességet beállító">
    <vt:lpwstr>kozmae</vt:lpwstr>
  </property>
  <property fmtid="{D5CDD505-2E9C-101B-9397-08002B2CF9AE}" pid="4" name="Érvényességi idő első beállítása">
    <vt:filetime>2021-07-19T17:58:07Z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kozmae@mnb.hu</vt:lpwstr>
  </property>
  <property fmtid="{D5CDD505-2E9C-101B-9397-08002B2CF9AE}" pid="8" name="MSIP_Label_b0d11092-50c9-4e74-84b5-b1af078dc3d0_SetDate">
    <vt:lpwstr>2021-07-19T18:42:05.4920859Z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7273d94e-48f8-46b2-833e-1862205d7fdf</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