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3A1D4" w14:textId="417F3A82" w:rsidR="00191672" w:rsidRPr="00AD26B0" w:rsidRDefault="0075134E" w:rsidP="00191672">
      <w:pPr>
        <w:rPr>
          <w:rFonts w:ascii="Arial" w:hAnsi="Arial" w:cs="Arial"/>
          <w:b/>
          <w:snapToGrid w:val="0"/>
          <w:sz w:val="20"/>
        </w:rPr>
      </w:pPr>
      <w:proofErr w:type="spellStart"/>
      <w:r w:rsidRPr="00AD26B0">
        <w:rPr>
          <w:rFonts w:ascii="Arial" w:hAnsi="Arial" w:cs="Arial"/>
          <w:b/>
          <w:bCs/>
          <w:snapToGrid w:val="0"/>
          <w:sz w:val="20"/>
          <w:lang w:val="en"/>
        </w:rPr>
        <w:t>MNB</w:t>
      </w:r>
      <w:proofErr w:type="spellEnd"/>
      <w:r w:rsidRPr="00AD26B0">
        <w:rPr>
          <w:rFonts w:ascii="Arial" w:hAnsi="Arial" w:cs="Arial"/>
          <w:b/>
          <w:bCs/>
          <w:snapToGrid w:val="0"/>
          <w:sz w:val="20"/>
          <w:lang w:val="en"/>
        </w:rPr>
        <w:t xml:space="preserve"> identification code: P37</w:t>
      </w:r>
    </w:p>
    <w:p w14:paraId="5883FC4F" w14:textId="77777777" w:rsidR="00191672" w:rsidRPr="00AD26B0" w:rsidRDefault="00191672" w:rsidP="00191672">
      <w:pPr>
        <w:spacing w:before="120"/>
        <w:rPr>
          <w:rFonts w:ascii="Arial" w:hAnsi="Arial" w:cs="Arial"/>
          <w:b/>
          <w:snapToGrid w:val="0"/>
          <w:sz w:val="20"/>
        </w:rPr>
      </w:pPr>
    </w:p>
    <w:p w14:paraId="5A7348AD" w14:textId="77777777" w:rsidR="006F0276" w:rsidRPr="00AD26B0" w:rsidRDefault="00BA3450" w:rsidP="00191672">
      <w:pPr>
        <w:jc w:val="center"/>
        <w:rPr>
          <w:rFonts w:ascii="Arial" w:hAnsi="Arial" w:cs="Arial"/>
          <w:b/>
          <w:snapToGrid w:val="0"/>
          <w:sz w:val="20"/>
        </w:rPr>
      </w:pPr>
      <w:r w:rsidRPr="00AD26B0">
        <w:rPr>
          <w:rFonts w:ascii="Arial" w:hAnsi="Arial" w:cs="Arial"/>
          <w:b/>
          <w:bCs/>
          <w:snapToGrid w:val="0"/>
          <w:sz w:val="20"/>
          <w:lang w:val="en"/>
        </w:rPr>
        <w:t>Completion instructions for the report</w:t>
      </w:r>
    </w:p>
    <w:p w14:paraId="13B7F6DB" w14:textId="77777777" w:rsidR="00BA3450" w:rsidRPr="00AD26B0" w:rsidRDefault="00532D0F" w:rsidP="00191672">
      <w:pPr>
        <w:jc w:val="center"/>
        <w:rPr>
          <w:rFonts w:ascii="Arial" w:hAnsi="Arial" w:cs="Arial"/>
          <w:b/>
          <w:snapToGrid w:val="0"/>
          <w:sz w:val="20"/>
        </w:rPr>
      </w:pPr>
      <w:r w:rsidRPr="00AD26B0">
        <w:rPr>
          <w:rFonts w:ascii="Arial" w:hAnsi="Arial" w:cs="Arial"/>
          <w:b/>
          <w:bCs/>
          <w:snapToGrid w:val="0"/>
          <w:sz w:val="20"/>
          <w:lang w:val="en"/>
        </w:rPr>
        <w:t xml:space="preserve">Monthly report on the balance of the payment transactions (clearing) account of corresponded credit institutions having an account with the correspondent </w:t>
      </w:r>
      <w:proofErr w:type="gramStart"/>
      <w:r w:rsidRPr="00AD26B0">
        <w:rPr>
          <w:rFonts w:ascii="Arial" w:hAnsi="Arial" w:cs="Arial"/>
          <w:b/>
          <w:bCs/>
          <w:snapToGrid w:val="0"/>
          <w:sz w:val="20"/>
          <w:lang w:val="en"/>
        </w:rPr>
        <w:t>bank</w:t>
      </w:r>
      <w:proofErr w:type="gramEnd"/>
    </w:p>
    <w:p w14:paraId="1385F984" w14:textId="77777777" w:rsidR="00BA3450" w:rsidRPr="00AD26B0" w:rsidRDefault="00BA3450" w:rsidP="00191672">
      <w:pPr>
        <w:jc w:val="center"/>
        <w:rPr>
          <w:rFonts w:ascii="Arial" w:hAnsi="Arial" w:cs="Arial"/>
          <w:b/>
          <w:snapToGrid w:val="0"/>
          <w:sz w:val="20"/>
        </w:rPr>
      </w:pPr>
    </w:p>
    <w:p w14:paraId="15C1FB26" w14:textId="77777777" w:rsidR="00F34FBB" w:rsidRPr="00AD26B0" w:rsidRDefault="00D7153C" w:rsidP="00F34FBB">
      <w:pPr>
        <w:pStyle w:val="Default"/>
        <w:numPr>
          <w:ilvl w:val="0"/>
          <w:numId w:val="3"/>
        </w:numPr>
        <w:ind w:left="284" w:hanging="284"/>
        <w:jc w:val="both"/>
        <w:rPr>
          <w:rFonts w:ascii="Arial" w:hAnsi="Arial" w:cs="Arial"/>
          <w:b/>
          <w:snapToGrid w:val="0"/>
          <w:color w:val="auto"/>
          <w:sz w:val="20"/>
          <w:szCs w:val="20"/>
        </w:rPr>
      </w:pPr>
      <w:r w:rsidRPr="00AD26B0">
        <w:rPr>
          <w:rFonts w:ascii="Arial" w:hAnsi="Arial" w:cs="Arial"/>
          <w:b/>
          <w:bCs/>
          <w:snapToGrid w:val="0"/>
          <w:color w:val="auto"/>
          <w:sz w:val="20"/>
          <w:szCs w:val="20"/>
          <w:lang w:val="en"/>
        </w:rPr>
        <w:t>General instructions</w:t>
      </w:r>
    </w:p>
    <w:p w14:paraId="4DCC8B23" w14:textId="77777777" w:rsidR="00F07729" w:rsidRPr="00AD26B0" w:rsidRDefault="00F07729" w:rsidP="00F07729">
      <w:pPr>
        <w:spacing w:before="120" w:after="240"/>
        <w:rPr>
          <w:rFonts w:ascii="Arial" w:hAnsi="Arial" w:cs="Arial"/>
          <w:snapToGrid w:val="0"/>
          <w:sz w:val="20"/>
        </w:rPr>
      </w:pPr>
      <w:r w:rsidRPr="00AD26B0">
        <w:rPr>
          <w:rFonts w:ascii="Arial" w:hAnsi="Arial" w:cs="Arial"/>
          <w:snapToGrid w:val="0"/>
          <w:sz w:val="20"/>
          <w:lang w:val="en"/>
        </w:rPr>
        <w:t xml:space="preserve">According to the </w:t>
      </w:r>
      <w:proofErr w:type="spellStart"/>
      <w:r w:rsidRPr="00AD26B0">
        <w:rPr>
          <w:rFonts w:ascii="Arial" w:hAnsi="Arial" w:cs="Arial"/>
          <w:snapToGrid w:val="0"/>
          <w:sz w:val="20"/>
          <w:lang w:val="en"/>
        </w:rPr>
        <w:t>MNB</w:t>
      </w:r>
      <w:proofErr w:type="spellEnd"/>
      <w:r w:rsidRPr="00AD26B0">
        <w:rPr>
          <w:rFonts w:ascii="Arial" w:hAnsi="Arial" w:cs="Arial"/>
          <w:snapToGrid w:val="0"/>
          <w:sz w:val="20"/>
          <w:lang w:val="en"/>
        </w:rPr>
        <w:t xml:space="preserve"> decree on the calculation of the required central bank reserve and the method of its formation and placement, the data service is provided to the correspondent credit institution with a reserve requirement (hereinafter referred to as the credit institution with a reserve requirement) by the correspondent credit institution with a reserve requirement (hereinafter referred to as the data provider) that maintains a HUF cash flow account in order to meet the mandatory reserve requirement.</w:t>
      </w:r>
    </w:p>
    <w:p w14:paraId="3B02AF9B" w14:textId="254B434D" w:rsidR="00F07729" w:rsidRPr="00AD26B0" w:rsidRDefault="00F07729" w:rsidP="00F07729">
      <w:pPr>
        <w:pStyle w:val="Default"/>
        <w:numPr>
          <w:ilvl w:val="0"/>
          <w:numId w:val="3"/>
        </w:numPr>
        <w:spacing w:after="240"/>
        <w:ind w:left="284" w:hanging="284"/>
        <w:jc w:val="both"/>
        <w:rPr>
          <w:rFonts w:ascii="Arial" w:hAnsi="Arial" w:cs="Arial"/>
          <w:b/>
          <w:snapToGrid w:val="0"/>
          <w:color w:val="auto"/>
          <w:sz w:val="20"/>
          <w:szCs w:val="20"/>
        </w:rPr>
      </w:pPr>
      <w:r w:rsidRPr="00AD26B0">
        <w:rPr>
          <w:rFonts w:ascii="Arial" w:hAnsi="Arial" w:cs="Arial"/>
          <w:b/>
          <w:bCs/>
          <w:snapToGrid w:val="0"/>
          <w:color w:val="auto"/>
          <w:sz w:val="20"/>
          <w:szCs w:val="20"/>
          <w:lang w:val="en"/>
        </w:rPr>
        <w:t>Detailed instructions for the completion of the data supply</w:t>
      </w:r>
    </w:p>
    <w:p w14:paraId="7117AABE" w14:textId="77777777" w:rsidR="00F07729" w:rsidRPr="00AD26B0" w:rsidRDefault="00F07729" w:rsidP="00F07729">
      <w:pPr>
        <w:spacing w:after="240"/>
        <w:rPr>
          <w:rFonts w:ascii="Arial" w:hAnsi="Arial" w:cs="Arial"/>
          <w:b/>
          <w:snapToGrid w:val="0"/>
          <w:sz w:val="20"/>
        </w:rPr>
      </w:pPr>
      <w:r w:rsidRPr="00AD26B0">
        <w:rPr>
          <w:rFonts w:ascii="Arial" w:hAnsi="Arial" w:cs="Arial"/>
          <w:b/>
          <w:bCs/>
          <w:snapToGrid w:val="0"/>
          <w:sz w:val="20"/>
          <w:lang w:val="en"/>
        </w:rPr>
        <w:t xml:space="preserve">Table P3701: Monthly average balance of the payment transactions (clearing) account of corresponded credit institutions having an account with the correspondent </w:t>
      </w:r>
      <w:proofErr w:type="gramStart"/>
      <w:r w:rsidRPr="00AD26B0">
        <w:rPr>
          <w:rFonts w:ascii="Arial" w:hAnsi="Arial" w:cs="Arial"/>
          <w:b/>
          <w:bCs/>
          <w:snapToGrid w:val="0"/>
          <w:sz w:val="20"/>
          <w:lang w:val="en"/>
        </w:rPr>
        <w:t>bank</w:t>
      </w:r>
      <w:proofErr w:type="gramEnd"/>
    </w:p>
    <w:p w14:paraId="33FE2845" w14:textId="77777777" w:rsidR="00F07729" w:rsidRPr="00AD26B0" w:rsidRDefault="00F07729" w:rsidP="00F07729">
      <w:pPr>
        <w:spacing w:after="240"/>
        <w:rPr>
          <w:rFonts w:ascii="Arial" w:hAnsi="Arial" w:cs="Arial"/>
          <w:bCs/>
          <w:snapToGrid w:val="0"/>
          <w:sz w:val="20"/>
        </w:rPr>
      </w:pPr>
      <w:r w:rsidRPr="00AD26B0">
        <w:rPr>
          <w:rFonts w:ascii="Arial" w:hAnsi="Arial" w:cs="Arial"/>
          <w:snapToGrid w:val="0"/>
          <w:sz w:val="20"/>
          <w:lang w:val="en"/>
        </w:rPr>
        <w:t>The average balances for the relevant month must be calculated with the daily closing balances of the calendar days.</w:t>
      </w:r>
    </w:p>
    <w:p w14:paraId="385BB29D" w14:textId="77777777" w:rsidR="00F07729" w:rsidRPr="00AD26B0" w:rsidRDefault="00F07729" w:rsidP="00F07729">
      <w:pPr>
        <w:spacing w:after="240"/>
        <w:rPr>
          <w:rFonts w:ascii="Arial" w:hAnsi="Arial" w:cs="Arial"/>
          <w:bCs/>
          <w:snapToGrid w:val="0"/>
          <w:sz w:val="20"/>
        </w:rPr>
      </w:pPr>
      <w:r w:rsidRPr="00AD26B0">
        <w:rPr>
          <w:rFonts w:ascii="Arial" w:hAnsi="Arial" w:cs="Arial"/>
          <w:snapToGrid w:val="0"/>
          <w:sz w:val="20"/>
          <w:lang w:val="en"/>
        </w:rPr>
        <w:t>If more than one corresponded credit institution with a reserve requirement maintains a HUF cash flow account with the data provider for the placement of the required reserve, then the average monthly account balance must be reported in the table for each credit institution with a reserve requirement (per code number).</w:t>
      </w:r>
    </w:p>
    <w:p w14:paraId="30DFF8D1" w14:textId="77777777" w:rsidR="00F07729" w:rsidRPr="00AD26B0" w:rsidRDefault="00F07729" w:rsidP="00F07729">
      <w:pPr>
        <w:spacing w:after="240"/>
        <w:rPr>
          <w:rFonts w:ascii="Arial" w:hAnsi="Arial" w:cs="Arial"/>
          <w:b/>
          <w:snapToGrid w:val="0"/>
          <w:sz w:val="20"/>
        </w:rPr>
      </w:pPr>
      <w:r w:rsidRPr="00AD26B0">
        <w:rPr>
          <w:rFonts w:ascii="Arial" w:hAnsi="Arial" w:cs="Arial"/>
          <w:b/>
          <w:bCs/>
          <w:snapToGrid w:val="0"/>
          <w:sz w:val="20"/>
          <w:lang w:val="en"/>
        </w:rPr>
        <w:t>Table P3702: Daily closing balance of the payment transactions (clearing) account of corresponded credit institutions having an account with the correspondent bank</w:t>
      </w:r>
    </w:p>
    <w:p w14:paraId="1B594438" w14:textId="77777777" w:rsidR="00F07729" w:rsidRPr="00AD26B0" w:rsidRDefault="00F07729" w:rsidP="00F07729">
      <w:pPr>
        <w:spacing w:after="240"/>
        <w:rPr>
          <w:rFonts w:ascii="Arial" w:hAnsi="Arial" w:cs="Arial"/>
          <w:bCs/>
          <w:snapToGrid w:val="0"/>
          <w:sz w:val="20"/>
        </w:rPr>
      </w:pPr>
      <w:r w:rsidRPr="00AD26B0">
        <w:rPr>
          <w:rFonts w:ascii="Arial" w:hAnsi="Arial" w:cs="Arial"/>
          <w:snapToGrid w:val="0"/>
          <w:sz w:val="20"/>
          <w:lang w:val="en"/>
        </w:rPr>
        <w:t>In the table, for each calendar day of the month must be reported the daily closing balance of the HUF payment account/accounts maintained by the data provider for the placement of the mandatory reserve.</w:t>
      </w:r>
    </w:p>
    <w:p w14:paraId="68D742AB" w14:textId="448B08EC" w:rsidR="00D32BBD" w:rsidRPr="00AD26B0" w:rsidRDefault="00D32BBD" w:rsidP="000F2F18">
      <w:pPr>
        <w:spacing w:after="240"/>
        <w:rPr>
          <w:rFonts w:ascii="Arial" w:hAnsi="Arial" w:cs="Arial"/>
          <w:bCs/>
          <w:snapToGrid w:val="0"/>
          <w:sz w:val="20"/>
        </w:rPr>
      </w:pPr>
      <w:r w:rsidRPr="00AD26B0">
        <w:rPr>
          <w:rFonts w:ascii="Arial" w:hAnsi="Arial" w:cs="Arial"/>
          <w:snapToGrid w:val="0"/>
          <w:sz w:val="20"/>
          <w:lang w:val="en"/>
        </w:rPr>
        <w:t xml:space="preserve">If the daily closing balance of the payment account of the correspondent credit institution for the deposit of minimum reserves is negative, a zero daily closing balance is reported for that day. </w:t>
      </w:r>
    </w:p>
    <w:p w14:paraId="6AF9F88B" w14:textId="75764B00" w:rsidR="00CF7F92" w:rsidRPr="00AD26B0" w:rsidRDefault="00CF7F92" w:rsidP="000F2F18">
      <w:pPr>
        <w:spacing w:after="240"/>
        <w:rPr>
          <w:rFonts w:ascii="Arial" w:hAnsi="Arial" w:cs="Arial"/>
          <w:bCs/>
          <w:snapToGrid w:val="0"/>
          <w:sz w:val="20"/>
        </w:rPr>
      </w:pPr>
      <w:r w:rsidRPr="00AD26B0">
        <w:rPr>
          <w:rFonts w:ascii="Arial" w:hAnsi="Arial" w:cs="Arial"/>
          <w:snapToGrid w:val="0"/>
          <w:sz w:val="20"/>
          <w:lang w:val="en"/>
        </w:rPr>
        <w:t xml:space="preserve">In the event that a correspondent credit institution ceases to be a credit institution subject to reserve requirements, e.g. due to the withdrawal of its </w:t>
      </w:r>
      <w:proofErr w:type="spellStart"/>
      <w:r w:rsidRPr="00AD26B0">
        <w:rPr>
          <w:rFonts w:ascii="Arial" w:hAnsi="Arial" w:cs="Arial"/>
          <w:snapToGrid w:val="0"/>
          <w:sz w:val="20"/>
          <w:lang w:val="en"/>
        </w:rPr>
        <w:t>licence</w:t>
      </w:r>
      <w:proofErr w:type="spellEnd"/>
      <w:r w:rsidRPr="00AD26B0">
        <w:rPr>
          <w:rFonts w:ascii="Arial" w:hAnsi="Arial" w:cs="Arial"/>
          <w:snapToGrid w:val="0"/>
          <w:sz w:val="20"/>
          <w:lang w:val="en"/>
        </w:rPr>
        <w:t xml:space="preserve"> to operate, a zero value is to be entered in the table as the balance of calendar days for which the correspondent credit institution is no longer a credit institution subject to reserve requirements.</w:t>
      </w:r>
    </w:p>
    <w:p w14:paraId="7F0D327B" w14:textId="406D58D3" w:rsidR="000F2F18" w:rsidRPr="00AD26B0" w:rsidRDefault="00F07729" w:rsidP="00F07729">
      <w:pPr>
        <w:spacing w:after="240"/>
        <w:rPr>
          <w:rFonts w:ascii="Arial" w:hAnsi="Arial" w:cs="Arial"/>
          <w:bCs/>
          <w:snapToGrid w:val="0"/>
          <w:sz w:val="20"/>
        </w:rPr>
      </w:pPr>
      <w:r w:rsidRPr="00AD26B0">
        <w:rPr>
          <w:rFonts w:ascii="Arial" w:hAnsi="Arial" w:cs="Arial"/>
          <w:snapToGrid w:val="0"/>
          <w:sz w:val="20"/>
          <w:lang w:val="en"/>
        </w:rPr>
        <w:t>The monthly average stock calculated from the daily account balances must be the same as the monthly average balance reported in table 01, and therefore both calendar days for which the daily closing balance of the payment account of the correspondent credit institution used for the placement of the minimum reserve is negative and calendar days for which the correspondent credit institution is no longer a credit institution subject to reserve requirements must be taken into account with a zero daily closing balance when determining the monthly average balance.</w:t>
      </w:r>
    </w:p>
    <w:p w14:paraId="3A328FA5" w14:textId="1B126A3F" w:rsidR="001E2134" w:rsidRPr="00A169B2" w:rsidRDefault="00F07729" w:rsidP="00281870">
      <w:pPr>
        <w:spacing w:after="240"/>
        <w:rPr>
          <w:rFonts w:ascii="Arial" w:hAnsi="Arial" w:cs="Arial"/>
          <w:bCs/>
          <w:snapToGrid w:val="0"/>
          <w:sz w:val="20"/>
        </w:rPr>
      </w:pPr>
      <w:r w:rsidRPr="00AD26B0">
        <w:rPr>
          <w:rFonts w:ascii="Arial" w:hAnsi="Arial" w:cs="Arial"/>
          <w:snapToGrid w:val="0"/>
          <w:sz w:val="20"/>
          <w:lang w:val="en"/>
        </w:rPr>
        <w:t>If more than one corresponded credit institution with a reserve requirement maintains a HUF cash flow account with the data provider for the placement of the required reserve, then the account balances for calendar days must be reported in the table for each corresponded credit institution (per identification number). The consistency of the daily closing balances and the monthly average balances to required reserve must be maintained for each credit institution (per code number).</w:t>
      </w:r>
    </w:p>
    <w:p w14:paraId="6BC7CEA7" w14:textId="77777777" w:rsidR="0075134E" w:rsidRPr="00A169B2" w:rsidRDefault="0075134E" w:rsidP="00281870">
      <w:pPr>
        <w:spacing w:after="240"/>
        <w:rPr>
          <w:rFonts w:ascii="Arial" w:hAnsi="Arial" w:cs="Arial"/>
          <w:bCs/>
          <w:snapToGrid w:val="0"/>
          <w:sz w:val="20"/>
        </w:rPr>
      </w:pPr>
    </w:p>
    <w:p w14:paraId="7482783B" w14:textId="77777777" w:rsidR="0075134E" w:rsidRPr="00A169B2" w:rsidRDefault="0075134E" w:rsidP="00281870">
      <w:pPr>
        <w:spacing w:after="240"/>
        <w:rPr>
          <w:rFonts w:ascii="Arial" w:hAnsi="Arial" w:cs="Arial"/>
          <w:bCs/>
          <w:snapToGrid w:val="0"/>
          <w:sz w:val="20"/>
        </w:rPr>
      </w:pPr>
    </w:p>
    <w:sectPr w:rsidR="0075134E" w:rsidRPr="00A169B2" w:rsidSect="003674F8">
      <w:headerReference w:type="default" r:id="rId8"/>
      <w:footerReference w:type="default" r:id="rId9"/>
      <w:pgSz w:w="11906" w:h="16838"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76A80" w14:textId="77777777" w:rsidR="001B1B20" w:rsidRDefault="001B1B20">
      <w:r>
        <w:separator/>
      </w:r>
    </w:p>
  </w:endnote>
  <w:endnote w:type="continuationSeparator" w:id="0">
    <w:p w14:paraId="1605E55F" w14:textId="77777777" w:rsidR="001B1B20" w:rsidRDefault="001B1B20">
      <w:r>
        <w:continuationSeparator/>
      </w:r>
    </w:p>
  </w:endnote>
  <w:endnote w:type="continuationNotice" w:id="1">
    <w:p w14:paraId="74D0C870" w14:textId="77777777" w:rsidR="001B1B20" w:rsidRDefault="001B1B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JEJNL+HHelvetica">
    <w:altName w:val="Times New Roman"/>
    <w:charset w:val="00"/>
    <w:family w:val="auto"/>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A010C" w14:textId="77777777" w:rsidR="00DF4F4D" w:rsidRDefault="00DF4F4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BD8FC" w14:textId="77777777" w:rsidR="001B1B20" w:rsidRDefault="001B1B20">
      <w:r>
        <w:separator/>
      </w:r>
    </w:p>
  </w:footnote>
  <w:footnote w:type="continuationSeparator" w:id="0">
    <w:p w14:paraId="0C3BDFEB" w14:textId="77777777" w:rsidR="001B1B20" w:rsidRDefault="001B1B20">
      <w:r>
        <w:continuationSeparator/>
      </w:r>
    </w:p>
  </w:footnote>
  <w:footnote w:type="continuationNotice" w:id="1">
    <w:p w14:paraId="49D39A09" w14:textId="77777777" w:rsidR="001B1B20" w:rsidRDefault="001B1B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075AE" w14:textId="77777777" w:rsidR="00DF4F4D" w:rsidRDefault="00DF4F4D">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30C72"/>
    <w:multiLevelType w:val="hybridMultilevel"/>
    <w:tmpl w:val="AC280336"/>
    <w:lvl w:ilvl="0" w:tplc="22465D96">
      <w:start w:val="1"/>
      <w:numFmt w:val="decimalZero"/>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8334ACD"/>
    <w:multiLevelType w:val="hybridMultilevel"/>
    <w:tmpl w:val="CA047406"/>
    <w:lvl w:ilvl="0" w:tplc="11DEED08">
      <w:start w:val="1"/>
      <w:numFmt w:val="decimal"/>
      <w:lvlText w:val="%1."/>
      <w:lvlJc w:val="left"/>
      <w:pPr>
        <w:ind w:left="564" w:hanging="36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2" w15:restartNumberingAfterBreak="0">
    <w:nsid w:val="14D97CB5"/>
    <w:multiLevelType w:val="hybridMultilevel"/>
    <w:tmpl w:val="33B4DF1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E294393"/>
    <w:multiLevelType w:val="hybridMultilevel"/>
    <w:tmpl w:val="25D6D3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AB4743F"/>
    <w:multiLevelType w:val="hybridMultilevel"/>
    <w:tmpl w:val="8BE8ED7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14B2A7A"/>
    <w:multiLevelType w:val="hybridMultilevel"/>
    <w:tmpl w:val="0B5043DA"/>
    <w:lvl w:ilvl="0" w:tplc="938CE39A">
      <w:start w:val="1"/>
      <w:numFmt w:val="decimalZero"/>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6" w15:restartNumberingAfterBreak="0">
    <w:nsid w:val="460609FD"/>
    <w:multiLevelType w:val="hybridMultilevel"/>
    <w:tmpl w:val="65D622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8FE04C0"/>
    <w:multiLevelType w:val="hybridMultilevel"/>
    <w:tmpl w:val="7A3CEEDA"/>
    <w:lvl w:ilvl="0" w:tplc="EBFCDF4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EFC5EED"/>
    <w:multiLevelType w:val="hybridMultilevel"/>
    <w:tmpl w:val="EB0E230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48078DE"/>
    <w:multiLevelType w:val="hybridMultilevel"/>
    <w:tmpl w:val="F1DADC90"/>
    <w:lvl w:ilvl="0" w:tplc="CFCE943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B657F80"/>
    <w:multiLevelType w:val="hybridMultilevel"/>
    <w:tmpl w:val="EE58449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619149CB"/>
    <w:multiLevelType w:val="hybridMultilevel"/>
    <w:tmpl w:val="650281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61CE5B4B"/>
    <w:multiLevelType w:val="hybridMultilevel"/>
    <w:tmpl w:val="2276901E"/>
    <w:lvl w:ilvl="0" w:tplc="5D7A8EA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3FF7B29"/>
    <w:multiLevelType w:val="hybridMultilevel"/>
    <w:tmpl w:val="50BCAE2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A3F2E49"/>
    <w:multiLevelType w:val="hybridMultilevel"/>
    <w:tmpl w:val="B2003946"/>
    <w:lvl w:ilvl="0" w:tplc="DC30B776">
      <w:start w:val="1"/>
      <w:numFmt w:val="decimalZero"/>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15" w15:restartNumberingAfterBreak="0">
    <w:nsid w:val="6AC83811"/>
    <w:multiLevelType w:val="hybridMultilevel"/>
    <w:tmpl w:val="3EE095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79D4147B"/>
    <w:multiLevelType w:val="hybridMultilevel"/>
    <w:tmpl w:val="B6825180"/>
    <w:lvl w:ilvl="0" w:tplc="040E0001">
      <w:start w:val="1"/>
      <w:numFmt w:val="bullet"/>
      <w:lvlText w:val=""/>
      <w:lvlJc w:val="left"/>
      <w:pPr>
        <w:ind w:left="1065" w:hanging="360"/>
      </w:pPr>
      <w:rPr>
        <w:rFonts w:ascii="Symbol" w:hAnsi="Symbol"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17" w15:restartNumberingAfterBreak="0">
    <w:nsid w:val="7B7B67B9"/>
    <w:multiLevelType w:val="hybridMultilevel"/>
    <w:tmpl w:val="E62CA1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7D1614E3"/>
    <w:multiLevelType w:val="hybridMultilevel"/>
    <w:tmpl w:val="AA96DB0A"/>
    <w:lvl w:ilvl="0" w:tplc="57D6063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7DD9529C"/>
    <w:multiLevelType w:val="hybridMultilevel"/>
    <w:tmpl w:val="77CA09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7FF073E8"/>
    <w:multiLevelType w:val="hybridMultilevel"/>
    <w:tmpl w:val="449A22E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252350370">
    <w:abstractNumId w:val="7"/>
  </w:num>
  <w:num w:numId="2" w16cid:durableId="1493257416">
    <w:abstractNumId w:val="1"/>
  </w:num>
  <w:num w:numId="3" w16cid:durableId="1943226406">
    <w:abstractNumId w:val="12"/>
  </w:num>
  <w:num w:numId="4" w16cid:durableId="1751000333">
    <w:abstractNumId w:val="3"/>
  </w:num>
  <w:num w:numId="5" w16cid:durableId="255676966">
    <w:abstractNumId w:val="11"/>
  </w:num>
  <w:num w:numId="6" w16cid:durableId="1453329009">
    <w:abstractNumId w:val="18"/>
  </w:num>
  <w:num w:numId="7" w16cid:durableId="331032220">
    <w:abstractNumId w:val="19"/>
  </w:num>
  <w:num w:numId="8" w16cid:durableId="1158770285">
    <w:abstractNumId w:val="15"/>
  </w:num>
  <w:num w:numId="9" w16cid:durableId="86317389">
    <w:abstractNumId w:val="8"/>
  </w:num>
  <w:num w:numId="10" w16cid:durableId="1587766691">
    <w:abstractNumId w:val="6"/>
  </w:num>
  <w:num w:numId="11" w16cid:durableId="1850556848">
    <w:abstractNumId w:val="9"/>
  </w:num>
  <w:num w:numId="12" w16cid:durableId="2142838856">
    <w:abstractNumId w:val="10"/>
  </w:num>
  <w:num w:numId="13" w16cid:durableId="394401369">
    <w:abstractNumId w:val="0"/>
  </w:num>
  <w:num w:numId="14" w16cid:durableId="1709639826">
    <w:abstractNumId w:val="14"/>
  </w:num>
  <w:num w:numId="15" w16cid:durableId="662466134">
    <w:abstractNumId w:val="5"/>
  </w:num>
  <w:num w:numId="16" w16cid:durableId="1640039223">
    <w:abstractNumId w:val="16"/>
  </w:num>
  <w:num w:numId="17" w16cid:durableId="2142070902">
    <w:abstractNumId w:val="17"/>
  </w:num>
  <w:num w:numId="18" w16cid:durableId="1944917089">
    <w:abstractNumId w:val="20"/>
  </w:num>
  <w:num w:numId="19" w16cid:durableId="1744063220">
    <w:abstractNumId w:val="2"/>
  </w:num>
  <w:num w:numId="20" w16cid:durableId="506796690">
    <w:abstractNumId w:val="13"/>
  </w:num>
  <w:num w:numId="21" w16cid:durableId="20609780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397"/>
    <w:rsid w:val="00007E7F"/>
    <w:rsid w:val="00014BC0"/>
    <w:rsid w:val="00035780"/>
    <w:rsid w:val="00047A5B"/>
    <w:rsid w:val="00053232"/>
    <w:rsid w:val="00053B55"/>
    <w:rsid w:val="00055C8B"/>
    <w:rsid w:val="000639B9"/>
    <w:rsid w:val="00077FA5"/>
    <w:rsid w:val="0008059C"/>
    <w:rsid w:val="00082522"/>
    <w:rsid w:val="0008327D"/>
    <w:rsid w:val="0008528B"/>
    <w:rsid w:val="00092375"/>
    <w:rsid w:val="000A2A05"/>
    <w:rsid w:val="000A3866"/>
    <w:rsid w:val="000A58E6"/>
    <w:rsid w:val="000A5B34"/>
    <w:rsid w:val="000B2953"/>
    <w:rsid w:val="000B61A0"/>
    <w:rsid w:val="000C49A6"/>
    <w:rsid w:val="000C5B67"/>
    <w:rsid w:val="000E07BC"/>
    <w:rsid w:val="000E0A2F"/>
    <w:rsid w:val="000E3E69"/>
    <w:rsid w:val="000E429A"/>
    <w:rsid w:val="000E4ED6"/>
    <w:rsid w:val="000F2F18"/>
    <w:rsid w:val="000F30A6"/>
    <w:rsid w:val="000F4589"/>
    <w:rsid w:val="000F53B8"/>
    <w:rsid w:val="001107F9"/>
    <w:rsid w:val="0011204B"/>
    <w:rsid w:val="001131C0"/>
    <w:rsid w:val="00113EEC"/>
    <w:rsid w:val="00115EBB"/>
    <w:rsid w:val="001233BC"/>
    <w:rsid w:val="001246C8"/>
    <w:rsid w:val="00127AD1"/>
    <w:rsid w:val="0013157C"/>
    <w:rsid w:val="00133107"/>
    <w:rsid w:val="0014367E"/>
    <w:rsid w:val="00145FDC"/>
    <w:rsid w:val="00150E5A"/>
    <w:rsid w:val="00152262"/>
    <w:rsid w:val="00153062"/>
    <w:rsid w:val="00154B0A"/>
    <w:rsid w:val="00155DC3"/>
    <w:rsid w:val="001577E2"/>
    <w:rsid w:val="00157818"/>
    <w:rsid w:val="00161285"/>
    <w:rsid w:val="0017399B"/>
    <w:rsid w:val="00181BF7"/>
    <w:rsid w:val="001821CB"/>
    <w:rsid w:val="00191672"/>
    <w:rsid w:val="001977EA"/>
    <w:rsid w:val="001978CA"/>
    <w:rsid w:val="001B1B20"/>
    <w:rsid w:val="001B23E8"/>
    <w:rsid w:val="001C2B05"/>
    <w:rsid w:val="001C355C"/>
    <w:rsid w:val="001C3639"/>
    <w:rsid w:val="001C546C"/>
    <w:rsid w:val="001C64F4"/>
    <w:rsid w:val="001D2471"/>
    <w:rsid w:val="001D7BA1"/>
    <w:rsid w:val="001E2134"/>
    <w:rsid w:val="001E32BE"/>
    <w:rsid w:val="001E7BC4"/>
    <w:rsid w:val="001F1658"/>
    <w:rsid w:val="001F2253"/>
    <w:rsid w:val="00206643"/>
    <w:rsid w:val="00207F5F"/>
    <w:rsid w:val="0021197B"/>
    <w:rsid w:val="0021550D"/>
    <w:rsid w:val="002215A0"/>
    <w:rsid w:val="00226EA7"/>
    <w:rsid w:val="002301EA"/>
    <w:rsid w:val="00240B5B"/>
    <w:rsid w:val="00256935"/>
    <w:rsid w:val="0025760E"/>
    <w:rsid w:val="002609B8"/>
    <w:rsid w:val="0026405A"/>
    <w:rsid w:val="00265957"/>
    <w:rsid w:val="0027222E"/>
    <w:rsid w:val="00272E4E"/>
    <w:rsid w:val="00276B9C"/>
    <w:rsid w:val="00280BC1"/>
    <w:rsid w:val="00281870"/>
    <w:rsid w:val="00281CD2"/>
    <w:rsid w:val="00283028"/>
    <w:rsid w:val="00286EC7"/>
    <w:rsid w:val="00296129"/>
    <w:rsid w:val="00297BE9"/>
    <w:rsid w:val="002A521D"/>
    <w:rsid w:val="002B0410"/>
    <w:rsid w:val="002B05A5"/>
    <w:rsid w:val="002B0BB3"/>
    <w:rsid w:val="002B2261"/>
    <w:rsid w:val="002B4972"/>
    <w:rsid w:val="002B56C0"/>
    <w:rsid w:val="002B596D"/>
    <w:rsid w:val="002C35B3"/>
    <w:rsid w:val="002E4870"/>
    <w:rsid w:val="002E5A85"/>
    <w:rsid w:val="002F0448"/>
    <w:rsid w:val="002F447F"/>
    <w:rsid w:val="002F4582"/>
    <w:rsid w:val="002F461D"/>
    <w:rsid w:val="003001F8"/>
    <w:rsid w:val="003106B1"/>
    <w:rsid w:val="00315DC6"/>
    <w:rsid w:val="00336011"/>
    <w:rsid w:val="00340DAC"/>
    <w:rsid w:val="00342876"/>
    <w:rsid w:val="00342ACD"/>
    <w:rsid w:val="00347EC9"/>
    <w:rsid w:val="0035138F"/>
    <w:rsid w:val="00351BE2"/>
    <w:rsid w:val="00353E11"/>
    <w:rsid w:val="003548E6"/>
    <w:rsid w:val="00354E65"/>
    <w:rsid w:val="00362A88"/>
    <w:rsid w:val="003674F8"/>
    <w:rsid w:val="00377249"/>
    <w:rsid w:val="00377F18"/>
    <w:rsid w:val="00381A40"/>
    <w:rsid w:val="00396475"/>
    <w:rsid w:val="003A28A6"/>
    <w:rsid w:val="003A3305"/>
    <w:rsid w:val="003A3EEC"/>
    <w:rsid w:val="003B2DF5"/>
    <w:rsid w:val="003D38E2"/>
    <w:rsid w:val="003D5A27"/>
    <w:rsid w:val="004041A1"/>
    <w:rsid w:val="00406CF5"/>
    <w:rsid w:val="00412500"/>
    <w:rsid w:val="00417FBA"/>
    <w:rsid w:val="00424302"/>
    <w:rsid w:val="00424F37"/>
    <w:rsid w:val="00426308"/>
    <w:rsid w:val="00431384"/>
    <w:rsid w:val="0043362D"/>
    <w:rsid w:val="00444701"/>
    <w:rsid w:val="00444FF5"/>
    <w:rsid w:val="00452617"/>
    <w:rsid w:val="00453DEB"/>
    <w:rsid w:val="00460D38"/>
    <w:rsid w:val="00461AEB"/>
    <w:rsid w:val="00463BA9"/>
    <w:rsid w:val="004659B3"/>
    <w:rsid w:val="00470067"/>
    <w:rsid w:val="004708B1"/>
    <w:rsid w:val="00480C95"/>
    <w:rsid w:val="00480D6F"/>
    <w:rsid w:val="00482A64"/>
    <w:rsid w:val="00492B5D"/>
    <w:rsid w:val="00496057"/>
    <w:rsid w:val="004A042E"/>
    <w:rsid w:val="004A1536"/>
    <w:rsid w:val="004A6F5B"/>
    <w:rsid w:val="004B0FAE"/>
    <w:rsid w:val="004B3E33"/>
    <w:rsid w:val="004B79FE"/>
    <w:rsid w:val="004C670E"/>
    <w:rsid w:val="004D1E53"/>
    <w:rsid w:val="004D3B99"/>
    <w:rsid w:val="004D4161"/>
    <w:rsid w:val="004D58BD"/>
    <w:rsid w:val="004E11E2"/>
    <w:rsid w:val="004E3B44"/>
    <w:rsid w:val="004E7D98"/>
    <w:rsid w:val="004F1BB6"/>
    <w:rsid w:val="00501E29"/>
    <w:rsid w:val="005046D0"/>
    <w:rsid w:val="005052A5"/>
    <w:rsid w:val="005072B5"/>
    <w:rsid w:val="00507971"/>
    <w:rsid w:val="0051434C"/>
    <w:rsid w:val="0051523A"/>
    <w:rsid w:val="00516098"/>
    <w:rsid w:val="005162E5"/>
    <w:rsid w:val="0051692F"/>
    <w:rsid w:val="005173F4"/>
    <w:rsid w:val="005205E4"/>
    <w:rsid w:val="00523696"/>
    <w:rsid w:val="0052496A"/>
    <w:rsid w:val="005300BD"/>
    <w:rsid w:val="005319D4"/>
    <w:rsid w:val="00532577"/>
    <w:rsid w:val="00532D0F"/>
    <w:rsid w:val="00533821"/>
    <w:rsid w:val="0053634E"/>
    <w:rsid w:val="0053783B"/>
    <w:rsid w:val="00566687"/>
    <w:rsid w:val="00574730"/>
    <w:rsid w:val="00577554"/>
    <w:rsid w:val="005847FC"/>
    <w:rsid w:val="00592CCF"/>
    <w:rsid w:val="00594B81"/>
    <w:rsid w:val="0059641A"/>
    <w:rsid w:val="005A463A"/>
    <w:rsid w:val="005A5426"/>
    <w:rsid w:val="005B7685"/>
    <w:rsid w:val="005C3C36"/>
    <w:rsid w:val="005D23B8"/>
    <w:rsid w:val="005D48BA"/>
    <w:rsid w:val="005D756D"/>
    <w:rsid w:val="005E13F0"/>
    <w:rsid w:val="005E3343"/>
    <w:rsid w:val="005E66BF"/>
    <w:rsid w:val="005F354B"/>
    <w:rsid w:val="00613554"/>
    <w:rsid w:val="00613A50"/>
    <w:rsid w:val="006143AA"/>
    <w:rsid w:val="006241E6"/>
    <w:rsid w:val="00627D9B"/>
    <w:rsid w:val="00631263"/>
    <w:rsid w:val="00635FC2"/>
    <w:rsid w:val="00647EAC"/>
    <w:rsid w:val="00651618"/>
    <w:rsid w:val="0065245F"/>
    <w:rsid w:val="006673E8"/>
    <w:rsid w:val="00670CEC"/>
    <w:rsid w:val="00675405"/>
    <w:rsid w:val="00675F65"/>
    <w:rsid w:val="006760DA"/>
    <w:rsid w:val="00677F45"/>
    <w:rsid w:val="006832DE"/>
    <w:rsid w:val="00683FAD"/>
    <w:rsid w:val="006937EC"/>
    <w:rsid w:val="006971F7"/>
    <w:rsid w:val="00697D10"/>
    <w:rsid w:val="006A6815"/>
    <w:rsid w:val="006A6A5C"/>
    <w:rsid w:val="006B1AF9"/>
    <w:rsid w:val="006B567E"/>
    <w:rsid w:val="006C06C0"/>
    <w:rsid w:val="006C3F42"/>
    <w:rsid w:val="006D186F"/>
    <w:rsid w:val="006D47DF"/>
    <w:rsid w:val="006D4C10"/>
    <w:rsid w:val="006D6CB6"/>
    <w:rsid w:val="006E0E83"/>
    <w:rsid w:val="006F0276"/>
    <w:rsid w:val="006F63C0"/>
    <w:rsid w:val="006F7FC4"/>
    <w:rsid w:val="00710DBC"/>
    <w:rsid w:val="00711A99"/>
    <w:rsid w:val="00712BC6"/>
    <w:rsid w:val="00713D49"/>
    <w:rsid w:val="00727347"/>
    <w:rsid w:val="007302C7"/>
    <w:rsid w:val="00734095"/>
    <w:rsid w:val="0073442B"/>
    <w:rsid w:val="00745420"/>
    <w:rsid w:val="0075134E"/>
    <w:rsid w:val="00751BFB"/>
    <w:rsid w:val="007526DB"/>
    <w:rsid w:val="00757FE0"/>
    <w:rsid w:val="00761BEB"/>
    <w:rsid w:val="0076415F"/>
    <w:rsid w:val="00764863"/>
    <w:rsid w:val="00764E0B"/>
    <w:rsid w:val="00764E8D"/>
    <w:rsid w:val="00766946"/>
    <w:rsid w:val="00773298"/>
    <w:rsid w:val="0077565A"/>
    <w:rsid w:val="0078175C"/>
    <w:rsid w:val="00781EA6"/>
    <w:rsid w:val="007878FD"/>
    <w:rsid w:val="007900D3"/>
    <w:rsid w:val="00790B22"/>
    <w:rsid w:val="0079167D"/>
    <w:rsid w:val="007A3A5B"/>
    <w:rsid w:val="007A590D"/>
    <w:rsid w:val="007A6F50"/>
    <w:rsid w:val="007B1CEF"/>
    <w:rsid w:val="007B4C12"/>
    <w:rsid w:val="007C2E6D"/>
    <w:rsid w:val="007C7630"/>
    <w:rsid w:val="007D052D"/>
    <w:rsid w:val="007D1739"/>
    <w:rsid w:val="007D585A"/>
    <w:rsid w:val="007E22F8"/>
    <w:rsid w:val="007E2587"/>
    <w:rsid w:val="007F11B9"/>
    <w:rsid w:val="007F1208"/>
    <w:rsid w:val="007F1D61"/>
    <w:rsid w:val="007F39EA"/>
    <w:rsid w:val="007F7538"/>
    <w:rsid w:val="00801EE6"/>
    <w:rsid w:val="008079EB"/>
    <w:rsid w:val="00816C1A"/>
    <w:rsid w:val="008179AE"/>
    <w:rsid w:val="00835908"/>
    <w:rsid w:val="00835A90"/>
    <w:rsid w:val="0083673A"/>
    <w:rsid w:val="00840C0D"/>
    <w:rsid w:val="00840F9A"/>
    <w:rsid w:val="00842234"/>
    <w:rsid w:val="00842C46"/>
    <w:rsid w:val="00850921"/>
    <w:rsid w:val="0085285E"/>
    <w:rsid w:val="008549CE"/>
    <w:rsid w:val="00855318"/>
    <w:rsid w:val="00855A9A"/>
    <w:rsid w:val="00855EA8"/>
    <w:rsid w:val="00860ECA"/>
    <w:rsid w:val="008629FF"/>
    <w:rsid w:val="00863E76"/>
    <w:rsid w:val="0086458B"/>
    <w:rsid w:val="00866286"/>
    <w:rsid w:val="0087047E"/>
    <w:rsid w:val="008739A8"/>
    <w:rsid w:val="00876708"/>
    <w:rsid w:val="00876BB0"/>
    <w:rsid w:val="00883445"/>
    <w:rsid w:val="00885596"/>
    <w:rsid w:val="00886E6B"/>
    <w:rsid w:val="00891C33"/>
    <w:rsid w:val="0089485F"/>
    <w:rsid w:val="008951DA"/>
    <w:rsid w:val="008A347E"/>
    <w:rsid w:val="008B044A"/>
    <w:rsid w:val="008B7FC9"/>
    <w:rsid w:val="008C7E2C"/>
    <w:rsid w:val="008D5EE8"/>
    <w:rsid w:val="008E5BBF"/>
    <w:rsid w:val="008F0614"/>
    <w:rsid w:val="008F55E8"/>
    <w:rsid w:val="008F6591"/>
    <w:rsid w:val="00900BA7"/>
    <w:rsid w:val="00901F76"/>
    <w:rsid w:val="00912D5B"/>
    <w:rsid w:val="009143B5"/>
    <w:rsid w:val="00950925"/>
    <w:rsid w:val="009517AF"/>
    <w:rsid w:val="00954E8D"/>
    <w:rsid w:val="0096617C"/>
    <w:rsid w:val="009665F7"/>
    <w:rsid w:val="00973199"/>
    <w:rsid w:val="0098231F"/>
    <w:rsid w:val="0099169A"/>
    <w:rsid w:val="009A1418"/>
    <w:rsid w:val="009A1AB3"/>
    <w:rsid w:val="009A7965"/>
    <w:rsid w:val="009B4E49"/>
    <w:rsid w:val="009C2834"/>
    <w:rsid w:val="009C287B"/>
    <w:rsid w:val="009C31E8"/>
    <w:rsid w:val="009C69D4"/>
    <w:rsid w:val="009E7A17"/>
    <w:rsid w:val="009F02C2"/>
    <w:rsid w:val="009F2841"/>
    <w:rsid w:val="009F3732"/>
    <w:rsid w:val="009F573B"/>
    <w:rsid w:val="00A12638"/>
    <w:rsid w:val="00A15CF6"/>
    <w:rsid w:val="00A169B2"/>
    <w:rsid w:val="00A25D98"/>
    <w:rsid w:val="00A318A8"/>
    <w:rsid w:val="00A32A18"/>
    <w:rsid w:val="00A3493B"/>
    <w:rsid w:val="00A34D54"/>
    <w:rsid w:val="00A35340"/>
    <w:rsid w:val="00A36F8F"/>
    <w:rsid w:val="00A37877"/>
    <w:rsid w:val="00A53765"/>
    <w:rsid w:val="00A54C79"/>
    <w:rsid w:val="00A62214"/>
    <w:rsid w:val="00A70980"/>
    <w:rsid w:val="00A775D4"/>
    <w:rsid w:val="00A84E88"/>
    <w:rsid w:val="00A93756"/>
    <w:rsid w:val="00A938EB"/>
    <w:rsid w:val="00A957C6"/>
    <w:rsid w:val="00AB4766"/>
    <w:rsid w:val="00AC58C5"/>
    <w:rsid w:val="00AC70D9"/>
    <w:rsid w:val="00AD2003"/>
    <w:rsid w:val="00AD26B0"/>
    <w:rsid w:val="00AE1137"/>
    <w:rsid w:val="00AE33BE"/>
    <w:rsid w:val="00AF1587"/>
    <w:rsid w:val="00AF3571"/>
    <w:rsid w:val="00AF4308"/>
    <w:rsid w:val="00AF7F95"/>
    <w:rsid w:val="00B0218D"/>
    <w:rsid w:val="00B0226F"/>
    <w:rsid w:val="00B0453D"/>
    <w:rsid w:val="00B05F93"/>
    <w:rsid w:val="00B06947"/>
    <w:rsid w:val="00B108A4"/>
    <w:rsid w:val="00B17146"/>
    <w:rsid w:val="00B228C2"/>
    <w:rsid w:val="00B3260C"/>
    <w:rsid w:val="00B33B68"/>
    <w:rsid w:val="00B36908"/>
    <w:rsid w:val="00B3703F"/>
    <w:rsid w:val="00B43E6C"/>
    <w:rsid w:val="00B478F4"/>
    <w:rsid w:val="00B540CF"/>
    <w:rsid w:val="00B579A7"/>
    <w:rsid w:val="00B608CC"/>
    <w:rsid w:val="00B62FF1"/>
    <w:rsid w:val="00B63083"/>
    <w:rsid w:val="00B6689F"/>
    <w:rsid w:val="00B66ABB"/>
    <w:rsid w:val="00B71388"/>
    <w:rsid w:val="00B749C7"/>
    <w:rsid w:val="00B86F38"/>
    <w:rsid w:val="00B87898"/>
    <w:rsid w:val="00B94C71"/>
    <w:rsid w:val="00BA3450"/>
    <w:rsid w:val="00BA735E"/>
    <w:rsid w:val="00BB0AFC"/>
    <w:rsid w:val="00BB4CF7"/>
    <w:rsid w:val="00BB6733"/>
    <w:rsid w:val="00BC14B2"/>
    <w:rsid w:val="00BC3786"/>
    <w:rsid w:val="00BC6FBD"/>
    <w:rsid w:val="00BD1B40"/>
    <w:rsid w:val="00BD1D8E"/>
    <w:rsid w:val="00BE2F86"/>
    <w:rsid w:val="00BE3E82"/>
    <w:rsid w:val="00BE73A3"/>
    <w:rsid w:val="00BF15F1"/>
    <w:rsid w:val="00C15B3E"/>
    <w:rsid w:val="00C340C9"/>
    <w:rsid w:val="00C37452"/>
    <w:rsid w:val="00C45861"/>
    <w:rsid w:val="00C53A73"/>
    <w:rsid w:val="00C61E77"/>
    <w:rsid w:val="00C73318"/>
    <w:rsid w:val="00C73717"/>
    <w:rsid w:val="00C85ABA"/>
    <w:rsid w:val="00C87689"/>
    <w:rsid w:val="00CA0C4B"/>
    <w:rsid w:val="00CA361D"/>
    <w:rsid w:val="00CB2105"/>
    <w:rsid w:val="00CB7875"/>
    <w:rsid w:val="00CD4C44"/>
    <w:rsid w:val="00CE67C9"/>
    <w:rsid w:val="00CF2BFA"/>
    <w:rsid w:val="00CF5F3C"/>
    <w:rsid w:val="00CF7F92"/>
    <w:rsid w:val="00D0268D"/>
    <w:rsid w:val="00D02F0F"/>
    <w:rsid w:val="00D12B45"/>
    <w:rsid w:val="00D17088"/>
    <w:rsid w:val="00D2407E"/>
    <w:rsid w:val="00D274D9"/>
    <w:rsid w:val="00D32BBD"/>
    <w:rsid w:val="00D336F7"/>
    <w:rsid w:val="00D454D3"/>
    <w:rsid w:val="00D5236B"/>
    <w:rsid w:val="00D53D9A"/>
    <w:rsid w:val="00D61174"/>
    <w:rsid w:val="00D65475"/>
    <w:rsid w:val="00D67AD9"/>
    <w:rsid w:val="00D7153C"/>
    <w:rsid w:val="00D71A4A"/>
    <w:rsid w:val="00D75D52"/>
    <w:rsid w:val="00D777AB"/>
    <w:rsid w:val="00D84B7E"/>
    <w:rsid w:val="00D86B69"/>
    <w:rsid w:val="00D9760A"/>
    <w:rsid w:val="00DA31C1"/>
    <w:rsid w:val="00DC1AD2"/>
    <w:rsid w:val="00DC3799"/>
    <w:rsid w:val="00DC381F"/>
    <w:rsid w:val="00DE31F0"/>
    <w:rsid w:val="00DE5F53"/>
    <w:rsid w:val="00DF15AB"/>
    <w:rsid w:val="00DF4F4D"/>
    <w:rsid w:val="00E12397"/>
    <w:rsid w:val="00E14EC2"/>
    <w:rsid w:val="00E204C4"/>
    <w:rsid w:val="00E22341"/>
    <w:rsid w:val="00E22ABD"/>
    <w:rsid w:val="00E30E97"/>
    <w:rsid w:val="00E31A1C"/>
    <w:rsid w:val="00E4732F"/>
    <w:rsid w:val="00E52FC0"/>
    <w:rsid w:val="00E53BFD"/>
    <w:rsid w:val="00E63530"/>
    <w:rsid w:val="00E6669B"/>
    <w:rsid w:val="00E76462"/>
    <w:rsid w:val="00E81E63"/>
    <w:rsid w:val="00E84462"/>
    <w:rsid w:val="00E91461"/>
    <w:rsid w:val="00E92280"/>
    <w:rsid w:val="00E92773"/>
    <w:rsid w:val="00E93C44"/>
    <w:rsid w:val="00E944FF"/>
    <w:rsid w:val="00EB27D8"/>
    <w:rsid w:val="00EB2C4E"/>
    <w:rsid w:val="00EC7479"/>
    <w:rsid w:val="00EC7C2C"/>
    <w:rsid w:val="00EC7F87"/>
    <w:rsid w:val="00EE02F4"/>
    <w:rsid w:val="00EE2958"/>
    <w:rsid w:val="00EE29EF"/>
    <w:rsid w:val="00EE3236"/>
    <w:rsid w:val="00EE6E4D"/>
    <w:rsid w:val="00EF489A"/>
    <w:rsid w:val="00EF6BA8"/>
    <w:rsid w:val="00F0219C"/>
    <w:rsid w:val="00F064CC"/>
    <w:rsid w:val="00F06DCE"/>
    <w:rsid w:val="00F07729"/>
    <w:rsid w:val="00F24A5B"/>
    <w:rsid w:val="00F305E2"/>
    <w:rsid w:val="00F34FBB"/>
    <w:rsid w:val="00F354AB"/>
    <w:rsid w:val="00F4191B"/>
    <w:rsid w:val="00F44F1B"/>
    <w:rsid w:val="00F45D8B"/>
    <w:rsid w:val="00F515AB"/>
    <w:rsid w:val="00F53B64"/>
    <w:rsid w:val="00F57794"/>
    <w:rsid w:val="00F60330"/>
    <w:rsid w:val="00F60EB9"/>
    <w:rsid w:val="00F65B2D"/>
    <w:rsid w:val="00F70788"/>
    <w:rsid w:val="00F70A24"/>
    <w:rsid w:val="00F8297A"/>
    <w:rsid w:val="00F85EF1"/>
    <w:rsid w:val="00F94FC1"/>
    <w:rsid w:val="00F9684F"/>
    <w:rsid w:val="00FA4E51"/>
    <w:rsid w:val="00FA5A66"/>
    <w:rsid w:val="00FA67D4"/>
    <w:rsid w:val="00FB01C6"/>
    <w:rsid w:val="00FB687B"/>
    <w:rsid w:val="00FD1042"/>
    <w:rsid w:val="00FD1806"/>
    <w:rsid w:val="00FD6834"/>
    <w:rsid w:val="00FE2911"/>
    <w:rsid w:val="00FE3698"/>
    <w:rsid w:val="00FE64D5"/>
    <w:rsid w:val="00FF1450"/>
    <w:rsid w:val="00FF1834"/>
    <w:rsid w:val="00FF5505"/>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E7C0520"/>
  <w15:chartTrackingRefBased/>
  <w15:docId w15:val="{14983F2D-16C3-412C-A3DE-A8253FB5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674F8"/>
    <w:pPr>
      <w:jc w:val="both"/>
    </w:pPr>
    <w:rPr>
      <w:sz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Char1CharCharCharCharCharCharCharCharCharCharCharCharChar">
    <w:name w:val="Char Char1 Char Char Char Char Char Char Char Char Char Char Char Char Char"/>
    <w:basedOn w:val="Norml"/>
    <w:rsid w:val="003674F8"/>
    <w:pPr>
      <w:spacing w:after="160" w:line="240" w:lineRule="exact"/>
      <w:jc w:val="left"/>
    </w:pPr>
    <w:rPr>
      <w:rFonts w:ascii="Verdana" w:hAnsi="Verdana"/>
      <w:sz w:val="20"/>
      <w:lang w:val="en-US" w:eastAsia="en-US"/>
    </w:rPr>
  </w:style>
  <w:style w:type="paragraph" w:styleId="Buborkszveg">
    <w:name w:val="Balloon Text"/>
    <w:basedOn w:val="Norml"/>
    <w:semiHidden/>
    <w:rsid w:val="003674F8"/>
    <w:rPr>
      <w:rFonts w:ascii="Tahoma" w:hAnsi="Tahoma" w:cs="Tahoma"/>
      <w:sz w:val="16"/>
      <w:szCs w:val="16"/>
    </w:rPr>
  </w:style>
  <w:style w:type="character" w:styleId="Jegyzethivatkozs">
    <w:name w:val="annotation reference"/>
    <w:uiPriority w:val="99"/>
    <w:semiHidden/>
    <w:rsid w:val="003674F8"/>
    <w:rPr>
      <w:sz w:val="16"/>
      <w:szCs w:val="16"/>
    </w:rPr>
  </w:style>
  <w:style w:type="paragraph" w:styleId="Jegyzetszveg">
    <w:name w:val="annotation text"/>
    <w:basedOn w:val="Norml"/>
    <w:link w:val="JegyzetszvegChar"/>
    <w:rsid w:val="003674F8"/>
    <w:rPr>
      <w:sz w:val="20"/>
    </w:rPr>
  </w:style>
  <w:style w:type="paragraph" w:styleId="Megjegyzstrgya">
    <w:name w:val="annotation subject"/>
    <w:basedOn w:val="Jegyzetszveg"/>
    <w:next w:val="Jegyzetszveg"/>
    <w:semiHidden/>
    <w:rsid w:val="003674F8"/>
    <w:rPr>
      <w:b/>
      <w:bCs/>
    </w:rPr>
  </w:style>
  <w:style w:type="paragraph" w:styleId="lfej">
    <w:name w:val="header"/>
    <w:basedOn w:val="Norml"/>
    <w:rsid w:val="003674F8"/>
    <w:pPr>
      <w:tabs>
        <w:tab w:val="center" w:pos="4536"/>
        <w:tab w:val="right" w:pos="9072"/>
      </w:tabs>
    </w:pPr>
  </w:style>
  <w:style w:type="paragraph" w:styleId="llb">
    <w:name w:val="footer"/>
    <w:basedOn w:val="Norml"/>
    <w:rsid w:val="003674F8"/>
    <w:pPr>
      <w:tabs>
        <w:tab w:val="center" w:pos="4536"/>
        <w:tab w:val="right" w:pos="9072"/>
      </w:tabs>
    </w:pPr>
  </w:style>
  <w:style w:type="paragraph" w:styleId="Cm">
    <w:name w:val="Title"/>
    <w:basedOn w:val="Norml"/>
    <w:qFormat/>
    <w:rsid w:val="003674F8"/>
    <w:pPr>
      <w:autoSpaceDE w:val="0"/>
      <w:autoSpaceDN w:val="0"/>
      <w:adjustRightInd w:val="0"/>
      <w:jc w:val="center"/>
    </w:pPr>
    <w:rPr>
      <w:rFonts w:ascii="Garamond" w:hAnsi="Garamond"/>
      <w:b/>
      <w:bCs/>
      <w:szCs w:val="26"/>
    </w:rPr>
  </w:style>
  <w:style w:type="paragraph" w:customStyle="1" w:styleId="Default">
    <w:name w:val="Default"/>
    <w:rsid w:val="00191672"/>
    <w:pPr>
      <w:autoSpaceDE w:val="0"/>
      <w:autoSpaceDN w:val="0"/>
      <w:adjustRightInd w:val="0"/>
    </w:pPr>
    <w:rPr>
      <w:rFonts w:ascii="CJEJNL+HHelvetica" w:eastAsia="Calibri" w:hAnsi="CJEJNL+HHelvetica" w:cs="CJEJNL+HHelvetica"/>
      <w:color w:val="000000"/>
      <w:sz w:val="24"/>
      <w:szCs w:val="24"/>
    </w:rPr>
  </w:style>
  <w:style w:type="paragraph" w:styleId="Vltozat">
    <w:name w:val="Revision"/>
    <w:hidden/>
    <w:uiPriority w:val="99"/>
    <w:semiHidden/>
    <w:rsid w:val="0011204B"/>
    <w:rPr>
      <w:sz w:val="26"/>
    </w:rPr>
  </w:style>
  <w:style w:type="paragraph" w:styleId="Listaszerbekezds">
    <w:name w:val="List Paragraph"/>
    <w:basedOn w:val="Norml"/>
    <w:uiPriority w:val="34"/>
    <w:qFormat/>
    <w:rsid w:val="00B66ABB"/>
    <w:pPr>
      <w:ind w:left="720"/>
      <w:contextualSpacing/>
    </w:pPr>
  </w:style>
  <w:style w:type="character" w:customStyle="1" w:styleId="JegyzetszvegChar">
    <w:name w:val="Jegyzetszöveg Char"/>
    <w:link w:val="Jegyzetszveg"/>
    <w:rsid w:val="00F077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798751">
      <w:bodyDiv w:val="1"/>
      <w:marLeft w:val="0"/>
      <w:marRight w:val="0"/>
      <w:marTop w:val="0"/>
      <w:marBottom w:val="0"/>
      <w:divBdr>
        <w:top w:val="none" w:sz="0" w:space="0" w:color="auto"/>
        <w:left w:val="none" w:sz="0" w:space="0" w:color="auto"/>
        <w:bottom w:val="none" w:sz="0" w:space="0" w:color="auto"/>
        <w:right w:val="none" w:sz="0" w:space="0" w:color="auto"/>
      </w:divBdr>
    </w:div>
    <w:div w:id="187334582">
      <w:bodyDiv w:val="1"/>
      <w:marLeft w:val="0"/>
      <w:marRight w:val="0"/>
      <w:marTop w:val="0"/>
      <w:marBottom w:val="0"/>
      <w:divBdr>
        <w:top w:val="none" w:sz="0" w:space="0" w:color="auto"/>
        <w:left w:val="none" w:sz="0" w:space="0" w:color="auto"/>
        <w:bottom w:val="none" w:sz="0" w:space="0" w:color="auto"/>
        <w:right w:val="none" w:sz="0" w:space="0" w:color="auto"/>
      </w:divBdr>
    </w:div>
    <w:div w:id="1372992439">
      <w:bodyDiv w:val="1"/>
      <w:marLeft w:val="0"/>
      <w:marRight w:val="0"/>
      <w:marTop w:val="0"/>
      <w:marBottom w:val="0"/>
      <w:divBdr>
        <w:top w:val="none" w:sz="0" w:space="0" w:color="auto"/>
        <w:left w:val="none" w:sz="0" w:space="0" w:color="auto"/>
        <w:bottom w:val="none" w:sz="0" w:space="0" w:color="auto"/>
        <w:right w:val="none" w:sz="0" w:space="0" w:color="auto"/>
      </w:divBdr>
    </w:div>
    <w:div w:id="144384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89CEB-82E6-4D74-BF6F-F8AE1D719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525</Words>
  <Characters>2882</Characters>
  <Application>Microsoft Office Word</Application>
  <DocSecurity>0</DocSecurity>
  <Lines>24</Lines>
  <Paragraphs>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 Magyar Nemzeti Bank elnökének</vt:lpstr>
      <vt:lpstr>A Magyar Nemzeti Bank elnökének</vt:lpstr>
    </vt:vector>
  </TitlesOfParts>
  <Company>Magyar Nemzeti Bank</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Magyar Nemzeti Bank elnökének</dc:title>
  <dc:subject/>
  <dc:creator>adorjana</dc:creator>
  <cp:keywords/>
  <cp:lastModifiedBy>Juhász Katalin</cp:lastModifiedBy>
  <cp:revision>2</cp:revision>
  <cp:lastPrinted>2011-09-28T11:46:00Z</cp:lastPrinted>
  <dcterms:created xsi:type="dcterms:W3CDTF">2023-07-12T11:04:00Z</dcterms:created>
  <dcterms:modified xsi:type="dcterms:W3CDTF">2024-03-27T11:39:00Z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2027-08-15T14:41:49Z</vt:filetime>
  </property>
  <property fmtid="{D5CDD505-2E9C-101B-9397-08002B2CF9AE}" pid="3" name="Érvényességet beállító">
    <vt:lpwstr>juhaszk</vt:lpwstr>
  </property>
  <property fmtid="{D5CDD505-2E9C-101B-9397-08002B2CF9AE}" pid="4" name="Érvényességi idő első beállítása">
    <vt:filetime>2022-08-15T14:41:49Z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juhaszk@mnb.hu</vt:lpwstr>
  </property>
  <property fmtid="{D5CDD505-2E9C-101B-9397-08002B2CF9AE}" pid="8" name="MSIP_Label_b0d11092-50c9-4e74-84b5-b1af078dc3d0_SetDate">
    <vt:lpwstr>2022-08-15T14:58:35.8716831Z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90f25413-ddbf-4e15-b74a-8085ef022d72</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