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10F5" w14:textId="1E3FEF03" w:rsidR="00B63100" w:rsidRPr="00E51405" w:rsidRDefault="001F039D" w:rsidP="00A147EA">
      <w:pPr>
        <w:rPr>
          <w:rFonts w:ascii="Arial" w:hAnsi="Arial" w:cs="Arial"/>
          <w:b/>
          <w:sz w:val="20"/>
          <w:szCs w:val="20"/>
        </w:rPr>
      </w:pPr>
      <w:proofErr w:type="spellStart"/>
      <w:r w:rsidRPr="00E51405">
        <w:rPr>
          <w:rFonts w:ascii="Arial" w:hAnsi="Arial" w:cs="Arial"/>
          <w:sz w:val="20"/>
          <w:szCs w:val="20"/>
          <w:lang w:val="en"/>
        </w:rPr>
        <w:t>MNB</w:t>
      </w:r>
      <w:proofErr w:type="spellEnd"/>
      <w:r w:rsidRPr="00E51405">
        <w:rPr>
          <w:rFonts w:ascii="Arial" w:hAnsi="Arial" w:cs="Arial"/>
          <w:sz w:val="20"/>
          <w:szCs w:val="20"/>
          <w:lang w:val="en"/>
        </w:rPr>
        <w:t xml:space="preserve"> identification number:</w:t>
      </w:r>
      <w:r w:rsidRPr="00E51405">
        <w:rPr>
          <w:rFonts w:ascii="Arial" w:hAnsi="Arial" w:cs="Arial"/>
          <w:b/>
          <w:bCs/>
          <w:sz w:val="20"/>
          <w:szCs w:val="20"/>
          <w:lang w:val="en"/>
        </w:rPr>
        <w:t xml:space="preserve"> F02</w:t>
      </w:r>
    </w:p>
    <w:p w14:paraId="3F107F44" w14:textId="77777777" w:rsidR="00B63100" w:rsidRPr="00E51405" w:rsidRDefault="00B63100" w:rsidP="00A147EA">
      <w:pPr>
        <w:tabs>
          <w:tab w:val="left" w:pos="1908"/>
        </w:tabs>
        <w:rPr>
          <w:rFonts w:ascii="Arial" w:hAnsi="Arial" w:cs="Arial"/>
          <w:b/>
          <w:sz w:val="20"/>
          <w:szCs w:val="20"/>
        </w:rPr>
      </w:pPr>
    </w:p>
    <w:p w14:paraId="76EF1BB5" w14:textId="77777777" w:rsidR="00D13CB2" w:rsidRPr="00E51405" w:rsidRDefault="00D13CB2" w:rsidP="00A147EA">
      <w:pPr>
        <w:rPr>
          <w:rFonts w:ascii="Arial" w:hAnsi="Arial" w:cs="Arial"/>
          <w:sz w:val="20"/>
          <w:szCs w:val="20"/>
        </w:rPr>
      </w:pPr>
    </w:p>
    <w:p w14:paraId="4E06DDF2" w14:textId="77777777" w:rsidR="00A147EA" w:rsidRPr="00E51405" w:rsidRDefault="00473FD0" w:rsidP="00A147EA">
      <w:pPr>
        <w:jc w:val="center"/>
        <w:rPr>
          <w:rFonts w:ascii="Arial" w:hAnsi="Arial" w:cs="Arial"/>
          <w:b/>
          <w:sz w:val="20"/>
          <w:szCs w:val="20"/>
        </w:rPr>
      </w:pPr>
      <w:r w:rsidRPr="00E51405">
        <w:rPr>
          <w:rFonts w:ascii="Arial" w:hAnsi="Arial" w:cs="Arial"/>
          <w:b/>
          <w:bCs/>
          <w:sz w:val="20"/>
          <w:szCs w:val="20"/>
          <w:lang w:val="en"/>
        </w:rPr>
        <w:t>Completion instructions for the report</w:t>
      </w:r>
    </w:p>
    <w:p w14:paraId="787D7C08" w14:textId="77777777" w:rsidR="00B63100" w:rsidRPr="00E51405" w:rsidRDefault="00473FD0" w:rsidP="003D6131">
      <w:pPr>
        <w:jc w:val="center"/>
        <w:rPr>
          <w:rFonts w:ascii="Arial" w:hAnsi="Arial" w:cs="Arial"/>
          <w:b/>
          <w:sz w:val="20"/>
          <w:szCs w:val="20"/>
        </w:rPr>
      </w:pPr>
      <w:r w:rsidRPr="00E51405">
        <w:rPr>
          <w:rFonts w:ascii="Arial" w:hAnsi="Arial" w:cs="Arial"/>
          <w:b/>
          <w:bCs/>
          <w:sz w:val="20"/>
          <w:szCs w:val="20"/>
          <w:lang w:val="en"/>
        </w:rPr>
        <w:t>Statistical balance sheet of insurance companies</w:t>
      </w:r>
    </w:p>
    <w:p w14:paraId="010C2710" w14:textId="77777777" w:rsidR="00D13CB2" w:rsidRPr="00E51405" w:rsidRDefault="00D13CB2">
      <w:pPr>
        <w:rPr>
          <w:rFonts w:ascii="Arial" w:hAnsi="Arial" w:cs="Arial"/>
          <w:sz w:val="20"/>
          <w:szCs w:val="20"/>
        </w:rPr>
      </w:pPr>
    </w:p>
    <w:p w14:paraId="4A433082" w14:textId="77777777" w:rsidR="00BE42A2" w:rsidRPr="00E51405" w:rsidRDefault="00AF497C">
      <w:pPr>
        <w:rPr>
          <w:rFonts w:ascii="Arial" w:hAnsi="Arial" w:cs="Arial"/>
          <w:b/>
          <w:sz w:val="20"/>
          <w:szCs w:val="20"/>
        </w:rPr>
      </w:pPr>
      <w:r w:rsidRPr="00E51405">
        <w:rPr>
          <w:rFonts w:ascii="Arial" w:hAnsi="Arial" w:cs="Arial"/>
          <w:b/>
          <w:bCs/>
          <w:sz w:val="20"/>
          <w:szCs w:val="20"/>
          <w:lang w:val="en"/>
        </w:rPr>
        <w:t>Detailed instructions for the completion of the table</w:t>
      </w:r>
    </w:p>
    <w:p w14:paraId="0EA8BEB4" w14:textId="77777777" w:rsidR="00AF497C" w:rsidRPr="00E51405" w:rsidRDefault="00AF497C">
      <w:pPr>
        <w:rPr>
          <w:rFonts w:ascii="Arial" w:hAnsi="Arial" w:cs="Arial"/>
          <w:b/>
          <w:sz w:val="20"/>
          <w:szCs w:val="20"/>
        </w:rPr>
      </w:pPr>
    </w:p>
    <w:p w14:paraId="7AA8A54D" w14:textId="706D286F" w:rsidR="00B63100" w:rsidRPr="00C66270" w:rsidRDefault="00473FD0" w:rsidP="00756A07">
      <w:pPr>
        <w:tabs>
          <w:tab w:val="left" w:pos="1702"/>
          <w:tab w:val="left" w:pos="2127"/>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C66270">
        <w:rPr>
          <w:rFonts w:ascii="Arial" w:hAnsi="Arial" w:cs="Arial"/>
          <w:sz w:val="20"/>
          <w:szCs w:val="20"/>
          <w:lang w:val="en"/>
        </w:rPr>
        <w:t>1. The statistical balance sheet shall be drawn up quarterly, based on the final end-of-month ledger balance sheet – supported by analytical records if necessary –, however, end-of-month stocks shall be adjusted by items relating to the value date</w:t>
      </w:r>
      <w:r w:rsidRPr="00C66270">
        <w:rPr>
          <w:rFonts w:ascii="Arial" w:hAnsi="Arial" w:cs="Arial"/>
          <w:sz w:val="20"/>
          <w:szCs w:val="20"/>
          <w:vertAlign w:val="superscript"/>
          <w:lang w:val="en"/>
        </w:rPr>
        <w:t xml:space="preserve"> </w:t>
      </w:r>
      <w:r w:rsidRPr="00C66270">
        <w:rPr>
          <w:rFonts w:ascii="Arial" w:hAnsi="Arial" w:cs="Arial"/>
          <w:sz w:val="20"/>
          <w:szCs w:val="20"/>
          <w:lang w:val="en"/>
        </w:rPr>
        <w:t>for the last day of the month – which are known by the end of the third business day that follows the reference month during the year, or by the balance-sheet closing date at year end, and also with items carried forward.</w:t>
      </w:r>
    </w:p>
    <w:p w14:paraId="7D53CC0B" w14:textId="77777777" w:rsidR="00B63100" w:rsidRPr="00C66270" w:rsidRDefault="00B63100" w:rsidP="00F564D3">
      <w:pPr>
        <w:pStyle w:val="Lbjegyzetszveg"/>
        <w:rPr>
          <w:rFonts w:ascii="Arial" w:hAnsi="Arial" w:cs="Arial"/>
        </w:rPr>
      </w:pPr>
    </w:p>
    <w:p w14:paraId="647F8887" w14:textId="77777777" w:rsidR="00B356C8" w:rsidRPr="00C66270" w:rsidRDefault="00473FD0" w:rsidP="00006D9E">
      <w:pPr>
        <w:pStyle w:val="Szvegtrzs"/>
        <w:tabs>
          <w:tab w:val="left" w:pos="567"/>
          <w:tab w:val="left" w:pos="1702"/>
          <w:tab w:val="left" w:pos="2127"/>
        </w:tabs>
        <w:jc w:val="both"/>
        <w:rPr>
          <w:rFonts w:ascii="Arial" w:hAnsi="Arial" w:cs="Arial"/>
          <w:sz w:val="20"/>
          <w:szCs w:val="20"/>
        </w:rPr>
      </w:pPr>
      <w:r w:rsidRPr="00C66270">
        <w:rPr>
          <w:rFonts w:ascii="Arial" w:hAnsi="Arial" w:cs="Arial"/>
          <w:sz w:val="20"/>
          <w:szCs w:val="20"/>
          <w:lang w:val="en"/>
        </w:rPr>
        <w:t xml:space="preserve">2. As regards to the contents of data, its evaluation and other similar processes – unless otherwise provided – for IFRS appliers regulations set in the IFRS and Hungarian accounting regulations pertinent to IFRS appliers, for appliers of Hungarian regulations the Hungarian accounting regulations as effective from time to time shall apply, as amended. </w:t>
      </w:r>
    </w:p>
    <w:p w14:paraId="3023F73B" w14:textId="29CE3551" w:rsidR="000C7BA8" w:rsidRPr="00C66270" w:rsidRDefault="002A2237" w:rsidP="00006D9E">
      <w:pPr>
        <w:pStyle w:val="Szvegtrzs"/>
        <w:tabs>
          <w:tab w:val="left" w:pos="567"/>
          <w:tab w:val="left" w:pos="1702"/>
          <w:tab w:val="left" w:pos="2127"/>
        </w:tabs>
        <w:jc w:val="both"/>
        <w:rPr>
          <w:rFonts w:ascii="Arial" w:hAnsi="Arial" w:cs="Arial"/>
          <w:sz w:val="20"/>
          <w:szCs w:val="20"/>
          <w:lang w:val="en"/>
        </w:rPr>
      </w:pPr>
      <w:r w:rsidRPr="00C66270">
        <w:rPr>
          <w:rFonts w:ascii="Arial" w:hAnsi="Arial" w:cs="Arial"/>
          <w:sz w:val="20"/>
          <w:szCs w:val="20"/>
          <w:lang w:val="en"/>
        </w:rPr>
        <w:t>3. From the perspective of assets</w:t>
      </w:r>
      <w:r w:rsidR="0065470A" w:rsidRPr="00C66270">
        <w:rPr>
          <w:rFonts w:ascii="Arial" w:hAnsi="Arial" w:cs="Arial"/>
          <w:sz w:val="20"/>
          <w:szCs w:val="20"/>
          <w:lang w:val="en"/>
        </w:rPr>
        <w:t xml:space="preserve"> included</w:t>
      </w:r>
      <w:r w:rsidRPr="00C66270">
        <w:rPr>
          <w:rFonts w:ascii="Arial" w:hAnsi="Arial" w:cs="Arial"/>
          <w:sz w:val="20"/>
          <w:szCs w:val="20"/>
          <w:lang w:val="en"/>
        </w:rPr>
        <w:t>, the statistical balance sheet differs from the accounting balance sheet in that the assets and liabilities of foreign branch</w:t>
      </w:r>
      <w:r w:rsidR="000C7BA8" w:rsidRPr="00C66270">
        <w:rPr>
          <w:rFonts w:ascii="Arial" w:hAnsi="Arial" w:cs="Arial"/>
          <w:sz w:val="20"/>
          <w:szCs w:val="20"/>
          <w:lang w:val="en"/>
        </w:rPr>
        <w:t xml:space="preserve"> of </w:t>
      </w:r>
      <w:r w:rsidR="005944A6" w:rsidRPr="00C66270">
        <w:rPr>
          <w:rFonts w:ascii="Arial" w:hAnsi="Arial" w:cs="Arial"/>
          <w:sz w:val="20"/>
          <w:szCs w:val="20"/>
          <w:lang w:val="en"/>
        </w:rPr>
        <w:t>data provider</w:t>
      </w:r>
      <w:r w:rsidRPr="00C66270">
        <w:rPr>
          <w:rFonts w:ascii="Arial" w:hAnsi="Arial" w:cs="Arial"/>
          <w:sz w:val="20"/>
          <w:szCs w:val="20"/>
          <w:lang w:val="en"/>
        </w:rPr>
        <w:t xml:space="preserve"> must not be included in the statistical balance sheet. The initial capital provided to a foreign branch shall be shown under net external assets, in the rows containing shares, other capital investments and participations</w:t>
      </w:r>
      <w:r w:rsidR="000C7BA8" w:rsidRPr="00C66270">
        <w:rPr>
          <w:rFonts w:ascii="Arial" w:hAnsi="Arial" w:cs="Arial"/>
          <w:sz w:val="20"/>
          <w:szCs w:val="20"/>
          <w:lang w:val="en"/>
        </w:rPr>
        <w:t>.</w:t>
      </w:r>
      <w:r w:rsidRPr="00C66270">
        <w:rPr>
          <w:rFonts w:ascii="Arial" w:hAnsi="Arial" w:cs="Arial"/>
          <w:sz w:val="20"/>
          <w:szCs w:val="20"/>
          <w:lang w:val="en"/>
        </w:rPr>
        <w:t xml:space="preserve"> </w:t>
      </w:r>
      <w:r w:rsidR="000C7BA8" w:rsidRPr="00C66270">
        <w:rPr>
          <w:rFonts w:ascii="Arial" w:hAnsi="Arial" w:cs="Arial"/>
          <w:sz w:val="20"/>
          <w:szCs w:val="20"/>
          <w:lang w:val="en"/>
        </w:rPr>
        <w:t xml:space="preserve">Equity data and its components of </w:t>
      </w:r>
      <w:r w:rsidR="005944A6" w:rsidRPr="00C66270">
        <w:rPr>
          <w:rFonts w:ascii="Arial" w:hAnsi="Arial" w:cs="Arial"/>
          <w:sz w:val="20"/>
          <w:szCs w:val="20"/>
          <w:lang w:val="en"/>
        </w:rPr>
        <w:t>data provider</w:t>
      </w:r>
      <w:r w:rsidR="000C7BA8" w:rsidRPr="00C66270">
        <w:rPr>
          <w:rFonts w:ascii="Arial" w:hAnsi="Arial" w:cs="Arial"/>
          <w:sz w:val="20"/>
          <w:szCs w:val="20"/>
          <w:lang w:val="en"/>
        </w:rPr>
        <w:t xml:space="preserve"> must not be changed </w:t>
      </w:r>
      <w:proofErr w:type="gramStart"/>
      <w:r w:rsidR="000C7BA8" w:rsidRPr="00C66270">
        <w:rPr>
          <w:rFonts w:ascii="Arial" w:hAnsi="Arial" w:cs="Arial"/>
          <w:sz w:val="20"/>
          <w:szCs w:val="20"/>
          <w:lang w:val="en"/>
        </w:rPr>
        <w:t>due to the fact that</w:t>
      </w:r>
      <w:proofErr w:type="gramEnd"/>
      <w:r w:rsidR="000C7BA8" w:rsidRPr="00C66270">
        <w:rPr>
          <w:rFonts w:ascii="Arial" w:hAnsi="Arial" w:cs="Arial"/>
          <w:sz w:val="20"/>
          <w:szCs w:val="20"/>
          <w:lang w:val="en"/>
        </w:rPr>
        <w:t xml:space="preserve"> assets and liabilities data of foreign branch of </w:t>
      </w:r>
      <w:r w:rsidR="005944A6" w:rsidRPr="00C66270">
        <w:rPr>
          <w:rFonts w:ascii="Arial" w:hAnsi="Arial" w:cs="Arial"/>
          <w:sz w:val="20"/>
          <w:szCs w:val="20"/>
          <w:lang w:val="en"/>
        </w:rPr>
        <w:t>data provider</w:t>
      </w:r>
      <w:r w:rsidR="000C7BA8" w:rsidRPr="00C66270">
        <w:rPr>
          <w:rFonts w:ascii="Arial" w:hAnsi="Arial" w:cs="Arial"/>
          <w:sz w:val="20"/>
          <w:szCs w:val="20"/>
          <w:lang w:val="en"/>
        </w:rPr>
        <w:t xml:space="preserve"> </w:t>
      </w:r>
      <w:r w:rsidR="001D056A" w:rsidRPr="00C66270">
        <w:rPr>
          <w:rFonts w:ascii="Arial" w:hAnsi="Arial" w:cs="Arial"/>
          <w:sz w:val="20"/>
          <w:szCs w:val="20"/>
          <w:lang w:val="en"/>
        </w:rPr>
        <w:t>is</w:t>
      </w:r>
      <w:r w:rsidR="000C7BA8" w:rsidRPr="00C66270">
        <w:rPr>
          <w:rFonts w:ascii="Arial" w:hAnsi="Arial" w:cs="Arial"/>
          <w:sz w:val="20"/>
          <w:szCs w:val="20"/>
          <w:lang w:val="en"/>
        </w:rPr>
        <w:t xml:space="preserve"> not included in </w:t>
      </w:r>
      <w:r w:rsidR="001D056A" w:rsidRPr="00C66270">
        <w:rPr>
          <w:rFonts w:ascii="Arial" w:hAnsi="Arial" w:cs="Arial"/>
          <w:sz w:val="20"/>
          <w:szCs w:val="20"/>
          <w:lang w:val="en"/>
        </w:rPr>
        <w:t>its</w:t>
      </w:r>
      <w:r w:rsidR="000C7BA8" w:rsidRPr="00C66270">
        <w:rPr>
          <w:rFonts w:ascii="Arial" w:hAnsi="Arial" w:cs="Arial"/>
          <w:sz w:val="20"/>
          <w:szCs w:val="20"/>
          <w:lang w:val="en"/>
        </w:rPr>
        <w:t xml:space="preserve"> statistical balance sheet.</w:t>
      </w:r>
    </w:p>
    <w:p w14:paraId="58B33208" w14:textId="3D3D7BA7" w:rsidR="00DC033A" w:rsidRPr="00C66270" w:rsidRDefault="002A2237" w:rsidP="00006D9E">
      <w:pPr>
        <w:pStyle w:val="Szvegtrzs"/>
        <w:tabs>
          <w:tab w:val="left" w:pos="567"/>
          <w:tab w:val="left" w:pos="1702"/>
          <w:tab w:val="left" w:pos="2127"/>
        </w:tabs>
        <w:jc w:val="both"/>
        <w:rPr>
          <w:rFonts w:ascii="Arial" w:hAnsi="Arial" w:cs="Arial"/>
          <w:sz w:val="20"/>
          <w:szCs w:val="20"/>
          <w:lang w:val="en"/>
        </w:rPr>
      </w:pPr>
      <w:r w:rsidRPr="00C66270">
        <w:rPr>
          <w:rFonts w:ascii="Arial" w:hAnsi="Arial" w:cs="Arial"/>
          <w:sz w:val="20"/>
          <w:szCs w:val="20"/>
          <w:lang w:val="en"/>
        </w:rPr>
        <w:t xml:space="preserve">4. </w:t>
      </w:r>
      <w:r w:rsidR="00DC033A" w:rsidRPr="00C66270">
        <w:rPr>
          <w:rFonts w:ascii="Arial" w:hAnsi="Arial" w:cs="Arial"/>
          <w:sz w:val="20"/>
          <w:szCs w:val="20"/>
          <w:lang w:val="en"/>
        </w:rPr>
        <w:t xml:space="preserve">The statistical balance sheet differs from the accounting balance sheet due to the fact, that beyond investment data of unit-linked life insurance other life insurance, non-life insurance and equity data must be valued </w:t>
      </w:r>
      <w:r w:rsidR="00A7608C" w:rsidRPr="00C66270">
        <w:rPr>
          <w:rFonts w:ascii="Arial" w:hAnsi="Arial" w:cs="Arial"/>
          <w:sz w:val="20"/>
          <w:szCs w:val="20"/>
          <w:lang w:val="en"/>
        </w:rPr>
        <w:t xml:space="preserve">also </w:t>
      </w:r>
      <w:r w:rsidR="00DC033A" w:rsidRPr="00C66270">
        <w:rPr>
          <w:rFonts w:ascii="Arial" w:hAnsi="Arial" w:cs="Arial"/>
          <w:sz w:val="20"/>
          <w:szCs w:val="20"/>
          <w:lang w:val="en"/>
        </w:rPr>
        <w:t>at market value. In line with it, all insurance technical reserves and equity mus</w:t>
      </w:r>
      <w:r w:rsidR="00A7608C" w:rsidRPr="00C66270">
        <w:rPr>
          <w:rFonts w:ascii="Arial" w:hAnsi="Arial" w:cs="Arial"/>
          <w:sz w:val="20"/>
          <w:szCs w:val="20"/>
          <w:lang w:val="en"/>
        </w:rPr>
        <w:t>t</w:t>
      </w:r>
      <w:r w:rsidR="00DC033A" w:rsidRPr="00C66270">
        <w:rPr>
          <w:rFonts w:ascii="Arial" w:hAnsi="Arial" w:cs="Arial"/>
          <w:sz w:val="20"/>
          <w:szCs w:val="20"/>
          <w:lang w:val="en"/>
        </w:rPr>
        <w:t xml:space="preserve"> be included in liabilities of statistical balance sheet at market value. </w:t>
      </w:r>
      <w:r w:rsidRPr="00C66270">
        <w:rPr>
          <w:rFonts w:ascii="Arial" w:hAnsi="Arial" w:cs="Arial"/>
          <w:sz w:val="20"/>
          <w:szCs w:val="20"/>
          <w:lang w:val="en"/>
        </w:rPr>
        <w:t xml:space="preserve"> The various debt securities </w:t>
      </w:r>
      <w:r w:rsidR="00DC033A" w:rsidRPr="00C66270">
        <w:rPr>
          <w:rFonts w:ascii="Arial" w:hAnsi="Arial" w:cs="Arial"/>
          <w:sz w:val="20"/>
          <w:szCs w:val="20"/>
          <w:lang w:val="en"/>
        </w:rPr>
        <w:t>must</w:t>
      </w:r>
      <w:r w:rsidRPr="00C66270">
        <w:rPr>
          <w:rFonts w:ascii="Arial" w:hAnsi="Arial" w:cs="Arial"/>
          <w:sz w:val="20"/>
          <w:szCs w:val="20"/>
          <w:lang w:val="en"/>
        </w:rPr>
        <w:t xml:space="preserve"> be included in the assets at gross market value, </w:t>
      </w:r>
      <w:proofErr w:type="gramStart"/>
      <w:r w:rsidRPr="00C66270">
        <w:rPr>
          <w:rFonts w:ascii="Arial" w:hAnsi="Arial" w:cs="Arial"/>
          <w:sz w:val="20"/>
          <w:szCs w:val="20"/>
          <w:lang w:val="en"/>
        </w:rPr>
        <w:t>i.e.</w:t>
      </w:r>
      <w:proofErr w:type="gramEnd"/>
      <w:r w:rsidRPr="00C66270">
        <w:rPr>
          <w:rFonts w:ascii="Arial" w:hAnsi="Arial" w:cs="Arial"/>
          <w:sz w:val="20"/>
          <w:szCs w:val="20"/>
          <w:lang w:val="en"/>
        </w:rPr>
        <w:t xml:space="preserve"> at market value including accrued interest, for the relevant issuing sectors. </w:t>
      </w:r>
      <w:r w:rsidR="00DC033A" w:rsidRPr="00C66270">
        <w:rPr>
          <w:rFonts w:ascii="Arial" w:hAnsi="Arial" w:cs="Arial"/>
          <w:sz w:val="20"/>
          <w:szCs w:val="20"/>
          <w:lang w:val="en"/>
        </w:rPr>
        <w:t xml:space="preserve">Loans and credits </w:t>
      </w:r>
      <w:proofErr w:type="gramStart"/>
      <w:r w:rsidR="00DC033A" w:rsidRPr="00C66270">
        <w:rPr>
          <w:rFonts w:ascii="Arial" w:hAnsi="Arial" w:cs="Arial"/>
          <w:sz w:val="20"/>
          <w:szCs w:val="20"/>
          <w:lang w:val="en"/>
        </w:rPr>
        <w:t>granted</w:t>
      </w:r>
      <w:proofErr w:type="gramEnd"/>
      <w:r w:rsidR="00DC033A" w:rsidRPr="00C66270">
        <w:rPr>
          <w:rFonts w:ascii="Arial" w:hAnsi="Arial" w:cs="Arial"/>
          <w:sz w:val="20"/>
          <w:szCs w:val="20"/>
          <w:lang w:val="en"/>
        </w:rPr>
        <w:t xml:space="preserve"> and bank deposits must be reported without accrued interest on rows of the corresponding debtor sector, accrued interest must be reported as prepayments on row III.1.</w:t>
      </w:r>
    </w:p>
    <w:p w14:paraId="7473CA90" w14:textId="7A303520" w:rsidR="00923AD5" w:rsidRPr="00C66270" w:rsidRDefault="00923AD5" w:rsidP="00006D9E">
      <w:pPr>
        <w:pStyle w:val="Szvegtrzs"/>
        <w:tabs>
          <w:tab w:val="left" w:pos="567"/>
          <w:tab w:val="left" w:pos="1702"/>
          <w:tab w:val="left" w:pos="2127"/>
        </w:tabs>
        <w:jc w:val="both"/>
        <w:rPr>
          <w:rFonts w:ascii="Arial" w:hAnsi="Arial" w:cs="Arial"/>
          <w:sz w:val="20"/>
          <w:szCs w:val="20"/>
        </w:rPr>
      </w:pPr>
      <w:r w:rsidRPr="00C66270">
        <w:rPr>
          <w:rFonts w:ascii="Arial" w:hAnsi="Arial" w:cs="Arial"/>
          <w:sz w:val="20"/>
          <w:szCs w:val="20"/>
          <w:lang w:val="en"/>
        </w:rPr>
        <w:t xml:space="preserve">5. The balance sheet total of the statistical balance sheet, </w:t>
      </w:r>
      <w:proofErr w:type="gramStart"/>
      <w:r w:rsidRPr="00C66270">
        <w:rPr>
          <w:rFonts w:ascii="Arial" w:hAnsi="Arial" w:cs="Arial"/>
          <w:sz w:val="20"/>
          <w:szCs w:val="20"/>
          <w:lang w:val="en"/>
        </w:rPr>
        <w:t>i.e.</w:t>
      </w:r>
      <w:proofErr w:type="gramEnd"/>
      <w:r w:rsidRPr="00C66270">
        <w:rPr>
          <w:rFonts w:ascii="Arial" w:hAnsi="Arial" w:cs="Arial"/>
          <w:sz w:val="20"/>
          <w:szCs w:val="20"/>
          <w:lang w:val="en"/>
        </w:rPr>
        <w:t xml:space="preserve"> the sum of total assets and total liabilities equivalent to each other, differs from the balance sheet total of the accounting balance sheet because of the valuation of assets and liabilities different from the books as explained above and because of the presentation of the </w:t>
      </w:r>
      <w:r w:rsidR="00EA7E0F" w:rsidRPr="00C66270">
        <w:rPr>
          <w:rFonts w:ascii="Arial" w:hAnsi="Arial" w:cs="Arial"/>
          <w:sz w:val="20"/>
          <w:szCs w:val="20"/>
          <w:lang w:val="en"/>
        </w:rPr>
        <w:t xml:space="preserve">foreign branch of </w:t>
      </w:r>
      <w:r w:rsidR="005944A6" w:rsidRPr="00C66270">
        <w:rPr>
          <w:rFonts w:ascii="Arial" w:hAnsi="Arial" w:cs="Arial"/>
          <w:sz w:val="20"/>
          <w:szCs w:val="20"/>
          <w:lang w:val="en"/>
        </w:rPr>
        <w:t>data provider</w:t>
      </w:r>
      <w:r w:rsidR="00EA7E0F" w:rsidRPr="00C66270">
        <w:rPr>
          <w:rFonts w:ascii="Arial" w:hAnsi="Arial" w:cs="Arial"/>
          <w:sz w:val="20"/>
          <w:szCs w:val="20"/>
          <w:lang w:val="en"/>
        </w:rPr>
        <w:t xml:space="preserve"> as a foreign subsidiary.</w:t>
      </w:r>
    </w:p>
    <w:p w14:paraId="115DF7B3" w14:textId="7ABD8457" w:rsidR="00B63100" w:rsidRPr="00C66270" w:rsidRDefault="00923AD5" w:rsidP="00F00466">
      <w:pPr>
        <w:jc w:val="both"/>
        <w:rPr>
          <w:rFonts w:ascii="Arial" w:hAnsi="Arial" w:cs="Arial"/>
          <w:sz w:val="20"/>
          <w:szCs w:val="20"/>
        </w:rPr>
      </w:pPr>
      <w:r w:rsidRPr="00C66270">
        <w:rPr>
          <w:rFonts w:ascii="Arial" w:hAnsi="Arial" w:cs="Arial"/>
          <w:sz w:val="20"/>
          <w:szCs w:val="20"/>
          <w:lang w:val="en"/>
        </w:rPr>
        <w:t xml:space="preserve">6. The foreign exchange and foreign currency stocks and the value of end-of-month total of assets and liabilities denominated in foreign currencies shall be indicated as a forint value converted at the official FX mid-rate published by the </w:t>
      </w:r>
      <w:proofErr w:type="spellStart"/>
      <w:r w:rsidRPr="00C66270">
        <w:rPr>
          <w:rFonts w:ascii="Arial" w:hAnsi="Arial" w:cs="Arial"/>
          <w:sz w:val="20"/>
          <w:szCs w:val="20"/>
          <w:lang w:val="en"/>
        </w:rPr>
        <w:t>MNB</w:t>
      </w:r>
      <w:proofErr w:type="spellEnd"/>
      <w:r w:rsidRPr="00C66270">
        <w:rPr>
          <w:rFonts w:ascii="Arial" w:hAnsi="Arial" w:cs="Arial"/>
          <w:sz w:val="20"/>
          <w:szCs w:val="20"/>
          <w:lang w:val="en"/>
        </w:rPr>
        <w:t xml:space="preserve">, prevailing on the last day of the month. The assets and liabilities denominated in currencies which are not listed by the </w:t>
      </w:r>
      <w:proofErr w:type="spellStart"/>
      <w:r w:rsidRPr="00C66270">
        <w:rPr>
          <w:rFonts w:ascii="Arial" w:hAnsi="Arial" w:cs="Arial"/>
          <w:sz w:val="20"/>
          <w:szCs w:val="20"/>
          <w:lang w:val="en"/>
        </w:rPr>
        <w:t>MNB</w:t>
      </w:r>
      <w:proofErr w:type="spellEnd"/>
      <w:r w:rsidRPr="00C66270">
        <w:rPr>
          <w:rFonts w:ascii="Arial" w:hAnsi="Arial" w:cs="Arial"/>
          <w:sz w:val="20"/>
          <w:szCs w:val="20"/>
          <w:lang w:val="en"/>
        </w:rPr>
        <w:t>, and similar foreign exchange and foreign currency stocks shall be converted to forint based on the central rate published by a Hungarian national daily newspaper under exchange rates for world currencies, in effect on the last day of the month, or failing this, based on the average central rate used by the insurance company during the last month.</w:t>
      </w:r>
    </w:p>
    <w:p w14:paraId="24A97F32" w14:textId="6F8BE6C6" w:rsidR="00B63100" w:rsidRPr="00C66270" w:rsidRDefault="00B63100" w:rsidP="00756A07">
      <w:pPr>
        <w:jc w:val="both"/>
        <w:rPr>
          <w:rFonts w:ascii="Arial" w:hAnsi="Arial" w:cs="Arial"/>
          <w:sz w:val="20"/>
          <w:szCs w:val="20"/>
        </w:rPr>
      </w:pPr>
    </w:p>
    <w:p w14:paraId="1DBE0BBF" w14:textId="5F73DF92" w:rsidR="00B63100" w:rsidRPr="00C66270" w:rsidRDefault="00923AD5" w:rsidP="00756A07">
      <w:pPr>
        <w:jc w:val="both"/>
        <w:rPr>
          <w:rFonts w:ascii="Arial" w:hAnsi="Arial" w:cs="Arial"/>
          <w:sz w:val="20"/>
          <w:szCs w:val="20"/>
        </w:rPr>
      </w:pPr>
      <w:r w:rsidRPr="00C66270">
        <w:rPr>
          <w:rFonts w:ascii="Arial" w:hAnsi="Arial" w:cs="Arial"/>
          <w:sz w:val="20"/>
          <w:szCs w:val="20"/>
          <w:lang w:val="en"/>
        </w:rPr>
        <w:t xml:space="preserve">7. The sectoral classification of clients as per point I.A. of this Annex and as per point 1 of Annex 3 is available in the lists published on the official website of the </w:t>
      </w:r>
      <w:proofErr w:type="spellStart"/>
      <w:r w:rsidRPr="00C66270">
        <w:rPr>
          <w:rFonts w:ascii="Arial" w:hAnsi="Arial" w:cs="Arial"/>
          <w:sz w:val="20"/>
          <w:szCs w:val="20"/>
          <w:lang w:val="en"/>
        </w:rPr>
        <w:t>MNB</w:t>
      </w:r>
      <w:proofErr w:type="spellEnd"/>
      <w:r w:rsidRPr="00C66270">
        <w:rPr>
          <w:rFonts w:ascii="Arial" w:hAnsi="Arial" w:cs="Arial"/>
          <w:sz w:val="20"/>
          <w:szCs w:val="20"/>
          <w:lang w:val="en"/>
        </w:rPr>
        <w:t>.</w:t>
      </w:r>
    </w:p>
    <w:p w14:paraId="1ED55A42" w14:textId="77777777" w:rsidR="00B63100" w:rsidRPr="00C66270" w:rsidRDefault="00B63100" w:rsidP="00756A07">
      <w:pPr>
        <w:jc w:val="both"/>
        <w:rPr>
          <w:rFonts w:ascii="Arial" w:hAnsi="Arial" w:cs="Arial"/>
          <w:sz w:val="20"/>
          <w:szCs w:val="20"/>
        </w:rPr>
      </w:pPr>
    </w:p>
    <w:p w14:paraId="79F44E78" w14:textId="5BD7A07B" w:rsidR="00EC6333" w:rsidRPr="00C66270" w:rsidRDefault="0006312F" w:rsidP="00EC6333">
      <w:pPr>
        <w:pStyle w:val="Szvegtrzs2"/>
        <w:rPr>
          <w:rFonts w:ascii="Arial" w:hAnsi="Arial" w:cs="Arial"/>
          <w:sz w:val="20"/>
        </w:rPr>
      </w:pPr>
      <w:r w:rsidRPr="00C66270">
        <w:rPr>
          <w:rFonts w:ascii="Arial" w:hAnsi="Arial" w:cs="Arial"/>
          <w:sz w:val="20"/>
          <w:lang w:val="en"/>
        </w:rPr>
        <w:t>8. The assets not included in the items</w:t>
      </w:r>
      <w:r w:rsidR="0002506D" w:rsidRPr="00C66270">
        <w:rPr>
          <w:rFonts w:ascii="Arial" w:hAnsi="Arial" w:cs="Arial"/>
          <w:sz w:val="20"/>
          <w:lang w:val="en"/>
        </w:rPr>
        <w:t xml:space="preserve"> named</w:t>
      </w:r>
      <w:r w:rsidRPr="00C66270">
        <w:rPr>
          <w:rFonts w:ascii="Arial" w:hAnsi="Arial" w:cs="Arial"/>
          <w:sz w:val="20"/>
          <w:lang w:val="en"/>
        </w:rPr>
        <w:t xml:space="preserve">, </w:t>
      </w:r>
      <w:proofErr w:type="gramStart"/>
      <w:r w:rsidRPr="00C66270">
        <w:rPr>
          <w:rFonts w:ascii="Arial" w:hAnsi="Arial" w:cs="Arial"/>
          <w:sz w:val="20"/>
          <w:lang w:val="en"/>
        </w:rPr>
        <w:t>i.e.</w:t>
      </w:r>
      <w:proofErr w:type="gramEnd"/>
      <w:r w:rsidRPr="00C66270">
        <w:rPr>
          <w:rFonts w:ascii="Arial" w:hAnsi="Arial" w:cs="Arial"/>
          <w:sz w:val="20"/>
          <w:lang w:val="en"/>
        </w:rPr>
        <w:t xml:space="preserve"> receivables coming from insurance transactions, inventory selling, service providing and authentic repurchase agreements related not to securities must be reported in the other receivables rows of certain sectors of asset side (in net book value).</w:t>
      </w:r>
    </w:p>
    <w:p w14:paraId="2C735026" w14:textId="7A348165" w:rsidR="00EC6333" w:rsidRPr="00C66270" w:rsidRDefault="00EC6333" w:rsidP="00C044C1">
      <w:pPr>
        <w:jc w:val="both"/>
        <w:rPr>
          <w:rFonts w:ascii="Arial" w:hAnsi="Arial" w:cs="Arial"/>
          <w:sz w:val="20"/>
          <w:szCs w:val="20"/>
        </w:rPr>
      </w:pPr>
    </w:p>
    <w:p w14:paraId="5ED693B3" w14:textId="4B55036A" w:rsidR="00B63100" w:rsidRPr="00DA03AA" w:rsidRDefault="0006312F" w:rsidP="00C044C1">
      <w:pPr>
        <w:jc w:val="both"/>
        <w:rPr>
          <w:rFonts w:ascii="Arial" w:hAnsi="Arial" w:cs="Arial"/>
          <w:sz w:val="20"/>
          <w:szCs w:val="20"/>
        </w:rPr>
      </w:pPr>
      <w:r w:rsidRPr="00C66270">
        <w:rPr>
          <w:rFonts w:ascii="Arial" w:hAnsi="Arial" w:cs="Arial"/>
          <w:sz w:val="20"/>
          <w:szCs w:val="20"/>
          <w:lang w:val="en"/>
        </w:rPr>
        <w:t xml:space="preserve">9. Methodological notes to help filling in the tables are listed in the technical guidelines as per point 9. of Annex 3. available on </w:t>
      </w:r>
      <w:proofErr w:type="spellStart"/>
      <w:r w:rsidRPr="00C66270">
        <w:rPr>
          <w:rFonts w:ascii="Arial" w:hAnsi="Arial" w:cs="Arial"/>
          <w:sz w:val="20"/>
          <w:szCs w:val="20"/>
          <w:lang w:val="en"/>
        </w:rPr>
        <w:t>MNB</w:t>
      </w:r>
      <w:proofErr w:type="spellEnd"/>
      <w:r w:rsidRPr="00C66270">
        <w:rPr>
          <w:rFonts w:ascii="Arial" w:hAnsi="Arial" w:cs="Arial"/>
          <w:sz w:val="20"/>
          <w:szCs w:val="20"/>
          <w:lang w:val="en"/>
        </w:rPr>
        <w:t xml:space="preserve"> website.</w:t>
      </w:r>
    </w:p>
    <w:p w14:paraId="68ED2852" w14:textId="77777777" w:rsidR="00B63100" w:rsidRPr="00DA03AA" w:rsidRDefault="00B63100" w:rsidP="00756A07">
      <w:pPr>
        <w:jc w:val="both"/>
        <w:rPr>
          <w:rFonts w:ascii="Arial" w:hAnsi="Arial" w:cs="Arial"/>
          <w:sz w:val="20"/>
          <w:szCs w:val="20"/>
        </w:rPr>
      </w:pPr>
    </w:p>
    <w:p w14:paraId="6D30BA03" w14:textId="77777777" w:rsidR="00D13CB2" w:rsidRPr="00DA03AA" w:rsidRDefault="00D13CB2">
      <w:pPr>
        <w:rPr>
          <w:rFonts w:ascii="Arial" w:hAnsi="Arial" w:cs="Arial"/>
          <w:b/>
          <w:sz w:val="20"/>
          <w:szCs w:val="20"/>
        </w:rPr>
      </w:pPr>
    </w:p>
    <w:p w14:paraId="015CF855" w14:textId="77777777" w:rsidR="00133DCB" w:rsidRPr="00DA03AA" w:rsidRDefault="00133DCB" w:rsidP="008E3EBE">
      <w:pPr>
        <w:jc w:val="both"/>
        <w:rPr>
          <w:rFonts w:ascii="Arial" w:hAnsi="Arial" w:cs="Arial"/>
          <w:sz w:val="20"/>
          <w:szCs w:val="20"/>
        </w:rPr>
      </w:pPr>
    </w:p>
    <w:sectPr w:rsidR="00133DCB" w:rsidRPr="00DA03AA" w:rsidSect="002C40BD">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num w:numId="1" w16cid:durableId="469977134">
    <w:abstractNumId w:val="6"/>
  </w:num>
  <w:num w:numId="2" w16cid:durableId="793328223">
    <w:abstractNumId w:val="5"/>
  </w:num>
  <w:num w:numId="3" w16cid:durableId="2109766891">
    <w:abstractNumId w:val="4"/>
  </w:num>
  <w:num w:numId="4" w16cid:durableId="1926836447">
    <w:abstractNumId w:val="0"/>
  </w:num>
  <w:num w:numId="5" w16cid:durableId="1953515313">
    <w:abstractNumId w:val="7"/>
  </w:num>
  <w:num w:numId="6" w16cid:durableId="1356271186">
    <w:abstractNumId w:val="3"/>
  </w:num>
  <w:num w:numId="7" w16cid:durableId="1647667451">
    <w:abstractNumId w:val="1"/>
  </w:num>
  <w:num w:numId="8" w16cid:durableId="2103716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7EA"/>
    <w:rsid w:val="00006D9E"/>
    <w:rsid w:val="000242FB"/>
    <w:rsid w:val="0002506D"/>
    <w:rsid w:val="00025395"/>
    <w:rsid w:val="000323EB"/>
    <w:rsid w:val="0005123D"/>
    <w:rsid w:val="0005450E"/>
    <w:rsid w:val="0006312F"/>
    <w:rsid w:val="00073C00"/>
    <w:rsid w:val="000A6D7A"/>
    <w:rsid w:val="000B146B"/>
    <w:rsid w:val="000B717E"/>
    <w:rsid w:val="000C7BA8"/>
    <w:rsid w:val="000D6DE3"/>
    <w:rsid w:val="000E4015"/>
    <w:rsid w:val="000F2320"/>
    <w:rsid w:val="00116911"/>
    <w:rsid w:val="00133970"/>
    <w:rsid w:val="00133DCB"/>
    <w:rsid w:val="0013557A"/>
    <w:rsid w:val="00147445"/>
    <w:rsid w:val="001520B8"/>
    <w:rsid w:val="00160FF7"/>
    <w:rsid w:val="00161EB1"/>
    <w:rsid w:val="00181D9A"/>
    <w:rsid w:val="00194143"/>
    <w:rsid w:val="00194FE7"/>
    <w:rsid w:val="001B21CC"/>
    <w:rsid w:val="001C3693"/>
    <w:rsid w:val="001C7BDD"/>
    <w:rsid w:val="001D056A"/>
    <w:rsid w:val="001D264D"/>
    <w:rsid w:val="001D6B26"/>
    <w:rsid w:val="001D7AFD"/>
    <w:rsid w:val="001F039D"/>
    <w:rsid w:val="00201687"/>
    <w:rsid w:val="002421A6"/>
    <w:rsid w:val="00253A6E"/>
    <w:rsid w:val="00254FB9"/>
    <w:rsid w:val="00262E61"/>
    <w:rsid w:val="00266BCF"/>
    <w:rsid w:val="00271C0E"/>
    <w:rsid w:val="00274779"/>
    <w:rsid w:val="00284C7B"/>
    <w:rsid w:val="00293A0B"/>
    <w:rsid w:val="002A16F9"/>
    <w:rsid w:val="002A2237"/>
    <w:rsid w:val="002A4E2F"/>
    <w:rsid w:val="002A54EB"/>
    <w:rsid w:val="002A5A06"/>
    <w:rsid w:val="002B5C7C"/>
    <w:rsid w:val="002C3AF6"/>
    <w:rsid w:val="002C40BD"/>
    <w:rsid w:val="002C46CB"/>
    <w:rsid w:val="002F5D83"/>
    <w:rsid w:val="00326139"/>
    <w:rsid w:val="003269D9"/>
    <w:rsid w:val="00342291"/>
    <w:rsid w:val="00350C99"/>
    <w:rsid w:val="00353385"/>
    <w:rsid w:val="003653D7"/>
    <w:rsid w:val="00376256"/>
    <w:rsid w:val="003766E3"/>
    <w:rsid w:val="00377091"/>
    <w:rsid w:val="00387A25"/>
    <w:rsid w:val="003A10DF"/>
    <w:rsid w:val="003C588B"/>
    <w:rsid w:val="003D1A9A"/>
    <w:rsid w:val="003D3B69"/>
    <w:rsid w:val="003D6131"/>
    <w:rsid w:val="003E5144"/>
    <w:rsid w:val="003E5F2E"/>
    <w:rsid w:val="004007E3"/>
    <w:rsid w:val="004124AF"/>
    <w:rsid w:val="0043556B"/>
    <w:rsid w:val="00443BCF"/>
    <w:rsid w:val="00445549"/>
    <w:rsid w:val="00447E93"/>
    <w:rsid w:val="0045700F"/>
    <w:rsid w:val="004605B3"/>
    <w:rsid w:val="00470BE5"/>
    <w:rsid w:val="00473863"/>
    <w:rsid w:val="00473FD0"/>
    <w:rsid w:val="0047797F"/>
    <w:rsid w:val="00481796"/>
    <w:rsid w:val="0048791E"/>
    <w:rsid w:val="004A5B0E"/>
    <w:rsid w:val="004B3E8A"/>
    <w:rsid w:val="004C046B"/>
    <w:rsid w:val="004C70A4"/>
    <w:rsid w:val="004F4542"/>
    <w:rsid w:val="005006C3"/>
    <w:rsid w:val="00500E77"/>
    <w:rsid w:val="005013B6"/>
    <w:rsid w:val="00503D90"/>
    <w:rsid w:val="00532446"/>
    <w:rsid w:val="00537B4E"/>
    <w:rsid w:val="00537BC1"/>
    <w:rsid w:val="00557A44"/>
    <w:rsid w:val="005648A4"/>
    <w:rsid w:val="00567CD4"/>
    <w:rsid w:val="00592AE0"/>
    <w:rsid w:val="005944A6"/>
    <w:rsid w:val="005A0A0F"/>
    <w:rsid w:val="005B0AD5"/>
    <w:rsid w:val="005C4540"/>
    <w:rsid w:val="00601DE6"/>
    <w:rsid w:val="006042B3"/>
    <w:rsid w:val="00614713"/>
    <w:rsid w:val="0063639D"/>
    <w:rsid w:val="006434D7"/>
    <w:rsid w:val="00645BA9"/>
    <w:rsid w:val="0065470A"/>
    <w:rsid w:val="00656B46"/>
    <w:rsid w:val="00660746"/>
    <w:rsid w:val="006A1BB9"/>
    <w:rsid w:val="006B2498"/>
    <w:rsid w:val="006B61E9"/>
    <w:rsid w:val="006D13EB"/>
    <w:rsid w:val="006E3371"/>
    <w:rsid w:val="006E65D2"/>
    <w:rsid w:val="006E712A"/>
    <w:rsid w:val="00700AF0"/>
    <w:rsid w:val="00707708"/>
    <w:rsid w:val="00714529"/>
    <w:rsid w:val="007257F7"/>
    <w:rsid w:val="00732853"/>
    <w:rsid w:val="007428E5"/>
    <w:rsid w:val="00756A07"/>
    <w:rsid w:val="00760512"/>
    <w:rsid w:val="00777645"/>
    <w:rsid w:val="0077786F"/>
    <w:rsid w:val="007821B6"/>
    <w:rsid w:val="00793218"/>
    <w:rsid w:val="00793E26"/>
    <w:rsid w:val="007A3378"/>
    <w:rsid w:val="007C11C6"/>
    <w:rsid w:val="007C4A58"/>
    <w:rsid w:val="007D03C5"/>
    <w:rsid w:val="007D50BB"/>
    <w:rsid w:val="007E065F"/>
    <w:rsid w:val="007E5A6B"/>
    <w:rsid w:val="00806B1A"/>
    <w:rsid w:val="00814903"/>
    <w:rsid w:val="0081746B"/>
    <w:rsid w:val="00843B93"/>
    <w:rsid w:val="00856464"/>
    <w:rsid w:val="008618CB"/>
    <w:rsid w:val="0086301F"/>
    <w:rsid w:val="00870F39"/>
    <w:rsid w:val="0087450A"/>
    <w:rsid w:val="00886BB4"/>
    <w:rsid w:val="008A6FF4"/>
    <w:rsid w:val="008B313C"/>
    <w:rsid w:val="008B5887"/>
    <w:rsid w:val="008C10B3"/>
    <w:rsid w:val="008D0866"/>
    <w:rsid w:val="008D0EA0"/>
    <w:rsid w:val="008D1743"/>
    <w:rsid w:val="008E31E6"/>
    <w:rsid w:val="008E3EBE"/>
    <w:rsid w:val="008F20FE"/>
    <w:rsid w:val="008F4766"/>
    <w:rsid w:val="008F532D"/>
    <w:rsid w:val="00916AA0"/>
    <w:rsid w:val="00923AD5"/>
    <w:rsid w:val="00926030"/>
    <w:rsid w:val="0093164C"/>
    <w:rsid w:val="00975C95"/>
    <w:rsid w:val="00980E2A"/>
    <w:rsid w:val="009864AD"/>
    <w:rsid w:val="009A3D6E"/>
    <w:rsid w:val="009A7BA9"/>
    <w:rsid w:val="009C46A0"/>
    <w:rsid w:val="009C5605"/>
    <w:rsid w:val="009D0DF1"/>
    <w:rsid w:val="009D15EF"/>
    <w:rsid w:val="009E43E5"/>
    <w:rsid w:val="00A05DC5"/>
    <w:rsid w:val="00A063D2"/>
    <w:rsid w:val="00A07775"/>
    <w:rsid w:val="00A147EA"/>
    <w:rsid w:val="00A159B9"/>
    <w:rsid w:val="00A31535"/>
    <w:rsid w:val="00A324AA"/>
    <w:rsid w:val="00A568F8"/>
    <w:rsid w:val="00A70282"/>
    <w:rsid w:val="00A70E25"/>
    <w:rsid w:val="00A7608C"/>
    <w:rsid w:val="00A77A34"/>
    <w:rsid w:val="00A815E8"/>
    <w:rsid w:val="00AA5D64"/>
    <w:rsid w:val="00AC035A"/>
    <w:rsid w:val="00AF497C"/>
    <w:rsid w:val="00B117CA"/>
    <w:rsid w:val="00B2583E"/>
    <w:rsid w:val="00B30D2F"/>
    <w:rsid w:val="00B356C8"/>
    <w:rsid w:val="00B471E0"/>
    <w:rsid w:val="00B63100"/>
    <w:rsid w:val="00B644A2"/>
    <w:rsid w:val="00B82956"/>
    <w:rsid w:val="00B961CB"/>
    <w:rsid w:val="00BA28AB"/>
    <w:rsid w:val="00BA32BC"/>
    <w:rsid w:val="00BA71C6"/>
    <w:rsid w:val="00BB24D8"/>
    <w:rsid w:val="00BB4ADB"/>
    <w:rsid w:val="00BB79CD"/>
    <w:rsid w:val="00BC6882"/>
    <w:rsid w:val="00BE13EC"/>
    <w:rsid w:val="00BE42A2"/>
    <w:rsid w:val="00C010F4"/>
    <w:rsid w:val="00C01805"/>
    <w:rsid w:val="00C044C1"/>
    <w:rsid w:val="00C069C2"/>
    <w:rsid w:val="00C23C15"/>
    <w:rsid w:val="00C54938"/>
    <w:rsid w:val="00C64E70"/>
    <w:rsid w:val="00C66270"/>
    <w:rsid w:val="00C7156B"/>
    <w:rsid w:val="00CA73DB"/>
    <w:rsid w:val="00CC79D7"/>
    <w:rsid w:val="00CE4847"/>
    <w:rsid w:val="00CE5C73"/>
    <w:rsid w:val="00CF2493"/>
    <w:rsid w:val="00CF40AA"/>
    <w:rsid w:val="00D13CB2"/>
    <w:rsid w:val="00D179F7"/>
    <w:rsid w:val="00D377CD"/>
    <w:rsid w:val="00D4004A"/>
    <w:rsid w:val="00D4297A"/>
    <w:rsid w:val="00D46D7C"/>
    <w:rsid w:val="00D72536"/>
    <w:rsid w:val="00D72741"/>
    <w:rsid w:val="00D84905"/>
    <w:rsid w:val="00D868EC"/>
    <w:rsid w:val="00D86E1B"/>
    <w:rsid w:val="00D8717C"/>
    <w:rsid w:val="00D955BE"/>
    <w:rsid w:val="00DA03AA"/>
    <w:rsid w:val="00DC033A"/>
    <w:rsid w:val="00DD7500"/>
    <w:rsid w:val="00E03E3C"/>
    <w:rsid w:val="00E17034"/>
    <w:rsid w:val="00E206A7"/>
    <w:rsid w:val="00E269EF"/>
    <w:rsid w:val="00E43D22"/>
    <w:rsid w:val="00E51405"/>
    <w:rsid w:val="00E55CC6"/>
    <w:rsid w:val="00E57776"/>
    <w:rsid w:val="00E6790C"/>
    <w:rsid w:val="00E90CD2"/>
    <w:rsid w:val="00E97F14"/>
    <w:rsid w:val="00EA5E14"/>
    <w:rsid w:val="00EA66DC"/>
    <w:rsid w:val="00EA7710"/>
    <w:rsid w:val="00EA7E0F"/>
    <w:rsid w:val="00EB2CA1"/>
    <w:rsid w:val="00EB6713"/>
    <w:rsid w:val="00EC6333"/>
    <w:rsid w:val="00EC68B7"/>
    <w:rsid w:val="00ED2CF6"/>
    <w:rsid w:val="00ED4F4A"/>
    <w:rsid w:val="00ED73EB"/>
    <w:rsid w:val="00EE7855"/>
    <w:rsid w:val="00EF3555"/>
    <w:rsid w:val="00EF3D7E"/>
    <w:rsid w:val="00F00466"/>
    <w:rsid w:val="00F07152"/>
    <w:rsid w:val="00F07413"/>
    <w:rsid w:val="00F21243"/>
    <w:rsid w:val="00F34C77"/>
    <w:rsid w:val="00F4279C"/>
    <w:rsid w:val="00F5547A"/>
    <w:rsid w:val="00F564D3"/>
    <w:rsid w:val="00F73C8B"/>
    <w:rsid w:val="00F7452C"/>
    <w:rsid w:val="00F773EE"/>
    <w:rsid w:val="00F90B18"/>
    <w:rsid w:val="00F97B88"/>
    <w:rsid w:val="00FA60F3"/>
    <w:rsid w:val="00FB5BAD"/>
    <w:rsid w:val="00FC0DCE"/>
    <w:rsid w:val="00FC718F"/>
    <w:rsid w:val="00FD5D95"/>
    <w:rsid w:val="00FE1632"/>
    <w:rsid w:val="00FF5C3C"/>
    <w:rsid w:val="00FF5E70"/>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B446A"/>
  <w15:chartTrackingRefBased/>
  <w15:docId w15:val="{0320A558-4438-4CF3-9D33-2F17294C5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069C2"/>
    <w:rPr>
      <w:rFonts w:ascii="Garamond" w:hAnsi="Garamond"/>
      <w:sz w:val="24"/>
      <w:szCs w:val="24"/>
    </w:rPr>
  </w:style>
  <w:style w:type="paragraph" w:styleId="Cmsor2">
    <w:name w:val="heading 2"/>
    <w:basedOn w:val="Norml"/>
    <w:next w:val="Norml"/>
    <w:qFormat/>
    <w:rsid w:val="004C046B"/>
    <w:pPr>
      <w:keepNext/>
      <w:jc w:val="both"/>
      <w:outlineLvl w:val="1"/>
    </w:pPr>
    <w:rPr>
      <w:rFonts w:ascii="Times New Roman" w:hAnsi="Times New Roman"/>
      <w:b/>
      <w:szCs w:val="20"/>
    </w:rPr>
  </w:style>
  <w:style w:type="paragraph" w:styleId="Cmsor3">
    <w:name w:val="heading 3"/>
    <w:basedOn w:val="Norml"/>
    <w:next w:val="Norml"/>
    <w:qFormat/>
    <w:rsid w:val="008A6FF4"/>
    <w:pPr>
      <w:keepNext/>
      <w:spacing w:before="240" w:after="60"/>
      <w:outlineLvl w:val="2"/>
    </w:pPr>
    <w:rPr>
      <w:rFonts w:ascii="Arial" w:hAnsi="Arial" w:cs="Arial"/>
      <w:b/>
      <w:bCs/>
      <w:sz w:val="26"/>
      <w:szCs w:val="26"/>
    </w:rPr>
  </w:style>
  <w:style w:type="paragraph" w:styleId="Cmsor4">
    <w:name w:val="heading 4"/>
    <w:basedOn w:val="Norml"/>
    <w:next w:val="Norml"/>
    <w:qFormat/>
    <w:rsid w:val="008A6FF4"/>
    <w:pPr>
      <w:keepNext/>
      <w:spacing w:before="240" w:after="60"/>
      <w:outlineLvl w:val="3"/>
    </w:pPr>
    <w:rPr>
      <w:rFonts w:ascii="Times New Roman" w:hAnsi="Times New Roman"/>
      <w:b/>
      <w:bCs/>
      <w:sz w:val="28"/>
      <w:szCs w:val="28"/>
    </w:rPr>
  </w:style>
  <w:style w:type="paragraph" w:styleId="Cmsor6">
    <w:name w:val="heading 6"/>
    <w:basedOn w:val="Norml"/>
    <w:next w:val="Norml"/>
    <w:qFormat/>
    <w:rsid w:val="008A6FF4"/>
    <w:pPr>
      <w:spacing w:before="240" w:after="60"/>
      <w:outlineLvl w:val="5"/>
    </w:pPr>
    <w:rPr>
      <w:rFonts w:ascii="Times New Roman" w:hAnsi="Times New Roman"/>
      <w:b/>
      <w:bCs/>
      <w:sz w:val="22"/>
      <w:szCs w:val="22"/>
    </w:rPr>
  </w:style>
  <w:style w:type="paragraph" w:styleId="Cmsor7">
    <w:name w:val="heading 7"/>
    <w:basedOn w:val="Norml"/>
    <w:next w:val="Norml"/>
    <w:qFormat/>
    <w:rsid w:val="008A6FF4"/>
    <w:pPr>
      <w:spacing w:before="240" w:after="60"/>
      <w:outlineLvl w:val="6"/>
    </w:pPr>
    <w:rPr>
      <w:rFonts w:ascii="Times New Roman" w:hAnsi="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A14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A147EA"/>
    <w:rPr>
      <w:sz w:val="16"/>
      <w:szCs w:val="16"/>
    </w:rPr>
  </w:style>
  <w:style w:type="paragraph" w:styleId="Jegyzetszveg">
    <w:name w:val="annotation text"/>
    <w:basedOn w:val="Norml"/>
    <w:semiHidden/>
    <w:rsid w:val="00A147EA"/>
    <w:rPr>
      <w:sz w:val="20"/>
      <w:szCs w:val="20"/>
    </w:rPr>
  </w:style>
  <w:style w:type="paragraph" w:styleId="Buborkszveg">
    <w:name w:val="Balloon Text"/>
    <w:basedOn w:val="Norml"/>
    <w:link w:val="BuborkszvegChar"/>
    <w:uiPriority w:val="99"/>
    <w:semiHidden/>
    <w:rsid w:val="00A147EA"/>
    <w:rPr>
      <w:rFonts w:ascii="Tahoma" w:hAnsi="Tahoma" w:cs="Tahoma"/>
      <w:sz w:val="16"/>
      <w:szCs w:val="16"/>
    </w:rPr>
  </w:style>
  <w:style w:type="character" w:styleId="Hiperhivatkozs">
    <w:name w:val="Hyperlink"/>
    <w:rsid w:val="004C046B"/>
    <w:rPr>
      <w:color w:val="0000FF"/>
      <w:u w:val="single"/>
    </w:rPr>
  </w:style>
  <w:style w:type="paragraph" w:styleId="Szvegtrzs2">
    <w:name w:val="Body Text 2"/>
    <w:basedOn w:val="Norml"/>
    <w:rsid w:val="004C046B"/>
    <w:pPr>
      <w:jc w:val="both"/>
    </w:pPr>
    <w:rPr>
      <w:rFonts w:ascii="Times New Roman" w:hAnsi="Times New Roman"/>
      <w:szCs w:val="20"/>
    </w:rPr>
  </w:style>
  <w:style w:type="paragraph" w:styleId="Megjegyzstrgya">
    <w:name w:val="annotation subject"/>
    <w:basedOn w:val="Jegyzetszveg"/>
    <w:next w:val="Jegyzetszveg"/>
    <w:semiHidden/>
    <w:rsid w:val="000F2320"/>
    <w:rPr>
      <w:b/>
      <w:bCs/>
    </w:rPr>
  </w:style>
  <w:style w:type="character" w:styleId="Mrltotthiperhivatkozs">
    <w:name w:val="FollowedHyperlink"/>
    <w:rsid w:val="00133DCB"/>
    <w:rPr>
      <w:color w:val="800080"/>
      <w:u w:val="single"/>
    </w:rPr>
  </w:style>
  <w:style w:type="paragraph" w:styleId="Szvegtrzsbehzssal">
    <w:name w:val="Body Text Indent"/>
    <w:basedOn w:val="Norml"/>
    <w:rsid w:val="002C3AF6"/>
    <w:pPr>
      <w:spacing w:after="120"/>
      <w:ind w:left="283"/>
    </w:pPr>
  </w:style>
  <w:style w:type="paragraph" w:styleId="Szvegtrzs">
    <w:name w:val="Body Text"/>
    <w:basedOn w:val="Norml"/>
    <w:rsid w:val="00756A07"/>
    <w:pPr>
      <w:spacing w:after="120"/>
    </w:pPr>
  </w:style>
  <w:style w:type="paragraph" w:styleId="Lbjegyzetszveg">
    <w:name w:val="footnote text"/>
    <w:basedOn w:val="Norml"/>
    <w:link w:val="LbjegyzetszvegChar"/>
    <w:uiPriority w:val="99"/>
    <w:semiHidden/>
    <w:rsid w:val="00756A07"/>
    <w:rPr>
      <w:rFonts w:ascii="Times New Roman" w:hAnsi="Times New Roman"/>
      <w:sz w:val="20"/>
      <w:szCs w:val="20"/>
    </w:rPr>
  </w:style>
  <w:style w:type="paragraph" w:styleId="Szvegtrzs3">
    <w:name w:val="Body Text 3"/>
    <w:basedOn w:val="Norml"/>
    <w:rsid w:val="008A6FF4"/>
    <w:pPr>
      <w:spacing w:after="120"/>
    </w:pPr>
    <w:rPr>
      <w:sz w:val="16"/>
      <w:szCs w:val="16"/>
    </w:rPr>
  </w:style>
  <w:style w:type="character" w:styleId="Kiemels2">
    <w:name w:val="Strong"/>
    <w:qFormat/>
    <w:rsid w:val="00D377CD"/>
    <w:rPr>
      <w:b/>
      <w:bCs/>
    </w:rPr>
  </w:style>
  <w:style w:type="paragraph" w:styleId="Vltozat">
    <w:name w:val="Revision"/>
    <w:hidden/>
    <w:uiPriority w:val="99"/>
    <w:semiHidden/>
    <w:rsid w:val="00B356C8"/>
    <w:rPr>
      <w:rFonts w:ascii="Garamond" w:hAnsi="Garamond"/>
      <w:sz w:val="24"/>
      <w:szCs w:val="24"/>
    </w:rPr>
  </w:style>
  <w:style w:type="character" w:customStyle="1" w:styleId="LbjegyzetszvegChar">
    <w:name w:val="Lábjegyzetszöveg Char"/>
    <w:link w:val="Lbjegyzetszveg"/>
    <w:uiPriority w:val="99"/>
    <w:semiHidden/>
  </w:style>
  <w:style w:type="character" w:customStyle="1" w:styleId="BuborkszvegChar">
    <w:name w:val="Buborékszöveg Char"/>
    <w:link w:val="Buborkszveg"/>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1001A-3321-443D-9F67-CC580D4C6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657</Words>
  <Characters>3447</Characters>
  <Application>Microsoft Office Word</Application>
  <DocSecurity>0</DocSecurity>
  <Lines>28</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Az új kitöltési útmutatók szerkezete</vt:lpstr>
      <vt:lpstr>Az új kitöltési útmutatók szerkezete</vt:lpstr>
    </vt:vector>
  </TitlesOfParts>
  <Company>Magyar Nemzeti Bank</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új kitöltési útmutatók szerkezete</dc:title>
  <dc:subject/>
  <dc:creator>KŐrös Orsolya</dc:creator>
  <cp:keywords/>
  <cp:lastModifiedBy>Juhász Katalin</cp:lastModifiedBy>
  <cp:revision>26</cp:revision>
  <dcterms:created xsi:type="dcterms:W3CDTF">2024-03-07T09:47:00Z</dcterms:created>
  <dcterms:modified xsi:type="dcterms:W3CDTF">2024-03-27T08:48:00Z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2028-07-08T19:12:51Z</vt:filetime>
  </property>
  <property fmtid="{D5CDD505-2E9C-101B-9397-08002B2CF9AE}" pid="3" name="Érvényességet beállító">
    <vt:lpwstr>simonb</vt:lpwstr>
  </property>
  <property fmtid="{D5CDD505-2E9C-101B-9397-08002B2CF9AE}" pid="4" name="Érvényességi idő első beállítása">
    <vt:filetime>2023-07-08T19:12:51Z</vt:filetime>
  </property>
</Properties>
</file>