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0CFC" w:rsidRPr="001F4F41" w:rsidRDefault="008F0CFC" w:rsidP="001F4F41">
      <w:pPr>
        <w:jc w:val="both"/>
        <w:rPr>
          <w:rFonts w:cs="Arial"/>
          <w:b/>
          <w:sz w:val="20"/>
        </w:rPr>
      </w:pPr>
      <w:r w:rsidRPr="001F4F41">
        <w:rPr>
          <w:rFonts w:cs="Arial"/>
          <w:b/>
          <w:bCs/>
          <w:sz w:val="20"/>
          <w:lang w:val="en-GB"/>
        </w:rPr>
        <w:t>MNB identification code: P14</w:t>
      </w:r>
    </w:p>
    <w:p w:rsidR="008F0CFC" w:rsidRPr="001F4F41" w:rsidRDefault="008F0CFC" w:rsidP="001F4F41">
      <w:pPr>
        <w:jc w:val="both"/>
        <w:rPr>
          <w:rFonts w:cs="Arial"/>
          <w:b/>
          <w:sz w:val="20"/>
        </w:rPr>
      </w:pPr>
    </w:p>
    <w:p w:rsidR="00F51B2B" w:rsidRPr="001F4F41" w:rsidRDefault="001F4F41" w:rsidP="001F4F41">
      <w:pPr>
        <w:jc w:val="center"/>
        <w:rPr>
          <w:rFonts w:cs="Arial"/>
          <w:b/>
          <w:bCs/>
          <w:sz w:val="20"/>
          <w:lang w:val="en-GB"/>
        </w:rPr>
      </w:pPr>
      <w:r w:rsidRPr="001F4F41">
        <w:rPr>
          <w:rFonts w:cs="Arial"/>
          <w:b/>
          <w:bCs/>
          <w:sz w:val="20"/>
          <w:lang w:val="en-GB"/>
        </w:rPr>
        <w:t>Completion instructions</w:t>
      </w:r>
    </w:p>
    <w:p w:rsidR="0083311B" w:rsidRPr="001F4F41" w:rsidRDefault="0083311B" w:rsidP="001F4F41">
      <w:pPr>
        <w:jc w:val="center"/>
        <w:rPr>
          <w:rFonts w:cs="Arial"/>
          <w:b/>
          <w:sz w:val="20"/>
        </w:rPr>
      </w:pPr>
    </w:p>
    <w:p w:rsidR="008F0CFC" w:rsidRPr="001F4F41" w:rsidRDefault="00912BD0" w:rsidP="001F4F41">
      <w:pPr>
        <w:jc w:val="center"/>
        <w:rPr>
          <w:rFonts w:cs="Arial"/>
          <w:b/>
          <w:sz w:val="20"/>
        </w:rPr>
      </w:pPr>
      <w:r w:rsidRPr="001F4F41">
        <w:rPr>
          <w:rFonts w:cs="Arial"/>
          <w:b/>
          <w:bCs/>
          <w:sz w:val="20"/>
          <w:lang w:val="en-GB"/>
        </w:rPr>
        <w:t>Data related to damages incurred, losses written off and abuses in the payment card issuance and acceptance business</w:t>
      </w:r>
    </w:p>
    <w:p w:rsidR="0083311B" w:rsidRPr="001F4F41" w:rsidRDefault="0083311B" w:rsidP="001F4F41">
      <w:pPr>
        <w:jc w:val="both"/>
        <w:rPr>
          <w:rFonts w:cs="Arial"/>
          <w:sz w:val="20"/>
        </w:rPr>
      </w:pPr>
    </w:p>
    <w:p w:rsidR="008F0CFC" w:rsidRPr="001F4F41" w:rsidRDefault="008F0CFC" w:rsidP="001F4F41">
      <w:pPr>
        <w:jc w:val="both"/>
        <w:rPr>
          <w:rFonts w:cs="Arial"/>
          <w:b/>
          <w:sz w:val="20"/>
        </w:rPr>
      </w:pPr>
      <w:r w:rsidRPr="001F4F41">
        <w:rPr>
          <w:rFonts w:cs="Arial"/>
          <w:b/>
          <w:bCs/>
          <w:sz w:val="20"/>
          <w:lang w:val="en-GB"/>
        </w:rPr>
        <w:t>I. General instructions</w:t>
      </w:r>
    </w:p>
    <w:p w:rsidR="008F0CFC" w:rsidRPr="001F4F41" w:rsidRDefault="008F0CFC" w:rsidP="001F4F41">
      <w:pPr>
        <w:jc w:val="both"/>
        <w:rPr>
          <w:rFonts w:cs="Arial"/>
          <w:sz w:val="20"/>
        </w:rPr>
      </w:pPr>
      <w:bookmarkStart w:id="0" w:name="_GoBack"/>
      <w:bookmarkEnd w:id="0"/>
    </w:p>
    <w:p w:rsidR="00E63FEF" w:rsidRPr="001F4F41" w:rsidRDefault="001F4F41" w:rsidP="001F4F41">
      <w:pPr>
        <w:jc w:val="both"/>
        <w:rPr>
          <w:rFonts w:cs="Arial"/>
          <w:sz w:val="20"/>
        </w:rPr>
      </w:pPr>
      <w:r w:rsidRPr="001F4F41">
        <w:rPr>
          <w:rFonts w:cs="Arial"/>
          <w:sz w:val="20"/>
          <w:lang w:val="en-GB"/>
        </w:rPr>
        <w:t>1</w:t>
      </w:r>
      <w:r w:rsidR="00E63FEF" w:rsidRPr="001F4F41">
        <w:rPr>
          <w:rFonts w:cs="Arial"/>
          <w:sz w:val="20"/>
          <w:lang w:val="en-GB"/>
        </w:rPr>
        <w:t>. The data of cooperative credit institutions using comprehensive services of banks, as reporting entities, are collected from the system, aggregated and submitted to the MNB in an aggregate form by the reporting entity (bank) operating the system. In the case of a sponsoring bank relationship, the data of the sponsored bank are submitted to the MNB either by the sponsored bank or by the sponsoring bank;</w:t>
      </w:r>
      <w:r w:rsidR="005565F8" w:rsidRPr="001F4F41">
        <w:rPr>
          <w:rFonts w:cs="Arial"/>
          <w:sz w:val="20"/>
          <w:lang w:val="en-GB"/>
        </w:rPr>
        <w:t xml:space="preserve"> </w:t>
      </w:r>
      <w:r w:rsidR="00E63FEF" w:rsidRPr="001F4F41">
        <w:rPr>
          <w:rFonts w:cs="Arial"/>
          <w:sz w:val="20"/>
          <w:lang w:val="en-GB"/>
        </w:rPr>
        <w:t>in the latter case, the data must be separated from its own data and the GIRO code and registration number of the sponsored bank must be indicated.</w:t>
      </w:r>
    </w:p>
    <w:p w:rsidR="00E63FEF" w:rsidRPr="001F4F41" w:rsidRDefault="00E63FEF" w:rsidP="001F4F41">
      <w:pPr>
        <w:jc w:val="both"/>
        <w:rPr>
          <w:rFonts w:cs="Arial"/>
          <w:sz w:val="20"/>
        </w:rPr>
      </w:pPr>
    </w:p>
    <w:p w:rsidR="001F4F41" w:rsidRPr="001F4F41" w:rsidRDefault="001F4F41" w:rsidP="001F4F41">
      <w:pPr>
        <w:pStyle w:val="Szvegtrzs3"/>
        <w:spacing w:after="0"/>
        <w:rPr>
          <w:rFonts w:ascii="Arial" w:hAnsi="Arial" w:cs="Arial"/>
          <w:sz w:val="20"/>
          <w:szCs w:val="20"/>
          <w:lang w:val="en-GB"/>
        </w:rPr>
      </w:pPr>
      <w:r w:rsidRPr="001F4F41">
        <w:rPr>
          <w:rFonts w:ascii="Arial" w:hAnsi="Arial" w:cs="Arial"/>
          <w:sz w:val="20"/>
          <w:szCs w:val="20"/>
          <w:lang w:val="en-GB"/>
        </w:rPr>
        <w:t xml:space="preserve">2. A glossary of terms used in the tables and in these </w:t>
      </w:r>
      <w:proofErr w:type="gramStart"/>
      <w:r w:rsidRPr="001F4F41">
        <w:rPr>
          <w:rFonts w:ascii="Arial" w:hAnsi="Arial" w:cs="Arial"/>
          <w:sz w:val="20"/>
          <w:szCs w:val="20"/>
          <w:lang w:val="en-GB"/>
        </w:rPr>
        <w:t>completion</w:t>
      </w:r>
      <w:proofErr w:type="gramEnd"/>
      <w:r w:rsidRPr="001F4F41">
        <w:rPr>
          <w:rFonts w:ascii="Arial" w:hAnsi="Arial" w:cs="Arial"/>
          <w:sz w:val="20"/>
          <w:szCs w:val="20"/>
          <w:lang w:val="en-GB"/>
        </w:rPr>
        <w:t xml:space="preserve"> instructions is located in point </w:t>
      </w:r>
      <w:proofErr w:type="spellStart"/>
      <w:r w:rsidRPr="001F4F41">
        <w:rPr>
          <w:rFonts w:ascii="Arial" w:hAnsi="Arial" w:cs="Arial"/>
          <w:sz w:val="20"/>
          <w:szCs w:val="20"/>
          <w:lang w:val="en-GB"/>
        </w:rPr>
        <w:t>I.A</w:t>
      </w:r>
      <w:proofErr w:type="spellEnd"/>
      <w:r w:rsidRPr="001F4F41">
        <w:rPr>
          <w:rFonts w:ascii="Arial" w:hAnsi="Arial" w:cs="Arial"/>
          <w:sz w:val="20"/>
          <w:szCs w:val="20"/>
          <w:lang w:val="en-GB"/>
        </w:rPr>
        <w:t xml:space="preserve"> of this Annex.</w:t>
      </w:r>
    </w:p>
    <w:p w:rsidR="001F4F41" w:rsidRPr="001F4F41" w:rsidRDefault="001F4F41" w:rsidP="001F4F41">
      <w:pPr>
        <w:pStyle w:val="Szvegtrzs3"/>
        <w:spacing w:after="0"/>
        <w:rPr>
          <w:rFonts w:ascii="Arial" w:hAnsi="Arial" w:cs="Arial"/>
          <w:sz w:val="20"/>
          <w:szCs w:val="20"/>
          <w:lang w:val="en-GB"/>
        </w:rPr>
      </w:pPr>
    </w:p>
    <w:p w:rsidR="001F4F41" w:rsidRPr="001F4F41" w:rsidRDefault="001F4F41" w:rsidP="001F4F41">
      <w:pPr>
        <w:jc w:val="both"/>
        <w:rPr>
          <w:rFonts w:cs="Arial"/>
          <w:sz w:val="20"/>
        </w:rPr>
      </w:pPr>
      <w:r w:rsidRPr="001F4F41">
        <w:rPr>
          <w:rFonts w:cs="Arial"/>
          <w:sz w:val="20"/>
          <w:lang w:val="en-GB"/>
        </w:rPr>
        <w:t xml:space="preserve">3. The codes necessary for filling the tables and the methodological and technical guidelines are included in the technical manuals specified in Section 4.8 and 9. of Annex 3 hereto, published on the MNB website. </w:t>
      </w:r>
    </w:p>
    <w:p w:rsidR="001F4F41" w:rsidRPr="001F4F41" w:rsidRDefault="001F4F41" w:rsidP="001F4F41">
      <w:pPr>
        <w:jc w:val="both"/>
        <w:rPr>
          <w:rFonts w:cs="Arial"/>
          <w:sz w:val="20"/>
        </w:rPr>
      </w:pPr>
    </w:p>
    <w:p w:rsidR="001F4F41" w:rsidRPr="001F4F41" w:rsidRDefault="001F4F41" w:rsidP="001F4F41">
      <w:pPr>
        <w:jc w:val="both"/>
        <w:rPr>
          <w:rFonts w:cs="Arial"/>
          <w:sz w:val="20"/>
          <w:lang w:val="en-GB"/>
        </w:rPr>
      </w:pPr>
      <w:r w:rsidRPr="001F4F41">
        <w:rPr>
          <w:rFonts w:cs="Arial"/>
          <w:sz w:val="20"/>
          <w:lang w:val="en-GB"/>
        </w:rPr>
        <w:t xml:space="preserve">4. Correlations between the specific tables and rules of </w:t>
      </w:r>
      <w:r w:rsidRPr="001F4F41">
        <w:rPr>
          <w:rFonts w:cs="Arial"/>
          <w:sz w:val="20"/>
          <w:lang w:val="en-US" w:eastAsia="en-US"/>
        </w:rPr>
        <w:t>individual control of reports</w:t>
      </w:r>
      <w:r w:rsidRPr="001F4F41">
        <w:rPr>
          <w:rFonts w:cs="Arial"/>
          <w:sz w:val="20"/>
          <w:lang w:val="en-GB"/>
        </w:rPr>
        <w:t xml:space="preserve"> as per point 5 of Annex 3 are listed in the technical guidelines, published on the MNB website.</w:t>
      </w:r>
    </w:p>
    <w:p w:rsidR="008F0CFC" w:rsidRPr="001F4F41" w:rsidRDefault="008F0CFC" w:rsidP="001F4F41">
      <w:pPr>
        <w:jc w:val="both"/>
        <w:rPr>
          <w:rFonts w:cs="Arial"/>
          <w:sz w:val="20"/>
          <w:lang w:val="en-GB"/>
        </w:rPr>
      </w:pPr>
    </w:p>
    <w:p w:rsidR="001F4F41" w:rsidRDefault="001F4F41" w:rsidP="001F4F41">
      <w:pPr>
        <w:jc w:val="both"/>
        <w:rPr>
          <w:rFonts w:cs="Arial"/>
          <w:b/>
          <w:bCs/>
          <w:sz w:val="20"/>
          <w:lang w:val="en-GB"/>
        </w:rPr>
      </w:pPr>
    </w:p>
    <w:p w:rsidR="008F0CFC" w:rsidRPr="001F4F41" w:rsidRDefault="008F0CFC" w:rsidP="001F4F41">
      <w:pPr>
        <w:jc w:val="both"/>
        <w:rPr>
          <w:rFonts w:cs="Arial"/>
          <w:b/>
          <w:sz w:val="20"/>
        </w:rPr>
      </w:pPr>
      <w:r w:rsidRPr="001F4F41">
        <w:rPr>
          <w:rFonts w:cs="Arial"/>
          <w:b/>
          <w:bCs/>
          <w:sz w:val="20"/>
          <w:lang w:val="en-GB"/>
        </w:rPr>
        <w:t>II. Detailed information related to the filling of the tables</w:t>
      </w:r>
    </w:p>
    <w:p w:rsidR="00A13E4A" w:rsidRPr="001F4F41" w:rsidRDefault="00A13E4A" w:rsidP="001F4F41">
      <w:pPr>
        <w:jc w:val="both"/>
        <w:rPr>
          <w:rFonts w:cs="Arial"/>
          <w:b/>
          <w:sz w:val="20"/>
        </w:rPr>
      </w:pPr>
    </w:p>
    <w:p w:rsidR="003F7DE4" w:rsidRPr="001F4F41" w:rsidRDefault="003F7DE4" w:rsidP="001F4F41">
      <w:pPr>
        <w:jc w:val="both"/>
        <w:rPr>
          <w:rFonts w:cs="Arial"/>
          <w:b/>
          <w:sz w:val="20"/>
        </w:rPr>
      </w:pPr>
      <w:r w:rsidRPr="001F4F41">
        <w:rPr>
          <w:rFonts w:cs="Arial"/>
          <w:b/>
          <w:bCs/>
          <w:sz w:val="20"/>
          <w:lang w:val="en-GB"/>
        </w:rPr>
        <w:t>Table 01: Loss incurred in the payment card issuance and acquiring business in the reporting period and losses written off</w:t>
      </w:r>
    </w:p>
    <w:p w:rsidR="0083311B" w:rsidRPr="001F4F41" w:rsidRDefault="0083311B" w:rsidP="001F4F41">
      <w:pPr>
        <w:jc w:val="both"/>
        <w:rPr>
          <w:rFonts w:cs="Arial"/>
          <w:b/>
          <w:sz w:val="20"/>
        </w:rPr>
      </w:pPr>
    </w:p>
    <w:p w:rsidR="003F7DE4" w:rsidRPr="001F4F41" w:rsidRDefault="003F7DE4" w:rsidP="001F4F41">
      <w:pPr>
        <w:jc w:val="both"/>
        <w:rPr>
          <w:rFonts w:cs="Arial"/>
          <w:sz w:val="20"/>
        </w:rPr>
      </w:pPr>
      <w:r w:rsidRPr="001F4F41">
        <w:rPr>
          <w:rFonts w:cs="Arial"/>
          <w:sz w:val="20"/>
          <w:lang w:val="en-GB"/>
        </w:rPr>
        <w:t>Abuses committed against the owner of the ATM shall be reported by the reporting entity that provides the service on the ATM equipment (acquiring institution ID), irrespective of whether it uses its own ATM network or operated by another organisation.</w:t>
      </w:r>
    </w:p>
    <w:p w:rsidR="00A13E4A" w:rsidRPr="001F4F41" w:rsidRDefault="00A13E4A" w:rsidP="001F4F41">
      <w:pPr>
        <w:jc w:val="both"/>
        <w:rPr>
          <w:rFonts w:cs="Arial"/>
          <w:sz w:val="20"/>
        </w:rPr>
      </w:pPr>
    </w:p>
    <w:p w:rsidR="00D05A67" w:rsidRPr="001F4F41" w:rsidRDefault="005565F8" w:rsidP="001F4F41">
      <w:pPr>
        <w:jc w:val="both"/>
        <w:rPr>
          <w:rFonts w:cs="Arial"/>
          <w:b/>
          <w:sz w:val="20"/>
        </w:rPr>
      </w:pPr>
      <w:r w:rsidRPr="001F4F41">
        <w:rPr>
          <w:rFonts w:cs="Arial"/>
          <w:b/>
          <w:bCs/>
          <w:sz w:val="20"/>
          <w:lang w:val="en-GB"/>
        </w:rPr>
        <w:t>Table 02</w:t>
      </w:r>
      <w:r w:rsidR="0083311B" w:rsidRPr="001F4F41">
        <w:rPr>
          <w:rFonts w:cs="Arial"/>
          <w:b/>
          <w:bCs/>
          <w:sz w:val="20"/>
          <w:lang w:val="en-GB"/>
        </w:rPr>
        <w:t>:</w:t>
      </w:r>
      <w:r w:rsidR="007C4488" w:rsidRPr="001F4F41">
        <w:rPr>
          <w:rFonts w:cs="Arial"/>
          <w:b/>
          <w:bCs/>
          <w:sz w:val="20"/>
          <w:lang w:val="en-GB"/>
        </w:rPr>
        <w:t xml:space="preserve"> Fraud rate statistics in the payment card issuance business in the reporting period</w:t>
      </w:r>
      <w:r w:rsidRPr="001F4F41">
        <w:rPr>
          <w:rFonts w:cs="Arial"/>
          <w:b/>
          <w:bCs/>
          <w:sz w:val="20"/>
          <w:lang w:val="en-GB"/>
        </w:rPr>
        <w:t xml:space="preserve"> </w:t>
      </w:r>
    </w:p>
    <w:p w:rsidR="00311480" w:rsidRPr="001F4F41" w:rsidRDefault="00311480" w:rsidP="001F4F41">
      <w:pPr>
        <w:jc w:val="both"/>
        <w:rPr>
          <w:rFonts w:cs="Arial"/>
          <w:b/>
          <w:sz w:val="20"/>
        </w:rPr>
      </w:pPr>
    </w:p>
    <w:p w:rsidR="00D05A67" w:rsidRPr="001F4F41" w:rsidRDefault="001F4F41" w:rsidP="001F4F41">
      <w:pPr>
        <w:jc w:val="both"/>
        <w:rPr>
          <w:rFonts w:cs="Arial"/>
          <w:sz w:val="20"/>
        </w:rPr>
      </w:pPr>
      <w:r w:rsidRPr="001F4F41">
        <w:rPr>
          <w:rFonts w:cs="Arial"/>
          <w:sz w:val="20"/>
          <w:lang w:val="en-GB"/>
        </w:rPr>
        <w:t>Completion reports of Table 04 of report MNB ID Code P12</w:t>
      </w:r>
      <w:r>
        <w:rPr>
          <w:rFonts w:cs="Arial"/>
          <w:sz w:val="20"/>
          <w:lang w:val="en-GB"/>
        </w:rPr>
        <w:t xml:space="preserve"> shall</w:t>
      </w:r>
      <w:r w:rsidRPr="001F4F41">
        <w:rPr>
          <w:rFonts w:cs="Arial"/>
          <w:sz w:val="20"/>
          <w:lang w:val="en-GB"/>
        </w:rPr>
        <w:t xml:space="preserve"> apply with the exception that </w:t>
      </w:r>
      <w:r w:rsidR="007C4488" w:rsidRPr="001F4F41">
        <w:rPr>
          <w:rFonts w:cs="Arial"/>
          <w:sz w:val="20"/>
          <w:lang w:val="en-GB"/>
        </w:rPr>
        <w:t>column “d” shall indicate the transaction type, i.e. the respective abuse occurred in connection with card turnover.</w:t>
      </w:r>
    </w:p>
    <w:sectPr w:rsidR="00D05A67" w:rsidRPr="001F4F41">
      <w:headerReference w:type="default" r:id="rId8"/>
      <w:footerReference w:type="default" r:id="rId9"/>
      <w:pgSz w:w="11906" w:h="16838"/>
      <w:pgMar w:top="1191" w:right="1418" w:bottom="119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217" w:rsidRDefault="00166217" w:rsidP="0024589C">
      <w:r>
        <w:separator/>
      </w:r>
    </w:p>
  </w:endnote>
  <w:endnote w:type="continuationSeparator" w:id="0">
    <w:p w:rsidR="00166217" w:rsidRDefault="00166217" w:rsidP="00245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0CB3" w:rsidRDefault="007A0CB3">
    <w:pPr>
      <w:pStyle w:val="llb"/>
      <w:jc w:val="right"/>
    </w:pPr>
    <w:r>
      <w:rPr>
        <w:lang w:val="en-GB"/>
      </w:rPr>
      <w:fldChar w:fldCharType="begin"/>
    </w:r>
    <w:r>
      <w:rPr>
        <w:lang w:val="en-GB"/>
      </w:rPr>
      <w:instrText>PAGE   \* MERGEFORMAT</w:instrText>
    </w:r>
    <w:r>
      <w:rPr>
        <w:lang w:val="en-GB"/>
      </w:rPr>
      <w:fldChar w:fldCharType="separate"/>
    </w:r>
    <w:r w:rsidR="005565F8">
      <w:rPr>
        <w:noProof/>
        <w:lang w:val="en-GB"/>
      </w:rPr>
      <w:t>7</w:t>
    </w:r>
    <w:r>
      <w:rPr>
        <w:lang w:val="en-GB"/>
      </w:rPr>
      <w:fldChar w:fldCharType="end"/>
    </w:r>
  </w:p>
  <w:p w:rsidR="007A0CB3" w:rsidRDefault="007A0CB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217" w:rsidRDefault="00166217" w:rsidP="0024589C">
      <w:r>
        <w:separator/>
      </w:r>
    </w:p>
  </w:footnote>
  <w:footnote w:type="continuationSeparator" w:id="0">
    <w:p w:rsidR="00166217" w:rsidRDefault="00166217" w:rsidP="00245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C01" w:rsidRDefault="00E56C0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E7703"/>
    <w:multiLevelType w:val="hybridMultilevel"/>
    <w:tmpl w:val="9DA41008"/>
    <w:lvl w:ilvl="0" w:tplc="B55C296C">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3060F9B"/>
    <w:multiLevelType w:val="hybridMultilevel"/>
    <w:tmpl w:val="4D88C7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5673D12"/>
    <w:multiLevelType w:val="hybridMultilevel"/>
    <w:tmpl w:val="7EFE5182"/>
    <w:lvl w:ilvl="0" w:tplc="0F64C364">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16ED370D"/>
    <w:multiLevelType w:val="hybridMultilevel"/>
    <w:tmpl w:val="5276D1B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EED2F76"/>
    <w:multiLevelType w:val="hybridMultilevel"/>
    <w:tmpl w:val="7E4A6E0C"/>
    <w:lvl w:ilvl="0" w:tplc="F1001F84">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D62353A"/>
    <w:multiLevelType w:val="hybridMultilevel"/>
    <w:tmpl w:val="4A86561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F3E1AC0"/>
    <w:multiLevelType w:val="multilevel"/>
    <w:tmpl w:val="FF2250A2"/>
    <w:lvl w:ilvl="0">
      <w:start w:val="1"/>
      <w:numFmt w:val="decimal"/>
      <w:lvlText w:val="Guideline %1:"/>
      <w:lvlJc w:val="left"/>
      <w:pPr>
        <w:ind w:left="1920" w:hanging="360"/>
      </w:pPr>
      <w:rPr>
        <w:rFonts w:hint="default"/>
      </w:rPr>
    </w:lvl>
    <w:lvl w:ilvl="1">
      <w:start w:val="1"/>
      <w:numFmt w:val="decimal"/>
      <w:lvlText w:val="%1.%2."/>
      <w:lvlJc w:val="left"/>
      <w:pPr>
        <w:ind w:left="7" w:hanging="432"/>
      </w:pPr>
      <w:rPr>
        <w:rFonts w:hint="default"/>
        <w:b w:val="0"/>
      </w:rPr>
    </w:lvl>
    <w:lvl w:ilvl="2">
      <w:start w:val="1"/>
      <w:numFmt w:val="lowerLetter"/>
      <w:lvlText w:val="%3."/>
      <w:lvlJc w:val="left"/>
      <w:pPr>
        <w:ind w:left="657" w:hanging="504"/>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8" w15:restartNumberingAfterBreak="0">
    <w:nsid w:val="35A66E9F"/>
    <w:multiLevelType w:val="hybridMultilevel"/>
    <w:tmpl w:val="B768B17A"/>
    <w:lvl w:ilvl="0" w:tplc="DEC27966">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37EC1662"/>
    <w:multiLevelType w:val="hybridMultilevel"/>
    <w:tmpl w:val="A37EBD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C647EFF"/>
    <w:multiLevelType w:val="singleLevel"/>
    <w:tmpl w:val="324852BA"/>
    <w:lvl w:ilvl="0">
      <w:start w:val="1"/>
      <w:numFmt w:val="lowerLetter"/>
      <w:lvlText w:val="%1."/>
      <w:lvlJc w:val="left"/>
      <w:pPr>
        <w:tabs>
          <w:tab w:val="num" w:pos="360"/>
        </w:tabs>
        <w:ind w:left="360" w:hanging="360"/>
      </w:pPr>
      <w:rPr>
        <w:rFonts w:ascii="Calibri" w:eastAsia="Times New Roman" w:hAnsi="Calibri" w:cs="Times New Roman" w:hint="default"/>
      </w:rPr>
    </w:lvl>
  </w:abstractNum>
  <w:abstractNum w:abstractNumId="11" w15:restartNumberingAfterBreak="0">
    <w:nsid w:val="4538296B"/>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635D386B"/>
    <w:multiLevelType w:val="hybridMultilevel"/>
    <w:tmpl w:val="58C4A826"/>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659D0359"/>
    <w:multiLevelType w:val="hybridMultilevel"/>
    <w:tmpl w:val="660EA978"/>
    <w:lvl w:ilvl="0" w:tplc="D428B8B4">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79A539B"/>
    <w:multiLevelType w:val="hybridMultilevel"/>
    <w:tmpl w:val="33CC6D1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6AF9169E"/>
    <w:multiLevelType w:val="hybridMultilevel"/>
    <w:tmpl w:val="B22CF99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71ED654E"/>
    <w:multiLevelType w:val="singleLevel"/>
    <w:tmpl w:val="0C09000F"/>
    <w:lvl w:ilvl="0">
      <w:start w:val="1"/>
      <w:numFmt w:val="decimal"/>
      <w:lvlText w:val="%1."/>
      <w:lvlJc w:val="left"/>
      <w:pPr>
        <w:tabs>
          <w:tab w:val="num" w:pos="360"/>
        </w:tabs>
        <w:ind w:left="360" w:hanging="360"/>
      </w:pPr>
    </w:lvl>
  </w:abstractNum>
  <w:abstractNum w:abstractNumId="17" w15:restartNumberingAfterBreak="0">
    <w:nsid w:val="77473809"/>
    <w:multiLevelType w:val="singleLevel"/>
    <w:tmpl w:val="747C48BE"/>
    <w:lvl w:ilvl="0">
      <w:start w:val="3"/>
      <w:numFmt w:val="decimal"/>
      <w:lvlText w:val="%1."/>
      <w:lvlJc w:val="left"/>
      <w:pPr>
        <w:tabs>
          <w:tab w:val="num" w:pos="360"/>
        </w:tabs>
        <w:ind w:left="360" w:hanging="360"/>
      </w:pPr>
    </w:lvl>
  </w:abstractNum>
  <w:abstractNum w:abstractNumId="18" w15:restartNumberingAfterBreak="0">
    <w:nsid w:val="78E53A59"/>
    <w:multiLevelType w:val="hybridMultilevel"/>
    <w:tmpl w:val="787EFEA8"/>
    <w:lvl w:ilvl="0" w:tplc="DF58C7D8">
      <w:start w:val="1"/>
      <w:numFmt w:val="lowerLetter"/>
      <w:lvlText w:val="%1."/>
      <w:lvlJc w:val="left"/>
      <w:pPr>
        <w:ind w:left="1080" w:hanging="360"/>
      </w:pPr>
      <w:rPr>
        <w:rFonts w:hint="default"/>
      </w:rPr>
    </w:lvl>
    <w:lvl w:ilvl="1" w:tplc="5D1EC05A" w:tentative="1">
      <w:start w:val="1"/>
      <w:numFmt w:val="bullet"/>
      <w:lvlText w:val="o"/>
      <w:lvlJc w:val="left"/>
      <w:pPr>
        <w:ind w:left="1800" w:hanging="360"/>
      </w:pPr>
      <w:rPr>
        <w:rFonts w:ascii="Courier New" w:hAnsi="Courier New" w:cs="Courier New" w:hint="default"/>
      </w:rPr>
    </w:lvl>
    <w:lvl w:ilvl="2" w:tplc="DC506ACC" w:tentative="1">
      <w:start w:val="1"/>
      <w:numFmt w:val="bullet"/>
      <w:lvlText w:val=""/>
      <w:lvlJc w:val="left"/>
      <w:pPr>
        <w:ind w:left="2520" w:hanging="360"/>
      </w:pPr>
      <w:rPr>
        <w:rFonts w:ascii="Wingdings" w:hAnsi="Wingdings" w:hint="default"/>
      </w:rPr>
    </w:lvl>
    <w:lvl w:ilvl="3" w:tplc="B334690E" w:tentative="1">
      <w:start w:val="1"/>
      <w:numFmt w:val="bullet"/>
      <w:lvlText w:val=""/>
      <w:lvlJc w:val="left"/>
      <w:pPr>
        <w:ind w:left="3240" w:hanging="360"/>
      </w:pPr>
      <w:rPr>
        <w:rFonts w:ascii="Symbol" w:hAnsi="Symbol" w:hint="default"/>
      </w:rPr>
    </w:lvl>
    <w:lvl w:ilvl="4" w:tplc="D63EC61E" w:tentative="1">
      <w:start w:val="1"/>
      <w:numFmt w:val="bullet"/>
      <w:lvlText w:val="o"/>
      <w:lvlJc w:val="left"/>
      <w:pPr>
        <w:ind w:left="3960" w:hanging="360"/>
      </w:pPr>
      <w:rPr>
        <w:rFonts w:ascii="Courier New" w:hAnsi="Courier New" w:cs="Courier New" w:hint="default"/>
      </w:rPr>
    </w:lvl>
    <w:lvl w:ilvl="5" w:tplc="E40643C6" w:tentative="1">
      <w:start w:val="1"/>
      <w:numFmt w:val="bullet"/>
      <w:lvlText w:val=""/>
      <w:lvlJc w:val="left"/>
      <w:pPr>
        <w:ind w:left="4680" w:hanging="360"/>
      </w:pPr>
      <w:rPr>
        <w:rFonts w:ascii="Wingdings" w:hAnsi="Wingdings" w:hint="default"/>
      </w:rPr>
    </w:lvl>
    <w:lvl w:ilvl="6" w:tplc="4E2C74B4" w:tentative="1">
      <w:start w:val="1"/>
      <w:numFmt w:val="bullet"/>
      <w:lvlText w:val=""/>
      <w:lvlJc w:val="left"/>
      <w:pPr>
        <w:ind w:left="5400" w:hanging="360"/>
      </w:pPr>
      <w:rPr>
        <w:rFonts w:ascii="Symbol" w:hAnsi="Symbol" w:hint="default"/>
      </w:rPr>
    </w:lvl>
    <w:lvl w:ilvl="7" w:tplc="8D7C483C" w:tentative="1">
      <w:start w:val="1"/>
      <w:numFmt w:val="bullet"/>
      <w:lvlText w:val="o"/>
      <w:lvlJc w:val="left"/>
      <w:pPr>
        <w:ind w:left="6120" w:hanging="360"/>
      </w:pPr>
      <w:rPr>
        <w:rFonts w:ascii="Courier New" w:hAnsi="Courier New" w:cs="Courier New" w:hint="default"/>
      </w:rPr>
    </w:lvl>
    <w:lvl w:ilvl="8" w:tplc="BD2A8A4C" w:tentative="1">
      <w:start w:val="1"/>
      <w:numFmt w:val="bullet"/>
      <w:lvlText w:val=""/>
      <w:lvlJc w:val="left"/>
      <w:pPr>
        <w:ind w:left="6840" w:hanging="360"/>
      </w:pPr>
      <w:rPr>
        <w:rFonts w:ascii="Wingdings" w:hAnsi="Wingdings" w:hint="default"/>
      </w:rPr>
    </w:lvl>
  </w:abstractNum>
  <w:num w:numId="1">
    <w:abstractNumId w:val="16"/>
  </w:num>
  <w:num w:numId="2">
    <w:abstractNumId w:val="10"/>
  </w:num>
  <w:num w:numId="3">
    <w:abstractNumId w:val="11"/>
  </w:num>
  <w:num w:numId="4">
    <w:abstractNumId w:val="17"/>
  </w:num>
  <w:num w:numId="5">
    <w:abstractNumId w:val="1"/>
  </w:num>
  <w:num w:numId="6">
    <w:abstractNumId w:val="5"/>
  </w:num>
  <w:num w:numId="7">
    <w:abstractNumId w:val="4"/>
  </w:num>
  <w:num w:numId="8">
    <w:abstractNumId w:val="0"/>
  </w:num>
  <w:num w:numId="9">
    <w:abstractNumId w:val="8"/>
  </w:num>
  <w:num w:numId="10">
    <w:abstractNumId w:val="2"/>
  </w:num>
  <w:num w:numId="11">
    <w:abstractNumId w:val="14"/>
  </w:num>
  <w:num w:numId="12">
    <w:abstractNumId w:val="9"/>
  </w:num>
  <w:num w:numId="13">
    <w:abstractNumId w:val="6"/>
  </w:num>
  <w:num w:numId="14">
    <w:abstractNumId w:val="13"/>
  </w:num>
  <w:num w:numId="15">
    <w:abstractNumId w:val="15"/>
  </w:num>
  <w:num w:numId="16">
    <w:abstractNumId w:val="18"/>
  </w:num>
  <w:num w:numId="17">
    <w:abstractNumId w:val="12"/>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244"/>
    <w:rsid w:val="0001096A"/>
    <w:rsid w:val="000162B8"/>
    <w:rsid w:val="00016BC7"/>
    <w:rsid w:val="00027D33"/>
    <w:rsid w:val="00041256"/>
    <w:rsid w:val="00045BCC"/>
    <w:rsid w:val="000606EA"/>
    <w:rsid w:val="00063884"/>
    <w:rsid w:val="0006641F"/>
    <w:rsid w:val="000706A2"/>
    <w:rsid w:val="00075A44"/>
    <w:rsid w:val="000766EE"/>
    <w:rsid w:val="000808A0"/>
    <w:rsid w:val="0008683B"/>
    <w:rsid w:val="000A496C"/>
    <w:rsid w:val="000B42A2"/>
    <w:rsid w:val="000B58E3"/>
    <w:rsid w:val="000B72EF"/>
    <w:rsid w:val="000D021C"/>
    <w:rsid w:val="000E4AEE"/>
    <w:rsid w:val="001012CA"/>
    <w:rsid w:val="00105EBC"/>
    <w:rsid w:val="001063FD"/>
    <w:rsid w:val="0011391D"/>
    <w:rsid w:val="001269E3"/>
    <w:rsid w:val="00144FF0"/>
    <w:rsid w:val="00166217"/>
    <w:rsid w:val="001903EC"/>
    <w:rsid w:val="00193D28"/>
    <w:rsid w:val="001B0103"/>
    <w:rsid w:val="001B6DF6"/>
    <w:rsid w:val="001D7536"/>
    <w:rsid w:val="001E5412"/>
    <w:rsid w:val="001F227A"/>
    <w:rsid w:val="001F4F41"/>
    <w:rsid w:val="001F55D8"/>
    <w:rsid w:val="00201FE0"/>
    <w:rsid w:val="00212BED"/>
    <w:rsid w:val="00221AFA"/>
    <w:rsid w:val="002306B4"/>
    <w:rsid w:val="00234511"/>
    <w:rsid w:val="0024589C"/>
    <w:rsid w:val="00266427"/>
    <w:rsid w:val="00271952"/>
    <w:rsid w:val="00277B34"/>
    <w:rsid w:val="00285256"/>
    <w:rsid w:val="00286E67"/>
    <w:rsid w:val="002A2C97"/>
    <w:rsid w:val="002B220B"/>
    <w:rsid w:val="002C59EC"/>
    <w:rsid w:val="002D33C4"/>
    <w:rsid w:val="002E7D26"/>
    <w:rsid w:val="002F0EB1"/>
    <w:rsid w:val="002F3F55"/>
    <w:rsid w:val="003052A6"/>
    <w:rsid w:val="00311480"/>
    <w:rsid w:val="00311DDA"/>
    <w:rsid w:val="00311ECA"/>
    <w:rsid w:val="00311EED"/>
    <w:rsid w:val="0032117C"/>
    <w:rsid w:val="003365C8"/>
    <w:rsid w:val="0034688B"/>
    <w:rsid w:val="0034702A"/>
    <w:rsid w:val="00350860"/>
    <w:rsid w:val="00355A36"/>
    <w:rsid w:val="00363FEE"/>
    <w:rsid w:val="00384EED"/>
    <w:rsid w:val="003B3496"/>
    <w:rsid w:val="003B3A55"/>
    <w:rsid w:val="003B78D7"/>
    <w:rsid w:val="003C4693"/>
    <w:rsid w:val="003D0C2C"/>
    <w:rsid w:val="003D76DD"/>
    <w:rsid w:val="003F7DE4"/>
    <w:rsid w:val="00401CF4"/>
    <w:rsid w:val="004079CB"/>
    <w:rsid w:val="00421C5B"/>
    <w:rsid w:val="0042436F"/>
    <w:rsid w:val="00427A47"/>
    <w:rsid w:val="00437B48"/>
    <w:rsid w:val="00445D71"/>
    <w:rsid w:val="00464A2C"/>
    <w:rsid w:val="004663AB"/>
    <w:rsid w:val="00470A93"/>
    <w:rsid w:val="0047605F"/>
    <w:rsid w:val="004769AF"/>
    <w:rsid w:val="00476A53"/>
    <w:rsid w:val="0048201E"/>
    <w:rsid w:val="004915A0"/>
    <w:rsid w:val="004A1B8C"/>
    <w:rsid w:val="004A451A"/>
    <w:rsid w:val="004A5A90"/>
    <w:rsid w:val="004B2C67"/>
    <w:rsid w:val="004D4499"/>
    <w:rsid w:val="004D7F74"/>
    <w:rsid w:val="004E3E8E"/>
    <w:rsid w:val="00506E3D"/>
    <w:rsid w:val="005103D7"/>
    <w:rsid w:val="00524D5B"/>
    <w:rsid w:val="00537A94"/>
    <w:rsid w:val="00540CBF"/>
    <w:rsid w:val="00541E40"/>
    <w:rsid w:val="005434E5"/>
    <w:rsid w:val="00544B44"/>
    <w:rsid w:val="005540DD"/>
    <w:rsid w:val="005565F8"/>
    <w:rsid w:val="005644F4"/>
    <w:rsid w:val="00566063"/>
    <w:rsid w:val="005A0264"/>
    <w:rsid w:val="005A1848"/>
    <w:rsid w:val="005A3D16"/>
    <w:rsid w:val="005C6671"/>
    <w:rsid w:val="005E2DC1"/>
    <w:rsid w:val="005E3851"/>
    <w:rsid w:val="005F34FE"/>
    <w:rsid w:val="005F5671"/>
    <w:rsid w:val="005F65B4"/>
    <w:rsid w:val="00622A36"/>
    <w:rsid w:val="00623674"/>
    <w:rsid w:val="00625D84"/>
    <w:rsid w:val="00630A43"/>
    <w:rsid w:val="00642648"/>
    <w:rsid w:val="006449C1"/>
    <w:rsid w:val="00644C0F"/>
    <w:rsid w:val="006506EE"/>
    <w:rsid w:val="00670701"/>
    <w:rsid w:val="006720D5"/>
    <w:rsid w:val="006A4CA0"/>
    <w:rsid w:val="006A54E1"/>
    <w:rsid w:val="006A6E4E"/>
    <w:rsid w:val="006A7BAD"/>
    <w:rsid w:val="006B7B35"/>
    <w:rsid w:val="006C677F"/>
    <w:rsid w:val="006C6ADE"/>
    <w:rsid w:val="006C6BF3"/>
    <w:rsid w:val="006D5A2F"/>
    <w:rsid w:val="006F01FB"/>
    <w:rsid w:val="00700350"/>
    <w:rsid w:val="00701A05"/>
    <w:rsid w:val="007118E0"/>
    <w:rsid w:val="0072452C"/>
    <w:rsid w:val="00740D77"/>
    <w:rsid w:val="00740D9D"/>
    <w:rsid w:val="00743424"/>
    <w:rsid w:val="00751D57"/>
    <w:rsid w:val="007724C0"/>
    <w:rsid w:val="00786159"/>
    <w:rsid w:val="007923B7"/>
    <w:rsid w:val="007942BE"/>
    <w:rsid w:val="007A0CB3"/>
    <w:rsid w:val="007A1D39"/>
    <w:rsid w:val="007B7D0B"/>
    <w:rsid w:val="007C05CD"/>
    <w:rsid w:val="007C4488"/>
    <w:rsid w:val="007C46D6"/>
    <w:rsid w:val="007D06FB"/>
    <w:rsid w:val="007D0F2A"/>
    <w:rsid w:val="007D3B49"/>
    <w:rsid w:val="007D4A05"/>
    <w:rsid w:val="008010AA"/>
    <w:rsid w:val="00822DB4"/>
    <w:rsid w:val="0083311B"/>
    <w:rsid w:val="0083723F"/>
    <w:rsid w:val="00842B03"/>
    <w:rsid w:val="00860A60"/>
    <w:rsid w:val="00861D88"/>
    <w:rsid w:val="00866C37"/>
    <w:rsid w:val="00871DC7"/>
    <w:rsid w:val="008779AB"/>
    <w:rsid w:val="0088246D"/>
    <w:rsid w:val="008904EB"/>
    <w:rsid w:val="00895FAE"/>
    <w:rsid w:val="008A765B"/>
    <w:rsid w:val="008A78B7"/>
    <w:rsid w:val="008C24B2"/>
    <w:rsid w:val="008C3A3A"/>
    <w:rsid w:val="008D3802"/>
    <w:rsid w:val="008E3DFC"/>
    <w:rsid w:val="008E5EDA"/>
    <w:rsid w:val="008E650E"/>
    <w:rsid w:val="008E764A"/>
    <w:rsid w:val="008F0CFC"/>
    <w:rsid w:val="008F3E6E"/>
    <w:rsid w:val="00903558"/>
    <w:rsid w:val="00912BD0"/>
    <w:rsid w:val="00913C08"/>
    <w:rsid w:val="00915617"/>
    <w:rsid w:val="009245B3"/>
    <w:rsid w:val="00931668"/>
    <w:rsid w:val="009343E9"/>
    <w:rsid w:val="00942138"/>
    <w:rsid w:val="00944C6F"/>
    <w:rsid w:val="009622F4"/>
    <w:rsid w:val="00985D46"/>
    <w:rsid w:val="00986379"/>
    <w:rsid w:val="00986A53"/>
    <w:rsid w:val="00990DC5"/>
    <w:rsid w:val="009935A7"/>
    <w:rsid w:val="009964DE"/>
    <w:rsid w:val="009977B1"/>
    <w:rsid w:val="009B51E4"/>
    <w:rsid w:val="009B5C59"/>
    <w:rsid w:val="009C5806"/>
    <w:rsid w:val="009D72EF"/>
    <w:rsid w:val="009D7300"/>
    <w:rsid w:val="009E1DAA"/>
    <w:rsid w:val="009F5CA7"/>
    <w:rsid w:val="009F677E"/>
    <w:rsid w:val="00A00F5D"/>
    <w:rsid w:val="00A11EB0"/>
    <w:rsid w:val="00A13E4A"/>
    <w:rsid w:val="00A1598C"/>
    <w:rsid w:val="00A2011F"/>
    <w:rsid w:val="00A44B9C"/>
    <w:rsid w:val="00A57F1A"/>
    <w:rsid w:val="00A653C1"/>
    <w:rsid w:val="00A661FC"/>
    <w:rsid w:val="00A72264"/>
    <w:rsid w:val="00A76BAA"/>
    <w:rsid w:val="00A8288B"/>
    <w:rsid w:val="00A842E5"/>
    <w:rsid w:val="00A92830"/>
    <w:rsid w:val="00AA7551"/>
    <w:rsid w:val="00AB6C64"/>
    <w:rsid w:val="00AB700F"/>
    <w:rsid w:val="00AE6B8F"/>
    <w:rsid w:val="00AF1202"/>
    <w:rsid w:val="00AF1DAA"/>
    <w:rsid w:val="00B116FD"/>
    <w:rsid w:val="00B322CF"/>
    <w:rsid w:val="00B44FB2"/>
    <w:rsid w:val="00B538AF"/>
    <w:rsid w:val="00B57C95"/>
    <w:rsid w:val="00B73019"/>
    <w:rsid w:val="00B81633"/>
    <w:rsid w:val="00B9325C"/>
    <w:rsid w:val="00B97E31"/>
    <w:rsid w:val="00BA537D"/>
    <w:rsid w:val="00BA77AA"/>
    <w:rsid w:val="00BD0FAC"/>
    <w:rsid w:val="00BD3542"/>
    <w:rsid w:val="00BD7CE5"/>
    <w:rsid w:val="00BE713A"/>
    <w:rsid w:val="00C03A01"/>
    <w:rsid w:val="00C128E7"/>
    <w:rsid w:val="00C26420"/>
    <w:rsid w:val="00C37D4C"/>
    <w:rsid w:val="00C43A48"/>
    <w:rsid w:val="00C53696"/>
    <w:rsid w:val="00CA113E"/>
    <w:rsid w:val="00CA2BFF"/>
    <w:rsid w:val="00CA485F"/>
    <w:rsid w:val="00CA6596"/>
    <w:rsid w:val="00CA6C13"/>
    <w:rsid w:val="00CB4AC3"/>
    <w:rsid w:val="00CD0219"/>
    <w:rsid w:val="00CE10F5"/>
    <w:rsid w:val="00CE77B1"/>
    <w:rsid w:val="00D01EB4"/>
    <w:rsid w:val="00D036A4"/>
    <w:rsid w:val="00D05A67"/>
    <w:rsid w:val="00D07F60"/>
    <w:rsid w:val="00D160B5"/>
    <w:rsid w:val="00D2501C"/>
    <w:rsid w:val="00D31244"/>
    <w:rsid w:val="00D531D6"/>
    <w:rsid w:val="00D544E2"/>
    <w:rsid w:val="00D633D5"/>
    <w:rsid w:val="00D65F86"/>
    <w:rsid w:val="00D70961"/>
    <w:rsid w:val="00D7559F"/>
    <w:rsid w:val="00D836B6"/>
    <w:rsid w:val="00D92702"/>
    <w:rsid w:val="00D94A9D"/>
    <w:rsid w:val="00DA4723"/>
    <w:rsid w:val="00DB545A"/>
    <w:rsid w:val="00DD1BB1"/>
    <w:rsid w:val="00DF3845"/>
    <w:rsid w:val="00E063F1"/>
    <w:rsid w:val="00E17BB3"/>
    <w:rsid w:val="00E20098"/>
    <w:rsid w:val="00E225B2"/>
    <w:rsid w:val="00E25850"/>
    <w:rsid w:val="00E40181"/>
    <w:rsid w:val="00E4164E"/>
    <w:rsid w:val="00E44343"/>
    <w:rsid w:val="00E56C01"/>
    <w:rsid w:val="00E63FEF"/>
    <w:rsid w:val="00E745A0"/>
    <w:rsid w:val="00E82655"/>
    <w:rsid w:val="00E82B85"/>
    <w:rsid w:val="00E87913"/>
    <w:rsid w:val="00E90592"/>
    <w:rsid w:val="00E91A28"/>
    <w:rsid w:val="00EA251C"/>
    <w:rsid w:val="00EB4C31"/>
    <w:rsid w:val="00EB4DB2"/>
    <w:rsid w:val="00EB6D0B"/>
    <w:rsid w:val="00EC6A7B"/>
    <w:rsid w:val="00EE6D2E"/>
    <w:rsid w:val="00EF3858"/>
    <w:rsid w:val="00EF3F7A"/>
    <w:rsid w:val="00F02C03"/>
    <w:rsid w:val="00F22FBC"/>
    <w:rsid w:val="00F40CAE"/>
    <w:rsid w:val="00F41F67"/>
    <w:rsid w:val="00F4719A"/>
    <w:rsid w:val="00F50F9C"/>
    <w:rsid w:val="00F51B2B"/>
    <w:rsid w:val="00F51E21"/>
    <w:rsid w:val="00F5697B"/>
    <w:rsid w:val="00F56CF4"/>
    <w:rsid w:val="00F753CC"/>
    <w:rsid w:val="00F80621"/>
    <w:rsid w:val="00F83B52"/>
    <w:rsid w:val="00F85F7F"/>
    <w:rsid w:val="00F87E9B"/>
    <w:rsid w:val="00F91464"/>
    <w:rsid w:val="00FA3C5E"/>
    <w:rsid w:val="00FA593B"/>
    <w:rsid w:val="00FA59B1"/>
    <w:rsid w:val="00FA7030"/>
    <w:rsid w:val="00FA7669"/>
    <w:rsid w:val="00FB153F"/>
    <w:rsid w:val="00FC3995"/>
    <w:rsid w:val="00FE0958"/>
    <w:rsid w:val="00FE1324"/>
    <w:rsid w:val="00FF72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1757B49"/>
  <w15:chartTrackingRefBased/>
  <w15:docId w15:val="{62CAEEE7-27F1-4C6A-B221-FB9BCB978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50F9C"/>
    <w:rPr>
      <w:rFonts w:ascii="Arial" w:hAnsi="Arial"/>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cim">
    <w:name w:val="ALcim"/>
    <w:basedOn w:val="Norml"/>
    <w:next w:val="Norml"/>
    <w:pPr>
      <w:jc w:val="both"/>
    </w:pPr>
    <w:rPr>
      <w:rFonts w:ascii="Times New Roman" w:hAnsi="Times New Roman"/>
      <w:b/>
    </w:rPr>
  </w:style>
  <w:style w:type="paragraph" w:styleId="llb">
    <w:name w:val="footer"/>
    <w:basedOn w:val="Norml"/>
    <w:link w:val="llbChar"/>
    <w:uiPriority w:val="99"/>
    <w:pPr>
      <w:tabs>
        <w:tab w:val="center" w:pos="4536"/>
        <w:tab w:val="right" w:pos="9072"/>
      </w:tabs>
      <w:jc w:val="both"/>
    </w:pPr>
    <w:rPr>
      <w:rFonts w:ascii="Times New Roman" w:hAnsi="Times New Roman"/>
    </w:rPr>
  </w:style>
  <w:style w:type="paragraph" w:styleId="Buborkszveg">
    <w:name w:val="Balloon Text"/>
    <w:basedOn w:val="Norml"/>
    <w:semiHidden/>
    <w:rsid w:val="00630A43"/>
    <w:rPr>
      <w:rFonts w:ascii="Tahoma" w:hAnsi="Tahoma" w:cs="Tahoma"/>
      <w:sz w:val="16"/>
      <w:szCs w:val="16"/>
    </w:rPr>
  </w:style>
  <w:style w:type="character" w:styleId="Jegyzethivatkozs">
    <w:name w:val="annotation reference"/>
    <w:semiHidden/>
    <w:rsid w:val="00E87913"/>
    <w:rPr>
      <w:sz w:val="16"/>
      <w:szCs w:val="16"/>
    </w:rPr>
  </w:style>
  <w:style w:type="paragraph" w:styleId="Jegyzetszveg">
    <w:name w:val="annotation text"/>
    <w:basedOn w:val="Norml"/>
    <w:link w:val="JegyzetszvegChar"/>
    <w:semiHidden/>
    <w:rsid w:val="00E87913"/>
    <w:rPr>
      <w:sz w:val="20"/>
    </w:rPr>
  </w:style>
  <w:style w:type="paragraph" w:styleId="Megjegyzstrgya">
    <w:name w:val="annotation subject"/>
    <w:basedOn w:val="Jegyzetszveg"/>
    <w:next w:val="Jegyzetszveg"/>
    <w:semiHidden/>
    <w:rsid w:val="00E87913"/>
    <w:rPr>
      <w:b/>
      <w:bCs/>
    </w:rPr>
  </w:style>
  <w:style w:type="character" w:styleId="Kiemels2">
    <w:name w:val="Strong"/>
    <w:qFormat/>
    <w:rsid w:val="00F87E9B"/>
    <w:rPr>
      <w:b/>
      <w:bCs/>
    </w:rPr>
  </w:style>
  <w:style w:type="paragraph" w:styleId="lfej">
    <w:name w:val="header"/>
    <w:basedOn w:val="Norml"/>
    <w:link w:val="lfejChar"/>
    <w:uiPriority w:val="99"/>
    <w:unhideWhenUsed/>
    <w:rsid w:val="007A0CB3"/>
    <w:pPr>
      <w:tabs>
        <w:tab w:val="center" w:pos="4536"/>
        <w:tab w:val="right" w:pos="9072"/>
      </w:tabs>
    </w:pPr>
  </w:style>
  <w:style w:type="character" w:customStyle="1" w:styleId="lfejChar">
    <w:name w:val="Élőfej Char"/>
    <w:link w:val="lfej"/>
    <w:uiPriority w:val="99"/>
    <w:rsid w:val="007A0CB3"/>
    <w:rPr>
      <w:rFonts w:ascii="Arial" w:hAnsi="Arial"/>
      <w:sz w:val="24"/>
    </w:rPr>
  </w:style>
  <w:style w:type="character" w:customStyle="1" w:styleId="llbChar">
    <w:name w:val="Élőláb Char"/>
    <w:link w:val="llb"/>
    <w:uiPriority w:val="99"/>
    <w:rsid w:val="007A0CB3"/>
    <w:rPr>
      <w:sz w:val="24"/>
    </w:rPr>
  </w:style>
  <w:style w:type="character" w:customStyle="1" w:styleId="JegyzetszvegChar">
    <w:name w:val="Jegyzetszöveg Char"/>
    <w:link w:val="Jegyzetszveg"/>
    <w:semiHidden/>
    <w:rsid w:val="00F22FBC"/>
    <w:rPr>
      <w:rFonts w:ascii="Arial" w:hAnsi="Arial"/>
    </w:rPr>
  </w:style>
  <w:style w:type="paragraph" w:styleId="Listaszerbekezds">
    <w:name w:val="List Paragraph"/>
    <w:basedOn w:val="Norml"/>
    <w:uiPriority w:val="34"/>
    <w:qFormat/>
    <w:rsid w:val="007B7D0B"/>
    <w:pPr>
      <w:ind w:left="720"/>
    </w:pPr>
    <w:rPr>
      <w:rFonts w:ascii="Calibri" w:eastAsia="Calibri" w:hAnsi="Calibri"/>
      <w:sz w:val="22"/>
      <w:szCs w:val="22"/>
      <w:lang w:bidi="hu-HU"/>
    </w:rPr>
  </w:style>
  <w:style w:type="paragraph" w:styleId="Szvegtrzs3">
    <w:name w:val="Body Text 3"/>
    <w:basedOn w:val="Norml"/>
    <w:link w:val="Szvegtrzs3Char"/>
    <w:uiPriority w:val="99"/>
    <w:semiHidden/>
    <w:unhideWhenUsed/>
    <w:rsid w:val="001F4F41"/>
    <w:pPr>
      <w:spacing w:after="120"/>
      <w:jc w:val="both"/>
    </w:pPr>
    <w:rPr>
      <w:rFonts w:ascii="Times New Roman" w:hAnsi="Times New Roman"/>
      <w:sz w:val="16"/>
      <w:szCs w:val="16"/>
    </w:rPr>
  </w:style>
  <w:style w:type="character" w:customStyle="1" w:styleId="Szvegtrzs3Char">
    <w:name w:val="Szövegtörzs 3 Char"/>
    <w:basedOn w:val="Bekezdsalapbettpusa"/>
    <w:link w:val="Szvegtrzs3"/>
    <w:uiPriority w:val="99"/>
    <w:semiHidden/>
    <w:rsid w:val="001F4F4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346797">
      <w:bodyDiv w:val="1"/>
      <w:marLeft w:val="0"/>
      <w:marRight w:val="0"/>
      <w:marTop w:val="0"/>
      <w:marBottom w:val="0"/>
      <w:divBdr>
        <w:top w:val="none" w:sz="0" w:space="0" w:color="auto"/>
        <w:left w:val="none" w:sz="0" w:space="0" w:color="auto"/>
        <w:bottom w:val="none" w:sz="0" w:space="0" w:color="auto"/>
        <w:right w:val="none" w:sz="0" w:space="0" w:color="auto"/>
      </w:divBdr>
    </w:div>
    <w:div w:id="628246184">
      <w:bodyDiv w:val="1"/>
      <w:marLeft w:val="0"/>
      <w:marRight w:val="0"/>
      <w:marTop w:val="0"/>
      <w:marBottom w:val="0"/>
      <w:divBdr>
        <w:top w:val="none" w:sz="0" w:space="0" w:color="auto"/>
        <w:left w:val="none" w:sz="0" w:space="0" w:color="auto"/>
        <w:bottom w:val="none" w:sz="0" w:space="0" w:color="auto"/>
        <w:right w:val="none" w:sz="0" w:space="0" w:color="auto"/>
      </w:divBdr>
    </w:div>
    <w:div w:id="103942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30F06-F34F-462E-A6CA-FB9615BBD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255</Words>
  <Characters>1766</Characters>
  <Application>Microsoft Office Word</Application>
  <DocSecurity>0</DocSecurity>
  <Lines>14</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P34</vt:lpstr>
      <vt:lpstr>MNB adatgyűjtés azonosító: P34</vt:lpstr>
    </vt:vector>
  </TitlesOfParts>
  <Company>Magyar Nemzeti Bank</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P34</dc:title>
  <dc:subject/>
  <dc:creator>Keszy-Harmath Zoltánné</dc:creator>
  <cp:keywords/>
  <cp:lastModifiedBy>Szenthelyi Dávid</cp:lastModifiedBy>
  <cp:revision>3</cp:revision>
  <cp:lastPrinted>2008-03-06T08:28:00Z</cp:lastPrinted>
  <dcterms:created xsi:type="dcterms:W3CDTF">2021-01-26T16:52:00Z</dcterms:created>
  <dcterms:modified xsi:type="dcterms:W3CDTF">2021-01-26T17:02:00Z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2019-03-20T13:41:23.0108818+01:00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2025-12-15T12:51:29Z</vt:filetime>
  </property>
  <property fmtid="{D5CDD505-2E9C-101B-9397-08002B2CF9AE}" pid="12" name="Érvényességet beállító">
    <vt:lpwstr>csehar</vt:lpwstr>
  </property>
  <property fmtid="{D5CDD505-2E9C-101B-9397-08002B2CF9AE}" pid="13" name="Érvényességi idő első beállítása">
    <vt:filetime>2020-12-15T12:51:29Z</vt:filetime>
  </property>
</Properties>
</file>