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CFF55B" w14:textId="77777777" w:rsidR="00B46322" w:rsidRPr="000E3010" w:rsidRDefault="00B46322" w:rsidP="00B46322">
      <w:pPr>
        <w:rPr>
          <w:rFonts w:ascii="Arial" w:hAnsi="Arial"/>
          <w:szCs w:val="24"/>
        </w:rPr>
      </w:pPr>
      <w:bookmarkStart w:id="0" w:name="_GoBack"/>
      <w:bookmarkEnd w:id="0"/>
      <w:r w:rsidRPr="000E3010">
        <w:rPr>
          <w:rFonts w:ascii="Arial" w:hAnsi="Arial"/>
          <w:b/>
          <w:bCs/>
          <w:szCs w:val="24"/>
          <w:lang w:val="en-GB"/>
        </w:rPr>
        <w:t>MNB identification number: AL8</w:t>
      </w:r>
    </w:p>
    <w:p w14:paraId="60048E28" w14:textId="77777777" w:rsidR="00221E94" w:rsidRPr="000E3010" w:rsidRDefault="00221E94" w:rsidP="00221E94">
      <w:pPr>
        <w:rPr>
          <w:rFonts w:ascii="Arial" w:hAnsi="Arial" w:cs="Arial"/>
          <w:b/>
        </w:rPr>
      </w:pPr>
    </w:p>
    <w:p w14:paraId="29CE762A" w14:textId="77777777" w:rsidR="00951FB6" w:rsidRPr="000E3010" w:rsidRDefault="00951FB6" w:rsidP="00951FB6">
      <w:pPr>
        <w:spacing w:before="240"/>
        <w:jc w:val="center"/>
        <w:rPr>
          <w:rFonts w:ascii="Arial" w:hAnsi="Arial"/>
          <w:b/>
          <w:szCs w:val="24"/>
        </w:rPr>
      </w:pPr>
      <w:r w:rsidRPr="000E3010">
        <w:rPr>
          <w:rFonts w:ascii="Arial" w:hAnsi="Arial"/>
          <w:b/>
          <w:bCs/>
          <w:szCs w:val="24"/>
          <w:lang w:val="en-GB"/>
        </w:rPr>
        <w:t>Completion Instructions</w:t>
      </w:r>
    </w:p>
    <w:p w14:paraId="7097F6BB" w14:textId="6A0BF14A" w:rsidR="00E11CE8" w:rsidRPr="000E3010" w:rsidRDefault="00E11CE8" w:rsidP="00E11CE8">
      <w:pPr>
        <w:jc w:val="center"/>
        <w:rPr>
          <w:rFonts w:ascii="Arial" w:hAnsi="Arial" w:cs="Arial"/>
          <w:b/>
          <w:color w:val="000000"/>
        </w:rPr>
      </w:pPr>
      <w:r w:rsidRPr="000E3010">
        <w:rPr>
          <w:rFonts w:ascii="Arial" w:hAnsi="Arial"/>
          <w:b/>
          <w:bCs/>
          <w:szCs w:val="24"/>
          <w:lang w:val="en-GB"/>
        </w:rPr>
        <w:t xml:space="preserve">Data on loans extended to small and medium-sized enterprises under each FGS phase </w:t>
      </w:r>
    </w:p>
    <w:p w14:paraId="10E15D19" w14:textId="77777777" w:rsidR="00221E94" w:rsidRPr="000E3010" w:rsidRDefault="00221E94" w:rsidP="007333A6">
      <w:pPr>
        <w:pStyle w:val="Szvegtrzs"/>
        <w:jc w:val="both"/>
        <w:rPr>
          <w:rFonts w:ascii="Arial" w:hAnsi="Arial" w:cs="Arial"/>
          <w:sz w:val="20"/>
        </w:rPr>
      </w:pPr>
    </w:p>
    <w:p w14:paraId="30BD309F" w14:textId="77777777" w:rsidR="00951FB6" w:rsidRPr="000E3010" w:rsidRDefault="00951FB6" w:rsidP="00951FB6">
      <w:pPr>
        <w:spacing w:before="240"/>
        <w:jc w:val="both"/>
        <w:rPr>
          <w:rFonts w:ascii="Arial" w:hAnsi="Arial"/>
          <w:b/>
          <w:szCs w:val="24"/>
        </w:rPr>
      </w:pPr>
      <w:r w:rsidRPr="000E3010">
        <w:rPr>
          <w:rFonts w:ascii="Arial" w:hAnsi="Arial"/>
          <w:b/>
          <w:bCs/>
          <w:szCs w:val="24"/>
          <w:lang w:val="en-GB"/>
        </w:rPr>
        <w:t>I. General instructions</w:t>
      </w:r>
    </w:p>
    <w:p w14:paraId="64FF0180" w14:textId="77777777" w:rsidR="001609CD" w:rsidRPr="000E3010" w:rsidRDefault="001609CD" w:rsidP="00135C88">
      <w:pPr>
        <w:jc w:val="both"/>
        <w:rPr>
          <w:rFonts w:ascii="Arial" w:hAnsi="Arial" w:cs="Arial"/>
        </w:rPr>
      </w:pPr>
    </w:p>
    <w:p w14:paraId="25E97F1E" w14:textId="28ED8ADC" w:rsidR="00951FB6" w:rsidRPr="000E3010" w:rsidRDefault="00951FB6" w:rsidP="00951FB6">
      <w:pPr>
        <w:jc w:val="both"/>
        <w:rPr>
          <w:rFonts w:ascii="Arial" w:hAnsi="Arial"/>
          <w:szCs w:val="24"/>
        </w:rPr>
      </w:pPr>
      <w:r w:rsidRPr="000E3010">
        <w:rPr>
          <w:rFonts w:ascii="Arial" w:hAnsi="Arial"/>
          <w:szCs w:val="24"/>
          <w:lang w:val="en-GB"/>
        </w:rPr>
        <w:t xml:space="preserve">1. A data reporting entity participating in each </w:t>
      </w:r>
      <w:proofErr w:type="spellStart"/>
      <w:r w:rsidRPr="000E3010">
        <w:rPr>
          <w:rFonts w:ascii="Arial" w:hAnsi="Arial"/>
          <w:szCs w:val="24"/>
          <w:lang w:val="en-GB"/>
        </w:rPr>
        <w:t>FGS</w:t>
      </w:r>
      <w:proofErr w:type="spellEnd"/>
      <w:r w:rsidRPr="000E3010">
        <w:rPr>
          <w:rFonts w:ascii="Arial" w:hAnsi="Arial"/>
          <w:szCs w:val="24"/>
          <w:lang w:val="en-GB"/>
        </w:rPr>
        <w:t xml:space="preserve"> phase shall report data until its debt to the MNB expires. The data report shall contain the data of the loans, financial leasing and factoring refinanced by the MNB under each </w:t>
      </w:r>
      <w:proofErr w:type="spellStart"/>
      <w:r w:rsidRPr="000E3010">
        <w:rPr>
          <w:rFonts w:ascii="Arial" w:hAnsi="Arial"/>
          <w:szCs w:val="24"/>
          <w:lang w:val="en-GB"/>
        </w:rPr>
        <w:t>FGS</w:t>
      </w:r>
      <w:proofErr w:type="spellEnd"/>
      <w:r w:rsidRPr="000E3010">
        <w:rPr>
          <w:rFonts w:ascii="Arial" w:hAnsi="Arial"/>
          <w:szCs w:val="24"/>
          <w:lang w:val="en-GB"/>
        </w:rPr>
        <w:t xml:space="preserve"> phase [in the first phase of the FGS launched on 1 June 2013 (hereinafter: phase one of the FGS), in the second phase of the FGS launched on 1 October 2013 (hereinafter: phase two of the FGS), in the third phase of the FGS launched on 1 January 2016 (hereinafter phase three of the FGS), in the FGS+ launched on 16 March 2015, the FGS </w:t>
      </w:r>
      <w:r w:rsidRPr="00CF4647">
        <w:rPr>
          <w:rFonts w:ascii="Arial" w:hAnsi="Arial"/>
          <w:i/>
          <w:iCs/>
          <w:szCs w:val="24"/>
          <w:lang w:val="en-GB"/>
        </w:rPr>
        <w:t>fix</w:t>
      </w:r>
      <w:r w:rsidRPr="000E3010">
        <w:rPr>
          <w:rFonts w:ascii="Arial" w:hAnsi="Arial"/>
          <w:szCs w:val="24"/>
          <w:lang w:val="en-GB"/>
        </w:rPr>
        <w:t xml:space="preserve"> launched on 1 March 2019 or in the </w:t>
      </w:r>
      <w:proofErr w:type="spellStart"/>
      <w:r w:rsidRPr="000E3010">
        <w:rPr>
          <w:rFonts w:ascii="Arial" w:hAnsi="Arial"/>
          <w:szCs w:val="24"/>
          <w:lang w:val="en-GB"/>
        </w:rPr>
        <w:t>FGS</w:t>
      </w:r>
      <w:proofErr w:type="spellEnd"/>
      <w:r w:rsidRPr="000E3010">
        <w:rPr>
          <w:rFonts w:ascii="Arial" w:hAnsi="Arial"/>
          <w:szCs w:val="24"/>
          <w:lang w:val="en-GB"/>
        </w:rPr>
        <w:t xml:space="preserve"> </w:t>
      </w:r>
      <w:proofErr w:type="spellStart"/>
      <w:r w:rsidR="00126016" w:rsidRPr="000E3010">
        <w:rPr>
          <w:rFonts w:ascii="Arial" w:hAnsi="Arial"/>
          <w:szCs w:val="24"/>
          <w:lang w:val="en-GB"/>
        </w:rPr>
        <w:t>Go!</w:t>
      </w:r>
      <w:r w:rsidRPr="000E3010">
        <w:rPr>
          <w:rFonts w:ascii="Arial" w:hAnsi="Arial"/>
          <w:szCs w:val="24"/>
          <w:lang w:val="en-GB"/>
        </w:rPr>
        <w:t>launched</w:t>
      </w:r>
      <w:proofErr w:type="spellEnd"/>
      <w:r w:rsidRPr="000E3010">
        <w:rPr>
          <w:rFonts w:ascii="Arial" w:hAnsi="Arial"/>
          <w:szCs w:val="24"/>
          <w:lang w:val="en-GB"/>
        </w:rPr>
        <w:t xml:space="preserve"> on 20 April 2020] and extended to small and medium-sized enterprises under the terms and conditions of an FGS, FGS+, FGS </w:t>
      </w:r>
      <w:r w:rsidRPr="00CF4647">
        <w:rPr>
          <w:rFonts w:ascii="Arial" w:hAnsi="Arial"/>
          <w:i/>
          <w:iCs/>
          <w:szCs w:val="24"/>
          <w:lang w:val="en-GB"/>
        </w:rPr>
        <w:t>fix</w:t>
      </w:r>
      <w:r w:rsidRPr="000E3010">
        <w:rPr>
          <w:rFonts w:ascii="Arial" w:hAnsi="Arial"/>
          <w:szCs w:val="24"/>
          <w:lang w:val="en-GB"/>
        </w:rPr>
        <w:t xml:space="preserve"> or </w:t>
      </w:r>
      <w:proofErr w:type="spellStart"/>
      <w:r w:rsidRPr="000E3010">
        <w:rPr>
          <w:rFonts w:ascii="Arial" w:hAnsi="Arial"/>
          <w:szCs w:val="24"/>
          <w:lang w:val="en-GB"/>
        </w:rPr>
        <w:t>FGS</w:t>
      </w:r>
      <w:proofErr w:type="spellEnd"/>
      <w:r w:rsidRPr="000E3010">
        <w:rPr>
          <w:rFonts w:ascii="Arial" w:hAnsi="Arial"/>
          <w:szCs w:val="24"/>
          <w:lang w:val="en-GB"/>
        </w:rPr>
        <w:t xml:space="preserve"> </w:t>
      </w:r>
      <w:proofErr w:type="spellStart"/>
      <w:r w:rsidR="00126016" w:rsidRPr="000E3010">
        <w:rPr>
          <w:rFonts w:ascii="Arial" w:hAnsi="Arial"/>
          <w:szCs w:val="24"/>
          <w:lang w:val="en-GB"/>
        </w:rPr>
        <w:t>Go!</w:t>
      </w:r>
      <w:r w:rsidRPr="000E3010">
        <w:rPr>
          <w:rFonts w:ascii="Arial" w:hAnsi="Arial"/>
          <w:szCs w:val="24"/>
          <w:lang w:val="en-GB"/>
        </w:rPr>
        <w:t>Framework</w:t>
      </w:r>
      <w:proofErr w:type="spellEnd"/>
      <w:r w:rsidRPr="000E3010">
        <w:rPr>
          <w:rFonts w:ascii="Arial" w:hAnsi="Arial"/>
          <w:szCs w:val="24"/>
          <w:lang w:val="en-GB"/>
        </w:rPr>
        <w:t xml:space="preserve"> Contract (hereinafter together: Framework Contract) concluded with the MNB and the Terms and Conditions constituting part thereof (hereinafter: SME loans) as well as any change in the data on SME loans already reported. Changes in SME loans extended by credit institutions participating in each </w:t>
      </w:r>
      <w:proofErr w:type="spellStart"/>
      <w:r w:rsidRPr="000E3010">
        <w:rPr>
          <w:rFonts w:ascii="Arial" w:hAnsi="Arial"/>
          <w:szCs w:val="24"/>
          <w:lang w:val="en-GB"/>
        </w:rPr>
        <w:t>FGS</w:t>
      </w:r>
      <w:proofErr w:type="spellEnd"/>
      <w:r w:rsidRPr="000E3010">
        <w:rPr>
          <w:rFonts w:ascii="Arial" w:hAnsi="Arial"/>
          <w:szCs w:val="24"/>
          <w:lang w:val="en-GB"/>
        </w:rPr>
        <w:t xml:space="preserve"> phase indirectly, with the intermediation of an umbrella bank, shall be reported by the credit institution that plays the role of the umbrella bank based on the Framework Contract concluded with the MNB.</w:t>
      </w:r>
    </w:p>
    <w:p w14:paraId="09BE5FCB" w14:textId="77777777" w:rsidR="00E5676A" w:rsidRPr="000E3010" w:rsidRDefault="00E5676A" w:rsidP="007333A6">
      <w:pPr>
        <w:pStyle w:val="Szvegtrzs2"/>
        <w:tabs>
          <w:tab w:val="left" w:pos="284"/>
        </w:tabs>
        <w:rPr>
          <w:rFonts w:ascii="Arial" w:hAnsi="Arial" w:cs="Arial"/>
          <w:sz w:val="20"/>
        </w:rPr>
      </w:pPr>
    </w:p>
    <w:p w14:paraId="676DA392" w14:textId="77777777" w:rsidR="00301810" w:rsidRPr="000E3010" w:rsidRDefault="00301810" w:rsidP="00301810">
      <w:pPr>
        <w:autoSpaceDE w:val="0"/>
        <w:autoSpaceDN w:val="0"/>
        <w:adjustRightInd w:val="0"/>
        <w:jc w:val="both"/>
        <w:rPr>
          <w:rFonts w:ascii="Arial" w:hAnsi="Arial"/>
          <w:szCs w:val="24"/>
        </w:rPr>
      </w:pPr>
      <w:r w:rsidRPr="000E3010">
        <w:rPr>
          <w:rFonts w:ascii="Arial" w:hAnsi="Arial"/>
          <w:szCs w:val="24"/>
          <w:lang w:val="en-GB"/>
        </w:rPr>
        <w:t>2. The codes to be used in the table are contained in paragraph 4.10 of annex 3 to the support answer book available on the MNB’s website (hereinafter: the list of codes).</w:t>
      </w:r>
    </w:p>
    <w:p w14:paraId="7428F40C" w14:textId="77777777" w:rsidR="0040602A" w:rsidRPr="000E3010" w:rsidRDefault="0040602A" w:rsidP="007333A6">
      <w:pPr>
        <w:pStyle w:val="Szvegtrzs2"/>
        <w:tabs>
          <w:tab w:val="left" w:pos="284"/>
        </w:tabs>
        <w:rPr>
          <w:rFonts w:ascii="Arial" w:hAnsi="Arial" w:cs="Arial"/>
          <w:sz w:val="20"/>
        </w:rPr>
      </w:pPr>
    </w:p>
    <w:p w14:paraId="622772A8" w14:textId="77777777" w:rsidR="00301810" w:rsidRPr="000E3010" w:rsidRDefault="00301810" w:rsidP="00301810">
      <w:pPr>
        <w:pStyle w:val="Szvegtrzs2"/>
        <w:tabs>
          <w:tab w:val="left" w:pos="284"/>
        </w:tabs>
        <w:rPr>
          <w:rFonts w:ascii="Arial" w:hAnsi="Arial"/>
          <w:sz w:val="20"/>
          <w:szCs w:val="24"/>
        </w:rPr>
      </w:pPr>
      <w:r w:rsidRPr="000E3010">
        <w:rPr>
          <w:rFonts w:ascii="Arial" w:hAnsi="Arial"/>
          <w:sz w:val="20"/>
          <w:szCs w:val="24"/>
          <w:lang w:val="en-GB"/>
        </w:rPr>
        <w:t>3. Dates shall be provided in a YYYY.MM.DD format.</w:t>
      </w:r>
    </w:p>
    <w:p w14:paraId="1E669271" w14:textId="77777777" w:rsidR="00450413" w:rsidRPr="000E3010" w:rsidRDefault="00450413" w:rsidP="007333A6">
      <w:pPr>
        <w:pStyle w:val="Szvegtrzs2"/>
        <w:tabs>
          <w:tab w:val="left" w:pos="284"/>
        </w:tabs>
        <w:rPr>
          <w:rFonts w:ascii="Arial" w:hAnsi="Arial" w:cs="Arial"/>
          <w:sz w:val="20"/>
        </w:rPr>
      </w:pPr>
    </w:p>
    <w:p w14:paraId="600CB2BE" w14:textId="77777777" w:rsidR="00301810" w:rsidRPr="000E3010" w:rsidRDefault="00301810" w:rsidP="00301810">
      <w:pPr>
        <w:pStyle w:val="Szvegtrzs2"/>
        <w:tabs>
          <w:tab w:val="left" w:pos="284"/>
        </w:tabs>
        <w:rPr>
          <w:rFonts w:ascii="Arial" w:hAnsi="Arial"/>
          <w:sz w:val="20"/>
          <w:szCs w:val="24"/>
        </w:rPr>
      </w:pPr>
      <w:r w:rsidRPr="000E3010">
        <w:rPr>
          <w:rFonts w:ascii="Arial" w:hAnsi="Arial"/>
          <w:sz w:val="20"/>
          <w:szCs w:val="24"/>
          <w:lang w:val="en-GB"/>
        </w:rPr>
        <w:t>4. Data shall be sent in a CSV format, with the data separated with a semicolon (“;”).</w:t>
      </w:r>
    </w:p>
    <w:p w14:paraId="62321DFB" w14:textId="77777777" w:rsidR="001A33BE" w:rsidRPr="000E3010" w:rsidRDefault="001A33BE" w:rsidP="007333A6">
      <w:pPr>
        <w:pStyle w:val="Szvegtrzs2"/>
        <w:tabs>
          <w:tab w:val="left" w:pos="284"/>
        </w:tabs>
        <w:rPr>
          <w:rFonts w:ascii="Arial" w:hAnsi="Arial" w:cs="Arial"/>
          <w:sz w:val="20"/>
        </w:rPr>
      </w:pPr>
    </w:p>
    <w:p w14:paraId="37B502CC" w14:textId="69146D16" w:rsidR="00D54A7B" w:rsidRPr="000E3010" w:rsidRDefault="00D54A7B" w:rsidP="001B3900">
      <w:pPr>
        <w:pStyle w:val="Szvegtrzs2"/>
        <w:tabs>
          <w:tab w:val="left" w:pos="284"/>
        </w:tabs>
        <w:rPr>
          <w:rFonts w:ascii="Arial" w:hAnsi="Arial"/>
          <w:sz w:val="20"/>
          <w:szCs w:val="24"/>
        </w:rPr>
      </w:pPr>
      <w:r w:rsidRPr="000E3010">
        <w:rPr>
          <w:rFonts w:ascii="Arial" w:hAnsi="Arial"/>
          <w:sz w:val="20"/>
          <w:szCs w:val="24"/>
          <w:lang w:val="en-GB"/>
        </w:rPr>
        <w:t xml:space="preserve">5. Data on the redeemed loan [columns da)-dm)] shall be reported unless otherwise stipulated herein if the purpose of the SME loan is – among those mentioned in the code list – redemption of a loan provided outside each </w:t>
      </w:r>
      <w:proofErr w:type="spellStart"/>
      <w:r w:rsidRPr="000E3010">
        <w:rPr>
          <w:rFonts w:ascii="Arial" w:hAnsi="Arial"/>
          <w:sz w:val="20"/>
          <w:szCs w:val="24"/>
          <w:lang w:val="en-GB"/>
        </w:rPr>
        <w:t>FGS</w:t>
      </w:r>
      <w:proofErr w:type="spellEnd"/>
      <w:r w:rsidRPr="000E3010">
        <w:rPr>
          <w:rFonts w:ascii="Arial" w:hAnsi="Arial"/>
          <w:sz w:val="20"/>
          <w:szCs w:val="24"/>
          <w:lang w:val="en-GB"/>
        </w:rPr>
        <w:t xml:space="preserve"> phase,</w:t>
      </w:r>
      <w:r w:rsidRPr="000E3010">
        <w:rPr>
          <w:rFonts w:ascii="Arial" w:hAnsi="Arial"/>
          <w:sz w:val="20"/>
          <w:lang w:val="en-GB"/>
        </w:rPr>
        <w:t xml:space="preserve"> “</w:t>
      </w:r>
      <w:proofErr w:type="spellStart"/>
      <w:r w:rsidRPr="000E3010">
        <w:rPr>
          <w:rFonts w:ascii="Arial" w:hAnsi="Arial"/>
          <w:sz w:val="20"/>
          <w:lang w:val="en-GB"/>
        </w:rPr>
        <w:t>Krízis</w:t>
      </w:r>
      <w:proofErr w:type="spellEnd"/>
      <w:r w:rsidRPr="000E3010">
        <w:rPr>
          <w:rFonts w:ascii="Arial" w:hAnsi="Arial"/>
          <w:sz w:val="20"/>
          <w:lang w:val="en-GB"/>
        </w:rPr>
        <w:t xml:space="preserve"> </w:t>
      </w:r>
      <w:proofErr w:type="spellStart"/>
      <w:r w:rsidRPr="000E3010">
        <w:rPr>
          <w:rFonts w:ascii="Arial" w:hAnsi="Arial"/>
          <w:sz w:val="20"/>
          <w:lang w:val="en-GB"/>
        </w:rPr>
        <w:t>Hitel</w:t>
      </w:r>
      <w:proofErr w:type="spellEnd"/>
      <w:r w:rsidRPr="000E3010">
        <w:rPr>
          <w:rFonts w:ascii="Arial" w:hAnsi="Arial"/>
          <w:sz w:val="20"/>
          <w:lang w:val="en-GB"/>
        </w:rPr>
        <w:t xml:space="preserve"> </w:t>
      </w:r>
      <w:proofErr w:type="spellStart"/>
      <w:r w:rsidRPr="000E3010">
        <w:rPr>
          <w:rFonts w:ascii="Arial" w:hAnsi="Arial"/>
          <w:sz w:val="20"/>
          <w:lang w:val="en-GB"/>
        </w:rPr>
        <w:t>Beruházási</w:t>
      </w:r>
      <w:proofErr w:type="spellEnd"/>
      <w:r w:rsidRPr="000E3010">
        <w:rPr>
          <w:rFonts w:ascii="Arial" w:hAnsi="Arial"/>
          <w:sz w:val="20"/>
          <w:lang w:val="en-GB"/>
        </w:rPr>
        <w:t xml:space="preserve"> </w:t>
      </w:r>
      <w:proofErr w:type="spellStart"/>
      <w:r w:rsidRPr="000E3010">
        <w:rPr>
          <w:rFonts w:ascii="Arial" w:hAnsi="Arial"/>
          <w:sz w:val="20"/>
          <w:lang w:val="en-GB"/>
        </w:rPr>
        <w:t>Hitel</w:t>
      </w:r>
      <w:proofErr w:type="spellEnd"/>
      <w:r w:rsidRPr="000E3010">
        <w:rPr>
          <w:rFonts w:ascii="Arial" w:hAnsi="Arial"/>
          <w:sz w:val="20"/>
          <w:lang w:val="en-GB"/>
        </w:rPr>
        <w:t xml:space="preserve"> </w:t>
      </w:r>
      <w:proofErr w:type="spellStart"/>
      <w:r w:rsidRPr="000E3010">
        <w:rPr>
          <w:rFonts w:ascii="Arial" w:hAnsi="Arial"/>
          <w:sz w:val="20"/>
          <w:lang w:val="en-GB"/>
        </w:rPr>
        <w:t>kiváltása</w:t>
      </w:r>
      <w:proofErr w:type="spellEnd"/>
      <w:r w:rsidRPr="000E3010">
        <w:rPr>
          <w:rFonts w:ascii="Arial" w:hAnsi="Arial"/>
          <w:sz w:val="20"/>
          <w:lang w:val="en-GB"/>
        </w:rPr>
        <w:t>”, “</w:t>
      </w:r>
      <w:proofErr w:type="spellStart"/>
      <w:r w:rsidRPr="000E3010">
        <w:rPr>
          <w:rFonts w:ascii="Arial" w:hAnsi="Arial"/>
          <w:sz w:val="20"/>
          <w:lang w:val="en-GB"/>
        </w:rPr>
        <w:t>MFB</w:t>
      </w:r>
      <w:proofErr w:type="spellEnd"/>
      <w:r w:rsidRPr="000E3010">
        <w:rPr>
          <w:rFonts w:ascii="Arial" w:hAnsi="Arial"/>
          <w:sz w:val="20"/>
          <w:lang w:val="en-GB"/>
        </w:rPr>
        <w:t xml:space="preserve"> </w:t>
      </w:r>
      <w:proofErr w:type="spellStart"/>
      <w:r w:rsidRPr="000E3010">
        <w:rPr>
          <w:rFonts w:ascii="Arial" w:hAnsi="Arial"/>
          <w:sz w:val="20"/>
          <w:lang w:val="en-GB"/>
        </w:rPr>
        <w:t>Krízis</w:t>
      </w:r>
      <w:proofErr w:type="spellEnd"/>
      <w:r w:rsidRPr="000E3010">
        <w:rPr>
          <w:rFonts w:ascii="Arial" w:hAnsi="Arial"/>
          <w:sz w:val="20"/>
          <w:lang w:val="en-GB"/>
        </w:rPr>
        <w:t xml:space="preserve"> </w:t>
      </w:r>
      <w:proofErr w:type="spellStart"/>
      <w:r w:rsidRPr="000E3010">
        <w:rPr>
          <w:rFonts w:ascii="Arial" w:hAnsi="Arial"/>
          <w:sz w:val="20"/>
          <w:lang w:val="en-GB"/>
        </w:rPr>
        <w:t>Plusz</w:t>
      </w:r>
      <w:proofErr w:type="spellEnd"/>
      <w:r w:rsidRPr="000E3010">
        <w:rPr>
          <w:rFonts w:ascii="Arial" w:hAnsi="Arial"/>
          <w:sz w:val="20"/>
          <w:lang w:val="en-GB"/>
        </w:rPr>
        <w:t xml:space="preserve"> </w:t>
      </w:r>
      <w:proofErr w:type="spellStart"/>
      <w:r w:rsidRPr="000E3010">
        <w:rPr>
          <w:rFonts w:ascii="Arial" w:hAnsi="Arial"/>
          <w:sz w:val="20"/>
          <w:lang w:val="en-GB"/>
        </w:rPr>
        <w:t>Hitel</w:t>
      </w:r>
      <w:proofErr w:type="spellEnd"/>
      <w:r w:rsidRPr="000E3010">
        <w:rPr>
          <w:rFonts w:ascii="Arial" w:hAnsi="Arial"/>
          <w:sz w:val="20"/>
          <w:lang w:val="en-GB"/>
        </w:rPr>
        <w:t xml:space="preserve"> </w:t>
      </w:r>
      <w:proofErr w:type="spellStart"/>
      <w:r w:rsidRPr="000E3010">
        <w:rPr>
          <w:rFonts w:ascii="Arial" w:hAnsi="Arial"/>
          <w:sz w:val="20"/>
          <w:lang w:val="en-GB"/>
        </w:rPr>
        <w:t>Beruházási</w:t>
      </w:r>
      <w:proofErr w:type="spellEnd"/>
      <w:r w:rsidRPr="000E3010">
        <w:rPr>
          <w:rFonts w:ascii="Arial" w:hAnsi="Arial"/>
          <w:sz w:val="20"/>
          <w:lang w:val="en-GB"/>
        </w:rPr>
        <w:t xml:space="preserve"> </w:t>
      </w:r>
      <w:proofErr w:type="spellStart"/>
      <w:r w:rsidRPr="000E3010">
        <w:rPr>
          <w:rFonts w:ascii="Arial" w:hAnsi="Arial"/>
          <w:sz w:val="20"/>
          <w:lang w:val="en-GB"/>
        </w:rPr>
        <w:t>Hitel</w:t>
      </w:r>
      <w:proofErr w:type="spellEnd"/>
      <w:r w:rsidRPr="000E3010">
        <w:rPr>
          <w:rFonts w:ascii="Arial" w:hAnsi="Arial"/>
          <w:sz w:val="20"/>
          <w:lang w:val="en-GB"/>
        </w:rPr>
        <w:t xml:space="preserve"> </w:t>
      </w:r>
      <w:proofErr w:type="spellStart"/>
      <w:r w:rsidRPr="000E3010">
        <w:rPr>
          <w:rFonts w:ascii="Arial" w:hAnsi="Arial"/>
          <w:sz w:val="20"/>
          <w:lang w:val="en-GB"/>
        </w:rPr>
        <w:t>kiváltása</w:t>
      </w:r>
      <w:proofErr w:type="spellEnd"/>
      <w:r w:rsidRPr="000E3010">
        <w:rPr>
          <w:rFonts w:ascii="Arial" w:hAnsi="Arial"/>
          <w:sz w:val="20"/>
          <w:lang w:val="en-GB"/>
        </w:rPr>
        <w:t>”, “</w:t>
      </w:r>
      <w:proofErr w:type="spellStart"/>
      <w:r w:rsidRPr="000E3010">
        <w:rPr>
          <w:rFonts w:ascii="Arial" w:hAnsi="Arial"/>
          <w:sz w:val="20"/>
          <w:lang w:val="en-GB"/>
        </w:rPr>
        <w:t>Széchenyi</w:t>
      </w:r>
      <w:proofErr w:type="spellEnd"/>
      <w:r w:rsidRPr="000E3010">
        <w:rPr>
          <w:rFonts w:ascii="Arial" w:hAnsi="Arial"/>
          <w:sz w:val="20"/>
          <w:lang w:val="en-GB"/>
        </w:rPr>
        <w:t xml:space="preserve"> </w:t>
      </w:r>
      <w:proofErr w:type="spellStart"/>
      <w:r w:rsidRPr="000E3010">
        <w:rPr>
          <w:rFonts w:ascii="Arial" w:hAnsi="Arial"/>
          <w:sz w:val="20"/>
          <w:lang w:val="en-GB"/>
        </w:rPr>
        <w:t>Beruházási</w:t>
      </w:r>
      <w:proofErr w:type="spellEnd"/>
      <w:r w:rsidRPr="000E3010">
        <w:rPr>
          <w:rFonts w:ascii="Arial" w:hAnsi="Arial"/>
          <w:sz w:val="20"/>
          <w:lang w:val="en-GB"/>
        </w:rPr>
        <w:t xml:space="preserve"> </w:t>
      </w:r>
      <w:proofErr w:type="spellStart"/>
      <w:r w:rsidRPr="000E3010">
        <w:rPr>
          <w:rFonts w:ascii="Arial" w:hAnsi="Arial"/>
          <w:sz w:val="20"/>
          <w:lang w:val="en-GB"/>
        </w:rPr>
        <w:t>Hitel</w:t>
      </w:r>
      <w:proofErr w:type="spellEnd"/>
      <w:r w:rsidRPr="000E3010">
        <w:rPr>
          <w:rFonts w:ascii="Arial" w:hAnsi="Arial"/>
          <w:sz w:val="20"/>
          <w:lang w:val="en-GB"/>
        </w:rPr>
        <w:t xml:space="preserve"> </w:t>
      </w:r>
      <w:proofErr w:type="spellStart"/>
      <w:r w:rsidRPr="000E3010">
        <w:rPr>
          <w:rFonts w:ascii="Arial" w:hAnsi="Arial"/>
          <w:sz w:val="20"/>
          <w:lang w:val="en-GB"/>
        </w:rPr>
        <w:t>Plusz</w:t>
      </w:r>
      <w:proofErr w:type="spellEnd"/>
      <w:r w:rsidRPr="000E3010">
        <w:rPr>
          <w:rFonts w:ascii="Arial" w:hAnsi="Arial"/>
          <w:sz w:val="20"/>
          <w:lang w:val="en-GB"/>
        </w:rPr>
        <w:t xml:space="preserve"> </w:t>
      </w:r>
      <w:proofErr w:type="spellStart"/>
      <w:r w:rsidRPr="000E3010">
        <w:rPr>
          <w:rFonts w:ascii="Arial" w:hAnsi="Arial"/>
          <w:sz w:val="20"/>
          <w:lang w:val="en-GB"/>
        </w:rPr>
        <w:t>Kiváltásra</w:t>
      </w:r>
      <w:proofErr w:type="spellEnd"/>
      <w:r w:rsidRPr="000E3010">
        <w:rPr>
          <w:rFonts w:ascii="Arial" w:hAnsi="Arial"/>
          <w:sz w:val="20"/>
          <w:lang w:val="en-GB"/>
        </w:rPr>
        <w:t>”, or</w:t>
      </w:r>
      <w:r w:rsidRPr="000E3010">
        <w:rPr>
          <w:rFonts w:ascii="Arial" w:hAnsi="Arial"/>
          <w:sz w:val="20"/>
          <w:szCs w:val="24"/>
          <w:lang w:val="en-GB"/>
        </w:rPr>
        <w:t xml:space="preserve"> if the SME loan redeems an SME loan provided in the framework of the FGS, FGS </w:t>
      </w:r>
      <w:r w:rsidRPr="00CF4647">
        <w:rPr>
          <w:rFonts w:ascii="Arial" w:hAnsi="Arial"/>
          <w:i/>
          <w:iCs/>
          <w:sz w:val="20"/>
          <w:szCs w:val="24"/>
          <w:lang w:val="en-GB"/>
        </w:rPr>
        <w:t>fix</w:t>
      </w:r>
      <w:r w:rsidRPr="000E3010">
        <w:rPr>
          <w:rFonts w:ascii="Arial" w:hAnsi="Arial"/>
          <w:sz w:val="20"/>
          <w:szCs w:val="24"/>
          <w:lang w:val="en-GB"/>
        </w:rPr>
        <w:t xml:space="preserve"> or FGS </w:t>
      </w:r>
      <w:r w:rsidR="00126016" w:rsidRPr="000E3010">
        <w:rPr>
          <w:rFonts w:ascii="Arial" w:hAnsi="Arial"/>
          <w:sz w:val="20"/>
          <w:szCs w:val="24"/>
          <w:lang w:val="en-GB"/>
        </w:rPr>
        <w:t>Go!</w:t>
      </w:r>
      <w:r w:rsidR="00126016" w:rsidRPr="000E3010" w:rsidDel="00126016">
        <w:rPr>
          <w:rFonts w:ascii="Arial" w:hAnsi="Arial"/>
          <w:sz w:val="20"/>
          <w:szCs w:val="24"/>
          <w:lang w:val="en-GB"/>
        </w:rPr>
        <w:t xml:space="preserve"> </w:t>
      </w:r>
      <w:r w:rsidRPr="000E3010">
        <w:rPr>
          <w:rFonts w:ascii="Arial" w:hAnsi="Arial"/>
          <w:sz w:val="20"/>
          <w:szCs w:val="24"/>
          <w:lang w:val="en-GB"/>
        </w:rPr>
        <w:t xml:space="preserve">(hereinafter: </w:t>
      </w:r>
      <w:proofErr w:type="spellStart"/>
      <w:r w:rsidRPr="000E3010">
        <w:rPr>
          <w:rFonts w:ascii="Arial" w:hAnsi="Arial"/>
          <w:sz w:val="20"/>
          <w:szCs w:val="24"/>
          <w:lang w:val="en-GB"/>
        </w:rPr>
        <w:t>FGS</w:t>
      </w:r>
      <w:proofErr w:type="spellEnd"/>
      <w:r w:rsidRPr="000E3010">
        <w:rPr>
          <w:rFonts w:ascii="Arial" w:hAnsi="Arial"/>
          <w:sz w:val="20"/>
          <w:szCs w:val="24"/>
          <w:lang w:val="en-GB"/>
        </w:rPr>
        <w:t xml:space="preserve"> loan redemption), or if the SME loan was subjected to a stock transfer. In the report regarding the SME loan subjected to a stock transfer data on the redeemed loan [columns da)-dm)] shall be interpreted as data on the transferred FGS, FGS </w:t>
      </w:r>
      <w:r w:rsidRPr="00CF4647">
        <w:rPr>
          <w:rFonts w:ascii="Arial" w:hAnsi="Arial"/>
          <w:i/>
          <w:iCs/>
          <w:sz w:val="20"/>
          <w:szCs w:val="24"/>
          <w:lang w:val="en-GB"/>
        </w:rPr>
        <w:t>fix</w:t>
      </w:r>
      <w:r w:rsidRPr="000E3010">
        <w:rPr>
          <w:rFonts w:ascii="Arial" w:hAnsi="Arial"/>
          <w:sz w:val="20"/>
          <w:szCs w:val="24"/>
          <w:lang w:val="en-GB"/>
        </w:rPr>
        <w:t xml:space="preserve"> or </w:t>
      </w:r>
      <w:proofErr w:type="spellStart"/>
      <w:r w:rsidRPr="000E3010">
        <w:rPr>
          <w:rFonts w:ascii="Arial" w:hAnsi="Arial"/>
          <w:sz w:val="20"/>
          <w:szCs w:val="24"/>
          <w:lang w:val="en-GB"/>
        </w:rPr>
        <w:t>FGS</w:t>
      </w:r>
      <w:proofErr w:type="spellEnd"/>
      <w:r w:rsidRPr="000E3010">
        <w:rPr>
          <w:rFonts w:ascii="Arial" w:hAnsi="Arial"/>
          <w:sz w:val="20"/>
          <w:szCs w:val="24"/>
          <w:lang w:val="en-GB"/>
        </w:rPr>
        <w:t xml:space="preserve"> </w:t>
      </w:r>
      <w:bookmarkStart w:id="1" w:name="OLE_LINK1"/>
      <w:r w:rsidRPr="000E3010">
        <w:rPr>
          <w:rFonts w:ascii="Arial" w:hAnsi="Arial"/>
          <w:sz w:val="20"/>
          <w:szCs w:val="24"/>
          <w:lang w:val="en-GB"/>
        </w:rPr>
        <w:t>Go!</w:t>
      </w:r>
      <w:bookmarkEnd w:id="1"/>
      <w:r w:rsidRPr="000E3010">
        <w:rPr>
          <w:rFonts w:ascii="Arial" w:hAnsi="Arial"/>
          <w:sz w:val="20"/>
          <w:szCs w:val="24"/>
          <w:lang w:val="en-GB"/>
        </w:rPr>
        <w:t xml:space="preserve"> SME loan. If the data to be reported on the redeemed loan are not available from other sources, e.g. the data reporting entity’s own records or other records available to the data reporting entity, thus, especially, the central credit information system, the data report shall be based on a declaration of the borrower SME (hereinafter: SME).</w:t>
      </w:r>
    </w:p>
    <w:p w14:paraId="36391311" w14:textId="77777777" w:rsidR="00D32E7C" w:rsidRPr="000E3010" w:rsidRDefault="00D32E7C" w:rsidP="00D54A7B">
      <w:pPr>
        <w:pStyle w:val="Szvegtrzs2"/>
        <w:tabs>
          <w:tab w:val="left" w:pos="284"/>
        </w:tabs>
        <w:rPr>
          <w:rFonts w:ascii="Arial" w:hAnsi="Arial"/>
          <w:sz w:val="20"/>
          <w:szCs w:val="24"/>
        </w:rPr>
      </w:pPr>
    </w:p>
    <w:p w14:paraId="469D4D8A" w14:textId="77777777" w:rsidR="00D54A7B" w:rsidRPr="000E3010" w:rsidRDefault="00D54A7B" w:rsidP="00D54A7B">
      <w:pPr>
        <w:autoSpaceDE w:val="0"/>
        <w:autoSpaceDN w:val="0"/>
        <w:adjustRightInd w:val="0"/>
        <w:jc w:val="both"/>
        <w:rPr>
          <w:rFonts w:ascii="Arial" w:hAnsi="Arial"/>
          <w:szCs w:val="24"/>
        </w:rPr>
      </w:pPr>
      <w:r w:rsidRPr="000E3010">
        <w:rPr>
          <w:rFonts w:ascii="Arial" w:hAnsi="Arial"/>
          <w:szCs w:val="24"/>
          <w:lang w:val="en-GB"/>
        </w:rPr>
        <w:t>6. A methodology guide to the correct completion of the table is contained in paragraph 9 of annex 3 to the support answer book available on the MNB’s website.</w:t>
      </w:r>
    </w:p>
    <w:p w14:paraId="1BB48339" w14:textId="77777777" w:rsidR="00E61506" w:rsidRPr="000E3010" w:rsidRDefault="00E61506" w:rsidP="007333A6">
      <w:pPr>
        <w:pStyle w:val="Szvegtrzs2"/>
        <w:tabs>
          <w:tab w:val="left" w:pos="284"/>
        </w:tabs>
        <w:rPr>
          <w:rFonts w:ascii="Arial" w:hAnsi="Arial" w:cs="Arial"/>
          <w:sz w:val="20"/>
        </w:rPr>
      </w:pPr>
    </w:p>
    <w:p w14:paraId="771ADE3F" w14:textId="77777777" w:rsidR="00D54A7B" w:rsidRPr="000E3010" w:rsidRDefault="00D54A7B" w:rsidP="00D54A7B">
      <w:pPr>
        <w:spacing w:before="240" w:after="240"/>
        <w:jc w:val="both"/>
        <w:rPr>
          <w:rFonts w:ascii="Arial" w:hAnsi="Arial"/>
          <w:szCs w:val="24"/>
        </w:rPr>
      </w:pPr>
      <w:r w:rsidRPr="000E3010">
        <w:rPr>
          <w:rFonts w:ascii="Arial" w:hAnsi="Arial"/>
          <w:b/>
          <w:bCs/>
          <w:szCs w:val="24"/>
          <w:lang w:val="en-GB"/>
        </w:rPr>
        <w:t>II. Detailed instructions for the completion of the table</w:t>
      </w:r>
    </w:p>
    <w:p w14:paraId="5CCD0E19" w14:textId="59B53652" w:rsidR="00E11CE8" w:rsidRPr="000E3010" w:rsidRDefault="005F4B8D" w:rsidP="00E11CE8">
      <w:pPr>
        <w:jc w:val="both"/>
        <w:rPr>
          <w:rFonts w:ascii="Arial" w:hAnsi="Arial" w:cs="Arial"/>
          <w:b/>
          <w:color w:val="000000"/>
        </w:rPr>
      </w:pPr>
      <w:r w:rsidRPr="000E3010">
        <w:rPr>
          <w:rFonts w:ascii="Arial" w:hAnsi="Arial"/>
          <w:b/>
          <w:bCs/>
          <w:szCs w:val="24"/>
          <w:lang w:val="en-GB"/>
        </w:rPr>
        <w:t xml:space="preserve">Table 01: Data on the loans extended to small and medium-sized enterprises under each FGS phase </w:t>
      </w:r>
    </w:p>
    <w:p w14:paraId="41A2AE9F" w14:textId="77777777" w:rsidR="005F4B8D" w:rsidRPr="000E3010" w:rsidRDefault="005F4B8D" w:rsidP="005F4B8D">
      <w:pPr>
        <w:spacing w:before="240" w:after="240"/>
        <w:jc w:val="both"/>
        <w:rPr>
          <w:rFonts w:ascii="Arial" w:hAnsi="Arial"/>
          <w:szCs w:val="24"/>
        </w:rPr>
      </w:pPr>
      <w:r w:rsidRPr="000E3010">
        <w:rPr>
          <w:rFonts w:ascii="Arial" w:hAnsi="Arial"/>
          <w:szCs w:val="24"/>
          <w:lang w:val="en-GB"/>
        </w:rPr>
        <w:t>Requirements for the completion of the individual columns:</w:t>
      </w:r>
    </w:p>
    <w:p w14:paraId="1911E5ED" w14:textId="77777777" w:rsidR="00201AA8" w:rsidRPr="000E3010" w:rsidRDefault="00201AA8" w:rsidP="00201AA8">
      <w:pPr>
        <w:spacing w:before="240" w:after="240"/>
        <w:ind w:left="426" w:hanging="426"/>
        <w:jc w:val="both"/>
        <w:rPr>
          <w:rFonts w:ascii="Arial" w:hAnsi="Arial"/>
          <w:szCs w:val="24"/>
        </w:rPr>
      </w:pPr>
      <w:r w:rsidRPr="000E3010">
        <w:rPr>
          <w:rFonts w:ascii="Arial" w:hAnsi="Arial"/>
          <w:szCs w:val="24"/>
          <w:lang w:val="en-GB"/>
        </w:rPr>
        <w:t>aa)</w:t>
      </w:r>
      <w:r w:rsidRPr="000E3010">
        <w:rPr>
          <w:rFonts w:ascii="Arial" w:hAnsi="Arial"/>
          <w:szCs w:val="24"/>
          <w:lang w:val="en-GB"/>
        </w:rPr>
        <w:tab/>
        <w:t>The type of the data report depends on whether the data reporting entity provides data on an SME loan requested to be refinanced by the MNB or it reports a change in the data of an SME loan reported earlier. Completion shall be in accordance with the list of codes.</w:t>
      </w:r>
    </w:p>
    <w:p w14:paraId="5EAE789B" w14:textId="17F1D856" w:rsidR="005F4B8D" w:rsidRPr="000E3010" w:rsidRDefault="005F4B8D" w:rsidP="005F4B8D">
      <w:pPr>
        <w:spacing w:before="240" w:after="240"/>
        <w:ind w:left="426" w:hanging="426"/>
        <w:jc w:val="both"/>
        <w:rPr>
          <w:rFonts w:ascii="Arial" w:hAnsi="Arial"/>
          <w:szCs w:val="24"/>
        </w:rPr>
      </w:pPr>
      <w:r w:rsidRPr="000E3010">
        <w:rPr>
          <w:rFonts w:ascii="Arial" w:hAnsi="Arial"/>
          <w:szCs w:val="24"/>
          <w:lang w:val="en-GB"/>
        </w:rPr>
        <w:t>ab)</w:t>
      </w:r>
      <w:r w:rsidRPr="000E3010">
        <w:rPr>
          <w:rFonts w:ascii="Arial" w:hAnsi="Arial"/>
          <w:szCs w:val="24"/>
          <w:lang w:val="en-GB"/>
        </w:rPr>
        <w:tab/>
        <w:t xml:space="preserve">This column shall contain information on which </w:t>
      </w:r>
      <w:proofErr w:type="spellStart"/>
      <w:r w:rsidRPr="000E3010">
        <w:rPr>
          <w:rFonts w:ascii="Arial" w:hAnsi="Arial"/>
          <w:szCs w:val="24"/>
          <w:lang w:val="en-GB"/>
        </w:rPr>
        <w:t>FGS</w:t>
      </w:r>
      <w:proofErr w:type="spellEnd"/>
      <w:r w:rsidRPr="000E3010">
        <w:rPr>
          <w:rFonts w:ascii="Arial" w:hAnsi="Arial"/>
          <w:szCs w:val="24"/>
          <w:lang w:val="en-GB"/>
        </w:rPr>
        <w:t xml:space="preserve"> phase an SME loan is to be refinanced under. Completion shall be in accordance with the list of codes.</w:t>
      </w:r>
    </w:p>
    <w:p w14:paraId="6655C565" w14:textId="77777777" w:rsidR="005F4B8D" w:rsidRPr="000E3010" w:rsidRDefault="005F4B8D" w:rsidP="005F4B8D">
      <w:pPr>
        <w:spacing w:before="240" w:after="240"/>
        <w:ind w:left="426" w:hanging="426"/>
        <w:jc w:val="both"/>
        <w:rPr>
          <w:rFonts w:ascii="Arial" w:hAnsi="Arial"/>
          <w:szCs w:val="24"/>
        </w:rPr>
      </w:pPr>
      <w:r w:rsidRPr="000E3010">
        <w:rPr>
          <w:rFonts w:ascii="Arial" w:hAnsi="Arial"/>
          <w:szCs w:val="24"/>
          <w:lang w:val="en-GB"/>
        </w:rPr>
        <w:lastRenderedPageBreak/>
        <w:t>ba)</w:t>
      </w:r>
      <w:r w:rsidRPr="000E3010">
        <w:rPr>
          <w:rFonts w:ascii="Arial" w:hAnsi="Arial"/>
          <w:szCs w:val="24"/>
          <w:lang w:val="en-GB"/>
        </w:rPr>
        <w:tab/>
        <w:t xml:space="preserve">The </w:t>
      </w:r>
      <w:proofErr w:type="spellStart"/>
      <w:r w:rsidRPr="000E3010">
        <w:rPr>
          <w:rFonts w:ascii="Arial" w:hAnsi="Arial"/>
          <w:szCs w:val="24"/>
          <w:lang w:val="en-GB"/>
        </w:rPr>
        <w:t>CSO</w:t>
      </w:r>
      <w:proofErr w:type="spellEnd"/>
      <w:r w:rsidRPr="000E3010">
        <w:rPr>
          <w:rFonts w:ascii="Arial" w:hAnsi="Arial"/>
          <w:szCs w:val="24"/>
          <w:lang w:val="en-GB"/>
        </w:rPr>
        <w:t xml:space="preserve"> registration number (the first eight digits of the tax number) of the SME numerically. In case the SME does not have a CSO registration number, the number of its activity license shall be indicated here.</w:t>
      </w:r>
    </w:p>
    <w:p w14:paraId="0382B3E6" w14:textId="77777777" w:rsidR="005F4B8D" w:rsidRPr="000E3010" w:rsidRDefault="005F4B8D" w:rsidP="005F4B8D">
      <w:pPr>
        <w:autoSpaceDE w:val="0"/>
        <w:autoSpaceDN w:val="0"/>
        <w:adjustRightInd w:val="0"/>
        <w:ind w:left="426" w:hanging="426"/>
        <w:jc w:val="both"/>
        <w:rPr>
          <w:rFonts w:ascii="Arial" w:hAnsi="Arial"/>
          <w:szCs w:val="24"/>
        </w:rPr>
      </w:pPr>
      <w:r w:rsidRPr="000E3010">
        <w:rPr>
          <w:rFonts w:ascii="Arial" w:hAnsi="Arial"/>
          <w:szCs w:val="24"/>
          <w:lang w:val="en-GB"/>
        </w:rPr>
        <w:t>bb)</w:t>
      </w:r>
      <w:r w:rsidRPr="000E3010">
        <w:rPr>
          <w:rFonts w:ascii="Arial" w:hAnsi="Arial"/>
          <w:szCs w:val="24"/>
          <w:lang w:val="en-GB"/>
        </w:rPr>
        <w:tab/>
      </w:r>
      <w:r w:rsidRPr="000E3010">
        <w:rPr>
          <w:rFonts w:ascii="Arial" w:hAnsi="Arial"/>
          <w:color w:val="231F20"/>
          <w:szCs w:val="24"/>
          <w:lang w:val="en-GB"/>
        </w:rPr>
        <w:t xml:space="preserve">The determination of the sector where an SME belongs shall be governed by </w:t>
      </w:r>
      <w:r w:rsidRPr="000E3010">
        <w:rPr>
          <w:rFonts w:ascii="Arial" w:hAnsi="Arial"/>
          <w:szCs w:val="24"/>
          <w:lang w:val="en-GB"/>
        </w:rPr>
        <w:t>paragraph I.A.4 of annex e).</w:t>
      </w:r>
      <w:r w:rsidRPr="000E3010">
        <w:rPr>
          <w:rFonts w:ascii="Arial" w:hAnsi="Arial"/>
          <w:color w:val="231F20"/>
          <w:szCs w:val="24"/>
          <w:lang w:val="en-GB"/>
        </w:rPr>
        <w:t xml:space="preserve"> Completion shall be in accordance with the list of codes.</w:t>
      </w:r>
    </w:p>
    <w:p w14:paraId="483C29DD" w14:textId="77777777" w:rsidR="00960FF2" w:rsidRPr="000E3010" w:rsidRDefault="00960FF2" w:rsidP="00960FF2">
      <w:pPr>
        <w:spacing w:before="240" w:after="240"/>
        <w:ind w:left="426" w:hanging="426"/>
        <w:jc w:val="both"/>
        <w:rPr>
          <w:rFonts w:ascii="Arial" w:hAnsi="Arial"/>
          <w:szCs w:val="24"/>
        </w:rPr>
      </w:pPr>
      <w:r w:rsidRPr="000E3010">
        <w:rPr>
          <w:rFonts w:ascii="Arial" w:hAnsi="Arial"/>
          <w:szCs w:val="24"/>
          <w:lang w:val="en-GB"/>
        </w:rPr>
        <w:t>bc)</w:t>
      </w:r>
      <w:r w:rsidRPr="000E3010">
        <w:rPr>
          <w:rFonts w:ascii="Arial" w:hAnsi="Arial"/>
          <w:szCs w:val="24"/>
          <w:lang w:val="en-GB"/>
        </w:rPr>
        <w:tab/>
        <w:t>Name of SME.</w:t>
      </w:r>
    </w:p>
    <w:p w14:paraId="471EDCAD" w14:textId="77777777" w:rsidR="00F046A4" w:rsidRPr="000E3010" w:rsidRDefault="00F046A4" w:rsidP="00F046A4">
      <w:pPr>
        <w:spacing w:before="240" w:after="240"/>
        <w:ind w:left="426" w:hanging="426"/>
        <w:jc w:val="both"/>
        <w:rPr>
          <w:rFonts w:ascii="Arial" w:hAnsi="Arial"/>
          <w:szCs w:val="24"/>
        </w:rPr>
      </w:pPr>
      <w:r w:rsidRPr="000E3010">
        <w:rPr>
          <w:rFonts w:ascii="Arial" w:hAnsi="Arial"/>
          <w:szCs w:val="24"/>
          <w:lang w:val="en-GB"/>
        </w:rPr>
        <w:t>bd)</w:t>
      </w:r>
      <w:r w:rsidRPr="000E3010">
        <w:rPr>
          <w:rFonts w:ascii="Arial" w:hAnsi="Arial"/>
          <w:szCs w:val="24"/>
          <w:lang w:val="en-GB"/>
        </w:rPr>
        <w:tab/>
        <w:t>Registered head office of SME.</w:t>
      </w:r>
    </w:p>
    <w:p w14:paraId="0604A714" w14:textId="77777777" w:rsidR="005F4B8D" w:rsidRPr="000E3010" w:rsidRDefault="005F4B8D" w:rsidP="005F4B8D">
      <w:pPr>
        <w:spacing w:before="240" w:after="240"/>
        <w:ind w:left="426" w:hanging="426"/>
        <w:jc w:val="both"/>
        <w:rPr>
          <w:rFonts w:ascii="Arial" w:hAnsi="Arial"/>
          <w:szCs w:val="24"/>
        </w:rPr>
      </w:pPr>
      <w:r w:rsidRPr="000E3010">
        <w:rPr>
          <w:rFonts w:ascii="Arial" w:hAnsi="Arial"/>
          <w:szCs w:val="24"/>
          <w:lang w:val="en-GB"/>
        </w:rPr>
        <w:t>ca)</w:t>
      </w:r>
      <w:r w:rsidRPr="000E3010">
        <w:rPr>
          <w:rFonts w:ascii="Arial" w:hAnsi="Arial"/>
          <w:szCs w:val="24"/>
          <w:lang w:val="en-GB"/>
        </w:rPr>
        <w:tab/>
        <w:t>The specific contract identifier used by the data reporting entity to identify the contract for the SME loan.</w:t>
      </w:r>
    </w:p>
    <w:p w14:paraId="7B8A4FA7" w14:textId="77777777" w:rsidR="005F4B8D" w:rsidRPr="000E3010" w:rsidRDefault="005F4B8D" w:rsidP="005F4B8D">
      <w:pPr>
        <w:spacing w:before="240"/>
        <w:ind w:left="426" w:hanging="426"/>
        <w:jc w:val="both"/>
        <w:rPr>
          <w:rFonts w:ascii="Arial" w:hAnsi="Arial"/>
          <w:szCs w:val="24"/>
        </w:rPr>
      </w:pPr>
      <w:r w:rsidRPr="000E3010">
        <w:rPr>
          <w:rFonts w:ascii="Arial" w:hAnsi="Arial"/>
          <w:szCs w:val="24"/>
          <w:lang w:val="en-GB"/>
        </w:rPr>
        <w:t>cb)</w:t>
      </w:r>
      <w:r w:rsidRPr="000E3010">
        <w:rPr>
          <w:rFonts w:ascii="Arial" w:hAnsi="Arial"/>
          <w:szCs w:val="24"/>
          <w:lang w:val="en-GB"/>
        </w:rPr>
        <w:tab/>
        <w:t>The date of the execution of the contract for the SME loan. If the parties sign the contract for the SME credit at different dates, the date of the signature last provided shall be reported.</w:t>
      </w:r>
    </w:p>
    <w:p w14:paraId="041EAC03" w14:textId="77777777" w:rsidR="003079DE" w:rsidRPr="000E3010" w:rsidRDefault="003079DE" w:rsidP="007333A6">
      <w:pPr>
        <w:ind w:left="426" w:hanging="426"/>
        <w:jc w:val="both"/>
        <w:rPr>
          <w:rFonts w:ascii="Arial" w:hAnsi="Arial" w:cs="Arial"/>
        </w:rPr>
      </w:pPr>
    </w:p>
    <w:p w14:paraId="27B9A9C3" w14:textId="77777777" w:rsidR="00167002" w:rsidRPr="000E3010" w:rsidRDefault="00167002" w:rsidP="00167002">
      <w:pPr>
        <w:spacing w:after="240"/>
        <w:ind w:left="426" w:hanging="426"/>
        <w:jc w:val="both"/>
        <w:rPr>
          <w:rFonts w:ascii="Arial" w:hAnsi="Arial"/>
          <w:szCs w:val="24"/>
        </w:rPr>
      </w:pPr>
      <w:r w:rsidRPr="000E3010">
        <w:rPr>
          <w:rFonts w:ascii="Arial" w:hAnsi="Arial"/>
          <w:szCs w:val="24"/>
          <w:lang w:val="en-GB"/>
        </w:rPr>
        <w:t>cc)</w:t>
      </w:r>
      <w:r w:rsidRPr="000E3010">
        <w:rPr>
          <w:rFonts w:ascii="Arial" w:hAnsi="Arial"/>
          <w:szCs w:val="24"/>
          <w:lang w:val="en-GB"/>
        </w:rPr>
        <w:tab/>
        <w:t>The date of the disbursement of the SME loan. If the loan is disbursed in tranches, the date of the disbursement of the first tranche shall be provided. No modification shall be made in this column when further tranches are disbursed; only the amount in column ci) shall be increased by the amount of the new tranche on the working day preceding the date of the disbursement of the new tranche</w:t>
      </w:r>
      <w:r w:rsidRPr="000E3010">
        <w:rPr>
          <w:rFonts w:ascii="Arial" w:hAnsi="Arial"/>
          <w:lang w:val="en-GB"/>
        </w:rPr>
        <w:t xml:space="preserve"> and for SME loans extended under Pillar II of phase three of the FGS on the data reporting day preceding the subsequent disbursement as determined in the Terms and Conditions of refinancing loans in Pillar I and II of the third phase of the FGS (hereinafter Terms and Conditions for phase three of the FGS)</w:t>
      </w:r>
      <w:r w:rsidRPr="000E3010">
        <w:rPr>
          <w:rFonts w:ascii="Arial" w:hAnsi="Arial"/>
          <w:szCs w:val="24"/>
          <w:lang w:val="en-GB"/>
        </w:rPr>
        <w:t xml:space="preserve">. The first data report on an SME loan shall be made if the date of the disbursement is known; </w:t>
      </w:r>
      <w:r w:rsidRPr="000E3010">
        <w:rPr>
          <w:rFonts w:ascii="Arial" w:hAnsi="Arial"/>
          <w:lang w:val="en-GB"/>
        </w:rPr>
        <w:t xml:space="preserve">for SME loans extended under Pillar II of phase three of the FGS </w:t>
      </w:r>
      <w:r w:rsidRPr="000E3010">
        <w:rPr>
          <w:rFonts w:ascii="Arial" w:hAnsi="Arial"/>
          <w:szCs w:val="24"/>
          <w:lang w:val="en-GB"/>
        </w:rPr>
        <w:t>until 15:00 hours (</w:t>
      </w:r>
      <w:r w:rsidRPr="000E3010">
        <w:rPr>
          <w:rFonts w:ascii="Arial" w:hAnsi="Arial"/>
          <w:lang w:val="en-GB"/>
        </w:rPr>
        <w:t>noon on a Saturday working day)</w:t>
      </w:r>
      <w:r w:rsidRPr="000E3010">
        <w:rPr>
          <w:rFonts w:ascii="Arial" w:hAnsi="Arial"/>
          <w:szCs w:val="24"/>
          <w:lang w:val="en-GB"/>
        </w:rPr>
        <w:t xml:space="preserve"> </w:t>
      </w:r>
      <w:r w:rsidRPr="000E3010">
        <w:rPr>
          <w:rFonts w:ascii="Arial" w:hAnsi="Arial"/>
          <w:lang w:val="en-GB"/>
        </w:rPr>
        <w:t xml:space="preserve">on the data reporting day following the conclusion of the SME loan contract as determined in the Terms and Conditions, in other cases </w:t>
      </w:r>
      <w:r w:rsidRPr="000E3010">
        <w:rPr>
          <w:rFonts w:ascii="Arial" w:hAnsi="Arial"/>
          <w:szCs w:val="24"/>
          <w:lang w:val="en-GB"/>
        </w:rPr>
        <w:t>preceding the requested day of disbursement of the refinancing loan.</w:t>
      </w:r>
    </w:p>
    <w:p w14:paraId="18B259EF" w14:textId="77777777" w:rsidR="00167002" w:rsidRPr="000E3010" w:rsidRDefault="00167002" w:rsidP="00167002">
      <w:pPr>
        <w:pStyle w:val="ListParagraph1"/>
        <w:numPr>
          <w:ilvl w:val="0"/>
          <w:numId w:val="0"/>
        </w:numPr>
        <w:spacing w:after="240" w:line="240" w:lineRule="auto"/>
        <w:ind w:left="426" w:hanging="426"/>
        <w:rPr>
          <w:rFonts w:ascii="Arial" w:hAnsi="Arial"/>
          <w:szCs w:val="24"/>
        </w:rPr>
      </w:pPr>
      <w:r w:rsidRPr="000E3010">
        <w:rPr>
          <w:rFonts w:ascii="Arial" w:hAnsi="Arial"/>
          <w:szCs w:val="24"/>
          <w:lang w:val="en-GB"/>
        </w:rPr>
        <w:t>cd)</w:t>
      </w:r>
      <w:r w:rsidRPr="000E3010">
        <w:rPr>
          <w:rFonts w:ascii="Arial" w:hAnsi="Arial"/>
          <w:szCs w:val="24"/>
          <w:lang w:val="en-GB"/>
        </w:rPr>
        <w:tab/>
        <w:t>The date of the expiration specified in the contract for the SME loan.</w:t>
      </w:r>
    </w:p>
    <w:p w14:paraId="0D30F33B" w14:textId="77777777" w:rsidR="00B5403B" w:rsidRPr="000E3010" w:rsidRDefault="00B5403B" w:rsidP="007333A6">
      <w:pPr>
        <w:pStyle w:val="ListParagraph1"/>
        <w:numPr>
          <w:ilvl w:val="0"/>
          <w:numId w:val="0"/>
        </w:numPr>
        <w:spacing w:line="240" w:lineRule="auto"/>
        <w:ind w:left="426" w:hanging="426"/>
        <w:rPr>
          <w:rFonts w:ascii="Arial" w:hAnsi="Arial" w:cs="Arial"/>
          <w:szCs w:val="20"/>
        </w:rPr>
      </w:pPr>
    </w:p>
    <w:p w14:paraId="29EFC3E6" w14:textId="340507FA" w:rsidR="0068582B" w:rsidRPr="000E3010" w:rsidRDefault="0068582B" w:rsidP="0068582B">
      <w:pPr>
        <w:pStyle w:val="ListParagraph1"/>
        <w:numPr>
          <w:ilvl w:val="0"/>
          <w:numId w:val="0"/>
        </w:numPr>
        <w:spacing w:after="160" w:line="240" w:lineRule="auto"/>
        <w:ind w:left="426" w:hanging="426"/>
        <w:rPr>
          <w:rFonts w:ascii="Arial" w:hAnsi="Arial"/>
          <w:szCs w:val="24"/>
        </w:rPr>
      </w:pPr>
      <w:proofErr w:type="spellStart"/>
      <w:r w:rsidRPr="000E3010">
        <w:rPr>
          <w:rFonts w:ascii="Arial" w:hAnsi="Arial"/>
          <w:szCs w:val="24"/>
          <w:lang w:val="en-GB"/>
        </w:rPr>
        <w:t>ce</w:t>
      </w:r>
      <w:proofErr w:type="spellEnd"/>
      <w:r w:rsidRPr="000E3010">
        <w:rPr>
          <w:rFonts w:ascii="Arial" w:hAnsi="Arial"/>
          <w:szCs w:val="24"/>
          <w:lang w:val="en-GB"/>
        </w:rPr>
        <w:t>)</w:t>
      </w:r>
      <w:r w:rsidRPr="000E3010">
        <w:rPr>
          <w:rFonts w:ascii="Arial" w:hAnsi="Arial"/>
          <w:szCs w:val="24"/>
          <w:lang w:val="en-GB"/>
        </w:rPr>
        <w:tab/>
        <w:t xml:space="preserve">The difference between the amount of the interest, fees and costs charged in accordance with the Framework Contract between the data reporting entity and the MNB as a proportion of the amount of the loan and the amount of the annual interest on the fund provided by the MNB under each </w:t>
      </w:r>
      <w:proofErr w:type="spellStart"/>
      <w:r w:rsidRPr="000E3010">
        <w:rPr>
          <w:rFonts w:ascii="Arial" w:hAnsi="Arial"/>
          <w:szCs w:val="24"/>
          <w:lang w:val="en-GB"/>
        </w:rPr>
        <w:t>FGS</w:t>
      </w:r>
      <w:proofErr w:type="spellEnd"/>
      <w:r w:rsidRPr="000E3010">
        <w:rPr>
          <w:rFonts w:ascii="Arial" w:hAnsi="Arial"/>
          <w:szCs w:val="24"/>
          <w:lang w:val="en-GB"/>
        </w:rPr>
        <w:t xml:space="preserve"> phase </w:t>
      </w:r>
      <w:r w:rsidRPr="000E3010">
        <w:rPr>
          <w:rFonts w:ascii="Arial" w:hAnsi="Arial"/>
          <w:szCs w:val="20"/>
          <w:lang w:val="en-GB"/>
        </w:rPr>
        <w:t xml:space="preserve">(the euro-denominated fund </w:t>
      </w:r>
      <w:r w:rsidRPr="000E3010">
        <w:rPr>
          <w:rFonts w:ascii="Arial" w:hAnsi="Arial"/>
          <w:lang w:val="en-GB"/>
        </w:rPr>
        <w:t>through a CIRS transaction under Pillar II of phase three of the FGS)</w:t>
      </w:r>
      <w:r w:rsidRPr="000E3010">
        <w:rPr>
          <w:rFonts w:ascii="Arial" w:hAnsi="Arial"/>
          <w:szCs w:val="24"/>
          <w:lang w:val="en-GB"/>
        </w:rPr>
        <w:t>, expressed in basis points.</w:t>
      </w:r>
    </w:p>
    <w:p w14:paraId="6E3B217F" w14:textId="77777777" w:rsidR="0068582B" w:rsidRPr="000E3010" w:rsidRDefault="0068582B" w:rsidP="0068582B">
      <w:pPr>
        <w:autoSpaceDE w:val="0"/>
        <w:autoSpaceDN w:val="0"/>
        <w:adjustRightInd w:val="0"/>
        <w:ind w:left="426" w:hanging="426"/>
        <w:jc w:val="both"/>
        <w:rPr>
          <w:rFonts w:ascii="Arial" w:hAnsi="Arial"/>
          <w:szCs w:val="24"/>
        </w:rPr>
      </w:pPr>
      <w:proofErr w:type="spellStart"/>
      <w:r w:rsidRPr="000E3010">
        <w:rPr>
          <w:rFonts w:ascii="Arial" w:hAnsi="Arial"/>
          <w:szCs w:val="24"/>
          <w:lang w:val="en-GB"/>
        </w:rPr>
        <w:t>cf</w:t>
      </w:r>
      <w:proofErr w:type="spellEnd"/>
      <w:r w:rsidRPr="000E3010">
        <w:rPr>
          <w:rFonts w:ascii="Arial" w:hAnsi="Arial"/>
          <w:szCs w:val="24"/>
          <w:lang w:val="en-GB"/>
        </w:rPr>
        <w:t>)</w:t>
      </w:r>
      <w:r w:rsidRPr="000E3010">
        <w:rPr>
          <w:rFonts w:ascii="Arial" w:hAnsi="Arial"/>
          <w:szCs w:val="24"/>
          <w:lang w:val="en-GB"/>
        </w:rPr>
        <w:tab/>
        <w:t xml:space="preserve">Purpose of the SME loan. </w:t>
      </w:r>
      <w:r w:rsidRPr="000E3010">
        <w:rPr>
          <w:rFonts w:ascii="Arial" w:hAnsi="Arial"/>
          <w:color w:val="231F20"/>
          <w:szCs w:val="24"/>
          <w:lang w:val="en-GB"/>
        </w:rPr>
        <w:t>Completion shall be in accordance with the list of codes.</w:t>
      </w:r>
    </w:p>
    <w:p w14:paraId="6D810842" w14:textId="77777777" w:rsidR="003C6A58" w:rsidRPr="000E3010" w:rsidRDefault="003C6A58" w:rsidP="003C6A58">
      <w:pPr>
        <w:spacing w:before="240" w:after="240"/>
        <w:ind w:left="426" w:hanging="426"/>
        <w:jc w:val="both"/>
        <w:rPr>
          <w:rFonts w:ascii="Arial" w:hAnsi="Arial"/>
          <w:szCs w:val="24"/>
        </w:rPr>
      </w:pPr>
      <w:r w:rsidRPr="000E3010">
        <w:rPr>
          <w:rFonts w:ascii="Arial" w:hAnsi="Arial"/>
          <w:szCs w:val="24"/>
          <w:lang w:val="en-GB"/>
        </w:rPr>
        <w:t>cg)</w:t>
      </w:r>
      <w:r w:rsidRPr="000E3010">
        <w:rPr>
          <w:rFonts w:ascii="Arial" w:hAnsi="Arial"/>
          <w:szCs w:val="24"/>
          <w:lang w:val="en-GB"/>
        </w:rPr>
        <w:tab/>
        <w:t xml:space="preserve">This column shall have information on whether the SME loan is disbursed in several tranches. </w:t>
      </w:r>
      <w:r w:rsidRPr="000E3010">
        <w:rPr>
          <w:rFonts w:ascii="Arial" w:hAnsi="Arial"/>
          <w:color w:val="231F20"/>
          <w:szCs w:val="24"/>
          <w:lang w:val="en-GB"/>
        </w:rPr>
        <w:t>Completion shall be in accordance with the list of codes.</w:t>
      </w:r>
    </w:p>
    <w:p w14:paraId="0A26C763" w14:textId="77777777" w:rsidR="003C6A58" w:rsidRPr="000E3010" w:rsidRDefault="003C6A58" w:rsidP="003C6A58">
      <w:pPr>
        <w:spacing w:after="240"/>
        <w:ind w:left="426" w:hanging="426"/>
        <w:jc w:val="both"/>
        <w:rPr>
          <w:rFonts w:ascii="Arial" w:hAnsi="Arial"/>
          <w:szCs w:val="24"/>
        </w:rPr>
      </w:pPr>
      <w:proofErr w:type="spellStart"/>
      <w:r w:rsidRPr="000E3010">
        <w:rPr>
          <w:rFonts w:ascii="Arial" w:hAnsi="Arial"/>
          <w:szCs w:val="24"/>
          <w:lang w:val="en-GB"/>
        </w:rPr>
        <w:t>ch</w:t>
      </w:r>
      <w:proofErr w:type="spellEnd"/>
      <w:r w:rsidRPr="000E3010">
        <w:rPr>
          <w:rFonts w:ascii="Arial" w:hAnsi="Arial"/>
          <w:szCs w:val="24"/>
          <w:lang w:val="en-GB"/>
        </w:rPr>
        <w:t>)</w:t>
      </w:r>
      <w:r w:rsidRPr="000E3010">
        <w:rPr>
          <w:rFonts w:ascii="Arial" w:hAnsi="Arial"/>
          <w:szCs w:val="24"/>
          <w:lang w:val="en-GB"/>
        </w:rPr>
        <w:tab/>
        <w:t>The total amount of the loan specified in the contract for the SME loan. The total amount of the loan shall be provided even if it is disbursed in tranches. If the SME loan features in more than one row because, for instance, it has more than one purpose or it is the redemption of more than one loan, the amount of the loan specified in the loan contract shall be split (broken down) and recorded in the individual rows in accordance with the loan purposes or the redeemed loans.</w:t>
      </w:r>
    </w:p>
    <w:p w14:paraId="0CBBDABD" w14:textId="77777777" w:rsidR="003C6A58" w:rsidRPr="000E3010" w:rsidRDefault="003C6A58" w:rsidP="003C6A58">
      <w:pPr>
        <w:spacing w:after="240"/>
        <w:ind w:left="426" w:hanging="426"/>
        <w:jc w:val="both"/>
        <w:rPr>
          <w:rFonts w:ascii="Arial" w:hAnsi="Arial"/>
          <w:szCs w:val="24"/>
        </w:rPr>
      </w:pPr>
      <w:r w:rsidRPr="000E3010">
        <w:rPr>
          <w:rFonts w:ascii="Arial" w:hAnsi="Arial"/>
          <w:szCs w:val="24"/>
          <w:lang w:val="en-GB"/>
        </w:rPr>
        <w:t>ci)</w:t>
      </w:r>
      <w:r w:rsidRPr="000E3010">
        <w:rPr>
          <w:rFonts w:ascii="Arial" w:hAnsi="Arial"/>
          <w:szCs w:val="24"/>
          <w:lang w:val="en-GB"/>
        </w:rPr>
        <w:tab/>
        <w:t>The value of the amount of the SME loan increased by the disbursed tranches and reduced by the principal repaid. The data reporting entity shall modify the value indicated in the column by 15:00 hours on the working day (</w:t>
      </w:r>
      <w:r w:rsidRPr="000E3010">
        <w:rPr>
          <w:rFonts w:ascii="Arial" w:hAnsi="Arial"/>
          <w:lang w:val="en-GB"/>
        </w:rPr>
        <w:t>noon on a Saturday working day)</w:t>
      </w:r>
      <w:r w:rsidRPr="000E3010">
        <w:rPr>
          <w:rFonts w:ascii="Arial" w:hAnsi="Arial"/>
          <w:szCs w:val="24"/>
          <w:lang w:val="en-GB"/>
        </w:rPr>
        <w:t xml:space="preserve"> </w:t>
      </w:r>
      <w:r w:rsidRPr="000E3010">
        <w:rPr>
          <w:rFonts w:ascii="Arial" w:hAnsi="Arial"/>
          <w:lang w:val="en-GB"/>
        </w:rPr>
        <w:t xml:space="preserve">(for SME loans extended under Pillar II of phase three of the FGS: data reporting day preceding the subsequent disbursement or repayment as determined in the Terms and Conditions for phase three of the FGS) </w:t>
      </w:r>
      <w:r w:rsidRPr="000E3010">
        <w:rPr>
          <w:rFonts w:ascii="Arial" w:hAnsi="Arial"/>
          <w:szCs w:val="24"/>
          <w:lang w:val="en-GB"/>
        </w:rPr>
        <w:t>preceding the disbursement or the repayment if the conditions for disbursement to the SME exist. The value indicated in the column cannot be restored even if the anticipated repayment fails to be made to the data reporting entity. If the SME goes out of business or the SME loan contract terminates or is terminated for any reason, the data report on the change indicating a “0” value shall be sent by the deadline specified in column co). If the SME loan features in more than one row because, for instance, it has more than one purpose or it is the redemption of more than one loan, the amount of the SME loan shall be split (broken down) and recorded in the individual rows in accordance with the loan purposes or the redeemed loans.</w:t>
      </w:r>
    </w:p>
    <w:p w14:paraId="1DC339DD" w14:textId="77777777" w:rsidR="003C6A58" w:rsidRPr="000E3010" w:rsidRDefault="003C6A58" w:rsidP="003C6A58">
      <w:pPr>
        <w:autoSpaceDE w:val="0"/>
        <w:autoSpaceDN w:val="0"/>
        <w:adjustRightInd w:val="0"/>
        <w:spacing w:after="240"/>
        <w:ind w:left="425" w:hanging="425"/>
        <w:jc w:val="both"/>
        <w:rPr>
          <w:rFonts w:ascii="Arial" w:hAnsi="Arial"/>
          <w:szCs w:val="24"/>
        </w:rPr>
      </w:pPr>
      <w:proofErr w:type="spellStart"/>
      <w:r w:rsidRPr="000E3010">
        <w:rPr>
          <w:rFonts w:ascii="Arial" w:hAnsi="Arial"/>
          <w:szCs w:val="24"/>
          <w:lang w:val="en-GB"/>
        </w:rPr>
        <w:lastRenderedPageBreak/>
        <w:t>cj</w:t>
      </w:r>
      <w:proofErr w:type="spellEnd"/>
      <w:r w:rsidRPr="000E3010">
        <w:rPr>
          <w:rFonts w:ascii="Arial" w:hAnsi="Arial"/>
          <w:szCs w:val="24"/>
          <w:lang w:val="en-GB"/>
        </w:rPr>
        <w:t>)</w:t>
      </w:r>
      <w:r w:rsidRPr="000E3010">
        <w:rPr>
          <w:rFonts w:ascii="Arial" w:hAnsi="Arial"/>
          <w:szCs w:val="24"/>
          <w:lang w:val="en-GB"/>
        </w:rPr>
        <w:tab/>
        <w:t xml:space="preserve">At most two types of the collateral securing the SME loan can be provided in the order of the priority of the collaterals. </w:t>
      </w:r>
      <w:r w:rsidRPr="000E3010">
        <w:rPr>
          <w:rFonts w:ascii="Arial" w:hAnsi="Arial"/>
          <w:color w:val="231F20"/>
          <w:szCs w:val="24"/>
          <w:lang w:val="en-GB"/>
        </w:rPr>
        <w:t>Completion shall be in accordance with the list of codes. If several collateral types are reported, the codes of the individual collaterals shall be listed in close succession without a space.</w:t>
      </w:r>
    </w:p>
    <w:p w14:paraId="658F8569" w14:textId="400FC628" w:rsidR="00E4712D" w:rsidRPr="000E3010" w:rsidRDefault="00DD7D6F" w:rsidP="001B3900">
      <w:pPr>
        <w:ind w:left="425" w:hanging="425"/>
        <w:jc w:val="both"/>
        <w:rPr>
          <w:rFonts w:ascii="Arial" w:hAnsi="Arial" w:cs="Arial"/>
        </w:rPr>
      </w:pPr>
      <w:r w:rsidRPr="000E3010">
        <w:rPr>
          <w:rFonts w:ascii="Arial" w:hAnsi="Arial"/>
          <w:szCs w:val="24"/>
          <w:lang w:val="en-GB"/>
        </w:rPr>
        <w:t>ck)</w:t>
      </w:r>
      <w:r w:rsidRPr="000E3010">
        <w:rPr>
          <w:rFonts w:ascii="Arial" w:hAnsi="Arial"/>
          <w:szCs w:val="24"/>
          <w:lang w:val="en-GB"/>
        </w:rPr>
        <w:tab/>
        <w:t>This column shall be completed if the collateral behind the SME loan is joined by the state’s counter-guarantee or an equivalent indemnity which affects the collateral value in accordance with the Terms and Conditions, furthermore in cases listed in the Terms and Conditions where the claim on the SME is not accepted by the MNB as a collateral. The proportion of the unconditional suretyship or guarantee provided by the guarantor shall be indicated as a percentage of the amount of the SME loan (hereinafter collectively: Institutional guarantee). When a security deposit – up to the degree specified in the Product Notice (over HUF 20 million, but not exceeding 10 percent to the outstanding loans) – also serves as a collateral for the SME loan, i) if the SME loan is (also) secured by an institutional guarantee, the field shall contain the ratio of the Institutional guarantee, expressed as a percentage of the SME loan amount, preceded by 1, ii) when there is no institutional guarantee, the value of the field shall be 100. I</w:t>
      </w:r>
      <w:r w:rsidRPr="000E3010">
        <w:rPr>
          <w:rFonts w:ascii="Arial" w:hAnsi="Arial"/>
          <w:lang w:val="en-GB"/>
        </w:rPr>
        <w:t>n any other case the c</w:t>
      </w:r>
      <w:r w:rsidRPr="000E3010">
        <w:rPr>
          <w:rFonts w:ascii="Arial" w:hAnsi="Arial"/>
          <w:szCs w:val="24"/>
          <w:lang w:val="en-GB"/>
        </w:rPr>
        <w:t>ompletion of the column shall be in accordance with the list of codes.</w:t>
      </w:r>
    </w:p>
    <w:p w14:paraId="4DFDFAD7" w14:textId="77777777" w:rsidR="00DD7D6F" w:rsidRPr="000E3010" w:rsidRDefault="00DD7D6F" w:rsidP="00E4712D">
      <w:pPr>
        <w:spacing w:after="240"/>
        <w:jc w:val="both"/>
        <w:rPr>
          <w:rFonts w:ascii="Arial" w:hAnsi="Arial"/>
          <w:szCs w:val="24"/>
        </w:rPr>
      </w:pPr>
    </w:p>
    <w:p w14:paraId="238CE0F3" w14:textId="77777777" w:rsidR="00DD7D6F" w:rsidRPr="000E3010" w:rsidRDefault="00DD7D6F" w:rsidP="00DD7D6F">
      <w:pPr>
        <w:spacing w:after="240"/>
        <w:ind w:left="425" w:hanging="425"/>
        <w:jc w:val="both"/>
        <w:rPr>
          <w:rFonts w:ascii="Arial" w:hAnsi="Arial"/>
          <w:szCs w:val="24"/>
        </w:rPr>
      </w:pPr>
      <w:r w:rsidRPr="000E3010">
        <w:rPr>
          <w:rFonts w:ascii="Arial" w:hAnsi="Arial"/>
          <w:szCs w:val="24"/>
          <w:lang w:val="en-GB"/>
        </w:rPr>
        <w:t>cl)</w:t>
      </w:r>
      <w:r w:rsidRPr="000E3010">
        <w:rPr>
          <w:rFonts w:ascii="Arial" w:hAnsi="Arial"/>
          <w:szCs w:val="24"/>
          <w:lang w:val="en-GB"/>
        </w:rPr>
        <w:tab/>
        <w:t>The calendar day of the commencement of the longest default shall be indicated. The day immediately following the due date of the repayment specified in the SME loan contract if the amount fails to be deposited into the bank account specified by the data reporting entity. The relevant data shall be reported on the 5</w:t>
      </w:r>
      <w:r w:rsidRPr="000E3010">
        <w:rPr>
          <w:rFonts w:ascii="Arial" w:hAnsi="Arial"/>
          <w:szCs w:val="24"/>
          <w:vertAlign w:val="superscript"/>
          <w:lang w:val="en-GB"/>
        </w:rPr>
        <w:t>th</w:t>
      </w:r>
      <w:r w:rsidRPr="000E3010">
        <w:rPr>
          <w:rFonts w:ascii="Arial" w:hAnsi="Arial"/>
          <w:szCs w:val="24"/>
          <w:lang w:val="en-GB"/>
        </w:rPr>
        <w:t xml:space="preserve"> – or if the loan’s purpose is factoring on the 30</w:t>
      </w:r>
      <w:r w:rsidRPr="000E3010">
        <w:rPr>
          <w:rFonts w:ascii="Arial" w:hAnsi="Arial"/>
          <w:szCs w:val="24"/>
          <w:vertAlign w:val="superscript"/>
          <w:lang w:val="en-GB"/>
        </w:rPr>
        <w:t>th</w:t>
      </w:r>
      <w:r w:rsidRPr="000E3010">
        <w:rPr>
          <w:rFonts w:ascii="Arial" w:hAnsi="Arial"/>
          <w:szCs w:val="24"/>
          <w:lang w:val="en-GB"/>
        </w:rPr>
        <w:t xml:space="preserve"> – working day from the date of commencement of the default (</w:t>
      </w:r>
      <w:r w:rsidRPr="000E3010">
        <w:rPr>
          <w:rFonts w:ascii="Arial" w:hAnsi="Arial"/>
          <w:lang w:val="en-GB"/>
        </w:rPr>
        <w:t xml:space="preserve">for SME loans extended under Pillar II of phase three of the FGS on the data reporting day following </w:t>
      </w:r>
      <w:r w:rsidRPr="000E3010">
        <w:rPr>
          <w:rFonts w:ascii="Arial" w:hAnsi="Arial"/>
          <w:szCs w:val="24"/>
          <w:lang w:val="en-GB"/>
        </w:rPr>
        <w:t xml:space="preserve">the date of commencement of the default as </w:t>
      </w:r>
      <w:r w:rsidRPr="000E3010">
        <w:rPr>
          <w:rFonts w:ascii="Arial" w:hAnsi="Arial"/>
          <w:lang w:val="en-GB"/>
        </w:rPr>
        <w:t>determined in the Terms and Conditions for phase three of the FGS).</w:t>
      </w:r>
    </w:p>
    <w:p w14:paraId="6E9E91C2" w14:textId="77777777" w:rsidR="00DD7D6F" w:rsidRPr="000E3010" w:rsidRDefault="00DD7D6F" w:rsidP="00DD7D6F">
      <w:pPr>
        <w:spacing w:after="240"/>
        <w:ind w:left="425" w:hanging="425"/>
        <w:jc w:val="both"/>
        <w:rPr>
          <w:rFonts w:ascii="Arial" w:hAnsi="Arial"/>
          <w:szCs w:val="24"/>
        </w:rPr>
      </w:pPr>
      <w:r w:rsidRPr="000E3010">
        <w:rPr>
          <w:rFonts w:ascii="Arial" w:hAnsi="Arial"/>
          <w:szCs w:val="24"/>
          <w:lang w:val="en-GB"/>
        </w:rPr>
        <w:t>cm)</w:t>
      </w:r>
      <w:r w:rsidRPr="000E3010">
        <w:rPr>
          <w:rFonts w:ascii="Arial" w:hAnsi="Arial"/>
          <w:szCs w:val="24"/>
          <w:lang w:val="en-GB"/>
        </w:rPr>
        <w:tab/>
        <w:t xml:space="preserve">The anticipated calendar day of restructuring shall be reported here. </w:t>
      </w:r>
    </w:p>
    <w:p w14:paraId="544AA441" w14:textId="77777777" w:rsidR="00DD7D6F" w:rsidRPr="000E3010" w:rsidRDefault="00DD7D6F" w:rsidP="00DD7D6F">
      <w:pPr>
        <w:pStyle w:val="ListParagraph1"/>
        <w:numPr>
          <w:ilvl w:val="0"/>
          <w:numId w:val="0"/>
        </w:numPr>
        <w:spacing w:after="160" w:line="240" w:lineRule="auto"/>
        <w:ind w:left="426" w:hanging="426"/>
        <w:rPr>
          <w:rFonts w:ascii="Arial" w:hAnsi="Arial"/>
          <w:szCs w:val="24"/>
        </w:rPr>
      </w:pPr>
      <w:proofErr w:type="spellStart"/>
      <w:r w:rsidRPr="000E3010">
        <w:rPr>
          <w:rFonts w:ascii="Arial" w:hAnsi="Arial"/>
          <w:szCs w:val="24"/>
          <w:lang w:val="en-GB"/>
        </w:rPr>
        <w:t>cn</w:t>
      </w:r>
      <w:proofErr w:type="spellEnd"/>
      <w:r w:rsidRPr="000E3010">
        <w:rPr>
          <w:rFonts w:ascii="Arial" w:hAnsi="Arial"/>
          <w:szCs w:val="24"/>
          <w:lang w:val="en-GB"/>
        </w:rPr>
        <w:t>)</w:t>
      </w:r>
      <w:r w:rsidRPr="000E3010">
        <w:rPr>
          <w:rFonts w:ascii="Arial" w:hAnsi="Arial"/>
          <w:szCs w:val="24"/>
          <w:lang w:val="en-GB"/>
        </w:rPr>
        <w:tab/>
        <w:t>The frequency stipulated in the contract for the SME loan.</w:t>
      </w:r>
      <w:r w:rsidRPr="000E3010">
        <w:rPr>
          <w:rFonts w:ascii="Arial" w:hAnsi="Arial"/>
          <w:color w:val="231F20"/>
          <w:szCs w:val="24"/>
          <w:lang w:val="en-GB"/>
        </w:rPr>
        <w:t xml:space="preserve"> Completion shall be in accordance with the list of codes.</w:t>
      </w:r>
    </w:p>
    <w:p w14:paraId="4E8C374A" w14:textId="77777777" w:rsidR="00DD7D6F" w:rsidRPr="000E3010" w:rsidRDefault="00DD7D6F" w:rsidP="00DD7D6F">
      <w:pPr>
        <w:spacing w:after="240"/>
        <w:ind w:left="426" w:hanging="426"/>
        <w:jc w:val="both"/>
        <w:rPr>
          <w:rFonts w:ascii="Arial" w:hAnsi="Arial"/>
          <w:szCs w:val="24"/>
        </w:rPr>
      </w:pPr>
      <w:r w:rsidRPr="000E3010">
        <w:rPr>
          <w:rFonts w:ascii="Arial" w:hAnsi="Arial"/>
          <w:szCs w:val="24"/>
          <w:lang w:val="en-GB"/>
        </w:rPr>
        <w:t>co)</w:t>
      </w:r>
      <w:r w:rsidRPr="000E3010">
        <w:rPr>
          <w:rFonts w:ascii="Arial" w:hAnsi="Arial"/>
          <w:szCs w:val="24"/>
          <w:lang w:val="en-GB"/>
        </w:rPr>
        <w:tab/>
        <w:t xml:space="preserve">A text comprising 128 characters at most can be provided as a remark related to the SME loan. If the SME goes out of business or the SME loan contract terminates or is terminated for any reason, such shall be reported here. With the exception of SME loans extended </w:t>
      </w:r>
      <w:r w:rsidRPr="000E3010">
        <w:rPr>
          <w:rFonts w:ascii="Arial" w:hAnsi="Arial"/>
          <w:lang w:val="en-GB"/>
        </w:rPr>
        <w:t>under Pillar II of phase three of the FGS</w:t>
      </w:r>
      <w:r w:rsidRPr="000E3010">
        <w:rPr>
          <w:rFonts w:ascii="Arial" w:hAnsi="Arial"/>
          <w:szCs w:val="24"/>
          <w:lang w:val="en-GB"/>
        </w:rPr>
        <w:t xml:space="preserve"> the data reporting entity shall report data on a fact or a statutory declaration that results in the discontinuation of the operation of the SME or the termination of the SME contract by 15:00 hours on the day when it learns about such fact or declaration (</w:t>
      </w:r>
      <w:r w:rsidRPr="000E3010">
        <w:rPr>
          <w:rFonts w:ascii="Arial" w:hAnsi="Arial"/>
          <w:lang w:val="en-GB"/>
        </w:rPr>
        <w:t>noon on a Saturday working day)</w:t>
      </w:r>
      <w:r w:rsidRPr="000E3010">
        <w:rPr>
          <w:rFonts w:ascii="Arial" w:hAnsi="Arial"/>
          <w:szCs w:val="24"/>
          <w:lang w:val="en-GB"/>
        </w:rPr>
        <w:t>, or if it learns about such fact or declaration after 15:00 hours on the relevant working day (</w:t>
      </w:r>
      <w:r w:rsidRPr="000E3010">
        <w:rPr>
          <w:rFonts w:ascii="Arial" w:hAnsi="Arial"/>
          <w:lang w:val="en-GB"/>
        </w:rPr>
        <w:t>noon on a Saturday working day)</w:t>
      </w:r>
      <w:r w:rsidRPr="000E3010">
        <w:rPr>
          <w:rFonts w:ascii="Arial" w:hAnsi="Arial"/>
          <w:szCs w:val="24"/>
          <w:lang w:val="en-GB"/>
        </w:rPr>
        <w:t>, then by 15:00 hours on the working day (</w:t>
      </w:r>
      <w:r w:rsidRPr="000E3010">
        <w:rPr>
          <w:rFonts w:ascii="Arial" w:hAnsi="Arial"/>
          <w:lang w:val="en-GB"/>
        </w:rPr>
        <w:t xml:space="preserve">noon on a Saturday working day) </w:t>
      </w:r>
      <w:r w:rsidRPr="000E3010">
        <w:rPr>
          <w:rFonts w:ascii="Arial" w:hAnsi="Arial"/>
          <w:szCs w:val="24"/>
          <w:lang w:val="en-GB"/>
        </w:rPr>
        <w:t xml:space="preserve">immediately following the day when it learns about such fact or declaration. In case of SME loans extended </w:t>
      </w:r>
      <w:r w:rsidRPr="000E3010">
        <w:rPr>
          <w:rFonts w:ascii="Arial" w:hAnsi="Arial"/>
          <w:lang w:val="en-GB"/>
        </w:rPr>
        <w:t>under Pillar II of phase three of the FGS</w:t>
      </w:r>
      <w:r w:rsidRPr="000E3010">
        <w:rPr>
          <w:rFonts w:ascii="Arial" w:hAnsi="Arial"/>
          <w:szCs w:val="24"/>
          <w:lang w:val="en-GB"/>
        </w:rPr>
        <w:t xml:space="preserve"> the data reporting entity shall report data by 15:00 hours on the day it learns about such fact or on the data reporting day following the day it learned about such fact as determined </w:t>
      </w:r>
      <w:r w:rsidRPr="000E3010">
        <w:rPr>
          <w:rFonts w:ascii="Arial" w:hAnsi="Arial"/>
          <w:lang w:val="en-GB"/>
        </w:rPr>
        <w:t>in the Terms and Conditions for phase three of the FGS. In case the investment loan is aimed to acquire long-term shares, then the column shall contain the „RESZESEDES” character line, and the name of the affected company, its CSO registration number and the volume of the acquired share in the specified order. It shall here be indicated whether the data is being sent to correct a previously wrongly reported data. In case the SME loan is not extended directly by the credit institution, the CSO registration number of the intermediary financial enterprise shall be indicated here.</w:t>
      </w:r>
    </w:p>
    <w:p w14:paraId="7431FE60" w14:textId="77777777" w:rsidR="00DD7D6F" w:rsidRPr="000E3010" w:rsidRDefault="00DD7D6F" w:rsidP="00DD7D6F">
      <w:pPr>
        <w:autoSpaceDE w:val="0"/>
        <w:autoSpaceDN w:val="0"/>
        <w:adjustRightInd w:val="0"/>
        <w:spacing w:after="240"/>
        <w:ind w:left="425" w:hanging="425"/>
        <w:jc w:val="both"/>
        <w:rPr>
          <w:rFonts w:ascii="Arial" w:hAnsi="Arial"/>
          <w:szCs w:val="24"/>
        </w:rPr>
      </w:pPr>
      <w:r w:rsidRPr="000E3010">
        <w:rPr>
          <w:rFonts w:ascii="Arial" w:hAnsi="Arial"/>
          <w:szCs w:val="24"/>
          <w:lang w:val="en-GB"/>
        </w:rPr>
        <w:t>da)</w:t>
      </w:r>
      <w:r w:rsidRPr="000E3010">
        <w:rPr>
          <w:rFonts w:ascii="Arial" w:hAnsi="Arial"/>
          <w:szCs w:val="24"/>
          <w:lang w:val="en-GB"/>
        </w:rPr>
        <w:tab/>
        <w:t xml:space="preserve">Purpose of the redeemed SME loan. </w:t>
      </w:r>
      <w:r w:rsidRPr="000E3010">
        <w:rPr>
          <w:rFonts w:ascii="Arial" w:hAnsi="Arial"/>
          <w:color w:val="231F20"/>
          <w:szCs w:val="24"/>
          <w:lang w:val="en-GB"/>
        </w:rPr>
        <w:t>Completion shall be in accordance with the list of codes.</w:t>
      </w:r>
    </w:p>
    <w:p w14:paraId="3CF8A9AD" w14:textId="01F62FC6" w:rsidR="005B4D8C" w:rsidRPr="000E3010" w:rsidRDefault="005B4D8C" w:rsidP="00DF77E6">
      <w:pPr>
        <w:spacing w:before="240" w:after="240"/>
        <w:ind w:left="425" w:hanging="425"/>
        <w:jc w:val="both"/>
        <w:rPr>
          <w:rFonts w:ascii="Arial" w:hAnsi="Arial"/>
          <w:szCs w:val="24"/>
        </w:rPr>
      </w:pPr>
      <w:proofErr w:type="spellStart"/>
      <w:r w:rsidRPr="000E3010">
        <w:rPr>
          <w:rFonts w:ascii="Arial" w:hAnsi="Arial"/>
          <w:szCs w:val="24"/>
          <w:lang w:val="en-GB"/>
        </w:rPr>
        <w:t>db</w:t>
      </w:r>
      <w:proofErr w:type="spellEnd"/>
      <w:r w:rsidRPr="000E3010">
        <w:rPr>
          <w:rFonts w:ascii="Arial" w:hAnsi="Arial"/>
          <w:szCs w:val="24"/>
          <w:lang w:val="en-GB"/>
        </w:rPr>
        <w:t>)</w:t>
      </w:r>
      <w:r w:rsidRPr="000E3010">
        <w:rPr>
          <w:rFonts w:ascii="Arial" w:hAnsi="Arial"/>
          <w:szCs w:val="24"/>
          <w:lang w:val="en-GB"/>
        </w:rPr>
        <w:tab/>
        <w:t xml:space="preserve">In the case of an SME loan requested to be refinanced in FGS, FGS </w:t>
      </w:r>
      <w:r w:rsidRPr="00CF4647">
        <w:rPr>
          <w:rFonts w:ascii="Arial" w:hAnsi="Arial"/>
          <w:i/>
          <w:iCs/>
          <w:szCs w:val="24"/>
          <w:lang w:val="en-GB"/>
        </w:rPr>
        <w:t>fix</w:t>
      </w:r>
      <w:r w:rsidRPr="000E3010">
        <w:rPr>
          <w:rFonts w:ascii="Arial" w:hAnsi="Arial"/>
          <w:szCs w:val="24"/>
          <w:lang w:val="en-GB"/>
        </w:rPr>
        <w:t xml:space="preserve"> or </w:t>
      </w:r>
      <w:proofErr w:type="spellStart"/>
      <w:r w:rsidRPr="000E3010">
        <w:rPr>
          <w:rFonts w:ascii="Arial" w:hAnsi="Arial"/>
          <w:szCs w:val="24"/>
          <w:lang w:val="en-GB"/>
        </w:rPr>
        <w:t>FGS</w:t>
      </w:r>
      <w:proofErr w:type="spellEnd"/>
      <w:r w:rsidRPr="000E3010">
        <w:rPr>
          <w:rFonts w:ascii="Arial" w:hAnsi="Arial"/>
          <w:szCs w:val="24"/>
          <w:lang w:val="en-GB"/>
        </w:rPr>
        <w:t xml:space="preserve"> </w:t>
      </w:r>
      <w:r w:rsidR="0057017A">
        <w:rPr>
          <w:rFonts w:ascii="Arial" w:hAnsi="Arial"/>
          <w:szCs w:val="24"/>
          <w:lang w:val="en-GB"/>
        </w:rPr>
        <w:t>Go!</w:t>
      </w:r>
      <w:r w:rsidR="0057017A" w:rsidRPr="000E3010">
        <w:rPr>
          <w:rFonts w:ascii="Arial" w:hAnsi="Arial"/>
          <w:szCs w:val="24"/>
          <w:lang w:val="en-GB"/>
        </w:rPr>
        <w:t xml:space="preserve"> </w:t>
      </w:r>
      <w:r w:rsidRPr="000E3010">
        <w:rPr>
          <w:rFonts w:ascii="Arial" w:hAnsi="Arial"/>
          <w:szCs w:val="24"/>
          <w:lang w:val="en-GB"/>
        </w:rPr>
        <w:t>the column shall be completed even if the purpose of the SME loan is – among those mentioned in the code list – other than that of redemption, “</w:t>
      </w:r>
      <w:proofErr w:type="spellStart"/>
      <w:r w:rsidRPr="000E3010">
        <w:rPr>
          <w:rFonts w:ascii="Arial" w:hAnsi="Arial"/>
          <w:lang w:val="en-GB"/>
        </w:rPr>
        <w:t>MFB</w:t>
      </w:r>
      <w:proofErr w:type="spellEnd"/>
      <w:r w:rsidRPr="000E3010">
        <w:rPr>
          <w:rFonts w:ascii="Arial" w:hAnsi="Arial"/>
          <w:lang w:val="en-GB"/>
        </w:rPr>
        <w:t xml:space="preserve"> </w:t>
      </w:r>
      <w:proofErr w:type="spellStart"/>
      <w:r w:rsidRPr="000E3010">
        <w:rPr>
          <w:rFonts w:ascii="Arial" w:hAnsi="Arial"/>
          <w:lang w:val="en-GB"/>
        </w:rPr>
        <w:t>Krízis</w:t>
      </w:r>
      <w:proofErr w:type="spellEnd"/>
      <w:r w:rsidRPr="000E3010">
        <w:rPr>
          <w:rFonts w:ascii="Arial" w:hAnsi="Arial"/>
          <w:lang w:val="en-GB"/>
        </w:rPr>
        <w:t xml:space="preserve"> </w:t>
      </w:r>
      <w:proofErr w:type="spellStart"/>
      <w:r w:rsidRPr="000E3010">
        <w:rPr>
          <w:rFonts w:ascii="Arial" w:hAnsi="Arial"/>
          <w:lang w:val="en-GB"/>
        </w:rPr>
        <w:t>Hitel</w:t>
      </w:r>
      <w:proofErr w:type="spellEnd"/>
      <w:r w:rsidRPr="000E3010">
        <w:rPr>
          <w:rFonts w:ascii="Arial" w:hAnsi="Arial"/>
          <w:lang w:val="en-GB"/>
        </w:rPr>
        <w:t xml:space="preserve"> </w:t>
      </w:r>
      <w:proofErr w:type="spellStart"/>
      <w:r w:rsidRPr="000E3010">
        <w:rPr>
          <w:rFonts w:ascii="Arial" w:hAnsi="Arial"/>
          <w:lang w:val="en-GB"/>
        </w:rPr>
        <w:t>Beruházási</w:t>
      </w:r>
      <w:proofErr w:type="spellEnd"/>
      <w:r w:rsidRPr="000E3010">
        <w:rPr>
          <w:rFonts w:ascii="Arial" w:hAnsi="Arial"/>
          <w:lang w:val="en-GB"/>
        </w:rPr>
        <w:t xml:space="preserve"> </w:t>
      </w:r>
      <w:proofErr w:type="spellStart"/>
      <w:r w:rsidRPr="000E3010">
        <w:rPr>
          <w:rFonts w:ascii="Arial" w:hAnsi="Arial"/>
          <w:lang w:val="en-GB"/>
        </w:rPr>
        <w:t>Hitel</w:t>
      </w:r>
      <w:proofErr w:type="spellEnd"/>
      <w:r w:rsidRPr="000E3010">
        <w:rPr>
          <w:rFonts w:ascii="Arial" w:hAnsi="Arial"/>
          <w:lang w:val="en-GB"/>
        </w:rPr>
        <w:t xml:space="preserve"> </w:t>
      </w:r>
      <w:proofErr w:type="spellStart"/>
      <w:r w:rsidRPr="000E3010">
        <w:rPr>
          <w:rFonts w:ascii="Arial" w:hAnsi="Arial"/>
          <w:lang w:val="en-GB"/>
        </w:rPr>
        <w:t>kiváltása</w:t>
      </w:r>
      <w:proofErr w:type="spellEnd"/>
      <w:r w:rsidRPr="000E3010">
        <w:rPr>
          <w:rFonts w:ascii="Arial" w:hAnsi="Arial"/>
          <w:lang w:val="en-GB"/>
        </w:rPr>
        <w:t>”, “</w:t>
      </w:r>
      <w:proofErr w:type="spellStart"/>
      <w:r w:rsidRPr="000E3010">
        <w:rPr>
          <w:rFonts w:ascii="Arial" w:hAnsi="Arial"/>
          <w:lang w:val="en-GB"/>
        </w:rPr>
        <w:t>MFB</w:t>
      </w:r>
      <w:proofErr w:type="spellEnd"/>
      <w:r w:rsidRPr="000E3010">
        <w:rPr>
          <w:rFonts w:ascii="Arial" w:hAnsi="Arial"/>
          <w:lang w:val="en-GB"/>
        </w:rPr>
        <w:t xml:space="preserve"> </w:t>
      </w:r>
      <w:proofErr w:type="spellStart"/>
      <w:r w:rsidRPr="000E3010">
        <w:rPr>
          <w:rFonts w:ascii="Arial" w:hAnsi="Arial"/>
          <w:lang w:val="en-GB"/>
        </w:rPr>
        <w:t>Krízis</w:t>
      </w:r>
      <w:proofErr w:type="spellEnd"/>
      <w:r w:rsidRPr="000E3010">
        <w:rPr>
          <w:rFonts w:ascii="Arial" w:hAnsi="Arial"/>
          <w:lang w:val="en-GB"/>
        </w:rPr>
        <w:t xml:space="preserve"> </w:t>
      </w:r>
      <w:proofErr w:type="spellStart"/>
      <w:r w:rsidRPr="000E3010">
        <w:rPr>
          <w:rFonts w:ascii="Arial" w:hAnsi="Arial"/>
          <w:lang w:val="en-GB"/>
        </w:rPr>
        <w:t>Plusz</w:t>
      </w:r>
      <w:proofErr w:type="spellEnd"/>
      <w:r w:rsidRPr="000E3010">
        <w:rPr>
          <w:rFonts w:ascii="Arial" w:hAnsi="Arial"/>
          <w:lang w:val="en-GB"/>
        </w:rPr>
        <w:t xml:space="preserve"> </w:t>
      </w:r>
      <w:proofErr w:type="spellStart"/>
      <w:r w:rsidRPr="000E3010">
        <w:rPr>
          <w:rFonts w:ascii="Arial" w:hAnsi="Arial"/>
          <w:lang w:val="en-GB"/>
        </w:rPr>
        <w:t>Beruházási</w:t>
      </w:r>
      <w:proofErr w:type="spellEnd"/>
      <w:r w:rsidRPr="000E3010">
        <w:rPr>
          <w:rFonts w:ascii="Arial" w:hAnsi="Arial"/>
          <w:lang w:val="en-GB"/>
        </w:rPr>
        <w:t xml:space="preserve"> </w:t>
      </w:r>
      <w:proofErr w:type="spellStart"/>
      <w:r w:rsidRPr="000E3010">
        <w:rPr>
          <w:rFonts w:ascii="Arial" w:hAnsi="Arial"/>
          <w:lang w:val="en-GB"/>
        </w:rPr>
        <w:t>Hitelkiváltásra</w:t>
      </w:r>
      <w:proofErr w:type="spellEnd"/>
      <w:r w:rsidRPr="000E3010">
        <w:rPr>
          <w:rFonts w:ascii="Arial" w:hAnsi="Arial"/>
          <w:lang w:val="en-GB"/>
        </w:rPr>
        <w:t>”, “</w:t>
      </w:r>
      <w:proofErr w:type="spellStart"/>
      <w:r w:rsidRPr="000E3010">
        <w:rPr>
          <w:rFonts w:ascii="Arial" w:hAnsi="Arial"/>
          <w:lang w:val="en-GB"/>
        </w:rPr>
        <w:t>Széchenyi</w:t>
      </w:r>
      <w:proofErr w:type="spellEnd"/>
      <w:r w:rsidRPr="000E3010">
        <w:rPr>
          <w:rFonts w:ascii="Arial" w:hAnsi="Arial"/>
          <w:lang w:val="en-GB"/>
        </w:rPr>
        <w:t xml:space="preserve"> </w:t>
      </w:r>
      <w:proofErr w:type="spellStart"/>
      <w:r w:rsidRPr="000E3010">
        <w:rPr>
          <w:rFonts w:ascii="Arial" w:hAnsi="Arial"/>
          <w:lang w:val="en-GB"/>
        </w:rPr>
        <w:t>Beruházási</w:t>
      </w:r>
      <w:proofErr w:type="spellEnd"/>
      <w:r w:rsidRPr="000E3010">
        <w:rPr>
          <w:rFonts w:ascii="Arial" w:hAnsi="Arial"/>
          <w:lang w:val="en-GB"/>
        </w:rPr>
        <w:t xml:space="preserve"> </w:t>
      </w:r>
      <w:proofErr w:type="spellStart"/>
      <w:r w:rsidRPr="000E3010">
        <w:rPr>
          <w:rFonts w:ascii="Arial" w:hAnsi="Arial"/>
          <w:lang w:val="en-GB"/>
        </w:rPr>
        <w:t>Hitel</w:t>
      </w:r>
      <w:proofErr w:type="spellEnd"/>
      <w:r w:rsidRPr="000E3010">
        <w:rPr>
          <w:rFonts w:ascii="Arial" w:hAnsi="Arial"/>
          <w:lang w:val="en-GB"/>
        </w:rPr>
        <w:t xml:space="preserve"> </w:t>
      </w:r>
      <w:proofErr w:type="spellStart"/>
      <w:r w:rsidRPr="000E3010">
        <w:rPr>
          <w:rFonts w:ascii="Arial" w:hAnsi="Arial"/>
          <w:lang w:val="en-GB"/>
        </w:rPr>
        <w:t>Plusz</w:t>
      </w:r>
      <w:proofErr w:type="spellEnd"/>
      <w:r w:rsidRPr="000E3010">
        <w:rPr>
          <w:rFonts w:ascii="Arial" w:hAnsi="Arial"/>
          <w:lang w:val="en-GB"/>
        </w:rPr>
        <w:t xml:space="preserve"> </w:t>
      </w:r>
      <w:proofErr w:type="spellStart"/>
      <w:r w:rsidRPr="000E3010">
        <w:rPr>
          <w:rFonts w:ascii="Arial" w:hAnsi="Arial"/>
          <w:lang w:val="en-GB"/>
        </w:rPr>
        <w:t>Kiváltásra</w:t>
      </w:r>
      <w:proofErr w:type="spellEnd"/>
      <w:r w:rsidRPr="000E3010">
        <w:rPr>
          <w:rFonts w:ascii="Arial" w:hAnsi="Arial"/>
          <w:lang w:val="en-GB"/>
        </w:rPr>
        <w:t xml:space="preserve">” or </w:t>
      </w:r>
      <w:proofErr w:type="spellStart"/>
      <w:r w:rsidRPr="000E3010">
        <w:rPr>
          <w:rFonts w:ascii="Arial" w:hAnsi="Arial"/>
          <w:lang w:val="en-GB"/>
        </w:rPr>
        <w:t>FGS</w:t>
      </w:r>
      <w:proofErr w:type="spellEnd"/>
      <w:r w:rsidRPr="000E3010">
        <w:rPr>
          <w:rFonts w:ascii="Arial" w:hAnsi="Arial"/>
          <w:lang w:val="en-GB"/>
        </w:rPr>
        <w:t>-redemption</w:t>
      </w:r>
      <w:r w:rsidRPr="000E3010">
        <w:rPr>
          <w:rFonts w:ascii="Arial" w:hAnsi="Arial"/>
          <w:szCs w:val="24"/>
          <w:lang w:val="en-GB"/>
        </w:rPr>
        <w:t xml:space="preserve"> however, the credit institution extending the SME loan had not had a contractual relationship with the SME before it concluded the contract for SME loan with the SME. </w:t>
      </w:r>
      <w:r w:rsidRPr="000E3010">
        <w:rPr>
          <w:rFonts w:ascii="Arial" w:hAnsi="Arial"/>
          <w:color w:val="231F20"/>
          <w:szCs w:val="24"/>
          <w:lang w:val="en-GB"/>
        </w:rPr>
        <w:t>Completion shall be in accordance with the list of codes.</w:t>
      </w:r>
    </w:p>
    <w:p w14:paraId="2A9234FB" w14:textId="77777777" w:rsidR="005B4D8C" w:rsidRPr="000E3010" w:rsidRDefault="005B4D8C" w:rsidP="005B4D8C">
      <w:pPr>
        <w:spacing w:before="240" w:after="240"/>
        <w:ind w:left="425" w:hanging="425"/>
        <w:jc w:val="both"/>
        <w:rPr>
          <w:rFonts w:ascii="Arial" w:hAnsi="Arial"/>
          <w:szCs w:val="24"/>
        </w:rPr>
      </w:pPr>
      <w:r w:rsidRPr="000E3010">
        <w:rPr>
          <w:rFonts w:ascii="Arial" w:hAnsi="Arial"/>
          <w:szCs w:val="24"/>
          <w:lang w:val="en-GB"/>
        </w:rPr>
        <w:lastRenderedPageBreak/>
        <w:t>dc)</w:t>
      </w:r>
      <w:r w:rsidRPr="000E3010">
        <w:rPr>
          <w:rFonts w:ascii="Arial" w:hAnsi="Arial"/>
          <w:szCs w:val="24"/>
          <w:lang w:val="en-GB"/>
        </w:rPr>
        <w:tab/>
        <w:t>This column shall be completed only if the credit institution that extended the redeemed loan is different from the one extending the SME loan.</w:t>
      </w:r>
    </w:p>
    <w:p w14:paraId="46074093" w14:textId="77777777" w:rsidR="005B4D8C" w:rsidRPr="000E3010" w:rsidRDefault="005B4D8C" w:rsidP="005B4D8C">
      <w:pPr>
        <w:spacing w:before="240" w:after="240"/>
        <w:ind w:left="426" w:hanging="426"/>
        <w:jc w:val="both"/>
        <w:rPr>
          <w:rFonts w:ascii="Arial" w:hAnsi="Arial"/>
          <w:szCs w:val="24"/>
        </w:rPr>
      </w:pPr>
      <w:r w:rsidRPr="000E3010">
        <w:rPr>
          <w:rFonts w:ascii="Arial" w:hAnsi="Arial"/>
          <w:szCs w:val="24"/>
          <w:lang w:val="en-GB"/>
        </w:rPr>
        <w:t>dd)</w:t>
      </w:r>
      <w:r w:rsidRPr="000E3010">
        <w:rPr>
          <w:rFonts w:ascii="Arial" w:hAnsi="Arial"/>
          <w:szCs w:val="24"/>
          <w:lang w:val="en-GB"/>
        </w:rPr>
        <w:tab/>
        <w:t xml:space="preserve">The total amount of the partially redeemed loan as at the date of redemption shall be reported. This column shall be completed if this amount is higher than the loan amount indicated in column </w:t>
      </w:r>
      <w:proofErr w:type="spellStart"/>
      <w:r w:rsidRPr="000E3010">
        <w:rPr>
          <w:rFonts w:ascii="Arial" w:hAnsi="Arial"/>
          <w:szCs w:val="24"/>
          <w:lang w:val="en-GB"/>
        </w:rPr>
        <w:t>ch</w:t>
      </w:r>
      <w:proofErr w:type="spellEnd"/>
      <w:r w:rsidRPr="000E3010">
        <w:rPr>
          <w:rFonts w:ascii="Arial" w:hAnsi="Arial"/>
          <w:szCs w:val="24"/>
          <w:lang w:val="en-GB"/>
        </w:rPr>
        <w:t>).</w:t>
      </w:r>
    </w:p>
    <w:p w14:paraId="1F451482" w14:textId="77777777" w:rsidR="005B4D8C" w:rsidRPr="000E3010" w:rsidRDefault="005B4D8C" w:rsidP="005B4D8C">
      <w:pPr>
        <w:spacing w:before="240" w:after="240"/>
        <w:ind w:left="425" w:hanging="425"/>
        <w:jc w:val="both"/>
        <w:rPr>
          <w:rFonts w:ascii="Arial" w:hAnsi="Arial"/>
          <w:szCs w:val="24"/>
        </w:rPr>
      </w:pPr>
      <w:r w:rsidRPr="000E3010">
        <w:rPr>
          <w:rFonts w:ascii="Arial" w:hAnsi="Arial"/>
          <w:szCs w:val="24"/>
          <w:lang w:val="en-GB"/>
        </w:rPr>
        <w:t>de)</w:t>
      </w:r>
      <w:r w:rsidRPr="000E3010">
        <w:rPr>
          <w:rFonts w:ascii="Arial" w:hAnsi="Arial"/>
          <w:szCs w:val="24"/>
          <w:lang w:val="en-GB"/>
        </w:rPr>
        <w:tab/>
        <w:t>The date of the disbursement of the redeemed loan. If disbursement occurs in tranches, the date of the first disbursement shall be indicated. If the date of the first disbursement is not known, the date of the execution of the contract for the redeemed loan shall be indicated. If the parties sign the contract at different dates, the instruction for the completion of column cb) shall apply.</w:t>
      </w:r>
    </w:p>
    <w:p w14:paraId="38306F2E" w14:textId="77777777" w:rsidR="005B4D8C" w:rsidRPr="000E3010" w:rsidRDefault="005B4D8C" w:rsidP="005B4D8C">
      <w:pPr>
        <w:spacing w:before="240" w:after="240"/>
        <w:ind w:left="425" w:hanging="425"/>
        <w:jc w:val="both"/>
        <w:rPr>
          <w:rFonts w:ascii="Arial" w:hAnsi="Arial"/>
          <w:szCs w:val="24"/>
        </w:rPr>
      </w:pPr>
      <w:r w:rsidRPr="000E3010">
        <w:rPr>
          <w:rFonts w:ascii="Arial" w:hAnsi="Arial"/>
          <w:szCs w:val="24"/>
          <w:lang w:val="en-GB"/>
        </w:rPr>
        <w:t>df)</w:t>
      </w:r>
      <w:r w:rsidRPr="000E3010">
        <w:rPr>
          <w:rFonts w:ascii="Arial" w:hAnsi="Arial"/>
          <w:szCs w:val="24"/>
          <w:lang w:val="en-GB"/>
        </w:rPr>
        <w:tab/>
        <w:t>The specific contract identifier used by the credit institution disbursing the redeemed loan to identify the contract for the redeemed loan shall be provided in this column.</w:t>
      </w:r>
    </w:p>
    <w:p w14:paraId="35261B24" w14:textId="1E625F6D" w:rsidR="005B4D8C" w:rsidRPr="000E3010" w:rsidRDefault="005B4D8C" w:rsidP="005B4D8C">
      <w:pPr>
        <w:spacing w:before="240" w:after="240"/>
        <w:ind w:left="426" w:hanging="426"/>
        <w:jc w:val="both"/>
        <w:rPr>
          <w:rFonts w:ascii="Arial" w:hAnsi="Arial"/>
          <w:szCs w:val="24"/>
        </w:rPr>
      </w:pPr>
      <w:r w:rsidRPr="000E3010">
        <w:rPr>
          <w:rFonts w:ascii="Arial" w:hAnsi="Arial"/>
          <w:szCs w:val="24"/>
          <w:lang w:val="en-GB"/>
        </w:rPr>
        <w:t>dg)</w:t>
      </w:r>
      <w:r w:rsidRPr="000E3010">
        <w:rPr>
          <w:rFonts w:ascii="Arial" w:hAnsi="Arial"/>
          <w:szCs w:val="24"/>
          <w:lang w:val="en-GB"/>
        </w:rPr>
        <w:tab/>
        <w:t>The FX ISO codes to be used to indicate the currency of the redeemed loan are contained in paragraph 4.1 of annex 3 to the support answer book available on the MNB’s website.</w:t>
      </w:r>
      <w:r w:rsidRPr="000E3010">
        <w:rPr>
          <w:rFonts w:ascii="Arial" w:hAnsi="Arial"/>
          <w:color w:val="231F20"/>
          <w:szCs w:val="24"/>
          <w:lang w:val="en-GB"/>
        </w:rPr>
        <w:t xml:space="preserve"> </w:t>
      </w:r>
    </w:p>
    <w:p w14:paraId="11EC0F58" w14:textId="77777777" w:rsidR="005B4D8C" w:rsidRPr="000E3010" w:rsidRDefault="005B4D8C" w:rsidP="005B4D8C">
      <w:pPr>
        <w:spacing w:before="240" w:after="240"/>
        <w:ind w:left="426" w:hanging="426"/>
        <w:jc w:val="both"/>
        <w:rPr>
          <w:rFonts w:ascii="Arial" w:hAnsi="Arial"/>
          <w:szCs w:val="24"/>
        </w:rPr>
      </w:pPr>
      <w:r w:rsidRPr="000E3010">
        <w:rPr>
          <w:rFonts w:ascii="Arial" w:hAnsi="Arial"/>
          <w:szCs w:val="24"/>
          <w:lang w:val="en-GB"/>
        </w:rPr>
        <w:t>dh)</w:t>
      </w:r>
      <w:r w:rsidRPr="000E3010">
        <w:rPr>
          <w:rFonts w:ascii="Arial" w:hAnsi="Arial"/>
          <w:szCs w:val="24"/>
          <w:lang w:val="en-GB"/>
        </w:rPr>
        <w:tab/>
        <w:t>The amount shall be provided in the currency of the redeemed loan.</w:t>
      </w:r>
    </w:p>
    <w:p w14:paraId="28155F96" w14:textId="77777777" w:rsidR="005B4D8C" w:rsidRPr="000E3010" w:rsidRDefault="005B4D8C" w:rsidP="005B4D8C">
      <w:pPr>
        <w:spacing w:before="240" w:after="240"/>
        <w:ind w:left="425" w:hanging="425"/>
        <w:jc w:val="both"/>
        <w:rPr>
          <w:rFonts w:ascii="Arial" w:hAnsi="Arial"/>
          <w:szCs w:val="24"/>
        </w:rPr>
      </w:pPr>
      <w:r w:rsidRPr="000E3010">
        <w:rPr>
          <w:rFonts w:ascii="Arial" w:hAnsi="Arial"/>
          <w:szCs w:val="24"/>
          <w:lang w:val="en-GB"/>
        </w:rPr>
        <w:t>di)</w:t>
      </w:r>
      <w:r w:rsidRPr="000E3010">
        <w:rPr>
          <w:rFonts w:ascii="Arial" w:hAnsi="Arial"/>
          <w:szCs w:val="24"/>
          <w:lang w:val="en-GB"/>
        </w:rPr>
        <w:tab/>
        <w:t>In the case of a redeemed loan the calendar day of the commencement of the longest default shall be indicated. If the redeemed loan is not defaulted, the column shall be left blank.</w:t>
      </w:r>
    </w:p>
    <w:p w14:paraId="5700D54F" w14:textId="77777777" w:rsidR="00085519" w:rsidRPr="000E3010" w:rsidRDefault="00085519" w:rsidP="00085519">
      <w:pPr>
        <w:spacing w:before="240" w:after="240"/>
        <w:ind w:left="426" w:hanging="426"/>
        <w:jc w:val="both"/>
        <w:rPr>
          <w:rFonts w:ascii="Arial" w:hAnsi="Arial"/>
          <w:szCs w:val="24"/>
        </w:rPr>
      </w:pPr>
      <w:proofErr w:type="spellStart"/>
      <w:r w:rsidRPr="000E3010">
        <w:rPr>
          <w:rFonts w:ascii="Arial" w:hAnsi="Arial"/>
          <w:szCs w:val="24"/>
          <w:lang w:val="en-GB"/>
        </w:rPr>
        <w:t>dj</w:t>
      </w:r>
      <w:proofErr w:type="spellEnd"/>
      <w:r w:rsidRPr="000E3010">
        <w:rPr>
          <w:rFonts w:ascii="Arial" w:hAnsi="Arial"/>
          <w:szCs w:val="24"/>
          <w:lang w:val="en-GB"/>
        </w:rPr>
        <w:t>)</w:t>
      </w:r>
      <w:r w:rsidRPr="000E3010">
        <w:rPr>
          <w:rFonts w:ascii="Arial" w:hAnsi="Arial"/>
          <w:szCs w:val="24"/>
          <w:lang w:val="en-GB"/>
        </w:rPr>
        <w:tab/>
        <w:t>The day of the expiration of the redeemed loan shall be reported.</w:t>
      </w:r>
    </w:p>
    <w:p w14:paraId="56040D0B" w14:textId="77777777" w:rsidR="00F64537" w:rsidRPr="000E3010" w:rsidRDefault="00F64537" w:rsidP="00F64537">
      <w:pPr>
        <w:spacing w:before="240" w:after="240"/>
        <w:ind w:left="425" w:hanging="425"/>
        <w:jc w:val="both"/>
        <w:rPr>
          <w:rFonts w:ascii="Arial" w:hAnsi="Arial"/>
          <w:szCs w:val="24"/>
        </w:rPr>
      </w:pPr>
      <w:r w:rsidRPr="000E3010">
        <w:rPr>
          <w:rFonts w:ascii="Arial" w:hAnsi="Arial"/>
          <w:szCs w:val="24"/>
          <w:lang w:val="en-GB"/>
        </w:rPr>
        <w:t>dk)</w:t>
      </w:r>
      <w:r w:rsidRPr="000E3010">
        <w:rPr>
          <w:rFonts w:ascii="Arial" w:hAnsi="Arial"/>
          <w:szCs w:val="24"/>
          <w:lang w:val="en-GB"/>
        </w:rPr>
        <w:tab/>
        <w:t xml:space="preserve">Interest on the redeemed loan may be fixed or pegged to benchmark interest (e.g. the 3-month BUBOR). In the case of fixed rate interest, the annual amount of the fees and costs calculated by the data reporting entity for the loan (the total amount of loan rates) shall be reported in basis points. In the case of interest pegged to benchmark interest, the reference interest (e.g. the 3-month BUBOR) and the total amount of the annual spread calculated on the basis of the total amount of the costs and fees shall be reported. (Format: “benchmark interest + YYY”, where YYY denotes spread expressed in basis points.)  </w:t>
      </w:r>
    </w:p>
    <w:p w14:paraId="74753490" w14:textId="77777777" w:rsidR="0063764C" w:rsidRPr="000E3010" w:rsidRDefault="0063764C" w:rsidP="0063764C">
      <w:pPr>
        <w:spacing w:before="240" w:after="240"/>
        <w:ind w:left="426" w:hanging="426"/>
        <w:jc w:val="both"/>
        <w:rPr>
          <w:rFonts w:ascii="Arial" w:hAnsi="Arial"/>
          <w:szCs w:val="24"/>
        </w:rPr>
      </w:pPr>
      <w:r w:rsidRPr="000E3010">
        <w:rPr>
          <w:rFonts w:ascii="Arial" w:hAnsi="Arial"/>
          <w:szCs w:val="24"/>
          <w:lang w:val="en-GB"/>
        </w:rPr>
        <w:t>dl)</w:t>
      </w:r>
      <w:r w:rsidRPr="000E3010">
        <w:rPr>
          <w:rFonts w:ascii="Arial" w:hAnsi="Arial"/>
          <w:szCs w:val="24"/>
          <w:lang w:val="en-GB"/>
        </w:rPr>
        <w:tab/>
        <w:t>The annual frequency of principal repayment shall be reported here. Completion shall be in accordance with the list of codes.</w:t>
      </w:r>
    </w:p>
    <w:p w14:paraId="4F6E62C9" w14:textId="77777777" w:rsidR="00841E4D" w:rsidRPr="00DF77E6" w:rsidRDefault="0063764C" w:rsidP="0063764C">
      <w:pPr>
        <w:spacing w:before="240" w:after="240"/>
        <w:ind w:left="426" w:hanging="426"/>
        <w:jc w:val="both"/>
        <w:rPr>
          <w:rFonts w:ascii="Arial" w:hAnsi="Arial" w:cs="Arial"/>
        </w:rPr>
      </w:pPr>
      <w:r w:rsidRPr="000E3010">
        <w:rPr>
          <w:rFonts w:ascii="Arial" w:hAnsi="Arial"/>
          <w:szCs w:val="24"/>
          <w:lang w:val="en-GB"/>
        </w:rPr>
        <w:t>dm)</w:t>
      </w:r>
      <w:r w:rsidRPr="000E3010">
        <w:rPr>
          <w:rFonts w:ascii="Arial" w:hAnsi="Arial"/>
          <w:szCs w:val="24"/>
          <w:lang w:val="en-GB"/>
        </w:rPr>
        <w:tab/>
        <w:t>The date of the most recent restructuring of the redeemed loan shall be reported here.</w:t>
      </w:r>
    </w:p>
    <w:sectPr w:rsidR="00841E4D" w:rsidRPr="00DF77E6" w:rsidSect="00336559">
      <w:headerReference w:type="default" r:id="rId7"/>
      <w:footerReference w:type="default" r:id="rId8"/>
      <w:pgSz w:w="11906" w:h="16838"/>
      <w:pgMar w:top="1276"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114327" w14:textId="77777777" w:rsidR="00B6152E" w:rsidRDefault="00B6152E" w:rsidP="000A76AF">
      <w:r>
        <w:separator/>
      </w:r>
    </w:p>
  </w:endnote>
  <w:endnote w:type="continuationSeparator" w:id="0">
    <w:p w14:paraId="76445308" w14:textId="77777777" w:rsidR="00B6152E" w:rsidRDefault="00B6152E" w:rsidP="000A76AF">
      <w:r>
        <w:continuationSeparator/>
      </w:r>
    </w:p>
  </w:endnote>
  <w:endnote w:type="continuationNotice" w:id="1">
    <w:p w14:paraId="41032099" w14:textId="77777777" w:rsidR="00B6152E" w:rsidRDefault="00B615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6D9FB" w14:textId="77777777" w:rsidR="008C2E89" w:rsidRDefault="008C2E8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ABE6DD" w14:textId="77777777" w:rsidR="00B6152E" w:rsidRDefault="00B6152E" w:rsidP="000A76AF">
      <w:r>
        <w:separator/>
      </w:r>
    </w:p>
  </w:footnote>
  <w:footnote w:type="continuationSeparator" w:id="0">
    <w:p w14:paraId="3DF838AD" w14:textId="77777777" w:rsidR="00B6152E" w:rsidRDefault="00B6152E" w:rsidP="000A76AF">
      <w:r>
        <w:continuationSeparator/>
      </w:r>
    </w:p>
  </w:footnote>
  <w:footnote w:type="continuationNotice" w:id="1">
    <w:p w14:paraId="6819F76C" w14:textId="77777777" w:rsidR="00B6152E" w:rsidRDefault="00B615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33E8A" w14:textId="77777777" w:rsidR="008C2E89" w:rsidRDefault="008C2E8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253B15"/>
    <w:multiLevelType w:val="multilevel"/>
    <w:tmpl w:val="E8AEFF86"/>
    <w:styleLink w:val="Style1"/>
    <w:lvl w:ilvl="0">
      <w:start w:val="1"/>
      <w:numFmt w:val="decimal"/>
      <w:lvlText w:val="%1"/>
      <w:lvlJc w:val="left"/>
      <w:pPr>
        <w:ind w:left="431" w:hanging="431"/>
      </w:pPr>
      <w:rPr>
        <w:rFonts w:hint="default"/>
      </w:rPr>
    </w:lvl>
    <w:lvl w:ilvl="1">
      <w:start w:val="1"/>
      <w:numFmt w:val="decimal"/>
      <w:lvlText w:val="%1.%2"/>
      <w:lvlJc w:val="left"/>
      <w:pPr>
        <w:ind w:left="431" w:hanging="431"/>
      </w:pPr>
      <w:rPr>
        <w:rFonts w:hint="default"/>
      </w:rPr>
    </w:lvl>
    <w:lvl w:ilvl="2">
      <w:start w:val="1"/>
      <w:numFmt w:val="decimal"/>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2" w15:restartNumberingAfterBreak="0">
    <w:nsid w:val="418C66E8"/>
    <w:multiLevelType w:val="hybridMultilevel"/>
    <w:tmpl w:val="40A430BC"/>
    <w:lvl w:ilvl="0" w:tplc="EC0C446A">
      <w:start w:val="1"/>
      <w:numFmt w:val="bullet"/>
      <w:pStyle w:val="ListParagraph1"/>
      <w:lvlText w:val=""/>
      <w:lvlJc w:val="left"/>
      <w:pPr>
        <w:ind w:left="720" w:hanging="360"/>
      </w:pPr>
      <w:rPr>
        <w:rFonts w:ascii="Symbol" w:hAnsi="Symbol" w:hint="default"/>
        <w:b/>
        <w:color w:val="4F81BD"/>
        <w:sz w:val="24"/>
      </w:rPr>
    </w:lvl>
    <w:lvl w:ilvl="1" w:tplc="F2DEDAD4">
      <w:start w:val="1"/>
      <w:numFmt w:val="bullet"/>
      <w:pStyle w:val="Listaszerbekezds2szint"/>
      <w:lvlText w:val="o"/>
      <w:lvlJc w:val="left"/>
      <w:pPr>
        <w:ind w:left="1440" w:hanging="360"/>
      </w:pPr>
      <w:rPr>
        <w:rFonts w:ascii="Courier New" w:hAnsi="Courier New" w:cs="Courier New" w:hint="default"/>
        <w:b/>
        <w:color w:val="4F81BD"/>
        <w:sz w:val="24"/>
      </w:rPr>
    </w:lvl>
    <w:lvl w:ilvl="2" w:tplc="144614B6">
      <w:start w:val="1"/>
      <w:numFmt w:val="bullet"/>
      <w:pStyle w:val="Listaszerbekezds3szint"/>
      <w:lvlText w:val=""/>
      <w:lvlJc w:val="left"/>
      <w:pPr>
        <w:ind w:left="2160" w:hanging="360"/>
      </w:pPr>
      <w:rPr>
        <w:rFonts w:ascii="Wingdings" w:hAnsi="Wingdings" w:cs="Calibri" w:hint="default"/>
        <w:b/>
        <w:color w:val="4F81BD"/>
        <w:sz w:val="24"/>
      </w:rPr>
    </w:lvl>
    <w:lvl w:ilvl="3" w:tplc="808AB958">
      <w:start w:val="1"/>
      <w:numFmt w:val="bullet"/>
      <w:lvlText w:val=""/>
      <w:lvlJc w:val="left"/>
      <w:pPr>
        <w:ind w:left="2880" w:hanging="360"/>
      </w:pPr>
      <w:rPr>
        <w:rFonts w:ascii="Symbol" w:hAnsi="Symbol" w:cs="Calibri" w:hint="default"/>
        <w:b/>
        <w:color w:val="4F81BD"/>
        <w:sz w:val="24"/>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4E3873A6"/>
    <w:multiLevelType w:val="hybridMultilevel"/>
    <w:tmpl w:val="D592C1CA"/>
    <w:lvl w:ilvl="0" w:tplc="040E0015">
      <w:start w:val="1"/>
      <w:numFmt w:val="upperLetter"/>
      <w:lvlText w:val="%1."/>
      <w:lvlJc w:val="left"/>
      <w:pPr>
        <w:ind w:left="502" w:hanging="360"/>
      </w:p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4" w15:restartNumberingAfterBreak="0">
    <w:nsid w:val="552C48F6"/>
    <w:multiLevelType w:val="hybridMultilevel"/>
    <w:tmpl w:val="82149B60"/>
    <w:lvl w:ilvl="0" w:tplc="80E6A06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5D165934"/>
    <w:multiLevelType w:val="hybridMultilevel"/>
    <w:tmpl w:val="8EFE48AC"/>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60793D69"/>
    <w:multiLevelType w:val="hybridMultilevel"/>
    <w:tmpl w:val="D83AB9A2"/>
    <w:lvl w:ilvl="0" w:tplc="4712F0F6">
      <w:start w:val="7"/>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651A5F43"/>
    <w:multiLevelType w:val="hybridMultilevel"/>
    <w:tmpl w:val="A26CB91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668D702A"/>
    <w:multiLevelType w:val="hybridMultilevel"/>
    <w:tmpl w:val="75A24946"/>
    <w:lvl w:ilvl="0" w:tplc="040E000F">
      <w:start w:val="1"/>
      <w:numFmt w:val="decimal"/>
      <w:lvlText w:val="%1."/>
      <w:lvlJc w:val="left"/>
      <w:pPr>
        <w:ind w:left="64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7C3A075C"/>
    <w:multiLevelType w:val="hybridMultilevel"/>
    <w:tmpl w:val="94AAE6BE"/>
    <w:lvl w:ilvl="0" w:tplc="CB16AE9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7"/>
  </w:num>
  <w:num w:numId="6">
    <w:abstractNumId w:val="9"/>
  </w:num>
  <w:num w:numId="7">
    <w:abstractNumId w:val="8"/>
  </w:num>
  <w:num w:numId="8">
    <w:abstractNumId w:val="6"/>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EFE"/>
    <w:rsid w:val="000045E0"/>
    <w:rsid w:val="00004EFB"/>
    <w:rsid w:val="00015F2F"/>
    <w:rsid w:val="00034D19"/>
    <w:rsid w:val="00041C74"/>
    <w:rsid w:val="000476C9"/>
    <w:rsid w:val="00053E54"/>
    <w:rsid w:val="0005404E"/>
    <w:rsid w:val="00055EC8"/>
    <w:rsid w:val="0006228A"/>
    <w:rsid w:val="000633DC"/>
    <w:rsid w:val="0007050E"/>
    <w:rsid w:val="000720B0"/>
    <w:rsid w:val="00083F2C"/>
    <w:rsid w:val="00085519"/>
    <w:rsid w:val="000936AA"/>
    <w:rsid w:val="0009764C"/>
    <w:rsid w:val="000A4CB1"/>
    <w:rsid w:val="000A5B4E"/>
    <w:rsid w:val="000A76AF"/>
    <w:rsid w:val="000B014D"/>
    <w:rsid w:val="000B2158"/>
    <w:rsid w:val="000B68BE"/>
    <w:rsid w:val="000C3BD4"/>
    <w:rsid w:val="000D75CB"/>
    <w:rsid w:val="000E26B9"/>
    <w:rsid w:val="000E3010"/>
    <w:rsid w:val="000E3166"/>
    <w:rsid w:val="000E335F"/>
    <w:rsid w:val="000E6636"/>
    <w:rsid w:val="00101465"/>
    <w:rsid w:val="001030CA"/>
    <w:rsid w:val="00111D55"/>
    <w:rsid w:val="00114D9D"/>
    <w:rsid w:val="00120802"/>
    <w:rsid w:val="00120BBD"/>
    <w:rsid w:val="0012346A"/>
    <w:rsid w:val="001245DD"/>
    <w:rsid w:val="00126016"/>
    <w:rsid w:val="00134219"/>
    <w:rsid w:val="001342D0"/>
    <w:rsid w:val="00135C88"/>
    <w:rsid w:val="001371C7"/>
    <w:rsid w:val="00137270"/>
    <w:rsid w:val="001413E0"/>
    <w:rsid w:val="00142F1E"/>
    <w:rsid w:val="00143058"/>
    <w:rsid w:val="00144F9C"/>
    <w:rsid w:val="00146C4A"/>
    <w:rsid w:val="0015014F"/>
    <w:rsid w:val="00150327"/>
    <w:rsid w:val="0015255E"/>
    <w:rsid w:val="001543B7"/>
    <w:rsid w:val="001573F6"/>
    <w:rsid w:val="001609CD"/>
    <w:rsid w:val="0016145F"/>
    <w:rsid w:val="001620D1"/>
    <w:rsid w:val="001646A1"/>
    <w:rsid w:val="00167002"/>
    <w:rsid w:val="00172683"/>
    <w:rsid w:val="001727AF"/>
    <w:rsid w:val="0018179C"/>
    <w:rsid w:val="00182CA1"/>
    <w:rsid w:val="00185669"/>
    <w:rsid w:val="00187E6E"/>
    <w:rsid w:val="00190510"/>
    <w:rsid w:val="00190A9F"/>
    <w:rsid w:val="0019616E"/>
    <w:rsid w:val="00196865"/>
    <w:rsid w:val="00197512"/>
    <w:rsid w:val="001A2CD0"/>
    <w:rsid w:val="001A33BE"/>
    <w:rsid w:val="001A3C51"/>
    <w:rsid w:val="001B13B9"/>
    <w:rsid w:val="001B2D41"/>
    <w:rsid w:val="001B34E4"/>
    <w:rsid w:val="001B3900"/>
    <w:rsid w:val="001B4738"/>
    <w:rsid w:val="001B5CFC"/>
    <w:rsid w:val="001B63AF"/>
    <w:rsid w:val="001D59A7"/>
    <w:rsid w:val="001D66C5"/>
    <w:rsid w:val="001F0E25"/>
    <w:rsid w:val="001F61C7"/>
    <w:rsid w:val="00201AA8"/>
    <w:rsid w:val="002022AF"/>
    <w:rsid w:val="002061A7"/>
    <w:rsid w:val="00207D40"/>
    <w:rsid w:val="00207DA7"/>
    <w:rsid w:val="002130C9"/>
    <w:rsid w:val="00220285"/>
    <w:rsid w:val="00221E94"/>
    <w:rsid w:val="00222A6B"/>
    <w:rsid w:val="00227CBE"/>
    <w:rsid w:val="002311B1"/>
    <w:rsid w:val="002320CB"/>
    <w:rsid w:val="00240AFB"/>
    <w:rsid w:val="0025077D"/>
    <w:rsid w:val="0025411B"/>
    <w:rsid w:val="00261245"/>
    <w:rsid w:val="00263012"/>
    <w:rsid w:val="0026436C"/>
    <w:rsid w:val="00270D60"/>
    <w:rsid w:val="00275F82"/>
    <w:rsid w:val="00276CAD"/>
    <w:rsid w:val="00285E04"/>
    <w:rsid w:val="002901E9"/>
    <w:rsid w:val="002911EA"/>
    <w:rsid w:val="00291A64"/>
    <w:rsid w:val="00295A54"/>
    <w:rsid w:val="00295DD8"/>
    <w:rsid w:val="00297C29"/>
    <w:rsid w:val="00297EAA"/>
    <w:rsid w:val="002A0E3A"/>
    <w:rsid w:val="002A2AB3"/>
    <w:rsid w:val="002A34EC"/>
    <w:rsid w:val="002A35EF"/>
    <w:rsid w:val="002A46D0"/>
    <w:rsid w:val="002A4DC9"/>
    <w:rsid w:val="002A6523"/>
    <w:rsid w:val="002A71F6"/>
    <w:rsid w:val="002B2317"/>
    <w:rsid w:val="002B4E6E"/>
    <w:rsid w:val="002C0573"/>
    <w:rsid w:val="002C48EB"/>
    <w:rsid w:val="002D051B"/>
    <w:rsid w:val="002E687D"/>
    <w:rsid w:val="002F241D"/>
    <w:rsid w:val="00301810"/>
    <w:rsid w:val="003019FA"/>
    <w:rsid w:val="003065B0"/>
    <w:rsid w:val="003079DE"/>
    <w:rsid w:val="00310B20"/>
    <w:rsid w:val="00311F42"/>
    <w:rsid w:val="00317928"/>
    <w:rsid w:val="0032045A"/>
    <w:rsid w:val="00331722"/>
    <w:rsid w:val="00332CB2"/>
    <w:rsid w:val="003331CF"/>
    <w:rsid w:val="00336298"/>
    <w:rsid w:val="00336559"/>
    <w:rsid w:val="0034465F"/>
    <w:rsid w:val="0034520C"/>
    <w:rsid w:val="003464D5"/>
    <w:rsid w:val="00351DD3"/>
    <w:rsid w:val="00351FEF"/>
    <w:rsid w:val="00354B76"/>
    <w:rsid w:val="00356F45"/>
    <w:rsid w:val="00357BA9"/>
    <w:rsid w:val="00361B3F"/>
    <w:rsid w:val="00361D81"/>
    <w:rsid w:val="00364AD4"/>
    <w:rsid w:val="00381262"/>
    <w:rsid w:val="00383567"/>
    <w:rsid w:val="00383A93"/>
    <w:rsid w:val="00390772"/>
    <w:rsid w:val="00394753"/>
    <w:rsid w:val="00395EB7"/>
    <w:rsid w:val="003A137C"/>
    <w:rsid w:val="003A36E2"/>
    <w:rsid w:val="003A3EB7"/>
    <w:rsid w:val="003B04EC"/>
    <w:rsid w:val="003B234D"/>
    <w:rsid w:val="003B2487"/>
    <w:rsid w:val="003B7D2B"/>
    <w:rsid w:val="003C4419"/>
    <w:rsid w:val="003C6A58"/>
    <w:rsid w:val="003C78C6"/>
    <w:rsid w:val="003D0F7D"/>
    <w:rsid w:val="003D7A70"/>
    <w:rsid w:val="003E0341"/>
    <w:rsid w:val="003E0FD4"/>
    <w:rsid w:val="003E1C25"/>
    <w:rsid w:val="003E30C8"/>
    <w:rsid w:val="003E40C9"/>
    <w:rsid w:val="003E410A"/>
    <w:rsid w:val="003F16A0"/>
    <w:rsid w:val="003F302F"/>
    <w:rsid w:val="00402007"/>
    <w:rsid w:val="00404C14"/>
    <w:rsid w:val="0040602A"/>
    <w:rsid w:val="004066D2"/>
    <w:rsid w:val="00412047"/>
    <w:rsid w:val="00412094"/>
    <w:rsid w:val="00413B2E"/>
    <w:rsid w:val="00421A42"/>
    <w:rsid w:val="004231C7"/>
    <w:rsid w:val="00423F12"/>
    <w:rsid w:val="00436B46"/>
    <w:rsid w:val="00436DD9"/>
    <w:rsid w:val="00441CEA"/>
    <w:rsid w:val="004446D5"/>
    <w:rsid w:val="00444B20"/>
    <w:rsid w:val="0044586E"/>
    <w:rsid w:val="00445DA8"/>
    <w:rsid w:val="00450413"/>
    <w:rsid w:val="00455D22"/>
    <w:rsid w:val="00457725"/>
    <w:rsid w:val="00464B8C"/>
    <w:rsid w:val="004661C6"/>
    <w:rsid w:val="00466893"/>
    <w:rsid w:val="00467B9D"/>
    <w:rsid w:val="004759F9"/>
    <w:rsid w:val="004815D3"/>
    <w:rsid w:val="00485BD1"/>
    <w:rsid w:val="00490870"/>
    <w:rsid w:val="004931F5"/>
    <w:rsid w:val="0049438A"/>
    <w:rsid w:val="00494CC6"/>
    <w:rsid w:val="004950B0"/>
    <w:rsid w:val="004A29FB"/>
    <w:rsid w:val="004A3F13"/>
    <w:rsid w:val="004B7031"/>
    <w:rsid w:val="004C1F84"/>
    <w:rsid w:val="004C508F"/>
    <w:rsid w:val="004C7B7D"/>
    <w:rsid w:val="004D15F1"/>
    <w:rsid w:val="004D3624"/>
    <w:rsid w:val="004E72A4"/>
    <w:rsid w:val="004E7B0F"/>
    <w:rsid w:val="004F20A7"/>
    <w:rsid w:val="004F2FCF"/>
    <w:rsid w:val="004F33B5"/>
    <w:rsid w:val="004F5BD0"/>
    <w:rsid w:val="004F5EFC"/>
    <w:rsid w:val="004F7745"/>
    <w:rsid w:val="004F7F26"/>
    <w:rsid w:val="00502CEF"/>
    <w:rsid w:val="00504036"/>
    <w:rsid w:val="00513589"/>
    <w:rsid w:val="00516E49"/>
    <w:rsid w:val="0052200B"/>
    <w:rsid w:val="005224D4"/>
    <w:rsid w:val="00524517"/>
    <w:rsid w:val="00525615"/>
    <w:rsid w:val="005358A1"/>
    <w:rsid w:val="00536419"/>
    <w:rsid w:val="00537C7F"/>
    <w:rsid w:val="00544DA0"/>
    <w:rsid w:val="00545F8E"/>
    <w:rsid w:val="00546534"/>
    <w:rsid w:val="00547AE4"/>
    <w:rsid w:val="00547F05"/>
    <w:rsid w:val="00552118"/>
    <w:rsid w:val="00553657"/>
    <w:rsid w:val="00553B78"/>
    <w:rsid w:val="0055514C"/>
    <w:rsid w:val="0057017A"/>
    <w:rsid w:val="00570702"/>
    <w:rsid w:val="00573259"/>
    <w:rsid w:val="005773EA"/>
    <w:rsid w:val="0058057B"/>
    <w:rsid w:val="0058473D"/>
    <w:rsid w:val="00585491"/>
    <w:rsid w:val="00586BDE"/>
    <w:rsid w:val="00596385"/>
    <w:rsid w:val="005A5668"/>
    <w:rsid w:val="005A610C"/>
    <w:rsid w:val="005B4574"/>
    <w:rsid w:val="005B4D8C"/>
    <w:rsid w:val="005B7728"/>
    <w:rsid w:val="005C0969"/>
    <w:rsid w:val="005C2CCA"/>
    <w:rsid w:val="005C450C"/>
    <w:rsid w:val="005C5B38"/>
    <w:rsid w:val="005C73B8"/>
    <w:rsid w:val="005C78FE"/>
    <w:rsid w:val="005D6D4F"/>
    <w:rsid w:val="005D7EFE"/>
    <w:rsid w:val="005E2570"/>
    <w:rsid w:val="005E5B06"/>
    <w:rsid w:val="005E64DF"/>
    <w:rsid w:val="005F0194"/>
    <w:rsid w:val="005F01EF"/>
    <w:rsid w:val="005F4352"/>
    <w:rsid w:val="005F453D"/>
    <w:rsid w:val="005F4B8D"/>
    <w:rsid w:val="005F509F"/>
    <w:rsid w:val="005F5722"/>
    <w:rsid w:val="005F6C1D"/>
    <w:rsid w:val="00606141"/>
    <w:rsid w:val="006178F4"/>
    <w:rsid w:val="0062001B"/>
    <w:rsid w:val="00630BD2"/>
    <w:rsid w:val="00632282"/>
    <w:rsid w:val="0063764C"/>
    <w:rsid w:val="00641699"/>
    <w:rsid w:val="00647A2B"/>
    <w:rsid w:val="006576BD"/>
    <w:rsid w:val="006615B6"/>
    <w:rsid w:val="006631DA"/>
    <w:rsid w:val="006636C4"/>
    <w:rsid w:val="00665D23"/>
    <w:rsid w:val="00667806"/>
    <w:rsid w:val="00670289"/>
    <w:rsid w:val="00673338"/>
    <w:rsid w:val="006854D4"/>
    <w:rsid w:val="0068582B"/>
    <w:rsid w:val="006949D4"/>
    <w:rsid w:val="00697093"/>
    <w:rsid w:val="006A4907"/>
    <w:rsid w:val="006A7696"/>
    <w:rsid w:val="006B1609"/>
    <w:rsid w:val="006B4F26"/>
    <w:rsid w:val="006B4FC0"/>
    <w:rsid w:val="006B5D91"/>
    <w:rsid w:val="006B79DE"/>
    <w:rsid w:val="006C01B6"/>
    <w:rsid w:val="006C408D"/>
    <w:rsid w:val="006C7AE1"/>
    <w:rsid w:val="006D13BC"/>
    <w:rsid w:val="006D29A4"/>
    <w:rsid w:val="006D3227"/>
    <w:rsid w:val="006E08C4"/>
    <w:rsid w:val="006E0BC6"/>
    <w:rsid w:val="006E1B77"/>
    <w:rsid w:val="006E66B9"/>
    <w:rsid w:val="006F1314"/>
    <w:rsid w:val="006F5A2D"/>
    <w:rsid w:val="00702AB8"/>
    <w:rsid w:val="00705AD2"/>
    <w:rsid w:val="007068FB"/>
    <w:rsid w:val="007070FC"/>
    <w:rsid w:val="00713E55"/>
    <w:rsid w:val="00714BC2"/>
    <w:rsid w:val="00720A97"/>
    <w:rsid w:val="007258AC"/>
    <w:rsid w:val="00725AE7"/>
    <w:rsid w:val="0073003D"/>
    <w:rsid w:val="007319A5"/>
    <w:rsid w:val="00731EF7"/>
    <w:rsid w:val="0073230A"/>
    <w:rsid w:val="007333A6"/>
    <w:rsid w:val="0073340E"/>
    <w:rsid w:val="007359C8"/>
    <w:rsid w:val="00736039"/>
    <w:rsid w:val="0074195E"/>
    <w:rsid w:val="007447E0"/>
    <w:rsid w:val="00745A78"/>
    <w:rsid w:val="00746936"/>
    <w:rsid w:val="00751346"/>
    <w:rsid w:val="00753BCF"/>
    <w:rsid w:val="00755C75"/>
    <w:rsid w:val="007615EE"/>
    <w:rsid w:val="00763F87"/>
    <w:rsid w:val="0076792A"/>
    <w:rsid w:val="00773190"/>
    <w:rsid w:val="00773655"/>
    <w:rsid w:val="00774271"/>
    <w:rsid w:val="00775889"/>
    <w:rsid w:val="00781775"/>
    <w:rsid w:val="00785592"/>
    <w:rsid w:val="007864CC"/>
    <w:rsid w:val="007926A6"/>
    <w:rsid w:val="007928B2"/>
    <w:rsid w:val="00793E1E"/>
    <w:rsid w:val="00797513"/>
    <w:rsid w:val="007A2A06"/>
    <w:rsid w:val="007A49C5"/>
    <w:rsid w:val="007A62B7"/>
    <w:rsid w:val="007A73A6"/>
    <w:rsid w:val="007A7D0D"/>
    <w:rsid w:val="007B011B"/>
    <w:rsid w:val="007B6FF4"/>
    <w:rsid w:val="007C1917"/>
    <w:rsid w:val="007C1EA5"/>
    <w:rsid w:val="007C2EBA"/>
    <w:rsid w:val="007C4C5C"/>
    <w:rsid w:val="007D4ED3"/>
    <w:rsid w:val="007E1CE1"/>
    <w:rsid w:val="007E3DD8"/>
    <w:rsid w:val="007E50FA"/>
    <w:rsid w:val="007F11F9"/>
    <w:rsid w:val="007F37F0"/>
    <w:rsid w:val="008035D5"/>
    <w:rsid w:val="00805291"/>
    <w:rsid w:val="00811EA6"/>
    <w:rsid w:val="008152D3"/>
    <w:rsid w:val="008225AC"/>
    <w:rsid w:val="00825788"/>
    <w:rsid w:val="00832A97"/>
    <w:rsid w:val="00835391"/>
    <w:rsid w:val="00840417"/>
    <w:rsid w:val="00841E4D"/>
    <w:rsid w:val="00842C71"/>
    <w:rsid w:val="00847C44"/>
    <w:rsid w:val="0085652D"/>
    <w:rsid w:val="008607EF"/>
    <w:rsid w:val="0086098F"/>
    <w:rsid w:val="00861C5D"/>
    <w:rsid w:val="008629F3"/>
    <w:rsid w:val="00866ED0"/>
    <w:rsid w:val="008673D2"/>
    <w:rsid w:val="00867611"/>
    <w:rsid w:val="00867A6B"/>
    <w:rsid w:val="0087125A"/>
    <w:rsid w:val="00876420"/>
    <w:rsid w:val="00883157"/>
    <w:rsid w:val="00884CDF"/>
    <w:rsid w:val="00885405"/>
    <w:rsid w:val="00890A73"/>
    <w:rsid w:val="00892DA0"/>
    <w:rsid w:val="008934FE"/>
    <w:rsid w:val="00893FDF"/>
    <w:rsid w:val="00895057"/>
    <w:rsid w:val="0089681A"/>
    <w:rsid w:val="00897A65"/>
    <w:rsid w:val="008B16E5"/>
    <w:rsid w:val="008B62D7"/>
    <w:rsid w:val="008C280B"/>
    <w:rsid w:val="008C2D66"/>
    <w:rsid w:val="008C2E89"/>
    <w:rsid w:val="008D00BF"/>
    <w:rsid w:val="008D0361"/>
    <w:rsid w:val="008E3D31"/>
    <w:rsid w:val="008F678A"/>
    <w:rsid w:val="008F6FAE"/>
    <w:rsid w:val="00903984"/>
    <w:rsid w:val="00907343"/>
    <w:rsid w:val="0091164E"/>
    <w:rsid w:val="0091462C"/>
    <w:rsid w:val="00914A81"/>
    <w:rsid w:val="00915DA6"/>
    <w:rsid w:val="00921790"/>
    <w:rsid w:val="009221DE"/>
    <w:rsid w:val="00927CFD"/>
    <w:rsid w:val="00930649"/>
    <w:rsid w:val="00930D84"/>
    <w:rsid w:val="00931E1D"/>
    <w:rsid w:val="0093583B"/>
    <w:rsid w:val="009363E4"/>
    <w:rsid w:val="0094006B"/>
    <w:rsid w:val="009431F6"/>
    <w:rsid w:val="009443BB"/>
    <w:rsid w:val="00945056"/>
    <w:rsid w:val="00951FB6"/>
    <w:rsid w:val="009535D2"/>
    <w:rsid w:val="00960FF2"/>
    <w:rsid w:val="00963218"/>
    <w:rsid w:val="00963BD1"/>
    <w:rsid w:val="009676E0"/>
    <w:rsid w:val="00971A67"/>
    <w:rsid w:val="0098001C"/>
    <w:rsid w:val="00980DA3"/>
    <w:rsid w:val="00982A8A"/>
    <w:rsid w:val="009838CC"/>
    <w:rsid w:val="0098670D"/>
    <w:rsid w:val="00986ED1"/>
    <w:rsid w:val="009952FF"/>
    <w:rsid w:val="00995AB6"/>
    <w:rsid w:val="0099697D"/>
    <w:rsid w:val="00996EC9"/>
    <w:rsid w:val="009A5958"/>
    <w:rsid w:val="009A6D82"/>
    <w:rsid w:val="009A7FFE"/>
    <w:rsid w:val="009B02E4"/>
    <w:rsid w:val="009B36E2"/>
    <w:rsid w:val="009B3712"/>
    <w:rsid w:val="009B48F5"/>
    <w:rsid w:val="009B5FA1"/>
    <w:rsid w:val="009B624F"/>
    <w:rsid w:val="009C12A3"/>
    <w:rsid w:val="009C2AE2"/>
    <w:rsid w:val="009C33D0"/>
    <w:rsid w:val="009C46A1"/>
    <w:rsid w:val="009C46E8"/>
    <w:rsid w:val="009D166C"/>
    <w:rsid w:val="009D282A"/>
    <w:rsid w:val="009D70B4"/>
    <w:rsid w:val="009D768E"/>
    <w:rsid w:val="009E27F3"/>
    <w:rsid w:val="009E4065"/>
    <w:rsid w:val="009F7C64"/>
    <w:rsid w:val="00A05BDE"/>
    <w:rsid w:val="00A1119E"/>
    <w:rsid w:val="00A2039A"/>
    <w:rsid w:val="00A218E4"/>
    <w:rsid w:val="00A256FF"/>
    <w:rsid w:val="00A328C4"/>
    <w:rsid w:val="00A3697E"/>
    <w:rsid w:val="00A4075E"/>
    <w:rsid w:val="00A5311E"/>
    <w:rsid w:val="00A53F4C"/>
    <w:rsid w:val="00A55D0D"/>
    <w:rsid w:val="00A5655E"/>
    <w:rsid w:val="00A57E22"/>
    <w:rsid w:val="00A612B8"/>
    <w:rsid w:val="00A639D1"/>
    <w:rsid w:val="00A6665A"/>
    <w:rsid w:val="00A754C6"/>
    <w:rsid w:val="00A762DD"/>
    <w:rsid w:val="00A7650C"/>
    <w:rsid w:val="00A87339"/>
    <w:rsid w:val="00A90148"/>
    <w:rsid w:val="00A9135E"/>
    <w:rsid w:val="00A93B41"/>
    <w:rsid w:val="00A93E63"/>
    <w:rsid w:val="00AC2FB3"/>
    <w:rsid w:val="00AC4854"/>
    <w:rsid w:val="00AC4F06"/>
    <w:rsid w:val="00AD35F5"/>
    <w:rsid w:val="00AD38CE"/>
    <w:rsid w:val="00AD5FDE"/>
    <w:rsid w:val="00AE76FB"/>
    <w:rsid w:val="00B0368A"/>
    <w:rsid w:val="00B07ED3"/>
    <w:rsid w:val="00B07FCE"/>
    <w:rsid w:val="00B15F4E"/>
    <w:rsid w:val="00B21318"/>
    <w:rsid w:val="00B242D7"/>
    <w:rsid w:val="00B3129C"/>
    <w:rsid w:val="00B31CA5"/>
    <w:rsid w:val="00B334DA"/>
    <w:rsid w:val="00B34D3B"/>
    <w:rsid w:val="00B411BD"/>
    <w:rsid w:val="00B41DDB"/>
    <w:rsid w:val="00B41F22"/>
    <w:rsid w:val="00B4428A"/>
    <w:rsid w:val="00B45BD6"/>
    <w:rsid w:val="00B46322"/>
    <w:rsid w:val="00B4787D"/>
    <w:rsid w:val="00B520D3"/>
    <w:rsid w:val="00B5403B"/>
    <w:rsid w:val="00B54044"/>
    <w:rsid w:val="00B5549A"/>
    <w:rsid w:val="00B6152E"/>
    <w:rsid w:val="00B7038A"/>
    <w:rsid w:val="00B70A75"/>
    <w:rsid w:val="00B71E11"/>
    <w:rsid w:val="00B744DA"/>
    <w:rsid w:val="00B77580"/>
    <w:rsid w:val="00B80FD6"/>
    <w:rsid w:val="00B93918"/>
    <w:rsid w:val="00B94103"/>
    <w:rsid w:val="00B944FD"/>
    <w:rsid w:val="00B97412"/>
    <w:rsid w:val="00BA1C16"/>
    <w:rsid w:val="00BA1ED8"/>
    <w:rsid w:val="00BA3FAD"/>
    <w:rsid w:val="00BA4D68"/>
    <w:rsid w:val="00BA4F6A"/>
    <w:rsid w:val="00BB2AAA"/>
    <w:rsid w:val="00BB64D0"/>
    <w:rsid w:val="00BC198A"/>
    <w:rsid w:val="00BC50D6"/>
    <w:rsid w:val="00BC5A1E"/>
    <w:rsid w:val="00BC7393"/>
    <w:rsid w:val="00BD0DE7"/>
    <w:rsid w:val="00BE00D3"/>
    <w:rsid w:val="00BE1E2B"/>
    <w:rsid w:val="00BE34D2"/>
    <w:rsid w:val="00BE3F95"/>
    <w:rsid w:val="00BE5707"/>
    <w:rsid w:val="00BE63DF"/>
    <w:rsid w:val="00BE738F"/>
    <w:rsid w:val="00BF28FD"/>
    <w:rsid w:val="00BF3AD4"/>
    <w:rsid w:val="00C02D3B"/>
    <w:rsid w:val="00C047F3"/>
    <w:rsid w:val="00C13A94"/>
    <w:rsid w:val="00C15A52"/>
    <w:rsid w:val="00C16DC9"/>
    <w:rsid w:val="00C241E6"/>
    <w:rsid w:val="00C24922"/>
    <w:rsid w:val="00C257E5"/>
    <w:rsid w:val="00C304ED"/>
    <w:rsid w:val="00C406BE"/>
    <w:rsid w:val="00C40A87"/>
    <w:rsid w:val="00C425B4"/>
    <w:rsid w:val="00C47278"/>
    <w:rsid w:val="00C47A72"/>
    <w:rsid w:val="00C529F4"/>
    <w:rsid w:val="00C52A28"/>
    <w:rsid w:val="00C56020"/>
    <w:rsid w:val="00C63EC0"/>
    <w:rsid w:val="00C65140"/>
    <w:rsid w:val="00C6732A"/>
    <w:rsid w:val="00C82152"/>
    <w:rsid w:val="00C85365"/>
    <w:rsid w:val="00C919EF"/>
    <w:rsid w:val="00C94ACA"/>
    <w:rsid w:val="00C96BD3"/>
    <w:rsid w:val="00CB056B"/>
    <w:rsid w:val="00CB4D17"/>
    <w:rsid w:val="00CB76AA"/>
    <w:rsid w:val="00CC0C96"/>
    <w:rsid w:val="00CD03F7"/>
    <w:rsid w:val="00CD0591"/>
    <w:rsid w:val="00CD0818"/>
    <w:rsid w:val="00CD447F"/>
    <w:rsid w:val="00CD7677"/>
    <w:rsid w:val="00CE2F37"/>
    <w:rsid w:val="00CF0813"/>
    <w:rsid w:val="00CF3941"/>
    <w:rsid w:val="00CF4647"/>
    <w:rsid w:val="00CF5E94"/>
    <w:rsid w:val="00D02429"/>
    <w:rsid w:val="00D1303A"/>
    <w:rsid w:val="00D14D49"/>
    <w:rsid w:val="00D21F35"/>
    <w:rsid w:val="00D236AD"/>
    <w:rsid w:val="00D27D06"/>
    <w:rsid w:val="00D30696"/>
    <w:rsid w:val="00D3212F"/>
    <w:rsid w:val="00D32DC8"/>
    <w:rsid w:val="00D32E7C"/>
    <w:rsid w:val="00D42B3C"/>
    <w:rsid w:val="00D44CD8"/>
    <w:rsid w:val="00D47435"/>
    <w:rsid w:val="00D47D06"/>
    <w:rsid w:val="00D52D60"/>
    <w:rsid w:val="00D53353"/>
    <w:rsid w:val="00D54A7B"/>
    <w:rsid w:val="00D55152"/>
    <w:rsid w:val="00D60CA1"/>
    <w:rsid w:val="00D65A77"/>
    <w:rsid w:val="00D7007F"/>
    <w:rsid w:val="00D73BEE"/>
    <w:rsid w:val="00D760F0"/>
    <w:rsid w:val="00D82861"/>
    <w:rsid w:val="00D83247"/>
    <w:rsid w:val="00D94C93"/>
    <w:rsid w:val="00DA461C"/>
    <w:rsid w:val="00DA77FF"/>
    <w:rsid w:val="00DB0BDD"/>
    <w:rsid w:val="00DB1FED"/>
    <w:rsid w:val="00DB286F"/>
    <w:rsid w:val="00DC4B65"/>
    <w:rsid w:val="00DC6AAE"/>
    <w:rsid w:val="00DD4FBD"/>
    <w:rsid w:val="00DD7A60"/>
    <w:rsid w:val="00DD7D6F"/>
    <w:rsid w:val="00DE398C"/>
    <w:rsid w:val="00DE57FE"/>
    <w:rsid w:val="00DE6585"/>
    <w:rsid w:val="00DF5458"/>
    <w:rsid w:val="00DF77E6"/>
    <w:rsid w:val="00E0061E"/>
    <w:rsid w:val="00E00C7C"/>
    <w:rsid w:val="00E03081"/>
    <w:rsid w:val="00E04171"/>
    <w:rsid w:val="00E11CE8"/>
    <w:rsid w:val="00E17766"/>
    <w:rsid w:val="00E20B8B"/>
    <w:rsid w:val="00E2495B"/>
    <w:rsid w:val="00E3094B"/>
    <w:rsid w:val="00E30E67"/>
    <w:rsid w:val="00E32144"/>
    <w:rsid w:val="00E36240"/>
    <w:rsid w:val="00E36C6F"/>
    <w:rsid w:val="00E37FD5"/>
    <w:rsid w:val="00E4712D"/>
    <w:rsid w:val="00E54C7F"/>
    <w:rsid w:val="00E559FD"/>
    <w:rsid w:val="00E5676A"/>
    <w:rsid w:val="00E568DF"/>
    <w:rsid w:val="00E57D85"/>
    <w:rsid w:val="00E6012C"/>
    <w:rsid w:val="00E61506"/>
    <w:rsid w:val="00E62C58"/>
    <w:rsid w:val="00E6342D"/>
    <w:rsid w:val="00E635CB"/>
    <w:rsid w:val="00E67021"/>
    <w:rsid w:val="00E67DB2"/>
    <w:rsid w:val="00E70E16"/>
    <w:rsid w:val="00E758C2"/>
    <w:rsid w:val="00E80004"/>
    <w:rsid w:val="00E912BD"/>
    <w:rsid w:val="00E912F5"/>
    <w:rsid w:val="00E93C86"/>
    <w:rsid w:val="00E94B5B"/>
    <w:rsid w:val="00E961F9"/>
    <w:rsid w:val="00EA09FA"/>
    <w:rsid w:val="00EA38FF"/>
    <w:rsid w:val="00EB0AC5"/>
    <w:rsid w:val="00EB1AA8"/>
    <w:rsid w:val="00EB475B"/>
    <w:rsid w:val="00EC13DC"/>
    <w:rsid w:val="00EC6E1F"/>
    <w:rsid w:val="00EC7884"/>
    <w:rsid w:val="00EC7D5F"/>
    <w:rsid w:val="00ED02DC"/>
    <w:rsid w:val="00ED434F"/>
    <w:rsid w:val="00ED5F09"/>
    <w:rsid w:val="00EE1F54"/>
    <w:rsid w:val="00EE26AB"/>
    <w:rsid w:val="00EE3E93"/>
    <w:rsid w:val="00EF482E"/>
    <w:rsid w:val="00F0131A"/>
    <w:rsid w:val="00F046A4"/>
    <w:rsid w:val="00F05698"/>
    <w:rsid w:val="00F05D06"/>
    <w:rsid w:val="00F1343B"/>
    <w:rsid w:val="00F16666"/>
    <w:rsid w:val="00F26E56"/>
    <w:rsid w:val="00F274CF"/>
    <w:rsid w:val="00F3128E"/>
    <w:rsid w:val="00F32E26"/>
    <w:rsid w:val="00F361FD"/>
    <w:rsid w:val="00F415A9"/>
    <w:rsid w:val="00F50B1F"/>
    <w:rsid w:val="00F53969"/>
    <w:rsid w:val="00F54953"/>
    <w:rsid w:val="00F56001"/>
    <w:rsid w:val="00F64537"/>
    <w:rsid w:val="00F7299F"/>
    <w:rsid w:val="00F81448"/>
    <w:rsid w:val="00F84049"/>
    <w:rsid w:val="00F85FE4"/>
    <w:rsid w:val="00F91D82"/>
    <w:rsid w:val="00FA01E3"/>
    <w:rsid w:val="00FA236D"/>
    <w:rsid w:val="00FA3C97"/>
    <w:rsid w:val="00FA5D72"/>
    <w:rsid w:val="00FA71E3"/>
    <w:rsid w:val="00FB3236"/>
    <w:rsid w:val="00FD036B"/>
    <w:rsid w:val="00FD0E9E"/>
    <w:rsid w:val="00FE4607"/>
    <w:rsid w:val="00FF0BB7"/>
    <w:rsid w:val="00FF43B1"/>
    <w:rsid w:val="00FF4888"/>
    <w:rsid w:val="00FF6394"/>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ABB40CC"/>
  <w15:chartTrackingRefBased/>
  <w15:docId w15:val="{CF5AEA74-BC41-4929-B9A9-3C441FCC5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450413"/>
    <w:rPr>
      <w:lang w:val="en-AU" w:eastAsia="hu-HU"/>
    </w:rPr>
  </w:style>
  <w:style w:type="paragraph" w:styleId="Cmsor1">
    <w:name w:val="heading 1"/>
    <w:basedOn w:val="Norml"/>
    <w:next w:val="Norml"/>
    <w:qFormat/>
    <w:rsid w:val="00450413"/>
    <w:pPr>
      <w:keepNext/>
      <w:jc w:val="center"/>
      <w:outlineLvl w:val="0"/>
    </w:pPr>
    <w:rPr>
      <w:b/>
      <w:sz w:val="28"/>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rsid w:val="00450413"/>
    <w:pPr>
      <w:jc w:val="center"/>
    </w:pPr>
    <w:rPr>
      <w:b/>
      <w:sz w:val="24"/>
      <w:lang w:val="hu-HU"/>
    </w:rPr>
  </w:style>
  <w:style w:type="paragraph" w:styleId="Szvegtrzs2">
    <w:name w:val="Body Text 2"/>
    <w:basedOn w:val="Norml"/>
    <w:link w:val="Szvegtrzs2Char"/>
    <w:rsid w:val="00450413"/>
    <w:pPr>
      <w:jc w:val="both"/>
    </w:pPr>
    <w:rPr>
      <w:sz w:val="24"/>
      <w:lang w:val="hu-HU"/>
    </w:rPr>
  </w:style>
  <w:style w:type="paragraph" w:styleId="Buborkszveg">
    <w:name w:val="Balloon Text"/>
    <w:basedOn w:val="Norml"/>
    <w:semiHidden/>
    <w:rsid w:val="00FA01E3"/>
    <w:rPr>
      <w:rFonts w:ascii="Tahoma" w:hAnsi="Tahoma" w:cs="Tahoma"/>
      <w:sz w:val="16"/>
      <w:szCs w:val="16"/>
    </w:rPr>
  </w:style>
  <w:style w:type="character" w:styleId="Jegyzethivatkozs">
    <w:name w:val="annotation reference"/>
    <w:semiHidden/>
    <w:rsid w:val="00B07ED3"/>
    <w:rPr>
      <w:sz w:val="16"/>
      <w:szCs w:val="16"/>
    </w:rPr>
  </w:style>
  <w:style w:type="paragraph" w:styleId="Jegyzetszveg">
    <w:name w:val="annotation text"/>
    <w:basedOn w:val="Norml"/>
    <w:semiHidden/>
    <w:rsid w:val="00B07ED3"/>
  </w:style>
  <w:style w:type="paragraph" w:styleId="Megjegyzstrgya">
    <w:name w:val="annotation subject"/>
    <w:basedOn w:val="Jegyzetszveg"/>
    <w:next w:val="Jegyzetszveg"/>
    <w:semiHidden/>
    <w:rsid w:val="00B07ED3"/>
    <w:rPr>
      <w:b/>
      <w:bCs/>
    </w:rPr>
  </w:style>
  <w:style w:type="paragraph" w:customStyle="1" w:styleId="ListParagraph1">
    <w:name w:val="List Paragraph1"/>
    <w:basedOn w:val="Norml"/>
    <w:link w:val="ListParagraphChar"/>
    <w:uiPriority w:val="4"/>
    <w:qFormat/>
    <w:rsid w:val="00E94B5B"/>
    <w:pPr>
      <w:numPr>
        <w:numId w:val="3"/>
      </w:numPr>
      <w:spacing w:after="150" w:line="276" w:lineRule="auto"/>
      <w:contextualSpacing/>
      <w:jc w:val="both"/>
    </w:pPr>
    <w:rPr>
      <w:rFonts w:ascii="Trebuchet MS" w:eastAsia="Calibri" w:hAnsi="Trebuchet MS"/>
      <w:szCs w:val="22"/>
      <w:lang w:val="x-none" w:eastAsia="en-US"/>
    </w:rPr>
  </w:style>
  <w:style w:type="character" w:customStyle="1" w:styleId="ListParagraphChar">
    <w:name w:val="List Paragraph Char"/>
    <w:link w:val="ListParagraph1"/>
    <w:uiPriority w:val="4"/>
    <w:rsid w:val="00E94B5B"/>
    <w:rPr>
      <w:rFonts w:ascii="Trebuchet MS" w:eastAsia="Calibri" w:hAnsi="Trebuchet MS" w:cs="Times New Roman"/>
      <w:szCs w:val="22"/>
      <w:lang w:eastAsia="en-US"/>
    </w:rPr>
  </w:style>
  <w:style w:type="paragraph" w:customStyle="1" w:styleId="Listaszerbekezds2szint">
    <w:name w:val="Listaszerű bekezdés 2. szint"/>
    <w:basedOn w:val="ListParagraph1"/>
    <w:uiPriority w:val="4"/>
    <w:qFormat/>
    <w:rsid w:val="00E94B5B"/>
    <w:pPr>
      <w:numPr>
        <w:ilvl w:val="1"/>
      </w:numPr>
      <w:tabs>
        <w:tab w:val="num" w:pos="360"/>
      </w:tabs>
    </w:pPr>
  </w:style>
  <w:style w:type="paragraph" w:customStyle="1" w:styleId="Listaszerbekezds3szint">
    <w:name w:val="Listaszerű bekezdés 3. szint"/>
    <w:basedOn w:val="ListParagraph1"/>
    <w:uiPriority w:val="4"/>
    <w:qFormat/>
    <w:rsid w:val="00E94B5B"/>
    <w:pPr>
      <w:numPr>
        <w:ilvl w:val="2"/>
      </w:numPr>
      <w:tabs>
        <w:tab w:val="num" w:pos="360"/>
      </w:tabs>
    </w:pPr>
  </w:style>
  <w:style w:type="paragraph" w:styleId="lfej">
    <w:name w:val="header"/>
    <w:basedOn w:val="Norml"/>
    <w:link w:val="lfejChar"/>
    <w:uiPriority w:val="99"/>
    <w:unhideWhenUsed/>
    <w:rsid w:val="000A76AF"/>
    <w:pPr>
      <w:tabs>
        <w:tab w:val="center" w:pos="4536"/>
        <w:tab w:val="right" w:pos="9072"/>
      </w:tabs>
    </w:pPr>
    <w:rPr>
      <w:lang w:eastAsia="x-none"/>
    </w:rPr>
  </w:style>
  <w:style w:type="character" w:customStyle="1" w:styleId="lfejChar">
    <w:name w:val="Élőfej Char"/>
    <w:link w:val="lfej"/>
    <w:uiPriority w:val="99"/>
    <w:rsid w:val="000A76AF"/>
    <w:rPr>
      <w:lang w:val="en-AU"/>
    </w:rPr>
  </w:style>
  <w:style w:type="paragraph" w:styleId="llb">
    <w:name w:val="footer"/>
    <w:basedOn w:val="Norml"/>
    <w:link w:val="llbChar"/>
    <w:uiPriority w:val="99"/>
    <w:unhideWhenUsed/>
    <w:rsid w:val="000A76AF"/>
    <w:pPr>
      <w:tabs>
        <w:tab w:val="center" w:pos="4536"/>
        <w:tab w:val="right" w:pos="9072"/>
      </w:tabs>
    </w:pPr>
    <w:rPr>
      <w:lang w:eastAsia="x-none"/>
    </w:rPr>
  </w:style>
  <w:style w:type="character" w:customStyle="1" w:styleId="llbChar">
    <w:name w:val="Élőláb Char"/>
    <w:link w:val="llb"/>
    <w:uiPriority w:val="99"/>
    <w:rsid w:val="000A76AF"/>
    <w:rPr>
      <w:lang w:val="en-AU"/>
    </w:rPr>
  </w:style>
  <w:style w:type="paragraph" w:styleId="Lbjegyzetszveg">
    <w:name w:val="footnote text"/>
    <w:basedOn w:val="Norml"/>
    <w:link w:val="LbjegyzetszvegChar"/>
    <w:uiPriority w:val="99"/>
    <w:semiHidden/>
    <w:unhideWhenUsed/>
    <w:rsid w:val="00D27D06"/>
    <w:rPr>
      <w:lang w:eastAsia="x-none"/>
    </w:rPr>
  </w:style>
  <w:style w:type="character" w:customStyle="1" w:styleId="LbjegyzetszvegChar">
    <w:name w:val="Lábjegyzetszöveg Char"/>
    <w:link w:val="Lbjegyzetszveg"/>
    <w:uiPriority w:val="99"/>
    <w:semiHidden/>
    <w:rsid w:val="00D27D06"/>
    <w:rPr>
      <w:lang w:val="en-AU"/>
    </w:rPr>
  </w:style>
  <w:style w:type="character" w:styleId="Lbjegyzet-hivatkozs">
    <w:name w:val="footnote reference"/>
    <w:uiPriority w:val="99"/>
    <w:semiHidden/>
    <w:unhideWhenUsed/>
    <w:rsid w:val="00D27D06"/>
    <w:rPr>
      <w:vertAlign w:val="superscript"/>
    </w:rPr>
  </w:style>
  <w:style w:type="character" w:styleId="Vgjegyzet-hivatkozs">
    <w:name w:val="endnote reference"/>
    <w:semiHidden/>
    <w:rsid w:val="0073340E"/>
    <w:rPr>
      <w:vertAlign w:val="superscript"/>
    </w:rPr>
  </w:style>
  <w:style w:type="numbering" w:customStyle="1" w:styleId="Style1">
    <w:name w:val="Style1"/>
    <w:uiPriority w:val="99"/>
    <w:rsid w:val="0073340E"/>
    <w:pPr>
      <w:numPr>
        <w:numId w:val="9"/>
      </w:numPr>
    </w:pPr>
  </w:style>
  <w:style w:type="paragraph" w:customStyle="1" w:styleId="Revision1">
    <w:name w:val="Revision1"/>
    <w:hidden/>
    <w:uiPriority w:val="99"/>
    <w:semiHidden/>
    <w:rsid w:val="009E27F3"/>
    <w:rPr>
      <w:lang w:val="en-AU" w:eastAsia="hu-HU"/>
    </w:rPr>
  </w:style>
  <w:style w:type="character" w:customStyle="1" w:styleId="tw4winMark">
    <w:name w:val="tw4winMark"/>
    <w:rsid w:val="00B46322"/>
    <w:rPr>
      <w:rFonts w:ascii="Courier New" w:hAnsi="Courier New"/>
      <w:vanish/>
      <w:color w:val="800080"/>
      <w:vertAlign w:val="subscript"/>
    </w:rPr>
  </w:style>
  <w:style w:type="character" w:customStyle="1" w:styleId="Szvegtrzs2Char">
    <w:name w:val="Szövegtörzs 2 Char"/>
    <w:link w:val="Szvegtrzs2"/>
    <w:rsid w:val="00D32E7C"/>
    <w:rPr>
      <w:sz w:val="24"/>
    </w:rPr>
  </w:style>
  <w:style w:type="paragraph" w:styleId="Vltozat">
    <w:name w:val="Revision"/>
    <w:hidden/>
    <w:uiPriority w:val="99"/>
    <w:semiHidden/>
    <w:rsid w:val="00126016"/>
    <w:rPr>
      <w:lang w:val="en-A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577179">
      <w:bodyDiv w:val="1"/>
      <w:marLeft w:val="0"/>
      <w:marRight w:val="0"/>
      <w:marTop w:val="0"/>
      <w:marBottom w:val="0"/>
      <w:divBdr>
        <w:top w:val="none" w:sz="0" w:space="0" w:color="auto"/>
        <w:left w:val="none" w:sz="0" w:space="0" w:color="auto"/>
        <w:bottom w:val="none" w:sz="0" w:space="0" w:color="auto"/>
        <w:right w:val="none" w:sz="0" w:space="0" w:color="auto"/>
      </w:divBdr>
    </w:div>
    <w:div w:id="1574778230">
      <w:bodyDiv w:val="1"/>
      <w:marLeft w:val="0"/>
      <w:marRight w:val="0"/>
      <w:marTop w:val="0"/>
      <w:marBottom w:val="0"/>
      <w:divBdr>
        <w:top w:val="none" w:sz="0" w:space="0" w:color="auto"/>
        <w:left w:val="none" w:sz="0" w:space="0" w:color="auto"/>
        <w:bottom w:val="none" w:sz="0" w:space="0" w:color="auto"/>
        <w:right w:val="none" w:sz="0" w:space="0" w:color="auto"/>
      </w:divBdr>
    </w:div>
    <w:div w:id="173002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2601</Words>
  <Characters>12324</Characters>
  <Application>Microsoft Office Word</Application>
  <DocSecurity>0</DocSecurity>
  <Lines>102</Lines>
  <Paragraphs>29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azonosító: L10</vt:lpstr>
      <vt:lpstr>MNB azonosító: L10</vt:lpstr>
    </vt:vector>
  </TitlesOfParts>
  <Company>Magyar Nemzeti Bank</Company>
  <LinksUpToDate>false</LinksUpToDate>
  <CharactersWithSpaces>14896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azonosító: L10</dc:title>
  <dc:subject/>
  <dc:creator>Bodnár Katalin</dc:creator>
  <cp:keywords/>
  <cp:lastModifiedBy>Juhász Katalin</cp:lastModifiedBy>
  <cp:revision>5</cp:revision>
  <cp:lastPrinted>2016-01-18T12:11:00Z</cp:lastPrinted>
  <dcterms:created xsi:type="dcterms:W3CDTF">2022-02-15T10:34:00Z</dcterms:created>
  <dcterms:modified xsi:type="dcterms:W3CDTF">2022-02-28T15:10:00Z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2025-12-15T14:11:10Z</vt:filetime>
  </property>
  <property fmtid="{D5CDD505-2E9C-101B-9397-08002B2CF9AE}" pid="3" name="Érvényességet beállító">
    <vt:lpwstr>szenthelyid</vt:lpwstr>
  </property>
  <property fmtid="{D5CDD505-2E9C-101B-9397-08002B2CF9AE}" pid="4" name="Érvényességi idő első beállítása">
    <vt:filetime>2020-12-15T14:11:10Z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vargame@mnb.hu</vt:lpwstr>
  </property>
  <property fmtid="{D5CDD505-2E9C-101B-9397-08002B2CF9AE}" pid="8" name="MSIP_Label_b0d11092-50c9-4e74-84b5-b1af078dc3d0_SetDate">
    <vt:lpwstr>2022-02-25T15:46:15.4914645Z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104764fc-7a41-4e1c-870a-45f6059a7988</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