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CA16" w14:textId="77777777" w:rsidR="00347D46" w:rsidRPr="00C93CDC" w:rsidRDefault="00C93CDC" w:rsidP="00A147EA">
      <w:pPr>
        <w:rPr>
          <w:rFonts w:ascii="Calibri" w:hAnsi="Calibri"/>
          <w:b/>
          <w:sz w:val="22"/>
          <w:szCs w:val="22"/>
        </w:rPr>
      </w:pPr>
      <w:r w:rsidRPr="00C93CDC">
        <w:rPr>
          <w:rFonts w:ascii="Calibri" w:hAnsi="Calibri"/>
          <w:b/>
          <w:sz w:val="22"/>
          <w:szCs w:val="22"/>
        </w:rPr>
        <w:t xml:space="preserve">MNB azonosító: </w:t>
      </w:r>
      <w:r w:rsidR="00347D46" w:rsidRPr="00C93CDC" w:rsidDel="00C50132">
        <w:rPr>
          <w:rFonts w:ascii="Calibri" w:hAnsi="Calibri"/>
          <w:b/>
          <w:sz w:val="22"/>
          <w:szCs w:val="22"/>
        </w:rPr>
        <w:t>F0</w:t>
      </w:r>
      <w:r w:rsidR="00347D46" w:rsidRPr="00C93CDC">
        <w:rPr>
          <w:rFonts w:ascii="Calibri" w:hAnsi="Calibri"/>
          <w:b/>
          <w:sz w:val="22"/>
          <w:szCs w:val="22"/>
        </w:rPr>
        <w:t>2</w:t>
      </w:r>
    </w:p>
    <w:p w14:paraId="29A5684A" w14:textId="77777777" w:rsidR="00347D46" w:rsidRPr="0022123B" w:rsidRDefault="00347D46" w:rsidP="00A147EA">
      <w:pPr>
        <w:tabs>
          <w:tab w:val="left" w:pos="1908"/>
        </w:tabs>
        <w:rPr>
          <w:rFonts w:ascii="Calibri" w:hAnsi="Calibri"/>
          <w:sz w:val="22"/>
          <w:szCs w:val="22"/>
        </w:rPr>
      </w:pPr>
    </w:p>
    <w:p w14:paraId="499E9E7F" w14:textId="77777777" w:rsidR="00D13CB2" w:rsidRPr="0022123B" w:rsidRDefault="00D13CB2" w:rsidP="00A147EA">
      <w:pPr>
        <w:rPr>
          <w:rFonts w:ascii="Calibri" w:hAnsi="Calibri"/>
          <w:sz w:val="22"/>
          <w:szCs w:val="22"/>
        </w:rPr>
      </w:pPr>
    </w:p>
    <w:p w14:paraId="65335024" w14:textId="77777777" w:rsidR="00A147EA" w:rsidRPr="0022123B" w:rsidRDefault="00A147EA">
      <w:pPr>
        <w:rPr>
          <w:rFonts w:ascii="Calibri" w:hAnsi="Calibri"/>
          <w:sz w:val="22"/>
          <w:szCs w:val="22"/>
        </w:rPr>
      </w:pPr>
    </w:p>
    <w:p w14:paraId="7C966564" w14:textId="77777777" w:rsidR="004C046B" w:rsidRPr="0022123B" w:rsidRDefault="005E3FFE" w:rsidP="004C046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MÓDSZERTANI</w:t>
      </w:r>
      <w:r w:rsidR="004C046B" w:rsidRPr="0022123B">
        <w:rPr>
          <w:rFonts w:ascii="Calibri" w:hAnsi="Calibri"/>
          <w:b/>
          <w:sz w:val="22"/>
          <w:szCs w:val="22"/>
        </w:rPr>
        <w:t xml:space="preserve"> SEGÉDLET</w:t>
      </w:r>
    </w:p>
    <w:p w14:paraId="30BCB83F" w14:textId="77777777" w:rsidR="00347D46" w:rsidRPr="0022123B" w:rsidRDefault="00347D46" w:rsidP="004C046B">
      <w:pPr>
        <w:jc w:val="center"/>
        <w:rPr>
          <w:rFonts w:ascii="Calibri" w:hAnsi="Calibri"/>
          <w:b/>
          <w:sz w:val="22"/>
          <w:szCs w:val="22"/>
        </w:rPr>
      </w:pPr>
    </w:p>
    <w:p w14:paraId="52F519BC" w14:textId="77777777" w:rsidR="004C046B" w:rsidRPr="0022123B" w:rsidRDefault="004C046B" w:rsidP="004C046B">
      <w:pPr>
        <w:jc w:val="center"/>
        <w:rPr>
          <w:rFonts w:ascii="Calibri" w:hAnsi="Calibri"/>
          <w:b/>
          <w:sz w:val="22"/>
          <w:szCs w:val="22"/>
        </w:rPr>
      </w:pPr>
    </w:p>
    <w:p w14:paraId="1FE91AC3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Eszközök</w:t>
      </w:r>
    </w:p>
    <w:p w14:paraId="4CB48008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I.a</w:t>
      </w:r>
      <w:proofErr w:type="spellEnd"/>
      <w:r w:rsidRPr="0022123B">
        <w:rPr>
          <w:rFonts w:ascii="Calibri" w:hAnsi="Calibri"/>
          <w:sz w:val="22"/>
          <w:szCs w:val="22"/>
        </w:rPr>
        <w:t>. Nem pénzügyi vállalatokkal szembeni követelés</w:t>
      </w:r>
    </w:p>
    <w:p w14:paraId="43A0A0E7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I.a.1. sor tartalmazza a nem pénzügyi vállalatokkal és a hozzájuk besorolt nonprofit intézményekkel szemben fennálló hitel jellegű állományokat könyvszerinti bruttó értéken. (pl. a nem pénzügyi vállalatokkal szemben fennálló megvásárolt követelések, a biztosítóintézet tulajdonába került nem pénzügyi vállalatok által kibocsátott váltók, csekkek, és az értékpapírok valódi penziós ügylet keretében történt vásárlásából keletkezett követelések. </w:t>
      </w:r>
    </w:p>
    <w:p w14:paraId="04498A46" w14:textId="77777777" w:rsidR="00347D46" w:rsidRPr="0022123B" w:rsidRDefault="00347D46" w:rsidP="00347D46">
      <w:pPr>
        <w:pStyle w:val="Szvegtrzs2"/>
        <w:rPr>
          <w:rFonts w:ascii="Calibri" w:hAnsi="Calibri"/>
          <w:sz w:val="22"/>
          <w:szCs w:val="22"/>
        </w:rPr>
      </w:pPr>
    </w:p>
    <w:p w14:paraId="144A566E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I.b</w:t>
      </w:r>
      <w:proofErr w:type="spellEnd"/>
      <w:r w:rsidRPr="0022123B">
        <w:rPr>
          <w:rFonts w:ascii="Calibri" w:hAnsi="Calibri"/>
          <w:sz w:val="22"/>
          <w:szCs w:val="22"/>
        </w:rPr>
        <w:t>. Központi bank</w:t>
      </w:r>
    </w:p>
    <w:p w14:paraId="02E279E1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Az I.b.1. sor (a) és (c) oszlopa töltendő ki. Az (a) oszlopba kell beállítani a forintpénztárak pénzkészletét (a házipénztár állományát és az értéktárakban lévő készleteket), a biztosítóintézet központja és fiókja, valamint a fiókok közötti úton lévő készpénz átvezetési számlán illetve egyéb más számlán lévő állományát. A (b) oszlop üresen marad.</w:t>
      </w:r>
    </w:p>
    <w:p w14:paraId="456A5DE4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1CA0D3AB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I.c</w:t>
      </w:r>
      <w:proofErr w:type="spellEnd"/>
      <w:r w:rsidRPr="0022123B">
        <w:rPr>
          <w:rFonts w:ascii="Calibri" w:hAnsi="Calibri"/>
          <w:sz w:val="22"/>
          <w:szCs w:val="22"/>
        </w:rPr>
        <w:t>. Egyéb monetáris intézmények</w:t>
      </w:r>
    </w:p>
    <w:p w14:paraId="60E4F773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Az I.c.1. sor: a biztosító belföldi hitelintézeteknél lévő folyószámla betéteinek mérlegben szereplő hó végi állománya, a hitelintézeteknél elhelyezett betétek, könyv szerinti bruttó értéken.</w:t>
      </w:r>
    </w:p>
    <w:p w14:paraId="4AF5D6AF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Az I.c.4. soron kell hozni a biztosítóintézet belföldi hitelintézeteknek szerződés alapján nyújtott hiteleit, illetve egyéb hitel jellegű követeléseit. Itt kell szerepeltetni a hitelintézetek tulajdonában lévő értékpapírok valódi penziós ügylet keretében történt vásárlásából keletkezett követelések hó végén fennálló állományát, könyv szerinti bruttó értéken.</w:t>
      </w:r>
    </w:p>
    <w:p w14:paraId="5439E498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I.f</w:t>
      </w:r>
      <w:proofErr w:type="spellEnd"/>
      <w:r w:rsidRPr="0022123B">
        <w:rPr>
          <w:rFonts w:ascii="Calibri" w:hAnsi="Calibri"/>
          <w:sz w:val="22"/>
          <w:szCs w:val="22"/>
        </w:rPr>
        <w:t>. Biztosítók, nyugdíjpénztárak</w:t>
      </w:r>
    </w:p>
    <w:p w14:paraId="4C038012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Az I.f.1. soron kell kimutatni a jelentést készítő biztosító más biztosítónak, nyugdíjpénztárnak nyújtott hiteleinek, egyéb hitel jellegű követeléseinek – ideértve az értékpapír tárgyú valódi penziós ügyletből származó követeléseket is – hó végi állományát, könyv szerinti bruttó értéken.</w:t>
      </w:r>
    </w:p>
    <w:p w14:paraId="3D551F1C" w14:textId="77777777" w:rsidR="00347D46" w:rsidRPr="0022123B" w:rsidRDefault="00347D46" w:rsidP="00347D46">
      <w:pPr>
        <w:pStyle w:val="Szvegtrzs2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I.f.5. sor: itt kell szerepelnie minden viszontbiztosításból eredő, belföldi biztosítóval szembeni követelésnek, beleértve a viszontbiztosításba adóval szemben fennálló letéti követeléseket is. </w:t>
      </w:r>
    </w:p>
    <w:p w14:paraId="05975695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19E14AB4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I.g</w:t>
      </w:r>
      <w:proofErr w:type="spellEnd"/>
      <w:r w:rsidRPr="0022123B">
        <w:rPr>
          <w:rFonts w:ascii="Calibri" w:hAnsi="Calibri"/>
          <w:sz w:val="22"/>
          <w:szCs w:val="22"/>
        </w:rPr>
        <w:t>. Központi kormányzat</w:t>
      </w:r>
    </w:p>
    <w:p w14:paraId="72FB942F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I.g.1. sorba kell beállítani a biztosító által megvásárolt, a kincstárjegyek (kamatozó- és diszkont-, és a likviditási kincstárjegyek) az </w:t>
      </w:r>
      <w:proofErr w:type="spellStart"/>
      <w:r w:rsidRPr="0022123B">
        <w:rPr>
          <w:rFonts w:ascii="Calibri" w:hAnsi="Calibri"/>
          <w:sz w:val="22"/>
          <w:szCs w:val="22"/>
        </w:rPr>
        <w:t>Szmt</w:t>
      </w:r>
      <w:proofErr w:type="spellEnd"/>
      <w:r w:rsidRPr="0022123B">
        <w:rPr>
          <w:rFonts w:ascii="Calibri" w:hAnsi="Calibri"/>
          <w:sz w:val="22"/>
          <w:szCs w:val="22"/>
        </w:rPr>
        <w:t>. által előírt könyv szerinti nettó értéken, nem levonva a valódi penziós ügylet keretében eladott vagy átvett állományt.</w:t>
      </w:r>
    </w:p>
    <w:p w14:paraId="3870C324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I.g.2. sor tartalma: a központi költségvetés által kibocsátott és a biztosító által megvásárolt, illetve apportként kapott valamennyi államkötvény állományát, könyv szerinti nettó értéken (nem csökkentve a valódi penziós ügyletek keretében eladott vagy átvett államkötvények értékével). </w:t>
      </w:r>
    </w:p>
    <w:p w14:paraId="58FAFD7D" w14:textId="77777777" w:rsidR="00347D46" w:rsidRPr="0022123B" w:rsidRDefault="00347D46" w:rsidP="00347D46">
      <w:pPr>
        <w:jc w:val="both"/>
        <w:outlineLvl w:val="0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I.g.3. sor: a költségvetéshez tartozó és a fenti sorokon nem nevesített költségvetési intézményekkel, elkülönített állami pénzalapokkal, és a központi kormányzathoz sorolt, az e rendelet 3. sz. mellékletének 1. pontja szerinti, az MNB honlapján lévő listán felsorolt nonprofit intézményekkel és gazdasági társaságokkal szembeni követelések. A szektorral szemben fennálló egyéb követelések között kell kimutatni a biztosítási ügyletből, áruszállításból és szolgáltatásból, adó-és járulék-elszámolásból adódó követeléseket. </w:t>
      </w:r>
    </w:p>
    <w:p w14:paraId="2FDB9434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15D16908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I.j</w:t>
      </w:r>
      <w:proofErr w:type="spellEnd"/>
      <w:r w:rsidRPr="0022123B">
        <w:rPr>
          <w:rFonts w:ascii="Calibri" w:hAnsi="Calibri"/>
          <w:sz w:val="22"/>
          <w:szCs w:val="22"/>
        </w:rPr>
        <w:t>. Háztartások</w:t>
      </w:r>
    </w:p>
    <w:p w14:paraId="1DB71F17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I.j.1. sorba kell beállítani a háztartások részére nyújtott hiteleket, beleértve a biztosítóintézet saját dolgozói részére nyújtott hitelek állományát is, valamint az életbiztosítást igénybevevő ügyfeleknek </w:t>
      </w:r>
      <w:r w:rsidRPr="0022123B">
        <w:rPr>
          <w:rFonts w:ascii="Calibri" w:hAnsi="Calibri"/>
          <w:sz w:val="22"/>
          <w:szCs w:val="22"/>
        </w:rPr>
        <w:lastRenderedPageBreak/>
        <w:t xml:space="preserve">nyújtott kötvénykölcsön, jelzáloghitel hó végén fennálló állományát - amennyiben ez a biztosítóintézet mérlegét érinti -, könyv szerinti bruttó értéken. </w:t>
      </w:r>
    </w:p>
    <w:p w14:paraId="15307E43" w14:textId="77777777" w:rsidR="00347D46" w:rsidRPr="0022123B" w:rsidRDefault="00347D46" w:rsidP="00347D46">
      <w:pPr>
        <w:pStyle w:val="Szvegtrzs2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I.j.3. sor tartalmazza a fenti hiteleken kívül a háztartásokkal szemben fennálló összes egyéb követelést (pl. biztosítási ügyletekből, a munkavállalókkal szembeni elszámolásokból, a háztartások tulajdonában lévő vagyontárgyak valódi penziós ügylet keretében történt vásárlásából eredő követelések). </w:t>
      </w:r>
    </w:p>
    <w:p w14:paraId="0068A011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48D169D7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II. Nem-rezidensekkel szembeni követelés</w:t>
      </w:r>
    </w:p>
    <w:p w14:paraId="24D649C1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II.3. soron kell megadni a biztosítóintézet nem rezidens hitelintézeteknek, illetve biztosítóintézeteknek szerződés alapján nyújtott hiteleit. Itt kell szerepeltetni a hitelintézetek tulajdonában lévő értékpapírok valódi penziós ügylet keretében történt vásárlásából keletkezett követelések hó végén fennálló állományát, könyv szerinti bruttó értéken.</w:t>
      </w:r>
    </w:p>
    <w:p w14:paraId="4BD84183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II.5. sor (b) és (c) oszlopa töltendő ki. A (b) oszlopban kell megadni a valutapénztárak valutaállományának forintértékét, és a pénztáron kívüli (pl. értéktárban lévő) valutaállomány forintértékét (figyelembe véve a hozzá kapcsolódó átvezetési számlák egyenlegét is). </w:t>
      </w:r>
    </w:p>
    <w:p w14:paraId="4256149C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II.10. sor: itt kell feltüntetni a viszontbiztosításba vevő külföldi biztosítóval szembeni, a biztosítástechnikai tartalékok fedezetére szóló követeléseket és a viszontbiztosítási ügyletekből származó, külföldi viszontbiztosítóval szembeni követeléseket is. Ugyancsak itt szerepel a viszontbiztosításba vett biztosítási ügyletből eredő letéti követelések állománya, amennyiben a letét külföldi biztosítónál lett elhelyezve. </w:t>
      </w:r>
    </w:p>
    <w:p w14:paraId="7B616C3A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6381D8D1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smartTag w:uri="urn:schemas-microsoft-com:office:smarttags" w:element="stockticker">
        <w:r w:rsidRPr="0022123B">
          <w:rPr>
            <w:rFonts w:ascii="Calibri" w:hAnsi="Calibri"/>
            <w:sz w:val="22"/>
            <w:szCs w:val="22"/>
          </w:rPr>
          <w:t>III</w:t>
        </w:r>
      </w:smartTag>
      <w:r w:rsidRPr="0022123B">
        <w:rPr>
          <w:rFonts w:ascii="Calibri" w:hAnsi="Calibri"/>
          <w:sz w:val="22"/>
          <w:szCs w:val="22"/>
        </w:rPr>
        <w:t>. Egyéb pénzügyi eszközök</w:t>
      </w:r>
    </w:p>
    <w:p w14:paraId="0767AB90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</w:t>
      </w:r>
      <w:smartTag w:uri="urn:schemas-microsoft-com:office:smarttags" w:element="stockticker">
        <w:r w:rsidRPr="0022123B">
          <w:rPr>
            <w:rFonts w:ascii="Calibri" w:hAnsi="Calibri"/>
            <w:sz w:val="22"/>
            <w:szCs w:val="22"/>
          </w:rPr>
          <w:t>III</w:t>
        </w:r>
      </w:smartTag>
      <w:r w:rsidRPr="0022123B">
        <w:rPr>
          <w:rFonts w:ascii="Calibri" w:hAnsi="Calibri"/>
          <w:sz w:val="22"/>
          <w:szCs w:val="22"/>
        </w:rPr>
        <w:t>.1. sorban egy összegben kell kimutatni a kamatok aktív időbeli elhatárolásának az állományát, függetlenül attól, hogy a követelés mely szektorral szemben áll fenn.</w:t>
      </w:r>
    </w:p>
    <w:p w14:paraId="2F2D5A6D" w14:textId="77777777" w:rsidR="00347D46" w:rsidRPr="0022123B" w:rsidRDefault="00347D46" w:rsidP="00347D46">
      <w:pPr>
        <w:pStyle w:val="Szvegtrzs3"/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</w:t>
      </w:r>
      <w:smartTag w:uri="urn:schemas-microsoft-com:office:smarttags" w:element="stockticker">
        <w:r w:rsidRPr="0022123B">
          <w:rPr>
            <w:rFonts w:ascii="Calibri" w:hAnsi="Calibri"/>
            <w:sz w:val="22"/>
            <w:szCs w:val="22"/>
          </w:rPr>
          <w:t>III</w:t>
        </w:r>
      </w:smartTag>
      <w:r w:rsidRPr="0022123B">
        <w:rPr>
          <w:rFonts w:ascii="Calibri" w:hAnsi="Calibri"/>
          <w:sz w:val="22"/>
          <w:szCs w:val="22"/>
        </w:rPr>
        <w:t>.2. sor tartalmazza mindazokat a tételeket, amelyek a fentiekben külön soron nem kerültek nevesítésre. Itt kell kimutatni a biztosító által visszavásárolt saját részvény állományát is, a számviteli előírások szerinti árfolyamon.</w:t>
      </w:r>
    </w:p>
    <w:p w14:paraId="79F2DA64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74B12383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4AAC5C17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IV. Nem pénzügyi eszközök</w:t>
      </w:r>
    </w:p>
    <w:p w14:paraId="5155AFCD" w14:textId="77777777" w:rsidR="00347D46" w:rsidRPr="0022123B" w:rsidRDefault="00347D46" w:rsidP="00347D46">
      <w:pPr>
        <w:pStyle w:val="Szvegtrzs"/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Ebbe a sorba kell beállítani a forgóeszközök közül a készleteket és a befektetett eszközök közül az immateriális javak és tárgyi eszközök összegét, az </w:t>
      </w:r>
      <w:proofErr w:type="spellStart"/>
      <w:r w:rsidRPr="0022123B">
        <w:rPr>
          <w:rFonts w:ascii="Calibri" w:hAnsi="Calibri"/>
          <w:sz w:val="22"/>
          <w:szCs w:val="22"/>
        </w:rPr>
        <w:t>Szmt</w:t>
      </w:r>
      <w:proofErr w:type="spellEnd"/>
      <w:r w:rsidRPr="0022123B">
        <w:rPr>
          <w:rFonts w:ascii="Calibri" w:hAnsi="Calibri"/>
          <w:sz w:val="22"/>
          <w:szCs w:val="22"/>
        </w:rPr>
        <w:t xml:space="preserve">. által előírt értéken. </w:t>
      </w:r>
    </w:p>
    <w:p w14:paraId="5F463652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Források</w:t>
      </w:r>
    </w:p>
    <w:p w14:paraId="239EC261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V. Saját tőke</w:t>
      </w:r>
    </w:p>
    <w:p w14:paraId="1C93CDDF" w14:textId="77777777" w:rsidR="00347D46" w:rsidRPr="0022123B" w:rsidRDefault="00347D46" w:rsidP="00347D46">
      <w:pPr>
        <w:pStyle w:val="Szvegtrzs"/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Ebbe a sorba kell beállítani a biztosítók éves beszámoló készítési kötelezettségének sajátosságairól szóló Korm. rendelet által előírt mérleg szerinti saját tőke állományát (jegyzett tőke, jegyzett, de még be nem fizetett tőke(-), tőketartalék, eredménytartalék, lekötött tartalék, értékelési tartalék, mérleg szerinti eredmény). A PSZÁF engedéllyel rendelkező, működésüket már megkezdett, de cégbírósági bejegyzéssel még nem rendelkező biztosítóintézeteknek is itt kell megadniuk a befizetett alaptőke összegét.</w:t>
      </w:r>
    </w:p>
    <w:p w14:paraId="6D4D9430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VI. Alárendelt kölcsöntőke</w:t>
      </w:r>
    </w:p>
    <w:p w14:paraId="543AEDC5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Itt kell kimutatni minden olyan öt évet meghaladó eredeti lejáratú kapott kölcsönt, amelyet ténylegesen a biztosító rendelkezésére bocsátottak. Az ilyen típusú kölcsönre vonatkozó szerződés ismérve, hogy abban a kölcsön nyújtója egyetért azzal, hogy a kölcsön bevonható a biztosító adósságának rendezésébe, valamint a kölcsönt nyújtó követelése a törlesztések sorrendjében a tulajdonosok előtti legutolsó helyen áll.</w:t>
      </w:r>
    </w:p>
    <w:p w14:paraId="73C093FA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3DF9CFDD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VIII. Biztosítástechnikai tartalékok</w:t>
      </w:r>
    </w:p>
    <w:p w14:paraId="33A81672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Ide kell kerülnie a vonatkozó jogszabályokban a biztosító számára előírt valamennyi megképzett tartalék – biztosítástechnikai tartalékok, függőkár tartalékok, eredménytől függő és független díjvisszatérítési tartalék, egyéb biztosítástechnikai tartalékok károk ingadozására, valamint </w:t>
      </w:r>
      <w:r w:rsidRPr="0022123B">
        <w:rPr>
          <w:rFonts w:ascii="Calibri" w:hAnsi="Calibri"/>
          <w:sz w:val="22"/>
          <w:szCs w:val="22"/>
        </w:rPr>
        <w:lastRenderedPageBreak/>
        <w:t xml:space="preserve">befektetési egységekhez kötött (unit-linked) életbiztosítások szerződői javára végrehajtott befektetések után képzett biztosítástechnikai tartalékok – hó végi állományát. </w:t>
      </w:r>
    </w:p>
    <w:p w14:paraId="5271DFFD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VIII.1. sor tartalmazza a unit-linked életbiztosításokon kívüli életbiztosításokhoz kapcsolódó biztosítástechnikai tartalékok Korm. rendelet szerinti bruttó összegét.</w:t>
      </w:r>
    </w:p>
    <w:p w14:paraId="75AADF2C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VIII.2. sorba kell beállítani a unit-linked életbiztosításokon kívüli életbiztosítások viszontbiztosításba adott összegeire jutó tartalékokat, negatív előjellel.</w:t>
      </w:r>
    </w:p>
    <w:p w14:paraId="37409B43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VIII.3. sor: a befektetési egységekhez kötött (unit-linked) életbiztosítások szerződői javára végrehajtott befektetések után képzett biztosítástechnikai tartalékok bruttó összege, amit az életbiztosítással összefüggő befektetésekkel kapcsolatos kötelezettségek fedezetére képeztek.</w:t>
      </w:r>
    </w:p>
    <w:p w14:paraId="449131FB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VIII.4. soron kell jelenteni negatív előjellel a VIII.3. sorban szereplő biztosítások viszontbiztosításba adott összegeire jutó tartalékokat.</w:t>
      </w:r>
    </w:p>
    <w:p w14:paraId="11373F75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VIII.5. sor tartalmazza a fenti sorokon külön nem nevesített, de a jogszabályok szerint megképzendő tartalék bruttó összegét.</w:t>
      </w:r>
    </w:p>
    <w:p w14:paraId="0F8A13BE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3F242841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X. Kötelezettségek</w:t>
      </w:r>
    </w:p>
    <w:p w14:paraId="69292359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X.1. sor a biztosítók közvetlen biztosítási ügyletekből adódó kötelezettségeinek állományát tartalmazza (pl. díjelőleg, túlfizetés), biztosítási kötvénytulajdonosokkal és biztosítási közvetítőkkel szemben fennálló kötelezettség bontásban.</w:t>
      </w:r>
    </w:p>
    <w:p w14:paraId="6A3DF016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X.2. sor tartalmazza a viszontbiztosításba adott biztosítási ügyletekből eredő, belföldi és külföldi biztosítóval szemben fennálló tartozások állományát. </w:t>
      </w:r>
    </w:p>
    <w:p w14:paraId="65306544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X.4. sor a tulajdonossal szembeni kötelezettségek állományát tartalmazza, így itt kell kimutatni a megszavazott, de ki nem fizetett osztalékot, az alapítóktól felvett hitelek, kölcsönöket.</w:t>
      </w:r>
    </w:p>
    <w:p w14:paraId="0CA9C36A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X.5. sor tartalmaz minden olyan forrástételt, amely a fentiekben külön soron nevesítésre nem került. Itt kell szerepeltetni a biztosítók által – nem a tulajdonostól – felvett forint- és devizahitel, valamint átvett forint- és devizabetét állomány forintra átszámított összegét, a biztosítóintézet tulajdonában lévő vagyontárgyak valódi penziós ügylet keretében történt eladásából szerzett források állományát, a kötvénykibocsátásból adódó kötelezettségeket is.</w:t>
      </w:r>
    </w:p>
    <w:p w14:paraId="67BA6796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7524DA87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XI. Passzív időbeli elhatárolások soron kell jelenteni a bevételek, a költségek, ráfordítások passzív időbeli elhatárolását.</w:t>
      </w:r>
    </w:p>
    <w:p w14:paraId="21E0629C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3833AE00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Egyéb adatok</w:t>
      </w:r>
    </w:p>
    <w:p w14:paraId="31A6F9BD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14:paraId="6DC782ED" w14:textId="77777777"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Fedezeti ügyletek pozitív értékelési különbözete (követelés), és a Fedezeti ügyletek negatív értékelési különbözete (tartozás) sorokban a biztosítóintézet által kötött derivatív ügyletek időszak végi állományát kell szerepeltetni függetlenül attól, hogy azok mérlegben szereplő vagy mérlegen kívüli tételek.</w:t>
      </w:r>
    </w:p>
    <w:p w14:paraId="19F6B1F1" w14:textId="77777777" w:rsidR="000A6D7A" w:rsidRDefault="00347D46" w:rsidP="00C93CDC">
      <w:pPr>
        <w:pStyle w:val="Szvegtrzsbehzssal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fedezeti ügyleteket ügyletenként kiértékelve, ügyletenként nettózva kell közölni. Ennek értelmében a pozitív egyenlegű ügyleteket követelésként, míg a negatív egyenlegűeket a tartozásként kell jelenteni. </w:t>
      </w:r>
    </w:p>
    <w:p w14:paraId="28151723" w14:textId="77777777" w:rsidR="006E2764" w:rsidRDefault="006E2764" w:rsidP="00C93CDC">
      <w:pPr>
        <w:pStyle w:val="Szvegtrzsbehzssal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14:paraId="4C25501D" w14:textId="77777777" w:rsidR="009325F7" w:rsidRDefault="005D0851" w:rsidP="00C93CDC">
      <w:pPr>
        <w:pStyle w:val="Szvegtrzsbehzssal"/>
        <w:spacing w:after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9325F7">
        <w:rPr>
          <w:rFonts w:ascii="Calibri" w:hAnsi="Calibri"/>
          <w:sz w:val="22"/>
          <w:szCs w:val="22"/>
        </w:rPr>
        <w:t xml:space="preserve"> VIII. Biztosítástechnikai tartalékok között </w:t>
      </w:r>
      <w:r>
        <w:rPr>
          <w:rFonts w:ascii="Calibri" w:hAnsi="Calibri"/>
          <w:sz w:val="22"/>
          <w:szCs w:val="22"/>
        </w:rPr>
        <w:t>jelentett</w:t>
      </w:r>
      <w:r w:rsidR="009325F7">
        <w:rPr>
          <w:rFonts w:ascii="Calibri" w:hAnsi="Calibri"/>
          <w:sz w:val="22"/>
          <w:szCs w:val="22"/>
        </w:rPr>
        <w:t xml:space="preserve">, életbiztosításokhoz (hagyományos és unit linked életbiztosítások) kapcsolódó biztosítástechnikai tartalékok bruttó összegéből </w:t>
      </w:r>
      <w:r>
        <w:rPr>
          <w:rFonts w:ascii="Calibri" w:hAnsi="Calibri"/>
          <w:sz w:val="22"/>
          <w:szCs w:val="22"/>
        </w:rPr>
        <w:t>ki kell emelni és tájékoztató adatként jelenteni kell a nyugdíjbiztosítási konstrukciókhoz kapcsolódó biztosítástechnikai tartalék összegét.</w:t>
      </w:r>
    </w:p>
    <w:sectPr w:rsidR="009325F7" w:rsidSect="00435885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AFB9" w14:textId="77777777" w:rsidR="004205D8" w:rsidRDefault="004205D8" w:rsidP="00C828C7">
      <w:r>
        <w:separator/>
      </w:r>
    </w:p>
  </w:endnote>
  <w:endnote w:type="continuationSeparator" w:id="0">
    <w:p w14:paraId="3B25F5DC" w14:textId="77777777" w:rsidR="004205D8" w:rsidRDefault="004205D8" w:rsidP="00C8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3D6E" w14:textId="77777777" w:rsidR="004205D8" w:rsidRDefault="004205D8" w:rsidP="00C828C7">
      <w:r>
        <w:separator/>
      </w:r>
    </w:p>
  </w:footnote>
  <w:footnote w:type="continuationSeparator" w:id="0">
    <w:p w14:paraId="63393D77" w14:textId="77777777" w:rsidR="004205D8" w:rsidRDefault="004205D8" w:rsidP="00C8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E255D"/>
    <w:multiLevelType w:val="singleLevel"/>
    <w:tmpl w:val="2338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7074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3259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0B2F5A"/>
    <w:multiLevelType w:val="hybridMultilevel"/>
    <w:tmpl w:val="99D879FC"/>
    <w:lvl w:ilvl="0" w:tplc="715C5B1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92A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8DD3F19"/>
    <w:multiLevelType w:val="singleLevel"/>
    <w:tmpl w:val="D10A2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23716D"/>
    <w:multiLevelType w:val="hybridMultilevel"/>
    <w:tmpl w:val="605E6C18"/>
    <w:lvl w:ilvl="0" w:tplc="01184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C0137"/>
    <w:multiLevelType w:val="hybridMultilevel"/>
    <w:tmpl w:val="775EEE98"/>
    <w:lvl w:ilvl="0" w:tplc="2338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570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E251E6"/>
    <w:multiLevelType w:val="hybridMultilevel"/>
    <w:tmpl w:val="31EEF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E448A"/>
    <w:multiLevelType w:val="singleLevel"/>
    <w:tmpl w:val="429E2110"/>
    <w:lvl w:ilvl="0">
      <w:start w:val="12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7EA"/>
    <w:rsid w:val="0000394F"/>
    <w:rsid w:val="00025DB5"/>
    <w:rsid w:val="00071F51"/>
    <w:rsid w:val="00076833"/>
    <w:rsid w:val="000A6D7A"/>
    <w:rsid w:val="000D0183"/>
    <w:rsid w:val="000E7F29"/>
    <w:rsid w:val="000F2320"/>
    <w:rsid w:val="00126800"/>
    <w:rsid w:val="0013211D"/>
    <w:rsid w:val="00133CBC"/>
    <w:rsid w:val="00133DCB"/>
    <w:rsid w:val="00147445"/>
    <w:rsid w:val="001520B8"/>
    <w:rsid w:val="0016260E"/>
    <w:rsid w:val="00191B8D"/>
    <w:rsid w:val="001C3903"/>
    <w:rsid w:val="001C4964"/>
    <w:rsid w:val="001D49A1"/>
    <w:rsid w:val="001D7AFD"/>
    <w:rsid w:val="00204376"/>
    <w:rsid w:val="0022123B"/>
    <w:rsid w:val="00253A6E"/>
    <w:rsid w:val="00266BCF"/>
    <w:rsid w:val="00286C85"/>
    <w:rsid w:val="002A6D51"/>
    <w:rsid w:val="002B2648"/>
    <w:rsid w:val="002C3AF6"/>
    <w:rsid w:val="002C7A3F"/>
    <w:rsid w:val="002E644F"/>
    <w:rsid w:val="00330AA7"/>
    <w:rsid w:val="00347D46"/>
    <w:rsid w:val="00374F31"/>
    <w:rsid w:val="00377091"/>
    <w:rsid w:val="003A3404"/>
    <w:rsid w:val="003D6131"/>
    <w:rsid w:val="003E5144"/>
    <w:rsid w:val="003E76DF"/>
    <w:rsid w:val="00414D82"/>
    <w:rsid w:val="004205D8"/>
    <w:rsid w:val="00435885"/>
    <w:rsid w:val="004555EA"/>
    <w:rsid w:val="004C046B"/>
    <w:rsid w:val="004C0ABA"/>
    <w:rsid w:val="004F27CB"/>
    <w:rsid w:val="00560C10"/>
    <w:rsid w:val="00566FF1"/>
    <w:rsid w:val="005D0851"/>
    <w:rsid w:val="005D0C37"/>
    <w:rsid w:val="005E3FFE"/>
    <w:rsid w:val="00672E99"/>
    <w:rsid w:val="006E2764"/>
    <w:rsid w:val="006E712A"/>
    <w:rsid w:val="006F4255"/>
    <w:rsid w:val="006F5E1E"/>
    <w:rsid w:val="007105FB"/>
    <w:rsid w:val="00771000"/>
    <w:rsid w:val="00790404"/>
    <w:rsid w:val="007A5D15"/>
    <w:rsid w:val="007B48BD"/>
    <w:rsid w:val="007D03C5"/>
    <w:rsid w:val="007E065F"/>
    <w:rsid w:val="0081746B"/>
    <w:rsid w:val="00830F06"/>
    <w:rsid w:val="00843843"/>
    <w:rsid w:val="00846861"/>
    <w:rsid w:val="00857FAD"/>
    <w:rsid w:val="008F4766"/>
    <w:rsid w:val="0091515C"/>
    <w:rsid w:val="0092613F"/>
    <w:rsid w:val="009325F7"/>
    <w:rsid w:val="009644E7"/>
    <w:rsid w:val="009A526E"/>
    <w:rsid w:val="009C7E48"/>
    <w:rsid w:val="00A07116"/>
    <w:rsid w:val="00A147EA"/>
    <w:rsid w:val="00A159B9"/>
    <w:rsid w:val="00B2583B"/>
    <w:rsid w:val="00B42C66"/>
    <w:rsid w:val="00B644A2"/>
    <w:rsid w:val="00B961CB"/>
    <w:rsid w:val="00BB79CD"/>
    <w:rsid w:val="00BD3E85"/>
    <w:rsid w:val="00BE526C"/>
    <w:rsid w:val="00C01805"/>
    <w:rsid w:val="00C069C2"/>
    <w:rsid w:val="00C23861"/>
    <w:rsid w:val="00C50132"/>
    <w:rsid w:val="00C64E70"/>
    <w:rsid w:val="00C7216A"/>
    <w:rsid w:val="00C828C7"/>
    <w:rsid w:val="00C93CDC"/>
    <w:rsid w:val="00CE1B1D"/>
    <w:rsid w:val="00CE5523"/>
    <w:rsid w:val="00D05F0E"/>
    <w:rsid w:val="00D13CB2"/>
    <w:rsid w:val="00D420D2"/>
    <w:rsid w:val="00D868EC"/>
    <w:rsid w:val="00D86E1B"/>
    <w:rsid w:val="00DB04DB"/>
    <w:rsid w:val="00DF6E24"/>
    <w:rsid w:val="00E017F2"/>
    <w:rsid w:val="00E17034"/>
    <w:rsid w:val="00E368CC"/>
    <w:rsid w:val="00EB2CA1"/>
    <w:rsid w:val="00EC68B7"/>
    <w:rsid w:val="00EF3D7E"/>
    <w:rsid w:val="00F228DD"/>
    <w:rsid w:val="00F326D4"/>
    <w:rsid w:val="00F4279C"/>
    <w:rsid w:val="00F7035A"/>
    <w:rsid w:val="00F87EBA"/>
    <w:rsid w:val="00F90561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  <w14:docId w14:val="627C2139"/>
  <w15:chartTrackingRefBased/>
  <w15:docId w15:val="{B9293D7E-8D70-44B8-A7D3-3DCA10DD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69C2"/>
    <w:rPr>
      <w:rFonts w:ascii="Garamond" w:hAnsi="Garamond"/>
      <w:sz w:val="24"/>
      <w:szCs w:val="24"/>
    </w:rPr>
  </w:style>
  <w:style w:type="paragraph" w:styleId="Cmsor2">
    <w:name w:val="heading 2"/>
    <w:basedOn w:val="Norml"/>
    <w:next w:val="Norml"/>
    <w:qFormat/>
    <w:rsid w:val="004C046B"/>
    <w:pPr>
      <w:keepNext/>
      <w:jc w:val="both"/>
      <w:outlineLvl w:val="1"/>
    </w:pPr>
    <w:rPr>
      <w:rFonts w:ascii="Times New Roman" w:hAnsi="Times New Roman"/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A1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A147EA"/>
    <w:rPr>
      <w:sz w:val="16"/>
      <w:szCs w:val="16"/>
    </w:rPr>
  </w:style>
  <w:style w:type="paragraph" w:styleId="Jegyzetszveg">
    <w:name w:val="annotation text"/>
    <w:basedOn w:val="Norml"/>
    <w:semiHidden/>
    <w:rsid w:val="00A147EA"/>
    <w:rPr>
      <w:sz w:val="20"/>
      <w:szCs w:val="20"/>
    </w:rPr>
  </w:style>
  <w:style w:type="paragraph" w:styleId="Buborkszveg">
    <w:name w:val="Balloon Text"/>
    <w:basedOn w:val="Norml"/>
    <w:semiHidden/>
    <w:rsid w:val="00A147EA"/>
    <w:rPr>
      <w:rFonts w:ascii="Tahoma" w:hAnsi="Tahoma" w:cs="Tahoma"/>
      <w:sz w:val="16"/>
      <w:szCs w:val="16"/>
    </w:rPr>
  </w:style>
  <w:style w:type="character" w:styleId="Hiperhivatkozs">
    <w:name w:val="Hyperlink"/>
    <w:rsid w:val="004C046B"/>
    <w:rPr>
      <w:color w:val="0000FF"/>
      <w:u w:val="single"/>
    </w:rPr>
  </w:style>
  <w:style w:type="paragraph" w:styleId="Szvegtrzs2">
    <w:name w:val="Body Text 2"/>
    <w:basedOn w:val="Norml"/>
    <w:rsid w:val="004C046B"/>
    <w:pPr>
      <w:jc w:val="both"/>
    </w:pPr>
    <w:rPr>
      <w:rFonts w:ascii="Times New Roman" w:hAnsi="Times New Roman"/>
      <w:szCs w:val="20"/>
    </w:rPr>
  </w:style>
  <w:style w:type="paragraph" w:styleId="Megjegyzstrgya">
    <w:name w:val="annotation subject"/>
    <w:basedOn w:val="Jegyzetszveg"/>
    <w:next w:val="Jegyzetszveg"/>
    <w:semiHidden/>
    <w:rsid w:val="000F2320"/>
    <w:rPr>
      <w:b/>
      <w:bCs/>
    </w:rPr>
  </w:style>
  <w:style w:type="character" w:styleId="Mrltotthiperhivatkozs">
    <w:name w:val="FollowedHyperlink"/>
    <w:rsid w:val="00133DCB"/>
    <w:rPr>
      <w:color w:val="800080"/>
      <w:u w:val="single"/>
    </w:rPr>
  </w:style>
  <w:style w:type="paragraph" w:styleId="Szvegtrzsbehzssal">
    <w:name w:val="Body Text Indent"/>
    <w:basedOn w:val="Norml"/>
    <w:rsid w:val="002C3AF6"/>
    <w:pPr>
      <w:spacing w:after="120"/>
      <w:ind w:left="283"/>
    </w:pPr>
  </w:style>
  <w:style w:type="paragraph" w:styleId="Szvegtrzs">
    <w:name w:val="Body Text"/>
    <w:basedOn w:val="Norml"/>
    <w:rsid w:val="00347D46"/>
    <w:pPr>
      <w:spacing w:after="120"/>
    </w:pPr>
  </w:style>
  <w:style w:type="paragraph" w:styleId="Szvegtrzs3">
    <w:name w:val="Body Text 3"/>
    <w:basedOn w:val="Norml"/>
    <w:rsid w:val="00347D4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8718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új kitöltési útmutatók szerkezete</vt:lpstr>
      <vt:lpstr>Az új kitöltési útmutatók szerkezete</vt:lpstr>
    </vt:vector>
  </TitlesOfParts>
  <Company>Magyar Nemzeti Bank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 kitöltési útmutatók szerkezete</dc:title>
  <dc:subject/>
  <dc:creator>KŐrös Orsolya</dc:creator>
  <cp:keywords/>
  <dc:description/>
  <cp:lastModifiedBy>Nagy-Csaba Brigitta</cp:lastModifiedBy>
  <cp:revision>2</cp:revision>
  <dcterms:created xsi:type="dcterms:W3CDTF">2022-03-31T11:40:00Z</dcterms:created>
  <dcterms:modified xsi:type="dcterms:W3CDTF">2022-03-31T11:40:00Z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2019-10-15T14:33:18.8329102+02:00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2027-03-31T11:40:19Z</vt:filetime>
  </property>
  <property fmtid="{D5CDD505-2E9C-101B-9397-08002B2CF9AE}" pid="12" name="Érvényességet beállító">
    <vt:lpwstr>csabab</vt:lpwstr>
  </property>
  <property fmtid="{D5CDD505-2E9C-101B-9397-08002B2CF9AE}" pid="13" name="Érvényességi idő első beállítása">
    <vt:filetime>2022-03-31T11:40:19Z</vt:filetime>
  </property>
</Properties>
</file>