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D46" w:rsidRPr="00C93CDC" w:rsidRDefault="00C93CDC" w:rsidP="00A147EA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C93CDC">
        <w:rPr>
          <w:rFonts w:ascii="Calibri" w:hAnsi="Calibri"/>
          <w:b/>
          <w:sz w:val="22"/>
          <w:szCs w:val="22"/>
        </w:rPr>
        <w:t xml:space="preserve">MNB azonosító: </w:t>
      </w:r>
      <w:r w:rsidR="00347D46" w:rsidRPr="00C93CDC" w:rsidDel="00C50132">
        <w:rPr>
          <w:rFonts w:ascii="Calibri" w:hAnsi="Calibri"/>
          <w:b/>
          <w:sz w:val="22"/>
          <w:szCs w:val="22"/>
        </w:rPr>
        <w:t>F0</w:t>
      </w:r>
      <w:r w:rsidR="00347D46" w:rsidRPr="00C93CDC">
        <w:rPr>
          <w:rFonts w:ascii="Calibri" w:hAnsi="Calibri"/>
          <w:b/>
          <w:sz w:val="22"/>
          <w:szCs w:val="22"/>
        </w:rPr>
        <w:t>2</w:t>
      </w:r>
    </w:p>
    <w:p w:rsidR="00347D46" w:rsidRPr="0022123B" w:rsidRDefault="00347D46" w:rsidP="00A147EA">
      <w:pPr>
        <w:tabs>
          <w:tab w:val="left" w:pos="1908"/>
        </w:tabs>
        <w:rPr>
          <w:rFonts w:ascii="Calibri" w:hAnsi="Calibri"/>
          <w:sz w:val="22"/>
          <w:szCs w:val="22"/>
        </w:rPr>
      </w:pPr>
    </w:p>
    <w:p w:rsidR="00D13CB2" w:rsidRPr="0022123B" w:rsidRDefault="00D13CB2" w:rsidP="00A147EA">
      <w:pPr>
        <w:rPr>
          <w:rFonts w:ascii="Calibri" w:hAnsi="Calibri"/>
          <w:sz w:val="22"/>
          <w:szCs w:val="22"/>
        </w:rPr>
      </w:pPr>
    </w:p>
    <w:p w:rsidR="00A147EA" w:rsidRPr="0022123B" w:rsidRDefault="00A147EA">
      <w:pPr>
        <w:rPr>
          <w:rFonts w:ascii="Calibri" w:hAnsi="Calibri"/>
          <w:sz w:val="22"/>
          <w:szCs w:val="22"/>
        </w:rPr>
      </w:pPr>
    </w:p>
    <w:p w:rsidR="004C046B" w:rsidRPr="0022123B" w:rsidRDefault="005E3FFE" w:rsidP="004C046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MÓDSZERTANI</w:t>
      </w:r>
      <w:r w:rsidR="004C046B" w:rsidRPr="0022123B">
        <w:rPr>
          <w:rFonts w:ascii="Calibri" w:hAnsi="Calibri"/>
          <w:b/>
          <w:sz w:val="22"/>
          <w:szCs w:val="22"/>
        </w:rPr>
        <w:t xml:space="preserve"> SEGÉDLET</w:t>
      </w:r>
    </w:p>
    <w:p w:rsidR="00347D46" w:rsidRPr="0022123B" w:rsidRDefault="00347D46" w:rsidP="004C046B">
      <w:pPr>
        <w:jc w:val="center"/>
        <w:rPr>
          <w:rFonts w:ascii="Calibri" w:hAnsi="Calibri"/>
          <w:b/>
          <w:sz w:val="22"/>
          <w:szCs w:val="22"/>
        </w:rPr>
      </w:pPr>
    </w:p>
    <w:p w:rsidR="004C046B" w:rsidRPr="0022123B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Eszközök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I.a</w:t>
      </w:r>
      <w:proofErr w:type="spellEnd"/>
      <w:r w:rsidRPr="0022123B">
        <w:rPr>
          <w:rFonts w:ascii="Calibri" w:hAnsi="Calibri"/>
          <w:sz w:val="22"/>
          <w:szCs w:val="22"/>
        </w:rPr>
        <w:t>. Nem pénzügyi vállalatokkal szembeni követelés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I.a.1. sor tartalmazza a nem pénzügyi vállalatokkal és a hozzájuk besorolt nonprofit intézményekkel szemben fennálló hitel jellegű állományokat könyvszerinti bruttó értéken. (pl. a nem pénzügyi vállalatokkal szemben fennálló megvásárolt követelések, a biztosítóintézet tulajdonába került nem pénzügyi vállalatok által kibocsátott váltók, csekkek, és az értékpapírok valódi penziós ügylet keretében történt vásárlásából keletkezett követelések. </w:t>
      </w:r>
    </w:p>
    <w:p w:rsidR="00347D46" w:rsidRPr="0022123B" w:rsidRDefault="00347D46" w:rsidP="00347D46">
      <w:pPr>
        <w:pStyle w:val="BodyText2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I.b</w:t>
      </w:r>
      <w:proofErr w:type="spellEnd"/>
      <w:r w:rsidRPr="0022123B">
        <w:rPr>
          <w:rFonts w:ascii="Calibri" w:hAnsi="Calibri"/>
          <w:sz w:val="22"/>
          <w:szCs w:val="22"/>
        </w:rPr>
        <w:t>. Központi bank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I.b.1. sor (a) és (c) oszlopa töltendő ki. Az (a) oszlopba kell beállítani a forintpénztárak pénzkészletét (a házipénztár állományát és az értéktárakban lévő készleteket), a biztosítóintézet központja és fiókja, valamint a fiókok közötti úton lévő készpénz átvezetési számlán illetve egyéb más számlán lévő állományát. A (b) oszlop üresen marad.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I.c</w:t>
      </w:r>
      <w:proofErr w:type="spellEnd"/>
      <w:r w:rsidRPr="0022123B">
        <w:rPr>
          <w:rFonts w:ascii="Calibri" w:hAnsi="Calibri"/>
          <w:sz w:val="22"/>
          <w:szCs w:val="22"/>
        </w:rPr>
        <w:t>. Egyéb monetáris intézmények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I.c.1. sor: a biztosító belföldi hitelintézeteknél lévő folyószámla betéteinek mérlegben szereplő hó végi állománya, a hitelintézeteknél elhelyezett betétek, könyv szerinti bruttó értéken.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I.c.4. soron kell hozni a biztosítóintézet belföldi hitelintézeteknek szerződés alapján nyújtott hiteleit, illetve egyéb hitel jellegű követeléseit. Itt kell szerepeltetni a hitelintézetek tulajdonában lévő értékpapírok valódi penziós ügylet keretében történt vásárlásából keletkezett követelések hó végén fennálló állományát, könyv szerinti bruttó értéken.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I.f</w:t>
      </w:r>
      <w:proofErr w:type="spellEnd"/>
      <w:r w:rsidRPr="0022123B">
        <w:rPr>
          <w:rFonts w:ascii="Calibri" w:hAnsi="Calibri"/>
          <w:sz w:val="22"/>
          <w:szCs w:val="22"/>
        </w:rPr>
        <w:t>. Biztosítók, nyugdíjpénztárak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Az I.f.1. soron kell kimutatni a jelentést készítő biztosító más biztosítónak, nyugdíjpénztárnak nyújtott hiteleinek, egyéb hitel jellegű követeléseinek – ideértve az értékpapír tárgyú valódi penziós ügyletből származó követeléseket is – hó végi állományát, könyv szerinti bruttó értéken.</w:t>
      </w:r>
    </w:p>
    <w:p w:rsidR="00347D46" w:rsidRPr="0022123B" w:rsidRDefault="00347D46" w:rsidP="00347D46">
      <w:pPr>
        <w:pStyle w:val="BodyText2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I.f.5. sor: itt kell szerepelnie minden viszontbiztosításból eredő, belföldi biztosítóval szembeni követelésnek, beleértve a viszontbiztosításba adóval szemben fennálló letéti követeléseket is.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I.g</w:t>
      </w:r>
      <w:proofErr w:type="spellEnd"/>
      <w:r w:rsidRPr="0022123B">
        <w:rPr>
          <w:rFonts w:ascii="Calibri" w:hAnsi="Calibri"/>
          <w:sz w:val="22"/>
          <w:szCs w:val="22"/>
        </w:rPr>
        <w:t>. Központi kormányzat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I.g.1. sorba kell beállítani a biztosító által megvásárolt, a kincstárjegyek (kamatozó- és diszkont-, és a likviditási kincstárjegyek) az </w:t>
      </w:r>
      <w:proofErr w:type="spellStart"/>
      <w:r w:rsidRPr="0022123B">
        <w:rPr>
          <w:rFonts w:ascii="Calibri" w:hAnsi="Calibri"/>
          <w:sz w:val="22"/>
          <w:szCs w:val="22"/>
        </w:rPr>
        <w:t>Szmt</w:t>
      </w:r>
      <w:proofErr w:type="spellEnd"/>
      <w:r w:rsidRPr="0022123B">
        <w:rPr>
          <w:rFonts w:ascii="Calibri" w:hAnsi="Calibri"/>
          <w:sz w:val="22"/>
          <w:szCs w:val="22"/>
        </w:rPr>
        <w:t>. által előírt könyv szerinti nettó értéken, nem levonva a valódi penziós ügylet keretében eladott vagy átvett állományt.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I.g.2. sor tartalma: a központi költségvetés által kibocsátott és a biztosító által megvásárolt, illetve apportként kapott valamennyi államkötvény állományát, könyv szerinti nettó értéken (nem csökkentve a valódi penziós ügyletek keretében eladott vagy átvett államkötvények értékével). </w:t>
      </w:r>
    </w:p>
    <w:p w:rsidR="00347D46" w:rsidRPr="0022123B" w:rsidRDefault="00347D46" w:rsidP="00347D46">
      <w:pPr>
        <w:jc w:val="both"/>
        <w:outlineLvl w:val="0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I.g.3. sor: a költségvetéshez tartozó és a fenti sorokon nem nevesített költségvetési intézményekkel, elkülönített állami pénzalapokkal, és a központi kormányzathoz sorolt, az e rendelet 3. sz. mellékletének 1. pontja szerinti, az MNB honlapján lévő listán felsorolt nonprofit intézményekkel és gazdasági társaságokkal szembeni követelések. A szektorral szemben fennálló egyéb követelések között kell kimutatni a biztosítási ügyletből, áruszállításból és szolgáltatásból, adó-és járulék-elszámolásból adódó követeléseket.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proofErr w:type="spellStart"/>
      <w:r w:rsidRPr="0022123B">
        <w:rPr>
          <w:rFonts w:ascii="Calibri" w:hAnsi="Calibri"/>
          <w:sz w:val="22"/>
          <w:szCs w:val="22"/>
        </w:rPr>
        <w:t>I.j</w:t>
      </w:r>
      <w:proofErr w:type="spellEnd"/>
      <w:r w:rsidRPr="0022123B">
        <w:rPr>
          <w:rFonts w:ascii="Calibri" w:hAnsi="Calibri"/>
          <w:sz w:val="22"/>
          <w:szCs w:val="22"/>
        </w:rPr>
        <w:t>. Háztartások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I.j.1. sorba kell beállítani a háztartások részére nyújtott hiteleket, beleértve a biztosítóintézet saját dolgozói részére nyújtott hitelek állományát is, valamint az életbiztosítást igénybevevő ügyfeleknek </w:t>
      </w:r>
      <w:r w:rsidRPr="0022123B">
        <w:rPr>
          <w:rFonts w:ascii="Calibri" w:hAnsi="Calibri"/>
          <w:sz w:val="22"/>
          <w:szCs w:val="22"/>
        </w:rPr>
        <w:lastRenderedPageBreak/>
        <w:t xml:space="preserve">nyújtott kötvénykölcsön, jelzáloghitel hó végén fennálló állományát - amennyiben ez a biztosítóintézet mérlegét érinti -, könyv szerinti bruttó értéken. </w:t>
      </w:r>
    </w:p>
    <w:p w:rsidR="00347D46" w:rsidRPr="0022123B" w:rsidRDefault="00347D46" w:rsidP="00347D46">
      <w:pPr>
        <w:pStyle w:val="BodyText2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Az I.j.3. sor tartalmazza a fenti hiteleken kívül a háztartásokkal szemben fennálló összes egyéb követelést (pl. biztosítási ügyletekből, a munkavállalókkal szembeni elszámolásokból, a háztartások tulajdonában lévő vagyontárgyak valódi penziós ügylet keretében történt vásárlásából eredő követelések).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II. Nem-rezidensekkel szembeni követelés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II.3. soron kell megadni a biztosítóintézet nem rezidens hitelintézeteknek, illetve biztosítóintézeteknek szerződés alapján nyújtott hiteleit. Itt kell szerepeltetni a hitelintézetek tulajdonában lévő értékpapírok valódi penziós ügylet keretében történt vásárlásából keletkezett követelések hó végén fennálló állományát, könyv szerinti bruttó értéken.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II.5. sor (b) és (c) oszlopa töltendő ki. A (b) oszlopban kell megadni a valutapénztárak valutaállományának forintértékét, és a pénztáron kívüli (pl. értéktárban lévő) valutaállomány forintértékét (figyelembe véve a hozzá kapcsolódó átvezetési számlák egyenlegét is).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II.10. sor: itt kell feltüntetni a viszontbiztosításba vevő külföldi biztosítóval szembeni, a biztosítástechnikai tartalékok fedezetére szóló követeléseket és a viszontbiztosítási ügyletekből származó, külföldi viszontbiztosítóval szembeni követeléseket is. Ugyancsak itt szerepel a viszontbiztosításba vett biztosítási ügyletből eredő letéti követelések állománya, amennyiben a letét külföldi biztosítónál lett elhelyezve.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 Egyéb pénzügyi eszközök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</w:t>
      </w: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.1. sorban egy összegben kell kimutatni a kamatok aktív időbeli elhatárolásának az állományát, függetlenül attól, hogy a követelés mely szektorral szemben áll fenn.</w:t>
      </w:r>
    </w:p>
    <w:p w:rsidR="00347D46" w:rsidRPr="0022123B" w:rsidRDefault="00347D46" w:rsidP="00347D46">
      <w:pPr>
        <w:pStyle w:val="BodyText3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</w:t>
      </w:r>
      <w:smartTag w:uri="urn:schemas-microsoft-com:office:smarttags" w:element="stockticker">
        <w:r w:rsidRPr="0022123B">
          <w:rPr>
            <w:rFonts w:ascii="Calibri" w:hAnsi="Calibri"/>
            <w:sz w:val="22"/>
            <w:szCs w:val="22"/>
          </w:rPr>
          <w:t>III</w:t>
        </w:r>
      </w:smartTag>
      <w:r w:rsidRPr="0022123B">
        <w:rPr>
          <w:rFonts w:ascii="Calibri" w:hAnsi="Calibri"/>
          <w:sz w:val="22"/>
          <w:szCs w:val="22"/>
        </w:rPr>
        <w:t>.2. sor tartalmazza mindazokat a tételeket, amelyek a fentiekben külön soron nem kerültek nevesítésre. Itt kell kimutatni a biztosító által visszavásárolt saját részvény állományát is, a számviteli előírások szerinti árfolyamon.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IV. Nem pénzügyi eszközök</w:t>
      </w:r>
    </w:p>
    <w:p w:rsidR="00347D46" w:rsidRPr="0022123B" w:rsidRDefault="00347D46" w:rsidP="00347D46">
      <w:pPr>
        <w:pStyle w:val="BodyText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Ebbe a sorba kell beállítani a forgóeszközök közül a készleteket és a befektetett eszközök közül az immateriális javak és tárgyi eszközök összegét, az </w:t>
      </w:r>
      <w:proofErr w:type="spellStart"/>
      <w:r w:rsidRPr="0022123B">
        <w:rPr>
          <w:rFonts w:ascii="Calibri" w:hAnsi="Calibri"/>
          <w:sz w:val="22"/>
          <w:szCs w:val="22"/>
        </w:rPr>
        <w:t>Szmt</w:t>
      </w:r>
      <w:proofErr w:type="spellEnd"/>
      <w:r w:rsidRPr="0022123B">
        <w:rPr>
          <w:rFonts w:ascii="Calibri" w:hAnsi="Calibri"/>
          <w:sz w:val="22"/>
          <w:szCs w:val="22"/>
        </w:rPr>
        <w:t xml:space="preserve">. által előírt értéken.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Források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V. Saját tőke</w:t>
      </w:r>
    </w:p>
    <w:p w:rsidR="00347D46" w:rsidRPr="0022123B" w:rsidRDefault="00347D46" w:rsidP="00347D46">
      <w:pPr>
        <w:pStyle w:val="BodyText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Ebbe a sorba kell beállítani a biztosítók éves beszámoló készítési kötelezettségének sajátosságairól szóló Korm. rendelet által előírt mérleg szerinti saját tőke állományát (jegyzett tőke, jegyzett, de még be nem fizetett tőke(-), tőketartalék, eredménytartalék, lekötött tartalék, értékelési tartalék, mérleg szerinti eredmény). A PSZÁF engedéllyel rendelkező, működésüket már megkezdett, de cégbírósági bejegyzéssel még nem rendelkező biztosítóintézeteknek is itt kell megadniuk a befizetett alaptőke összegét.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VI. Alárendelt kölcsöntőke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Itt kell kimutatni minden olyan öt évet meghaladó eredeti lejáratú kapott kölcsönt, amelyet ténylegesen a biztosító rendelkezésére bocsátottak. Az ilyen típusú kölcsönre vonatkozó szerződés ismérve, hogy abban a kölcsön nyújtója egyetért azzal, hogy a kölcsön bevonható a biztosító adósságának rendezésébe, valamint a kölcsönt nyújtó követelése a törlesztések sorrendjében a tulajdonosok előtti legutolsó helyen áll.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VIII. Biztosítástechnikai tartalékok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Ide kell kerülnie a vonatkozó jogszabályokban a biztosító számára előírt valamennyi megképzett tartalék – biztosítástechnikai tartalékok, függőkár tartalékok, eredménytől függő és független díjvisszatérítési tartalék, egyéb biztosítástechnikai tartalékok károk ingadozására, valamint </w:t>
      </w:r>
      <w:r w:rsidRPr="0022123B">
        <w:rPr>
          <w:rFonts w:ascii="Calibri" w:hAnsi="Calibri"/>
          <w:sz w:val="22"/>
          <w:szCs w:val="22"/>
        </w:rPr>
        <w:lastRenderedPageBreak/>
        <w:t xml:space="preserve">befektetési egységekhez kötött (unit-linked) életbiztosítások szerződői javára végrehajtott befektetések után képzett biztosítástechnikai tartalékok – hó végi állományát.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VIII.1. sor tartalmazza a unit-linked életbiztosításokon kívüli életbiztosításokhoz kapcsolódó biztosítástechnikai tartalékok Korm. rendelet szerinti bruttó összegét.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VIII.2. sorba kell beállítani a unit-linked életbiztosításokon kívüli életbiztosítások viszontbiztosításba adott összegeire jutó tartalékokat, negatív előjellel.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VIII.3. sor: a befektetési egységekhez kötött (unit-linked) életbiztosítások szerződői javára végrehajtott befektetések után képzett biztosítástechnikai tartalékok bruttó összege, amit az életbiztosítással összefüggő befektetésekkel kapcsolatos kötelezettségek fedezetére képeztek.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VIII.4. soron kell jelenteni negatív előjellel a VIII.3. sorban szereplő biztosítások viszontbiztosításba adott összegeire jutó tartalékokat.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VIII.5. sor tartalmazza a fenti sorokon külön nem nevesített, de a jogszabályok szerint megképzendő tartalék bruttó összegét.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X. Kötelezettségek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X.1. sor a biztosítók közvetlen biztosítási ügyletekből adódó kötelezettségeinek állományát tartalmazza (pl. díjelőleg, túlfizetés), biztosítási kötvénytulajdonosokkal és biztosítási közvetítőkkel szemben fennálló kötelezettség bontásban.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X.2. sor tartalmazza a viszontbiztosításba adott biztosítási ügyletekből eredő, belföldi és külföldi biztosítóval szemben fennálló tartozások állományát. 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X.4. sor a tulajdonossal szembeni kötelezettségek állományát tartalmazza, így itt kell kimutatni a megszavazott, de ki nem fizetett osztalékot, az alapítóktól felvett hitelek, kölcsönöket.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X.5. sor tartalmaz minden olyan forrástételt, amely a fentiekben külön soron nevesítésre nem került. Itt kell szerepeltetni a biztosítók által – nem a tulajdonostól – felvett forint- és devizahitel, valamint átvett forint- és devizabetét állomány forintra átszámított összegét, a biztosítóintézet tulajdonában lévő vagyontárgyak valódi penziós ügylet keretében történt eladásából szerzett források állományát, a kötvénykibocsátásból adódó kötelezettségeket is.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XI. Passzív időbeli elhatárolások soron kell jelenteni a bevételek, a költségek, ráfordítások passzív időbeli elhatárolását.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Egyéb adatok</w:t>
      </w: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</w:p>
    <w:p w:rsidR="00347D46" w:rsidRPr="0022123B" w:rsidRDefault="00347D46" w:rsidP="00347D46">
      <w:pPr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>A Fedezeti ügyletek pozitív értékelési különbözete (követelés), és a Fedezeti ügyletek negatív értékelési különbözete (tartozás) sorokban a biztosítóintézet által kötött derivatív ügyletek időszak végi állományát kell szerepeltetni függetlenül attól, hogy azok mérlegben szereplő vagy mérlegen kívüli tételek.</w:t>
      </w:r>
    </w:p>
    <w:p w:rsidR="000A6D7A" w:rsidRDefault="00347D46" w:rsidP="00C93CDC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  <w:r w:rsidRPr="0022123B">
        <w:rPr>
          <w:rFonts w:ascii="Calibri" w:hAnsi="Calibri"/>
          <w:sz w:val="22"/>
          <w:szCs w:val="22"/>
        </w:rPr>
        <w:t xml:space="preserve">A fedezeti ügyleteket ügyletenként kiértékelve, ügyletenként nettózva kell közölni. Ennek értelmében a pozitív egyenlegű ügyleteket követelésként, míg a negatív egyenlegűeket a tartozásként kell jelenteni. </w:t>
      </w:r>
    </w:p>
    <w:p w:rsidR="006E2764" w:rsidRDefault="006E2764" w:rsidP="00C93CDC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</w:p>
    <w:p w:rsidR="009325F7" w:rsidRDefault="005D0851" w:rsidP="00C93CDC">
      <w:pPr>
        <w:pStyle w:val="BodyTextIndent"/>
        <w:spacing w:after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9325F7">
        <w:rPr>
          <w:rFonts w:ascii="Calibri" w:hAnsi="Calibri"/>
          <w:sz w:val="22"/>
          <w:szCs w:val="22"/>
        </w:rPr>
        <w:t xml:space="preserve"> VIII. Biztosítástechnikai tartalékok között </w:t>
      </w:r>
      <w:r>
        <w:rPr>
          <w:rFonts w:ascii="Calibri" w:hAnsi="Calibri"/>
          <w:sz w:val="22"/>
          <w:szCs w:val="22"/>
        </w:rPr>
        <w:t>jelentett</w:t>
      </w:r>
      <w:r w:rsidR="009325F7">
        <w:rPr>
          <w:rFonts w:ascii="Calibri" w:hAnsi="Calibri"/>
          <w:sz w:val="22"/>
          <w:szCs w:val="22"/>
        </w:rPr>
        <w:t xml:space="preserve">, életbiztosításokhoz (hagyományos és unit linked életbiztosítások) kapcsolódó biztosítástechnikai tartalékok bruttó összegéből </w:t>
      </w:r>
      <w:r>
        <w:rPr>
          <w:rFonts w:ascii="Calibri" w:hAnsi="Calibri"/>
          <w:sz w:val="22"/>
          <w:szCs w:val="22"/>
        </w:rPr>
        <w:t>ki kell emelni és tájékoztató adatként jelenteni kell a nyugdíjbiztosítási konstrukciókhoz kapcsolódó biztosítástechnikai tartalék összegét.</w:t>
      </w:r>
    </w:p>
    <w:sectPr w:rsidR="009325F7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5D8" w:rsidRDefault="004205D8" w:rsidP="00C828C7">
      <w:r>
        <w:separator/>
      </w:r>
    </w:p>
  </w:endnote>
  <w:endnote w:type="continuationSeparator" w:id="0">
    <w:p w:rsidR="004205D8" w:rsidRDefault="004205D8" w:rsidP="00C8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5D8" w:rsidRDefault="004205D8" w:rsidP="00C828C7">
      <w:r>
        <w:separator/>
      </w:r>
    </w:p>
  </w:footnote>
  <w:footnote w:type="continuationSeparator" w:id="0">
    <w:p w:rsidR="004205D8" w:rsidRDefault="004205D8" w:rsidP="00C8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7EA"/>
    <w:rsid w:val="0000394F"/>
    <w:rsid w:val="00025DB5"/>
    <w:rsid w:val="00071F51"/>
    <w:rsid w:val="00076833"/>
    <w:rsid w:val="000A6D7A"/>
    <w:rsid w:val="000D0183"/>
    <w:rsid w:val="000E7F29"/>
    <w:rsid w:val="000F2320"/>
    <w:rsid w:val="00126800"/>
    <w:rsid w:val="0013211D"/>
    <w:rsid w:val="00133CBC"/>
    <w:rsid w:val="00133DCB"/>
    <w:rsid w:val="00147445"/>
    <w:rsid w:val="001520B8"/>
    <w:rsid w:val="0016260E"/>
    <w:rsid w:val="00191B8D"/>
    <w:rsid w:val="001C3903"/>
    <w:rsid w:val="001C4964"/>
    <w:rsid w:val="001D49A1"/>
    <w:rsid w:val="001D7AFD"/>
    <w:rsid w:val="00204376"/>
    <w:rsid w:val="0022123B"/>
    <w:rsid w:val="00253A6E"/>
    <w:rsid w:val="00266BCF"/>
    <w:rsid w:val="00286C85"/>
    <w:rsid w:val="002A6D51"/>
    <w:rsid w:val="002B2648"/>
    <w:rsid w:val="002C3AF6"/>
    <w:rsid w:val="002C7A3F"/>
    <w:rsid w:val="002E644F"/>
    <w:rsid w:val="00330AA7"/>
    <w:rsid w:val="00347D46"/>
    <w:rsid w:val="00374F31"/>
    <w:rsid w:val="00377091"/>
    <w:rsid w:val="003A3404"/>
    <w:rsid w:val="003D6131"/>
    <w:rsid w:val="003E5144"/>
    <w:rsid w:val="003E76DF"/>
    <w:rsid w:val="00414D82"/>
    <w:rsid w:val="004205D8"/>
    <w:rsid w:val="00435885"/>
    <w:rsid w:val="004555EA"/>
    <w:rsid w:val="004C046B"/>
    <w:rsid w:val="004C0ABA"/>
    <w:rsid w:val="004F27CB"/>
    <w:rsid w:val="00560C10"/>
    <w:rsid w:val="00566FF1"/>
    <w:rsid w:val="005D0851"/>
    <w:rsid w:val="005D0C37"/>
    <w:rsid w:val="005E3FFE"/>
    <w:rsid w:val="00672E99"/>
    <w:rsid w:val="006E2764"/>
    <w:rsid w:val="006E712A"/>
    <w:rsid w:val="006F4255"/>
    <w:rsid w:val="006F5E1E"/>
    <w:rsid w:val="007105FB"/>
    <w:rsid w:val="00771000"/>
    <w:rsid w:val="00790404"/>
    <w:rsid w:val="007A5D15"/>
    <w:rsid w:val="007B48BD"/>
    <w:rsid w:val="007D03C5"/>
    <w:rsid w:val="007E065F"/>
    <w:rsid w:val="0081746B"/>
    <w:rsid w:val="00830F06"/>
    <w:rsid w:val="00846861"/>
    <w:rsid w:val="00857FAD"/>
    <w:rsid w:val="008F4766"/>
    <w:rsid w:val="0091515C"/>
    <w:rsid w:val="0092613F"/>
    <w:rsid w:val="009325F7"/>
    <w:rsid w:val="009644E7"/>
    <w:rsid w:val="009A526E"/>
    <w:rsid w:val="009C7E48"/>
    <w:rsid w:val="00A07116"/>
    <w:rsid w:val="00A147EA"/>
    <w:rsid w:val="00A159B9"/>
    <w:rsid w:val="00B2583B"/>
    <w:rsid w:val="00B42C66"/>
    <w:rsid w:val="00B644A2"/>
    <w:rsid w:val="00B801D0"/>
    <w:rsid w:val="00B961CB"/>
    <w:rsid w:val="00BB79CD"/>
    <w:rsid w:val="00BD3E85"/>
    <w:rsid w:val="00BE526C"/>
    <w:rsid w:val="00C01805"/>
    <w:rsid w:val="00C069C2"/>
    <w:rsid w:val="00C23861"/>
    <w:rsid w:val="00C50132"/>
    <w:rsid w:val="00C64E70"/>
    <w:rsid w:val="00C7216A"/>
    <w:rsid w:val="00C828C7"/>
    <w:rsid w:val="00C93CDC"/>
    <w:rsid w:val="00CE1B1D"/>
    <w:rsid w:val="00CE5523"/>
    <w:rsid w:val="00D05F0E"/>
    <w:rsid w:val="00D13CB2"/>
    <w:rsid w:val="00D420D2"/>
    <w:rsid w:val="00D868EC"/>
    <w:rsid w:val="00D86E1B"/>
    <w:rsid w:val="00DB04DB"/>
    <w:rsid w:val="00DF6E24"/>
    <w:rsid w:val="00E017F2"/>
    <w:rsid w:val="00E17034"/>
    <w:rsid w:val="00E368CC"/>
    <w:rsid w:val="00EB2CA1"/>
    <w:rsid w:val="00EC68B7"/>
    <w:rsid w:val="00EF3D7E"/>
    <w:rsid w:val="00F228DD"/>
    <w:rsid w:val="00F326D4"/>
    <w:rsid w:val="00F4279C"/>
    <w:rsid w:val="00F7035A"/>
    <w:rsid w:val="00F87EBA"/>
    <w:rsid w:val="00F90561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A2D228C-1F44-4835-A8DD-54AF04A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9C2"/>
    <w:rPr>
      <w:rFonts w:ascii="Garamond" w:hAnsi="Garamond"/>
      <w:sz w:val="24"/>
      <w:szCs w:val="24"/>
    </w:rPr>
  </w:style>
  <w:style w:type="paragraph" w:styleId="Heading2">
    <w:name w:val="heading 2"/>
    <w:basedOn w:val="Normal"/>
    <w:next w:val="Norma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1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147EA"/>
    <w:rPr>
      <w:sz w:val="16"/>
      <w:szCs w:val="16"/>
    </w:rPr>
  </w:style>
  <w:style w:type="paragraph" w:styleId="CommentText">
    <w:name w:val="annotation text"/>
    <w:basedOn w:val="Normal"/>
    <w:semiHidden/>
    <w:rsid w:val="00A147EA"/>
    <w:rPr>
      <w:sz w:val="20"/>
      <w:szCs w:val="20"/>
    </w:rPr>
  </w:style>
  <w:style w:type="paragraph" w:styleId="BalloonText">
    <w:name w:val="Balloon Text"/>
    <w:basedOn w:val="Normal"/>
    <w:semiHidden/>
    <w:rsid w:val="00A147EA"/>
    <w:rPr>
      <w:rFonts w:ascii="Tahoma" w:hAnsi="Tahoma" w:cs="Tahoma"/>
      <w:sz w:val="16"/>
      <w:szCs w:val="16"/>
    </w:rPr>
  </w:style>
  <w:style w:type="character" w:styleId="Hyperlink">
    <w:name w:val="Hyperlink"/>
    <w:rsid w:val="004C046B"/>
    <w:rPr>
      <w:color w:val="0000FF"/>
      <w:u w:val="single"/>
    </w:rPr>
  </w:style>
  <w:style w:type="paragraph" w:styleId="BodyText2">
    <w:name w:val="Body Text 2"/>
    <w:basedOn w:val="Normal"/>
    <w:rsid w:val="004C046B"/>
    <w:pPr>
      <w:jc w:val="both"/>
    </w:pPr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semiHidden/>
    <w:rsid w:val="000F2320"/>
    <w:rPr>
      <w:b/>
      <w:bCs/>
    </w:rPr>
  </w:style>
  <w:style w:type="character" w:styleId="FollowedHyperlink">
    <w:name w:val="FollowedHyperlink"/>
    <w:rsid w:val="00133DCB"/>
    <w:rPr>
      <w:color w:val="800080"/>
      <w:u w:val="single"/>
    </w:rPr>
  </w:style>
  <w:style w:type="paragraph" w:styleId="BodyTextIndent">
    <w:name w:val="Body Text Indent"/>
    <w:basedOn w:val="Normal"/>
    <w:rsid w:val="002C3AF6"/>
    <w:pPr>
      <w:spacing w:after="120"/>
      <w:ind w:left="283"/>
    </w:pPr>
  </w:style>
  <w:style w:type="paragraph" w:styleId="BodyText">
    <w:name w:val="Body Text"/>
    <w:basedOn w:val="Normal"/>
    <w:rsid w:val="00347D46"/>
    <w:pPr>
      <w:spacing w:after="120"/>
    </w:pPr>
  </w:style>
  <w:style w:type="paragraph" w:styleId="BodyText3">
    <w:name w:val="Body Text 3"/>
    <w:basedOn w:val="Normal"/>
    <w:rsid w:val="00347D46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1263</Words>
  <Characters>8718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subject/>
  <dc:creator>KŐrös Orsolya</dc:creator>
  <cp:keywords/>
  <dc:description/>
  <cp:lastModifiedBy>Adorján Andrea</cp:lastModifiedBy>
  <cp:revision>2</cp:revision>
  <dcterms:created xsi:type="dcterms:W3CDTF">2022-02-24T13:22:00Z</dcterms:created>
  <dcterms:modified xsi:type="dcterms:W3CDTF">2022-02-24T13:22:00Z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2019-10-15T14:33:18.8329102+02:00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2027-02-24T13:21:31Z</vt:filetime>
  </property>
  <property fmtid="{D5CDD505-2E9C-101B-9397-08002B2CF9AE}" pid="12" name="Érvényességet beállító">
    <vt:lpwstr>adorjana</vt:lpwstr>
  </property>
  <property fmtid="{D5CDD505-2E9C-101B-9397-08002B2CF9AE}" pid="13" name="Érvényességi idő első beállítása">
    <vt:filetime>2022-02-24T13:21:31Z</vt:filetime>
  </property>
</Properties>
</file>