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D28A" w14:textId="1204C107" w:rsidR="00C81460" w:rsidRPr="00FE1F95" w:rsidRDefault="00067C2E" w:rsidP="00116445">
      <w:pPr>
        <w:jc w:val="center"/>
        <w:rPr>
          <w:rFonts w:asciiTheme="minorHAnsi" w:hAnsiTheme="minorHAnsi" w:cstheme="minorHAnsi"/>
          <w:b/>
        </w:rPr>
      </w:pPr>
      <w:r w:rsidRPr="00FE1F95">
        <w:rPr>
          <w:rFonts w:asciiTheme="minorHAnsi" w:hAnsiTheme="minorHAnsi" w:cstheme="minorHAnsi"/>
          <w:b/>
        </w:rPr>
        <w:t>Methodological Notes</w:t>
      </w:r>
      <w:r w:rsidR="00DC3658" w:rsidRPr="00FE1F95">
        <w:rPr>
          <w:rFonts w:asciiTheme="minorHAnsi" w:hAnsiTheme="minorHAnsi" w:cstheme="minorHAnsi"/>
          <w:b/>
        </w:rPr>
        <w:t xml:space="preserve"> – </w:t>
      </w:r>
      <w:r w:rsidRPr="00FE1F95">
        <w:rPr>
          <w:rFonts w:asciiTheme="minorHAnsi" w:hAnsiTheme="minorHAnsi" w:cstheme="minorHAnsi"/>
          <w:b/>
        </w:rPr>
        <w:t>Deposit Register</w:t>
      </w:r>
      <w:r w:rsidR="00DC3658" w:rsidRPr="00FE1F95">
        <w:rPr>
          <w:rFonts w:asciiTheme="minorHAnsi" w:hAnsiTheme="minorHAnsi" w:cstheme="minorHAnsi"/>
          <w:b/>
        </w:rPr>
        <w:t xml:space="preserve"> (BETREG)</w:t>
      </w:r>
    </w:p>
    <w:sdt>
      <w:sdtPr>
        <w:rPr>
          <w:rFonts w:asciiTheme="minorHAnsi" w:eastAsiaTheme="minorHAnsi" w:hAnsiTheme="minorHAnsi" w:cstheme="minorHAnsi"/>
          <w:bCs w:val="0"/>
          <w:color w:val="auto"/>
          <w:sz w:val="20"/>
          <w:szCs w:val="20"/>
        </w:rPr>
        <w:id w:val="-1774862351"/>
        <w:docPartObj>
          <w:docPartGallery w:val="Table of Contents"/>
          <w:docPartUnique/>
        </w:docPartObj>
      </w:sdtPr>
      <w:sdtEndPr>
        <w:rPr>
          <w:b/>
        </w:rPr>
      </w:sdtEndPr>
      <w:sdtContent>
        <w:p w14:paraId="2DAF4168" w14:textId="315FCA54" w:rsidR="00F7786A" w:rsidRPr="00FE1F95" w:rsidRDefault="002D585B" w:rsidP="007950D7">
          <w:pPr>
            <w:pStyle w:val="Tartalomjegyzkcmsora"/>
            <w:jc w:val="center"/>
            <w:rPr>
              <w:rFonts w:asciiTheme="minorHAnsi" w:hAnsiTheme="minorHAnsi" w:cstheme="minorHAnsi"/>
              <w:sz w:val="20"/>
              <w:szCs w:val="20"/>
            </w:rPr>
          </w:pPr>
          <w:r w:rsidRPr="00FE1F95">
            <w:rPr>
              <w:rFonts w:asciiTheme="minorHAnsi" w:eastAsiaTheme="minorHAnsi" w:hAnsiTheme="minorHAnsi" w:cstheme="minorHAnsi"/>
              <w:bCs w:val="0"/>
              <w:color w:val="auto"/>
              <w:sz w:val="20"/>
              <w:szCs w:val="20"/>
            </w:rPr>
            <w:t xml:space="preserve">Table of </w:t>
          </w:r>
          <w:r w:rsidRPr="00FE1F95">
            <w:rPr>
              <w:rFonts w:asciiTheme="minorHAnsi" w:hAnsiTheme="minorHAnsi" w:cstheme="minorHAnsi"/>
              <w:sz w:val="20"/>
              <w:szCs w:val="20"/>
            </w:rPr>
            <w:t>Content</w:t>
          </w:r>
        </w:p>
        <w:p w14:paraId="197FDFCF" w14:textId="77777777" w:rsidR="00E63CF2" w:rsidRPr="00FE1F95" w:rsidRDefault="00E63CF2" w:rsidP="00116445">
          <w:pPr>
            <w:rPr>
              <w:rFonts w:asciiTheme="minorHAnsi" w:hAnsiTheme="minorHAnsi" w:cstheme="minorHAnsi"/>
            </w:rPr>
          </w:pPr>
        </w:p>
        <w:p w14:paraId="33B18B09" w14:textId="0CCF026E" w:rsidR="00C04F47" w:rsidRPr="00FE1F95" w:rsidRDefault="00F7786A">
          <w:pPr>
            <w:pStyle w:val="TJ1"/>
            <w:tabs>
              <w:tab w:val="right" w:leader="dot" w:pos="9514"/>
            </w:tabs>
            <w:rPr>
              <w:rFonts w:asciiTheme="minorHAnsi" w:hAnsiTheme="minorHAnsi" w:cstheme="minorHAnsi"/>
              <w:kern w:val="2"/>
              <w14:ligatures w14:val="standardContextual"/>
            </w:rPr>
          </w:pPr>
          <w:r w:rsidRPr="00FE1F95">
            <w:rPr>
              <w:rFonts w:asciiTheme="minorHAnsi" w:hAnsiTheme="minorHAnsi" w:cstheme="minorHAnsi"/>
            </w:rPr>
            <w:fldChar w:fldCharType="begin"/>
          </w:r>
          <w:r w:rsidRPr="00FE1F95">
            <w:rPr>
              <w:rFonts w:asciiTheme="minorHAnsi" w:hAnsiTheme="minorHAnsi" w:cstheme="minorHAnsi"/>
            </w:rPr>
            <w:instrText xml:space="preserve"> TOC \o "1-3" \h \z \u </w:instrText>
          </w:r>
          <w:r w:rsidRPr="00FE1F95">
            <w:rPr>
              <w:rFonts w:asciiTheme="minorHAnsi" w:hAnsiTheme="minorHAnsi" w:cstheme="minorHAnsi"/>
            </w:rPr>
            <w:fldChar w:fldCharType="separate"/>
          </w:r>
          <w:hyperlink w:anchor="_Toc229138435" w:history="1">
            <w:r w:rsidR="00C04F47" w:rsidRPr="00FE1F95">
              <w:rPr>
                <w:rStyle w:val="Hiperhivatkozs"/>
                <w:rFonts w:asciiTheme="minorHAnsi" w:hAnsiTheme="minorHAnsi" w:cstheme="minorHAnsi"/>
              </w:rPr>
              <w:t>1. detailed Instructions for completing individual tables</w:t>
            </w:r>
            <w:r w:rsidR="00C04F47" w:rsidRPr="00FE1F95">
              <w:rPr>
                <w:rFonts w:asciiTheme="minorHAnsi" w:hAnsiTheme="minorHAnsi" w:cstheme="minorHAnsi"/>
                <w:webHidden/>
              </w:rPr>
              <w:tab/>
            </w:r>
            <w:r w:rsidR="00C04F47" w:rsidRPr="00FE1F95">
              <w:rPr>
                <w:rFonts w:asciiTheme="minorHAnsi" w:hAnsiTheme="minorHAnsi" w:cstheme="minorHAnsi"/>
                <w:webHidden/>
              </w:rPr>
              <w:fldChar w:fldCharType="begin"/>
            </w:r>
            <w:r w:rsidR="00C04F47" w:rsidRPr="00FE1F95">
              <w:rPr>
                <w:rFonts w:asciiTheme="minorHAnsi" w:hAnsiTheme="minorHAnsi" w:cstheme="minorHAnsi"/>
                <w:webHidden/>
              </w:rPr>
              <w:instrText xml:space="preserve"> PAGEREF _Toc229138435 \h </w:instrText>
            </w:r>
            <w:r w:rsidR="00C04F47" w:rsidRPr="00FE1F95">
              <w:rPr>
                <w:rFonts w:asciiTheme="minorHAnsi" w:hAnsiTheme="minorHAnsi" w:cstheme="minorHAnsi"/>
                <w:webHidden/>
              </w:rPr>
            </w:r>
            <w:r w:rsidR="00C04F47" w:rsidRPr="00FE1F95">
              <w:rPr>
                <w:rFonts w:asciiTheme="minorHAnsi" w:hAnsiTheme="minorHAnsi" w:cstheme="minorHAnsi"/>
                <w:webHidden/>
              </w:rPr>
              <w:fldChar w:fldCharType="separate"/>
            </w:r>
            <w:r w:rsidR="00C04F47" w:rsidRPr="00FE1F95">
              <w:rPr>
                <w:rFonts w:asciiTheme="minorHAnsi" w:hAnsiTheme="minorHAnsi" w:cstheme="minorHAnsi"/>
                <w:webHidden/>
              </w:rPr>
              <w:t>2</w:t>
            </w:r>
            <w:r w:rsidR="00C04F47" w:rsidRPr="00FE1F95">
              <w:rPr>
                <w:rFonts w:asciiTheme="minorHAnsi" w:hAnsiTheme="minorHAnsi" w:cstheme="minorHAnsi"/>
                <w:webHidden/>
              </w:rPr>
              <w:fldChar w:fldCharType="end"/>
            </w:r>
          </w:hyperlink>
        </w:p>
        <w:p w14:paraId="3D2FA812" w14:textId="2A2765B3"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36" w:history="1">
            <w:r w:rsidRPr="00FE1F95">
              <w:rPr>
                <w:rStyle w:val="Hiperhivatkozs"/>
                <w:rFonts w:asciiTheme="minorHAnsi" w:hAnsiTheme="minorHAnsi" w:cstheme="minorHAnsi"/>
              </w:rPr>
              <w:t>1.1. Recognition of Data</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_Toc229138436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w:t>
            </w:r>
            <w:r w:rsidRPr="00FE1F95">
              <w:rPr>
                <w:rFonts w:asciiTheme="minorHAnsi" w:hAnsiTheme="minorHAnsi" w:cstheme="minorHAnsi"/>
                <w:webHidden/>
              </w:rPr>
              <w:fldChar w:fldCharType="end"/>
            </w:r>
          </w:hyperlink>
        </w:p>
        <w:p w14:paraId="684F7F2C" w14:textId="6154D0B9"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37" w:history="1">
            <w:r w:rsidRPr="00FE1F95">
              <w:rPr>
                <w:rStyle w:val="Hiperhivatkozs"/>
                <w:rFonts w:asciiTheme="minorHAnsi" w:hAnsiTheme="minorHAnsi" w:cstheme="minorHAnsi"/>
              </w:rPr>
              <w:t>1.2. Transactions Covered by the Data Collection and the Structure of the Data Model</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_Toc229138437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3</w:t>
            </w:r>
            <w:r w:rsidRPr="00FE1F95">
              <w:rPr>
                <w:rFonts w:asciiTheme="minorHAnsi" w:hAnsiTheme="minorHAnsi" w:cstheme="minorHAnsi"/>
                <w:webHidden/>
              </w:rPr>
              <w:fldChar w:fldCharType="end"/>
            </w:r>
          </w:hyperlink>
        </w:p>
        <w:p w14:paraId="4CCEA382" w14:textId="37E7D37B"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38" w:history="1">
            <w:r w:rsidRPr="00FE1F95">
              <w:rPr>
                <w:rStyle w:val="Hiperhivatkozs"/>
                <w:rFonts w:asciiTheme="minorHAnsi" w:hAnsiTheme="minorHAnsi" w:cstheme="minorHAnsi"/>
              </w:rPr>
              <w:t>1.3. Requirements for Completing the MEGF Table</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_Toc229138438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3</w:t>
            </w:r>
            <w:r w:rsidRPr="00FE1F95">
              <w:rPr>
                <w:rFonts w:asciiTheme="minorHAnsi" w:hAnsiTheme="minorHAnsi" w:cstheme="minorHAnsi"/>
                <w:webHidden/>
              </w:rPr>
              <w:fldChar w:fldCharType="end"/>
            </w:r>
          </w:hyperlink>
        </w:p>
        <w:p w14:paraId="2E639AFA" w14:textId="113F0D45"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39" w:history="1">
            <w:r w:rsidRPr="00FE1F95">
              <w:rPr>
                <w:rStyle w:val="Hiperhivatkozs"/>
                <w:rFonts w:asciiTheme="minorHAnsi" w:hAnsiTheme="minorHAnsi" w:cstheme="minorHAnsi"/>
              </w:rPr>
              <w:t>1.4. Requirements for Completing the INSTR_BET Table</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_Toc229138439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3</w:t>
            </w:r>
            <w:r w:rsidRPr="00FE1F95">
              <w:rPr>
                <w:rFonts w:asciiTheme="minorHAnsi" w:hAnsiTheme="minorHAnsi" w:cstheme="minorHAnsi"/>
                <w:webHidden/>
              </w:rPr>
              <w:fldChar w:fldCharType="end"/>
            </w:r>
          </w:hyperlink>
        </w:p>
        <w:p w14:paraId="3E3D401D" w14:textId="2B2459FE"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0" w:history="1">
            <w:r w:rsidRPr="00FE1F95">
              <w:rPr>
                <w:rStyle w:val="Hiperhivatkozs"/>
                <w:rFonts w:asciiTheme="minorHAnsi" w:hAnsiTheme="minorHAnsi" w:cstheme="minorHAnsi"/>
              </w:rPr>
              <w:t>1.5. Requirements for Completing the INSTR_FHIT Table</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_Toc229138440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9</w:t>
            </w:r>
            <w:r w:rsidRPr="00FE1F95">
              <w:rPr>
                <w:rFonts w:asciiTheme="minorHAnsi" w:hAnsiTheme="minorHAnsi" w:cstheme="minorHAnsi"/>
                <w:webHidden/>
              </w:rPr>
              <w:fldChar w:fldCharType="end"/>
            </w:r>
          </w:hyperlink>
        </w:p>
        <w:p w14:paraId="4ED16376" w14:textId="2637DC78"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1" w:history="1">
            <w:r w:rsidRPr="00FE1F95">
              <w:rPr>
                <w:rStyle w:val="Hiperhivatkozs"/>
                <w:rFonts w:asciiTheme="minorHAnsi" w:hAnsiTheme="minorHAnsi" w:cstheme="minorHAnsi"/>
              </w:rPr>
              <w:t>1.6. Requirements for Completing the TRAN Table</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_Toc229138441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13</w:t>
            </w:r>
            <w:r w:rsidRPr="00FE1F95">
              <w:rPr>
                <w:rFonts w:asciiTheme="minorHAnsi" w:hAnsiTheme="minorHAnsi" w:cstheme="minorHAnsi"/>
                <w:webHidden/>
              </w:rPr>
              <w:fldChar w:fldCharType="end"/>
            </w:r>
          </w:hyperlink>
        </w:p>
        <w:p w14:paraId="51E19848" w14:textId="6A48273D"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2" w:history="1">
            <w:r w:rsidRPr="00FE1F95">
              <w:rPr>
                <w:rStyle w:val="Hiperhivatkozs"/>
                <w:rFonts w:asciiTheme="minorHAnsi" w:hAnsiTheme="minorHAnsi" w:cstheme="minorHAnsi"/>
              </w:rPr>
              <w:t>1.7. Requirements for completing the customer</w:t>
            </w:r>
            <w:r w:rsidRPr="00FE1F95">
              <w:rPr>
                <w:rStyle w:val="Hiperhivatkozs"/>
                <w:rFonts w:ascii="Cambria Math" w:hAnsi="Cambria Math" w:cs="Cambria Math"/>
              </w:rPr>
              <w:t>‑</w:t>
            </w:r>
            <w:r w:rsidRPr="00FE1F95">
              <w:rPr>
                <w:rStyle w:val="Hiperhivatkozs"/>
                <w:rFonts w:asciiTheme="minorHAnsi" w:hAnsiTheme="minorHAnsi" w:cstheme="minorHAnsi"/>
              </w:rPr>
              <w:t>related tables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_Toc229138442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15</w:t>
            </w:r>
            <w:r w:rsidRPr="00FE1F95">
              <w:rPr>
                <w:rFonts w:asciiTheme="minorHAnsi" w:hAnsiTheme="minorHAnsi" w:cstheme="minorHAnsi"/>
                <w:webHidden/>
              </w:rPr>
              <w:fldChar w:fldCharType="end"/>
            </w:r>
          </w:hyperlink>
        </w:p>
        <w:p w14:paraId="569BEA01" w14:textId="08DBD7E5"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3" w:history="1">
            <w:r w:rsidRPr="00FE1F95">
              <w:rPr>
                <w:rStyle w:val="Hiperhivatkozs"/>
                <w:rFonts w:asciiTheme="minorHAnsi" w:hAnsiTheme="minorHAnsi" w:cstheme="minorHAnsi"/>
              </w:rPr>
              <w:t>1.8. Requirements for Completing the INST_UGYF_B Table</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_Toc229138443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18</w:t>
            </w:r>
            <w:r w:rsidRPr="00FE1F95">
              <w:rPr>
                <w:rFonts w:asciiTheme="minorHAnsi" w:hAnsiTheme="minorHAnsi" w:cstheme="minorHAnsi"/>
                <w:webHidden/>
              </w:rPr>
              <w:fldChar w:fldCharType="end"/>
            </w:r>
          </w:hyperlink>
        </w:p>
        <w:p w14:paraId="366D1F20" w14:textId="239698DC" w:rsidR="00C04F47" w:rsidRPr="00FE1F95" w:rsidRDefault="00C04F47">
          <w:pPr>
            <w:pStyle w:val="TJ1"/>
            <w:tabs>
              <w:tab w:val="right" w:leader="dot" w:pos="9514"/>
            </w:tabs>
            <w:rPr>
              <w:rFonts w:asciiTheme="minorHAnsi" w:hAnsiTheme="minorHAnsi" w:cstheme="minorHAnsi"/>
              <w:kern w:val="2"/>
              <w14:ligatures w14:val="standardContextual"/>
            </w:rPr>
          </w:pPr>
          <w:hyperlink w:anchor="_Toc229138444" w:history="1">
            <w:r w:rsidRPr="00FE1F95">
              <w:rPr>
                <w:rStyle w:val="Hiperhivatkozs"/>
                <w:rFonts w:asciiTheme="minorHAnsi" w:hAnsiTheme="minorHAnsi" w:cstheme="minorHAnsi"/>
              </w:rPr>
              <w:t>2. Specific reporting requirements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_Toc229138444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19</w:t>
            </w:r>
            <w:r w:rsidRPr="00FE1F95">
              <w:rPr>
                <w:rFonts w:asciiTheme="minorHAnsi" w:hAnsiTheme="minorHAnsi" w:cstheme="minorHAnsi"/>
                <w:webHidden/>
              </w:rPr>
              <w:fldChar w:fldCharType="end"/>
            </w:r>
          </w:hyperlink>
        </w:p>
        <w:p w14:paraId="134FE4A5" w14:textId="4E13DD7A"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5" w:history="1">
            <w:r w:rsidRPr="00FE1F95">
              <w:rPr>
                <w:rStyle w:val="Hiperhivatkozs"/>
                <w:rFonts w:asciiTheme="minorHAnsi" w:hAnsiTheme="minorHAnsi" w:cstheme="minorHAnsi"/>
              </w:rPr>
              <w:t>2.1. Reporting of new contracts in the INSTR_BET and INSTR_FHIT tables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_Toc229138445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19</w:t>
            </w:r>
            <w:r w:rsidRPr="00FE1F95">
              <w:rPr>
                <w:rFonts w:asciiTheme="minorHAnsi" w:hAnsiTheme="minorHAnsi" w:cstheme="minorHAnsi"/>
                <w:webHidden/>
              </w:rPr>
              <w:fldChar w:fldCharType="end"/>
            </w:r>
          </w:hyperlink>
        </w:p>
        <w:p w14:paraId="7B03557F" w14:textId="7293EE82"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6" w:history="1">
            <w:r w:rsidRPr="00FE1F95">
              <w:rPr>
                <w:rStyle w:val="Hiperhivatkozs"/>
                <w:rFonts w:asciiTheme="minorHAnsi" w:hAnsiTheme="minorHAnsi" w:cstheme="minorHAnsi"/>
              </w:rPr>
              <w:t>2.2. Reporting methodology for term deposits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_Toc229138446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23</w:t>
            </w:r>
            <w:r w:rsidRPr="00FE1F95">
              <w:rPr>
                <w:rFonts w:asciiTheme="minorHAnsi" w:hAnsiTheme="minorHAnsi" w:cstheme="minorHAnsi"/>
                <w:webHidden/>
              </w:rPr>
              <w:fldChar w:fldCharType="end"/>
            </w:r>
          </w:hyperlink>
        </w:p>
        <w:p w14:paraId="49F3D4E2" w14:textId="046CF8B7"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7" w:history="1">
            <w:r w:rsidRPr="00FE1F95">
              <w:rPr>
                <w:rStyle w:val="Hiperhivatkozs"/>
                <w:rFonts w:asciiTheme="minorHAnsi" w:hAnsiTheme="minorHAnsi" w:cstheme="minorHAnsi"/>
              </w:rPr>
              <w:t>2.3. Termination of Instruments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_Toc229138447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23</w:t>
            </w:r>
            <w:r w:rsidRPr="00FE1F95">
              <w:rPr>
                <w:rFonts w:asciiTheme="minorHAnsi" w:hAnsiTheme="minorHAnsi" w:cstheme="minorHAnsi"/>
                <w:webHidden/>
              </w:rPr>
              <w:fldChar w:fldCharType="end"/>
            </w:r>
          </w:hyperlink>
        </w:p>
        <w:p w14:paraId="2A3AC3BC" w14:textId="628C9D98"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8" w:history="1">
            <w:r w:rsidRPr="00FE1F95">
              <w:rPr>
                <w:rStyle w:val="Hiperhivatkozs"/>
                <w:rFonts w:asciiTheme="minorHAnsi" w:hAnsiTheme="minorHAnsi" w:cstheme="minorHAnsi"/>
              </w:rPr>
              <w:t>2.4. Reporting Method for Instruments under Fiduciary Trust Management</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_Toc229138448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24</w:t>
            </w:r>
            <w:r w:rsidRPr="00FE1F95">
              <w:rPr>
                <w:rFonts w:asciiTheme="minorHAnsi" w:hAnsiTheme="minorHAnsi" w:cstheme="minorHAnsi"/>
                <w:webHidden/>
              </w:rPr>
              <w:fldChar w:fldCharType="end"/>
            </w:r>
          </w:hyperlink>
        </w:p>
        <w:p w14:paraId="2B73D0C6" w14:textId="199D74EB"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49" w:history="1">
            <w:r w:rsidRPr="00FE1F95">
              <w:rPr>
                <w:rStyle w:val="Hiperhivatkozs"/>
                <w:rFonts w:asciiTheme="minorHAnsi" w:hAnsiTheme="minorHAnsi" w:cstheme="minorHAnsi"/>
              </w:rPr>
              <w:t>2.5. Reporting Method for Syndicated Loans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_Toc229138449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24</w:t>
            </w:r>
            <w:r w:rsidRPr="00FE1F95">
              <w:rPr>
                <w:rFonts w:asciiTheme="minorHAnsi" w:hAnsiTheme="minorHAnsi" w:cstheme="minorHAnsi"/>
                <w:webHidden/>
              </w:rPr>
              <w:fldChar w:fldCharType="end"/>
            </w:r>
          </w:hyperlink>
        </w:p>
        <w:p w14:paraId="151D0EBA" w14:textId="0169F76E"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50" w:history="1">
            <w:r w:rsidRPr="00FE1F95">
              <w:rPr>
                <w:rStyle w:val="Hiperhivatkozs"/>
                <w:rFonts w:asciiTheme="minorHAnsi" w:hAnsiTheme="minorHAnsi" w:cstheme="minorHAnsi"/>
              </w:rPr>
              <w:t>2.6. Reporting Method for Analytically Non</w:t>
            </w:r>
            <w:r w:rsidRPr="00FE1F95">
              <w:rPr>
                <w:rStyle w:val="Hiperhivatkozs"/>
                <w:rFonts w:asciiTheme="minorHAnsi" w:hAnsiTheme="minorHAnsi" w:cstheme="minorHAnsi"/>
              </w:rPr>
              <w:noBreakHyphen/>
              <w:t>Decomposable Positions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_Toc229138450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25</w:t>
            </w:r>
            <w:r w:rsidRPr="00FE1F95">
              <w:rPr>
                <w:rFonts w:asciiTheme="minorHAnsi" w:hAnsiTheme="minorHAnsi" w:cstheme="minorHAnsi"/>
                <w:webHidden/>
              </w:rPr>
              <w:fldChar w:fldCharType="end"/>
            </w:r>
          </w:hyperlink>
        </w:p>
        <w:p w14:paraId="16CAC466" w14:textId="67401EE3" w:rsidR="00C04F47" w:rsidRPr="00FE1F95" w:rsidRDefault="00C04F47">
          <w:pPr>
            <w:pStyle w:val="TJ1"/>
            <w:tabs>
              <w:tab w:val="right" w:leader="dot" w:pos="9514"/>
            </w:tabs>
            <w:rPr>
              <w:rFonts w:asciiTheme="minorHAnsi" w:hAnsiTheme="minorHAnsi" w:cstheme="minorHAnsi"/>
              <w:kern w:val="2"/>
              <w14:ligatures w14:val="standardContextual"/>
            </w:rPr>
          </w:pPr>
          <w:hyperlink w:anchor="_Toc229138451" w:history="1">
            <w:r w:rsidRPr="00FE1F95">
              <w:rPr>
                <w:rStyle w:val="Hiperhivatkozs"/>
                <w:rFonts w:asciiTheme="minorHAnsi" w:hAnsiTheme="minorHAnsi" w:cstheme="minorHAnsi"/>
              </w:rPr>
              <w:t>3. appendices</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_Toc229138451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26</w:t>
            </w:r>
            <w:r w:rsidRPr="00FE1F95">
              <w:rPr>
                <w:rFonts w:asciiTheme="minorHAnsi" w:hAnsiTheme="minorHAnsi" w:cstheme="minorHAnsi"/>
                <w:webHidden/>
              </w:rPr>
              <w:fldChar w:fldCharType="end"/>
            </w:r>
          </w:hyperlink>
        </w:p>
        <w:p w14:paraId="7BDD33D3" w14:textId="3F2275DD" w:rsidR="00C04F47" w:rsidRPr="00FE1F95" w:rsidRDefault="00C04F47">
          <w:pPr>
            <w:pStyle w:val="TJ2"/>
            <w:tabs>
              <w:tab w:val="right" w:leader="dot" w:pos="9514"/>
            </w:tabs>
            <w:rPr>
              <w:rFonts w:asciiTheme="minorHAnsi" w:hAnsiTheme="minorHAnsi" w:cstheme="minorHAnsi"/>
              <w:kern w:val="2"/>
              <w14:ligatures w14:val="standardContextual"/>
            </w:rPr>
          </w:pPr>
          <w:hyperlink w:anchor="_Toc229138452" w:history="1">
            <w:r w:rsidRPr="00FE1F95">
              <w:rPr>
                <w:rStyle w:val="Hiperhivatkozs"/>
                <w:rFonts w:asciiTheme="minorHAnsi" w:hAnsiTheme="minorHAnsi" w:cstheme="minorHAnsi"/>
                <w:bCs/>
              </w:rPr>
              <w:t>3.1.</w:t>
            </w:r>
            <w:r w:rsidRPr="00FE1F95">
              <w:rPr>
                <w:rStyle w:val="Hiperhivatkozs"/>
                <w:rFonts w:asciiTheme="minorHAnsi" w:hAnsiTheme="minorHAnsi" w:cstheme="minorHAnsi"/>
              </w:rPr>
              <w:t xml:space="preserve"> List of fields to be reported in the client tables by client quality classification category</w:t>
            </w:r>
            <w:r w:rsidRPr="00FE1F95">
              <w:rPr>
                <w:rFonts w:asciiTheme="minorHAnsi" w:hAnsiTheme="minorHAnsi" w:cstheme="minorHAnsi"/>
                <w:webHidden/>
              </w:rPr>
              <w:tab/>
            </w:r>
            <w:r w:rsidRPr="00FE1F95">
              <w:rPr>
                <w:rFonts w:asciiTheme="minorHAnsi" w:hAnsiTheme="minorHAnsi" w:cstheme="minorHAnsi"/>
                <w:webHidden/>
              </w:rPr>
              <w:fldChar w:fldCharType="begin"/>
            </w:r>
            <w:r w:rsidRPr="00FE1F95">
              <w:rPr>
                <w:rFonts w:asciiTheme="minorHAnsi" w:hAnsiTheme="minorHAnsi" w:cstheme="minorHAnsi"/>
                <w:webHidden/>
              </w:rPr>
              <w:instrText xml:space="preserve"> PAGEREF _Toc229138452 \h </w:instrText>
            </w:r>
            <w:r w:rsidRPr="00FE1F95">
              <w:rPr>
                <w:rFonts w:asciiTheme="minorHAnsi" w:hAnsiTheme="minorHAnsi" w:cstheme="minorHAnsi"/>
                <w:webHidden/>
              </w:rPr>
            </w:r>
            <w:r w:rsidRPr="00FE1F95">
              <w:rPr>
                <w:rFonts w:asciiTheme="minorHAnsi" w:hAnsiTheme="minorHAnsi" w:cstheme="minorHAnsi"/>
                <w:webHidden/>
              </w:rPr>
              <w:fldChar w:fldCharType="separate"/>
            </w:r>
            <w:r w:rsidRPr="00FE1F95">
              <w:rPr>
                <w:rFonts w:asciiTheme="minorHAnsi" w:hAnsiTheme="minorHAnsi" w:cstheme="minorHAnsi"/>
                <w:webHidden/>
              </w:rPr>
              <w:t>26</w:t>
            </w:r>
            <w:r w:rsidRPr="00FE1F95">
              <w:rPr>
                <w:rFonts w:asciiTheme="minorHAnsi" w:hAnsiTheme="minorHAnsi" w:cstheme="minorHAnsi"/>
                <w:webHidden/>
              </w:rPr>
              <w:fldChar w:fldCharType="end"/>
            </w:r>
          </w:hyperlink>
        </w:p>
        <w:p w14:paraId="376D10D1" w14:textId="701A1D63" w:rsidR="00F7786A" w:rsidRPr="00FE1F95" w:rsidRDefault="00F7786A" w:rsidP="00116445">
          <w:pPr>
            <w:rPr>
              <w:rFonts w:asciiTheme="minorHAnsi" w:hAnsiTheme="minorHAnsi" w:cstheme="minorHAnsi"/>
            </w:rPr>
          </w:pPr>
          <w:r w:rsidRPr="00FE1F95">
            <w:rPr>
              <w:rFonts w:asciiTheme="minorHAnsi" w:hAnsiTheme="minorHAnsi" w:cstheme="minorHAnsi"/>
              <w:b/>
              <w:bCs/>
            </w:rPr>
            <w:fldChar w:fldCharType="end"/>
          </w:r>
        </w:p>
      </w:sdtContent>
    </w:sdt>
    <w:p w14:paraId="2D73191C" w14:textId="5899507D" w:rsidR="00DC3658" w:rsidRPr="00FE1F95" w:rsidRDefault="00DC3658" w:rsidP="00116445">
      <w:pPr>
        <w:spacing w:after="0"/>
        <w:jc w:val="left"/>
        <w:rPr>
          <w:rFonts w:asciiTheme="minorHAnsi" w:hAnsiTheme="minorHAnsi" w:cstheme="minorHAnsi"/>
          <w:b/>
        </w:rPr>
      </w:pPr>
      <w:r w:rsidRPr="00FE1F95">
        <w:rPr>
          <w:rFonts w:asciiTheme="minorHAnsi" w:hAnsiTheme="minorHAnsi" w:cstheme="minorHAnsi"/>
          <w:b/>
        </w:rPr>
        <w:br w:type="page"/>
      </w:r>
    </w:p>
    <w:p w14:paraId="0CB1BA02" w14:textId="77777777" w:rsidR="00DC3658" w:rsidRPr="00FE1F95" w:rsidRDefault="00DC3658" w:rsidP="00116445">
      <w:pPr>
        <w:jc w:val="center"/>
        <w:rPr>
          <w:rFonts w:asciiTheme="minorHAnsi" w:hAnsiTheme="minorHAnsi" w:cstheme="minorHAnsi"/>
          <w:b/>
        </w:rPr>
      </w:pPr>
    </w:p>
    <w:p w14:paraId="717DF679" w14:textId="02C95FE8" w:rsidR="00C81460" w:rsidRPr="00FE1F95" w:rsidRDefault="00067C2E" w:rsidP="00116445">
      <w:pPr>
        <w:pStyle w:val="Cmsor1"/>
        <w:rPr>
          <w:rFonts w:asciiTheme="minorHAnsi" w:hAnsiTheme="minorHAnsi" w:cstheme="minorHAnsi"/>
          <w:sz w:val="20"/>
          <w:szCs w:val="20"/>
        </w:rPr>
      </w:pPr>
      <w:bookmarkStart w:id="0" w:name="_Toc229138435"/>
      <w:r w:rsidRPr="00FE1F95">
        <w:rPr>
          <w:rFonts w:asciiTheme="minorHAnsi" w:hAnsiTheme="minorHAnsi" w:cstheme="minorHAnsi"/>
          <w:sz w:val="20"/>
          <w:szCs w:val="20"/>
        </w:rPr>
        <w:t>detailed Instructions for completing individual tables</w:t>
      </w:r>
      <w:bookmarkEnd w:id="0"/>
    </w:p>
    <w:p w14:paraId="7EDB525E" w14:textId="77777777" w:rsidR="00067C2E" w:rsidRPr="00FE1F95" w:rsidRDefault="00067C2E" w:rsidP="00067C2E">
      <w:pPr>
        <w:rPr>
          <w:rFonts w:asciiTheme="minorHAnsi" w:hAnsiTheme="minorHAnsi" w:cstheme="minorHAnsi"/>
        </w:rPr>
      </w:pPr>
      <w:bookmarkStart w:id="1" w:name="_Toc520987546"/>
      <w:bookmarkStart w:id="2" w:name="_Toc526428454"/>
      <w:bookmarkStart w:id="3" w:name="_Toc526428504"/>
      <w:bookmarkStart w:id="4" w:name="_Toc526428533"/>
      <w:bookmarkStart w:id="5" w:name="_Toc526510053"/>
      <w:bookmarkStart w:id="6" w:name="_Toc529486516"/>
      <w:bookmarkStart w:id="7" w:name="_Toc529973892"/>
      <w:bookmarkStart w:id="8" w:name="_Hlk21091143"/>
      <w:bookmarkEnd w:id="1"/>
      <w:bookmarkEnd w:id="2"/>
      <w:bookmarkEnd w:id="3"/>
      <w:bookmarkEnd w:id="4"/>
      <w:bookmarkEnd w:id="5"/>
      <w:bookmarkEnd w:id="6"/>
      <w:bookmarkEnd w:id="7"/>
      <w:r w:rsidRPr="00FE1F95">
        <w:rPr>
          <w:rFonts w:asciiTheme="minorHAnsi" w:hAnsiTheme="minorHAnsi" w:cstheme="minorHAnsi"/>
        </w:rPr>
        <w:t xml:space="preserve">This methodological guideline is supplemented by the definitions published for each field in the Excel-format data model, as well as by the corporate/household flags included in the same document, which indicate whether a given field is applicable to corporate </w:t>
      </w:r>
      <w:proofErr w:type="spellStart"/>
      <w:r w:rsidRPr="00FE1F95">
        <w:rPr>
          <w:rFonts w:asciiTheme="minorHAnsi" w:hAnsiTheme="minorHAnsi" w:cstheme="minorHAnsi"/>
        </w:rPr>
        <w:t>entities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households</w:t>
      </w:r>
      <w:proofErr w:type="spellEnd"/>
      <w:r w:rsidRPr="00FE1F95">
        <w:rPr>
          <w:rFonts w:asciiTheme="minorHAnsi" w:hAnsiTheme="minorHAnsi" w:cstheme="minorHAnsi"/>
        </w:rPr>
        <w:t>: ‘L’ (</w:t>
      </w:r>
      <w:proofErr w:type="spellStart"/>
      <w:r w:rsidRPr="00FE1F95">
        <w:rPr>
          <w:rFonts w:asciiTheme="minorHAnsi" w:hAnsiTheme="minorHAnsi" w:cstheme="minorHAnsi"/>
        </w:rPr>
        <w:t>households</w:t>
      </w:r>
      <w:proofErr w:type="spellEnd"/>
      <w:r w:rsidRPr="00FE1F95">
        <w:rPr>
          <w:rFonts w:asciiTheme="minorHAnsi" w:hAnsiTheme="minorHAnsi" w:cstheme="minorHAnsi"/>
        </w:rPr>
        <w:t>), ‘</w:t>
      </w:r>
      <w:proofErr w:type="spellStart"/>
      <w:r w:rsidRPr="00FE1F95">
        <w:rPr>
          <w:rFonts w:asciiTheme="minorHAnsi" w:hAnsiTheme="minorHAnsi" w:cstheme="minorHAnsi"/>
        </w:rPr>
        <w:t>L_ÖV</w:t>
      </w:r>
      <w:proofErr w:type="spellEnd"/>
      <w:r w:rsidRPr="00FE1F95">
        <w:rPr>
          <w:rFonts w:asciiTheme="minorHAnsi" w:hAnsiTheme="minorHAnsi" w:cstheme="minorHAnsi"/>
        </w:rPr>
        <w:t>’ (</w:t>
      </w:r>
      <w:proofErr w:type="spellStart"/>
      <w:r w:rsidRPr="00FE1F95">
        <w:rPr>
          <w:rFonts w:asciiTheme="minorHAnsi" w:hAnsiTheme="minorHAnsi" w:cstheme="minorHAnsi"/>
        </w:rPr>
        <w:t>households</w:t>
      </w:r>
      <w:proofErr w:type="spellEnd"/>
      <w:r w:rsidRPr="00FE1F95">
        <w:rPr>
          <w:rFonts w:asciiTheme="minorHAnsi" w:hAnsiTheme="minorHAnsi" w:cstheme="minorHAnsi"/>
        </w:rPr>
        <w:t xml:space="preserve">, i.e. </w:t>
      </w:r>
      <w:proofErr w:type="spellStart"/>
      <w:r w:rsidRPr="00FE1F95">
        <w:rPr>
          <w:rFonts w:asciiTheme="minorHAnsi" w:hAnsiTheme="minorHAnsi" w:cstheme="minorHAnsi"/>
        </w:rPr>
        <w:t>households</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sole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proprietors</w:t>
      </w:r>
      <w:proofErr w:type="spellEnd"/>
      <w:r w:rsidRPr="00FE1F95">
        <w:rPr>
          <w:rFonts w:asciiTheme="minorHAnsi" w:hAnsiTheme="minorHAnsi" w:cstheme="minorHAnsi"/>
        </w:rPr>
        <w:t>), ‘ÖV’ (</w:t>
      </w:r>
      <w:proofErr w:type="spellStart"/>
      <w:r w:rsidRPr="00FE1F95">
        <w:rPr>
          <w:rFonts w:asciiTheme="minorHAnsi" w:hAnsiTheme="minorHAnsi" w:cstheme="minorHAnsi"/>
        </w:rPr>
        <w:t>sole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proprietors</w:t>
      </w:r>
      <w:proofErr w:type="spellEnd"/>
      <w:r w:rsidRPr="00FE1F95">
        <w:rPr>
          <w:rFonts w:asciiTheme="minorHAnsi" w:hAnsiTheme="minorHAnsi" w:cstheme="minorHAnsi"/>
        </w:rPr>
        <w:t>), ‘</w:t>
      </w:r>
      <w:proofErr w:type="spellStart"/>
      <w:r w:rsidRPr="00FE1F95">
        <w:rPr>
          <w:rFonts w:asciiTheme="minorHAnsi" w:hAnsiTheme="minorHAnsi" w:cstheme="minorHAnsi"/>
        </w:rPr>
        <w:t>V_ÖV</w:t>
      </w:r>
      <w:proofErr w:type="spellEnd"/>
      <w:r w:rsidRPr="00FE1F95">
        <w:rPr>
          <w:rFonts w:asciiTheme="minorHAnsi" w:hAnsiTheme="minorHAnsi" w:cstheme="minorHAnsi"/>
        </w:rPr>
        <w:t>’ (</w:t>
      </w:r>
      <w:proofErr w:type="spellStart"/>
      <w:r w:rsidRPr="00FE1F95">
        <w:rPr>
          <w:rFonts w:asciiTheme="minorHAnsi" w:hAnsiTheme="minorHAnsi" w:cstheme="minorHAnsi"/>
        </w:rPr>
        <w:t>corporate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entities</w:t>
      </w:r>
      <w:proofErr w:type="spellEnd"/>
      <w:r w:rsidRPr="00FE1F95">
        <w:rPr>
          <w:rFonts w:asciiTheme="minorHAnsi" w:hAnsiTheme="minorHAnsi" w:cstheme="minorHAnsi"/>
        </w:rPr>
        <w:t xml:space="preserve"> and sole </w:t>
      </w:r>
      <w:proofErr w:type="spellStart"/>
      <w:r w:rsidRPr="00FE1F95">
        <w:rPr>
          <w:rFonts w:asciiTheme="minorHAnsi" w:hAnsiTheme="minorHAnsi" w:cstheme="minorHAnsi"/>
        </w:rPr>
        <w:t>proprietors</w:t>
      </w:r>
      <w:proofErr w:type="spellEnd"/>
      <w:r w:rsidRPr="00FE1F95">
        <w:rPr>
          <w:rFonts w:asciiTheme="minorHAnsi" w:hAnsiTheme="minorHAnsi" w:cstheme="minorHAnsi"/>
        </w:rPr>
        <w:t>), ‘V’ (</w:t>
      </w:r>
      <w:proofErr w:type="spellStart"/>
      <w:r w:rsidRPr="00FE1F95">
        <w:rPr>
          <w:rFonts w:asciiTheme="minorHAnsi" w:hAnsiTheme="minorHAnsi" w:cstheme="minorHAnsi"/>
        </w:rPr>
        <w:t>corporate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entities</w:t>
      </w:r>
      <w:proofErr w:type="spellEnd"/>
      <w:r w:rsidRPr="00FE1F95">
        <w:rPr>
          <w:rFonts w:asciiTheme="minorHAnsi" w:hAnsiTheme="minorHAnsi" w:cstheme="minorHAnsi"/>
        </w:rPr>
        <w:t>), and ‘</w:t>
      </w:r>
      <w:proofErr w:type="spellStart"/>
      <w:r w:rsidRPr="00FE1F95">
        <w:rPr>
          <w:rFonts w:asciiTheme="minorHAnsi" w:hAnsiTheme="minorHAnsi" w:cstheme="minorHAnsi"/>
        </w:rPr>
        <w:t>L_ÖV_V</w:t>
      </w:r>
      <w:proofErr w:type="spellEnd"/>
      <w:r w:rsidRPr="00FE1F95">
        <w:rPr>
          <w:rFonts w:asciiTheme="minorHAnsi" w:hAnsiTheme="minorHAnsi" w:cstheme="minorHAnsi"/>
        </w:rPr>
        <w:t>’ (</w:t>
      </w:r>
      <w:proofErr w:type="spellStart"/>
      <w:r w:rsidRPr="00FE1F95">
        <w:rPr>
          <w:rFonts w:asciiTheme="minorHAnsi" w:hAnsiTheme="minorHAnsi" w:cstheme="minorHAnsi"/>
        </w:rPr>
        <w:t>households</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corporate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entities</w:t>
      </w:r>
      <w:proofErr w:type="spellEnd"/>
      <w:r w:rsidRPr="00FE1F95">
        <w:rPr>
          <w:rFonts w:asciiTheme="minorHAnsi" w:hAnsiTheme="minorHAnsi" w:cstheme="minorHAnsi"/>
        </w:rPr>
        <w:t>).</w:t>
      </w:r>
    </w:p>
    <w:p w14:paraId="3EF3E6CC" w14:textId="77777777" w:rsidR="00067C2E" w:rsidRPr="00FE1F95" w:rsidRDefault="00067C2E" w:rsidP="00067C2E">
      <w:pPr>
        <w:rPr>
          <w:rFonts w:asciiTheme="minorHAnsi" w:hAnsiTheme="minorHAnsi" w:cstheme="minorHAnsi"/>
        </w:rPr>
      </w:pPr>
      <w:r w:rsidRPr="00FE1F95">
        <w:rPr>
          <w:rFonts w:asciiTheme="minorHAnsi" w:hAnsiTheme="minorHAnsi" w:cstheme="minorHAnsi"/>
        </w:rPr>
        <w:t xml:space="preserve">The methodological guideline complements the published code lists as well as the definitions, and the general and detailed completion instructions set </w:t>
      </w:r>
      <w:proofErr w:type="gramStart"/>
      <w:r w:rsidRPr="00FE1F95">
        <w:rPr>
          <w:rFonts w:asciiTheme="minorHAnsi" w:hAnsiTheme="minorHAnsi" w:cstheme="minorHAnsi"/>
        </w:rPr>
        <w:t>out in</w:t>
      </w:r>
      <w:proofErr w:type="gramEnd"/>
      <w:r w:rsidRPr="00FE1F95">
        <w:rPr>
          <w:rFonts w:asciiTheme="minorHAnsi" w:hAnsiTheme="minorHAnsi" w:cstheme="minorHAnsi"/>
        </w:rPr>
        <w:t xml:space="preserve"> the Regulation.</w:t>
      </w:r>
    </w:p>
    <w:p w14:paraId="2DE9E352" w14:textId="77777777" w:rsidR="00067C2E" w:rsidRPr="00FE1F95" w:rsidRDefault="00067C2E" w:rsidP="00067C2E">
      <w:pPr>
        <w:rPr>
          <w:rFonts w:asciiTheme="minorHAnsi" w:hAnsiTheme="minorHAnsi" w:cstheme="minorHAnsi"/>
        </w:rPr>
      </w:pPr>
      <w:r w:rsidRPr="00FE1F95">
        <w:rPr>
          <w:rFonts w:asciiTheme="minorHAnsi" w:hAnsiTheme="minorHAnsi" w:cstheme="minorHAnsi"/>
        </w:rPr>
        <w:t xml:space="preserve">When compiling end-of-month outstanding balance data, the provisions of Sections 114/H (1) and (2)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Accounting </w:t>
      </w:r>
      <w:proofErr w:type="spellStart"/>
      <w:r w:rsidRPr="00FE1F95">
        <w:rPr>
          <w:rFonts w:asciiTheme="minorHAnsi" w:hAnsiTheme="minorHAnsi" w:cstheme="minorHAnsi"/>
        </w:rPr>
        <w:t>Act</w:t>
      </w:r>
      <w:proofErr w:type="spellEnd"/>
      <w:r w:rsidRPr="00FE1F95">
        <w:rPr>
          <w:rFonts w:asciiTheme="minorHAnsi" w:hAnsiTheme="minorHAnsi" w:cstheme="minorHAnsi"/>
        </w:rPr>
        <w:t xml:space="preserve"> (Számv. tv.) must be taken into account. The general ledger must be closed by incorporating corrections relating to the last day of the month; that is, similarly to statistical balance sheets and supervisory reporting, all items affecting the reference month that become known by at least the third business day following month-end, but have not yet been posted by month-end, must be taken into consideration.</w:t>
      </w:r>
    </w:p>
    <w:p w14:paraId="00C29803" w14:textId="77777777" w:rsidR="00067C2E" w:rsidRPr="00FE1F95" w:rsidRDefault="00067C2E" w:rsidP="00067C2E">
      <w:pPr>
        <w:rPr>
          <w:rFonts w:asciiTheme="minorHAnsi" w:hAnsiTheme="minorHAnsi" w:cstheme="minorHAnsi"/>
        </w:rPr>
      </w:pPr>
      <w:r w:rsidRPr="00FE1F95">
        <w:rPr>
          <w:rFonts w:asciiTheme="minorHAnsi" w:hAnsiTheme="minorHAnsi" w:cstheme="minorHAnsi"/>
        </w:rPr>
        <w:t xml:space="preserve">Fields defined as mandatory in the data model must be completed in all cases, while the completion requirement for conditionally </w:t>
      </w:r>
      <w:proofErr w:type="spellStart"/>
      <w:r w:rsidRPr="00FE1F95">
        <w:rPr>
          <w:rFonts w:asciiTheme="minorHAnsi" w:hAnsiTheme="minorHAnsi" w:cstheme="minorHAnsi"/>
        </w:rPr>
        <w:t>mandatory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depend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fulfillment</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certain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conditions</w:t>
      </w:r>
      <w:proofErr w:type="spellEnd"/>
      <w:r w:rsidRPr="00FE1F95">
        <w:rPr>
          <w:rFonts w:asciiTheme="minorHAnsi" w:hAnsiTheme="minorHAnsi" w:cstheme="minorHAnsi"/>
        </w:rPr>
        <w:t>. Accordingly, in order to determine whether a conditionally mandatory field must be completed, the provisions of the Regulation, the definitional requirements of the data model, the instructions contained in this document, and the rule set established for validation during submission must all be taken into account. Thus, in most cases, the “conditionally mandatory” designation does not mean that completion of the field is optional.</w:t>
      </w:r>
    </w:p>
    <w:p w14:paraId="444E48B0" w14:textId="77777777" w:rsidR="00067C2E" w:rsidRPr="00FE1F95" w:rsidRDefault="00067C2E" w:rsidP="00067C2E">
      <w:pPr>
        <w:rPr>
          <w:rFonts w:asciiTheme="minorHAnsi" w:hAnsiTheme="minorHAnsi" w:cstheme="minorHAnsi"/>
        </w:rPr>
      </w:pPr>
      <w:r w:rsidRPr="00FE1F95">
        <w:rPr>
          <w:rFonts w:asciiTheme="minorHAnsi" w:hAnsiTheme="minorHAnsi" w:cstheme="minorHAnsi"/>
        </w:rPr>
        <w:t>During the data acceptance process, these conditional mandatory requirements are checked by means of rules that may either prevent acceptance (so</w:t>
      </w:r>
      <w:r w:rsidRPr="00FE1F95">
        <w:rPr>
          <w:rFonts w:asciiTheme="minorHAnsi" w:hAnsiTheme="minorHAnsi" w:cstheme="minorHAnsi"/>
        </w:rPr>
        <w:noBreakHyphen/>
        <w:t>called blocking rules) or generate non</w:t>
      </w:r>
      <w:r w:rsidRPr="00FE1F95">
        <w:rPr>
          <w:rFonts w:asciiTheme="minorHAnsi" w:hAnsiTheme="minorHAnsi" w:cstheme="minorHAnsi"/>
        </w:rPr>
        <w:noBreakHyphen/>
        <w:t>blocking alerts (so</w:t>
      </w:r>
      <w:r w:rsidRPr="00FE1F95">
        <w:rPr>
          <w:rFonts w:asciiTheme="minorHAnsi" w:hAnsiTheme="minorHAnsi" w:cstheme="minorHAnsi"/>
        </w:rPr>
        <w:noBreakHyphen/>
        <w:t xml:space="preserve">called warning rules). Compliance with warning rules is just as mandatory as compliance with blocking rules, unless </w:t>
      </w:r>
      <w:proofErr w:type="gramStart"/>
      <w:r w:rsidRPr="00FE1F95">
        <w:rPr>
          <w:rFonts w:asciiTheme="minorHAnsi" w:hAnsiTheme="minorHAnsi" w:cstheme="minorHAnsi"/>
        </w:rPr>
        <w:t>non-compliance</w:t>
      </w:r>
      <w:proofErr w:type="gramEnd"/>
      <w:r w:rsidRPr="00FE1F95">
        <w:rPr>
          <w:rFonts w:asciiTheme="minorHAnsi" w:hAnsiTheme="minorHAnsi" w:cstheme="minorHAnsi"/>
        </w:rPr>
        <w:t xml:space="preserve"> with a warning rule can be justified by a specific business process. In such cases, users must be informed of the business justification via the email address betreg@mnb.hu or as part of a response to a STEFI task. Only in these cases will the justification be taken into </w:t>
      </w:r>
      <w:proofErr w:type="gramStart"/>
      <w:r w:rsidRPr="00FE1F95">
        <w:rPr>
          <w:rFonts w:asciiTheme="minorHAnsi" w:hAnsiTheme="minorHAnsi" w:cstheme="minorHAnsi"/>
        </w:rPr>
        <w:t>account in</w:t>
      </w:r>
      <w:proofErr w:type="gramEnd"/>
      <w:r w:rsidRPr="00FE1F95">
        <w:rPr>
          <w:rFonts w:asciiTheme="minorHAnsi" w:hAnsiTheme="minorHAnsi" w:cstheme="minorHAnsi"/>
        </w:rPr>
        <w:t xml:space="preserve"> the data quality assurance process.</w:t>
      </w:r>
    </w:p>
    <w:p w14:paraId="0A47581E" w14:textId="77777777" w:rsidR="00067C2E" w:rsidRPr="00FE1F95" w:rsidRDefault="00067C2E" w:rsidP="00067C2E">
      <w:pPr>
        <w:rPr>
          <w:rFonts w:asciiTheme="minorHAnsi" w:hAnsiTheme="minorHAnsi" w:cstheme="minorHAnsi"/>
        </w:rPr>
      </w:pPr>
      <w:r w:rsidRPr="00FE1F95">
        <w:rPr>
          <w:rFonts w:asciiTheme="minorHAnsi" w:hAnsiTheme="minorHAnsi" w:cstheme="minorHAnsi"/>
        </w:rPr>
        <w:t>Unless otherwise specified, the provisions applicable to data services with identifier code M04/K04 shall apply to this data collection.</w:t>
      </w:r>
    </w:p>
    <w:p w14:paraId="6E0C1D1C" w14:textId="77777777" w:rsidR="00067C2E" w:rsidRPr="00FE1F95" w:rsidRDefault="00067C2E" w:rsidP="00067C2E">
      <w:pPr>
        <w:rPr>
          <w:rFonts w:asciiTheme="minorHAnsi" w:hAnsiTheme="minorHAnsi" w:cstheme="minorHAnsi"/>
        </w:rPr>
      </w:pPr>
      <w:r w:rsidRPr="00FE1F95">
        <w:rPr>
          <w:rFonts w:asciiTheme="minorHAnsi" w:hAnsiTheme="minorHAnsi" w:cstheme="minorHAnsi"/>
        </w:rPr>
        <w:t>For fields where reporting with two decimal places is defined, data providers may report accordingly. If data are stored with decimal places in the data provider’s systems, reporting with decimal places is expected in BETREG as well. This option is available retroactively for all datasets; that is, the use of decimal places is also permitted for retrospective amendments.</w:t>
      </w:r>
    </w:p>
    <w:p w14:paraId="5EA4D3AC" w14:textId="77777777" w:rsidR="00067C2E" w:rsidRPr="00FE1F95" w:rsidRDefault="00067C2E" w:rsidP="009C2438">
      <w:pPr>
        <w:rPr>
          <w:rFonts w:asciiTheme="minorHAnsi" w:hAnsiTheme="minorHAnsi" w:cstheme="minorHAnsi"/>
        </w:rPr>
      </w:pPr>
    </w:p>
    <w:p w14:paraId="1B288F60" w14:textId="2DD0E8B5" w:rsidR="00C81460" w:rsidRPr="00FE1F95" w:rsidRDefault="0023072B" w:rsidP="00116445">
      <w:pPr>
        <w:pStyle w:val="Cmsor2"/>
        <w:rPr>
          <w:rFonts w:asciiTheme="minorHAnsi" w:hAnsiTheme="minorHAnsi" w:cstheme="minorHAnsi"/>
          <w:sz w:val="20"/>
          <w:szCs w:val="20"/>
        </w:rPr>
      </w:pPr>
      <w:bookmarkStart w:id="9" w:name="_Toc229138436"/>
      <w:bookmarkStart w:id="10" w:name="_Hlk19024490"/>
      <w:bookmarkEnd w:id="8"/>
      <w:r w:rsidRPr="00FE1F95">
        <w:rPr>
          <w:rFonts w:asciiTheme="minorHAnsi" w:hAnsiTheme="minorHAnsi" w:cstheme="minorHAnsi"/>
          <w:sz w:val="20"/>
          <w:szCs w:val="20"/>
        </w:rPr>
        <w:t xml:space="preserve">Recognition of </w:t>
      </w:r>
      <w:r w:rsidR="001C5E84" w:rsidRPr="00FE1F95">
        <w:rPr>
          <w:rFonts w:asciiTheme="minorHAnsi" w:hAnsiTheme="minorHAnsi" w:cstheme="minorHAnsi"/>
          <w:sz w:val="20"/>
          <w:szCs w:val="20"/>
        </w:rPr>
        <w:t>D</w:t>
      </w:r>
      <w:r w:rsidRPr="00FE1F95">
        <w:rPr>
          <w:rFonts w:asciiTheme="minorHAnsi" w:hAnsiTheme="minorHAnsi" w:cstheme="minorHAnsi"/>
          <w:sz w:val="20"/>
          <w:szCs w:val="20"/>
        </w:rPr>
        <w:t>ata</w:t>
      </w:r>
      <w:bookmarkEnd w:id="9"/>
    </w:p>
    <w:p w14:paraId="41B1669C" w14:textId="77777777" w:rsidR="0023072B" w:rsidRPr="00FE1F95" w:rsidRDefault="0023072B" w:rsidP="0023072B">
      <w:pPr>
        <w:pStyle w:val="NormlWeb"/>
        <w:spacing w:before="0" w:beforeAutospacing="0" w:after="0" w:afterAutospacing="0" w:line="276" w:lineRule="auto"/>
        <w:rPr>
          <w:rFonts w:asciiTheme="minorHAnsi" w:eastAsiaTheme="minorHAnsi" w:hAnsiTheme="minorHAnsi" w:cstheme="minorHAnsi"/>
          <w:color w:val="000000" w:themeColor="text1"/>
          <w:sz w:val="20"/>
          <w:szCs w:val="20"/>
        </w:rPr>
      </w:pPr>
      <w:bookmarkStart w:id="11" w:name="_Hlk167885314"/>
      <w:r w:rsidRPr="00FE1F95">
        <w:rPr>
          <w:rFonts w:asciiTheme="minorHAnsi" w:eastAsiaTheme="minorHAnsi" w:hAnsiTheme="minorHAnsi" w:cstheme="minorHAnsi"/>
          <w:color w:val="000000" w:themeColor="text1"/>
          <w:sz w:val="20"/>
          <w:szCs w:val="20"/>
        </w:rPr>
        <w:t>Unless otherwise provided for in this methodological guideline, value data must be reported in the original currency (as specified in the related currency field). Accordingly, amounts recorded in foreign currency must be reported in that foreign currency and not converted into Hungarian forints.</w:t>
      </w:r>
    </w:p>
    <w:p w14:paraId="4B3BEBC4" w14:textId="77777777" w:rsidR="0023072B" w:rsidRPr="00FE1F95" w:rsidRDefault="0023072B" w:rsidP="0023072B">
      <w:pPr>
        <w:pStyle w:val="NormlWeb"/>
        <w:spacing w:before="0" w:beforeAutospacing="0" w:after="0" w:afterAutospacing="0" w:line="276" w:lineRule="auto"/>
        <w:rPr>
          <w:rFonts w:asciiTheme="minorHAnsi" w:eastAsiaTheme="minorHAnsi" w:hAnsiTheme="minorHAnsi" w:cstheme="minorHAnsi"/>
          <w:color w:val="000000" w:themeColor="text1"/>
          <w:sz w:val="20"/>
          <w:szCs w:val="20"/>
        </w:rPr>
      </w:pPr>
    </w:p>
    <w:p w14:paraId="4DBA4583" w14:textId="77777777" w:rsidR="0023072B" w:rsidRPr="00FE1F95" w:rsidRDefault="0023072B" w:rsidP="0023072B">
      <w:pPr>
        <w:pStyle w:val="NormlWeb"/>
        <w:spacing w:before="0" w:beforeAutospacing="0" w:after="0" w:afterAutospacing="0" w:line="276" w:lineRule="auto"/>
        <w:rPr>
          <w:rFonts w:asciiTheme="minorHAnsi" w:eastAsiaTheme="minorHAnsi" w:hAnsiTheme="minorHAnsi" w:cstheme="minorHAnsi"/>
          <w:color w:val="000000" w:themeColor="text1"/>
          <w:sz w:val="20"/>
          <w:szCs w:val="20"/>
        </w:rPr>
      </w:pPr>
      <w:r w:rsidRPr="00FE1F95">
        <w:rPr>
          <w:rFonts w:asciiTheme="minorHAnsi" w:eastAsiaTheme="minorHAnsi" w:hAnsiTheme="minorHAnsi" w:cstheme="minorHAnsi"/>
          <w:color w:val="000000" w:themeColor="text1"/>
          <w:sz w:val="20"/>
          <w:szCs w:val="20"/>
        </w:rPr>
        <w:t>In percentage fields, data providers are required to report values within the range of 0.0000 to 100.0000. That is, if a field is to contain a value of 30%, it must be reported in the given field in the format 30.0000.</w:t>
      </w:r>
    </w:p>
    <w:p w14:paraId="79903B93" w14:textId="77777777" w:rsidR="0023072B" w:rsidRPr="00FE1F95" w:rsidRDefault="0023072B" w:rsidP="00116445">
      <w:pPr>
        <w:pStyle w:val="NormlWeb"/>
        <w:spacing w:before="0" w:beforeAutospacing="0" w:after="0" w:afterAutospacing="0" w:line="276" w:lineRule="auto"/>
        <w:rPr>
          <w:rFonts w:asciiTheme="minorHAnsi" w:eastAsiaTheme="minorHAnsi" w:hAnsiTheme="minorHAnsi" w:cstheme="minorHAnsi"/>
          <w:sz w:val="20"/>
          <w:szCs w:val="20"/>
        </w:rPr>
      </w:pPr>
    </w:p>
    <w:p w14:paraId="67296315" w14:textId="77777777" w:rsidR="00E63181" w:rsidRPr="00FE1F95" w:rsidRDefault="00E63181" w:rsidP="00116445">
      <w:pPr>
        <w:pStyle w:val="NormlWeb"/>
        <w:spacing w:before="0" w:beforeAutospacing="0" w:after="0" w:afterAutospacing="0" w:line="276" w:lineRule="auto"/>
        <w:rPr>
          <w:rFonts w:asciiTheme="minorHAnsi" w:eastAsiaTheme="minorHAnsi" w:hAnsiTheme="minorHAnsi" w:cstheme="minorHAnsi"/>
          <w:sz w:val="20"/>
          <w:szCs w:val="20"/>
        </w:rPr>
      </w:pPr>
    </w:p>
    <w:p w14:paraId="0CB41CBF" w14:textId="77777777" w:rsidR="00E63181" w:rsidRPr="00FE1F95" w:rsidRDefault="00E63181" w:rsidP="00116445">
      <w:pPr>
        <w:pStyle w:val="NormlWeb"/>
        <w:spacing w:before="0" w:beforeAutospacing="0" w:after="0" w:afterAutospacing="0" w:line="276" w:lineRule="auto"/>
        <w:rPr>
          <w:rFonts w:asciiTheme="minorHAnsi" w:eastAsiaTheme="minorHAnsi" w:hAnsiTheme="minorHAnsi" w:cstheme="minorHAnsi"/>
          <w:sz w:val="20"/>
          <w:szCs w:val="20"/>
        </w:rPr>
      </w:pPr>
    </w:p>
    <w:p w14:paraId="4826787F" w14:textId="77777777" w:rsidR="00E63181" w:rsidRPr="00FE1F95" w:rsidRDefault="00E63181" w:rsidP="00116445">
      <w:pPr>
        <w:pStyle w:val="NormlWeb"/>
        <w:spacing w:before="0" w:beforeAutospacing="0" w:after="0" w:afterAutospacing="0" w:line="276" w:lineRule="auto"/>
        <w:rPr>
          <w:rFonts w:asciiTheme="minorHAnsi" w:eastAsiaTheme="minorHAnsi" w:hAnsiTheme="minorHAnsi" w:cstheme="minorHAnsi"/>
          <w:sz w:val="20"/>
          <w:szCs w:val="20"/>
        </w:rPr>
      </w:pPr>
    </w:p>
    <w:p w14:paraId="6E8B9330" w14:textId="77E477AF" w:rsidR="001C5E84" w:rsidRPr="00FE1F95" w:rsidRDefault="001C5E84" w:rsidP="001C5E84">
      <w:pPr>
        <w:pStyle w:val="Cmsor2"/>
        <w:rPr>
          <w:rFonts w:asciiTheme="minorHAnsi" w:hAnsiTheme="minorHAnsi" w:cstheme="minorHAnsi"/>
          <w:sz w:val="20"/>
          <w:szCs w:val="20"/>
        </w:rPr>
      </w:pPr>
      <w:bookmarkStart w:id="12" w:name="_Toc229138437"/>
      <w:bookmarkEnd w:id="11"/>
      <w:r w:rsidRPr="00FE1F95">
        <w:rPr>
          <w:rFonts w:asciiTheme="minorHAnsi" w:hAnsiTheme="minorHAnsi" w:cstheme="minorHAnsi"/>
          <w:sz w:val="20"/>
          <w:szCs w:val="20"/>
        </w:rPr>
        <w:t>Transactions Covered by the Data Collection and the Structure of the Data Model</w:t>
      </w:r>
      <w:bookmarkEnd w:id="12"/>
    </w:p>
    <w:p w14:paraId="6CE603FF" w14:textId="77777777" w:rsidR="001C5E84" w:rsidRPr="00FE1F95" w:rsidRDefault="001C5E84" w:rsidP="001C5E84">
      <w:pPr>
        <w:rPr>
          <w:rFonts w:asciiTheme="minorHAnsi" w:hAnsiTheme="minorHAnsi" w:cstheme="minorHAnsi"/>
        </w:rPr>
      </w:pPr>
      <w:r w:rsidRPr="00FE1F95">
        <w:rPr>
          <w:rFonts w:asciiTheme="minorHAnsi" w:hAnsiTheme="minorHAnsi" w:cstheme="minorHAnsi"/>
        </w:rPr>
        <w:t xml:space="preserve">Within the BETREG data collection, the following items must be reported irrespective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sector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counterparty</w:t>
      </w:r>
      <w:proofErr w:type="spellEnd"/>
      <w:r w:rsidRPr="00FE1F95">
        <w:rPr>
          <w:rFonts w:asciiTheme="minorHAnsi" w:hAnsiTheme="minorHAnsi" w:cstheme="minorHAnsi"/>
        </w:rPr>
        <w:t>(</w:t>
      </w:r>
      <w:proofErr w:type="spellStart"/>
      <w:r w:rsidRPr="00FE1F95">
        <w:rPr>
          <w:rFonts w:asciiTheme="minorHAnsi" w:hAnsiTheme="minorHAnsi" w:cstheme="minorHAnsi"/>
        </w:rPr>
        <w:t>ies</w:t>
      </w:r>
      <w:proofErr w:type="spellEnd"/>
      <w:r w:rsidRPr="00FE1F95">
        <w:rPr>
          <w:rFonts w:asciiTheme="minorHAnsi" w:hAnsiTheme="minorHAnsi" w:cstheme="minorHAnsi"/>
        </w:rPr>
        <w:t>) (i.e. all sectors are reportable): credit lines received by the data provider, loans drawn down, deposits placed with the data provider (including off</w:t>
      </w:r>
      <w:r w:rsidRPr="00FE1F95">
        <w:rPr>
          <w:rFonts w:asciiTheme="minorHAnsi" w:hAnsiTheme="minorHAnsi" w:cstheme="minorHAnsi"/>
        </w:rPr>
        <w:noBreakHyphen/>
        <w:t>balance</w:t>
      </w:r>
      <w:r w:rsidRPr="00FE1F95">
        <w:rPr>
          <w:rFonts w:asciiTheme="minorHAnsi" w:hAnsiTheme="minorHAnsi" w:cstheme="minorHAnsi"/>
        </w:rPr>
        <w:noBreakHyphen/>
        <w:t>sheet term deposits), as well as liabilities arising from repo transactions.</w:t>
      </w:r>
    </w:p>
    <w:p w14:paraId="4F34515C" w14:textId="77777777" w:rsidR="001C5E84" w:rsidRPr="00FE1F95" w:rsidRDefault="001C5E84" w:rsidP="001C5E84">
      <w:pPr>
        <w:rPr>
          <w:rFonts w:asciiTheme="minorHAnsi" w:hAnsiTheme="minorHAnsi" w:cstheme="minorHAnsi"/>
        </w:rPr>
      </w:pPr>
      <w:r w:rsidRPr="00FE1F95">
        <w:rPr>
          <w:rFonts w:asciiTheme="minorHAnsi" w:hAnsiTheme="minorHAnsi" w:cstheme="minorHAnsi"/>
        </w:rPr>
        <w:t>The data model includes instrument tables for deposit products on the one hand, and for loans drawn down and repo liabilities on the other, as well as a table for monitoring transactions, customer tables, and a customer–instrument linking table. The classification by instrument type must remain unchanged over the lifetime of the transaction. Exceptions are limited to cases where the applicable provisions governing the categorisation of the relevant instruments allow for or explicitly require a change in classification. Consequently, the failure to settle a transaction by its maturity date, or the accounting reclassification of a liability into the “held for sale” category, must not in itself result in a change to the instrument category.</w:t>
      </w:r>
    </w:p>
    <w:p w14:paraId="25221CDA" w14:textId="77777777" w:rsidR="001C5E84" w:rsidRPr="00FE1F95" w:rsidRDefault="001C5E84" w:rsidP="001C5E84">
      <w:pPr>
        <w:rPr>
          <w:rFonts w:asciiTheme="minorHAnsi" w:hAnsiTheme="minorHAnsi" w:cstheme="minorHAnsi"/>
        </w:rPr>
      </w:pPr>
      <w:r w:rsidRPr="00FE1F95">
        <w:rPr>
          <w:rFonts w:asciiTheme="minorHAnsi" w:hAnsiTheme="minorHAnsi" w:cstheme="minorHAnsi"/>
        </w:rPr>
        <w:t>For data providers operating in the form of housing savings banks, the reporting of state subsidies must be consistent with accounting records and the M04 data collection. Accordingly, drawn state subsidies must be recognised as deposits for as long as they are reported as deposits in the M04 return.</w:t>
      </w:r>
    </w:p>
    <w:p w14:paraId="28B99649" w14:textId="77777777" w:rsidR="001C5E84" w:rsidRPr="00FE1F95" w:rsidRDefault="001C5E84" w:rsidP="001C5E84">
      <w:pPr>
        <w:rPr>
          <w:rFonts w:asciiTheme="minorHAnsi" w:hAnsiTheme="minorHAnsi" w:cstheme="minorHAnsi"/>
        </w:rPr>
      </w:pPr>
      <w:r w:rsidRPr="00FE1F95">
        <w:rPr>
          <w:rFonts w:asciiTheme="minorHAnsi" w:hAnsiTheme="minorHAnsi" w:cstheme="minorHAnsi"/>
        </w:rPr>
        <w:t xml:space="preserve">Where an overpayment or prepayment occurs in respect of a customer’s liabilities, the resulting obligation must be reported as an overnight or current account deposit in </w:t>
      </w:r>
      <w:proofErr w:type="spellStart"/>
      <w:r w:rsidRPr="00FE1F95">
        <w:rPr>
          <w:rFonts w:asciiTheme="minorHAnsi" w:hAnsiTheme="minorHAnsi" w:cstheme="minorHAnsi"/>
        </w:rPr>
        <w:t>BETREG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BET_KOT_HITSZLA</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well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in the M04 data </w:t>
      </w:r>
      <w:proofErr w:type="spellStart"/>
      <w:r w:rsidRPr="00FE1F95">
        <w:rPr>
          <w:rFonts w:asciiTheme="minorHAnsi" w:hAnsiTheme="minorHAnsi" w:cstheme="minorHAnsi"/>
        </w:rPr>
        <w:t>collection</w:t>
      </w:r>
      <w:proofErr w:type="spellEnd"/>
      <w:r w:rsidRPr="00FE1F95">
        <w:rPr>
          <w:rFonts w:asciiTheme="minorHAnsi" w:hAnsiTheme="minorHAnsi" w:cstheme="minorHAnsi"/>
        </w:rPr>
        <w:t xml:space="preserve"> </w:t>
      </w:r>
      <w:proofErr w:type="gramStart"/>
      <w:r w:rsidRPr="00FE1F95">
        <w:rPr>
          <w:rFonts w:asciiTheme="minorHAnsi" w:hAnsiTheme="minorHAnsi" w:cstheme="minorHAnsi"/>
        </w:rPr>
        <w:t>and in</w:t>
      </w:r>
      <w:proofErr w:type="gram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FINREP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tables</w:t>
      </w:r>
      <w:proofErr w:type="spellEnd"/>
      <w:r w:rsidRPr="00FE1F95">
        <w:rPr>
          <w:rFonts w:asciiTheme="minorHAnsi" w:hAnsiTheme="minorHAnsi" w:cstheme="minorHAnsi"/>
        </w:rPr>
        <w:t xml:space="preserve">. In BETREG, such items must be reported in accordance with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same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logic</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HITREG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FOLY_HIT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that</w:t>
      </w:r>
      <w:proofErr w:type="spellEnd"/>
      <w:r w:rsidRPr="00FE1F95">
        <w:rPr>
          <w:rFonts w:asciiTheme="minorHAnsi" w:hAnsiTheme="minorHAnsi" w:cstheme="minorHAnsi"/>
        </w:rPr>
        <w:t xml:space="preserve"> is, </w:t>
      </w:r>
      <w:proofErr w:type="spellStart"/>
      <w:r w:rsidRPr="00FE1F95">
        <w:rPr>
          <w:rFonts w:asciiTheme="minorHAnsi" w:hAnsiTheme="minorHAnsi" w:cstheme="minorHAnsi"/>
        </w:rPr>
        <w:t>if</w:t>
      </w:r>
      <w:proofErr w:type="spellEnd"/>
      <w:r w:rsidRPr="00FE1F95">
        <w:rPr>
          <w:rFonts w:asciiTheme="minorHAnsi" w:hAnsiTheme="minorHAnsi" w:cstheme="minorHAnsi"/>
        </w:rPr>
        <w:t xml:space="preserve"> none of the related outstanding balance attribute fields contain a balance, the item must not be reported in the data model, and zero balances need not be retained in the data model.</w:t>
      </w:r>
    </w:p>
    <w:p w14:paraId="580CACA9" w14:textId="77777777" w:rsidR="001C5E84" w:rsidRPr="00FE1F95" w:rsidRDefault="001C5E84" w:rsidP="00116445">
      <w:pPr>
        <w:rPr>
          <w:rFonts w:asciiTheme="minorHAnsi" w:hAnsiTheme="minorHAnsi" w:cstheme="minorHAnsi"/>
        </w:rPr>
      </w:pPr>
    </w:p>
    <w:p w14:paraId="717AB284" w14:textId="0E5DA196" w:rsidR="00C81460" w:rsidRPr="00FE1F95" w:rsidRDefault="00B2056A" w:rsidP="00116445">
      <w:pPr>
        <w:pStyle w:val="Cmsor2"/>
        <w:rPr>
          <w:rFonts w:asciiTheme="minorHAnsi" w:hAnsiTheme="minorHAnsi" w:cstheme="minorHAnsi"/>
          <w:sz w:val="20"/>
          <w:szCs w:val="20"/>
        </w:rPr>
      </w:pPr>
      <w:bookmarkStart w:id="13" w:name="_Toc530744477"/>
      <w:bookmarkStart w:id="14" w:name="_Toc530744552"/>
      <w:bookmarkStart w:id="15" w:name="_Toc535315381"/>
      <w:bookmarkStart w:id="16" w:name="_Toc536621808"/>
      <w:bookmarkStart w:id="17" w:name="_Toc536622842"/>
      <w:bookmarkStart w:id="18" w:name="_Toc361998"/>
      <w:bookmarkStart w:id="19" w:name="_Toc425056"/>
      <w:bookmarkStart w:id="20" w:name="_Toc425101"/>
      <w:bookmarkStart w:id="21" w:name="_Toc2945713"/>
      <w:bookmarkStart w:id="22" w:name="_Toc3288749"/>
      <w:bookmarkStart w:id="23" w:name="_Toc8380448"/>
      <w:bookmarkStart w:id="24" w:name="_Toc14448752"/>
      <w:bookmarkStart w:id="25" w:name="_Toc14683527"/>
      <w:bookmarkStart w:id="26" w:name="_Toc15483063"/>
      <w:bookmarkStart w:id="27" w:name="_Toc15483194"/>
      <w:bookmarkStart w:id="28" w:name="_Toc229138438"/>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roofErr w:type="spellStart"/>
      <w:r w:rsidRPr="00FE1F95">
        <w:rPr>
          <w:rFonts w:asciiTheme="minorHAnsi" w:hAnsiTheme="minorHAnsi" w:cstheme="minorHAnsi"/>
          <w:sz w:val="20"/>
          <w:szCs w:val="20"/>
        </w:rPr>
        <w:t>Requirements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for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Completing</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MEGF</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Table</w:t>
      </w:r>
      <w:bookmarkEnd w:id="28"/>
      <w:proofErr w:type="spellEnd"/>
    </w:p>
    <w:p w14:paraId="1809096E" w14:textId="77777777" w:rsidR="00B2056A" w:rsidRPr="00FE1F95" w:rsidRDefault="00B2056A" w:rsidP="00B2056A">
      <w:pPr>
        <w:rPr>
          <w:rFonts w:asciiTheme="minorHAnsi" w:hAnsiTheme="minorHAnsi" w:cstheme="minorHAnsi"/>
        </w:rPr>
      </w:pPr>
      <w:r w:rsidRPr="00FE1F95">
        <w:rPr>
          <w:rFonts w:asciiTheme="minorHAnsi" w:hAnsiTheme="minorHAnsi" w:cstheme="minorHAnsi"/>
        </w:rPr>
        <w:t xml:space="preserve">In addition to the transactions of the data provider, the report must also include the relevant transactions of the data provider’s foreign branch(es); however, these must be reported under a separate observed entity identifier within the data provider’s submission. The </w:t>
      </w:r>
      <w:proofErr w:type="spellStart"/>
      <w:r w:rsidRPr="00FE1F95">
        <w:rPr>
          <w:rFonts w:asciiTheme="minorHAnsi" w:hAnsiTheme="minorHAnsi" w:cstheme="minorHAnsi"/>
        </w:rPr>
        <w:t>MEGF</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must </w:t>
      </w:r>
      <w:proofErr w:type="spellStart"/>
      <w:r w:rsidRPr="00FE1F95">
        <w:rPr>
          <w:rFonts w:asciiTheme="minorHAnsi" w:hAnsiTheme="minorHAnsi" w:cstheme="minorHAnsi"/>
        </w:rPr>
        <w:t>indicate</w:t>
      </w:r>
      <w:proofErr w:type="spellEnd"/>
      <w:r w:rsidRPr="00FE1F95">
        <w:rPr>
          <w:rFonts w:asciiTheme="minorHAnsi" w:hAnsiTheme="minorHAnsi" w:cstheme="minorHAnsi"/>
        </w:rPr>
        <w:t xml:space="preserve"> the entity to which the reporting obligation relates.</w:t>
      </w:r>
    </w:p>
    <w:p w14:paraId="2DBB8C57" w14:textId="4F22F6C6" w:rsidR="00B2056A" w:rsidRPr="00FE1F95" w:rsidRDefault="00B2056A" w:rsidP="00B2056A">
      <w:pPr>
        <w:rPr>
          <w:rFonts w:asciiTheme="minorHAnsi" w:hAnsiTheme="minorHAnsi" w:cstheme="minorHAnsi"/>
        </w:rPr>
      </w:pPr>
      <w:r w:rsidRPr="00FE1F95">
        <w:rPr>
          <w:rFonts w:asciiTheme="minorHAnsi" w:hAnsiTheme="minorHAnsi" w:cstheme="minorHAnsi"/>
        </w:rPr>
        <w:t xml:space="preserve">If the data provider does not operate any foreign branches, the same value—namely, the data provider’s registration number—must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both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8275A7" w:rsidRPr="00FE1F95">
        <w:rPr>
          <w:rFonts w:asciiTheme="minorHAnsi" w:hAnsiTheme="minorHAnsi" w:cstheme="minorHAnsi"/>
          <w:b/>
          <w:bCs/>
        </w:rPr>
        <w:t>Registration</w:t>
      </w:r>
      <w:proofErr w:type="spellEnd"/>
      <w:r w:rsidR="008275A7" w:rsidRPr="00FE1F95">
        <w:rPr>
          <w:rFonts w:asciiTheme="minorHAnsi" w:hAnsiTheme="minorHAnsi" w:cstheme="minorHAnsi"/>
          <w:b/>
          <w:bCs/>
        </w:rPr>
        <w:t xml:space="preserve"> </w:t>
      </w:r>
      <w:proofErr w:type="spellStart"/>
      <w:r w:rsidR="008275A7" w:rsidRPr="00FE1F95">
        <w:rPr>
          <w:rFonts w:asciiTheme="minorHAnsi" w:hAnsiTheme="minorHAnsi" w:cstheme="minorHAnsi"/>
          <w:b/>
          <w:bCs/>
        </w:rPr>
        <w:t>number</w:t>
      </w:r>
      <w:proofErr w:type="spellEnd"/>
      <w:r w:rsidR="008275A7" w:rsidRPr="00FE1F95">
        <w:rPr>
          <w:rFonts w:asciiTheme="minorHAnsi" w:hAnsiTheme="minorHAnsi" w:cstheme="minorHAnsi"/>
          <w:b/>
          <w:bCs/>
        </w:rPr>
        <w:t xml:space="preserve"> of </w:t>
      </w:r>
      <w:proofErr w:type="spellStart"/>
      <w:r w:rsidR="008275A7" w:rsidRPr="00FE1F95">
        <w:rPr>
          <w:rFonts w:asciiTheme="minorHAnsi" w:hAnsiTheme="minorHAnsi" w:cstheme="minorHAnsi"/>
          <w:b/>
          <w:bCs/>
        </w:rPr>
        <w:t>the</w:t>
      </w:r>
      <w:proofErr w:type="spellEnd"/>
      <w:r w:rsidR="008275A7" w:rsidRPr="00FE1F95">
        <w:rPr>
          <w:rFonts w:asciiTheme="minorHAnsi" w:hAnsiTheme="minorHAnsi" w:cstheme="minorHAnsi"/>
          <w:b/>
          <w:bCs/>
        </w:rPr>
        <w:t xml:space="preserve"> </w:t>
      </w:r>
      <w:proofErr w:type="spellStart"/>
      <w:r w:rsidR="008275A7" w:rsidRPr="00FE1F95">
        <w:rPr>
          <w:rFonts w:asciiTheme="minorHAnsi" w:hAnsiTheme="minorHAnsi" w:cstheme="minorHAnsi"/>
          <w:b/>
          <w:bCs/>
        </w:rPr>
        <w:t>Reporting</w:t>
      </w:r>
      <w:proofErr w:type="spellEnd"/>
      <w:r w:rsidR="008275A7" w:rsidRPr="00FE1F95">
        <w:rPr>
          <w:rFonts w:asciiTheme="minorHAnsi" w:hAnsiTheme="minorHAnsi" w:cstheme="minorHAnsi"/>
          <w:b/>
          <w:bCs/>
        </w:rPr>
        <w:t xml:space="preserve"> </w:t>
      </w:r>
      <w:proofErr w:type="spellStart"/>
      <w:r w:rsidR="008275A7" w:rsidRPr="00FE1F95">
        <w:rPr>
          <w:rFonts w:asciiTheme="minorHAnsi" w:hAnsiTheme="minorHAnsi" w:cstheme="minorHAnsi"/>
          <w:b/>
          <w:bCs/>
        </w:rPr>
        <w:t>Agent</w:t>
      </w:r>
      <w:proofErr w:type="spellEnd"/>
      <w:r w:rsidRPr="00FE1F95">
        <w:rPr>
          <w:rFonts w:asciiTheme="minorHAnsi" w:hAnsiTheme="minorHAnsi" w:cstheme="minorHAnsi"/>
          <w:b/>
          <w:bCs/>
        </w:rPr>
        <w:t>”</w:t>
      </w:r>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Observed</w:t>
      </w:r>
      <w:proofErr w:type="spellEnd"/>
      <w:r w:rsidRPr="00FE1F95">
        <w:rPr>
          <w:rFonts w:asciiTheme="minorHAnsi" w:hAnsiTheme="minorHAnsi" w:cstheme="minorHAnsi"/>
          <w:b/>
          <w:bCs/>
        </w:rPr>
        <w:t xml:space="preserve"> </w:t>
      </w:r>
      <w:proofErr w:type="spellStart"/>
      <w:r w:rsidR="008275A7" w:rsidRPr="00FE1F95">
        <w:rPr>
          <w:rFonts w:asciiTheme="minorHAnsi" w:hAnsiTheme="minorHAnsi" w:cstheme="minorHAnsi"/>
          <w:b/>
          <w:bCs/>
        </w:rPr>
        <w:t>Agent</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Identifier</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MEGF</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In this case, only a single record is </w:t>
      </w:r>
      <w:proofErr w:type="spellStart"/>
      <w:r w:rsidRPr="00FE1F95">
        <w:rPr>
          <w:rFonts w:asciiTheme="minorHAnsi" w:hAnsiTheme="minorHAnsi" w:cstheme="minorHAnsi"/>
        </w:rPr>
        <w:t>required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MEGF</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w:t>
      </w:r>
    </w:p>
    <w:p w14:paraId="0F03B51C" w14:textId="77777777" w:rsidR="00B2056A" w:rsidRPr="00FE1F95" w:rsidRDefault="00B2056A" w:rsidP="00B2056A">
      <w:pPr>
        <w:rPr>
          <w:rFonts w:asciiTheme="minorHAnsi" w:hAnsiTheme="minorHAnsi" w:cstheme="minorHAnsi"/>
        </w:rPr>
      </w:pPr>
      <w:r w:rsidRPr="00FE1F95">
        <w:rPr>
          <w:rFonts w:asciiTheme="minorHAnsi" w:hAnsiTheme="minorHAnsi" w:cstheme="minorHAnsi"/>
        </w:rPr>
        <w:t>If the data provider operates foreign branch(es), both the data provider itself and its foreign branch(es) must, as a general rule, be reported as observed entities. Where the data provider has one foreign branch, two records must be reported: one in which the observed entity is the data provider itself, and another in which the observed entity is the foreign branch.</w:t>
      </w:r>
    </w:p>
    <w:p w14:paraId="1C479BEF" w14:textId="77777777" w:rsidR="00B2056A" w:rsidRPr="00FE1F95" w:rsidRDefault="00B2056A" w:rsidP="00B2056A">
      <w:pPr>
        <w:rPr>
          <w:rFonts w:asciiTheme="minorHAnsi" w:hAnsiTheme="minorHAnsi" w:cstheme="minorHAnsi"/>
        </w:rPr>
      </w:pPr>
      <w:r w:rsidRPr="00FE1F95">
        <w:rPr>
          <w:rFonts w:asciiTheme="minorHAnsi" w:hAnsiTheme="minorHAnsi" w:cstheme="minorHAnsi"/>
        </w:rPr>
        <w:t>The observed entity identifier serves as a key identifier in all other tables and must therefore be included in every additional table. The identifier expected by the MNB for foreign branches will be provided by the MNB to the relevant data provider prior to the start of reporting; thereafter, the foreign branch must be reported using this identifier.</w:t>
      </w:r>
    </w:p>
    <w:p w14:paraId="0235F279" w14:textId="77777777" w:rsidR="00B2056A" w:rsidRPr="00FE1F95" w:rsidRDefault="00B2056A" w:rsidP="00B2056A">
      <w:pPr>
        <w:rPr>
          <w:rFonts w:asciiTheme="minorHAnsi" w:hAnsiTheme="minorHAnsi" w:cstheme="minorHAnsi"/>
        </w:rPr>
      </w:pPr>
      <w:r w:rsidRPr="00FE1F95">
        <w:rPr>
          <w:rFonts w:asciiTheme="minorHAnsi" w:hAnsiTheme="minorHAnsi" w:cstheme="minorHAnsi"/>
        </w:rPr>
        <w:t>In the remaining tables, the observed entity identifier will function as a key field.</w:t>
      </w:r>
    </w:p>
    <w:p w14:paraId="082612E6" w14:textId="3E6B989F" w:rsidR="002E13D2" w:rsidRPr="00FE1F95" w:rsidRDefault="002E13D2" w:rsidP="002E13D2">
      <w:pPr>
        <w:pStyle w:val="Cmsor2"/>
        <w:rPr>
          <w:rFonts w:asciiTheme="minorHAnsi" w:hAnsiTheme="minorHAnsi" w:cstheme="minorHAnsi"/>
          <w:sz w:val="20"/>
          <w:szCs w:val="20"/>
        </w:rPr>
      </w:pPr>
      <w:bookmarkStart w:id="29" w:name="_Toc229138439"/>
      <w:proofErr w:type="spellStart"/>
      <w:r w:rsidRPr="00FE1F95">
        <w:rPr>
          <w:rFonts w:asciiTheme="minorHAnsi" w:hAnsiTheme="minorHAnsi" w:cstheme="minorHAnsi"/>
          <w:sz w:val="20"/>
          <w:szCs w:val="20"/>
        </w:rPr>
        <w:t>Requirements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for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Completing</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INSTR_BET</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Table</w:t>
      </w:r>
      <w:bookmarkEnd w:id="29"/>
      <w:proofErr w:type="spellEnd"/>
    </w:p>
    <w:p w14:paraId="3D0A1605" w14:textId="77777777" w:rsidR="002E13D2" w:rsidRPr="00FE1F95" w:rsidRDefault="002E13D2" w:rsidP="002E13D2">
      <w:pPr>
        <w:autoSpaceDE w:val="0"/>
        <w:autoSpaceDN w:val="0"/>
        <w:spacing w:before="40" w:after="40"/>
        <w:rPr>
          <w:rFonts w:asciiTheme="minorHAnsi" w:hAnsiTheme="minorHAnsi" w:cstheme="minorHAnsi"/>
        </w:rPr>
      </w:pPr>
      <w:r w:rsidRPr="00FE1F95">
        <w:rPr>
          <w:rFonts w:asciiTheme="minorHAnsi" w:hAnsiTheme="minorHAnsi" w:cstheme="minorHAnsi"/>
        </w:rPr>
        <w:t xml:space="preserve">The table shall include both demand deposit account and time deposit contracts. A demand deposit account is an unblocked deposit linked to a payment account maintained by a credit institution or to any other account to which the </w:t>
      </w:r>
      <w:r w:rsidRPr="00FE1F95">
        <w:rPr>
          <w:rFonts w:asciiTheme="minorHAnsi" w:hAnsiTheme="minorHAnsi" w:cstheme="minorHAnsi"/>
        </w:rPr>
        <w:lastRenderedPageBreak/>
        <w:t>customer has access at any time. Demand deposit account contracts (e.g. sight deposits) must be reported until the contract is terminated, regardless of the account balance.</w:t>
      </w:r>
    </w:p>
    <w:p w14:paraId="46FB8C57" w14:textId="77777777" w:rsidR="002E13D2" w:rsidRPr="00FE1F95" w:rsidRDefault="002E13D2" w:rsidP="002E13D2">
      <w:pPr>
        <w:autoSpaceDE w:val="0"/>
        <w:autoSpaceDN w:val="0"/>
        <w:spacing w:before="40" w:after="40"/>
        <w:rPr>
          <w:rFonts w:asciiTheme="minorHAnsi" w:hAnsiTheme="minorHAnsi" w:cstheme="minorHAnsi"/>
        </w:rPr>
      </w:pPr>
      <w:r w:rsidRPr="00FE1F95">
        <w:rPr>
          <w:rFonts w:asciiTheme="minorHAnsi" w:hAnsiTheme="minorHAnsi" w:cstheme="minorHAnsi"/>
        </w:rPr>
        <w:t>At the same time, in the deposit register, with respect to stock data (e.g. outstanding principal, book value), only funding-type positions need to be reported. If, at month-end, the account balance turns negative, the following shall be reported in the HITREG report:</w:t>
      </w:r>
    </w:p>
    <w:p w14:paraId="3B43CD3B" w14:textId="77777777" w:rsidR="002E13D2" w:rsidRPr="00FE1F95" w:rsidRDefault="002E13D2" w:rsidP="00096B56">
      <w:pPr>
        <w:numPr>
          <w:ilvl w:val="0"/>
          <w:numId w:val="19"/>
        </w:numPr>
        <w:autoSpaceDE w:val="0"/>
        <w:autoSpaceDN w:val="0"/>
        <w:spacing w:before="40" w:after="40"/>
        <w:rPr>
          <w:rFonts w:asciiTheme="minorHAnsi" w:hAnsiTheme="minorHAnsi" w:cstheme="minorHAnsi"/>
        </w:rPr>
      </w:pPr>
      <w:r w:rsidRPr="00FE1F95">
        <w:rPr>
          <w:rFonts w:asciiTheme="minorHAnsi" w:hAnsiTheme="minorHAnsi" w:cstheme="minorHAnsi"/>
        </w:rPr>
        <w:t xml:space="preserve">For accounts without an overdraft (credit line) agreement, the negative balance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using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FOLY_HIT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FOLY_HIT_EP</w:t>
      </w:r>
      <w:proofErr w:type="spellEnd"/>
      <w:r w:rsidRPr="00FE1F95">
        <w:rPr>
          <w:rFonts w:asciiTheme="minorHAnsi" w:hAnsiTheme="minorHAnsi" w:cstheme="minorHAnsi"/>
        </w:rPr>
        <w:t>’.</w:t>
      </w:r>
    </w:p>
    <w:p w14:paraId="3325324B" w14:textId="77777777" w:rsidR="002E13D2" w:rsidRPr="00FE1F95" w:rsidRDefault="002E13D2" w:rsidP="00096B56">
      <w:pPr>
        <w:numPr>
          <w:ilvl w:val="0"/>
          <w:numId w:val="19"/>
        </w:numPr>
        <w:autoSpaceDE w:val="0"/>
        <w:autoSpaceDN w:val="0"/>
        <w:spacing w:before="40" w:after="40"/>
        <w:rPr>
          <w:rFonts w:asciiTheme="minorHAnsi" w:hAnsiTheme="minorHAnsi" w:cstheme="minorHAnsi"/>
        </w:rPr>
      </w:pPr>
      <w:r w:rsidRPr="00FE1F95">
        <w:rPr>
          <w:rFonts w:asciiTheme="minorHAnsi" w:hAnsiTheme="minorHAnsi" w:cstheme="minorHAnsi"/>
        </w:rPr>
        <w:t xml:space="preserve">For accounts with an overdraft (credit line) agreement, the negative balance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using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RULIR_FOLY</w:t>
      </w:r>
      <w:proofErr w:type="spellEnd"/>
      <w:r w:rsidRPr="00FE1F95">
        <w:rPr>
          <w:rFonts w:asciiTheme="minorHAnsi" w:hAnsiTheme="minorHAnsi" w:cstheme="minorHAnsi"/>
        </w:rPr>
        <w:t>’.</w:t>
      </w:r>
    </w:p>
    <w:p w14:paraId="35072344" w14:textId="77777777" w:rsidR="002E13D2" w:rsidRPr="00FE1F95" w:rsidRDefault="002E13D2" w:rsidP="002E13D2">
      <w:pPr>
        <w:autoSpaceDE w:val="0"/>
        <w:autoSpaceDN w:val="0"/>
        <w:spacing w:before="40" w:after="40"/>
        <w:rPr>
          <w:rFonts w:asciiTheme="minorHAnsi" w:hAnsiTheme="minorHAnsi" w:cstheme="minorHAnsi"/>
        </w:rPr>
      </w:pPr>
      <w:r w:rsidRPr="00FE1F95">
        <w:rPr>
          <w:rFonts w:asciiTheme="minorHAnsi" w:hAnsiTheme="minorHAnsi" w:cstheme="minorHAnsi"/>
        </w:rPr>
        <w:t>Please note that if an overdraft credit limit is specified in the contract, it must always be reported in HITREG, irrespective of its utilisation.</w:t>
      </w:r>
    </w:p>
    <w:p w14:paraId="6DE0AE22" w14:textId="77777777" w:rsidR="002E13D2" w:rsidRPr="00FE1F95" w:rsidRDefault="002E13D2" w:rsidP="002E13D2">
      <w:pPr>
        <w:autoSpaceDE w:val="0"/>
        <w:autoSpaceDN w:val="0"/>
        <w:spacing w:before="40" w:after="40"/>
        <w:rPr>
          <w:rFonts w:asciiTheme="minorHAnsi" w:hAnsiTheme="minorHAnsi" w:cstheme="minorHAnsi"/>
        </w:rPr>
      </w:pPr>
      <w:r w:rsidRPr="00FE1F95">
        <w:rPr>
          <w:rFonts w:asciiTheme="minorHAnsi" w:hAnsiTheme="minorHAnsi" w:cstheme="minorHAnsi"/>
        </w:rPr>
        <w:t>This means that if a current account has an overdraft credit line agreement, it must always be included in both HITREG and BETREG; however, the outstanding principal stock is reported in only one of the two reports. If there is no overdraft credit line, the instrument is included in HITREG only if a forced loan arises, and only for as long as it exists. A forced loan with zero related stock data may not be retained in HITREG (see HITREG methodological guide, Section 1.10.20).</w:t>
      </w:r>
    </w:p>
    <w:p w14:paraId="5F8544A9" w14:textId="77777777" w:rsidR="002E13D2" w:rsidRPr="00FE1F95" w:rsidRDefault="002E13D2" w:rsidP="002E13D2">
      <w:pPr>
        <w:autoSpaceDE w:val="0"/>
        <w:autoSpaceDN w:val="0"/>
        <w:spacing w:before="40" w:after="40"/>
        <w:rPr>
          <w:rFonts w:asciiTheme="minorHAnsi" w:hAnsiTheme="minorHAnsi" w:cstheme="minorHAnsi"/>
        </w:rPr>
      </w:pPr>
      <w:r w:rsidRPr="00FE1F95">
        <w:rPr>
          <w:rFonts w:asciiTheme="minorHAnsi" w:hAnsiTheme="minorHAnsi" w:cstheme="minorHAnsi"/>
        </w:rPr>
        <w:t>Attributes related to a current account contract (e.g. sight deposit) that are independent of the account balance must always be reported within the BETREG data collection.</w:t>
      </w:r>
    </w:p>
    <w:p w14:paraId="7B81935B" w14:textId="77777777" w:rsidR="002E13D2" w:rsidRPr="00FE1F95" w:rsidRDefault="002E13D2" w:rsidP="00116445">
      <w:pPr>
        <w:autoSpaceDE w:val="0"/>
        <w:autoSpaceDN w:val="0"/>
        <w:spacing w:before="40" w:after="40"/>
        <w:rPr>
          <w:rFonts w:asciiTheme="minorHAnsi" w:hAnsiTheme="minorHAnsi" w:cstheme="minorHAnsi"/>
        </w:rPr>
      </w:pPr>
    </w:p>
    <w:p w14:paraId="1182F50A" w14:textId="30E250FB" w:rsidR="007808E9" w:rsidRPr="00FE1F95" w:rsidRDefault="007808E9" w:rsidP="007808E9">
      <w:pPr>
        <w:autoSpaceDE w:val="0"/>
        <w:autoSpaceDN w:val="0"/>
        <w:spacing w:before="40" w:after="40"/>
        <w:rPr>
          <w:rFonts w:asciiTheme="minorHAnsi" w:hAnsiTheme="minorHAnsi" w:cstheme="minorHAnsi"/>
        </w:rPr>
      </w:pPr>
      <w:r w:rsidRPr="00FE1F95">
        <w:rPr>
          <w:rFonts w:asciiTheme="minorHAnsi" w:hAnsiTheme="minorHAnsi" w:cstheme="minorHAnsi"/>
        </w:rPr>
        <w:t xml:space="preserve">The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33A66" w:rsidRPr="00FE1F95">
        <w:rPr>
          <w:rFonts w:asciiTheme="minorHAnsi" w:hAnsiTheme="minorHAnsi" w:cstheme="minorHAnsi"/>
          <w:b/>
          <w:bCs/>
        </w:rPr>
        <w:t>Instrument</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ID</w:t>
      </w:r>
      <w:proofErr w:type="spellEnd"/>
      <w:r w:rsidR="00333A66" w:rsidRPr="00FE1F95">
        <w:rPr>
          <w:rFonts w:asciiTheme="minorHAnsi" w:hAnsiTheme="minorHAnsi" w:cstheme="minorHAnsi"/>
          <w:b/>
          <w:bCs/>
        </w:rPr>
        <w:t xml:space="preserve"> (in </w:t>
      </w:r>
      <w:proofErr w:type="spellStart"/>
      <w:r w:rsidR="00333A66" w:rsidRPr="00FE1F95">
        <w:rPr>
          <w:rFonts w:asciiTheme="minorHAnsi" w:hAnsiTheme="minorHAnsi" w:cstheme="minorHAnsi"/>
          <w:b/>
          <w:bCs/>
        </w:rPr>
        <w:t>case</w:t>
      </w:r>
      <w:proofErr w:type="spellEnd"/>
      <w:r w:rsidR="00333A66" w:rsidRPr="00FE1F95">
        <w:rPr>
          <w:rFonts w:asciiTheme="minorHAnsi" w:hAnsiTheme="minorHAnsi" w:cstheme="minorHAnsi"/>
          <w:b/>
          <w:bCs/>
        </w:rPr>
        <w:t xml:space="preserve"> of </w:t>
      </w:r>
      <w:proofErr w:type="spellStart"/>
      <w:r w:rsidR="00333A66" w:rsidRPr="00FE1F95">
        <w:rPr>
          <w:rFonts w:asciiTheme="minorHAnsi" w:hAnsiTheme="minorHAnsi" w:cstheme="minorHAnsi"/>
          <w:b/>
          <w:bCs/>
        </w:rPr>
        <w:t>deposits</w:t>
      </w:r>
      <w:proofErr w:type="spellEnd"/>
      <w:r w:rsidR="00333A66" w:rsidRPr="00FE1F95">
        <w:rPr>
          <w:rFonts w:asciiTheme="minorHAnsi" w:hAnsiTheme="minorHAnsi" w:cstheme="minorHAnsi"/>
          <w:b/>
          <w:bCs/>
        </w:rPr>
        <w:t>)</w:t>
      </w:r>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must be unique and time-invariant; it must not change over the lifetime of the transaction. The HITREG and BETREG instrument identifiers may be identical. The value of the </w:t>
      </w:r>
      <w:r w:rsidRPr="00FE1F95">
        <w:rPr>
          <w:rFonts w:asciiTheme="minorHAnsi" w:hAnsiTheme="minorHAnsi" w:cstheme="minorHAnsi"/>
          <w:b/>
          <w:bCs/>
        </w:rPr>
        <w:t>“Current Account Identifier”</w:t>
      </w:r>
      <w:r w:rsidRPr="00FE1F95">
        <w:rPr>
          <w:rFonts w:asciiTheme="minorHAnsi" w:hAnsiTheme="minorHAnsi" w:cstheme="minorHAnsi"/>
        </w:rPr>
        <w:t xml:space="preserve"> field may be the same for multiple transactions if several term deposits are created from the same current account. In the case of the current account from which term deposits with different transaction identifiers are created, the transaction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current</w:t>
      </w:r>
      <w:proofErr w:type="spellEnd"/>
      <w:r w:rsidRPr="00FE1F95">
        <w:rPr>
          <w:rFonts w:asciiTheme="minorHAnsi" w:hAnsiTheme="minorHAnsi" w:cstheme="minorHAnsi"/>
        </w:rPr>
        <w:t xml:space="preserve"> account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identical</w:t>
      </w:r>
      <w:proofErr w:type="spellEnd"/>
      <w:r w:rsidRPr="00FE1F95">
        <w:rPr>
          <w:rFonts w:asciiTheme="minorHAnsi" w:hAnsiTheme="minorHAnsi" w:cstheme="minorHAnsi"/>
        </w:rPr>
        <w:t>.</w:t>
      </w:r>
    </w:p>
    <w:p w14:paraId="67FF2831" w14:textId="77777777" w:rsidR="007808E9" w:rsidRPr="00FE1F95" w:rsidRDefault="007808E9" w:rsidP="007808E9">
      <w:pPr>
        <w:autoSpaceDE w:val="0"/>
        <w:autoSpaceDN w:val="0"/>
        <w:spacing w:before="40" w:after="40"/>
        <w:rPr>
          <w:rFonts w:asciiTheme="minorHAnsi" w:hAnsiTheme="minorHAnsi" w:cstheme="minorHAnsi"/>
          <w:b/>
          <w:bCs/>
        </w:rPr>
      </w:pPr>
      <w:r w:rsidRPr="00FE1F95">
        <w:rPr>
          <w:rFonts w:asciiTheme="minorHAnsi" w:hAnsiTheme="minorHAnsi" w:cstheme="minorHAnsi"/>
          <w:b/>
          <w:bCs/>
        </w:rPr>
        <w:t>Example:</w:t>
      </w:r>
    </w:p>
    <w:p w14:paraId="70B0704B" w14:textId="59A2F6AB" w:rsidR="00D64346" w:rsidRPr="00FE1F95" w:rsidRDefault="00492FC1" w:rsidP="00116445">
      <w:pPr>
        <w:rPr>
          <w:rFonts w:asciiTheme="minorHAnsi" w:hAnsiTheme="minorHAnsi" w:cstheme="minorHAnsi"/>
        </w:rPr>
      </w:pPr>
      <w:r w:rsidRPr="00FE1F95">
        <w:rPr>
          <w:rFonts w:asciiTheme="minorHAnsi" w:hAnsiTheme="minorHAnsi" w:cstheme="minorHAnsi"/>
          <w:noProof/>
        </w:rPr>
        <w:drawing>
          <wp:inline distT="0" distB="0" distL="0" distR="0" wp14:anchorId="5E1A8005" wp14:editId="22E799C3">
            <wp:extent cx="6047740" cy="774700"/>
            <wp:effectExtent l="0" t="0" r="0" b="6350"/>
            <wp:docPr id="1210441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740" cy="774700"/>
                    </a:xfrm>
                    <a:prstGeom prst="rect">
                      <a:avLst/>
                    </a:prstGeom>
                    <a:noFill/>
                    <a:ln>
                      <a:noFill/>
                    </a:ln>
                  </pic:spPr>
                </pic:pic>
              </a:graphicData>
            </a:graphic>
          </wp:inline>
        </w:drawing>
      </w:r>
    </w:p>
    <w:p w14:paraId="56D248F3" w14:textId="77777777" w:rsidR="0002370B" w:rsidRPr="00FE1F95" w:rsidRDefault="0002370B" w:rsidP="0002370B">
      <w:pPr>
        <w:rPr>
          <w:rFonts w:asciiTheme="minorHAnsi" w:hAnsiTheme="minorHAnsi" w:cstheme="minorHAnsi"/>
        </w:rPr>
      </w:pPr>
      <w:r w:rsidRPr="00FE1F95">
        <w:rPr>
          <w:rFonts w:asciiTheme="minorHAnsi" w:hAnsiTheme="minorHAnsi" w:cstheme="minorHAnsi"/>
        </w:rPr>
        <w:t>Special requirements related to the Current Account Identifier:</w:t>
      </w:r>
    </w:p>
    <w:p w14:paraId="5C45878A" w14:textId="77777777" w:rsidR="0002370B" w:rsidRPr="00FE1F95" w:rsidRDefault="0002370B" w:rsidP="00096B56">
      <w:pPr>
        <w:numPr>
          <w:ilvl w:val="0"/>
          <w:numId w:val="20"/>
        </w:numPr>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transactions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BET_KOT_KONYVESBET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current</w:t>
      </w:r>
      <w:proofErr w:type="spellEnd"/>
      <w:r w:rsidRPr="00FE1F95">
        <w:rPr>
          <w:rFonts w:asciiTheme="minorHAnsi" w:hAnsiTheme="minorHAnsi" w:cstheme="minorHAnsi"/>
        </w:rPr>
        <w:t xml:space="preserve"> account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uniformly</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TECH_KONYVESBET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if</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is not linked to a current account.</w:t>
      </w:r>
    </w:p>
    <w:p w14:paraId="726D9D3C" w14:textId="77777777" w:rsidR="0002370B" w:rsidRPr="00FE1F95" w:rsidRDefault="0002370B" w:rsidP="00096B56">
      <w:pPr>
        <w:numPr>
          <w:ilvl w:val="0"/>
          <w:numId w:val="20"/>
        </w:numPr>
        <w:rPr>
          <w:rFonts w:asciiTheme="minorHAnsi" w:hAnsiTheme="minorHAnsi" w:cstheme="minorHAnsi"/>
        </w:rPr>
      </w:pPr>
      <w:r w:rsidRPr="00FE1F95">
        <w:rPr>
          <w:rFonts w:asciiTheme="minorHAnsi" w:hAnsiTheme="minorHAnsi" w:cstheme="minorHAnsi"/>
        </w:rPr>
        <w:t xml:space="preserve">In the case of home savings providers operating in the form of housing savings </w:t>
      </w:r>
      <w:proofErr w:type="spellStart"/>
      <w:r w:rsidRPr="00FE1F95">
        <w:rPr>
          <w:rFonts w:asciiTheme="minorHAnsi" w:hAnsiTheme="minorHAnsi" w:cstheme="minorHAnsi"/>
        </w:rPr>
        <w:t>banks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housing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savings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accounts</w:t>
      </w:r>
      <w:proofErr w:type="spellEnd"/>
      <w:r w:rsidRPr="00FE1F95">
        <w:rPr>
          <w:rFonts w:asciiTheme="minorHAnsi" w:hAnsiTheme="minorHAnsi" w:cstheme="minorHAnsi"/>
        </w:rPr>
        <w:t>, ‘</w:t>
      </w:r>
      <w:proofErr w:type="spellStart"/>
      <w:r w:rsidRPr="00FE1F95">
        <w:rPr>
          <w:rFonts w:asciiTheme="minorHAnsi" w:hAnsiTheme="minorHAnsi" w:cstheme="minorHAnsi"/>
        </w:rPr>
        <w:t>TECH_LTP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if</w:t>
      </w:r>
      <w:proofErr w:type="spellEnd"/>
      <w:r w:rsidRPr="00FE1F95">
        <w:rPr>
          <w:rFonts w:asciiTheme="minorHAnsi" w:hAnsiTheme="minorHAnsi" w:cstheme="minorHAnsi"/>
        </w:rPr>
        <w:t xml:space="preserve"> the instrument is not linked to a current account.</w:t>
      </w:r>
    </w:p>
    <w:p w14:paraId="7235FA69" w14:textId="77777777" w:rsidR="0002370B" w:rsidRPr="00FE1F95" w:rsidRDefault="0002370B" w:rsidP="00096B56">
      <w:pPr>
        <w:numPr>
          <w:ilvl w:val="0"/>
          <w:numId w:val="20"/>
        </w:numPr>
        <w:rPr>
          <w:rFonts w:asciiTheme="minorHAnsi" w:hAnsiTheme="minorHAnsi" w:cstheme="minorHAnsi"/>
        </w:rPr>
      </w:pPr>
      <w:r w:rsidRPr="00FE1F95">
        <w:rPr>
          <w:rFonts w:asciiTheme="minorHAnsi" w:hAnsiTheme="minorHAnsi" w:cstheme="minorHAnsi"/>
        </w:rPr>
        <w:t xml:space="preserve">If an overpayment or prepayment occurs in relation to the customer’s liability, it must be reported as a deposit in BETREG. If there is no current account or loan account identifier in the system (including accounts related to credit cards),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current</w:t>
      </w:r>
      <w:proofErr w:type="spellEnd"/>
      <w:r w:rsidRPr="00FE1F95">
        <w:rPr>
          <w:rFonts w:asciiTheme="minorHAnsi" w:hAnsiTheme="minorHAnsi" w:cstheme="minorHAnsi"/>
        </w:rPr>
        <w:t xml:space="preserve"> account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TECH_TULFIZ</w:t>
      </w:r>
      <w:proofErr w:type="spellEnd"/>
      <w:r w:rsidRPr="00FE1F95">
        <w:rPr>
          <w:rFonts w:asciiTheme="minorHAnsi" w:hAnsiTheme="minorHAnsi" w:cstheme="minorHAnsi"/>
        </w:rPr>
        <w:t>’.</w:t>
      </w:r>
    </w:p>
    <w:p w14:paraId="1BD4727A" w14:textId="77777777" w:rsidR="0002370B" w:rsidRPr="00FE1F95" w:rsidRDefault="0002370B" w:rsidP="00096B56">
      <w:pPr>
        <w:numPr>
          <w:ilvl w:val="0"/>
          <w:numId w:val="20"/>
        </w:numPr>
        <w:rPr>
          <w:rFonts w:asciiTheme="minorHAnsi" w:hAnsiTheme="minorHAnsi" w:cstheme="minorHAnsi"/>
        </w:rPr>
      </w:pPr>
      <w:r w:rsidRPr="00FE1F95">
        <w:rPr>
          <w:rFonts w:asciiTheme="minorHAnsi" w:hAnsiTheme="minorHAnsi" w:cstheme="minorHAnsi"/>
        </w:rPr>
        <w:t>The ‘</w:t>
      </w:r>
      <w:proofErr w:type="spellStart"/>
      <w:r w:rsidRPr="00FE1F95">
        <w:rPr>
          <w:rFonts w:asciiTheme="minorHAnsi" w:hAnsiTheme="minorHAnsi" w:cstheme="minorHAnsi"/>
        </w:rPr>
        <w:t>TECH_EGYEB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current</w:t>
      </w:r>
      <w:proofErr w:type="spellEnd"/>
      <w:r w:rsidRPr="00FE1F95">
        <w:rPr>
          <w:rFonts w:asciiTheme="minorHAnsi" w:hAnsiTheme="minorHAnsi" w:cstheme="minorHAnsi"/>
        </w:rPr>
        <w:t xml:space="preserve"> account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shall be applied, on the one hand, in cases where legacy term deposits still exist but the related current accounts no longer do, and on the </w:t>
      </w:r>
      <w:proofErr w:type="spellStart"/>
      <w:r w:rsidRPr="00FE1F95">
        <w:rPr>
          <w:rFonts w:asciiTheme="minorHAnsi" w:hAnsiTheme="minorHAnsi" w:cstheme="minorHAnsi"/>
        </w:rPr>
        <w:t>other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hand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obligations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related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MTM</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transactions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well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for the reporting of stocks that cannot be analytically broken down.</w:t>
      </w:r>
    </w:p>
    <w:p w14:paraId="40386E30" w14:textId="5711D939" w:rsidR="0002370B" w:rsidRPr="00FE1F95" w:rsidRDefault="0002370B" w:rsidP="0002370B">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33A66" w:rsidRPr="00FE1F95">
        <w:rPr>
          <w:rFonts w:asciiTheme="minorHAnsi" w:hAnsiTheme="minorHAnsi" w:cstheme="minorHAnsi"/>
          <w:b/>
          <w:bCs/>
        </w:rPr>
        <w:t>Type</w:t>
      </w:r>
      <w:proofErr w:type="spellEnd"/>
      <w:r w:rsidR="00333A66" w:rsidRPr="00FE1F95">
        <w:rPr>
          <w:rFonts w:asciiTheme="minorHAnsi" w:hAnsiTheme="minorHAnsi" w:cstheme="minorHAnsi"/>
          <w:b/>
          <w:bCs/>
        </w:rPr>
        <w:t xml:space="preserve"> of </w:t>
      </w:r>
      <w:proofErr w:type="spellStart"/>
      <w:r w:rsidR="00333A66" w:rsidRPr="00FE1F95">
        <w:rPr>
          <w:rFonts w:asciiTheme="minorHAnsi" w:hAnsiTheme="minorHAnsi" w:cstheme="minorHAnsi"/>
          <w:b/>
          <w:bCs/>
        </w:rPr>
        <w:t>Instrument</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must </w:t>
      </w:r>
      <w:proofErr w:type="spellStart"/>
      <w:r w:rsidRPr="00FE1F95">
        <w:rPr>
          <w:rFonts w:asciiTheme="minorHAnsi" w:hAnsiTheme="minorHAnsi" w:cstheme="minorHAnsi"/>
        </w:rPr>
        <w:t>primarily</w:t>
      </w:r>
      <w:proofErr w:type="spellEnd"/>
      <w:r w:rsidRPr="00FE1F95">
        <w:rPr>
          <w:rFonts w:asciiTheme="minorHAnsi" w:hAnsiTheme="minorHAnsi" w:cstheme="minorHAnsi"/>
        </w:rPr>
        <w:t xml:space="preserve"> be classified in accordance with the M04 data reporting framework. The BETREG breakdown is more detailed; the mapping shall be applied as specified below:</w:t>
      </w:r>
    </w:p>
    <w:p w14:paraId="69AAB49E" w14:textId="7C229C47" w:rsidR="00600A45" w:rsidRPr="00FE1F95" w:rsidRDefault="00600A45" w:rsidP="00116445">
      <w:pPr>
        <w:rPr>
          <w:rFonts w:asciiTheme="minorHAnsi" w:hAnsiTheme="minorHAnsi" w:cstheme="minorHAnsi"/>
        </w:rPr>
      </w:pPr>
    </w:p>
    <w:p w14:paraId="67F9232D" w14:textId="5BDDD317" w:rsidR="00A05A1C" w:rsidRPr="00FE1F95" w:rsidRDefault="00DE5B59" w:rsidP="00DE5B59">
      <w:pPr>
        <w:ind w:left="567"/>
        <w:rPr>
          <w:rFonts w:asciiTheme="minorHAnsi" w:hAnsiTheme="minorHAnsi" w:cstheme="minorHAnsi"/>
        </w:rPr>
      </w:pPr>
      <w:r w:rsidRPr="00FE1F95">
        <w:rPr>
          <w:rFonts w:asciiTheme="minorHAnsi" w:hAnsiTheme="minorHAnsi" w:cstheme="minorHAnsi"/>
          <w:noProof/>
        </w:rPr>
        <w:lastRenderedPageBreak/>
        <w:drawing>
          <wp:inline distT="0" distB="0" distL="0" distR="0" wp14:anchorId="598B74DE" wp14:editId="292D788E">
            <wp:extent cx="5532120" cy="4347164"/>
            <wp:effectExtent l="0" t="0" r="0" b="0"/>
            <wp:docPr id="2553469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6208" cy="4350376"/>
                    </a:xfrm>
                    <a:prstGeom prst="rect">
                      <a:avLst/>
                    </a:prstGeom>
                    <a:noFill/>
                    <a:ln>
                      <a:noFill/>
                    </a:ln>
                  </pic:spPr>
                </pic:pic>
              </a:graphicData>
            </a:graphic>
          </wp:inline>
        </w:drawing>
      </w:r>
    </w:p>
    <w:p w14:paraId="28D52C49" w14:textId="026B9ADF" w:rsidR="00DE1A2E" w:rsidRPr="00FE1F95" w:rsidRDefault="00DE1A2E" w:rsidP="00116445">
      <w:pPr>
        <w:rPr>
          <w:rFonts w:asciiTheme="minorHAnsi" w:hAnsiTheme="minorHAnsi" w:cstheme="minorHAnsi"/>
        </w:rPr>
      </w:pPr>
    </w:p>
    <w:p w14:paraId="430B227B" w14:textId="77777777" w:rsidR="00096B56" w:rsidRPr="00FE1F95" w:rsidRDefault="00096B56" w:rsidP="00096B56">
      <w:pPr>
        <w:pStyle w:val="Listaszerbekezds"/>
        <w:numPr>
          <w:ilvl w:val="0"/>
          <w:numId w:val="10"/>
        </w:numPr>
        <w:rPr>
          <w:rFonts w:asciiTheme="minorHAnsi" w:hAnsiTheme="minorHAnsi" w:cstheme="minorHAnsi"/>
        </w:rPr>
      </w:pPr>
      <w:r w:rsidRPr="00FE1F95">
        <w:rPr>
          <w:rFonts w:asciiTheme="minorHAnsi" w:hAnsiTheme="minorHAnsi" w:cstheme="minorHAnsi"/>
        </w:rPr>
        <w:t>Accordingly, electronic money, trade credits and advances, as well as other liabilities and accrued expenses, must not be reported in BETREG.</w:t>
      </w:r>
    </w:p>
    <w:p w14:paraId="1D369FAE" w14:textId="77777777" w:rsidR="00096B56" w:rsidRPr="00FE1F95" w:rsidRDefault="00096B56" w:rsidP="00096B56">
      <w:pPr>
        <w:pStyle w:val="Listaszerbekezds"/>
        <w:numPr>
          <w:ilvl w:val="0"/>
          <w:numId w:val="10"/>
        </w:numPr>
        <w:rPr>
          <w:rFonts w:asciiTheme="minorHAnsi" w:hAnsiTheme="minorHAnsi" w:cstheme="minorHAnsi"/>
        </w:rPr>
      </w:pPr>
      <w:r w:rsidRPr="00FE1F95">
        <w:rPr>
          <w:rFonts w:asciiTheme="minorHAnsi" w:hAnsiTheme="minorHAnsi" w:cstheme="minorHAnsi"/>
        </w:rPr>
        <w:t>The key classification principles related to instrument types are as follows:</w:t>
      </w:r>
    </w:p>
    <w:p w14:paraId="53988544" w14:textId="77777777" w:rsidR="00096B56" w:rsidRPr="00FE1F95" w:rsidRDefault="00096B56" w:rsidP="00096B56">
      <w:pPr>
        <w:pStyle w:val="Listaszerbekezds"/>
        <w:numPr>
          <w:ilvl w:val="0"/>
          <w:numId w:val="10"/>
        </w:numPr>
        <w:rPr>
          <w:rFonts w:asciiTheme="minorHAnsi" w:hAnsiTheme="minorHAnsi" w:cstheme="minorHAnsi"/>
        </w:rPr>
      </w:pPr>
      <w:r w:rsidRPr="00FE1F95">
        <w:rPr>
          <w:rFonts w:asciiTheme="minorHAnsi" w:hAnsiTheme="minorHAnsi" w:cstheme="minorHAnsi"/>
        </w:rPr>
        <w:t xml:space="preserve">Accounts opened for investment activities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separate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BET_KOT_EPSZLA</w:t>
      </w:r>
      <w:proofErr w:type="spellEnd"/>
      <w:r w:rsidRPr="00FE1F95">
        <w:rPr>
          <w:rFonts w:asciiTheme="minorHAnsi" w:hAnsiTheme="minorHAnsi" w:cstheme="minorHAnsi"/>
        </w:rPr>
        <w:t>’).</w:t>
      </w:r>
    </w:p>
    <w:p w14:paraId="1D3D5E3E" w14:textId="77777777" w:rsidR="00096B56" w:rsidRPr="00FE1F95" w:rsidRDefault="00096B56" w:rsidP="00096B56">
      <w:pPr>
        <w:pStyle w:val="Listaszerbekezds"/>
        <w:numPr>
          <w:ilvl w:val="0"/>
          <w:numId w:val="10"/>
        </w:numPr>
        <w:rPr>
          <w:rFonts w:asciiTheme="minorHAnsi" w:hAnsiTheme="minorHAnsi" w:cstheme="minorHAnsi"/>
        </w:rPr>
      </w:pPr>
      <w:r w:rsidRPr="00FE1F95">
        <w:rPr>
          <w:rFonts w:asciiTheme="minorHAnsi" w:hAnsiTheme="minorHAnsi" w:cstheme="minorHAnsi"/>
        </w:rPr>
        <w:t xml:space="preserve">From received lending commitments, term deposits must be reported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product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BET_HATARIDOS</w:t>
      </w:r>
      <w:proofErr w:type="spellEnd"/>
      <w:r w:rsidRPr="00FE1F95">
        <w:rPr>
          <w:rFonts w:asciiTheme="minorHAnsi" w:hAnsiTheme="minorHAnsi" w:cstheme="minorHAnsi"/>
        </w:rPr>
        <w:t>’.</w:t>
      </w:r>
    </w:p>
    <w:p w14:paraId="56553083" w14:textId="77777777" w:rsidR="00096B56" w:rsidRPr="00FE1F95" w:rsidRDefault="00096B56" w:rsidP="00096B56">
      <w:pPr>
        <w:pStyle w:val="Listaszerbekezds"/>
        <w:numPr>
          <w:ilvl w:val="0"/>
          <w:numId w:val="10"/>
        </w:numPr>
        <w:rPr>
          <w:rFonts w:asciiTheme="minorHAnsi" w:hAnsiTheme="minorHAnsi" w:cstheme="minorHAnsi"/>
        </w:rPr>
      </w:pP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transferable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BET_KOT_TRSZFR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those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w:t>
      </w:r>
      <w:proofErr w:type="spellStart"/>
      <w:r w:rsidRPr="00FE1F95">
        <w:rPr>
          <w:rFonts w:asciiTheme="minorHAnsi" w:hAnsiTheme="minorHAnsi" w:cstheme="minorHAnsi"/>
        </w:rPr>
        <w:t>which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form</w:t>
      </w:r>
      <w:proofErr w:type="spellEnd"/>
      <w:r w:rsidRPr="00FE1F95">
        <w:rPr>
          <w:rFonts w:asciiTheme="minorHAnsi" w:hAnsiTheme="minorHAnsi" w:cstheme="minorHAnsi"/>
        </w:rPr>
        <w:t xml:space="preserve"> a subcategory of current account deposits—must be reported from which payments can be made directly to other economic agents on request, without significant delay, restriction or penalty, via credit transfer, direct debit, or possibly by credit card or debit card, electronic money, cheque, or similar commonly used payment instruments. Deposits that are usable only for cash withdrawals, or deposits from which cash can be withdrawn or transfers executed only via another deposit held by the same owner, are not considered transferable deposits.</w:t>
      </w:r>
    </w:p>
    <w:p w14:paraId="1D32F014" w14:textId="77777777" w:rsidR="00096B56" w:rsidRPr="00FE1F95" w:rsidRDefault="00096B56" w:rsidP="00096B56">
      <w:pPr>
        <w:pStyle w:val="Listaszerbekezds"/>
        <w:numPr>
          <w:ilvl w:val="0"/>
          <w:numId w:val="10"/>
        </w:numPr>
        <w:rPr>
          <w:rFonts w:asciiTheme="minorHAnsi" w:hAnsiTheme="minorHAnsi" w:cstheme="minorHAnsi"/>
        </w:rPr>
      </w:pPr>
      <w:r w:rsidRPr="00FE1F95">
        <w:rPr>
          <w:rFonts w:asciiTheme="minorHAnsi" w:hAnsiTheme="minorHAnsi" w:cstheme="minorHAnsi"/>
        </w:rPr>
        <w:t xml:space="preserve">Deviating from M04, transferable deposits that are part of a cash-pool </w:t>
      </w:r>
      <w:proofErr w:type="spellStart"/>
      <w:r w:rsidRPr="00FE1F95">
        <w:rPr>
          <w:rFonts w:asciiTheme="minorHAnsi" w:hAnsiTheme="minorHAnsi" w:cstheme="minorHAnsi"/>
        </w:rPr>
        <w:t>structure</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BET_KOT_TRSZFR</w:t>
      </w:r>
      <w:proofErr w:type="spellEnd"/>
      <w:r w:rsidRPr="00FE1F95">
        <w:rPr>
          <w:rFonts w:asciiTheme="minorHAnsi" w:hAnsiTheme="minorHAnsi" w:cstheme="minorHAnsi"/>
        </w:rPr>
        <w:t xml:space="preserve">’ and, in </w:t>
      </w:r>
      <w:proofErr w:type="spellStart"/>
      <w:r w:rsidRPr="00FE1F95">
        <w:rPr>
          <w:rFonts w:asciiTheme="minorHAnsi" w:hAnsiTheme="minorHAnsi" w:cstheme="minorHAnsi"/>
        </w:rPr>
        <w:t>addition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CASHPOOL_KOD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must </w:t>
      </w:r>
      <w:proofErr w:type="spellStart"/>
      <w:r w:rsidRPr="00FE1F95">
        <w:rPr>
          <w:rFonts w:asciiTheme="minorHAnsi" w:hAnsiTheme="minorHAnsi" w:cstheme="minorHAnsi"/>
        </w:rPr>
        <w:t>contain</w:t>
      </w:r>
      <w:proofErr w:type="spellEnd"/>
      <w:r w:rsidRPr="00FE1F95">
        <w:rPr>
          <w:rFonts w:asciiTheme="minorHAnsi" w:hAnsiTheme="minorHAnsi" w:cstheme="minorHAnsi"/>
        </w:rPr>
        <w:t xml:space="preserve"> ‘I’, </w:t>
      </w:r>
      <w:proofErr w:type="spellStart"/>
      <w:r w:rsidRPr="00FE1F95">
        <w:rPr>
          <w:rFonts w:asciiTheme="minorHAnsi" w:hAnsiTheme="minorHAnsi" w:cstheme="minorHAnsi"/>
        </w:rPr>
        <w:t>while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CASHPOOL_TIP_KOD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must </w:t>
      </w:r>
      <w:proofErr w:type="spellStart"/>
      <w:r w:rsidRPr="00FE1F95">
        <w:rPr>
          <w:rFonts w:asciiTheme="minorHAnsi" w:hAnsiTheme="minorHAnsi" w:cstheme="minorHAnsi"/>
        </w:rPr>
        <w:t>contain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NOTIONAL_CP</w:t>
      </w:r>
      <w:proofErr w:type="spellEnd"/>
      <w:r w:rsidRPr="00FE1F95">
        <w:rPr>
          <w:rFonts w:asciiTheme="minorHAnsi" w:hAnsiTheme="minorHAnsi" w:cstheme="minorHAnsi"/>
        </w:rPr>
        <w:t>’ (</w:t>
      </w:r>
      <w:proofErr w:type="spellStart"/>
      <w:r w:rsidRPr="00FE1F95">
        <w:rPr>
          <w:rFonts w:asciiTheme="minorHAnsi" w:hAnsiTheme="minorHAnsi" w:cstheme="minorHAnsi"/>
        </w:rPr>
        <w:t>conversely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if</w:t>
      </w:r>
      <w:proofErr w:type="spellEnd"/>
      <w:r w:rsidRPr="00FE1F95">
        <w:rPr>
          <w:rFonts w:asciiTheme="minorHAnsi" w:hAnsiTheme="minorHAnsi" w:cstheme="minorHAnsi"/>
        </w:rPr>
        <w:t xml:space="preserve"> a transferable deposit does not belong to a cash-pool structure, ‘N’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CASHPOOL_KOD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w:t>
      </w:r>
    </w:p>
    <w:p w14:paraId="4630E49D" w14:textId="77777777" w:rsidR="00096B56" w:rsidRPr="00FE1F95" w:rsidRDefault="00096B56" w:rsidP="00096B56">
      <w:pPr>
        <w:pStyle w:val="Listaszerbekezds"/>
        <w:numPr>
          <w:ilvl w:val="0"/>
          <w:numId w:val="10"/>
        </w:numPr>
        <w:rPr>
          <w:rFonts w:asciiTheme="minorHAnsi" w:hAnsiTheme="minorHAnsi" w:cstheme="minorHAnsi"/>
        </w:rPr>
      </w:pPr>
      <w:r w:rsidRPr="00FE1F95">
        <w:rPr>
          <w:rFonts w:asciiTheme="minorHAnsi" w:hAnsiTheme="minorHAnsi" w:cstheme="minorHAnsi"/>
        </w:rPr>
        <w:t xml:space="preserve">With regard to the classification of cash-pool structures, the rules set </w:t>
      </w:r>
      <w:proofErr w:type="gramStart"/>
      <w:r w:rsidRPr="00FE1F95">
        <w:rPr>
          <w:rFonts w:asciiTheme="minorHAnsi" w:hAnsiTheme="minorHAnsi" w:cstheme="minorHAnsi"/>
        </w:rPr>
        <w:t>out in</w:t>
      </w:r>
      <w:proofErr w:type="gramEnd"/>
      <w:r w:rsidRPr="00FE1F95">
        <w:rPr>
          <w:rFonts w:asciiTheme="minorHAnsi" w:hAnsiTheme="minorHAnsi" w:cstheme="minorHAnsi"/>
        </w:rPr>
        <w:t xml:space="preserve"> HITREG must be followed, and the classification according to notional cash pooling must be consistent with the M04 data reporting.</w:t>
      </w:r>
    </w:p>
    <w:p w14:paraId="4FC5BC64" w14:textId="4AC6824F" w:rsidR="00096B56" w:rsidRPr="00FE1F95" w:rsidRDefault="00096B56" w:rsidP="00096B56">
      <w:pPr>
        <w:pStyle w:val="Listaszerbekezds"/>
        <w:numPr>
          <w:ilvl w:val="0"/>
          <w:numId w:val="10"/>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The </w:t>
      </w:r>
      <w:proofErr w:type="spellStart"/>
      <w:r w:rsidRPr="00FE1F95">
        <w:rPr>
          <w:rFonts w:asciiTheme="minorHAnsi" w:eastAsia="Times New Roman" w:hAnsiTheme="minorHAnsi" w:cstheme="minorHAnsi"/>
        </w:rPr>
        <w:t>same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rules</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apply</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to</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instrument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types</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BET_KOT_LATRA</w:t>
      </w:r>
      <w:proofErr w:type="spellEnd"/>
      <w:r w:rsidRPr="00FE1F95">
        <w:rPr>
          <w:rFonts w:asciiTheme="minorHAnsi" w:eastAsia="Times New Roman" w:hAnsiTheme="minorHAnsi" w:cstheme="minorHAnsi"/>
        </w:rPr>
        <w:t>’ and ‘</w:t>
      </w:r>
      <w:proofErr w:type="spellStart"/>
      <w:r w:rsidRPr="00FE1F95">
        <w:rPr>
          <w:rFonts w:asciiTheme="minorHAnsi" w:eastAsia="Times New Roman" w:hAnsiTheme="minorHAnsi" w:cstheme="minorHAnsi"/>
        </w:rPr>
        <w:t>BET_KOT_ON</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if</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they</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form</w:t>
      </w:r>
      <w:proofErr w:type="spellEnd"/>
      <w:r w:rsidRPr="00FE1F95">
        <w:rPr>
          <w:rFonts w:asciiTheme="minorHAnsi" w:eastAsia="Times New Roman" w:hAnsiTheme="minorHAnsi" w:cstheme="minorHAnsi"/>
        </w:rPr>
        <w:t xml:space="preserve"> part of a cash</w:t>
      </w:r>
      <w:r w:rsidRPr="00FE1F95">
        <w:rPr>
          <w:rFonts w:asciiTheme="minorHAnsi" w:eastAsia="Times New Roman" w:hAnsiTheme="minorHAnsi" w:cstheme="minorHAnsi"/>
        </w:rPr>
        <w:noBreakHyphen/>
      </w:r>
      <w:proofErr w:type="spellStart"/>
      <w:r w:rsidRPr="00FE1F95">
        <w:rPr>
          <w:rFonts w:asciiTheme="minorHAnsi" w:eastAsia="Times New Roman" w:hAnsiTheme="minorHAnsi" w:cstheme="minorHAnsi"/>
        </w:rPr>
        <w:t>pool</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structure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CASHPOOL_KOD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must </w:t>
      </w:r>
      <w:proofErr w:type="spellStart"/>
      <w:r w:rsidRPr="00FE1F95">
        <w:rPr>
          <w:rFonts w:asciiTheme="minorHAnsi" w:eastAsia="Times New Roman" w:hAnsiTheme="minorHAnsi" w:cstheme="minorHAnsi"/>
        </w:rPr>
        <w:t>contain</w:t>
      </w:r>
      <w:proofErr w:type="spellEnd"/>
      <w:r w:rsidRPr="00FE1F95">
        <w:rPr>
          <w:rFonts w:asciiTheme="minorHAnsi" w:eastAsia="Times New Roman" w:hAnsiTheme="minorHAnsi" w:cstheme="minorHAnsi"/>
        </w:rPr>
        <w:t xml:space="preserve"> ‘I’, </w:t>
      </w:r>
      <w:proofErr w:type="gramStart"/>
      <w:r w:rsidRPr="00FE1F95">
        <w:rPr>
          <w:rFonts w:asciiTheme="minorHAnsi" w:eastAsia="Times New Roman" w:hAnsiTheme="minorHAnsi" w:cstheme="minorHAnsi"/>
        </w:rPr>
        <w:t>and in</w:t>
      </w:r>
      <w:proofErr w:type="gramEnd"/>
      <w:r w:rsidRPr="00FE1F95">
        <w:rPr>
          <w:rFonts w:asciiTheme="minorHAnsi" w:eastAsia="Times New Roman" w:hAnsiTheme="minorHAnsi" w:cstheme="minorHAnsi"/>
        </w:rPr>
        <w:t xml:space="preserve"> the case of a </w:t>
      </w:r>
      <w:proofErr w:type="spellStart"/>
      <w:r w:rsidRPr="00FE1F95">
        <w:rPr>
          <w:rFonts w:asciiTheme="minorHAnsi" w:eastAsia="Times New Roman" w:hAnsiTheme="minorHAnsi" w:cstheme="minorHAnsi"/>
        </w:rPr>
        <w:t>notional</w:t>
      </w:r>
      <w:proofErr w:type="spellEnd"/>
      <w:r w:rsidRPr="00FE1F95">
        <w:rPr>
          <w:rFonts w:asciiTheme="minorHAnsi" w:eastAsia="Times New Roman" w:hAnsiTheme="minorHAnsi" w:cstheme="minorHAnsi"/>
        </w:rPr>
        <w:t xml:space="preserve"> cash</w:t>
      </w:r>
      <w:r w:rsidRPr="00FE1F95">
        <w:rPr>
          <w:rFonts w:asciiTheme="minorHAnsi" w:eastAsia="Times New Roman" w:hAnsiTheme="minorHAnsi" w:cstheme="minorHAnsi"/>
        </w:rPr>
        <w:noBreakHyphen/>
      </w:r>
      <w:proofErr w:type="spellStart"/>
      <w:r w:rsidRPr="00FE1F95">
        <w:rPr>
          <w:rFonts w:asciiTheme="minorHAnsi" w:eastAsia="Times New Roman" w:hAnsiTheme="minorHAnsi" w:cstheme="minorHAnsi"/>
        </w:rPr>
        <w:t>pool</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structure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CASHPOOL_TIP_KOD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must </w:t>
      </w:r>
      <w:proofErr w:type="spellStart"/>
      <w:r w:rsidRPr="00FE1F95">
        <w:rPr>
          <w:rFonts w:asciiTheme="minorHAnsi" w:eastAsia="Times New Roman" w:hAnsiTheme="minorHAnsi" w:cstheme="minorHAnsi"/>
        </w:rPr>
        <w:t>contain</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NOTIONAL_CP</w:t>
      </w:r>
      <w:proofErr w:type="spellEnd"/>
      <w:r w:rsidRPr="00FE1F95">
        <w:rPr>
          <w:rFonts w:asciiTheme="minorHAnsi" w:eastAsia="Times New Roman" w:hAnsiTheme="minorHAnsi" w:cstheme="minorHAnsi"/>
        </w:rPr>
        <w:t>’. If the instrument does not form part of a cash</w:t>
      </w:r>
      <w:r w:rsidRPr="00FE1F95">
        <w:rPr>
          <w:rFonts w:asciiTheme="minorHAnsi" w:eastAsia="Times New Roman" w:hAnsiTheme="minorHAnsi" w:cstheme="minorHAnsi"/>
        </w:rPr>
        <w:noBreakHyphen/>
        <w:t xml:space="preserve">pool structure, ‘N’ must be </w:t>
      </w:r>
      <w:proofErr w:type="spellStart"/>
      <w:r w:rsidRPr="00FE1F95">
        <w:rPr>
          <w:rFonts w:asciiTheme="minorHAnsi" w:eastAsia="Times New Roman" w:hAnsiTheme="minorHAnsi" w:cstheme="minorHAnsi"/>
        </w:rPr>
        <w:t>reported</w:t>
      </w:r>
      <w:proofErr w:type="spellEnd"/>
      <w:r w:rsidRPr="00FE1F95">
        <w:rPr>
          <w:rFonts w:asciiTheme="minorHAnsi" w:eastAsia="Times New Roman" w:hAnsiTheme="minorHAnsi" w:cstheme="minorHAnsi"/>
        </w:rPr>
        <w:t xml:space="preserve"> 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CASHPOOL_KOD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
    <w:p w14:paraId="6FD91653" w14:textId="6D44EA34" w:rsidR="00096B56" w:rsidRPr="00FE1F95" w:rsidRDefault="00096B56" w:rsidP="00096B56">
      <w:pPr>
        <w:pStyle w:val="Listaszerbekezds"/>
        <w:numPr>
          <w:ilvl w:val="0"/>
          <w:numId w:val="10"/>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lastRenderedPageBreak/>
        <w:t xml:space="preserve">A pledged deposit serving as collateral for a loan must be reported as a term deposit with a maturity identical to that of the related loan, and the instrument identifier of the related loan must be </w:t>
      </w:r>
      <w:proofErr w:type="spellStart"/>
      <w:r w:rsidRPr="00FE1F95">
        <w:rPr>
          <w:rFonts w:asciiTheme="minorHAnsi" w:eastAsia="Times New Roman" w:hAnsiTheme="minorHAnsi" w:cstheme="minorHAnsi"/>
        </w:rPr>
        <w:t>provided</w:t>
      </w:r>
      <w:proofErr w:type="spellEnd"/>
      <w:r w:rsidRPr="00FE1F95">
        <w:rPr>
          <w:rFonts w:asciiTheme="minorHAnsi" w:eastAsia="Times New Roman" w:hAnsiTheme="minorHAnsi" w:cstheme="minorHAnsi"/>
        </w:rPr>
        <w:t xml:space="preserve"> in </w:t>
      </w:r>
      <w:proofErr w:type="spellStart"/>
      <w:r w:rsidRPr="00FE1F95">
        <w:rPr>
          <w:rFonts w:asciiTheme="minorHAnsi" w:eastAsia="Times New Roman" w:hAnsiTheme="minorHAnsi" w:cstheme="minorHAnsi"/>
        </w:rPr>
        <w:t>either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INSTR_AZON</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or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INSTK_AZON</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however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for</w:t>
      </w:r>
      <w:proofErr w:type="spellEnd"/>
      <w:r w:rsidRPr="00FE1F95">
        <w:rPr>
          <w:rFonts w:asciiTheme="minorHAnsi" w:eastAsia="Times New Roman" w:hAnsiTheme="minorHAnsi" w:cstheme="minorHAnsi"/>
        </w:rPr>
        <w:t xml:space="preserve"> a given pledged deposit, only one loan instrument identifier may be populated at the same time. If a pledged deposit serves as collateral for multiple loans simultaneously, the identifier of the most relevant loan must be reported. In the case of pledged deposits, the maturity calculated from the contract start date and maturity date fields does not need to be consistent with the maturity category originally reported, as—pursuant to the above—the maturity is determined by that of the related loan. </w:t>
      </w:r>
    </w:p>
    <w:p w14:paraId="763A71B9" w14:textId="7EF48072" w:rsidR="00096B56" w:rsidRPr="00FE1F95" w:rsidRDefault="00096B56" w:rsidP="00096B56">
      <w:pPr>
        <w:pStyle w:val="Listaszerbekezds"/>
        <w:numPr>
          <w:ilvl w:val="0"/>
          <w:numId w:val="10"/>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Fixed</w:t>
      </w:r>
      <w:r w:rsidRPr="00FE1F95">
        <w:rPr>
          <w:rFonts w:asciiTheme="minorHAnsi" w:eastAsia="Times New Roman" w:hAnsiTheme="minorHAnsi" w:cstheme="minorHAnsi"/>
        </w:rPr>
        <w:noBreakHyphen/>
        <w:t xml:space="preserve">amount collateral related to derivative transactions that remains on the balance sheet until the end of the transaction must not be </w:t>
      </w:r>
      <w:proofErr w:type="spellStart"/>
      <w:r w:rsidRPr="00FE1F95">
        <w:rPr>
          <w:rFonts w:asciiTheme="minorHAnsi" w:eastAsia="Times New Roman" w:hAnsiTheme="minorHAnsi" w:cstheme="minorHAnsi"/>
        </w:rPr>
        <w:t>reported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under</w:t>
      </w:r>
      <w:proofErr w:type="spellEnd"/>
      <w:r w:rsidRPr="00FE1F95">
        <w:rPr>
          <w:rFonts w:asciiTheme="minorHAnsi" w:eastAsia="Times New Roman" w:hAnsiTheme="minorHAnsi" w:cstheme="minorHAnsi"/>
        </w:rPr>
        <w:t xml:space="preserve"> mark</w:t>
      </w:r>
      <w:r w:rsidRPr="00FE1F95">
        <w:rPr>
          <w:rFonts w:asciiTheme="minorHAnsi" w:eastAsia="Times New Roman" w:hAnsiTheme="minorHAnsi" w:cstheme="minorHAnsi"/>
        </w:rPr>
        <w:noBreakHyphen/>
      </w:r>
      <w:proofErr w:type="spellStart"/>
      <w:r w:rsidRPr="00FE1F95">
        <w:rPr>
          <w:rFonts w:asciiTheme="minorHAnsi" w:eastAsia="Times New Roman" w:hAnsiTheme="minorHAnsi" w:cstheme="minorHAnsi"/>
        </w:rPr>
        <w:t>to</w:t>
      </w:r>
      <w:proofErr w:type="spellEnd"/>
      <w:r w:rsidRPr="00FE1F95">
        <w:rPr>
          <w:rFonts w:asciiTheme="minorHAnsi" w:eastAsia="Times New Roman" w:hAnsiTheme="minorHAnsi" w:cstheme="minorHAnsi"/>
        </w:rPr>
        <w:noBreakHyphen/>
        <w:t xml:space="preserve">market </w:t>
      </w:r>
      <w:proofErr w:type="spellStart"/>
      <w:r w:rsidRPr="00FE1F95">
        <w:rPr>
          <w:rFonts w:asciiTheme="minorHAnsi" w:eastAsia="Times New Roman" w:hAnsiTheme="minorHAnsi" w:cstheme="minorHAnsi"/>
        </w:rPr>
        <w:t>deposit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liabilities</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BET_KOT_MTM</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but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under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term</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deposit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instrument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BET_KOT_LEKOT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with</w:t>
      </w:r>
      <w:proofErr w:type="spellEnd"/>
      <w:r w:rsidRPr="00FE1F95">
        <w:rPr>
          <w:rFonts w:asciiTheme="minorHAnsi" w:eastAsia="Times New Roman" w:hAnsiTheme="minorHAnsi" w:cstheme="minorHAnsi"/>
        </w:rPr>
        <w:t xml:space="preserve"> a </w:t>
      </w:r>
      <w:proofErr w:type="spellStart"/>
      <w:r w:rsidRPr="00FE1F95">
        <w:rPr>
          <w:rFonts w:asciiTheme="minorHAnsi" w:eastAsia="Times New Roman" w:hAnsiTheme="minorHAnsi" w:cstheme="minorHAnsi"/>
        </w:rPr>
        <w:t>maturity</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corresponding</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to</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that</w:t>
      </w:r>
      <w:proofErr w:type="spellEnd"/>
      <w:r w:rsidRPr="00FE1F95">
        <w:rPr>
          <w:rFonts w:asciiTheme="minorHAnsi" w:eastAsia="Times New Roman" w:hAnsiTheme="minorHAnsi" w:cstheme="minorHAnsi"/>
        </w:rPr>
        <w:t xml:space="preserve"> of the underlying transaction. </w:t>
      </w:r>
    </w:p>
    <w:p w14:paraId="3B29C4E9" w14:textId="568A7226" w:rsidR="00096B56" w:rsidRPr="00FE1F95" w:rsidRDefault="00096B56" w:rsidP="00096B56">
      <w:pPr>
        <w:pStyle w:val="Listaszerbekezds"/>
        <w:numPr>
          <w:ilvl w:val="0"/>
          <w:numId w:val="10"/>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Structured deposits must be reported as follows: in addition to the appropriate instrument type, the “Is it part of a hybrid/structured product?”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must be </w:t>
      </w:r>
      <w:proofErr w:type="spellStart"/>
      <w:r w:rsidRPr="00FE1F95">
        <w:rPr>
          <w:rFonts w:asciiTheme="minorHAnsi" w:eastAsia="Times New Roman" w:hAnsiTheme="minorHAnsi" w:cstheme="minorHAnsi"/>
        </w:rPr>
        <w:t>populated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with</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HIBRID_TOKEVED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or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HIBRID_NTOKEVED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as</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applicable</w:t>
      </w:r>
      <w:proofErr w:type="spellEnd"/>
      <w:r w:rsidRPr="00FE1F95">
        <w:rPr>
          <w:rFonts w:asciiTheme="minorHAnsi" w:eastAsia="Times New Roman" w:hAnsiTheme="minorHAnsi" w:cstheme="minorHAnsi"/>
        </w:rPr>
        <w:t xml:space="preserve">. </w:t>
      </w:r>
    </w:p>
    <w:p w14:paraId="4C73FE7A" w14:textId="7313171F" w:rsidR="00096B56" w:rsidRPr="00FE1F95" w:rsidRDefault="00096B56" w:rsidP="00096B56">
      <w:pPr>
        <w:pStyle w:val="Listaszerbekezds"/>
        <w:numPr>
          <w:ilvl w:val="0"/>
          <w:numId w:val="10"/>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Overpayments related to loans granted to customers must be </w:t>
      </w:r>
      <w:proofErr w:type="spellStart"/>
      <w:r w:rsidRPr="00FE1F95">
        <w:rPr>
          <w:rFonts w:asciiTheme="minorHAnsi" w:eastAsia="Times New Roman" w:hAnsiTheme="minorHAnsi" w:cstheme="minorHAnsi"/>
        </w:rPr>
        <w:t>reported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under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instrument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type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BET_KOT_HITSZLA</w:t>
      </w:r>
      <w:proofErr w:type="spellEnd"/>
      <w:r w:rsidRPr="00FE1F95">
        <w:rPr>
          <w:rFonts w:asciiTheme="minorHAnsi" w:eastAsia="Times New Roman" w:hAnsiTheme="minorHAnsi" w:cstheme="minorHAnsi"/>
        </w:rPr>
        <w:t>’.</w:t>
      </w:r>
    </w:p>
    <w:p w14:paraId="1C40F8BF" w14:textId="222E8C37" w:rsidR="00474B9D" w:rsidRPr="00FE1F95" w:rsidRDefault="00474B9D" w:rsidP="00116445">
      <w:pPr>
        <w:rPr>
          <w:rFonts w:asciiTheme="minorHAnsi" w:hAnsiTheme="minorHAnsi" w:cstheme="minorHAnsi"/>
        </w:rPr>
      </w:pPr>
    </w:p>
    <w:p w14:paraId="45D47FD3" w14:textId="77777777" w:rsidR="0073150C" w:rsidRPr="00FE1F95" w:rsidRDefault="0073150C" w:rsidP="0073150C">
      <w:pPr>
        <w:rPr>
          <w:rFonts w:asciiTheme="minorHAnsi" w:hAnsiTheme="minorHAnsi" w:cstheme="minorHAnsi"/>
        </w:rPr>
      </w:pPr>
      <w:r w:rsidRPr="00FE1F95">
        <w:rPr>
          <w:rFonts w:asciiTheme="minorHAnsi" w:hAnsiTheme="minorHAnsi" w:cstheme="minorHAnsi"/>
        </w:rPr>
        <w:t>In special cases not detailed above, the instrument type must be determined in a manner consistent with the M04 data collection.</w:t>
      </w:r>
    </w:p>
    <w:p w14:paraId="0438AB3B" w14:textId="60FCD596" w:rsidR="0073150C" w:rsidRPr="00FE1F95" w:rsidRDefault="0073150C" w:rsidP="0073150C">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33A66" w:rsidRPr="00FE1F95">
        <w:rPr>
          <w:rFonts w:asciiTheme="minorHAnsi" w:hAnsiTheme="minorHAnsi" w:cstheme="minorHAnsi"/>
          <w:b/>
          <w:bCs/>
        </w:rPr>
        <w:t>Instrument</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creation</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method</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ATSOROL</w:t>
      </w:r>
      <w:proofErr w:type="spellEnd"/>
      <w:r w:rsidRPr="00FE1F95">
        <w:rPr>
          <w:rFonts w:asciiTheme="minorHAnsi" w:hAnsiTheme="minorHAnsi" w:cstheme="minorHAnsi"/>
          <w:b/>
          <w:bCs/>
        </w:rPr>
        <w:t>’</w:t>
      </w:r>
      <w:r w:rsidRPr="00FE1F95">
        <w:rPr>
          <w:rFonts w:asciiTheme="minorHAnsi" w:hAnsiTheme="minorHAnsi" w:cstheme="minorHAnsi"/>
        </w:rPr>
        <w:t xml:space="preserve"> must be </w:t>
      </w:r>
      <w:proofErr w:type="spellStart"/>
      <w:r w:rsidRPr="00FE1F95">
        <w:rPr>
          <w:rFonts w:asciiTheme="minorHAnsi" w:hAnsiTheme="minorHAnsi" w:cstheme="minorHAnsi"/>
        </w:rPr>
        <w:t>applied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cases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where</w:t>
      </w:r>
      <w:proofErr w:type="spellEnd"/>
      <w:r w:rsidRPr="00FE1F95">
        <w:rPr>
          <w:rFonts w:asciiTheme="minorHAnsi" w:hAnsiTheme="minorHAnsi" w:cstheme="minorHAnsi"/>
        </w:rPr>
        <w:t xml:space="preserve">, in M04, a positive change is reported for the instrument under the column “Reclassifications and other volume changes”, with the proviso that no materiality threshold applies in BETREG in this respect (i.e. reclassifications below HUF 500 million must also be reported). Accordingly, any change in the counterparty’s country or sector, or in the instrument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ATSOROL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mode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origination</w:t>
      </w:r>
      <w:proofErr w:type="spellEnd"/>
      <w:r w:rsidRPr="00FE1F95">
        <w:rPr>
          <w:rFonts w:asciiTheme="minorHAnsi" w:hAnsiTheme="minorHAnsi" w:cstheme="minorHAnsi"/>
        </w:rPr>
        <w:t>, provided that a previous instrument is terminated and a new instrument is initiated. If the change in the indicated attributes occurs within the same instrument, it is not necessary to close the instrument and open a new one; the reclassification is reflected within the MNB systems.</w:t>
      </w:r>
    </w:p>
    <w:p w14:paraId="0D0DA74A" w14:textId="7DEC2E55" w:rsidR="0073150C" w:rsidRPr="00FE1F95" w:rsidRDefault="0073150C" w:rsidP="0073150C">
      <w:pPr>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33A66" w:rsidRPr="00FE1F95">
        <w:rPr>
          <w:rFonts w:asciiTheme="minorHAnsi" w:hAnsiTheme="minorHAnsi" w:cstheme="minorHAnsi"/>
          <w:b/>
          <w:bCs/>
        </w:rPr>
        <w:t>Instrument</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inception</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date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is, in principle, the date of the original deposit placement; in the case of newly placed deposits, this is the placement date. If no new placement occurred during the month, the date of the most recent placement must be reported. For roll</w:t>
      </w:r>
      <w:r w:rsidRPr="00FE1F95">
        <w:rPr>
          <w:rFonts w:asciiTheme="minorHAnsi" w:hAnsiTheme="minorHAnsi" w:cstheme="minorHAnsi"/>
        </w:rPr>
        <w:noBreakHyphen/>
        <w:t>over deposits, the start date must not be modified if no interest capitalization occurs. In the case of sight deposits, the date reported in the contract date field must be entered as the deposit start date. For overpayments related to loans granted to customers, the date on which the overpayment arose must be reported as the start date.</w:t>
      </w:r>
    </w:p>
    <w:p w14:paraId="5FD785D7" w14:textId="28B71FC0" w:rsidR="0073150C" w:rsidRPr="00FE1F95" w:rsidRDefault="0073150C" w:rsidP="0073150C">
      <w:pPr>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roll</w:t>
      </w:r>
      <w:r w:rsidRPr="00FE1F95">
        <w:rPr>
          <w:rFonts w:asciiTheme="minorHAnsi" w:hAnsiTheme="minorHAnsi" w:cstheme="minorHAnsi"/>
        </w:rPr>
        <w:noBreakHyphen/>
        <w:t xml:space="preserve">over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33A66" w:rsidRPr="00FE1F95">
        <w:rPr>
          <w:rFonts w:asciiTheme="minorHAnsi" w:hAnsiTheme="minorHAnsi" w:cstheme="minorHAnsi"/>
          <w:b/>
          <w:bCs/>
        </w:rPr>
        <w:t>Contracted</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maturity</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date</w:t>
      </w:r>
      <w:proofErr w:type="spellEnd"/>
      <w:r w:rsidR="00333A66" w:rsidRPr="00FE1F95">
        <w:rPr>
          <w:rFonts w:asciiTheme="minorHAnsi" w:hAnsiTheme="minorHAnsi" w:cstheme="minorHAnsi"/>
          <w:b/>
          <w:bCs/>
        </w:rPr>
        <w:t xml:space="preserve"> of </w:t>
      </w:r>
      <w:proofErr w:type="spellStart"/>
      <w:r w:rsidR="00333A66" w:rsidRPr="00FE1F95">
        <w:rPr>
          <w:rFonts w:asciiTheme="minorHAnsi" w:hAnsiTheme="minorHAnsi" w:cstheme="minorHAnsi"/>
          <w:b/>
          <w:bCs/>
        </w:rPr>
        <w:t>instrument</w:t>
      </w:r>
      <w:proofErr w:type="spellEnd"/>
      <w:r w:rsidRPr="00FE1F95">
        <w:rPr>
          <w:rFonts w:asciiTheme="minorHAnsi" w:hAnsiTheme="minorHAnsi" w:cstheme="minorHAnsi"/>
          <w:b/>
          <w:bCs/>
        </w:rPr>
        <w:t>”</w:t>
      </w:r>
      <w:r w:rsidRPr="00FE1F95">
        <w:rPr>
          <w:rFonts w:asciiTheme="minorHAnsi" w:hAnsiTheme="minorHAnsi" w:cstheme="minorHAnsi"/>
        </w:rPr>
        <w:t xml:space="preserve"> is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maturity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after</w:t>
      </w:r>
      <w:proofErr w:type="spellEnd"/>
      <w:r w:rsidRPr="00FE1F95">
        <w:rPr>
          <w:rFonts w:asciiTheme="minorHAnsi" w:hAnsiTheme="minorHAnsi" w:cstheme="minorHAnsi"/>
        </w:rPr>
        <w:t xml:space="preserve"> renewal. For sight deposits, notice deposits, and mark</w:t>
      </w:r>
      <w:r w:rsidRPr="00FE1F95">
        <w:rPr>
          <w:rFonts w:asciiTheme="minorHAnsi" w:hAnsiTheme="minorHAnsi" w:cstheme="minorHAnsi"/>
        </w:rPr>
        <w:noBreakHyphen/>
        <w:t>to</w:t>
      </w:r>
      <w:r w:rsidRPr="00FE1F95">
        <w:rPr>
          <w:rFonts w:asciiTheme="minorHAnsi" w:hAnsiTheme="minorHAnsi" w:cstheme="minorHAnsi"/>
        </w:rPr>
        <w:noBreakHyphen/>
        <w:t>market deposits, this field must not be populated.</w:t>
      </w:r>
    </w:p>
    <w:p w14:paraId="6A367FA4" w14:textId="4B6975FC" w:rsidR="0073150C" w:rsidRPr="00FE1F95" w:rsidRDefault="0073150C" w:rsidP="0073150C">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33A66" w:rsidRPr="00FE1F95">
        <w:rPr>
          <w:rFonts w:asciiTheme="minorHAnsi" w:hAnsiTheme="minorHAnsi" w:cstheme="minorHAnsi"/>
          <w:b/>
          <w:bCs/>
        </w:rPr>
        <w:t>Amount</w:t>
      </w:r>
      <w:proofErr w:type="spellEnd"/>
      <w:r w:rsidR="00333A66" w:rsidRPr="00FE1F95">
        <w:rPr>
          <w:rFonts w:asciiTheme="minorHAnsi" w:hAnsiTheme="minorHAnsi" w:cstheme="minorHAnsi"/>
          <w:b/>
          <w:bCs/>
        </w:rPr>
        <w:t xml:space="preserve"> of </w:t>
      </w:r>
      <w:proofErr w:type="spellStart"/>
      <w:r w:rsidR="00333A66" w:rsidRPr="00FE1F95">
        <w:rPr>
          <w:rFonts w:asciiTheme="minorHAnsi" w:hAnsiTheme="minorHAnsi" w:cstheme="minorHAnsi"/>
          <w:b/>
          <w:bCs/>
        </w:rPr>
        <w:t>change</w:t>
      </w:r>
      <w:proofErr w:type="spellEnd"/>
      <w:r w:rsidR="00333A66" w:rsidRPr="00FE1F95">
        <w:rPr>
          <w:rFonts w:asciiTheme="minorHAnsi" w:hAnsiTheme="minorHAnsi" w:cstheme="minorHAnsi"/>
          <w:b/>
          <w:bCs/>
        </w:rPr>
        <w:t xml:space="preserve"> in </w:t>
      </w:r>
      <w:proofErr w:type="spellStart"/>
      <w:r w:rsidR="00333A66" w:rsidRPr="00FE1F95">
        <w:rPr>
          <w:rFonts w:asciiTheme="minorHAnsi" w:hAnsiTheme="minorHAnsi" w:cstheme="minorHAnsi"/>
          <w:b/>
          <w:bCs/>
        </w:rPr>
        <w:t>portfolio</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due</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to</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revaluation</w:t>
      </w:r>
      <w:proofErr w:type="spellEnd"/>
      <w:r w:rsidR="00333A66" w:rsidRPr="00FE1F95">
        <w:rPr>
          <w:rFonts w:asciiTheme="minorHAnsi" w:hAnsiTheme="minorHAnsi" w:cstheme="minorHAnsi"/>
          <w:b/>
          <w:bCs/>
        </w:rPr>
        <w:t xml:space="preserve"> of </w:t>
      </w:r>
      <w:proofErr w:type="spellStart"/>
      <w:r w:rsidR="00333A66" w:rsidRPr="00FE1F95">
        <w:rPr>
          <w:rFonts w:asciiTheme="minorHAnsi" w:hAnsiTheme="minorHAnsi" w:cstheme="minorHAnsi"/>
          <w:b/>
          <w:bCs/>
        </w:rPr>
        <w:t>derivatives</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related</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to</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structured</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deposits</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DERIV_ATERT_AV_OSSZEG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revaluation</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derivative</w:t>
      </w:r>
      <w:proofErr w:type="spellEnd"/>
      <w:r w:rsidRPr="00FE1F95">
        <w:rPr>
          <w:rFonts w:asciiTheme="minorHAnsi" w:hAnsiTheme="minorHAnsi" w:cstheme="minorHAnsi"/>
        </w:rPr>
        <w:t xml:space="preserve"> linked to the structured deposit must be reported. This field must be populated in all cases—including with a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zero</w:t>
      </w:r>
      <w:proofErr w:type="spellEnd"/>
      <w:r w:rsidRPr="00FE1F95">
        <w:rPr>
          <w:rFonts w:asciiTheme="minorHAnsi" w:hAnsiTheme="minorHAnsi" w:cstheme="minorHAnsi"/>
        </w:rPr>
        <w:t>—</w:t>
      </w:r>
      <w:proofErr w:type="spellStart"/>
      <w:r w:rsidRPr="00FE1F95">
        <w:rPr>
          <w:rFonts w:asciiTheme="minorHAnsi" w:hAnsiTheme="minorHAnsi" w:cstheme="minorHAnsi"/>
        </w:rPr>
        <w:t>whenever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r w:rsidR="00333A66" w:rsidRPr="00FE1F95">
        <w:rPr>
          <w:rFonts w:asciiTheme="minorHAnsi" w:hAnsiTheme="minorHAnsi" w:cstheme="minorHAnsi"/>
          <w:b/>
          <w:bCs/>
        </w:rPr>
        <w:t xml:space="preserve">Is </w:t>
      </w:r>
      <w:proofErr w:type="spellStart"/>
      <w:r w:rsidR="00333A66" w:rsidRPr="00FE1F95">
        <w:rPr>
          <w:rFonts w:asciiTheme="minorHAnsi" w:hAnsiTheme="minorHAnsi" w:cstheme="minorHAnsi"/>
          <w:b/>
          <w:bCs/>
        </w:rPr>
        <w:t>it</w:t>
      </w:r>
      <w:proofErr w:type="spellEnd"/>
      <w:r w:rsidR="00333A66" w:rsidRPr="00FE1F95">
        <w:rPr>
          <w:rFonts w:asciiTheme="minorHAnsi" w:hAnsiTheme="minorHAnsi" w:cstheme="minorHAnsi"/>
          <w:b/>
          <w:bCs/>
        </w:rPr>
        <w:t xml:space="preserve"> part of a </w:t>
      </w:r>
      <w:proofErr w:type="spellStart"/>
      <w:r w:rsidR="00333A66" w:rsidRPr="00FE1F95">
        <w:rPr>
          <w:rFonts w:asciiTheme="minorHAnsi" w:hAnsiTheme="minorHAnsi" w:cstheme="minorHAnsi"/>
          <w:b/>
          <w:bCs/>
        </w:rPr>
        <w:t>hybrid</w:t>
      </w:r>
      <w:proofErr w:type="spellEnd"/>
      <w:r w:rsidR="00333A66" w:rsidRPr="00FE1F95">
        <w:rPr>
          <w:rFonts w:asciiTheme="minorHAnsi" w:hAnsiTheme="minorHAnsi" w:cstheme="minorHAnsi"/>
          <w:b/>
          <w:bCs/>
        </w:rPr>
        <w:t>/</w:t>
      </w:r>
      <w:proofErr w:type="spellStart"/>
      <w:r w:rsidR="00333A66" w:rsidRPr="00FE1F95">
        <w:rPr>
          <w:rFonts w:asciiTheme="minorHAnsi" w:hAnsiTheme="minorHAnsi" w:cstheme="minorHAnsi"/>
          <w:b/>
          <w:bCs/>
        </w:rPr>
        <w:t>structured</w:t>
      </w:r>
      <w:proofErr w:type="spellEnd"/>
      <w:r w:rsidR="00333A66" w:rsidRPr="00FE1F95">
        <w:rPr>
          <w:rFonts w:asciiTheme="minorHAnsi" w:hAnsiTheme="minorHAnsi" w:cstheme="minorHAnsi"/>
          <w:b/>
          <w:bCs/>
        </w:rPr>
        <w:t xml:space="preserve"> </w:t>
      </w:r>
      <w:proofErr w:type="spellStart"/>
      <w:r w:rsidR="00333A66" w:rsidRPr="00FE1F95">
        <w:rPr>
          <w:rFonts w:asciiTheme="minorHAnsi" w:hAnsiTheme="minorHAnsi" w:cstheme="minorHAnsi"/>
          <w:b/>
          <w:bCs/>
        </w:rPr>
        <w:t>product</w:t>
      </w:r>
      <w:proofErr w:type="spellEnd"/>
      <w:r w:rsidR="00333A66" w:rsidRPr="00FE1F95">
        <w:rPr>
          <w:rFonts w:asciiTheme="minorHAnsi" w:hAnsiTheme="minorHAnsi" w:cstheme="minorHAnsi"/>
          <w:b/>
          <w:bCs/>
        </w:rPr>
        <w:t>?</w:t>
      </w:r>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does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contain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NHIBRID</w:t>
      </w:r>
      <w:proofErr w:type="spellEnd"/>
      <w:r w:rsidRPr="00FE1F95">
        <w:rPr>
          <w:rFonts w:asciiTheme="minorHAnsi" w:hAnsiTheme="minorHAnsi" w:cstheme="minorHAnsi"/>
        </w:rPr>
        <w:t>’, i.e. when the deposit forms part of a hybrid/structured product.</w:t>
      </w:r>
    </w:p>
    <w:p w14:paraId="47CB9E0E" w14:textId="34894157" w:rsidR="0073150C" w:rsidRPr="00FE1F95" w:rsidRDefault="0073150C" w:rsidP="0073150C">
      <w:pPr>
        <w:rPr>
          <w:rFonts w:asciiTheme="minorHAnsi" w:hAnsiTheme="minorHAnsi" w:cstheme="minorHAnsi"/>
        </w:rPr>
      </w:pPr>
      <w:r w:rsidRPr="00FE1F95">
        <w:rPr>
          <w:rFonts w:asciiTheme="minorHAnsi" w:hAnsiTheme="minorHAnsi" w:cstheme="minorHAnsi"/>
        </w:rPr>
        <w:t xml:space="preserve">The </w:t>
      </w:r>
      <w:r w:rsidRPr="00FE1F95">
        <w:rPr>
          <w:rFonts w:asciiTheme="minorHAnsi" w:hAnsiTheme="minorHAnsi" w:cstheme="minorHAnsi"/>
          <w:b/>
          <w:bCs/>
        </w:rPr>
        <w:t>“</w:t>
      </w:r>
      <w:proofErr w:type="spellStart"/>
      <w:r w:rsidR="00650694" w:rsidRPr="00FE1F95">
        <w:rPr>
          <w:rFonts w:asciiTheme="minorHAnsi" w:hAnsiTheme="minorHAnsi" w:cstheme="minorHAnsi"/>
          <w:b/>
          <w:bCs/>
        </w:rPr>
        <w:t>Instrument</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amount</w:t>
      </w:r>
      <w:proofErr w:type="spellEnd"/>
      <w:r w:rsidRPr="00FE1F95">
        <w:rPr>
          <w:rFonts w:asciiTheme="minorHAnsi" w:hAnsiTheme="minorHAnsi" w:cstheme="minorHAnsi"/>
          <w:b/>
          <w:bCs/>
        </w:rPr>
        <w:t>”</w:t>
      </w:r>
      <w:r w:rsidRPr="00FE1F95">
        <w:rPr>
          <w:rFonts w:asciiTheme="minorHAnsi" w:hAnsiTheme="minorHAnsi" w:cstheme="minorHAnsi"/>
        </w:rPr>
        <w:t xml:space="preserve"> is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contractual amount and must not be populated for the following instrument types: transferable deposits; sight and current account deposits; overnight (O/N) deposits; savings accounts; securities accounts; loan accounts, including accounts related to card loans; notice deposits; and mark</w:t>
      </w:r>
      <w:r w:rsidRPr="00FE1F95">
        <w:rPr>
          <w:rFonts w:asciiTheme="minorHAnsi" w:hAnsiTheme="minorHAnsi" w:cstheme="minorHAnsi"/>
        </w:rPr>
        <w:noBreakHyphen/>
        <w:t>to</w:t>
      </w:r>
      <w:r w:rsidRPr="00FE1F95">
        <w:rPr>
          <w:rFonts w:asciiTheme="minorHAnsi" w:hAnsiTheme="minorHAnsi" w:cstheme="minorHAnsi"/>
        </w:rPr>
        <w:noBreakHyphen/>
        <w:t>market deposit liabilities. In the case of term deposit agreements, this field must already be populated at the time of contract conclusion (see Section 2.2 for further details).</w:t>
      </w:r>
    </w:p>
    <w:p w14:paraId="7AF73B5A" w14:textId="35B24A70" w:rsidR="0073150C" w:rsidRPr="00FE1F95" w:rsidRDefault="0073150C" w:rsidP="0073150C">
      <w:pPr>
        <w:rPr>
          <w:rFonts w:asciiTheme="minorHAnsi" w:hAnsiTheme="minorHAnsi" w:cstheme="minorHAnsi"/>
        </w:rPr>
      </w:pPr>
      <w:r w:rsidRPr="00FE1F95">
        <w:rPr>
          <w:rFonts w:asciiTheme="minorHAnsi" w:hAnsiTheme="minorHAnsi" w:cstheme="minorHAnsi"/>
        </w:rPr>
        <w:lastRenderedPageBreak/>
        <w:t>For notice deposits and mark</w:t>
      </w:r>
      <w:r w:rsidRPr="00FE1F95">
        <w:rPr>
          <w:rFonts w:asciiTheme="minorHAnsi" w:hAnsiTheme="minorHAnsi" w:cstheme="minorHAnsi"/>
        </w:rPr>
        <w:noBreakHyphen/>
        <w:t>to</w:t>
      </w:r>
      <w:r w:rsidRPr="00FE1F95">
        <w:rPr>
          <w:rFonts w:asciiTheme="minorHAnsi" w:hAnsiTheme="minorHAnsi" w:cstheme="minorHAnsi"/>
        </w:rPr>
        <w:noBreakHyphen/>
        <w:t xml:space="preserve">market deposit liabilities, the </w:t>
      </w:r>
      <w:r w:rsidRPr="00FE1F95">
        <w:rPr>
          <w:rFonts w:asciiTheme="minorHAnsi" w:hAnsiTheme="minorHAnsi" w:cstheme="minorHAnsi"/>
          <w:b/>
          <w:bCs/>
        </w:rPr>
        <w:t>“Original maturity”</w:t>
      </w:r>
      <w:r w:rsidRPr="00FE1F95">
        <w:rPr>
          <w:rFonts w:asciiTheme="minorHAnsi" w:hAnsiTheme="minorHAnsi" w:cstheme="minorHAnsi"/>
        </w:rPr>
        <w:t xml:space="preserve"> field must be populated with a code representing within one </w:t>
      </w:r>
      <w:proofErr w:type="spellStart"/>
      <w:r w:rsidRPr="00FE1F95">
        <w:rPr>
          <w:rFonts w:asciiTheme="minorHAnsi" w:hAnsiTheme="minorHAnsi" w:cstheme="minorHAnsi"/>
        </w:rPr>
        <w:t>year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while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Re</w:t>
      </w:r>
      <w:r w:rsidR="00650694" w:rsidRPr="00FE1F95">
        <w:rPr>
          <w:rFonts w:asciiTheme="minorHAnsi" w:hAnsiTheme="minorHAnsi" w:cstheme="minorHAnsi"/>
          <w:b/>
          <w:bCs/>
        </w:rPr>
        <w:t>maining</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maturity</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must be set to ‘0–30N’ (0–30 days). These items are also classified among short</w:t>
      </w:r>
      <w:r w:rsidRPr="00FE1F95">
        <w:rPr>
          <w:rFonts w:asciiTheme="minorHAnsi" w:hAnsiTheme="minorHAnsi" w:cstheme="minorHAnsi"/>
        </w:rPr>
        <w:noBreakHyphen/>
        <w:t>term term deposit</w:t>
      </w:r>
      <w:r w:rsidRPr="00FE1F95">
        <w:rPr>
          <w:rFonts w:asciiTheme="minorHAnsi" w:hAnsiTheme="minorHAnsi" w:cstheme="minorHAnsi"/>
          <w:b/>
          <w:bCs/>
        </w:rPr>
        <w:t>s</w:t>
      </w:r>
      <w:r w:rsidRPr="00FE1F95">
        <w:rPr>
          <w:rFonts w:asciiTheme="minorHAnsi" w:hAnsiTheme="minorHAnsi" w:cstheme="minorHAnsi"/>
        </w:rPr>
        <w:t xml:space="preserve"> in the Statistical Balance Sheet.</w:t>
      </w:r>
    </w:p>
    <w:p w14:paraId="79ACD4D1" w14:textId="77777777" w:rsidR="0073150C" w:rsidRPr="00FE1F95" w:rsidRDefault="0073150C" w:rsidP="0073150C">
      <w:pPr>
        <w:rPr>
          <w:rFonts w:asciiTheme="minorHAnsi" w:hAnsiTheme="minorHAnsi" w:cstheme="minorHAnsi"/>
        </w:rPr>
      </w:pPr>
      <w:r w:rsidRPr="00FE1F95">
        <w:rPr>
          <w:rFonts w:asciiTheme="minorHAnsi" w:hAnsiTheme="minorHAnsi" w:cstheme="minorHAnsi"/>
        </w:rPr>
        <w:t>For financial products containing repeated roll</w:t>
      </w:r>
      <w:r w:rsidRPr="00FE1F95">
        <w:rPr>
          <w:rFonts w:asciiTheme="minorHAnsi" w:hAnsiTheme="minorHAnsi" w:cstheme="minorHAnsi"/>
        </w:rPr>
        <w:noBreakHyphen/>
        <w:t xml:space="preserve">over instructions, instruments must be classified into the respective maturity categories in the </w:t>
      </w:r>
      <w:r w:rsidRPr="00FE1F95">
        <w:rPr>
          <w:rFonts w:asciiTheme="minorHAnsi" w:hAnsiTheme="minorHAnsi" w:cstheme="minorHAnsi"/>
          <w:b/>
          <w:bCs/>
        </w:rPr>
        <w:t>“Original maturity”</w:t>
      </w:r>
      <w:r w:rsidRPr="00FE1F95">
        <w:rPr>
          <w:rFonts w:asciiTheme="minorHAnsi" w:hAnsiTheme="minorHAnsi" w:cstheme="minorHAnsi"/>
        </w:rPr>
        <w:t xml:space="preserve"> field by taking into account the time interval from the start date of the current placement until the date of the next roll</w:t>
      </w:r>
      <w:r w:rsidRPr="00FE1F95">
        <w:rPr>
          <w:rFonts w:asciiTheme="minorHAnsi" w:hAnsiTheme="minorHAnsi" w:cstheme="minorHAnsi"/>
        </w:rPr>
        <w:noBreakHyphen/>
        <w:t xml:space="preserve">over. This implies that, from the date of the first renewal onwards, the maturity calculated from the deposit start and maturity dates diverges from the maturity category reported in the </w:t>
      </w:r>
      <w:r w:rsidRPr="00FE1F95">
        <w:rPr>
          <w:rFonts w:asciiTheme="minorHAnsi" w:hAnsiTheme="minorHAnsi" w:cstheme="minorHAnsi"/>
          <w:b/>
          <w:bCs/>
        </w:rPr>
        <w:t>“Original maturity”</w:t>
      </w:r>
      <w:r w:rsidRPr="00FE1F95">
        <w:rPr>
          <w:rFonts w:asciiTheme="minorHAnsi" w:hAnsiTheme="minorHAnsi" w:cstheme="minorHAnsi"/>
        </w:rPr>
        <w:t xml:space="preserve"> field.</w:t>
      </w:r>
    </w:p>
    <w:p w14:paraId="766D5021" w14:textId="77777777" w:rsidR="0073150C" w:rsidRPr="00FE1F95" w:rsidRDefault="0073150C" w:rsidP="0073150C">
      <w:pPr>
        <w:rPr>
          <w:rFonts w:asciiTheme="minorHAnsi" w:hAnsiTheme="minorHAnsi" w:cstheme="minorHAnsi"/>
        </w:rPr>
      </w:pPr>
      <w:r w:rsidRPr="00FE1F95">
        <w:rPr>
          <w:rFonts w:asciiTheme="minorHAnsi" w:hAnsiTheme="minorHAnsi" w:cstheme="minorHAnsi"/>
        </w:rPr>
        <w:t>Rules applicable to matured term deposits:</w:t>
      </w:r>
    </w:p>
    <w:p w14:paraId="5AA80C14" w14:textId="77777777" w:rsidR="0073150C" w:rsidRPr="00FE1F95" w:rsidRDefault="0073150C" w:rsidP="0073150C">
      <w:pPr>
        <w:numPr>
          <w:ilvl w:val="0"/>
          <w:numId w:val="21"/>
        </w:numPr>
        <w:rPr>
          <w:rFonts w:asciiTheme="minorHAnsi" w:hAnsiTheme="minorHAnsi" w:cstheme="minorHAnsi"/>
        </w:rPr>
      </w:pPr>
      <w:r w:rsidRPr="00FE1F95">
        <w:rPr>
          <w:rFonts w:asciiTheme="minorHAnsi" w:hAnsiTheme="minorHAnsi" w:cstheme="minorHAnsi"/>
        </w:rPr>
        <w:t>If the customer renews the deposit, the original and residual maturities must be determined based on the time interval between the renewal date and the new maturity date.</w:t>
      </w:r>
    </w:p>
    <w:p w14:paraId="7BE45279" w14:textId="77777777" w:rsidR="0073150C" w:rsidRPr="00FE1F95" w:rsidRDefault="0073150C" w:rsidP="0073150C">
      <w:pPr>
        <w:numPr>
          <w:ilvl w:val="0"/>
          <w:numId w:val="21"/>
        </w:numPr>
        <w:rPr>
          <w:rFonts w:asciiTheme="minorHAnsi" w:hAnsiTheme="minorHAnsi" w:cstheme="minorHAnsi"/>
        </w:rPr>
      </w:pPr>
      <w:r w:rsidRPr="00FE1F95">
        <w:rPr>
          <w:rFonts w:asciiTheme="minorHAnsi" w:hAnsiTheme="minorHAnsi" w:cstheme="minorHAnsi"/>
        </w:rPr>
        <w:t>Continuously rolled</w:t>
      </w:r>
      <w:r w:rsidRPr="00FE1F95">
        <w:rPr>
          <w:rFonts w:asciiTheme="minorHAnsi" w:hAnsiTheme="minorHAnsi" w:cstheme="minorHAnsi"/>
        </w:rPr>
        <w:noBreakHyphen/>
        <w:t>over deposits (which are renewed without customer intervention) must also remain within the stock of term deposits; when determining the original and residual maturities, the time interval from the start date of the current placement until the next roll</w:t>
      </w:r>
      <w:r w:rsidRPr="00FE1F95">
        <w:rPr>
          <w:rFonts w:asciiTheme="minorHAnsi" w:hAnsiTheme="minorHAnsi" w:cstheme="minorHAnsi"/>
        </w:rPr>
        <w:noBreakHyphen/>
        <w:t>over date must be taken into account.</w:t>
      </w:r>
    </w:p>
    <w:p w14:paraId="013CEBCA" w14:textId="77777777" w:rsidR="0073150C" w:rsidRPr="00FE1F95" w:rsidRDefault="0073150C" w:rsidP="0073150C">
      <w:pPr>
        <w:numPr>
          <w:ilvl w:val="0"/>
          <w:numId w:val="21"/>
        </w:numPr>
        <w:rPr>
          <w:rFonts w:asciiTheme="minorHAnsi" w:hAnsiTheme="minorHAnsi" w:cstheme="minorHAnsi"/>
        </w:rPr>
      </w:pPr>
      <w:r w:rsidRPr="00FE1F95">
        <w:rPr>
          <w:rFonts w:asciiTheme="minorHAnsi" w:hAnsiTheme="minorHAnsi" w:cstheme="minorHAnsi"/>
        </w:rPr>
        <w:t>If the credit institution transfers the amount of the term deposit to the current account after maturity, the matured deposit must be reported among sight and current account deposits.</w:t>
      </w:r>
    </w:p>
    <w:p w14:paraId="192E535E" w14:textId="77777777" w:rsidR="0073150C" w:rsidRPr="00FE1F95" w:rsidRDefault="0073150C" w:rsidP="0073150C">
      <w:pPr>
        <w:numPr>
          <w:ilvl w:val="0"/>
          <w:numId w:val="21"/>
        </w:numPr>
        <w:rPr>
          <w:rFonts w:asciiTheme="minorHAnsi" w:hAnsiTheme="minorHAnsi" w:cstheme="minorHAnsi"/>
        </w:rPr>
      </w:pPr>
      <w:r w:rsidRPr="00FE1F95">
        <w:rPr>
          <w:rFonts w:asciiTheme="minorHAnsi" w:hAnsiTheme="minorHAnsi" w:cstheme="minorHAnsi"/>
        </w:rPr>
        <w:t>If the customer does not renew the matured deposit, but the credit institution continues to provide the conditions specified in the original deposit contract without re</w:t>
      </w:r>
      <w:r w:rsidRPr="00FE1F95">
        <w:rPr>
          <w:rFonts w:asciiTheme="minorHAnsi" w:hAnsiTheme="minorHAnsi" w:cstheme="minorHAnsi"/>
        </w:rPr>
        <w:noBreakHyphen/>
        <w:t>placement, the matured deposit amount must remain among term deposits, with the original maturity category unchanged from the category applicable prior to maturity, and the residual maturity reported as the shortest interval (0–30 days).</w:t>
      </w:r>
    </w:p>
    <w:p w14:paraId="330D36C8" w14:textId="77777777" w:rsidR="009314D1" w:rsidRPr="00FE1F95" w:rsidRDefault="009314D1" w:rsidP="00116445">
      <w:pPr>
        <w:rPr>
          <w:rFonts w:asciiTheme="minorHAnsi" w:hAnsiTheme="minorHAnsi" w:cstheme="minorHAnsi"/>
        </w:rPr>
      </w:pPr>
    </w:p>
    <w:p w14:paraId="660005D4" w14:textId="77777777" w:rsidR="001A07C1" w:rsidRPr="00FE1F95" w:rsidRDefault="001A07C1" w:rsidP="001A07C1">
      <w:pPr>
        <w:rPr>
          <w:rFonts w:asciiTheme="minorHAnsi" w:hAnsiTheme="minorHAnsi" w:cstheme="minorHAnsi"/>
        </w:rPr>
      </w:pPr>
      <w:r w:rsidRPr="00FE1F95">
        <w:rPr>
          <w:rFonts w:asciiTheme="minorHAnsi" w:hAnsiTheme="minorHAnsi" w:cstheme="minorHAnsi"/>
        </w:rPr>
        <w:t xml:space="preserve">Effective as of the January 2026 reference period, the </w:t>
      </w:r>
      <w:r w:rsidRPr="00FE1F95">
        <w:rPr>
          <w:rFonts w:asciiTheme="minorHAnsi" w:hAnsiTheme="minorHAnsi" w:cstheme="minorHAnsi"/>
          <w:b/>
          <w:bCs/>
        </w:rPr>
        <w:t>“Original Maturity”</w:t>
      </w:r>
      <w:r w:rsidRPr="00FE1F95">
        <w:rPr>
          <w:rFonts w:asciiTheme="minorHAnsi" w:hAnsiTheme="minorHAnsi" w:cstheme="minorHAnsi"/>
        </w:rPr>
        <w:t xml:space="preserve"> field may no longer use the original maturity code for maturities within one year (“0–1EV”). Instead, the following more detailed breakdown codes must be applied: “1NAP–1HET”, “1HET–1HO”, “31–90N”, “91–180N”, and “181–365N”. Within these, “1NAP–1HET” refers to original maturities of 1–7 days, while “1HET–1HO” refers to original maturities of 8–30 days.</w:t>
      </w:r>
      <w:r w:rsidRPr="00FE1F95">
        <w:rPr>
          <w:rFonts w:asciiTheme="minorHAnsi" w:hAnsiTheme="minorHAnsi" w:cstheme="minorHAnsi"/>
        </w:rPr>
        <w:br/>
        <w:t xml:space="preserve">The requirements applicable to new contracts are set </w:t>
      </w:r>
      <w:proofErr w:type="gramStart"/>
      <w:r w:rsidRPr="00FE1F95">
        <w:rPr>
          <w:rFonts w:asciiTheme="minorHAnsi" w:hAnsiTheme="minorHAnsi" w:cstheme="minorHAnsi"/>
        </w:rPr>
        <w:t>out in</w:t>
      </w:r>
      <w:proofErr w:type="gramEnd"/>
      <w:r w:rsidRPr="00FE1F95">
        <w:rPr>
          <w:rFonts w:asciiTheme="minorHAnsi" w:hAnsiTheme="minorHAnsi" w:cstheme="minorHAnsi"/>
        </w:rPr>
        <w:t xml:space="preserve"> Section 2.1.</w:t>
      </w:r>
    </w:p>
    <w:p w14:paraId="29EC94F2" w14:textId="38447C97" w:rsidR="001A07C1" w:rsidRPr="00FE1F95" w:rsidRDefault="001A07C1" w:rsidP="001A07C1">
      <w:pPr>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current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accounts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A961ED" w:rsidRPr="00FE1F95">
        <w:rPr>
          <w:rFonts w:asciiTheme="minorHAnsi" w:hAnsiTheme="minorHAnsi" w:cstheme="minorHAnsi"/>
          <w:b/>
          <w:bCs/>
        </w:rPr>
        <w:t>Locked</w:t>
      </w:r>
      <w:proofErr w:type="spellEnd"/>
      <w:r w:rsidR="00A961ED" w:rsidRPr="00FE1F95">
        <w:rPr>
          <w:rFonts w:asciiTheme="minorHAnsi" w:hAnsiTheme="minorHAnsi" w:cstheme="minorHAnsi"/>
          <w:b/>
          <w:bCs/>
        </w:rPr>
        <w:t xml:space="preserve"> </w:t>
      </w:r>
      <w:proofErr w:type="spellStart"/>
      <w:r w:rsidR="00A961ED" w:rsidRPr="00FE1F95">
        <w:rPr>
          <w:rFonts w:asciiTheme="minorHAnsi" w:hAnsiTheme="minorHAnsi" w:cstheme="minorHAnsi"/>
          <w:b/>
          <w:bCs/>
        </w:rPr>
        <w:t>Amount</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w:t>
      </w:r>
      <w:proofErr w:type="spellEnd"/>
      <w:r w:rsidRPr="00FE1F95">
        <w:rPr>
          <w:rFonts w:asciiTheme="minorHAnsi" w:hAnsiTheme="minorHAnsi" w:cstheme="minorHAnsi"/>
        </w:rPr>
        <w:t xml:space="preserve">, in a single aggregate amount, the total value of holds outstanding at month-end, denominated in the currency of the account on which the hold is placed. This field shall include all amounts to which the customer no longer has access (including, for example, authorisations related to card transactions). Positive holds must also be reported, i.e. amounts </w:t>
      </w:r>
      <w:proofErr w:type="gramStart"/>
      <w:r w:rsidRPr="00FE1F95">
        <w:rPr>
          <w:rFonts w:asciiTheme="minorHAnsi" w:hAnsiTheme="minorHAnsi" w:cstheme="minorHAnsi"/>
        </w:rPr>
        <w:t>pre-booked</w:t>
      </w:r>
      <w:proofErr w:type="gramEnd"/>
      <w:r w:rsidRPr="00FE1F95">
        <w:rPr>
          <w:rFonts w:asciiTheme="minorHAnsi" w:hAnsiTheme="minorHAnsi" w:cstheme="minorHAnsi"/>
        </w:rPr>
        <w:t xml:space="preserve"> to the customer’s account but not yet credited. Prescribed debits shall be reported with a negative sign, while projected credits shall be reported with a positive sign.</w:t>
      </w:r>
    </w:p>
    <w:p w14:paraId="741AD636" w14:textId="77777777" w:rsidR="001A07C1" w:rsidRPr="00FE1F95" w:rsidRDefault="001A07C1" w:rsidP="001A07C1">
      <w:pPr>
        <w:rPr>
          <w:rFonts w:asciiTheme="minorHAnsi" w:hAnsiTheme="minorHAnsi" w:cstheme="minorHAnsi"/>
        </w:rPr>
      </w:pPr>
      <w:r w:rsidRPr="00FE1F95">
        <w:rPr>
          <w:rFonts w:asciiTheme="minorHAnsi" w:hAnsiTheme="minorHAnsi" w:cstheme="minorHAnsi"/>
        </w:rPr>
        <w:t>If a deposit account shows a negative balance at month-end and, accordingly, the balance is reported in HITREG as a forced loan/overdraft, the deposit account shall be reported in BETREG with a zero balance in accordance with the requirements; consequently, the amount of holds must also be reported.</w:t>
      </w:r>
    </w:p>
    <w:p w14:paraId="5E16E473" w14:textId="377BB076" w:rsidR="006C7D26" w:rsidRPr="00FE1F95" w:rsidRDefault="006C7D26" w:rsidP="00116445">
      <w:pPr>
        <w:rPr>
          <w:rFonts w:asciiTheme="minorHAnsi" w:hAnsiTheme="minorHAnsi" w:cstheme="minorHAnsi"/>
        </w:rPr>
      </w:pPr>
    </w:p>
    <w:p w14:paraId="7CC11038" w14:textId="77777777" w:rsidR="001A07C1" w:rsidRPr="00FE1F95" w:rsidRDefault="001A07C1" w:rsidP="001A07C1">
      <w:pPr>
        <w:keepNext/>
        <w:rPr>
          <w:rFonts w:asciiTheme="minorHAnsi" w:hAnsiTheme="minorHAnsi" w:cstheme="minorHAnsi"/>
        </w:rPr>
      </w:pPr>
      <w:r w:rsidRPr="00FE1F95">
        <w:rPr>
          <w:rFonts w:asciiTheme="minorHAnsi" w:hAnsiTheme="minorHAnsi" w:cstheme="minorHAnsi"/>
        </w:rPr>
        <w:t xml:space="preserve">Information related to holds must be reported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Transferable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BET_KOT_TRSZF</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Sight</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Current</w:t>
      </w:r>
      <w:proofErr w:type="spellEnd"/>
      <w:r w:rsidRPr="00FE1F95">
        <w:rPr>
          <w:rFonts w:asciiTheme="minorHAnsi" w:hAnsiTheme="minorHAnsi" w:cstheme="minorHAnsi"/>
        </w:rPr>
        <w:t xml:space="preserve"> Account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excluding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transferable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 (“</w:t>
      </w:r>
      <w:proofErr w:type="spellStart"/>
      <w:r w:rsidRPr="00FE1F95">
        <w:rPr>
          <w:rFonts w:asciiTheme="minorHAnsi" w:hAnsiTheme="minorHAnsi" w:cstheme="minorHAnsi"/>
        </w:rPr>
        <w:t>BET_KOT_LATRA</w:t>
      </w:r>
      <w:proofErr w:type="spellEnd"/>
      <w:r w:rsidRPr="00FE1F95">
        <w:rPr>
          <w:rFonts w:asciiTheme="minorHAnsi" w:hAnsiTheme="minorHAnsi" w:cstheme="minorHAnsi"/>
        </w:rPr>
        <w:t>”). For these instrument types, information on holds must be reported in all cases (a value of 0 must be reported if there are no holds).</w:t>
      </w:r>
    </w:p>
    <w:p w14:paraId="15983321" w14:textId="7F350FC4" w:rsidR="001A07C1" w:rsidRPr="00FE1F95" w:rsidRDefault="001A07C1" w:rsidP="001A07C1">
      <w:pPr>
        <w:keepNext/>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 xml:space="preserve">“Outflow </w:t>
      </w:r>
      <w:proofErr w:type="spellStart"/>
      <w:r w:rsidR="00A961ED" w:rsidRPr="00FE1F95">
        <w:rPr>
          <w:rFonts w:asciiTheme="minorHAnsi" w:hAnsiTheme="minorHAnsi" w:cstheme="minorHAnsi"/>
          <w:b/>
          <w:bCs/>
        </w:rPr>
        <w:t>weight</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applied</w:t>
      </w:r>
      <w:proofErr w:type="spellEnd"/>
      <w:r w:rsidRPr="00FE1F95">
        <w:rPr>
          <w:rFonts w:asciiTheme="minorHAnsi" w:hAnsiTheme="minorHAnsi" w:cstheme="minorHAnsi"/>
          <w:b/>
          <w:bCs/>
        </w:rPr>
        <w:t xml:space="preserve"> in </w:t>
      </w:r>
      <w:proofErr w:type="spellStart"/>
      <w:r w:rsidRPr="00FE1F95">
        <w:rPr>
          <w:rFonts w:asciiTheme="minorHAnsi" w:hAnsiTheme="minorHAnsi" w:cstheme="minorHAnsi"/>
          <w:b/>
          <w:bCs/>
        </w:rPr>
        <w:t>the</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Liquidity</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Coverage</w:t>
      </w:r>
      <w:proofErr w:type="spellEnd"/>
      <w:r w:rsidRPr="00FE1F95">
        <w:rPr>
          <w:rFonts w:asciiTheme="minorHAnsi" w:hAnsiTheme="minorHAnsi" w:cstheme="minorHAnsi"/>
          <w:b/>
          <w:bCs/>
        </w:rPr>
        <w:t xml:space="preserve"> Ratio (</w:t>
      </w:r>
      <w:proofErr w:type="spellStart"/>
      <w:r w:rsidRPr="00FE1F95">
        <w:rPr>
          <w:rFonts w:asciiTheme="minorHAnsi" w:hAnsiTheme="minorHAnsi" w:cstheme="minorHAnsi"/>
          <w:b/>
          <w:bCs/>
        </w:rPr>
        <w:t>LCR</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outflow rate must be reported consistently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data</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included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LCR</w:t>
      </w:r>
      <w:proofErr w:type="spellEnd"/>
      <w:r w:rsidRPr="00FE1F95">
        <w:rPr>
          <w:rFonts w:asciiTheme="minorHAnsi" w:hAnsiTheme="minorHAnsi" w:cstheme="minorHAnsi"/>
        </w:rPr>
        <w:t xml:space="preserve"> (C_73) </w:t>
      </w:r>
      <w:proofErr w:type="spellStart"/>
      <w:r w:rsidRPr="00FE1F95">
        <w:rPr>
          <w:rFonts w:asciiTheme="minorHAnsi" w:hAnsiTheme="minorHAnsi" w:cstheme="minorHAnsi"/>
        </w:rPr>
        <w:t>report</w:t>
      </w:r>
      <w:proofErr w:type="spellEnd"/>
      <w:r w:rsidRPr="00FE1F95">
        <w:rPr>
          <w:rFonts w:asciiTheme="minorHAnsi" w:hAnsiTheme="minorHAnsi" w:cstheme="minorHAnsi"/>
        </w:rPr>
        <w:t xml:space="preserve">. As a general rule, an outflow rate must be assigned to those other items for which, based on contractual terms, the obligation becomes due or may become due within 30 days. </w:t>
      </w:r>
      <w:r w:rsidRPr="00FE1F95">
        <w:rPr>
          <w:rFonts w:asciiTheme="minorHAnsi" w:hAnsiTheme="minorHAnsi" w:cstheme="minorHAnsi"/>
        </w:rPr>
        <w:lastRenderedPageBreak/>
        <w:t xml:space="preserve">No value needs to be assigned to items </w:t>
      </w:r>
      <w:proofErr w:type="spellStart"/>
      <w:r w:rsidRPr="00FE1F95">
        <w:rPr>
          <w:rFonts w:asciiTheme="minorHAnsi" w:hAnsiTheme="minorHAnsi" w:cstheme="minorHAnsi"/>
        </w:rPr>
        <w:t>that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included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LCR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calculation</w:t>
      </w:r>
      <w:proofErr w:type="spellEnd"/>
      <w:r w:rsidRPr="00FE1F95">
        <w:rPr>
          <w:rFonts w:asciiTheme="minorHAnsi" w:hAnsiTheme="minorHAnsi" w:cstheme="minorHAnsi"/>
        </w:rPr>
        <w:t>. For branches of credit institutions, this field must not be reported.</w:t>
      </w:r>
    </w:p>
    <w:p w14:paraId="0AEE2A12" w14:textId="16C0469C" w:rsidR="001A07C1" w:rsidRPr="00FE1F95" w:rsidRDefault="001A07C1" w:rsidP="001A07C1">
      <w:pPr>
        <w:keepNext/>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tiered</w:t>
      </w:r>
      <w:proofErr w:type="spellEnd"/>
      <w:r w:rsidRPr="00FE1F95">
        <w:rPr>
          <w:rFonts w:asciiTheme="minorHAnsi" w:hAnsiTheme="minorHAnsi" w:cstheme="minorHAnsi"/>
        </w:rPr>
        <w:t xml:space="preserve"> interest </w:t>
      </w:r>
      <w:proofErr w:type="spellStart"/>
      <w:r w:rsidRPr="00FE1F95">
        <w:rPr>
          <w:rFonts w:asciiTheme="minorHAnsi" w:hAnsiTheme="minorHAnsi" w:cstheme="minorHAnsi"/>
        </w:rPr>
        <w:t>rate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A57C85" w:rsidRPr="00FE1F95">
        <w:rPr>
          <w:rFonts w:asciiTheme="minorHAnsi" w:hAnsiTheme="minorHAnsi" w:cstheme="minorHAnsi"/>
          <w:b/>
          <w:bCs/>
        </w:rPr>
        <w:t>Accrued</w:t>
      </w:r>
      <w:proofErr w:type="spellEnd"/>
      <w:r w:rsidR="00A57C85" w:rsidRPr="00FE1F95">
        <w:rPr>
          <w:rFonts w:asciiTheme="minorHAnsi" w:hAnsiTheme="minorHAnsi" w:cstheme="minorHAnsi"/>
          <w:b/>
          <w:bCs/>
        </w:rPr>
        <w:t xml:space="preserve"> interest</w:t>
      </w:r>
      <w:r w:rsidRPr="00FE1F95">
        <w:rPr>
          <w:rFonts w:asciiTheme="minorHAnsi" w:hAnsiTheme="minorHAnsi" w:cstheme="minorHAnsi"/>
          <w:b/>
          <w:bCs/>
        </w:rPr>
        <w:t>”</w:t>
      </w:r>
      <w:r w:rsidRPr="00FE1F95">
        <w:rPr>
          <w:rFonts w:asciiTheme="minorHAnsi" w:hAnsiTheme="minorHAnsi" w:cstheme="minorHAnsi"/>
        </w:rPr>
        <w:t xml:space="preserve"> and </w:t>
      </w:r>
      <w:r w:rsidRPr="00FE1F95">
        <w:rPr>
          <w:rFonts w:asciiTheme="minorHAnsi" w:hAnsiTheme="minorHAnsi" w:cstheme="minorHAnsi"/>
          <w:b/>
          <w:bCs/>
        </w:rPr>
        <w:t xml:space="preserve">“Interest </w:t>
      </w:r>
      <w:proofErr w:type="spellStart"/>
      <w:r w:rsidRPr="00FE1F95">
        <w:rPr>
          <w:rFonts w:asciiTheme="minorHAnsi" w:hAnsiTheme="minorHAnsi" w:cstheme="minorHAnsi"/>
          <w:b/>
          <w:bCs/>
        </w:rPr>
        <w:t>for</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the</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reporting</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period</w:t>
      </w:r>
      <w:proofErr w:type="spellEnd"/>
      <w:r w:rsidRPr="00FE1F95">
        <w:rPr>
          <w:rFonts w:asciiTheme="minorHAnsi" w:hAnsiTheme="minorHAnsi" w:cstheme="minorHAnsi"/>
          <w:b/>
          <w:bCs/>
        </w:rPr>
        <w:t xml:space="preserve"> (statistical)”</w:t>
      </w:r>
      <w:r w:rsidRPr="00FE1F95">
        <w:rPr>
          <w:rFonts w:asciiTheme="minorHAnsi" w:hAnsiTheme="minorHAnsi" w:cstheme="minorHAnsi"/>
        </w:rPr>
        <w:t xml:space="preserve"> fields must always be calculated using the interest rate applicable to the tier into which the outstanding amount falls.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r w:rsidR="00A57C85" w:rsidRPr="00FE1F95">
        <w:rPr>
          <w:rFonts w:asciiTheme="minorHAnsi" w:hAnsiTheme="minorHAnsi" w:cstheme="minorHAnsi"/>
          <w:b/>
          <w:bCs/>
        </w:rPr>
        <w:t xml:space="preserve">Interest </w:t>
      </w:r>
      <w:proofErr w:type="spellStart"/>
      <w:r w:rsidR="00A57C85" w:rsidRPr="00FE1F95">
        <w:rPr>
          <w:rFonts w:asciiTheme="minorHAnsi" w:hAnsiTheme="minorHAnsi" w:cstheme="minorHAnsi"/>
          <w:b/>
          <w:bCs/>
        </w:rPr>
        <w:t>rate</w:t>
      </w:r>
      <w:proofErr w:type="spellEnd"/>
      <w:r w:rsidR="00A57C85" w:rsidRPr="00FE1F95">
        <w:rPr>
          <w:rFonts w:asciiTheme="minorHAnsi" w:hAnsiTheme="minorHAnsi" w:cstheme="minorHAnsi"/>
          <w:b/>
          <w:bCs/>
        </w:rPr>
        <w:t xml:space="preserve"> </w:t>
      </w:r>
      <w:proofErr w:type="spellStart"/>
      <w:r w:rsidR="00A57C85" w:rsidRPr="00FE1F95">
        <w:rPr>
          <w:rFonts w:asciiTheme="minorHAnsi" w:hAnsiTheme="minorHAnsi" w:cstheme="minorHAnsi"/>
          <w:b/>
          <w:bCs/>
        </w:rPr>
        <w:t>type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tiered</w:t>
      </w:r>
      <w:proofErr w:type="spellEnd"/>
      <w:r w:rsidRPr="00FE1F95">
        <w:rPr>
          <w:rFonts w:asciiTheme="minorHAnsi" w:hAnsiTheme="minorHAnsi" w:cstheme="minorHAnsi"/>
        </w:rPr>
        <w:t xml:space="preserve"> interest </w:t>
      </w:r>
      <w:proofErr w:type="spellStart"/>
      <w:r w:rsidRPr="00FE1F95">
        <w:rPr>
          <w:rFonts w:asciiTheme="minorHAnsi" w:hAnsiTheme="minorHAnsi" w:cstheme="minorHAnsi"/>
        </w:rPr>
        <w:t>rates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VK</w:t>
      </w:r>
      <w:proofErr w:type="spellEnd"/>
      <w:r w:rsidRPr="00FE1F95">
        <w:rPr>
          <w:rFonts w:asciiTheme="minorHAnsi" w:hAnsiTheme="minorHAnsi" w:cstheme="minorHAnsi"/>
        </w:rPr>
        <w:t>” (</w:t>
      </w:r>
      <w:proofErr w:type="spellStart"/>
      <w:r w:rsidRPr="00FE1F95">
        <w:rPr>
          <w:rFonts w:asciiTheme="minorHAnsi" w:hAnsiTheme="minorHAnsi" w:cstheme="minorHAnsi"/>
        </w:rPr>
        <w:t>Variable</w:t>
      </w:r>
      <w:proofErr w:type="spellEnd"/>
      <w:r w:rsidRPr="00FE1F95">
        <w:rPr>
          <w:rFonts w:asciiTheme="minorHAnsi" w:hAnsiTheme="minorHAnsi" w:cstheme="minorHAnsi"/>
        </w:rPr>
        <w:t xml:space="preserve"> interest </w:t>
      </w:r>
      <w:proofErr w:type="spellStart"/>
      <w:r w:rsidRPr="00FE1F95">
        <w:rPr>
          <w:rFonts w:asciiTheme="minorHAnsi" w:hAnsiTheme="minorHAnsi" w:cstheme="minorHAnsi"/>
        </w:rPr>
        <w:t>rate</w:t>
      </w:r>
      <w:proofErr w:type="spellEnd"/>
      <w:r w:rsidRPr="00FE1F95">
        <w:rPr>
          <w:rFonts w:asciiTheme="minorHAnsi" w:hAnsiTheme="minorHAnsi" w:cstheme="minorHAnsi"/>
        </w:rPr>
        <w:t xml:space="preserve"> – not linked to a reference rate) must be reported.</w:t>
      </w:r>
    </w:p>
    <w:p w14:paraId="6DD0A70A" w14:textId="2421A492" w:rsidR="001A07C1" w:rsidRPr="00FE1F95" w:rsidRDefault="001A07C1" w:rsidP="001A07C1">
      <w:pPr>
        <w:keepNext/>
        <w:rPr>
          <w:rFonts w:asciiTheme="minorHAnsi" w:hAnsiTheme="minorHAnsi" w:cstheme="minorHAnsi"/>
          <w:b/>
          <w:bCs/>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r w:rsidR="00D82AC9" w:rsidRPr="00FE1F95">
        <w:rPr>
          <w:rFonts w:asciiTheme="minorHAnsi" w:hAnsiTheme="minorHAnsi" w:cstheme="minorHAnsi"/>
          <w:b/>
          <w:bCs/>
        </w:rPr>
        <w:t xml:space="preserve">Outstanding </w:t>
      </w:r>
      <w:proofErr w:type="spellStart"/>
      <w:r w:rsidR="00D82AC9" w:rsidRPr="00FE1F95">
        <w:rPr>
          <w:rFonts w:asciiTheme="minorHAnsi" w:hAnsiTheme="minorHAnsi" w:cstheme="minorHAnsi"/>
          <w:b/>
          <w:bCs/>
        </w:rPr>
        <w:t>principal</w:t>
      </w:r>
      <w:proofErr w:type="spellEnd"/>
      <w:r w:rsidR="00D82AC9" w:rsidRPr="00FE1F95">
        <w:rPr>
          <w:rFonts w:asciiTheme="minorHAnsi" w:hAnsiTheme="minorHAnsi" w:cstheme="minorHAnsi"/>
          <w:b/>
          <w:bCs/>
        </w:rPr>
        <w:t xml:space="preserve"> </w:t>
      </w:r>
      <w:proofErr w:type="spellStart"/>
      <w:r w:rsidR="00D82AC9" w:rsidRPr="00FE1F95">
        <w:rPr>
          <w:rFonts w:asciiTheme="minorHAnsi" w:hAnsiTheme="minorHAnsi" w:cstheme="minorHAnsi"/>
          <w:b/>
          <w:bCs/>
        </w:rPr>
        <w:t>balance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nominal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(principal amount) excluding accrued interest must be reported. Where the reporting entity and the observed entity are identical, this amount must be consistent with the corresponding values (row code “B” – Gross principal amount) in Table 01 of the Statistical Balance Sheet, which contains data without foreign branches.</w:t>
      </w:r>
    </w:p>
    <w:p w14:paraId="78A514CE" w14:textId="77777777" w:rsidR="001A07C1" w:rsidRPr="00FE1F95" w:rsidRDefault="001A07C1" w:rsidP="001A07C1">
      <w:pPr>
        <w:keepNext/>
        <w:rPr>
          <w:rFonts w:asciiTheme="minorHAnsi" w:hAnsiTheme="minorHAnsi" w:cstheme="minorHAnsi"/>
        </w:rPr>
      </w:pPr>
      <w:r w:rsidRPr="00FE1F95">
        <w:rPr>
          <w:rFonts w:asciiTheme="minorHAnsi" w:hAnsiTheme="minorHAnsi" w:cstheme="minorHAnsi"/>
        </w:rPr>
        <w:t xml:space="preserve">In the </w:t>
      </w:r>
      <w:r w:rsidRPr="00FE1F95">
        <w:rPr>
          <w:rFonts w:asciiTheme="minorHAnsi" w:hAnsiTheme="minorHAnsi" w:cstheme="minorHAnsi"/>
          <w:b/>
          <w:bCs/>
        </w:rPr>
        <w:t>“Valuation difference”</w:t>
      </w:r>
      <w:r w:rsidRPr="00FE1F95">
        <w:rPr>
          <w:rFonts w:asciiTheme="minorHAnsi" w:hAnsiTheme="minorHAnsi" w:cstheme="minorHAnsi"/>
        </w:rPr>
        <w:t xml:space="preserve"> field, the amount representing the difference between the gross outstanding principal amount at the end of the period and the book value, excluding the part explained by accrued (statistical) interest, must be reported. This includes, inter alia, differences arising from the calculation of effective interest and fair value differences resulting from the initial valuation of instruments. Where the reporting entity and the observed entity are identical, the reported data must be consistent with the corresponding values (row code “K” – Valuation difference) in Table 01 of the Statistical Balance Sheet, which contains data without foreign branches.</w:t>
      </w:r>
    </w:p>
    <w:p w14:paraId="701C0B82" w14:textId="5FE139E9" w:rsidR="001A07C1" w:rsidRPr="00FE1F95" w:rsidRDefault="001A07C1" w:rsidP="001A07C1">
      <w:pPr>
        <w:keepNext/>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Accrued</w:t>
      </w:r>
      <w:proofErr w:type="spellEnd"/>
      <w:r w:rsidRPr="00FE1F95">
        <w:rPr>
          <w:rFonts w:asciiTheme="minorHAnsi" w:hAnsiTheme="minorHAnsi" w:cstheme="minorHAnsi"/>
          <w:b/>
          <w:bCs/>
        </w:rPr>
        <w:t xml:space="preserve"> interest”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portion</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accrued</w:t>
      </w:r>
      <w:proofErr w:type="spellEnd"/>
      <w:r w:rsidRPr="00FE1F95">
        <w:rPr>
          <w:rFonts w:asciiTheme="minorHAnsi" w:hAnsiTheme="minorHAnsi" w:cstheme="minorHAnsi"/>
        </w:rPr>
        <w:t xml:space="preserve"> statistical interest income that has not yet been financially settled and appears as a balance sheet item at the end of the period must be reported. For certificate deposits, interest accrued after each completed year may not be reported in this field; such interest must be reported as part of the outstanding balance, even if it has not yet been capitalised. If accrued interest is negative due to a negative interest rate environment, it must still be reported in the data collection on the same line as the related instrument, with a negative sign.</w:t>
      </w:r>
    </w:p>
    <w:p w14:paraId="7EF270FC" w14:textId="77777777" w:rsidR="001A07C1" w:rsidRPr="00FE1F95" w:rsidRDefault="001A07C1" w:rsidP="001A07C1">
      <w:pPr>
        <w:keepNext/>
        <w:rPr>
          <w:rFonts w:asciiTheme="minorHAnsi" w:hAnsiTheme="minorHAnsi" w:cstheme="minorHAnsi"/>
        </w:rPr>
      </w:pPr>
      <w:r w:rsidRPr="00FE1F95">
        <w:rPr>
          <w:rFonts w:asciiTheme="minorHAnsi" w:hAnsiTheme="minorHAnsi" w:cstheme="minorHAnsi"/>
        </w:rPr>
        <w:t>Accrued interest on current accounts must be reported in such a way that, if at month-end a debit-type (i.e. overdraft) current account reported in HITREG is associated with accrued deposit interest payable, the accrued (deposit) interest balance must be presented on the liabilities side of the balance sheet, i.e. in BETREG, even if there is no corresponding deposit-side outstanding balance. If, due to monthly balance changes, both interest receivable and interest payable relate to the same position, these should, where possible, be reported on a gross basis: interest receivable as an asset, and interest payable attributable to the liability-side balance as a liability in the respective reports. Where the reporting entity and the observed entity are identical, the data reported in this field must be consistent with the corresponding values (row code “F” – Accrued interest) in Table 01 of the Statistical Balance Sheet, which contains data without foreign branches.</w:t>
      </w:r>
    </w:p>
    <w:p w14:paraId="5D6D5815" w14:textId="77777777"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“Interest for the reporting period (statistical)”</w:t>
      </w:r>
      <w:r w:rsidRPr="00FE1F95">
        <w:rPr>
          <w:rFonts w:asciiTheme="minorHAnsi" w:hAnsiTheme="minorHAnsi" w:cstheme="minorHAnsi"/>
          <w:sz w:val="20"/>
          <w:szCs w:val="20"/>
          <w:lang w:val="en-GB"/>
        </w:rPr>
        <w:t xml:space="preserve"> field, the (statistical) interest charged on the outstanding balances during the reporting period, not adjusted for financial settlement (i.e. statistical interest income payable for the reporting month), must be reported. If the interest charged for the reporting period is negative due to a negative interest rate environment, it must be reported with a negative sign.</w:t>
      </w:r>
    </w:p>
    <w:p w14:paraId="46D8FEBC" w14:textId="77777777"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Interest for the reporting period on current accounts must be reported in such a way that, if interest expense arises due to intra-month balances on the current account, but the balance as of the last day of the month is asset-type, the interest expense must still be presented on the liabilities side (i.e. in BETREG), even if the month-end principal balance is zero. If, </w:t>
      </w:r>
      <w:proofErr w:type="gramStart"/>
      <w:r w:rsidRPr="00FE1F95">
        <w:rPr>
          <w:rFonts w:asciiTheme="minorHAnsi" w:hAnsiTheme="minorHAnsi" w:cstheme="minorHAnsi"/>
          <w:sz w:val="20"/>
          <w:szCs w:val="20"/>
          <w:lang w:val="en-GB"/>
        </w:rPr>
        <w:t>as a result of</w:t>
      </w:r>
      <w:proofErr w:type="gramEnd"/>
      <w:r w:rsidRPr="00FE1F95">
        <w:rPr>
          <w:rFonts w:asciiTheme="minorHAnsi" w:hAnsiTheme="minorHAnsi" w:cstheme="minorHAnsi"/>
          <w:sz w:val="20"/>
          <w:szCs w:val="20"/>
          <w:lang w:val="en-GB"/>
        </w:rPr>
        <w:t xml:space="preserve"> monthly balance changes, both interest income and interest expense relate to the same position, these should, where possible, be reported on a gross basis: interest income under asset-side loans (in HITREG), and interest expense attributable to liability-side balances under deposits (in BETREG). The data reported in this field must be consistent with the reporting-month value of the statistical interest expense related to the corresponding instrument in the statistical profit and loss statement.</w:t>
      </w:r>
    </w:p>
    <w:p w14:paraId="0DB15BB9" w14:textId="7ABD1DB1"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The </w:t>
      </w:r>
      <w:r w:rsidRPr="00FE1F95">
        <w:rPr>
          <w:rFonts w:asciiTheme="minorHAnsi" w:hAnsiTheme="minorHAnsi" w:cstheme="minorHAnsi"/>
          <w:b/>
          <w:bCs/>
          <w:sz w:val="20"/>
          <w:szCs w:val="20"/>
          <w:lang w:val="en-GB"/>
        </w:rPr>
        <w:t>“Annualised interest rate</w:t>
      </w:r>
      <w:r w:rsidR="00D82AC9" w:rsidRPr="00FE1F95">
        <w:rPr>
          <w:rFonts w:asciiTheme="minorHAnsi" w:hAnsiTheme="minorHAnsi" w:cstheme="minorHAnsi"/>
          <w:b/>
          <w:bCs/>
          <w:sz w:val="20"/>
          <w:szCs w:val="20"/>
          <w:lang w:val="en-GB"/>
        </w:rPr>
        <w:t xml:space="preserve"> (of stocks)</w:t>
      </w:r>
      <w:r w:rsidRPr="00FE1F95">
        <w:rPr>
          <w:rFonts w:asciiTheme="minorHAnsi" w:hAnsiTheme="minorHAnsi" w:cstheme="minorHAnsi"/>
          <w:b/>
          <w:bCs/>
          <w:sz w:val="20"/>
          <w:szCs w:val="20"/>
          <w:lang w:val="en-GB"/>
        </w:rPr>
        <w:t xml:space="preserve"> %”</w:t>
      </w:r>
      <w:r w:rsidRPr="00FE1F95">
        <w:rPr>
          <w:rFonts w:asciiTheme="minorHAnsi" w:hAnsiTheme="minorHAnsi" w:cstheme="minorHAnsi"/>
          <w:sz w:val="20"/>
          <w:szCs w:val="20"/>
          <w:lang w:val="en-GB"/>
        </w:rPr>
        <w:t xml:space="preserve"> field represents the </w:t>
      </w:r>
      <w:proofErr w:type="spellStart"/>
      <w:r w:rsidRPr="00FE1F95">
        <w:rPr>
          <w:rFonts w:asciiTheme="minorHAnsi" w:hAnsiTheme="minorHAnsi" w:cstheme="minorHAnsi"/>
          <w:sz w:val="20"/>
          <w:szCs w:val="20"/>
          <w:lang w:val="en-GB"/>
        </w:rPr>
        <w:t>annualisation</w:t>
      </w:r>
      <w:proofErr w:type="spellEnd"/>
      <w:r w:rsidRPr="00FE1F95">
        <w:rPr>
          <w:rFonts w:asciiTheme="minorHAnsi" w:hAnsiTheme="minorHAnsi" w:cstheme="minorHAnsi"/>
          <w:sz w:val="20"/>
          <w:szCs w:val="20"/>
          <w:lang w:val="en-GB"/>
        </w:rPr>
        <w:t xml:space="preserve"> of the outstanding interest rate, expressed as an annual percentage rate. The annualised outstanding interest rate must be calculated using one of the formulas defined in the Glossary set out in Annex 2 to the Regulation.</w:t>
      </w:r>
    </w:p>
    <w:p w14:paraId="6818917C" w14:textId="77777777"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lastRenderedPageBreak/>
        <w:t>Fields relating to outstanding interest rates must be reported for all instruments outstanding at the end of the reference period.</w:t>
      </w:r>
    </w:p>
    <w:p w14:paraId="1192349E" w14:textId="08AAA22C"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w:t>
      </w:r>
      <w:r w:rsidR="00C92E31" w:rsidRPr="00FE1F95">
        <w:rPr>
          <w:rFonts w:asciiTheme="minorHAnsi" w:hAnsiTheme="minorHAnsi" w:cstheme="minorHAnsi"/>
          <w:b/>
          <w:bCs/>
          <w:sz w:val="20"/>
          <w:szCs w:val="20"/>
          <w:lang w:val="en-GB"/>
        </w:rPr>
        <w:t>Initial nominal interest rate = contractual interest rate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 the interest rate specified in the contract concluded with the customer must be reported. For instruments reported as hybrid in the </w:t>
      </w:r>
      <w:r w:rsidRPr="00FE1F95">
        <w:rPr>
          <w:rFonts w:asciiTheme="minorHAnsi" w:hAnsiTheme="minorHAnsi" w:cstheme="minorHAnsi"/>
          <w:b/>
          <w:bCs/>
          <w:sz w:val="20"/>
          <w:szCs w:val="20"/>
          <w:lang w:val="en-GB"/>
        </w:rPr>
        <w:t>“</w:t>
      </w:r>
      <w:r w:rsidR="00C92E31" w:rsidRPr="00FE1F95">
        <w:rPr>
          <w:rFonts w:asciiTheme="minorHAnsi" w:hAnsiTheme="minorHAnsi" w:cstheme="minorHAnsi"/>
          <w:b/>
          <w:bCs/>
          <w:sz w:val="20"/>
          <w:szCs w:val="20"/>
          <w:lang w:val="en-GB"/>
        </w:rPr>
        <w:t>Is it part</w:t>
      </w:r>
      <w:r w:rsidRPr="00FE1F95">
        <w:rPr>
          <w:rFonts w:asciiTheme="minorHAnsi" w:hAnsiTheme="minorHAnsi" w:cstheme="minorHAnsi"/>
          <w:b/>
          <w:bCs/>
          <w:sz w:val="20"/>
          <w:szCs w:val="20"/>
          <w:lang w:val="en-GB"/>
        </w:rPr>
        <w:t xml:space="preserve"> of a hybrid/structured product?”</w:t>
      </w:r>
      <w:r w:rsidRPr="00FE1F95">
        <w:rPr>
          <w:rFonts w:asciiTheme="minorHAnsi" w:hAnsiTheme="minorHAnsi" w:cstheme="minorHAnsi"/>
          <w:sz w:val="20"/>
          <w:szCs w:val="20"/>
          <w:lang w:val="en-GB"/>
        </w:rPr>
        <w:t xml:space="preserve"> field, the guaranteed minimum interest rate that the customer can achieve without fulfilling the conditions set out in the related derivative contract must be reported as the new contractual interest rate for deposits. If no guaranteed interest rate is specified in the contract, a new contractual interest rate of 0% must be reported.</w:t>
      </w:r>
    </w:p>
    <w:p w14:paraId="30F93A76" w14:textId="0BDF3466"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w:t>
      </w:r>
      <w:r w:rsidR="001C7BCC" w:rsidRPr="00FE1F95">
        <w:rPr>
          <w:rFonts w:asciiTheme="minorHAnsi" w:hAnsiTheme="minorHAnsi" w:cstheme="minorHAnsi"/>
          <w:b/>
          <w:bCs/>
          <w:sz w:val="20"/>
          <w:szCs w:val="20"/>
          <w:lang w:val="en-GB"/>
        </w:rPr>
        <w:t>Annualised agreed rate – new contracts</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 the contractual interest rate annualised and expressed as an annual percentage must be reported. The annualised new contractual interest rate must be calculated using one of the formulas defined in the Glossary set out in Annex 2 to the Regulation.</w:t>
      </w:r>
    </w:p>
    <w:p w14:paraId="64448905" w14:textId="6795828E"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The </w:t>
      </w:r>
      <w:r w:rsidRPr="00FE1F95">
        <w:rPr>
          <w:rFonts w:asciiTheme="minorHAnsi" w:hAnsiTheme="minorHAnsi" w:cstheme="minorHAnsi"/>
          <w:b/>
          <w:bCs/>
          <w:sz w:val="20"/>
          <w:szCs w:val="20"/>
          <w:lang w:val="en-GB"/>
        </w:rPr>
        <w:t>“</w:t>
      </w:r>
      <w:r w:rsidR="001C7BCC" w:rsidRPr="00FE1F95">
        <w:rPr>
          <w:rFonts w:asciiTheme="minorHAnsi" w:hAnsiTheme="minorHAnsi" w:cstheme="minorHAnsi"/>
          <w:b/>
          <w:bCs/>
          <w:sz w:val="20"/>
          <w:szCs w:val="20"/>
          <w:lang w:val="en-GB"/>
        </w:rPr>
        <w:t>Net book value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is the book value valid at the end of the reporting period. Where the reporting entity and the observed entity are identical, this value must be consistent with the corresponding figures (row code “N” – Net book value) in Table 01 of the Statistical Balance Sheet, which contains data without foreign branches.</w:t>
      </w:r>
    </w:p>
    <w:p w14:paraId="344981F3" w14:textId="18136370"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w:t>
      </w:r>
      <w:r w:rsidR="008571EF" w:rsidRPr="00FE1F95">
        <w:rPr>
          <w:rFonts w:asciiTheme="minorHAnsi" w:hAnsiTheme="minorHAnsi" w:cstheme="minorHAnsi"/>
          <w:b/>
          <w:bCs/>
          <w:sz w:val="20"/>
          <w:szCs w:val="20"/>
          <w:lang w:val="en-GB"/>
        </w:rPr>
        <w:t>Repricing period of reference interest rate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 a value of 1 month (“1M”) must be reported in the case of the central bank base rate.</w:t>
      </w:r>
    </w:p>
    <w:p w14:paraId="030B07CB" w14:textId="0F755C02"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w:t>
      </w:r>
      <w:r w:rsidR="008571EF" w:rsidRPr="00FE1F95">
        <w:rPr>
          <w:rFonts w:asciiTheme="minorHAnsi" w:hAnsiTheme="minorHAnsi" w:cstheme="minorHAnsi"/>
          <w:b/>
          <w:bCs/>
          <w:sz w:val="20"/>
          <w:szCs w:val="20"/>
          <w:lang w:val="en-GB"/>
        </w:rPr>
        <w:t>I</w:t>
      </w:r>
      <w:r w:rsidRPr="00FE1F95">
        <w:rPr>
          <w:rFonts w:asciiTheme="minorHAnsi" w:hAnsiTheme="minorHAnsi" w:cstheme="minorHAnsi"/>
          <w:b/>
          <w:bCs/>
          <w:sz w:val="20"/>
          <w:szCs w:val="20"/>
          <w:lang w:val="en-GB"/>
        </w:rPr>
        <w:t>nterest rate</w:t>
      </w:r>
      <w:r w:rsidR="008571EF" w:rsidRPr="00FE1F95">
        <w:rPr>
          <w:rFonts w:asciiTheme="minorHAnsi" w:hAnsiTheme="minorHAnsi" w:cstheme="minorHAnsi"/>
          <w:b/>
          <w:bCs/>
          <w:sz w:val="20"/>
          <w:szCs w:val="20"/>
          <w:lang w:val="en-GB"/>
        </w:rPr>
        <w:t xml:space="preserve"> type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 the code value “NK” may not be used in the </w:t>
      </w:r>
      <w:proofErr w:type="spellStart"/>
      <w:r w:rsidRPr="00FE1F95">
        <w:rPr>
          <w:rFonts w:asciiTheme="minorHAnsi" w:hAnsiTheme="minorHAnsi" w:cstheme="minorHAnsi"/>
          <w:sz w:val="20"/>
          <w:szCs w:val="20"/>
          <w:lang w:val="en-GB"/>
        </w:rPr>
        <w:t>INSTR_BET</w:t>
      </w:r>
      <w:proofErr w:type="spellEnd"/>
      <w:r w:rsidRPr="00FE1F95">
        <w:rPr>
          <w:rFonts w:asciiTheme="minorHAnsi" w:hAnsiTheme="minorHAnsi" w:cstheme="minorHAnsi"/>
          <w:sz w:val="20"/>
          <w:szCs w:val="20"/>
          <w:lang w:val="en-GB"/>
        </w:rPr>
        <w:t xml:space="preserve"> table; non-interest-bearing items must be reported with the interest rate type “FK” and an interest rate of 0%.</w:t>
      </w:r>
    </w:p>
    <w:p w14:paraId="5936B948" w14:textId="1A04BB05"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For the “FK” interest rate type, the </w:t>
      </w:r>
      <w:r w:rsidRPr="00FE1F95">
        <w:rPr>
          <w:rFonts w:asciiTheme="minorHAnsi" w:hAnsiTheme="minorHAnsi" w:cstheme="minorHAnsi"/>
          <w:b/>
          <w:bCs/>
          <w:sz w:val="20"/>
          <w:szCs w:val="20"/>
          <w:lang w:val="en-GB"/>
        </w:rPr>
        <w:t>“Reference rate”</w:t>
      </w:r>
      <w:r w:rsidRPr="00FE1F95">
        <w:rPr>
          <w:rFonts w:asciiTheme="minorHAnsi" w:hAnsiTheme="minorHAnsi" w:cstheme="minorHAnsi"/>
          <w:sz w:val="20"/>
          <w:szCs w:val="20"/>
          <w:lang w:val="en-GB"/>
        </w:rPr>
        <w:t xml:space="preserve"> field and related fields may be left blank or the code value “</w:t>
      </w:r>
      <w:proofErr w:type="spellStart"/>
      <w:r w:rsidRPr="00FE1F95">
        <w:rPr>
          <w:rFonts w:asciiTheme="minorHAnsi" w:hAnsiTheme="minorHAnsi" w:cstheme="minorHAnsi"/>
          <w:sz w:val="20"/>
          <w:szCs w:val="20"/>
          <w:lang w:val="en-GB"/>
        </w:rPr>
        <w:t>NINCS</w:t>
      </w:r>
      <w:proofErr w:type="spellEnd"/>
      <w:r w:rsidRPr="00FE1F95">
        <w:rPr>
          <w:rFonts w:asciiTheme="minorHAnsi" w:hAnsiTheme="minorHAnsi" w:cstheme="minorHAnsi"/>
          <w:sz w:val="20"/>
          <w:szCs w:val="20"/>
          <w:lang w:val="en-GB"/>
        </w:rPr>
        <w:t>” may be reported.</w:t>
      </w:r>
    </w:p>
    <w:p w14:paraId="236EE464" w14:textId="65DDACEE"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The table must also include the </w:t>
      </w:r>
      <w:r w:rsidRPr="00FE1F95">
        <w:rPr>
          <w:rFonts w:asciiTheme="minorHAnsi" w:hAnsiTheme="minorHAnsi" w:cstheme="minorHAnsi"/>
          <w:b/>
          <w:bCs/>
          <w:sz w:val="20"/>
          <w:szCs w:val="20"/>
          <w:lang w:val="en-GB"/>
        </w:rPr>
        <w:t>“</w:t>
      </w:r>
      <w:r w:rsidR="008571EF" w:rsidRPr="00FE1F95">
        <w:rPr>
          <w:rFonts w:asciiTheme="minorHAnsi" w:hAnsiTheme="minorHAnsi" w:cstheme="minorHAnsi"/>
          <w:b/>
          <w:bCs/>
          <w:sz w:val="20"/>
          <w:szCs w:val="20"/>
          <w:lang w:val="en-GB"/>
        </w:rPr>
        <w:t>Product code used in the 9SED table coded supervisory report for an account package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and the </w:t>
      </w:r>
      <w:r w:rsidRPr="00FE1F95">
        <w:rPr>
          <w:rFonts w:asciiTheme="minorHAnsi" w:hAnsiTheme="minorHAnsi" w:cstheme="minorHAnsi"/>
          <w:b/>
          <w:bCs/>
          <w:sz w:val="20"/>
          <w:szCs w:val="20"/>
          <w:lang w:val="en-GB"/>
        </w:rPr>
        <w:t>“</w:t>
      </w:r>
      <w:r w:rsidR="008571EF" w:rsidRPr="00FE1F95">
        <w:rPr>
          <w:rFonts w:asciiTheme="minorHAnsi" w:hAnsiTheme="minorHAnsi" w:cstheme="minorHAnsi"/>
          <w:b/>
          <w:bCs/>
          <w:sz w:val="20"/>
          <w:szCs w:val="20"/>
          <w:lang w:val="en-GB"/>
        </w:rPr>
        <w:t xml:space="preserve">Account package name reported in data reporting with P74 </w:t>
      </w:r>
      <w:proofErr w:type="spellStart"/>
      <w:r w:rsidR="008571EF" w:rsidRPr="00FE1F95">
        <w:rPr>
          <w:rFonts w:asciiTheme="minorHAnsi" w:hAnsiTheme="minorHAnsi" w:cstheme="minorHAnsi"/>
          <w:b/>
          <w:bCs/>
          <w:sz w:val="20"/>
          <w:szCs w:val="20"/>
          <w:lang w:val="en-GB"/>
        </w:rPr>
        <w:t>MNB</w:t>
      </w:r>
      <w:proofErr w:type="spellEnd"/>
      <w:r w:rsidR="008571EF" w:rsidRPr="00FE1F95">
        <w:rPr>
          <w:rFonts w:asciiTheme="minorHAnsi" w:hAnsiTheme="minorHAnsi" w:cstheme="minorHAnsi"/>
          <w:b/>
          <w:bCs/>
          <w:sz w:val="20"/>
          <w:szCs w:val="20"/>
          <w:lang w:val="en-GB"/>
        </w:rPr>
        <w:t xml:space="preserve"> identification code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fields, consistently with the P74 data reporting.</w:t>
      </w:r>
    </w:p>
    <w:p w14:paraId="703C83A7" w14:textId="16C88A15"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w:t>
      </w:r>
      <w:r w:rsidR="008571EF" w:rsidRPr="00FE1F95">
        <w:rPr>
          <w:rFonts w:asciiTheme="minorHAnsi" w:hAnsiTheme="minorHAnsi" w:cstheme="minorHAnsi"/>
          <w:b/>
          <w:bCs/>
          <w:sz w:val="20"/>
          <w:szCs w:val="20"/>
          <w:lang w:val="en-GB"/>
        </w:rPr>
        <w:t>Product code used in the 9SED table coded supervisory report for an account package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 the designation “Foreign currency” must be entered in the case of a foreign currency account. If the account package does not have a 9SED code and is not a foreign currency account, the field must be left blank. If a given product has several variants that have been assigned separate 9SED codes, the specific 9SED code must be provided for each product variant.</w:t>
      </w:r>
    </w:p>
    <w:p w14:paraId="5C9387C4" w14:textId="68BBBF0A" w:rsidR="00CC2C81" w:rsidRPr="00FE1F95" w:rsidRDefault="00CC2C81" w:rsidP="00CC2C81">
      <w:pPr>
        <w:pStyle w:val="Bekezds"/>
        <w:spacing w:line="276" w:lineRule="auto"/>
        <w:jc w:val="both"/>
        <w:rPr>
          <w:rFonts w:asciiTheme="minorHAnsi" w:hAnsiTheme="minorHAnsi" w:cstheme="minorHAnsi"/>
          <w:sz w:val="20"/>
          <w:szCs w:val="20"/>
          <w:lang w:val="en-GB"/>
        </w:rPr>
      </w:pPr>
      <w:r w:rsidRPr="00FE1F95">
        <w:rPr>
          <w:rFonts w:asciiTheme="minorHAnsi" w:hAnsiTheme="minorHAnsi" w:cstheme="minorHAnsi"/>
          <w:sz w:val="20"/>
          <w:szCs w:val="20"/>
          <w:lang w:val="en-GB"/>
        </w:rPr>
        <w:t xml:space="preserve">In the </w:t>
      </w:r>
      <w:r w:rsidRPr="00FE1F95">
        <w:rPr>
          <w:rFonts w:asciiTheme="minorHAnsi" w:hAnsiTheme="minorHAnsi" w:cstheme="minorHAnsi"/>
          <w:b/>
          <w:bCs/>
          <w:sz w:val="20"/>
          <w:szCs w:val="20"/>
          <w:lang w:val="en-GB"/>
        </w:rPr>
        <w:t>“</w:t>
      </w:r>
      <w:r w:rsidR="008571EF" w:rsidRPr="00FE1F95">
        <w:rPr>
          <w:rFonts w:asciiTheme="minorHAnsi" w:hAnsiTheme="minorHAnsi" w:cstheme="minorHAnsi"/>
          <w:b/>
          <w:bCs/>
          <w:sz w:val="20"/>
          <w:szCs w:val="20"/>
          <w:lang w:val="en-GB"/>
        </w:rPr>
        <w:t xml:space="preserve">Account package name reported in data reporting with P74 </w:t>
      </w:r>
      <w:proofErr w:type="spellStart"/>
      <w:r w:rsidR="008571EF" w:rsidRPr="00FE1F95">
        <w:rPr>
          <w:rFonts w:asciiTheme="minorHAnsi" w:hAnsiTheme="minorHAnsi" w:cstheme="minorHAnsi"/>
          <w:b/>
          <w:bCs/>
          <w:sz w:val="20"/>
          <w:szCs w:val="20"/>
          <w:lang w:val="en-GB"/>
        </w:rPr>
        <w:t>MNB</w:t>
      </w:r>
      <w:proofErr w:type="spellEnd"/>
      <w:r w:rsidR="008571EF" w:rsidRPr="00FE1F95">
        <w:rPr>
          <w:rFonts w:asciiTheme="minorHAnsi" w:hAnsiTheme="minorHAnsi" w:cstheme="minorHAnsi"/>
          <w:b/>
          <w:bCs/>
          <w:sz w:val="20"/>
          <w:szCs w:val="20"/>
          <w:lang w:val="en-GB"/>
        </w:rPr>
        <w:t xml:space="preserve"> identification code</w:t>
      </w:r>
      <w:r w:rsidRPr="00FE1F95">
        <w:rPr>
          <w:rFonts w:asciiTheme="minorHAnsi" w:hAnsiTheme="minorHAnsi" w:cstheme="minorHAnsi"/>
          <w:b/>
          <w:bCs/>
          <w:sz w:val="20"/>
          <w:szCs w:val="20"/>
          <w:lang w:val="en-GB"/>
        </w:rPr>
        <w:t>”</w:t>
      </w:r>
      <w:r w:rsidRPr="00FE1F95">
        <w:rPr>
          <w:rFonts w:asciiTheme="minorHAnsi" w:hAnsiTheme="minorHAnsi" w:cstheme="minorHAnsi"/>
          <w:sz w:val="20"/>
          <w:szCs w:val="20"/>
          <w:lang w:val="en-GB"/>
        </w:rPr>
        <w:t xml:space="preserve"> field, the name of the given account product (designation of the payment account) must be reported in accordance with Article 5(1) of the Commission Implementing Regulation.</w:t>
      </w:r>
    </w:p>
    <w:p w14:paraId="3F99BE03" w14:textId="77777777" w:rsidR="00CC2C81" w:rsidRPr="00FE1F95" w:rsidRDefault="00CC2C81" w:rsidP="00116445">
      <w:pPr>
        <w:pStyle w:val="Bekezds"/>
        <w:spacing w:line="276" w:lineRule="auto"/>
        <w:ind w:firstLine="0"/>
        <w:jc w:val="both"/>
        <w:rPr>
          <w:rStyle w:val="cf01"/>
          <w:rFonts w:asciiTheme="minorHAnsi" w:hAnsiTheme="minorHAnsi" w:cstheme="minorHAnsi"/>
          <w:sz w:val="20"/>
          <w:szCs w:val="20"/>
          <w:lang w:val="en-GB"/>
        </w:rPr>
      </w:pPr>
    </w:p>
    <w:p w14:paraId="2C912884" w14:textId="506C6A70" w:rsidR="00380005" w:rsidRPr="00FE1F95" w:rsidRDefault="00CC2C81" w:rsidP="00116445">
      <w:pPr>
        <w:pStyle w:val="Cmsor2"/>
        <w:rPr>
          <w:rFonts w:asciiTheme="minorHAnsi" w:hAnsiTheme="minorHAnsi" w:cstheme="minorHAnsi"/>
          <w:sz w:val="20"/>
          <w:szCs w:val="20"/>
        </w:rPr>
      </w:pPr>
      <w:bookmarkStart w:id="30" w:name="_Toc229138440"/>
      <w:proofErr w:type="spellStart"/>
      <w:r w:rsidRPr="00FE1F95">
        <w:rPr>
          <w:rFonts w:asciiTheme="minorHAnsi" w:hAnsiTheme="minorHAnsi" w:cstheme="minorHAnsi"/>
          <w:sz w:val="20"/>
          <w:szCs w:val="20"/>
        </w:rPr>
        <w:t>Requirements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for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Completing</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INSTR_FHIT</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Table</w:t>
      </w:r>
      <w:bookmarkEnd w:id="30"/>
      <w:proofErr w:type="spellEnd"/>
    </w:p>
    <w:p w14:paraId="29397664" w14:textId="41577CE0" w:rsidR="00BD6924" w:rsidRPr="00FE1F95" w:rsidRDefault="00BD6924" w:rsidP="00BD6924">
      <w:pPr>
        <w:pStyle w:val="NormlWeb"/>
        <w:spacing w:line="300" w:lineRule="atLeast"/>
        <w:jc w:val="both"/>
        <w:rPr>
          <w:rFonts w:asciiTheme="minorHAnsi" w:hAnsiTheme="minorHAnsi" w:cstheme="minorHAnsi"/>
          <w:sz w:val="20"/>
          <w:szCs w:val="20"/>
        </w:rPr>
      </w:pPr>
      <w:r w:rsidRPr="00FE1F95">
        <w:rPr>
          <w:rFonts w:asciiTheme="minorHAnsi" w:hAnsiTheme="minorHAnsi" w:cstheme="minorHAnsi"/>
          <w:sz w:val="20"/>
          <w:szCs w:val="20"/>
        </w:rPr>
        <w:t xml:space="preserve">This table must be completed for </w:t>
      </w:r>
      <w:r w:rsidRPr="00FE1F95">
        <w:rPr>
          <w:rStyle w:val="Kiemels2"/>
          <w:rFonts w:asciiTheme="minorHAnsi" w:hAnsiTheme="minorHAnsi" w:cstheme="minorHAnsi"/>
          <w:b w:val="0"/>
          <w:bCs w:val="0"/>
          <w:sz w:val="20"/>
          <w:szCs w:val="20"/>
        </w:rPr>
        <w:t>on-balance-sheet borrowing and repo liability transactions</w:t>
      </w:r>
      <w:r w:rsidRPr="00FE1F95">
        <w:rPr>
          <w:rFonts w:asciiTheme="minorHAnsi" w:hAnsiTheme="minorHAnsi" w:cstheme="minorHAnsi"/>
          <w:b/>
          <w:bCs/>
          <w:sz w:val="20"/>
          <w:szCs w:val="20"/>
        </w:rPr>
        <w:t xml:space="preserve">, </w:t>
      </w:r>
      <w:r w:rsidRPr="00FE1F95">
        <w:rPr>
          <w:rFonts w:asciiTheme="minorHAnsi" w:hAnsiTheme="minorHAnsi" w:cstheme="minorHAnsi"/>
          <w:sz w:val="20"/>
          <w:szCs w:val="20"/>
        </w:rPr>
        <w:t>as well as for</w:t>
      </w:r>
      <w:r w:rsidRPr="00FE1F95">
        <w:rPr>
          <w:rFonts w:asciiTheme="minorHAnsi" w:hAnsiTheme="minorHAnsi" w:cstheme="minorHAnsi"/>
          <w:b/>
          <w:bCs/>
          <w:sz w:val="20"/>
          <w:szCs w:val="20"/>
        </w:rPr>
        <w:t xml:space="preserve"> </w:t>
      </w:r>
      <w:r w:rsidRPr="00FE1F95">
        <w:rPr>
          <w:rStyle w:val="Kiemels2"/>
          <w:rFonts w:asciiTheme="minorHAnsi" w:hAnsiTheme="minorHAnsi" w:cstheme="minorHAnsi"/>
          <w:b w:val="0"/>
          <w:bCs w:val="0"/>
          <w:sz w:val="20"/>
          <w:szCs w:val="20"/>
        </w:rPr>
        <w:t>off-balance-sheet received credit lines</w:t>
      </w:r>
      <w:r w:rsidRPr="00FE1F95">
        <w:rPr>
          <w:rFonts w:asciiTheme="minorHAnsi" w:hAnsiTheme="minorHAnsi" w:cstheme="minorHAnsi"/>
          <w:b/>
          <w:bCs/>
          <w:sz w:val="20"/>
          <w:szCs w:val="20"/>
        </w:rPr>
        <w:t xml:space="preserve">. </w:t>
      </w:r>
      <w:r w:rsidRPr="00FE1F95">
        <w:rPr>
          <w:rFonts w:asciiTheme="minorHAnsi" w:hAnsiTheme="minorHAnsi" w:cstheme="minorHAnsi"/>
          <w:sz w:val="20"/>
          <w:szCs w:val="20"/>
        </w:rPr>
        <w:t xml:space="preserve">The facility </w:t>
      </w:r>
      <w:proofErr w:type="spellStart"/>
      <w:r w:rsidRPr="00FE1F95">
        <w:rPr>
          <w:rFonts w:asciiTheme="minorHAnsi" w:hAnsiTheme="minorHAnsi" w:cstheme="minorHAnsi"/>
          <w:sz w:val="20"/>
          <w:szCs w:val="20"/>
        </w:rPr>
        <w:t>identifier</w:t>
      </w:r>
      <w:proofErr w:type="spellEnd"/>
      <w:r w:rsidRPr="00FE1F95">
        <w:rPr>
          <w:rFonts w:asciiTheme="minorHAnsi" w:hAnsiTheme="minorHAnsi" w:cstheme="minorHAnsi"/>
          <w:sz w:val="20"/>
          <w:szCs w:val="20"/>
        </w:rPr>
        <w:t xml:space="preserve"> must be </w:t>
      </w:r>
      <w:proofErr w:type="spellStart"/>
      <w:r w:rsidRPr="00FE1F95">
        <w:rPr>
          <w:rFonts w:asciiTheme="minorHAnsi" w:hAnsiTheme="minorHAnsi" w:cstheme="minorHAnsi"/>
          <w:sz w:val="20"/>
          <w:szCs w:val="20"/>
        </w:rPr>
        <w:t>reported</w:t>
      </w:r>
      <w:proofErr w:type="spellEnd"/>
      <w:r w:rsidRPr="00FE1F95">
        <w:rPr>
          <w:rFonts w:asciiTheme="minorHAnsi" w:hAnsiTheme="minorHAnsi" w:cstheme="minorHAnsi"/>
          <w:sz w:val="20"/>
          <w:szCs w:val="20"/>
        </w:rPr>
        <w:t xml:space="preserve"> in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b/>
          <w:bCs/>
          <w:sz w:val="20"/>
          <w:szCs w:val="20"/>
        </w:rPr>
        <w:t xml:space="preserve"> </w:t>
      </w:r>
      <w:proofErr w:type="spellStart"/>
      <w:r w:rsidRPr="00FE1F95">
        <w:rPr>
          <w:rStyle w:val="Kiemels2"/>
          <w:rFonts w:asciiTheme="minorHAnsi" w:hAnsiTheme="minorHAnsi" w:cstheme="minorHAnsi"/>
          <w:b w:val="0"/>
          <w:bCs w:val="0"/>
          <w:sz w:val="20"/>
          <w:szCs w:val="20"/>
        </w:rPr>
        <w:t>INSTR_FHIT.SZERZ_AZON</w:t>
      </w:r>
      <w:proofErr w:type="spellEnd"/>
      <w:r w:rsidRPr="00FE1F95">
        <w:rPr>
          <w:rFonts w:asciiTheme="minorHAnsi" w:hAnsiTheme="minorHAnsi" w:cstheme="minorHAnsi"/>
          <w:sz w:val="20"/>
          <w:szCs w:val="20"/>
        </w:rPr>
        <w:t xml:space="preserve"> </w:t>
      </w:r>
      <w:r w:rsidRPr="00FE1F95">
        <w:rPr>
          <w:rFonts w:asciiTheme="minorHAnsi" w:hAnsiTheme="minorHAnsi" w:cstheme="minorHAnsi"/>
          <w:b/>
          <w:bCs/>
          <w:sz w:val="20"/>
          <w:szCs w:val="20"/>
        </w:rPr>
        <w:t>(“</w:t>
      </w:r>
      <w:proofErr w:type="spellStart"/>
      <w:r w:rsidR="00306186" w:rsidRPr="00FE1F95">
        <w:rPr>
          <w:rFonts w:asciiTheme="minorHAnsi" w:hAnsiTheme="minorHAnsi" w:cstheme="minorHAnsi"/>
          <w:b/>
          <w:bCs/>
          <w:sz w:val="20"/>
          <w:szCs w:val="20"/>
        </w:rPr>
        <w:t>Identification</w:t>
      </w:r>
      <w:proofErr w:type="spellEnd"/>
      <w:r w:rsidR="00306186" w:rsidRPr="00FE1F95">
        <w:rPr>
          <w:rFonts w:asciiTheme="minorHAnsi" w:hAnsiTheme="minorHAnsi" w:cstheme="minorHAnsi"/>
          <w:b/>
          <w:bCs/>
          <w:sz w:val="20"/>
          <w:szCs w:val="20"/>
        </w:rPr>
        <w:t xml:space="preserve"> </w:t>
      </w:r>
      <w:proofErr w:type="spellStart"/>
      <w:r w:rsidR="00306186" w:rsidRPr="00FE1F95">
        <w:rPr>
          <w:rFonts w:asciiTheme="minorHAnsi" w:hAnsiTheme="minorHAnsi" w:cstheme="minorHAnsi"/>
          <w:b/>
          <w:bCs/>
          <w:sz w:val="20"/>
          <w:szCs w:val="20"/>
        </w:rPr>
        <w:t>number</w:t>
      </w:r>
      <w:proofErr w:type="spellEnd"/>
      <w:r w:rsidR="00306186" w:rsidRPr="00FE1F95">
        <w:rPr>
          <w:rFonts w:asciiTheme="minorHAnsi" w:hAnsiTheme="minorHAnsi" w:cstheme="minorHAnsi"/>
          <w:b/>
          <w:bCs/>
          <w:sz w:val="20"/>
          <w:szCs w:val="20"/>
        </w:rPr>
        <w:t xml:space="preserve"> of </w:t>
      </w:r>
      <w:proofErr w:type="spellStart"/>
      <w:r w:rsidR="00306186" w:rsidRPr="00FE1F95">
        <w:rPr>
          <w:rFonts w:asciiTheme="minorHAnsi" w:hAnsiTheme="minorHAnsi" w:cstheme="minorHAnsi"/>
          <w:b/>
          <w:bCs/>
          <w:sz w:val="20"/>
          <w:szCs w:val="20"/>
        </w:rPr>
        <w:t>the</w:t>
      </w:r>
      <w:proofErr w:type="spellEnd"/>
      <w:r w:rsidR="00306186" w:rsidRPr="00FE1F95">
        <w:rPr>
          <w:rFonts w:asciiTheme="minorHAnsi" w:hAnsiTheme="minorHAnsi" w:cstheme="minorHAnsi"/>
          <w:b/>
          <w:bCs/>
          <w:sz w:val="20"/>
          <w:szCs w:val="20"/>
        </w:rPr>
        <w:t xml:space="preserve"> </w:t>
      </w:r>
      <w:proofErr w:type="spellStart"/>
      <w:r w:rsidR="00306186" w:rsidRPr="00FE1F95">
        <w:rPr>
          <w:rFonts w:asciiTheme="minorHAnsi" w:hAnsiTheme="minorHAnsi" w:cstheme="minorHAnsi"/>
          <w:b/>
          <w:bCs/>
          <w:sz w:val="20"/>
          <w:szCs w:val="20"/>
        </w:rPr>
        <w:t>contract</w:t>
      </w:r>
      <w:proofErr w:type="spellEnd"/>
      <w:r w:rsidRPr="00FE1F95">
        <w:rPr>
          <w:rFonts w:asciiTheme="minorHAnsi" w:hAnsiTheme="minorHAnsi" w:cstheme="minorHAnsi"/>
          <w:b/>
          <w:bCs/>
          <w:sz w:val="20"/>
          <w:szCs w:val="20"/>
        </w:rPr>
        <w:t>”</w:t>
      </w:r>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field</w:t>
      </w:r>
      <w:proofErr w:type="spellEnd"/>
      <w:r w:rsidRPr="00FE1F95">
        <w:rPr>
          <w:rFonts w:asciiTheme="minorHAnsi" w:hAnsiTheme="minorHAnsi" w:cstheme="minorHAnsi"/>
          <w:sz w:val="20"/>
          <w:szCs w:val="20"/>
        </w:rPr>
        <w:t>.</w:t>
      </w:r>
    </w:p>
    <w:p w14:paraId="1C7FB452" w14:textId="77777777" w:rsidR="00BD6924" w:rsidRPr="00FE1F95" w:rsidRDefault="00BD6924" w:rsidP="00BD6924">
      <w:pPr>
        <w:pStyle w:val="NormlWeb"/>
        <w:spacing w:line="300" w:lineRule="atLeast"/>
        <w:jc w:val="both"/>
        <w:rPr>
          <w:rFonts w:asciiTheme="minorHAnsi" w:hAnsiTheme="minorHAnsi" w:cstheme="minorHAnsi"/>
          <w:sz w:val="20"/>
          <w:szCs w:val="20"/>
        </w:rPr>
      </w:pPr>
      <w:r w:rsidRPr="00FE1F95">
        <w:rPr>
          <w:rFonts w:asciiTheme="minorHAnsi" w:hAnsiTheme="minorHAnsi" w:cstheme="minorHAnsi"/>
          <w:sz w:val="20"/>
          <w:szCs w:val="20"/>
        </w:rPr>
        <w:t>Borrowed loans are liabilities arising from financial activities that are not obtained or undertaken by the credit institution under a deposit agreement and that are reported under borrowed loans in the Statistical Balance Sheet. This instrument type must also include, inter alia, subordinated liabilities outstanding in the form of loans.</w:t>
      </w:r>
    </w:p>
    <w:p w14:paraId="6A356708" w14:textId="77777777" w:rsidR="00BD6924" w:rsidRPr="00FE1F95" w:rsidRDefault="00BD6924" w:rsidP="00BD6924">
      <w:pPr>
        <w:pStyle w:val="NormlWeb"/>
        <w:spacing w:line="300" w:lineRule="atLeast"/>
        <w:jc w:val="both"/>
        <w:rPr>
          <w:rFonts w:asciiTheme="minorHAnsi" w:hAnsiTheme="minorHAnsi" w:cstheme="minorHAnsi"/>
          <w:sz w:val="20"/>
          <w:szCs w:val="20"/>
        </w:rPr>
      </w:pPr>
      <w:r w:rsidRPr="00FE1F95">
        <w:rPr>
          <w:rFonts w:asciiTheme="minorHAnsi" w:hAnsiTheme="minorHAnsi" w:cstheme="minorHAnsi"/>
          <w:sz w:val="20"/>
          <w:szCs w:val="20"/>
        </w:rPr>
        <w:t xml:space="preserve">The outstanding </w:t>
      </w:r>
      <w:proofErr w:type="spellStart"/>
      <w:r w:rsidRPr="00FE1F95">
        <w:rPr>
          <w:rFonts w:asciiTheme="minorHAnsi" w:hAnsiTheme="minorHAnsi" w:cstheme="minorHAnsi"/>
          <w:sz w:val="20"/>
          <w:szCs w:val="20"/>
        </w:rPr>
        <w:t>amount</w:t>
      </w:r>
      <w:proofErr w:type="spellEnd"/>
      <w:r w:rsidRPr="00FE1F95">
        <w:rPr>
          <w:rFonts w:asciiTheme="minorHAnsi" w:hAnsiTheme="minorHAnsi" w:cstheme="minorHAnsi"/>
          <w:sz w:val="20"/>
          <w:szCs w:val="20"/>
        </w:rPr>
        <w:t xml:space="preserve"> of </w:t>
      </w:r>
      <w:proofErr w:type="spellStart"/>
      <w:r w:rsidRPr="00FE1F95">
        <w:rPr>
          <w:rStyle w:val="Kiemels2"/>
          <w:rFonts w:asciiTheme="minorHAnsi" w:hAnsiTheme="minorHAnsi" w:cstheme="minorHAnsi"/>
          <w:sz w:val="20"/>
          <w:szCs w:val="20"/>
        </w:rPr>
        <w:t>NHP</w:t>
      </w:r>
      <w:proofErr w:type="spellEnd"/>
      <w:r w:rsidRPr="00FE1F95">
        <w:rPr>
          <w:rStyle w:val="Kiemels2"/>
          <w:rFonts w:asciiTheme="minorHAnsi" w:hAnsiTheme="minorHAnsi" w:cstheme="minorHAnsi"/>
          <w:sz w:val="20"/>
          <w:szCs w:val="20"/>
        </w:rPr>
        <w:t xml:space="preserve"> </w:t>
      </w:r>
      <w:proofErr w:type="spellStart"/>
      <w:r w:rsidRPr="00FE1F95">
        <w:rPr>
          <w:rStyle w:val="Kiemels2"/>
          <w:rFonts w:asciiTheme="minorHAnsi" w:hAnsiTheme="minorHAnsi" w:cstheme="minorHAnsi"/>
          <w:b w:val="0"/>
          <w:bCs w:val="0"/>
          <w:sz w:val="20"/>
          <w:szCs w:val="20"/>
        </w:rPr>
        <w:t>loans</w:t>
      </w:r>
      <w:proofErr w:type="spellEnd"/>
      <w:r w:rsidRPr="00FE1F95">
        <w:rPr>
          <w:rStyle w:val="Kiemels2"/>
          <w:rFonts w:asciiTheme="minorHAnsi" w:hAnsiTheme="minorHAnsi" w:cstheme="minorHAnsi"/>
          <w:b w:val="0"/>
          <w:bCs w:val="0"/>
          <w:sz w:val="20"/>
          <w:szCs w:val="20"/>
        </w:rPr>
        <w:t xml:space="preserve"> </w:t>
      </w:r>
      <w:proofErr w:type="spellStart"/>
      <w:r w:rsidRPr="00FE1F95">
        <w:rPr>
          <w:rStyle w:val="Kiemels2"/>
          <w:rFonts w:asciiTheme="minorHAnsi" w:hAnsiTheme="minorHAnsi" w:cstheme="minorHAnsi"/>
          <w:b w:val="0"/>
          <w:bCs w:val="0"/>
          <w:sz w:val="20"/>
          <w:szCs w:val="20"/>
        </w:rPr>
        <w:t>borrowed</w:t>
      </w:r>
      <w:proofErr w:type="spellEnd"/>
      <w:r w:rsidRPr="00FE1F95">
        <w:rPr>
          <w:rStyle w:val="Kiemels2"/>
          <w:rFonts w:asciiTheme="minorHAnsi" w:hAnsiTheme="minorHAnsi" w:cstheme="minorHAnsi"/>
          <w:b w:val="0"/>
          <w:bCs w:val="0"/>
          <w:sz w:val="20"/>
          <w:szCs w:val="20"/>
        </w:rPr>
        <w:t xml:space="preserve"> </w:t>
      </w:r>
      <w:proofErr w:type="spellStart"/>
      <w:r w:rsidRPr="00FE1F95">
        <w:rPr>
          <w:rStyle w:val="Kiemels2"/>
          <w:rFonts w:asciiTheme="minorHAnsi" w:hAnsiTheme="minorHAnsi" w:cstheme="minorHAnsi"/>
          <w:b w:val="0"/>
          <w:bCs w:val="0"/>
          <w:sz w:val="20"/>
          <w:szCs w:val="20"/>
        </w:rPr>
        <w:t>from</w:t>
      </w:r>
      <w:proofErr w:type="spellEnd"/>
      <w:r w:rsidRPr="00FE1F95">
        <w:rPr>
          <w:rStyle w:val="Kiemels2"/>
          <w:rFonts w:asciiTheme="minorHAnsi" w:hAnsiTheme="minorHAnsi" w:cstheme="minorHAnsi"/>
          <w:b w:val="0"/>
          <w:bCs w:val="0"/>
          <w:sz w:val="20"/>
          <w:szCs w:val="20"/>
        </w:rPr>
        <w:t xml:space="preserve"> </w:t>
      </w:r>
      <w:proofErr w:type="spellStart"/>
      <w:r w:rsidRPr="00FE1F95">
        <w:rPr>
          <w:rStyle w:val="Kiemels2"/>
          <w:rFonts w:asciiTheme="minorHAnsi" w:hAnsiTheme="minorHAnsi" w:cstheme="minorHAnsi"/>
          <w:b w:val="0"/>
          <w:bCs w:val="0"/>
          <w:sz w:val="20"/>
          <w:szCs w:val="20"/>
        </w:rPr>
        <w:t>the</w:t>
      </w:r>
      <w:proofErr w:type="spellEnd"/>
      <w:r w:rsidRPr="00FE1F95">
        <w:rPr>
          <w:rStyle w:val="Kiemels2"/>
          <w:rFonts w:asciiTheme="minorHAnsi" w:hAnsiTheme="minorHAnsi" w:cstheme="minorHAnsi"/>
          <w:b w:val="0"/>
          <w:bCs w:val="0"/>
          <w:sz w:val="20"/>
          <w:szCs w:val="20"/>
        </w:rPr>
        <w:t xml:space="preserve"> MNB</w:t>
      </w:r>
      <w:r w:rsidRPr="00FE1F95">
        <w:rPr>
          <w:rFonts w:asciiTheme="minorHAnsi" w:hAnsiTheme="minorHAnsi" w:cstheme="minorHAnsi"/>
          <w:sz w:val="20"/>
          <w:szCs w:val="20"/>
        </w:rPr>
        <w:t xml:space="preserve"> must be reported as borrowed loans. Within the framework of </w:t>
      </w:r>
      <w:r w:rsidRPr="00FE1F95">
        <w:rPr>
          <w:rStyle w:val="Kiemels2"/>
          <w:rFonts w:asciiTheme="minorHAnsi" w:hAnsiTheme="minorHAnsi" w:cstheme="minorHAnsi"/>
          <w:b w:val="0"/>
          <w:bCs w:val="0"/>
          <w:sz w:val="20"/>
          <w:szCs w:val="20"/>
        </w:rPr>
        <w:t xml:space="preserve">Pillar II of </w:t>
      </w:r>
      <w:proofErr w:type="spellStart"/>
      <w:r w:rsidRPr="00FE1F95">
        <w:rPr>
          <w:rStyle w:val="Kiemels2"/>
          <w:rFonts w:asciiTheme="minorHAnsi" w:hAnsiTheme="minorHAnsi" w:cstheme="minorHAnsi"/>
          <w:b w:val="0"/>
          <w:bCs w:val="0"/>
          <w:sz w:val="20"/>
          <w:szCs w:val="20"/>
        </w:rPr>
        <w:t>Phase</w:t>
      </w:r>
      <w:proofErr w:type="spellEnd"/>
      <w:r w:rsidRPr="00FE1F95">
        <w:rPr>
          <w:rStyle w:val="Kiemels2"/>
          <w:rFonts w:asciiTheme="minorHAnsi" w:hAnsiTheme="minorHAnsi" w:cstheme="minorHAnsi"/>
          <w:b w:val="0"/>
          <w:bCs w:val="0"/>
          <w:sz w:val="20"/>
          <w:szCs w:val="20"/>
        </w:rPr>
        <w:t xml:space="preserve"> III of </w:t>
      </w:r>
      <w:proofErr w:type="spellStart"/>
      <w:r w:rsidRPr="00FE1F95">
        <w:rPr>
          <w:rStyle w:val="Kiemels2"/>
          <w:rFonts w:asciiTheme="minorHAnsi" w:hAnsiTheme="minorHAnsi" w:cstheme="minorHAnsi"/>
          <w:b w:val="0"/>
          <w:bCs w:val="0"/>
          <w:sz w:val="20"/>
          <w:szCs w:val="20"/>
        </w:rPr>
        <w:t>the</w:t>
      </w:r>
      <w:proofErr w:type="spellEnd"/>
      <w:r w:rsidRPr="00FE1F95">
        <w:rPr>
          <w:rStyle w:val="Kiemels2"/>
          <w:rFonts w:asciiTheme="minorHAnsi" w:hAnsiTheme="minorHAnsi" w:cstheme="minorHAnsi"/>
          <w:b w:val="0"/>
          <w:bCs w:val="0"/>
          <w:sz w:val="20"/>
          <w:szCs w:val="20"/>
        </w:rPr>
        <w:t xml:space="preserve"> </w:t>
      </w:r>
      <w:proofErr w:type="spellStart"/>
      <w:r w:rsidRPr="00FE1F95">
        <w:rPr>
          <w:rStyle w:val="Kiemels2"/>
          <w:rFonts w:asciiTheme="minorHAnsi" w:hAnsiTheme="minorHAnsi" w:cstheme="minorHAnsi"/>
          <w:b w:val="0"/>
          <w:bCs w:val="0"/>
          <w:sz w:val="20"/>
          <w:szCs w:val="20"/>
        </w:rPr>
        <w:t>NHP</w:t>
      </w:r>
      <w:proofErr w:type="spellEnd"/>
      <w:r w:rsidRPr="00FE1F95">
        <w:rPr>
          <w:rFonts w:asciiTheme="minorHAnsi" w:hAnsiTheme="minorHAnsi" w:cstheme="minorHAnsi"/>
          <w:sz w:val="20"/>
          <w:szCs w:val="20"/>
        </w:rPr>
        <w:t xml:space="preserve">, HUF </w:t>
      </w:r>
      <w:proofErr w:type="spellStart"/>
      <w:r w:rsidRPr="00FE1F95">
        <w:rPr>
          <w:rFonts w:asciiTheme="minorHAnsi" w:hAnsiTheme="minorHAnsi" w:cstheme="minorHAnsi"/>
          <w:sz w:val="20"/>
          <w:szCs w:val="20"/>
        </w:rPr>
        <w:t>refinancing</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loans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received</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from</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MNB and the related </w:t>
      </w:r>
      <w:r w:rsidRPr="00FE1F95">
        <w:rPr>
          <w:rStyle w:val="Kiemels2"/>
          <w:rFonts w:asciiTheme="minorHAnsi" w:hAnsiTheme="minorHAnsi" w:cstheme="minorHAnsi"/>
          <w:b w:val="0"/>
          <w:bCs w:val="0"/>
          <w:sz w:val="20"/>
          <w:szCs w:val="20"/>
        </w:rPr>
        <w:t>CIRS transactions</w:t>
      </w:r>
      <w:r w:rsidRPr="00FE1F95">
        <w:rPr>
          <w:rFonts w:asciiTheme="minorHAnsi" w:hAnsiTheme="minorHAnsi" w:cstheme="minorHAnsi"/>
          <w:sz w:val="20"/>
          <w:szCs w:val="20"/>
        </w:rPr>
        <w:t xml:space="preserve"> must not be reported on a net or aggregated basis; instead, the </w:t>
      </w:r>
      <w:r w:rsidRPr="00FE1F95">
        <w:rPr>
          <w:rStyle w:val="Kiemels2"/>
          <w:rFonts w:asciiTheme="minorHAnsi" w:hAnsiTheme="minorHAnsi" w:cstheme="minorHAnsi"/>
          <w:b w:val="0"/>
          <w:bCs w:val="0"/>
          <w:sz w:val="20"/>
          <w:szCs w:val="20"/>
        </w:rPr>
        <w:t>HUF borrowing leg</w:t>
      </w:r>
      <w:r w:rsidRPr="00FE1F95">
        <w:rPr>
          <w:rFonts w:asciiTheme="minorHAnsi" w:hAnsiTheme="minorHAnsi" w:cstheme="minorHAnsi"/>
          <w:sz w:val="20"/>
          <w:szCs w:val="20"/>
        </w:rPr>
        <w:t xml:space="preserve"> must be reported in BETREG </w:t>
      </w:r>
      <w:r w:rsidRPr="00FE1F95">
        <w:rPr>
          <w:rStyle w:val="Kiemels2"/>
          <w:rFonts w:asciiTheme="minorHAnsi" w:hAnsiTheme="minorHAnsi" w:cstheme="minorHAnsi"/>
          <w:b w:val="0"/>
          <w:bCs w:val="0"/>
          <w:sz w:val="20"/>
          <w:szCs w:val="20"/>
        </w:rPr>
        <w:t>without</w:t>
      </w:r>
      <w:r w:rsidRPr="00FE1F95">
        <w:rPr>
          <w:rFonts w:asciiTheme="minorHAnsi" w:hAnsiTheme="minorHAnsi" w:cstheme="minorHAnsi"/>
          <w:sz w:val="20"/>
          <w:szCs w:val="20"/>
        </w:rPr>
        <w:t xml:space="preserve"> the related derivative.</w:t>
      </w:r>
    </w:p>
    <w:p w14:paraId="32F0D233"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Liabilities arising from foreign banknote and coin trading, as well as from HUF banknote and coin trading against foreign currency accounts or cash holdings, must be reported as borrowed loans from monetary financial</w:t>
      </w:r>
      <w:r w:rsidRPr="00FE1F95">
        <w:rPr>
          <w:rFonts w:asciiTheme="minorHAnsi" w:hAnsiTheme="minorHAnsi" w:cstheme="minorHAnsi"/>
          <w:b/>
          <w:bCs/>
        </w:rPr>
        <w:t xml:space="preserve"> </w:t>
      </w:r>
      <w:r w:rsidRPr="00FE1F95">
        <w:rPr>
          <w:rFonts w:asciiTheme="minorHAnsi" w:hAnsiTheme="minorHAnsi" w:cstheme="minorHAnsi"/>
        </w:rPr>
        <w:t xml:space="preserve">institutions, </w:t>
      </w:r>
      <w:r w:rsidRPr="00FE1F95">
        <w:rPr>
          <w:rFonts w:asciiTheme="minorHAnsi" w:hAnsiTheme="minorHAnsi" w:cstheme="minorHAnsi"/>
        </w:rPr>
        <w:lastRenderedPageBreak/>
        <w:t>whether domestic or foreign. In addition, the initial recognition value of receivables financing (factoring advances) accepted from other credit institutions or factoring companies must also be reported as borrowed loans.</w:t>
      </w:r>
      <w:r w:rsidRPr="00FE1F95">
        <w:rPr>
          <w:rFonts w:asciiTheme="minorHAnsi" w:hAnsiTheme="minorHAnsi" w:cstheme="minorHAnsi"/>
        </w:rPr>
        <w:br/>
        <w:t>However, liabilities related to operating leases may not be reported either as deposits or as borrowed loans (in the Statistical Balance Sheet these items are classified under other unclassified liabilities). Likewise, the unsettled amount of the consideration for participations purchased with deferred payment, or other unpaid obligations arising therefrom, must also be reported as borrowed loans.</w:t>
      </w:r>
    </w:p>
    <w:p w14:paraId="5BBCAB11"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 xml:space="preserve">Where a transaction is subject not merely to an option but to an obligation to reverse, the liabilities arising from repo-type transactions concluded by the reporting credit institution must </w:t>
      </w:r>
      <w:proofErr w:type="spellStart"/>
      <w:r w:rsidRPr="00FE1F95">
        <w:rPr>
          <w:rFonts w:asciiTheme="minorHAnsi" w:hAnsiTheme="minorHAnsi" w:cstheme="minorHAnsi"/>
        </w:rPr>
        <w:t>also</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including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liabilities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arising</w:t>
      </w:r>
      <w:proofErr w:type="spellEnd"/>
      <w:r w:rsidRPr="00FE1F95">
        <w:rPr>
          <w:rFonts w:asciiTheme="minorHAnsi" w:hAnsiTheme="minorHAnsi" w:cstheme="minorHAnsi"/>
        </w:rPr>
        <w:t xml:space="preserve"> from cash collateral related to securities lending transactions.</w:t>
      </w:r>
    </w:p>
    <w:p w14:paraId="6FFBA262"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Refinancing loans borrowed for on-lending purposes must be reported as loans borrowed from the refinancing financial institution, and must be classified into the appropriate original and remaining maturity categories based on the maturity of the on-lent loan. If several loans are on-lent from the same refinancing loan, the refinancing loan must be split into as many parts as necessary to ensure consistency with the original and remaining maturity categories of the on-lent loans. For refinancing loans, the maturity calculated from the contract date and maturity date fields does not need to be consistent with the originally reported maturity category, as—pursuant to the above—the maturity is determined by that of the on-lent loan(s).</w:t>
      </w:r>
    </w:p>
    <w:p w14:paraId="2391896E"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If a sub-loan is opened under a master loan/facility, these must be reported in separate records, each with its own maturity.</w:t>
      </w:r>
    </w:p>
    <w:p w14:paraId="2152164E" w14:textId="4EDFF431" w:rsidR="00BD6924" w:rsidRPr="00FE1F95" w:rsidRDefault="00BD6924" w:rsidP="00BD6924">
      <w:pPr>
        <w:rPr>
          <w:rFonts w:asciiTheme="minorHAnsi" w:hAnsiTheme="minorHAnsi" w:cstheme="minorHAnsi"/>
        </w:rPr>
      </w:pP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regard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306186" w:rsidRPr="00FE1F95">
        <w:rPr>
          <w:rFonts w:asciiTheme="minorHAnsi" w:hAnsiTheme="minorHAnsi" w:cstheme="minorHAnsi"/>
          <w:b/>
          <w:bCs/>
        </w:rPr>
        <w:t>Instrument</w:t>
      </w:r>
      <w:proofErr w:type="spellEnd"/>
      <w:r w:rsidR="00306186" w:rsidRPr="00FE1F95">
        <w:rPr>
          <w:rFonts w:asciiTheme="minorHAnsi" w:hAnsiTheme="minorHAnsi" w:cstheme="minorHAnsi"/>
          <w:b/>
          <w:bCs/>
        </w:rPr>
        <w:t xml:space="preserve"> </w:t>
      </w:r>
      <w:proofErr w:type="spellStart"/>
      <w:r w:rsidR="00306186" w:rsidRPr="00FE1F95">
        <w:rPr>
          <w:rFonts w:asciiTheme="minorHAnsi" w:hAnsiTheme="minorHAnsi" w:cstheme="minorHAnsi"/>
          <w:b/>
          <w:bCs/>
        </w:rPr>
        <w:t>creation</w:t>
      </w:r>
      <w:proofErr w:type="spellEnd"/>
      <w:r w:rsidR="00306186" w:rsidRPr="00FE1F95">
        <w:rPr>
          <w:rFonts w:asciiTheme="minorHAnsi" w:hAnsiTheme="minorHAnsi" w:cstheme="minorHAnsi"/>
          <w:b/>
          <w:bCs/>
        </w:rPr>
        <w:t xml:space="preserve"> </w:t>
      </w:r>
      <w:proofErr w:type="spellStart"/>
      <w:r w:rsidR="00306186" w:rsidRPr="00FE1F95">
        <w:rPr>
          <w:rFonts w:asciiTheme="minorHAnsi" w:hAnsiTheme="minorHAnsi" w:cstheme="minorHAnsi"/>
          <w:b/>
          <w:bCs/>
        </w:rPr>
        <w:t>method</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rules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described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must be applied.</w:t>
      </w:r>
    </w:p>
    <w:p w14:paraId="652E83E7"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 xml:space="preserve">The </w:t>
      </w:r>
      <w:r w:rsidRPr="00FE1F95">
        <w:rPr>
          <w:rFonts w:asciiTheme="minorHAnsi" w:hAnsiTheme="minorHAnsi" w:cstheme="minorHAnsi"/>
          <w:b/>
          <w:bCs/>
        </w:rPr>
        <w:t>“</w:t>
      </w:r>
      <w:proofErr w:type="spellStart"/>
      <w:r w:rsidRPr="00FE1F95">
        <w:rPr>
          <w:rFonts w:asciiTheme="minorHAnsi" w:hAnsiTheme="minorHAnsi" w:cstheme="minorHAnsi"/>
          <w:b/>
          <w:bCs/>
        </w:rPr>
        <w:t>Instrument</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amount</w:t>
      </w:r>
      <w:proofErr w:type="spellEnd"/>
      <w:r w:rsidRPr="00FE1F95">
        <w:rPr>
          <w:rFonts w:asciiTheme="minorHAnsi" w:hAnsiTheme="minorHAnsi" w:cstheme="minorHAnsi"/>
          <w:b/>
          <w:bCs/>
        </w:rPr>
        <w:t xml:space="preserve">” </w:t>
      </w:r>
      <w:r w:rsidRPr="00FE1F95">
        <w:rPr>
          <w:rFonts w:asciiTheme="minorHAnsi" w:hAnsiTheme="minorHAnsi" w:cstheme="minorHAnsi"/>
        </w:rPr>
        <w:t>(</w:t>
      </w:r>
      <w:proofErr w:type="spellStart"/>
      <w:r w:rsidRPr="00FE1F95">
        <w:rPr>
          <w:rFonts w:asciiTheme="minorHAnsi" w:hAnsiTheme="minorHAnsi" w:cstheme="minorHAnsi"/>
        </w:rPr>
        <w:t>INST_OSSZEG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similarly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HITREG</w:t>
      </w:r>
      <w:proofErr w:type="spellEnd"/>
      <w:r w:rsidRPr="00FE1F95">
        <w:rPr>
          <w:rFonts w:asciiTheme="minorHAnsi" w:hAnsiTheme="minorHAnsi" w:cstheme="minorHAnsi"/>
        </w:rPr>
        <w:t xml:space="preserve">, is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contractual amount, i.e. the agreed credit facility amount. In the case of cross-currency repo transactions, the instrument amount must be reported in the currency in which the cash flows arise, rather than in the currency of the underlying bond (if the two currencies differ). For technical clients, where the outstanding balance cannot be analytically split, this field must be left blank.</w:t>
      </w:r>
    </w:p>
    <w:p w14:paraId="44871F64" w14:textId="60F3129E" w:rsidR="00BD6924" w:rsidRPr="00FE1F95" w:rsidRDefault="00BD6924" w:rsidP="00BD6924">
      <w:pPr>
        <w:rPr>
          <w:rFonts w:asciiTheme="minorHAnsi" w:hAnsiTheme="minorHAnsi" w:cstheme="minorHAnsi"/>
        </w:rPr>
      </w:pPr>
      <w:r w:rsidRPr="00FE1F95">
        <w:rPr>
          <w:rFonts w:asciiTheme="minorHAnsi" w:hAnsiTheme="minorHAnsi" w:cstheme="minorHAnsi"/>
        </w:rPr>
        <w:t xml:space="preserve">The </w:t>
      </w:r>
      <w:proofErr w:type="gramStart"/>
      <w:r w:rsidRPr="00FE1F95">
        <w:rPr>
          <w:rFonts w:asciiTheme="minorHAnsi" w:hAnsiTheme="minorHAnsi" w:cstheme="minorHAnsi"/>
          <w:b/>
          <w:bCs/>
        </w:rPr>
        <w:t>“</w:t>
      </w:r>
      <w:r w:rsidR="00715780" w:rsidRPr="00FE1F95">
        <w:rPr>
          <w:rFonts w:asciiTheme="minorHAnsi" w:hAnsiTheme="minorHAnsi" w:cstheme="minorHAnsi"/>
        </w:rPr>
        <w:t xml:space="preserve"> </w:t>
      </w:r>
      <w:r w:rsidR="00715780" w:rsidRPr="00FE1F95">
        <w:rPr>
          <w:rFonts w:asciiTheme="minorHAnsi" w:hAnsiTheme="minorHAnsi" w:cstheme="minorHAnsi"/>
          <w:b/>
          <w:bCs/>
        </w:rPr>
        <w:t>Outstanding</w:t>
      </w:r>
      <w:proofErr w:type="gramEnd"/>
      <w:r w:rsidR="00715780" w:rsidRPr="00FE1F95">
        <w:rPr>
          <w:rFonts w:asciiTheme="minorHAnsi" w:hAnsiTheme="minorHAnsi" w:cstheme="minorHAnsi"/>
          <w:b/>
          <w:bCs/>
        </w:rPr>
        <w:t xml:space="preserve"> </w:t>
      </w:r>
      <w:proofErr w:type="spellStart"/>
      <w:r w:rsidR="00715780" w:rsidRPr="00FE1F95">
        <w:rPr>
          <w:rFonts w:asciiTheme="minorHAnsi" w:hAnsiTheme="minorHAnsi" w:cstheme="minorHAnsi"/>
          <w:b/>
          <w:bCs/>
        </w:rPr>
        <w:t>principal</w:t>
      </w:r>
      <w:proofErr w:type="spellEnd"/>
      <w:r w:rsidR="00715780" w:rsidRPr="00FE1F95">
        <w:rPr>
          <w:rFonts w:asciiTheme="minorHAnsi" w:hAnsiTheme="minorHAnsi" w:cstheme="minorHAnsi"/>
          <w:b/>
          <w:bCs/>
        </w:rPr>
        <w:t xml:space="preserve"> </w:t>
      </w:r>
      <w:proofErr w:type="spellStart"/>
      <w:r w:rsidR="00715780" w:rsidRPr="00FE1F95">
        <w:rPr>
          <w:rFonts w:asciiTheme="minorHAnsi" w:hAnsiTheme="minorHAnsi" w:cstheme="minorHAnsi"/>
          <w:b/>
          <w:bCs/>
        </w:rPr>
        <w:t>balance</w:t>
      </w:r>
      <w:proofErr w:type="spellEnd"/>
      <w:r w:rsidRPr="00FE1F95">
        <w:rPr>
          <w:rFonts w:asciiTheme="minorHAnsi" w:hAnsiTheme="minorHAnsi" w:cstheme="minorHAnsi"/>
          <w:b/>
          <w:bCs/>
        </w:rPr>
        <w:t xml:space="preserve">” </w:t>
      </w:r>
      <w:r w:rsidRPr="00FE1F95">
        <w:rPr>
          <w:rFonts w:asciiTheme="minorHAnsi" w:hAnsiTheme="minorHAnsi" w:cstheme="minorHAnsi"/>
        </w:rPr>
        <w:t>(</w:t>
      </w:r>
      <w:proofErr w:type="spellStart"/>
      <w:r w:rsidRPr="00FE1F95">
        <w:rPr>
          <w:rFonts w:asciiTheme="minorHAnsi" w:hAnsiTheme="minorHAnsi" w:cstheme="minorHAnsi"/>
        </w:rPr>
        <w:t>FENNALLO_TOKE_OSSZEG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contains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amount</w:t>
      </w:r>
      <w:proofErr w:type="spellEnd"/>
      <w:r w:rsidRPr="00FE1F95">
        <w:rPr>
          <w:rFonts w:asciiTheme="minorHAnsi" w:hAnsiTheme="minorHAnsi" w:cstheme="minorHAnsi"/>
        </w:rPr>
        <w:t xml:space="preserve"> of the actual outstanding liability, while the still available credit facility must be reported in the </w:t>
      </w:r>
      <w:r w:rsidRPr="00FE1F95">
        <w:rPr>
          <w:rFonts w:asciiTheme="minorHAnsi" w:hAnsiTheme="minorHAnsi" w:cstheme="minorHAnsi"/>
          <w:b/>
          <w:bCs/>
        </w:rPr>
        <w:t>“Amount of off-balance-sheet receivables”</w:t>
      </w:r>
      <w:r w:rsidRPr="00FE1F95">
        <w:rPr>
          <w:rFonts w:asciiTheme="minorHAnsi" w:hAnsiTheme="minorHAnsi" w:cstheme="minorHAnsi"/>
        </w:rPr>
        <w:t xml:space="preserve"> field.</w:t>
      </w:r>
    </w:p>
    <w:p w14:paraId="0ECC1D71"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 xml:space="preserve">When reporting a master loan/facility, the instrument identifier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contract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identical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INSTR_FHIT.SZERZ_AZON</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INSTR_FHIT.INSTR_FHIT_AZON</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is </w:t>
      </w:r>
      <w:r w:rsidRPr="00FE1F95">
        <w:rPr>
          <w:rFonts w:asciiTheme="minorHAnsi" w:hAnsiTheme="minorHAnsi" w:cstheme="minorHAnsi"/>
          <w:b/>
          <w:bCs/>
        </w:rPr>
        <w:t>“</w:t>
      </w:r>
      <w:proofErr w:type="spellStart"/>
      <w:r w:rsidRPr="00FE1F95">
        <w:rPr>
          <w:rFonts w:asciiTheme="minorHAnsi" w:hAnsiTheme="minorHAnsi" w:cstheme="minorHAnsi"/>
        </w:rPr>
        <w:t>HIT_KERET</w:t>
      </w:r>
      <w:proofErr w:type="spellEnd"/>
      <w:r w:rsidRPr="00FE1F95">
        <w:rPr>
          <w:rFonts w:asciiTheme="minorHAnsi" w:hAnsiTheme="minorHAnsi" w:cstheme="minorHAnsi"/>
        </w:rPr>
        <w:t xml:space="preserve">”. The master loan/facility record contains the </w:t>
      </w:r>
      <w:proofErr w:type="spellStart"/>
      <w:r w:rsidRPr="00FE1F95">
        <w:rPr>
          <w:rFonts w:asciiTheme="minorHAnsi" w:hAnsiTheme="minorHAnsi" w:cstheme="minorHAnsi"/>
        </w:rPr>
        <w:t>total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contracted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facility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amount</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INSTR_FHIT.INST_OSSZEG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whereas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sub</w:t>
      </w:r>
      <w:proofErr w:type="spellEnd"/>
      <w:r w:rsidRPr="00FE1F95">
        <w:rPr>
          <w:rFonts w:asciiTheme="minorHAnsi" w:hAnsiTheme="minorHAnsi" w:cstheme="minorHAnsi"/>
        </w:rPr>
        <w:t>-)</w:t>
      </w:r>
      <w:proofErr w:type="spellStart"/>
      <w:r w:rsidRPr="00FE1F95">
        <w:rPr>
          <w:rFonts w:asciiTheme="minorHAnsi" w:hAnsiTheme="minorHAnsi" w:cstheme="minorHAnsi"/>
        </w:rPr>
        <w:t>loans</w:t>
      </w:r>
      <w:proofErr w:type="spellEnd"/>
      <w:r w:rsidRPr="00FE1F95">
        <w:rPr>
          <w:rFonts w:asciiTheme="minorHAnsi" w:hAnsiTheme="minorHAnsi" w:cstheme="minorHAnsi"/>
        </w:rPr>
        <w:t xml:space="preserve">, the instrument amount corresponding to the specific drawdown must be reported in this field.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master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loan</w:t>
      </w:r>
      <w:proofErr w:type="spellEnd"/>
      <w:r w:rsidRPr="00FE1F95">
        <w:rPr>
          <w:rFonts w:asciiTheme="minorHAnsi" w:hAnsiTheme="minorHAnsi" w:cstheme="minorHAnsi"/>
        </w:rPr>
        <w:t>/</w:t>
      </w:r>
      <w:proofErr w:type="spellStart"/>
      <w:r w:rsidRPr="00FE1F95">
        <w:rPr>
          <w:rFonts w:asciiTheme="minorHAnsi" w:hAnsiTheme="minorHAnsi" w:cstheme="minorHAnsi"/>
        </w:rPr>
        <w:t>facility-type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INSTR_FHIT.MERL_KIV_KOV_OSSZEG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completed</w:t>
      </w:r>
      <w:proofErr w:type="spellEnd"/>
      <w:r w:rsidRPr="00FE1F95">
        <w:rPr>
          <w:rFonts w:asciiTheme="minorHAnsi" w:hAnsiTheme="minorHAnsi" w:cstheme="minorHAnsi"/>
        </w:rPr>
        <w:t xml:space="preserve"> with the undrawn portion of the facility, which must be consistent with the amount reported in the Nominal value column of Received credit commitments in table SF0902.</w:t>
      </w:r>
    </w:p>
    <w:p w14:paraId="479230EC" w14:textId="77777777" w:rsidR="00BD6924" w:rsidRPr="00FE1F95" w:rsidRDefault="00BD6924" w:rsidP="00BD6924">
      <w:pPr>
        <w:rPr>
          <w:rFonts w:asciiTheme="minorHAnsi" w:hAnsiTheme="minorHAnsi" w:cstheme="minorHAnsi"/>
        </w:rPr>
      </w:pPr>
      <w:r w:rsidRPr="00FE1F95">
        <w:rPr>
          <w:rFonts w:asciiTheme="minorHAnsi" w:hAnsiTheme="minorHAnsi" w:cstheme="minorHAnsi"/>
        </w:rPr>
        <w:t xml:space="preserve">For (sub-)loan instruments, the gross outstanding principal </w:t>
      </w:r>
      <w:proofErr w:type="spellStart"/>
      <w:r w:rsidRPr="00FE1F95">
        <w:rPr>
          <w:rFonts w:asciiTheme="minorHAnsi" w:hAnsiTheme="minorHAnsi" w:cstheme="minorHAnsi"/>
        </w:rPr>
        <w:t>amount</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INSTR_FHIT.FENNALLO_TOKE_OSSZEG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If the reporting entity records the loan agreement under a single identifier (i.e. does not distinguish between a master loan/facility and sub-loans), both amounts may be reported under the same identifier, in line with the institution’s internal accounting systems.</w:t>
      </w:r>
    </w:p>
    <w:p w14:paraId="6CD065F6" w14:textId="77777777" w:rsidR="00720311" w:rsidRPr="00FE1F95" w:rsidRDefault="00720311" w:rsidP="00116445">
      <w:pPr>
        <w:rPr>
          <w:rFonts w:asciiTheme="minorHAnsi" w:hAnsiTheme="minorHAnsi" w:cstheme="minorHAnsi"/>
        </w:rPr>
      </w:pPr>
    </w:p>
    <w:p w14:paraId="009448D8" w14:textId="77777777" w:rsidR="002A44F2" w:rsidRPr="00FE1F95" w:rsidRDefault="002A44F2" w:rsidP="002A44F2">
      <w:pPr>
        <w:rPr>
          <w:rFonts w:asciiTheme="minorHAnsi" w:hAnsiTheme="minorHAnsi" w:cstheme="minorHAnsi"/>
        </w:rPr>
      </w:pPr>
      <w:r w:rsidRPr="00FE1F95">
        <w:rPr>
          <w:rFonts w:asciiTheme="minorHAnsi" w:hAnsiTheme="minorHAnsi" w:cstheme="minorHAnsi"/>
        </w:rPr>
        <w:t>Requirements related to the value reported in the</w:t>
      </w:r>
      <w:r w:rsidRPr="00FE1F95">
        <w:rPr>
          <w:rFonts w:asciiTheme="minorHAnsi" w:hAnsiTheme="minorHAnsi" w:cstheme="minorHAnsi"/>
          <w:b/>
          <w:bCs/>
        </w:rPr>
        <w:t xml:space="preserve"> “Original maturity” </w:t>
      </w:r>
      <w:r w:rsidRPr="00FE1F95">
        <w:rPr>
          <w:rFonts w:asciiTheme="minorHAnsi" w:hAnsiTheme="minorHAnsi" w:cstheme="minorHAnsi"/>
        </w:rPr>
        <w:t>field</w:t>
      </w:r>
    </w:p>
    <w:p w14:paraId="53BB2B42"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In the case of liabilities arising from repo-type transactions, the original maturity shall be determined based on the maturity of the transaction itself, and not on the maturity of the security underlying the transaction.</w:t>
      </w:r>
    </w:p>
    <w:p w14:paraId="4E7763EF"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For revolving credit facilities with a fixed maturity taken up by the reporting credit institution, the original maturity shall be determined based on the period between the date of first drawdown and the end of the contractual maturity.</w:t>
      </w:r>
      <w:r w:rsidRPr="00FE1F95">
        <w:rPr>
          <w:rFonts w:asciiTheme="minorHAnsi" w:hAnsiTheme="minorHAnsi" w:cstheme="minorHAnsi"/>
        </w:rPr>
        <w:br/>
      </w:r>
      <w:r w:rsidRPr="00FE1F95">
        <w:rPr>
          <w:rFonts w:asciiTheme="minorHAnsi" w:hAnsiTheme="minorHAnsi" w:cstheme="minorHAnsi"/>
        </w:rPr>
        <w:lastRenderedPageBreak/>
        <w:t>If the repayment deadlines of the individual drawdowns are predefined in the contract, those repayment dates shall be taken into account for classification purposes.</w:t>
      </w:r>
      <w:r w:rsidRPr="00FE1F95">
        <w:rPr>
          <w:rFonts w:asciiTheme="minorHAnsi" w:hAnsiTheme="minorHAnsi" w:cstheme="minorHAnsi"/>
        </w:rPr>
        <w:br/>
        <w:t>Revolving credit facilities without a fixed maturity shall be reported with a short original maturity.</w:t>
      </w:r>
    </w:p>
    <w:p w14:paraId="5541AEC6"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In the event of a maturity modification, the original maturity shall be determined based on the start date specified in the loan agreement and the new final maturity date.</w:t>
      </w:r>
      <w:r w:rsidRPr="00FE1F95">
        <w:rPr>
          <w:rFonts w:asciiTheme="minorHAnsi" w:hAnsiTheme="minorHAnsi" w:cstheme="minorHAnsi"/>
        </w:rPr>
        <w:br/>
        <w:t>Consequently, in the case of a maturity extension, the new original maturity may not be shorter than the original maturity prior to the modification. If, however, the modification results in the final maturity date being brought forward, the loan may be reclassified into a shorter original maturity category.</w:t>
      </w:r>
    </w:p>
    <w:p w14:paraId="53DAD1CC"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Where a financial product allows for periodic reviews at predefined intervals, as a result of which the loan may be terminated at the initiative of either party, the interval between two consecutive review dates shall be regarded as the original maturity of the contract.</w:t>
      </w:r>
    </w:p>
    <w:p w14:paraId="0CAF6038"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Refinancing loans taken up by the reporting credit institution shall be classified into the appropriate maturity categories based on the original maturity of the on</w:t>
      </w:r>
      <w:r w:rsidRPr="00FE1F95">
        <w:rPr>
          <w:rFonts w:asciiTheme="minorHAnsi" w:hAnsiTheme="minorHAnsi" w:cstheme="minorHAnsi"/>
        </w:rPr>
        <w:noBreakHyphen/>
        <w:t>lent loan.</w:t>
      </w:r>
    </w:p>
    <w:p w14:paraId="3F0B0768"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Loans with an original maturity exceeding two years, taken up from non</w:t>
      </w:r>
      <w:r w:rsidRPr="00FE1F95">
        <w:rPr>
          <w:rFonts w:asciiTheme="minorHAnsi" w:hAnsiTheme="minorHAnsi" w:cstheme="minorHAnsi"/>
        </w:rPr>
        <w:noBreakHyphen/>
        <w:t>domestic credit institutions, which have been terminated but remain outstanding, shall—for the purpose of calculating the required reserve amount—be classified into the maturity category corresponding to the length of the notice period.</w:t>
      </w:r>
      <w:r w:rsidRPr="00FE1F95">
        <w:rPr>
          <w:rFonts w:asciiTheme="minorHAnsi" w:hAnsiTheme="minorHAnsi" w:cstheme="minorHAnsi"/>
        </w:rPr>
        <w:br/>
        <w:t>(Such outstanding loan liabilities vis</w:t>
      </w:r>
      <w:r w:rsidRPr="00FE1F95">
        <w:rPr>
          <w:rFonts w:asciiTheme="minorHAnsi" w:hAnsiTheme="minorHAnsi" w:cstheme="minorHAnsi"/>
        </w:rPr>
        <w:noBreakHyphen/>
        <w:t>à</w:t>
      </w:r>
      <w:r w:rsidRPr="00FE1F95">
        <w:rPr>
          <w:rFonts w:asciiTheme="minorHAnsi" w:hAnsiTheme="minorHAnsi" w:cstheme="minorHAnsi"/>
        </w:rPr>
        <w:noBreakHyphen/>
        <w:t>vis domestic credit institutions shall be classified based on their original maturity.)</w:t>
      </w:r>
    </w:p>
    <w:p w14:paraId="2527EA10"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If, for any reason, the maturity date is unknown, the instrument shall be classified into the longest maturity category.</w:t>
      </w:r>
    </w:p>
    <w:p w14:paraId="074B3405" w14:textId="77777777"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The original maturity of an instrument may not be shorter than its remaining maturity.</w:t>
      </w:r>
    </w:p>
    <w:p w14:paraId="6B174CE0" w14:textId="13D5E708" w:rsidR="002A44F2" w:rsidRPr="00FE1F95" w:rsidRDefault="002A44F2" w:rsidP="002A44F2">
      <w:pPr>
        <w:numPr>
          <w:ilvl w:val="0"/>
          <w:numId w:val="25"/>
        </w:numPr>
        <w:rPr>
          <w:rFonts w:asciiTheme="minorHAnsi" w:hAnsiTheme="minorHAnsi" w:cstheme="minorHAnsi"/>
        </w:rPr>
      </w:pPr>
      <w:r w:rsidRPr="00FE1F95">
        <w:rPr>
          <w:rFonts w:asciiTheme="minorHAnsi" w:hAnsiTheme="minorHAnsi" w:cstheme="minorHAnsi"/>
        </w:rPr>
        <w:t>From the reference period of January 2026 onwards, the within</w:t>
      </w:r>
      <w:r w:rsidRPr="00FE1F95">
        <w:rPr>
          <w:rFonts w:asciiTheme="minorHAnsi" w:hAnsiTheme="minorHAnsi" w:cstheme="minorHAnsi"/>
        </w:rPr>
        <w:noBreakHyphen/>
        <w:t>one</w:t>
      </w:r>
      <w:r w:rsidRPr="00FE1F95">
        <w:rPr>
          <w:rFonts w:asciiTheme="minorHAnsi" w:hAnsiTheme="minorHAnsi" w:cstheme="minorHAnsi"/>
        </w:rPr>
        <w:noBreakHyphen/>
        <w:t>year (‘0–1Y’) original maturity code may no longer be used in the “Original maturity” field. Instead, the following more granular codes shall be applied:</w:t>
      </w:r>
      <w:r w:rsidRPr="00FE1F95">
        <w:rPr>
          <w:rFonts w:asciiTheme="minorHAnsi" w:hAnsiTheme="minorHAnsi" w:cstheme="minorHAnsi"/>
        </w:rPr>
        <w:br/>
        <w:t>'1NAP-1HET', '1HET-1HO', '31-90N', '91-180N', '181-365N'.</w:t>
      </w:r>
      <w:r w:rsidRPr="00FE1F95">
        <w:rPr>
          <w:rFonts w:asciiTheme="minorHAnsi" w:hAnsiTheme="minorHAnsi" w:cstheme="minorHAnsi"/>
        </w:rPr>
        <w:br/>
        <w:t>Within this breakdown, '1NAP-1HET' refers to original maturities of 1–7 days, while '1HET-1HO' refers to 8–30 days.</w:t>
      </w:r>
    </w:p>
    <w:p w14:paraId="5E53F708" w14:textId="77777777" w:rsidR="002A44F2" w:rsidRPr="00FE1F95" w:rsidRDefault="002A44F2" w:rsidP="002A44F2">
      <w:pPr>
        <w:rPr>
          <w:rFonts w:asciiTheme="minorHAnsi" w:hAnsiTheme="minorHAnsi" w:cstheme="minorHAnsi"/>
        </w:rPr>
      </w:pPr>
      <w:r w:rsidRPr="00FE1F95">
        <w:rPr>
          <w:rFonts w:asciiTheme="minorHAnsi" w:hAnsiTheme="minorHAnsi" w:cstheme="minorHAnsi"/>
        </w:rPr>
        <w:t xml:space="preserve">Requirements related to the value reported in the </w:t>
      </w:r>
      <w:r w:rsidRPr="00FE1F95">
        <w:rPr>
          <w:rFonts w:asciiTheme="minorHAnsi" w:hAnsiTheme="minorHAnsi" w:cstheme="minorHAnsi"/>
          <w:b/>
          <w:bCs/>
        </w:rPr>
        <w:t xml:space="preserve">“Remaining maturity” </w:t>
      </w:r>
      <w:r w:rsidRPr="00FE1F95">
        <w:rPr>
          <w:rFonts w:asciiTheme="minorHAnsi" w:hAnsiTheme="minorHAnsi" w:cstheme="minorHAnsi"/>
        </w:rPr>
        <w:t>field</w:t>
      </w:r>
    </w:p>
    <w:p w14:paraId="5638DBD3" w14:textId="77777777" w:rsidR="002A44F2" w:rsidRPr="00FE1F95" w:rsidRDefault="002A44F2" w:rsidP="002A44F2">
      <w:pPr>
        <w:numPr>
          <w:ilvl w:val="0"/>
          <w:numId w:val="26"/>
        </w:numPr>
        <w:rPr>
          <w:rFonts w:asciiTheme="minorHAnsi" w:hAnsiTheme="minorHAnsi" w:cstheme="minorHAnsi"/>
        </w:rPr>
      </w:pPr>
      <w:r w:rsidRPr="00FE1F95">
        <w:rPr>
          <w:rFonts w:asciiTheme="minorHAnsi" w:hAnsiTheme="minorHAnsi" w:cstheme="minorHAnsi"/>
        </w:rPr>
        <w:t>The remaining maturity shall reflect the time remaining from the reference date of the data collection until the maturity date defined at contract inception.</w:t>
      </w:r>
    </w:p>
    <w:p w14:paraId="5E561966" w14:textId="77777777" w:rsidR="002A44F2" w:rsidRPr="00FE1F95" w:rsidRDefault="002A44F2" w:rsidP="002A44F2">
      <w:pPr>
        <w:numPr>
          <w:ilvl w:val="0"/>
          <w:numId w:val="26"/>
        </w:numPr>
        <w:rPr>
          <w:rFonts w:asciiTheme="minorHAnsi" w:hAnsiTheme="minorHAnsi" w:cstheme="minorHAnsi"/>
        </w:rPr>
      </w:pPr>
      <w:r w:rsidRPr="00FE1F95">
        <w:rPr>
          <w:rFonts w:asciiTheme="minorHAnsi" w:hAnsiTheme="minorHAnsi" w:cstheme="minorHAnsi"/>
        </w:rPr>
        <w:t>In the case of liabilities arising from repo-type transactions, the remaining maturity shall be determined based on the maturity of the transaction itself, and not on the maturity of the underlying security.</w:t>
      </w:r>
    </w:p>
    <w:p w14:paraId="28193F8A" w14:textId="77777777" w:rsidR="002A44F2" w:rsidRPr="00FE1F95" w:rsidRDefault="002A44F2" w:rsidP="002A44F2">
      <w:pPr>
        <w:numPr>
          <w:ilvl w:val="0"/>
          <w:numId w:val="26"/>
        </w:numPr>
        <w:rPr>
          <w:rFonts w:asciiTheme="minorHAnsi" w:hAnsiTheme="minorHAnsi" w:cstheme="minorHAnsi"/>
        </w:rPr>
      </w:pPr>
      <w:r w:rsidRPr="00FE1F95">
        <w:rPr>
          <w:rFonts w:asciiTheme="minorHAnsi" w:hAnsiTheme="minorHAnsi" w:cstheme="minorHAnsi"/>
        </w:rPr>
        <w:t>For revolving credit facilities with a fixed maturity taken up by the reporting credit institution, the remaining maturity shall be determined based on the time remaining until the end of the contractual maturity.</w:t>
      </w:r>
      <w:r w:rsidRPr="00FE1F95">
        <w:rPr>
          <w:rFonts w:asciiTheme="minorHAnsi" w:hAnsiTheme="minorHAnsi" w:cstheme="minorHAnsi"/>
        </w:rPr>
        <w:br/>
        <w:t>Revolving credit facilities without a fixed maturity shall be reported with the shortest remaining maturity category, i.e. '0–30D' (0–30 days).</w:t>
      </w:r>
    </w:p>
    <w:p w14:paraId="6BA750AB" w14:textId="77777777" w:rsidR="002A44F2" w:rsidRPr="00FE1F95" w:rsidRDefault="002A44F2" w:rsidP="002A44F2">
      <w:pPr>
        <w:numPr>
          <w:ilvl w:val="0"/>
          <w:numId w:val="26"/>
        </w:numPr>
        <w:rPr>
          <w:rFonts w:asciiTheme="minorHAnsi" w:hAnsiTheme="minorHAnsi" w:cstheme="minorHAnsi"/>
        </w:rPr>
      </w:pPr>
      <w:r w:rsidRPr="00FE1F95">
        <w:rPr>
          <w:rFonts w:asciiTheme="minorHAnsi" w:hAnsiTheme="minorHAnsi" w:cstheme="minorHAnsi"/>
        </w:rPr>
        <w:t>If the repayment deadlines of individual drawdowns are predefined in the contract, those specific maturity dates shall be taken into account for classification purposes.</w:t>
      </w:r>
    </w:p>
    <w:p w14:paraId="41CDE2DD" w14:textId="46596B25"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t>Where a given financial product provides for periodic reviews at predefined intervals, as a result of which the loan may be terminated by either party, the remaining maturity of the contract shall be defined as the time remaining until the next review date.</w:t>
      </w:r>
    </w:p>
    <w:p w14:paraId="128519FF" w14:textId="6553AEEF"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t>In the event of a maturity modification, the remaining maturity shall be determined based on the time period remaining until the new final maturity date.</w:t>
      </w:r>
    </w:p>
    <w:p w14:paraId="1743052F" w14:textId="7C83C0A3"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lastRenderedPageBreak/>
        <w:t>When determining the remaining maturity of subordinated funding, the time remaining until the end of the notice period shall be taken into account.</w:t>
      </w:r>
    </w:p>
    <w:p w14:paraId="012AA2BC" w14:textId="7248BCE3"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t>If, for any reason, the maturity date is unknown, the instrument shall be classified into the longest remaining maturity category.</w:t>
      </w:r>
    </w:p>
    <w:p w14:paraId="5BB1C4C9" w14:textId="10FD9BC4"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t>For repo liabilities and taken-up loans that are removed from the balance sheet during the reporting month, the remaining maturity of the liability shall be reported under the shortest maturity category, i.e. ’0-30N’ (0–30 days).</w:t>
      </w:r>
    </w:p>
    <w:p w14:paraId="4DD73F97" w14:textId="495B506A"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t>The remaining maturity of an instrument may not be longer than its original maturity.</w:t>
      </w:r>
    </w:p>
    <w:p w14:paraId="55AF70BA" w14:textId="5868B6D1" w:rsidR="00A828B4" w:rsidRPr="00FE1F95" w:rsidRDefault="00A828B4" w:rsidP="00A828B4">
      <w:pPr>
        <w:numPr>
          <w:ilvl w:val="0"/>
          <w:numId w:val="25"/>
        </w:numPr>
        <w:rPr>
          <w:rFonts w:asciiTheme="minorHAnsi" w:hAnsiTheme="minorHAnsi" w:cstheme="minorHAnsi"/>
        </w:rPr>
      </w:pPr>
      <w:r w:rsidRPr="00FE1F95">
        <w:rPr>
          <w:rFonts w:asciiTheme="minorHAnsi" w:hAnsiTheme="minorHAnsi" w:cstheme="minorHAnsi"/>
        </w:rPr>
        <w:t>Overdue loans shall be treated in two different ways:</w:t>
      </w:r>
    </w:p>
    <w:p w14:paraId="4684667D" w14:textId="17BB532F" w:rsidR="00A828B4" w:rsidRPr="00FE1F95" w:rsidRDefault="00A828B4" w:rsidP="00A828B4">
      <w:pPr>
        <w:numPr>
          <w:ilvl w:val="1"/>
          <w:numId w:val="25"/>
        </w:numPr>
        <w:rPr>
          <w:rFonts w:asciiTheme="minorHAnsi" w:hAnsiTheme="minorHAnsi" w:cstheme="minorHAnsi"/>
        </w:rPr>
      </w:pPr>
      <w:r w:rsidRPr="00FE1F95">
        <w:rPr>
          <w:rFonts w:asciiTheme="minorHAnsi" w:hAnsiTheme="minorHAnsi" w:cstheme="minorHAnsi"/>
        </w:rPr>
        <w:t xml:space="preserve">Loans for which the entire outstanding amount is recorded as </w:t>
      </w:r>
      <w:proofErr w:type="spellStart"/>
      <w:r w:rsidRPr="00FE1F95">
        <w:rPr>
          <w:rFonts w:asciiTheme="minorHAnsi" w:hAnsiTheme="minorHAnsi" w:cstheme="minorHAnsi"/>
        </w:rPr>
        <w:t>overdue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using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color w:val="000000"/>
        </w:rPr>
        <w:t>’LEJART’</w:t>
      </w:r>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w:t>
      </w:r>
    </w:p>
    <w:p w14:paraId="605C97DC" w14:textId="77777777" w:rsidR="00A828B4" w:rsidRPr="00FE1F95" w:rsidRDefault="00A828B4" w:rsidP="00A828B4">
      <w:pPr>
        <w:numPr>
          <w:ilvl w:val="1"/>
          <w:numId w:val="25"/>
        </w:numPr>
        <w:rPr>
          <w:rFonts w:asciiTheme="minorHAnsi" w:hAnsiTheme="minorHAnsi" w:cstheme="minorHAnsi"/>
        </w:rPr>
      </w:pPr>
      <w:r w:rsidRPr="00FE1F95">
        <w:rPr>
          <w:rFonts w:asciiTheme="minorHAnsi" w:hAnsiTheme="minorHAnsi" w:cstheme="minorHAnsi"/>
        </w:rPr>
        <w:t>In the case of loans that are not recorded as fully overdue, but include both overdue and non</w:t>
      </w:r>
      <w:r w:rsidRPr="00FE1F95">
        <w:rPr>
          <w:rFonts w:asciiTheme="minorHAnsi" w:hAnsiTheme="minorHAnsi" w:cstheme="minorHAnsi"/>
        </w:rPr>
        <w:noBreakHyphen/>
        <w:t>overdue portions, the loan shall be reported in a single record, classified according to the remaining maturity of the non</w:t>
      </w:r>
      <w:r w:rsidRPr="00FE1F95">
        <w:rPr>
          <w:rFonts w:asciiTheme="minorHAnsi" w:hAnsiTheme="minorHAnsi" w:cstheme="minorHAnsi"/>
        </w:rPr>
        <w:noBreakHyphen/>
        <w:t>overdue (principal) portion.</w:t>
      </w:r>
    </w:p>
    <w:p w14:paraId="5B3AB394" w14:textId="4E18C923" w:rsidR="00A828B4" w:rsidRPr="00FE1F95" w:rsidRDefault="00A828B4" w:rsidP="00A828B4">
      <w:pPr>
        <w:pStyle w:val="Listaszerbekezds"/>
        <w:numPr>
          <w:ilvl w:val="0"/>
          <w:numId w:val="26"/>
        </w:numPr>
        <w:rPr>
          <w:rFonts w:asciiTheme="minorHAnsi" w:hAnsiTheme="minorHAnsi" w:cstheme="minorHAnsi"/>
        </w:rPr>
      </w:pPr>
      <w:r w:rsidRPr="00FE1F95">
        <w:rPr>
          <w:rFonts w:asciiTheme="minorHAnsi" w:hAnsiTheme="minorHAnsi" w:cstheme="minorHAnsi"/>
        </w:rPr>
        <w:t>Refinancing loans taken up by the reporting credit institution shall be classified into the appropriate maturity categories based on the remaining maturity of the on</w:t>
      </w:r>
      <w:r w:rsidRPr="00FE1F95">
        <w:rPr>
          <w:rFonts w:asciiTheme="minorHAnsi" w:hAnsiTheme="minorHAnsi" w:cstheme="minorHAnsi"/>
        </w:rPr>
        <w:noBreakHyphen/>
        <w:t>lent loan.</w:t>
      </w:r>
    </w:p>
    <w:p w14:paraId="76081ABD" w14:textId="742ABAE6" w:rsidR="00A828B4" w:rsidRPr="00FE1F95" w:rsidRDefault="00A828B4" w:rsidP="00A828B4">
      <w:pPr>
        <w:rPr>
          <w:rFonts w:asciiTheme="minorHAnsi" w:hAnsiTheme="minorHAnsi" w:cstheme="minorHAnsi"/>
        </w:rPr>
      </w:pPr>
      <w:r w:rsidRPr="00FE1F95">
        <w:rPr>
          <w:rFonts w:asciiTheme="minorHAnsi" w:hAnsiTheme="minorHAnsi" w:cstheme="minorHAnsi"/>
        </w:rPr>
        <w:t xml:space="preserve">The provisions applicable to new contracts are set </w:t>
      </w:r>
      <w:proofErr w:type="gramStart"/>
      <w:r w:rsidRPr="00FE1F95">
        <w:rPr>
          <w:rFonts w:asciiTheme="minorHAnsi" w:hAnsiTheme="minorHAnsi" w:cstheme="minorHAnsi"/>
        </w:rPr>
        <w:t>out in</w:t>
      </w:r>
      <w:proofErr w:type="gramEnd"/>
      <w:r w:rsidRPr="00FE1F95">
        <w:rPr>
          <w:rFonts w:asciiTheme="minorHAnsi" w:hAnsiTheme="minorHAnsi" w:cstheme="minorHAnsi"/>
        </w:rPr>
        <w:t xml:space="preserve"> Section 2.1.</w:t>
      </w:r>
    </w:p>
    <w:p w14:paraId="7E1849BD" w14:textId="280B35F7"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gramStart"/>
      <w:r w:rsidRPr="00FE1F95">
        <w:rPr>
          <w:rFonts w:asciiTheme="minorHAnsi" w:hAnsiTheme="minorHAnsi" w:cstheme="minorHAnsi"/>
          <w:b/>
          <w:bCs/>
        </w:rPr>
        <w:t>“</w:t>
      </w:r>
      <w:r w:rsidR="0048080D" w:rsidRPr="00FE1F95">
        <w:rPr>
          <w:rFonts w:asciiTheme="minorHAnsi" w:hAnsiTheme="minorHAnsi" w:cstheme="minorHAnsi"/>
        </w:rPr>
        <w:t xml:space="preserve"> </w:t>
      </w:r>
      <w:r w:rsidR="0048080D" w:rsidRPr="00FE1F95">
        <w:rPr>
          <w:rFonts w:asciiTheme="minorHAnsi" w:hAnsiTheme="minorHAnsi" w:cstheme="minorHAnsi"/>
          <w:b/>
          <w:bCs/>
        </w:rPr>
        <w:t>Outstanding</w:t>
      </w:r>
      <w:proofErr w:type="gramEnd"/>
      <w:r w:rsidR="0048080D" w:rsidRPr="00FE1F95">
        <w:rPr>
          <w:rFonts w:asciiTheme="minorHAnsi" w:hAnsiTheme="minorHAnsi" w:cstheme="minorHAnsi"/>
          <w:b/>
          <w:bCs/>
        </w:rPr>
        <w:t xml:space="preserve"> </w:t>
      </w:r>
      <w:proofErr w:type="spellStart"/>
      <w:r w:rsidR="0048080D" w:rsidRPr="00FE1F95">
        <w:rPr>
          <w:rFonts w:asciiTheme="minorHAnsi" w:hAnsiTheme="minorHAnsi" w:cstheme="minorHAnsi"/>
          <w:b/>
          <w:bCs/>
        </w:rPr>
        <w:t>principal</w:t>
      </w:r>
      <w:proofErr w:type="spellEnd"/>
      <w:r w:rsidR="0048080D" w:rsidRPr="00FE1F95">
        <w:rPr>
          <w:rFonts w:asciiTheme="minorHAnsi" w:hAnsiTheme="minorHAnsi" w:cstheme="minorHAnsi"/>
          <w:b/>
          <w:bCs/>
        </w:rPr>
        <w:t xml:space="preserve"> </w:t>
      </w:r>
      <w:proofErr w:type="spellStart"/>
      <w:r w:rsidR="0048080D" w:rsidRPr="00FE1F95">
        <w:rPr>
          <w:rFonts w:asciiTheme="minorHAnsi" w:hAnsiTheme="minorHAnsi" w:cstheme="minorHAnsi"/>
          <w:b/>
          <w:bCs/>
        </w:rPr>
        <w:t>balance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nominal</w:t>
      </w:r>
      <w:proofErr w:type="spellEnd"/>
      <w:r w:rsidRPr="00FE1F95">
        <w:rPr>
          <w:rFonts w:asciiTheme="minorHAnsi" w:hAnsiTheme="minorHAnsi" w:cstheme="minorHAnsi"/>
        </w:rPr>
        <w:t xml:space="preserve"> (principal) amount excluding accrued interest shall be reported. This value must be consistent with the corresponding values reported in the Statistical Balance Sheet Table 01 (containing data excluding foreign branches), under the relevant row code “B” – Gross principal amount.</w:t>
      </w:r>
    </w:p>
    <w:p w14:paraId="04D1CB94" w14:textId="77777777"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In the </w:t>
      </w:r>
      <w:r w:rsidRPr="00FE1F95">
        <w:rPr>
          <w:rFonts w:asciiTheme="minorHAnsi" w:hAnsiTheme="minorHAnsi" w:cstheme="minorHAnsi"/>
          <w:b/>
          <w:bCs/>
        </w:rPr>
        <w:t>“Valuation difference”</w:t>
      </w:r>
      <w:r w:rsidRPr="00FE1F95">
        <w:rPr>
          <w:rFonts w:asciiTheme="minorHAnsi" w:hAnsiTheme="minorHAnsi" w:cstheme="minorHAnsi"/>
        </w:rPr>
        <w:t xml:space="preserve"> field, the amount representing the difference between the gross outstanding principal amount at the end of the period and the book value, which is not explained by accrued (statistical) interest, shall be reported. This shall include, inter alia, differences arising from the application of the effective interest rate method as well as fair value differences resulting from the initial valuation of instruments.</w:t>
      </w:r>
      <w:r w:rsidRPr="00FE1F95">
        <w:rPr>
          <w:rFonts w:asciiTheme="minorHAnsi" w:hAnsiTheme="minorHAnsi" w:cstheme="minorHAnsi"/>
        </w:rPr>
        <w:br/>
        <w:t>Where the reporting entity and the observed entity are identical, the reported figure must be consistent with the corresponding value in Statistical Balance Sheet Table 01 (excluding foreign branches), under row code “K” – Valuation difference.</w:t>
      </w:r>
    </w:p>
    <w:p w14:paraId="43406BCF" w14:textId="6F7261B4" w:rsidR="00844EED" w:rsidRPr="00FE1F95" w:rsidRDefault="00367DB0" w:rsidP="00367DB0">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Accrued</w:t>
      </w:r>
      <w:proofErr w:type="spellEnd"/>
      <w:r w:rsidRPr="00FE1F95">
        <w:rPr>
          <w:rFonts w:asciiTheme="minorHAnsi" w:hAnsiTheme="minorHAnsi" w:cstheme="minorHAnsi"/>
          <w:b/>
          <w:bCs/>
        </w:rPr>
        <w:t xml:space="preserve"> interest”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financially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unsettled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portion</w:t>
      </w:r>
      <w:proofErr w:type="spellEnd"/>
      <w:r w:rsidRPr="00FE1F95">
        <w:rPr>
          <w:rFonts w:asciiTheme="minorHAnsi" w:hAnsiTheme="minorHAnsi" w:cstheme="minorHAnsi"/>
        </w:rPr>
        <w:t xml:space="preserve"> of accrued statistical interest income, which appears as a balance sheet position at the end of the period, shall be reported. If accrued interest is negative due to a negative interest rate environment, it shall still be reported in the same row as the related instrument, with a negative sign.</w:t>
      </w:r>
      <w:r w:rsidR="00844EED" w:rsidRPr="00FE1F95">
        <w:rPr>
          <w:rFonts w:asciiTheme="minorHAnsi" w:hAnsiTheme="minorHAnsi" w:cstheme="minorHAnsi"/>
        </w:rPr>
        <w:t xml:space="preserve"> </w:t>
      </w:r>
    </w:p>
    <w:p w14:paraId="7F7BA03D" w14:textId="7BD20616" w:rsidR="00367DB0" w:rsidRPr="00FE1F95" w:rsidRDefault="00367DB0" w:rsidP="00367DB0">
      <w:pPr>
        <w:rPr>
          <w:rFonts w:asciiTheme="minorHAnsi" w:hAnsiTheme="minorHAnsi" w:cstheme="minorHAnsi"/>
        </w:rPr>
      </w:pPr>
      <w:r w:rsidRPr="00FE1F95">
        <w:rPr>
          <w:rFonts w:asciiTheme="minorHAnsi" w:hAnsiTheme="minorHAnsi" w:cstheme="minorHAnsi"/>
        </w:rPr>
        <w:br/>
        <w:t>Where the reporting entity and the observed entity are identical, the reported data must be consistent with the corresponding value in Statistical Balance Sheet Table 01 (excluding foreign branches), under row code “F” – Accrued interest.</w:t>
      </w:r>
    </w:p>
    <w:p w14:paraId="44BF3C32" w14:textId="7B86EF4D"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gramStart"/>
      <w:r w:rsidRPr="00FE1F95">
        <w:rPr>
          <w:rFonts w:asciiTheme="minorHAnsi" w:hAnsiTheme="minorHAnsi" w:cstheme="minorHAnsi"/>
          <w:b/>
          <w:bCs/>
        </w:rPr>
        <w:t>“</w:t>
      </w:r>
      <w:r w:rsidR="0048080D" w:rsidRPr="00FE1F95">
        <w:rPr>
          <w:rFonts w:asciiTheme="minorHAnsi" w:hAnsiTheme="minorHAnsi" w:cstheme="minorHAnsi"/>
        </w:rPr>
        <w:t xml:space="preserve"> </w:t>
      </w:r>
      <w:r w:rsidR="0048080D" w:rsidRPr="00FE1F95">
        <w:rPr>
          <w:rFonts w:asciiTheme="minorHAnsi" w:hAnsiTheme="minorHAnsi" w:cstheme="minorHAnsi"/>
          <w:b/>
          <w:bCs/>
        </w:rPr>
        <w:t>(</w:t>
      </w:r>
      <w:proofErr w:type="spellStart"/>
      <w:proofErr w:type="gramEnd"/>
      <w:r w:rsidR="0048080D" w:rsidRPr="00FE1F95">
        <w:rPr>
          <w:rFonts w:asciiTheme="minorHAnsi" w:hAnsiTheme="minorHAnsi" w:cstheme="minorHAnsi"/>
          <w:b/>
          <w:bCs/>
        </w:rPr>
        <w:t>Statistical</w:t>
      </w:r>
      <w:proofErr w:type="spellEnd"/>
      <w:r w:rsidR="0048080D" w:rsidRPr="00FE1F95">
        <w:rPr>
          <w:rFonts w:asciiTheme="minorHAnsi" w:hAnsiTheme="minorHAnsi" w:cstheme="minorHAnsi"/>
          <w:b/>
          <w:bCs/>
        </w:rPr>
        <w:t xml:space="preserve">) interest </w:t>
      </w:r>
      <w:proofErr w:type="spellStart"/>
      <w:r w:rsidR="0048080D" w:rsidRPr="00FE1F95">
        <w:rPr>
          <w:rFonts w:asciiTheme="minorHAnsi" w:hAnsiTheme="minorHAnsi" w:cstheme="minorHAnsi"/>
          <w:b/>
          <w:bCs/>
        </w:rPr>
        <w:t>for</w:t>
      </w:r>
      <w:proofErr w:type="spellEnd"/>
      <w:r w:rsidR="0048080D" w:rsidRPr="00FE1F95">
        <w:rPr>
          <w:rFonts w:asciiTheme="minorHAnsi" w:hAnsiTheme="minorHAnsi" w:cstheme="minorHAnsi"/>
          <w:b/>
          <w:bCs/>
        </w:rPr>
        <w:t xml:space="preserve"> </w:t>
      </w:r>
      <w:proofErr w:type="spellStart"/>
      <w:r w:rsidR="0048080D" w:rsidRPr="00FE1F95">
        <w:rPr>
          <w:rFonts w:asciiTheme="minorHAnsi" w:hAnsiTheme="minorHAnsi" w:cstheme="minorHAnsi"/>
          <w:b/>
          <w:bCs/>
        </w:rPr>
        <w:t>the</w:t>
      </w:r>
      <w:proofErr w:type="spellEnd"/>
      <w:r w:rsidR="0048080D" w:rsidRPr="00FE1F95">
        <w:rPr>
          <w:rFonts w:asciiTheme="minorHAnsi" w:hAnsiTheme="minorHAnsi" w:cstheme="minorHAnsi"/>
          <w:b/>
          <w:bCs/>
        </w:rPr>
        <w:t xml:space="preserve"> </w:t>
      </w:r>
      <w:proofErr w:type="spellStart"/>
      <w:r w:rsidR="0048080D" w:rsidRPr="00FE1F95">
        <w:rPr>
          <w:rFonts w:asciiTheme="minorHAnsi" w:hAnsiTheme="minorHAnsi" w:cstheme="minorHAnsi"/>
          <w:b/>
          <w:bCs/>
        </w:rPr>
        <w:t>reference</w:t>
      </w:r>
      <w:proofErr w:type="spellEnd"/>
      <w:r w:rsidR="0048080D" w:rsidRPr="00FE1F95">
        <w:rPr>
          <w:rFonts w:asciiTheme="minorHAnsi" w:hAnsiTheme="minorHAnsi" w:cstheme="minorHAnsi"/>
          <w:b/>
          <w:bCs/>
        </w:rPr>
        <w:t xml:space="preserve"> </w:t>
      </w:r>
      <w:proofErr w:type="spellStart"/>
      <w:r w:rsidR="0048080D" w:rsidRPr="00FE1F95">
        <w:rPr>
          <w:rFonts w:asciiTheme="minorHAnsi" w:hAnsiTheme="minorHAnsi" w:cstheme="minorHAnsi"/>
          <w:b/>
          <w:bCs/>
        </w:rPr>
        <w:t>period</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statistical</w:t>
      </w:r>
      <w:proofErr w:type="spellEnd"/>
      <w:r w:rsidRPr="00FE1F95">
        <w:rPr>
          <w:rFonts w:asciiTheme="minorHAnsi" w:hAnsiTheme="minorHAnsi" w:cstheme="minorHAnsi"/>
        </w:rPr>
        <w:t xml:space="preserve"> interest charged on outstanding positions during the reporting period, not adjusted for cash settlement (i.e. the statistical interest income payable for the reporting month), shall be reported. If the interest charged for the period is negative due to a negative interest rate environment, it shall be reported with a negative sign.</w:t>
      </w:r>
      <w:r w:rsidRPr="00FE1F95">
        <w:rPr>
          <w:rFonts w:asciiTheme="minorHAnsi" w:hAnsiTheme="minorHAnsi" w:cstheme="minorHAnsi"/>
        </w:rPr>
        <w:br/>
        <w:t>The reported value must be consistent with the monthly statistical interest expense related to the corresponding instrument as recorded in the statistical profit and loss statement.</w:t>
      </w:r>
    </w:p>
    <w:p w14:paraId="777523B3" w14:textId="08DF9294"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The </w:t>
      </w:r>
      <w:proofErr w:type="gramStart"/>
      <w:r w:rsidRPr="00FE1F95">
        <w:rPr>
          <w:rFonts w:asciiTheme="minorHAnsi" w:hAnsiTheme="minorHAnsi" w:cstheme="minorHAnsi"/>
          <w:b/>
          <w:bCs/>
        </w:rPr>
        <w:t>“</w:t>
      </w:r>
      <w:r w:rsidR="0048080D" w:rsidRPr="00FE1F95">
        <w:rPr>
          <w:rFonts w:asciiTheme="minorHAnsi" w:hAnsiTheme="minorHAnsi" w:cstheme="minorHAnsi"/>
        </w:rPr>
        <w:t xml:space="preserve"> </w:t>
      </w:r>
      <w:proofErr w:type="spellStart"/>
      <w:r w:rsidR="0048080D" w:rsidRPr="00FE1F95">
        <w:rPr>
          <w:rFonts w:asciiTheme="minorHAnsi" w:hAnsiTheme="minorHAnsi" w:cstheme="minorHAnsi"/>
          <w:b/>
          <w:bCs/>
        </w:rPr>
        <w:t>Annualised</w:t>
      </w:r>
      <w:proofErr w:type="spellEnd"/>
      <w:proofErr w:type="gramEnd"/>
      <w:r w:rsidR="0048080D" w:rsidRPr="00FE1F95">
        <w:rPr>
          <w:rFonts w:asciiTheme="minorHAnsi" w:hAnsiTheme="minorHAnsi" w:cstheme="minorHAnsi"/>
          <w:b/>
          <w:bCs/>
        </w:rPr>
        <w:t xml:space="preserve"> interest </w:t>
      </w:r>
      <w:proofErr w:type="spellStart"/>
      <w:r w:rsidR="0048080D" w:rsidRPr="00FE1F95">
        <w:rPr>
          <w:rFonts w:asciiTheme="minorHAnsi" w:hAnsiTheme="minorHAnsi" w:cstheme="minorHAnsi"/>
          <w:b/>
          <w:bCs/>
        </w:rPr>
        <w:t>rate</w:t>
      </w:r>
      <w:proofErr w:type="spellEnd"/>
      <w:r w:rsidR="0048080D" w:rsidRPr="00FE1F95">
        <w:rPr>
          <w:rFonts w:asciiTheme="minorHAnsi" w:hAnsiTheme="minorHAnsi" w:cstheme="minorHAnsi"/>
          <w:b/>
          <w:bCs/>
        </w:rPr>
        <w:t xml:space="preserve"> (of </w:t>
      </w:r>
      <w:proofErr w:type="spellStart"/>
      <w:r w:rsidR="0048080D" w:rsidRPr="00FE1F95">
        <w:rPr>
          <w:rFonts w:asciiTheme="minorHAnsi" w:hAnsiTheme="minorHAnsi" w:cstheme="minorHAnsi"/>
          <w:b/>
          <w:bCs/>
        </w:rPr>
        <w:t>stock</w:t>
      </w:r>
      <w:proofErr w:type="spellEnd"/>
      <w:r w:rsidR="0048080D" w:rsidRPr="00FE1F95">
        <w:rPr>
          <w:rFonts w:asciiTheme="minorHAnsi" w:hAnsiTheme="minorHAnsi" w:cstheme="minorHAnsi"/>
          <w:b/>
          <w:bCs/>
        </w:rPr>
        <w:t>) %</w:t>
      </w:r>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represents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annualised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expression</w:t>
      </w:r>
      <w:proofErr w:type="spellEnd"/>
      <w:r w:rsidRPr="00FE1F95">
        <w:rPr>
          <w:rFonts w:asciiTheme="minorHAnsi" w:hAnsiTheme="minorHAnsi" w:cstheme="minorHAnsi"/>
        </w:rPr>
        <w:t xml:space="preserve"> of the interest rate applied to outstanding amounts, expressed as an annual percentage. The outstanding annualised interest rate shall be calculated </w:t>
      </w:r>
      <w:r w:rsidRPr="00FE1F95">
        <w:rPr>
          <w:rFonts w:asciiTheme="minorHAnsi" w:hAnsiTheme="minorHAnsi" w:cstheme="minorHAnsi"/>
        </w:rPr>
        <w:lastRenderedPageBreak/>
        <w:t xml:space="preserve">using one of the formulas defined in the Glossary set </w:t>
      </w:r>
      <w:proofErr w:type="gramStart"/>
      <w:r w:rsidRPr="00FE1F95">
        <w:rPr>
          <w:rFonts w:asciiTheme="minorHAnsi" w:hAnsiTheme="minorHAnsi" w:cstheme="minorHAnsi"/>
        </w:rPr>
        <w:t>out in</w:t>
      </w:r>
      <w:proofErr w:type="gramEnd"/>
      <w:r w:rsidRPr="00FE1F95">
        <w:rPr>
          <w:rFonts w:asciiTheme="minorHAnsi" w:hAnsiTheme="minorHAnsi" w:cstheme="minorHAnsi"/>
        </w:rPr>
        <w:t xml:space="preserve"> Annex 2 of the Regulation.</w:t>
      </w:r>
      <w:r w:rsidRPr="00FE1F95">
        <w:rPr>
          <w:rFonts w:asciiTheme="minorHAnsi" w:hAnsiTheme="minorHAnsi" w:cstheme="minorHAnsi"/>
        </w:rPr>
        <w:br/>
        <w:t>Fields relating to outstanding interest rates shall be reported for all instruments that are active at the end of the reference period.</w:t>
      </w:r>
    </w:p>
    <w:p w14:paraId="63E78C8D" w14:textId="787A5D09"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gramStart"/>
      <w:r w:rsidRPr="00FE1F95">
        <w:rPr>
          <w:rFonts w:asciiTheme="minorHAnsi" w:hAnsiTheme="minorHAnsi" w:cstheme="minorHAnsi"/>
          <w:b/>
          <w:bCs/>
        </w:rPr>
        <w:t>“</w:t>
      </w:r>
      <w:r w:rsidR="00D91050" w:rsidRPr="00FE1F95">
        <w:rPr>
          <w:rFonts w:asciiTheme="minorHAnsi" w:hAnsiTheme="minorHAnsi" w:cstheme="minorHAnsi"/>
        </w:rPr>
        <w:t xml:space="preserve"> </w:t>
      </w:r>
      <w:proofErr w:type="spellStart"/>
      <w:r w:rsidR="00D91050" w:rsidRPr="00FE1F95">
        <w:rPr>
          <w:rFonts w:asciiTheme="minorHAnsi" w:hAnsiTheme="minorHAnsi" w:cstheme="minorHAnsi"/>
          <w:b/>
          <w:bCs/>
        </w:rPr>
        <w:t>Initial</w:t>
      </w:r>
      <w:proofErr w:type="spellEnd"/>
      <w:proofErr w:type="gramEnd"/>
      <w:r w:rsidR="00D91050" w:rsidRPr="00FE1F95">
        <w:rPr>
          <w:rFonts w:asciiTheme="minorHAnsi" w:hAnsiTheme="minorHAnsi" w:cstheme="minorHAnsi"/>
          <w:b/>
          <w:bCs/>
        </w:rPr>
        <w:t xml:space="preserve"> </w:t>
      </w:r>
      <w:proofErr w:type="spellStart"/>
      <w:r w:rsidR="00D91050" w:rsidRPr="00FE1F95">
        <w:rPr>
          <w:rFonts w:asciiTheme="minorHAnsi" w:hAnsiTheme="minorHAnsi" w:cstheme="minorHAnsi"/>
          <w:b/>
          <w:bCs/>
        </w:rPr>
        <w:t>nominal</w:t>
      </w:r>
      <w:proofErr w:type="spellEnd"/>
      <w:r w:rsidR="00D91050" w:rsidRPr="00FE1F95">
        <w:rPr>
          <w:rFonts w:asciiTheme="minorHAnsi" w:hAnsiTheme="minorHAnsi" w:cstheme="minorHAnsi"/>
          <w:b/>
          <w:bCs/>
        </w:rPr>
        <w:t xml:space="preserve"> interest </w:t>
      </w:r>
      <w:proofErr w:type="spellStart"/>
      <w:r w:rsidR="00D91050" w:rsidRPr="00FE1F95">
        <w:rPr>
          <w:rFonts w:asciiTheme="minorHAnsi" w:hAnsiTheme="minorHAnsi" w:cstheme="minorHAnsi"/>
          <w:b/>
          <w:bCs/>
        </w:rPr>
        <w:t>rate</w:t>
      </w:r>
      <w:proofErr w:type="spellEnd"/>
      <w:r w:rsidR="00D91050" w:rsidRPr="00FE1F95">
        <w:rPr>
          <w:rFonts w:asciiTheme="minorHAnsi" w:hAnsiTheme="minorHAnsi" w:cstheme="minorHAnsi"/>
          <w:b/>
          <w:bCs/>
        </w:rPr>
        <w:t xml:space="preserve"> = </w:t>
      </w:r>
      <w:proofErr w:type="spellStart"/>
      <w:r w:rsidR="00D91050" w:rsidRPr="00FE1F95">
        <w:rPr>
          <w:rFonts w:asciiTheme="minorHAnsi" w:hAnsiTheme="minorHAnsi" w:cstheme="minorHAnsi"/>
          <w:b/>
          <w:bCs/>
        </w:rPr>
        <w:t>contractual</w:t>
      </w:r>
      <w:proofErr w:type="spellEnd"/>
      <w:r w:rsidR="00D91050" w:rsidRPr="00FE1F95">
        <w:rPr>
          <w:rFonts w:asciiTheme="minorHAnsi" w:hAnsiTheme="minorHAnsi" w:cstheme="minorHAnsi"/>
          <w:b/>
          <w:bCs/>
        </w:rPr>
        <w:t xml:space="preserve"> interest </w:t>
      </w:r>
      <w:proofErr w:type="spellStart"/>
      <w:r w:rsidR="00D91050" w:rsidRPr="00FE1F95">
        <w:rPr>
          <w:rFonts w:asciiTheme="minorHAnsi" w:hAnsiTheme="minorHAnsi" w:cstheme="minorHAnsi"/>
          <w:b/>
          <w:bCs/>
        </w:rPr>
        <w:t>rate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interest rate specified in the contract concluded with the customer shall be reported.</w:t>
      </w:r>
    </w:p>
    <w:p w14:paraId="4507E73F" w14:textId="5A73BDE9"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gramStart"/>
      <w:r w:rsidRPr="00FE1F95">
        <w:rPr>
          <w:rFonts w:asciiTheme="minorHAnsi" w:hAnsiTheme="minorHAnsi" w:cstheme="minorHAnsi"/>
          <w:b/>
          <w:bCs/>
        </w:rPr>
        <w:t>“</w:t>
      </w:r>
      <w:r w:rsidR="00D91050" w:rsidRPr="00FE1F95">
        <w:rPr>
          <w:rFonts w:asciiTheme="minorHAnsi" w:hAnsiTheme="minorHAnsi" w:cstheme="minorHAnsi"/>
        </w:rPr>
        <w:t xml:space="preserve"> </w:t>
      </w:r>
      <w:proofErr w:type="spellStart"/>
      <w:r w:rsidR="00D91050" w:rsidRPr="00FE1F95">
        <w:rPr>
          <w:rFonts w:asciiTheme="minorHAnsi" w:hAnsiTheme="minorHAnsi" w:cstheme="minorHAnsi"/>
          <w:b/>
          <w:bCs/>
        </w:rPr>
        <w:t>Annualised</w:t>
      </w:r>
      <w:proofErr w:type="spellEnd"/>
      <w:proofErr w:type="gramEnd"/>
      <w:r w:rsidR="00D91050" w:rsidRPr="00FE1F95">
        <w:rPr>
          <w:rFonts w:asciiTheme="minorHAnsi" w:hAnsiTheme="minorHAnsi" w:cstheme="minorHAnsi"/>
          <w:b/>
          <w:bCs/>
        </w:rPr>
        <w:t xml:space="preserve"> </w:t>
      </w:r>
      <w:proofErr w:type="spellStart"/>
      <w:r w:rsidR="00D91050" w:rsidRPr="00FE1F95">
        <w:rPr>
          <w:rFonts w:asciiTheme="minorHAnsi" w:hAnsiTheme="minorHAnsi" w:cstheme="minorHAnsi"/>
          <w:b/>
          <w:bCs/>
        </w:rPr>
        <w:t>agreed</w:t>
      </w:r>
      <w:proofErr w:type="spellEnd"/>
      <w:r w:rsidR="00D91050" w:rsidRPr="00FE1F95">
        <w:rPr>
          <w:rFonts w:asciiTheme="minorHAnsi" w:hAnsiTheme="minorHAnsi" w:cstheme="minorHAnsi"/>
          <w:b/>
          <w:bCs/>
        </w:rPr>
        <w:t xml:space="preserve"> </w:t>
      </w:r>
      <w:proofErr w:type="spellStart"/>
      <w:r w:rsidR="00D91050" w:rsidRPr="00FE1F95">
        <w:rPr>
          <w:rFonts w:asciiTheme="minorHAnsi" w:hAnsiTheme="minorHAnsi" w:cstheme="minorHAnsi"/>
          <w:b/>
          <w:bCs/>
        </w:rPr>
        <w:t>rate</w:t>
      </w:r>
      <w:proofErr w:type="spellEnd"/>
      <w:r w:rsidR="00D91050" w:rsidRPr="00FE1F95">
        <w:rPr>
          <w:rFonts w:asciiTheme="minorHAnsi" w:hAnsiTheme="minorHAnsi" w:cstheme="minorHAnsi"/>
          <w:b/>
          <w:bCs/>
        </w:rPr>
        <w:t xml:space="preserve"> – </w:t>
      </w:r>
      <w:proofErr w:type="spellStart"/>
      <w:r w:rsidR="00D91050" w:rsidRPr="00FE1F95">
        <w:rPr>
          <w:rFonts w:asciiTheme="minorHAnsi" w:hAnsiTheme="minorHAnsi" w:cstheme="minorHAnsi"/>
          <w:b/>
          <w:bCs/>
        </w:rPr>
        <w:t>new</w:t>
      </w:r>
      <w:proofErr w:type="spellEnd"/>
      <w:r w:rsidR="00D91050" w:rsidRPr="00FE1F95">
        <w:rPr>
          <w:rFonts w:asciiTheme="minorHAnsi" w:hAnsiTheme="minorHAnsi" w:cstheme="minorHAnsi"/>
          <w:b/>
          <w:bCs/>
        </w:rPr>
        <w:t xml:space="preserve"> </w:t>
      </w:r>
      <w:proofErr w:type="spellStart"/>
      <w:r w:rsidR="00D91050" w:rsidRPr="00FE1F95">
        <w:rPr>
          <w:rFonts w:asciiTheme="minorHAnsi" w:hAnsiTheme="minorHAnsi" w:cstheme="minorHAnsi"/>
          <w:b/>
          <w:bCs/>
        </w:rPr>
        <w:t>contracts</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annualised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expression</w:t>
      </w:r>
      <w:proofErr w:type="spellEnd"/>
      <w:r w:rsidRPr="00FE1F95">
        <w:rPr>
          <w:rFonts w:asciiTheme="minorHAnsi" w:hAnsiTheme="minorHAnsi" w:cstheme="minorHAnsi"/>
        </w:rPr>
        <w:t xml:space="preserve"> of the contractual interest rate, expressed as an annual percentage, shall be reported. The annualised interest rate for new contracts shall be calculated using one of the formulas defined in the Glossary set </w:t>
      </w:r>
      <w:proofErr w:type="gramStart"/>
      <w:r w:rsidRPr="00FE1F95">
        <w:rPr>
          <w:rFonts w:asciiTheme="minorHAnsi" w:hAnsiTheme="minorHAnsi" w:cstheme="minorHAnsi"/>
        </w:rPr>
        <w:t>out in</w:t>
      </w:r>
      <w:proofErr w:type="gramEnd"/>
      <w:r w:rsidRPr="00FE1F95">
        <w:rPr>
          <w:rFonts w:asciiTheme="minorHAnsi" w:hAnsiTheme="minorHAnsi" w:cstheme="minorHAnsi"/>
        </w:rPr>
        <w:t xml:space="preserve"> Annex 2 of the Regulation.</w:t>
      </w:r>
    </w:p>
    <w:p w14:paraId="5B3F368C" w14:textId="05C795E1"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The </w:t>
      </w:r>
      <w:r w:rsidRPr="00FE1F95">
        <w:rPr>
          <w:rFonts w:asciiTheme="minorHAnsi" w:hAnsiTheme="minorHAnsi" w:cstheme="minorHAnsi"/>
          <w:b/>
          <w:bCs/>
        </w:rPr>
        <w:t>“</w:t>
      </w:r>
      <w:r w:rsidR="00D91050" w:rsidRPr="00FE1F95">
        <w:rPr>
          <w:rFonts w:asciiTheme="minorHAnsi" w:hAnsiTheme="minorHAnsi" w:cstheme="minorHAnsi"/>
          <w:b/>
          <w:bCs/>
        </w:rPr>
        <w:t xml:space="preserve">Net </w:t>
      </w:r>
      <w:proofErr w:type="spellStart"/>
      <w:r w:rsidR="00D91050" w:rsidRPr="00FE1F95">
        <w:rPr>
          <w:rFonts w:asciiTheme="minorHAnsi" w:hAnsiTheme="minorHAnsi" w:cstheme="minorHAnsi"/>
          <w:b/>
          <w:bCs/>
        </w:rPr>
        <w:t>book</w:t>
      </w:r>
      <w:proofErr w:type="spellEnd"/>
      <w:r w:rsidR="00D91050" w:rsidRPr="00FE1F95">
        <w:rPr>
          <w:rFonts w:asciiTheme="minorHAnsi" w:hAnsiTheme="minorHAnsi" w:cstheme="minorHAnsi"/>
          <w:b/>
          <w:bCs/>
        </w:rPr>
        <w:t xml:space="preserve"> </w:t>
      </w:r>
      <w:proofErr w:type="spellStart"/>
      <w:r w:rsidR="00D91050" w:rsidRPr="00FE1F95">
        <w:rPr>
          <w:rFonts w:asciiTheme="minorHAnsi" w:hAnsiTheme="minorHAnsi" w:cstheme="minorHAnsi"/>
          <w:b/>
          <w:bCs/>
        </w:rPr>
        <w:t>value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represents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book</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valid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w:t>
      </w:r>
      <w:proofErr w:type="spellEnd"/>
      <w:r w:rsidRPr="00FE1F95">
        <w:rPr>
          <w:rFonts w:asciiTheme="minorHAnsi" w:hAnsiTheme="minorHAnsi" w:cstheme="minorHAnsi"/>
        </w:rPr>
        <w:t xml:space="preserve"> the end of the reporting period, which must be consistent with the corresponding values reported in the Statistical Balance Sheet Table 01 (excluding foreign branches), under row code “N” – Net book value.</w:t>
      </w:r>
    </w:p>
    <w:p w14:paraId="231C90D2" w14:textId="77777777" w:rsidR="00367DB0" w:rsidRPr="00FE1F95" w:rsidRDefault="00367DB0" w:rsidP="00367DB0">
      <w:pPr>
        <w:rPr>
          <w:rFonts w:asciiTheme="minorHAnsi" w:hAnsiTheme="minorHAnsi" w:cstheme="minorHAnsi"/>
        </w:rPr>
      </w:pPr>
      <w:r w:rsidRPr="00FE1F95">
        <w:rPr>
          <w:rFonts w:asciiTheme="minorHAnsi" w:hAnsiTheme="minorHAnsi" w:cstheme="minorHAnsi"/>
        </w:rPr>
        <w:t>In BETREG, items originating and maturing within the same month shall also be reported for the purpose of monitoring transaction flows.</w:t>
      </w:r>
    </w:p>
    <w:p w14:paraId="19EC9AB6" w14:textId="46BC0827" w:rsidR="00367DB0" w:rsidRPr="00FE1F95" w:rsidRDefault="00367DB0" w:rsidP="00367DB0">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gramStart"/>
      <w:r w:rsidRPr="00FE1F95">
        <w:rPr>
          <w:rFonts w:asciiTheme="minorHAnsi" w:hAnsiTheme="minorHAnsi" w:cstheme="minorHAnsi"/>
          <w:b/>
          <w:bCs/>
        </w:rPr>
        <w:t>“</w:t>
      </w:r>
      <w:r w:rsidR="00D91050" w:rsidRPr="00FE1F95">
        <w:rPr>
          <w:rFonts w:asciiTheme="minorHAnsi" w:hAnsiTheme="minorHAnsi" w:cstheme="minorHAnsi"/>
        </w:rPr>
        <w:t xml:space="preserve"> </w:t>
      </w:r>
      <w:proofErr w:type="spellStart"/>
      <w:r w:rsidR="00D91050" w:rsidRPr="00FE1F95">
        <w:rPr>
          <w:rFonts w:asciiTheme="minorHAnsi" w:hAnsiTheme="minorHAnsi" w:cstheme="minorHAnsi"/>
          <w:b/>
          <w:bCs/>
        </w:rPr>
        <w:t>Repricing</w:t>
      </w:r>
      <w:proofErr w:type="spellEnd"/>
      <w:proofErr w:type="gramEnd"/>
      <w:r w:rsidR="00D91050" w:rsidRPr="00FE1F95">
        <w:rPr>
          <w:rFonts w:asciiTheme="minorHAnsi" w:hAnsiTheme="minorHAnsi" w:cstheme="minorHAnsi"/>
          <w:b/>
          <w:bCs/>
        </w:rPr>
        <w:t xml:space="preserve"> </w:t>
      </w:r>
      <w:proofErr w:type="spellStart"/>
      <w:r w:rsidR="00D91050" w:rsidRPr="00FE1F95">
        <w:rPr>
          <w:rFonts w:asciiTheme="minorHAnsi" w:hAnsiTheme="minorHAnsi" w:cstheme="minorHAnsi"/>
          <w:b/>
          <w:bCs/>
        </w:rPr>
        <w:t>period</w:t>
      </w:r>
      <w:proofErr w:type="spellEnd"/>
      <w:r w:rsidR="00D91050" w:rsidRPr="00FE1F95">
        <w:rPr>
          <w:rFonts w:asciiTheme="minorHAnsi" w:hAnsiTheme="minorHAnsi" w:cstheme="minorHAnsi"/>
          <w:b/>
          <w:bCs/>
        </w:rPr>
        <w:t xml:space="preserve"> of </w:t>
      </w:r>
      <w:proofErr w:type="spellStart"/>
      <w:r w:rsidR="00D91050" w:rsidRPr="00FE1F95">
        <w:rPr>
          <w:rFonts w:asciiTheme="minorHAnsi" w:hAnsiTheme="minorHAnsi" w:cstheme="minorHAnsi"/>
          <w:b/>
          <w:bCs/>
        </w:rPr>
        <w:t>reference</w:t>
      </w:r>
      <w:proofErr w:type="spellEnd"/>
      <w:r w:rsidR="00D91050" w:rsidRPr="00FE1F95">
        <w:rPr>
          <w:rFonts w:asciiTheme="minorHAnsi" w:hAnsiTheme="minorHAnsi" w:cstheme="minorHAnsi"/>
          <w:b/>
          <w:bCs/>
        </w:rPr>
        <w:t xml:space="preserve"> interest </w:t>
      </w:r>
      <w:proofErr w:type="spellStart"/>
      <w:r w:rsidR="00D91050" w:rsidRPr="00FE1F95">
        <w:rPr>
          <w:rFonts w:asciiTheme="minorHAnsi" w:hAnsiTheme="minorHAnsi" w:cstheme="minorHAnsi"/>
          <w:b/>
          <w:bCs/>
        </w:rPr>
        <w:t>rate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central bank base rate, a repricing period of 1 month (‘1M’) shall be reported.</w:t>
      </w:r>
    </w:p>
    <w:p w14:paraId="24F80A77" w14:textId="74F4A03C" w:rsidR="00367DB0" w:rsidRPr="00FE1F95" w:rsidRDefault="00367DB0" w:rsidP="00367DB0">
      <w:pPr>
        <w:rPr>
          <w:rFonts w:asciiTheme="minorHAnsi" w:hAnsiTheme="minorHAnsi" w:cstheme="minorHAnsi"/>
        </w:rPr>
      </w:pPr>
      <w:r w:rsidRPr="00FE1F95">
        <w:rPr>
          <w:rFonts w:asciiTheme="minorHAnsi" w:hAnsiTheme="minorHAnsi" w:cstheme="minorHAnsi"/>
        </w:rPr>
        <w:t>For ‘FK’ (fixed interest) and ‘NK’ (non</w:t>
      </w:r>
      <w:r w:rsidRPr="00FE1F95">
        <w:rPr>
          <w:rFonts w:asciiTheme="minorHAnsi" w:hAnsiTheme="minorHAnsi" w:cstheme="minorHAnsi"/>
        </w:rPr>
        <w:noBreakHyphen/>
        <w:t>interest</w:t>
      </w:r>
      <w:r w:rsidRPr="00FE1F95">
        <w:rPr>
          <w:rFonts w:asciiTheme="minorHAnsi" w:hAnsiTheme="minorHAnsi" w:cstheme="minorHAnsi"/>
        </w:rPr>
        <w:noBreakHyphen/>
      </w:r>
      <w:proofErr w:type="spellStart"/>
      <w:r w:rsidRPr="00FE1F95">
        <w:rPr>
          <w:rFonts w:asciiTheme="minorHAnsi" w:hAnsiTheme="minorHAnsi" w:cstheme="minorHAnsi"/>
        </w:rPr>
        <w:t>bearing</w:t>
      </w:r>
      <w:proofErr w:type="spellEnd"/>
      <w:r w:rsidRPr="00FE1F95">
        <w:rPr>
          <w:rFonts w:asciiTheme="minorHAnsi" w:hAnsiTheme="minorHAnsi" w:cstheme="minorHAnsi"/>
        </w:rPr>
        <w:t xml:space="preserve">) interest </w:t>
      </w:r>
      <w:proofErr w:type="spellStart"/>
      <w:r w:rsidRPr="00FE1F95">
        <w:rPr>
          <w:rFonts w:asciiTheme="minorHAnsi" w:hAnsiTheme="minorHAnsi" w:cstheme="minorHAnsi"/>
        </w:rPr>
        <w:t>rate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Reference</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rate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related</w:t>
      </w:r>
      <w:proofErr w:type="spellEnd"/>
      <w:r w:rsidRPr="00FE1F95">
        <w:rPr>
          <w:rFonts w:asciiTheme="minorHAnsi" w:hAnsiTheme="minorHAnsi" w:cstheme="minorHAnsi"/>
        </w:rPr>
        <w:t xml:space="preserve"> fields may be </w:t>
      </w:r>
      <w:proofErr w:type="spellStart"/>
      <w:r w:rsidRPr="00FE1F95">
        <w:rPr>
          <w:rFonts w:asciiTheme="minorHAnsi" w:hAnsiTheme="minorHAnsi" w:cstheme="minorHAnsi"/>
        </w:rPr>
        <w:t>left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blank</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r w:rsidR="003F6E52" w:rsidRPr="00FE1F95">
        <w:rPr>
          <w:rFonts w:asciiTheme="minorHAnsi" w:hAnsiTheme="minorHAnsi" w:cstheme="minorHAnsi"/>
        </w:rPr>
        <w:t>’</w:t>
      </w:r>
      <w:proofErr w:type="spellStart"/>
      <w:r w:rsidR="003F6E52" w:rsidRPr="00FE1F95">
        <w:rPr>
          <w:rFonts w:asciiTheme="minorHAnsi" w:hAnsiTheme="minorHAnsi" w:cstheme="minorHAnsi"/>
        </w:rPr>
        <w:t>NINCS’</w:t>
      </w:r>
      <w:r w:rsidRPr="00FE1F95">
        <w:rPr>
          <w:rFonts w:asciiTheme="minorHAnsi" w:hAnsiTheme="minorHAnsi" w:cstheme="minorHAnsi"/>
        </w:rPr>
        <w:t>may</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w:t>
      </w:r>
    </w:p>
    <w:p w14:paraId="247023FE" w14:textId="77777777" w:rsidR="003F6E52" w:rsidRPr="00FE1F95" w:rsidRDefault="00367DB0" w:rsidP="00367DB0">
      <w:pPr>
        <w:rPr>
          <w:rFonts w:asciiTheme="minorHAnsi" w:hAnsiTheme="minorHAnsi" w:cstheme="minorHAnsi"/>
        </w:rPr>
      </w:pPr>
      <w:r w:rsidRPr="00FE1F95">
        <w:rPr>
          <w:rFonts w:asciiTheme="minorHAnsi" w:hAnsiTheme="minorHAnsi" w:cstheme="minorHAnsi"/>
        </w:rPr>
        <w:t>In line with the provisions of HITREG, loans bearing a 0% interest rate must be clearly distinguished from cases where the outstanding amount does not accrue interest for other reasons (e.g. overdue, terminated, or other reasons).</w:t>
      </w:r>
      <w:r w:rsidRPr="00FE1F95">
        <w:rPr>
          <w:rFonts w:asciiTheme="minorHAnsi" w:hAnsiTheme="minorHAnsi" w:cstheme="minorHAnsi"/>
        </w:rPr>
        <w:br/>
        <w:t>For 0% interest rate loans, both the new contractual interest rate and the outstanding interest rate shall be reported as 0%.</w:t>
      </w:r>
    </w:p>
    <w:p w14:paraId="5AB6429B" w14:textId="738084B6" w:rsidR="00367DB0" w:rsidRPr="00FE1F95" w:rsidRDefault="00367DB0" w:rsidP="00367DB0">
      <w:pPr>
        <w:rPr>
          <w:rFonts w:asciiTheme="minorHAnsi" w:hAnsiTheme="minorHAnsi" w:cstheme="minorHAnsi"/>
        </w:rPr>
      </w:pPr>
      <w:r w:rsidRPr="00FE1F95">
        <w:rPr>
          <w:rFonts w:asciiTheme="minorHAnsi" w:hAnsiTheme="minorHAnsi" w:cstheme="minorHAnsi"/>
        </w:rPr>
        <w:br/>
        <w:t>For non</w:t>
      </w:r>
      <w:r w:rsidRPr="00FE1F95">
        <w:rPr>
          <w:rFonts w:asciiTheme="minorHAnsi" w:hAnsiTheme="minorHAnsi" w:cstheme="minorHAnsi"/>
        </w:rPr>
        <w:noBreakHyphen/>
        <w:t>interest</w:t>
      </w:r>
      <w:r w:rsidRPr="00FE1F95">
        <w:rPr>
          <w:rFonts w:asciiTheme="minorHAnsi" w:hAnsiTheme="minorHAnsi" w:cstheme="minorHAnsi"/>
        </w:rPr>
        <w:noBreakHyphen/>
        <w:t>bearing outstanding amounts, fields relating to outstanding interest rates shall be left blank, and the interest rate type shall be reported as ‘NK’.</w:t>
      </w:r>
    </w:p>
    <w:p w14:paraId="7327A079" w14:textId="77777777" w:rsidR="003F6E52" w:rsidRPr="00FE1F95" w:rsidRDefault="003F6E52" w:rsidP="00367DB0">
      <w:pPr>
        <w:rPr>
          <w:rFonts w:asciiTheme="minorHAnsi" w:hAnsiTheme="minorHAnsi" w:cstheme="minorHAnsi"/>
        </w:rPr>
      </w:pPr>
    </w:p>
    <w:p w14:paraId="15389B66" w14:textId="07446DA0" w:rsidR="00380005" w:rsidRPr="00FE1F95" w:rsidRDefault="00893DAA" w:rsidP="00116445">
      <w:pPr>
        <w:pStyle w:val="Cmsor2"/>
        <w:rPr>
          <w:rFonts w:asciiTheme="minorHAnsi" w:hAnsiTheme="minorHAnsi" w:cstheme="minorHAnsi"/>
          <w:sz w:val="20"/>
          <w:szCs w:val="20"/>
        </w:rPr>
      </w:pPr>
      <w:bookmarkStart w:id="31" w:name="_Toc229138441"/>
      <w:r w:rsidRPr="00FE1F95">
        <w:rPr>
          <w:rFonts w:asciiTheme="minorHAnsi" w:hAnsiTheme="minorHAnsi" w:cstheme="minorHAnsi"/>
          <w:sz w:val="20"/>
          <w:szCs w:val="20"/>
        </w:rPr>
        <w:t>Requirements for Completing the TRAN Table</w:t>
      </w:r>
      <w:bookmarkEnd w:id="31"/>
    </w:p>
    <w:p w14:paraId="782A1340" w14:textId="77777777" w:rsidR="00E64B01" w:rsidRPr="00FE1F95" w:rsidRDefault="00E64B01" w:rsidP="00E64B01">
      <w:pPr>
        <w:rPr>
          <w:rFonts w:asciiTheme="minorHAnsi" w:hAnsiTheme="minorHAnsi" w:cstheme="minorHAnsi"/>
        </w:rPr>
      </w:pPr>
    </w:p>
    <w:p w14:paraId="7E01C8E0" w14:textId="77777777" w:rsidR="00893DAA" w:rsidRPr="00FE1F95" w:rsidRDefault="00893DAA" w:rsidP="00893DAA">
      <w:pPr>
        <w:spacing w:before="240"/>
        <w:ind w:left="360"/>
        <w:rPr>
          <w:rFonts w:asciiTheme="minorHAnsi" w:hAnsiTheme="minorHAnsi" w:cstheme="minorHAnsi"/>
        </w:rPr>
      </w:pPr>
      <w:r w:rsidRPr="00FE1F95">
        <w:rPr>
          <w:rFonts w:asciiTheme="minorHAnsi" w:hAnsiTheme="minorHAnsi" w:cstheme="minorHAnsi"/>
        </w:rPr>
        <w:t>The table shall be completed only for term deposits (excluding overnight deposits), loans taken up (excluding overnight loans), and repo</w:t>
      </w:r>
      <w:r w:rsidRPr="00FE1F95">
        <w:rPr>
          <w:rFonts w:asciiTheme="minorHAnsi" w:hAnsiTheme="minorHAnsi" w:cstheme="minorHAnsi"/>
        </w:rPr>
        <w:noBreakHyphen/>
        <w:t>type transactions.</w:t>
      </w:r>
    </w:p>
    <w:p w14:paraId="2584384E" w14:textId="77777777" w:rsidR="00893DAA" w:rsidRPr="00FE1F95" w:rsidRDefault="00893DAA" w:rsidP="00893DAA">
      <w:pPr>
        <w:spacing w:before="240"/>
        <w:ind w:left="720" w:hanging="360"/>
        <w:rPr>
          <w:rFonts w:asciiTheme="minorHAnsi" w:hAnsiTheme="minorHAnsi" w:cstheme="minorHAnsi"/>
        </w:rPr>
      </w:pPr>
      <w:r w:rsidRPr="00FE1F95">
        <w:rPr>
          <w:rFonts w:asciiTheme="minorHAnsi" w:hAnsiTheme="minorHAnsi" w:cstheme="minorHAnsi"/>
        </w:rPr>
        <w:t>a) Loans taken up and repo</w:t>
      </w:r>
      <w:r w:rsidRPr="00FE1F95">
        <w:rPr>
          <w:rFonts w:asciiTheme="minorHAnsi" w:hAnsiTheme="minorHAnsi" w:cstheme="minorHAnsi"/>
        </w:rPr>
        <w:noBreakHyphen/>
        <w:t>type liabilities</w:t>
      </w:r>
    </w:p>
    <w:p w14:paraId="5C70D6C9" w14:textId="77777777" w:rsidR="00893DAA" w:rsidRPr="00FE1F95" w:rsidRDefault="00893DAA" w:rsidP="00893DAA">
      <w:pPr>
        <w:spacing w:before="240"/>
        <w:rPr>
          <w:rFonts w:asciiTheme="minorHAnsi" w:hAnsiTheme="minorHAnsi" w:cstheme="minorHAnsi"/>
        </w:rPr>
      </w:pPr>
      <w:r w:rsidRPr="00FE1F95">
        <w:rPr>
          <w:rFonts w:asciiTheme="minorHAnsi" w:hAnsiTheme="minorHAnsi" w:cstheme="minorHAnsi"/>
        </w:rPr>
        <w:t>For loans taken up and repo</w:t>
      </w:r>
      <w:r w:rsidRPr="00FE1F95">
        <w:rPr>
          <w:rFonts w:asciiTheme="minorHAnsi" w:hAnsiTheme="minorHAnsi" w:cstheme="minorHAnsi"/>
        </w:rPr>
        <w:noBreakHyphen/>
        <w:t>type liabilities, transactions shall be reported in the following three cases:</w:t>
      </w:r>
    </w:p>
    <w:p w14:paraId="706651C4" w14:textId="6C845DCD" w:rsidR="00893DAA" w:rsidRPr="00FE1F95" w:rsidRDefault="00893DAA" w:rsidP="00893DAA">
      <w:pPr>
        <w:pStyle w:val="Listaszerbekezds"/>
        <w:numPr>
          <w:ilvl w:val="0"/>
          <w:numId w:val="28"/>
        </w:numPr>
        <w:spacing w:before="240"/>
        <w:rPr>
          <w:rFonts w:asciiTheme="minorHAnsi" w:hAnsiTheme="minorHAnsi" w:cstheme="minorHAnsi"/>
        </w:rPr>
      </w:pPr>
      <w:r w:rsidRPr="00FE1F95">
        <w:rPr>
          <w:rFonts w:asciiTheme="minorHAnsi" w:hAnsiTheme="minorHAnsi" w:cstheme="minorHAnsi"/>
        </w:rPr>
        <w:t xml:space="preserve">Assumption, transfer or release of a liability. </w:t>
      </w:r>
    </w:p>
    <w:p w14:paraId="6FECBDAD" w14:textId="278D3CE8" w:rsidR="00893DAA" w:rsidRPr="00FE1F95" w:rsidRDefault="00893DAA" w:rsidP="00893DAA">
      <w:pPr>
        <w:pStyle w:val="Listaszerbekezds"/>
        <w:numPr>
          <w:ilvl w:val="0"/>
          <w:numId w:val="0"/>
        </w:numPr>
        <w:spacing w:before="240"/>
        <w:ind w:left="720"/>
        <w:rPr>
          <w:rFonts w:asciiTheme="minorHAnsi" w:hAnsiTheme="minorHAnsi" w:cstheme="minorHAnsi"/>
        </w:rPr>
      </w:pPr>
      <w:r w:rsidRPr="00FE1F95">
        <w:rPr>
          <w:rFonts w:asciiTheme="minorHAnsi" w:hAnsiTheme="minorHAnsi" w:cstheme="minorHAnsi"/>
        </w:rPr>
        <w:br/>
        <w:t xml:space="preserve">In cases of transactions classified as assumption of liability, transfer of </w:t>
      </w:r>
      <w:proofErr w:type="spellStart"/>
      <w:r w:rsidRPr="00FE1F95">
        <w:rPr>
          <w:rFonts w:asciiTheme="minorHAnsi" w:hAnsiTheme="minorHAnsi" w:cstheme="minorHAnsi"/>
        </w:rPr>
        <w:t>liability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waiver</w:t>
      </w:r>
      <w:proofErr w:type="spellEnd"/>
      <w:r w:rsidRPr="00FE1F95">
        <w:rPr>
          <w:rFonts w:asciiTheme="minorHAnsi" w:hAnsiTheme="minorHAnsi" w:cstheme="minorHAnsi"/>
        </w:rPr>
        <w:t>/</w:t>
      </w:r>
      <w:proofErr w:type="spellStart"/>
      <w:r w:rsidRPr="00FE1F95">
        <w:rPr>
          <w:rFonts w:asciiTheme="minorHAnsi" w:hAnsiTheme="minorHAnsi" w:cstheme="minorHAnsi"/>
        </w:rPr>
        <w:t>release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liability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ATVALL</w:t>
      </w:r>
      <w:proofErr w:type="spellEnd"/>
      <w:r w:rsidRPr="00FE1F95">
        <w:rPr>
          <w:rFonts w:asciiTheme="minorHAnsi" w:hAnsiTheme="minorHAnsi" w:cstheme="minorHAnsi"/>
        </w:rPr>
        <w:t>' / '</w:t>
      </w:r>
      <w:proofErr w:type="spellStart"/>
      <w:r w:rsidRPr="00FE1F95">
        <w:rPr>
          <w:rFonts w:asciiTheme="minorHAnsi" w:hAnsiTheme="minorHAnsi" w:cstheme="minorHAnsi"/>
        </w:rPr>
        <w:t>KOTATAD</w:t>
      </w:r>
      <w:proofErr w:type="spellEnd"/>
      <w:r w:rsidRPr="00FE1F95">
        <w:rPr>
          <w:rFonts w:asciiTheme="minorHAnsi" w:hAnsiTheme="minorHAnsi" w:cstheme="minorHAnsi"/>
        </w:rPr>
        <w:t>' / '</w:t>
      </w:r>
      <w:proofErr w:type="spellStart"/>
      <w:r w:rsidRPr="00FE1F95">
        <w:rPr>
          <w:rFonts w:asciiTheme="minorHAnsi" w:hAnsiTheme="minorHAnsi" w:cstheme="minorHAnsi"/>
        </w:rPr>
        <w:t>ELENG</w:t>
      </w:r>
      <w:proofErr w:type="spellEnd"/>
      <w:r w:rsidRPr="00FE1F95">
        <w:rPr>
          <w:rFonts w:asciiTheme="minorHAnsi" w:hAnsiTheme="minorHAnsi" w:cstheme="minorHAnsi"/>
        </w:rPr>
        <w:t>').</w:t>
      </w:r>
    </w:p>
    <w:p w14:paraId="3BA65750" w14:textId="77777777" w:rsidR="00893DAA" w:rsidRPr="00FE1F95" w:rsidRDefault="00893DAA" w:rsidP="00893DAA">
      <w:pPr>
        <w:pStyle w:val="Listaszerbekezds"/>
        <w:numPr>
          <w:ilvl w:val="0"/>
          <w:numId w:val="0"/>
        </w:numPr>
        <w:spacing w:before="240"/>
        <w:ind w:left="720"/>
        <w:rPr>
          <w:rFonts w:asciiTheme="minorHAnsi" w:hAnsiTheme="minorHAnsi" w:cstheme="minorHAnsi"/>
        </w:rPr>
      </w:pPr>
    </w:p>
    <w:p w14:paraId="46C3942D" w14:textId="377ACFDE" w:rsidR="00893DAA" w:rsidRPr="00FE1F95" w:rsidRDefault="00893DAA" w:rsidP="00893DAA">
      <w:pPr>
        <w:pStyle w:val="Listaszerbekezds"/>
        <w:numPr>
          <w:ilvl w:val="0"/>
          <w:numId w:val="28"/>
        </w:numPr>
        <w:spacing w:before="240"/>
        <w:rPr>
          <w:rFonts w:asciiTheme="minorHAnsi" w:hAnsiTheme="minorHAnsi" w:cstheme="minorHAnsi"/>
        </w:rPr>
      </w:pPr>
      <w:r w:rsidRPr="00FE1F95">
        <w:rPr>
          <w:rFonts w:asciiTheme="minorHAnsi" w:hAnsiTheme="minorHAnsi" w:cstheme="minorHAnsi"/>
        </w:rPr>
        <w:t>Disbursement or repayment.</w:t>
      </w:r>
    </w:p>
    <w:p w14:paraId="68357BD3" w14:textId="7B5353D2" w:rsidR="00893DAA" w:rsidRPr="00FE1F95" w:rsidRDefault="00893DAA" w:rsidP="00893DAA">
      <w:pPr>
        <w:pStyle w:val="Listaszerbekezds"/>
        <w:numPr>
          <w:ilvl w:val="0"/>
          <w:numId w:val="0"/>
        </w:numPr>
        <w:spacing w:before="240"/>
        <w:ind w:left="720"/>
        <w:rPr>
          <w:rFonts w:asciiTheme="minorHAnsi" w:hAnsiTheme="minorHAnsi" w:cstheme="minorHAnsi"/>
        </w:rPr>
      </w:pPr>
      <w:r w:rsidRPr="00FE1F95">
        <w:rPr>
          <w:rFonts w:asciiTheme="minorHAnsi" w:hAnsiTheme="minorHAnsi" w:cstheme="minorHAnsi"/>
        </w:rPr>
        <w:br/>
        <w:t xml:space="preserve">Where </w:t>
      </w:r>
      <w:proofErr w:type="spellStart"/>
      <w:r w:rsidRPr="00FE1F95">
        <w:rPr>
          <w:rFonts w:asciiTheme="minorHAnsi" w:hAnsiTheme="minorHAnsi" w:cstheme="minorHAnsi"/>
        </w:rPr>
        <w:t>disbursement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repayment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occurs</w:t>
      </w:r>
      <w:proofErr w:type="spellEnd"/>
      <w:r w:rsidRPr="00FE1F95">
        <w:rPr>
          <w:rFonts w:asciiTheme="minorHAnsi" w:hAnsiTheme="minorHAnsi" w:cstheme="minorHAnsi"/>
        </w:rPr>
        <w:t xml:space="preserve"> ('NOV' / '</w:t>
      </w:r>
      <w:proofErr w:type="spellStart"/>
      <w:r w:rsidRPr="00FE1F95">
        <w:rPr>
          <w:rFonts w:asciiTheme="minorHAnsi" w:hAnsiTheme="minorHAnsi" w:cstheme="minorHAnsi"/>
        </w:rPr>
        <w:t>CSOKK</w:t>
      </w:r>
      <w:proofErr w:type="spellEnd"/>
      <w:r w:rsidRPr="00FE1F95">
        <w:rPr>
          <w:rFonts w:asciiTheme="minorHAnsi" w:hAnsiTheme="minorHAnsi" w:cstheme="minorHAnsi"/>
        </w:rPr>
        <w:t>').</w:t>
      </w:r>
      <w:r w:rsidRPr="00FE1F95">
        <w:rPr>
          <w:rFonts w:asciiTheme="minorHAnsi" w:hAnsiTheme="minorHAnsi" w:cstheme="minorHAnsi"/>
        </w:rPr>
        <w:br/>
        <w:t xml:space="preserve">Terminations occurring during the month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also</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under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CSOKK</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positive</w:t>
      </w:r>
      <w:proofErr w:type="spellEnd"/>
      <w:r w:rsidRPr="00FE1F95">
        <w:rPr>
          <w:rFonts w:asciiTheme="minorHAnsi" w:hAnsiTheme="minorHAnsi" w:cstheme="minorHAnsi"/>
        </w:rPr>
        <w:t xml:space="preserve"> sign.</w:t>
      </w:r>
    </w:p>
    <w:p w14:paraId="31162DD9" w14:textId="77777777" w:rsidR="00893DAA" w:rsidRPr="00FE1F95" w:rsidRDefault="00893DAA" w:rsidP="00893DAA">
      <w:pPr>
        <w:pStyle w:val="Listaszerbekezds"/>
        <w:numPr>
          <w:ilvl w:val="0"/>
          <w:numId w:val="0"/>
        </w:numPr>
        <w:spacing w:before="240"/>
        <w:ind w:left="720"/>
        <w:rPr>
          <w:rFonts w:asciiTheme="minorHAnsi" w:hAnsiTheme="minorHAnsi" w:cstheme="minorHAnsi"/>
        </w:rPr>
      </w:pPr>
    </w:p>
    <w:p w14:paraId="11030B0F" w14:textId="7A808906" w:rsidR="00893DAA" w:rsidRPr="00FE1F95" w:rsidRDefault="00893DAA" w:rsidP="00893DAA">
      <w:pPr>
        <w:pStyle w:val="Listaszerbekezds"/>
        <w:numPr>
          <w:ilvl w:val="0"/>
          <w:numId w:val="28"/>
        </w:numPr>
        <w:spacing w:before="240"/>
        <w:rPr>
          <w:rFonts w:asciiTheme="minorHAnsi" w:hAnsiTheme="minorHAnsi" w:cstheme="minorHAnsi"/>
        </w:rPr>
      </w:pPr>
      <w:r w:rsidRPr="00FE1F95">
        <w:rPr>
          <w:rFonts w:asciiTheme="minorHAnsi" w:hAnsiTheme="minorHAnsi" w:cstheme="minorHAnsi"/>
        </w:rPr>
        <w:t>Maturity shortening or extension resulting from a contract modification.</w:t>
      </w:r>
    </w:p>
    <w:p w14:paraId="28201039" w14:textId="79211060" w:rsidR="00893DAA" w:rsidRPr="00FE1F95" w:rsidRDefault="00893DAA" w:rsidP="00893DAA">
      <w:pPr>
        <w:pStyle w:val="Listaszerbekezds"/>
        <w:numPr>
          <w:ilvl w:val="0"/>
          <w:numId w:val="0"/>
        </w:numPr>
        <w:spacing w:before="240"/>
        <w:ind w:left="720"/>
        <w:rPr>
          <w:rFonts w:asciiTheme="minorHAnsi" w:hAnsiTheme="minorHAnsi" w:cstheme="minorHAnsi"/>
        </w:rPr>
      </w:pPr>
      <w:r w:rsidRPr="00FE1F95">
        <w:rPr>
          <w:rFonts w:asciiTheme="minorHAnsi" w:hAnsiTheme="minorHAnsi" w:cstheme="minorHAnsi"/>
        </w:rPr>
        <w:br/>
        <w:t xml:space="preserve">In this case, the following procedure shall be applied: two transaction records of identical amount (equal to the outstanding amount at the time of the maturity modification) shall be reported in the </w:t>
      </w:r>
      <w:proofErr w:type="spellStart"/>
      <w:r w:rsidRPr="00FE1F95">
        <w:rPr>
          <w:rFonts w:asciiTheme="minorHAnsi" w:hAnsiTheme="minorHAnsi" w:cstheme="minorHAnsi"/>
        </w:rPr>
        <w:t>TRAN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different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NOV_E_LEJ_MOD</w:t>
      </w:r>
      <w:proofErr w:type="spellEnd"/>
      <w:r w:rsidRPr="00FE1F95">
        <w:rPr>
          <w:rFonts w:asciiTheme="minorHAnsi" w:hAnsiTheme="minorHAnsi" w:cstheme="minorHAnsi"/>
        </w:rPr>
        <w:t>' and '</w:t>
      </w:r>
      <w:proofErr w:type="spellStart"/>
      <w:r w:rsidRPr="00FE1F95">
        <w:rPr>
          <w:rFonts w:asciiTheme="minorHAnsi" w:hAnsiTheme="minorHAnsi" w:cstheme="minorHAnsi"/>
        </w:rPr>
        <w:t>CSOKK_E_LEJ_MOD</w:t>
      </w:r>
      <w:proofErr w:type="spellEnd"/>
      <w:r w:rsidRPr="00FE1F95">
        <w:rPr>
          <w:rFonts w:asciiTheme="minorHAnsi" w:hAnsiTheme="minorHAnsi" w:cstheme="minorHAnsi"/>
        </w:rPr>
        <w:t>'). This reflects the M04 requirement according to which maturity shortening or extension resulting from a contract modification must be reported as both a transaction decrease and a transaction increase; such maturity changes may not be reported as a reclassification (other volume change).</w:t>
      </w:r>
    </w:p>
    <w:p w14:paraId="711B14C6" w14:textId="77777777" w:rsidR="00893DAA" w:rsidRPr="00FE1F95" w:rsidRDefault="00893DAA" w:rsidP="00893DAA">
      <w:pPr>
        <w:spacing w:before="240"/>
        <w:ind w:left="360"/>
        <w:rPr>
          <w:rFonts w:asciiTheme="minorHAnsi" w:hAnsiTheme="minorHAnsi" w:cstheme="minorHAnsi"/>
        </w:rPr>
      </w:pPr>
      <w:r w:rsidRPr="00FE1F95">
        <w:rPr>
          <w:rFonts w:asciiTheme="minorHAnsi" w:hAnsiTheme="minorHAnsi" w:cstheme="minorHAnsi"/>
        </w:rPr>
        <w:t>The transaction amount, regardless of direction, shall always be reported as a positive value; the direction is indicated by the transaction type (e.g. '</w:t>
      </w:r>
      <w:proofErr w:type="spellStart"/>
      <w:r w:rsidRPr="00FE1F95">
        <w:rPr>
          <w:rFonts w:asciiTheme="minorHAnsi" w:hAnsiTheme="minorHAnsi" w:cstheme="minorHAnsi"/>
        </w:rPr>
        <w:t>EGYEB_NOV</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EGYEB_CSOKK</w:t>
      </w:r>
      <w:proofErr w:type="spellEnd"/>
      <w:r w:rsidRPr="00FE1F95">
        <w:rPr>
          <w:rFonts w:asciiTheme="minorHAnsi" w:hAnsiTheme="minorHAnsi" w:cstheme="minorHAnsi"/>
        </w:rPr>
        <w:t>' in the case of other movements).</w:t>
      </w:r>
      <w:r w:rsidRPr="00FE1F95">
        <w:rPr>
          <w:rFonts w:asciiTheme="minorHAnsi" w:hAnsiTheme="minorHAnsi" w:cstheme="minorHAnsi"/>
        </w:rPr>
        <w:br/>
        <w:t>The transaction date shall be the date of the cash flow.</w:t>
      </w:r>
    </w:p>
    <w:p w14:paraId="05D0C94F" w14:textId="77777777" w:rsidR="00893DAA" w:rsidRPr="00FE1F95" w:rsidRDefault="00893DAA" w:rsidP="00893DAA">
      <w:pPr>
        <w:spacing w:before="240"/>
        <w:ind w:left="720" w:hanging="360"/>
        <w:rPr>
          <w:rFonts w:asciiTheme="minorHAnsi" w:hAnsiTheme="minorHAnsi" w:cstheme="minorHAnsi"/>
        </w:rPr>
      </w:pPr>
      <w:r w:rsidRPr="00FE1F95">
        <w:rPr>
          <w:rFonts w:asciiTheme="minorHAnsi" w:hAnsiTheme="minorHAnsi" w:cstheme="minorHAnsi"/>
        </w:rPr>
        <w:t>b) Term deposits</w:t>
      </w:r>
    </w:p>
    <w:p w14:paraId="5978B65F" w14:textId="18BAEE51"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For term deposits, transactions shall be reported in the following cases: placement of the deposit, interest capitalisation, assumption or transfer of a liability, waiver/release of a liability, termination due to early withdrawal or normal maturity.</w:t>
      </w:r>
    </w:p>
    <w:p w14:paraId="06F9375A"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Transactions shall not be reported in the case of maturity changes resulting from contract modification.</w:t>
      </w:r>
    </w:p>
    <w:p w14:paraId="21CD2D32"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 xml:space="preserve">In the case of interest </w:t>
      </w:r>
      <w:proofErr w:type="spellStart"/>
      <w:r w:rsidRPr="00FE1F95">
        <w:rPr>
          <w:rFonts w:asciiTheme="minorHAnsi" w:hAnsiTheme="minorHAnsi" w:cstheme="minorHAnsi"/>
        </w:rPr>
        <w:t>capitalisation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KAM_TOKESITES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applied</w:t>
      </w:r>
      <w:proofErr w:type="spellEnd"/>
      <w:r w:rsidRPr="00FE1F95">
        <w:rPr>
          <w:rFonts w:asciiTheme="minorHAnsi" w:hAnsiTheme="minorHAnsi" w:cstheme="minorHAnsi"/>
        </w:rPr>
        <w:t>.</w:t>
      </w:r>
    </w:p>
    <w:p w14:paraId="24FC43B7" w14:textId="3E480FED"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The value of liabilities entering or leaving the balance sheet through liability assumption shall be reported differently from the M04 reporting:</w:t>
      </w:r>
      <w:r w:rsidR="00EC066E" w:rsidRPr="00FE1F95">
        <w:rPr>
          <w:rFonts w:asciiTheme="minorHAnsi" w:hAnsiTheme="minorHAnsi" w:cstheme="minorHAnsi"/>
        </w:rPr>
        <w:t xml:space="preserve"> i</w:t>
      </w:r>
      <w:r w:rsidRPr="00FE1F95">
        <w:rPr>
          <w:rFonts w:asciiTheme="minorHAnsi" w:hAnsiTheme="minorHAnsi" w:cstheme="minorHAnsi"/>
        </w:rPr>
        <w:t xml:space="preserve">f an item enters the balance sheet through liability assumption, it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ATVALL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positive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sign</w:t>
      </w:r>
      <w:proofErr w:type="spellEnd"/>
      <w:r w:rsidRPr="00FE1F95">
        <w:rPr>
          <w:rFonts w:asciiTheme="minorHAnsi" w:hAnsiTheme="minorHAnsi" w:cstheme="minorHAnsi"/>
        </w:rPr>
        <w:t>.</w:t>
      </w:r>
      <w:r w:rsidR="00EC066E" w:rsidRPr="00FE1F95">
        <w:rPr>
          <w:rFonts w:asciiTheme="minorHAnsi" w:hAnsiTheme="minorHAnsi" w:cstheme="minorHAnsi"/>
        </w:rPr>
        <w:t xml:space="preserve"> </w:t>
      </w:r>
      <w:r w:rsidRPr="00FE1F95">
        <w:rPr>
          <w:rFonts w:asciiTheme="minorHAnsi" w:hAnsiTheme="minorHAnsi" w:cstheme="minorHAnsi"/>
        </w:rPr>
        <w:t>If an item leaves the balance sheet through liability assumption (transfer), it shall be reported with transaction type 'KOTATAD', also with a positive sign</w:t>
      </w:r>
      <w:r w:rsidR="00EC066E" w:rsidRPr="00FE1F95">
        <w:rPr>
          <w:rFonts w:asciiTheme="minorHAnsi" w:hAnsiTheme="minorHAnsi" w:cstheme="minorHAnsi"/>
        </w:rPr>
        <w:t xml:space="preserve"> </w:t>
      </w:r>
      <w:r w:rsidRPr="00FE1F95">
        <w:rPr>
          <w:rFonts w:asciiTheme="minorHAnsi" w:hAnsiTheme="minorHAnsi" w:cstheme="minorHAnsi"/>
        </w:rPr>
        <w:t>(</w:t>
      </w:r>
      <w:r w:rsidR="00EC066E" w:rsidRPr="00FE1F95">
        <w:rPr>
          <w:rFonts w:asciiTheme="minorHAnsi" w:hAnsiTheme="minorHAnsi" w:cstheme="minorHAnsi"/>
        </w:rPr>
        <w:t>i</w:t>
      </w:r>
      <w:r w:rsidRPr="00FE1F95">
        <w:rPr>
          <w:rFonts w:asciiTheme="minorHAnsi" w:hAnsiTheme="minorHAnsi" w:cstheme="minorHAnsi"/>
        </w:rPr>
        <w:t>n the M04 reporting, assumption and transfer are reported in the same field with positive and negative signs, respectively</w:t>
      </w:r>
      <w:r w:rsidR="00EC066E" w:rsidRPr="00FE1F95">
        <w:rPr>
          <w:rFonts w:asciiTheme="minorHAnsi" w:hAnsiTheme="minorHAnsi" w:cstheme="minorHAnsi"/>
        </w:rPr>
        <w:t>).</w:t>
      </w:r>
    </w:p>
    <w:p w14:paraId="7CBE88F0"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A waiver/release of liability represents the full or partial contractual release, granted voluntarily by the lending/deposit</w:t>
      </w:r>
      <w:r w:rsidRPr="00FE1F95">
        <w:rPr>
          <w:rFonts w:asciiTheme="minorHAnsi" w:hAnsiTheme="minorHAnsi" w:cstheme="minorHAnsi"/>
        </w:rPr>
        <w:noBreakHyphen/>
        <w:t>placing counterparty during the reporting period. It shall be reported with a positive sign, using the transaction type 'ELENG'.</w:t>
      </w:r>
    </w:p>
    <w:p w14:paraId="349847A3"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Even where liabilities leave the balance sheet during the reporting month due to liability assumption or waiver—thus having a zero closing balance at month</w:t>
      </w:r>
      <w:r w:rsidRPr="00FE1F95">
        <w:rPr>
          <w:rFonts w:asciiTheme="minorHAnsi" w:hAnsiTheme="minorHAnsi" w:cstheme="minorHAnsi"/>
        </w:rPr>
        <w:noBreakHyphen/>
        <w:t>end—the amount assumed shall still be reported under 'KOTATAD', and the amount released under 'ELENG', in both cases with a positive sign.</w:t>
      </w:r>
    </w:p>
    <w:p w14:paraId="51011A25"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While in M04 reporting, the assumption or transfer of foreign</w:t>
      </w:r>
      <w:r w:rsidRPr="00FE1F95">
        <w:rPr>
          <w:rFonts w:asciiTheme="minorHAnsi" w:hAnsiTheme="minorHAnsi" w:cstheme="minorHAnsi"/>
        </w:rPr>
        <w:noBreakHyphen/>
        <w:t xml:space="preserve">counterparty liabilities with original maturity exceeding one year must be shown as transaction increases or decreases, and waivers as transaction decreases, in </w:t>
      </w:r>
      <w:proofErr w:type="spellStart"/>
      <w:r w:rsidRPr="00FE1F95">
        <w:rPr>
          <w:rFonts w:asciiTheme="minorHAnsi" w:hAnsiTheme="minorHAnsi" w:cstheme="minorHAnsi"/>
        </w:rPr>
        <w:t>BETREG</w:t>
      </w:r>
      <w:proofErr w:type="spellEnd"/>
      <w:r w:rsidRPr="00FE1F95">
        <w:rPr>
          <w:rFonts w:asciiTheme="minorHAnsi" w:hAnsiTheme="minorHAnsi" w:cstheme="minorHAnsi"/>
        </w:rPr>
        <w:t xml:space="preserve"> no 'NOV'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CSOKK</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such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ATVALL</w:t>
      </w:r>
      <w:proofErr w:type="spellEnd"/>
      <w:r w:rsidRPr="00FE1F95">
        <w:rPr>
          <w:rFonts w:asciiTheme="minorHAnsi" w:hAnsiTheme="minorHAnsi" w:cstheme="minorHAnsi"/>
        </w:rPr>
        <w:t>', '</w:t>
      </w:r>
      <w:proofErr w:type="spellStart"/>
      <w:r w:rsidRPr="00FE1F95">
        <w:rPr>
          <w:rFonts w:asciiTheme="minorHAnsi" w:hAnsiTheme="minorHAnsi" w:cstheme="minorHAnsi"/>
        </w:rPr>
        <w:t>KOTATAD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ELENG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detailed above.</w:t>
      </w:r>
    </w:p>
    <w:p w14:paraId="2F095BC6"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For roll</w:t>
      </w:r>
      <w:r w:rsidRPr="00FE1F95">
        <w:rPr>
          <w:rFonts w:asciiTheme="minorHAnsi" w:hAnsiTheme="minorHAnsi" w:cstheme="minorHAnsi"/>
        </w:rPr>
        <w:noBreakHyphen/>
        <w:t>over type deposits, neither the maturity nor the re</w:t>
      </w:r>
      <w:r w:rsidRPr="00FE1F95">
        <w:rPr>
          <w:rFonts w:asciiTheme="minorHAnsi" w:hAnsiTheme="minorHAnsi" w:cstheme="minorHAnsi"/>
        </w:rPr>
        <w:noBreakHyphen/>
        <w:t>placement shall be reported as a transaction; only the initial placement and the final maturity shall be reported.</w:t>
      </w:r>
    </w:p>
    <w:p w14:paraId="151289FB"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In the first reporting period, one month of transactions must also be reported.</w:t>
      </w:r>
    </w:p>
    <w:p w14:paraId="03442DDD"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For deposits, information on the channel through which the transaction was initiated (branch, internet banking, etc.) shall be reported. This field shall not be reported for loan transactions.</w:t>
      </w:r>
    </w:p>
    <w:p w14:paraId="69A03C4B"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lastRenderedPageBreak/>
        <w:t>No transaction shall be reported in the table in cases of creation or termination due to reclassification.</w:t>
      </w:r>
    </w:p>
    <w:p w14:paraId="4335EE40" w14:textId="77777777" w:rsidR="00893DAA" w:rsidRPr="00FE1F95" w:rsidRDefault="00893DAA" w:rsidP="00EC066E">
      <w:pPr>
        <w:spacing w:before="240"/>
        <w:ind w:left="360"/>
        <w:rPr>
          <w:rFonts w:asciiTheme="minorHAnsi" w:hAnsiTheme="minorHAnsi" w:cstheme="minorHAnsi"/>
        </w:rPr>
      </w:pPr>
      <w:r w:rsidRPr="00FE1F95">
        <w:rPr>
          <w:rFonts w:asciiTheme="minorHAnsi" w:hAnsiTheme="minorHAnsi" w:cstheme="minorHAnsi"/>
        </w:rPr>
        <w:t>The reporting of individual transaction types and transaction channels is summarised below.</w:t>
      </w:r>
    </w:p>
    <w:p w14:paraId="11ABA108" w14:textId="54E6872D" w:rsidR="00893DAA" w:rsidRPr="00FE1F95" w:rsidRDefault="00F81FF1" w:rsidP="00EC066E">
      <w:pPr>
        <w:pStyle w:val="Listaszerbekezds"/>
        <w:numPr>
          <w:ilvl w:val="0"/>
          <w:numId w:val="0"/>
        </w:numPr>
        <w:spacing w:before="240"/>
        <w:contextualSpacing w:val="0"/>
        <w:rPr>
          <w:rFonts w:asciiTheme="minorHAnsi" w:hAnsiTheme="minorHAnsi" w:cstheme="minorHAnsi"/>
        </w:rPr>
      </w:pPr>
      <w:r w:rsidRPr="00FE1F95">
        <w:rPr>
          <w:rFonts w:asciiTheme="minorHAnsi" w:hAnsiTheme="minorHAnsi" w:cstheme="minorHAnsi"/>
          <w:noProof/>
        </w:rPr>
        <w:drawing>
          <wp:inline distT="0" distB="0" distL="0" distR="0" wp14:anchorId="3E990A49" wp14:editId="19B8739B">
            <wp:extent cx="6047740" cy="1915160"/>
            <wp:effectExtent l="0" t="0" r="0" b="8890"/>
            <wp:docPr id="349366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7740" cy="1915160"/>
                    </a:xfrm>
                    <a:prstGeom prst="rect">
                      <a:avLst/>
                    </a:prstGeom>
                    <a:noFill/>
                    <a:ln>
                      <a:noFill/>
                    </a:ln>
                  </pic:spPr>
                </pic:pic>
              </a:graphicData>
            </a:graphic>
          </wp:inline>
        </w:drawing>
      </w:r>
    </w:p>
    <w:p w14:paraId="4BD7D32F" w14:textId="43C62B04" w:rsidR="0027273B" w:rsidRPr="00FE1F95" w:rsidRDefault="009C7D24" w:rsidP="009C7D24">
      <w:pPr>
        <w:pStyle w:val="Cmsor2"/>
        <w:rPr>
          <w:rFonts w:asciiTheme="minorHAnsi" w:hAnsiTheme="minorHAnsi" w:cstheme="minorHAnsi"/>
          <w:sz w:val="20"/>
          <w:szCs w:val="20"/>
        </w:rPr>
      </w:pPr>
      <w:bookmarkStart w:id="32" w:name="_Toc229138442"/>
      <w:r w:rsidRPr="00FE1F95">
        <w:rPr>
          <w:rFonts w:asciiTheme="minorHAnsi" w:hAnsiTheme="minorHAnsi" w:cstheme="minorHAnsi"/>
          <w:sz w:val="20"/>
          <w:szCs w:val="20"/>
        </w:rPr>
        <w:t>Requirements for completing the customer</w:t>
      </w:r>
      <w:r w:rsidRPr="00FE1F95">
        <w:rPr>
          <w:rFonts w:ascii="Cambria Math" w:hAnsi="Cambria Math" w:cs="Cambria Math"/>
          <w:sz w:val="20"/>
          <w:szCs w:val="20"/>
        </w:rPr>
        <w:t>‑</w:t>
      </w:r>
      <w:r w:rsidRPr="00FE1F95">
        <w:rPr>
          <w:rFonts w:asciiTheme="minorHAnsi" w:hAnsiTheme="minorHAnsi" w:cstheme="minorHAnsi"/>
          <w:sz w:val="20"/>
          <w:szCs w:val="20"/>
        </w:rPr>
        <w:t>related tables</w:t>
      </w:r>
      <w:bookmarkEnd w:id="32"/>
    </w:p>
    <w:p w14:paraId="06A021B7" w14:textId="77777777" w:rsidR="009C7D24" w:rsidRPr="00FE1F95" w:rsidRDefault="009C7D24" w:rsidP="00116445">
      <w:pPr>
        <w:autoSpaceDE w:val="0"/>
        <w:autoSpaceDN w:val="0"/>
        <w:spacing w:after="0"/>
        <w:rPr>
          <w:rFonts w:asciiTheme="minorHAnsi" w:hAnsiTheme="minorHAnsi" w:cstheme="minorHAnsi"/>
        </w:rPr>
      </w:pPr>
    </w:p>
    <w:p w14:paraId="482798DE" w14:textId="677FEA0F" w:rsidR="0050029B" w:rsidRPr="00FE1F95" w:rsidRDefault="0050029B" w:rsidP="0050029B">
      <w:pPr>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beginning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data</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customers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associated</w:t>
      </w:r>
      <w:proofErr w:type="spellEnd"/>
      <w:r w:rsidRPr="00FE1F95">
        <w:rPr>
          <w:rFonts w:asciiTheme="minorHAnsi" w:hAnsiTheme="minorHAnsi" w:cstheme="minorHAnsi"/>
        </w:rPr>
        <w:t xml:space="preserve"> with the contracts in the following capacities shall be reported:</w:t>
      </w:r>
    </w:p>
    <w:p w14:paraId="322055D0" w14:textId="77777777" w:rsidR="0050029B" w:rsidRPr="00FE1F95" w:rsidRDefault="0050029B" w:rsidP="0050029B">
      <w:pPr>
        <w:numPr>
          <w:ilvl w:val="0"/>
          <w:numId w:val="32"/>
        </w:numPr>
        <w:rPr>
          <w:rFonts w:asciiTheme="minorHAnsi" w:hAnsiTheme="minorHAnsi" w:cstheme="minorHAnsi"/>
        </w:rPr>
      </w:pPr>
      <w:r w:rsidRPr="00FE1F95">
        <w:rPr>
          <w:rFonts w:asciiTheme="minorHAnsi" w:hAnsiTheme="minorHAnsi" w:cstheme="minorHAnsi"/>
        </w:rPr>
        <w:t>Owner</w:t>
      </w:r>
    </w:p>
    <w:p w14:paraId="1D88EC40" w14:textId="77777777" w:rsidR="0050029B" w:rsidRPr="00FE1F95" w:rsidRDefault="0050029B" w:rsidP="0050029B">
      <w:pPr>
        <w:numPr>
          <w:ilvl w:val="0"/>
          <w:numId w:val="32"/>
        </w:numPr>
        <w:rPr>
          <w:rFonts w:asciiTheme="minorHAnsi" w:hAnsiTheme="minorHAnsi" w:cstheme="minorHAnsi"/>
        </w:rPr>
      </w:pPr>
      <w:r w:rsidRPr="00FE1F95">
        <w:rPr>
          <w:rFonts w:asciiTheme="minorHAnsi" w:hAnsiTheme="minorHAnsi" w:cstheme="minorHAnsi"/>
        </w:rPr>
        <w:t>Co</w:t>
      </w:r>
      <w:r w:rsidRPr="00FE1F95">
        <w:rPr>
          <w:rFonts w:asciiTheme="minorHAnsi" w:hAnsiTheme="minorHAnsi" w:cstheme="minorHAnsi"/>
        </w:rPr>
        <w:noBreakHyphen/>
        <w:t>owner</w:t>
      </w:r>
    </w:p>
    <w:p w14:paraId="28DC0501" w14:textId="77777777" w:rsidR="0050029B" w:rsidRPr="00FE1F95" w:rsidRDefault="0050029B" w:rsidP="0050029B">
      <w:pPr>
        <w:numPr>
          <w:ilvl w:val="0"/>
          <w:numId w:val="32"/>
        </w:numPr>
        <w:rPr>
          <w:rFonts w:asciiTheme="minorHAnsi" w:hAnsiTheme="minorHAnsi" w:cstheme="minorHAnsi"/>
        </w:rPr>
      </w:pPr>
      <w:r w:rsidRPr="00FE1F95">
        <w:rPr>
          <w:rFonts w:asciiTheme="minorHAnsi" w:hAnsiTheme="minorHAnsi" w:cstheme="minorHAnsi"/>
        </w:rPr>
        <w:t>Authorised representative</w:t>
      </w:r>
    </w:p>
    <w:p w14:paraId="1BB8C238" w14:textId="77777777" w:rsidR="0050029B" w:rsidRPr="00FE1F95" w:rsidRDefault="0050029B" w:rsidP="0050029B">
      <w:pPr>
        <w:numPr>
          <w:ilvl w:val="0"/>
          <w:numId w:val="32"/>
        </w:numPr>
        <w:rPr>
          <w:rFonts w:asciiTheme="minorHAnsi" w:hAnsiTheme="minorHAnsi" w:cstheme="minorHAnsi"/>
        </w:rPr>
      </w:pPr>
      <w:r w:rsidRPr="00FE1F95">
        <w:rPr>
          <w:rFonts w:asciiTheme="minorHAnsi" w:hAnsiTheme="minorHAnsi" w:cstheme="minorHAnsi"/>
        </w:rPr>
        <w:t>Lender</w:t>
      </w:r>
    </w:p>
    <w:p w14:paraId="19FFA36E" w14:textId="77777777" w:rsidR="0050029B" w:rsidRPr="00FE1F95" w:rsidRDefault="0050029B" w:rsidP="0050029B">
      <w:pPr>
        <w:numPr>
          <w:ilvl w:val="0"/>
          <w:numId w:val="32"/>
        </w:numPr>
        <w:rPr>
          <w:rFonts w:asciiTheme="minorHAnsi" w:hAnsiTheme="minorHAnsi" w:cstheme="minorHAnsi"/>
        </w:rPr>
      </w:pPr>
      <w:r w:rsidRPr="00FE1F95">
        <w:rPr>
          <w:rFonts w:asciiTheme="minorHAnsi" w:hAnsiTheme="minorHAnsi" w:cstheme="minorHAnsi"/>
        </w:rPr>
        <w:t>Co</w:t>
      </w:r>
      <w:r w:rsidRPr="00FE1F95">
        <w:rPr>
          <w:rFonts w:asciiTheme="minorHAnsi" w:hAnsiTheme="minorHAnsi" w:cstheme="minorHAnsi"/>
        </w:rPr>
        <w:noBreakHyphen/>
        <w:t>lender</w:t>
      </w:r>
    </w:p>
    <w:p w14:paraId="7F2D7891" w14:textId="77777777" w:rsidR="0050029B" w:rsidRPr="00FE1F95" w:rsidRDefault="0050029B" w:rsidP="0050029B">
      <w:pPr>
        <w:numPr>
          <w:ilvl w:val="0"/>
          <w:numId w:val="32"/>
        </w:numPr>
        <w:rPr>
          <w:rFonts w:asciiTheme="minorHAnsi" w:hAnsiTheme="minorHAnsi" w:cstheme="minorHAnsi"/>
        </w:rPr>
      </w:pPr>
      <w:r w:rsidRPr="00FE1F95">
        <w:rPr>
          <w:rFonts w:asciiTheme="minorHAnsi" w:hAnsiTheme="minorHAnsi" w:cstheme="minorHAnsi"/>
        </w:rPr>
        <w:t>Beneficiary (including beneficiary in the event of death)</w:t>
      </w:r>
    </w:p>
    <w:p w14:paraId="0E774911" w14:textId="77777777" w:rsidR="0050029B" w:rsidRPr="00FE1F95" w:rsidRDefault="0050029B" w:rsidP="0050029B">
      <w:pPr>
        <w:rPr>
          <w:rFonts w:asciiTheme="minorHAnsi" w:hAnsiTheme="minorHAnsi" w:cstheme="minorHAnsi"/>
        </w:rPr>
      </w:pPr>
      <w:r w:rsidRPr="00FE1F95">
        <w:rPr>
          <w:rFonts w:asciiTheme="minorHAnsi" w:hAnsiTheme="minorHAnsi" w:cstheme="minorHAnsi"/>
        </w:rPr>
        <w:t xml:space="preserve">Each month, the complete list of customers associated with all instruments within the scope of observation shall be reported, not only the changes. In the </w:t>
      </w:r>
      <w:r w:rsidRPr="00FE1F95">
        <w:rPr>
          <w:rFonts w:asciiTheme="minorHAnsi" w:hAnsiTheme="minorHAnsi" w:cstheme="minorHAnsi"/>
          <w:b/>
          <w:bCs/>
        </w:rPr>
        <w:t>“Sector”</w:t>
      </w:r>
      <w:r w:rsidRPr="00FE1F95">
        <w:rPr>
          <w:rFonts w:asciiTheme="minorHAnsi" w:hAnsiTheme="minorHAnsi" w:cstheme="minorHAnsi"/>
        </w:rPr>
        <w:t xml:space="preserve"> field, the information shall be reported in accordance with the TEÁOR’25 nomenclature in all customer tables.</w:t>
      </w:r>
    </w:p>
    <w:p w14:paraId="09E2099B" w14:textId="77777777" w:rsidR="0050029B" w:rsidRPr="00FE1F95" w:rsidRDefault="0050029B" w:rsidP="0050029B">
      <w:pPr>
        <w:rPr>
          <w:rFonts w:asciiTheme="minorHAnsi" w:hAnsiTheme="minorHAnsi" w:cstheme="minorHAnsi"/>
        </w:rPr>
      </w:pP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each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one</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only</w:t>
      </w:r>
      <w:proofErr w:type="spellEnd"/>
      <w:r w:rsidRPr="00FE1F95">
        <w:rPr>
          <w:rFonts w:asciiTheme="minorHAnsi" w:hAnsiTheme="minorHAnsi" w:cstheme="minorHAnsi"/>
        </w:rPr>
        <w:t xml:space="preserve"> one customer with the customer role of Lender shall be associated with the instrument.</w:t>
      </w:r>
    </w:p>
    <w:p w14:paraId="299A9721" w14:textId="2AA491A0" w:rsidR="0050029B" w:rsidRPr="00FE1F95" w:rsidRDefault="0050029B" w:rsidP="0050029B">
      <w:pPr>
        <w:rPr>
          <w:rFonts w:asciiTheme="minorHAnsi" w:hAnsiTheme="minorHAnsi" w:cstheme="minorHAnsi"/>
        </w:rPr>
      </w:pPr>
      <w:r w:rsidRPr="00FE1F95">
        <w:rPr>
          <w:rFonts w:asciiTheme="minorHAnsi" w:hAnsiTheme="minorHAnsi" w:cstheme="minorHAnsi"/>
        </w:rPr>
        <w:t xml:space="preserve">In the </w:t>
      </w:r>
      <w:proofErr w:type="spellStart"/>
      <w:r w:rsidRPr="00FE1F95">
        <w:rPr>
          <w:rFonts w:asciiTheme="minorHAnsi" w:hAnsiTheme="minorHAnsi" w:cstheme="minorHAnsi"/>
        </w:rPr>
        <w:t>case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instruments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that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during</w:t>
      </w:r>
      <w:proofErr w:type="spellEnd"/>
      <w:r w:rsidRPr="00FE1F95">
        <w:rPr>
          <w:rFonts w:asciiTheme="minorHAnsi" w:hAnsiTheme="minorHAnsi" w:cstheme="minorHAnsi"/>
        </w:rPr>
        <w:t xml:space="preserve"> the given reference period, the customer associated with the instrument and the instrument–customer relationship shall still be reported in the month of termination (using either the data content of the previous month or the data valid at termination), but shall no longer be included in subsequent monthly reports.</w:t>
      </w:r>
    </w:p>
    <w:p w14:paraId="5D607775" w14:textId="0673694A" w:rsidR="0050029B" w:rsidRPr="00FE1F95" w:rsidRDefault="0050029B" w:rsidP="0050029B">
      <w:pPr>
        <w:rPr>
          <w:rFonts w:asciiTheme="minorHAnsi" w:hAnsiTheme="minorHAnsi" w:cstheme="minorHAnsi"/>
        </w:rPr>
      </w:pPr>
      <w:r w:rsidRPr="00FE1F95">
        <w:rPr>
          <w:rFonts w:asciiTheme="minorHAnsi" w:hAnsiTheme="minorHAnsi" w:cstheme="minorHAnsi"/>
        </w:rPr>
        <w:t>Where there are multiple lenders, co</w:t>
      </w:r>
      <w:r w:rsidRPr="00FE1F95">
        <w:rPr>
          <w:rFonts w:asciiTheme="minorHAnsi" w:hAnsiTheme="minorHAnsi" w:cstheme="minorHAnsi"/>
        </w:rPr>
        <w:noBreakHyphen/>
        <w:t>lender customers may also be reported in addition to the lender customer; however, the single lender</w:t>
      </w:r>
      <w:r w:rsidRPr="00FE1F95">
        <w:rPr>
          <w:rFonts w:asciiTheme="minorHAnsi" w:hAnsiTheme="minorHAnsi" w:cstheme="minorHAnsi"/>
        </w:rPr>
        <w:noBreakHyphen/>
        <w:t>role customer must be consistent with the data reported in M04.</w:t>
      </w:r>
    </w:p>
    <w:p w14:paraId="58D3BDC9" w14:textId="77777777" w:rsidR="0050029B" w:rsidRPr="00FE1F95" w:rsidRDefault="0050029B" w:rsidP="0050029B">
      <w:pPr>
        <w:rPr>
          <w:rFonts w:asciiTheme="minorHAnsi" w:hAnsiTheme="minorHAnsi" w:cstheme="minorHAnsi"/>
        </w:rPr>
      </w:pPr>
      <w:r w:rsidRPr="00FE1F95">
        <w:rPr>
          <w:rFonts w:asciiTheme="minorHAnsi" w:hAnsiTheme="minorHAnsi" w:cstheme="minorHAnsi"/>
        </w:rPr>
        <w:t>For each deposit</w:t>
      </w:r>
      <w:r w:rsidRPr="00FE1F95">
        <w:rPr>
          <w:rFonts w:asciiTheme="minorHAnsi" w:hAnsiTheme="minorHAnsi" w:cstheme="minorHAnsi"/>
        </w:rPr>
        <w:noBreakHyphen/>
        <w:t xml:space="preserve">type current account and </w:t>
      </w:r>
      <w:proofErr w:type="spellStart"/>
      <w:r w:rsidRPr="00FE1F95">
        <w:rPr>
          <w:rFonts w:asciiTheme="minorHAnsi" w:hAnsiTheme="minorHAnsi" w:cstheme="minorHAnsi"/>
        </w:rPr>
        <w:t>term</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contract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one</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only</w:t>
      </w:r>
      <w:proofErr w:type="spellEnd"/>
      <w:r w:rsidRPr="00FE1F95">
        <w:rPr>
          <w:rFonts w:asciiTheme="minorHAnsi" w:hAnsiTheme="minorHAnsi" w:cstheme="minorHAnsi"/>
        </w:rPr>
        <w:t xml:space="preserve"> one customer with the customer role of Owner shall be included in the relevant customer table.</w:t>
      </w:r>
      <w:r w:rsidRPr="00FE1F95">
        <w:rPr>
          <w:rFonts w:asciiTheme="minorHAnsi" w:hAnsiTheme="minorHAnsi" w:cstheme="minorHAnsi"/>
        </w:rPr>
        <w:br/>
        <w:t>Customers associated with deposit</w:t>
      </w:r>
      <w:r w:rsidRPr="00FE1F95">
        <w:rPr>
          <w:rFonts w:asciiTheme="minorHAnsi" w:hAnsiTheme="minorHAnsi" w:cstheme="minorHAnsi"/>
        </w:rPr>
        <w:noBreakHyphen/>
        <w:t xml:space="preserve">type current accounts and </w:t>
      </w:r>
      <w:proofErr w:type="spellStart"/>
      <w:r w:rsidRPr="00FE1F95">
        <w:rPr>
          <w:rFonts w:asciiTheme="minorHAnsi" w:hAnsiTheme="minorHAnsi" w:cstheme="minorHAnsi"/>
        </w:rPr>
        <w:t>term</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deposit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contracts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well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the related instrument–customer relationships, shall be reported for as long as the current account linked to the deposit is not terminated (see Section 2.3).</w:t>
      </w:r>
    </w:p>
    <w:p w14:paraId="4E24B2A4" w14:textId="77777777" w:rsidR="0050029B" w:rsidRPr="00FE1F95" w:rsidRDefault="0050029B" w:rsidP="0050029B">
      <w:pPr>
        <w:rPr>
          <w:rFonts w:asciiTheme="minorHAnsi" w:hAnsiTheme="minorHAnsi" w:cstheme="minorHAnsi"/>
        </w:rPr>
      </w:pPr>
      <w:r w:rsidRPr="00FE1F95">
        <w:rPr>
          <w:rFonts w:asciiTheme="minorHAnsi" w:hAnsiTheme="minorHAnsi" w:cstheme="minorHAnsi"/>
        </w:rPr>
        <w:t xml:space="preserve">Information on which instrument/deposit a customer is associated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INST_UGYF_B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w:t>
      </w:r>
    </w:p>
    <w:p w14:paraId="03A1874F" w14:textId="52DA3CE2" w:rsidR="0050029B" w:rsidRPr="00FE1F95" w:rsidRDefault="0050029B" w:rsidP="0050029B">
      <w:pPr>
        <w:rPr>
          <w:rFonts w:asciiTheme="minorHAnsi" w:hAnsiTheme="minorHAnsi" w:cstheme="minorHAnsi"/>
          <w:bCs/>
        </w:rPr>
      </w:pPr>
      <w:r w:rsidRPr="00FE1F95">
        <w:rPr>
          <w:rFonts w:asciiTheme="minorHAnsi" w:hAnsiTheme="minorHAnsi" w:cstheme="minorHAnsi"/>
          <w:bCs/>
        </w:rPr>
        <w:lastRenderedPageBreak/>
        <w:t>In all customer tables, the country code and the identifier of the customer group leader shall be reported for the entire customer population, where the customer belongs to a customer group registered with the credit institution.</w:t>
      </w:r>
      <w:r w:rsidRPr="00FE1F95">
        <w:rPr>
          <w:rFonts w:asciiTheme="minorHAnsi" w:hAnsiTheme="minorHAnsi" w:cstheme="minorHAnsi"/>
          <w:bCs/>
        </w:rPr>
        <w:br/>
        <w:t xml:space="preserve">In the customer tables, two fields have been defined </w:t>
      </w:r>
      <w:proofErr w:type="spellStart"/>
      <w:r w:rsidRPr="00FE1F95">
        <w:rPr>
          <w:rFonts w:asciiTheme="minorHAnsi" w:hAnsiTheme="minorHAnsi" w:cstheme="minorHAnsi"/>
          <w:bCs/>
        </w:rPr>
        <w:t>with</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regard</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to</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customer</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group</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membership</w:t>
      </w:r>
      <w:proofErr w:type="spellEnd"/>
      <w:r w:rsidRPr="00FE1F95">
        <w:rPr>
          <w:rFonts w:asciiTheme="minorHAnsi" w:hAnsiTheme="minorHAnsi" w:cstheme="minorHAnsi"/>
          <w:bCs/>
        </w:rPr>
        <w:t xml:space="preserve"> </w:t>
      </w:r>
      <w:r w:rsidRPr="00FE1F95">
        <w:rPr>
          <w:rFonts w:asciiTheme="minorHAnsi" w:hAnsiTheme="minorHAnsi" w:cstheme="minorHAnsi"/>
          <w:b/>
        </w:rPr>
        <w:t>(“</w:t>
      </w:r>
      <w:proofErr w:type="spellStart"/>
      <w:r w:rsidR="00FF3025" w:rsidRPr="00FE1F95">
        <w:rPr>
          <w:rFonts w:asciiTheme="minorHAnsi" w:hAnsiTheme="minorHAnsi" w:cstheme="minorHAnsi"/>
          <w:b/>
        </w:rPr>
        <w:t>Belonging</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to</w:t>
      </w:r>
      <w:proofErr w:type="spellEnd"/>
      <w:r w:rsidR="00FF3025" w:rsidRPr="00FE1F95">
        <w:rPr>
          <w:rFonts w:asciiTheme="minorHAnsi" w:hAnsiTheme="minorHAnsi" w:cstheme="minorHAnsi"/>
          <w:b/>
        </w:rPr>
        <w:t xml:space="preserve"> a </w:t>
      </w:r>
      <w:proofErr w:type="spellStart"/>
      <w:r w:rsidR="00FF3025" w:rsidRPr="00FE1F95">
        <w:rPr>
          <w:rFonts w:asciiTheme="minorHAnsi" w:hAnsiTheme="minorHAnsi" w:cstheme="minorHAnsi"/>
          <w:b/>
        </w:rPr>
        <w:t>counterparty-group</w:t>
      </w:r>
      <w:proofErr w:type="spellEnd"/>
      <w:r w:rsidR="00FF3025" w:rsidRPr="00FE1F95">
        <w:rPr>
          <w:rFonts w:asciiTheme="minorHAnsi" w:hAnsiTheme="minorHAnsi" w:cstheme="minorHAnsi"/>
          <w:b/>
        </w:rPr>
        <w:t>?</w:t>
      </w:r>
      <w:r w:rsidRPr="00FE1F95">
        <w:rPr>
          <w:rFonts w:asciiTheme="minorHAnsi" w:hAnsiTheme="minorHAnsi" w:cstheme="minorHAnsi"/>
          <w:b/>
        </w:rPr>
        <w:t>”</w:t>
      </w:r>
      <w:r w:rsidRPr="00FE1F95">
        <w:rPr>
          <w:rFonts w:asciiTheme="minorHAnsi" w:hAnsiTheme="minorHAnsi" w:cstheme="minorHAnsi"/>
          <w:bCs/>
        </w:rPr>
        <w:t xml:space="preserve"> and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Counterparty</w:t>
      </w:r>
      <w:proofErr w:type="spellEnd"/>
      <w:proofErr w:type="gram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ID</w:t>
      </w:r>
      <w:proofErr w:type="spellEnd"/>
      <w:r w:rsidRPr="00FE1F95">
        <w:rPr>
          <w:rFonts w:asciiTheme="minorHAnsi" w:hAnsiTheme="minorHAnsi" w:cstheme="minorHAnsi"/>
          <w:b/>
        </w:rPr>
        <w:t>”</w:t>
      </w:r>
      <w:r w:rsidRPr="00FE1F95">
        <w:rPr>
          <w:rFonts w:asciiTheme="minorHAnsi" w:hAnsiTheme="minorHAnsi" w:cstheme="minorHAnsi"/>
          <w:bCs/>
        </w:rPr>
        <w:t>).</w:t>
      </w:r>
    </w:p>
    <w:p w14:paraId="7E05F398" w14:textId="31ED302C" w:rsidR="0050029B" w:rsidRPr="00FE1F95" w:rsidRDefault="0050029B" w:rsidP="0050029B">
      <w:pPr>
        <w:rPr>
          <w:rFonts w:asciiTheme="minorHAnsi" w:hAnsiTheme="minorHAnsi" w:cstheme="minorHAnsi"/>
          <w:bCs/>
        </w:rPr>
      </w:pPr>
      <w:r w:rsidRPr="00FE1F95">
        <w:rPr>
          <w:rFonts w:asciiTheme="minorHAnsi" w:hAnsiTheme="minorHAnsi" w:cstheme="minorHAnsi"/>
          <w:bCs/>
        </w:rPr>
        <w:t xml:space="preserve">The completion logic of these fields is as follows: if the value ‘I’ is </w:t>
      </w:r>
      <w:proofErr w:type="spellStart"/>
      <w:r w:rsidRPr="00FE1F95">
        <w:rPr>
          <w:rFonts w:asciiTheme="minorHAnsi" w:hAnsiTheme="minorHAnsi" w:cstheme="minorHAnsi"/>
          <w:bCs/>
        </w:rPr>
        <w:t>reported</w:t>
      </w:r>
      <w:proofErr w:type="spellEnd"/>
      <w:r w:rsidRPr="00FE1F95">
        <w:rPr>
          <w:rFonts w:asciiTheme="minorHAnsi" w:hAnsiTheme="minorHAnsi" w:cstheme="minorHAnsi"/>
          <w:bCs/>
        </w:rPr>
        <w:t xml:space="preserve"> in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Belonging</w:t>
      </w:r>
      <w:proofErr w:type="spellEnd"/>
      <w:proofErr w:type="gram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to</w:t>
      </w:r>
      <w:proofErr w:type="spellEnd"/>
      <w:r w:rsidR="00FF3025" w:rsidRPr="00FE1F95">
        <w:rPr>
          <w:rFonts w:asciiTheme="minorHAnsi" w:hAnsiTheme="minorHAnsi" w:cstheme="minorHAnsi"/>
          <w:b/>
        </w:rPr>
        <w:t xml:space="preserve"> a </w:t>
      </w:r>
      <w:proofErr w:type="spellStart"/>
      <w:r w:rsidR="00FF3025" w:rsidRPr="00FE1F95">
        <w:rPr>
          <w:rFonts w:asciiTheme="minorHAnsi" w:hAnsiTheme="minorHAnsi" w:cstheme="minorHAnsi"/>
          <w:b/>
        </w:rPr>
        <w:t>counterparty-group</w:t>
      </w:r>
      <w:proofErr w:type="spellEnd"/>
      <w:r w:rsidR="00FF3025" w:rsidRPr="00FE1F95">
        <w:rPr>
          <w:rFonts w:asciiTheme="minorHAnsi" w:hAnsiTheme="minorHAnsi" w:cstheme="minorHAnsi"/>
          <w:b/>
        </w:rPr>
        <w:t>?</w:t>
      </w:r>
      <w:r w:rsidRPr="00FE1F95">
        <w:rPr>
          <w:rFonts w:asciiTheme="minorHAnsi" w:hAnsiTheme="minorHAnsi" w:cstheme="minorHAnsi"/>
          <w:b/>
        </w:rPr>
        <w:t>”</w:t>
      </w:r>
      <w:r w:rsidRPr="00FE1F95">
        <w:rPr>
          <w:rFonts w:asciiTheme="minorHAnsi" w:hAnsiTheme="minorHAnsi" w:cstheme="minorHAnsi"/>
          <w:bCs/>
        </w:rPr>
        <w:t xml:space="preserve">,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Counterparty</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ID</w:t>
      </w:r>
      <w:proofErr w:type="spellEnd"/>
      <w:r w:rsidRPr="00FE1F95">
        <w:rPr>
          <w:rFonts w:asciiTheme="minorHAnsi" w:hAnsiTheme="minorHAnsi" w:cstheme="minorHAnsi"/>
          <w:b/>
        </w:rPr>
        <w:t>”</w:t>
      </w:r>
      <w:r w:rsidRPr="00FE1F95">
        <w:rPr>
          <w:rFonts w:asciiTheme="minorHAnsi" w:hAnsiTheme="minorHAnsi" w:cstheme="minorHAnsi"/>
          <w:bCs/>
        </w:rPr>
        <w:t xml:space="preserve"> </w:t>
      </w:r>
      <w:proofErr w:type="spellStart"/>
      <w:r w:rsidRPr="00FE1F95">
        <w:rPr>
          <w:rFonts w:asciiTheme="minorHAnsi" w:hAnsiTheme="minorHAnsi" w:cstheme="minorHAnsi"/>
          <w:bCs/>
        </w:rPr>
        <w:t>shall</w:t>
      </w:r>
      <w:proofErr w:type="spellEnd"/>
      <w:r w:rsidRPr="00FE1F95">
        <w:rPr>
          <w:rFonts w:asciiTheme="minorHAnsi" w:hAnsiTheme="minorHAnsi" w:cstheme="minorHAnsi"/>
          <w:bCs/>
        </w:rPr>
        <w:t xml:space="preserve"> be </w:t>
      </w:r>
      <w:proofErr w:type="spellStart"/>
      <w:r w:rsidRPr="00FE1F95">
        <w:rPr>
          <w:rFonts w:asciiTheme="minorHAnsi" w:hAnsiTheme="minorHAnsi" w:cstheme="minorHAnsi"/>
          <w:bCs/>
        </w:rPr>
        <w:t>completed</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If</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Counterparty</w:t>
      </w:r>
      <w:proofErr w:type="spellEnd"/>
      <w:proofErr w:type="gram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ID</w:t>
      </w:r>
      <w:proofErr w:type="spellEnd"/>
      <w:r w:rsidRPr="00FE1F95">
        <w:rPr>
          <w:rFonts w:asciiTheme="minorHAnsi" w:hAnsiTheme="minorHAnsi" w:cstheme="minorHAnsi"/>
          <w:b/>
        </w:rPr>
        <w:t>”</w:t>
      </w:r>
      <w:r w:rsidRPr="00FE1F95">
        <w:rPr>
          <w:rFonts w:asciiTheme="minorHAnsi" w:hAnsiTheme="minorHAnsi" w:cstheme="minorHAnsi"/>
          <w:bCs/>
        </w:rPr>
        <w:t xml:space="preserve"> is </w:t>
      </w:r>
      <w:proofErr w:type="spellStart"/>
      <w:r w:rsidRPr="00FE1F95">
        <w:rPr>
          <w:rFonts w:asciiTheme="minorHAnsi" w:hAnsiTheme="minorHAnsi" w:cstheme="minorHAnsi"/>
          <w:bCs/>
        </w:rPr>
        <w:t>completed</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r w:rsidRPr="00FE1F95">
        <w:rPr>
          <w:rFonts w:asciiTheme="minorHAnsi" w:hAnsiTheme="minorHAnsi" w:cstheme="minorHAnsi"/>
          <w:b/>
        </w:rPr>
        <w:t xml:space="preserve">Country </w:t>
      </w:r>
      <w:proofErr w:type="spellStart"/>
      <w:r w:rsidRPr="00FE1F95">
        <w:rPr>
          <w:rFonts w:asciiTheme="minorHAnsi" w:hAnsiTheme="minorHAnsi" w:cstheme="minorHAnsi"/>
          <w:b/>
        </w:rPr>
        <w:t>code</w:t>
      </w:r>
      <w:proofErr w:type="spellEnd"/>
      <w:r w:rsidRPr="00FE1F95">
        <w:rPr>
          <w:rFonts w:asciiTheme="minorHAnsi" w:hAnsiTheme="minorHAnsi" w:cstheme="minorHAnsi"/>
          <w:b/>
        </w:rPr>
        <w:t xml:space="preserve"> of the customer group leader”</w:t>
      </w:r>
      <w:r w:rsidRPr="00FE1F95">
        <w:rPr>
          <w:rFonts w:asciiTheme="minorHAnsi" w:hAnsiTheme="minorHAnsi" w:cstheme="minorHAnsi"/>
          <w:bCs/>
        </w:rPr>
        <w:t xml:space="preserve"> shall also be reported.</w:t>
      </w:r>
    </w:p>
    <w:p w14:paraId="6BFB087F" w14:textId="7CB6D20C" w:rsidR="0050029B" w:rsidRPr="00FE1F95" w:rsidRDefault="0050029B" w:rsidP="0050029B">
      <w:pPr>
        <w:ind w:left="709"/>
        <w:rPr>
          <w:rFonts w:asciiTheme="minorHAnsi" w:hAnsiTheme="minorHAnsi" w:cstheme="minorHAnsi"/>
          <w:bCs/>
        </w:rPr>
      </w:pPr>
      <w:r w:rsidRPr="00FE1F95">
        <w:rPr>
          <w:rFonts w:asciiTheme="minorHAnsi" w:hAnsiTheme="minorHAnsi" w:cstheme="minorHAnsi"/>
          <w:bCs/>
        </w:rPr>
        <w:br/>
        <w:t xml:space="preserve">• In the case of country code ‘HU’, the relevant information shall be reported either in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Tax</w:t>
      </w:r>
      <w:proofErr w:type="spellEnd"/>
      <w:proofErr w:type="gram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number</w:t>
      </w:r>
      <w:proofErr w:type="spellEnd"/>
      <w:r w:rsidR="00FF3025" w:rsidRPr="00FE1F95">
        <w:rPr>
          <w:rFonts w:asciiTheme="minorHAnsi" w:hAnsiTheme="minorHAnsi" w:cstheme="minorHAnsi"/>
          <w:b/>
        </w:rPr>
        <w:t xml:space="preserve"> of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counterparty</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leader</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resident</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corporation</w:t>
      </w:r>
      <w:proofErr w:type="spellEnd"/>
      <w:r w:rsidRPr="00FE1F95">
        <w:rPr>
          <w:rFonts w:asciiTheme="minorHAnsi" w:hAnsiTheme="minorHAnsi" w:cstheme="minorHAnsi"/>
          <w:b/>
        </w:rPr>
        <w:t>”</w:t>
      </w:r>
      <w:r w:rsidRPr="00FE1F95">
        <w:rPr>
          <w:rFonts w:asciiTheme="minorHAnsi" w:hAnsiTheme="minorHAnsi" w:cstheme="minorHAnsi"/>
          <w:bCs/>
        </w:rPr>
        <w:t xml:space="preserve"> </w:t>
      </w:r>
      <w:proofErr w:type="spellStart"/>
      <w:r w:rsidRPr="00FE1F95">
        <w:rPr>
          <w:rFonts w:asciiTheme="minorHAnsi" w:hAnsiTheme="minorHAnsi" w:cstheme="minorHAnsi"/>
          <w:bCs/>
        </w:rPr>
        <w:t>or</w:t>
      </w:r>
      <w:proofErr w:type="spellEnd"/>
      <w:r w:rsidRPr="00FE1F95">
        <w:rPr>
          <w:rFonts w:asciiTheme="minorHAnsi" w:hAnsiTheme="minorHAnsi" w:cstheme="minorHAnsi"/>
          <w:bCs/>
        </w:rPr>
        <w:t xml:space="preserve"> in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field “Is the customer group leader a private individual or a sole proprietor?”.</w:t>
      </w:r>
    </w:p>
    <w:p w14:paraId="66D08DE8" w14:textId="660B5BF4" w:rsidR="0050029B" w:rsidRPr="00FE1F95" w:rsidRDefault="0050029B" w:rsidP="0050029B">
      <w:pPr>
        <w:ind w:left="709"/>
        <w:rPr>
          <w:rFonts w:asciiTheme="minorHAnsi" w:hAnsiTheme="minorHAnsi" w:cstheme="minorHAnsi"/>
          <w:bCs/>
        </w:rPr>
      </w:pPr>
      <w:r w:rsidRPr="00FE1F95">
        <w:rPr>
          <w:rFonts w:asciiTheme="minorHAnsi" w:hAnsiTheme="minorHAnsi" w:cstheme="minorHAnsi"/>
          <w:bCs/>
        </w:rPr>
        <w:br/>
        <w:t xml:space="preserve">• In the case of a country code other than ‘HU’, the information shall be </w:t>
      </w:r>
      <w:proofErr w:type="spellStart"/>
      <w:r w:rsidRPr="00FE1F95">
        <w:rPr>
          <w:rFonts w:asciiTheme="minorHAnsi" w:hAnsiTheme="minorHAnsi" w:cstheme="minorHAnsi"/>
          <w:bCs/>
        </w:rPr>
        <w:t>reported</w:t>
      </w:r>
      <w:proofErr w:type="spellEnd"/>
      <w:r w:rsidRPr="00FE1F95">
        <w:rPr>
          <w:rFonts w:asciiTheme="minorHAnsi" w:hAnsiTheme="minorHAnsi" w:cstheme="minorHAnsi"/>
          <w:bCs/>
        </w:rPr>
        <w:t xml:space="preserve"> in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ID</w:t>
      </w:r>
      <w:proofErr w:type="spellEnd"/>
      <w:proofErr w:type="gramEnd"/>
      <w:r w:rsidR="00FF3025" w:rsidRPr="00FE1F95">
        <w:rPr>
          <w:rFonts w:asciiTheme="minorHAnsi" w:hAnsiTheme="minorHAnsi" w:cstheme="minorHAnsi"/>
          <w:b/>
        </w:rPr>
        <w:t xml:space="preserve"> of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counterparty</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leader</w:t>
      </w:r>
      <w:proofErr w:type="spellEnd"/>
      <w:r w:rsidR="00FF3025" w:rsidRPr="00FE1F95">
        <w:rPr>
          <w:rFonts w:asciiTheme="minorHAnsi" w:hAnsiTheme="minorHAnsi" w:cstheme="minorHAnsi"/>
          <w:b/>
        </w:rPr>
        <w:t xml:space="preserve"> non-</w:t>
      </w:r>
      <w:proofErr w:type="spellStart"/>
      <w:r w:rsidR="00FF3025" w:rsidRPr="00FE1F95">
        <w:rPr>
          <w:rFonts w:asciiTheme="minorHAnsi" w:hAnsiTheme="minorHAnsi" w:cstheme="minorHAnsi"/>
          <w:b/>
        </w:rPr>
        <w:t>resident</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corporation</w:t>
      </w:r>
      <w:proofErr w:type="spellEnd"/>
      <w:r w:rsidRPr="00FE1F95">
        <w:rPr>
          <w:rFonts w:asciiTheme="minorHAnsi" w:hAnsiTheme="minorHAnsi" w:cstheme="minorHAnsi"/>
          <w:b/>
        </w:rPr>
        <w:t>”</w:t>
      </w:r>
      <w:r w:rsidRPr="00FE1F95">
        <w:rPr>
          <w:rFonts w:asciiTheme="minorHAnsi" w:hAnsiTheme="minorHAnsi" w:cstheme="minorHAnsi"/>
          <w:bCs/>
        </w:rPr>
        <w:t xml:space="preserve"> (LEI </w:t>
      </w:r>
      <w:proofErr w:type="spellStart"/>
      <w:r w:rsidRPr="00FE1F95">
        <w:rPr>
          <w:rFonts w:asciiTheme="minorHAnsi" w:hAnsiTheme="minorHAnsi" w:cstheme="minorHAnsi"/>
          <w:bCs/>
        </w:rPr>
        <w:t>code</w:t>
      </w:r>
      <w:proofErr w:type="spellEnd"/>
      <w:r w:rsidRPr="00FE1F95">
        <w:rPr>
          <w:rFonts w:asciiTheme="minorHAnsi" w:hAnsiTheme="minorHAnsi" w:cstheme="minorHAnsi"/>
          <w:bCs/>
        </w:rPr>
        <w:t xml:space="preserve"> / tax number / company registration number / other identifier) or in the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r w:rsidRPr="00FE1F95">
        <w:rPr>
          <w:rFonts w:asciiTheme="minorHAnsi" w:hAnsiTheme="minorHAnsi" w:cstheme="minorHAnsi"/>
          <w:b/>
        </w:rPr>
        <w:t>“</w:t>
      </w:r>
      <w:r w:rsidR="00FF3025" w:rsidRPr="00FE1F95">
        <w:rPr>
          <w:rFonts w:asciiTheme="minorHAnsi" w:hAnsiTheme="minorHAnsi" w:cstheme="minorHAnsi"/>
        </w:rPr>
        <w:t xml:space="preserve"> </w:t>
      </w:r>
      <w:r w:rsidR="00FF3025" w:rsidRPr="00FE1F95">
        <w:rPr>
          <w:rFonts w:asciiTheme="minorHAnsi" w:hAnsiTheme="minorHAnsi" w:cstheme="minorHAnsi"/>
          <w:b/>
        </w:rPr>
        <w:t xml:space="preserve">Is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head</w:t>
      </w:r>
      <w:proofErr w:type="spellEnd"/>
      <w:r w:rsidR="00FF3025" w:rsidRPr="00FE1F95">
        <w:rPr>
          <w:rFonts w:asciiTheme="minorHAnsi" w:hAnsiTheme="minorHAnsi" w:cstheme="minorHAnsi"/>
          <w:b/>
        </w:rPr>
        <w:t xml:space="preserve"> of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client</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an </w:t>
      </w:r>
      <w:proofErr w:type="spellStart"/>
      <w:r w:rsidR="00FF3025" w:rsidRPr="00FE1F95">
        <w:rPr>
          <w:rFonts w:asciiTheme="minorHAnsi" w:hAnsiTheme="minorHAnsi" w:cstheme="minorHAnsi"/>
          <w:b/>
        </w:rPr>
        <w:t>individual</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or</w:t>
      </w:r>
      <w:proofErr w:type="spellEnd"/>
      <w:r w:rsidR="00FF3025" w:rsidRPr="00FE1F95">
        <w:rPr>
          <w:rFonts w:asciiTheme="minorHAnsi" w:hAnsiTheme="minorHAnsi" w:cstheme="minorHAnsi"/>
          <w:b/>
        </w:rPr>
        <w:t xml:space="preserve"> a </w:t>
      </w:r>
      <w:proofErr w:type="spellStart"/>
      <w:r w:rsidR="00FF3025" w:rsidRPr="00FE1F95">
        <w:rPr>
          <w:rFonts w:asciiTheme="minorHAnsi" w:hAnsiTheme="minorHAnsi" w:cstheme="minorHAnsi"/>
          <w:b/>
        </w:rPr>
        <w:t>sole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proprietor</w:t>
      </w:r>
      <w:proofErr w:type="spellEnd"/>
      <w:r w:rsidR="00FF3025" w:rsidRPr="00FE1F95">
        <w:rPr>
          <w:rFonts w:asciiTheme="minorHAnsi" w:hAnsiTheme="minorHAnsi" w:cstheme="minorHAnsi"/>
          <w:b/>
        </w:rPr>
        <w:t>?</w:t>
      </w:r>
      <w:r w:rsidRPr="00FE1F95">
        <w:rPr>
          <w:rFonts w:asciiTheme="minorHAnsi" w:hAnsiTheme="minorHAnsi" w:cstheme="minorHAnsi"/>
          <w:b/>
        </w:rPr>
        <w:t>”</w:t>
      </w:r>
      <w:r w:rsidRPr="00FE1F95">
        <w:rPr>
          <w:rFonts w:asciiTheme="minorHAnsi" w:hAnsiTheme="minorHAnsi" w:cstheme="minorHAnsi"/>
          <w:bCs/>
        </w:rPr>
        <w:t>.</w:t>
      </w:r>
    </w:p>
    <w:p w14:paraId="69E0DD90" w14:textId="6D0652B7" w:rsidR="0050029B" w:rsidRPr="00FE1F95" w:rsidRDefault="0050029B" w:rsidP="0050029B">
      <w:pPr>
        <w:rPr>
          <w:rFonts w:asciiTheme="minorHAnsi" w:hAnsiTheme="minorHAnsi" w:cstheme="minorHAnsi"/>
          <w:bCs/>
        </w:rPr>
      </w:pPr>
      <w:r w:rsidRPr="00FE1F95">
        <w:rPr>
          <w:rFonts w:asciiTheme="minorHAnsi" w:hAnsiTheme="minorHAnsi" w:cstheme="minorHAnsi"/>
          <w:bCs/>
        </w:rPr>
        <w:t xml:space="preserve">If the domestic corporate customer group leader does not have a domestic master identification number (e.g. a condominium association), the technical master code ‘00000002’ shall be reported in </w:t>
      </w:r>
      <w:proofErr w:type="spellStart"/>
      <w:r w:rsidRPr="00FE1F95">
        <w:rPr>
          <w:rFonts w:asciiTheme="minorHAnsi" w:hAnsiTheme="minorHAnsi" w:cstheme="minorHAnsi"/>
          <w:bCs/>
        </w:rPr>
        <w:t>the</w:t>
      </w:r>
      <w:proofErr w:type="spellEnd"/>
      <w:r w:rsidRPr="00FE1F95">
        <w:rPr>
          <w:rFonts w:asciiTheme="minorHAnsi" w:hAnsiTheme="minorHAnsi" w:cstheme="minorHAnsi"/>
          <w:bCs/>
        </w:rPr>
        <w:t xml:space="preserv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proofErr w:type="spellStart"/>
      <w:r w:rsidR="00FF3025" w:rsidRPr="00FE1F95">
        <w:rPr>
          <w:rFonts w:asciiTheme="minorHAnsi" w:hAnsiTheme="minorHAnsi" w:cstheme="minorHAnsi"/>
          <w:b/>
        </w:rPr>
        <w:t>Tax</w:t>
      </w:r>
      <w:proofErr w:type="spellEnd"/>
      <w:proofErr w:type="gram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number</w:t>
      </w:r>
      <w:proofErr w:type="spellEnd"/>
      <w:r w:rsidR="00FF3025" w:rsidRPr="00FE1F95">
        <w:rPr>
          <w:rFonts w:asciiTheme="minorHAnsi" w:hAnsiTheme="minorHAnsi" w:cstheme="minorHAnsi"/>
          <w:b/>
        </w:rPr>
        <w:t xml:space="preserve"> of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counterparty</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leader</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resident</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corporation</w:t>
      </w:r>
      <w:proofErr w:type="spellEnd"/>
      <w:r w:rsidRPr="00FE1F95">
        <w:rPr>
          <w:rFonts w:asciiTheme="minorHAnsi" w:hAnsiTheme="minorHAnsi" w:cstheme="minorHAnsi"/>
          <w:b/>
        </w:rPr>
        <w:t>”</w:t>
      </w:r>
      <w:r w:rsidRPr="00FE1F95">
        <w:rPr>
          <w:rFonts w:asciiTheme="minorHAnsi" w:hAnsiTheme="minorHAnsi" w:cstheme="minorHAnsi"/>
          <w:bCs/>
        </w:rPr>
        <w:t>.</w:t>
      </w:r>
    </w:p>
    <w:p w14:paraId="72A0C6CF" w14:textId="43B5DCF2" w:rsidR="0050029B" w:rsidRPr="00FE1F95" w:rsidRDefault="0050029B" w:rsidP="0050029B">
      <w:pPr>
        <w:rPr>
          <w:rFonts w:asciiTheme="minorHAnsi" w:hAnsiTheme="minorHAnsi" w:cstheme="minorHAnsi"/>
          <w:bCs/>
        </w:rPr>
      </w:pPr>
      <w:r w:rsidRPr="00FE1F95">
        <w:rPr>
          <w:rFonts w:asciiTheme="minorHAnsi" w:hAnsiTheme="minorHAnsi" w:cstheme="minorHAnsi"/>
          <w:bCs/>
        </w:rPr>
        <w:t xml:space="preserve">The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FF3025" w:rsidRPr="00FE1F95">
        <w:rPr>
          <w:rFonts w:asciiTheme="minorHAnsi" w:hAnsiTheme="minorHAnsi" w:cstheme="minorHAnsi"/>
        </w:rPr>
        <w:t xml:space="preserve"> </w:t>
      </w:r>
      <w:r w:rsidR="00FF3025" w:rsidRPr="00FE1F95">
        <w:rPr>
          <w:rFonts w:asciiTheme="minorHAnsi" w:hAnsiTheme="minorHAnsi" w:cstheme="minorHAnsi"/>
          <w:b/>
        </w:rPr>
        <w:t>Is</w:t>
      </w:r>
      <w:proofErr w:type="gram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head</w:t>
      </w:r>
      <w:proofErr w:type="spellEnd"/>
      <w:r w:rsidR="00FF3025" w:rsidRPr="00FE1F95">
        <w:rPr>
          <w:rFonts w:asciiTheme="minorHAnsi" w:hAnsiTheme="minorHAnsi" w:cstheme="minorHAnsi"/>
          <w:b/>
        </w:rPr>
        <w:t xml:space="preserve"> of </w:t>
      </w:r>
      <w:proofErr w:type="spellStart"/>
      <w:r w:rsidR="00FF3025" w:rsidRPr="00FE1F95">
        <w:rPr>
          <w:rFonts w:asciiTheme="minorHAnsi" w:hAnsiTheme="minorHAnsi" w:cstheme="minorHAnsi"/>
          <w:b/>
        </w:rPr>
        <w:t>the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client</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group</w:t>
      </w:r>
      <w:proofErr w:type="spellEnd"/>
      <w:r w:rsidR="00FF3025" w:rsidRPr="00FE1F95">
        <w:rPr>
          <w:rFonts w:asciiTheme="minorHAnsi" w:hAnsiTheme="minorHAnsi" w:cstheme="minorHAnsi"/>
          <w:b/>
        </w:rPr>
        <w:t xml:space="preserve"> an </w:t>
      </w:r>
      <w:proofErr w:type="spellStart"/>
      <w:r w:rsidR="00FF3025" w:rsidRPr="00FE1F95">
        <w:rPr>
          <w:rFonts w:asciiTheme="minorHAnsi" w:hAnsiTheme="minorHAnsi" w:cstheme="minorHAnsi"/>
          <w:b/>
        </w:rPr>
        <w:t>individual</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or</w:t>
      </w:r>
      <w:proofErr w:type="spellEnd"/>
      <w:r w:rsidR="00FF3025" w:rsidRPr="00FE1F95">
        <w:rPr>
          <w:rFonts w:asciiTheme="minorHAnsi" w:hAnsiTheme="minorHAnsi" w:cstheme="minorHAnsi"/>
          <w:b/>
        </w:rPr>
        <w:t xml:space="preserve"> a </w:t>
      </w:r>
      <w:proofErr w:type="spellStart"/>
      <w:r w:rsidR="00FF3025" w:rsidRPr="00FE1F95">
        <w:rPr>
          <w:rFonts w:asciiTheme="minorHAnsi" w:hAnsiTheme="minorHAnsi" w:cstheme="minorHAnsi"/>
          <w:b/>
        </w:rPr>
        <w:t>sole</w:t>
      </w:r>
      <w:proofErr w:type="spellEnd"/>
      <w:r w:rsidR="00FF3025" w:rsidRPr="00FE1F95">
        <w:rPr>
          <w:rFonts w:asciiTheme="minorHAnsi" w:hAnsiTheme="minorHAnsi" w:cstheme="minorHAnsi"/>
          <w:b/>
        </w:rPr>
        <w:t xml:space="preserve"> </w:t>
      </w:r>
      <w:proofErr w:type="spellStart"/>
      <w:r w:rsidR="00FF3025" w:rsidRPr="00FE1F95">
        <w:rPr>
          <w:rFonts w:asciiTheme="minorHAnsi" w:hAnsiTheme="minorHAnsi" w:cstheme="minorHAnsi"/>
          <w:b/>
        </w:rPr>
        <w:t>proprietor</w:t>
      </w:r>
      <w:proofErr w:type="spellEnd"/>
      <w:r w:rsidR="00FF3025" w:rsidRPr="00FE1F95">
        <w:rPr>
          <w:rFonts w:asciiTheme="minorHAnsi" w:hAnsiTheme="minorHAnsi" w:cstheme="minorHAnsi"/>
          <w:b/>
        </w:rPr>
        <w:t>?</w:t>
      </w:r>
      <w:r w:rsidRPr="00FE1F95">
        <w:rPr>
          <w:rFonts w:asciiTheme="minorHAnsi" w:hAnsiTheme="minorHAnsi" w:cstheme="minorHAnsi"/>
          <w:b/>
        </w:rPr>
        <w:t>”</w:t>
      </w:r>
      <w:r w:rsidRPr="00FE1F95">
        <w:rPr>
          <w:rFonts w:asciiTheme="minorHAnsi" w:hAnsiTheme="minorHAnsi" w:cstheme="minorHAnsi"/>
          <w:bCs/>
        </w:rPr>
        <w:t xml:space="preserve"> is code</w:t>
      </w:r>
      <w:r w:rsidRPr="00FE1F95">
        <w:rPr>
          <w:rFonts w:asciiTheme="minorHAnsi" w:hAnsiTheme="minorHAnsi" w:cstheme="minorHAnsi"/>
          <w:bCs/>
        </w:rPr>
        <w:noBreakHyphen/>
        <w:t>listed; either ‘I’ or ‘N’ shall be reported. If the customer group leader is a private individual, the value ‘I’ shall be reported; if not (i.e. if the leader is a domestic or foreign undertaking), the value ‘N’ shall be reported.</w:t>
      </w:r>
    </w:p>
    <w:p w14:paraId="1CF7E9D0" w14:textId="77777777" w:rsidR="0050029B" w:rsidRPr="00FE1F95" w:rsidRDefault="0050029B" w:rsidP="0050029B">
      <w:pPr>
        <w:rPr>
          <w:rFonts w:asciiTheme="minorHAnsi" w:hAnsiTheme="minorHAnsi" w:cstheme="minorHAnsi"/>
          <w:bCs/>
        </w:rPr>
      </w:pPr>
      <w:r w:rsidRPr="00FE1F95">
        <w:rPr>
          <w:rFonts w:asciiTheme="minorHAnsi" w:hAnsiTheme="minorHAnsi" w:cstheme="minorHAnsi"/>
          <w:bCs/>
        </w:rPr>
        <w:t>If a customer simultaneously belongs to more than one customer group, the information relating to the customer group that is the most relevant from a risk management perspective shall be reported in the above fields.</w:t>
      </w:r>
    </w:p>
    <w:p w14:paraId="6DD198B7" w14:textId="6FD13D97" w:rsidR="0050029B" w:rsidRPr="00FE1F95" w:rsidRDefault="0050029B" w:rsidP="0050029B">
      <w:pPr>
        <w:rPr>
          <w:rFonts w:asciiTheme="minorHAnsi" w:hAnsiTheme="minorHAnsi" w:cstheme="minorHAnsi"/>
          <w:bCs/>
        </w:rPr>
      </w:pPr>
      <w:r w:rsidRPr="00FE1F95">
        <w:rPr>
          <w:rFonts w:asciiTheme="minorHAnsi" w:hAnsiTheme="minorHAnsi" w:cstheme="minorHAnsi"/>
          <w:bCs/>
        </w:rPr>
        <w:t xml:space="preserve">The </w:t>
      </w:r>
      <w:proofErr w:type="spellStart"/>
      <w:r w:rsidRPr="00FE1F95">
        <w:rPr>
          <w:rFonts w:asciiTheme="minorHAnsi" w:hAnsiTheme="minorHAnsi" w:cstheme="minorHAnsi"/>
          <w:bCs/>
        </w:rPr>
        <w:t>field</w:t>
      </w:r>
      <w:proofErr w:type="spellEnd"/>
      <w:r w:rsidRPr="00FE1F95">
        <w:rPr>
          <w:rFonts w:asciiTheme="minorHAnsi" w:hAnsiTheme="minorHAnsi" w:cstheme="minorHAnsi"/>
          <w:bCs/>
        </w:rPr>
        <w:t xml:space="preserve"> </w:t>
      </w:r>
      <w:proofErr w:type="gramStart"/>
      <w:r w:rsidRPr="00FE1F95">
        <w:rPr>
          <w:rFonts w:asciiTheme="minorHAnsi" w:hAnsiTheme="minorHAnsi" w:cstheme="minorHAnsi"/>
          <w:b/>
        </w:rPr>
        <w:t>“</w:t>
      </w:r>
      <w:r w:rsidR="00B006BA" w:rsidRPr="00FE1F95">
        <w:rPr>
          <w:rFonts w:asciiTheme="minorHAnsi" w:hAnsiTheme="minorHAnsi" w:cstheme="minorHAnsi"/>
        </w:rPr>
        <w:t xml:space="preserve"> </w:t>
      </w:r>
      <w:r w:rsidR="00B006BA" w:rsidRPr="00FE1F95">
        <w:rPr>
          <w:rFonts w:asciiTheme="minorHAnsi" w:hAnsiTheme="minorHAnsi" w:cstheme="minorHAnsi"/>
          <w:b/>
        </w:rPr>
        <w:t>Is</w:t>
      </w:r>
      <w:proofErr w:type="gramEnd"/>
      <w:r w:rsidR="00B006BA" w:rsidRPr="00FE1F95">
        <w:rPr>
          <w:rFonts w:asciiTheme="minorHAnsi" w:hAnsiTheme="minorHAnsi" w:cstheme="minorHAnsi"/>
          <w:b/>
        </w:rPr>
        <w:t xml:space="preserve"> </w:t>
      </w:r>
      <w:proofErr w:type="spellStart"/>
      <w:r w:rsidR="00B006BA" w:rsidRPr="00FE1F95">
        <w:rPr>
          <w:rFonts w:asciiTheme="minorHAnsi" w:hAnsiTheme="minorHAnsi" w:cstheme="minorHAnsi"/>
          <w:b/>
        </w:rPr>
        <w:t>there</w:t>
      </w:r>
      <w:proofErr w:type="spellEnd"/>
      <w:r w:rsidR="00B006BA" w:rsidRPr="00FE1F95">
        <w:rPr>
          <w:rFonts w:asciiTheme="minorHAnsi" w:hAnsiTheme="minorHAnsi" w:cstheme="minorHAnsi"/>
          <w:b/>
        </w:rPr>
        <w:t xml:space="preserve"> a management </w:t>
      </w:r>
      <w:proofErr w:type="spellStart"/>
      <w:r w:rsidR="00B006BA" w:rsidRPr="00FE1F95">
        <w:rPr>
          <w:rFonts w:asciiTheme="minorHAnsi" w:hAnsiTheme="minorHAnsi" w:cstheme="minorHAnsi"/>
          <w:b/>
        </w:rPr>
        <w:t>relationship</w:t>
      </w:r>
      <w:proofErr w:type="spellEnd"/>
      <w:r w:rsidR="00B006BA" w:rsidRPr="00FE1F95">
        <w:rPr>
          <w:rFonts w:asciiTheme="minorHAnsi" w:hAnsiTheme="minorHAnsi" w:cstheme="minorHAnsi"/>
          <w:b/>
        </w:rPr>
        <w:t>?</w:t>
      </w:r>
      <w:r w:rsidRPr="00FE1F95">
        <w:rPr>
          <w:rFonts w:asciiTheme="minorHAnsi" w:hAnsiTheme="minorHAnsi" w:cstheme="minorHAnsi"/>
          <w:b/>
        </w:rPr>
        <w:t>”</w:t>
      </w:r>
      <w:r w:rsidRPr="00FE1F95">
        <w:rPr>
          <w:rFonts w:asciiTheme="minorHAnsi" w:hAnsiTheme="minorHAnsi" w:cstheme="minorHAnsi"/>
          <w:bCs/>
        </w:rPr>
        <w:t xml:space="preserve"> shall be reported consistently with tables 10GA, 10GB and 10GC.</w:t>
      </w:r>
    </w:p>
    <w:p w14:paraId="486015ED" w14:textId="77777777" w:rsidR="00D157CA" w:rsidRPr="00FE1F95" w:rsidRDefault="00D157CA" w:rsidP="00D157CA">
      <w:pPr>
        <w:rPr>
          <w:rFonts w:asciiTheme="minorHAnsi" w:hAnsiTheme="minorHAnsi" w:cstheme="minorHAnsi"/>
        </w:rPr>
      </w:pPr>
      <w:r w:rsidRPr="00FE1F95">
        <w:rPr>
          <w:rFonts w:asciiTheme="minorHAnsi" w:hAnsiTheme="minorHAnsi" w:cstheme="minorHAnsi"/>
        </w:rPr>
        <w:t>With respect to corporate entities, data shall be reported in three separate tables:</w:t>
      </w:r>
    </w:p>
    <w:p w14:paraId="29360C47" w14:textId="77777777" w:rsidR="00D157CA" w:rsidRPr="00FE1F95" w:rsidRDefault="00D157CA" w:rsidP="00D157CA">
      <w:pPr>
        <w:numPr>
          <w:ilvl w:val="0"/>
          <w:numId w:val="33"/>
        </w:numPr>
        <w:rPr>
          <w:rFonts w:asciiTheme="minorHAnsi" w:hAnsiTheme="minorHAnsi" w:cstheme="minorHAnsi"/>
        </w:rPr>
      </w:pPr>
      <w:proofErr w:type="spellStart"/>
      <w:r w:rsidRPr="00FE1F95">
        <w:rPr>
          <w:rFonts w:asciiTheme="minorHAnsi" w:hAnsiTheme="minorHAnsi" w:cstheme="minorHAnsi"/>
        </w:rPr>
        <w:t>UGYFBV_B</w:t>
      </w:r>
      <w:proofErr w:type="spellEnd"/>
      <w:r w:rsidRPr="00FE1F95">
        <w:rPr>
          <w:rFonts w:asciiTheme="minorHAnsi" w:hAnsiTheme="minorHAnsi" w:cstheme="minorHAnsi"/>
        </w:rPr>
        <w:t xml:space="preserve"> – </w:t>
      </w:r>
      <w:proofErr w:type="spellStart"/>
      <w:r w:rsidRPr="00FE1F95">
        <w:rPr>
          <w:rFonts w:asciiTheme="minorHAnsi" w:hAnsiTheme="minorHAnsi" w:cstheme="minorHAnsi"/>
        </w:rPr>
        <w:t>domestic</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corporations</w:t>
      </w:r>
      <w:proofErr w:type="spellEnd"/>
      <w:r w:rsidRPr="00FE1F95">
        <w:rPr>
          <w:rFonts w:asciiTheme="minorHAnsi" w:hAnsiTheme="minorHAnsi" w:cstheme="minorHAnsi"/>
        </w:rPr>
        <w:t xml:space="preserve"> with a master identification number</w:t>
      </w:r>
    </w:p>
    <w:p w14:paraId="1981B7D8" w14:textId="77777777" w:rsidR="00D157CA" w:rsidRPr="00FE1F95" w:rsidRDefault="00D157CA" w:rsidP="00D157CA">
      <w:pPr>
        <w:numPr>
          <w:ilvl w:val="0"/>
          <w:numId w:val="33"/>
        </w:numPr>
        <w:rPr>
          <w:rFonts w:asciiTheme="minorHAnsi" w:hAnsiTheme="minorHAnsi" w:cstheme="minorHAnsi"/>
        </w:rPr>
      </w:pPr>
      <w:proofErr w:type="spellStart"/>
      <w:r w:rsidRPr="00FE1F95">
        <w:rPr>
          <w:rFonts w:asciiTheme="minorHAnsi" w:hAnsiTheme="minorHAnsi" w:cstheme="minorHAnsi"/>
        </w:rPr>
        <w:t>UGYFBVTN_B</w:t>
      </w:r>
      <w:proofErr w:type="spellEnd"/>
      <w:r w:rsidRPr="00FE1F95">
        <w:rPr>
          <w:rFonts w:asciiTheme="minorHAnsi" w:hAnsiTheme="minorHAnsi" w:cstheme="minorHAnsi"/>
        </w:rPr>
        <w:t xml:space="preserve"> – </w:t>
      </w:r>
      <w:proofErr w:type="spellStart"/>
      <w:r w:rsidRPr="00FE1F95">
        <w:rPr>
          <w:rFonts w:asciiTheme="minorHAnsi" w:hAnsiTheme="minorHAnsi" w:cstheme="minorHAnsi"/>
        </w:rPr>
        <w:t>domestic</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corporations</w:t>
      </w:r>
      <w:proofErr w:type="spellEnd"/>
      <w:r w:rsidRPr="00FE1F95">
        <w:rPr>
          <w:rFonts w:asciiTheme="minorHAnsi" w:hAnsiTheme="minorHAnsi" w:cstheme="minorHAnsi"/>
        </w:rPr>
        <w:t xml:space="preserve"> without a master identification number</w:t>
      </w:r>
    </w:p>
    <w:p w14:paraId="207687DA" w14:textId="77777777" w:rsidR="00D157CA" w:rsidRPr="00FE1F95" w:rsidRDefault="00D157CA" w:rsidP="00D157CA">
      <w:pPr>
        <w:numPr>
          <w:ilvl w:val="0"/>
          <w:numId w:val="33"/>
        </w:numPr>
        <w:rPr>
          <w:rFonts w:asciiTheme="minorHAnsi" w:hAnsiTheme="minorHAnsi" w:cstheme="minorHAnsi"/>
        </w:rPr>
      </w:pPr>
      <w:proofErr w:type="spellStart"/>
      <w:r w:rsidRPr="00FE1F95">
        <w:rPr>
          <w:rFonts w:asciiTheme="minorHAnsi" w:hAnsiTheme="minorHAnsi" w:cstheme="minorHAnsi"/>
        </w:rPr>
        <w:t>UGYFKV_B</w:t>
      </w:r>
      <w:proofErr w:type="spellEnd"/>
      <w:r w:rsidRPr="00FE1F95">
        <w:rPr>
          <w:rFonts w:asciiTheme="minorHAnsi" w:hAnsiTheme="minorHAnsi" w:cstheme="minorHAnsi"/>
        </w:rPr>
        <w:t xml:space="preserve"> – </w:t>
      </w:r>
      <w:proofErr w:type="spellStart"/>
      <w:r w:rsidRPr="00FE1F95">
        <w:rPr>
          <w:rFonts w:asciiTheme="minorHAnsi" w:hAnsiTheme="minorHAnsi" w:cstheme="minorHAnsi"/>
        </w:rPr>
        <w:t>foreign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corporate</w:t>
      </w:r>
      <w:proofErr w:type="spellEnd"/>
      <w:r w:rsidRPr="00FE1F95">
        <w:rPr>
          <w:rFonts w:asciiTheme="minorHAnsi" w:hAnsiTheme="minorHAnsi" w:cstheme="minorHAnsi"/>
        </w:rPr>
        <w:t xml:space="preserve"> customers</w:t>
      </w:r>
    </w:p>
    <w:p w14:paraId="7E467A60" w14:textId="77777777" w:rsidR="00D157CA" w:rsidRPr="00FE1F95" w:rsidRDefault="00D157CA" w:rsidP="00D157CA">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UGYFBV_B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identification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primarily</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based</w:t>
      </w:r>
      <w:proofErr w:type="spellEnd"/>
      <w:r w:rsidRPr="00FE1F95">
        <w:rPr>
          <w:rFonts w:asciiTheme="minorHAnsi" w:hAnsiTheme="minorHAnsi" w:cstheme="minorHAnsi"/>
        </w:rPr>
        <w:t xml:space="preserve"> on the master identification number (in the case of investment funds, the unique identifier starting with “FB” issued by the MNB). Investment funds that have not yet received an operating licence and therefore do not yet have an MNB</w:t>
      </w:r>
      <w:r w:rsidRPr="00FE1F95">
        <w:rPr>
          <w:rFonts w:asciiTheme="minorHAnsi" w:hAnsiTheme="minorHAnsi" w:cstheme="minorHAnsi"/>
        </w:rPr>
        <w:noBreakHyphen/>
        <w:t>issued unique identifier starting with “FB” shall, on an interim basis, be reported using the master identification number of the fund manager. Based on the master identification number, the data available at the MNB can be linked to the given entity during processing.</w:t>
      </w:r>
    </w:p>
    <w:p w14:paraId="70D1C050" w14:textId="68E8F251" w:rsidR="00D157CA" w:rsidRPr="00FE1F95" w:rsidRDefault="00D157CA" w:rsidP="00D157CA">
      <w:pPr>
        <w:rPr>
          <w:rFonts w:asciiTheme="minorHAnsi" w:hAnsiTheme="minorHAnsi" w:cstheme="minorHAnsi"/>
        </w:rPr>
      </w:pPr>
      <w:r w:rsidRPr="00FE1F95">
        <w:rPr>
          <w:rFonts w:asciiTheme="minorHAnsi" w:hAnsiTheme="minorHAnsi" w:cstheme="minorHAnsi"/>
        </w:rPr>
        <w:t xml:space="preserve">Certain organisations of natural persons (e.g. </w:t>
      </w:r>
      <w:proofErr w:type="spellStart"/>
      <w:r w:rsidRPr="00FE1F95">
        <w:rPr>
          <w:rFonts w:asciiTheme="minorHAnsi" w:hAnsiTheme="minorHAnsi" w:cstheme="minorHAnsi"/>
        </w:rPr>
        <w:t>so</w:t>
      </w:r>
      <w:r w:rsidRPr="00FE1F95">
        <w:rPr>
          <w:rFonts w:asciiTheme="minorHAnsi" w:hAnsiTheme="minorHAnsi" w:cstheme="minorHAnsi"/>
        </w:rPr>
        <w:noBreakHyphen/>
        <w:t>called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MRP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organisations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although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be classified under sector J1 (households) in aggregated </w:t>
      </w:r>
      <w:proofErr w:type="spellStart"/>
      <w:r w:rsidRPr="00FE1F95">
        <w:rPr>
          <w:rFonts w:asciiTheme="minorHAnsi" w:hAnsiTheme="minorHAnsi" w:cstheme="minorHAnsi"/>
        </w:rPr>
        <w:t>statistics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UGYFBV_B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This means that these </w:t>
      </w:r>
      <w:proofErr w:type="spellStart"/>
      <w:r w:rsidRPr="00FE1F95">
        <w:rPr>
          <w:rFonts w:asciiTheme="minorHAnsi" w:hAnsiTheme="minorHAnsi" w:cstheme="minorHAnsi"/>
        </w:rPr>
        <w:t>organisations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UGYFBV_B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identification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by</w:t>
      </w:r>
      <w:proofErr w:type="spellEnd"/>
      <w:r w:rsidRPr="00FE1F95">
        <w:rPr>
          <w:rFonts w:asciiTheme="minorHAnsi" w:hAnsiTheme="minorHAnsi" w:cstheme="minorHAnsi"/>
        </w:rPr>
        <w:t xml:space="preserve"> master </w:t>
      </w:r>
      <w:proofErr w:type="spellStart"/>
      <w:r w:rsidRPr="00FE1F95">
        <w:rPr>
          <w:rFonts w:asciiTheme="minorHAnsi" w:hAnsiTheme="minorHAnsi" w:cstheme="minorHAnsi"/>
        </w:rPr>
        <w:t>identification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number</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r w:rsidR="00FF3025" w:rsidRPr="00FE1F95">
        <w:rPr>
          <w:rFonts w:asciiTheme="minorHAnsi" w:hAnsiTheme="minorHAnsi" w:cstheme="minorHAnsi"/>
          <w:b/>
          <w:bCs/>
        </w:rPr>
        <w:t>Enterprise</w:t>
      </w:r>
      <w:r w:rsidRPr="00FE1F95">
        <w:rPr>
          <w:rFonts w:asciiTheme="minorHAnsi" w:hAnsiTheme="minorHAnsi" w:cstheme="minorHAnsi"/>
          <w:b/>
          <w:bCs/>
        </w:rPr>
        <w:t xml:space="preserve"> sector</w:t>
      </w:r>
      <w:r w:rsidR="00FF3025" w:rsidRPr="00FE1F95">
        <w:rPr>
          <w:rFonts w:asciiTheme="minorHAnsi" w:hAnsiTheme="minorHAnsi" w:cstheme="minorHAnsi"/>
          <w:b/>
          <w:bCs/>
        </w:rPr>
        <w:t xml:space="preserve"> </w:t>
      </w:r>
      <w:proofErr w:type="spellStart"/>
      <w:r w:rsidR="00FF3025" w:rsidRPr="00FE1F95">
        <w:rPr>
          <w:rFonts w:asciiTheme="minorHAnsi" w:hAnsiTheme="minorHAnsi" w:cstheme="minorHAnsi"/>
          <w:b/>
          <w:bCs/>
        </w:rPr>
        <w:t>code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contain</w:t>
      </w:r>
      <w:proofErr w:type="spellEnd"/>
      <w:r w:rsidRPr="00FE1F95">
        <w:rPr>
          <w:rFonts w:asciiTheme="minorHAnsi" w:hAnsiTheme="minorHAnsi" w:cstheme="minorHAnsi"/>
        </w:rPr>
        <w:t xml:space="preserve"> sector code J1. The relevant organisations of natural persons are listed under the J1 subgroup code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technical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guidance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published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MNB’s</w:t>
      </w:r>
      <w:proofErr w:type="spellEnd"/>
      <w:r w:rsidRPr="00FE1F95">
        <w:rPr>
          <w:rFonts w:asciiTheme="minorHAnsi" w:hAnsiTheme="minorHAnsi" w:cstheme="minorHAnsi"/>
        </w:rPr>
        <w:t xml:space="preserve"> website, </w:t>
      </w:r>
      <w:proofErr w:type="spellStart"/>
      <w:r w:rsidRPr="00FE1F95">
        <w:rPr>
          <w:rFonts w:asciiTheme="minorHAnsi" w:hAnsiTheme="minorHAnsi" w:cstheme="minorHAnsi"/>
        </w:rPr>
        <w:t>pursuant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point</w:t>
      </w:r>
      <w:proofErr w:type="spellEnd"/>
      <w:r w:rsidRPr="00FE1F95">
        <w:rPr>
          <w:rFonts w:asciiTheme="minorHAnsi" w:hAnsiTheme="minorHAnsi" w:cstheme="minorHAnsi"/>
        </w:rPr>
        <w:t xml:space="preserve"> 1 of Annex 3 to the MNB Decree on the related core tasks.</w:t>
      </w:r>
    </w:p>
    <w:p w14:paraId="39CBBE9D" w14:textId="77777777" w:rsidR="00D157CA" w:rsidRPr="00FE1F95" w:rsidRDefault="00D157CA" w:rsidP="00D157CA">
      <w:pPr>
        <w:rPr>
          <w:rFonts w:asciiTheme="minorHAnsi" w:hAnsiTheme="minorHAnsi" w:cstheme="minorHAnsi"/>
        </w:rPr>
      </w:pPr>
      <w:r w:rsidRPr="00FE1F95">
        <w:rPr>
          <w:rFonts w:asciiTheme="minorHAnsi" w:hAnsiTheme="minorHAnsi" w:cstheme="minorHAnsi"/>
        </w:rPr>
        <w:t xml:space="preserve">In the case of international organisations, the MNB country code of the international </w:t>
      </w:r>
      <w:proofErr w:type="spellStart"/>
      <w:r w:rsidRPr="00FE1F95">
        <w:rPr>
          <w:rFonts w:asciiTheme="minorHAnsi" w:hAnsiTheme="minorHAnsi" w:cstheme="minorHAnsi"/>
        </w:rPr>
        <w:t>organisation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ORSZ_KOD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UGYFKV_B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consistently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M04 data collection.</w:t>
      </w:r>
    </w:p>
    <w:p w14:paraId="585C691F" w14:textId="77777777" w:rsidR="00D157CA" w:rsidRPr="00FE1F95" w:rsidRDefault="00D157CA" w:rsidP="00D157CA">
      <w:pPr>
        <w:rPr>
          <w:rFonts w:asciiTheme="minorHAnsi" w:hAnsiTheme="minorHAnsi" w:cstheme="minorHAnsi"/>
        </w:rPr>
      </w:pPr>
      <w:r w:rsidRPr="00FE1F95">
        <w:rPr>
          <w:rFonts w:asciiTheme="minorHAnsi" w:hAnsiTheme="minorHAnsi" w:cstheme="minorHAnsi"/>
        </w:rPr>
        <w:lastRenderedPageBreak/>
        <w:t xml:space="preserve">For the clear and permanent identification of a foreign corporate entity, the foreign corporate identifier used by the reporting entity shall be </w:t>
      </w:r>
      <w:proofErr w:type="spellStart"/>
      <w:r w:rsidRPr="00FE1F95">
        <w:rPr>
          <w:rFonts w:asciiTheme="minorHAnsi" w:hAnsiTheme="minorHAnsi" w:cstheme="minorHAnsi"/>
        </w:rPr>
        <w:t>applied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supplemented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prefix “</w:t>
      </w:r>
      <w:proofErr w:type="spellStart"/>
      <w:r w:rsidRPr="00FE1F95">
        <w:rPr>
          <w:rFonts w:asciiTheme="minorHAnsi" w:hAnsiTheme="minorHAnsi" w:cstheme="minorHAnsi"/>
        </w:rPr>
        <w:t>KULF</w:t>
      </w:r>
      <w:proofErr w:type="spellEnd"/>
      <w:r w:rsidRPr="00FE1F95">
        <w:rPr>
          <w:rFonts w:asciiTheme="minorHAnsi" w:hAnsiTheme="minorHAnsi" w:cstheme="minorHAnsi"/>
        </w:rPr>
        <w:t>_”.</w:t>
      </w:r>
    </w:p>
    <w:p w14:paraId="6C39AD2A" w14:textId="77777777" w:rsidR="00D157CA" w:rsidRPr="00FE1F95" w:rsidRDefault="00D157CA" w:rsidP="00D157CA">
      <w:pPr>
        <w:rPr>
          <w:rFonts w:asciiTheme="minorHAnsi" w:hAnsiTheme="minorHAnsi" w:cstheme="minorHAnsi"/>
        </w:rPr>
      </w:pPr>
      <w:r w:rsidRPr="00FE1F95">
        <w:rPr>
          <w:rFonts w:asciiTheme="minorHAnsi" w:hAnsiTheme="minorHAnsi" w:cstheme="minorHAnsi"/>
        </w:rPr>
        <w:t>Customer identifiers used in HITREG and BETREG shall be identical for the same customers, not only for household customers reported with anonymous identifiers and for domestic corporate customers reported with master identification numbers, but also for foreign corporations and domestic corporations without a master identification number.</w:t>
      </w:r>
    </w:p>
    <w:p w14:paraId="73DEC1DD" w14:textId="51A5BB83" w:rsidR="00C80E8B" w:rsidRPr="00FE1F95" w:rsidRDefault="00C80E8B" w:rsidP="00C80E8B">
      <w:pPr>
        <w:rPr>
          <w:rFonts w:asciiTheme="minorHAnsi" w:hAnsiTheme="minorHAnsi" w:cstheme="minorHAnsi"/>
        </w:rPr>
      </w:pPr>
      <w:r w:rsidRPr="00FE1F95">
        <w:rPr>
          <w:rFonts w:asciiTheme="minorHAnsi" w:hAnsiTheme="minorHAnsi" w:cstheme="minorHAnsi"/>
        </w:rPr>
        <w:t xml:space="preserve">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UGYFL_B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6D6B68" w:rsidRPr="00FE1F95">
        <w:rPr>
          <w:rFonts w:asciiTheme="minorHAnsi" w:hAnsiTheme="minorHAnsi" w:cstheme="minorHAnsi"/>
          <w:b/>
          <w:bCs/>
        </w:rPr>
        <w:t>Individuals</w:t>
      </w:r>
      <w:proofErr w:type="spellEnd"/>
      <w:r w:rsidR="006D6B68" w:rsidRPr="00FE1F95">
        <w:rPr>
          <w:rFonts w:asciiTheme="minorHAnsi" w:hAnsiTheme="minorHAnsi" w:cstheme="minorHAnsi"/>
          <w:b/>
          <w:bCs/>
        </w:rPr>
        <w:t xml:space="preserve"> – </w:t>
      </w:r>
      <w:proofErr w:type="spellStart"/>
      <w:r w:rsidR="006D6B68" w:rsidRPr="00FE1F95">
        <w:rPr>
          <w:rFonts w:asciiTheme="minorHAnsi" w:hAnsiTheme="minorHAnsi" w:cstheme="minorHAnsi"/>
          <w:b/>
          <w:bCs/>
        </w:rPr>
        <w:t>self-employed</w:t>
      </w:r>
      <w:proofErr w:type="spellEnd"/>
      <w:r w:rsidR="006D6B68" w:rsidRPr="00FE1F95">
        <w:rPr>
          <w:rFonts w:asciiTheme="minorHAnsi" w:hAnsiTheme="minorHAnsi" w:cstheme="minorHAnsi"/>
          <w:b/>
          <w:bCs/>
        </w:rPr>
        <w:t xml:space="preserve"> </w:t>
      </w:r>
      <w:proofErr w:type="spellStart"/>
      <w:r w:rsidR="006D6B68" w:rsidRPr="00FE1F95">
        <w:rPr>
          <w:rFonts w:asciiTheme="minorHAnsi" w:hAnsiTheme="minorHAnsi" w:cstheme="minorHAnsi"/>
          <w:b/>
          <w:bCs/>
        </w:rPr>
        <w:t>anonymous</w:t>
      </w:r>
      <w:proofErr w:type="spellEnd"/>
      <w:r w:rsidR="006D6B68" w:rsidRPr="00FE1F95">
        <w:rPr>
          <w:rFonts w:asciiTheme="minorHAnsi" w:hAnsiTheme="minorHAnsi" w:cstheme="minorHAnsi"/>
          <w:b/>
          <w:bCs/>
        </w:rPr>
        <w:t xml:space="preserve"> </w:t>
      </w:r>
      <w:proofErr w:type="spellStart"/>
      <w:r w:rsidR="006D6B68" w:rsidRPr="00FE1F95">
        <w:rPr>
          <w:rFonts w:asciiTheme="minorHAnsi" w:hAnsiTheme="minorHAnsi" w:cstheme="minorHAnsi"/>
          <w:b/>
          <w:bCs/>
        </w:rPr>
        <w:t>indentifier</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same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person</w:t>
      </w:r>
      <w:proofErr w:type="spellEnd"/>
      <w:r w:rsidRPr="00FE1F95">
        <w:rPr>
          <w:rFonts w:asciiTheme="minorHAnsi" w:hAnsiTheme="minorHAnsi" w:cstheme="minorHAnsi"/>
        </w:rPr>
        <w:t xml:space="preserve"> shall be reported with the same anonymous identifier for new customers, regardless of whether the person participates in the given credit transaction as a private individual, as a sole proprietor, or as a primary agricultural producer. This requirement also applies to existing customers / transactions that were reported or originated prior to the start of BETREG.</w:t>
      </w:r>
    </w:p>
    <w:p w14:paraId="7B7C63F2" w14:textId="489C3E60" w:rsidR="00C80E8B" w:rsidRPr="00FE1F95" w:rsidRDefault="00C80E8B" w:rsidP="00C80E8B">
      <w:pPr>
        <w:rPr>
          <w:rFonts w:asciiTheme="minorHAnsi" w:hAnsiTheme="minorHAnsi" w:cstheme="minorHAnsi"/>
        </w:rPr>
      </w:pPr>
      <w:r w:rsidRPr="00FE1F95">
        <w:rPr>
          <w:rFonts w:asciiTheme="minorHAnsi" w:hAnsiTheme="minorHAnsi" w:cstheme="minorHAnsi"/>
        </w:rPr>
        <w:t>The anonymous identifier must remain constant over time; its method of generation shall be identical to that applied in HITREG. For the same customer, the anonymous identifier used in HITREG and BETREG must be identical.</w:t>
      </w:r>
    </w:p>
    <w:p w14:paraId="3483506E" w14:textId="5E17699A" w:rsidR="00C80E8B" w:rsidRPr="00FE1F95" w:rsidRDefault="00C80E8B" w:rsidP="00C80E8B">
      <w:pPr>
        <w:rPr>
          <w:rFonts w:asciiTheme="minorHAnsi" w:hAnsiTheme="minorHAnsi" w:cstheme="minorHAnsi"/>
        </w:rPr>
      </w:pPr>
      <w:r w:rsidRPr="00FE1F95">
        <w:rPr>
          <w:rFonts w:asciiTheme="minorHAnsi" w:hAnsiTheme="minorHAnsi" w:cstheme="minorHAnsi"/>
        </w:rPr>
        <w:t xml:space="preserve">If a customer belonging to the household sector is simultaneously present at the reporting institution on the liabilities side, for example both as a private individual and as a sole proprietor, the </w:t>
      </w:r>
      <w:proofErr w:type="spellStart"/>
      <w:r w:rsidRPr="00FE1F95">
        <w:rPr>
          <w:rFonts w:asciiTheme="minorHAnsi" w:hAnsiTheme="minorHAnsi" w:cstheme="minorHAnsi"/>
        </w:rPr>
        <w:t>customer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UGYFL_B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many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times</w:t>
      </w:r>
      <w:proofErr w:type="spellEnd"/>
      <w:r w:rsidRPr="00FE1F95">
        <w:rPr>
          <w:rFonts w:asciiTheme="minorHAnsi" w:hAnsiTheme="minorHAnsi" w:cstheme="minorHAnsi"/>
        </w:rPr>
        <w:t xml:space="preserve"> as the number of roles in which they are present, using the same anonymous identifier, while distinguishing the different roles in the </w:t>
      </w:r>
      <w:r w:rsidRPr="00FE1F95">
        <w:rPr>
          <w:rFonts w:asciiTheme="minorHAnsi" w:hAnsiTheme="minorHAnsi" w:cstheme="minorHAnsi"/>
          <w:b/>
          <w:bCs/>
        </w:rPr>
        <w:t>“</w:t>
      </w:r>
      <w:proofErr w:type="spellStart"/>
      <w:r w:rsidRPr="00FE1F95">
        <w:rPr>
          <w:rFonts w:asciiTheme="minorHAnsi" w:hAnsiTheme="minorHAnsi" w:cstheme="minorHAnsi"/>
          <w:b/>
          <w:bCs/>
        </w:rPr>
        <w:t>Customer</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type</w:t>
      </w:r>
      <w:proofErr w:type="spellEnd"/>
      <w:r w:rsidRPr="00FE1F95">
        <w:rPr>
          <w:rFonts w:asciiTheme="minorHAnsi" w:hAnsiTheme="minorHAnsi" w:cstheme="minorHAnsi"/>
          <w:b/>
          <w:bCs/>
        </w:rPr>
        <w:t xml:space="preserve"> – </w:t>
      </w:r>
      <w:proofErr w:type="spellStart"/>
      <w:r w:rsidRPr="00FE1F95">
        <w:rPr>
          <w:rFonts w:asciiTheme="minorHAnsi" w:hAnsiTheme="minorHAnsi" w:cstheme="minorHAnsi"/>
          <w:b/>
          <w:bCs/>
        </w:rPr>
        <w:t>household</w:t>
      </w:r>
      <w:r w:rsidR="006D6B68" w:rsidRPr="00FE1F95">
        <w:rPr>
          <w:rFonts w:asciiTheme="minorHAnsi" w:hAnsiTheme="minorHAnsi" w:cstheme="minorHAnsi"/>
          <w:b/>
          <w:bCs/>
        </w:rPr>
        <w:t>s</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both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anonymous identifier and the “Customer type – household” field are key fields).</w:t>
      </w:r>
    </w:p>
    <w:p w14:paraId="6E13405C" w14:textId="01BF7061" w:rsidR="00C80E8B" w:rsidRPr="00FE1F95" w:rsidRDefault="00C80E8B" w:rsidP="00C80E8B">
      <w:pPr>
        <w:rPr>
          <w:rFonts w:asciiTheme="minorHAnsi" w:hAnsiTheme="minorHAnsi" w:cstheme="minorHAnsi"/>
        </w:rPr>
      </w:pPr>
      <w:r w:rsidRPr="00FE1F95">
        <w:rPr>
          <w:rFonts w:asciiTheme="minorHAnsi" w:hAnsiTheme="minorHAnsi" w:cstheme="minorHAnsi"/>
        </w:rPr>
        <w:t xml:space="preserve">The </w:t>
      </w:r>
      <w:r w:rsidRPr="00FE1F95">
        <w:rPr>
          <w:rFonts w:asciiTheme="minorHAnsi" w:hAnsiTheme="minorHAnsi" w:cstheme="minorHAnsi"/>
          <w:b/>
          <w:bCs/>
        </w:rPr>
        <w:t>“</w:t>
      </w:r>
      <w:proofErr w:type="spellStart"/>
      <w:r w:rsidRPr="00FE1F95">
        <w:rPr>
          <w:rFonts w:asciiTheme="minorHAnsi" w:hAnsiTheme="minorHAnsi" w:cstheme="minorHAnsi"/>
          <w:b/>
          <w:bCs/>
        </w:rPr>
        <w:t>Customer</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type</w:t>
      </w:r>
      <w:proofErr w:type="spellEnd"/>
      <w:r w:rsidRPr="00FE1F95">
        <w:rPr>
          <w:rFonts w:asciiTheme="minorHAnsi" w:hAnsiTheme="minorHAnsi" w:cstheme="minorHAnsi"/>
          <w:b/>
          <w:bCs/>
        </w:rPr>
        <w:t xml:space="preserve"> – </w:t>
      </w:r>
      <w:proofErr w:type="spellStart"/>
      <w:r w:rsidRPr="00FE1F95">
        <w:rPr>
          <w:rFonts w:asciiTheme="minorHAnsi" w:hAnsiTheme="minorHAnsi" w:cstheme="minorHAnsi"/>
          <w:b/>
          <w:bCs/>
        </w:rPr>
        <w:t>household</w:t>
      </w:r>
      <w:r w:rsidR="006D6B68" w:rsidRPr="00FE1F95">
        <w:rPr>
          <w:rFonts w:asciiTheme="minorHAnsi" w:hAnsiTheme="minorHAnsi" w:cstheme="minorHAnsi"/>
          <w:b/>
          <w:bCs/>
        </w:rPr>
        <w:t>s</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therefore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does</w:t>
      </w:r>
      <w:proofErr w:type="spellEnd"/>
      <w:r w:rsidRPr="00FE1F95">
        <w:rPr>
          <w:rFonts w:asciiTheme="minorHAnsi" w:hAnsiTheme="minorHAnsi" w:cstheme="minorHAnsi"/>
        </w:rPr>
        <w:t xml:space="preserve"> not indicate the role of the customer within a given instrument (e.g. owner); such information shall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C</w:t>
      </w:r>
      <w:r w:rsidR="006D6B68" w:rsidRPr="00FE1F95">
        <w:rPr>
          <w:rFonts w:asciiTheme="minorHAnsi" w:hAnsiTheme="minorHAnsi" w:cstheme="minorHAnsi"/>
          <w:b/>
          <w:bCs/>
        </w:rPr>
        <w:t>ounterparty</w:t>
      </w:r>
      <w:proofErr w:type="spellEnd"/>
      <w:r w:rsidR="006D6B68" w:rsidRPr="00FE1F95">
        <w:rPr>
          <w:rFonts w:asciiTheme="minorHAnsi" w:hAnsiTheme="minorHAnsi" w:cstheme="minorHAnsi"/>
          <w:b/>
          <w:bCs/>
        </w:rPr>
        <w:t xml:space="preserve"> </w:t>
      </w:r>
      <w:proofErr w:type="spellStart"/>
      <w:r w:rsidRPr="00FE1F95">
        <w:rPr>
          <w:rFonts w:asciiTheme="minorHAnsi" w:hAnsiTheme="minorHAnsi" w:cstheme="minorHAnsi"/>
          <w:b/>
          <w:bCs/>
        </w:rPr>
        <w:t>role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INST_UGYF_B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w:t>
      </w:r>
    </w:p>
    <w:p w14:paraId="7398F697" w14:textId="77777777" w:rsidR="00C80E8B" w:rsidRPr="00FE1F95" w:rsidRDefault="00C80E8B" w:rsidP="00C80E8B">
      <w:pPr>
        <w:rPr>
          <w:rFonts w:asciiTheme="minorHAnsi" w:hAnsiTheme="minorHAnsi" w:cstheme="minorHAnsi"/>
        </w:rPr>
      </w:pPr>
      <w:r w:rsidRPr="00FE1F95">
        <w:rPr>
          <w:rFonts w:asciiTheme="minorHAnsi" w:hAnsiTheme="minorHAnsi" w:cstheme="minorHAnsi"/>
        </w:rPr>
        <w:t>In the cases listed below, where no information is available on the customers, i.e. the data required for anonymisation (name, mother’s name, date of birth) are not available, the anonymous identifier to be reported shall be a character string consisting of 128 consecutive ‘1’s, which differs from all other anonymous identifiers but complies with the format of the field used for customer identification. These cases are the following:</w:t>
      </w:r>
    </w:p>
    <w:p w14:paraId="20FED08B" w14:textId="77777777" w:rsidR="00C80E8B" w:rsidRPr="00FE1F95" w:rsidRDefault="00C80E8B" w:rsidP="00116445">
      <w:pPr>
        <w:rPr>
          <w:rFonts w:asciiTheme="minorHAnsi" w:hAnsiTheme="minorHAnsi" w:cstheme="minorHAnsi"/>
        </w:rPr>
      </w:pPr>
    </w:p>
    <w:p w14:paraId="5ED59B98" w14:textId="5F3FDE52" w:rsidR="00AD1F84" w:rsidRPr="00FE1F95" w:rsidRDefault="00AD1F84" w:rsidP="00AD1F84">
      <w:pPr>
        <w:pStyle w:val="NormlWeb"/>
        <w:numPr>
          <w:ilvl w:val="0"/>
          <w:numId w:val="33"/>
        </w:numPr>
        <w:spacing w:line="300" w:lineRule="atLeast"/>
        <w:jc w:val="both"/>
        <w:rPr>
          <w:rFonts w:asciiTheme="minorHAnsi" w:hAnsiTheme="minorHAnsi" w:cstheme="minorHAnsi"/>
          <w:sz w:val="20"/>
          <w:szCs w:val="20"/>
        </w:rPr>
      </w:pPr>
      <w:r w:rsidRPr="00FE1F95">
        <w:rPr>
          <w:rStyle w:val="Kiemels2"/>
          <w:rFonts w:asciiTheme="minorHAnsi" w:hAnsiTheme="minorHAnsi" w:cstheme="minorHAnsi"/>
          <w:b w:val="0"/>
          <w:bCs w:val="0"/>
          <w:sz w:val="20"/>
          <w:szCs w:val="20"/>
        </w:rPr>
        <w:t>bearer deposits</w:t>
      </w:r>
      <w:r w:rsidRPr="00FE1F95">
        <w:rPr>
          <w:rFonts w:asciiTheme="minorHAnsi" w:hAnsiTheme="minorHAnsi" w:cstheme="minorHAnsi"/>
          <w:sz w:val="20"/>
          <w:szCs w:val="20"/>
        </w:rPr>
        <w:t xml:space="preserve"> (the customer type code shall be reported as </w:t>
      </w:r>
      <w:r w:rsidRPr="00FE1F95">
        <w:rPr>
          <w:rStyle w:val="HTML-kd"/>
          <w:rFonts w:asciiTheme="minorHAnsi" w:hAnsiTheme="minorHAnsi" w:cstheme="minorHAnsi"/>
        </w:rPr>
        <w:t>'TERM'</w:t>
      </w:r>
      <w:r w:rsidRPr="00FE1F95">
        <w:rPr>
          <w:rFonts w:asciiTheme="minorHAnsi" w:hAnsiTheme="minorHAnsi" w:cstheme="minorHAnsi"/>
          <w:sz w:val="20"/>
          <w:szCs w:val="20"/>
        </w:rPr>
        <w:t xml:space="preserve">, and the country code shall be reported as </w:t>
      </w:r>
      <w:r w:rsidRPr="00FE1F95">
        <w:rPr>
          <w:rStyle w:val="HTML-kd"/>
          <w:rFonts w:asciiTheme="minorHAnsi" w:hAnsiTheme="minorHAnsi" w:cstheme="minorHAnsi"/>
        </w:rPr>
        <w:t>'HU'</w:t>
      </w:r>
      <w:r w:rsidRPr="00FE1F95">
        <w:rPr>
          <w:rFonts w:asciiTheme="minorHAnsi" w:hAnsiTheme="minorHAnsi" w:cstheme="minorHAnsi"/>
          <w:sz w:val="20"/>
          <w:szCs w:val="20"/>
        </w:rPr>
        <w:t xml:space="preserve"> both for permanent residence and for residency).</w:t>
      </w:r>
    </w:p>
    <w:p w14:paraId="43BEED6F" w14:textId="3040D3F8" w:rsidR="00AD1F84" w:rsidRPr="00FE1F95" w:rsidRDefault="00AD1F84" w:rsidP="00AD1F84">
      <w:pPr>
        <w:pStyle w:val="NormlWeb"/>
        <w:numPr>
          <w:ilvl w:val="0"/>
          <w:numId w:val="33"/>
        </w:numPr>
        <w:spacing w:line="300" w:lineRule="atLeast"/>
        <w:jc w:val="both"/>
        <w:rPr>
          <w:rFonts w:asciiTheme="minorHAnsi" w:hAnsiTheme="minorHAnsi" w:cstheme="minorHAnsi"/>
          <w:sz w:val="20"/>
          <w:szCs w:val="20"/>
        </w:rPr>
      </w:pPr>
      <w:r w:rsidRPr="00FE1F95">
        <w:rPr>
          <w:rStyle w:val="Kiemels2"/>
          <w:rFonts w:asciiTheme="minorHAnsi" w:hAnsiTheme="minorHAnsi" w:cstheme="minorHAnsi"/>
          <w:b w:val="0"/>
          <w:bCs w:val="0"/>
          <w:sz w:val="20"/>
          <w:szCs w:val="20"/>
        </w:rPr>
        <w:t>small</w:t>
      </w:r>
      <w:r w:rsidRPr="00FE1F95">
        <w:rPr>
          <w:rStyle w:val="Kiemels2"/>
          <w:rFonts w:asciiTheme="minorHAnsi" w:hAnsiTheme="minorHAnsi" w:cstheme="minorHAnsi"/>
          <w:b w:val="0"/>
          <w:bCs w:val="0"/>
          <w:sz w:val="20"/>
          <w:szCs w:val="20"/>
        </w:rPr>
        <w:noBreakHyphen/>
        <w:t>amount items originating from the estates of deceased customers</w:t>
      </w:r>
      <w:r w:rsidRPr="00FE1F95">
        <w:rPr>
          <w:rFonts w:asciiTheme="minorHAnsi" w:hAnsiTheme="minorHAnsi" w:cstheme="minorHAnsi"/>
          <w:sz w:val="20"/>
          <w:szCs w:val="20"/>
        </w:rPr>
        <w:t xml:space="preserve">, recorded in aggregate on a technical account and not transferred </w:t>
      </w:r>
      <w:proofErr w:type="spellStart"/>
      <w:r w:rsidRPr="00FE1F95">
        <w:rPr>
          <w:rFonts w:asciiTheme="minorHAnsi" w:hAnsiTheme="minorHAnsi" w:cstheme="minorHAnsi"/>
          <w:sz w:val="20"/>
          <w:szCs w:val="20"/>
        </w:rPr>
        <w:t>to</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heirs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customer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type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code</w:t>
      </w:r>
      <w:proofErr w:type="spellEnd"/>
      <w:r w:rsidRPr="00FE1F95">
        <w:rPr>
          <w:rFonts w:asciiTheme="minorHAnsi" w:hAnsiTheme="minorHAnsi" w:cstheme="minorHAnsi"/>
          <w:sz w:val="20"/>
          <w:szCs w:val="20"/>
        </w:rPr>
        <w:t xml:space="preserve"> </w:t>
      </w:r>
      <w:r w:rsidRPr="00FE1F95">
        <w:rPr>
          <w:rStyle w:val="HTML-kd"/>
          <w:rFonts w:asciiTheme="minorHAnsi" w:hAnsiTheme="minorHAnsi" w:cstheme="minorHAnsi"/>
        </w:rPr>
        <w:t>'</w:t>
      </w:r>
      <w:proofErr w:type="spellStart"/>
      <w:r w:rsidRPr="00FE1F95">
        <w:rPr>
          <w:rStyle w:val="HTML-kd"/>
          <w:rFonts w:asciiTheme="minorHAnsi" w:hAnsiTheme="minorHAnsi" w:cstheme="minorHAnsi"/>
        </w:rPr>
        <w:t>TERM_H</w:t>
      </w:r>
      <w:proofErr w:type="spellEnd"/>
      <w:r w:rsidRPr="00FE1F95">
        <w:rPr>
          <w:rStyle w:val="HTML-kd"/>
          <w:rFonts w:asciiTheme="minorHAnsi" w:hAnsiTheme="minorHAnsi" w:cstheme="minorHAnsi"/>
        </w:rPr>
        <w:t>'</w:t>
      </w:r>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shall</w:t>
      </w:r>
      <w:proofErr w:type="spellEnd"/>
      <w:r w:rsidRPr="00FE1F95">
        <w:rPr>
          <w:rFonts w:asciiTheme="minorHAnsi" w:hAnsiTheme="minorHAnsi" w:cstheme="minorHAnsi"/>
          <w:sz w:val="20"/>
          <w:szCs w:val="20"/>
        </w:rPr>
        <w:t xml:space="preserve"> be </w:t>
      </w:r>
      <w:proofErr w:type="spellStart"/>
      <w:r w:rsidRPr="00FE1F95">
        <w:rPr>
          <w:rFonts w:asciiTheme="minorHAnsi" w:hAnsiTheme="minorHAnsi" w:cstheme="minorHAnsi"/>
          <w:sz w:val="20"/>
          <w:szCs w:val="20"/>
        </w:rPr>
        <w:t>reported</w:t>
      </w:r>
      <w:proofErr w:type="spellEnd"/>
      <w:r w:rsidRPr="00FE1F95">
        <w:rPr>
          <w:rFonts w:asciiTheme="minorHAnsi" w:hAnsiTheme="minorHAnsi" w:cstheme="minorHAnsi"/>
          <w:sz w:val="20"/>
          <w:szCs w:val="20"/>
        </w:rPr>
        <w:t>).</w:t>
      </w:r>
      <w:r w:rsidRPr="00FE1F95">
        <w:rPr>
          <w:rFonts w:asciiTheme="minorHAnsi" w:hAnsiTheme="minorHAnsi" w:cstheme="minorHAnsi"/>
          <w:sz w:val="20"/>
          <w:szCs w:val="20"/>
        </w:rPr>
        <w:br/>
        <w:t xml:space="preserve">If the given credit institution does not apply such an aggregated technical account, the </w:t>
      </w:r>
      <w:r w:rsidRPr="00FE1F95">
        <w:rPr>
          <w:rStyle w:val="Kiemels2"/>
          <w:rFonts w:asciiTheme="minorHAnsi" w:hAnsiTheme="minorHAnsi" w:cstheme="minorHAnsi"/>
          <w:b w:val="0"/>
          <w:bCs w:val="0"/>
          <w:sz w:val="20"/>
          <w:szCs w:val="20"/>
        </w:rPr>
        <w:t>general rules for inheritance cases</w:t>
      </w:r>
      <w:r w:rsidRPr="00FE1F95">
        <w:rPr>
          <w:rFonts w:asciiTheme="minorHAnsi" w:hAnsiTheme="minorHAnsi" w:cstheme="minorHAnsi"/>
          <w:sz w:val="20"/>
          <w:szCs w:val="20"/>
        </w:rPr>
        <w:t xml:space="preserve"> shall be followed, i.e. the deceased customer shall be reported under the deceased </w:t>
      </w:r>
      <w:proofErr w:type="spellStart"/>
      <w:r w:rsidRPr="00FE1F95">
        <w:rPr>
          <w:rFonts w:asciiTheme="minorHAnsi" w:hAnsiTheme="minorHAnsi" w:cstheme="minorHAnsi"/>
          <w:sz w:val="20"/>
          <w:szCs w:val="20"/>
        </w:rPr>
        <w:t>customer’s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anonymous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identifier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with</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customer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type</w:t>
      </w:r>
      <w:proofErr w:type="spellEnd"/>
      <w:r w:rsidRPr="00FE1F95">
        <w:rPr>
          <w:rFonts w:asciiTheme="minorHAnsi" w:hAnsiTheme="minorHAnsi" w:cstheme="minorHAnsi"/>
          <w:sz w:val="20"/>
          <w:szCs w:val="20"/>
        </w:rPr>
        <w:t xml:space="preserve"> </w:t>
      </w:r>
      <w:r w:rsidRPr="00FE1F95">
        <w:rPr>
          <w:rStyle w:val="HTML-kd"/>
          <w:rFonts w:asciiTheme="minorHAnsi" w:hAnsiTheme="minorHAnsi" w:cstheme="minorHAnsi"/>
        </w:rPr>
        <w:t>'</w:t>
      </w:r>
      <w:proofErr w:type="spellStart"/>
      <w:r w:rsidRPr="00FE1F95">
        <w:rPr>
          <w:rStyle w:val="HTML-kd"/>
          <w:rFonts w:asciiTheme="minorHAnsi" w:hAnsiTheme="minorHAnsi" w:cstheme="minorHAnsi"/>
        </w:rPr>
        <w:t>TERM_H</w:t>
      </w:r>
      <w:proofErr w:type="spellEnd"/>
      <w:r w:rsidRPr="00FE1F95">
        <w:rPr>
          <w:rStyle w:val="HTML-kd"/>
          <w:rFonts w:asciiTheme="minorHAnsi" w:hAnsiTheme="minorHAnsi" w:cstheme="minorHAnsi"/>
        </w:rPr>
        <w:t>'</w:t>
      </w:r>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until</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inheritance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process</w:t>
      </w:r>
      <w:proofErr w:type="spellEnd"/>
      <w:r w:rsidRPr="00FE1F95">
        <w:rPr>
          <w:rFonts w:asciiTheme="minorHAnsi" w:hAnsiTheme="minorHAnsi" w:cstheme="minorHAnsi"/>
          <w:sz w:val="20"/>
          <w:szCs w:val="20"/>
        </w:rPr>
        <w:t xml:space="preserve"> has been legally completed.</w:t>
      </w:r>
    </w:p>
    <w:p w14:paraId="0EA7A5A7" w14:textId="4210A550" w:rsidR="00AD1F84" w:rsidRPr="00FE1F95" w:rsidRDefault="00AD1F84" w:rsidP="00AD1F84">
      <w:pPr>
        <w:pStyle w:val="NormlWeb"/>
        <w:numPr>
          <w:ilvl w:val="0"/>
          <w:numId w:val="33"/>
        </w:numPr>
        <w:spacing w:line="300" w:lineRule="atLeast"/>
        <w:jc w:val="both"/>
        <w:rPr>
          <w:rFonts w:asciiTheme="minorHAnsi" w:hAnsiTheme="minorHAnsi" w:cstheme="minorHAnsi"/>
          <w:sz w:val="20"/>
          <w:szCs w:val="20"/>
        </w:rPr>
      </w:pPr>
      <w:r w:rsidRPr="00FE1F95">
        <w:rPr>
          <w:rStyle w:val="Kiemels2"/>
          <w:rFonts w:asciiTheme="minorHAnsi" w:hAnsiTheme="minorHAnsi" w:cstheme="minorHAnsi"/>
          <w:b w:val="0"/>
          <w:bCs w:val="0"/>
          <w:sz w:val="20"/>
          <w:szCs w:val="20"/>
        </w:rPr>
        <w:t>portfolios that cannot be analytically broken down</w:t>
      </w:r>
      <w:r w:rsidRPr="00FE1F95">
        <w:rPr>
          <w:rFonts w:asciiTheme="minorHAnsi" w:hAnsiTheme="minorHAnsi" w:cstheme="minorHAnsi"/>
          <w:sz w:val="20"/>
          <w:szCs w:val="20"/>
        </w:rPr>
        <w:t xml:space="preserve"> (the customer type code and the country code, both for permanent residence and for residency, shall be reported consistently with the </w:t>
      </w:r>
      <w:r w:rsidRPr="00FE1F95">
        <w:rPr>
          <w:rStyle w:val="Kiemels2"/>
          <w:rFonts w:asciiTheme="minorHAnsi" w:hAnsiTheme="minorHAnsi" w:cstheme="minorHAnsi"/>
          <w:b w:val="0"/>
          <w:bCs w:val="0"/>
          <w:sz w:val="20"/>
          <w:szCs w:val="20"/>
        </w:rPr>
        <w:t>M04 data collection</w:t>
      </w:r>
      <w:r w:rsidRPr="00FE1F95">
        <w:rPr>
          <w:rFonts w:asciiTheme="minorHAnsi" w:hAnsiTheme="minorHAnsi" w:cstheme="minorHAnsi"/>
          <w:sz w:val="20"/>
          <w:szCs w:val="20"/>
        </w:rPr>
        <w:t>).</w:t>
      </w:r>
    </w:p>
    <w:p w14:paraId="508AA17A" w14:textId="13A2CE33" w:rsidR="00AD1F84" w:rsidRPr="00FE1F95" w:rsidRDefault="00AD1F84" w:rsidP="00AD1F84">
      <w:pPr>
        <w:pStyle w:val="NormlWeb"/>
        <w:numPr>
          <w:ilvl w:val="0"/>
          <w:numId w:val="33"/>
        </w:numPr>
        <w:spacing w:line="300" w:lineRule="atLeast"/>
        <w:jc w:val="both"/>
        <w:rPr>
          <w:rFonts w:asciiTheme="minorHAnsi" w:hAnsiTheme="minorHAnsi" w:cstheme="minorHAnsi"/>
          <w:sz w:val="20"/>
          <w:szCs w:val="20"/>
        </w:rPr>
      </w:pPr>
      <w:r w:rsidRPr="00FE1F95">
        <w:rPr>
          <w:rStyle w:val="Kiemels2"/>
          <w:rFonts w:asciiTheme="minorHAnsi" w:hAnsiTheme="minorHAnsi" w:cstheme="minorHAnsi"/>
          <w:b w:val="0"/>
          <w:bCs w:val="0"/>
          <w:sz w:val="20"/>
          <w:szCs w:val="20"/>
        </w:rPr>
        <w:t>private individual trust asset manager customers</w:t>
      </w:r>
      <w:r w:rsidRPr="00FE1F95">
        <w:rPr>
          <w:rFonts w:asciiTheme="minorHAnsi" w:hAnsiTheme="minorHAnsi" w:cstheme="minorHAnsi"/>
          <w:sz w:val="20"/>
          <w:szCs w:val="20"/>
        </w:rPr>
        <w:t>, where it is not possible to generate an anonymous identifier.</w:t>
      </w:r>
    </w:p>
    <w:p w14:paraId="03D390DC" w14:textId="5DE1B5C2" w:rsidR="00E64B01" w:rsidRPr="00FE1F95" w:rsidRDefault="00E64B01" w:rsidP="00E64B01">
      <w:pPr>
        <w:rPr>
          <w:rFonts w:asciiTheme="minorHAnsi" w:hAnsiTheme="minorHAnsi" w:cstheme="minorHAnsi"/>
        </w:rPr>
      </w:pPr>
      <w:r w:rsidRPr="00FE1F95">
        <w:rPr>
          <w:rFonts w:asciiTheme="minorHAnsi" w:hAnsiTheme="minorHAnsi" w:cstheme="minorHAnsi"/>
        </w:rPr>
        <w:t>In the case of deposits forming part of cash</w:t>
      </w:r>
      <w:r w:rsidRPr="00FE1F95">
        <w:rPr>
          <w:rFonts w:ascii="Cambria Math" w:hAnsi="Cambria Math" w:cs="Cambria Math"/>
        </w:rPr>
        <w:t>‑</w:t>
      </w:r>
      <w:r w:rsidRPr="00FE1F95">
        <w:rPr>
          <w:rFonts w:asciiTheme="minorHAnsi" w:hAnsiTheme="minorHAnsi" w:cstheme="minorHAnsi"/>
        </w:rPr>
        <w:t>pool structures, for customers with sector code ‘B’, the answer to the question of whether the instrument forms part of a cash</w:t>
      </w:r>
      <w:r w:rsidRPr="00FE1F95">
        <w:rPr>
          <w:rFonts w:ascii="Cambria Math" w:hAnsi="Cambria Math" w:cs="Cambria Math"/>
        </w:rPr>
        <w:t>‑</w:t>
      </w:r>
      <w:r w:rsidRPr="00FE1F95">
        <w:rPr>
          <w:rFonts w:asciiTheme="minorHAnsi" w:hAnsiTheme="minorHAnsi" w:cstheme="minorHAnsi"/>
        </w:rPr>
        <w:t xml:space="preserve">pool structure shall in all cases be “no”. For sector C6, a substantive assessment is required; accordingly, BETREG is more detailed in this respect than M04, where instrument code F214 is </w:t>
      </w:r>
      <w:proofErr w:type="spellStart"/>
      <w:r w:rsidRPr="00FE1F95">
        <w:rPr>
          <w:rFonts w:asciiTheme="minorHAnsi" w:hAnsiTheme="minorHAnsi" w:cstheme="minorHAnsi"/>
        </w:rPr>
        <w:t>not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applicable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sector </w:t>
      </w:r>
      <w:proofErr w:type="spellStart"/>
      <w:r w:rsidRPr="00FE1F95">
        <w:rPr>
          <w:rFonts w:asciiTheme="minorHAnsi" w:hAnsiTheme="minorHAnsi" w:cstheme="minorHAnsi"/>
        </w:rPr>
        <w:t>codes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C_HIT</w:t>
      </w:r>
      <w:proofErr w:type="spellEnd"/>
      <w:r w:rsidRPr="00FE1F95">
        <w:rPr>
          <w:rFonts w:asciiTheme="minorHAnsi" w:hAnsiTheme="minorHAnsi" w:cstheme="minorHAnsi"/>
        </w:rPr>
        <w:t xml:space="preserve">, B and C6.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customers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belonging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C_HIT</w:t>
      </w:r>
      <w:proofErr w:type="spellEnd"/>
      <w:r w:rsidRPr="00FE1F95">
        <w:rPr>
          <w:rFonts w:asciiTheme="minorHAnsi" w:hAnsiTheme="minorHAnsi" w:cstheme="minorHAnsi"/>
        </w:rPr>
        <w:t xml:space="preserve"> sector, </w:t>
      </w:r>
      <w:proofErr w:type="spellStart"/>
      <w:r w:rsidRPr="00FE1F95">
        <w:rPr>
          <w:rFonts w:asciiTheme="minorHAnsi" w:hAnsiTheme="minorHAnsi" w:cstheme="minorHAnsi"/>
        </w:rPr>
        <w:t>substantive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information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may</w:t>
      </w:r>
      <w:proofErr w:type="spellEnd"/>
      <w:r w:rsidRPr="00FE1F95">
        <w:rPr>
          <w:rFonts w:asciiTheme="minorHAnsi" w:hAnsiTheme="minorHAnsi" w:cstheme="minorHAnsi"/>
        </w:rPr>
        <w:t xml:space="preserve"> be provided and the instrument may be reported as forming part of a cash</w:t>
      </w:r>
      <w:r w:rsidRPr="00FE1F95">
        <w:rPr>
          <w:rFonts w:ascii="Cambria Math" w:hAnsi="Cambria Math" w:cs="Cambria Math"/>
        </w:rPr>
        <w:t>‑</w:t>
      </w:r>
      <w:r w:rsidRPr="00FE1F95">
        <w:rPr>
          <w:rFonts w:asciiTheme="minorHAnsi" w:hAnsiTheme="minorHAnsi" w:cstheme="minorHAnsi"/>
        </w:rPr>
        <w:t>pool structure.</w:t>
      </w:r>
    </w:p>
    <w:p w14:paraId="54DEBDEC" w14:textId="6668F973" w:rsidR="00F826D2" w:rsidRPr="00FE1F95" w:rsidRDefault="00E64B01" w:rsidP="00E64B01">
      <w:pPr>
        <w:rPr>
          <w:rFonts w:asciiTheme="minorHAnsi" w:hAnsiTheme="minorHAnsi" w:cstheme="minorHAnsi"/>
        </w:rPr>
      </w:pPr>
      <w:r w:rsidRPr="00FE1F95">
        <w:rPr>
          <w:rFonts w:asciiTheme="minorHAnsi" w:hAnsiTheme="minorHAnsi" w:cstheme="minorHAnsi"/>
        </w:rPr>
        <w:lastRenderedPageBreak/>
        <w:t>In the case of instruments under trust asset management, the trustee shall be reported as the owner</w:t>
      </w:r>
      <w:r w:rsidRPr="00FE1F95">
        <w:rPr>
          <w:rFonts w:ascii="Cambria Math" w:hAnsi="Cambria Math" w:cs="Cambria Math"/>
        </w:rPr>
        <w:t>‑</w:t>
      </w:r>
      <w:r w:rsidRPr="00FE1F95">
        <w:rPr>
          <w:rFonts w:asciiTheme="minorHAnsi" w:hAnsiTheme="minorHAnsi" w:cstheme="minorHAnsi"/>
        </w:rPr>
        <w:t>type customer (reported with a tax number if the trustee is an undertaking or a foundation, or with an anonymous identifier if the trustee is a private individual, in the relevant table).</w:t>
      </w:r>
    </w:p>
    <w:p w14:paraId="09E14CE4" w14:textId="77777777" w:rsidR="00E64B01" w:rsidRPr="00FE1F95" w:rsidRDefault="00E64B01" w:rsidP="00E64B01">
      <w:pPr>
        <w:rPr>
          <w:rFonts w:asciiTheme="minorHAnsi" w:hAnsiTheme="minorHAnsi" w:cstheme="minorHAnsi"/>
        </w:rPr>
      </w:pPr>
    </w:p>
    <w:p w14:paraId="07F3E1A2" w14:textId="2B48E8EC" w:rsidR="00FF2D24" w:rsidRPr="00FE1F95" w:rsidRDefault="00E64B01" w:rsidP="00E64B01">
      <w:pPr>
        <w:pStyle w:val="Cmsor2"/>
        <w:rPr>
          <w:rFonts w:asciiTheme="minorHAnsi" w:hAnsiTheme="minorHAnsi" w:cstheme="minorHAnsi"/>
          <w:sz w:val="20"/>
          <w:szCs w:val="20"/>
        </w:rPr>
      </w:pPr>
      <w:bookmarkStart w:id="33" w:name="_Toc229138443"/>
      <w:proofErr w:type="spellStart"/>
      <w:r w:rsidRPr="00FE1F95">
        <w:rPr>
          <w:rFonts w:asciiTheme="minorHAnsi" w:hAnsiTheme="minorHAnsi" w:cstheme="minorHAnsi"/>
          <w:sz w:val="20"/>
          <w:szCs w:val="20"/>
        </w:rPr>
        <w:t>Requirements</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for</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Completing</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INST_UGYF_B</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Table</w:t>
      </w:r>
      <w:bookmarkEnd w:id="33"/>
      <w:proofErr w:type="spellEnd"/>
    </w:p>
    <w:p w14:paraId="79F0993E" w14:textId="77777777" w:rsidR="005431F2" w:rsidRPr="00FE1F95" w:rsidRDefault="005431F2" w:rsidP="00116445">
      <w:pPr>
        <w:autoSpaceDE w:val="0"/>
        <w:autoSpaceDN w:val="0"/>
        <w:spacing w:after="0"/>
        <w:rPr>
          <w:rFonts w:asciiTheme="minorHAnsi" w:hAnsiTheme="minorHAnsi" w:cstheme="minorHAnsi"/>
        </w:rPr>
      </w:pPr>
    </w:p>
    <w:p w14:paraId="24FB72B6" w14:textId="3DB8D061" w:rsidR="002F5A88" w:rsidRPr="00FE1F95" w:rsidRDefault="002F5A88" w:rsidP="002F5A88">
      <w:pPr>
        <w:rPr>
          <w:rFonts w:asciiTheme="minorHAnsi" w:hAnsiTheme="minorHAnsi" w:cstheme="minorHAnsi"/>
        </w:rPr>
      </w:pPr>
      <w:r w:rsidRPr="00FE1F95">
        <w:rPr>
          <w:rFonts w:asciiTheme="minorHAnsi" w:hAnsiTheme="minorHAnsi" w:cstheme="minorHAnsi"/>
        </w:rPr>
        <w:t xml:space="preserve">In this table, the customers associated with a given instrument shall be assigned to that instrument. More than one customer may be associated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single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therefore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multiple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INST_UGYF_B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records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may</w:t>
      </w:r>
      <w:proofErr w:type="spellEnd"/>
      <w:r w:rsidRPr="00FE1F95">
        <w:rPr>
          <w:rFonts w:asciiTheme="minorHAnsi" w:hAnsiTheme="minorHAnsi" w:cstheme="minorHAnsi"/>
        </w:rPr>
        <w:t xml:space="preserve"> be linked to the same instrument (e.g. owner, co</w:t>
      </w:r>
      <w:r w:rsidRPr="00FE1F95">
        <w:rPr>
          <w:rFonts w:ascii="Cambria Math" w:hAnsi="Cambria Math" w:cs="Cambria Math"/>
        </w:rPr>
        <w:t>‑</w:t>
      </w:r>
      <w:r w:rsidRPr="00FE1F95">
        <w:rPr>
          <w:rFonts w:asciiTheme="minorHAnsi" w:hAnsiTheme="minorHAnsi" w:cstheme="minorHAnsi"/>
        </w:rPr>
        <w:t xml:space="preserve">owners). However, in the </w:t>
      </w:r>
      <w:proofErr w:type="spellStart"/>
      <w:r w:rsidRPr="00FE1F95">
        <w:rPr>
          <w:rFonts w:asciiTheme="minorHAnsi" w:hAnsiTheme="minorHAnsi" w:cstheme="minorHAnsi"/>
        </w:rPr>
        <w:t>case</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‘TULAJDONOS’ (</w:t>
      </w:r>
      <w:proofErr w:type="spellStart"/>
      <w:r w:rsidRPr="00FE1F95">
        <w:rPr>
          <w:rFonts w:asciiTheme="minorHAnsi" w:hAnsiTheme="minorHAnsi" w:cstheme="minorHAnsi"/>
        </w:rPr>
        <w:t>Owner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appear</w:t>
      </w:r>
      <w:proofErr w:type="spellEnd"/>
      <w:r w:rsidRPr="00FE1F95">
        <w:rPr>
          <w:rFonts w:asciiTheme="minorHAnsi" w:hAnsiTheme="minorHAnsi" w:cstheme="minorHAnsi"/>
        </w:rPr>
        <w:t xml:space="preserve"> in only one </w:t>
      </w:r>
      <w:proofErr w:type="spellStart"/>
      <w:r w:rsidRPr="00FE1F95">
        <w:rPr>
          <w:rFonts w:asciiTheme="minorHAnsi" w:hAnsiTheme="minorHAnsi" w:cstheme="minorHAnsi"/>
        </w:rPr>
        <w:t>record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C</w:t>
      </w:r>
      <w:r w:rsidR="006D6B68" w:rsidRPr="00FE1F95">
        <w:rPr>
          <w:rFonts w:asciiTheme="minorHAnsi" w:hAnsiTheme="minorHAnsi" w:cstheme="minorHAnsi"/>
          <w:b/>
          <w:bCs/>
        </w:rPr>
        <w:t>ounterparty</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role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each</w:t>
      </w:r>
      <w:proofErr w:type="spellEnd"/>
      <w:r w:rsidRPr="00FE1F95">
        <w:rPr>
          <w:rFonts w:asciiTheme="minorHAnsi" w:hAnsiTheme="minorHAnsi" w:cstheme="minorHAnsi"/>
        </w:rPr>
        <w:t xml:space="preserve"> instrument must have one and only one owner).</w:t>
      </w:r>
    </w:p>
    <w:p w14:paraId="5D6C7A12" w14:textId="77777777" w:rsidR="002F5A88" w:rsidRPr="00FE1F95" w:rsidRDefault="002F5A88" w:rsidP="002F5A88">
      <w:pPr>
        <w:rPr>
          <w:rFonts w:asciiTheme="minorHAnsi" w:hAnsiTheme="minorHAnsi" w:cstheme="minorHAnsi"/>
        </w:rPr>
      </w:pPr>
      <w:r w:rsidRPr="00FE1F95">
        <w:rPr>
          <w:rFonts w:asciiTheme="minorHAnsi" w:hAnsiTheme="minorHAnsi" w:cstheme="minorHAnsi"/>
        </w:rPr>
        <w:t xml:space="preserve">In the case of loans taken up, one and only one lender may be reported, consistently with the M04 report (a lender </w:t>
      </w:r>
      <w:proofErr w:type="gramStart"/>
      <w:r w:rsidRPr="00FE1F95">
        <w:rPr>
          <w:rFonts w:asciiTheme="minorHAnsi" w:hAnsiTheme="minorHAnsi" w:cstheme="minorHAnsi"/>
        </w:rPr>
        <w:t>must in</w:t>
      </w:r>
      <w:proofErr w:type="gramEnd"/>
      <w:r w:rsidRPr="00FE1F95">
        <w:rPr>
          <w:rFonts w:asciiTheme="minorHAnsi" w:hAnsiTheme="minorHAnsi" w:cstheme="minorHAnsi"/>
        </w:rPr>
        <w:t xml:space="preserve"> all cases be reported in connection with the loan taken up).</w:t>
      </w:r>
    </w:p>
    <w:p w14:paraId="2593E918" w14:textId="77777777" w:rsidR="002F5A88" w:rsidRPr="00FE1F95" w:rsidRDefault="002F5A88" w:rsidP="002F5A88">
      <w:pPr>
        <w:rPr>
          <w:rFonts w:asciiTheme="minorHAnsi" w:hAnsiTheme="minorHAnsi" w:cstheme="minorHAnsi"/>
        </w:rPr>
      </w:pPr>
      <w:r w:rsidRPr="00FE1F95">
        <w:rPr>
          <w:rFonts w:asciiTheme="minorHAnsi" w:hAnsiTheme="minorHAnsi" w:cstheme="minorHAnsi"/>
        </w:rPr>
        <w:t>If the instrument forms part of a cash</w:t>
      </w:r>
      <w:r w:rsidRPr="00FE1F95">
        <w:rPr>
          <w:rFonts w:ascii="Cambria Math" w:hAnsi="Cambria Math" w:cs="Cambria Math"/>
        </w:rPr>
        <w:t>‑</w:t>
      </w:r>
      <w:r w:rsidRPr="00FE1F95">
        <w:rPr>
          <w:rFonts w:asciiTheme="minorHAnsi" w:hAnsiTheme="minorHAnsi" w:cstheme="minorHAnsi"/>
        </w:rPr>
        <w:t>pool structure, the role performed by the given customer within the cash</w:t>
      </w:r>
      <w:r w:rsidRPr="00FE1F95">
        <w:rPr>
          <w:rFonts w:ascii="Cambria Math" w:hAnsi="Cambria Math" w:cs="Cambria Math"/>
        </w:rPr>
        <w:t>‑</w:t>
      </w:r>
      <w:r w:rsidRPr="00FE1F95">
        <w:rPr>
          <w:rFonts w:asciiTheme="minorHAnsi" w:hAnsiTheme="minorHAnsi" w:cstheme="minorHAnsi"/>
        </w:rPr>
        <w:t>pool arrangement (member/leader) shall be reported in the table, except in the case of customers with the roles of authorised representative or beneficiary.</w:t>
      </w:r>
    </w:p>
    <w:p w14:paraId="36620E6B" w14:textId="0B0CED2E" w:rsidR="002F5A88" w:rsidRPr="00FE1F95" w:rsidRDefault="002F5A88" w:rsidP="002F5A88">
      <w:pPr>
        <w:rPr>
          <w:rFonts w:asciiTheme="minorHAnsi" w:hAnsiTheme="minorHAnsi" w:cstheme="minorHAnsi"/>
        </w:rPr>
      </w:pPr>
      <w:r w:rsidRPr="00FE1F95">
        <w:rPr>
          <w:rFonts w:asciiTheme="minorHAnsi" w:hAnsiTheme="minorHAnsi" w:cstheme="minorHAnsi"/>
        </w:rPr>
        <w:t xml:space="preserve">With respect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r w:rsidR="00241AF3" w:rsidRPr="00FE1F95">
        <w:rPr>
          <w:rFonts w:asciiTheme="minorHAnsi" w:hAnsiTheme="minorHAnsi" w:cstheme="minorHAnsi"/>
          <w:b/>
          <w:bCs/>
        </w:rPr>
        <w:t xml:space="preserve">Is </w:t>
      </w:r>
      <w:proofErr w:type="spellStart"/>
      <w:r w:rsidR="00241AF3" w:rsidRPr="00FE1F95">
        <w:rPr>
          <w:rFonts w:asciiTheme="minorHAnsi" w:hAnsiTheme="minorHAnsi" w:cstheme="minorHAnsi"/>
          <w:b/>
          <w:bCs/>
        </w:rPr>
        <w:t>it</w:t>
      </w:r>
      <w:proofErr w:type="spellEnd"/>
      <w:r w:rsidR="00241AF3" w:rsidRPr="00FE1F95">
        <w:rPr>
          <w:rFonts w:asciiTheme="minorHAnsi" w:hAnsiTheme="minorHAnsi" w:cstheme="minorHAnsi"/>
          <w:b/>
          <w:bCs/>
        </w:rPr>
        <w:t xml:space="preserve"> a </w:t>
      </w:r>
      <w:proofErr w:type="spellStart"/>
      <w:r w:rsidR="00241AF3" w:rsidRPr="00FE1F95">
        <w:rPr>
          <w:rFonts w:asciiTheme="minorHAnsi" w:hAnsiTheme="minorHAnsi" w:cstheme="minorHAnsi"/>
          <w:b/>
          <w:bCs/>
        </w:rPr>
        <w:t>new</w:t>
      </w:r>
      <w:proofErr w:type="spellEnd"/>
      <w:r w:rsidR="00241AF3" w:rsidRPr="00FE1F95">
        <w:rPr>
          <w:rFonts w:asciiTheme="minorHAnsi" w:hAnsiTheme="minorHAnsi" w:cstheme="minorHAnsi"/>
          <w:b/>
          <w:bCs/>
        </w:rPr>
        <w:t xml:space="preserve"> </w:t>
      </w:r>
      <w:proofErr w:type="spellStart"/>
      <w:r w:rsidR="00241AF3" w:rsidRPr="00FE1F95">
        <w:rPr>
          <w:rFonts w:asciiTheme="minorHAnsi" w:hAnsiTheme="minorHAnsi" w:cstheme="minorHAnsi"/>
          <w:b/>
          <w:bCs/>
        </w:rPr>
        <w:t>counterparty</w:t>
      </w:r>
      <w:proofErr w:type="spellEnd"/>
      <w:r w:rsidR="00241AF3" w:rsidRPr="00FE1F95">
        <w:rPr>
          <w:rFonts w:asciiTheme="minorHAnsi" w:hAnsiTheme="minorHAnsi" w:cstheme="minorHAnsi"/>
          <w:b/>
          <w:bCs/>
        </w:rPr>
        <w:t>?</w:t>
      </w:r>
      <w:r w:rsidRPr="00FE1F95">
        <w:rPr>
          <w:rFonts w:asciiTheme="minorHAnsi" w:hAnsiTheme="minorHAnsi" w:cstheme="minorHAnsi"/>
          <w:b/>
          <w:bCs/>
        </w:rPr>
        <w:t>”</w:t>
      </w:r>
      <w:r w:rsidRPr="00FE1F95">
        <w:rPr>
          <w:rFonts w:asciiTheme="minorHAnsi" w:hAnsiTheme="minorHAnsi" w:cstheme="minorHAnsi"/>
        </w:rPr>
        <w:t>, a given owner / co</w:t>
      </w:r>
      <w:r w:rsidRPr="00FE1F95">
        <w:rPr>
          <w:rFonts w:ascii="Cambria Math" w:hAnsi="Cambria Math" w:cs="Cambria Math"/>
        </w:rPr>
        <w:t>‑</w:t>
      </w:r>
      <w:r w:rsidRPr="00FE1F95">
        <w:rPr>
          <w:rFonts w:asciiTheme="minorHAnsi" w:hAnsiTheme="minorHAnsi" w:cstheme="minorHAnsi"/>
        </w:rPr>
        <w:t>owner customer shall be considered a new customer if, at the time of concluding the contract for the product concerned, the customer had not previously had a contractual relationship with the reporting entity.</w:t>
      </w:r>
    </w:p>
    <w:p w14:paraId="6ACFEA66" w14:textId="77777777" w:rsidR="002F5A88" w:rsidRPr="00FE1F95" w:rsidRDefault="002F5A88" w:rsidP="002F5A88">
      <w:pPr>
        <w:rPr>
          <w:rFonts w:asciiTheme="minorHAnsi" w:hAnsiTheme="minorHAnsi" w:cstheme="minorHAnsi"/>
        </w:rPr>
      </w:pPr>
      <w:r w:rsidRPr="00FE1F95">
        <w:rPr>
          <w:rFonts w:asciiTheme="minorHAnsi" w:hAnsiTheme="minorHAnsi" w:cstheme="minorHAnsi"/>
        </w:rPr>
        <w:t>This field shall be completed for contracts concluded from 01 June 2025 onwards.</w:t>
      </w:r>
    </w:p>
    <w:p w14:paraId="3E64F7D9" w14:textId="4560287E" w:rsidR="002F5A88" w:rsidRPr="00FE1F95" w:rsidRDefault="002F5A88" w:rsidP="002F5A88">
      <w:pPr>
        <w:rPr>
          <w:rFonts w:asciiTheme="minorHAnsi" w:hAnsiTheme="minorHAnsi" w:cstheme="minorHAnsi"/>
        </w:rPr>
      </w:pPr>
      <w:r w:rsidRPr="00FE1F95">
        <w:rPr>
          <w:rFonts w:asciiTheme="minorHAnsi" w:hAnsiTheme="minorHAnsi" w:cstheme="minorHAnsi"/>
        </w:rPr>
        <w:t>When reporting the value of this field, the following requirements shall be taken into account:</w:t>
      </w:r>
    </w:p>
    <w:p w14:paraId="03E11055" w14:textId="77777777" w:rsidR="002F5A88" w:rsidRPr="00FE1F95" w:rsidRDefault="002F5A88" w:rsidP="002F5A88">
      <w:pPr>
        <w:pStyle w:val="Listaszerbekezds"/>
        <w:numPr>
          <w:ilvl w:val="0"/>
          <w:numId w:val="36"/>
        </w:numPr>
        <w:rPr>
          <w:rFonts w:asciiTheme="minorHAnsi" w:hAnsiTheme="minorHAnsi" w:cstheme="minorHAnsi"/>
        </w:rPr>
      </w:pPr>
      <w:r w:rsidRPr="00FE1F95">
        <w:rPr>
          <w:rFonts w:asciiTheme="minorHAnsi" w:hAnsiTheme="minorHAnsi" w:cstheme="minorHAnsi"/>
        </w:rPr>
        <w:t>With respect to a customer who has previously had a contractual relationship with the Institution, the determination of whether the customer qualifies as a new customer shall be governed by the Institution’s relevant internal policies and their content. If no such internal policies are in force, customers whose last contractual relationship with the Institution ended at least 12 months earlier shall be considered new customers.</w:t>
      </w:r>
    </w:p>
    <w:p w14:paraId="700C14E9" w14:textId="77777777" w:rsidR="002F5A88" w:rsidRPr="00FE1F95" w:rsidRDefault="002F5A88" w:rsidP="002F5A88">
      <w:pPr>
        <w:pStyle w:val="Listaszerbekezds"/>
        <w:numPr>
          <w:ilvl w:val="0"/>
          <w:numId w:val="36"/>
        </w:numPr>
        <w:rPr>
          <w:rFonts w:asciiTheme="minorHAnsi" w:hAnsiTheme="minorHAnsi" w:cstheme="minorHAnsi"/>
        </w:rPr>
      </w:pPr>
      <w:proofErr w:type="spellStart"/>
      <w:r w:rsidRPr="00FE1F95">
        <w:rPr>
          <w:rFonts w:asciiTheme="minorHAnsi" w:hAnsiTheme="minorHAnsi" w:cstheme="minorHAnsi"/>
        </w:rPr>
        <w:t>If</w:t>
      </w:r>
      <w:proofErr w:type="spellEnd"/>
      <w:r w:rsidRPr="00FE1F95">
        <w:rPr>
          <w:rFonts w:asciiTheme="minorHAnsi" w:hAnsiTheme="minorHAnsi" w:cstheme="minorHAnsi"/>
        </w:rPr>
        <w:t xml:space="preserve"> a customer is reported as a new customer in relation to a given instrument, and the customer subsequently takes out a loan or opens another deposit in addition to that deposit, the customer shall no longer be reported as a new customer in relation to the new loan/deposit instrument.</w:t>
      </w:r>
    </w:p>
    <w:p w14:paraId="27D66BC9" w14:textId="77777777" w:rsidR="002F5A88" w:rsidRPr="00FE1F95" w:rsidRDefault="002F5A88" w:rsidP="002F5A88">
      <w:pPr>
        <w:pStyle w:val="Listaszerbekezds"/>
        <w:numPr>
          <w:ilvl w:val="0"/>
          <w:numId w:val="36"/>
        </w:numPr>
        <w:rPr>
          <w:rFonts w:asciiTheme="minorHAnsi" w:hAnsiTheme="minorHAnsi" w:cstheme="minorHAnsi"/>
        </w:rPr>
      </w:pPr>
      <w:r w:rsidRPr="00FE1F95">
        <w:rPr>
          <w:rFonts w:asciiTheme="minorHAnsi" w:hAnsiTheme="minorHAnsi" w:cstheme="minorHAnsi"/>
        </w:rPr>
        <w:t>If there is a change in the person of the owner/co</w:t>
      </w:r>
      <w:r w:rsidRPr="00FE1F95">
        <w:rPr>
          <w:rFonts w:ascii="Cambria Math" w:hAnsi="Cambria Math" w:cs="Cambria Math"/>
        </w:rPr>
        <w:t>‑</w:t>
      </w:r>
      <w:r w:rsidRPr="00FE1F95">
        <w:rPr>
          <w:rFonts w:asciiTheme="minorHAnsi" w:hAnsiTheme="minorHAnsi" w:cstheme="minorHAnsi"/>
        </w:rPr>
        <w:t>owner, the question of whether the customer qualifies as a new customer shall be re</w:t>
      </w:r>
      <w:r w:rsidRPr="00FE1F95">
        <w:rPr>
          <w:rFonts w:ascii="Cambria Math" w:hAnsi="Cambria Math" w:cs="Cambria Math"/>
        </w:rPr>
        <w:t>‑</w:t>
      </w:r>
      <w:r w:rsidRPr="00FE1F95">
        <w:rPr>
          <w:rFonts w:asciiTheme="minorHAnsi" w:hAnsiTheme="minorHAnsi" w:cstheme="minorHAnsi"/>
        </w:rPr>
        <w:t>assessed in relation to the new instrument–owner/co</w:t>
      </w:r>
      <w:r w:rsidRPr="00FE1F95">
        <w:rPr>
          <w:rFonts w:ascii="Cambria Math" w:hAnsi="Cambria Math" w:cs="Cambria Math"/>
        </w:rPr>
        <w:t>‑</w:t>
      </w:r>
      <w:r w:rsidRPr="00FE1F95">
        <w:rPr>
          <w:rFonts w:asciiTheme="minorHAnsi" w:hAnsiTheme="minorHAnsi" w:cstheme="minorHAnsi"/>
        </w:rPr>
        <w:t>owner relationship.</w:t>
      </w:r>
    </w:p>
    <w:p w14:paraId="74101092" w14:textId="77777777" w:rsidR="002F5A88" w:rsidRPr="00FE1F95" w:rsidRDefault="002F5A88" w:rsidP="002F5A88">
      <w:pPr>
        <w:pStyle w:val="Listaszerbekezds"/>
        <w:numPr>
          <w:ilvl w:val="0"/>
          <w:numId w:val="36"/>
        </w:numPr>
        <w:rPr>
          <w:rFonts w:asciiTheme="minorHAnsi" w:hAnsiTheme="minorHAnsi" w:cstheme="minorHAnsi"/>
        </w:rPr>
      </w:pPr>
      <w:r w:rsidRPr="00FE1F95">
        <w:rPr>
          <w:rFonts w:asciiTheme="minorHAnsi" w:hAnsiTheme="minorHAnsi" w:cstheme="minorHAnsi"/>
        </w:rPr>
        <w:t>The value of this field for a given instrument–customer relationship shall not be modified subsequently; the value reported at the time of contract conclusion shall be reported throughout the life of the instrument.</w:t>
      </w:r>
    </w:p>
    <w:p w14:paraId="7C01F313" w14:textId="77777777" w:rsidR="002F5A88" w:rsidRPr="00FE1F95" w:rsidRDefault="002F5A88" w:rsidP="002F5A88">
      <w:pPr>
        <w:pStyle w:val="Listaszerbekezds"/>
        <w:numPr>
          <w:ilvl w:val="0"/>
          <w:numId w:val="36"/>
        </w:numPr>
        <w:rPr>
          <w:rFonts w:asciiTheme="minorHAnsi" w:hAnsiTheme="minorHAnsi" w:cstheme="minorHAnsi"/>
        </w:rPr>
      </w:pPr>
      <w:r w:rsidRPr="00FE1F95">
        <w:rPr>
          <w:rFonts w:asciiTheme="minorHAnsi" w:hAnsiTheme="minorHAnsi" w:cstheme="minorHAnsi"/>
        </w:rPr>
        <w:t>The contractual relationship shall be interpreted at the level of the reporting entity, i.e. not at banking group level.</w:t>
      </w:r>
    </w:p>
    <w:p w14:paraId="330AA5FC" w14:textId="77777777" w:rsidR="002F5A88" w:rsidRPr="00FE1F95" w:rsidRDefault="002F5A88" w:rsidP="002F5A88">
      <w:pPr>
        <w:pStyle w:val="Listaszerbekezds"/>
        <w:numPr>
          <w:ilvl w:val="0"/>
          <w:numId w:val="36"/>
        </w:numPr>
        <w:rPr>
          <w:rFonts w:asciiTheme="minorHAnsi" w:hAnsiTheme="minorHAnsi" w:cstheme="minorHAnsi"/>
        </w:rPr>
      </w:pPr>
      <w:r w:rsidRPr="00FE1F95">
        <w:rPr>
          <w:rFonts w:asciiTheme="minorHAnsi" w:hAnsiTheme="minorHAnsi" w:cstheme="minorHAnsi"/>
        </w:rPr>
        <w:t>All financial products of the reporting entity shall be included in the definition; if a contractual relationship existed in relation to any previous product, the customer shall not be considered a new customer.</w:t>
      </w:r>
    </w:p>
    <w:p w14:paraId="439E3B3F" w14:textId="77777777" w:rsidR="002F5A88" w:rsidRPr="00FE1F95" w:rsidRDefault="002F5A88" w:rsidP="002F5A88">
      <w:pPr>
        <w:rPr>
          <w:rFonts w:asciiTheme="minorHAnsi" w:hAnsiTheme="minorHAnsi" w:cstheme="minorHAnsi"/>
        </w:rPr>
      </w:pPr>
      <w:r w:rsidRPr="00FE1F95">
        <w:rPr>
          <w:rFonts w:asciiTheme="minorHAnsi" w:hAnsiTheme="minorHAnsi" w:cstheme="minorHAnsi"/>
        </w:rPr>
        <w:t>Information on new customer status shall be reported only in cases of origination through a new contract, on a forward</w:t>
      </w:r>
      <w:r w:rsidRPr="00FE1F95">
        <w:rPr>
          <w:rFonts w:ascii="Cambria Math" w:hAnsi="Cambria Math" w:cs="Cambria Math"/>
        </w:rPr>
        <w:t>‑</w:t>
      </w:r>
      <w:r w:rsidRPr="00FE1F95">
        <w:rPr>
          <w:rFonts w:asciiTheme="minorHAnsi" w:hAnsiTheme="minorHAnsi" w:cstheme="minorHAnsi"/>
        </w:rPr>
        <w:t>looking basis from the first BETREG reference period onwards. In the case of portfolio transfers, the acquiring credit institution shall not be required to assess whether the owners/co</w:t>
      </w:r>
      <w:r w:rsidRPr="00FE1F95">
        <w:rPr>
          <w:rFonts w:ascii="Cambria Math" w:hAnsi="Cambria Math" w:cs="Cambria Math"/>
        </w:rPr>
        <w:t>‑</w:t>
      </w:r>
      <w:r w:rsidRPr="00FE1F95">
        <w:rPr>
          <w:rFonts w:asciiTheme="minorHAnsi" w:hAnsiTheme="minorHAnsi" w:cstheme="minorHAnsi"/>
        </w:rPr>
        <w:t>owners of the transferred deposits qualify as new customers from its perspective.</w:t>
      </w:r>
    </w:p>
    <w:p w14:paraId="70FEFBAE" w14:textId="3B825579" w:rsidR="001331B2" w:rsidRPr="00FE1F95" w:rsidRDefault="002F5A88" w:rsidP="002F5A88">
      <w:pPr>
        <w:rPr>
          <w:rFonts w:asciiTheme="minorHAnsi" w:hAnsiTheme="minorHAnsi" w:cstheme="minorHAnsi"/>
        </w:rPr>
      </w:pPr>
      <w:r w:rsidRPr="00FE1F95">
        <w:rPr>
          <w:rFonts w:asciiTheme="minorHAnsi" w:hAnsiTheme="minorHAnsi" w:cstheme="minorHAnsi"/>
        </w:rPr>
        <w:t>Data relating to new customer status shall be reported only if the owner is a natural person and the values of the current account identifier and the deposit identifier fields are identical (i.e. the case does not concern a term placement).</w:t>
      </w:r>
    </w:p>
    <w:p w14:paraId="678362A8" w14:textId="25F410AB" w:rsidR="002F5A88" w:rsidRPr="00FE1F95" w:rsidRDefault="002F5A88" w:rsidP="002F5A88">
      <w:pPr>
        <w:rPr>
          <w:rFonts w:asciiTheme="minorHAnsi" w:hAnsiTheme="minorHAnsi" w:cstheme="minorHAnsi"/>
        </w:rPr>
      </w:pPr>
      <w:r w:rsidRPr="00FE1F95">
        <w:rPr>
          <w:rFonts w:asciiTheme="minorHAnsi" w:hAnsiTheme="minorHAnsi" w:cstheme="minorHAnsi"/>
        </w:rPr>
        <w:lastRenderedPageBreak/>
        <w:t xml:space="preserve">The field </w:t>
      </w:r>
      <w:r w:rsidRPr="00FE1F95">
        <w:rPr>
          <w:rFonts w:asciiTheme="minorHAnsi" w:hAnsiTheme="minorHAnsi" w:cstheme="minorHAnsi"/>
          <w:b/>
          <w:bCs/>
        </w:rPr>
        <w:t xml:space="preserve">“Reason </w:t>
      </w:r>
      <w:r w:rsidR="00241AF3" w:rsidRPr="00FE1F95">
        <w:rPr>
          <w:rFonts w:asciiTheme="minorHAnsi" w:hAnsiTheme="minorHAnsi" w:cstheme="minorHAnsi"/>
          <w:b/>
          <w:bCs/>
        </w:rPr>
        <w:t xml:space="preserve">of </w:t>
      </w:r>
      <w:proofErr w:type="spellStart"/>
      <w:r w:rsidR="00241AF3" w:rsidRPr="00FE1F95">
        <w:rPr>
          <w:rFonts w:asciiTheme="minorHAnsi" w:hAnsiTheme="minorHAnsi" w:cstheme="minorHAnsi"/>
          <w:b/>
          <w:bCs/>
        </w:rPr>
        <w:t>counterparty</w:t>
      </w:r>
      <w:proofErr w:type="spellEnd"/>
      <w:r w:rsidRPr="00FE1F95">
        <w:rPr>
          <w:rFonts w:asciiTheme="minorHAnsi" w:hAnsiTheme="minorHAnsi" w:cstheme="minorHAnsi"/>
          <w:b/>
          <w:bCs/>
        </w:rPr>
        <w:t xml:space="preserve"> change”</w:t>
      </w:r>
      <w:r w:rsidRPr="00FE1F95">
        <w:rPr>
          <w:rFonts w:asciiTheme="minorHAnsi" w:hAnsiTheme="minorHAnsi" w:cstheme="minorHAnsi"/>
        </w:rPr>
        <w:t xml:space="preserve"> shall be reported for owner and lender customer roles where, in relation to a given instrument, the associated customer changes from one reporting period to the next.</w:t>
      </w:r>
    </w:p>
    <w:p w14:paraId="304B7F72" w14:textId="07B0F7D8" w:rsidR="002F5A88" w:rsidRPr="00FE1F95" w:rsidRDefault="002F5A88" w:rsidP="002F5A88">
      <w:pPr>
        <w:rPr>
          <w:rFonts w:asciiTheme="minorHAnsi" w:hAnsiTheme="minorHAnsi" w:cstheme="minorHAnsi"/>
        </w:rPr>
      </w:pPr>
      <w:r w:rsidRPr="00FE1F95">
        <w:rPr>
          <w:rFonts w:asciiTheme="minorHAnsi" w:hAnsiTheme="minorHAnsi" w:cstheme="minorHAnsi"/>
        </w:rPr>
        <w:t xml:space="preserve">In the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b/>
          <w:bCs/>
        </w:rPr>
        <w:t>Reason</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for</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us</w:t>
      </w:r>
      <w:r w:rsidR="00241AF3" w:rsidRPr="00FE1F95">
        <w:rPr>
          <w:rFonts w:asciiTheme="minorHAnsi" w:hAnsiTheme="minorHAnsi" w:cstheme="minorHAnsi"/>
          <w:b/>
          <w:bCs/>
        </w:rPr>
        <w:t>ing</w:t>
      </w:r>
      <w:proofErr w:type="spellEnd"/>
      <w:r w:rsidR="00241AF3" w:rsidRPr="00FE1F95">
        <w:rPr>
          <w:rFonts w:asciiTheme="minorHAnsi" w:hAnsiTheme="minorHAnsi" w:cstheme="minorHAnsi"/>
          <w:b/>
          <w:bCs/>
        </w:rPr>
        <w:t xml:space="preserve"> </w:t>
      </w:r>
      <w:r w:rsidRPr="00FE1F95">
        <w:rPr>
          <w:rFonts w:asciiTheme="minorHAnsi" w:hAnsiTheme="minorHAnsi" w:cstheme="minorHAnsi"/>
          <w:b/>
          <w:bCs/>
        </w:rPr>
        <w:t xml:space="preserve">a </w:t>
      </w:r>
      <w:proofErr w:type="spellStart"/>
      <w:r w:rsidRPr="00FE1F95">
        <w:rPr>
          <w:rFonts w:asciiTheme="minorHAnsi" w:hAnsiTheme="minorHAnsi" w:cstheme="minorHAnsi"/>
          <w:b/>
          <w:bCs/>
        </w:rPr>
        <w:t>technical</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anonymous</w:t>
      </w:r>
      <w:proofErr w:type="spellEnd"/>
      <w:r w:rsidRPr="00FE1F95">
        <w:rPr>
          <w:rFonts w:asciiTheme="minorHAnsi" w:hAnsiTheme="minorHAnsi" w:cstheme="minorHAnsi"/>
          <w:b/>
          <w:bCs/>
        </w:rPr>
        <w:t xml:space="preserve"> identifier</w:t>
      </w:r>
      <w:r w:rsidRPr="00FE1F95">
        <w:rPr>
          <w:rFonts w:asciiTheme="minorHAnsi" w:hAnsiTheme="minorHAnsi" w:cstheme="minorHAnsi"/>
        </w:rPr>
        <w:t xml:space="preserve">”, the reason shall be reported why, in relation to the given instrument, no concrete, unique </w:t>
      </w:r>
      <w:proofErr w:type="spellStart"/>
      <w:r w:rsidRPr="00FE1F95">
        <w:rPr>
          <w:rFonts w:asciiTheme="minorHAnsi" w:hAnsiTheme="minorHAnsi" w:cstheme="minorHAnsi"/>
        </w:rPr>
        <w:t>anonymous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identifier</w:t>
      </w:r>
      <w:proofErr w:type="spellEnd"/>
      <w:r w:rsidRPr="00FE1F95">
        <w:rPr>
          <w:rFonts w:asciiTheme="minorHAnsi" w:hAnsiTheme="minorHAnsi" w:cstheme="minorHAnsi"/>
        </w:rPr>
        <w:t xml:space="preserve"> is </w:t>
      </w:r>
      <w:proofErr w:type="spellStart"/>
      <w:r w:rsidRPr="00FE1F95">
        <w:rPr>
          <w:rFonts w:asciiTheme="minorHAnsi" w:hAnsiTheme="minorHAnsi" w:cstheme="minorHAnsi"/>
        </w:rPr>
        <w:t>associated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INST_UGYFL_B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but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instead</w:t>
      </w:r>
      <w:proofErr w:type="spellEnd"/>
      <w:r w:rsidRPr="00FE1F95">
        <w:rPr>
          <w:rFonts w:asciiTheme="minorHAnsi" w:hAnsiTheme="minorHAnsi" w:cstheme="minorHAnsi"/>
        </w:rPr>
        <w:t xml:space="preserve"> a technical anonymous identifier is used (e.g. bearer deposits, analytically non</w:t>
      </w:r>
      <w:r w:rsidRPr="00FE1F95">
        <w:rPr>
          <w:rFonts w:ascii="Cambria Math" w:hAnsi="Cambria Math" w:cs="Cambria Math"/>
        </w:rPr>
        <w:t>‑</w:t>
      </w:r>
      <w:r w:rsidRPr="00FE1F95">
        <w:rPr>
          <w:rFonts w:asciiTheme="minorHAnsi" w:hAnsiTheme="minorHAnsi" w:cstheme="minorHAnsi"/>
        </w:rPr>
        <w:t>breakable portfolios, etc.).</w:t>
      </w:r>
      <w:r w:rsidR="006226ED" w:rsidRPr="00FE1F95">
        <w:rPr>
          <w:rFonts w:asciiTheme="minorHAnsi" w:hAnsiTheme="minorHAnsi" w:cstheme="minorHAnsi"/>
        </w:rPr>
        <w:t xml:space="preserve"> </w:t>
      </w:r>
      <w:r w:rsidRPr="00FE1F95">
        <w:rPr>
          <w:rFonts w:asciiTheme="minorHAnsi" w:hAnsiTheme="minorHAnsi" w:cstheme="minorHAnsi"/>
        </w:rPr>
        <w:t xml:space="preserve">This information shall be provided only for </w:t>
      </w:r>
      <w:proofErr w:type="spellStart"/>
      <w:r w:rsidRPr="00FE1F95">
        <w:rPr>
          <w:rFonts w:asciiTheme="minorHAnsi" w:hAnsiTheme="minorHAnsi" w:cstheme="minorHAnsi"/>
        </w:rPr>
        <w:t>technical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anonymous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identifiers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UGYFL_B</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from</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perspective</w:t>
      </w:r>
      <w:proofErr w:type="spellEnd"/>
      <w:r w:rsidRPr="00FE1F95">
        <w:rPr>
          <w:rFonts w:asciiTheme="minorHAnsi" w:hAnsiTheme="minorHAnsi" w:cstheme="minorHAnsi"/>
        </w:rPr>
        <w:t xml:space="preserve"> of the instrument.</w:t>
      </w:r>
    </w:p>
    <w:p w14:paraId="399CB105" w14:textId="68F7A9C0" w:rsidR="000166A3" w:rsidRPr="00FE1F95" w:rsidRDefault="00BC5BFB" w:rsidP="00116445">
      <w:pPr>
        <w:pStyle w:val="Cmsor1"/>
        <w:rPr>
          <w:rFonts w:asciiTheme="minorHAnsi" w:hAnsiTheme="minorHAnsi" w:cstheme="minorHAnsi"/>
          <w:sz w:val="20"/>
          <w:szCs w:val="20"/>
        </w:rPr>
      </w:pPr>
      <w:bookmarkStart w:id="34" w:name="_Toc229138444"/>
      <w:bookmarkStart w:id="35" w:name="_Hlk117080127"/>
      <w:r w:rsidRPr="00FE1F95">
        <w:rPr>
          <w:rFonts w:asciiTheme="minorHAnsi" w:hAnsiTheme="minorHAnsi" w:cstheme="minorHAnsi"/>
          <w:sz w:val="20"/>
          <w:szCs w:val="20"/>
        </w:rPr>
        <w:t>Specific reporting requirements</w:t>
      </w:r>
      <w:bookmarkEnd w:id="34"/>
    </w:p>
    <w:p w14:paraId="1AF22833" w14:textId="595DA165" w:rsidR="008A02D1" w:rsidRPr="00FE1F95" w:rsidRDefault="00BC5BFB" w:rsidP="00116445">
      <w:pPr>
        <w:pStyle w:val="Cmsor2"/>
        <w:rPr>
          <w:rFonts w:asciiTheme="minorHAnsi" w:hAnsiTheme="minorHAnsi" w:cstheme="minorHAnsi"/>
          <w:sz w:val="20"/>
          <w:szCs w:val="20"/>
        </w:rPr>
      </w:pPr>
      <w:bookmarkStart w:id="36" w:name="_Toc229138445"/>
      <w:bookmarkEnd w:id="35"/>
      <w:proofErr w:type="spellStart"/>
      <w:r w:rsidRPr="00FE1F95">
        <w:rPr>
          <w:rFonts w:asciiTheme="minorHAnsi" w:hAnsiTheme="minorHAnsi" w:cstheme="minorHAnsi"/>
          <w:sz w:val="20"/>
          <w:szCs w:val="20"/>
        </w:rPr>
        <w:t>Reporting</w:t>
      </w:r>
      <w:proofErr w:type="spellEnd"/>
      <w:r w:rsidRPr="00FE1F95">
        <w:rPr>
          <w:rFonts w:asciiTheme="minorHAnsi" w:hAnsiTheme="minorHAnsi" w:cstheme="minorHAnsi"/>
          <w:sz w:val="20"/>
          <w:szCs w:val="20"/>
        </w:rPr>
        <w:t xml:space="preserve"> of </w:t>
      </w:r>
      <w:proofErr w:type="spellStart"/>
      <w:r w:rsidRPr="00FE1F95">
        <w:rPr>
          <w:rFonts w:asciiTheme="minorHAnsi" w:hAnsiTheme="minorHAnsi" w:cstheme="minorHAnsi"/>
          <w:sz w:val="20"/>
          <w:szCs w:val="20"/>
        </w:rPr>
        <w:t>new</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contracts</w:t>
      </w:r>
      <w:proofErr w:type="spellEnd"/>
      <w:r w:rsidRPr="00FE1F95">
        <w:rPr>
          <w:rFonts w:asciiTheme="minorHAnsi" w:hAnsiTheme="minorHAnsi" w:cstheme="minorHAnsi"/>
          <w:sz w:val="20"/>
          <w:szCs w:val="20"/>
        </w:rPr>
        <w:t xml:space="preserve"> in </w:t>
      </w:r>
      <w:proofErr w:type="spellStart"/>
      <w:r w:rsidRPr="00FE1F95">
        <w:rPr>
          <w:rFonts w:asciiTheme="minorHAnsi" w:hAnsiTheme="minorHAnsi" w:cstheme="minorHAnsi"/>
          <w:sz w:val="20"/>
          <w:szCs w:val="20"/>
        </w:rPr>
        <w:t>the</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INSTR_BET</w:t>
      </w:r>
      <w:proofErr w:type="spellEnd"/>
      <w:r w:rsidRPr="00FE1F95">
        <w:rPr>
          <w:rFonts w:asciiTheme="minorHAnsi" w:hAnsiTheme="minorHAnsi" w:cstheme="minorHAnsi"/>
          <w:sz w:val="20"/>
          <w:szCs w:val="20"/>
        </w:rPr>
        <w:t xml:space="preserve"> and </w:t>
      </w:r>
      <w:proofErr w:type="spellStart"/>
      <w:r w:rsidRPr="00FE1F95">
        <w:rPr>
          <w:rFonts w:asciiTheme="minorHAnsi" w:hAnsiTheme="minorHAnsi" w:cstheme="minorHAnsi"/>
          <w:sz w:val="20"/>
          <w:szCs w:val="20"/>
        </w:rPr>
        <w:t>INSTR_FHIT</w:t>
      </w:r>
      <w:proofErr w:type="spellEnd"/>
      <w:r w:rsidRPr="00FE1F95">
        <w:rPr>
          <w:rFonts w:asciiTheme="minorHAnsi" w:hAnsiTheme="minorHAnsi" w:cstheme="minorHAnsi"/>
          <w:sz w:val="20"/>
          <w:szCs w:val="20"/>
        </w:rPr>
        <w:t xml:space="preserve"> </w:t>
      </w:r>
      <w:proofErr w:type="spellStart"/>
      <w:r w:rsidRPr="00FE1F95">
        <w:rPr>
          <w:rFonts w:asciiTheme="minorHAnsi" w:hAnsiTheme="minorHAnsi" w:cstheme="minorHAnsi"/>
          <w:sz w:val="20"/>
          <w:szCs w:val="20"/>
        </w:rPr>
        <w:t>tables</w:t>
      </w:r>
      <w:bookmarkEnd w:id="36"/>
      <w:proofErr w:type="spellEnd"/>
    </w:p>
    <w:p w14:paraId="6045ACB9" w14:textId="77777777" w:rsidR="004F6C63" w:rsidRPr="00FE1F95" w:rsidRDefault="004F6C63" w:rsidP="00116445">
      <w:pPr>
        <w:pStyle w:val="Listaszerbekezds"/>
        <w:numPr>
          <w:ilvl w:val="0"/>
          <w:numId w:val="0"/>
        </w:numPr>
        <w:tabs>
          <w:tab w:val="left" w:pos="993"/>
        </w:tabs>
        <w:rPr>
          <w:rFonts w:asciiTheme="minorHAnsi" w:hAnsiTheme="minorHAnsi" w:cstheme="minorHAnsi"/>
        </w:rPr>
      </w:pPr>
    </w:p>
    <w:p w14:paraId="4FF2BD96" w14:textId="77777777" w:rsidR="00BA487A" w:rsidRPr="00FE1F95" w:rsidRDefault="00BA487A" w:rsidP="00BA487A">
      <w:pPr>
        <w:tabs>
          <w:tab w:val="left" w:pos="993"/>
        </w:tabs>
        <w:rPr>
          <w:rFonts w:asciiTheme="minorHAnsi" w:hAnsiTheme="minorHAnsi" w:cstheme="minorHAnsi"/>
        </w:rPr>
      </w:pPr>
      <w:r w:rsidRPr="00FE1F95">
        <w:rPr>
          <w:rFonts w:asciiTheme="minorHAnsi" w:hAnsiTheme="minorHAnsi" w:cstheme="minorHAnsi"/>
        </w:rPr>
        <w:t>Concept of a new contract for the purposes of BETREG:</w:t>
      </w:r>
    </w:p>
    <w:p w14:paraId="01C9CF44" w14:textId="77777777" w:rsidR="00BA487A" w:rsidRPr="00FE1F95" w:rsidRDefault="00BA487A" w:rsidP="00977DC3">
      <w:pPr>
        <w:pStyle w:val="Listaszerbekezds"/>
        <w:numPr>
          <w:ilvl w:val="0"/>
          <w:numId w:val="37"/>
        </w:numPr>
        <w:tabs>
          <w:tab w:val="left" w:pos="993"/>
        </w:tabs>
        <w:ind w:left="360"/>
        <w:rPr>
          <w:rFonts w:asciiTheme="minorHAnsi" w:hAnsiTheme="minorHAnsi" w:cstheme="minorHAnsi"/>
        </w:rPr>
      </w:pPr>
      <w:r w:rsidRPr="00FE1F95">
        <w:rPr>
          <w:rFonts w:asciiTheme="minorHAnsi" w:hAnsiTheme="minorHAnsi" w:cstheme="minorHAnsi"/>
        </w:rPr>
        <w:t>any new financial</w:t>
      </w:r>
      <w:r w:rsidRPr="00FE1F95">
        <w:rPr>
          <w:rFonts w:ascii="Cambria Math" w:hAnsi="Cambria Math" w:cs="Cambria Math"/>
        </w:rPr>
        <w:t>‑</w:t>
      </w:r>
      <w:r w:rsidRPr="00FE1F95">
        <w:rPr>
          <w:rFonts w:asciiTheme="minorHAnsi" w:hAnsiTheme="minorHAnsi" w:cstheme="minorHAnsi"/>
        </w:rPr>
        <w:t>type agreement between the reporting entity and the customer that initially determines the interest rate of the deposit/repo liability listed below, or a new agreement relating to an existing deposit/repo liability if its type changes or if there is any change in the interest conditions, including other charges as well.</w:t>
      </w:r>
    </w:p>
    <w:p w14:paraId="2EB70EE4" w14:textId="413AA49C" w:rsidR="00BA487A" w:rsidRPr="00FE1F95" w:rsidRDefault="00BA487A" w:rsidP="00977DC3">
      <w:pPr>
        <w:pStyle w:val="Listaszerbekezds"/>
        <w:numPr>
          <w:ilvl w:val="0"/>
          <w:numId w:val="37"/>
        </w:numPr>
        <w:tabs>
          <w:tab w:val="left" w:pos="993"/>
        </w:tabs>
        <w:ind w:left="360"/>
        <w:rPr>
          <w:rFonts w:asciiTheme="minorHAnsi" w:hAnsiTheme="minorHAnsi" w:cstheme="minorHAnsi"/>
        </w:rPr>
      </w:pPr>
      <w:r w:rsidRPr="00FE1F95">
        <w:rPr>
          <w:rFonts w:asciiTheme="minorHAnsi" w:hAnsiTheme="minorHAnsi" w:cstheme="minorHAnsi"/>
        </w:rPr>
        <w:t>for reporting purposes, a repriced contract shall also be considered a new contract, except for repricing that</w:t>
      </w:r>
    </w:p>
    <w:p w14:paraId="3FC2FFC5" w14:textId="77777777" w:rsidR="00BA487A" w:rsidRPr="00FE1F95" w:rsidRDefault="00BA487A" w:rsidP="00BA487A">
      <w:pPr>
        <w:tabs>
          <w:tab w:val="left" w:pos="993"/>
        </w:tabs>
        <w:ind w:left="360"/>
        <w:rPr>
          <w:rFonts w:asciiTheme="minorHAnsi" w:hAnsiTheme="minorHAnsi" w:cstheme="minorHAnsi"/>
        </w:rPr>
      </w:pPr>
      <w:r w:rsidRPr="00FE1F95">
        <w:rPr>
          <w:rFonts w:asciiTheme="minorHAnsi" w:hAnsiTheme="minorHAnsi" w:cstheme="minorHAnsi"/>
        </w:rPr>
        <w:t>o takes place automatically, on the basis of the original contract, without the customer’s involvement, and where neither the conditions nor the interest rate are renegotiated (e.g. continuous rollover deposit structures, provided that the customer does not change the maturity of the deposit), or</w:t>
      </w:r>
    </w:p>
    <w:p w14:paraId="06F49E37" w14:textId="77777777" w:rsidR="000A6CCC" w:rsidRPr="00FE1F95" w:rsidRDefault="00BA487A" w:rsidP="000A6CCC">
      <w:pPr>
        <w:tabs>
          <w:tab w:val="left" w:pos="993"/>
        </w:tabs>
        <w:ind w:left="360"/>
        <w:rPr>
          <w:rFonts w:asciiTheme="minorHAnsi" w:hAnsiTheme="minorHAnsi" w:cstheme="minorHAnsi"/>
        </w:rPr>
      </w:pPr>
      <w:r w:rsidRPr="00FE1F95">
        <w:rPr>
          <w:rFonts w:asciiTheme="minorHAnsi" w:hAnsiTheme="minorHAnsi" w:cstheme="minorHAnsi"/>
        </w:rPr>
        <w:t>o consists of the automatic conversion of a fixed</w:t>
      </w:r>
      <w:r w:rsidRPr="00FE1F95">
        <w:rPr>
          <w:rFonts w:ascii="Cambria Math" w:hAnsi="Cambria Math" w:cs="Cambria Math"/>
        </w:rPr>
        <w:t>‑</w:t>
      </w:r>
      <w:r w:rsidRPr="00FE1F95">
        <w:rPr>
          <w:rFonts w:asciiTheme="minorHAnsi" w:hAnsiTheme="minorHAnsi" w:cstheme="minorHAnsi"/>
        </w:rPr>
        <w:t>rate instrument into a variable</w:t>
      </w:r>
      <w:r w:rsidRPr="00FE1F95">
        <w:rPr>
          <w:rFonts w:ascii="Cambria Math" w:hAnsi="Cambria Math" w:cs="Cambria Math"/>
        </w:rPr>
        <w:t>‑</w:t>
      </w:r>
      <w:r w:rsidRPr="00FE1F95">
        <w:rPr>
          <w:rFonts w:asciiTheme="minorHAnsi" w:hAnsiTheme="minorHAnsi" w:cstheme="minorHAnsi"/>
        </w:rPr>
        <w:t>rate one, or vice versa, where such conversion was already stipulated in the original contract.</w:t>
      </w:r>
    </w:p>
    <w:p w14:paraId="500521E0" w14:textId="77777777" w:rsidR="000A6CCC" w:rsidRPr="00FE1F95" w:rsidRDefault="00BA487A" w:rsidP="002E1F2E">
      <w:pPr>
        <w:pStyle w:val="Listaszerbekezds"/>
        <w:numPr>
          <w:ilvl w:val="0"/>
          <w:numId w:val="37"/>
        </w:numPr>
        <w:tabs>
          <w:tab w:val="left" w:pos="993"/>
        </w:tabs>
        <w:ind w:left="360"/>
        <w:rPr>
          <w:rFonts w:asciiTheme="minorHAnsi" w:hAnsiTheme="minorHAnsi" w:cstheme="minorHAnsi"/>
        </w:rPr>
      </w:pPr>
      <w:r w:rsidRPr="00FE1F95">
        <w:rPr>
          <w:rFonts w:asciiTheme="minorHAnsi" w:hAnsiTheme="minorHAnsi" w:cstheme="minorHAnsi"/>
        </w:rPr>
        <w:t>a newly concluded deposit contract / repo contract entered into in the reporting month shall be considered a new contract even if it matures within the reporting month, or if the customer terminates the deposit within the reporting month.</w:t>
      </w:r>
    </w:p>
    <w:p w14:paraId="284A88C6" w14:textId="77777777" w:rsidR="000A6CCC" w:rsidRPr="00FE1F95" w:rsidRDefault="00BA487A" w:rsidP="00C15331">
      <w:pPr>
        <w:pStyle w:val="Listaszerbekezds"/>
        <w:numPr>
          <w:ilvl w:val="0"/>
          <w:numId w:val="37"/>
        </w:numPr>
        <w:tabs>
          <w:tab w:val="left" w:pos="993"/>
        </w:tabs>
        <w:ind w:left="360"/>
        <w:rPr>
          <w:rFonts w:asciiTheme="minorHAnsi" w:hAnsiTheme="minorHAnsi" w:cstheme="minorHAnsi"/>
        </w:rPr>
      </w:pPr>
      <w:r w:rsidRPr="00FE1F95">
        <w:rPr>
          <w:rFonts w:asciiTheme="minorHAnsi" w:hAnsiTheme="minorHAnsi" w:cstheme="minorHAnsi"/>
        </w:rPr>
        <w:t>it shall be considered a new contract if the reporting entity regularly increases an existing term deposit from the customer’s bank account on the basis of a single framework agreement concluded with the customer.</w:t>
      </w:r>
    </w:p>
    <w:p w14:paraId="0657752C" w14:textId="77777777" w:rsidR="000A6CCC" w:rsidRPr="00FE1F95" w:rsidRDefault="00BA487A" w:rsidP="00372C5E">
      <w:pPr>
        <w:pStyle w:val="Listaszerbekezds"/>
        <w:numPr>
          <w:ilvl w:val="0"/>
          <w:numId w:val="37"/>
        </w:numPr>
        <w:tabs>
          <w:tab w:val="left" w:pos="993"/>
        </w:tabs>
        <w:ind w:left="360"/>
        <w:rPr>
          <w:rFonts w:asciiTheme="minorHAnsi" w:hAnsiTheme="minorHAnsi" w:cstheme="minorHAnsi"/>
        </w:rPr>
      </w:pPr>
      <w:r w:rsidRPr="00FE1F95">
        <w:rPr>
          <w:rFonts w:asciiTheme="minorHAnsi" w:hAnsiTheme="minorHAnsi" w:cstheme="minorHAnsi"/>
        </w:rPr>
        <w:t>where a term deposit allows the customer to make additional payments at any frequency, each additional payment shall qualify as a new contract.</w:t>
      </w:r>
    </w:p>
    <w:p w14:paraId="791416E9" w14:textId="5FBA3A32" w:rsidR="00BA487A" w:rsidRPr="00FE1F95" w:rsidRDefault="00BA487A" w:rsidP="00372C5E">
      <w:pPr>
        <w:pStyle w:val="Listaszerbekezds"/>
        <w:numPr>
          <w:ilvl w:val="0"/>
          <w:numId w:val="37"/>
        </w:numPr>
        <w:tabs>
          <w:tab w:val="left" w:pos="993"/>
        </w:tabs>
        <w:ind w:left="360"/>
        <w:rPr>
          <w:rFonts w:asciiTheme="minorHAnsi" w:hAnsiTheme="minorHAnsi" w:cstheme="minorHAnsi"/>
        </w:rPr>
      </w:pPr>
      <w:r w:rsidRPr="00FE1F95">
        <w:rPr>
          <w:rFonts w:asciiTheme="minorHAnsi" w:hAnsiTheme="minorHAnsi" w:cstheme="minorHAnsi"/>
        </w:rPr>
        <w:t>the amount of interest capitalised shall also qualify as a new contract.</w:t>
      </w:r>
    </w:p>
    <w:p w14:paraId="5216095B" w14:textId="77777777" w:rsidR="000A6CCC" w:rsidRPr="00FE1F95" w:rsidRDefault="000A6CCC" w:rsidP="00BA487A">
      <w:pPr>
        <w:pStyle w:val="Listaszerbekezds"/>
        <w:numPr>
          <w:ilvl w:val="0"/>
          <w:numId w:val="0"/>
        </w:numPr>
        <w:tabs>
          <w:tab w:val="left" w:pos="993"/>
        </w:tabs>
        <w:rPr>
          <w:rFonts w:asciiTheme="minorHAnsi" w:hAnsiTheme="minorHAnsi" w:cstheme="minorHAnsi"/>
        </w:rPr>
      </w:pPr>
    </w:p>
    <w:p w14:paraId="368BED6F" w14:textId="5F54C4FD" w:rsidR="00BA487A" w:rsidRPr="00FE1F95" w:rsidRDefault="00BA487A" w:rsidP="00BA487A">
      <w:pPr>
        <w:pStyle w:val="Listaszerbekezds"/>
        <w:numPr>
          <w:ilvl w:val="0"/>
          <w:numId w:val="0"/>
        </w:numPr>
        <w:tabs>
          <w:tab w:val="left" w:pos="993"/>
        </w:tabs>
        <w:rPr>
          <w:rFonts w:asciiTheme="minorHAnsi" w:hAnsiTheme="minorHAnsi" w:cstheme="minorHAnsi"/>
        </w:rPr>
      </w:pPr>
      <w:r w:rsidRPr="00FE1F95">
        <w:rPr>
          <w:rFonts w:asciiTheme="minorHAnsi" w:hAnsiTheme="minorHAnsi" w:cstheme="minorHAnsi"/>
        </w:rPr>
        <w:t>New</w:t>
      </w:r>
      <w:r w:rsidRPr="00FE1F95">
        <w:rPr>
          <w:rFonts w:ascii="Cambria Math" w:hAnsi="Cambria Math" w:cs="Cambria Math"/>
        </w:rPr>
        <w:t>‑</w:t>
      </w:r>
      <w:r w:rsidRPr="00FE1F95">
        <w:rPr>
          <w:rFonts w:asciiTheme="minorHAnsi" w:hAnsiTheme="minorHAnsi" w:cstheme="minorHAnsi"/>
        </w:rPr>
        <w:t>contract data in BETREG shall be reported for contracts originating from 01 June 2025 onwards, for the following instrument types:</w:t>
      </w:r>
    </w:p>
    <w:p w14:paraId="11DA1808" w14:textId="77777777" w:rsidR="0011197D" w:rsidRPr="00FE1F95" w:rsidRDefault="0011197D" w:rsidP="006D4D43">
      <w:pPr>
        <w:tabs>
          <w:tab w:val="left" w:pos="993"/>
        </w:tabs>
        <w:rPr>
          <w:rFonts w:asciiTheme="minorHAnsi" w:hAnsiTheme="minorHAnsi" w:cstheme="minorHAnsi"/>
        </w:rPr>
      </w:pPr>
    </w:p>
    <w:p w14:paraId="09289671" w14:textId="38497B7C" w:rsidR="00447A72" w:rsidRPr="00FE1F95" w:rsidRDefault="006D4D43" w:rsidP="00116445">
      <w:pPr>
        <w:pStyle w:val="Listaszerbekezds"/>
        <w:numPr>
          <w:ilvl w:val="0"/>
          <w:numId w:val="0"/>
        </w:numPr>
        <w:tabs>
          <w:tab w:val="left" w:pos="993"/>
        </w:tabs>
        <w:ind w:left="720"/>
        <w:rPr>
          <w:rFonts w:asciiTheme="minorHAnsi" w:hAnsiTheme="minorHAnsi" w:cstheme="minorHAnsi"/>
        </w:rPr>
      </w:pPr>
      <w:r w:rsidRPr="00FE1F95">
        <w:rPr>
          <w:rFonts w:asciiTheme="minorHAnsi" w:hAnsiTheme="minorHAnsi" w:cstheme="minorHAnsi"/>
          <w:noProof/>
        </w:rPr>
        <w:drawing>
          <wp:inline distT="0" distB="0" distL="0" distR="0" wp14:anchorId="354F943F" wp14:editId="271DAB83">
            <wp:extent cx="3400425" cy="1428750"/>
            <wp:effectExtent l="0" t="0" r="9525" b="0"/>
            <wp:docPr id="2072583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1428750"/>
                    </a:xfrm>
                    <a:prstGeom prst="rect">
                      <a:avLst/>
                    </a:prstGeom>
                    <a:noFill/>
                    <a:ln>
                      <a:noFill/>
                    </a:ln>
                  </pic:spPr>
                </pic:pic>
              </a:graphicData>
            </a:graphic>
          </wp:inline>
        </w:drawing>
      </w:r>
    </w:p>
    <w:p w14:paraId="2E669869" w14:textId="77777777" w:rsidR="00E152FF" w:rsidRPr="00FE1F95" w:rsidRDefault="00E152FF" w:rsidP="00E152FF">
      <w:pPr>
        <w:tabs>
          <w:tab w:val="left" w:pos="993"/>
        </w:tabs>
        <w:rPr>
          <w:rFonts w:asciiTheme="minorHAnsi" w:hAnsiTheme="minorHAnsi" w:cstheme="minorHAnsi"/>
        </w:rPr>
      </w:pPr>
      <w:r w:rsidRPr="00FE1F95">
        <w:rPr>
          <w:rFonts w:asciiTheme="minorHAnsi" w:hAnsiTheme="minorHAnsi" w:cstheme="minorHAnsi"/>
        </w:rPr>
        <w:t>Method of reporting new contracts in BETREG:</w:t>
      </w:r>
    </w:p>
    <w:p w14:paraId="30F1C777" w14:textId="77777777" w:rsidR="00E152FF" w:rsidRPr="00FE1F95" w:rsidRDefault="00E152FF" w:rsidP="00E152FF">
      <w:pPr>
        <w:numPr>
          <w:ilvl w:val="0"/>
          <w:numId w:val="38"/>
        </w:numPr>
        <w:tabs>
          <w:tab w:val="left" w:pos="993"/>
        </w:tabs>
        <w:rPr>
          <w:rFonts w:asciiTheme="minorHAnsi" w:hAnsiTheme="minorHAnsi" w:cstheme="minorHAnsi"/>
        </w:rPr>
      </w:pPr>
      <w:r w:rsidRPr="00FE1F95">
        <w:rPr>
          <w:rFonts w:asciiTheme="minorHAnsi" w:hAnsiTheme="minorHAnsi" w:cstheme="minorHAnsi"/>
        </w:rPr>
        <w:lastRenderedPageBreak/>
        <w:t>fields relating to new contracts shall be reported in the cases defined above (taking into account the exceptions specified in relation to repricing, in which cases the new</w:t>
      </w:r>
      <w:r w:rsidRPr="00FE1F95">
        <w:rPr>
          <w:rFonts w:asciiTheme="minorHAnsi" w:hAnsiTheme="minorHAnsi" w:cstheme="minorHAnsi"/>
        </w:rPr>
        <w:noBreakHyphen/>
        <w:t>contract fields shall be left blank).</w:t>
      </w:r>
    </w:p>
    <w:p w14:paraId="467DF978" w14:textId="3C8A5939" w:rsidR="00E152FF" w:rsidRPr="00FE1F95" w:rsidRDefault="00E152FF" w:rsidP="00E152FF">
      <w:pPr>
        <w:numPr>
          <w:ilvl w:val="0"/>
          <w:numId w:val="38"/>
        </w:numPr>
        <w:tabs>
          <w:tab w:val="left" w:pos="993"/>
        </w:tabs>
        <w:rPr>
          <w:rFonts w:asciiTheme="minorHAnsi" w:hAnsiTheme="minorHAnsi" w:cstheme="minorHAnsi"/>
        </w:rPr>
      </w:pPr>
      <w:r w:rsidRPr="00FE1F95">
        <w:rPr>
          <w:rFonts w:asciiTheme="minorHAnsi" w:hAnsiTheme="minorHAnsi" w:cstheme="minorHAnsi"/>
        </w:rPr>
        <w:t xml:space="preserve">term deposits shall be considered new contracts based on the date of placement. The date of placement is the point in time when the transaction/cash flow occurs and shall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CB3A45" w:rsidRPr="00FE1F95">
        <w:rPr>
          <w:rFonts w:asciiTheme="minorHAnsi" w:hAnsiTheme="minorHAnsi" w:cstheme="minorHAnsi"/>
          <w:b/>
          <w:bCs/>
        </w:rPr>
        <w:t>Instrument</w:t>
      </w:r>
      <w:proofErr w:type="spellEnd"/>
      <w:r w:rsidR="00CB3A45"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inception</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date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INSTR_BET.INDUL_NAP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which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as</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rule</w:t>
      </w:r>
      <w:proofErr w:type="spellEnd"/>
      <w:r w:rsidRPr="00FE1F95">
        <w:rPr>
          <w:rFonts w:asciiTheme="minorHAnsi" w:hAnsiTheme="minorHAnsi" w:cstheme="minorHAnsi"/>
        </w:rPr>
        <w:t xml:space="preserve">, is </w:t>
      </w:r>
      <w:proofErr w:type="spellStart"/>
      <w:r w:rsidRPr="00FE1F95">
        <w:rPr>
          <w:rFonts w:asciiTheme="minorHAnsi" w:hAnsiTheme="minorHAnsi" w:cstheme="minorHAnsi"/>
        </w:rPr>
        <w:t>identical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CB3A45" w:rsidRPr="00FE1F95">
        <w:rPr>
          <w:rFonts w:asciiTheme="minorHAnsi" w:hAnsiTheme="minorHAnsi" w:cstheme="minorHAnsi"/>
          <w:b/>
          <w:bCs/>
        </w:rPr>
        <w:t>Contract</w:t>
      </w:r>
      <w:proofErr w:type="spellEnd"/>
      <w:r w:rsidR="00CB3A45"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date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INSTR_BET.SZERZ_KOTES_NAP</w:t>
      </w:r>
      <w:proofErr w:type="spellEnd"/>
      <w:r w:rsidRPr="00FE1F95">
        <w:rPr>
          <w:rFonts w:asciiTheme="minorHAnsi" w:hAnsiTheme="minorHAnsi" w:cstheme="minorHAnsi"/>
        </w:rPr>
        <w:t>).</w:t>
      </w:r>
    </w:p>
    <w:p w14:paraId="11224E41" w14:textId="21FC6F80" w:rsidR="00525C96" w:rsidRPr="00FE1F95" w:rsidRDefault="00E152FF" w:rsidP="00080966">
      <w:pPr>
        <w:numPr>
          <w:ilvl w:val="0"/>
          <w:numId w:val="38"/>
        </w:numPr>
        <w:tabs>
          <w:tab w:val="left" w:pos="993"/>
        </w:tabs>
        <w:rPr>
          <w:rFonts w:asciiTheme="minorHAnsi" w:hAnsiTheme="minorHAnsi" w:cstheme="minorHAnsi"/>
        </w:rPr>
      </w:pPr>
      <w:r w:rsidRPr="00FE1F95">
        <w:rPr>
          <w:rFonts w:asciiTheme="minorHAnsi" w:hAnsiTheme="minorHAnsi" w:cstheme="minorHAnsi"/>
        </w:rPr>
        <w:t xml:space="preserve">the block below </w:t>
      </w:r>
      <w:proofErr w:type="spellStart"/>
      <w:r w:rsidRPr="00FE1F95">
        <w:rPr>
          <w:rFonts w:asciiTheme="minorHAnsi" w:hAnsiTheme="minorHAnsi" w:cstheme="minorHAnsi"/>
        </w:rPr>
        <w:t>relating</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new</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contracts</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shall</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completed</w:t>
      </w:r>
      <w:proofErr w:type="spellEnd"/>
      <w:r w:rsidRPr="00FE1F95">
        <w:rPr>
          <w:rFonts w:asciiTheme="minorHAnsi" w:hAnsiTheme="minorHAnsi" w:cstheme="minorHAnsi"/>
        </w:rPr>
        <w:t xml:space="preserve"> from the reporting period corresponding to the date reported in </w:t>
      </w:r>
      <w:proofErr w:type="spellStart"/>
      <w:r w:rsidRPr="00FE1F95">
        <w:rPr>
          <w:rFonts w:asciiTheme="minorHAnsi" w:hAnsiTheme="minorHAnsi" w:cstheme="minorHAnsi"/>
        </w:rPr>
        <w:t>the</w:t>
      </w:r>
      <w:proofErr w:type="spellEnd"/>
      <w:r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Instrument</w:t>
      </w:r>
      <w:proofErr w:type="spellEnd"/>
      <w:r w:rsidR="00CB3A45"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inception</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date</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w:t>
      </w:r>
    </w:p>
    <w:p w14:paraId="2328E80A" w14:textId="2EF3F3EC" w:rsidR="00080966" w:rsidRPr="00FE1F95" w:rsidRDefault="00080966" w:rsidP="00116445">
      <w:pPr>
        <w:pStyle w:val="Listaszerbekezds"/>
        <w:numPr>
          <w:ilvl w:val="0"/>
          <w:numId w:val="0"/>
        </w:numPr>
        <w:tabs>
          <w:tab w:val="left" w:pos="993"/>
        </w:tabs>
        <w:ind w:left="720"/>
        <w:rPr>
          <w:rFonts w:asciiTheme="minorHAnsi" w:hAnsiTheme="minorHAnsi" w:cstheme="minorHAnsi"/>
        </w:rPr>
      </w:pPr>
    </w:p>
    <w:p w14:paraId="5A5E5E33" w14:textId="0F4A42DE" w:rsidR="00464409" w:rsidRPr="00FE1F95" w:rsidRDefault="00464409" w:rsidP="00116445">
      <w:pPr>
        <w:pStyle w:val="Listaszerbekezds"/>
        <w:numPr>
          <w:ilvl w:val="0"/>
          <w:numId w:val="0"/>
        </w:numPr>
        <w:tabs>
          <w:tab w:val="left" w:pos="993"/>
        </w:tabs>
        <w:ind w:left="720"/>
        <w:rPr>
          <w:rFonts w:asciiTheme="minorHAnsi" w:hAnsiTheme="minorHAnsi" w:cstheme="minorHAnsi"/>
        </w:rPr>
      </w:pPr>
      <w:r w:rsidRPr="00FE1F95">
        <w:rPr>
          <w:rFonts w:asciiTheme="minorHAnsi" w:hAnsiTheme="minorHAnsi" w:cstheme="minorHAnsi"/>
          <w:noProof/>
        </w:rPr>
        <w:drawing>
          <wp:inline distT="0" distB="0" distL="0" distR="0" wp14:anchorId="4DC0F47C" wp14:editId="477FDCE6">
            <wp:extent cx="4502150" cy="1117600"/>
            <wp:effectExtent l="0" t="0" r="0" b="6350"/>
            <wp:docPr id="20895365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2150" cy="1117600"/>
                    </a:xfrm>
                    <a:prstGeom prst="rect">
                      <a:avLst/>
                    </a:prstGeom>
                    <a:noFill/>
                    <a:ln>
                      <a:noFill/>
                    </a:ln>
                  </pic:spPr>
                </pic:pic>
              </a:graphicData>
            </a:graphic>
          </wp:inline>
        </w:drawing>
      </w:r>
    </w:p>
    <w:p w14:paraId="3BD0D60C" w14:textId="238148CB" w:rsidR="00E152FF" w:rsidRPr="00FE1F95" w:rsidRDefault="00E152FF" w:rsidP="00E152FF">
      <w:pPr>
        <w:tabs>
          <w:tab w:val="left" w:pos="993"/>
        </w:tabs>
        <w:ind w:left="360"/>
        <w:rPr>
          <w:rFonts w:asciiTheme="minorHAnsi" w:hAnsiTheme="minorHAnsi" w:cstheme="minorHAnsi"/>
        </w:rPr>
      </w:pPr>
      <w:r w:rsidRPr="00FE1F95">
        <w:rPr>
          <w:rFonts w:asciiTheme="minorHAnsi" w:hAnsiTheme="minorHAnsi" w:cstheme="minorHAnsi"/>
        </w:rPr>
        <w:t xml:space="preserve">As a </w:t>
      </w:r>
      <w:proofErr w:type="spellStart"/>
      <w:r w:rsidRPr="00FE1F95">
        <w:rPr>
          <w:rFonts w:asciiTheme="minorHAnsi" w:hAnsiTheme="minorHAnsi" w:cstheme="minorHAnsi"/>
        </w:rPr>
        <w:t>general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rule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CB3A45" w:rsidRPr="00FE1F95">
        <w:rPr>
          <w:rFonts w:asciiTheme="minorHAnsi" w:hAnsiTheme="minorHAnsi" w:cstheme="minorHAnsi"/>
          <w:b/>
          <w:bCs/>
        </w:rPr>
        <w:t>Amount</w:t>
      </w:r>
      <w:proofErr w:type="spellEnd"/>
      <w:r w:rsidR="00CB3A45" w:rsidRPr="00FE1F95">
        <w:rPr>
          <w:rFonts w:asciiTheme="minorHAnsi" w:hAnsiTheme="minorHAnsi" w:cstheme="minorHAnsi"/>
          <w:b/>
          <w:bCs/>
        </w:rPr>
        <w:t xml:space="preserve"> of </w:t>
      </w:r>
      <w:proofErr w:type="spellStart"/>
      <w:r w:rsidR="00CB3A45" w:rsidRPr="00FE1F95">
        <w:rPr>
          <w:rFonts w:asciiTheme="minorHAnsi" w:hAnsiTheme="minorHAnsi" w:cstheme="minorHAnsi"/>
          <w:b/>
          <w:bCs/>
        </w:rPr>
        <w:t>deposit</w:t>
      </w:r>
      <w:proofErr w:type="spellEnd"/>
      <w:r w:rsidRPr="00FE1F95">
        <w:rPr>
          <w:rFonts w:asciiTheme="minorHAnsi" w:hAnsiTheme="minorHAnsi" w:cstheme="minorHAnsi"/>
          <w:b/>
          <w:bCs/>
        </w:rPr>
        <w:t>”</w:t>
      </w:r>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Amount</w:t>
      </w:r>
      <w:proofErr w:type="spellEnd"/>
      <w:r w:rsidRPr="00FE1F95">
        <w:rPr>
          <w:rFonts w:asciiTheme="minorHAnsi" w:hAnsiTheme="minorHAnsi" w:cstheme="minorHAnsi"/>
          <w:b/>
          <w:bCs/>
        </w:rPr>
        <w:t xml:space="preserve"> of </w:t>
      </w:r>
      <w:proofErr w:type="spellStart"/>
      <w:r w:rsidRPr="00FE1F95">
        <w:rPr>
          <w:rFonts w:asciiTheme="minorHAnsi" w:hAnsiTheme="minorHAnsi" w:cstheme="minorHAnsi"/>
          <w:b/>
          <w:bCs/>
        </w:rPr>
        <w:t>newly</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placed</w:t>
      </w:r>
      <w:proofErr w:type="spellEnd"/>
      <w:r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time</w:t>
      </w:r>
      <w:proofErr w:type="spellEnd"/>
      <w:r w:rsidR="00CB3A45" w:rsidRPr="00FE1F95">
        <w:rPr>
          <w:rFonts w:asciiTheme="minorHAnsi" w:hAnsiTheme="minorHAnsi" w:cstheme="minorHAnsi"/>
          <w:b/>
          <w:bCs/>
        </w:rPr>
        <w:t xml:space="preserve"> </w:t>
      </w:r>
      <w:proofErr w:type="spellStart"/>
      <w:r w:rsidRPr="00FE1F95">
        <w:rPr>
          <w:rFonts w:asciiTheme="minorHAnsi" w:hAnsiTheme="minorHAnsi" w:cstheme="minorHAnsi"/>
          <w:b/>
          <w:bCs/>
        </w:rPr>
        <w:t>deposit</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are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identical</w:t>
      </w:r>
      <w:proofErr w:type="spellEnd"/>
      <w:r w:rsidRPr="00FE1F95">
        <w:rPr>
          <w:rFonts w:asciiTheme="minorHAnsi" w:hAnsiTheme="minorHAnsi" w:cstheme="minorHAnsi"/>
        </w:rPr>
        <w:t>. However, if, for example, the customer makes an additional payment to an existing term deposit in the manner described under the definition of a new contract, only the incremental amount qualifies as a new contract. Consequently, the instrument amount shall equal the total amount of the term deposit, while the amount of newly placed deposit shall correspond to the incremental amount only. In such cases, the deposit start date shall be modified: the date of the payment qualifying as a new contract shall be reported, while the contract conclusion date shall remain unchanged. If the amount of the term deposit does not change in a given month, the data relating to the new contract shall be left unchanged (including the related interest</w:t>
      </w:r>
      <w:r w:rsidRPr="00FE1F95">
        <w:rPr>
          <w:rFonts w:asciiTheme="minorHAnsi" w:hAnsiTheme="minorHAnsi" w:cstheme="minorHAnsi"/>
        </w:rPr>
        <w:noBreakHyphen/>
        <w:t>rate fields).</w:t>
      </w:r>
      <w:r w:rsidR="0034385A" w:rsidRPr="00FE1F95">
        <w:rPr>
          <w:rFonts w:asciiTheme="minorHAnsi" w:hAnsiTheme="minorHAnsi" w:cstheme="minorHAnsi"/>
        </w:rPr>
        <w:t xml:space="preserve"> T</w:t>
      </w:r>
      <w:r w:rsidRPr="00FE1F95">
        <w:rPr>
          <w:rFonts w:asciiTheme="minorHAnsi" w:hAnsiTheme="minorHAnsi" w:cstheme="minorHAnsi"/>
        </w:rPr>
        <w:t>he same logic shall apply when reporting new</w:t>
      </w:r>
      <w:r w:rsidRPr="00FE1F95">
        <w:rPr>
          <w:rFonts w:asciiTheme="minorHAnsi" w:hAnsiTheme="minorHAnsi" w:cstheme="minorHAnsi"/>
        </w:rPr>
        <w:noBreakHyphen/>
        <w:t>contract data for repo liabilities.</w:t>
      </w:r>
    </w:p>
    <w:p w14:paraId="608473A3" w14:textId="5212F1BE" w:rsidR="00E152FF" w:rsidRPr="00FE1F95" w:rsidRDefault="00E152FF" w:rsidP="00E152FF">
      <w:pPr>
        <w:tabs>
          <w:tab w:val="left" w:pos="993"/>
        </w:tabs>
        <w:ind w:left="360"/>
        <w:rPr>
          <w:rFonts w:asciiTheme="minorHAnsi" w:hAnsiTheme="minorHAnsi" w:cstheme="minorHAnsi"/>
        </w:rPr>
      </w:pPr>
      <w:r w:rsidRPr="00FE1F95">
        <w:rPr>
          <w:rFonts w:asciiTheme="minorHAnsi" w:hAnsiTheme="minorHAnsi" w:cstheme="minorHAnsi"/>
        </w:rPr>
        <w:t>Example:</w:t>
      </w:r>
    </w:p>
    <w:p w14:paraId="10371C22" w14:textId="77777777" w:rsidR="00E152FF" w:rsidRPr="00FE1F95" w:rsidRDefault="00E152FF" w:rsidP="00116445">
      <w:pPr>
        <w:pStyle w:val="Listaszerbekezds"/>
        <w:numPr>
          <w:ilvl w:val="0"/>
          <w:numId w:val="0"/>
        </w:numPr>
        <w:tabs>
          <w:tab w:val="left" w:pos="993"/>
        </w:tabs>
        <w:ind w:left="720"/>
        <w:rPr>
          <w:rFonts w:asciiTheme="minorHAnsi" w:hAnsiTheme="minorHAnsi" w:cstheme="minorHAnsi"/>
        </w:rPr>
      </w:pPr>
    </w:p>
    <w:p w14:paraId="1EDF2AF8" w14:textId="77777777" w:rsidR="001E666A" w:rsidRPr="00FE1F95" w:rsidRDefault="001E666A" w:rsidP="00116445">
      <w:pPr>
        <w:pStyle w:val="Listaszerbekezds"/>
        <w:numPr>
          <w:ilvl w:val="0"/>
          <w:numId w:val="0"/>
        </w:numPr>
        <w:tabs>
          <w:tab w:val="left" w:pos="993"/>
        </w:tabs>
        <w:ind w:left="720"/>
        <w:rPr>
          <w:rFonts w:asciiTheme="minorHAnsi" w:hAnsiTheme="minorHAnsi" w:cstheme="minorHAnsi"/>
        </w:rPr>
      </w:pPr>
    </w:p>
    <w:p w14:paraId="0E14D927" w14:textId="143141D6" w:rsidR="001E666A" w:rsidRPr="00FE1F95" w:rsidRDefault="001E666A" w:rsidP="00116445">
      <w:pPr>
        <w:pStyle w:val="Listaszerbekezds"/>
        <w:numPr>
          <w:ilvl w:val="0"/>
          <w:numId w:val="0"/>
        </w:numPr>
        <w:tabs>
          <w:tab w:val="left" w:pos="993"/>
        </w:tabs>
        <w:ind w:left="720"/>
        <w:rPr>
          <w:rFonts w:asciiTheme="minorHAnsi" w:hAnsiTheme="minorHAnsi" w:cstheme="minorHAnsi"/>
        </w:rPr>
      </w:pPr>
    </w:p>
    <w:p w14:paraId="3EA2E2E4" w14:textId="19655181" w:rsidR="00997FB7" w:rsidRPr="00FE1F95" w:rsidRDefault="00997FB7" w:rsidP="00116445">
      <w:pPr>
        <w:pStyle w:val="Listaszerbekezds"/>
        <w:numPr>
          <w:ilvl w:val="0"/>
          <w:numId w:val="0"/>
        </w:numPr>
        <w:tabs>
          <w:tab w:val="left" w:pos="993"/>
        </w:tabs>
        <w:ind w:left="720"/>
        <w:rPr>
          <w:rFonts w:asciiTheme="minorHAnsi" w:hAnsiTheme="minorHAnsi" w:cstheme="minorHAnsi"/>
        </w:rPr>
      </w:pPr>
    </w:p>
    <w:p w14:paraId="6E29794F" w14:textId="2AE6D44B" w:rsidR="009836B4" w:rsidRPr="00FE1F95" w:rsidRDefault="009836B4" w:rsidP="00116445">
      <w:pPr>
        <w:pStyle w:val="Listaszerbekezds"/>
        <w:numPr>
          <w:ilvl w:val="0"/>
          <w:numId w:val="0"/>
        </w:numPr>
        <w:tabs>
          <w:tab w:val="left" w:pos="993"/>
        </w:tabs>
        <w:ind w:left="720"/>
        <w:rPr>
          <w:rFonts w:asciiTheme="minorHAnsi" w:hAnsiTheme="minorHAnsi" w:cstheme="minorHAnsi"/>
        </w:rPr>
      </w:pPr>
    </w:p>
    <w:p w14:paraId="1845A8F8" w14:textId="55975D65" w:rsidR="005F2913" w:rsidRPr="00FE1F95" w:rsidRDefault="005F2913" w:rsidP="00116445">
      <w:pPr>
        <w:pStyle w:val="Listaszerbekezds"/>
        <w:numPr>
          <w:ilvl w:val="0"/>
          <w:numId w:val="0"/>
        </w:numPr>
        <w:tabs>
          <w:tab w:val="left" w:pos="993"/>
        </w:tabs>
        <w:ind w:left="720"/>
        <w:rPr>
          <w:rFonts w:asciiTheme="minorHAnsi" w:hAnsiTheme="minorHAnsi" w:cstheme="minorHAnsi"/>
        </w:rPr>
      </w:pPr>
      <w:r w:rsidRPr="00FE1F95">
        <w:rPr>
          <w:rFonts w:asciiTheme="minorHAnsi" w:hAnsiTheme="minorHAnsi" w:cstheme="minorHAnsi"/>
          <w:noProof/>
        </w:rPr>
        <w:lastRenderedPageBreak/>
        <w:drawing>
          <wp:inline distT="0" distB="0" distL="0" distR="0" wp14:anchorId="2FD03F68" wp14:editId="4C117A8D">
            <wp:extent cx="5534025" cy="6486525"/>
            <wp:effectExtent l="0" t="0" r="9525" b="9525"/>
            <wp:docPr id="2024108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4025" cy="6486525"/>
                    </a:xfrm>
                    <a:prstGeom prst="rect">
                      <a:avLst/>
                    </a:prstGeom>
                    <a:noFill/>
                    <a:ln>
                      <a:noFill/>
                    </a:ln>
                  </pic:spPr>
                </pic:pic>
              </a:graphicData>
            </a:graphic>
          </wp:inline>
        </w:drawing>
      </w:r>
    </w:p>
    <w:p w14:paraId="18B352B5" w14:textId="77777777" w:rsidR="0034385A" w:rsidRPr="00FE1F95" w:rsidRDefault="0034385A" w:rsidP="0034385A">
      <w:pPr>
        <w:spacing w:after="0"/>
        <w:ind w:left="709"/>
        <w:rPr>
          <w:rFonts w:asciiTheme="minorHAnsi" w:hAnsiTheme="minorHAnsi" w:cstheme="minorHAnsi"/>
        </w:rPr>
      </w:pPr>
      <w:r w:rsidRPr="00FE1F95">
        <w:rPr>
          <w:rFonts w:asciiTheme="minorHAnsi" w:hAnsiTheme="minorHAnsi" w:cstheme="minorHAnsi"/>
        </w:rPr>
        <w:t>If, within the same reference period, multiple amounts are received from the client as an increase to a given fixed deposit, the total amount of the new contracts must be reported in a single aggregate amount, using the date of the first cash movement.</w:t>
      </w:r>
    </w:p>
    <w:p w14:paraId="3278B01D" w14:textId="77777777" w:rsidR="0034385A" w:rsidRPr="00FE1F95" w:rsidRDefault="0034385A" w:rsidP="0034385A">
      <w:pPr>
        <w:numPr>
          <w:ilvl w:val="0"/>
          <w:numId w:val="40"/>
        </w:numPr>
        <w:spacing w:after="0"/>
        <w:rPr>
          <w:rFonts w:asciiTheme="minorHAnsi" w:hAnsiTheme="minorHAnsi" w:cstheme="minorHAnsi"/>
        </w:rPr>
      </w:pPr>
      <w:r w:rsidRPr="00FE1F95">
        <w:rPr>
          <w:rFonts w:asciiTheme="minorHAnsi" w:hAnsiTheme="minorHAnsi" w:cstheme="minorHAnsi"/>
        </w:rPr>
        <w:t>Deposits that both commence and mature within the same month must be reported in accordance with the general rules; however, the balance sheet values must be reported as zero, while the new contractual data must still be reported.</w:t>
      </w:r>
    </w:p>
    <w:p w14:paraId="5B091184" w14:textId="529E9895" w:rsidR="0034385A" w:rsidRPr="00FE1F95" w:rsidRDefault="0034385A" w:rsidP="0034385A">
      <w:pPr>
        <w:numPr>
          <w:ilvl w:val="0"/>
          <w:numId w:val="40"/>
        </w:numPr>
        <w:spacing w:after="0"/>
        <w:rPr>
          <w:rFonts w:asciiTheme="minorHAnsi" w:hAnsiTheme="minorHAnsi" w:cstheme="minorHAnsi"/>
        </w:rPr>
      </w:pPr>
      <w:r w:rsidRPr="00FE1F95">
        <w:rPr>
          <w:rFonts w:asciiTheme="minorHAnsi" w:hAnsiTheme="minorHAnsi" w:cstheme="minorHAnsi"/>
        </w:rPr>
        <w:t xml:space="preserve">If a change occurs in the contract that qualifies as a new contract under Annex 2 of the MNB decree related to the core data reporting obligations, the full contractual amount must be reported as a new contract amount in the field </w:t>
      </w:r>
      <w:r w:rsidRPr="00FE1F95">
        <w:rPr>
          <w:rFonts w:asciiTheme="minorHAnsi" w:hAnsiTheme="minorHAnsi" w:cstheme="minorHAnsi"/>
          <w:b/>
          <w:bCs/>
        </w:rPr>
        <w:t xml:space="preserve">“Amount of </w:t>
      </w:r>
      <w:proofErr w:type="spellStart"/>
      <w:r w:rsidRPr="00FE1F95">
        <w:rPr>
          <w:rFonts w:asciiTheme="minorHAnsi" w:hAnsiTheme="minorHAnsi" w:cstheme="minorHAnsi"/>
          <w:b/>
          <w:bCs/>
        </w:rPr>
        <w:t>newly</w:t>
      </w:r>
      <w:proofErr w:type="spellEnd"/>
      <w:r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placed</w:t>
      </w:r>
      <w:proofErr w:type="spellEnd"/>
      <w:r w:rsidR="00CB3A45" w:rsidRPr="00FE1F95">
        <w:rPr>
          <w:rFonts w:asciiTheme="minorHAnsi" w:hAnsiTheme="minorHAnsi" w:cstheme="minorHAnsi"/>
          <w:b/>
          <w:bCs/>
        </w:rPr>
        <w:t xml:space="preserve"> </w:t>
      </w:r>
      <w:proofErr w:type="spellStart"/>
      <w:r w:rsidR="00CB3A45" w:rsidRPr="00FE1F95">
        <w:rPr>
          <w:rFonts w:asciiTheme="minorHAnsi" w:hAnsiTheme="minorHAnsi" w:cstheme="minorHAnsi"/>
          <w:b/>
          <w:bCs/>
        </w:rPr>
        <w:t>time</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deposit</w:t>
      </w:r>
      <w:proofErr w:type="spellEnd"/>
      <w:r w:rsidRPr="00FE1F95">
        <w:rPr>
          <w:rFonts w:asciiTheme="minorHAnsi" w:hAnsiTheme="minorHAnsi" w:cstheme="minorHAnsi"/>
          <w:b/>
          <w:bCs/>
        </w:rPr>
        <w:t>”</w:t>
      </w:r>
      <w:r w:rsidRPr="00FE1F95">
        <w:rPr>
          <w:rFonts w:asciiTheme="minorHAnsi" w:hAnsiTheme="minorHAnsi" w:cstheme="minorHAnsi"/>
        </w:rPr>
        <w:t>.</w:t>
      </w:r>
    </w:p>
    <w:p w14:paraId="71AA2CC3" w14:textId="77777777" w:rsidR="0034385A" w:rsidRPr="00FE1F95" w:rsidRDefault="0034385A" w:rsidP="009836B4">
      <w:pPr>
        <w:spacing w:after="0"/>
        <w:ind w:left="709"/>
        <w:rPr>
          <w:rFonts w:asciiTheme="minorHAnsi" w:hAnsiTheme="minorHAnsi" w:cstheme="minorHAnsi"/>
        </w:rPr>
      </w:pPr>
    </w:p>
    <w:p w14:paraId="2C315493" w14:textId="28EAC373" w:rsidR="009836B4" w:rsidRPr="00FE1F95" w:rsidRDefault="009836B4" w:rsidP="000F3998">
      <w:pPr>
        <w:rPr>
          <w:rFonts w:asciiTheme="minorHAnsi" w:hAnsiTheme="minorHAnsi" w:cstheme="minorHAnsi"/>
        </w:rPr>
      </w:pPr>
    </w:p>
    <w:p w14:paraId="2490AAED" w14:textId="31AF30AA" w:rsidR="00471370" w:rsidRPr="00FE1F95" w:rsidRDefault="00471370" w:rsidP="000F3998">
      <w:pPr>
        <w:rPr>
          <w:rFonts w:asciiTheme="minorHAnsi" w:hAnsiTheme="minorHAnsi" w:cstheme="minorHAnsi"/>
        </w:rPr>
      </w:pPr>
      <w:r w:rsidRPr="00FE1F95">
        <w:rPr>
          <w:rFonts w:asciiTheme="minorHAnsi" w:hAnsiTheme="minorHAnsi" w:cstheme="minorHAnsi"/>
          <w:noProof/>
        </w:rPr>
        <w:lastRenderedPageBreak/>
        <w:drawing>
          <wp:inline distT="0" distB="0" distL="0" distR="0" wp14:anchorId="20FBEBC9" wp14:editId="394BF2D2">
            <wp:extent cx="5648325" cy="4057650"/>
            <wp:effectExtent l="0" t="0" r="9525" b="0"/>
            <wp:docPr id="1247463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8325" cy="4057650"/>
                    </a:xfrm>
                    <a:prstGeom prst="rect">
                      <a:avLst/>
                    </a:prstGeom>
                    <a:noFill/>
                    <a:ln>
                      <a:noFill/>
                    </a:ln>
                  </pic:spPr>
                </pic:pic>
              </a:graphicData>
            </a:graphic>
          </wp:inline>
        </w:drawing>
      </w:r>
    </w:p>
    <w:p w14:paraId="47ED3550" w14:textId="06DA204E" w:rsidR="0034385A" w:rsidRPr="00FE1F95" w:rsidRDefault="0034385A" w:rsidP="0034385A">
      <w:pPr>
        <w:spacing w:before="100" w:beforeAutospacing="1" w:after="100" w:afterAutospacing="1" w:line="300" w:lineRule="atLeast"/>
        <w:jc w:val="left"/>
        <w:rPr>
          <w:rFonts w:asciiTheme="minorHAnsi" w:eastAsia="Times New Roman" w:hAnsiTheme="minorHAnsi" w:cstheme="minorHAnsi"/>
        </w:rPr>
      </w:pPr>
      <w:r w:rsidRPr="00FE1F95">
        <w:rPr>
          <w:rFonts w:asciiTheme="minorHAnsi" w:eastAsia="Times New Roman" w:hAnsiTheme="minorHAnsi" w:cstheme="minorHAnsi"/>
        </w:rPr>
        <w:t xml:space="preserve">With regard </w:t>
      </w:r>
      <w:proofErr w:type="spellStart"/>
      <w:r w:rsidRPr="00FE1F95">
        <w:rPr>
          <w:rFonts w:asciiTheme="minorHAnsi" w:eastAsia="Times New Roman" w:hAnsiTheme="minorHAnsi" w:cstheme="minorHAnsi"/>
        </w:rPr>
        <w:t>to</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r w:rsidRPr="00FE1F95">
        <w:rPr>
          <w:rFonts w:asciiTheme="minorHAnsi" w:eastAsia="Times New Roman" w:hAnsiTheme="minorHAnsi" w:cstheme="minorHAnsi"/>
          <w:b/>
          <w:bCs/>
        </w:rPr>
        <w:t>“</w:t>
      </w:r>
      <w:proofErr w:type="spellStart"/>
      <w:r w:rsidR="00CB3A45" w:rsidRPr="00FE1F95">
        <w:rPr>
          <w:rFonts w:asciiTheme="minorHAnsi" w:eastAsia="Times New Roman" w:hAnsiTheme="minorHAnsi" w:cstheme="minorHAnsi"/>
          <w:b/>
          <w:bCs/>
        </w:rPr>
        <w:t>Initial</w:t>
      </w:r>
      <w:proofErr w:type="spellEnd"/>
      <w:r w:rsidR="00CB3A45" w:rsidRPr="00FE1F95">
        <w:rPr>
          <w:rFonts w:asciiTheme="minorHAnsi" w:eastAsia="Times New Roman" w:hAnsiTheme="minorHAnsi" w:cstheme="minorHAnsi"/>
          <w:b/>
          <w:bCs/>
        </w:rPr>
        <w:t xml:space="preserve"> </w:t>
      </w:r>
      <w:proofErr w:type="spellStart"/>
      <w:r w:rsidR="00CB3A45" w:rsidRPr="00FE1F95">
        <w:rPr>
          <w:rFonts w:asciiTheme="minorHAnsi" w:eastAsia="Times New Roman" w:hAnsiTheme="minorHAnsi" w:cstheme="minorHAnsi"/>
          <w:b/>
          <w:bCs/>
        </w:rPr>
        <w:t>nominal</w:t>
      </w:r>
      <w:proofErr w:type="spellEnd"/>
      <w:r w:rsidR="00CB3A45" w:rsidRPr="00FE1F95">
        <w:rPr>
          <w:rFonts w:asciiTheme="minorHAnsi" w:eastAsia="Times New Roman" w:hAnsiTheme="minorHAnsi" w:cstheme="minorHAnsi"/>
          <w:b/>
          <w:bCs/>
        </w:rPr>
        <w:t xml:space="preserve"> interest </w:t>
      </w:r>
      <w:proofErr w:type="spellStart"/>
      <w:r w:rsidR="00CB3A45" w:rsidRPr="00FE1F95">
        <w:rPr>
          <w:rFonts w:asciiTheme="minorHAnsi" w:eastAsia="Times New Roman" w:hAnsiTheme="minorHAnsi" w:cstheme="minorHAnsi"/>
          <w:b/>
          <w:bCs/>
        </w:rPr>
        <w:t>rate</w:t>
      </w:r>
      <w:proofErr w:type="spellEnd"/>
      <w:r w:rsidR="00CB3A45" w:rsidRPr="00FE1F95">
        <w:rPr>
          <w:rFonts w:asciiTheme="minorHAnsi" w:eastAsia="Times New Roman" w:hAnsiTheme="minorHAnsi" w:cstheme="minorHAnsi"/>
          <w:b/>
          <w:bCs/>
        </w:rPr>
        <w:t xml:space="preserve"> = </w:t>
      </w:r>
      <w:proofErr w:type="spellStart"/>
      <w:r w:rsidR="00CB3A45" w:rsidRPr="00FE1F95">
        <w:rPr>
          <w:rFonts w:asciiTheme="minorHAnsi" w:eastAsia="Times New Roman" w:hAnsiTheme="minorHAnsi" w:cstheme="minorHAnsi"/>
          <w:b/>
          <w:bCs/>
        </w:rPr>
        <w:t>contractual</w:t>
      </w:r>
      <w:proofErr w:type="spellEnd"/>
      <w:r w:rsidR="00CB3A45" w:rsidRPr="00FE1F95">
        <w:rPr>
          <w:rFonts w:asciiTheme="minorHAnsi" w:eastAsia="Times New Roman" w:hAnsiTheme="minorHAnsi" w:cstheme="minorHAnsi"/>
          <w:b/>
          <w:bCs/>
        </w:rPr>
        <w:t xml:space="preserve"> interest </w:t>
      </w:r>
      <w:proofErr w:type="spellStart"/>
      <w:r w:rsidR="00CB3A45" w:rsidRPr="00FE1F95">
        <w:rPr>
          <w:rFonts w:asciiTheme="minorHAnsi" w:eastAsia="Times New Roman" w:hAnsiTheme="minorHAnsi" w:cstheme="minorHAnsi"/>
          <w:b/>
          <w:bCs/>
        </w:rPr>
        <w:t>rate</w:t>
      </w:r>
      <w:proofErr w:type="spellEnd"/>
      <w:r w:rsidRPr="00FE1F95">
        <w:rPr>
          <w:rFonts w:asciiTheme="minorHAnsi" w:eastAsia="Times New Roman" w:hAnsiTheme="minorHAnsi" w:cstheme="minorHAnsi"/>
          <w:b/>
          <w:bCs/>
        </w:rPr>
        <w:t>”</w:t>
      </w:r>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interest </w:t>
      </w:r>
      <w:proofErr w:type="spellStart"/>
      <w:r w:rsidRPr="00FE1F95">
        <w:rPr>
          <w:rFonts w:asciiTheme="minorHAnsi" w:eastAsia="Times New Roman" w:hAnsiTheme="minorHAnsi" w:cstheme="minorHAnsi"/>
        </w:rPr>
        <w:t>rate</w:t>
      </w:r>
      <w:proofErr w:type="spellEnd"/>
      <w:r w:rsidRPr="00FE1F95">
        <w:rPr>
          <w:rFonts w:asciiTheme="minorHAnsi" w:eastAsia="Times New Roman" w:hAnsiTheme="minorHAnsi" w:cstheme="minorHAnsi"/>
        </w:rPr>
        <w:t xml:space="preserve"> specified in the contract concluded with the client must be reported. In the case of tiered interest rates, the following rules apply depending on the type of tiering:</w:t>
      </w:r>
    </w:p>
    <w:p w14:paraId="72232AA1" w14:textId="77777777" w:rsidR="0034385A" w:rsidRPr="00FE1F95" w:rsidRDefault="0034385A" w:rsidP="0034385A">
      <w:pPr>
        <w:numPr>
          <w:ilvl w:val="0"/>
          <w:numId w:val="10"/>
        </w:numPr>
        <w:spacing w:before="100" w:beforeAutospacing="1" w:after="100" w:afterAutospacing="1" w:line="300" w:lineRule="atLeast"/>
        <w:jc w:val="left"/>
        <w:rPr>
          <w:rFonts w:asciiTheme="minorHAnsi" w:eastAsia="Times New Roman" w:hAnsiTheme="minorHAnsi" w:cstheme="minorHAnsi"/>
        </w:rPr>
      </w:pPr>
      <w:r w:rsidRPr="00FE1F95">
        <w:rPr>
          <w:rFonts w:asciiTheme="minorHAnsi" w:eastAsia="Times New Roman" w:hAnsiTheme="minorHAnsi" w:cstheme="minorHAnsi"/>
        </w:rPr>
        <w:t>In the case of tiered interest rates based on the term of the deposit, if the maturity of the deposit is already clearly defined at the time of contract conclusion, the weighted average of the interest rates applicable to the individual tiers must be reported for new contracts. If, at the time of contract conclusion, it is not yet clear for how long the client will fix the deposit, the shortest maturity and the corresponding interest rate must be reported.</w:t>
      </w:r>
    </w:p>
    <w:p w14:paraId="4A276A42" w14:textId="77777777" w:rsidR="0034385A" w:rsidRPr="00FE1F95" w:rsidRDefault="0034385A" w:rsidP="0034385A">
      <w:pPr>
        <w:numPr>
          <w:ilvl w:val="0"/>
          <w:numId w:val="10"/>
        </w:numPr>
        <w:spacing w:before="100" w:beforeAutospacing="1" w:after="100" w:afterAutospacing="1" w:line="300" w:lineRule="atLeast"/>
        <w:jc w:val="left"/>
        <w:rPr>
          <w:rFonts w:asciiTheme="minorHAnsi" w:eastAsia="Times New Roman" w:hAnsiTheme="minorHAnsi" w:cstheme="minorHAnsi"/>
        </w:rPr>
      </w:pPr>
      <w:r w:rsidRPr="00FE1F95">
        <w:rPr>
          <w:rFonts w:asciiTheme="minorHAnsi" w:eastAsia="Times New Roman" w:hAnsiTheme="minorHAnsi" w:cstheme="minorHAnsi"/>
        </w:rPr>
        <w:t>In the case of contracts with tiered interest rates based on the deposited amount, the weighted average interest rate must be reported, as both the deposited amount and the interest rates applicable to the relevant amount brackets are always known at the time of contract conclusion.</w:t>
      </w:r>
    </w:p>
    <w:p w14:paraId="652444E9" w14:textId="77777777" w:rsidR="0034385A" w:rsidRPr="00FE1F95" w:rsidRDefault="0034385A" w:rsidP="0034385A">
      <w:pPr>
        <w:numPr>
          <w:ilvl w:val="0"/>
          <w:numId w:val="10"/>
        </w:numPr>
        <w:spacing w:before="100" w:beforeAutospacing="1" w:after="100" w:afterAutospacing="1" w:line="300" w:lineRule="atLeast"/>
        <w:jc w:val="left"/>
        <w:rPr>
          <w:rFonts w:asciiTheme="minorHAnsi" w:eastAsia="Times New Roman" w:hAnsiTheme="minorHAnsi" w:cstheme="minorHAnsi"/>
        </w:rPr>
      </w:pPr>
      <w:r w:rsidRPr="00FE1F95">
        <w:rPr>
          <w:rFonts w:asciiTheme="minorHAnsi" w:eastAsia="Times New Roman" w:hAnsiTheme="minorHAnsi" w:cstheme="minorHAnsi"/>
        </w:rPr>
        <w:t>In the case of structured deposits, the guaranteed minimum interest rate must be reported, i.e. the rate that the client can obtain without meeting the conditions stipulated in the related derivative transaction. If the contract does not specify a guaranteed interest rate, a value of 0% must be reported as the new contractual interest rate.</w:t>
      </w:r>
    </w:p>
    <w:p w14:paraId="79DA787D" w14:textId="3EC6DAD4" w:rsidR="0019490D" w:rsidRPr="00FE1F95" w:rsidRDefault="0034385A" w:rsidP="004006E8">
      <w:pPr>
        <w:numPr>
          <w:ilvl w:val="0"/>
          <w:numId w:val="10"/>
        </w:numPr>
        <w:spacing w:before="100" w:beforeAutospacing="1" w:after="100" w:afterAutospacing="1" w:line="300" w:lineRule="atLeast"/>
        <w:jc w:val="left"/>
        <w:rPr>
          <w:rFonts w:asciiTheme="minorHAnsi" w:eastAsia="Times New Roman" w:hAnsiTheme="minorHAnsi" w:cstheme="minorHAnsi"/>
        </w:rPr>
      </w:pPr>
      <w:r w:rsidRPr="00FE1F95">
        <w:rPr>
          <w:rFonts w:asciiTheme="minorHAnsi" w:eastAsia="Times New Roman" w:hAnsiTheme="minorHAnsi" w:cstheme="minorHAnsi"/>
        </w:rPr>
        <w:t xml:space="preserve">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INSTR_FHIT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table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data</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related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to</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new</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contracts</w:t>
      </w:r>
      <w:proofErr w:type="spellEnd"/>
      <w:r w:rsidRPr="00FE1F95">
        <w:rPr>
          <w:rFonts w:asciiTheme="minorHAnsi" w:eastAsia="Times New Roman" w:hAnsiTheme="minorHAnsi" w:cstheme="minorHAnsi"/>
        </w:rPr>
        <w:t xml:space="preserve"> must be reported only in the case of funds arising from repo liabilities (and not in the case of loans taken or credit lines received). The date of the cash movement must be reported 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r w:rsidRPr="00FE1F95">
        <w:rPr>
          <w:rFonts w:asciiTheme="minorHAnsi" w:eastAsia="Times New Roman" w:hAnsiTheme="minorHAnsi" w:cstheme="minorHAnsi"/>
          <w:b/>
          <w:bCs/>
        </w:rPr>
        <w:t>“</w:t>
      </w:r>
      <w:proofErr w:type="spellStart"/>
      <w:r w:rsidR="00CB3A45" w:rsidRPr="00FE1F95">
        <w:rPr>
          <w:rFonts w:asciiTheme="minorHAnsi" w:eastAsia="Times New Roman" w:hAnsiTheme="minorHAnsi" w:cstheme="minorHAnsi"/>
          <w:b/>
          <w:bCs/>
        </w:rPr>
        <w:t>Instrument</w:t>
      </w:r>
      <w:proofErr w:type="spellEnd"/>
      <w:r w:rsidR="00CB3A45" w:rsidRPr="00FE1F95">
        <w:rPr>
          <w:rFonts w:asciiTheme="minorHAnsi" w:eastAsia="Times New Roman" w:hAnsiTheme="minorHAnsi" w:cstheme="minorHAnsi"/>
          <w:b/>
          <w:bCs/>
        </w:rPr>
        <w:t xml:space="preserve"> </w:t>
      </w:r>
      <w:proofErr w:type="spellStart"/>
      <w:r w:rsidR="00CB3A45" w:rsidRPr="00FE1F95">
        <w:rPr>
          <w:rFonts w:asciiTheme="minorHAnsi" w:eastAsia="Times New Roman" w:hAnsiTheme="minorHAnsi" w:cstheme="minorHAnsi"/>
          <w:b/>
          <w:bCs/>
        </w:rPr>
        <w:t>inception</w:t>
      </w:r>
      <w:proofErr w:type="spellEnd"/>
      <w:r w:rsidR="00CB3A45"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date</w:t>
      </w:r>
      <w:proofErr w:type="spellEnd"/>
      <w:r w:rsidRPr="00FE1F95">
        <w:rPr>
          <w:rFonts w:asciiTheme="minorHAnsi" w:eastAsia="Times New Roman" w:hAnsiTheme="minorHAnsi" w:cstheme="minorHAnsi"/>
          <w:b/>
          <w:bCs/>
        </w:rPr>
        <w:t>”</w:t>
      </w:r>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INSTR_FHIT.INDUL_NAP</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therefore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its</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value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may</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differ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from</w:t>
      </w:r>
      <w:proofErr w:type="spellEnd"/>
      <w:r w:rsidRPr="00FE1F95">
        <w:rPr>
          <w:rFonts w:asciiTheme="minorHAnsi" w:eastAsia="Times New Roman" w:hAnsiTheme="minorHAnsi" w:cstheme="minorHAnsi"/>
        </w:rPr>
        <w:t xml:space="preserve"> the date reported in the contract conclusion date field. If no cash movement occurs during a given period, the previously reported data must be reported unchanged (see the example above). The fields related to new contracts are as follows:</w:t>
      </w:r>
    </w:p>
    <w:p w14:paraId="7B053C95" w14:textId="5BDF80FE" w:rsidR="00532B08" w:rsidRPr="00FE1F95" w:rsidRDefault="004006E8" w:rsidP="00116445">
      <w:pPr>
        <w:ind w:left="709"/>
        <w:rPr>
          <w:rFonts w:asciiTheme="minorHAnsi" w:hAnsiTheme="minorHAnsi" w:cstheme="minorHAnsi"/>
        </w:rPr>
      </w:pPr>
      <w:r w:rsidRPr="00FE1F95">
        <w:rPr>
          <w:rFonts w:asciiTheme="minorHAnsi" w:hAnsiTheme="minorHAnsi" w:cstheme="minorHAnsi"/>
          <w:noProof/>
        </w:rPr>
        <w:lastRenderedPageBreak/>
        <w:drawing>
          <wp:inline distT="0" distB="0" distL="0" distR="0" wp14:anchorId="6881C93F" wp14:editId="0CC0CF5B">
            <wp:extent cx="4502150" cy="666750"/>
            <wp:effectExtent l="0" t="0" r="0" b="0"/>
            <wp:docPr id="1920423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2150" cy="666750"/>
                    </a:xfrm>
                    <a:prstGeom prst="rect">
                      <a:avLst/>
                    </a:prstGeom>
                    <a:noFill/>
                    <a:ln>
                      <a:noFill/>
                    </a:ln>
                  </pic:spPr>
                </pic:pic>
              </a:graphicData>
            </a:graphic>
          </wp:inline>
        </w:drawing>
      </w:r>
    </w:p>
    <w:p w14:paraId="19F75205" w14:textId="77777777" w:rsidR="00CE56F0" w:rsidRPr="00FE1F95" w:rsidRDefault="00CE56F0" w:rsidP="00CE56F0">
      <w:pPr>
        <w:ind w:left="709"/>
        <w:rPr>
          <w:rFonts w:asciiTheme="minorHAnsi" w:hAnsiTheme="minorHAnsi" w:cstheme="minorHAnsi"/>
        </w:rPr>
      </w:pPr>
      <w:r w:rsidRPr="00FE1F95">
        <w:rPr>
          <w:rFonts w:asciiTheme="minorHAnsi" w:hAnsiTheme="minorHAnsi" w:cstheme="minorHAnsi"/>
        </w:rPr>
        <w:t>If, within the same reference period, multiple cash movements occur in relation to the same repo agreement, the total amount of the new contracts must be reported as a single aggregate amount, using the date of the first transaction.</w:t>
      </w:r>
    </w:p>
    <w:p w14:paraId="2D5110F0" w14:textId="77777777" w:rsidR="00CE56F0" w:rsidRPr="00FE1F95" w:rsidRDefault="00CE56F0" w:rsidP="00116445">
      <w:pPr>
        <w:ind w:left="709"/>
        <w:rPr>
          <w:rFonts w:asciiTheme="minorHAnsi" w:hAnsiTheme="minorHAnsi" w:cstheme="minorHAnsi"/>
        </w:rPr>
      </w:pPr>
    </w:p>
    <w:p w14:paraId="48F2BEA5" w14:textId="4E9DEEB5" w:rsidR="00CE56F0" w:rsidRPr="00FE1F95" w:rsidRDefault="00CE56F0" w:rsidP="00CE56F0">
      <w:pPr>
        <w:pStyle w:val="Cmsor2"/>
        <w:rPr>
          <w:rFonts w:asciiTheme="minorHAnsi" w:hAnsiTheme="minorHAnsi" w:cstheme="minorHAnsi"/>
          <w:sz w:val="20"/>
          <w:szCs w:val="20"/>
        </w:rPr>
      </w:pPr>
      <w:bookmarkStart w:id="37" w:name="_Toc229138446"/>
      <w:r w:rsidRPr="00FE1F95">
        <w:rPr>
          <w:rFonts w:asciiTheme="minorHAnsi" w:hAnsiTheme="minorHAnsi" w:cstheme="minorHAnsi"/>
          <w:sz w:val="20"/>
          <w:szCs w:val="20"/>
        </w:rPr>
        <w:t>Reporting methodology for term deposits</w:t>
      </w:r>
      <w:bookmarkEnd w:id="37"/>
    </w:p>
    <w:p w14:paraId="4EF6DDBF" w14:textId="77777777" w:rsidR="00CE56F0" w:rsidRPr="00FE1F95" w:rsidRDefault="00CE56F0" w:rsidP="00CE56F0">
      <w:pPr>
        <w:rPr>
          <w:rFonts w:asciiTheme="minorHAnsi" w:hAnsiTheme="minorHAnsi" w:cstheme="minorHAnsi"/>
        </w:rPr>
      </w:pPr>
    </w:p>
    <w:p w14:paraId="0371DA17" w14:textId="2EFB397F" w:rsidR="00CE56F0" w:rsidRPr="00FE1F95" w:rsidRDefault="00CE56F0" w:rsidP="00CE56F0">
      <w:pPr>
        <w:rPr>
          <w:rFonts w:asciiTheme="minorHAnsi" w:hAnsiTheme="minorHAnsi" w:cstheme="minorHAnsi"/>
        </w:rPr>
      </w:pPr>
      <w:r w:rsidRPr="00FE1F95">
        <w:rPr>
          <w:rFonts w:asciiTheme="minorHAnsi" w:hAnsiTheme="minorHAnsi" w:cstheme="minorHAnsi"/>
        </w:rPr>
        <w:t xml:space="preserve">At the time of contract </w:t>
      </w:r>
      <w:proofErr w:type="spellStart"/>
      <w:r w:rsidRPr="00FE1F95">
        <w:rPr>
          <w:rFonts w:asciiTheme="minorHAnsi" w:hAnsiTheme="minorHAnsi" w:cstheme="minorHAnsi"/>
        </w:rPr>
        <w:t>conclusion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SZERZ_KOTES_NAP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BET_HATARIDOS</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226B85" w:rsidRPr="00FE1F95">
        <w:rPr>
          <w:rFonts w:asciiTheme="minorHAnsi" w:hAnsiTheme="minorHAnsi" w:cstheme="minorHAnsi"/>
          <w:b/>
          <w:bCs/>
        </w:rPr>
        <w:t>Type</w:t>
      </w:r>
      <w:proofErr w:type="spellEnd"/>
      <w:r w:rsidR="00226B85" w:rsidRPr="00FE1F95">
        <w:rPr>
          <w:rFonts w:asciiTheme="minorHAnsi" w:hAnsiTheme="minorHAnsi" w:cstheme="minorHAnsi"/>
          <w:b/>
          <w:bCs/>
        </w:rPr>
        <w:t xml:space="preserve"> of </w:t>
      </w:r>
      <w:proofErr w:type="spellStart"/>
      <w:r w:rsidR="00226B85" w:rsidRPr="00FE1F95">
        <w:rPr>
          <w:rFonts w:asciiTheme="minorHAnsi" w:hAnsiTheme="minorHAnsi" w:cstheme="minorHAnsi"/>
          <w:b/>
          <w:bCs/>
        </w:rPr>
        <w:t>instrument</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Balance sheet values must not be populated; instead, the off-balance-sheet amount must be reported in the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Pr="00FE1F95">
        <w:rPr>
          <w:rFonts w:asciiTheme="minorHAnsi" w:hAnsiTheme="minorHAnsi" w:cstheme="minorHAnsi"/>
          <w:b/>
          <w:bCs/>
        </w:rPr>
        <w:t>Amount</w:t>
      </w:r>
      <w:proofErr w:type="spellEnd"/>
      <w:r w:rsidRPr="00FE1F95">
        <w:rPr>
          <w:rFonts w:asciiTheme="minorHAnsi" w:hAnsiTheme="minorHAnsi" w:cstheme="minorHAnsi"/>
          <w:b/>
          <w:bCs/>
        </w:rPr>
        <w:t xml:space="preserve"> of </w:t>
      </w:r>
      <w:proofErr w:type="spellStart"/>
      <w:r w:rsidRPr="00FE1F95">
        <w:rPr>
          <w:rFonts w:asciiTheme="minorHAnsi" w:hAnsiTheme="minorHAnsi" w:cstheme="minorHAnsi"/>
          <w:b/>
          <w:bCs/>
        </w:rPr>
        <w:t>off-balance-sheet</w:t>
      </w:r>
      <w:proofErr w:type="spellEnd"/>
      <w:r w:rsidRPr="00FE1F95">
        <w:rPr>
          <w:rFonts w:asciiTheme="minorHAnsi" w:hAnsiTheme="minorHAnsi" w:cstheme="minorHAnsi"/>
          <w:b/>
          <w:bCs/>
        </w:rPr>
        <w:t xml:space="preserve"> </w:t>
      </w:r>
      <w:proofErr w:type="spellStart"/>
      <w:r w:rsidRPr="00FE1F95">
        <w:rPr>
          <w:rFonts w:asciiTheme="minorHAnsi" w:hAnsiTheme="minorHAnsi" w:cstheme="minorHAnsi"/>
          <w:b/>
          <w:bCs/>
        </w:rPr>
        <w:t>receivables</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MERL_KIV_KOV_OSSZEG</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226B85" w:rsidRPr="00FE1F95">
        <w:rPr>
          <w:rFonts w:asciiTheme="minorHAnsi" w:hAnsiTheme="minorHAnsi" w:cstheme="minorHAnsi"/>
          <w:b/>
          <w:bCs/>
        </w:rPr>
        <w:t>Instrument</w:t>
      </w:r>
      <w:proofErr w:type="spellEnd"/>
      <w:r w:rsidR="00226B85" w:rsidRPr="00FE1F95">
        <w:rPr>
          <w:rFonts w:asciiTheme="minorHAnsi" w:hAnsiTheme="minorHAnsi" w:cstheme="minorHAnsi"/>
          <w:b/>
          <w:bCs/>
        </w:rPr>
        <w:t xml:space="preserve"> </w:t>
      </w:r>
      <w:proofErr w:type="spellStart"/>
      <w:r w:rsidR="00226B85" w:rsidRPr="00FE1F95">
        <w:rPr>
          <w:rFonts w:asciiTheme="minorHAnsi" w:hAnsiTheme="minorHAnsi" w:cstheme="minorHAnsi"/>
          <w:b/>
          <w:bCs/>
        </w:rPr>
        <w:t>inception</w:t>
      </w:r>
      <w:proofErr w:type="spellEnd"/>
      <w:r w:rsidR="00226B85" w:rsidRPr="00FE1F95">
        <w:rPr>
          <w:rFonts w:asciiTheme="minorHAnsi" w:hAnsiTheme="minorHAnsi" w:cstheme="minorHAnsi"/>
          <w:b/>
          <w:bCs/>
        </w:rPr>
        <w:t xml:space="preserve"> </w:t>
      </w:r>
      <w:proofErr w:type="spellStart"/>
      <w:r w:rsidRPr="00FE1F95">
        <w:rPr>
          <w:rFonts w:asciiTheme="minorHAnsi" w:hAnsiTheme="minorHAnsi" w:cstheme="minorHAnsi"/>
          <w:b/>
          <w:bCs/>
        </w:rPr>
        <w:t>date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INDUL_NAP</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left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blank</w:t>
      </w:r>
      <w:proofErr w:type="spellEnd"/>
      <w:r w:rsidRPr="00FE1F95">
        <w:rPr>
          <w:rFonts w:asciiTheme="minorHAnsi" w:hAnsiTheme="minorHAnsi" w:cstheme="minorHAnsi"/>
        </w:rPr>
        <w:t xml:space="preserve">. When the deposit becomes a balance-sheet item, the identifier fields </w:t>
      </w:r>
      <w:proofErr w:type="spellStart"/>
      <w:r w:rsidRPr="00FE1F95">
        <w:rPr>
          <w:rFonts w:asciiTheme="minorHAnsi" w:hAnsiTheme="minorHAnsi" w:cstheme="minorHAnsi"/>
        </w:rPr>
        <w:t>remain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unchanged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226B85" w:rsidRPr="00FE1F95">
        <w:rPr>
          <w:rFonts w:asciiTheme="minorHAnsi" w:hAnsiTheme="minorHAnsi" w:cstheme="minorHAnsi"/>
          <w:b/>
          <w:bCs/>
        </w:rPr>
        <w:t>Type</w:t>
      </w:r>
      <w:proofErr w:type="spellEnd"/>
      <w:r w:rsidR="00226B85" w:rsidRPr="00FE1F95">
        <w:rPr>
          <w:rFonts w:asciiTheme="minorHAnsi" w:hAnsiTheme="minorHAnsi" w:cstheme="minorHAnsi"/>
          <w:b/>
          <w:bCs/>
        </w:rPr>
        <w:t xml:space="preserve"> of </w:t>
      </w:r>
      <w:proofErr w:type="spellStart"/>
      <w:r w:rsidR="00226B85" w:rsidRPr="00FE1F95">
        <w:rPr>
          <w:rFonts w:asciiTheme="minorHAnsi" w:hAnsiTheme="minorHAnsi" w:cstheme="minorHAnsi"/>
          <w:b/>
          <w:bCs/>
        </w:rPr>
        <w:t>instrument</w:t>
      </w:r>
      <w:proofErr w:type="spellEnd"/>
      <w:r w:rsidR="00226B85" w:rsidRPr="00FE1F95">
        <w:rPr>
          <w:rFonts w:asciiTheme="minorHAnsi" w:hAnsiTheme="minorHAnsi" w:cstheme="minorHAnsi"/>
          <w:b/>
          <w:bCs/>
        </w:rPr>
        <w:t xml:space="preserve">” </w:t>
      </w:r>
      <w:proofErr w:type="spellStart"/>
      <w:r w:rsidRPr="00FE1F95">
        <w:rPr>
          <w:rFonts w:asciiTheme="minorHAnsi" w:hAnsiTheme="minorHAnsi" w:cstheme="minorHAnsi"/>
        </w:rPr>
        <w:t>changes</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accordance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contract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r w:rsidRPr="00FE1F95">
        <w:rPr>
          <w:rFonts w:asciiTheme="minorHAnsi" w:hAnsiTheme="minorHAnsi" w:cstheme="minorHAnsi"/>
          <w:b/>
          <w:bCs/>
        </w:rPr>
        <w:t>“</w:t>
      </w:r>
      <w:proofErr w:type="spellStart"/>
      <w:r w:rsidR="00226B85" w:rsidRPr="00FE1F95">
        <w:rPr>
          <w:rFonts w:asciiTheme="minorHAnsi" w:hAnsiTheme="minorHAnsi" w:cstheme="minorHAnsi"/>
          <w:b/>
          <w:bCs/>
        </w:rPr>
        <w:t>Instrument</w:t>
      </w:r>
      <w:proofErr w:type="spellEnd"/>
      <w:r w:rsidR="00226B85" w:rsidRPr="00FE1F95">
        <w:rPr>
          <w:rFonts w:asciiTheme="minorHAnsi" w:hAnsiTheme="minorHAnsi" w:cstheme="minorHAnsi"/>
          <w:b/>
          <w:bCs/>
        </w:rPr>
        <w:t xml:space="preserve"> </w:t>
      </w:r>
      <w:proofErr w:type="spellStart"/>
      <w:r w:rsidR="00226B85" w:rsidRPr="00FE1F95">
        <w:rPr>
          <w:rFonts w:asciiTheme="minorHAnsi" w:hAnsiTheme="minorHAnsi" w:cstheme="minorHAnsi"/>
          <w:b/>
          <w:bCs/>
        </w:rPr>
        <w:t>inception</w:t>
      </w:r>
      <w:proofErr w:type="spellEnd"/>
      <w:r w:rsidR="00226B85" w:rsidRPr="00FE1F95">
        <w:rPr>
          <w:rFonts w:asciiTheme="minorHAnsi" w:hAnsiTheme="minorHAnsi" w:cstheme="minorHAnsi"/>
          <w:b/>
          <w:bCs/>
        </w:rPr>
        <w:t xml:space="preserve"> </w:t>
      </w:r>
      <w:proofErr w:type="spellStart"/>
      <w:r w:rsidRPr="00FE1F95">
        <w:rPr>
          <w:rFonts w:asciiTheme="minorHAnsi" w:hAnsiTheme="minorHAnsi" w:cstheme="minorHAnsi"/>
          <w:b/>
          <w:bCs/>
        </w:rPr>
        <w:t>date</w:t>
      </w:r>
      <w:proofErr w:type="spellEnd"/>
      <w:r w:rsidRPr="00FE1F95">
        <w:rPr>
          <w:rFonts w:asciiTheme="minorHAnsi" w:hAnsiTheme="minorHAnsi" w:cstheme="minorHAnsi"/>
          <w:b/>
          <w:bCs/>
        </w:rPr>
        <w:t>”</w:t>
      </w:r>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must be populated with the date corresponding to the balance-sheet recognition, and the fields related to new contracts must also be reported at that time, in accordance with Section 2.1. The </w:t>
      </w:r>
      <w:r w:rsidRPr="00FE1F95">
        <w:rPr>
          <w:rFonts w:asciiTheme="minorHAnsi" w:hAnsiTheme="minorHAnsi" w:cstheme="minorHAnsi"/>
          <w:b/>
          <w:bCs/>
        </w:rPr>
        <w:t>“Amount of off-balance-sheet receivables”</w:t>
      </w:r>
      <w:r w:rsidRPr="00FE1F95">
        <w:rPr>
          <w:rFonts w:asciiTheme="minorHAnsi" w:hAnsiTheme="minorHAnsi" w:cstheme="minorHAnsi"/>
        </w:rPr>
        <w:t xml:space="preserve"> field must be reported with a value of </w:t>
      </w:r>
      <w:r w:rsidRPr="00FE1F95">
        <w:rPr>
          <w:rFonts w:asciiTheme="minorHAnsi" w:hAnsiTheme="minorHAnsi" w:cstheme="minorHAnsi"/>
          <w:b/>
          <w:bCs/>
        </w:rPr>
        <w:t>0</w:t>
      </w:r>
      <w:r w:rsidRPr="00FE1F95">
        <w:rPr>
          <w:rFonts w:asciiTheme="minorHAnsi" w:hAnsiTheme="minorHAnsi" w:cstheme="minorHAnsi"/>
        </w:rPr>
        <w:t xml:space="preserve"> or left blank.</w:t>
      </w:r>
    </w:p>
    <w:p w14:paraId="6880F1B2" w14:textId="77777777" w:rsidR="00CE56F0" w:rsidRPr="00FE1F95" w:rsidRDefault="00CE56F0" w:rsidP="00116445">
      <w:pPr>
        <w:rPr>
          <w:rFonts w:asciiTheme="minorHAnsi" w:hAnsiTheme="minorHAnsi" w:cstheme="minorHAnsi"/>
        </w:rPr>
      </w:pPr>
    </w:p>
    <w:p w14:paraId="28CF3014" w14:textId="60C5E958" w:rsidR="00B16E71" w:rsidRPr="00FE1F95" w:rsidRDefault="008E1B37" w:rsidP="00116445">
      <w:pPr>
        <w:pStyle w:val="Cmsor2"/>
        <w:rPr>
          <w:rFonts w:asciiTheme="minorHAnsi" w:hAnsiTheme="minorHAnsi" w:cstheme="minorHAnsi"/>
          <w:sz w:val="20"/>
          <w:szCs w:val="20"/>
        </w:rPr>
      </w:pPr>
      <w:bookmarkStart w:id="38" w:name="_Toc229138447"/>
      <w:r w:rsidRPr="00FE1F95">
        <w:rPr>
          <w:rFonts w:asciiTheme="minorHAnsi" w:hAnsiTheme="minorHAnsi" w:cstheme="minorHAnsi"/>
          <w:sz w:val="20"/>
          <w:szCs w:val="20"/>
        </w:rPr>
        <w:t>Termination of Instruments</w:t>
      </w:r>
      <w:bookmarkEnd w:id="38"/>
    </w:p>
    <w:p w14:paraId="3BDDAB5E" w14:textId="49418C38" w:rsidR="00F72ACB" w:rsidRPr="00FE1F95" w:rsidRDefault="00F72ACB" w:rsidP="00F72ACB">
      <w:pPr>
        <w:spacing w:before="240"/>
        <w:rPr>
          <w:rFonts w:asciiTheme="minorHAnsi" w:hAnsiTheme="minorHAnsi" w:cstheme="minorHAnsi"/>
        </w:rPr>
      </w:pPr>
      <w:r w:rsidRPr="00FE1F95">
        <w:rPr>
          <w:rFonts w:asciiTheme="minorHAnsi" w:hAnsiTheme="minorHAnsi" w:cstheme="minorHAnsi"/>
        </w:rPr>
        <w:t xml:space="preserve">In the case of loans taken and repo liabilities, in the month of termination the instruments must be reported with zero outstanding principal and zero carrying amount, and a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CSOKK</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w:t>
      </w:r>
      <w:r w:rsidR="007A6519" w:rsidRPr="00FE1F95">
        <w:rPr>
          <w:rFonts w:asciiTheme="minorHAnsi" w:hAnsiTheme="minorHAnsi" w:cstheme="minorHAnsi"/>
        </w:rPr>
        <w:t xml:space="preserve"> </w:t>
      </w:r>
      <w:r w:rsidRPr="00FE1F95">
        <w:rPr>
          <w:rFonts w:asciiTheme="minorHAnsi" w:hAnsiTheme="minorHAnsi" w:cstheme="minorHAnsi"/>
        </w:rPr>
        <w:t xml:space="preserve">An </w:t>
      </w:r>
      <w:proofErr w:type="spellStart"/>
      <w:r w:rsidRPr="00FE1F95">
        <w:rPr>
          <w:rFonts w:asciiTheme="minorHAnsi" w:hAnsiTheme="minorHAnsi" w:cstheme="minorHAnsi"/>
        </w:rPr>
        <w:t>exception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applies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overnight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loans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HIT_KOT_ON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these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only</w:t>
      </w:r>
      <w:proofErr w:type="spellEnd"/>
      <w:r w:rsidRPr="00FE1F95">
        <w:rPr>
          <w:rFonts w:asciiTheme="minorHAnsi" w:hAnsiTheme="minorHAnsi" w:cstheme="minorHAnsi"/>
        </w:rPr>
        <w:t xml:space="preserve"> the stock outstanding at the end of the reporting period must be reported; no transaction must be reported. </w:t>
      </w:r>
      <w:proofErr w:type="spellStart"/>
      <w:r w:rsidRPr="00FE1F95">
        <w:rPr>
          <w:rFonts w:asciiTheme="minorHAnsi" w:hAnsiTheme="minorHAnsi" w:cstheme="minorHAnsi"/>
        </w:rPr>
        <w:t>Accordingly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INSTR_FHIT.MEGSZUNES_NAP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date</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INSTR_FHIT.MEGSZUNES_KOD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must </w:t>
      </w:r>
      <w:proofErr w:type="spellStart"/>
      <w:r w:rsidRPr="00FE1F95">
        <w:rPr>
          <w:rFonts w:asciiTheme="minorHAnsi" w:hAnsiTheme="minorHAnsi" w:cstheme="minorHAnsi"/>
        </w:rPr>
        <w:t>not</w:t>
      </w:r>
      <w:proofErr w:type="spellEnd"/>
      <w:r w:rsidRPr="00FE1F95">
        <w:rPr>
          <w:rFonts w:asciiTheme="minorHAnsi" w:hAnsiTheme="minorHAnsi" w:cstheme="minorHAnsi"/>
        </w:rPr>
        <w:t xml:space="preserve"> be populated.</w:t>
      </w:r>
    </w:p>
    <w:p w14:paraId="42040A58" w14:textId="77777777" w:rsidR="00F72ACB" w:rsidRPr="00FE1F95" w:rsidRDefault="00F72ACB" w:rsidP="00F72ACB">
      <w:pPr>
        <w:spacing w:before="240"/>
        <w:rPr>
          <w:rFonts w:asciiTheme="minorHAnsi" w:hAnsiTheme="minorHAnsi" w:cstheme="minorHAnsi"/>
        </w:rPr>
      </w:pPr>
      <w:r w:rsidRPr="00FE1F95">
        <w:rPr>
          <w:rFonts w:asciiTheme="minorHAnsi" w:hAnsiTheme="minorHAnsi" w:cstheme="minorHAnsi"/>
        </w:rPr>
        <w:t xml:space="preserve">However, if during the reference period a </w:t>
      </w:r>
      <w:proofErr w:type="gramStart"/>
      <w:r w:rsidRPr="00FE1F95">
        <w:rPr>
          <w:rFonts w:asciiTheme="minorHAnsi" w:hAnsiTheme="minorHAnsi" w:cstheme="minorHAnsi"/>
        </w:rPr>
        <w:t>non-zero</w:t>
      </w:r>
      <w:proofErr w:type="gramEnd"/>
      <w:r w:rsidRPr="00FE1F95">
        <w:rPr>
          <w:rFonts w:asciiTheme="minorHAnsi" w:hAnsiTheme="minorHAnsi" w:cstheme="minorHAnsi"/>
        </w:rPr>
        <w:t xml:space="preserve"> amount arises in any value field to be reported, the terminating overnight </w:t>
      </w:r>
      <w:proofErr w:type="spellStart"/>
      <w:r w:rsidRPr="00FE1F95">
        <w:rPr>
          <w:rFonts w:asciiTheme="minorHAnsi" w:hAnsiTheme="minorHAnsi" w:cstheme="minorHAnsi"/>
        </w:rPr>
        <w:t>loan</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INSTR_FHIT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respective</w:t>
      </w:r>
      <w:proofErr w:type="spellEnd"/>
      <w:r w:rsidRPr="00FE1F95">
        <w:rPr>
          <w:rFonts w:asciiTheme="minorHAnsi" w:hAnsiTheme="minorHAnsi" w:cstheme="minorHAnsi"/>
        </w:rPr>
        <w:t xml:space="preserve"> period, with the termination-related fields completed and the relevant value fields populated accordingly.</w:t>
      </w:r>
    </w:p>
    <w:p w14:paraId="347CF3FA" w14:textId="77777777" w:rsidR="007A6519" w:rsidRPr="00FE1F95" w:rsidRDefault="007A6519" w:rsidP="007A6519">
      <w:pPr>
        <w:spacing w:before="240"/>
        <w:rPr>
          <w:rFonts w:asciiTheme="minorHAnsi" w:hAnsiTheme="minorHAnsi" w:cstheme="minorHAnsi"/>
        </w:rPr>
      </w:pPr>
      <w:r w:rsidRPr="00FE1F95">
        <w:rPr>
          <w:rFonts w:asciiTheme="minorHAnsi" w:hAnsiTheme="minorHAnsi" w:cstheme="minorHAnsi"/>
        </w:rPr>
        <w:t>In the case of deposits, the following rules apply:</w:t>
      </w:r>
    </w:p>
    <w:p w14:paraId="38A89869" w14:textId="77777777" w:rsidR="007A6519" w:rsidRPr="00FE1F95" w:rsidRDefault="007A6519" w:rsidP="007A6519">
      <w:pPr>
        <w:pStyle w:val="Listaszerbekezds"/>
        <w:numPr>
          <w:ilvl w:val="0"/>
          <w:numId w:val="43"/>
        </w:numPr>
        <w:spacing w:before="240"/>
        <w:rPr>
          <w:rFonts w:asciiTheme="minorHAnsi" w:hAnsiTheme="minorHAnsi" w:cstheme="minorHAnsi"/>
        </w:rPr>
      </w:pPr>
      <w:r w:rsidRPr="00FE1F95">
        <w:rPr>
          <w:rFonts w:asciiTheme="minorHAnsi" w:hAnsiTheme="minorHAnsi" w:cstheme="minorHAnsi"/>
        </w:rPr>
        <w:t xml:space="preserve">For the following instrument types, the deposit must also be reported in the month of maturity, without reporting any transaction: transferable deposits, sight and current account deposits (excluding transferable deposits), savings accounts, securities accounts, mark-to-market deposits, notice deposits, passbook deposits, certificates of deposit, and collateral deposits. These must be reported with zero outstanding principal and zero carrying amount, even if the instrument was both originated and terminated within the same month (the statistical interest attributable to the reporting period must be reported). </w:t>
      </w:r>
      <w:proofErr w:type="spellStart"/>
      <w:r w:rsidRPr="00FE1F95">
        <w:rPr>
          <w:rFonts w:asciiTheme="minorHAnsi" w:hAnsiTheme="minorHAnsi" w:cstheme="minorHAnsi"/>
        </w:rPr>
        <w:t>Accordingly</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INSTR_BET.MEGSZUNES_NAP</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date</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INSTR_BET.MEGSZUNES_KOD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populated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w:t>
      </w:r>
    </w:p>
    <w:p w14:paraId="36EBBEC6" w14:textId="77777777" w:rsidR="007A6519" w:rsidRPr="00FE1F95" w:rsidRDefault="007A6519" w:rsidP="007A6519">
      <w:pPr>
        <w:pStyle w:val="Listaszerbekezds"/>
        <w:numPr>
          <w:ilvl w:val="0"/>
          <w:numId w:val="43"/>
        </w:numPr>
        <w:spacing w:before="240"/>
        <w:rPr>
          <w:rFonts w:asciiTheme="minorHAnsi" w:hAnsiTheme="minorHAnsi" w:cstheme="minorHAnsi"/>
        </w:rPr>
      </w:pPr>
      <w:r w:rsidRPr="00FE1F95">
        <w:rPr>
          <w:rFonts w:asciiTheme="minorHAnsi" w:hAnsiTheme="minorHAnsi" w:cstheme="minorHAnsi"/>
        </w:rPr>
        <w:t xml:space="preserve">Loan account–type instruments (including accounts related to card loans) must not be reported in the month of termination with zero outstanding principal and carrying amount; in such cases, no data </w:t>
      </w:r>
      <w:proofErr w:type="spellStart"/>
      <w:r w:rsidRPr="00FE1F95">
        <w:rPr>
          <w:rFonts w:asciiTheme="minorHAnsi" w:hAnsiTheme="minorHAnsi" w:cstheme="minorHAnsi"/>
        </w:rPr>
        <w:t>are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to</w:t>
      </w:r>
      <w:proofErr w:type="spellEnd"/>
      <w:r w:rsidRPr="00FE1F95">
        <w:rPr>
          <w:rFonts w:asciiTheme="minorHAnsi" w:hAnsiTheme="minorHAnsi" w:cstheme="minorHAnsi"/>
        </w:rPr>
        <w:t xml:space="preserve">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INSTR_BET.MEGSZUNES_NAP</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INSTR_BET.MEGSZUNES_KOD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and no transaction must be reported.</w:t>
      </w:r>
    </w:p>
    <w:p w14:paraId="0D02887A" w14:textId="77777777" w:rsidR="007A6519" w:rsidRPr="00FE1F95" w:rsidRDefault="007A6519" w:rsidP="007A6519">
      <w:pPr>
        <w:pStyle w:val="Listaszerbekezds"/>
        <w:numPr>
          <w:ilvl w:val="0"/>
          <w:numId w:val="43"/>
        </w:numPr>
        <w:spacing w:before="240"/>
        <w:rPr>
          <w:rFonts w:asciiTheme="minorHAnsi" w:hAnsiTheme="minorHAnsi" w:cstheme="minorHAnsi"/>
        </w:rPr>
      </w:pPr>
      <w:r w:rsidRPr="00FE1F95">
        <w:rPr>
          <w:rFonts w:asciiTheme="minorHAnsi" w:hAnsiTheme="minorHAnsi" w:cstheme="minorHAnsi"/>
        </w:rPr>
        <w:lastRenderedPageBreak/>
        <w:t xml:space="preserve">For fixed-term deposits, </w:t>
      </w:r>
      <w:proofErr w:type="spellStart"/>
      <w:r w:rsidRPr="00FE1F95">
        <w:rPr>
          <w:rFonts w:asciiTheme="minorHAnsi" w:hAnsiTheme="minorHAnsi" w:cstheme="minorHAnsi"/>
        </w:rPr>
        <w:t>upon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‘FELTOR’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TRAN</w:t>
      </w:r>
      <w:proofErr w:type="spellEnd"/>
      <w:r w:rsidRPr="00FE1F95">
        <w:rPr>
          <w:rFonts w:asciiTheme="minorHAnsi" w:hAnsiTheme="minorHAnsi" w:cstheme="minorHAnsi"/>
        </w:rPr>
        <w:t xml:space="preserve"> table in the event of early withdrawal (breaking the deposit), while ‘LEJAR’ must be reported in the case of termination at </w:t>
      </w:r>
      <w:proofErr w:type="spellStart"/>
      <w:r w:rsidRPr="00FE1F95">
        <w:rPr>
          <w:rFonts w:asciiTheme="minorHAnsi" w:hAnsiTheme="minorHAnsi" w:cstheme="minorHAnsi"/>
        </w:rPr>
        <w:t>normal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maturity</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both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cases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INSTR_BET.MEGSZUNES_NAP</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INSTR_BET.MEGSZUNES_KOD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populated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w:t>
      </w:r>
    </w:p>
    <w:p w14:paraId="353A5BEE" w14:textId="77777777" w:rsidR="007A6519" w:rsidRPr="00FE1F95" w:rsidRDefault="007A6519" w:rsidP="007A6519">
      <w:pPr>
        <w:pStyle w:val="Listaszerbekezds"/>
        <w:numPr>
          <w:ilvl w:val="0"/>
          <w:numId w:val="43"/>
        </w:numPr>
        <w:spacing w:before="240"/>
        <w:rPr>
          <w:rFonts w:asciiTheme="minorHAnsi" w:hAnsiTheme="minorHAnsi" w:cstheme="minorHAnsi"/>
        </w:rPr>
      </w:pPr>
      <w:r w:rsidRPr="00FE1F95">
        <w:rPr>
          <w:rFonts w:asciiTheme="minorHAnsi" w:hAnsiTheme="minorHAnsi" w:cstheme="minorHAnsi"/>
        </w:rPr>
        <w:t xml:space="preserve">In the case of overnight (O/N) fixed </w:t>
      </w:r>
      <w:proofErr w:type="spellStart"/>
      <w:r w:rsidRPr="00FE1F95">
        <w:rPr>
          <w:rFonts w:asciiTheme="minorHAnsi" w:hAnsiTheme="minorHAnsi" w:cstheme="minorHAnsi"/>
        </w:rPr>
        <w:t>deposits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neither</w:t>
      </w:r>
      <w:proofErr w:type="spellEnd"/>
      <w:r w:rsidRPr="00FE1F95">
        <w:rPr>
          <w:rFonts w:asciiTheme="minorHAnsi" w:hAnsiTheme="minorHAnsi" w:cstheme="minorHAnsi"/>
        </w:rPr>
        <w:t xml:space="preserve"> a </w:t>
      </w:r>
      <w:proofErr w:type="spellStart"/>
      <w:r w:rsidRPr="00FE1F95">
        <w:rPr>
          <w:rFonts w:asciiTheme="minorHAnsi" w:hAnsiTheme="minorHAnsi" w:cstheme="minorHAnsi"/>
        </w:rPr>
        <w:t>transaction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nor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INSTR_BET.MEGSZUNES_NAP</w:t>
      </w:r>
      <w:proofErr w:type="spellEnd"/>
      <w:r w:rsidRPr="00FE1F95">
        <w:rPr>
          <w:rFonts w:asciiTheme="minorHAnsi" w:hAnsiTheme="minorHAnsi" w:cstheme="minorHAnsi"/>
        </w:rPr>
        <w:t xml:space="preserve"> and </w:t>
      </w:r>
      <w:proofErr w:type="spellStart"/>
      <w:r w:rsidRPr="00FE1F95">
        <w:rPr>
          <w:rFonts w:asciiTheme="minorHAnsi" w:hAnsiTheme="minorHAnsi" w:cstheme="minorHAnsi"/>
        </w:rPr>
        <w:t>INSTR_BET.MEGSZUNES_KOD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fields</w:t>
      </w:r>
      <w:proofErr w:type="spellEnd"/>
      <w:r w:rsidRPr="00FE1F95">
        <w:rPr>
          <w:rFonts w:asciiTheme="minorHAnsi" w:hAnsiTheme="minorHAnsi" w:cstheme="minorHAnsi"/>
        </w:rPr>
        <w:t xml:space="preserve"> must be reported, unless a </w:t>
      </w:r>
      <w:proofErr w:type="gramStart"/>
      <w:r w:rsidRPr="00FE1F95">
        <w:rPr>
          <w:rFonts w:asciiTheme="minorHAnsi" w:hAnsiTheme="minorHAnsi" w:cstheme="minorHAnsi"/>
        </w:rPr>
        <w:t>non-zero</w:t>
      </w:r>
      <w:proofErr w:type="gramEnd"/>
      <w:r w:rsidRPr="00FE1F95">
        <w:rPr>
          <w:rFonts w:asciiTheme="minorHAnsi" w:hAnsiTheme="minorHAnsi" w:cstheme="minorHAnsi"/>
        </w:rPr>
        <w:t xml:space="preserve"> amount arises in any value field for the reference period. In such cases, the terminating overnight fixed </w:t>
      </w:r>
      <w:proofErr w:type="spellStart"/>
      <w:r w:rsidRPr="00FE1F95">
        <w:rPr>
          <w:rFonts w:asciiTheme="minorHAnsi" w:hAnsiTheme="minorHAnsi" w:cstheme="minorHAnsi"/>
        </w:rPr>
        <w:t>deposit</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for</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respective</w:t>
      </w:r>
      <w:proofErr w:type="spellEnd"/>
      <w:r w:rsidRPr="00FE1F95">
        <w:rPr>
          <w:rFonts w:asciiTheme="minorHAnsi" w:hAnsiTheme="minorHAnsi" w:cstheme="minorHAnsi"/>
        </w:rPr>
        <w:t xml:space="preserve"> period, with the termination-related fields and the relevant value fields duly populated.</w:t>
      </w:r>
    </w:p>
    <w:p w14:paraId="2A58D90D" w14:textId="77777777" w:rsidR="00F72ACB" w:rsidRPr="00FE1F95" w:rsidRDefault="00F72ACB" w:rsidP="00116445">
      <w:pPr>
        <w:pStyle w:val="Listaszerbekezds"/>
        <w:numPr>
          <w:ilvl w:val="0"/>
          <w:numId w:val="0"/>
        </w:numPr>
        <w:spacing w:before="240"/>
        <w:rPr>
          <w:rFonts w:asciiTheme="minorHAnsi" w:hAnsiTheme="minorHAnsi" w:cstheme="minorHAnsi"/>
        </w:rPr>
      </w:pPr>
    </w:p>
    <w:p w14:paraId="471672AF" w14:textId="4DB0ACA4" w:rsidR="007A6519" w:rsidRPr="00FE1F95" w:rsidRDefault="007A6519" w:rsidP="007A6519">
      <w:pPr>
        <w:spacing w:before="240"/>
        <w:ind w:left="360"/>
        <w:rPr>
          <w:rFonts w:asciiTheme="minorHAnsi" w:hAnsiTheme="minorHAnsi" w:cstheme="minorHAnsi"/>
        </w:rPr>
      </w:pPr>
      <w:r w:rsidRPr="00FE1F95">
        <w:rPr>
          <w:rFonts w:asciiTheme="minorHAnsi" w:hAnsiTheme="minorHAnsi" w:cstheme="minorHAnsi"/>
        </w:rPr>
        <w:t xml:space="preserve">The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ATSOROL</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applied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w:t>
      </w:r>
      <w:proofErr w:type="spellStart"/>
      <w:r w:rsidR="002D4F0A" w:rsidRPr="00FE1F95">
        <w:rPr>
          <w:rFonts w:asciiTheme="minorHAnsi" w:hAnsiTheme="minorHAnsi" w:cstheme="minorHAnsi"/>
          <w:b/>
          <w:bCs/>
        </w:rPr>
        <w:t>Way</w:t>
      </w:r>
      <w:proofErr w:type="spellEnd"/>
      <w:r w:rsidR="002D4F0A" w:rsidRPr="00FE1F95">
        <w:rPr>
          <w:rFonts w:asciiTheme="minorHAnsi" w:hAnsiTheme="minorHAnsi" w:cstheme="minorHAnsi"/>
          <w:b/>
          <w:bCs/>
        </w:rPr>
        <w:t xml:space="preserve"> of </w:t>
      </w:r>
      <w:proofErr w:type="spellStart"/>
      <w:r w:rsidR="002D4F0A" w:rsidRPr="00FE1F95">
        <w:rPr>
          <w:rFonts w:asciiTheme="minorHAnsi" w:hAnsiTheme="minorHAnsi" w:cstheme="minorHAnsi"/>
          <w:b/>
          <w:bCs/>
        </w:rPr>
        <w:t>the</w:t>
      </w:r>
      <w:proofErr w:type="spellEnd"/>
      <w:r w:rsidR="002D4F0A" w:rsidRPr="00FE1F95">
        <w:rPr>
          <w:rFonts w:asciiTheme="minorHAnsi" w:hAnsiTheme="minorHAnsi" w:cstheme="minorHAnsi"/>
          <w:b/>
          <w:bCs/>
        </w:rPr>
        <w:t xml:space="preserve"> </w:t>
      </w:r>
      <w:proofErr w:type="spellStart"/>
      <w:r w:rsidR="002D4F0A" w:rsidRPr="00FE1F95">
        <w:rPr>
          <w:rFonts w:asciiTheme="minorHAnsi" w:hAnsiTheme="minorHAnsi" w:cstheme="minorHAnsi"/>
          <w:b/>
          <w:bCs/>
        </w:rPr>
        <w:t>termination</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cases</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where</w:t>
      </w:r>
      <w:proofErr w:type="spellEnd"/>
      <w:r w:rsidRPr="00FE1F95">
        <w:rPr>
          <w:rFonts w:asciiTheme="minorHAnsi" w:hAnsiTheme="minorHAnsi" w:cstheme="minorHAnsi"/>
        </w:rPr>
        <w:t xml:space="preserve">, in M04, a negative change is reported for the instrument in the column “Reclassifications and other volume changes”, noting that in BETREG no value threshold applies in this respect (i.e. reclassifications below HUF 500 million must also be reported). Accordingly, any change in the partner country or sector, or in the instrument type,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with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type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ATSOROL</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if</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affected</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instrument</w:t>
      </w:r>
      <w:proofErr w:type="spellEnd"/>
      <w:r w:rsidRPr="00FE1F95">
        <w:rPr>
          <w:rFonts w:asciiTheme="minorHAnsi" w:hAnsiTheme="minorHAnsi" w:cstheme="minorHAnsi"/>
        </w:rPr>
        <w:t xml:space="preserve"> is terminated and a new instrument is initiated. In such cases, no transaction must be reported in the TRAN table. If the change in the aforementioned attributes takes place within the same instrument, it is not necessary to terminate the instrument and initiate a new one; the reclassification will be reflected within the MNB systems. For all other </w:t>
      </w:r>
      <w:proofErr w:type="spellStart"/>
      <w:r w:rsidRPr="00FE1F95">
        <w:rPr>
          <w:rFonts w:asciiTheme="minorHAnsi" w:hAnsiTheme="minorHAnsi" w:cstheme="minorHAnsi"/>
        </w:rPr>
        <w:t>types</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termination</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code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value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EGYEBM</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w:t>
      </w:r>
    </w:p>
    <w:p w14:paraId="433A77B8" w14:textId="77777777" w:rsidR="007A6519" w:rsidRPr="00FE1F95" w:rsidRDefault="007A6519" w:rsidP="007A6519">
      <w:pPr>
        <w:spacing w:before="240"/>
        <w:ind w:left="360"/>
        <w:rPr>
          <w:rFonts w:asciiTheme="minorHAnsi" w:hAnsiTheme="minorHAnsi" w:cstheme="minorHAnsi"/>
        </w:rPr>
      </w:pPr>
      <w:r w:rsidRPr="00FE1F95">
        <w:rPr>
          <w:rFonts w:asciiTheme="minorHAnsi" w:hAnsiTheme="minorHAnsi" w:cstheme="minorHAnsi"/>
        </w:rPr>
        <w:t>The data model specifies which fields must and must not be reported in the month of termination.</w:t>
      </w:r>
    </w:p>
    <w:p w14:paraId="6077E630" w14:textId="5CF38B6F" w:rsidR="00EC59A7" w:rsidRPr="00FE1F95" w:rsidRDefault="001C4EA4" w:rsidP="001C4EA4">
      <w:pPr>
        <w:pStyle w:val="Cmsor2"/>
        <w:rPr>
          <w:rFonts w:asciiTheme="minorHAnsi" w:hAnsiTheme="minorHAnsi" w:cstheme="minorHAnsi"/>
          <w:sz w:val="20"/>
          <w:szCs w:val="20"/>
        </w:rPr>
      </w:pPr>
      <w:bookmarkStart w:id="39" w:name="_Toc229138448"/>
      <w:r w:rsidRPr="00FE1F95">
        <w:rPr>
          <w:rFonts w:asciiTheme="minorHAnsi" w:hAnsiTheme="minorHAnsi" w:cstheme="minorHAnsi"/>
          <w:sz w:val="20"/>
          <w:szCs w:val="20"/>
        </w:rPr>
        <w:t>Reporting Method for Instruments under Fiduciary Trust Management</w:t>
      </w:r>
      <w:bookmarkEnd w:id="39"/>
      <w:r w:rsidRPr="00FE1F95">
        <w:rPr>
          <w:rFonts w:asciiTheme="minorHAnsi" w:hAnsiTheme="minorHAnsi" w:cstheme="minorHAnsi"/>
          <w:sz w:val="20"/>
          <w:szCs w:val="20"/>
        </w:rPr>
        <w:t xml:space="preserve"> </w:t>
      </w:r>
    </w:p>
    <w:p w14:paraId="0A0D55CE" w14:textId="77777777" w:rsidR="001C4EA4" w:rsidRPr="00FE1F95" w:rsidRDefault="001C4EA4" w:rsidP="001C4EA4">
      <w:pPr>
        <w:spacing w:after="0" w:line="300" w:lineRule="atLeast"/>
        <w:jc w:val="left"/>
        <w:rPr>
          <w:rFonts w:asciiTheme="minorHAnsi" w:eastAsia="Times New Roman" w:hAnsiTheme="minorHAnsi" w:cstheme="minorHAnsi"/>
        </w:rPr>
      </w:pPr>
    </w:p>
    <w:p w14:paraId="06DEA4A6" w14:textId="795FCB31" w:rsidR="0051747E" w:rsidRPr="00FE1F95" w:rsidRDefault="0051747E" w:rsidP="0051747E">
      <w:pPr>
        <w:rPr>
          <w:rFonts w:asciiTheme="minorHAnsi" w:hAnsiTheme="minorHAnsi" w:cstheme="minorHAnsi"/>
        </w:rPr>
      </w:pPr>
      <w:r w:rsidRPr="00FE1F95">
        <w:rPr>
          <w:rFonts w:asciiTheme="minorHAnsi" w:hAnsiTheme="minorHAnsi" w:cstheme="minorHAnsi"/>
        </w:rPr>
        <w:t xml:space="preserve">Instruments subject to fiduciary trust management must be reported by marking them with the value ‘I’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002D4F0A" w:rsidRPr="00FE1F95">
        <w:rPr>
          <w:rFonts w:asciiTheme="minorHAnsi" w:hAnsiTheme="minorHAnsi" w:cstheme="minorHAnsi"/>
          <w:b/>
          <w:bCs/>
        </w:rPr>
        <w:t>Fiduciary</w:t>
      </w:r>
      <w:proofErr w:type="spellEnd"/>
      <w:r w:rsidR="002D4F0A" w:rsidRPr="00FE1F95">
        <w:rPr>
          <w:rFonts w:asciiTheme="minorHAnsi" w:hAnsiTheme="minorHAnsi" w:cstheme="minorHAnsi"/>
          <w:b/>
          <w:bCs/>
        </w:rPr>
        <w:t xml:space="preserve"> </w:t>
      </w:r>
      <w:proofErr w:type="spellStart"/>
      <w:r w:rsidR="002D4F0A" w:rsidRPr="00FE1F95">
        <w:rPr>
          <w:rFonts w:asciiTheme="minorHAnsi" w:hAnsiTheme="minorHAnsi" w:cstheme="minorHAnsi"/>
          <w:b/>
          <w:bCs/>
        </w:rPr>
        <w:t>duty</w:t>
      </w:r>
      <w:proofErr w:type="spellEnd"/>
      <w:r w:rsidR="002D4F0A" w:rsidRPr="00FE1F95">
        <w:rPr>
          <w:rFonts w:asciiTheme="minorHAnsi" w:hAnsiTheme="minorHAnsi" w:cstheme="minorHAnsi"/>
          <w:b/>
          <w:bCs/>
        </w:rPr>
        <w:t xml:space="preserve"> </w:t>
      </w:r>
      <w:proofErr w:type="spellStart"/>
      <w:r w:rsidR="002D4F0A" w:rsidRPr="00FE1F95">
        <w:rPr>
          <w:rFonts w:asciiTheme="minorHAnsi" w:hAnsiTheme="minorHAnsi" w:cstheme="minorHAnsi"/>
          <w:b/>
          <w:bCs/>
        </w:rPr>
        <w:t>instrument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field</w:t>
      </w:r>
      <w:proofErr w:type="spellEnd"/>
      <w:r w:rsidRPr="00FE1F95">
        <w:rPr>
          <w:rFonts w:asciiTheme="minorHAnsi" w:hAnsiTheme="minorHAnsi" w:cstheme="minorHAnsi"/>
        </w:rPr>
        <w:t xml:space="preserve"> of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The fiduciary trust manager must be associated with the instrument as the owner: if the fiduciary trust manager is an undertaking or a foundation, it must be identified by a registration number; if the fiduciary trust manager is a private individual, it must be reported using an anonymous identifier.</w:t>
      </w:r>
    </w:p>
    <w:p w14:paraId="28DCB3FB" w14:textId="77777777" w:rsidR="0051747E" w:rsidRPr="00FE1F95" w:rsidRDefault="0051747E" w:rsidP="0051747E">
      <w:pPr>
        <w:rPr>
          <w:rFonts w:asciiTheme="minorHAnsi" w:hAnsiTheme="minorHAnsi" w:cstheme="minorHAnsi"/>
        </w:rPr>
      </w:pPr>
      <w:r w:rsidRPr="00FE1F95">
        <w:rPr>
          <w:rFonts w:asciiTheme="minorHAnsi" w:hAnsiTheme="minorHAnsi" w:cstheme="minorHAnsi"/>
        </w:rPr>
        <w:br/>
        <w:t>In the case of a private individual, a technical anonymous identifier may also be provided if the customer data required for anonymisation are not available for the fiduciary trust manager.</w:t>
      </w:r>
    </w:p>
    <w:p w14:paraId="094F0274" w14:textId="77777777" w:rsidR="0051747E" w:rsidRPr="00FE1F95" w:rsidRDefault="0051747E" w:rsidP="0051747E">
      <w:pPr>
        <w:rPr>
          <w:rFonts w:asciiTheme="minorHAnsi" w:hAnsiTheme="minorHAnsi" w:cstheme="minorHAnsi"/>
        </w:rPr>
      </w:pPr>
      <w:r w:rsidRPr="00FE1F95">
        <w:rPr>
          <w:rFonts w:asciiTheme="minorHAnsi" w:hAnsiTheme="minorHAnsi" w:cstheme="minorHAnsi"/>
        </w:rPr>
        <w:br/>
        <w:t xml:space="preserve">In addition, the country and sector of the </w:t>
      </w:r>
      <w:proofErr w:type="spellStart"/>
      <w:r w:rsidRPr="00FE1F95">
        <w:rPr>
          <w:rFonts w:asciiTheme="minorHAnsi" w:hAnsiTheme="minorHAnsi" w:cstheme="minorHAnsi"/>
        </w:rPr>
        <w:t>settlor</w:t>
      </w:r>
      <w:proofErr w:type="spellEnd"/>
      <w:r w:rsidRPr="00FE1F95">
        <w:rPr>
          <w:rFonts w:asciiTheme="minorHAnsi" w:hAnsiTheme="minorHAnsi" w:cstheme="minorHAnsi"/>
        </w:rPr>
        <w:t xml:space="preserve"> must be </w:t>
      </w:r>
      <w:proofErr w:type="spellStart"/>
      <w:r w:rsidRPr="00FE1F95">
        <w:rPr>
          <w:rFonts w:asciiTheme="minorHAnsi" w:hAnsiTheme="minorHAnsi" w:cstheme="minorHAnsi"/>
        </w:rPr>
        <w:t>reported</w:t>
      </w:r>
      <w:proofErr w:type="spellEnd"/>
      <w:r w:rsidRPr="00FE1F95">
        <w:rPr>
          <w:rFonts w:asciiTheme="minorHAnsi" w:hAnsiTheme="minorHAnsi" w:cstheme="minorHAnsi"/>
        </w:rPr>
        <w:t xml:space="preserve"> in </w:t>
      </w:r>
      <w:proofErr w:type="spellStart"/>
      <w:r w:rsidRPr="00FE1F95">
        <w:rPr>
          <w:rFonts w:asciiTheme="minorHAnsi" w:hAnsiTheme="minorHAnsi" w:cstheme="minorHAnsi"/>
        </w:rPr>
        <w:t>the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INSTR_BET</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table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where</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such</w:t>
      </w:r>
      <w:proofErr w:type="spellEnd"/>
      <w:r w:rsidRPr="00FE1F95">
        <w:rPr>
          <w:rFonts w:asciiTheme="minorHAnsi" w:hAnsiTheme="minorHAnsi" w:cstheme="minorHAnsi"/>
        </w:rPr>
        <w:t xml:space="preserve"> </w:t>
      </w:r>
      <w:proofErr w:type="spellStart"/>
      <w:r w:rsidRPr="00FE1F95">
        <w:rPr>
          <w:rFonts w:asciiTheme="minorHAnsi" w:hAnsiTheme="minorHAnsi" w:cstheme="minorHAnsi"/>
        </w:rPr>
        <w:t>information</w:t>
      </w:r>
      <w:proofErr w:type="spellEnd"/>
      <w:r w:rsidRPr="00FE1F95">
        <w:rPr>
          <w:rFonts w:asciiTheme="minorHAnsi" w:hAnsiTheme="minorHAnsi" w:cstheme="minorHAnsi"/>
        </w:rPr>
        <w:t xml:space="preserve"> is available; if not available, these fields must be left blank.</w:t>
      </w:r>
    </w:p>
    <w:p w14:paraId="250E47A4" w14:textId="35F168D2" w:rsidR="0051747E" w:rsidRPr="00FE1F95" w:rsidRDefault="0051747E" w:rsidP="0051747E">
      <w:pPr>
        <w:rPr>
          <w:rFonts w:asciiTheme="minorHAnsi" w:hAnsiTheme="minorHAnsi" w:cstheme="minorHAnsi"/>
        </w:rPr>
      </w:pPr>
      <w:r w:rsidRPr="00FE1F95">
        <w:rPr>
          <w:rFonts w:asciiTheme="minorHAnsi" w:hAnsiTheme="minorHAnsi" w:cstheme="minorHAnsi"/>
        </w:rPr>
        <w:br/>
        <w:t>If multiple settlors are associated with a given instrument, the country and sector of the most relevant settlor must be reported.</w:t>
      </w:r>
    </w:p>
    <w:p w14:paraId="08596519" w14:textId="3D495CF7" w:rsidR="008A198E" w:rsidRPr="00FE1F95" w:rsidRDefault="0051747E" w:rsidP="00116445">
      <w:pPr>
        <w:pStyle w:val="Cmsor2"/>
        <w:rPr>
          <w:rFonts w:asciiTheme="minorHAnsi" w:hAnsiTheme="minorHAnsi" w:cstheme="minorHAnsi"/>
          <w:sz w:val="20"/>
          <w:szCs w:val="20"/>
        </w:rPr>
      </w:pPr>
      <w:bookmarkStart w:id="40" w:name="_Toc229138449"/>
      <w:r w:rsidRPr="00FE1F95">
        <w:rPr>
          <w:rFonts w:asciiTheme="minorHAnsi" w:hAnsiTheme="minorHAnsi" w:cstheme="minorHAnsi"/>
          <w:sz w:val="20"/>
          <w:szCs w:val="20"/>
        </w:rPr>
        <w:t>Reporting Method for Syndicated Loans</w:t>
      </w:r>
      <w:bookmarkEnd w:id="40"/>
    </w:p>
    <w:p w14:paraId="2D6E8281" w14:textId="14979488" w:rsidR="00D24A68" w:rsidRPr="00FE1F95" w:rsidRDefault="00D24A68" w:rsidP="00D24A68">
      <w:pPr>
        <w:rPr>
          <w:rFonts w:asciiTheme="minorHAnsi" w:hAnsiTheme="minorHAnsi" w:cstheme="minorHAnsi"/>
        </w:rPr>
      </w:pPr>
      <w:bookmarkStart w:id="41" w:name="_Hlk161302277"/>
      <w:r w:rsidRPr="00FE1F95">
        <w:rPr>
          <w:rFonts w:asciiTheme="minorHAnsi" w:hAnsiTheme="minorHAnsi" w:cstheme="minorHAnsi"/>
        </w:rPr>
        <w:t>The debit side of syndicated loans must be reported in accordance with M04:</w:t>
      </w:r>
    </w:p>
    <w:p w14:paraId="039160EA" w14:textId="77777777" w:rsidR="00D24A68" w:rsidRPr="00FE1F95" w:rsidRDefault="00D24A68" w:rsidP="00D24A68">
      <w:pPr>
        <w:numPr>
          <w:ilvl w:val="0"/>
          <w:numId w:val="45"/>
        </w:numPr>
        <w:rPr>
          <w:rFonts w:asciiTheme="minorHAnsi" w:hAnsiTheme="minorHAnsi" w:cstheme="minorHAnsi"/>
        </w:rPr>
      </w:pPr>
      <w:r w:rsidRPr="00FE1F95">
        <w:rPr>
          <w:rFonts w:asciiTheme="minorHAnsi" w:hAnsiTheme="minorHAnsi" w:cstheme="minorHAnsi"/>
        </w:rPr>
        <w:t>If the syndicated loan is reported in a single row in M04 (e.g. under the country and sector code of the lead arranger), the loan must be reported as a single instrument, with the lead arranger reported as the lender.</w:t>
      </w:r>
    </w:p>
    <w:p w14:paraId="7B3FA082" w14:textId="77777777" w:rsidR="00D24A68" w:rsidRPr="00FE1F95" w:rsidRDefault="00D24A68" w:rsidP="00D24A68">
      <w:pPr>
        <w:numPr>
          <w:ilvl w:val="0"/>
          <w:numId w:val="45"/>
        </w:numPr>
        <w:rPr>
          <w:rFonts w:asciiTheme="minorHAnsi" w:hAnsiTheme="minorHAnsi" w:cstheme="minorHAnsi"/>
        </w:rPr>
      </w:pPr>
      <w:r w:rsidRPr="00FE1F95">
        <w:rPr>
          <w:rFonts w:asciiTheme="minorHAnsi" w:hAnsiTheme="minorHAnsi" w:cstheme="minorHAnsi"/>
        </w:rPr>
        <w:t>If the loan is reported across multiple rows in M04 (because multiple lenders are recorded in the underlying records), the loan must be split into multiple instruments, as only one lender can be associated with each instrument in BETREG.</w:t>
      </w:r>
    </w:p>
    <w:p w14:paraId="7079DC6E" w14:textId="77777777" w:rsidR="00496DE7" w:rsidRPr="00FE1F95" w:rsidRDefault="00496DE7" w:rsidP="00496DE7">
      <w:pPr>
        <w:pStyle w:val="Cmsor2"/>
        <w:rPr>
          <w:rFonts w:asciiTheme="minorHAnsi" w:hAnsiTheme="minorHAnsi" w:cstheme="minorHAnsi"/>
          <w:sz w:val="20"/>
          <w:szCs w:val="20"/>
        </w:rPr>
      </w:pPr>
      <w:bookmarkStart w:id="42" w:name="_Toc229138450"/>
      <w:bookmarkEnd w:id="41"/>
      <w:r w:rsidRPr="00FE1F95">
        <w:rPr>
          <w:rFonts w:asciiTheme="minorHAnsi" w:hAnsiTheme="minorHAnsi" w:cstheme="minorHAnsi"/>
          <w:sz w:val="20"/>
          <w:szCs w:val="20"/>
        </w:rPr>
        <w:lastRenderedPageBreak/>
        <w:t>Reporting Method for Analytically Non</w:t>
      </w:r>
      <w:r w:rsidRPr="00FE1F95">
        <w:rPr>
          <w:rFonts w:asciiTheme="minorHAnsi" w:hAnsiTheme="minorHAnsi" w:cstheme="minorHAnsi"/>
          <w:sz w:val="20"/>
          <w:szCs w:val="20"/>
        </w:rPr>
        <w:noBreakHyphen/>
        <w:t>Decomposable Positions</w:t>
      </w:r>
      <w:bookmarkEnd w:id="42"/>
    </w:p>
    <w:p w14:paraId="5376699A" w14:textId="77777777"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Analytically non</w:t>
      </w:r>
      <w:r w:rsidRPr="00FE1F95">
        <w:rPr>
          <w:rFonts w:asciiTheme="minorHAnsi" w:eastAsia="Times New Roman" w:hAnsiTheme="minorHAnsi" w:cstheme="minorHAnsi"/>
        </w:rPr>
        <w:noBreakHyphen/>
        <w:t>decomposable positions are also included in data collection M04 and must be reported in BETREG in a manner consistent with the M04 data submission, including fields closely related to those positions.</w:t>
      </w:r>
    </w:p>
    <w:p w14:paraId="00BE0AD9" w14:textId="77777777"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With regard to customer identifiers, the following approach must be applied:</w:t>
      </w:r>
    </w:p>
    <w:p w14:paraId="15B2C867" w14:textId="3C1FFF5B" w:rsidR="00496DE7" w:rsidRPr="00FE1F95" w:rsidRDefault="00496DE7" w:rsidP="00496DE7">
      <w:pPr>
        <w:numPr>
          <w:ilvl w:val="0"/>
          <w:numId w:val="47"/>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Household sector: an anonymous identifier consisting of 128 characters of ‘1’ must be reported. In this case, the field “</w:t>
      </w:r>
      <w:proofErr w:type="spellStart"/>
      <w:r w:rsidRPr="00FE1F95">
        <w:rPr>
          <w:rFonts w:asciiTheme="minorHAnsi" w:eastAsia="Times New Roman" w:hAnsiTheme="minorHAnsi" w:cstheme="minorHAnsi"/>
          <w:b/>
          <w:bCs/>
        </w:rPr>
        <w:t>Reason</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for</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using</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technical</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anonymous</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identifier</w:t>
      </w:r>
      <w:proofErr w:type="spellEnd"/>
      <w:r w:rsidRPr="00FE1F95">
        <w:rPr>
          <w:rFonts w:asciiTheme="minorHAnsi" w:eastAsia="Times New Roman" w:hAnsiTheme="minorHAnsi" w:cstheme="minorHAnsi"/>
        </w:rPr>
        <w:t xml:space="preserve">” in </w:t>
      </w:r>
      <w:proofErr w:type="spellStart"/>
      <w:r w:rsidRPr="00FE1F95">
        <w:rPr>
          <w:rFonts w:asciiTheme="minorHAnsi" w:eastAsia="Times New Roman" w:hAnsiTheme="minorHAnsi" w:cstheme="minorHAnsi"/>
        </w:rPr>
        <w:t>table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INST_UGYF_B</w:t>
      </w:r>
      <w:proofErr w:type="spellEnd"/>
      <w:r w:rsidRPr="00FE1F95">
        <w:rPr>
          <w:rFonts w:asciiTheme="minorHAnsi" w:eastAsia="Times New Roman" w:hAnsiTheme="minorHAnsi" w:cstheme="minorHAnsi"/>
        </w:rPr>
        <w:t xml:space="preserve"> must be </w:t>
      </w:r>
      <w:proofErr w:type="spellStart"/>
      <w:r w:rsidRPr="00FE1F95">
        <w:rPr>
          <w:rFonts w:asciiTheme="minorHAnsi" w:eastAsia="Times New Roman" w:hAnsiTheme="minorHAnsi" w:cstheme="minorHAnsi"/>
        </w:rPr>
        <w:t>completed</w:t>
      </w:r>
      <w:proofErr w:type="spellEnd"/>
      <w:r w:rsidRPr="00FE1F95">
        <w:rPr>
          <w:rFonts w:asciiTheme="minorHAnsi" w:eastAsia="Times New Roman" w:hAnsiTheme="minorHAnsi" w:cstheme="minorHAnsi"/>
        </w:rPr>
        <w:t>.</w:t>
      </w:r>
    </w:p>
    <w:p w14:paraId="06BED949" w14:textId="6306AEDA" w:rsidR="00496DE7" w:rsidRPr="00FE1F95" w:rsidRDefault="00496DE7" w:rsidP="00496DE7">
      <w:pPr>
        <w:numPr>
          <w:ilvl w:val="0"/>
          <w:numId w:val="47"/>
        </w:num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Domestic corporate sector: the technical registration number 00000002 must be reported 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roofErr w:type="spellStart"/>
      <w:r w:rsidR="009D0185" w:rsidRPr="00FE1F95">
        <w:rPr>
          <w:rFonts w:asciiTheme="minorHAnsi" w:eastAsia="Times New Roman" w:hAnsiTheme="minorHAnsi" w:cstheme="minorHAnsi"/>
          <w:b/>
          <w:bCs/>
        </w:rPr>
        <w:t>Registration</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number</w:t>
      </w:r>
      <w:proofErr w:type="spellEnd"/>
      <w:r w:rsidR="009D0185" w:rsidRPr="00FE1F95">
        <w:rPr>
          <w:rFonts w:asciiTheme="minorHAnsi" w:eastAsia="Times New Roman" w:hAnsiTheme="minorHAnsi" w:cstheme="minorHAnsi"/>
          <w:b/>
          <w:bCs/>
        </w:rPr>
        <w:t xml:space="preserve"> of </w:t>
      </w:r>
      <w:proofErr w:type="spellStart"/>
      <w:r w:rsidR="009D0185" w:rsidRPr="00FE1F95">
        <w:rPr>
          <w:rFonts w:asciiTheme="minorHAnsi" w:eastAsia="Times New Roman" w:hAnsiTheme="minorHAnsi" w:cstheme="minorHAnsi"/>
          <w:b/>
          <w:bCs/>
        </w:rPr>
        <w:t>resident</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corporate</w:t>
      </w:r>
      <w:proofErr w:type="spellEnd"/>
      <w:r w:rsidRPr="00FE1F95">
        <w:rPr>
          <w:rFonts w:asciiTheme="minorHAnsi" w:eastAsia="Times New Roman" w:hAnsiTheme="minorHAnsi" w:cstheme="minorHAnsi"/>
        </w:rPr>
        <w:t>”.</w:t>
      </w:r>
    </w:p>
    <w:p w14:paraId="62A27788" w14:textId="5EC77B8A" w:rsidR="00496DE7" w:rsidRPr="00FE1F95" w:rsidRDefault="00496DE7" w:rsidP="00496DE7">
      <w:pPr>
        <w:numPr>
          <w:ilvl w:val="0"/>
          <w:numId w:val="47"/>
        </w:numPr>
        <w:spacing w:after="0" w:line="300" w:lineRule="atLeast"/>
        <w:rPr>
          <w:rFonts w:asciiTheme="minorHAnsi" w:eastAsia="Times New Roman" w:hAnsiTheme="minorHAnsi" w:cstheme="minorHAnsi"/>
        </w:rPr>
      </w:pPr>
      <w:proofErr w:type="spellStart"/>
      <w:r w:rsidRPr="00FE1F95">
        <w:rPr>
          <w:rFonts w:asciiTheme="minorHAnsi" w:eastAsia="Times New Roman" w:hAnsiTheme="minorHAnsi" w:cstheme="minorHAnsi"/>
        </w:rPr>
        <w:t>Foreign</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corporate</w:t>
      </w:r>
      <w:proofErr w:type="spellEnd"/>
      <w:r w:rsidRPr="00FE1F95">
        <w:rPr>
          <w:rFonts w:asciiTheme="minorHAnsi" w:eastAsia="Times New Roman" w:hAnsiTheme="minorHAnsi" w:cstheme="minorHAnsi"/>
        </w:rPr>
        <w:t xml:space="preserve"> sector: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technical</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identifier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KULF_TECH_AZON</w:t>
      </w:r>
      <w:proofErr w:type="spellEnd"/>
      <w:r w:rsidRPr="00FE1F95">
        <w:rPr>
          <w:rFonts w:asciiTheme="minorHAnsi" w:eastAsia="Times New Roman" w:hAnsiTheme="minorHAnsi" w:cstheme="minorHAnsi"/>
        </w:rPr>
        <w:t xml:space="preserve"> must be </w:t>
      </w:r>
      <w:proofErr w:type="spellStart"/>
      <w:r w:rsidRPr="00FE1F95">
        <w:rPr>
          <w:rFonts w:asciiTheme="minorHAnsi" w:eastAsia="Times New Roman" w:hAnsiTheme="minorHAnsi" w:cstheme="minorHAnsi"/>
        </w:rPr>
        <w:t>reported</w:t>
      </w:r>
      <w:proofErr w:type="spellEnd"/>
      <w:r w:rsidRPr="00FE1F95">
        <w:rPr>
          <w:rFonts w:asciiTheme="minorHAnsi" w:eastAsia="Times New Roman" w:hAnsiTheme="minorHAnsi" w:cstheme="minorHAnsi"/>
        </w:rPr>
        <w:t xml:space="preserve"> 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roofErr w:type="spellStart"/>
      <w:r w:rsidR="009D0185" w:rsidRPr="00FE1F95">
        <w:rPr>
          <w:rFonts w:asciiTheme="minorHAnsi" w:eastAsia="Times New Roman" w:hAnsiTheme="minorHAnsi" w:cstheme="minorHAnsi"/>
          <w:b/>
          <w:bCs/>
        </w:rPr>
        <w:t>Corporate’s</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foreign</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identification</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number</w:t>
      </w:r>
      <w:proofErr w:type="spellEnd"/>
      <w:r w:rsidRPr="00FE1F95">
        <w:rPr>
          <w:rFonts w:asciiTheme="minorHAnsi" w:eastAsia="Times New Roman" w:hAnsiTheme="minorHAnsi" w:cstheme="minorHAnsi"/>
        </w:rPr>
        <w:t>”.</w:t>
      </w:r>
    </w:p>
    <w:p w14:paraId="0DD092D5" w14:textId="475518B6"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r w:rsidRPr="00FE1F95">
        <w:rPr>
          <w:rFonts w:asciiTheme="minorHAnsi" w:eastAsia="Times New Roman" w:hAnsiTheme="minorHAnsi" w:cstheme="minorHAnsi"/>
          <w:b/>
          <w:bCs/>
        </w:rPr>
        <w:t>“</w:t>
      </w:r>
      <w:proofErr w:type="spellStart"/>
      <w:r w:rsidRPr="00FE1F95">
        <w:rPr>
          <w:rFonts w:asciiTheme="minorHAnsi" w:eastAsia="Times New Roman" w:hAnsiTheme="minorHAnsi" w:cstheme="minorHAnsi"/>
          <w:b/>
          <w:bCs/>
        </w:rPr>
        <w:t>C</w:t>
      </w:r>
      <w:r w:rsidR="009D0185" w:rsidRPr="00FE1F95">
        <w:rPr>
          <w:rFonts w:asciiTheme="minorHAnsi" w:eastAsia="Times New Roman" w:hAnsiTheme="minorHAnsi" w:cstheme="minorHAnsi"/>
          <w:b/>
          <w:bCs/>
        </w:rPr>
        <w:t>ounterparty</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role</w:t>
      </w:r>
      <w:proofErr w:type="spellEnd"/>
      <w:r w:rsidRPr="00FE1F95">
        <w:rPr>
          <w:rFonts w:asciiTheme="minorHAnsi" w:eastAsia="Times New Roman" w:hAnsiTheme="minorHAnsi" w:cstheme="minorHAnsi"/>
          <w:b/>
          <w:bCs/>
        </w:rPr>
        <w:t>”</w:t>
      </w:r>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code value ‘OWNER’ must be reported for deposit transactions, and ‘LENDER’ for loan transactions.</w:t>
      </w:r>
    </w:p>
    <w:p w14:paraId="159DBF43" w14:textId="77777777"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In the “</w:t>
      </w:r>
      <w:proofErr w:type="spellStart"/>
      <w:r w:rsidRPr="00FE1F95">
        <w:rPr>
          <w:rFonts w:asciiTheme="minorHAnsi" w:eastAsia="Times New Roman" w:hAnsiTheme="minorHAnsi" w:cstheme="minorHAnsi"/>
          <w:b/>
          <w:bCs/>
        </w:rPr>
        <w:t>Current</w:t>
      </w:r>
      <w:proofErr w:type="spellEnd"/>
      <w:r w:rsidRPr="00FE1F95">
        <w:rPr>
          <w:rFonts w:asciiTheme="minorHAnsi" w:eastAsia="Times New Roman" w:hAnsiTheme="minorHAnsi" w:cstheme="minorHAnsi"/>
          <w:b/>
          <w:bCs/>
        </w:rPr>
        <w:t xml:space="preserve"> account </w:t>
      </w:r>
      <w:proofErr w:type="spellStart"/>
      <w:r w:rsidRPr="00FE1F95">
        <w:rPr>
          <w:rFonts w:asciiTheme="minorHAnsi" w:eastAsia="Times New Roman" w:hAnsiTheme="minorHAnsi" w:cstheme="minorHAnsi"/>
          <w:b/>
          <w:bCs/>
        </w:rPr>
        <w:t>identifier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identifier</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TECH_EGYEB</w:t>
      </w:r>
      <w:proofErr w:type="spellEnd"/>
      <w:r w:rsidRPr="00FE1F95">
        <w:rPr>
          <w:rFonts w:asciiTheme="minorHAnsi" w:eastAsia="Times New Roman" w:hAnsiTheme="minorHAnsi" w:cstheme="minorHAnsi"/>
        </w:rPr>
        <w:t xml:space="preserve">’ must be </w:t>
      </w:r>
      <w:proofErr w:type="spellStart"/>
      <w:r w:rsidRPr="00FE1F95">
        <w:rPr>
          <w:rFonts w:asciiTheme="minorHAnsi" w:eastAsia="Times New Roman" w:hAnsiTheme="minorHAnsi" w:cstheme="minorHAnsi"/>
        </w:rPr>
        <w:t>reported</w:t>
      </w:r>
      <w:proofErr w:type="spellEnd"/>
      <w:r w:rsidRPr="00FE1F95">
        <w:rPr>
          <w:rFonts w:asciiTheme="minorHAnsi" w:eastAsia="Times New Roman" w:hAnsiTheme="minorHAnsi" w:cstheme="minorHAnsi"/>
        </w:rPr>
        <w:t>.</w:t>
      </w:r>
    </w:p>
    <w:p w14:paraId="5FBF248F" w14:textId="2DE8062E"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In the fields “</w:t>
      </w:r>
      <w:proofErr w:type="spellStart"/>
      <w:r w:rsidR="009D0185" w:rsidRPr="00FE1F95">
        <w:rPr>
          <w:rFonts w:asciiTheme="minorHAnsi" w:eastAsia="Times New Roman" w:hAnsiTheme="minorHAnsi" w:cstheme="minorHAnsi"/>
          <w:b/>
          <w:bCs/>
        </w:rPr>
        <w:t>Instrument</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inception</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date</w:t>
      </w:r>
      <w:proofErr w:type="spellEnd"/>
      <w:r w:rsidRPr="00FE1F95">
        <w:rPr>
          <w:rFonts w:asciiTheme="minorHAnsi" w:eastAsia="Times New Roman" w:hAnsiTheme="minorHAnsi" w:cstheme="minorHAnsi"/>
        </w:rPr>
        <w:t>” and “</w:t>
      </w:r>
      <w:proofErr w:type="spellStart"/>
      <w:r w:rsidR="00FB74B9" w:rsidRPr="00FE1F95">
        <w:rPr>
          <w:rFonts w:asciiTheme="minorHAnsi" w:eastAsia="Times New Roman" w:hAnsiTheme="minorHAnsi" w:cstheme="minorHAnsi"/>
          <w:b/>
          <w:bCs/>
        </w:rPr>
        <w:t>Contract</w:t>
      </w:r>
      <w:proofErr w:type="spellEnd"/>
      <w:r w:rsidR="00FB74B9" w:rsidRPr="00FE1F95">
        <w:rPr>
          <w:rFonts w:asciiTheme="minorHAnsi" w:eastAsia="Times New Roman" w:hAnsiTheme="minorHAnsi" w:cstheme="minorHAnsi"/>
          <w:b/>
          <w:bCs/>
        </w:rPr>
        <w:t xml:space="preserve"> </w:t>
      </w:r>
      <w:proofErr w:type="spellStart"/>
      <w:r w:rsidR="00FB74B9" w:rsidRPr="00FE1F95">
        <w:rPr>
          <w:rFonts w:asciiTheme="minorHAnsi" w:eastAsia="Times New Roman" w:hAnsiTheme="minorHAnsi" w:cstheme="minorHAnsi"/>
          <w:b/>
          <w:bCs/>
        </w:rPr>
        <w:t>date</w:t>
      </w:r>
      <w:proofErr w:type="spellEnd"/>
      <w:r w:rsidRPr="00FE1F95">
        <w:rPr>
          <w:rFonts w:asciiTheme="minorHAnsi" w:eastAsia="Times New Roman" w:hAnsiTheme="minorHAnsi" w:cstheme="minorHAnsi"/>
        </w:rPr>
        <w:t>”</w:t>
      </w:r>
      <w:r w:rsidR="00FB74B9" w:rsidRPr="00FE1F95">
        <w:rPr>
          <w:rFonts w:asciiTheme="minorHAnsi" w:eastAsia="Times New Roman" w:hAnsiTheme="minorHAnsi" w:cstheme="minorHAnsi"/>
        </w:rPr>
        <w:t xml:space="preserve"> in </w:t>
      </w:r>
      <w:proofErr w:type="spellStart"/>
      <w:r w:rsidR="00FB74B9" w:rsidRPr="00FE1F95">
        <w:rPr>
          <w:rFonts w:asciiTheme="minorHAnsi" w:eastAsia="Times New Roman" w:hAnsiTheme="minorHAnsi" w:cstheme="minorHAnsi"/>
        </w:rPr>
        <w:t>INST_BET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any</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valid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historical</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date</w:t>
      </w:r>
      <w:proofErr w:type="spellEnd"/>
      <w:r w:rsidRPr="00FE1F95">
        <w:rPr>
          <w:rFonts w:asciiTheme="minorHAnsi" w:eastAsia="Times New Roman" w:hAnsiTheme="minorHAnsi" w:cstheme="minorHAnsi"/>
        </w:rPr>
        <w:t xml:space="preserve"> prior to the reference date may be reported that is available in the reporting institution’s systems or, if not available, any other applicable historical and valid date.</w:t>
      </w:r>
    </w:p>
    <w:p w14:paraId="42EA7D22" w14:textId="1D881D9B"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In the fields “</w:t>
      </w:r>
      <w:proofErr w:type="spellStart"/>
      <w:r w:rsidR="009D0185" w:rsidRPr="00FE1F95">
        <w:rPr>
          <w:rFonts w:asciiTheme="minorHAnsi" w:eastAsia="Times New Roman" w:hAnsiTheme="minorHAnsi" w:cstheme="minorHAnsi"/>
          <w:b/>
          <w:bCs/>
        </w:rPr>
        <w:t>Contract</w:t>
      </w:r>
      <w:proofErr w:type="spellEnd"/>
      <w:r w:rsidRPr="00FE1F95">
        <w:rPr>
          <w:rFonts w:asciiTheme="minorHAnsi" w:eastAsia="Times New Roman" w:hAnsiTheme="minorHAnsi" w:cstheme="minorHAnsi"/>
          <w:b/>
          <w:bCs/>
        </w:rPr>
        <w:t xml:space="preserve"> </w:t>
      </w:r>
      <w:proofErr w:type="spellStart"/>
      <w:r w:rsidRPr="00FE1F95">
        <w:rPr>
          <w:rFonts w:asciiTheme="minorHAnsi" w:eastAsia="Times New Roman" w:hAnsiTheme="minorHAnsi" w:cstheme="minorHAnsi"/>
          <w:b/>
          <w:bCs/>
        </w:rPr>
        <w:t>date</w:t>
      </w:r>
      <w:proofErr w:type="spellEnd"/>
      <w:r w:rsidRPr="00FE1F95">
        <w:rPr>
          <w:rFonts w:asciiTheme="minorHAnsi" w:eastAsia="Times New Roman" w:hAnsiTheme="minorHAnsi" w:cstheme="minorHAnsi"/>
        </w:rPr>
        <w:t>” and “</w:t>
      </w:r>
      <w:proofErr w:type="spellStart"/>
      <w:r w:rsidR="00FB74B9" w:rsidRPr="00FE1F95">
        <w:rPr>
          <w:rFonts w:asciiTheme="minorHAnsi" w:eastAsia="Times New Roman" w:hAnsiTheme="minorHAnsi" w:cstheme="minorHAnsi"/>
          <w:b/>
          <w:bCs/>
        </w:rPr>
        <w:t>Instrument</w:t>
      </w:r>
      <w:proofErr w:type="spellEnd"/>
      <w:r w:rsidR="00FB74B9" w:rsidRPr="00FE1F95">
        <w:rPr>
          <w:rFonts w:asciiTheme="minorHAnsi" w:eastAsia="Times New Roman" w:hAnsiTheme="minorHAnsi" w:cstheme="minorHAnsi"/>
          <w:b/>
          <w:bCs/>
        </w:rPr>
        <w:t xml:space="preserve"> </w:t>
      </w:r>
      <w:proofErr w:type="spellStart"/>
      <w:r w:rsidR="00FB74B9" w:rsidRPr="00FE1F95">
        <w:rPr>
          <w:rFonts w:asciiTheme="minorHAnsi" w:eastAsia="Times New Roman" w:hAnsiTheme="minorHAnsi" w:cstheme="minorHAnsi"/>
          <w:b/>
          <w:bCs/>
        </w:rPr>
        <w:t>inception</w:t>
      </w:r>
      <w:proofErr w:type="spellEnd"/>
      <w:r w:rsidR="00FB74B9" w:rsidRPr="00FE1F95">
        <w:rPr>
          <w:rFonts w:asciiTheme="minorHAnsi" w:eastAsia="Times New Roman" w:hAnsiTheme="minorHAnsi" w:cstheme="minorHAnsi"/>
          <w:b/>
          <w:bCs/>
        </w:rPr>
        <w:t xml:space="preserve"> </w:t>
      </w:r>
      <w:proofErr w:type="spellStart"/>
      <w:r w:rsidR="00FB74B9" w:rsidRPr="00FE1F95">
        <w:rPr>
          <w:rFonts w:asciiTheme="minorHAnsi" w:eastAsia="Times New Roman" w:hAnsiTheme="minorHAnsi" w:cstheme="minorHAnsi"/>
          <w:b/>
          <w:bCs/>
        </w:rPr>
        <w:t>date</w:t>
      </w:r>
      <w:proofErr w:type="spellEnd"/>
      <w:r w:rsidRPr="00FE1F95">
        <w:rPr>
          <w:rFonts w:asciiTheme="minorHAnsi" w:eastAsia="Times New Roman" w:hAnsiTheme="minorHAnsi" w:cstheme="minorHAnsi"/>
        </w:rPr>
        <w:t>”</w:t>
      </w:r>
      <w:r w:rsidR="00FB74B9" w:rsidRPr="00FE1F95">
        <w:rPr>
          <w:rFonts w:asciiTheme="minorHAnsi" w:eastAsia="Times New Roman" w:hAnsiTheme="minorHAnsi" w:cstheme="minorHAnsi"/>
        </w:rPr>
        <w:t xml:space="preserve"> in </w:t>
      </w:r>
      <w:proofErr w:type="spellStart"/>
      <w:r w:rsidR="00FB74B9" w:rsidRPr="00FE1F95">
        <w:rPr>
          <w:rFonts w:asciiTheme="minorHAnsi" w:eastAsia="Times New Roman" w:hAnsiTheme="minorHAnsi" w:cstheme="minorHAnsi"/>
        </w:rPr>
        <w:t>INSTR_FHIT</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any</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valid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historical</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date</w:t>
      </w:r>
      <w:proofErr w:type="spellEnd"/>
      <w:r w:rsidRPr="00FE1F95">
        <w:rPr>
          <w:rFonts w:asciiTheme="minorHAnsi" w:eastAsia="Times New Roman" w:hAnsiTheme="minorHAnsi" w:cstheme="minorHAnsi"/>
        </w:rPr>
        <w:t xml:space="preserve"> prior </w:t>
      </w:r>
      <w:proofErr w:type="spellStart"/>
      <w:r w:rsidRPr="00FE1F95">
        <w:rPr>
          <w:rFonts w:asciiTheme="minorHAnsi" w:eastAsia="Times New Roman" w:hAnsiTheme="minorHAnsi" w:cstheme="minorHAnsi"/>
        </w:rPr>
        <w:t>to</w:t>
      </w:r>
      <w:proofErr w:type="spellEnd"/>
      <w:r w:rsidRPr="00FE1F95">
        <w:rPr>
          <w:rFonts w:asciiTheme="minorHAnsi" w:eastAsia="Times New Roman" w:hAnsiTheme="minorHAnsi" w:cstheme="minorHAnsi"/>
        </w:rPr>
        <w:t xml:space="preserve"> the reference date may be reported that is available in the reporting institution’s </w:t>
      </w:r>
      <w:proofErr w:type="spellStart"/>
      <w:r w:rsidRPr="00FE1F95">
        <w:rPr>
          <w:rFonts w:asciiTheme="minorHAnsi" w:eastAsia="Times New Roman" w:hAnsiTheme="minorHAnsi" w:cstheme="minorHAnsi"/>
        </w:rPr>
        <w:t>systems</w:t>
      </w:r>
      <w:r w:rsidR="00FB74B9" w:rsidRPr="00FE1F95">
        <w:rPr>
          <w:rFonts w:asciiTheme="minorHAnsi" w:eastAsia="Times New Roman" w:hAnsiTheme="minorHAnsi" w:cstheme="minorHAnsi"/>
        </w:rPr>
        <w:t>R</w:t>
      </w:r>
      <w:proofErr w:type="spellEnd"/>
      <w:r w:rsidRPr="00FE1F95">
        <w:rPr>
          <w:rFonts w:asciiTheme="minorHAnsi" w:eastAsia="Times New Roman" w:hAnsiTheme="minorHAnsi" w:cstheme="minorHAnsi"/>
        </w:rPr>
        <w:t xml:space="preserve"> or, if not available, any other applicable historical and valid date.</w:t>
      </w:r>
    </w:p>
    <w:p w14:paraId="38CF4C81" w14:textId="1739CC31"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The </w:t>
      </w:r>
      <w:proofErr w:type="spellStart"/>
      <w:r w:rsidRPr="00FE1F95">
        <w:rPr>
          <w:rFonts w:asciiTheme="minorHAnsi" w:eastAsia="Times New Roman" w:hAnsiTheme="minorHAnsi" w:cstheme="minorHAnsi"/>
        </w:rPr>
        <w:t>fields</w:t>
      </w:r>
      <w:proofErr w:type="spellEnd"/>
      <w:r w:rsidRPr="00FE1F95">
        <w:rPr>
          <w:rFonts w:asciiTheme="minorHAnsi" w:eastAsia="Times New Roman" w:hAnsiTheme="minorHAnsi" w:cstheme="minorHAnsi"/>
        </w:rPr>
        <w:t xml:space="preserve"> “</w:t>
      </w:r>
      <w:proofErr w:type="spellStart"/>
      <w:r w:rsidR="009D0185" w:rsidRPr="00FE1F95">
        <w:rPr>
          <w:rFonts w:asciiTheme="minorHAnsi" w:eastAsia="Times New Roman" w:hAnsiTheme="minorHAnsi" w:cstheme="minorHAnsi"/>
          <w:b/>
          <w:bCs/>
        </w:rPr>
        <w:t>Contracted</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maturity</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date</w:t>
      </w:r>
      <w:proofErr w:type="spellEnd"/>
      <w:r w:rsidR="009D0185" w:rsidRPr="00FE1F95">
        <w:rPr>
          <w:rFonts w:asciiTheme="minorHAnsi" w:eastAsia="Times New Roman" w:hAnsiTheme="minorHAnsi" w:cstheme="minorHAnsi"/>
          <w:b/>
          <w:bCs/>
        </w:rPr>
        <w:t xml:space="preserve"> of </w:t>
      </w:r>
      <w:proofErr w:type="spellStart"/>
      <w:r w:rsidR="009D0185" w:rsidRPr="00FE1F95">
        <w:rPr>
          <w:rFonts w:asciiTheme="minorHAnsi" w:eastAsia="Times New Roman" w:hAnsiTheme="minorHAnsi" w:cstheme="minorHAnsi"/>
          <w:b/>
          <w:bCs/>
        </w:rPr>
        <w:t>instrument</w:t>
      </w:r>
      <w:proofErr w:type="spellEnd"/>
      <w:r w:rsidRPr="00FE1F95">
        <w:rPr>
          <w:rFonts w:asciiTheme="minorHAnsi" w:eastAsia="Times New Roman" w:hAnsiTheme="minorHAnsi" w:cstheme="minorHAnsi"/>
        </w:rPr>
        <w:t>”</w:t>
      </w:r>
      <w:r w:rsidR="009D0185" w:rsidRPr="00FE1F95">
        <w:rPr>
          <w:rFonts w:asciiTheme="minorHAnsi" w:eastAsia="Times New Roman" w:hAnsiTheme="minorHAnsi" w:cstheme="minorHAnsi"/>
        </w:rPr>
        <w:t xml:space="preserve"> (</w:t>
      </w:r>
      <w:proofErr w:type="spellStart"/>
      <w:r w:rsidR="009D0185" w:rsidRPr="00FE1F95">
        <w:rPr>
          <w:rFonts w:asciiTheme="minorHAnsi" w:eastAsia="Times New Roman" w:hAnsiTheme="minorHAnsi" w:cstheme="minorHAnsi"/>
        </w:rPr>
        <w:t>deposits</w:t>
      </w:r>
      <w:proofErr w:type="spellEnd"/>
      <w:r w:rsidR="009D0185" w:rsidRPr="00FE1F95">
        <w:rPr>
          <w:rFonts w:asciiTheme="minorHAnsi" w:eastAsia="Times New Roman" w:hAnsiTheme="minorHAnsi" w:cstheme="minorHAnsi"/>
        </w:rPr>
        <w:t>)</w:t>
      </w:r>
      <w:r w:rsidRPr="00FE1F95">
        <w:rPr>
          <w:rFonts w:asciiTheme="minorHAnsi" w:eastAsia="Times New Roman" w:hAnsiTheme="minorHAnsi" w:cstheme="minorHAnsi"/>
        </w:rPr>
        <w:t xml:space="preserve"> and </w:t>
      </w:r>
      <w:proofErr w:type="gramStart"/>
      <w:r w:rsidRPr="00FE1F95">
        <w:rPr>
          <w:rFonts w:asciiTheme="minorHAnsi" w:eastAsia="Times New Roman" w:hAnsiTheme="minorHAnsi" w:cstheme="minorHAnsi"/>
        </w:rPr>
        <w:t>“</w:t>
      </w:r>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Contracted</w:t>
      </w:r>
      <w:proofErr w:type="spellEnd"/>
      <w:proofErr w:type="gram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maturity</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date</w:t>
      </w:r>
      <w:proofErr w:type="spellEnd"/>
      <w:r w:rsidR="009D0185" w:rsidRPr="00FE1F95">
        <w:rPr>
          <w:rFonts w:asciiTheme="minorHAnsi" w:eastAsia="Times New Roman" w:hAnsiTheme="minorHAnsi" w:cstheme="minorHAnsi"/>
          <w:b/>
          <w:bCs/>
        </w:rPr>
        <w:t xml:space="preserve"> of </w:t>
      </w:r>
      <w:proofErr w:type="spellStart"/>
      <w:r w:rsidR="009D0185" w:rsidRPr="00FE1F95">
        <w:rPr>
          <w:rFonts w:asciiTheme="minorHAnsi" w:eastAsia="Times New Roman" w:hAnsiTheme="minorHAnsi" w:cstheme="minorHAnsi"/>
          <w:b/>
          <w:bCs/>
        </w:rPr>
        <w:t>instrument</w:t>
      </w:r>
      <w:proofErr w:type="spellEnd"/>
      <w:r w:rsidRPr="00FE1F95">
        <w:rPr>
          <w:rFonts w:asciiTheme="minorHAnsi" w:eastAsia="Times New Roman" w:hAnsiTheme="minorHAnsi" w:cstheme="minorHAnsi"/>
        </w:rPr>
        <w:t>”</w:t>
      </w:r>
      <w:r w:rsidR="009D0185" w:rsidRPr="00FE1F95">
        <w:rPr>
          <w:rFonts w:asciiTheme="minorHAnsi" w:eastAsia="Times New Roman" w:hAnsiTheme="minorHAnsi" w:cstheme="minorHAnsi"/>
        </w:rPr>
        <w:t>(</w:t>
      </w:r>
      <w:proofErr w:type="spellStart"/>
      <w:r w:rsidR="009D0185" w:rsidRPr="00FE1F95">
        <w:rPr>
          <w:rFonts w:asciiTheme="minorHAnsi" w:eastAsia="Times New Roman" w:hAnsiTheme="minorHAnsi" w:cstheme="minorHAnsi"/>
        </w:rPr>
        <w:t>loans</w:t>
      </w:r>
      <w:proofErr w:type="spellEnd"/>
      <w:r w:rsidR="009D0185" w:rsidRPr="00FE1F95">
        <w:rPr>
          <w:rFonts w:asciiTheme="minorHAnsi" w:eastAsia="Times New Roman" w:hAnsiTheme="minorHAnsi" w:cstheme="minorHAnsi"/>
        </w:rPr>
        <w:t>)</w:t>
      </w:r>
      <w:r w:rsidRPr="00FE1F95">
        <w:rPr>
          <w:rFonts w:asciiTheme="minorHAnsi" w:eastAsia="Times New Roman" w:hAnsiTheme="minorHAnsi" w:cstheme="minorHAnsi"/>
        </w:rPr>
        <w:t xml:space="preserve"> must be </w:t>
      </w:r>
      <w:proofErr w:type="spellStart"/>
      <w:r w:rsidRPr="00FE1F95">
        <w:rPr>
          <w:rFonts w:asciiTheme="minorHAnsi" w:eastAsia="Times New Roman" w:hAnsiTheme="minorHAnsi" w:cstheme="minorHAnsi"/>
        </w:rPr>
        <w:t>left</w:t>
      </w:r>
      <w:proofErr w:type="spellEnd"/>
      <w:r w:rsidRPr="00FE1F95">
        <w:rPr>
          <w:rFonts w:asciiTheme="minorHAnsi" w:eastAsia="Times New Roman" w:hAnsiTheme="minorHAnsi" w:cstheme="minorHAnsi"/>
        </w:rPr>
        <w:t xml:space="preserve"> blank for analytically non</w:t>
      </w:r>
      <w:r w:rsidRPr="00FE1F95">
        <w:rPr>
          <w:rFonts w:asciiTheme="minorHAnsi" w:eastAsia="Times New Roman" w:hAnsiTheme="minorHAnsi" w:cstheme="minorHAnsi"/>
        </w:rPr>
        <w:noBreakHyphen/>
        <w:t>decomposable positions.</w:t>
      </w:r>
    </w:p>
    <w:p w14:paraId="03B6D1D3" w14:textId="77777777"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In the “</w:t>
      </w:r>
      <w:r w:rsidRPr="00FE1F95">
        <w:rPr>
          <w:rFonts w:asciiTheme="minorHAnsi" w:eastAsia="Times New Roman" w:hAnsiTheme="minorHAnsi" w:cstheme="minorHAnsi"/>
          <w:b/>
          <w:bCs/>
        </w:rPr>
        <w:t>Interest rate type</w:t>
      </w:r>
      <w:r w:rsidRPr="00FE1F95">
        <w:rPr>
          <w:rFonts w:asciiTheme="minorHAnsi" w:eastAsia="Times New Roman" w:hAnsiTheme="minorHAnsi" w:cstheme="minorHAnsi"/>
        </w:rPr>
        <w:t>” field, the code value ‘FK’ must be reported for deposit transactions and ‘NK’ for loan transactions. In addition, in fields containing outstanding interest amounts, a 0% interest rate must be reported for deposit transactions, while such fields must be left blank for loan transactions.</w:t>
      </w:r>
    </w:p>
    <w:p w14:paraId="179C40C8" w14:textId="5072578C" w:rsidR="00496DE7" w:rsidRPr="00FE1F95" w:rsidRDefault="00496DE7" w:rsidP="00496DE7">
      <w:pPr>
        <w:spacing w:after="0" w:line="300" w:lineRule="atLeast"/>
        <w:rPr>
          <w:rFonts w:asciiTheme="minorHAnsi" w:eastAsia="Times New Roman" w:hAnsiTheme="minorHAnsi" w:cstheme="minorHAnsi"/>
        </w:rPr>
      </w:pPr>
      <w:r w:rsidRPr="00FE1F95">
        <w:rPr>
          <w:rFonts w:asciiTheme="minorHAnsi" w:eastAsia="Times New Roman" w:hAnsiTheme="minorHAnsi" w:cstheme="minorHAnsi"/>
        </w:rPr>
        <w:t xml:space="preserve">In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009D0185" w:rsidRPr="00FE1F95">
        <w:rPr>
          <w:rFonts w:asciiTheme="minorHAnsi" w:eastAsia="Times New Roman" w:hAnsiTheme="minorHAnsi" w:cstheme="minorHAnsi"/>
          <w:b/>
          <w:bCs/>
        </w:rPr>
        <w:t>Instrument</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creation</w:t>
      </w:r>
      <w:proofErr w:type="spellEnd"/>
      <w:r w:rsidR="009D0185" w:rsidRPr="00FE1F95">
        <w:rPr>
          <w:rFonts w:asciiTheme="minorHAnsi" w:eastAsia="Times New Roman" w:hAnsiTheme="minorHAnsi" w:cstheme="minorHAnsi"/>
          <w:b/>
          <w:bCs/>
        </w:rPr>
        <w:t xml:space="preserve"> </w:t>
      </w:r>
      <w:proofErr w:type="spellStart"/>
      <w:r w:rsidR="009D0185" w:rsidRPr="00FE1F95">
        <w:rPr>
          <w:rFonts w:asciiTheme="minorHAnsi" w:eastAsia="Times New Roman" w:hAnsiTheme="minorHAnsi" w:cstheme="minorHAnsi"/>
          <w:b/>
          <w:bCs/>
        </w:rPr>
        <w:t>method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field</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the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code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value</w:t>
      </w:r>
      <w:proofErr w:type="spellEnd"/>
      <w:r w:rsidRPr="00FE1F95">
        <w:rPr>
          <w:rFonts w:asciiTheme="minorHAnsi" w:eastAsia="Times New Roman" w:hAnsiTheme="minorHAnsi" w:cstheme="minorHAnsi"/>
        </w:rPr>
        <w:t xml:space="preserve"> ‘</w:t>
      </w:r>
      <w:proofErr w:type="spellStart"/>
      <w:r w:rsidRPr="00FE1F95">
        <w:rPr>
          <w:rFonts w:asciiTheme="minorHAnsi" w:eastAsia="Times New Roman" w:hAnsiTheme="minorHAnsi" w:cstheme="minorHAnsi"/>
        </w:rPr>
        <w:t>OTHER</w:t>
      </w:r>
      <w:proofErr w:type="spellEnd"/>
      <w:r w:rsidRPr="00FE1F95">
        <w:rPr>
          <w:rFonts w:asciiTheme="minorHAnsi" w:eastAsia="Times New Roman" w:hAnsiTheme="minorHAnsi" w:cstheme="minorHAnsi"/>
        </w:rPr>
        <w:t>’ must be reported.</w:t>
      </w:r>
    </w:p>
    <w:p w14:paraId="314FF5B9" w14:textId="43C8280C" w:rsidR="00673A85" w:rsidRPr="00FE1F95" w:rsidRDefault="00673A85">
      <w:pPr>
        <w:spacing w:after="0" w:line="240" w:lineRule="auto"/>
        <w:jc w:val="left"/>
        <w:rPr>
          <w:rFonts w:asciiTheme="minorHAnsi" w:eastAsia="Times New Roman" w:hAnsiTheme="minorHAnsi" w:cstheme="minorHAnsi"/>
        </w:rPr>
      </w:pPr>
      <w:r w:rsidRPr="00FE1F95">
        <w:rPr>
          <w:rFonts w:asciiTheme="minorHAnsi" w:eastAsia="Times New Roman" w:hAnsiTheme="minorHAnsi" w:cstheme="minorHAnsi"/>
        </w:rPr>
        <w:br w:type="page"/>
      </w:r>
    </w:p>
    <w:p w14:paraId="70B51D56" w14:textId="77777777" w:rsidR="00496DE7" w:rsidRPr="00FE1F95" w:rsidRDefault="00496DE7" w:rsidP="00496DE7">
      <w:pPr>
        <w:spacing w:after="0" w:line="300" w:lineRule="atLeast"/>
        <w:jc w:val="left"/>
        <w:rPr>
          <w:rFonts w:asciiTheme="minorHAnsi" w:eastAsia="Times New Roman" w:hAnsiTheme="minorHAnsi" w:cstheme="minorHAnsi"/>
        </w:rPr>
      </w:pPr>
    </w:p>
    <w:p w14:paraId="51730D74" w14:textId="715752E7" w:rsidR="00F60B4A" w:rsidRPr="00FE1F95" w:rsidRDefault="00673A85" w:rsidP="00F60B4A">
      <w:pPr>
        <w:pStyle w:val="Cmsor1"/>
        <w:rPr>
          <w:rFonts w:asciiTheme="minorHAnsi" w:hAnsiTheme="minorHAnsi" w:cstheme="minorHAnsi"/>
          <w:sz w:val="20"/>
          <w:szCs w:val="20"/>
        </w:rPr>
      </w:pPr>
      <w:bookmarkStart w:id="43" w:name="_Toc229138451"/>
      <w:r w:rsidRPr="00FE1F95">
        <w:rPr>
          <w:rFonts w:asciiTheme="minorHAnsi" w:hAnsiTheme="minorHAnsi" w:cstheme="minorHAnsi"/>
          <w:sz w:val="20"/>
          <w:szCs w:val="20"/>
        </w:rPr>
        <w:t>appendices</w:t>
      </w:r>
      <w:bookmarkEnd w:id="43"/>
    </w:p>
    <w:p w14:paraId="0565BBA8" w14:textId="0B85952A" w:rsidR="00243B52" w:rsidRPr="00FE1F95" w:rsidRDefault="00243B52" w:rsidP="009C575E">
      <w:pPr>
        <w:pStyle w:val="Cmsor2"/>
        <w:rPr>
          <w:rFonts w:asciiTheme="minorHAnsi" w:hAnsiTheme="minorHAnsi" w:cstheme="minorHAnsi"/>
          <w:bCs/>
          <w:sz w:val="20"/>
          <w:szCs w:val="20"/>
        </w:rPr>
      </w:pPr>
      <w:bookmarkStart w:id="44" w:name="_Toc229138452"/>
      <w:r w:rsidRPr="00FE1F95">
        <w:rPr>
          <w:rFonts w:asciiTheme="minorHAnsi" w:hAnsiTheme="minorHAnsi" w:cstheme="minorHAnsi"/>
          <w:sz w:val="20"/>
          <w:szCs w:val="20"/>
        </w:rPr>
        <w:t>List of fields to be reported in the client tables by client quality classification category</w:t>
      </w:r>
      <w:bookmarkEnd w:id="44"/>
    </w:p>
    <w:p w14:paraId="428B8675" w14:textId="77777777" w:rsidR="00300B96" w:rsidRPr="00FE1F95" w:rsidRDefault="00300B96" w:rsidP="00300B96">
      <w:pPr>
        <w:rPr>
          <w:rFonts w:asciiTheme="minorHAnsi" w:hAnsiTheme="minorHAnsi" w:cstheme="minorHAnsi"/>
        </w:rPr>
      </w:pPr>
    </w:p>
    <w:p w14:paraId="7B90D277" w14:textId="5247CA66" w:rsidR="00300B96" w:rsidRPr="00FE1F95" w:rsidRDefault="004E0ADF" w:rsidP="00300B96">
      <w:pPr>
        <w:rPr>
          <w:rFonts w:asciiTheme="minorHAnsi" w:hAnsiTheme="minorHAnsi" w:cstheme="minorHAnsi"/>
        </w:rPr>
      </w:pPr>
      <w:r w:rsidRPr="00FE1F95">
        <w:rPr>
          <w:rFonts w:asciiTheme="minorHAnsi" w:hAnsiTheme="minorHAnsi" w:cstheme="minorHAnsi"/>
          <w:noProof/>
        </w:rPr>
        <w:drawing>
          <wp:inline distT="0" distB="0" distL="0" distR="0" wp14:anchorId="25802D7D" wp14:editId="0A20DEBE">
            <wp:extent cx="5409825" cy="5379720"/>
            <wp:effectExtent l="0" t="0" r="635" b="0"/>
            <wp:docPr id="13007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1498" cy="5381384"/>
                    </a:xfrm>
                    <a:prstGeom prst="rect">
                      <a:avLst/>
                    </a:prstGeom>
                    <a:noFill/>
                    <a:ln>
                      <a:noFill/>
                    </a:ln>
                  </pic:spPr>
                </pic:pic>
              </a:graphicData>
            </a:graphic>
          </wp:inline>
        </w:drawing>
      </w:r>
    </w:p>
    <w:p w14:paraId="720EBF6A" w14:textId="77777777" w:rsidR="00300B96" w:rsidRPr="00FE1F95" w:rsidRDefault="00300B96" w:rsidP="00300B96">
      <w:pPr>
        <w:rPr>
          <w:rFonts w:asciiTheme="minorHAnsi" w:hAnsiTheme="minorHAnsi" w:cstheme="minorHAnsi"/>
        </w:rPr>
      </w:pPr>
    </w:p>
    <w:p w14:paraId="5AF6A755" w14:textId="272C9B26" w:rsidR="00300B96" w:rsidRPr="00FE1F95" w:rsidRDefault="004E0ADF" w:rsidP="00300B96">
      <w:pPr>
        <w:rPr>
          <w:rFonts w:asciiTheme="minorHAnsi" w:hAnsiTheme="minorHAnsi" w:cstheme="minorHAnsi"/>
        </w:rPr>
      </w:pPr>
      <w:r w:rsidRPr="00FE1F95">
        <w:rPr>
          <w:rFonts w:asciiTheme="minorHAnsi" w:hAnsiTheme="minorHAnsi" w:cstheme="minorHAnsi"/>
          <w:noProof/>
        </w:rPr>
        <w:lastRenderedPageBreak/>
        <w:drawing>
          <wp:inline distT="0" distB="0" distL="0" distR="0" wp14:anchorId="1F4583D9" wp14:editId="710DE9BF">
            <wp:extent cx="6047740" cy="5344795"/>
            <wp:effectExtent l="0" t="0" r="0" b="8255"/>
            <wp:docPr id="1692016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7740" cy="5344795"/>
                    </a:xfrm>
                    <a:prstGeom prst="rect">
                      <a:avLst/>
                    </a:prstGeom>
                    <a:noFill/>
                    <a:ln>
                      <a:noFill/>
                    </a:ln>
                  </pic:spPr>
                </pic:pic>
              </a:graphicData>
            </a:graphic>
          </wp:inline>
        </w:drawing>
      </w:r>
    </w:p>
    <w:p w14:paraId="0A36A264" w14:textId="77777777" w:rsidR="00300B96" w:rsidRPr="00FE1F95" w:rsidRDefault="00300B96" w:rsidP="00300B96">
      <w:pPr>
        <w:rPr>
          <w:rFonts w:asciiTheme="minorHAnsi" w:hAnsiTheme="minorHAnsi" w:cstheme="minorHAnsi"/>
        </w:rPr>
      </w:pPr>
    </w:p>
    <w:p w14:paraId="004A2AF9" w14:textId="7548D073" w:rsidR="00300B96" w:rsidRPr="00FE1F95" w:rsidRDefault="004E0ADF" w:rsidP="00300B96">
      <w:pPr>
        <w:rPr>
          <w:rFonts w:asciiTheme="minorHAnsi" w:hAnsiTheme="minorHAnsi" w:cstheme="minorHAnsi"/>
        </w:rPr>
      </w:pPr>
      <w:r w:rsidRPr="00FE1F95">
        <w:rPr>
          <w:rFonts w:asciiTheme="minorHAnsi" w:hAnsiTheme="minorHAnsi" w:cstheme="minorHAnsi"/>
          <w:noProof/>
        </w:rPr>
        <w:lastRenderedPageBreak/>
        <w:drawing>
          <wp:inline distT="0" distB="0" distL="0" distR="0" wp14:anchorId="69E5B5F0" wp14:editId="438B95F1">
            <wp:extent cx="6047740" cy="6426200"/>
            <wp:effectExtent l="0" t="0" r="0" b="0"/>
            <wp:docPr id="979084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7740" cy="6426200"/>
                    </a:xfrm>
                    <a:prstGeom prst="rect">
                      <a:avLst/>
                    </a:prstGeom>
                    <a:noFill/>
                    <a:ln>
                      <a:noFill/>
                    </a:ln>
                  </pic:spPr>
                </pic:pic>
              </a:graphicData>
            </a:graphic>
          </wp:inline>
        </w:drawing>
      </w:r>
    </w:p>
    <w:p w14:paraId="5CF2F7F1" w14:textId="77777777" w:rsidR="00300B96" w:rsidRPr="00FE1F95" w:rsidRDefault="00300B96" w:rsidP="00300B96">
      <w:pPr>
        <w:rPr>
          <w:rFonts w:asciiTheme="minorHAnsi" w:hAnsiTheme="minorHAnsi" w:cstheme="minorHAnsi"/>
        </w:rPr>
      </w:pPr>
    </w:p>
    <w:p w14:paraId="38B5933D" w14:textId="76ED1024" w:rsidR="002B4765" w:rsidRPr="00FE1F95" w:rsidRDefault="004E0ADF" w:rsidP="004E0ADF">
      <w:pPr>
        <w:rPr>
          <w:rFonts w:asciiTheme="minorHAnsi" w:hAnsiTheme="minorHAnsi" w:cstheme="minorHAnsi"/>
        </w:rPr>
      </w:pPr>
      <w:r w:rsidRPr="00FE1F95">
        <w:rPr>
          <w:rFonts w:asciiTheme="minorHAnsi" w:hAnsiTheme="minorHAnsi" w:cstheme="minorHAnsi"/>
          <w:noProof/>
        </w:rPr>
        <w:lastRenderedPageBreak/>
        <w:drawing>
          <wp:inline distT="0" distB="0" distL="0" distR="0" wp14:anchorId="46687784" wp14:editId="0B3DC615">
            <wp:extent cx="6047740" cy="6873875"/>
            <wp:effectExtent l="0" t="0" r="0" b="3175"/>
            <wp:docPr id="1710217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47740" cy="6873875"/>
                    </a:xfrm>
                    <a:prstGeom prst="rect">
                      <a:avLst/>
                    </a:prstGeom>
                    <a:noFill/>
                    <a:ln>
                      <a:noFill/>
                    </a:ln>
                  </pic:spPr>
                </pic:pic>
              </a:graphicData>
            </a:graphic>
          </wp:inline>
        </w:drawing>
      </w:r>
    </w:p>
    <w:sectPr w:rsidR="002B4765" w:rsidRPr="00FE1F95" w:rsidSect="00CD6E8D">
      <w:headerReference w:type="default" r:id="rId23"/>
      <w:footerReference w:type="default" r:id="rId24"/>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DA3B" w14:textId="77777777" w:rsidR="00C81460" w:rsidRPr="006D4D43" w:rsidRDefault="00C81460">
      <w:r w:rsidRPr="006D4D43">
        <w:separator/>
      </w:r>
    </w:p>
  </w:endnote>
  <w:endnote w:type="continuationSeparator" w:id="0">
    <w:p w14:paraId="7370DDE5" w14:textId="77777777" w:rsidR="00C81460" w:rsidRPr="006D4D43" w:rsidRDefault="00C81460">
      <w:r w:rsidRPr="006D4D43">
        <w:continuationSeparator/>
      </w:r>
    </w:p>
  </w:endnote>
  <w:endnote w:type="continuationNotice" w:id="1">
    <w:p w14:paraId="59AEB6BB" w14:textId="77777777" w:rsidR="00ED3B94" w:rsidRPr="006D4D43" w:rsidRDefault="00ED3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9E04" w14:textId="77777777" w:rsidR="009E3A57" w:rsidRPr="006D4D43" w:rsidRDefault="009E3A57" w:rsidP="00AC6950">
    <w:pPr>
      <w:tabs>
        <w:tab w:val="left" w:pos="8460"/>
      </w:tabs>
      <w:rPr>
        <w:sz w:val="18"/>
        <w:szCs w:val="18"/>
      </w:rPr>
    </w:pPr>
    <w:r w:rsidRPr="006D4D43">
      <w:rPr>
        <w:sz w:val="18"/>
        <w:szCs w:val="18"/>
      </w:rPr>
      <w:tab/>
    </w:r>
    <w:r w:rsidR="00A8495F" w:rsidRPr="006D4D43">
      <w:rPr>
        <w:sz w:val="18"/>
        <w:szCs w:val="18"/>
      </w:rPr>
      <w:fldChar w:fldCharType="begin"/>
    </w:r>
    <w:r w:rsidRPr="006D4D43">
      <w:rPr>
        <w:sz w:val="18"/>
        <w:szCs w:val="18"/>
      </w:rPr>
      <w:instrText xml:space="preserve"> PAGE </w:instrText>
    </w:r>
    <w:r w:rsidR="00A8495F" w:rsidRPr="006D4D43">
      <w:rPr>
        <w:sz w:val="18"/>
        <w:szCs w:val="18"/>
      </w:rPr>
      <w:fldChar w:fldCharType="separate"/>
    </w:r>
    <w:r w:rsidR="006F0376" w:rsidRPr="006D4D43">
      <w:rPr>
        <w:sz w:val="18"/>
        <w:szCs w:val="18"/>
      </w:rPr>
      <w:t>2</w:t>
    </w:r>
    <w:r w:rsidR="00A8495F" w:rsidRPr="006D4D43">
      <w:rPr>
        <w:sz w:val="18"/>
        <w:szCs w:val="18"/>
      </w:rPr>
      <w:fldChar w:fldCharType="end"/>
    </w:r>
    <w:r w:rsidRPr="006D4D43">
      <w:rPr>
        <w:sz w:val="18"/>
        <w:szCs w:val="18"/>
      </w:rPr>
      <w:t>/</w:t>
    </w:r>
    <w:r w:rsidR="00A8495F" w:rsidRPr="006D4D43">
      <w:rPr>
        <w:sz w:val="18"/>
        <w:szCs w:val="18"/>
      </w:rPr>
      <w:fldChar w:fldCharType="begin"/>
    </w:r>
    <w:r w:rsidRPr="006D4D43">
      <w:rPr>
        <w:sz w:val="18"/>
        <w:szCs w:val="18"/>
      </w:rPr>
      <w:instrText xml:space="preserve"> NUMPAGES </w:instrText>
    </w:r>
    <w:r w:rsidR="00A8495F" w:rsidRPr="006D4D43">
      <w:rPr>
        <w:sz w:val="18"/>
        <w:szCs w:val="18"/>
      </w:rPr>
      <w:fldChar w:fldCharType="separate"/>
    </w:r>
    <w:r w:rsidR="006F0376" w:rsidRPr="006D4D43">
      <w:rPr>
        <w:sz w:val="18"/>
        <w:szCs w:val="18"/>
      </w:rPr>
      <w:t>2</w:t>
    </w:r>
    <w:r w:rsidR="00A8495F" w:rsidRPr="006D4D4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5BE2" w14:textId="77777777" w:rsidR="00C81460" w:rsidRPr="006D4D43" w:rsidRDefault="00C81460">
      <w:r w:rsidRPr="006D4D43">
        <w:separator/>
      </w:r>
    </w:p>
  </w:footnote>
  <w:footnote w:type="continuationSeparator" w:id="0">
    <w:p w14:paraId="03DA3B60" w14:textId="77777777" w:rsidR="00C81460" w:rsidRPr="006D4D43" w:rsidRDefault="00C81460">
      <w:r w:rsidRPr="006D4D43">
        <w:continuationSeparator/>
      </w:r>
    </w:p>
  </w:footnote>
  <w:footnote w:type="continuationNotice" w:id="1">
    <w:p w14:paraId="233652B2" w14:textId="77777777" w:rsidR="00ED3B94" w:rsidRPr="006D4D43" w:rsidRDefault="00ED3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696F" w14:textId="77777777" w:rsidR="009E3A57" w:rsidRPr="006D4D43"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9CC"/>
    <w:multiLevelType w:val="hybridMultilevel"/>
    <w:tmpl w:val="6460569A"/>
    <w:lvl w:ilvl="0" w:tplc="C936CD20">
      <w:numFmt w:val="bullet"/>
      <w:lvlText w:val="-"/>
      <w:lvlJc w:val="left"/>
      <w:pPr>
        <w:ind w:left="1069" w:hanging="360"/>
      </w:pPr>
      <w:rPr>
        <w:rFonts w:ascii="Garamond" w:eastAsia="Times New Roman" w:hAnsi="Garamond" w:cs="Times New Roman" w:hint="default"/>
        <w:b/>
        <w:color w:val="0C2148" w:themeColor="text2"/>
        <w:sz w:val="24"/>
      </w:rPr>
    </w:lvl>
    <w:lvl w:ilvl="1" w:tplc="FFFFFFFF">
      <w:start w:val="1"/>
      <w:numFmt w:val="bullet"/>
      <w:lvlText w:val="o"/>
      <w:lvlJc w:val="left"/>
      <w:pPr>
        <w:ind w:left="1789" w:hanging="360"/>
      </w:pPr>
      <w:rPr>
        <w:rFonts w:ascii="Courier New" w:hAnsi="Courier New" w:hint="default"/>
        <w:b/>
        <w:color w:val="F6A800" w:themeColor="accent5"/>
        <w:sz w:val="24"/>
      </w:rPr>
    </w:lvl>
    <w:lvl w:ilvl="2" w:tplc="FFFFFFFF">
      <w:start w:val="1"/>
      <w:numFmt w:val="bullet"/>
      <w:lvlText w:val=""/>
      <w:lvlJc w:val="left"/>
      <w:pPr>
        <w:ind w:left="2509" w:hanging="360"/>
      </w:pPr>
      <w:rPr>
        <w:rFonts w:ascii="Wingdings" w:hAnsi="Wingdings" w:cstheme="minorHAnsi" w:hint="default"/>
        <w:b/>
        <w:color w:val="F6A800" w:themeColor="accent5"/>
        <w:sz w:val="24"/>
      </w:rPr>
    </w:lvl>
    <w:lvl w:ilvl="3" w:tplc="FFFFFFFF">
      <w:start w:val="1"/>
      <w:numFmt w:val="bullet"/>
      <w:lvlText w:val=""/>
      <w:lvlJc w:val="left"/>
      <w:pPr>
        <w:ind w:left="3229" w:hanging="360"/>
      </w:pPr>
      <w:rPr>
        <w:rFonts w:ascii="Symbol" w:hAnsi="Symbol" w:cstheme="minorHAnsi" w:hint="default"/>
        <w:b/>
        <w:color w:val="F6A800" w:themeColor="accent5"/>
        <w:sz w:val="24"/>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 w15:restartNumberingAfterBreak="0">
    <w:nsid w:val="01A66F23"/>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A2FA4"/>
    <w:multiLevelType w:val="hybridMultilevel"/>
    <w:tmpl w:val="3E72121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C54F4"/>
    <w:multiLevelType w:val="multilevel"/>
    <w:tmpl w:val="99A0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E3C78"/>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E9C1F6A"/>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267C1"/>
    <w:multiLevelType w:val="multilevel"/>
    <w:tmpl w:val="6C1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83312"/>
    <w:multiLevelType w:val="multilevel"/>
    <w:tmpl w:val="FD0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D0D5A"/>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8FE7586"/>
    <w:multiLevelType w:val="hybridMultilevel"/>
    <w:tmpl w:val="C82A6DA8"/>
    <w:lvl w:ilvl="0" w:tplc="8EEEDF00">
      <w:start w:val="11"/>
      <w:numFmt w:val="bullet"/>
      <w:lvlText w:val="-"/>
      <w:lvlJc w:val="left"/>
      <w:pPr>
        <w:ind w:left="1069" w:hanging="360"/>
      </w:pPr>
      <w:rPr>
        <w:rFonts w:ascii="Calibri" w:eastAsia="Calibri" w:hAnsi="Calibri"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4" w15:restartNumberingAfterBreak="0">
    <w:nsid w:val="19D36577"/>
    <w:multiLevelType w:val="hybridMultilevel"/>
    <w:tmpl w:val="60A61C86"/>
    <w:lvl w:ilvl="0" w:tplc="FA541E0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ADE5A2A"/>
    <w:multiLevelType w:val="hybridMultilevel"/>
    <w:tmpl w:val="0D525AE6"/>
    <w:lvl w:ilvl="0" w:tplc="C936CD20">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A23B33"/>
    <w:multiLevelType w:val="multilevel"/>
    <w:tmpl w:val="C726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8" w15:restartNumberingAfterBreak="0">
    <w:nsid w:val="1FFA676E"/>
    <w:multiLevelType w:val="hybridMultilevel"/>
    <w:tmpl w:val="927ACE16"/>
    <w:lvl w:ilvl="0" w:tplc="C24C82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2B7403"/>
    <w:multiLevelType w:val="hybridMultilevel"/>
    <w:tmpl w:val="680C31CC"/>
    <w:lvl w:ilvl="0" w:tplc="36EA318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39D6D96"/>
    <w:multiLevelType w:val="multilevel"/>
    <w:tmpl w:val="DE8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22"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2DCF133D"/>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912EFD"/>
    <w:multiLevelType w:val="multilevel"/>
    <w:tmpl w:val="A3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17D35"/>
    <w:multiLevelType w:val="hybridMultilevel"/>
    <w:tmpl w:val="7BCCB744"/>
    <w:lvl w:ilvl="0" w:tplc="FA541E0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9F76D57"/>
    <w:multiLevelType w:val="hybridMultilevel"/>
    <w:tmpl w:val="F45063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47AE2AB1"/>
    <w:multiLevelType w:val="multilevel"/>
    <w:tmpl w:val="22B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573B454E"/>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C43B8E"/>
    <w:multiLevelType w:val="hybridMultilevel"/>
    <w:tmpl w:val="04C4471E"/>
    <w:lvl w:ilvl="0" w:tplc="FA541E00">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7E91464"/>
    <w:multiLevelType w:val="hybridMultilevel"/>
    <w:tmpl w:val="FEA0DDDC"/>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3" w15:restartNumberingAfterBreak="0">
    <w:nsid w:val="6E840A6A"/>
    <w:multiLevelType w:val="multilevel"/>
    <w:tmpl w:val="58C6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B2C64"/>
    <w:multiLevelType w:val="multilevel"/>
    <w:tmpl w:val="430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61259"/>
    <w:multiLevelType w:val="hybridMultilevel"/>
    <w:tmpl w:val="1D62B8E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6"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7" w15:restartNumberingAfterBreak="0">
    <w:nsid w:val="72A742FE"/>
    <w:multiLevelType w:val="multilevel"/>
    <w:tmpl w:val="8E7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9" w15:restartNumberingAfterBreak="0">
    <w:nsid w:val="753C4C4D"/>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31680"/>
    <w:multiLevelType w:val="multilevel"/>
    <w:tmpl w:val="B2120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9A0A12"/>
    <w:multiLevelType w:val="hybridMultilevel"/>
    <w:tmpl w:val="331662E8"/>
    <w:lvl w:ilvl="0" w:tplc="F2A2E21E">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F274A48"/>
    <w:multiLevelType w:val="hybridMultilevel"/>
    <w:tmpl w:val="8B3022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F3B4B5D"/>
    <w:multiLevelType w:val="multilevel"/>
    <w:tmpl w:val="D66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545052">
    <w:abstractNumId w:val="17"/>
  </w:num>
  <w:num w:numId="2" w16cid:durableId="274792901">
    <w:abstractNumId w:val="11"/>
  </w:num>
  <w:num w:numId="3" w16cid:durableId="2067752335">
    <w:abstractNumId w:val="21"/>
  </w:num>
  <w:num w:numId="4" w16cid:durableId="1422409034">
    <w:abstractNumId w:val="5"/>
  </w:num>
  <w:num w:numId="5" w16cid:durableId="1469546421">
    <w:abstractNumId w:val="6"/>
  </w:num>
  <w:num w:numId="6" w16cid:durableId="1952007438">
    <w:abstractNumId w:val="12"/>
  </w:num>
  <w:num w:numId="7" w16cid:durableId="1508208941">
    <w:abstractNumId w:val="36"/>
  </w:num>
  <w:num w:numId="8" w16cid:durableId="605238162">
    <w:abstractNumId w:val="27"/>
    <w:lvlOverride w:ilvl="0">
      <w:startOverride w:val="1"/>
    </w:lvlOverride>
  </w:num>
  <w:num w:numId="9" w16cid:durableId="1375621254">
    <w:abstractNumId w:val="38"/>
  </w:num>
  <w:num w:numId="10" w16cid:durableId="1194803160">
    <w:abstractNumId w:val="41"/>
  </w:num>
  <w:num w:numId="11" w16cid:durableId="1166676635">
    <w:abstractNumId w:val="15"/>
  </w:num>
  <w:num w:numId="12" w16cid:durableId="1472673734">
    <w:abstractNumId w:val="26"/>
  </w:num>
  <w:num w:numId="13" w16cid:durableId="98107819">
    <w:abstractNumId w:val="32"/>
  </w:num>
  <w:num w:numId="14" w16cid:durableId="697120881">
    <w:abstractNumId w:val="14"/>
  </w:num>
  <w:num w:numId="15" w16cid:durableId="1042174709">
    <w:abstractNumId w:val="18"/>
  </w:num>
  <w:num w:numId="16" w16cid:durableId="576020770">
    <w:abstractNumId w:val="13"/>
  </w:num>
  <w:num w:numId="17" w16cid:durableId="1335718793">
    <w:abstractNumId w:val="19"/>
  </w:num>
  <w:num w:numId="18" w16cid:durableId="2107454364">
    <w:abstractNumId w:val="0"/>
  </w:num>
  <w:num w:numId="19" w16cid:durableId="1201238644">
    <w:abstractNumId w:val="3"/>
  </w:num>
  <w:num w:numId="20" w16cid:durableId="1157646379">
    <w:abstractNumId w:val="16"/>
  </w:num>
  <w:num w:numId="21" w16cid:durableId="1644118799">
    <w:abstractNumId w:val="24"/>
  </w:num>
  <w:num w:numId="22" w16cid:durableId="754866332">
    <w:abstractNumId w:val="27"/>
  </w:num>
  <w:num w:numId="23" w16cid:durableId="183399180">
    <w:abstractNumId w:val="29"/>
  </w:num>
  <w:num w:numId="24" w16cid:durableId="345060052">
    <w:abstractNumId w:val="22"/>
  </w:num>
  <w:num w:numId="25" w16cid:durableId="1107431050">
    <w:abstractNumId w:val="40"/>
  </w:num>
  <w:num w:numId="26" w16cid:durableId="1743523350">
    <w:abstractNumId w:val="39"/>
  </w:num>
  <w:num w:numId="27" w16cid:durableId="763263501">
    <w:abstractNumId w:val="37"/>
  </w:num>
  <w:num w:numId="28" w16cid:durableId="1348100866">
    <w:abstractNumId w:val="23"/>
  </w:num>
  <w:num w:numId="29" w16cid:durableId="1637568500">
    <w:abstractNumId w:val="1"/>
  </w:num>
  <w:num w:numId="30" w16cid:durableId="1896894175">
    <w:abstractNumId w:val="43"/>
  </w:num>
  <w:num w:numId="31" w16cid:durableId="2138638590">
    <w:abstractNumId w:val="4"/>
  </w:num>
  <w:num w:numId="32" w16cid:durableId="1542404844">
    <w:abstractNumId w:val="10"/>
  </w:num>
  <w:num w:numId="33" w16cid:durableId="142043104">
    <w:abstractNumId w:val="30"/>
  </w:num>
  <w:num w:numId="34" w16cid:durableId="1558589935">
    <w:abstractNumId w:val="31"/>
  </w:num>
  <w:num w:numId="35" w16cid:durableId="578516317">
    <w:abstractNumId w:val="25"/>
  </w:num>
  <w:num w:numId="36" w16cid:durableId="1524512258">
    <w:abstractNumId w:val="2"/>
  </w:num>
  <w:num w:numId="37" w16cid:durableId="245575545">
    <w:abstractNumId w:val="42"/>
  </w:num>
  <w:num w:numId="38" w16cid:durableId="1776556899">
    <w:abstractNumId w:val="7"/>
  </w:num>
  <w:num w:numId="39" w16cid:durableId="1569683740">
    <w:abstractNumId w:val="35"/>
  </w:num>
  <w:num w:numId="40" w16cid:durableId="1413235678">
    <w:abstractNumId w:val="33"/>
  </w:num>
  <w:num w:numId="41" w16cid:durableId="1049458189">
    <w:abstractNumId w:val="28"/>
  </w:num>
  <w:num w:numId="42" w16cid:durableId="801773858">
    <w:abstractNumId w:val="9"/>
  </w:num>
  <w:num w:numId="43" w16cid:durableId="1976372118">
    <w:abstractNumId w:val="20"/>
  </w:num>
  <w:num w:numId="44" w16cid:durableId="312955888">
    <w:abstractNumId w:val="21"/>
  </w:num>
  <w:num w:numId="45" w16cid:durableId="1490713797">
    <w:abstractNumId w:val="34"/>
  </w:num>
  <w:num w:numId="46" w16cid:durableId="1617365803">
    <w:abstractNumId w:val="21"/>
  </w:num>
  <w:num w:numId="47" w16cid:durableId="139042419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hdrShapeDefaults>
    <o:shapedefaults v:ext="edit" spidmax="258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60"/>
    <w:rsid w:val="0000273C"/>
    <w:rsid w:val="00006100"/>
    <w:rsid w:val="00011591"/>
    <w:rsid w:val="000166A3"/>
    <w:rsid w:val="00017B1B"/>
    <w:rsid w:val="0002370B"/>
    <w:rsid w:val="000243A0"/>
    <w:rsid w:val="00024836"/>
    <w:rsid w:val="0002498B"/>
    <w:rsid w:val="00024D48"/>
    <w:rsid w:val="000250E6"/>
    <w:rsid w:val="00025BA0"/>
    <w:rsid w:val="00026471"/>
    <w:rsid w:val="00027695"/>
    <w:rsid w:val="00027B62"/>
    <w:rsid w:val="00030F0E"/>
    <w:rsid w:val="00033357"/>
    <w:rsid w:val="00035697"/>
    <w:rsid w:val="00036F1F"/>
    <w:rsid w:val="00040CDE"/>
    <w:rsid w:val="000433B9"/>
    <w:rsid w:val="00047674"/>
    <w:rsid w:val="00051A31"/>
    <w:rsid w:val="00052BC8"/>
    <w:rsid w:val="0005577F"/>
    <w:rsid w:val="00056E3A"/>
    <w:rsid w:val="00057C4F"/>
    <w:rsid w:val="00057DFE"/>
    <w:rsid w:val="00057F68"/>
    <w:rsid w:val="00060148"/>
    <w:rsid w:val="00063216"/>
    <w:rsid w:val="0006374F"/>
    <w:rsid w:val="00064546"/>
    <w:rsid w:val="00065193"/>
    <w:rsid w:val="00065FE4"/>
    <w:rsid w:val="000673C3"/>
    <w:rsid w:val="000674BE"/>
    <w:rsid w:val="000677D1"/>
    <w:rsid w:val="00067BE2"/>
    <w:rsid w:val="00067C0C"/>
    <w:rsid w:val="00067C2E"/>
    <w:rsid w:val="00071A9E"/>
    <w:rsid w:val="00076370"/>
    <w:rsid w:val="00080966"/>
    <w:rsid w:val="0008131E"/>
    <w:rsid w:val="00081934"/>
    <w:rsid w:val="000831EC"/>
    <w:rsid w:val="00087E97"/>
    <w:rsid w:val="000904C4"/>
    <w:rsid w:val="00092DBE"/>
    <w:rsid w:val="00095C17"/>
    <w:rsid w:val="00096B56"/>
    <w:rsid w:val="000A11C8"/>
    <w:rsid w:val="000A1E60"/>
    <w:rsid w:val="000A2103"/>
    <w:rsid w:val="000A3A63"/>
    <w:rsid w:val="000A6CCC"/>
    <w:rsid w:val="000A71F3"/>
    <w:rsid w:val="000C0028"/>
    <w:rsid w:val="000C1A11"/>
    <w:rsid w:val="000C2918"/>
    <w:rsid w:val="000C3019"/>
    <w:rsid w:val="000C3D9B"/>
    <w:rsid w:val="000C5EDD"/>
    <w:rsid w:val="000C701E"/>
    <w:rsid w:val="000C701F"/>
    <w:rsid w:val="000D1C8B"/>
    <w:rsid w:val="000D1E44"/>
    <w:rsid w:val="000D2B62"/>
    <w:rsid w:val="000D40AE"/>
    <w:rsid w:val="000D4F61"/>
    <w:rsid w:val="000D5F26"/>
    <w:rsid w:val="000E1304"/>
    <w:rsid w:val="000E2CBD"/>
    <w:rsid w:val="000E4EE3"/>
    <w:rsid w:val="000E549F"/>
    <w:rsid w:val="000E57C0"/>
    <w:rsid w:val="000F2858"/>
    <w:rsid w:val="000F2AE0"/>
    <w:rsid w:val="000F30B8"/>
    <w:rsid w:val="000F3998"/>
    <w:rsid w:val="000F68FE"/>
    <w:rsid w:val="00101654"/>
    <w:rsid w:val="00102174"/>
    <w:rsid w:val="0010447E"/>
    <w:rsid w:val="00104546"/>
    <w:rsid w:val="0010496C"/>
    <w:rsid w:val="00104EBB"/>
    <w:rsid w:val="001051F7"/>
    <w:rsid w:val="00110868"/>
    <w:rsid w:val="0011197D"/>
    <w:rsid w:val="00113C88"/>
    <w:rsid w:val="00114799"/>
    <w:rsid w:val="00116409"/>
    <w:rsid w:val="00116445"/>
    <w:rsid w:val="00117856"/>
    <w:rsid w:val="00121E2F"/>
    <w:rsid w:val="00122225"/>
    <w:rsid w:val="001255A4"/>
    <w:rsid w:val="00125E44"/>
    <w:rsid w:val="00127FBC"/>
    <w:rsid w:val="00130186"/>
    <w:rsid w:val="00132260"/>
    <w:rsid w:val="00132D39"/>
    <w:rsid w:val="001331B2"/>
    <w:rsid w:val="00133A51"/>
    <w:rsid w:val="001356A6"/>
    <w:rsid w:val="001357D0"/>
    <w:rsid w:val="00136260"/>
    <w:rsid w:val="00137224"/>
    <w:rsid w:val="00141E1E"/>
    <w:rsid w:val="001421CC"/>
    <w:rsid w:val="00143691"/>
    <w:rsid w:val="001448C0"/>
    <w:rsid w:val="00146005"/>
    <w:rsid w:val="00150045"/>
    <w:rsid w:val="00150487"/>
    <w:rsid w:val="0015132C"/>
    <w:rsid w:val="00152D2F"/>
    <w:rsid w:val="00152DBF"/>
    <w:rsid w:val="001603E3"/>
    <w:rsid w:val="001647FC"/>
    <w:rsid w:val="0016634D"/>
    <w:rsid w:val="00166F6C"/>
    <w:rsid w:val="001747F6"/>
    <w:rsid w:val="0018041E"/>
    <w:rsid w:val="00181FDE"/>
    <w:rsid w:val="0018359E"/>
    <w:rsid w:val="00184C8C"/>
    <w:rsid w:val="001860D7"/>
    <w:rsid w:val="0018619A"/>
    <w:rsid w:val="001870A7"/>
    <w:rsid w:val="00193E76"/>
    <w:rsid w:val="0019490D"/>
    <w:rsid w:val="00197350"/>
    <w:rsid w:val="001A07C1"/>
    <w:rsid w:val="001A2BAA"/>
    <w:rsid w:val="001A3077"/>
    <w:rsid w:val="001A5465"/>
    <w:rsid w:val="001A76EA"/>
    <w:rsid w:val="001B205B"/>
    <w:rsid w:val="001B299D"/>
    <w:rsid w:val="001B3486"/>
    <w:rsid w:val="001B3A72"/>
    <w:rsid w:val="001B4F45"/>
    <w:rsid w:val="001B564D"/>
    <w:rsid w:val="001C0FAA"/>
    <w:rsid w:val="001C24F1"/>
    <w:rsid w:val="001C3C46"/>
    <w:rsid w:val="001C4041"/>
    <w:rsid w:val="001C466F"/>
    <w:rsid w:val="001C4EA4"/>
    <w:rsid w:val="001C57AD"/>
    <w:rsid w:val="001C5C33"/>
    <w:rsid w:val="001C5E84"/>
    <w:rsid w:val="001C753B"/>
    <w:rsid w:val="001C7BCC"/>
    <w:rsid w:val="001D2CC2"/>
    <w:rsid w:val="001D2F77"/>
    <w:rsid w:val="001D4211"/>
    <w:rsid w:val="001D5999"/>
    <w:rsid w:val="001D59FD"/>
    <w:rsid w:val="001D60A8"/>
    <w:rsid w:val="001D7316"/>
    <w:rsid w:val="001D7401"/>
    <w:rsid w:val="001E34FF"/>
    <w:rsid w:val="001E4231"/>
    <w:rsid w:val="001E4D2B"/>
    <w:rsid w:val="001E621D"/>
    <w:rsid w:val="001E666A"/>
    <w:rsid w:val="001F0E5D"/>
    <w:rsid w:val="001F1610"/>
    <w:rsid w:val="001F2198"/>
    <w:rsid w:val="001F31D5"/>
    <w:rsid w:val="002008F0"/>
    <w:rsid w:val="00200A58"/>
    <w:rsid w:val="002012AD"/>
    <w:rsid w:val="00203209"/>
    <w:rsid w:val="00204BA0"/>
    <w:rsid w:val="00204CB0"/>
    <w:rsid w:val="0020526E"/>
    <w:rsid w:val="00206642"/>
    <w:rsid w:val="00207AB0"/>
    <w:rsid w:val="00211391"/>
    <w:rsid w:val="002115BB"/>
    <w:rsid w:val="00211C20"/>
    <w:rsid w:val="00214230"/>
    <w:rsid w:val="0021484C"/>
    <w:rsid w:val="00215620"/>
    <w:rsid w:val="00217F30"/>
    <w:rsid w:val="0022056B"/>
    <w:rsid w:val="00222872"/>
    <w:rsid w:val="002230E9"/>
    <w:rsid w:val="00223B14"/>
    <w:rsid w:val="00226B85"/>
    <w:rsid w:val="0022764E"/>
    <w:rsid w:val="0023072B"/>
    <w:rsid w:val="00232EE4"/>
    <w:rsid w:val="00234190"/>
    <w:rsid w:val="002365EF"/>
    <w:rsid w:val="002370CC"/>
    <w:rsid w:val="00240C97"/>
    <w:rsid w:val="00241AF3"/>
    <w:rsid w:val="00242207"/>
    <w:rsid w:val="00243B52"/>
    <w:rsid w:val="00243D05"/>
    <w:rsid w:val="00244695"/>
    <w:rsid w:val="0024525F"/>
    <w:rsid w:val="00247975"/>
    <w:rsid w:val="002522F1"/>
    <w:rsid w:val="00252FA0"/>
    <w:rsid w:val="00253D6F"/>
    <w:rsid w:val="0025790B"/>
    <w:rsid w:val="002602F5"/>
    <w:rsid w:val="00261133"/>
    <w:rsid w:val="002611AE"/>
    <w:rsid w:val="0026180A"/>
    <w:rsid w:val="00262B42"/>
    <w:rsid w:val="00267955"/>
    <w:rsid w:val="00270724"/>
    <w:rsid w:val="00271371"/>
    <w:rsid w:val="002713E9"/>
    <w:rsid w:val="0027273B"/>
    <w:rsid w:val="00273052"/>
    <w:rsid w:val="00273B1F"/>
    <w:rsid w:val="0027402D"/>
    <w:rsid w:val="002751D4"/>
    <w:rsid w:val="00281DB8"/>
    <w:rsid w:val="00282564"/>
    <w:rsid w:val="002840B7"/>
    <w:rsid w:val="002866DE"/>
    <w:rsid w:val="00287337"/>
    <w:rsid w:val="00287D15"/>
    <w:rsid w:val="00290D47"/>
    <w:rsid w:val="002911DF"/>
    <w:rsid w:val="00292177"/>
    <w:rsid w:val="00295601"/>
    <w:rsid w:val="00297E7E"/>
    <w:rsid w:val="002A3B0E"/>
    <w:rsid w:val="002A3E31"/>
    <w:rsid w:val="002A44F2"/>
    <w:rsid w:val="002A59CB"/>
    <w:rsid w:val="002A7F16"/>
    <w:rsid w:val="002B3674"/>
    <w:rsid w:val="002B4765"/>
    <w:rsid w:val="002B4D45"/>
    <w:rsid w:val="002B6B78"/>
    <w:rsid w:val="002B6D25"/>
    <w:rsid w:val="002B78E0"/>
    <w:rsid w:val="002C0C15"/>
    <w:rsid w:val="002C1019"/>
    <w:rsid w:val="002C24D0"/>
    <w:rsid w:val="002C728F"/>
    <w:rsid w:val="002C7AB8"/>
    <w:rsid w:val="002C7D4D"/>
    <w:rsid w:val="002C7DD0"/>
    <w:rsid w:val="002D1731"/>
    <w:rsid w:val="002D4F0A"/>
    <w:rsid w:val="002D585B"/>
    <w:rsid w:val="002D5E55"/>
    <w:rsid w:val="002D5F84"/>
    <w:rsid w:val="002E13D2"/>
    <w:rsid w:val="002E1BD2"/>
    <w:rsid w:val="002E5991"/>
    <w:rsid w:val="002F34ED"/>
    <w:rsid w:val="002F5A88"/>
    <w:rsid w:val="002F602F"/>
    <w:rsid w:val="002F74D2"/>
    <w:rsid w:val="0030087F"/>
    <w:rsid w:val="00300B96"/>
    <w:rsid w:val="00300EE3"/>
    <w:rsid w:val="00302136"/>
    <w:rsid w:val="00302693"/>
    <w:rsid w:val="00302FF1"/>
    <w:rsid w:val="0030574B"/>
    <w:rsid w:val="00306186"/>
    <w:rsid w:val="00313246"/>
    <w:rsid w:val="00320FCA"/>
    <w:rsid w:val="003231ED"/>
    <w:rsid w:val="003246D8"/>
    <w:rsid w:val="003270CF"/>
    <w:rsid w:val="00327407"/>
    <w:rsid w:val="00327A74"/>
    <w:rsid w:val="00330381"/>
    <w:rsid w:val="0033348D"/>
    <w:rsid w:val="00333A66"/>
    <w:rsid w:val="003369A5"/>
    <w:rsid w:val="00341AD2"/>
    <w:rsid w:val="00341BB5"/>
    <w:rsid w:val="00341ED2"/>
    <w:rsid w:val="00341EDB"/>
    <w:rsid w:val="003426EA"/>
    <w:rsid w:val="00342EEE"/>
    <w:rsid w:val="00343614"/>
    <w:rsid w:val="0034385A"/>
    <w:rsid w:val="00343928"/>
    <w:rsid w:val="00345D42"/>
    <w:rsid w:val="00347CE7"/>
    <w:rsid w:val="0035153B"/>
    <w:rsid w:val="003524A6"/>
    <w:rsid w:val="0035314A"/>
    <w:rsid w:val="003548F7"/>
    <w:rsid w:val="00360877"/>
    <w:rsid w:val="00365720"/>
    <w:rsid w:val="00367DB0"/>
    <w:rsid w:val="003701D4"/>
    <w:rsid w:val="003704B1"/>
    <w:rsid w:val="0037141B"/>
    <w:rsid w:val="003728FE"/>
    <w:rsid w:val="00373BD2"/>
    <w:rsid w:val="00375AF4"/>
    <w:rsid w:val="0037696F"/>
    <w:rsid w:val="00380005"/>
    <w:rsid w:val="00380643"/>
    <w:rsid w:val="00380D5D"/>
    <w:rsid w:val="00382270"/>
    <w:rsid w:val="003824BF"/>
    <w:rsid w:val="003827F0"/>
    <w:rsid w:val="003851A4"/>
    <w:rsid w:val="00391219"/>
    <w:rsid w:val="00391B59"/>
    <w:rsid w:val="00392A5E"/>
    <w:rsid w:val="00395362"/>
    <w:rsid w:val="00395B14"/>
    <w:rsid w:val="00395D13"/>
    <w:rsid w:val="00397F34"/>
    <w:rsid w:val="003A50D5"/>
    <w:rsid w:val="003A5EEC"/>
    <w:rsid w:val="003B1064"/>
    <w:rsid w:val="003B12B2"/>
    <w:rsid w:val="003B1552"/>
    <w:rsid w:val="003B46BE"/>
    <w:rsid w:val="003B4813"/>
    <w:rsid w:val="003B5263"/>
    <w:rsid w:val="003C1335"/>
    <w:rsid w:val="003C16B2"/>
    <w:rsid w:val="003C42F6"/>
    <w:rsid w:val="003C5699"/>
    <w:rsid w:val="003C68D1"/>
    <w:rsid w:val="003D04DD"/>
    <w:rsid w:val="003D100F"/>
    <w:rsid w:val="003D11A4"/>
    <w:rsid w:val="003D2EEB"/>
    <w:rsid w:val="003D52BC"/>
    <w:rsid w:val="003D597F"/>
    <w:rsid w:val="003D5BEE"/>
    <w:rsid w:val="003E1385"/>
    <w:rsid w:val="003E3D6B"/>
    <w:rsid w:val="003F128A"/>
    <w:rsid w:val="003F4244"/>
    <w:rsid w:val="003F6E52"/>
    <w:rsid w:val="003F6F3F"/>
    <w:rsid w:val="004006E8"/>
    <w:rsid w:val="00400A79"/>
    <w:rsid w:val="004017F7"/>
    <w:rsid w:val="00401DFF"/>
    <w:rsid w:val="00405B25"/>
    <w:rsid w:val="00407466"/>
    <w:rsid w:val="00413A84"/>
    <w:rsid w:val="0041484F"/>
    <w:rsid w:val="00416E08"/>
    <w:rsid w:val="00423D50"/>
    <w:rsid w:val="004241D9"/>
    <w:rsid w:val="00425E9D"/>
    <w:rsid w:val="00427880"/>
    <w:rsid w:val="004302D1"/>
    <w:rsid w:val="0043276D"/>
    <w:rsid w:val="004330EA"/>
    <w:rsid w:val="00434DC6"/>
    <w:rsid w:val="00435F8A"/>
    <w:rsid w:val="00437B48"/>
    <w:rsid w:val="00440BEB"/>
    <w:rsid w:val="004413FF"/>
    <w:rsid w:val="00442ABF"/>
    <w:rsid w:val="004451FE"/>
    <w:rsid w:val="00447A72"/>
    <w:rsid w:val="00450505"/>
    <w:rsid w:val="00453087"/>
    <w:rsid w:val="00455A38"/>
    <w:rsid w:val="00464409"/>
    <w:rsid w:val="00465939"/>
    <w:rsid w:val="00467913"/>
    <w:rsid w:val="0047029F"/>
    <w:rsid w:val="00471370"/>
    <w:rsid w:val="004729CE"/>
    <w:rsid w:val="00472ED5"/>
    <w:rsid w:val="00474131"/>
    <w:rsid w:val="00474B9D"/>
    <w:rsid w:val="00475B94"/>
    <w:rsid w:val="0048068D"/>
    <w:rsid w:val="0048080D"/>
    <w:rsid w:val="0048183A"/>
    <w:rsid w:val="0048263E"/>
    <w:rsid w:val="00482857"/>
    <w:rsid w:val="004865B5"/>
    <w:rsid w:val="004908B4"/>
    <w:rsid w:val="00491483"/>
    <w:rsid w:val="004919C2"/>
    <w:rsid w:val="004924CA"/>
    <w:rsid w:val="00492715"/>
    <w:rsid w:val="00492FC1"/>
    <w:rsid w:val="00494C89"/>
    <w:rsid w:val="00496DE7"/>
    <w:rsid w:val="004A2D84"/>
    <w:rsid w:val="004A3693"/>
    <w:rsid w:val="004A58E3"/>
    <w:rsid w:val="004A5F09"/>
    <w:rsid w:val="004A76BE"/>
    <w:rsid w:val="004B1A68"/>
    <w:rsid w:val="004B73F0"/>
    <w:rsid w:val="004C2A6B"/>
    <w:rsid w:val="004C36D5"/>
    <w:rsid w:val="004C7207"/>
    <w:rsid w:val="004D270F"/>
    <w:rsid w:val="004D455D"/>
    <w:rsid w:val="004D7635"/>
    <w:rsid w:val="004E0ADF"/>
    <w:rsid w:val="004E2BA2"/>
    <w:rsid w:val="004E431E"/>
    <w:rsid w:val="004E689A"/>
    <w:rsid w:val="004E6A7B"/>
    <w:rsid w:val="004F1BAA"/>
    <w:rsid w:val="004F349B"/>
    <w:rsid w:val="004F42D5"/>
    <w:rsid w:val="004F6C63"/>
    <w:rsid w:val="004F72B9"/>
    <w:rsid w:val="004F73BD"/>
    <w:rsid w:val="0050029B"/>
    <w:rsid w:val="0050045B"/>
    <w:rsid w:val="00501172"/>
    <w:rsid w:val="00503A99"/>
    <w:rsid w:val="00503D99"/>
    <w:rsid w:val="0050657B"/>
    <w:rsid w:val="00506F72"/>
    <w:rsid w:val="00507A30"/>
    <w:rsid w:val="0051122B"/>
    <w:rsid w:val="00511AF6"/>
    <w:rsid w:val="00513B1F"/>
    <w:rsid w:val="0051486A"/>
    <w:rsid w:val="005149CD"/>
    <w:rsid w:val="005152C9"/>
    <w:rsid w:val="0051530F"/>
    <w:rsid w:val="00516455"/>
    <w:rsid w:val="005168C6"/>
    <w:rsid w:val="0051713E"/>
    <w:rsid w:val="0051747E"/>
    <w:rsid w:val="00517847"/>
    <w:rsid w:val="00517C15"/>
    <w:rsid w:val="00524435"/>
    <w:rsid w:val="0052546E"/>
    <w:rsid w:val="0052584F"/>
    <w:rsid w:val="00525C96"/>
    <w:rsid w:val="00530DFC"/>
    <w:rsid w:val="005312FD"/>
    <w:rsid w:val="00532290"/>
    <w:rsid w:val="00532B08"/>
    <w:rsid w:val="00537071"/>
    <w:rsid w:val="00541752"/>
    <w:rsid w:val="005431F2"/>
    <w:rsid w:val="00544934"/>
    <w:rsid w:val="00545207"/>
    <w:rsid w:val="005454AC"/>
    <w:rsid w:val="00553636"/>
    <w:rsid w:val="00554D24"/>
    <w:rsid w:val="00557A68"/>
    <w:rsid w:val="00561175"/>
    <w:rsid w:val="005648EE"/>
    <w:rsid w:val="00567046"/>
    <w:rsid w:val="00570DA8"/>
    <w:rsid w:val="00571C3C"/>
    <w:rsid w:val="00572E24"/>
    <w:rsid w:val="00575CA7"/>
    <w:rsid w:val="005763C5"/>
    <w:rsid w:val="00580665"/>
    <w:rsid w:val="00581D24"/>
    <w:rsid w:val="005828EB"/>
    <w:rsid w:val="00582AF7"/>
    <w:rsid w:val="0058459E"/>
    <w:rsid w:val="00586D4D"/>
    <w:rsid w:val="005A011E"/>
    <w:rsid w:val="005A01DB"/>
    <w:rsid w:val="005A27FC"/>
    <w:rsid w:val="005A3268"/>
    <w:rsid w:val="005A3531"/>
    <w:rsid w:val="005A3DDE"/>
    <w:rsid w:val="005A6A94"/>
    <w:rsid w:val="005A788E"/>
    <w:rsid w:val="005B022A"/>
    <w:rsid w:val="005B0A26"/>
    <w:rsid w:val="005B1477"/>
    <w:rsid w:val="005B1981"/>
    <w:rsid w:val="005B21B5"/>
    <w:rsid w:val="005C2AA7"/>
    <w:rsid w:val="005C3F73"/>
    <w:rsid w:val="005C498A"/>
    <w:rsid w:val="005C5BB7"/>
    <w:rsid w:val="005D1A2C"/>
    <w:rsid w:val="005D1D90"/>
    <w:rsid w:val="005D2A00"/>
    <w:rsid w:val="005D75C5"/>
    <w:rsid w:val="005E1D11"/>
    <w:rsid w:val="005E2962"/>
    <w:rsid w:val="005F1125"/>
    <w:rsid w:val="005F1E09"/>
    <w:rsid w:val="005F253E"/>
    <w:rsid w:val="005F2913"/>
    <w:rsid w:val="005F2BD8"/>
    <w:rsid w:val="005F3818"/>
    <w:rsid w:val="005F3E3D"/>
    <w:rsid w:val="005F734E"/>
    <w:rsid w:val="00600A45"/>
    <w:rsid w:val="006024BC"/>
    <w:rsid w:val="00602D14"/>
    <w:rsid w:val="00602F0C"/>
    <w:rsid w:val="00603723"/>
    <w:rsid w:val="00610E45"/>
    <w:rsid w:val="00614177"/>
    <w:rsid w:val="0061496E"/>
    <w:rsid w:val="00614ED8"/>
    <w:rsid w:val="006200FB"/>
    <w:rsid w:val="0062052B"/>
    <w:rsid w:val="00620533"/>
    <w:rsid w:val="006226ED"/>
    <w:rsid w:val="00623AC2"/>
    <w:rsid w:val="00627BFA"/>
    <w:rsid w:val="00642A07"/>
    <w:rsid w:val="00643529"/>
    <w:rsid w:val="00643CB4"/>
    <w:rsid w:val="00644BE4"/>
    <w:rsid w:val="00650694"/>
    <w:rsid w:val="006511EF"/>
    <w:rsid w:val="00652DE7"/>
    <w:rsid w:val="00653584"/>
    <w:rsid w:val="00654448"/>
    <w:rsid w:val="00654EA5"/>
    <w:rsid w:val="006611A2"/>
    <w:rsid w:val="006642B1"/>
    <w:rsid w:val="00664A49"/>
    <w:rsid w:val="00672085"/>
    <w:rsid w:val="00673A85"/>
    <w:rsid w:val="00674854"/>
    <w:rsid w:val="0067570F"/>
    <w:rsid w:val="00681108"/>
    <w:rsid w:val="006855CC"/>
    <w:rsid w:val="00690C97"/>
    <w:rsid w:val="00693CDB"/>
    <w:rsid w:val="0069441B"/>
    <w:rsid w:val="00694E92"/>
    <w:rsid w:val="006956D9"/>
    <w:rsid w:val="0069742A"/>
    <w:rsid w:val="006A43D9"/>
    <w:rsid w:val="006A54BA"/>
    <w:rsid w:val="006A5626"/>
    <w:rsid w:val="006A66EB"/>
    <w:rsid w:val="006B0392"/>
    <w:rsid w:val="006B07F5"/>
    <w:rsid w:val="006B2726"/>
    <w:rsid w:val="006B4271"/>
    <w:rsid w:val="006B44BE"/>
    <w:rsid w:val="006B5FD3"/>
    <w:rsid w:val="006B667E"/>
    <w:rsid w:val="006C08EC"/>
    <w:rsid w:val="006C2C3D"/>
    <w:rsid w:val="006C3BE1"/>
    <w:rsid w:val="006C4871"/>
    <w:rsid w:val="006C6C97"/>
    <w:rsid w:val="006C700F"/>
    <w:rsid w:val="006C7D26"/>
    <w:rsid w:val="006C7F34"/>
    <w:rsid w:val="006D0881"/>
    <w:rsid w:val="006D27B8"/>
    <w:rsid w:val="006D3867"/>
    <w:rsid w:val="006D4BE7"/>
    <w:rsid w:val="006D4D43"/>
    <w:rsid w:val="006D6B68"/>
    <w:rsid w:val="006E0E89"/>
    <w:rsid w:val="006E3E1D"/>
    <w:rsid w:val="006E45F8"/>
    <w:rsid w:val="006E5251"/>
    <w:rsid w:val="006E5F78"/>
    <w:rsid w:val="006E5FCE"/>
    <w:rsid w:val="006F0376"/>
    <w:rsid w:val="006F175D"/>
    <w:rsid w:val="006F18C4"/>
    <w:rsid w:val="006F3887"/>
    <w:rsid w:val="006F39C8"/>
    <w:rsid w:val="006F4FCA"/>
    <w:rsid w:val="006F5D02"/>
    <w:rsid w:val="006F6144"/>
    <w:rsid w:val="00702E90"/>
    <w:rsid w:val="00703E97"/>
    <w:rsid w:val="0070653D"/>
    <w:rsid w:val="00707C38"/>
    <w:rsid w:val="007101C3"/>
    <w:rsid w:val="007122EA"/>
    <w:rsid w:val="0071398C"/>
    <w:rsid w:val="00715780"/>
    <w:rsid w:val="00720311"/>
    <w:rsid w:val="007236B8"/>
    <w:rsid w:val="0072398E"/>
    <w:rsid w:val="007247CD"/>
    <w:rsid w:val="007278DF"/>
    <w:rsid w:val="0072796A"/>
    <w:rsid w:val="0073150C"/>
    <w:rsid w:val="00732D87"/>
    <w:rsid w:val="007345F9"/>
    <w:rsid w:val="00736478"/>
    <w:rsid w:val="00736A44"/>
    <w:rsid w:val="00737660"/>
    <w:rsid w:val="007376E0"/>
    <w:rsid w:val="00740E39"/>
    <w:rsid w:val="00744A1F"/>
    <w:rsid w:val="00744C2C"/>
    <w:rsid w:val="007452F0"/>
    <w:rsid w:val="0074581A"/>
    <w:rsid w:val="00746D82"/>
    <w:rsid w:val="007474DD"/>
    <w:rsid w:val="00753BD8"/>
    <w:rsid w:val="00754A11"/>
    <w:rsid w:val="007559A1"/>
    <w:rsid w:val="00755DF9"/>
    <w:rsid w:val="00763BEB"/>
    <w:rsid w:val="00767D3F"/>
    <w:rsid w:val="00770835"/>
    <w:rsid w:val="00772942"/>
    <w:rsid w:val="00773AB1"/>
    <w:rsid w:val="00774306"/>
    <w:rsid w:val="007808E9"/>
    <w:rsid w:val="00782B80"/>
    <w:rsid w:val="00786A3A"/>
    <w:rsid w:val="00786EF4"/>
    <w:rsid w:val="00791092"/>
    <w:rsid w:val="007913EE"/>
    <w:rsid w:val="00792C7B"/>
    <w:rsid w:val="00792C8F"/>
    <w:rsid w:val="007950D7"/>
    <w:rsid w:val="007A0641"/>
    <w:rsid w:val="007A11B5"/>
    <w:rsid w:val="007A1D6E"/>
    <w:rsid w:val="007A2ACD"/>
    <w:rsid w:val="007A2BE7"/>
    <w:rsid w:val="007A6519"/>
    <w:rsid w:val="007B1174"/>
    <w:rsid w:val="007B3452"/>
    <w:rsid w:val="007B39B9"/>
    <w:rsid w:val="007B63A7"/>
    <w:rsid w:val="007B7FC8"/>
    <w:rsid w:val="007C061D"/>
    <w:rsid w:val="007C251B"/>
    <w:rsid w:val="007C2DF7"/>
    <w:rsid w:val="007C64E0"/>
    <w:rsid w:val="007D2358"/>
    <w:rsid w:val="007D67A3"/>
    <w:rsid w:val="007D7E92"/>
    <w:rsid w:val="007E0286"/>
    <w:rsid w:val="007E03D4"/>
    <w:rsid w:val="007E3B7E"/>
    <w:rsid w:val="007E50B1"/>
    <w:rsid w:val="007E5114"/>
    <w:rsid w:val="007F197C"/>
    <w:rsid w:val="007F1D57"/>
    <w:rsid w:val="007F23F2"/>
    <w:rsid w:val="007F7E59"/>
    <w:rsid w:val="0080067D"/>
    <w:rsid w:val="0080136A"/>
    <w:rsid w:val="008029B8"/>
    <w:rsid w:val="00802A0B"/>
    <w:rsid w:val="00806522"/>
    <w:rsid w:val="0081047C"/>
    <w:rsid w:val="00810B35"/>
    <w:rsid w:val="008118E9"/>
    <w:rsid w:val="0081431B"/>
    <w:rsid w:val="00814B6E"/>
    <w:rsid w:val="00815E1F"/>
    <w:rsid w:val="008219C3"/>
    <w:rsid w:val="00823B7E"/>
    <w:rsid w:val="00823FD9"/>
    <w:rsid w:val="008275A7"/>
    <w:rsid w:val="0083252A"/>
    <w:rsid w:val="00832699"/>
    <w:rsid w:val="0083271D"/>
    <w:rsid w:val="00833BC2"/>
    <w:rsid w:val="008349B3"/>
    <w:rsid w:val="0083565C"/>
    <w:rsid w:val="0083659F"/>
    <w:rsid w:val="0083670C"/>
    <w:rsid w:val="008370C0"/>
    <w:rsid w:val="00840065"/>
    <w:rsid w:val="00844283"/>
    <w:rsid w:val="00844EED"/>
    <w:rsid w:val="0084582F"/>
    <w:rsid w:val="008465E0"/>
    <w:rsid w:val="00847C0A"/>
    <w:rsid w:val="008512C4"/>
    <w:rsid w:val="008527C1"/>
    <w:rsid w:val="008528A0"/>
    <w:rsid w:val="008551F9"/>
    <w:rsid w:val="0085523D"/>
    <w:rsid w:val="008571EF"/>
    <w:rsid w:val="00860131"/>
    <w:rsid w:val="00860860"/>
    <w:rsid w:val="0086320D"/>
    <w:rsid w:val="00864147"/>
    <w:rsid w:val="00864468"/>
    <w:rsid w:val="00866547"/>
    <w:rsid w:val="00866E71"/>
    <w:rsid w:val="008729BF"/>
    <w:rsid w:val="00880333"/>
    <w:rsid w:val="00882BB8"/>
    <w:rsid w:val="00887B9D"/>
    <w:rsid w:val="00891D84"/>
    <w:rsid w:val="00892924"/>
    <w:rsid w:val="008935BD"/>
    <w:rsid w:val="008936DF"/>
    <w:rsid w:val="00893DAA"/>
    <w:rsid w:val="00896040"/>
    <w:rsid w:val="008A02D1"/>
    <w:rsid w:val="008A198E"/>
    <w:rsid w:val="008A1C40"/>
    <w:rsid w:val="008A6FCF"/>
    <w:rsid w:val="008B57B6"/>
    <w:rsid w:val="008B5B2E"/>
    <w:rsid w:val="008B61E3"/>
    <w:rsid w:val="008B7C9E"/>
    <w:rsid w:val="008C140F"/>
    <w:rsid w:val="008C1ADB"/>
    <w:rsid w:val="008C3BD5"/>
    <w:rsid w:val="008C3F11"/>
    <w:rsid w:val="008C474C"/>
    <w:rsid w:val="008C50C9"/>
    <w:rsid w:val="008C56D8"/>
    <w:rsid w:val="008D2490"/>
    <w:rsid w:val="008D2A67"/>
    <w:rsid w:val="008D33FF"/>
    <w:rsid w:val="008D6221"/>
    <w:rsid w:val="008E1649"/>
    <w:rsid w:val="008E195F"/>
    <w:rsid w:val="008E1B37"/>
    <w:rsid w:val="008E1EE6"/>
    <w:rsid w:val="008E26F2"/>
    <w:rsid w:val="008E31CF"/>
    <w:rsid w:val="008E3579"/>
    <w:rsid w:val="008E5286"/>
    <w:rsid w:val="008F6835"/>
    <w:rsid w:val="00901C68"/>
    <w:rsid w:val="00903AC3"/>
    <w:rsid w:val="00906F50"/>
    <w:rsid w:val="009110AC"/>
    <w:rsid w:val="009150F6"/>
    <w:rsid w:val="00915E24"/>
    <w:rsid w:val="009228DF"/>
    <w:rsid w:val="00924BDC"/>
    <w:rsid w:val="009254D2"/>
    <w:rsid w:val="00925712"/>
    <w:rsid w:val="00926EA9"/>
    <w:rsid w:val="00930F98"/>
    <w:rsid w:val="009314D1"/>
    <w:rsid w:val="0093339A"/>
    <w:rsid w:val="00933E50"/>
    <w:rsid w:val="00934193"/>
    <w:rsid w:val="00934F6E"/>
    <w:rsid w:val="00935DAC"/>
    <w:rsid w:val="00937A0B"/>
    <w:rsid w:val="00940090"/>
    <w:rsid w:val="0094233D"/>
    <w:rsid w:val="00950ACA"/>
    <w:rsid w:val="009524C2"/>
    <w:rsid w:val="009531F7"/>
    <w:rsid w:val="00953942"/>
    <w:rsid w:val="00957A5B"/>
    <w:rsid w:val="00957F22"/>
    <w:rsid w:val="00961F15"/>
    <w:rsid w:val="00962FE4"/>
    <w:rsid w:val="00964565"/>
    <w:rsid w:val="00964E6F"/>
    <w:rsid w:val="009655B1"/>
    <w:rsid w:val="009665AC"/>
    <w:rsid w:val="00966635"/>
    <w:rsid w:val="00967B2C"/>
    <w:rsid w:val="00977468"/>
    <w:rsid w:val="00981CD4"/>
    <w:rsid w:val="00983187"/>
    <w:rsid w:val="009836B4"/>
    <w:rsid w:val="0098399D"/>
    <w:rsid w:val="00983AC5"/>
    <w:rsid w:val="00985B65"/>
    <w:rsid w:val="00990B18"/>
    <w:rsid w:val="00991676"/>
    <w:rsid w:val="009923B7"/>
    <w:rsid w:val="009961A2"/>
    <w:rsid w:val="009972EC"/>
    <w:rsid w:val="00997FB7"/>
    <w:rsid w:val="009A13F5"/>
    <w:rsid w:val="009A1613"/>
    <w:rsid w:val="009A38CA"/>
    <w:rsid w:val="009A4F0C"/>
    <w:rsid w:val="009A72C3"/>
    <w:rsid w:val="009B2208"/>
    <w:rsid w:val="009B700D"/>
    <w:rsid w:val="009B7F1B"/>
    <w:rsid w:val="009C09A6"/>
    <w:rsid w:val="009C2438"/>
    <w:rsid w:val="009C403D"/>
    <w:rsid w:val="009C575E"/>
    <w:rsid w:val="009C6632"/>
    <w:rsid w:val="009C6F7F"/>
    <w:rsid w:val="009C7D24"/>
    <w:rsid w:val="009D0185"/>
    <w:rsid w:val="009D0800"/>
    <w:rsid w:val="009D121A"/>
    <w:rsid w:val="009D1272"/>
    <w:rsid w:val="009D15B9"/>
    <w:rsid w:val="009D1EBF"/>
    <w:rsid w:val="009D2629"/>
    <w:rsid w:val="009D2B03"/>
    <w:rsid w:val="009D38ED"/>
    <w:rsid w:val="009D3B3D"/>
    <w:rsid w:val="009D4156"/>
    <w:rsid w:val="009D6930"/>
    <w:rsid w:val="009E3A57"/>
    <w:rsid w:val="009E7076"/>
    <w:rsid w:val="009E7AC9"/>
    <w:rsid w:val="009F05DB"/>
    <w:rsid w:val="009F413A"/>
    <w:rsid w:val="009F466C"/>
    <w:rsid w:val="00A00F2A"/>
    <w:rsid w:val="00A03212"/>
    <w:rsid w:val="00A05A1C"/>
    <w:rsid w:val="00A10563"/>
    <w:rsid w:val="00A1578B"/>
    <w:rsid w:val="00A15B48"/>
    <w:rsid w:val="00A16867"/>
    <w:rsid w:val="00A17909"/>
    <w:rsid w:val="00A2173F"/>
    <w:rsid w:val="00A2322E"/>
    <w:rsid w:val="00A233D6"/>
    <w:rsid w:val="00A244C7"/>
    <w:rsid w:val="00A2492C"/>
    <w:rsid w:val="00A26654"/>
    <w:rsid w:val="00A2697D"/>
    <w:rsid w:val="00A26ED3"/>
    <w:rsid w:val="00A3105B"/>
    <w:rsid w:val="00A34B81"/>
    <w:rsid w:val="00A34F95"/>
    <w:rsid w:val="00A41210"/>
    <w:rsid w:val="00A415BC"/>
    <w:rsid w:val="00A437F1"/>
    <w:rsid w:val="00A44C60"/>
    <w:rsid w:val="00A5096A"/>
    <w:rsid w:val="00A55CAA"/>
    <w:rsid w:val="00A56BCD"/>
    <w:rsid w:val="00A57C85"/>
    <w:rsid w:val="00A57D44"/>
    <w:rsid w:val="00A60012"/>
    <w:rsid w:val="00A6195F"/>
    <w:rsid w:val="00A639F2"/>
    <w:rsid w:val="00A71299"/>
    <w:rsid w:val="00A72394"/>
    <w:rsid w:val="00A746B2"/>
    <w:rsid w:val="00A74E17"/>
    <w:rsid w:val="00A75470"/>
    <w:rsid w:val="00A77604"/>
    <w:rsid w:val="00A77F5B"/>
    <w:rsid w:val="00A800A3"/>
    <w:rsid w:val="00A828B4"/>
    <w:rsid w:val="00A8495F"/>
    <w:rsid w:val="00A917E0"/>
    <w:rsid w:val="00A94C01"/>
    <w:rsid w:val="00A961ED"/>
    <w:rsid w:val="00AA010F"/>
    <w:rsid w:val="00AA0AD0"/>
    <w:rsid w:val="00AA27C1"/>
    <w:rsid w:val="00AA4F17"/>
    <w:rsid w:val="00AA5147"/>
    <w:rsid w:val="00AA655B"/>
    <w:rsid w:val="00AA7D28"/>
    <w:rsid w:val="00AB3E83"/>
    <w:rsid w:val="00AB5B26"/>
    <w:rsid w:val="00AB7DBF"/>
    <w:rsid w:val="00AC199E"/>
    <w:rsid w:val="00AC1AA3"/>
    <w:rsid w:val="00AC246A"/>
    <w:rsid w:val="00AC6950"/>
    <w:rsid w:val="00AD16D7"/>
    <w:rsid w:val="00AD1F84"/>
    <w:rsid w:val="00AD6FC8"/>
    <w:rsid w:val="00AE0F48"/>
    <w:rsid w:val="00AE3A08"/>
    <w:rsid w:val="00AE3CD1"/>
    <w:rsid w:val="00AE41D5"/>
    <w:rsid w:val="00AE4D73"/>
    <w:rsid w:val="00AF196F"/>
    <w:rsid w:val="00AF1C92"/>
    <w:rsid w:val="00AF426D"/>
    <w:rsid w:val="00AF7B9B"/>
    <w:rsid w:val="00B006BA"/>
    <w:rsid w:val="00B04DDC"/>
    <w:rsid w:val="00B06F8B"/>
    <w:rsid w:val="00B12AC6"/>
    <w:rsid w:val="00B156EA"/>
    <w:rsid w:val="00B15880"/>
    <w:rsid w:val="00B1673D"/>
    <w:rsid w:val="00B16E71"/>
    <w:rsid w:val="00B2056A"/>
    <w:rsid w:val="00B21F10"/>
    <w:rsid w:val="00B250ED"/>
    <w:rsid w:val="00B25C26"/>
    <w:rsid w:val="00B261BA"/>
    <w:rsid w:val="00B30365"/>
    <w:rsid w:val="00B3064A"/>
    <w:rsid w:val="00B3473A"/>
    <w:rsid w:val="00B3588A"/>
    <w:rsid w:val="00B35AB3"/>
    <w:rsid w:val="00B36061"/>
    <w:rsid w:val="00B36A9C"/>
    <w:rsid w:val="00B37787"/>
    <w:rsid w:val="00B4230E"/>
    <w:rsid w:val="00B43270"/>
    <w:rsid w:val="00B4506F"/>
    <w:rsid w:val="00B45D0C"/>
    <w:rsid w:val="00B469AD"/>
    <w:rsid w:val="00B46F92"/>
    <w:rsid w:val="00B4727E"/>
    <w:rsid w:val="00B5180A"/>
    <w:rsid w:val="00B51C6D"/>
    <w:rsid w:val="00B51E64"/>
    <w:rsid w:val="00B53C3B"/>
    <w:rsid w:val="00B54E70"/>
    <w:rsid w:val="00B55827"/>
    <w:rsid w:val="00B5585C"/>
    <w:rsid w:val="00B56865"/>
    <w:rsid w:val="00B56BB7"/>
    <w:rsid w:val="00B602C9"/>
    <w:rsid w:val="00B6148C"/>
    <w:rsid w:val="00B620D6"/>
    <w:rsid w:val="00B62845"/>
    <w:rsid w:val="00B64835"/>
    <w:rsid w:val="00B65FE7"/>
    <w:rsid w:val="00B66A7E"/>
    <w:rsid w:val="00B702D5"/>
    <w:rsid w:val="00B70C5F"/>
    <w:rsid w:val="00B71AEF"/>
    <w:rsid w:val="00B723C6"/>
    <w:rsid w:val="00B72FAD"/>
    <w:rsid w:val="00B75E63"/>
    <w:rsid w:val="00B76842"/>
    <w:rsid w:val="00B800CB"/>
    <w:rsid w:val="00B8074B"/>
    <w:rsid w:val="00B8101A"/>
    <w:rsid w:val="00B81D70"/>
    <w:rsid w:val="00B861AB"/>
    <w:rsid w:val="00B90079"/>
    <w:rsid w:val="00B944EB"/>
    <w:rsid w:val="00BA226E"/>
    <w:rsid w:val="00BA2514"/>
    <w:rsid w:val="00BA2A45"/>
    <w:rsid w:val="00BA487A"/>
    <w:rsid w:val="00BA57E5"/>
    <w:rsid w:val="00BA7AA6"/>
    <w:rsid w:val="00BB27C2"/>
    <w:rsid w:val="00BB2D38"/>
    <w:rsid w:val="00BB4DDA"/>
    <w:rsid w:val="00BB517A"/>
    <w:rsid w:val="00BB6716"/>
    <w:rsid w:val="00BB7455"/>
    <w:rsid w:val="00BB7D50"/>
    <w:rsid w:val="00BC355F"/>
    <w:rsid w:val="00BC5BFB"/>
    <w:rsid w:val="00BC7CB0"/>
    <w:rsid w:val="00BD0575"/>
    <w:rsid w:val="00BD0A21"/>
    <w:rsid w:val="00BD12AC"/>
    <w:rsid w:val="00BD29BB"/>
    <w:rsid w:val="00BD2BA5"/>
    <w:rsid w:val="00BD41CF"/>
    <w:rsid w:val="00BD6924"/>
    <w:rsid w:val="00BD75B4"/>
    <w:rsid w:val="00BD75B8"/>
    <w:rsid w:val="00BD7EC9"/>
    <w:rsid w:val="00BD7F6C"/>
    <w:rsid w:val="00BE125E"/>
    <w:rsid w:val="00BE5440"/>
    <w:rsid w:val="00BE5843"/>
    <w:rsid w:val="00BF017D"/>
    <w:rsid w:val="00BF0359"/>
    <w:rsid w:val="00BF081C"/>
    <w:rsid w:val="00BF0AA8"/>
    <w:rsid w:val="00BF3AF0"/>
    <w:rsid w:val="00BF57D7"/>
    <w:rsid w:val="00C01E8F"/>
    <w:rsid w:val="00C04F47"/>
    <w:rsid w:val="00C0501F"/>
    <w:rsid w:val="00C050F3"/>
    <w:rsid w:val="00C05223"/>
    <w:rsid w:val="00C06F2F"/>
    <w:rsid w:val="00C07885"/>
    <w:rsid w:val="00C1006E"/>
    <w:rsid w:val="00C136F8"/>
    <w:rsid w:val="00C13D58"/>
    <w:rsid w:val="00C146F6"/>
    <w:rsid w:val="00C1563C"/>
    <w:rsid w:val="00C15EEE"/>
    <w:rsid w:val="00C1738F"/>
    <w:rsid w:val="00C17469"/>
    <w:rsid w:val="00C17FE6"/>
    <w:rsid w:val="00C20799"/>
    <w:rsid w:val="00C21B54"/>
    <w:rsid w:val="00C22FB8"/>
    <w:rsid w:val="00C26260"/>
    <w:rsid w:val="00C31F64"/>
    <w:rsid w:val="00C35E86"/>
    <w:rsid w:val="00C4061F"/>
    <w:rsid w:val="00C42E2E"/>
    <w:rsid w:val="00C43AC5"/>
    <w:rsid w:val="00C46D14"/>
    <w:rsid w:val="00C519B2"/>
    <w:rsid w:val="00C522BD"/>
    <w:rsid w:val="00C535EC"/>
    <w:rsid w:val="00C541C2"/>
    <w:rsid w:val="00C5687D"/>
    <w:rsid w:val="00C634E0"/>
    <w:rsid w:val="00C63F2A"/>
    <w:rsid w:val="00C644DC"/>
    <w:rsid w:val="00C64F11"/>
    <w:rsid w:val="00C65A69"/>
    <w:rsid w:val="00C72FB8"/>
    <w:rsid w:val="00C80E8B"/>
    <w:rsid w:val="00C81460"/>
    <w:rsid w:val="00C82C88"/>
    <w:rsid w:val="00C83C37"/>
    <w:rsid w:val="00C83CB7"/>
    <w:rsid w:val="00C86C46"/>
    <w:rsid w:val="00C907C0"/>
    <w:rsid w:val="00C90E5E"/>
    <w:rsid w:val="00C9158B"/>
    <w:rsid w:val="00C92E31"/>
    <w:rsid w:val="00C93837"/>
    <w:rsid w:val="00C96B28"/>
    <w:rsid w:val="00C972B7"/>
    <w:rsid w:val="00C97F15"/>
    <w:rsid w:val="00CA3160"/>
    <w:rsid w:val="00CA398B"/>
    <w:rsid w:val="00CB0030"/>
    <w:rsid w:val="00CB1209"/>
    <w:rsid w:val="00CB2800"/>
    <w:rsid w:val="00CB3A45"/>
    <w:rsid w:val="00CB4934"/>
    <w:rsid w:val="00CB4970"/>
    <w:rsid w:val="00CB4AF0"/>
    <w:rsid w:val="00CB4F6D"/>
    <w:rsid w:val="00CC1429"/>
    <w:rsid w:val="00CC2C81"/>
    <w:rsid w:val="00CC3B8E"/>
    <w:rsid w:val="00CC4CB1"/>
    <w:rsid w:val="00CC6BB4"/>
    <w:rsid w:val="00CD36BC"/>
    <w:rsid w:val="00CD474F"/>
    <w:rsid w:val="00CD50DF"/>
    <w:rsid w:val="00CD5373"/>
    <w:rsid w:val="00CD6E8D"/>
    <w:rsid w:val="00CD724F"/>
    <w:rsid w:val="00CE188C"/>
    <w:rsid w:val="00CE4818"/>
    <w:rsid w:val="00CE56F0"/>
    <w:rsid w:val="00CF148C"/>
    <w:rsid w:val="00CF30B3"/>
    <w:rsid w:val="00CF6552"/>
    <w:rsid w:val="00CF78B4"/>
    <w:rsid w:val="00D00D53"/>
    <w:rsid w:val="00D02170"/>
    <w:rsid w:val="00D03058"/>
    <w:rsid w:val="00D068F0"/>
    <w:rsid w:val="00D0775C"/>
    <w:rsid w:val="00D11D8B"/>
    <w:rsid w:val="00D11F41"/>
    <w:rsid w:val="00D1371E"/>
    <w:rsid w:val="00D144FA"/>
    <w:rsid w:val="00D157CA"/>
    <w:rsid w:val="00D21043"/>
    <w:rsid w:val="00D24A68"/>
    <w:rsid w:val="00D2536E"/>
    <w:rsid w:val="00D2651C"/>
    <w:rsid w:val="00D265EF"/>
    <w:rsid w:val="00D2761D"/>
    <w:rsid w:val="00D310C4"/>
    <w:rsid w:val="00D326A5"/>
    <w:rsid w:val="00D34B0F"/>
    <w:rsid w:val="00D3558B"/>
    <w:rsid w:val="00D35A62"/>
    <w:rsid w:val="00D37542"/>
    <w:rsid w:val="00D405E5"/>
    <w:rsid w:val="00D45295"/>
    <w:rsid w:val="00D463F1"/>
    <w:rsid w:val="00D524BB"/>
    <w:rsid w:val="00D52858"/>
    <w:rsid w:val="00D52C8E"/>
    <w:rsid w:val="00D531F1"/>
    <w:rsid w:val="00D53B88"/>
    <w:rsid w:val="00D561C8"/>
    <w:rsid w:val="00D57CCE"/>
    <w:rsid w:val="00D61446"/>
    <w:rsid w:val="00D64346"/>
    <w:rsid w:val="00D65ADD"/>
    <w:rsid w:val="00D65DB9"/>
    <w:rsid w:val="00D65E8E"/>
    <w:rsid w:val="00D6703D"/>
    <w:rsid w:val="00D67B7C"/>
    <w:rsid w:val="00D717DA"/>
    <w:rsid w:val="00D7188B"/>
    <w:rsid w:val="00D7659E"/>
    <w:rsid w:val="00D815CF"/>
    <w:rsid w:val="00D82AC9"/>
    <w:rsid w:val="00D83A33"/>
    <w:rsid w:val="00D84BA5"/>
    <w:rsid w:val="00D856E6"/>
    <w:rsid w:val="00D857C5"/>
    <w:rsid w:val="00D873E8"/>
    <w:rsid w:val="00D87CAE"/>
    <w:rsid w:val="00D91050"/>
    <w:rsid w:val="00D91309"/>
    <w:rsid w:val="00D91793"/>
    <w:rsid w:val="00D946B0"/>
    <w:rsid w:val="00D97619"/>
    <w:rsid w:val="00DA20AE"/>
    <w:rsid w:val="00DA2679"/>
    <w:rsid w:val="00DA3039"/>
    <w:rsid w:val="00DA592B"/>
    <w:rsid w:val="00DA60ED"/>
    <w:rsid w:val="00DA671C"/>
    <w:rsid w:val="00DA6B88"/>
    <w:rsid w:val="00DA73B6"/>
    <w:rsid w:val="00DB127D"/>
    <w:rsid w:val="00DB3C31"/>
    <w:rsid w:val="00DB3C34"/>
    <w:rsid w:val="00DC3658"/>
    <w:rsid w:val="00DC578F"/>
    <w:rsid w:val="00DC76F5"/>
    <w:rsid w:val="00DD0619"/>
    <w:rsid w:val="00DD1DA3"/>
    <w:rsid w:val="00DD2442"/>
    <w:rsid w:val="00DD334A"/>
    <w:rsid w:val="00DD56DA"/>
    <w:rsid w:val="00DD62AD"/>
    <w:rsid w:val="00DD6D02"/>
    <w:rsid w:val="00DD7153"/>
    <w:rsid w:val="00DE0099"/>
    <w:rsid w:val="00DE16D8"/>
    <w:rsid w:val="00DE1A2E"/>
    <w:rsid w:val="00DE44E6"/>
    <w:rsid w:val="00DE5B59"/>
    <w:rsid w:val="00DF0763"/>
    <w:rsid w:val="00DF15A1"/>
    <w:rsid w:val="00DF1CF0"/>
    <w:rsid w:val="00DF3C78"/>
    <w:rsid w:val="00DF4F58"/>
    <w:rsid w:val="00DF6F7E"/>
    <w:rsid w:val="00E0531F"/>
    <w:rsid w:val="00E11F2F"/>
    <w:rsid w:val="00E13A3A"/>
    <w:rsid w:val="00E14511"/>
    <w:rsid w:val="00E14CD2"/>
    <w:rsid w:val="00E152FF"/>
    <w:rsid w:val="00E170CE"/>
    <w:rsid w:val="00E25741"/>
    <w:rsid w:val="00E301AE"/>
    <w:rsid w:val="00E315BC"/>
    <w:rsid w:val="00E316FC"/>
    <w:rsid w:val="00E33610"/>
    <w:rsid w:val="00E35139"/>
    <w:rsid w:val="00E35987"/>
    <w:rsid w:val="00E3688C"/>
    <w:rsid w:val="00E417D8"/>
    <w:rsid w:val="00E4340A"/>
    <w:rsid w:val="00E442DF"/>
    <w:rsid w:val="00E44555"/>
    <w:rsid w:val="00E4526A"/>
    <w:rsid w:val="00E462BF"/>
    <w:rsid w:val="00E502D5"/>
    <w:rsid w:val="00E50608"/>
    <w:rsid w:val="00E5165B"/>
    <w:rsid w:val="00E52ABA"/>
    <w:rsid w:val="00E5314F"/>
    <w:rsid w:val="00E63181"/>
    <w:rsid w:val="00E63CF2"/>
    <w:rsid w:val="00E64613"/>
    <w:rsid w:val="00E64B01"/>
    <w:rsid w:val="00E64D23"/>
    <w:rsid w:val="00E653E3"/>
    <w:rsid w:val="00E66909"/>
    <w:rsid w:val="00E66AEE"/>
    <w:rsid w:val="00E66B50"/>
    <w:rsid w:val="00E7052E"/>
    <w:rsid w:val="00E70FF5"/>
    <w:rsid w:val="00E72331"/>
    <w:rsid w:val="00E736A7"/>
    <w:rsid w:val="00E8318A"/>
    <w:rsid w:val="00E87C26"/>
    <w:rsid w:val="00E92C76"/>
    <w:rsid w:val="00EA2361"/>
    <w:rsid w:val="00EB11D4"/>
    <w:rsid w:val="00EB2886"/>
    <w:rsid w:val="00EB2E2B"/>
    <w:rsid w:val="00EB398E"/>
    <w:rsid w:val="00EB6755"/>
    <w:rsid w:val="00EC066E"/>
    <w:rsid w:val="00EC0FE8"/>
    <w:rsid w:val="00EC25CE"/>
    <w:rsid w:val="00EC4096"/>
    <w:rsid w:val="00EC429C"/>
    <w:rsid w:val="00EC59A7"/>
    <w:rsid w:val="00EC5C4D"/>
    <w:rsid w:val="00EC627B"/>
    <w:rsid w:val="00EC6A51"/>
    <w:rsid w:val="00ED0199"/>
    <w:rsid w:val="00ED05AC"/>
    <w:rsid w:val="00ED094F"/>
    <w:rsid w:val="00ED10E2"/>
    <w:rsid w:val="00ED3B94"/>
    <w:rsid w:val="00EE1126"/>
    <w:rsid w:val="00EE2329"/>
    <w:rsid w:val="00EE300B"/>
    <w:rsid w:val="00EE4050"/>
    <w:rsid w:val="00EE4149"/>
    <w:rsid w:val="00EE6052"/>
    <w:rsid w:val="00EF0E3A"/>
    <w:rsid w:val="00EF28CB"/>
    <w:rsid w:val="00EF2D05"/>
    <w:rsid w:val="00EF5040"/>
    <w:rsid w:val="00EF65EB"/>
    <w:rsid w:val="00F01A70"/>
    <w:rsid w:val="00F04867"/>
    <w:rsid w:val="00F04E3E"/>
    <w:rsid w:val="00F10771"/>
    <w:rsid w:val="00F11DDE"/>
    <w:rsid w:val="00F1222C"/>
    <w:rsid w:val="00F15258"/>
    <w:rsid w:val="00F152F5"/>
    <w:rsid w:val="00F205E5"/>
    <w:rsid w:val="00F20AA8"/>
    <w:rsid w:val="00F22634"/>
    <w:rsid w:val="00F244CC"/>
    <w:rsid w:val="00F250C4"/>
    <w:rsid w:val="00F26473"/>
    <w:rsid w:val="00F31935"/>
    <w:rsid w:val="00F33B63"/>
    <w:rsid w:val="00F34A01"/>
    <w:rsid w:val="00F363E7"/>
    <w:rsid w:val="00F41DDD"/>
    <w:rsid w:val="00F4768B"/>
    <w:rsid w:val="00F509F2"/>
    <w:rsid w:val="00F512A3"/>
    <w:rsid w:val="00F51AB4"/>
    <w:rsid w:val="00F523A8"/>
    <w:rsid w:val="00F54723"/>
    <w:rsid w:val="00F5513B"/>
    <w:rsid w:val="00F56A87"/>
    <w:rsid w:val="00F57359"/>
    <w:rsid w:val="00F57AF5"/>
    <w:rsid w:val="00F60A86"/>
    <w:rsid w:val="00F60B4A"/>
    <w:rsid w:val="00F62B87"/>
    <w:rsid w:val="00F64D8A"/>
    <w:rsid w:val="00F65208"/>
    <w:rsid w:val="00F67621"/>
    <w:rsid w:val="00F67BE6"/>
    <w:rsid w:val="00F702E1"/>
    <w:rsid w:val="00F71172"/>
    <w:rsid w:val="00F71244"/>
    <w:rsid w:val="00F72557"/>
    <w:rsid w:val="00F72ACB"/>
    <w:rsid w:val="00F72CA7"/>
    <w:rsid w:val="00F741B2"/>
    <w:rsid w:val="00F766B8"/>
    <w:rsid w:val="00F7786A"/>
    <w:rsid w:val="00F81FF1"/>
    <w:rsid w:val="00F826D2"/>
    <w:rsid w:val="00F83726"/>
    <w:rsid w:val="00F8481F"/>
    <w:rsid w:val="00F86B33"/>
    <w:rsid w:val="00F8763D"/>
    <w:rsid w:val="00F91C17"/>
    <w:rsid w:val="00F926BD"/>
    <w:rsid w:val="00F92BEF"/>
    <w:rsid w:val="00F949B1"/>
    <w:rsid w:val="00F958EE"/>
    <w:rsid w:val="00F9651E"/>
    <w:rsid w:val="00F965A9"/>
    <w:rsid w:val="00F96C0E"/>
    <w:rsid w:val="00F96EEB"/>
    <w:rsid w:val="00F96F8A"/>
    <w:rsid w:val="00F9761F"/>
    <w:rsid w:val="00FA102C"/>
    <w:rsid w:val="00FB0C86"/>
    <w:rsid w:val="00FB1C73"/>
    <w:rsid w:val="00FB1FFE"/>
    <w:rsid w:val="00FB211E"/>
    <w:rsid w:val="00FB310A"/>
    <w:rsid w:val="00FB3124"/>
    <w:rsid w:val="00FB32EE"/>
    <w:rsid w:val="00FB5491"/>
    <w:rsid w:val="00FB74B9"/>
    <w:rsid w:val="00FC0929"/>
    <w:rsid w:val="00FC55A6"/>
    <w:rsid w:val="00FC5616"/>
    <w:rsid w:val="00FC599E"/>
    <w:rsid w:val="00FC7766"/>
    <w:rsid w:val="00FD20D4"/>
    <w:rsid w:val="00FD2563"/>
    <w:rsid w:val="00FD328C"/>
    <w:rsid w:val="00FD3981"/>
    <w:rsid w:val="00FD6986"/>
    <w:rsid w:val="00FD7299"/>
    <w:rsid w:val="00FE1F95"/>
    <w:rsid w:val="00FE1FDA"/>
    <w:rsid w:val="00FE2094"/>
    <w:rsid w:val="00FE6104"/>
    <w:rsid w:val="00FE764B"/>
    <w:rsid w:val="00FF0A29"/>
    <w:rsid w:val="00FF1AC9"/>
    <w:rsid w:val="00FF25D5"/>
    <w:rsid w:val="00FF2D24"/>
    <w:rsid w:val="00FF30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1F612CFF"/>
  <w15:chartTrackingRefBased/>
  <w15:docId w15:val="{FCF8CE7F-A8E7-4E34-95B5-ABEA302D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D6B68"/>
    <w:pPr>
      <w:spacing w:after="150" w:line="276" w:lineRule="auto"/>
      <w:jc w:val="both"/>
    </w:pPr>
  </w:style>
  <w:style w:type="paragraph" w:styleId="Cmsor1">
    <w:name w:val="heading 1"/>
    <w:basedOn w:val="Norml"/>
    <w:next w:val="Norml"/>
    <w:link w:val="Cmsor1Char"/>
    <w:qFormat/>
    <w:rsid w:val="006D6B68"/>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Cmsor2">
    <w:name w:val="heading 2"/>
    <w:basedOn w:val="Norml"/>
    <w:next w:val="Norml"/>
    <w:link w:val="Cmsor2Char"/>
    <w:unhideWhenUsed/>
    <w:qFormat/>
    <w:rsid w:val="006D6B68"/>
    <w:pPr>
      <w:numPr>
        <w:ilvl w:val="1"/>
        <w:numId w:val="3"/>
      </w:numPr>
      <w:spacing w:before="210" w:after="75"/>
      <w:jc w:val="left"/>
      <w:outlineLvl w:val="1"/>
    </w:pPr>
    <w:rPr>
      <w:b/>
      <w:color w:val="0C2148" w:themeColor="text2"/>
      <w:sz w:val="24"/>
      <w:szCs w:val="38"/>
    </w:rPr>
  </w:style>
  <w:style w:type="paragraph" w:styleId="Cmsor3">
    <w:name w:val="heading 3"/>
    <w:basedOn w:val="Norml"/>
    <w:next w:val="Norml"/>
    <w:link w:val="Cmsor3Char"/>
    <w:unhideWhenUsed/>
    <w:qFormat/>
    <w:rsid w:val="006D6B68"/>
    <w:pPr>
      <w:numPr>
        <w:ilvl w:val="2"/>
        <w:numId w:val="3"/>
      </w:numPr>
      <w:spacing w:before="75" w:after="75"/>
      <w:jc w:val="left"/>
      <w:outlineLvl w:val="2"/>
    </w:pPr>
    <w:rPr>
      <w:bCs/>
      <w:color w:val="0C2148" w:themeColor="text2"/>
      <w:szCs w:val="34"/>
    </w:rPr>
  </w:style>
  <w:style w:type="paragraph" w:styleId="Cmsor4">
    <w:name w:val="heading 4"/>
    <w:basedOn w:val="Norml"/>
    <w:next w:val="Norml"/>
    <w:link w:val="Cmsor4Char"/>
    <w:unhideWhenUsed/>
    <w:qFormat/>
    <w:rsid w:val="006D6B68"/>
    <w:pPr>
      <w:numPr>
        <w:ilvl w:val="3"/>
        <w:numId w:val="3"/>
      </w:numPr>
      <w:spacing w:before="75" w:after="75"/>
      <w:jc w:val="left"/>
      <w:outlineLvl w:val="3"/>
    </w:pPr>
    <w:rPr>
      <w:iCs/>
      <w:color w:val="0C2148" w:themeColor="text2"/>
      <w:szCs w:val="30"/>
    </w:rPr>
  </w:style>
  <w:style w:type="paragraph" w:styleId="Cmsor5">
    <w:name w:val="heading 5"/>
    <w:basedOn w:val="Norml"/>
    <w:next w:val="Norml"/>
    <w:link w:val="Cmsor5Char"/>
    <w:unhideWhenUsed/>
    <w:qFormat/>
    <w:rsid w:val="006D6B68"/>
    <w:pPr>
      <w:numPr>
        <w:ilvl w:val="4"/>
        <w:numId w:val="3"/>
      </w:numPr>
      <w:spacing w:before="75" w:after="75"/>
      <w:jc w:val="left"/>
      <w:outlineLvl w:val="4"/>
    </w:pPr>
    <w:rPr>
      <w:color w:val="0C2148" w:themeColor="text2"/>
      <w:szCs w:val="26"/>
    </w:rPr>
  </w:style>
  <w:style w:type="paragraph" w:styleId="Cmsor6">
    <w:name w:val="heading 6"/>
    <w:basedOn w:val="Norml"/>
    <w:next w:val="Norml"/>
    <w:link w:val="Cmsor6Char"/>
    <w:unhideWhenUsed/>
    <w:qFormat/>
    <w:rsid w:val="006D6B68"/>
    <w:pPr>
      <w:numPr>
        <w:ilvl w:val="5"/>
        <w:numId w:val="3"/>
      </w:numPr>
      <w:spacing w:before="75" w:after="75"/>
      <w:jc w:val="left"/>
      <w:outlineLvl w:val="5"/>
    </w:pPr>
    <w:rPr>
      <w:color w:val="0C2148" w:themeColor="text2"/>
    </w:rPr>
  </w:style>
  <w:style w:type="paragraph" w:styleId="Cmsor7">
    <w:name w:val="heading 7"/>
    <w:basedOn w:val="Norml"/>
    <w:next w:val="Norml"/>
    <w:link w:val="Cmsor7Char"/>
    <w:uiPriority w:val="9"/>
    <w:semiHidden/>
    <w:unhideWhenUsed/>
    <w:qFormat/>
    <w:rsid w:val="006D6B68"/>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6D6B68"/>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6D6B68"/>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6D6B68"/>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6D6B68"/>
  </w:style>
  <w:style w:type="table" w:customStyle="1" w:styleId="tblzat-mtrix">
    <w:name w:val="táblázat - mátrix"/>
    <w:basedOn w:val="Normltblzat"/>
    <w:uiPriority w:val="2"/>
    <w:qFormat/>
    <w:rsid w:val="006D6B68"/>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6D6B68"/>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aliases w:val="Lista_1,lista_2"/>
    <w:basedOn w:val="Norml"/>
    <w:link w:val="ListaszerbekezdsChar"/>
    <w:uiPriority w:val="4"/>
    <w:qFormat/>
    <w:rsid w:val="006D6B68"/>
    <w:pPr>
      <w:numPr>
        <w:numId w:val="8"/>
      </w:numPr>
      <w:contextualSpacing/>
    </w:pPr>
  </w:style>
  <w:style w:type="character" w:styleId="Hiperhivatkozs">
    <w:name w:val="Hyperlink"/>
    <w:basedOn w:val="Vgjegyzet-hivatkozs"/>
    <w:uiPriority w:val="99"/>
    <w:rsid w:val="006D6B68"/>
    <w:rPr>
      <w:rFonts w:ascii="Calibri" w:hAnsi="Calibri"/>
      <w:color w:val="0000FF"/>
      <w:sz w:val="20"/>
      <w:u w:val="single"/>
      <w:vertAlign w:val="superscript"/>
    </w:rPr>
  </w:style>
  <w:style w:type="table" w:customStyle="1" w:styleId="tblzat-oldallces">
    <w:name w:val="táblázat - oldalléces"/>
    <w:basedOn w:val="Normltblzat"/>
    <w:uiPriority w:val="3"/>
    <w:qFormat/>
    <w:rsid w:val="006D6B68"/>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6D6B68"/>
    <w:rPr>
      <w:vertAlign w:val="superscript"/>
    </w:rPr>
  </w:style>
  <w:style w:type="paragraph" w:styleId="Buborkszveg">
    <w:name w:val="Balloon Text"/>
    <w:basedOn w:val="Norml"/>
    <w:link w:val="BuborkszvegChar"/>
    <w:uiPriority w:val="99"/>
    <w:semiHidden/>
    <w:unhideWhenUsed/>
    <w:rsid w:val="006D6B68"/>
    <w:rPr>
      <w:rFonts w:ascii="Tahoma" w:hAnsi="Tahoma" w:cs="Tahoma"/>
      <w:sz w:val="16"/>
      <w:szCs w:val="16"/>
    </w:rPr>
  </w:style>
  <w:style w:type="paragraph" w:customStyle="1" w:styleId="Magyarzszveg">
    <w:name w:val="Magyarázó szöveg"/>
    <w:basedOn w:val="Norml"/>
    <w:next w:val="Norml"/>
    <w:uiPriority w:val="7"/>
    <w:rsid w:val="006D6B68"/>
    <w:rPr>
      <w:color w:val="F6A800" w:themeColor="accent5"/>
      <w:sz w:val="18"/>
    </w:rPr>
  </w:style>
  <w:style w:type="character" w:customStyle="1" w:styleId="BuborkszvegChar">
    <w:name w:val="Buborékszöveg Char"/>
    <w:basedOn w:val="Bekezdsalapbettpusa"/>
    <w:link w:val="Buborkszveg"/>
    <w:uiPriority w:val="99"/>
    <w:semiHidden/>
    <w:rsid w:val="006D6B68"/>
    <w:rPr>
      <w:rFonts w:ascii="Tahoma" w:hAnsi="Tahoma" w:cs="Tahoma"/>
      <w:sz w:val="16"/>
      <w:szCs w:val="16"/>
    </w:rPr>
  </w:style>
  <w:style w:type="paragraph" w:styleId="lfej">
    <w:name w:val="header"/>
    <w:basedOn w:val="Norml"/>
    <w:link w:val="lfejChar"/>
    <w:uiPriority w:val="99"/>
    <w:semiHidden/>
    <w:unhideWhenUsed/>
    <w:rsid w:val="006D6B68"/>
    <w:pPr>
      <w:tabs>
        <w:tab w:val="center" w:pos="4536"/>
        <w:tab w:val="right" w:pos="9072"/>
      </w:tabs>
    </w:pPr>
  </w:style>
  <w:style w:type="character" w:customStyle="1" w:styleId="lfejChar">
    <w:name w:val="Élőfej Char"/>
    <w:basedOn w:val="Bekezdsalapbettpusa"/>
    <w:link w:val="lfej"/>
    <w:uiPriority w:val="99"/>
    <w:semiHidden/>
    <w:rsid w:val="006D6B68"/>
  </w:style>
  <w:style w:type="paragraph" w:styleId="llb">
    <w:name w:val="footer"/>
    <w:basedOn w:val="Norml"/>
    <w:link w:val="llbChar"/>
    <w:uiPriority w:val="99"/>
    <w:semiHidden/>
    <w:unhideWhenUsed/>
    <w:rsid w:val="006D6B68"/>
    <w:pPr>
      <w:tabs>
        <w:tab w:val="center" w:pos="4536"/>
        <w:tab w:val="right" w:pos="9072"/>
      </w:tabs>
    </w:pPr>
  </w:style>
  <w:style w:type="character" w:customStyle="1" w:styleId="llbChar">
    <w:name w:val="Élőláb Char"/>
    <w:basedOn w:val="Bekezdsalapbettpusa"/>
    <w:link w:val="llb"/>
    <w:uiPriority w:val="99"/>
    <w:semiHidden/>
    <w:rsid w:val="006D6B68"/>
  </w:style>
  <w:style w:type="paragraph" w:customStyle="1" w:styleId="Szmozs">
    <w:name w:val="Számozás"/>
    <w:basedOn w:val="Norml"/>
    <w:uiPriority w:val="4"/>
    <w:qFormat/>
    <w:rsid w:val="006D6B68"/>
    <w:pPr>
      <w:numPr>
        <w:numId w:val="4"/>
      </w:numPr>
      <w:spacing w:before="120"/>
      <w:contextualSpacing/>
    </w:pPr>
  </w:style>
  <w:style w:type="table" w:styleId="Rcsostblzat">
    <w:name w:val="Table Grid"/>
    <w:aliases w:val="Szegély nélküli"/>
    <w:basedOn w:val="Normltblzat"/>
    <w:uiPriority w:val="59"/>
    <w:rsid w:val="006D6B68"/>
    <w:pPr>
      <w:contextualSpacing/>
    </w:pPr>
    <w:tblPr/>
    <w:tcPr>
      <w:vAlign w:val="center"/>
    </w:tcPr>
  </w:style>
  <w:style w:type="character" w:customStyle="1" w:styleId="Cmsor4Char">
    <w:name w:val="Címsor 4 Char"/>
    <w:basedOn w:val="Bekezdsalapbettpusa"/>
    <w:link w:val="Cmsor4"/>
    <w:rsid w:val="006D6B68"/>
    <w:rPr>
      <w:iCs/>
      <w:color w:val="0C2148" w:themeColor="text2"/>
      <w:szCs w:val="30"/>
    </w:rPr>
  </w:style>
  <w:style w:type="character" w:customStyle="1" w:styleId="Cmsor5Char">
    <w:name w:val="Címsor 5 Char"/>
    <w:basedOn w:val="Bekezdsalapbettpusa"/>
    <w:link w:val="Cmsor5"/>
    <w:rsid w:val="006D6B68"/>
    <w:rPr>
      <w:color w:val="0C2148" w:themeColor="text2"/>
      <w:szCs w:val="26"/>
    </w:rPr>
  </w:style>
  <w:style w:type="character" w:customStyle="1" w:styleId="Cmsor6Char">
    <w:name w:val="Címsor 6 Char"/>
    <w:basedOn w:val="Bekezdsalapbettpusa"/>
    <w:link w:val="Cmsor6"/>
    <w:rsid w:val="006D6B68"/>
    <w:rPr>
      <w:color w:val="0C2148" w:themeColor="text2"/>
    </w:rPr>
  </w:style>
  <w:style w:type="character" w:customStyle="1" w:styleId="Cmsor1Char">
    <w:name w:val="Címsor 1 Char"/>
    <w:basedOn w:val="Bekezdsalapbettpusa"/>
    <w:link w:val="Cmsor1"/>
    <w:rsid w:val="006D6B68"/>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6D6B68"/>
    <w:rPr>
      <w:b/>
      <w:color w:val="0C2148" w:themeColor="text2"/>
      <w:sz w:val="24"/>
      <w:szCs w:val="38"/>
    </w:rPr>
  </w:style>
  <w:style w:type="character" w:customStyle="1" w:styleId="Cmsor3Char">
    <w:name w:val="Címsor 3 Char"/>
    <w:basedOn w:val="Bekezdsalapbettpusa"/>
    <w:link w:val="Cmsor3"/>
    <w:rsid w:val="006D6B68"/>
    <w:rPr>
      <w:bCs/>
      <w:color w:val="0C2148" w:themeColor="text2"/>
      <w:szCs w:val="34"/>
    </w:rPr>
  </w:style>
  <w:style w:type="paragraph" w:styleId="Cm">
    <w:name w:val="Title"/>
    <w:basedOn w:val="Norml"/>
    <w:next w:val="Norml"/>
    <w:link w:val="CmChar"/>
    <w:uiPriority w:val="3"/>
    <w:qFormat/>
    <w:rsid w:val="006D6B68"/>
    <w:pPr>
      <w:spacing w:after="300"/>
      <w:contextualSpacing/>
    </w:pPr>
    <w:rPr>
      <w:rFonts w:eastAsiaTheme="majorEastAsia" w:cstheme="majorBidi"/>
      <w:caps/>
      <w:color w:val="0C2148" w:themeColor="text2"/>
      <w:spacing w:val="5"/>
      <w:kern w:val="28"/>
      <w:sz w:val="24"/>
      <w:szCs w:val="52"/>
    </w:rPr>
  </w:style>
  <w:style w:type="character" w:customStyle="1" w:styleId="CmChar">
    <w:name w:val="Cím Char"/>
    <w:basedOn w:val="Bekezdsalapbettpusa"/>
    <w:link w:val="Cm"/>
    <w:uiPriority w:val="3"/>
    <w:rsid w:val="006D6B68"/>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6D6B68"/>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6D6B68"/>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6D6B68"/>
    <w:rPr>
      <w:rFonts w:eastAsiaTheme="majorEastAsia" w:cstheme="majorBidi"/>
      <w:i/>
      <w:iCs/>
      <w:color w:val="404040" w:themeColor="text1" w:themeTint="BF"/>
    </w:rPr>
  </w:style>
  <w:style w:type="numbering" w:customStyle="1" w:styleId="Style1">
    <w:name w:val="Style1"/>
    <w:uiPriority w:val="99"/>
    <w:rsid w:val="006D6B68"/>
    <w:pPr>
      <w:numPr>
        <w:numId w:val="1"/>
      </w:numPr>
    </w:pPr>
  </w:style>
  <w:style w:type="paragraph" w:styleId="TJ7">
    <w:name w:val="toc 7"/>
    <w:basedOn w:val="Norml"/>
    <w:next w:val="Norml"/>
    <w:autoRedefine/>
    <w:uiPriority w:val="99"/>
    <w:semiHidden/>
    <w:locked/>
    <w:rsid w:val="006D6B68"/>
    <w:pPr>
      <w:spacing w:after="100"/>
      <w:ind w:left="1200"/>
    </w:pPr>
    <w:rPr>
      <w:color w:val="385623" w:themeColor="accent6" w:themeShade="80"/>
    </w:rPr>
  </w:style>
  <w:style w:type="paragraph" w:styleId="TJ8">
    <w:name w:val="toc 8"/>
    <w:basedOn w:val="Norml"/>
    <w:next w:val="Norml"/>
    <w:autoRedefine/>
    <w:uiPriority w:val="99"/>
    <w:semiHidden/>
    <w:locked/>
    <w:rsid w:val="006D6B68"/>
    <w:pPr>
      <w:spacing w:after="100"/>
      <w:ind w:left="1400"/>
    </w:pPr>
    <w:rPr>
      <w:color w:val="385623" w:themeColor="accent6" w:themeShade="80"/>
    </w:rPr>
  </w:style>
  <w:style w:type="paragraph" w:styleId="TJ9">
    <w:name w:val="toc 9"/>
    <w:basedOn w:val="Norml"/>
    <w:next w:val="Norml"/>
    <w:autoRedefine/>
    <w:uiPriority w:val="99"/>
    <w:semiHidden/>
    <w:locked/>
    <w:rsid w:val="006D6B68"/>
    <w:pPr>
      <w:spacing w:after="100"/>
      <w:ind w:left="1600"/>
    </w:pPr>
    <w:rPr>
      <w:color w:val="385623" w:themeColor="accent6" w:themeShade="80"/>
    </w:rPr>
  </w:style>
  <w:style w:type="table" w:customStyle="1" w:styleId="Calendar2">
    <w:name w:val="Calendar 2"/>
    <w:basedOn w:val="Normltblzat"/>
    <w:uiPriority w:val="99"/>
    <w:qFormat/>
    <w:rsid w:val="006D6B68"/>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6D6B68"/>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6D6B68"/>
    <w:rPr>
      <w:rFonts w:eastAsiaTheme="minorEastAsia"/>
      <w:color w:val="0C2148" w:themeColor="text2"/>
      <w:sz w:val="16"/>
    </w:rPr>
  </w:style>
  <w:style w:type="character" w:styleId="Finomkiemels">
    <w:name w:val="Subtle Emphasis"/>
    <w:basedOn w:val="Bekezdsalapbettpusa"/>
    <w:uiPriority w:val="19"/>
    <w:qFormat/>
    <w:rsid w:val="006D6B68"/>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6D6B68"/>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6D6B68"/>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6D6B68"/>
    <w:rPr>
      <w:color w:val="385623" w:themeColor="accent6" w:themeShade="80"/>
    </w:rPr>
  </w:style>
  <w:style w:type="character" w:customStyle="1" w:styleId="VgjegyzetszvegeChar">
    <w:name w:val="Végjegyzet szövege Char"/>
    <w:basedOn w:val="Bekezdsalapbettpusa"/>
    <w:link w:val="Vgjegyzetszvege"/>
    <w:uiPriority w:val="99"/>
    <w:semiHidden/>
    <w:rsid w:val="006D6B68"/>
    <w:rPr>
      <w:color w:val="385623" w:themeColor="accent6" w:themeShade="80"/>
    </w:rPr>
  </w:style>
  <w:style w:type="table" w:customStyle="1" w:styleId="Vilgosrnykols1jellszn1">
    <w:name w:val="Világos árnyékolás – 1. jelölőszín1"/>
    <w:basedOn w:val="Normltblzat"/>
    <w:uiPriority w:val="60"/>
    <w:rsid w:val="006D6B68"/>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6D6B68"/>
    <w:pPr>
      <w:numPr>
        <w:numId w:val="5"/>
      </w:numPr>
    </w:pPr>
  </w:style>
  <w:style w:type="paragraph" w:customStyle="1" w:styleId="Tblaszvegstlus">
    <w:name w:val="Tábla szöveg stílus"/>
    <w:basedOn w:val="Norml"/>
    <w:link w:val="TblaszvegstlusChar"/>
    <w:uiPriority w:val="8"/>
    <w:qFormat/>
    <w:rsid w:val="006D6B68"/>
  </w:style>
  <w:style w:type="character" w:customStyle="1" w:styleId="ListaszerbekezdsChar">
    <w:name w:val="Listaszerű bekezdés Char"/>
    <w:aliases w:val="Lista_1 Char,lista_2 Char"/>
    <w:basedOn w:val="Bekezdsalapbettpusa"/>
    <w:link w:val="Listaszerbekezds"/>
    <w:uiPriority w:val="4"/>
    <w:rsid w:val="006D6B68"/>
  </w:style>
  <w:style w:type="character" w:customStyle="1" w:styleId="Listaszerbekezds2Char">
    <w:name w:val="Listaszerű bekezdés 2 Char"/>
    <w:basedOn w:val="ListaszerbekezdsChar"/>
    <w:link w:val="Listaszerbekezds2"/>
    <w:uiPriority w:val="4"/>
    <w:rsid w:val="006D6B68"/>
  </w:style>
  <w:style w:type="character" w:customStyle="1" w:styleId="TblaszvegstlusChar">
    <w:name w:val="Tábla szöveg stílus Char"/>
    <w:basedOn w:val="Bekezdsalapbettpusa"/>
    <w:link w:val="Tblaszvegstlus"/>
    <w:uiPriority w:val="8"/>
    <w:rsid w:val="006D6B68"/>
  </w:style>
  <w:style w:type="character" w:styleId="Finomhivatkozs">
    <w:name w:val="Subtle Reference"/>
    <w:basedOn w:val="Bekezdsalapbettpusa"/>
    <w:uiPriority w:val="31"/>
    <w:rsid w:val="006D6B68"/>
    <w:rPr>
      <w:sz w:val="24"/>
      <w:szCs w:val="24"/>
      <w:u w:val="single"/>
    </w:rPr>
  </w:style>
  <w:style w:type="character" w:styleId="Ershivatkozs">
    <w:name w:val="Intense Reference"/>
    <w:basedOn w:val="Bekezdsalapbettpusa"/>
    <w:uiPriority w:val="32"/>
    <w:rsid w:val="006D6B68"/>
    <w:rPr>
      <w:b/>
      <w:sz w:val="24"/>
      <w:u w:val="single"/>
    </w:rPr>
  </w:style>
  <w:style w:type="paragraph" w:customStyle="1" w:styleId="Listaszerbekezds2szint">
    <w:name w:val="Listaszerű bekezdés 2. szint"/>
    <w:basedOn w:val="Listaszerbekezds"/>
    <w:link w:val="Listaszerbekezds2szintChar"/>
    <w:uiPriority w:val="4"/>
    <w:qFormat/>
    <w:rsid w:val="006D6B68"/>
    <w:pPr>
      <w:numPr>
        <w:numId w:val="7"/>
      </w:numPr>
    </w:pPr>
  </w:style>
  <w:style w:type="paragraph" w:customStyle="1" w:styleId="Listaszerbekezds3szint">
    <w:name w:val="Listaszerű bekezdés 3. szint"/>
    <w:basedOn w:val="Listaszerbekezds"/>
    <w:link w:val="Listaszerbekezds3szintChar"/>
    <w:uiPriority w:val="4"/>
    <w:qFormat/>
    <w:rsid w:val="006D6B68"/>
    <w:pPr>
      <w:numPr>
        <w:ilvl w:val="2"/>
        <w:numId w:val="9"/>
      </w:numPr>
    </w:pPr>
  </w:style>
  <w:style w:type="character" w:customStyle="1" w:styleId="Listaszerbekezds2szintChar">
    <w:name w:val="Listaszerű bekezdés 2. szint Char"/>
    <w:basedOn w:val="ListaszerbekezdsChar"/>
    <w:link w:val="Listaszerbekezds2szint"/>
    <w:uiPriority w:val="4"/>
    <w:rsid w:val="006D6B68"/>
  </w:style>
  <w:style w:type="character" w:customStyle="1" w:styleId="Listaszerbekezds3szintChar">
    <w:name w:val="Listaszerű bekezdés 3. szint Char"/>
    <w:basedOn w:val="ListaszerbekezdsChar"/>
    <w:link w:val="Listaszerbekezds3szint"/>
    <w:uiPriority w:val="4"/>
    <w:rsid w:val="006D6B68"/>
  </w:style>
  <w:style w:type="paragraph" w:styleId="Alcm">
    <w:name w:val="Subtitle"/>
    <w:basedOn w:val="Norml"/>
    <w:next w:val="Norml"/>
    <w:link w:val="AlcmChar"/>
    <w:uiPriority w:val="11"/>
    <w:rsid w:val="006D6B68"/>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6D6B68"/>
    <w:rPr>
      <w:rFonts w:eastAsiaTheme="majorEastAsia" w:cstheme="majorBidi"/>
    </w:rPr>
  </w:style>
  <w:style w:type="paragraph" w:customStyle="1" w:styleId="Listabetvel">
    <w:name w:val="Lista betűvel"/>
    <w:basedOn w:val="Listaszerbekezds"/>
    <w:link w:val="ListabetvelChar"/>
    <w:uiPriority w:val="4"/>
    <w:qFormat/>
    <w:rsid w:val="006D6B68"/>
    <w:pPr>
      <w:numPr>
        <w:numId w:val="6"/>
      </w:numPr>
    </w:pPr>
  </w:style>
  <w:style w:type="character" w:customStyle="1" w:styleId="ListabetvelChar">
    <w:name w:val="Lista betűvel Char"/>
    <w:basedOn w:val="ListaszerbekezdsChar"/>
    <w:link w:val="Listabetvel"/>
    <w:uiPriority w:val="4"/>
    <w:rsid w:val="006D6B68"/>
  </w:style>
  <w:style w:type="paragraph" w:customStyle="1" w:styleId="Erskiemels1">
    <w:name w:val="Erős kiemelés1"/>
    <w:basedOn w:val="Norml"/>
    <w:link w:val="ErskiemelsChar"/>
    <w:uiPriority w:val="5"/>
    <w:qFormat/>
    <w:rsid w:val="006D6B68"/>
    <w:rPr>
      <w:b/>
      <w:i/>
    </w:rPr>
  </w:style>
  <w:style w:type="character" w:customStyle="1" w:styleId="ErskiemelsChar">
    <w:name w:val="Erős kiemelés Char"/>
    <w:basedOn w:val="Bekezdsalapbettpusa"/>
    <w:link w:val="Erskiemels1"/>
    <w:uiPriority w:val="5"/>
    <w:rsid w:val="006D6B68"/>
    <w:rPr>
      <w:b/>
      <w:i/>
    </w:rPr>
  </w:style>
  <w:style w:type="paragraph" w:customStyle="1" w:styleId="Bold">
    <w:name w:val="Bold"/>
    <w:basedOn w:val="Norml"/>
    <w:link w:val="BoldChar"/>
    <w:uiPriority w:val="6"/>
    <w:qFormat/>
    <w:rsid w:val="006D6B68"/>
    <w:rPr>
      <w:b/>
    </w:rPr>
  </w:style>
  <w:style w:type="character" w:customStyle="1" w:styleId="BoldChar">
    <w:name w:val="Bold Char"/>
    <w:basedOn w:val="Bekezdsalapbettpusa"/>
    <w:link w:val="Bold"/>
    <w:uiPriority w:val="6"/>
    <w:rsid w:val="006D6B68"/>
    <w:rPr>
      <w:b/>
    </w:rPr>
  </w:style>
  <w:style w:type="character" w:styleId="Mrltotthiperhivatkozs">
    <w:name w:val="FollowedHyperlink"/>
    <w:basedOn w:val="Bekezdsalapbettpusa"/>
    <w:uiPriority w:val="99"/>
    <w:semiHidden/>
    <w:unhideWhenUsed/>
    <w:rsid w:val="006D6B68"/>
    <w:rPr>
      <w:color w:val="954F72" w:themeColor="followedHyperlink"/>
      <w:u w:val="single"/>
    </w:rPr>
  </w:style>
  <w:style w:type="paragraph" w:styleId="Tartalomjegyzkcmsora">
    <w:name w:val="TOC Heading"/>
    <w:basedOn w:val="Cmsor1"/>
    <w:next w:val="Norml"/>
    <w:uiPriority w:val="39"/>
    <w:unhideWhenUsed/>
    <w:qFormat/>
    <w:rsid w:val="006D6B68"/>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6D6B68"/>
    <w:pPr>
      <w:spacing w:after="100"/>
      <w:ind w:left="220"/>
      <w:jc w:val="left"/>
    </w:pPr>
    <w:rPr>
      <w:rFonts w:eastAsiaTheme="minorEastAsia"/>
    </w:rPr>
  </w:style>
  <w:style w:type="paragraph" w:styleId="TJ1">
    <w:name w:val="toc 1"/>
    <w:basedOn w:val="Norml"/>
    <w:next w:val="Norml"/>
    <w:autoRedefine/>
    <w:uiPriority w:val="39"/>
    <w:unhideWhenUsed/>
    <w:qFormat/>
    <w:locked/>
    <w:rsid w:val="006D6B68"/>
    <w:pPr>
      <w:spacing w:after="100"/>
      <w:jc w:val="left"/>
    </w:pPr>
    <w:rPr>
      <w:rFonts w:eastAsiaTheme="minorEastAsia"/>
    </w:rPr>
  </w:style>
  <w:style w:type="paragraph" w:styleId="TJ3">
    <w:name w:val="toc 3"/>
    <w:basedOn w:val="Norml"/>
    <w:next w:val="Norml"/>
    <w:uiPriority w:val="39"/>
    <w:unhideWhenUsed/>
    <w:qFormat/>
    <w:locked/>
    <w:rsid w:val="006D6B68"/>
    <w:pPr>
      <w:spacing w:after="100"/>
      <w:ind w:left="400"/>
    </w:pPr>
  </w:style>
  <w:style w:type="paragraph" w:customStyle="1" w:styleId="StyleTOC2Left015">
    <w:name w:val="Style TOC 2 + Left:  0.15&quot;"/>
    <w:basedOn w:val="TJ2"/>
    <w:rsid w:val="006D6B68"/>
    <w:pPr>
      <w:ind w:left="216"/>
    </w:pPr>
    <w:rPr>
      <w:rFonts w:eastAsia="Times New Roman" w:cs="Times New Roman"/>
    </w:rPr>
  </w:style>
  <w:style w:type="paragraph" w:customStyle="1" w:styleId="StyleTOC3Left031">
    <w:name w:val="Style TOC 3 + Left:  0.31&quot;"/>
    <w:basedOn w:val="TJ3"/>
    <w:rsid w:val="006D6B68"/>
    <w:pPr>
      <w:ind w:left="446"/>
    </w:pPr>
    <w:rPr>
      <w:rFonts w:eastAsia="Times New Roman" w:cs="Times New Roman"/>
    </w:rPr>
  </w:style>
  <w:style w:type="numbering" w:customStyle="1" w:styleId="Hierarchikuslista">
    <w:name w:val="Hierarchikus lista"/>
    <w:uiPriority w:val="99"/>
    <w:rsid w:val="006D6B68"/>
    <w:pPr>
      <w:numPr>
        <w:numId w:val="2"/>
      </w:numPr>
    </w:pPr>
  </w:style>
  <w:style w:type="paragraph" w:customStyle="1" w:styleId="HierarchikusLista0">
    <w:name w:val="Hierarchikus Lista"/>
    <w:basedOn w:val="Listaszerbekezds"/>
    <w:link w:val="HierarchikusListaChar"/>
    <w:qFormat/>
    <w:rsid w:val="006D6B68"/>
    <w:pPr>
      <w:numPr>
        <w:numId w:val="0"/>
      </w:numPr>
    </w:pPr>
  </w:style>
  <w:style w:type="character" w:customStyle="1" w:styleId="HierarchikusListaChar">
    <w:name w:val="Hierarchikus Lista Char"/>
    <w:basedOn w:val="ListaszerbekezdsChar"/>
    <w:link w:val="HierarchikusLista0"/>
    <w:rsid w:val="006D6B68"/>
  </w:style>
  <w:style w:type="character" w:styleId="Kiemels2">
    <w:name w:val="Strong"/>
    <w:basedOn w:val="Bekezdsalapbettpusa"/>
    <w:uiPriority w:val="22"/>
    <w:rsid w:val="006D6B68"/>
    <w:rPr>
      <w:b/>
      <w:bCs/>
    </w:rPr>
  </w:style>
  <w:style w:type="character" w:styleId="Kiemels">
    <w:name w:val="Emphasis"/>
    <w:basedOn w:val="Bekezdsalapbettpusa"/>
    <w:uiPriority w:val="6"/>
    <w:qFormat/>
    <w:rsid w:val="006D6B68"/>
    <w:rPr>
      <w:i/>
      <w:iCs/>
    </w:rPr>
  </w:style>
  <w:style w:type="paragraph" w:styleId="Nincstrkz">
    <w:name w:val="No Spacing"/>
    <w:basedOn w:val="Norml"/>
    <w:uiPriority w:val="1"/>
    <w:rsid w:val="006D6B68"/>
    <w:rPr>
      <w:szCs w:val="32"/>
    </w:rPr>
  </w:style>
  <w:style w:type="paragraph" w:styleId="Idzet">
    <w:name w:val="Quote"/>
    <w:basedOn w:val="Norml"/>
    <w:next w:val="Norml"/>
    <w:link w:val="IdzetChar"/>
    <w:uiPriority w:val="29"/>
    <w:rsid w:val="006D6B68"/>
    <w:rPr>
      <w:i/>
    </w:rPr>
  </w:style>
  <w:style w:type="character" w:customStyle="1" w:styleId="IdzetChar">
    <w:name w:val="Idézet Char"/>
    <w:basedOn w:val="Bekezdsalapbettpusa"/>
    <w:link w:val="Idzet"/>
    <w:uiPriority w:val="29"/>
    <w:rsid w:val="006D6B68"/>
    <w:rPr>
      <w:i/>
    </w:rPr>
  </w:style>
  <w:style w:type="paragraph" w:styleId="Kiemeltidzet">
    <w:name w:val="Intense Quote"/>
    <w:basedOn w:val="Norml"/>
    <w:next w:val="Norml"/>
    <w:link w:val="KiemeltidzetChar"/>
    <w:uiPriority w:val="30"/>
    <w:rsid w:val="006D6B68"/>
    <w:pPr>
      <w:ind w:left="720" w:right="720"/>
    </w:pPr>
    <w:rPr>
      <w:b/>
      <w:i/>
    </w:rPr>
  </w:style>
  <w:style w:type="character" w:customStyle="1" w:styleId="KiemeltidzetChar">
    <w:name w:val="Kiemelt idézet Char"/>
    <w:basedOn w:val="Bekezdsalapbettpusa"/>
    <w:link w:val="Kiemeltidzet"/>
    <w:uiPriority w:val="30"/>
    <w:rsid w:val="006D6B68"/>
    <w:rPr>
      <w:b/>
      <w:i/>
    </w:rPr>
  </w:style>
  <w:style w:type="character" w:styleId="Erskiemels">
    <w:name w:val="Intense Emphasis"/>
    <w:basedOn w:val="Bekezdsalapbettpusa"/>
    <w:uiPriority w:val="21"/>
    <w:rsid w:val="006D6B68"/>
    <w:rPr>
      <w:b/>
      <w:i/>
      <w:sz w:val="24"/>
      <w:szCs w:val="24"/>
      <w:u w:val="single"/>
    </w:rPr>
  </w:style>
  <w:style w:type="character" w:styleId="Knyvcme">
    <w:name w:val="Book Title"/>
    <w:basedOn w:val="Bekezdsalapbettpusa"/>
    <w:uiPriority w:val="33"/>
    <w:rsid w:val="006D6B68"/>
    <w:rPr>
      <w:rFonts w:ascii="Calibri" w:eastAsiaTheme="majorEastAsia" w:hAnsi="Calibri"/>
      <w:b/>
      <w:i/>
      <w:sz w:val="24"/>
      <w:szCs w:val="24"/>
    </w:rPr>
  </w:style>
  <w:style w:type="paragraph" w:customStyle="1" w:styleId="Szvegdobozstlus">
    <w:name w:val="Szövegdoboz stílus"/>
    <w:basedOn w:val="HierarchikusLista0"/>
    <w:qFormat/>
    <w:rsid w:val="006D6B68"/>
    <w:rPr>
      <w:b/>
      <w:i/>
      <w:color w:val="009EE0"/>
    </w:rPr>
  </w:style>
  <w:style w:type="table" w:customStyle="1" w:styleId="Rcsos">
    <w:name w:val="Rácsos"/>
    <w:basedOn w:val="Normltblzat"/>
    <w:uiPriority w:val="99"/>
    <w:rsid w:val="006D6B68"/>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6D6B6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6D6B68"/>
    <w:pPr>
      <w:keepNext/>
      <w:spacing w:after="40"/>
      <w:jc w:val="center"/>
    </w:pPr>
    <w:rPr>
      <w:b/>
      <w:bCs/>
      <w:color w:val="808080"/>
      <w:szCs w:val="18"/>
    </w:rPr>
  </w:style>
  <w:style w:type="paragraph" w:customStyle="1" w:styleId="ENCaption2Col">
    <w:name w:val="EN_Caption_2Col"/>
    <w:basedOn w:val="Norml"/>
    <w:next w:val="Norml"/>
    <w:uiPriority w:val="1"/>
    <w:qFormat/>
    <w:rsid w:val="006D6B68"/>
    <w:pPr>
      <w:keepNext/>
      <w:spacing w:after="40"/>
      <w:jc w:val="left"/>
    </w:pPr>
    <w:rPr>
      <w:b/>
      <w:bCs/>
      <w:color w:val="808080"/>
      <w:szCs w:val="18"/>
    </w:rPr>
  </w:style>
  <w:style w:type="paragraph" w:customStyle="1" w:styleId="ENCaptionBox">
    <w:name w:val="EN_Caption_Box"/>
    <w:basedOn w:val="Norml"/>
    <w:next w:val="Norml"/>
    <w:uiPriority w:val="1"/>
    <w:qFormat/>
    <w:rsid w:val="006D6B6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6D6B68"/>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6D6B68"/>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6D6B68"/>
    <w:rPr>
      <w:rFonts w:eastAsiaTheme="minorEastAsia"/>
      <w:color w:val="808080"/>
      <w:sz w:val="18"/>
    </w:rPr>
  </w:style>
  <w:style w:type="paragraph" w:customStyle="1" w:styleId="ENNormal">
    <w:name w:val="EN_Normal"/>
    <w:basedOn w:val="Norml"/>
    <w:uiPriority w:val="1"/>
    <w:qFormat/>
    <w:rsid w:val="006D6B68"/>
  </w:style>
  <w:style w:type="paragraph" w:customStyle="1" w:styleId="ENNormalBox">
    <w:name w:val="EN_Normal_Box"/>
    <w:basedOn w:val="Norml"/>
    <w:uiPriority w:val="1"/>
    <w:qFormat/>
    <w:rsid w:val="006D6B68"/>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6D6B68"/>
    <w:pPr>
      <w:keepLines/>
      <w:jc w:val="center"/>
    </w:pPr>
    <w:rPr>
      <w:color w:val="808080"/>
      <w:sz w:val="18"/>
    </w:rPr>
  </w:style>
  <w:style w:type="paragraph" w:customStyle="1" w:styleId="ENNote2Col">
    <w:name w:val="EN_Note_2Col"/>
    <w:basedOn w:val="Norml"/>
    <w:next w:val="ENNormal"/>
    <w:uiPriority w:val="1"/>
    <w:qFormat/>
    <w:rsid w:val="006D6B68"/>
    <w:pPr>
      <w:keepLines/>
    </w:pPr>
    <w:rPr>
      <w:color w:val="808080"/>
      <w:sz w:val="18"/>
    </w:rPr>
  </w:style>
  <w:style w:type="paragraph" w:customStyle="1" w:styleId="ENNoteBox">
    <w:name w:val="EN_Note_Box"/>
    <w:basedOn w:val="Norml"/>
    <w:next w:val="ENNormalBox"/>
    <w:uiPriority w:val="1"/>
    <w:qFormat/>
    <w:rsid w:val="006D6B68"/>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6D6B68"/>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l"/>
    <w:next w:val="ENNormal"/>
    <w:uiPriority w:val="1"/>
    <w:rsid w:val="006D6B68"/>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Kpalrs"/>
    <w:next w:val="Norml"/>
    <w:uiPriority w:val="1"/>
    <w:qFormat/>
    <w:rsid w:val="006D6B6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6D6B68"/>
    <w:pPr>
      <w:keepNext/>
      <w:spacing w:after="40"/>
      <w:jc w:val="center"/>
    </w:pPr>
    <w:rPr>
      <w:sz w:val="20"/>
    </w:rPr>
  </w:style>
  <w:style w:type="paragraph" w:customStyle="1" w:styleId="HUCaption2Col">
    <w:name w:val="HU_Caption_2Col"/>
    <w:basedOn w:val="Kpalrs"/>
    <w:next w:val="Norml"/>
    <w:uiPriority w:val="1"/>
    <w:qFormat/>
    <w:rsid w:val="006D6B68"/>
    <w:pPr>
      <w:keepNext/>
      <w:spacing w:after="40"/>
    </w:pPr>
    <w:rPr>
      <w:sz w:val="20"/>
    </w:rPr>
  </w:style>
  <w:style w:type="paragraph" w:customStyle="1" w:styleId="HUCaptionBox">
    <w:name w:val="HU_Caption_Box"/>
    <w:basedOn w:val="Kpalrs"/>
    <w:next w:val="Norml"/>
    <w:uiPriority w:val="1"/>
    <w:qFormat/>
    <w:rsid w:val="006D6B68"/>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6D6B68"/>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6D6B68"/>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6D6B68"/>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6D6B68"/>
    <w:rPr>
      <w:caps/>
      <w:color w:val="0C2148" w:themeColor="text2"/>
    </w:rPr>
  </w:style>
  <w:style w:type="paragraph" w:customStyle="1" w:styleId="HUFootnote">
    <w:name w:val="HU_Footnote"/>
    <w:basedOn w:val="Lbjegyzetszveg"/>
    <w:uiPriority w:val="1"/>
    <w:qFormat/>
    <w:rsid w:val="006D6B68"/>
    <w:rPr>
      <w:color w:val="808080"/>
      <w:sz w:val="18"/>
    </w:rPr>
  </w:style>
  <w:style w:type="paragraph" w:customStyle="1" w:styleId="HUNormalBox">
    <w:name w:val="HU_Normal_Box"/>
    <w:basedOn w:val="Norml"/>
    <w:uiPriority w:val="1"/>
    <w:qFormat/>
    <w:rsid w:val="006D6B68"/>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6D6B68"/>
    <w:pPr>
      <w:keepLines/>
      <w:jc w:val="center"/>
    </w:pPr>
    <w:rPr>
      <w:color w:val="808080"/>
      <w:sz w:val="18"/>
    </w:rPr>
  </w:style>
  <w:style w:type="paragraph" w:customStyle="1" w:styleId="HUNote2Col">
    <w:name w:val="HU_Note_2Col"/>
    <w:basedOn w:val="Norml"/>
    <w:next w:val="Norml"/>
    <w:uiPriority w:val="1"/>
    <w:qFormat/>
    <w:rsid w:val="006D6B68"/>
    <w:pPr>
      <w:keepLines/>
    </w:pPr>
    <w:rPr>
      <w:color w:val="808080"/>
      <w:sz w:val="18"/>
    </w:rPr>
  </w:style>
  <w:style w:type="paragraph" w:customStyle="1" w:styleId="HUNoteBox">
    <w:name w:val="HU_Note_Box"/>
    <w:basedOn w:val="Norml"/>
    <w:next w:val="HUNormalBox"/>
    <w:link w:val="HUNoteBoxChar"/>
    <w:uiPriority w:val="1"/>
    <w:qFormat/>
    <w:rsid w:val="006D6B68"/>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6D6B68"/>
    <w:rPr>
      <w:color w:val="808080"/>
      <w:sz w:val="18"/>
      <w:shd w:val="clear" w:color="auto" w:fill="C6EEFF"/>
    </w:rPr>
  </w:style>
  <w:style w:type="paragraph" w:customStyle="1" w:styleId="HUSectionTitle">
    <w:name w:val="HU_Section_Title"/>
    <w:basedOn w:val="Cmsor2"/>
    <w:next w:val="Norml"/>
    <w:link w:val="HUSectionTitleChar"/>
    <w:uiPriority w:val="1"/>
    <w:rsid w:val="006D6B68"/>
    <w:pPr>
      <w:keepNext/>
    </w:pPr>
  </w:style>
  <w:style w:type="character" w:customStyle="1" w:styleId="HUSectionTitleChar">
    <w:name w:val="HU_Section_Title Char"/>
    <w:basedOn w:val="Cmsor2Char"/>
    <w:link w:val="HUSectionTitle"/>
    <w:uiPriority w:val="1"/>
    <w:rsid w:val="006D6B68"/>
    <w:rPr>
      <w:b/>
      <w:color w:val="0C2148" w:themeColor="text2"/>
      <w:sz w:val="24"/>
      <w:szCs w:val="38"/>
    </w:rPr>
  </w:style>
  <w:style w:type="paragraph" w:customStyle="1" w:styleId="HUSubsectionTitle">
    <w:name w:val="HU_Subsection_Title"/>
    <w:basedOn w:val="Cmsor3"/>
    <w:next w:val="Norml"/>
    <w:link w:val="HUSubsectionTitleChar"/>
    <w:uiPriority w:val="1"/>
    <w:rsid w:val="006D6B68"/>
    <w:pPr>
      <w:keepNext/>
      <w:ind w:left="595" w:hanging="595"/>
    </w:pPr>
  </w:style>
  <w:style w:type="character" w:customStyle="1" w:styleId="HUSubsectionTitleChar">
    <w:name w:val="HU_Subsection_Title Char"/>
    <w:basedOn w:val="Cmsor3Char"/>
    <w:link w:val="HUSubsectionTitle"/>
    <w:uiPriority w:val="1"/>
    <w:rsid w:val="006D6B68"/>
    <w:rPr>
      <w:bCs/>
      <w:color w:val="0C2148" w:themeColor="text2"/>
      <w:szCs w:val="34"/>
    </w:rPr>
  </w:style>
  <w:style w:type="paragraph" w:customStyle="1" w:styleId="Heading1Kiadvny">
    <w:name w:val="Heading 1 Kiadvány"/>
    <w:basedOn w:val="Cmsor1"/>
    <w:qFormat/>
    <w:rsid w:val="006D6B68"/>
    <w:rPr>
      <w:b w:val="0"/>
      <w:caps w:val="0"/>
      <w:sz w:val="52"/>
    </w:rPr>
  </w:style>
  <w:style w:type="paragraph" w:styleId="Vltozat">
    <w:name w:val="Revision"/>
    <w:hidden/>
    <w:uiPriority w:val="99"/>
    <w:semiHidden/>
    <w:rsid w:val="00DC3658"/>
  </w:style>
  <w:style w:type="character" w:styleId="Jegyzethivatkozs">
    <w:name w:val="annotation reference"/>
    <w:basedOn w:val="Bekezdsalapbettpusa"/>
    <w:uiPriority w:val="99"/>
    <w:semiHidden/>
    <w:unhideWhenUsed/>
    <w:rsid w:val="004908B4"/>
    <w:rPr>
      <w:sz w:val="16"/>
      <w:szCs w:val="16"/>
    </w:rPr>
  </w:style>
  <w:style w:type="paragraph" w:styleId="Jegyzetszveg">
    <w:name w:val="annotation text"/>
    <w:basedOn w:val="Norml"/>
    <w:link w:val="JegyzetszvegChar"/>
    <w:uiPriority w:val="99"/>
    <w:unhideWhenUsed/>
    <w:rsid w:val="004908B4"/>
    <w:pPr>
      <w:spacing w:line="240" w:lineRule="auto"/>
    </w:pPr>
  </w:style>
  <w:style w:type="character" w:customStyle="1" w:styleId="JegyzetszvegChar">
    <w:name w:val="Jegyzetszöveg Char"/>
    <w:basedOn w:val="Bekezdsalapbettpusa"/>
    <w:link w:val="Jegyzetszveg"/>
    <w:uiPriority w:val="99"/>
    <w:rsid w:val="004908B4"/>
  </w:style>
  <w:style w:type="paragraph" w:styleId="Megjegyzstrgya">
    <w:name w:val="annotation subject"/>
    <w:basedOn w:val="Jegyzetszveg"/>
    <w:next w:val="Jegyzetszveg"/>
    <w:link w:val="MegjegyzstrgyaChar"/>
    <w:uiPriority w:val="99"/>
    <w:semiHidden/>
    <w:unhideWhenUsed/>
    <w:rsid w:val="004908B4"/>
    <w:rPr>
      <w:b/>
      <w:bCs/>
    </w:rPr>
  </w:style>
  <w:style w:type="character" w:customStyle="1" w:styleId="MegjegyzstrgyaChar">
    <w:name w:val="Megjegyzés tárgya Char"/>
    <w:basedOn w:val="JegyzetszvegChar"/>
    <w:link w:val="Megjegyzstrgya"/>
    <w:uiPriority w:val="99"/>
    <w:semiHidden/>
    <w:rsid w:val="004908B4"/>
    <w:rPr>
      <w:b/>
      <w:bCs/>
    </w:rPr>
  </w:style>
  <w:style w:type="paragraph" w:customStyle="1" w:styleId="Erskiemels2">
    <w:name w:val="Erős kiemelés2"/>
    <w:basedOn w:val="Norml"/>
    <w:uiPriority w:val="5"/>
    <w:qFormat/>
    <w:rsid w:val="00ED3B94"/>
    <w:rPr>
      <w:b/>
      <w:i/>
    </w:rPr>
  </w:style>
  <w:style w:type="character" w:styleId="Lbjegyzet-hivatkozs">
    <w:name w:val="footnote reference"/>
    <w:basedOn w:val="Bekezdsalapbettpusa"/>
    <w:uiPriority w:val="99"/>
    <w:semiHidden/>
    <w:unhideWhenUsed/>
    <w:rsid w:val="002D5F84"/>
    <w:rPr>
      <w:vertAlign w:val="superscript"/>
    </w:rPr>
  </w:style>
  <w:style w:type="paragraph" w:styleId="NormlWeb">
    <w:name w:val="Normal (Web)"/>
    <w:basedOn w:val="Norml"/>
    <w:uiPriority w:val="99"/>
    <w:rsid w:val="009C403D"/>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Erskiemels3">
    <w:name w:val="Erős kiemelés3"/>
    <w:basedOn w:val="Norml"/>
    <w:uiPriority w:val="5"/>
    <w:qFormat/>
    <w:rsid w:val="00401DFF"/>
    <w:rPr>
      <w:b/>
      <w:i/>
    </w:rPr>
  </w:style>
  <w:style w:type="paragraph" w:customStyle="1" w:styleId="Erskiemels4">
    <w:name w:val="Erős kiemelés4"/>
    <w:basedOn w:val="Norml"/>
    <w:uiPriority w:val="5"/>
    <w:qFormat/>
    <w:rsid w:val="00092DBE"/>
    <w:rPr>
      <w:b/>
      <w:i/>
    </w:rPr>
  </w:style>
  <w:style w:type="paragraph" w:customStyle="1" w:styleId="Erskiemels5">
    <w:name w:val="Erős kiemelés5"/>
    <w:basedOn w:val="Norml"/>
    <w:uiPriority w:val="5"/>
    <w:qFormat/>
    <w:rsid w:val="00F72557"/>
    <w:rPr>
      <w:b/>
      <w:i/>
    </w:rPr>
  </w:style>
  <w:style w:type="paragraph" w:customStyle="1" w:styleId="Erskiemels6">
    <w:name w:val="Erős kiemelés6"/>
    <w:basedOn w:val="Norml"/>
    <w:uiPriority w:val="5"/>
    <w:qFormat/>
    <w:rsid w:val="00CB0030"/>
    <w:rPr>
      <w:b/>
      <w:i/>
    </w:rPr>
  </w:style>
  <w:style w:type="paragraph" w:customStyle="1" w:styleId="Erskiemels7">
    <w:name w:val="Erős kiemelés7"/>
    <w:basedOn w:val="Norml"/>
    <w:uiPriority w:val="5"/>
    <w:qFormat/>
    <w:rsid w:val="00CE4818"/>
    <w:rPr>
      <w:b/>
      <w:i/>
    </w:rPr>
  </w:style>
  <w:style w:type="paragraph" w:customStyle="1" w:styleId="Erskiemels8">
    <w:name w:val="Erős kiemelés8"/>
    <w:basedOn w:val="Norml"/>
    <w:uiPriority w:val="5"/>
    <w:qFormat/>
    <w:rsid w:val="00E66B50"/>
    <w:rPr>
      <w:b/>
      <w:i/>
    </w:rPr>
  </w:style>
  <w:style w:type="paragraph" w:customStyle="1" w:styleId="Erskiemels9">
    <w:name w:val="Erős kiemelés9"/>
    <w:basedOn w:val="Norml"/>
    <w:uiPriority w:val="5"/>
    <w:qFormat/>
    <w:rsid w:val="007C251B"/>
    <w:rPr>
      <w:b/>
      <w:i/>
    </w:rPr>
  </w:style>
  <w:style w:type="paragraph" w:customStyle="1" w:styleId="Erskiemels10">
    <w:name w:val="Erős kiemelés10"/>
    <w:basedOn w:val="Norml"/>
    <w:uiPriority w:val="5"/>
    <w:qFormat/>
    <w:rsid w:val="008E1EE6"/>
    <w:rPr>
      <w:b/>
      <w:i/>
    </w:rPr>
  </w:style>
  <w:style w:type="paragraph" w:customStyle="1" w:styleId="Erskiemels11">
    <w:name w:val="Erős kiemelés11"/>
    <w:basedOn w:val="Norml"/>
    <w:uiPriority w:val="5"/>
    <w:qFormat/>
    <w:rsid w:val="00261133"/>
    <w:rPr>
      <w:b/>
      <w:i/>
    </w:rPr>
  </w:style>
  <w:style w:type="paragraph" w:customStyle="1" w:styleId="Erskiemels110">
    <w:name w:val="Erős kiemelés11"/>
    <w:basedOn w:val="Norml"/>
    <w:uiPriority w:val="5"/>
    <w:qFormat/>
    <w:rsid w:val="00261133"/>
    <w:rPr>
      <w:b/>
      <w:i/>
    </w:rPr>
  </w:style>
  <w:style w:type="paragraph" w:customStyle="1" w:styleId="Bekezds">
    <w:name w:val="Bekezdés"/>
    <w:uiPriority w:val="99"/>
    <w:rsid w:val="001C57AD"/>
    <w:pPr>
      <w:widowControl w:val="0"/>
      <w:autoSpaceDE w:val="0"/>
      <w:autoSpaceDN w:val="0"/>
      <w:adjustRightInd w:val="0"/>
      <w:ind w:firstLine="202"/>
    </w:pPr>
    <w:rPr>
      <w:rFonts w:ascii="Times New Roman" w:eastAsiaTheme="minorEastAsia" w:hAnsi="Times New Roman" w:cs="Times New Roman"/>
      <w:sz w:val="24"/>
      <w:szCs w:val="24"/>
    </w:rPr>
  </w:style>
  <w:style w:type="character" w:customStyle="1" w:styleId="cf01">
    <w:name w:val="cf01"/>
    <w:basedOn w:val="Bekezdsalapbettpusa"/>
    <w:rsid w:val="001C57AD"/>
    <w:rPr>
      <w:rFonts w:ascii="Segoe UI" w:hAnsi="Segoe UI" w:cs="Segoe UI" w:hint="default"/>
      <w:sz w:val="18"/>
      <w:szCs w:val="18"/>
    </w:rPr>
  </w:style>
  <w:style w:type="paragraph" w:customStyle="1" w:styleId="Erskiemels12">
    <w:name w:val="Erős kiemelés12"/>
    <w:basedOn w:val="Norml"/>
    <w:uiPriority w:val="5"/>
    <w:qFormat/>
    <w:rsid w:val="00B81D70"/>
    <w:rPr>
      <w:b/>
      <w:i/>
    </w:rPr>
  </w:style>
  <w:style w:type="paragraph" w:customStyle="1" w:styleId="Erskiemels13">
    <w:name w:val="Erős kiemelés13"/>
    <w:basedOn w:val="Norml"/>
    <w:uiPriority w:val="5"/>
    <w:qFormat/>
    <w:rsid w:val="00234190"/>
    <w:rPr>
      <w:b/>
      <w:i/>
    </w:rPr>
  </w:style>
  <w:style w:type="paragraph" w:customStyle="1" w:styleId="Erskiemels14">
    <w:name w:val="Erős kiemelés14"/>
    <w:basedOn w:val="Norml"/>
    <w:uiPriority w:val="5"/>
    <w:qFormat/>
    <w:rsid w:val="000C5EDD"/>
    <w:rPr>
      <w:b/>
      <w:i/>
    </w:rPr>
  </w:style>
  <w:style w:type="paragraph" w:customStyle="1" w:styleId="Erskiemels15">
    <w:name w:val="Erős kiemelés15"/>
    <w:basedOn w:val="Norml"/>
    <w:uiPriority w:val="5"/>
    <w:qFormat/>
    <w:rsid w:val="00572E24"/>
    <w:rPr>
      <w:b/>
      <w:i/>
    </w:rPr>
  </w:style>
  <w:style w:type="paragraph" w:customStyle="1" w:styleId="Erskiemels16">
    <w:name w:val="Erős kiemelés16"/>
    <w:basedOn w:val="Norml"/>
    <w:uiPriority w:val="5"/>
    <w:qFormat/>
    <w:rsid w:val="00127FBC"/>
    <w:rPr>
      <w:b/>
      <w:i/>
    </w:rPr>
  </w:style>
  <w:style w:type="character" w:styleId="Feloldatlanmegemlts">
    <w:name w:val="Unresolved Mention"/>
    <w:basedOn w:val="Bekezdsalapbettpusa"/>
    <w:uiPriority w:val="99"/>
    <w:semiHidden/>
    <w:unhideWhenUsed/>
    <w:rsid w:val="00C15EEE"/>
    <w:rPr>
      <w:color w:val="605E5C"/>
      <w:shd w:val="clear" w:color="auto" w:fill="E1DFDD"/>
    </w:rPr>
  </w:style>
  <w:style w:type="character" w:styleId="HTML-kd">
    <w:name w:val="HTML Code"/>
    <w:basedOn w:val="Bekezdsalapbettpusa"/>
    <w:uiPriority w:val="99"/>
    <w:semiHidden/>
    <w:unhideWhenUsed/>
    <w:rsid w:val="00AD1F84"/>
    <w:rPr>
      <w:rFonts w:ascii="Courier New" w:eastAsia="Times New Roman" w:hAnsi="Courier New" w:cs="Courier New"/>
      <w:sz w:val="20"/>
      <w:szCs w:val="20"/>
    </w:rPr>
  </w:style>
  <w:style w:type="paragraph" w:customStyle="1" w:styleId="Erskiemels17">
    <w:name w:val="Erős kiemelés17"/>
    <w:basedOn w:val="Norml"/>
    <w:uiPriority w:val="5"/>
    <w:qFormat/>
    <w:rsid w:val="006D4D43"/>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748">
      <w:bodyDiv w:val="1"/>
      <w:marLeft w:val="0"/>
      <w:marRight w:val="0"/>
      <w:marTop w:val="0"/>
      <w:marBottom w:val="0"/>
      <w:divBdr>
        <w:top w:val="none" w:sz="0" w:space="0" w:color="auto"/>
        <w:left w:val="none" w:sz="0" w:space="0" w:color="auto"/>
        <w:bottom w:val="none" w:sz="0" w:space="0" w:color="auto"/>
        <w:right w:val="none" w:sz="0" w:space="0" w:color="auto"/>
      </w:divBdr>
      <w:divsChild>
        <w:div w:id="2126532043">
          <w:marLeft w:val="0"/>
          <w:marRight w:val="0"/>
          <w:marTop w:val="0"/>
          <w:marBottom w:val="0"/>
          <w:divBdr>
            <w:top w:val="none" w:sz="0" w:space="0" w:color="auto"/>
            <w:left w:val="none" w:sz="0" w:space="0" w:color="auto"/>
            <w:bottom w:val="none" w:sz="0" w:space="0" w:color="auto"/>
            <w:right w:val="none" w:sz="0" w:space="0" w:color="auto"/>
          </w:divBdr>
        </w:div>
      </w:divsChild>
    </w:div>
    <w:div w:id="29500470">
      <w:bodyDiv w:val="1"/>
      <w:marLeft w:val="0"/>
      <w:marRight w:val="0"/>
      <w:marTop w:val="0"/>
      <w:marBottom w:val="0"/>
      <w:divBdr>
        <w:top w:val="none" w:sz="0" w:space="0" w:color="auto"/>
        <w:left w:val="none" w:sz="0" w:space="0" w:color="auto"/>
        <w:bottom w:val="none" w:sz="0" w:space="0" w:color="auto"/>
        <w:right w:val="none" w:sz="0" w:space="0" w:color="auto"/>
      </w:divBdr>
      <w:divsChild>
        <w:div w:id="1796679219">
          <w:marLeft w:val="0"/>
          <w:marRight w:val="0"/>
          <w:marTop w:val="0"/>
          <w:marBottom w:val="0"/>
          <w:divBdr>
            <w:top w:val="none" w:sz="0" w:space="0" w:color="auto"/>
            <w:left w:val="none" w:sz="0" w:space="0" w:color="auto"/>
            <w:bottom w:val="none" w:sz="0" w:space="0" w:color="auto"/>
            <w:right w:val="none" w:sz="0" w:space="0" w:color="auto"/>
          </w:divBdr>
        </w:div>
      </w:divsChild>
    </w:div>
    <w:div w:id="61409414">
      <w:bodyDiv w:val="1"/>
      <w:marLeft w:val="0"/>
      <w:marRight w:val="0"/>
      <w:marTop w:val="0"/>
      <w:marBottom w:val="0"/>
      <w:divBdr>
        <w:top w:val="none" w:sz="0" w:space="0" w:color="auto"/>
        <w:left w:val="none" w:sz="0" w:space="0" w:color="auto"/>
        <w:bottom w:val="none" w:sz="0" w:space="0" w:color="auto"/>
        <w:right w:val="none" w:sz="0" w:space="0" w:color="auto"/>
      </w:divBdr>
    </w:div>
    <w:div w:id="69739263">
      <w:bodyDiv w:val="1"/>
      <w:marLeft w:val="0"/>
      <w:marRight w:val="0"/>
      <w:marTop w:val="0"/>
      <w:marBottom w:val="0"/>
      <w:divBdr>
        <w:top w:val="none" w:sz="0" w:space="0" w:color="auto"/>
        <w:left w:val="none" w:sz="0" w:space="0" w:color="auto"/>
        <w:bottom w:val="none" w:sz="0" w:space="0" w:color="auto"/>
        <w:right w:val="none" w:sz="0" w:space="0" w:color="auto"/>
      </w:divBdr>
      <w:divsChild>
        <w:div w:id="115174991">
          <w:marLeft w:val="0"/>
          <w:marRight w:val="0"/>
          <w:marTop w:val="0"/>
          <w:marBottom w:val="0"/>
          <w:divBdr>
            <w:top w:val="none" w:sz="0" w:space="0" w:color="auto"/>
            <w:left w:val="none" w:sz="0" w:space="0" w:color="auto"/>
            <w:bottom w:val="none" w:sz="0" w:space="0" w:color="auto"/>
            <w:right w:val="none" w:sz="0" w:space="0" w:color="auto"/>
          </w:divBdr>
          <w:divsChild>
            <w:div w:id="904488624">
              <w:marLeft w:val="0"/>
              <w:marRight w:val="0"/>
              <w:marTop w:val="0"/>
              <w:marBottom w:val="0"/>
              <w:divBdr>
                <w:top w:val="none" w:sz="0" w:space="0" w:color="auto"/>
                <w:left w:val="none" w:sz="0" w:space="0" w:color="auto"/>
                <w:bottom w:val="none" w:sz="0" w:space="0" w:color="auto"/>
                <w:right w:val="none" w:sz="0" w:space="0" w:color="auto"/>
              </w:divBdr>
              <w:divsChild>
                <w:div w:id="424040402">
                  <w:marLeft w:val="0"/>
                  <w:marRight w:val="0"/>
                  <w:marTop w:val="0"/>
                  <w:marBottom w:val="0"/>
                  <w:divBdr>
                    <w:top w:val="none" w:sz="0" w:space="0" w:color="auto"/>
                    <w:left w:val="none" w:sz="0" w:space="0" w:color="auto"/>
                    <w:bottom w:val="none" w:sz="0" w:space="0" w:color="auto"/>
                    <w:right w:val="none" w:sz="0" w:space="0" w:color="auto"/>
                  </w:divBdr>
                  <w:divsChild>
                    <w:div w:id="920791931">
                      <w:marLeft w:val="0"/>
                      <w:marRight w:val="0"/>
                      <w:marTop w:val="0"/>
                      <w:marBottom w:val="0"/>
                      <w:divBdr>
                        <w:top w:val="none" w:sz="0" w:space="0" w:color="auto"/>
                        <w:left w:val="none" w:sz="0" w:space="0" w:color="auto"/>
                        <w:bottom w:val="none" w:sz="0" w:space="0" w:color="auto"/>
                        <w:right w:val="none" w:sz="0" w:space="0" w:color="auto"/>
                      </w:divBdr>
                      <w:divsChild>
                        <w:div w:id="2016298370">
                          <w:marLeft w:val="0"/>
                          <w:marRight w:val="0"/>
                          <w:marTop w:val="0"/>
                          <w:marBottom w:val="0"/>
                          <w:divBdr>
                            <w:top w:val="none" w:sz="0" w:space="0" w:color="auto"/>
                            <w:left w:val="none" w:sz="0" w:space="0" w:color="auto"/>
                            <w:bottom w:val="none" w:sz="0" w:space="0" w:color="auto"/>
                            <w:right w:val="none" w:sz="0" w:space="0" w:color="auto"/>
                          </w:divBdr>
                          <w:divsChild>
                            <w:div w:id="1497958450">
                              <w:marLeft w:val="0"/>
                              <w:marRight w:val="0"/>
                              <w:marTop w:val="0"/>
                              <w:marBottom w:val="0"/>
                              <w:divBdr>
                                <w:top w:val="none" w:sz="0" w:space="0" w:color="auto"/>
                                <w:left w:val="none" w:sz="0" w:space="0" w:color="auto"/>
                                <w:bottom w:val="none" w:sz="0" w:space="0" w:color="auto"/>
                                <w:right w:val="none" w:sz="0" w:space="0" w:color="auto"/>
                              </w:divBdr>
                              <w:divsChild>
                                <w:div w:id="1906573431">
                                  <w:marLeft w:val="0"/>
                                  <w:marRight w:val="0"/>
                                  <w:marTop w:val="0"/>
                                  <w:marBottom w:val="0"/>
                                  <w:divBdr>
                                    <w:top w:val="none" w:sz="0" w:space="0" w:color="auto"/>
                                    <w:left w:val="none" w:sz="0" w:space="0" w:color="auto"/>
                                    <w:bottom w:val="none" w:sz="0" w:space="0" w:color="auto"/>
                                    <w:right w:val="none" w:sz="0" w:space="0" w:color="auto"/>
                                  </w:divBdr>
                                  <w:divsChild>
                                    <w:div w:id="170025807">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290667997">
                                              <w:marLeft w:val="0"/>
                                              <w:marRight w:val="0"/>
                                              <w:marTop w:val="0"/>
                                              <w:marBottom w:val="0"/>
                                              <w:divBdr>
                                                <w:top w:val="none" w:sz="0" w:space="0" w:color="auto"/>
                                                <w:left w:val="none" w:sz="0" w:space="0" w:color="auto"/>
                                                <w:bottom w:val="none" w:sz="0" w:space="0" w:color="auto"/>
                                                <w:right w:val="none" w:sz="0" w:space="0" w:color="auto"/>
                                              </w:divBdr>
                                              <w:divsChild>
                                                <w:div w:id="1975335000">
                                                  <w:marLeft w:val="0"/>
                                                  <w:marRight w:val="0"/>
                                                  <w:marTop w:val="0"/>
                                                  <w:marBottom w:val="0"/>
                                                  <w:divBdr>
                                                    <w:top w:val="none" w:sz="0" w:space="0" w:color="auto"/>
                                                    <w:left w:val="none" w:sz="0" w:space="0" w:color="auto"/>
                                                    <w:bottom w:val="none" w:sz="0" w:space="0" w:color="auto"/>
                                                    <w:right w:val="none" w:sz="0" w:space="0" w:color="auto"/>
                                                  </w:divBdr>
                                                  <w:divsChild>
                                                    <w:div w:id="16979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999477">
      <w:bodyDiv w:val="1"/>
      <w:marLeft w:val="0"/>
      <w:marRight w:val="0"/>
      <w:marTop w:val="0"/>
      <w:marBottom w:val="0"/>
      <w:divBdr>
        <w:top w:val="none" w:sz="0" w:space="0" w:color="auto"/>
        <w:left w:val="none" w:sz="0" w:space="0" w:color="auto"/>
        <w:bottom w:val="none" w:sz="0" w:space="0" w:color="auto"/>
        <w:right w:val="none" w:sz="0" w:space="0" w:color="auto"/>
      </w:divBdr>
    </w:div>
    <w:div w:id="106050298">
      <w:bodyDiv w:val="1"/>
      <w:marLeft w:val="0"/>
      <w:marRight w:val="0"/>
      <w:marTop w:val="0"/>
      <w:marBottom w:val="0"/>
      <w:divBdr>
        <w:top w:val="none" w:sz="0" w:space="0" w:color="auto"/>
        <w:left w:val="none" w:sz="0" w:space="0" w:color="auto"/>
        <w:bottom w:val="none" w:sz="0" w:space="0" w:color="auto"/>
        <w:right w:val="none" w:sz="0" w:space="0" w:color="auto"/>
      </w:divBdr>
      <w:divsChild>
        <w:div w:id="360862963">
          <w:marLeft w:val="0"/>
          <w:marRight w:val="0"/>
          <w:marTop w:val="0"/>
          <w:marBottom w:val="0"/>
          <w:divBdr>
            <w:top w:val="none" w:sz="0" w:space="0" w:color="auto"/>
            <w:left w:val="none" w:sz="0" w:space="0" w:color="auto"/>
            <w:bottom w:val="none" w:sz="0" w:space="0" w:color="auto"/>
            <w:right w:val="none" w:sz="0" w:space="0" w:color="auto"/>
          </w:divBdr>
          <w:divsChild>
            <w:div w:id="318310551">
              <w:marLeft w:val="0"/>
              <w:marRight w:val="0"/>
              <w:marTop w:val="0"/>
              <w:marBottom w:val="0"/>
              <w:divBdr>
                <w:top w:val="none" w:sz="0" w:space="0" w:color="auto"/>
                <w:left w:val="none" w:sz="0" w:space="0" w:color="auto"/>
                <w:bottom w:val="none" w:sz="0" w:space="0" w:color="auto"/>
                <w:right w:val="none" w:sz="0" w:space="0" w:color="auto"/>
              </w:divBdr>
              <w:divsChild>
                <w:div w:id="1861776236">
                  <w:marLeft w:val="0"/>
                  <w:marRight w:val="0"/>
                  <w:marTop w:val="0"/>
                  <w:marBottom w:val="0"/>
                  <w:divBdr>
                    <w:top w:val="none" w:sz="0" w:space="0" w:color="auto"/>
                    <w:left w:val="none" w:sz="0" w:space="0" w:color="auto"/>
                    <w:bottom w:val="none" w:sz="0" w:space="0" w:color="auto"/>
                    <w:right w:val="none" w:sz="0" w:space="0" w:color="auto"/>
                  </w:divBdr>
                  <w:divsChild>
                    <w:div w:id="1986739934">
                      <w:marLeft w:val="0"/>
                      <w:marRight w:val="0"/>
                      <w:marTop w:val="0"/>
                      <w:marBottom w:val="0"/>
                      <w:divBdr>
                        <w:top w:val="none" w:sz="0" w:space="0" w:color="auto"/>
                        <w:left w:val="none" w:sz="0" w:space="0" w:color="auto"/>
                        <w:bottom w:val="none" w:sz="0" w:space="0" w:color="auto"/>
                        <w:right w:val="none" w:sz="0" w:space="0" w:color="auto"/>
                      </w:divBdr>
                      <w:divsChild>
                        <w:div w:id="208029310">
                          <w:marLeft w:val="0"/>
                          <w:marRight w:val="0"/>
                          <w:marTop w:val="0"/>
                          <w:marBottom w:val="0"/>
                          <w:divBdr>
                            <w:top w:val="none" w:sz="0" w:space="0" w:color="auto"/>
                            <w:left w:val="none" w:sz="0" w:space="0" w:color="auto"/>
                            <w:bottom w:val="none" w:sz="0" w:space="0" w:color="auto"/>
                            <w:right w:val="none" w:sz="0" w:space="0" w:color="auto"/>
                          </w:divBdr>
                          <w:divsChild>
                            <w:div w:id="298540793">
                              <w:marLeft w:val="0"/>
                              <w:marRight w:val="0"/>
                              <w:marTop w:val="0"/>
                              <w:marBottom w:val="0"/>
                              <w:divBdr>
                                <w:top w:val="none" w:sz="0" w:space="0" w:color="auto"/>
                                <w:left w:val="none" w:sz="0" w:space="0" w:color="auto"/>
                                <w:bottom w:val="none" w:sz="0" w:space="0" w:color="auto"/>
                                <w:right w:val="none" w:sz="0" w:space="0" w:color="auto"/>
                              </w:divBdr>
                              <w:divsChild>
                                <w:div w:id="1662736981">
                                  <w:marLeft w:val="0"/>
                                  <w:marRight w:val="0"/>
                                  <w:marTop w:val="0"/>
                                  <w:marBottom w:val="0"/>
                                  <w:divBdr>
                                    <w:top w:val="none" w:sz="0" w:space="0" w:color="auto"/>
                                    <w:left w:val="none" w:sz="0" w:space="0" w:color="auto"/>
                                    <w:bottom w:val="none" w:sz="0" w:space="0" w:color="auto"/>
                                    <w:right w:val="none" w:sz="0" w:space="0" w:color="auto"/>
                                  </w:divBdr>
                                  <w:divsChild>
                                    <w:div w:id="765082260">
                                      <w:marLeft w:val="0"/>
                                      <w:marRight w:val="0"/>
                                      <w:marTop w:val="0"/>
                                      <w:marBottom w:val="0"/>
                                      <w:divBdr>
                                        <w:top w:val="none" w:sz="0" w:space="0" w:color="auto"/>
                                        <w:left w:val="none" w:sz="0" w:space="0" w:color="auto"/>
                                        <w:bottom w:val="none" w:sz="0" w:space="0" w:color="auto"/>
                                        <w:right w:val="none" w:sz="0" w:space="0" w:color="auto"/>
                                      </w:divBdr>
                                      <w:divsChild>
                                        <w:div w:id="106244357">
                                          <w:marLeft w:val="0"/>
                                          <w:marRight w:val="0"/>
                                          <w:marTop w:val="0"/>
                                          <w:marBottom w:val="0"/>
                                          <w:divBdr>
                                            <w:top w:val="none" w:sz="0" w:space="0" w:color="auto"/>
                                            <w:left w:val="none" w:sz="0" w:space="0" w:color="auto"/>
                                            <w:bottom w:val="none" w:sz="0" w:space="0" w:color="auto"/>
                                            <w:right w:val="none" w:sz="0" w:space="0" w:color="auto"/>
                                          </w:divBdr>
                                          <w:divsChild>
                                            <w:div w:id="1335914217">
                                              <w:marLeft w:val="0"/>
                                              <w:marRight w:val="0"/>
                                              <w:marTop w:val="0"/>
                                              <w:marBottom w:val="0"/>
                                              <w:divBdr>
                                                <w:top w:val="none" w:sz="0" w:space="0" w:color="auto"/>
                                                <w:left w:val="none" w:sz="0" w:space="0" w:color="auto"/>
                                                <w:bottom w:val="none" w:sz="0" w:space="0" w:color="auto"/>
                                                <w:right w:val="none" w:sz="0" w:space="0" w:color="auto"/>
                                              </w:divBdr>
                                              <w:divsChild>
                                                <w:div w:id="1839693428">
                                                  <w:marLeft w:val="0"/>
                                                  <w:marRight w:val="0"/>
                                                  <w:marTop w:val="0"/>
                                                  <w:marBottom w:val="0"/>
                                                  <w:divBdr>
                                                    <w:top w:val="none" w:sz="0" w:space="0" w:color="auto"/>
                                                    <w:left w:val="none" w:sz="0" w:space="0" w:color="auto"/>
                                                    <w:bottom w:val="none" w:sz="0" w:space="0" w:color="auto"/>
                                                    <w:right w:val="none" w:sz="0" w:space="0" w:color="auto"/>
                                                  </w:divBdr>
                                                  <w:divsChild>
                                                    <w:div w:id="18692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20767">
      <w:bodyDiv w:val="1"/>
      <w:marLeft w:val="0"/>
      <w:marRight w:val="0"/>
      <w:marTop w:val="0"/>
      <w:marBottom w:val="0"/>
      <w:divBdr>
        <w:top w:val="none" w:sz="0" w:space="0" w:color="auto"/>
        <w:left w:val="none" w:sz="0" w:space="0" w:color="auto"/>
        <w:bottom w:val="none" w:sz="0" w:space="0" w:color="auto"/>
        <w:right w:val="none" w:sz="0" w:space="0" w:color="auto"/>
      </w:divBdr>
    </w:div>
    <w:div w:id="14413306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68">
          <w:marLeft w:val="0"/>
          <w:marRight w:val="0"/>
          <w:marTop w:val="0"/>
          <w:marBottom w:val="0"/>
          <w:divBdr>
            <w:top w:val="none" w:sz="0" w:space="0" w:color="auto"/>
            <w:left w:val="none" w:sz="0" w:space="0" w:color="auto"/>
            <w:bottom w:val="none" w:sz="0" w:space="0" w:color="auto"/>
            <w:right w:val="none" w:sz="0" w:space="0" w:color="auto"/>
          </w:divBdr>
        </w:div>
      </w:divsChild>
    </w:div>
    <w:div w:id="156654078">
      <w:bodyDiv w:val="1"/>
      <w:marLeft w:val="0"/>
      <w:marRight w:val="0"/>
      <w:marTop w:val="0"/>
      <w:marBottom w:val="0"/>
      <w:divBdr>
        <w:top w:val="none" w:sz="0" w:space="0" w:color="auto"/>
        <w:left w:val="none" w:sz="0" w:space="0" w:color="auto"/>
        <w:bottom w:val="none" w:sz="0" w:space="0" w:color="auto"/>
        <w:right w:val="none" w:sz="0" w:space="0" w:color="auto"/>
      </w:divBdr>
      <w:divsChild>
        <w:div w:id="265430766">
          <w:marLeft w:val="0"/>
          <w:marRight w:val="0"/>
          <w:marTop w:val="0"/>
          <w:marBottom w:val="0"/>
          <w:divBdr>
            <w:top w:val="none" w:sz="0" w:space="0" w:color="auto"/>
            <w:left w:val="none" w:sz="0" w:space="0" w:color="auto"/>
            <w:bottom w:val="none" w:sz="0" w:space="0" w:color="auto"/>
            <w:right w:val="none" w:sz="0" w:space="0" w:color="auto"/>
          </w:divBdr>
        </w:div>
      </w:divsChild>
    </w:div>
    <w:div w:id="221790702">
      <w:bodyDiv w:val="1"/>
      <w:marLeft w:val="0"/>
      <w:marRight w:val="0"/>
      <w:marTop w:val="0"/>
      <w:marBottom w:val="0"/>
      <w:divBdr>
        <w:top w:val="none" w:sz="0" w:space="0" w:color="auto"/>
        <w:left w:val="none" w:sz="0" w:space="0" w:color="auto"/>
        <w:bottom w:val="none" w:sz="0" w:space="0" w:color="auto"/>
        <w:right w:val="none" w:sz="0" w:space="0" w:color="auto"/>
      </w:divBdr>
      <w:divsChild>
        <w:div w:id="1458067986">
          <w:marLeft w:val="0"/>
          <w:marRight w:val="0"/>
          <w:marTop w:val="0"/>
          <w:marBottom w:val="0"/>
          <w:divBdr>
            <w:top w:val="none" w:sz="0" w:space="0" w:color="auto"/>
            <w:left w:val="none" w:sz="0" w:space="0" w:color="auto"/>
            <w:bottom w:val="none" w:sz="0" w:space="0" w:color="auto"/>
            <w:right w:val="none" w:sz="0" w:space="0" w:color="auto"/>
          </w:divBdr>
        </w:div>
      </w:divsChild>
    </w:div>
    <w:div w:id="235288056">
      <w:bodyDiv w:val="1"/>
      <w:marLeft w:val="0"/>
      <w:marRight w:val="0"/>
      <w:marTop w:val="0"/>
      <w:marBottom w:val="0"/>
      <w:divBdr>
        <w:top w:val="none" w:sz="0" w:space="0" w:color="auto"/>
        <w:left w:val="none" w:sz="0" w:space="0" w:color="auto"/>
        <w:bottom w:val="none" w:sz="0" w:space="0" w:color="auto"/>
        <w:right w:val="none" w:sz="0" w:space="0" w:color="auto"/>
      </w:divBdr>
      <w:divsChild>
        <w:div w:id="878474192">
          <w:marLeft w:val="0"/>
          <w:marRight w:val="0"/>
          <w:marTop w:val="0"/>
          <w:marBottom w:val="0"/>
          <w:divBdr>
            <w:top w:val="none" w:sz="0" w:space="0" w:color="auto"/>
            <w:left w:val="none" w:sz="0" w:space="0" w:color="auto"/>
            <w:bottom w:val="none" w:sz="0" w:space="0" w:color="auto"/>
            <w:right w:val="none" w:sz="0" w:space="0" w:color="auto"/>
          </w:divBdr>
        </w:div>
      </w:divsChild>
    </w:div>
    <w:div w:id="248083097">
      <w:bodyDiv w:val="1"/>
      <w:marLeft w:val="0"/>
      <w:marRight w:val="0"/>
      <w:marTop w:val="0"/>
      <w:marBottom w:val="0"/>
      <w:divBdr>
        <w:top w:val="none" w:sz="0" w:space="0" w:color="auto"/>
        <w:left w:val="none" w:sz="0" w:space="0" w:color="auto"/>
        <w:bottom w:val="none" w:sz="0" w:space="0" w:color="auto"/>
        <w:right w:val="none" w:sz="0" w:space="0" w:color="auto"/>
      </w:divBdr>
      <w:divsChild>
        <w:div w:id="772821305">
          <w:marLeft w:val="0"/>
          <w:marRight w:val="0"/>
          <w:marTop w:val="0"/>
          <w:marBottom w:val="0"/>
          <w:divBdr>
            <w:top w:val="none" w:sz="0" w:space="0" w:color="auto"/>
            <w:left w:val="none" w:sz="0" w:space="0" w:color="auto"/>
            <w:bottom w:val="none" w:sz="0" w:space="0" w:color="auto"/>
            <w:right w:val="none" w:sz="0" w:space="0" w:color="auto"/>
          </w:divBdr>
        </w:div>
      </w:divsChild>
    </w:div>
    <w:div w:id="265315498">
      <w:bodyDiv w:val="1"/>
      <w:marLeft w:val="0"/>
      <w:marRight w:val="0"/>
      <w:marTop w:val="0"/>
      <w:marBottom w:val="0"/>
      <w:divBdr>
        <w:top w:val="none" w:sz="0" w:space="0" w:color="auto"/>
        <w:left w:val="none" w:sz="0" w:space="0" w:color="auto"/>
        <w:bottom w:val="none" w:sz="0" w:space="0" w:color="auto"/>
        <w:right w:val="none" w:sz="0" w:space="0" w:color="auto"/>
      </w:divBdr>
      <w:divsChild>
        <w:div w:id="1745950842">
          <w:marLeft w:val="0"/>
          <w:marRight w:val="0"/>
          <w:marTop w:val="0"/>
          <w:marBottom w:val="0"/>
          <w:divBdr>
            <w:top w:val="none" w:sz="0" w:space="0" w:color="auto"/>
            <w:left w:val="none" w:sz="0" w:space="0" w:color="auto"/>
            <w:bottom w:val="none" w:sz="0" w:space="0" w:color="auto"/>
            <w:right w:val="none" w:sz="0" w:space="0" w:color="auto"/>
          </w:divBdr>
        </w:div>
      </w:divsChild>
    </w:div>
    <w:div w:id="313993686">
      <w:bodyDiv w:val="1"/>
      <w:marLeft w:val="0"/>
      <w:marRight w:val="0"/>
      <w:marTop w:val="0"/>
      <w:marBottom w:val="0"/>
      <w:divBdr>
        <w:top w:val="none" w:sz="0" w:space="0" w:color="auto"/>
        <w:left w:val="none" w:sz="0" w:space="0" w:color="auto"/>
        <w:bottom w:val="none" w:sz="0" w:space="0" w:color="auto"/>
        <w:right w:val="none" w:sz="0" w:space="0" w:color="auto"/>
      </w:divBdr>
      <w:divsChild>
        <w:div w:id="1307273577">
          <w:marLeft w:val="0"/>
          <w:marRight w:val="0"/>
          <w:marTop w:val="0"/>
          <w:marBottom w:val="0"/>
          <w:divBdr>
            <w:top w:val="none" w:sz="0" w:space="0" w:color="auto"/>
            <w:left w:val="none" w:sz="0" w:space="0" w:color="auto"/>
            <w:bottom w:val="none" w:sz="0" w:space="0" w:color="auto"/>
            <w:right w:val="none" w:sz="0" w:space="0" w:color="auto"/>
          </w:divBdr>
        </w:div>
      </w:divsChild>
    </w:div>
    <w:div w:id="321277810">
      <w:bodyDiv w:val="1"/>
      <w:marLeft w:val="0"/>
      <w:marRight w:val="0"/>
      <w:marTop w:val="0"/>
      <w:marBottom w:val="0"/>
      <w:divBdr>
        <w:top w:val="none" w:sz="0" w:space="0" w:color="auto"/>
        <w:left w:val="none" w:sz="0" w:space="0" w:color="auto"/>
        <w:bottom w:val="none" w:sz="0" w:space="0" w:color="auto"/>
        <w:right w:val="none" w:sz="0" w:space="0" w:color="auto"/>
      </w:divBdr>
      <w:divsChild>
        <w:div w:id="775558162">
          <w:marLeft w:val="0"/>
          <w:marRight w:val="0"/>
          <w:marTop w:val="0"/>
          <w:marBottom w:val="0"/>
          <w:divBdr>
            <w:top w:val="none" w:sz="0" w:space="0" w:color="auto"/>
            <w:left w:val="none" w:sz="0" w:space="0" w:color="auto"/>
            <w:bottom w:val="none" w:sz="0" w:space="0" w:color="auto"/>
            <w:right w:val="none" w:sz="0" w:space="0" w:color="auto"/>
          </w:divBdr>
        </w:div>
      </w:divsChild>
    </w:div>
    <w:div w:id="339742810">
      <w:bodyDiv w:val="1"/>
      <w:marLeft w:val="0"/>
      <w:marRight w:val="0"/>
      <w:marTop w:val="0"/>
      <w:marBottom w:val="0"/>
      <w:divBdr>
        <w:top w:val="none" w:sz="0" w:space="0" w:color="auto"/>
        <w:left w:val="none" w:sz="0" w:space="0" w:color="auto"/>
        <w:bottom w:val="none" w:sz="0" w:space="0" w:color="auto"/>
        <w:right w:val="none" w:sz="0" w:space="0" w:color="auto"/>
      </w:divBdr>
      <w:divsChild>
        <w:div w:id="66461158">
          <w:marLeft w:val="0"/>
          <w:marRight w:val="0"/>
          <w:marTop w:val="0"/>
          <w:marBottom w:val="0"/>
          <w:divBdr>
            <w:top w:val="none" w:sz="0" w:space="0" w:color="auto"/>
            <w:left w:val="none" w:sz="0" w:space="0" w:color="auto"/>
            <w:bottom w:val="none" w:sz="0" w:space="0" w:color="auto"/>
            <w:right w:val="none" w:sz="0" w:space="0" w:color="auto"/>
          </w:divBdr>
        </w:div>
      </w:divsChild>
    </w:div>
    <w:div w:id="346372338">
      <w:bodyDiv w:val="1"/>
      <w:marLeft w:val="0"/>
      <w:marRight w:val="0"/>
      <w:marTop w:val="0"/>
      <w:marBottom w:val="0"/>
      <w:divBdr>
        <w:top w:val="none" w:sz="0" w:space="0" w:color="auto"/>
        <w:left w:val="none" w:sz="0" w:space="0" w:color="auto"/>
        <w:bottom w:val="none" w:sz="0" w:space="0" w:color="auto"/>
        <w:right w:val="none" w:sz="0" w:space="0" w:color="auto"/>
      </w:divBdr>
      <w:divsChild>
        <w:div w:id="945504868">
          <w:marLeft w:val="0"/>
          <w:marRight w:val="0"/>
          <w:marTop w:val="0"/>
          <w:marBottom w:val="0"/>
          <w:divBdr>
            <w:top w:val="none" w:sz="0" w:space="0" w:color="auto"/>
            <w:left w:val="none" w:sz="0" w:space="0" w:color="auto"/>
            <w:bottom w:val="none" w:sz="0" w:space="0" w:color="auto"/>
            <w:right w:val="none" w:sz="0" w:space="0" w:color="auto"/>
          </w:divBdr>
        </w:div>
      </w:divsChild>
    </w:div>
    <w:div w:id="395784152">
      <w:bodyDiv w:val="1"/>
      <w:marLeft w:val="0"/>
      <w:marRight w:val="0"/>
      <w:marTop w:val="0"/>
      <w:marBottom w:val="0"/>
      <w:divBdr>
        <w:top w:val="none" w:sz="0" w:space="0" w:color="auto"/>
        <w:left w:val="none" w:sz="0" w:space="0" w:color="auto"/>
        <w:bottom w:val="none" w:sz="0" w:space="0" w:color="auto"/>
        <w:right w:val="none" w:sz="0" w:space="0" w:color="auto"/>
      </w:divBdr>
      <w:divsChild>
        <w:div w:id="1487360106">
          <w:marLeft w:val="0"/>
          <w:marRight w:val="0"/>
          <w:marTop w:val="0"/>
          <w:marBottom w:val="0"/>
          <w:divBdr>
            <w:top w:val="none" w:sz="0" w:space="0" w:color="auto"/>
            <w:left w:val="none" w:sz="0" w:space="0" w:color="auto"/>
            <w:bottom w:val="none" w:sz="0" w:space="0" w:color="auto"/>
            <w:right w:val="none" w:sz="0" w:space="0" w:color="auto"/>
          </w:divBdr>
        </w:div>
      </w:divsChild>
    </w:div>
    <w:div w:id="398750398">
      <w:bodyDiv w:val="1"/>
      <w:marLeft w:val="0"/>
      <w:marRight w:val="0"/>
      <w:marTop w:val="0"/>
      <w:marBottom w:val="0"/>
      <w:divBdr>
        <w:top w:val="none" w:sz="0" w:space="0" w:color="auto"/>
        <w:left w:val="none" w:sz="0" w:space="0" w:color="auto"/>
        <w:bottom w:val="none" w:sz="0" w:space="0" w:color="auto"/>
        <w:right w:val="none" w:sz="0" w:space="0" w:color="auto"/>
      </w:divBdr>
    </w:div>
    <w:div w:id="413597757">
      <w:bodyDiv w:val="1"/>
      <w:marLeft w:val="0"/>
      <w:marRight w:val="0"/>
      <w:marTop w:val="0"/>
      <w:marBottom w:val="0"/>
      <w:divBdr>
        <w:top w:val="none" w:sz="0" w:space="0" w:color="auto"/>
        <w:left w:val="none" w:sz="0" w:space="0" w:color="auto"/>
        <w:bottom w:val="none" w:sz="0" w:space="0" w:color="auto"/>
        <w:right w:val="none" w:sz="0" w:space="0" w:color="auto"/>
      </w:divBdr>
      <w:divsChild>
        <w:div w:id="178813381">
          <w:marLeft w:val="0"/>
          <w:marRight w:val="0"/>
          <w:marTop w:val="0"/>
          <w:marBottom w:val="0"/>
          <w:divBdr>
            <w:top w:val="none" w:sz="0" w:space="0" w:color="auto"/>
            <w:left w:val="none" w:sz="0" w:space="0" w:color="auto"/>
            <w:bottom w:val="none" w:sz="0" w:space="0" w:color="auto"/>
            <w:right w:val="none" w:sz="0" w:space="0" w:color="auto"/>
          </w:divBdr>
        </w:div>
      </w:divsChild>
    </w:div>
    <w:div w:id="464616016">
      <w:bodyDiv w:val="1"/>
      <w:marLeft w:val="0"/>
      <w:marRight w:val="0"/>
      <w:marTop w:val="0"/>
      <w:marBottom w:val="0"/>
      <w:divBdr>
        <w:top w:val="none" w:sz="0" w:space="0" w:color="auto"/>
        <w:left w:val="none" w:sz="0" w:space="0" w:color="auto"/>
        <w:bottom w:val="none" w:sz="0" w:space="0" w:color="auto"/>
        <w:right w:val="none" w:sz="0" w:space="0" w:color="auto"/>
      </w:divBdr>
      <w:divsChild>
        <w:div w:id="787168378">
          <w:marLeft w:val="0"/>
          <w:marRight w:val="0"/>
          <w:marTop w:val="0"/>
          <w:marBottom w:val="0"/>
          <w:divBdr>
            <w:top w:val="none" w:sz="0" w:space="0" w:color="auto"/>
            <w:left w:val="none" w:sz="0" w:space="0" w:color="auto"/>
            <w:bottom w:val="none" w:sz="0" w:space="0" w:color="auto"/>
            <w:right w:val="none" w:sz="0" w:space="0" w:color="auto"/>
          </w:divBdr>
        </w:div>
      </w:divsChild>
    </w:div>
    <w:div w:id="498472829">
      <w:bodyDiv w:val="1"/>
      <w:marLeft w:val="0"/>
      <w:marRight w:val="0"/>
      <w:marTop w:val="0"/>
      <w:marBottom w:val="0"/>
      <w:divBdr>
        <w:top w:val="none" w:sz="0" w:space="0" w:color="auto"/>
        <w:left w:val="none" w:sz="0" w:space="0" w:color="auto"/>
        <w:bottom w:val="none" w:sz="0" w:space="0" w:color="auto"/>
        <w:right w:val="none" w:sz="0" w:space="0" w:color="auto"/>
      </w:divBdr>
      <w:divsChild>
        <w:div w:id="1313289647">
          <w:marLeft w:val="0"/>
          <w:marRight w:val="0"/>
          <w:marTop w:val="0"/>
          <w:marBottom w:val="0"/>
          <w:divBdr>
            <w:top w:val="none" w:sz="0" w:space="0" w:color="auto"/>
            <w:left w:val="none" w:sz="0" w:space="0" w:color="auto"/>
            <w:bottom w:val="none" w:sz="0" w:space="0" w:color="auto"/>
            <w:right w:val="none" w:sz="0" w:space="0" w:color="auto"/>
          </w:divBdr>
        </w:div>
      </w:divsChild>
    </w:div>
    <w:div w:id="501160947">
      <w:bodyDiv w:val="1"/>
      <w:marLeft w:val="0"/>
      <w:marRight w:val="0"/>
      <w:marTop w:val="0"/>
      <w:marBottom w:val="0"/>
      <w:divBdr>
        <w:top w:val="none" w:sz="0" w:space="0" w:color="auto"/>
        <w:left w:val="none" w:sz="0" w:space="0" w:color="auto"/>
        <w:bottom w:val="none" w:sz="0" w:space="0" w:color="auto"/>
        <w:right w:val="none" w:sz="0" w:space="0" w:color="auto"/>
      </w:divBdr>
      <w:divsChild>
        <w:div w:id="218132171">
          <w:marLeft w:val="0"/>
          <w:marRight w:val="0"/>
          <w:marTop w:val="0"/>
          <w:marBottom w:val="0"/>
          <w:divBdr>
            <w:top w:val="none" w:sz="0" w:space="0" w:color="auto"/>
            <w:left w:val="none" w:sz="0" w:space="0" w:color="auto"/>
            <w:bottom w:val="none" w:sz="0" w:space="0" w:color="auto"/>
            <w:right w:val="none" w:sz="0" w:space="0" w:color="auto"/>
          </w:divBdr>
        </w:div>
      </w:divsChild>
    </w:div>
    <w:div w:id="520825072">
      <w:bodyDiv w:val="1"/>
      <w:marLeft w:val="0"/>
      <w:marRight w:val="0"/>
      <w:marTop w:val="0"/>
      <w:marBottom w:val="0"/>
      <w:divBdr>
        <w:top w:val="none" w:sz="0" w:space="0" w:color="auto"/>
        <w:left w:val="none" w:sz="0" w:space="0" w:color="auto"/>
        <w:bottom w:val="none" w:sz="0" w:space="0" w:color="auto"/>
        <w:right w:val="none" w:sz="0" w:space="0" w:color="auto"/>
      </w:divBdr>
      <w:divsChild>
        <w:div w:id="435834619">
          <w:marLeft w:val="0"/>
          <w:marRight w:val="0"/>
          <w:marTop w:val="0"/>
          <w:marBottom w:val="0"/>
          <w:divBdr>
            <w:top w:val="none" w:sz="0" w:space="0" w:color="auto"/>
            <w:left w:val="none" w:sz="0" w:space="0" w:color="auto"/>
            <w:bottom w:val="none" w:sz="0" w:space="0" w:color="auto"/>
            <w:right w:val="none" w:sz="0" w:space="0" w:color="auto"/>
          </w:divBdr>
        </w:div>
      </w:divsChild>
    </w:div>
    <w:div w:id="528840050">
      <w:bodyDiv w:val="1"/>
      <w:marLeft w:val="0"/>
      <w:marRight w:val="0"/>
      <w:marTop w:val="0"/>
      <w:marBottom w:val="0"/>
      <w:divBdr>
        <w:top w:val="none" w:sz="0" w:space="0" w:color="auto"/>
        <w:left w:val="none" w:sz="0" w:space="0" w:color="auto"/>
        <w:bottom w:val="none" w:sz="0" w:space="0" w:color="auto"/>
        <w:right w:val="none" w:sz="0" w:space="0" w:color="auto"/>
      </w:divBdr>
      <w:divsChild>
        <w:div w:id="275908209">
          <w:marLeft w:val="0"/>
          <w:marRight w:val="0"/>
          <w:marTop w:val="0"/>
          <w:marBottom w:val="0"/>
          <w:divBdr>
            <w:top w:val="none" w:sz="0" w:space="0" w:color="auto"/>
            <w:left w:val="none" w:sz="0" w:space="0" w:color="auto"/>
            <w:bottom w:val="none" w:sz="0" w:space="0" w:color="auto"/>
            <w:right w:val="none" w:sz="0" w:space="0" w:color="auto"/>
          </w:divBdr>
        </w:div>
      </w:divsChild>
    </w:div>
    <w:div w:id="535586610">
      <w:bodyDiv w:val="1"/>
      <w:marLeft w:val="0"/>
      <w:marRight w:val="0"/>
      <w:marTop w:val="0"/>
      <w:marBottom w:val="0"/>
      <w:divBdr>
        <w:top w:val="none" w:sz="0" w:space="0" w:color="auto"/>
        <w:left w:val="none" w:sz="0" w:space="0" w:color="auto"/>
        <w:bottom w:val="none" w:sz="0" w:space="0" w:color="auto"/>
        <w:right w:val="none" w:sz="0" w:space="0" w:color="auto"/>
      </w:divBdr>
      <w:divsChild>
        <w:div w:id="1838030247">
          <w:marLeft w:val="0"/>
          <w:marRight w:val="0"/>
          <w:marTop w:val="0"/>
          <w:marBottom w:val="0"/>
          <w:divBdr>
            <w:top w:val="none" w:sz="0" w:space="0" w:color="auto"/>
            <w:left w:val="none" w:sz="0" w:space="0" w:color="auto"/>
            <w:bottom w:val="none" w:sz="0" w:space="0" w:color="auto"/>
            <w:right w:val="none" w:sz="0" w:space="0" w:color="auto"/>
          </w:divBdr>
        </w:div>
      </w:divsChild>
    </w:div>
    <w:div w:id="580676204">
      <w:bodyDiv w:val="1"/>
      <w:marLeft w:val="0"/>
      <w:marRight w:val="0"/>
      <w:marTop w:val="0"/>
      <w:marBottom w:val="0"/>
      <w:divBdr>
        <w:top w:val="none" w:sz="0" w:space="0" w:color="auto"/>
        <w:left w:val="none" w:sz="0" w:space="0" w:color="auto"/>
        <w:bottom w:val="none" w:sz="0" w:space="0" w:color="auto"/>
        <w:right w:val="none" w:sz="0" w:space="0" w:color="auto"/>
      </w:divBdr>
      <w:divsChild>
        <w:div w:id="1640915348">
          <w:marLeft w:val="0"/>
          <w:marRight w:val="0"/>
          <w:marTop w:val="0"/>
          <w:marBottom w:val="0"/>
          <w:divBdr>
            <w:top w:val="none" w:sz="0" w:space="0" w:color="auto"/>
            <w:left w:val="none" w:sz="0" w:space="0" w:color="auto"/>
            <w:bottom w:val="none" w:sz="0" w:space="0" w:color="auto"/>
            <w:right w:val="none" w:sz="0" w:space="0" w:color="auto"/>
          </w:divBdr>
        </w:div>
      </w:divsChild>
    </w:div>
    <w:div w:id="607277807">
      <w:bodyDiv w:val="1"/>
      <w:marLeft w:val="0"/>
      <w:marRight w:val="0"/>
      <w:marTop w:val="0"/>
      <w:marBottom w:val="0"/>
      <w:divBdr>
        <w:top w:val="none" w:sz="0" w:space="0" w:color="auto"/>
        <w:left w:val="none" w:sz="0" w:space="0" w:color="auto"/>
        <w:bottom w:val="none" w:sz="0" w:space="0" w:color="auto"/>
        <w:right w:val="none" w:sz="0" w:space="0" w:color="auto"/>
      </w:divBdr>
      <w:divsChild>
        <w:div w:id="149754502">
          <w:marLeft w:val="0"/>
          <w:marRight w:val="0"/>
          <w:marTop w:val="0"/>
          <w:marBottom w:val="0"/>
          <w:divBdr>
            <w:top w:val="none" w:sz="0" w:space="0" w:color="auto"/>
            <w:left w:val="none" w:sz="0" w:space="0" w:color="auto"/>
            <w:bottom w:val="none" w:sz="0" w:space="0" w:color="auto"/>
            <w:right w:val="none" w:sz="0" w:space="0" w:color="auto"/>
          </w:divBdr>
        </w:div>
      </w:divsChild>
    </w:div>
    <w:div w:id="607811988">
      <w:bodyDiv w:val="1"/>
      <w:marLeft w:val="0"/>
      <w:marRight w:val="0"/>
      <w:marTop w:val="0"/>
      <w:marBottom w:val="0"/>
      <w:divBdr>
        <w:top w:val="none" w:sz="0" w:space="0" w:color="auto"/>
        <w:left w:val="none" w:sz="0" w:space="0" w:color="auto"/>
        <w:bottom w:val="none" w:sz="0" w:space="0" w:color="auto"/>
        <w:right w:val="none" w:sz="0" w:space="0" w:color="auto"/>
      </w:divBdr>
      <w:divsChild>
        <w:div w:id="25714946">
          <w:marLeft w:val="0"/>
          <w:marRight w:val="0"/>
          <w:marTop w:val="0"/>
          <w:marBottom w:val="0"/>
          <w:divBdr>
            <w:top w:val="none" w:sz="0" w:space="0" w:color="auto"/>
            <w:left w:val="none" w:sz="0" w:space="0" w:color="auto"/>
            <w:bottom w:val="none" w:sz="0" w:space="0" w:color="auto"/>
            <w:right w:val="none" w:sz="0" w:space="0" w:color="auto"/>
          </w:divBdr>
        </w:div>
      </w:divsChild>
    </w:div>
    <w:div w:id="623316912">
      <w:bodyDiv w:val="1"/>
      <w:marLeft w:val="0"/>
      <w:marRight w:val="0"/>
      <w:marTop w:val="0"/>
      <w:marBottom w:val="0"/>
      <w:divBdr>
        <w:top w:val="none" w:sz="0" w:space="0" w:color="auto"/>
        <w:left w:val="none" w:sz="0" w:space="0" w:color="auto"/>
        <w:bottom w:val="none" w:sz="0" w:space="0" w:color="auto"/>
        <w:right w:val="none" w:sz="0" w:space="0" w:color="auto"/>
      </w:divBdr>
      <w:divsChild>
        <w:div w:id="540090184">
          <w:marLeft w:val="0"/>
          <w:marRight w:val="0"/>
          <w:marTop w:val="0"/>
          <w:marBottom w:val="0"/>
          <w:divBdr>
            <w:top w:val="none" w:sz="0" w:space="0" w:color="auto"/>
            <w:left w:val="none" w:sz="0" w:space="0" w:color="auto"/>
            <w:bottom w:val="none" w:sz="0" w:space="0" w:color="auto"/>
            <w:right w:val="none" w:sz="0" w:space="0" w:color="auto"/>
          </w:divBdr>
        </w:div>
      </w:divsChild>
    </w:div>
    <w:div w:id="630132831">
      <w:bodyDiv w:val="1"/>
      <w:marLeft w:val="0"/>
      <w:marRight w:val="0"/>
      <w:marTop w:val="0"/>
      <w:marBottom w:val="0"/>
      <w:divBdr>
        <w:top w:val="none" w:sz="0" w:space="0" w:color="auto"/>
        <w:left w:val="none" w:sz="0" w:space="0" w:color="auto"/>
        <w:bottom w:val="none" w:sz="0" w:space="0" w:color="auto"/>
        <w:right w:val="none" w:sz="0" w:space="0" w:color="auto"/>
      </w:divBdr>
    </w:div>
    <w:div w:id="643319885">
      <w:bodyDiv w:val="1"/>
      <w:marLeft w:val="0"/>
      <w:marRight w:val="0"/>
      <w:marTop w:val="0"/>
      <w:marBottom w:val="0"/>
      <w:divBdr>
        <w:top w:val="none" w:sz="0" w:space="0" w:color="auto"/>
        <w:left w:val="none" w:sz="0" w:space="0" w:color="auto"/>
        <w:bottom w:val="none" w:sz="0" w:space="0" w:color="auto"/>
        <w:right w:val="none" w:sz="0" w:space="0" w:color="auto"/>
      </w:divBdr>
      <w:divsChild>
        <w:div w:id="1993174788">
          <w:marLeft w:val="0"/>
          <w:marRight w:val="0"/>
          <w:marTop w:val="0"/>
          <w:marBottom w:val="0"/>
          <w:divBdr>
            <w:top w:val="none" w:sz="0" w:space="0" w:color="auto"/>
            <w:left w:val="none" w:sz="0" w:space="0" w:color="auto"/>
            <w:bottom w:val="none" w:sz="0" w:space="0" w:color="auto"/>
            <w:right w:val="none" w:sz="0" w:space="0" w:color="auto"/>
          </w:divBdr>
        </w:div>
      </w:divsChild>
    </w:div>
    <w:div w:id="645663370">
      <w:bodyDiv w:val="1"/>
      <w:marLeft w:val="0"/>
      <w:marRight w:val="0"/>
      <w:marTop w:val="0"/>
      <w:marBottom w:val="0"/>
      <w:divBdr>
        <w:top w:val="none" w:sz="0" w:space="0" w:color="auto"/>
        <w:left w:val="none" w:sz="0" w:space="0" w:color="auto"/>
        <w:bottom w:val="none" w:sz="0" w:space="0" w:color="auto"/>
        <w:right w:val="none" w:sz="0" w:space="0" w:color="auto"/>
      </w:divBdr>
    </w:div>
    <w:div w:id="651983984">
      <w:bodyDiv w:val="1"/>
      <w:marLeft w:val="0"/>
      <w:marRight w:val="0"/>
      <w:marTop w:val="0"/>
      <w:marBottom w:val="0"/>
      <w:divBdr>
        <w:top w:val="none" w:sz="0" w:space="0" w:color="auto"/>
        <w:left w:val="none" w:sz="0" w:space="0" w:color="auto"/>
        <w:bottom w:val="none" w:sz="0" w:space="0" w:color="auto"/>
        <w:right w:val="none" w:sz="0" w:space="0" w:color="auto"/>
      </w:divBdr>
      <w:divsChild>
        <w:div w:id="849175446">
          <w:marLeft w:val="0"/>
          <w:marRight w:val="0"/>
          <w:marTop w:val="0"/>
          <w:marBottom w:val="0"/>
          <w:divBdr>
            <w:top w:val="none" w:sz="0" w:space="0" w:color="auto"/>
            <w:left w:val="none" w:sz="0" w:space="0" w:color="auto"/>
            <w:bottom w:val="none" w:sz="0" w:space="0" w:color="auto"/>
            <w:right w:val="none" w:sz="0" w:space="0" w:color="auto"/>
          </w:divBdr>
        </w:div>
      </w:divsChild>
    </w:div>
    <w:div w:id="666402271">
      <w:bodyDiv w:val="1"/>
      <w:marLeft w:val="0"/>
      <w:marRight w:val="0"/>
      <w:marTop w:val="0"/>
      <w:marBottom w:val="0"/>
      <w:divBdr>
        <w:top w:val="none" w:sz="0" w:space="0" w:color="auto"/>
        <w:left w:val="none" w:sz="0" w:space="0" w:color="auto"/>
        <w:bottom w:val="none" w:sz="0" w:space="0" w:color="auto"/>
        <w:right w:val="none" w:sz="0" w:space="0" w:color="auto"/>
      </w:divBdr>
      <w:divsChild>
        <w:div w:id="809833775">
          <w:marLeft w:val="0"/>
          <w:marRight w:val="0"/>
          <w:marTop w:val="0"/>
          <w:marBottom w:val="0"/>
          <w:divBdr>
            <w:top w:val="none" w:sz="0" w:space="0" w:color="auto"/>
            <w:left w:val="none" w:sz="0" w:space="0" w:color="auto"/>
            <w:bottom w:val="none" w:sz="0" w:space="0" w:color="auto"/>
            <w:right w:val="none" w:sz="0" w:space="0" w:color="auto"/>
          </w:divBdr>
        </w:div>
      </w:divsChild>
    </w:div>
    <w:div w:id="690842432">
      <w:bodyDiv w:val="1"/>
      <w:marLeft w:val="0"/>
      <w:marRight w:val="0"/>
      <w:marTop w:val="0"/>
      <w:marBottom w:val="0"/>
      <w:divBdr>
        <w:top w:val="none" w:sz="0" w:space="0" w:color="auto"/>
        <w:left w:val="none" w:sz="0" w:space="0" w:color="auto"/>
        <w:bottom w:val="none" w:sz="0" w:space="0" w:color="auto"/>
        <w:right w:val="none" w:sz="0" w:space="0" w:color="auto"/>
      </w:divBdr>
      <w:divsChild>
        <w:div w:id="1648708968">
          <w:marLeft w:val="0"/>
          <w:marRight w:val="0"/>
          <w:marTop w:val="0"/>
          <w:marBottom w:val="0"/>
          <w:divBdr>
            <w:top w:val="none" w:sz="0" w:space="0" w:color="auto"/>
            <w:left w:val="none" w:sz="0" w:space="0" w:color="auto"/>
            <w:bottom w:val="none" w:sz="0" w:space="0" w:color="auto"/>
            <w:right w:val="none" w:sz="0" w:space="0" w:color="auto"/>
          </w:divBdr>
        </w:div>
      </w:divsChild>
    </w:div>
    <w:div w:id="703359909">
      <w:bodyDiv w:val="1"/>
      <w:marLeft w:val="0"/>
      <w:marRight w:val="0"/>
      <w:marTop w:val="0"/>
      <w:marBottom w:val="0"/>
      <w:divBdr>
        <w:top w:val="none" w:sz="0" w:space="0" w:color="auto"/>
        <w:left w:val="none" w:sz="0" w:space="0" w:color="auto"/>
        <w:bottom w:val="none" w:sz="0" w:space="0" w:color="auto"/>
        <w:right w:val="none" w:sz="0" w:space="0" w:color="auto"/>
      </w:divBdr>
    </w:div>
    <w:div w:id="708724499">
      <w:bodyDiv w:val="1"/>
      <w:marLeft w:val="0"/>
      <w:marRight w:val="0"/>
      <w:marTop w:val="0"/>
      <w:marBottom w:val="0"/>
      <w:divBdr>
        <w:top w:val="none" w:sz="0" w:space="0" w:color="auto"/>
        <w:left w:val="none" w:sz="0" w:space="0" w:color="auto"/>
        <w:bottom w:val="none" w:sz="0" w:space="0" w:color="auto"/>
        <w:right w:val="none" w:sz="0" w:space="0" w:color="auto"/>
      </w:divBdr>
      <w:divsChild>
        <w:div w:id="390273671">
          <w:marLeft w:val="0"/>
          <w:marRight w:val="0"/>
          <w:marTop w:val="0"/>
          <w:marBottom w:val="0"/>
          <w:divBdr>
            <w:top w:val="none" w:sz="0" w:space="0" w:color="auto"/>
            <w:left w:val="none" w:sz="0" w:space="0" w:color="auto"/>
            <w:bottom w:val="none" w:sz="0" w:space="0" w:color="auto"/>
            <w:right w:val="none" w:sz="0" w:space="0" w:color="auto"/>
          </w:divBdr>
        </w:div>
      </w:divsChild>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736827596">
      <w:bodyDiv w:val="1"/>
      <w:marLeft w:val="0"/>
      <w:marRight w:val="0"/>
      <w:marTop w:val="0"/>
      <w:marBottom w:val="0"/>
      <w:divBdr>
        <w:top w:val="none" w:sz="0" w:space="0" w:color="auto"/>
        <w:left w:val="none" w:sz="0" w:space="0" w:color="auto"/>
        <w:bottom w:val="none" w:sz="0" w:space="0" w:color="auto"/>
        <w:right w:val="none" w:sz="0" w:space="0" w:color="auto"/>
      </w:divBdr>
      <w:divsChild>
        <w:div w:id="1024092816">
          <w:marLeft w:val="0"/>
          <w:marRight w:val="0"/>
          <w:marTop w:val="0"/>
          <w:marBottom w:val="0"/>
          <w:divBdr>
            <w:top w:val="none" w:sz="0" w:space="0" w:color="auto"/>
            <w:left w:val="none" w:sz="0" w:space="0" w:color="auto"/>
            <w:bottom w:val="none" w:sz="0" w:space="0" w:color="auto"/>
            <w:right w:val="none" w:sz="0" w:space="0" w:color="auto"/>
          </w:divBdr>
        </w:div>
      </w:divsChild>
    </w:div>
    <w:div w:id="818499505">
      <w:bodyDiv w:val="1"/>
      <w:marLeft w:val="0"/>
      <w:marRight w:val="0"/>
      <w:marTop w:val="0"/>
      <w:marBottom w:val="0"/>
      <w:divBdr>
        <w:top w:val="none" w:sz="0" w:space="0" w:color="auto"/>
        <w:left w:val="none" w:sz="0" w:space="0" w:color="auto"/>
        <w:bottom w:val="none" w:sz="0" w:space="0" w:color="auto"/>
        <w:right w:val="none" w:sz="0" w:space="0" w:color="auto"/>
      </w:divBdr>
    </w:div>
    <w:div w:id="824126659">
      <w:bodyDiv w:val="1"/>
      <w:marLeft w:val="0"/>
      <w:marRight w:val="0"/>
      <w:marTop w:val="0"/>
      <w:marBottom w:val="0"/>
      <w:divBdr>
        <w:top w:val="none" w:sz="0" w:space="0" w:color="auto"/>
        <w:left w:val="none" w:sz="0" w:space="0" w:color="auto"/>
        <w:bottom w:val="none" w:sz="0" w:space="0" w:color="auto"/>
        <w:right w:val="none" w:sz="0" w:space="0" w:color="auto"/>
      </w:divBdr>
    </w:div>
    <w:div w:id="878661098">
      <w:bodyDiv w:val="1"/>
      <w:marLeft w:val="0"/>
      <w:marRight w:val="0"/>
      <w:marTop w:val="0"/>
      <w:marBottom w:val="0"/>
      <w:divBdr>
        <w:top w:val="none" w:sz="0" w:space="0" w:color="auto"/>
        <w:left w:val="none" w:sz="0" w:space="0" w:color="auto"/>
        <w:bottom w:val="none" w:sz="0" w:space="0" w:color="auto"/>
        <w:right w:val="none" w:sz="0" w:space="0" w:color="auto"/>
      </w:divBdr>
    </w:div>
    <w:div w:id="907421602">
      <w:bodyDiv w:val="1"/>
      <w:marLeft w:val="0"/>
      <w:marRight w:val="0"/>
      <w:marTop w:val="0"/>
      <w:marBottom w:val="0"/>
      <w:divBdr>
        <w:top w:val="none" w:sz="0" w:space="0" w:color="auto"/>
        <w:left w:val="none" w:sz="0" w:space="0" w:color="auto"/>
        <w:bottom w:val="none" w:sz="0" w:space="0" w:color="auto"/>
        <w:right w:val="none" w:sz="0" w:space="0" w:color="auto"/>
      </w:divBdr>
      <w:divsChild>
        <w:div w:id="1254046245">
          <w:marLeft w:val="0"/>
          <w:marRight w:val="0"/>
          <w:marTop w:val="0"/>
          <w:marBottom w:val="0"/>
          <w:divBdr>
            <w:top w:val="none" w:sz="0" w:space="0" w:color="auto"/>
            <w:left w:val="none" w:sz="0" w:space="0" w:color="auto"/>
            <w:bottom w:val="none" w:sz="0" w:space="0" w:color="auto"/>
            <w:right w:val="none" w:sz="0" w:space="0" w:color="auto"/>
          </w:divBdr>
        </w:div>
      </w:divsChild>
    </w:div>
    <w:div w:id="916667532">
      <w:bodyDiv w:val="1"/>
      <w:marLeft w:val="0"/>
      <w:marRight w:val="0"/>
      <w:marTop w:val="0"/>
      <w:marBottom w:val="0"/>
      <w:divBdr>
        <w:top w:val="none" w:sz="0" w:space="0" w:color="auto"/>
        <w:left w:val="none" w:sz="0" w:space="0" w:color="auto"/>
        <w:bottom w:val="none" w:sz="0" w:space="0" w:color="auto"/>
        <w:right w:val="none" w:sz="0" w:space="0" w:color="auto"/>
      </w:divBdr>
      <w:divsChild>
        <w:div w:id="68037813">
          <w:marLeft w:val="0"/>
          <w:marRight w:val="0"/>
          <w:marTop w:val="0"/>
          <w:marBottom w:val="0"/>
          <w:divBdr>
            <w:top w:val="none" w:sz="0" w:space="0" w:color="auto"/>
            <w:left w:val="none" w:sz="0" w:space="0" w:color="auto"/>
            <w:bottom w:val="none" w:sz="0" w:space="0" w:color="auto"/>
            <w:right w:val="none" w:sz="0" w:space="0" w:color="auto"/>
          </w:divBdr>
        </w:div>
      </w:divsChild>
    </w:div>
    <w:div w:id="952981246">
      <w:bodyDiv w:val="1"/>
      <w:marLeft w:val="0"/>
      <w:marRight w:val="0"/>
      <w:marTop w:val="0"/>
      <w:marBottom w:val="0"/>
      <w:divBdr>
        <w:top w:val="none" w:sz="0" w:space="0" w:color="auto"/>
        <w:left w:val="none" w:sz="0" w:space="0" w:color="auto"/>
        <w:bottom w:val="none" w:sz="0" w:space="0" w:color="auto"/>
        <w:right w:val="none" w:sz="0" w:space="0" w:color="auto"/>
      </w:divBdr>
      <w:divsChild>
        <w:div w:id="288515904">
          <w:marLeft w:val="0"/>
          <w:marRight w:val="0"/>
          <w:marTop w:val="0"/>
          <w:marBottom w:val="0"/>
          <w:divBdr>
            <w:top w:val="none" w:sz="0" w:space="0" w:color="auto"/>
            <w:left w:val="none" w:sz="0" w:space="0" w:color="auto"/>
            <w:bottom w:val="none" w:sz="0" w:space="0" w:color="auto"/>
            <w:right w:val="none" w:sz="0" w:space="0" w:color="auto"/>
          </w:divBdr>
        </w:div>
      </w:divsChild>
    </w:div>
    <w:div w:id="953177440">
      <w:bodyDiv w:val="1"/>
      <w:marLeft w:val="0"/>
      <w:marRight w:val="0"/>
      <w:marTop w:val="0"/>
      <w:marBottom w:val="0"/>
      <w:divBdr>
        <w:top w:val="none" w:sz="0" w:space="0" w:color="auto"/>
        <w:left w:val="none" w:sz="0" w:space="0" w:color="auto"/>
        <w:bottom w:val="none" w:sz="0" w:space="0" w:color="auto"/>
        <w:right w:val="none" w:sz="0" w:space="0" w:color="auto"/>
      </w:divBdr>
      <w:divsChild>
        <w:div w:id="874852824">
          <w:marLeft w:val="0"/>
          <w:marRight w:val="0"/>
          <w:marTop w:val="0"/>
          <w:marBottom w:val="0"/>
          <w:divBdr>
            <w:top w:val="none" w:sz="0" w:space="0" w:color="auto"/>
            <w:left w:val="none" w:sz="0" w:space="0" w:color="auto"/>
            <w:bottom w:val="none" w:sz="0" w:space="0" w:color="auto"/>
            <w:right w:val="none" w:sz="0" w:space="0" w:color="auto"/>
          </w:divBdr>
        </w:div>
      </w:divsChild>
    </w:div>
    <w:div w:id="985009501">
      <w:bodyDiv w:val="1"/>
      <w:marLeft w:val="0"/>
      <w:marRight w:val="0"/>
      <w:marTop w:val="0"/>
      <w:marBottom w:val="0"/>
      <w:divBdr>
        <w:top w:val="none" w:sz="0" w:space="0" w:color="auto"/>
        <w:left w:val="none" w:sz="0" w:space="0" w:color="auto"/>
        <w:bottom w:val="none" w:sz="0" w:space="0" w:color="auto"/>
        <w:right w:val="none" w:sz="0" w:space="0" w:color="auto"/>
      </w:divBdr>
      <w:divsChild>
        <w:div w:id="1069155069">
          <w:marLeft w:val="0"/>
          <w:marRight w:val="0"/>
          <w:marTop w:val="0"/>
          <w:marBottom w:val="0"/>
          <w:divBdr>
            <w:top w:val="none" w:sz="0" w:space="0" w:color="auto"/>
            <w:left w:val="none" w:sz="0" w:space="0" w:color="auto"/>
            <w:bottom w:val="none" w:sz="0" w:space="0" w:color="auto"/>
            <w:right w:val="none" w:sz="0" w:space="0" w:color="auto"/>
          </w:divBdr>
        </w:div>
      </w:divsChild>
    </w:div>
    <w:div w:id="986013248">
      <w:bodyDiv w:val="1"/>
      <w:marLeft w:val="0"/>
      <w:marRight w:val="0"/>
      <w:marTop w:val="0"/>
      <w:marBottom w:val="0"/>
      <w:divBdr>
        <w:top w:val="none" w:sz="0" w:space="0" w:color="auto"/>
        <w:left w:val="none" w:sz="0" w:space="0" w:color="auto"/>
        <w:bottom w:val="none" w:sz="0" w:space="0" w:color="auto"/>
        <w:right w:val="none" w:sz="0" w:space="0" w:color="auto"/>
      </w:divBdr>
      <w:divsChild>
        <w:div w:id="545216356">
          <w:marLeft w:val="0"/>
          <w:marRight w:val="0"/>
          <w:marTop w:val="0"/>
          <w:marBottom w:val="0"/>
          <w:divBdr>
            <w:top w:val="none" w:sz="0" w:space="0" w:color="auto"/>
            <w:left w:val="none" w:sz="0" w:space="0" w:color="auto"/>
            <w:bottom w:val="none" w:sz="0" w:space="0" w:color="auto"/>
            <w:right w:val="none" w:sz="0" w:space="0" w:color="auto"/>
          </w:divBdr>
        </w:div>
      </w:divsChild>
    </w:div>
    <w:div w:id="1004479883">
      <w:bodyDiv w:val="1"/>
      <w:marLeft w:val="0"/>
      <w:marRight w:val="0"/>
      <w:marTop w:val="0"/>
      <w:marBottom w:val="0"/>
      <w:divBdr>
        <w:top w:val="none" w:sz="0" w:space="0" w:color="auto"/>
        <w:left w:val="none" w:sz="0" w:space="0" w:color="auto"/>
        <w:bottom w:val="none" w:sz="0" w:space="0" w:color="auto"/>
        <w:right w:val="none" w:sz="0" w:space="0" w:color="auto"/>
      </w:divBdr>
      <w:divsChild>
        <w:div w:id="198661738">
          <w:marLeft w:val="0"/>
          <w:marRight w:val="0"/>
          <w:marTop w:val="0"/>
          <w:marBottom w:val="0"/>
          <w:divBdr>
            <w:top w:val="none" w:sz="0" w:space="0" w:color="auto"/>
            <w:left w:val="none" w:sz="0" w:space="0" w:color="auto"/>
            <w:bottom w:val="none" w:sz="0" w:space="0" w:color="auto"/>
            <w:right w:val="none" w:sz="0" w:space="0" w:color="auto"/>
          </w:divBdr>
        </w:div>
      </w:divsChild>
    </w:div>
    <w:div w:id="1018120804">
      <w:bodyDiv w:val="1"/>
      <w:marLeft w:val="0"/>
      <w:marRight w:val="0"/>
      <w:marTop w:val="0"/>
      <w:marBottom w:val="0"/>
      <w:divBdr>
        <w:top w:val="none" w:sz="0" w:space="0" w:color="auto"/>
        <w:left w:val="none" w:sz="0" w:space="0" w:color="auto"/>
        <w:bottom w:val="none" w:sz="0" w:space="0" w:color="auto"/>
        <w:right w:val="none" w:sz="0" w:space="0" w:color="auto"/>
      </w:divBdr>
      <w:divsChild>
        <w:div w:id="2132506964">
          <w:marLeft w:val="0"/>
          <w:marRight w:val="0"/>
          <w:marTop w:val="0"/>
          <w:marBottom w:val="0"/>
          <w:divBdr>
            <w:top w:val="none" w:sz="0" w:space="0" w:color="auto"/>
            <w:left w:val="none" w:sz="0" w:space="0" w:color="auto"/>
            <w:bottom w:val="none" w:sz="0" w:space="0" w:color="auto"/>
            <w:right w:val="none" w:sz="0" w:space="0" w:color="auto"/>
          </w:divBdr>
        </w:div>
      </w:divsChild>
    </w:div>
    <w:div w:id="1029065562">
      <w:bodyDiv w:val="1"/>
      <w:marLeft w:val="0"/>
      <w:marRight w:val="0"/>
      <w:marTop w:val="0"/>
      <w:marBottom w:val="0"/>
      <w:divBdr>
        <w:top w:val="none" w:sz="0" w:space="0" w:color="auto"/>
        <w:left w:val="none" w:sz="0" w:space="0" w:color="auto"/>
        <w:bottom w:val="none" w:sz="0" w:space="0" w:color="auto"/>
        <w:right w:val="none" w:sz="0" w:space="0" w:color="auto"/>
      </w:divBdr>
    </w:div>
    <w:div w:id="1030842039">
      <w:bodyDiv w:val="1"/>
      <w:marLeft w:val="0"/>
      <w:marRight w:val="0"/>
      <w:marTop w:val="0"/>
      <w:marBottom w:val="0"/>
      <w:divBdr>
        <w:top w:val="none" w:sz="0" w:space="0" w:color="auto"/>
        <w:left w:val="none" w:sz="0" w:space="0" w:color="auto"/>
        <w:bottom w:val="none" w:sz="0" w:space="0" w:color="auto"/>
        <w:right w:val="none" w:sz="0" w:space="0" w:color="auto"/>
      </w:divBdr>
      <w:divsChild>
        <w:div w:id="697006474">
          <w:marLeft w:val="0"/>
          <w:marRight w:val="0"/>
          <w:marTop w:val="0"/>
          <w:marBottom w:val="0"/>
          <w:divBdr>
            <w:top w:val="none" w:sz="0" w:space="0" w:color="auto"/>
            <w:left w:val="none" w:sz="0" w:space="0" w:color="auto"/>
            <w:bottom w:val="none" w:sz="0" w:space="0" w:color="auto"/>
            <w:right w:val="none" w:sz="0" w:space="0" w:color="auto"/>
          </w:divBdr>
        </w:div>
      </w:divsChild>
    </w:div>
    <w:div w:id="1078870872">
      <w:bodyDiv w:val="1"/>
      <w:marLeft w:val="0"/>
      <w:marRight w:val="0"/>
      <w:marTop w:val="0"/>
      <w:marBottom w:val="0"/>
      <w:divBdr>
        <w:top w:val="none" w:sz="0" w:space="0" w:color="auto"/>
        <w:left w:val="none" w:sz="0" w:space="0" w:color="auto"/>
        <w:bottom w:val="none" w:sz="0" w:space="0" w:color="auto"/>
        <w:right w:val="none" w:sz="0" w:space="0" w:color="auto"/>
      </w:divBdr>
      <w:divsChild>
        <w:div w:id="1625309293">
          <w:marLeft w:val="0"/>
          <w:marRight w:val="0"/>
          <w:marTop w:val="0"/>
          <w:marBottom w:val="0"/>
          <w:divBdr>
            <w:top w:val="none" w:sz="0" w:space="0" w:color="auto"/>
            <w:left w:val="none" w:sz="0" w:space="0" w:color="auto"/>
            <w:bottom w:val="none" w:sz="0" w:space="0" w:color="auto"/>
            <w:right w:val="none" w:sz="0" w:space="0" w:color="auto"/>
          </w:divBdr>
        </w:div>
      </w:divsChild>
    </w:div>
    <w:div w:id="1090851256">
      <w:bodyDiv w:val="1"/>
      <w:marLeft w:val="0"/>
      <w:marRight w:val="0"/>
      <w:marTop w:val="0"/>
      <w:marBottom w:val="0"/>
      <w:divBdr>
        <w:top w:val="none" w:sz="0" w:space="0" w:color="auto"/>
        <w:left w:val="none" w:sz="0" w:space="0" w:color="auto"/>
        <w:bottom w:val="none" w:sz="0" w:space="0" w:color="auto"/>
        <w:right w:val="none" w:sz="0" w:space="0" w:color="auto"/>
      </w:divBdr>
      <w:divsChild>
        <w:div w:id="945190325">
          <w:marLeft w:val="0"/>
          <w:marRight w:val="0"/>
          <w:marTop w:val="0"/>
          <w:marBottom w:val="0"/>
          <w:divBdr>
            <w:top w:val="none" w:sz="0" w:space="0" w:color="auto"/>
            <w:left w:val="none" w:sz="0" w:space="0" w:color="auto"/>
            <w:bottom w:val="none" w:sz="0" w:space="0" w:color="auto"/>
            <w:right w:val="none" w:sz="0" w:space="0" w:color="auto"/>
          </w:divBdr>
        </w:div>
      </w:divsChild>
    </w:div>
    <w:div w:id="1119683550">
      <w:bodyDiv w:val="1"/>
      <w:marLeft w:val="0"/>
      <w:marRight w:val="0"/>
      <w:marTop w:val="0"/>
      <w:marBottom w:val="0"/>
      <w:divBdr>
        <w:top w:val="none" w:sz="0" w:space="0" w:color="auto"/>
        <w:left w:val="none" w:sz="0" w:space="0" w:color="auto"/>
        <w:bottom w:val="none" w:sz="0" w:space="0" w:color="auto"/>
        <w:right w:val="none" w:sz="0" w:space="0" w:color="auto"/>
      </w:divBdr>
      <w:divsChild>
        <w:div w:id="831331055">
          <w:marLeft w:val="0"/>
          <w:marRight w:val="0"/>
          <w:marTop w:val="0"/>
          <w:marBottom w:val="0"/>
          <w:divBdr>
            <w:top w:val="none" w:sz="0" w:space="0" w:color="auto"/>
            <w:left w:val="none" w:sz="0" w:space="0" w:color="auto"/>
            <w:bottom w:val="none" w:sz="0" w:space="0" w:color="auto"/>
            <w:right w:val="none" w:sz="0" w:space="0" w:color="auto"/>
          </w:divBdr>
        </w:div>
      </w:divsChild>
    </w:div>
    <w:div w:id="1122454770">
      <w:bodyDiv w:val="1"/>
      <w:marLeft w:val="0"/>
      <w:marRight w:val="0"/>
      <w:marTop w:val="0"/>
      <w:marBottom w:val="0"/>
      <w:divBdr>
        <w:top w:val="none" w:sz="0" w:space="0" w:color="auto"/>
        <w:left w:val="none" w:sz="0" w:space="0" w:color="auto"/>
        <w:bottom w:val="none" w:sz="0" w:space="0" w:color="auto"/>
        <w:right w:val="none" w:sz="0" w:space="0" w:color="auto"/>
      </w:divBdr>
    </w:div>
    <w:div w:id="1139033636">
      <w:bodyDiv w:val="1"/>
      <w:marLeft w:val="0"/>
      <w:marRight w:val="0"/>
      <w:marTop w:val="0"/>
      <w:marBottom w:val="0"/>
      <w:divBdr>
        <w:top w:val="none" w:sz="0" w:space="0" w:color="auto"/>
        <w:left w:val="none" w:sz="0" w:space="0" w:color="auto"/>
        <w:bottom w:val="none" w:sz="0" w:space="0" w:color="auto"/>
        <w:right w:val="none" w:sz="0" w:space="0" w:color="auto"/>
      </w:divBdr>
      <w:divsChild>
        <w:div w:id="1055935175">
          <w:marLeft w:val="0"/>
          <w:marRight w:val="0"/>
          <w:marTop w:val="0"/>
          <w:marBottom w:val="0"/>
          <w:divBdr>
            <w:top w:val="none" w:sz="0" w:space="0" w:color="auto"/>
            <w:left w:val="none" w:sz="0" w:space="0" w:color="auto"/>
            <w:bottom w:val="none" w:sz="0" w:space="0" w:color="auto"/>
            <w:right w:val="none" w:sz="0" w:space="0" w:color="auto"/>
          </w:divBdr>
        </w:div>
      </w:divsChild>
    </w:div>
    <w:div w:id="1179659849">
      <w:bodyDiv w:val="1"/>
      <w:marLeft w:val="0"/>
      <w:marRight w:val="0"/>
      <w:marTop w:val="0"/>
      <w:marBottom w:val="0"/>
      <w:divBdr>
        <w:top w:val="none" w:sz="0" w:space="0" w:color="auto"/>
        <w:left w:val="none" w:sz="0" w:space="0" w:color="auto"/>
        <w:bottom w:val="none" w:sz="0" w:space="0" w:color="auto"/>
        <w:right w:val="none" w:sz="0" w:space="0" w:color="auto"/>
      </w:divBdr>
      <w:divsChild>
        <w:div w:id="842663998">
          <w:marLeft w:val="0"/>
          <w:marRight w:val="0"/>
          <w:marTop w:val="0"/>
          <w:marBottom w:val="0"/>
          <w:divBdr>
            <w:top w:val="none" w:sz="0" w:space="0" w:color="auto"/>
            <w:left w:val="none" w:sz="0" w:space="0" w:color="auto"/>
            <w:bottom w:val="none" w:sz="0" w:space="0" w:color="auto"/>
            <w:right w:val="none" w:sz="0" w:space="0" w:color="auto"/>
          </w:divBdr>
        </w:div>
      </w:divsChild>
    </w:div>
    <w:div w:id="1206680825">
      <w:bodyDiv w:val="1"/>
      <w:marLeft w:val="0"/>
      <w:marRight w:val="0"/>
      <w:marTop w:val="0"/>
      <w:marBottom w:val="0"/>
      <w:divBdr>
        <w:top w:val="none" w:sz="0" w:space="0" w:color="auto"/>
        <w:left w:val="none" w:sz="0" w:space="0" w:color="auto"/>
        <w:bottom w:val="none" w:sz="0" w:space="0" w:color="auto"/>
        <w:right w:val="none" w:sz="0" w:space="0" w:color="auto"/>
      </w:divBdr>
      <w:divsChild>
        <w:div w:id="1946956245">
          <w:marLeft w:val="0"/>
          <w:marRight w:val="0"/>
          <w:marTop w:val="0"/>
          <w:marBottom w:val="0"/>
          <w:divBdr>
            <w:top w:val="none" w:sz="0" w:space="0" w:color="auto"/>
            <w:left w:val="none" w:sz="0" w:space="0" w:color="auto"/>
            <w:bottom w:val="none" w:sz="0" w:space="0" w:color="auto"/>
            <w:right w:val="none" w:sz="0" w:space="0" w:color="auto"/>
          </w:divBdr>
        </w:div>
      </w:divsChild>
    </w:div>
    <w:div w:id="1221669642">
      <w:bodyDiv w:val="1"/>
      <w:marLeft w:val="0"/>
      <w:marRight w:val="0"/>
      <w:marTop w:val="0"/>
      <w:marBottom w:val="0"/>
      <w:divBdr>
        <w:top w:val="none" w:sz="0" w:space="0" w:color="auto"/>
        <w:left w:val="none" w:sz="0" w:space="0" w:color="auto"/>
        <w:bottom w:val="none" w:sz="0" w:space="0" w:color="auto"/>
        <w:right w:val="none" w:sz="0" w:space="0" w:color="auto"/>
      </w:divBdr>
      <w:divsChild>
        <w:div w:id="336468619">
          <w:marLeft w:val="0"/>
          <w:marRight w:val="0"/>
          <w:marTop w:val="0"/>
          <w:marBottom w:val="0"/>
          <w:divBdr>
            <w:top w:val="none" w:sz="0" w:space="0" w:color="auto"/>
            <w:left w:val="none" w:sz="0" w:space="0" w:color="auto"/>
            <w:bottom w:val="none" w:sz="0" w:space="0" w:color="auto"/>
            <w:right w:val="none" w:sz="0" w:space="0" w:color="auto"/>
          </w:divBdr>
        </w:div>
      </w:divsChild>
    </w:div>
    <w:div w:id="1223979393">
      <w:bodyDiv w:val="1"/>
      <w:marLeft w:val="0"/>
      <w:marRight w:val="0"/>
      <w:marTop w:val="0"/>
      <w:marBottom w:val="0"/>
      <w:divBdr>
        <w:top w:val="none" w:sz="0" w:space="0" w:color="auto"/>
        <w:left w:val="none" w:sz="0" w:space="0" w:color="auto"/>
        <w:bottom w:val="none" w:sz="0" w:space="0" w:color="auto"/>
        <w:right w:val="none" w:sz="0" w:space="0" w:color="auto"/>
      </w:divBdr>
      <w:divsChild>
        <w:div w:id="340551479">
          <w:marLeft w:val="0"/>
          <w:marRight w:val="0"/>
          <w:marTop w:val="0"/>
          <w:marBottom w:val="0"/>
          <w:divBdr>
            <w:top w:val="none" w:sz="0" w:space="0" w:color="auto"/>
            <w:left w:val="none" w:sz="0" w:space="0" w:color="auto"/>
            <w:bottom w:val="none" w:sz="0" w:space="0" w:color="auto"/>
            <w:right w:val="none" w:sz="0" w:space="0" w:color="auto"/>
          </w:divBdr>
        </w:div>
      </w:divsChild>
    </w:div>
    <w:div w:id="1266041981">
      <w:bodyDiv w:val="1"/>
      <w:marLeft w:val="0"/>
      <w:marRight w:val="0"/>
      <w:marTop w:val="0"/>
      <w:marBottom w:val="0"/>
      <w:divBdr>
        <w:top w:val="none" w:sz="0" w:space="0" w:color="auto"/>
        <w:left w:val="none" w:sz="0" w:space="0" w:color="auto"/>
        <w:bottom w:val="none" w:sz="0" w:space="0" w:color="auto"/>
        <w:right w:val="none" w:sz="0" w:space="0" w:color="auto"/>
      </w:divBdr>
    </w:div>
    <w:div w:id="1278562446">
      <w:bodyDiv w:val="1"/>
      <w:marLeft w:val="0"/>
      <w:marRight w:val="0"/>
      <w:marTop w:val="0"/>
      <w:marBottom w:val="0"/>
      <w:divBdr>
        <w:top w:val="none" w:sz="0" w:space="0" w:color="auto"/>
        <w:left w:val="none" w:sz="0" w:space="0" w:color="auto"/>
        <w:bottom w:val="none" w:sz="0" w:space="0" w:color="auto"/>
        <w:right w:val="none" w:sz="0" w:space="0" w:color="auto"/>
      </w:divBdr>
      <w:divsChild>
        <w:div w:id="969167152">
          <w:marLeft w:val="0"/>
          <w:marRight w:val="0"/>
          <w:marTop w:val="0"/>
          <w:marBottom w:val="0"/>
          <w:divBdr>
            <w:top w:val="none" w:sz="0" w:space="0" w:color="auto"/>
            <w:left w:val="none" w:sz="0" w:space="0" w:color="auto"/>
            <w:bottom w:val="none" w:sz="0" w:space="0" w:color="auto"/>
            <w:right w:val="none" w:sz="0" w:space="0" w:color="auto"/>
          </w:divBdr>
        </w:div>
      </w:divsChild>
    </w:div>
    <w:div w:id="1281230800">
      <w:bodyDiv w:val="1"/>
      <w:marLeft w:val="0"/>
      <w:marRight w:val="0"/>
      <w:marTop w:val="0"/>
      <w:marBottom w:val="0"/>
      <w:divBdr>
        <w:top w:val="none" w:sz="0" w:space="0" w:color="auto"/>
        <w:left w:val="none" w:sz="0" w:space="0" w:color="auto"/>
        <w:bottom w:val="none" w:sz="0" w:space="0" w:color="auto"/>
        <w:right w:val="none" w:sz="0" w:space="0" w:color="auto"/>
      </w:divBdr>
      <w:divsChild>
        <w:div w:id="98182198">
          <w:marLeft w:val="0"/>
          <w:marRight w:val="0"/>
          <w:marTop w:val="0"/>
          <w:marBottom w:val="0"/>
          <w:divBdr>
            <w:top w:val="none" w:sz="0" w:space="0" w:color="auto"/>
            <w:left w:val="none" w:sz="0" w:space="0" w:color="auto"/>
            <w:bottom w:val="none" w:sz="0" w:space="0" w:color="auto"/>
            <w:right w:val="none" w:sz="0" w:space="0" w:color="auto"/>
          </w:divBdr>
        </w:div>
      </w:divsChild>
    </w:div>
    <w:div w:id="1340161863">
      <w:bodyDiv w:val="1"/>
      <w:marLeft w:val="0"/>
      <w:marRight w:val="0"/>
      <w:marTop w:val="0"/>
      <w:marBottom w:val="0"/>
      <w:divBdr>
        <w:top w:val="none" w:sz="0" w:space="0" w:color="auto"/>
        <w:left w:val="none" w:sz="0" w:space="0" w:color="auto"/>
        <w:bottom w:val="none" w:sz="0" w:space="0" w:color="auto"/>
        <w:right w:val="none" w:sz="0" w:space="0" w:color="auto"/>
      </w:divBdr>
      <w:divsChild>
        <w:div w:id="2126071008">
          <w:marLeft w:val="0"/>
          <w:marRight w:val="0"/>
          <w:marTop w:val="0"/>
          <w:marBottom w:val="0"/>
          <w:divBdr>
            <w:top w:val="none" w:sz="0" w:space="0" w:color="auto"/>
            <w:left w:val="none" w:sz="0" w:space="0" w:color="auto"/>
            <w:bottom w:val="none" w:sz="0" w:space="0" w:color="auto"/>
            <w:right w:val="none" w:sz="0" w:space="0" w:color="auto"/>
          </w:divBdr>
        </w:div>
      </w:divsChild>
    </w:div>
    <w:div w:id="1366128861">
      <w:bodyDiv w:val="1"/>
      <w:marLeft w:val="0"/>
      <w:marRight w:val="0"/>
      <w:marTop w:val="0"/>
      <w:marBottom w:val="0"/>
      <w:divBdr>
        <w:top w:val="none" w:sz="0" w:space="0" w:color="auto"/>
        <w:left w:val="none" w:sz="0" w:space="0" w:color="auto"/>
        <w:bottom w:val="none" w:sz="0" w:space="0" w:color="auto"/>
        <w:right w:val="none" w:sz="0" w:space="0" w:color="auto"/>
      </w:divBdr>
      <w:divsChild>
        <w:div w:id="1717242512">
          <w:marLeft w:val="0"/>
          <w:marRight w:val="0"/>
          <w:marTop w:val="0"/>
          <w:marBottom w:val="0"/>
          <w:divBdr>
            <w:top w:val="none" w:sz="0" w:space="0" w:color="auto"/>
            <w:left w:val="none" w:sz="0" w:space="0" w:color="auto"/>
            <w:bottom w:val="none" w:sz="0" w:space="0" w:color="auto"/>
            <w:right w:val="none" w:sz="0" w:space="0" w:color="auto"/>
          </w:divBdr>
        </w:div>
      </w:divsChild>
    </w:div>
    <w:div w:id="1366783818">
      <w:bodyDiv w:val="1"/>
      <w:marLeft w:val="0"/>
      <w:marRight w:val="0"/>
      <w:marTop w:val="0"/>
      <w:marBottom w:val="0"/>
      <w:divBdr>
        <w:top w:val="none" w:sz="0" w:space="0" w:color="auto"/>
        <w:left w:val="none" w:sz="0" w:space="0" w:color="auto"/>
        <w:bottom w:val="none" w:sz="0" w:space="0" w:color="auto"/>
        <w:right w:val="none" w:sz="0" w:space="0" w:color="auto"/>
      </w:divBdr>
      <w:divsChild>
        <w:div w:id="1096751681">
          <w:marLeft w:val="0"/>
          <w:marRight w:val="0"/>
          <w:marTop w:val="0"/>
          <w:marBottom w:val="0"/>
          <w:divBdr>
            <w:top w:val="none" w:sz="0" w:space="0" w:color="auto"/>
            <w:left w:val="none" w:sz="0" w:space="0" w:color="auto"/>
            <w:bottom w:val="none" w:sz="0" w:space="0" w:color="auto"/>
            <w:right w:val="none" w:sz="0" w:space="0" w:color="auto"/>
          </w:divBdr>
        </w:div>
      </w:divsChild>
    </w:div>
    <w:div w:id="1387491917">
      <w:bodyDiv w:val="1"/>
      <w:marLeft w:val="0"/>
      <w:marRight w:val="0"/>
      <w:marTop w:val="0"/>
      <w:marBottom w:val="0"/>
      <w:divBdr>
        <w:top w:val="none" w:sz="0" w:space="0" w:color="auto"/>
        <w:left w:val="none" w:sz="0" w:space="0" w:color="auto"/>
        <w:bottom w:val="none" w:sz="0" w:space="0" w:color="auto"/>
        <w:right w:val="none" w:sz="0" w:space="0" w:color="auto"/>
      </w:divBdr>
      <w:divsChild>
        <w:div w:id="1668558106">
          <w:marLeft w:val="0"/>
          <w:marRight w:val="0"/>
          <w:marTop w:val="0"/>
          <w:marBottom w:val="0"/>
          <w:divBdr>
            <w:top w:val="none" w:sz="0" w:space="0" w:color="auto"/>
            <w:left w:val="none" w:sz="0" w:space="0" w:color="auto"/>
            <w:bottom w:val="none" w:sz="0" w:space="0" w:color="auto"/>
            <w:right w:val="none" w:sz="0" w:space="0" w:color="auto"/>
          </w:divBdr>
        </w:div>
      </w:divsChild>
    </w:div>
    <w:div w:id="1412896671">
      <w:bodyDiv w:val="1"/>
      <w:marLeft w:val="0"/>
      <w:marRight w:val="0"/>
      <w:marTop w:val="0"/>
      <w:marBottom w:val="0"/>
      <w:divBdr>
        <w:top w:val="none" w:sz="0" w:space="0" w:color="auto"/>
        <w:left w:val="none" w:sz="0" w:space="0" w:color="auto"/>
        <w:bottom w:val="none" w:sz="0" w:space="0" w:color="auto"/>
        <w:right w:val="none" w:sz="0" w:space="0" w:color="auto"/>
      </w:divBdr>
      <w:divsChild>
        <w:div w:id="1279263403">
          <w:marLeft w:val="0"/>
          <w:marRight w:val="0"/>
          <w:marTop w:val="0"/>
          <w:marBottom w:val="0"/>
          <w:divBdr>
            <w:top w:val="none" w:sz="0" w:space="0" w:color="auto"/>
            <w:left w:val="none" w:sz="0" w:space="0" w:color="auto"/>
            <w:bottom w:val="none" w:sz="0" w:space="0" w:color="auto"/>
            <w:right w:val="none" w:sz="0" w:space="0" w:color="auto"/>
          </w:divBdr>
        </w:div>
      </w:divsChild>
    </w:div>
    <w:div w:id="1453406118">
      <w:bodyDiv w:val="1"/>
      <w:marLeft w:val="0"/>
      <w:marRight w:val="0"/>
      <w:marTop w:val="0"/>
      <w:marBottom w:val="0"/>
      <w:divBdr>
        <w:top w:val="none" w:sz="0" w:space="0" w:color="auto"/>
        <w:left w:val="none" w:sz="0" w:space="0" w:color="auto"/>
        <w:bottom w:val="none" w:sz="0" w:space="0" w:color="auto"/>
        <w:right w:val="none" w:sz="0" w:space="0" w:color="auto"/>
      </w:divBdr>
      <w:divsChild>
        <w:div w:id="1729764583">
          <w:marLeft w:val="0"/>
          <w:marRight w:val="0"/>
          <w:marTop w:val="0"/>
          <w:marBottom w:val="0"/>
          <w:divBdr>
            <w:top w:val="none" w:sz="0" w:space="0" w:color="auto"/>
            <w:left w:val="none" w:sz="0" w:space="0" w:color="auto"/>
            <w:bottom w:val="none" w:sz="0" w:space="0" w:color="auto"/>
            <w:right w:val="none" w:sz="0" w:space="0" w:color="auto"/>
          </w:divBdr>
        </w:div>
      </w:divsChild>
    </w:div>
    <w:div w:id="1461722248">
      <w:bodyDiv w:val="1"/>
      <w:marLeft w:val="0"/>
      <w:marRight w:val="0"/>
      <w:marTop w:val="0"/>
      <w:marBottom w:val="0"/>
      <w:divBdr>
        <w:top w:val="none" w:sz="0" w:space="0" w:color="auto"/>
        <w:left w:val="none" w:sz="0" w:space="0" w:color="auto"/>
        <w:bottom w:val="none" w:sz="0" w:space="0" w:color="auto"/>
        <w:right w:val="none" w:sz="0" w:space="0" w:color="auto"/>
      </w:divBdr>
      <w:divsChild>
        <w:div w:id="1880431910">
          <w:marLeft w:val="0"/>
          <w:marRight w:val="0"/>
          <w:marTop w:val="0"/>
          <w:marBottom w:val="0"/>
          <w:divBdr>
            <w:top w:val="none" w:sz="0" w:space="0" w:color="auto"/>
            <w:left w:val="none" w:sz="0" w:space="0" w:color="auto"/>
            <w:bottom w:val="none" w:sz="0" w:space="0" w:color="auto"/>
            <w:right w:val="none" w:sz="0" w:space="0" w:color="auto"/>
          </w:divBdr>
        </w:div>
      </w:divsChild>
    </w:div>
    <w:div w:id="1477334332">
      <w:bodyDiv w:val="1"/>
      <w:marLeft w:val="0"/>
      <w:marRight w:val="0"/>
      <w:marTop w:val="0"/>
      <w:marBottom w:val="0"/>
      <w:divBdr>
        <w:top w:val="none" w:sz="0" w:space="0" w:color="auto"/>
        <w:left w:val="none" w:sz="0" w:space="0" w:color="auto"/>
        <w:bottom w:val="none" w:sz="0" w:space="0" w:color="auto"/>
        <w:right w:val="none" w:sz="0" w:space="0" w:color="auto"/>
      </w:divBdr>
      <w:divsChild>
        <w:div w:id="734202402">
          <w:marLeft w:val="0"/>
          <w:marRight w:val="0"/>
          <w:marTop w:val="0"/>
          <w:marBottom w:val="0"/>
          <w:divBdr>
            <w:top w:val="none" w:sz="0" w:space="0" w:color="auto"/>
            <w:left w:val="none" w:sz="0" w:space="0" w:color="auto"/>
            <w:bottom w:val="none" w:sz="0" w:space="0" w:color="auto"/>
            <w:right w:val="none" w:sz="0" w:space="0" w:color="auto"/>
          </w:divBdr>
        </w:div>
      </w:divsChild>
    </w:div>
    <w:div w:id="1485468257">
      <w:bodyDiv w:val="1"/>
      <w:marLeft w:val="0"/>
      <w:marRight w:val="0"/>
      <w:marTop w:val="0"/>
      <w:marBottom w:val="0"/>
      <w:divBdr>
        <w:top w:val="none" w:sz="0" w:space="0" w:color="auto"/>
        <w:left w:val="none" w:sz="0" w:space="0" w:color="auto"/>
        <w:bottom w:val="none" w:sz="0" w:space="0" w:color="auto"/>
        <w:right w:val="none" w:sz="0" w:space="0" w:color="auto"/>
      </w:divBdr>
      <w:divsChild>
        <w:div w:id="1425418145">
          <w:marLeft w:val="0"/>
          <w:marRight w:val="0"/>
          <w:marTop w:val="0"/>
          <w:marBottom w:val="0"/>
          <w:divBdr>
            <w:top w:val="none" w:sz="0" w:space="0" w:color="auto"/>
            <w:left w:val="none" w:sz="0" w:space="0" w:color="auto"/>
            <w:bottom w:val="none" w:sz="0" w:space="0" w:color="auto"/>
            <w:right w:val="none" w:sz="0" w:space="0" w:color="auto"/>
          </w:divBdr>
        </w:div>
      </w:divsChild>
    </w:div>
    <w:div w:id="1502044102">
      <w:bodyDiv w:val="1"/>
      <w:marLeft w:val="0"/>
      <w:marRight w:val="0"/>
      <w:marTop w:val="0"/>
      <w:marBottom w:val="0"/>
      <w:divBdr>
        <w:top w:val="none" w:sz="0" w:space="0" w:color="auto"/>
        <w:left w:val="none" w:sz="0" w:space="0" w:color="auto"/>
        <w:bottom w:val="none" w:sz="0" w:space="0" w:color="auto"/>
        <w:right w:val="none" w:sz="0" w:space="0" w:color="auto"/>
      </w:divBdr>
      <w:divsChild>
        <w:div w:id="602953553">
          <w:marLeft w:val="0"/>
          <w:marRight w:val="0"/>
          <w:marTop w:val="0"/>
          <w:marBottom w:val="0"/>
          <w:divBdr>
            <w:top w:val="none" w:sz="0" w:space="0" w:color="auto"/>
            <w:left w:val="none" w:sz="0" w:space="0" w:color="auto"/>
            <w:bottom w:val="none" w:sz="0" w:space="0" w:color="auto"/>
            <w:right w:val="none" w:sz="0" w:space="0" w:color="auto"/>
          </w:divBdr>
        </w:div>
      </w:divsChild>
    </w:div>
    <w:div w:id="1569077595">
      <w:bodyDiv w:val="1"/>
      <w:marLeft w:val="0"/>
      <w:marRight w:val="0"/>
      <w:marTop w:val="0"/>
      <w:marBottom w:val="0"/>
      <w:divBdr>
        <w:top w:val="none" w:sz="0" w:space="0" w:color="auto"/>
        <w:left w:val="none" w:sz="0" w:space="0" w:color="auto"/>
        <w:bottom w:val="none" w:sz="0" w:space="0" w:color="auto"/>
        <w:right w:val="none" w:sz="0" w:space="0" w:color="auto"/>
      </w:divBdr>
      <w:divsChild>
        <w:div w:id="1043748485">
          <w:marLeft w:val="0"/>
          <w:marRight w:val="0"/>
          <w:marTop w:val="0"/>
          <w:marBottom w:val="0"/>
          <w:divBdr>
            <w:top w:val="none" w:sz="0" w:space="0" w:color="auto"/>
            <w:left w:val="none" w:sz="0" w:space="0" w:color="auto"/>
            <w:bottom w:val="none" w:sz="0" w:space="0" w:color="auto"/>
            <w:right w:val="none" w:sz="0" w:space="0" w:color="auto"/>
          </w:divBdr>
        </w:div>
      </w:divsChild>
    </w:div>
    <w:div w:id="1593315817">
      <w:bodyDiv w:val="1"/>
      <w:marLeft w:val="0"/>
      <w:marRight w:val="0"/>
      <w:marTop w:val="0"/>
      <w:marBottom w:val="0"/>
      <w:divBdr>
        <w:top w:val="none" w:sz="0" w:space="0" w:color="auto"/>
        <w:left w:val="none" w:sz="0" w:space="0" w:color="auto"/>
        <w:bottom w:val="none" w:sz="0" w:space="0" w:color="auto"/>
        <w:right w:val="none" w:sz="0" w:space="0" w:color="auto"/>
      </w:divBdr>
      <w:divsChild>
        <w:div w:id="139084240">
          <w:marLeft w:val="0"/>
          <w:marRight w:val="0"/>
          <w:marTop w:val="0"/>
          <w:marBottom w:val="0"/>
          <w:divBdr>
            <w:top w:val="none" w:sz="0" w:space="0" w:color="auto"/>
            <w:left w:val="none" w:sz="0" w:space="0" w:color="auto"/>
            <w:bottom w:val="none" w:sz="0" w:space="0" w:color="auto"/>
            <w:right w:val="none" w:sz="0" w:space="0" w:color="auto"/>
          </w:divBdr>
        </w:div>
      </w:divsChild>
    </w:div>
    <w:div w:id="1625699708">
      <w:bodyDiv w:val="1"/>
      <w:marLeft w:val="0"/>
      <w:marRight w:val="0"/>
      <w:marTop w:val="0"/>
      <w:marBottom w:val="0"/>
      <w:divBdr>
        <w:top w:val="none" w:sz="0" w:space="0" w:color="auto"/>
        <w:left w:val="none" w:sz="0" w:space="0" w:color="auto"/>
        <w:bottom w:val="none" w:sz="0" w:space="0" w:color="auto"/>
        <w:right w:val="none" w:sz="0" w:space="0" w:color="auto"/>
      </w:divBdr>
      <w:divsChild>
        <w:div w:id="272136036">
          <w:marLeft w:val="0"/>
          <w:marRight w:val="0"/>
          <w:marTop w:val="0"/>
          <w:marBottom w:val="0"/>
          <w:divBdr>
            <w:top w:val="none" w:sz="0" w:space="0" w:color="auto"/>
            <w:left w:val="none" w:sz="0" w:space="0" w:color="auto"/>
            <w:bottom w:val="none" w:sz="0" w:space="0" w:color="auto"/>
            <w:right w:val="none" w:sz="0" w:space="0" w:color="auto"/>
          </w:divBdr>
        </w:div>
      </w:divsChild>
    </w:div>
    <w:div w:id="1646934862">
      <w:bodyDiv w:val="1"/>
      <w:marLeft w:val="0"/>
      <w:marRight w:val="0"/>
      <w:marTop w:val="0"/>
      <w:marBottom w:val="0"/>
      <w:divBdr>
        <w:top w:val="none" w:sz="0" w:space="0" w:color="auto"/>
        <w:left w:val="none" w:sz="0" w:space="0" w:color="auto"/>
        <w:bottom w:val="none" w:sz="0" w:space="0" w:color="auto"/>
        <w:right w:val="none" w:sz="0" w:space="0" w:color="auto"/>
      </w:divBdr>
      <w:divsChild>
        <w:div w:id="1463383755">
          <w:marLeft w:val="0"/>
          <w:marRight w:val="0"/>
          <w:marTop w:val="0"/>
          <w:marBottom w:val="0"/>
          <w:divBdr>
            <w:top w:val="none" w:sz="0" w:space="0" w:color="auto"/>
            <w:left w:val="none" w:sz="0" w:space="0" w:color="auto"/>
            <w:bottom w:val="none" w:sz="0" w:space="0" w:color="auto"/>
            <w:right w:val="none" w:sz="0" w:space="0" w:color="auto"/>
          </w:divBdr>
        </w:div>
      </w:divsChild>
    </w:div>
    <w:div w:id="1668895891">
      <w:bodyDiv w:val="1"/>
      <w:marLeft w:val="0"/>
      <w:marRight w:val="0"/>
      <w:marTop w:val="0"/>
      <w:marBottom w:val="0"/>
      <w:divBdr>
        <w:top w:val="none" w:sz="0" w:space="0" w:color="auto"/>
        <w:left w:val="none" w:sz="0" w:space="0" w:color="auto"/>
        <w:bottom w:val="none" w:sz="0" w:space="0" w:color="auto"/>
        <w:right w:val="none" w:sz="0" w:space="0" w:color="auto"/>
      </w:divBdr>
      <w:divsChild>
        <w:div w:id="1314942716">
          <w:marLeft w:val="0"/>
          <w:marRight w:val="0"/>
          <w:marTop w:val="0"/>
          <w:marBottom w:val="0"/>
          <w:divBdr>
            <w:top w:val="none" w:sz="0" w:space="0" w:color="auto"/>
            <w:left w:val="none" w:sz="0" w:space="0" w:color="auto"/>
            <w:bottom w:val="none" w:sz="0" w:space="0" w:color="auto"/>
            <w:right w:val="none" w:sz="0" w:space="0" w:color="auto"/>
          </w:divBdr>
        </w:div>
      </w:divsChild>
    </w:div>
    <w:div w:id="1669477048">
      <w:bodyDiv w:val="1"/>
      <w:marLeft w:val="0"/>
      <w:marRight w:val="0"/>
      <w:marTop w:val="0"/>
      <w:marBottom w:val="0"/>
      <w:divBdr>
        <w:top w:val="none" w:sz="0" w:space="0" w:color="auto"/>
        <w:left w:val="none" w:sz="0" w:space="0" w:color="auto"/>
        <w:bottom w:val="none" w:sz="0" w:space="0" w:color="auto"/>
        <w:right w:val="none" w:sz="0" w:space="0" w:color="auto"/>
      </w:divBdr>
      <w:divsChild>
        <w:div w:id="2093576269">
          <w:marLeft w:val="0"/>
          <w:marRight w:val="0"/>
          <w:marTop w:val="0"/>
          <w:marBottom w:val="0"/>
          <w:divBdr>
            <w:top w:val="none" w:sz="0" w:space="0" w:color="auto"/>
            <w:left w:val="none" w:sz="0" w:space="0" w:color="auto"/>
            <w:bottom w:val="none" w:sz="0" w:space="0" w:color="auto"/>
            <w:right w:val="none" w:sz="0" w:space="0" w:color="auto"/>
          </w:divBdr>
        </w:div>
      </w:divsChild>
    </w:div>
    <w:div w:id="1672491746">
      <w:bodyDiv w:val="1"/>
      <w:marLeft w:val="0"/>
      <w:marRight w:val="0"/>
      <w:marTop w:val="0"/>
      <w:marBottom w:val="0"/>
      <w:divBdr>
        <w:top w:val="none" w:sz="0" w:space="0" w:color="auto"/>
        <w:left w:val="none" w:sz="0" w:space="0" w:color="auto"/>
        <w:bottom w:val="none" w:sz="0" w:space="0" w:color="auto"/>
        <w:right w:val="none" w:sz="0" w:space="0" w:color="auto"/>
      </w:divBdr>
      <w:divsChild>
        <w:div w:id="1089734389">
          <w:marLeft w:val="0"/>
          <w:marRight w:val="0"/>
          <w:marTop w:val="0"/>
          <w:marBottom w:val="0"/>
          <w:divBdr>
            <w:top w:val="none" w:sz="0" w:space="0" w:color="auto"/>
            <w:left w:val="none" w:sz="0" w:space="0" w:color="auto"/>
            <w:bottom w:val="none" w:sz="0" w:space="0" w:color="auto"/>
            <w:right w:val="none" w:sz="0" w:space="0" w:color="auto"/>
          </w:divBdr>
        </w:div>
      </w:divsChild>
    </w:div>
    <w:div w:id="1679425751">
      <w:bodyDiv w:val="1"/>
      <w:marLeft w:val="0"/>
      <w:marRight w:val="0"/>
      <w:marTop w:val="0"/>
      <w:marBottom w:val="0"/>
      <w:divBdr>
        <w:top w:val="none" w:sz="0" w:space="0" w:color="auto"/>
        <w:left w:val="none" w:sz="0" w:space="0" w:color="auto"/>
        <w:bottom w:val="none" w:sz="0" w:space="0" w:color="auto"/>
        <w:right w:val="none" w:sz="0" w:space="0" w:color="auto"/>
      </w:divBdr>
      <w:divsChild>
        <w:div w:id="36398713">
          <w:marLeft w:val="0"/>
          <w:marRight w:val="0"/>
          <w:marTop w:val="0"/>
          <w:marBottom w:val="0"/>
          <w:divBdr>
            <w:top w:val="none" w:sz="0" w:space="0" w:color="auto"/>
            <w:left w:val="none" w:sz="0" w:space="0" w:color="auto"/>
            <w:bottom w:val="none" w:sz="0" w:space="0" w:color="auto"/>
            <w:right w:val="none" w:sz="0" w:space="0" w:color="auto"/>
          </w:divBdr>
        </w:div>
      </w:divsChild>
    </w:div>
    <w:div w:id="1684550951">
      <w:bodyDiv w:val="1"/>
      <w:marLeft w:val="0"/>
      <w:marRight w:val="0"/>
      <w:marTop w:val="0"/>
      <w:marBottom w:val="0"/>
      <w:divBdr>
        <w:top w:val="none" w:sz="0" w:space="0" w:color="auto"/>
        <w:left w:val="none" w:sz="0" w:space="0" w:color="auto"/>
        <w:bottom w:val="none" w:sz="0" w:space="0" w:color="auto"/>
        <w:right w:val="none" w:sz="0" w:space="0" w:color="auto"/>
      </w:divBdr>
      <w:divsChild>
        <w:div w:id="1811242907">
          <w:marLeft w:val="0"/>
          <w:marRight w:val="0"/>
          <w:marTop w:val="0"/>
          <w:marBottom w:val="0"/>
          <w:divBdr>
            <w:top w:val="none" w:sz="0" w:space="0" w:color="auto"/>
            <w:left w:val="none" w:sz="0" w:space="0" w:color="auto"/>
            <w:bottom w:val="none" w:sz="0" w:space="0" w:color="auto"/>
            <w:right w:val="none" w:sz="0" w:space="0" w:color="auto"/>
          </w:divBdr>
        </w:div>
      </w:divsChild>
    </w:div>
    <w:div w:id="1717241421">
      <w:bodyDiv w:val="1"/>
      <w:marLeft w:val="0"/>
      <w:marRight w:val="0"/>
      <w:marTop w:val="0"/>
      <w:marBottom w:val="0"/>
      <w:divBdr>
        <w:top w:val="none" w:sz="0" w:space="0" w:color="auto"/>
        <w:left w:val="none" w:sz="0" w:space="0" w:color="auto"/>
        <w:bottom w:val="none" w:sz="0" w:space="0" w:color="auto"/>
        <w:right w:val="none" w:sz="0" w:space="0" w:color="auto"/>
      </w:divBdr>
      <w:divsChild>
        <w:div w:id="1508835377">
          <w:marLeft w:val="0"/>
          <w:marRight w:val="0"/>
          <w:marTop w:val="0"/>
          <w:marBottom w:val="0"/>
          <w:divBdr>
            <w:top w:val="none" w:sz="0" w:space="0" w:color="auto"/>
            <w:left w:val="none" w:sz="0" w:space="0" w:color="auto"/>
            <w:bottom w:val="none" w:sz="0" w:space="0" w:color="auto"/>
            <w:right w:val="none" w:sz="0" w:space="0" w:color="auto"/>
          </w:divBdr>
        </w:div>
      </w:divsChild>
    </w:div>
    <w:div w:id="1724063715">
      <w:bodyDiv w:val="1"/>
      <w:marLeft w:val="0"/>
      <w:marRight w:val="0"/>
      <w:marTop w:val="0"/>
      <w:marBottom w:val="0"/>
      <w:divBdr>
        <w:top w:val="none" w:sz="0" w:space="0" w:color="auto"/>
        <w:left w:val="none" w:sz="0" w:space="0" w:color="auto"/>
        <w:bottom w:val="none" w:sz="0" w:space="0" w:color="auto"/>
        <w:right w:val="none" w:sz="0" w:space="0" w:color="auto"/>
      </w:divBdr>
      <w:divsChild>
        <w:div w:id="1897929586">
          <w:marLeft w:val="0"/>
          <w:marRight w:val="0"/>
          <w:marTop w:val="0"/>
          <w:marBottom w:val="0"/>
          <w:divBdr>
            <w:top w:val="none" w:sz="0" w:space="0" w:color="auto"/>
            <w:left w:val="none" w:sz="0" w:space="0" w:color="auto"/>
            <w:bottom w:val="none" w:sz="0" w:space="0" w:color="auto"/>
            <w:right w:val="none" w:sz="0" w:space="0" w:color="auto"/>
          </w:divBdr>
        </w:div>
      </w:divsChild>
    </w:div>
    <w:div w:id="1754205790">
      <w:bodyDiv w:val="1"/>
      <w:marLeft w:val="0"/>
      <w:marRight w:val="0"/>
      <w:marTop w:val="0"/>
      <w:marBottom w:val="0"/>
      <w:divBdr>
        <w:top w:val="none" w:sz="0" w:space="0" w:color="auto"/>
        <w:left w:val="none" w:sz="0" w:space="0" w:color="auto"/>
        <w:bottom w:val="none" w:sz="0" w:space="0" w:color="auto"/>
        <w:right w:val="none" w:sz="0" w:space="0" w:color="auto"/>
      </w:divBdr>
      <w:divsChild>
        <w:div w:id="904531721">
          <w:marLeft w:val="0"/>
          <w:marRight w:val="0"/>
          <w:marTop w:val="0"/>
          <w:marBottom w:val="0"/>
          <w:divBdr>
            <w:top w:val="none" w:sz="0" w:space="0" w:color="auto"/>
            <w:left w:val="none" w:sz="0" w:space="0" w:color="auto"/>
            <w:bottom w:val="none" w:sz="0" w:space="0" w:color="auto"/>
            <w:right w:val="none" w:sz="0" w:space="0" w:color="auto"/>
          </w:divBdr>
        </w:div>
      </w:divsChild>
    </w:div>
    <w:div w:id="1804814042">
      <w:bodyDiv w:val="1"/>
      <w:marLeft w:val="0"/>
      <w:marRight w:val="0"/>
      <w:marTop w:val="0"/>
      <w:marBottom w:val="0"/>
      <w:divBdr>
        <w:top w:val="none" w:sz="0" w:space="0" w:color="auto"/>
        <w:left w:val="none" w:sz="0" w:space="0" w:color="auto"/>
        <w:bottom w:val="none" w:sz="0" w:space="0" w:color="auto"/>
        <w:right w:val="none" w:sz="0" w:space="0" w:color="auto"/>
      </w:divBdr>
      <w:divsChild>
        <w:div w:id="1431244677">
          <w:marLeft w:val="0"/>
          <w:marRight w:val="0"/>
          <w:marTop w:val="0"/>
          <w:marBottom w:val="0"/>
          <w:divBdr>
            <w:top w:val="none" w:sz="0" w:space="0" w:color="auto"/>
            <w:left w:val="none" w:sz="0" w:space="0" w:color="auto"/>
            <w:bottom w:val="none" w:sz="0" w:space="0" w:color="auto"/>
            <w:right w:val="none" w:sz="0" w:space="0" w:color="auto"/>
          </w:divBdr>
        </w:div>
      </w:divsChild>
    </w:div>
    <w:div w:id="1823963116">
      <w:bodyDiv w:val="1"/>
      <w:marLeft w:val="0"/>
      <w:marRight w:val="0"/>
      <w:marTop w:val="0"/>
      <w:marBottom w:val="0"/>
      <w:divBdr>
        <w:top w:val="none" w:sz="0" w:space="0" w:color="auto"/>
        <w:left w:val="none" w:sz="0" w:space="0" w:color="auto"/>
        <w:bottom w:val="none" w:sz="0" w:space="0" w:color="auto"/>
        <w:right w:val="none" w:sz="0" w:space="0" w:color="auto"/>
      </w:divBdr>
      <w:divsChild>
        <w:div w:id="1466656341">
          <w:marLeft w:val="0"/>
          <w:marRight w:val="0"/>
          <w:marTop w:val="0"/>
          <w:marBottom w:val="0"/>
          <w:divBdr>
            <w:top w:val="none" w:sz="0" w:space="0" w:color="auto"/>
            <w:left w:val="none" w:sz="0" w:space="0" w:color="auto"/>
            <w:bottom w:val="none" w:sz="0" w:space="0" w:color="auto"/>
            <w:right w:val="none" w:sz="0" w:space="0" w:color="auto"/>
          </w:divBdr>
        </w:div>
      </w:divsChild>
    </w:div>
    <w:div w:id="1824813485">
      <w:bodyDiv w:val="1"/>
      <w:marLeft w:val="0"/>
      <w:marRight w:val="0"/>
      <w:marTop w:val="0"/>
      <w:marBottom w:val="0"/>
      <w:divBdr>
        <w:top w:val="none" w:sz="0" w:space="0" w:color="auto"/>
        <w:left w:val="none" w:sz="0" w:space="0" w:color="auto"/>
        <w:bottom w:val="none" w:sz="0" w:space="0" w:color="auto"/>
        <w:right w:val="none" w:sz="0" w:space="0" w:color="auto"/>
      </w:divBdr>
      <w:divsChild>
        <w:div w:id="436413499">
          <w:marLeft w:val="0"/>
          <w:marRight w:val="0"/>
          <w:marTop w:val="0"/>
          <w:marBottom w:val="0"/>
          <w:divBdr>
            <w:top w:val="none" w:sz="0" w:space="0" w:color="auto"/>
            <w:left w:val="none" w:sz="0" w:space="0" w:color="auto"/>
            <w:bottom w:val="none" w:sz="0" w:space="0" w:color="auto"/>
            <w:right w:val="none" w:sz="0" w:space="0" w:color="auto"/>
          </w:divBdr>
        </w:div>
      </w:divsChild>
    </w:div>
    <w:div w:id="1832598787">
      <w:bodyDiv w:val="1"/>
      <w:marLeft w:val="0"/>
      <w:marRight w:val="0"/>
      <w:marTop w:val="0"/>
      <w:marBottom w:val="0"/>
      <w:divBdr>
        <w:top w:val="none" w:sz="0" w:space="0" w:color="auto"/>
        <w:left w:val="none" w:sz="0" w:space="0" w:color="auto"/>
        <w:bottom w:val="none" w:sz="0" w:space="0" w:color="auto"/>
        <w:right w:val="none" w:sz="0" w:space="0" w:color="auto"/>
      </w:divBdr>
      <w:divsChild>
        <w:div w:id="397675430">
          <w:marLeft w:val="0"/>
          <w:marRight w:val="0"/>
          <w:marTop w:val="0"/>
          <w:marBottom w:val="0"/>
          <w:divBdr>
            <w:top w:val="none" w:sz="0" w:space="0" w:color="auto"/>
            <w:left w:val="none" w:sz="0" w:space="0" w:color="auto"/>
            <w:bottom w:val="none" w:sz="0" w:space="0" w:color="auto"/>
            <w:right w:val="none" w:sz="0" w:space="0" w:color="auto"/>
          </w:divBdr>
        </w:div>
      </w:divsChild>
    </w:div>
    <w:div w:id="1833328526">
      <w:bodyDiv w:val="1"/>
      <w:marLeft w:val="0"/>
      <w:marRight w:val="0"/>
      <w:marTop w:val="0"/>
      <w:marBottom w:val="0"/>
      <w:divBdr>
        <w:top w:val="none" w:sz="0" w:space="0" w:color="auto"/>
        <w:left w:val="none" w:sz="0" w:space="0" w:color="auto"/>
        <w:bottom w:val="none" w:sz="0" w:space="0" w:color="auto"/>
        <w:right w:val="none" w:sz="0" w:space="0" w:color="auto"/>
      </w:divBdr>
      <w:divsChild>
        <w:div w:id="2028677399">
          <w:marLeft w:val="0"/>
          <w:marRight w:val="0"/>
          <w:marTop w:val="0"/>
          <w:marBottom w:val="0"/>
          <w:divBdr>
            <w:top w:val="none" w:sz="0" w:space="0" w:color="auto"/>
            <w:left w:val="none" w:sz="0" w:space="0" w:color="auto"/>
            <w:bottom w:val="none" w:sz="0" w:space="0" w:color="auto"/>
            <w:right w:val="none" w:sz="0" w:space="0" w:color="auto"/>
          </w:divBdr>
        </w:div>
      </w:divsChild>
    </w:div>
    <w:div w:id="1852529314">
      <w:bodyDiv w:val="1"/>
      <w:marLeft w:val="0"/>
      <w:marRight w:val="0"/>
      <w:marTop w:val="0"/>
      <w:marBottom w:val="0"/>
      <w:divBdr>
        <w:top w:val="none" w:sz="0" w:space="0" w:color="auto"/>
        <w:left w:val="none" w:sz="0" w:space="0" w:color="auto"/>
        <w:bottom w:val="none" w:sz="0" w:space="0" w:color="auto"/>
        <w:right w:val="none" w:sz="0" w:space="0" w:color="auto"/>
      </w:divBdr>
    </w:div>
    <w:div w:id="1853108949">
      <w:bodyDiv w:val="1"/>
      <w:marLeft w:val="0"/>
      <w:marRight w:val="0"/>
      <w:marTop w:val="0"/>
      <w:marBottom w:val="0"/>
      <w:divBdr>
        <w:top w:val="none" w:sz="0" w:space="0" w:color="auto"/>
        <w:left w:val="none" w:sz="0" w:space="0" w:color="auto"/>
        <w:bottom w:val="none" w:sz="0" w:space="0" w:color="auto"/>
        <w:right w:val="none" w:sz="0" w:space="0" w:color="auto"/>
      </w:divBdr>
    </w:div>
    <w:div w:id="1865434671">
      <w:bodyDiv w:val="1"/>
      <w:marLeft w:val="0"/>
      <w:marRight w:val="0"/>
      <w:marTop w:val="0"/>
      <w:marBottom w:val="0"/>
      <w:divBdr>
        <w:top w:val="none" w:sz="0" w:space="0" w:color="auto"/>
        <w:left w:val="none" w:sz="0" w:space="0" w:color="auto"/>
        <w:bottom w:val="none" w:sz="0" w:space="0" w:color="auto"/>
        <w:right w:val="none" w:sz="0" w:space="0" w:color="auto"/>
      </w:divBdr>
    </w:div>
    <w:div w:id="1867209213">
      <w:bodyDiv w:val="1"/>
      <w:marLeft w:val="0"/>
      <w:marRight w:val="0"/>
      <w:marTop w:val="0"/>
      <w:marBottom w:val="0"/>
      <w:divBdr>
        <w:top w:val="none" w:sz="0" w:space="0" w:color="auto"/>
        <w:left w:val="none" w:sz="0" w:space="0" w:color="auto"/>
        <w:bottom w:val="none" w:sz="0" w:space="0" w:color="auto"/>
        <w:right w:val="none" w:sz="0" w:space="0" w:color="auto"/>
      </w:divBdr>
      <w:divsChild>
        <w:div w:id="1485969239">
          <w:marLeft w:val="0"/>
          <w:marRight w:val="0"/>
          <w:marTop w:val="0"/>
          <w:marBottom w:val="0"/>
          <w:divBdr>
            <w:top w:val="none" w:sz="0" w:space="0" w:color="auto"/>
            <w:left w:val="none" w:sz="0" w:space="0" w:color="auto"/>
            <w:bottom w:val="none" w:sz="0" w:space="0" w:color="auto"/>
            <w:right w:val="none" w:sz="0" w:space="0" w:color="auto"/>
          </w:divBdr>
        </w:div>
      </w:divsChild>
    </w:div>
    <w:div w:id="1874882114">
      <w:bodyDiv w:val="1"/>
      <w:marLeft w:val="0"/>
      <w:marRight w:val="0"/>
      <w:marTop w:val="0"/>
      <w:marBottom w:val="0"/>
      <w:divBdr>
        <w:top w:val="none" w:sz="0" w:space="0" w:color="auto"/>
        <w:left w:val="none" w:sz="0" w:space="0" w:color="auto"/>
        <w:bottom w:val="none" w:sz="0" w:space="0" w:color="auto"/>
        <w:right w:val="none" w:sz="0" w:space="0" w:color="auto"/>
      </w:divBdr>
      <w:divsChild>
        <w:div w:id="838538978">
          <w:marLeft w:val="0"/>
          <w:marRight w:val="0"/>
          <w:marTop w:val="0"/>
          <w:marBottom w:val="0"/>
          <w:divBdr>
            <w:top w:val="none" w:sz="0" w:space="0" w:color="auto"/>
            <w:left w:val="none" w:sz="0" w:space="0" w:color="auto"/>
            <w:bottom w:val="none" w:sz="0" w:space="0" w:color="auto"/>
            <w:right w:val="none" w:sz="0" w:space="0" w:color="auto"/>
          </w:divBdr>
        </w:div>
      </w:divsChild>
    </w:div>
    <w:div w:id="1874927451">
      <w:bodyDiv w:val="1"/>
      <w:marLeft w:val="0"/>
      <w:marRight w:val="0"/>
      <w:marTop w:val="0"/>
      <w:marBottom w:val="0"/>
      <w:divBdr>
        <w:top w:val="none" w:sz="0" w:space="0" w:color="auto"/>
        <w:left w:val="none" w:sz="0" w:space="0" w:color="auto"/>
        <w:bottom w:val="none" w:sz="0" w:space="0" w:color="auto"/>
        <w:right w:val="none" w:sz="0" w:space="0" w:color="auto"/>
      </w:divBdr>
      <w:divsChild>
        <w:div w:id="1050609697">
          <w:marLeft w:val="0"/>
          <w:marRight w:val="0"/>
          <w:marTop w:val="0"/>
          <w:marBottom w:val="0"/>
          <w:divBdr>
            <w:top w:val="none" w:sz="0" w:space="0" w:color="auto"/>
            <w:left w:val="none" w:sz="0" w:space="0" w:color="auto"/>
            <w:bottom w:val="none" w:sz="0" w:space="0" w:color="auto"/>
            <w:right w:val="none" w:sz="0" w:space="0" w:color="auto"/>
          </w:divBdr>
        </w:div>
      </w:divsChild>
    </w:div>
    <w:div w:id="1900749162">
      <w:bodyDiv w:val="1"/>
      <w:marLeft w:val="0"/>
      <w:marRight w:val="0"/>
      <w:marTop w:val="0"/>
      <w:marBottom w:val="0"/>
      <w:divBdr>
        <w:top w:val="none" w:sz="0" w:space="0" w:color="auto"/>
        <w:left w:val="none" w:sz="0" w:space="0" w:color="auto"/>
        <w:bottom w:val="none" w:sz="0" w:space="0" w:color="auto"/>
        <w:right w:val="none" w:sz="0" w:space="0" w:color="auto"/>
      </w:divBdr>
      <w:divsChild>
        <w:div w:id="179702247">
          <w:marLeft w:val="0"/>
          <w:marRight w:val="0"/>
          <w:marTop w:val="0"/>
          <w:marBottom w:val="0"/>
          <w:divBdr>
            <w:top w:val="none" w:sz="0" w:space="0" w:color="auto"/>
            <w:left w:val="none" w:sz="0" w:space="0" w:color="auto"/>
            <w:bottom w:val="none" w:sz="0" w:space="0" w:color="auto"/>
            <w:right w:val="none" w:sz="0" w:space="0" w:color="auto"/>
          </w:divBdr>
        </w:div>
      </w:divsChild>
    </w:div>
    <w:div w:id="1901288721">
      <w:bodyDiv w:val="1"/>
      <w:marLeft w:val="0"/>
      <w:marRight w:val="0"/>
      <w:marTop w:val="0"/>
      <w:marBottom w:val="0"/>
      <w:divBdr>
        <w:top w:val="none" w:sz="0" w:space="0" w:color="auto"/>
        <w:left w:val="none" w:sz="0" w:space="0" w:color="auto"/>
        <w:bottom w:val="none" w:sz="0" w:space="0" w:color="auto"/>
        <w:right w:val="none" w:sz="0" w:space="0" w:color="auto"/>
      </w:divBdr>
      <w:divsChild>
        <w:div w:id="731587339">
          <w:marLeft w:val="0"/>
          <w:marRight w:val="0"/>
          <w:marTop w:val="0"/>
          <w:marBottom w:val="0"/>
          <w:divBdr>
            <w:top w:val="none" w:sz="0" w:space="0" w:color="auto"/>
            <w:left w:val="none" w:sz="0" w:space="0" w:color="auto"/>
            <w:bottom w:val="none" w:sz="0" w:space="0" w:color="auto"/>
            <w:right w:val="none" w:sz="0" w:space="0" w:color="auto"/>
          </w:divBdr>
        </w:div>
      </w:divsChild>
    </w:div>
    <w:div w:id="1936012428">
      <w:bodyDiv w:val="1"/>
      <w:marLeft w:val="0"/>
      <w:marRight w:val="0"/>
      <w:marTop w:val="0"/>
      <w:marBottom w:val="0"/>
      <w:divBdr>
        <w:top w:val="none" w:sz="0" w:space="0" w:color="auto"/>
        <w:left w:val="none" w:sz="0" w:space="0" w:color="auto"/>
        <w:bottom w:val="none" w:sz="0" w:space="0" w:color="auto"/>
        <w:right w:val="none" w:sz="0" w:space="0" w:color="auto"/>
      </w:divBdr>
      <w:divsChild>
        <w:div w:id="1882591116">
          <w:marLeft w:val="0"/>
          <w:marRight w:val="0"/>
          <w:marTop w:val="0"/>
          <w:marBottom w:val="0"/>
          <w:divBdr>
            <w:top w:val="none" w:sz="0" w:space="0" w:color="auto"/>
            <w:left w:val="none" w:sz="0" w:space="0" w:color="auto"/>
            <w:bottom w:val="none" w:sz="0" w:space="0" w:color="auto"/>
            <w:right w:val="none" w:sz="0" w:space="0" w:color="auto"/>
          </w:divBdr>
          <w:divsChild>
            <w:div w:id="1575627942">
              <w:marLeft w:val="0"/>
              <w:marRight w:val="0"/>
              <w:marTop w:val="0"/>
              <w:marBottom w:val="0"/>
              <w:divBdr>
                <w:top w:val="none" w:sz="0" w:space="0" w:color="auto"/>
                <w:left w:val="none" w:sz="0" w:space="0" w:color="auto"/>
                <w:bottom w:val="none" w:sz="0" w:space="0" w:color="auto"/>
                <w:right w:val="none" w:sz="0" w:space="0" w:color="auto"/>
              </w:divBdr>
              <w:divsChild>
                <w:div w:id="1607929229">
                  <w:marLeft w:val="0"/>
                  <w:marRight w:val="0"/>
                  <w:marTop w:val="0"/>
                  <w:marBottom w:val="0"/>
                  <w:divBdr>
                    <w:top w:val="none" w:sz="0" w:space="0" w:color="auto"/>
                    <w:left w:val="none" w:sz="0" w:space="0" w:color="auto"/>
                    <w:bottom w:val="none" w:sz="0" w:space="0" w:color="auto"/>
                    <w:right w:val="none" w:sz="0" w:space="0" w:color="auto"/>
                  </w:divBdr>
                  <w:divsChild>
                    <w:div w:id="1667901509">
                      <w:marLeft w:val="0"/>
                      <w:marRight w:val="0"/>
                      <w:marTop w:val="0"/>
                      <w:marBottom w:val="0"/>
                      <w:divBdr>
                        <w:top w:val="none" w:sz="0" w:space="0" w:color="auto"/>
                        <w:left w:val="none" w:sz="0" w:space="0" w:color="auto"/>
                        <w:bottom w:val="none" w:sz="0" w:space="0" w:color="auto"/>
                        <w:right w:val="none" w:sz="0" w:space="0" w:color="auto"/>
                      </w:divBdr>
                      <w:divsChild>
                        <w:div w:id="1492256160">
                          <w:marLeft w:val="0"/>
                          <w:marRight w:val="0"/>
                          <w:marTop w:val="0"/>
                          <w:marBottom w:val="0"/>
                          <w:divBdr>
                            <w:top w:val="none" w:sz="0" w:space="0" w:color="auto"/>
                            <w:left w:val="none" w:sz="0" w:space="0" w:color="auto"/>
                            <w:bottom w:val="none" w:sz="0" w:space="0" w:color="auto"/>
                            <w:right w:val="none" w:sz="0" w:space="0" w:color="auto"/>
                          </w:divBdr>
                          <w:divsChild>
                            <w:div w:id="2016304243">
                              <w:marLeft w:val="0"/>
                              <w:marRight w:val="0"/>
                              <w:marTop w:val="0"/>
                              <w:marBottom w:val="0"/>
                              <w:divBdr>
                                <w:top w:val="none" w:sz="0" w:space="0" w:color="auto"/>
                                <w:left w:val="none" w:sz="0" w:space="0" w:color="auto"/>
                                <w:bottom w:val="none" w:sz="0" w:space="0" w:color="auto"/>
                                <w:right w:val="none" w:sz="0" w:space="0" w:color="auto"/>
                              </w:divBdr>
                              <w:divsChild>
                                <w:div w:id="1133134876">
                                  <w:marLeft w:val="0"/>
                                  <w:marRight w:val="0"/>
                                  <w:marTop w:val="0"/>
                                  <w:marBottom w:val="0"/>
                                  <w:divBdr>
                                    <w:top w:val="none" w:sz="0" w:space="0" w:color="auto"/>
                                    <w:left w:val="none" w:sz="0" w:space="0" w:color="auto"/>
                                    <w:bottom w:val="none" w:sz="0" w:space="0" w:color="auto"/>
                                    <w:right w:val="none" w:sz="0" w:space="0" w:color="auto"/>
                                  </w:divBdr>
                                  <w:divsChild>
                                    <w:div w:id="297682647">
                                      <w:marLeft w:val="0"/>
                                      <w:marRight w:val="0"/>
                                      <w:marTop w:val="0"/>
                                      <w:marBottom w:val="0"/>
                                      <w:divBdr>
                                        <w:top w:val="none" w:sz="0" w:space="0" w:color="auto"/>
                                        <w:left w:val="none" w:sz="0" w:space="0" w:color="auto"/>
                                        <w:bottom w:val="none" w:sz="0" w:space="0" w:color="auto"/>
                                        <w:right w:val="none" w:sz="0" w:space="0" w:color="auto"/>
                                      </w:divBdr>
                                      <w:divsChild>
                                        <w:div w:id="191655490">
                                          <w:marLeft w:val="0"/>
                                          <w:marRight w:val="0"/>
                                          <w:marTop w:val="0"/>
                                          <w:marBottom w:val="0"/>
                                          <w:divBdr>
                                            <w:top w:val="none" w:sz="0" w:space="0" w:color="auto"/>
                                            <w:left w:val="none" w:sz="0" w:space="0" w:color="auto"/>
                                            <w:bottom w:val="none" w:sz="0" w:space="0" w:color="auto"/>
                                            <w:right w:val="none" w:sz="0" w:space="0" w:color="auto"/>
                                          </w:divBdr>
                                          <w:divsChild>
                                            <w:div w:id="839932184">
                                              <w:marLeft w:val="0"/>
                                              <w:marRight w:val="0"/>
                                              <w:marTop w:val="0"/>
                                              <w:marBottom w:val="0"/>
                                              <w:divBdr>
                                                <w:top w:val="none" w:sz="0" w:space="0" w:color="auto"/>
                                                <w:left w:val="none" w:sz="0" w:space="0" w:color="auto"/>
                                                <w:bottom w:val="none" w:sz="0" w:space="0" w:color="auto"/>
                                                <w:right w:val="none" w:sz="0" w:space="0" w:color="auto"/>
                                              </w:divBdr>
                                              <w:divsChild>
                                                <w:div w:id="1903249044">
                                                  <w:marLeft w:val="0"/>
                                                  <w:marRight w:val="0"/>
                                                  <w:marTop w:val="0"/>
                                                  <w:marBottom w:val="0"/>
                                                  <w:divBdr>
                                                    <w:top w:val="none" w:sz="0" w:space="0" w:color="auto"/>
                                                    <w:left w:val="none" w:sz="0" w:space="0" w:color="auto"/>
                                                    <w:bottom w:val="none" w:sz="0" w:space="0" w:color="auto"/>
                                                    <w:right w:val="none" w:sz="0" w:space="0" w:color="auto"/>
                                                  </w:divBdr>
                                                  <w:divsChild>
                                                    <w:div w:id="1889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377828">
      <w:bodyDiv w:val="1"/>
      <w:marLeft w:val="0"/>
      <w:marRight w:val="0"/>
      <w:marTop w:val="0"/>
      <w:marBottom w:val="0"/>
      <w:divBdr>
        <w:top w:val="none" w:sz="0" w:space="0" w:color="auto"/>
        <w:left w:val="none" w:sz="0" w:space="0" w:color="auto"/>
        <w:bottom w:val="none" w:sz="0" w:space="0" w:color="auto"/>
        <w:right w:val="none" w:sz="0" w:space="0" w:color="auto"/>
      </w:divBdr>
      <w:divsChild>
        <w:div w:id="420882054">
          <w:marLeft w:val="0"/>
          <w:marRight w:val="0"/>
          <w:marTop w:val="0"/>
          <w:marBottom w:val="0"/>
          <w:divBdr>
            <w:top w:val="none" w:sz="0" w:space="0" w:color="auto"/>
            <w:left w:val="none" w:sz="0" w:space="0" w:color="auto"/>
            <w:bottom w:val="none" w:sz="0" w:space="0" w:color="auto"/>
            <w:right w:val="none" w:sz="0" w:space="0" w:color="auto"/>
          </w:divBdr>
          <w:divsChild>
            <w:div w:id="273251297">
              <w:marLeft w:val="0"/>
              <w:marRight w:val="0"/>
              <w:marTop w:val="0"/>
              <w:marBottom w:val="0"/>
              <w:divBdr>
                <w:top w:val="none" w:sz="0" w:space="0" w:color="auto"/>
                <w:left w:val="none" w:sz="0" w:space="0" w:color="auto"/>
                <w:bottom w:val="none" w:sz="0" w:space="0" w:color="auto"/>
                <w:right w:val="none" w:sz="0" w:space="0" w:color="auto"/>
              </w:divBdr>
              <w:divsChild>
                <w:div w:id="1021904760">
                  <w:marLeft w:val="0"/>
                  <w:marRight w:val="0"/>
                  <w:marTop w:val="0"/>
                  <w:marBottom w:val="0"/>
                  <w:divBdr>
                    <w:top w:val="none" w:sz="0" w:space="0" w:color="auto"/>
                    <w:left w:val="none" w:sz="0" w:space="0" w:color="auto"/>
                    <w:bottom w:val="none" w:sz="0" w:space="0" w:color="auto"/>
                    <w:right w:val="none" w:sz="0" w:space="0" w:color="auto"/>
                  </w:divBdr>
                  <w:divsChild>
                    <w:div w:id="922446900">
                      <w:marLeft w:val="0"/>
                      <w:marRight w:val="0"/>
                      <w:marTop w:val="0"/>
                      <w:marBottom w:val="0"/>
                      <w:divBdr>
                        <w:top w:val="none" w:sz="0" w:space="0" w:color="auto"/>
                        <w:left w:val="none" w:sz="0" w:space="0" w:color="auto"/>
                        <w:bottom w:val="none" w:sz="0" w:space="0" w:color="auto"/>
                        <w:right w:val="none" w:sz="0" w:space="0" w:color="auto"/>
                      </w:divBdr>
                      <w:divsChild>
                        <w:div w:id="616526274">
                          <w:marLeft w:val="0"/>
                          <w:marRight w:val="0"/>
                          <w:marTop w:val="0"/>
                          <w:marBottom w:val="0"/>
                          <w:divBdr>
                            <w:top w:val="none" w:sz="0" w:space="0" w:color="auto"/>
                            <w:left w:val="none" w:sz="0" w:space="0" w:color="auto"/>
                            <w:bottom w:val="none" w:sz="0" w:space="0" w:color="auto"/>
                            <w:right w:val="none" w:sz="0" w:space="0" w:color="auto"/>
                          </w:divBdr>
                          <w:divsChild>
                            <w:div w:id="185221722">
                              <w:marLeft w:val="0"/>
                              <w:marRight w:val="0"/>
                              <w:marTop w:val="0"/>
                              <w:marBottom w:val="0"/>
                              <w:divBdr>
                                <w:top w:val="none" w:sz="0" w:space="0" w:color="auto"/>
                                <w:left w:val="none" w:sz="0" w:space="0" w:color="auto"/>
                                <w:bottom w:val="none" w:sz="0" w:space="0" w:color="auto"/>
                                <w:right w:val="none" w:sz="0" w:space="0" w:color="auto"/>
                              </w:divBdr>
                              <w:divsChild>
                                <w:div w:id="241989190">
                                  <w:marLeft w:val="0"/>
                                  <w:marRight w:val="0"/>
                                  <w:marTop w:val="0"/>
                                  <w:marBottom w:val="0"/>
                                  <w:divBdr>
                                    <w:top w:val="none" w:sz="0" w:space="0" w:color="auto"/>
                                    <w:left w:val="none" w:sz="0" w:space="0" w:color="auto"/>
                                    <w:bottom w:val="none" w:sz="0" w:space="0" w:color="auto"/>
                                    <w:right w:val="none" w:sz="0" w:space="0" w:color="auto"/>
                                  </w:divBdr>
                                  <w:divsChild>
                                    <w:div w:id="159807687">
                                      <w:marLeft w:val="0"/>
                                      <w:marRight w:val="0"/>
                                      <w:marTop w:val="0"/>
                                      <w:marBottom w:val="0"/>
                                      <w:divBdr>
                                        <w:top w:val="none" w:sz="0" w:space="0" w:color="auto"/>
                                        <w:left w:val="none" w:sz="0" w:space="0" w:color="auto"/>
                                        <w:bottom w:val="none" w:sz="0" w:space="0" w:color="auto"/>
                                        <w:right w:val="none" w:sz="0" w:space="0" w:color="auto"/>
                                      </w:divBdr>
                                      <w:divsChild>
                                        <w:div w:id="274026308">
                                          <w:marLeft w:val="0"/>
                                          <w:marRight w:val="0"/>
                                          <w:marTop w:val="0"/>
                                          <w:marBottom w:val="0"/>
                                          <w:divBdr>
                                            <w:top w:val="none" w:sz="0" w:space="0" w:color="auto"/>
                                            <w:left w:val="none" w:sz="0" w:space="0" w:color="auto"/>
                                            <w:bottom w:val="none" w:sz="0" w:space="0" w:color="auto"/>
                                            <w:right w:val="none" w:sz="0" w:space="0" w:color="auto"/>
                                          </w:divBdr>
                                          <w:divsChild>
                                            <w:div w:id="879980582">
                                              <w:marLeft w:val="0"/>
                                              <w:marRight w:val="0"/>
                                              <w:marTop w:val="0"/>
                                              <w:marBottom w:val="0"/>
                                              <w:divBdr>
                                                <w:top w:val="none" w:sz="0" w:space="0" w:color="auto"/>
                                                <w:left w:val="none" w:sz="0" w:space="0" w:color="auto"/>
                                                <w:bottom w:val="none" w:sz="0" w:space="0" w:color="auto"/>
                                                <w:right w:val="none" w:sz="0" w:space="0" w:color="auto"/>
                                              </w:divBdr>
                                              <w:divsChild>
                                                <w:div w:id="1988825861">
                                                  <w:marLeft w:val="0"/>
                                                  <w:marRight w:val="0"/>
                                                  <w:marTop w:val="0"/>
                                                  <w:marBottom w:val="0"/>
                                                  <w:divBdr>
                                                    <w:top w:val="none" w:sz="0" w:space="0" w:color="auto"/>
                                                    <w:left w:val="none" w:sz="0" w:space="0" w:color="auto"/>
                                                    <w:bottom w:val="none" w:sz="0" w:space="0" w:color="auto"/>
                                                    <w:right w:val="none" w:sz="0" w:space="0" w:color="auto"/>
                                                  </w:divBdr>
                                                  <w:divsChild>
                                                    <w:div w:id="16564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461942">
      <w:bodyDiv w:val="1"/>
      <w:marLeft w:val="0"/>
      <w:marRight w:val="0"/>
      <w:marTop w:val="0"/>
      <w:marBottom w:val="0"/>
      <w:divBdr>
        <w:top w:val="none" w:sz="0" w:space="0" w:color="auto"/>
        <w:left w:val="none" w:sz="0" w:space="0" w:color="auto"/>
        <w:bottom w:val="none" w:sz="0" w:space="0" w:color="auto"/>
        <w:right w:val="none" w:sz="0" w:space="0" w:color="auto"/>
      </w:divBdr>
      <w:divsChild>
        <w:div w:id="1827282058">
          <w:marLeft w:val="0"/>
          <w:marRight w:val="0"/>
          <w:marTop w:val="0"/>
          <w:marBottom w:val="0"/>
          <w:divBdr>
            <w:top w:val="none" w:sz="0" w:space="0" w:color="auto"/>
            <w:left w:val="none" w:sz="0" w:space="0" w:color="auto"/>
            <w:bottom w:val="none" w:sz="0" w:space="0" w:color="auto"/>
            <w:right w:val="none" w:sz="0" w:space="0" w:color="auto"/>
          </w:divBdr>
        </w:div>
      </w:divsChild>
    </w:div>
    <w:div w:id="1970893003">
      <w:bodyDiv w:val="1"/>
      <w:marLeft w:val="0"/>
      <w:marRight w:val="0"/>
      <w:marTop w:val="0"/>
      <w:marBottom w:val="0"/>
      <w:divBdr>
        <w:top w:val="none" w:sz="0" w:space="0" w:color="auto"/>
        <w:left w:val="none" w:sz="0" w:space="0" w:color="auto"/>
        <w:bottom w:val="none" w:sz="0" w:space="0" w:color="auto"/>
        <w:right w:val="none" w:sz="0" w:space="0" w:color="auto"/>
      </w:divBdr>
      <w:divsChild>
        <w:div w:id="2053964720">
          <w:marLeft w:val="0"/>
          <w:marRight w:val="0"/>
          <w:marTop w:val="0"/>
          <w:marBottom w:val="0"/>
          <w:divBdr>
            <w:top w:val="none" w:sz="0" w:space="0" w:color="auto"/>
            <w:left w:val="none" w:sz="0" w:space="0" w:color="auto"/>
            <w:bottom w:val="none" w:sz="0" w:space="0" w:color="auto"/>
            <w:right w:val="none" w:sz="0" w:space="0" w:color="auto"/>
          </w:divBdr>
        </w:div>
      </w:divsChild>
    </w:div>
    <w:div w:id="1987707105">
      <w:bodyDiv w:val="1"/>
      <w:marLeft w:val="0"/>
      <w:marRight w:val="0"/>
      <w:marTop w:val="0"/>
      <w:marBottom w:val="0"/>
      <w:divBdr>
        <w:top w:val="none" w:sz="0" w:space="0" w:color="auto"/>
        <w:left w:val="none" w:sz="0" w:space="0" w:color="auto"/>
        <w:bottom w:val="none" w:sz="0" w:space="0" w:color="auto"/>
        <w:right w:val="none" w:sz="0" w:space="0" w:color="auto"/>
      </w:divBdr>
    </w:div>
    <w:div w:id="1999382692">
      <w:bodyDiv w:val="1"/>
      <w:marLeft w:val="0"/>
      <w:marRight w:val="0"/>
      <w:marTop w:val="0"/>
      <w:marBottom w:val="0"/>
      <w:divBdr>
        <w:top w:val="none" w:sz="0" w:space="0" w:color="auto"/>
        <w:left w:val="none" w:sz="0" w:space="0" w:color="auto"/>
        <w:bottom w:val="none" w:sz="0" w:space="0" w:color="auto"/>
        <w:right w:val="none" w:sz="0" w:space="0" w:color="auto"/>
      </w:divBdr>
      <w:divsChild>
        <w:div w:id="388695604">
          <w:marLeft w:val="0"/>
          <w:marRight w:val="0"/>
          <w:marTop w:val="0"/>
          <w:marBottom w:val="0"/>
          <w:divBdr>
            <w:top w:val="none" w:sz="0" w:space="0" w:color="auto"/>
            <w:left w:val="none" w:sz="0" w:space="0" w:color="auto"/>
            <w:bottom w:val="none" w:sz="0" w:space="0" w:color="auto"/>
            <w:right w:val="none" w:sz="0" w:space="0" w:color="auto"/>
          </w:divBdr>
        </w:div>
      </w:divsChild>
    </w:div>
    <w:div w:id="2019304918">
      <w:bodyDiv w:val="1"/>
      <w:marLeft w:val="0"/>
      <w:marRight w:val="0"/>
      <w:marTop w:val="0"/>
      <w:marBottom w:val="0"/>
      <w:divBdr>
        <w:top w:val="none" w:sz="0" w:space="0" w:color="auto"/>
        <w:left w:val="none" w:sz="0" w:space="0" w:color="auto"/>
        <w:bottom w:val="none" w:sz="0" w:space="0" w:color="auto"/>
        <w:right w:val="none" w:sz="0" w:space="0" w:color="auto"/>
      </w:divBdr>
      <w:divsChild>
        <w:div w:id="382752907">
          <w:marLeft w:val="0"/>
          <w:marRight w:val="0"/>
          <w:marTop w:val="0"/>
          <w:marBottom w:val="0"/>
          <w:divBdr>
            <w:top w:val="none" w:sz="0" w:space="0" w:color="auto"/>
            <w:left w:val="none" w:sz="0" w:space="0" w:color="auto"/>
            <w:bottom w:val="none" w:sz="0" w:space="0" w:color="auto"/>
            <w:right w:val="none" w:sz="0" w:space="0" w:color="auto"/>
          </w:divBdr>
        </w:div>
      </w:divsChild>
    </w:div>
    <w:div w:id="2122264907">
      <w:bodyDiv w:val="1"/>
      <w:marLeft w:val="0"/>
      <w:marRight w:val="0"/>
      <w:marTop w:val="0"/>
      <w:marBottom w:val="0"/>
      <w:divBdr>
        <w:top w:val="none" w:sz="0" w:space="0" w:color="auto"/>
        <w:left w:val="none" w:sz="0" w:space="0" w:color="auto"/>
        <w:bottom w:val="none" w:sz="0" w:space="0" w:color="auto"/>
        <w:right w:val="none" w:sz="0" w:space="0" w:color="auto"/>
      </w:divBdr>
      <w:divsChild>
        <w:div w:id="946930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650B30A9E6F26340963DA6FE880E67C5" ma:contentTypeVersion="2" ma:contentTypeDescription="Új dokumentum létrehozása." ma:contentTypeScope="" ma:versionID="f8991318750b1c9b50bab82294fd0e02">
  <xsd:schema xmlns:xsd="http://www.w3.org/2001/XMLSchema" xmlns:xs="http://www.w3.org/2001/XMLSchema" xmlns:p="http://schemas.microsoft.com/office/2006/metadata/properties" xmlns:ns2="1cd9ea43-07ae-49b3-b02b-3fd15dba889d" targetNamespace="http://schemas.microsoft.com/office/2006/metadata/properties" ma:root="true" ma:fieldsID="c396e6472d8d1daf94b87c4dd9822fd8" ns2:_="">
    <xsd:import namespace="1cd9ea43-07ae-49b3-b02b-3fd15dba88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9ea43-07ae-49b3-b02b-3fd15dba889d"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282DF211-3AAB-4CF2-B549-88FE9327A5CE}">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1cd9ea43-07ae-49b3-b02b-3fd15dba889d"/>
    <ds:schemaRef ds:uri="http://www.w3.org/XML/1998/namespace"/>
    <ds:schemaRef ds:uri="http://purl.org/dc/dcmitype/"/>
  </ds:schemaRefs>
</ds:datastoreItem>
</file>

<file path=customXml/itemProps2.xml><?xml version="1.0" encoding="utf-8"?>
<ds:datastoreItem xmlns:ds="http://schemas.openxmlformats.org/officeDocument/2006/customXml" ds:itemID="{CF06358E-9ADB-4A1D-A7B0-E82AB7F59E57}">
  <ds:schemaRefs>
    <ds:schemaRef ds:uri="http://schemas.microsoft.com/sharepoint/v3/contenttype/forms"/>
  </ds:schemaRefs>
</ds:datastoreItem>
</file>

<file path=customXml/itemProps3.xml><?xml version="1.0" encoding="utf-8"?>
<ds:datastoreItem xmlns:ds="http://schemas.openxmlformats.org/officeDocument/2006/customXml" ds:itemID="{8ACFC4C2-7177-4A5A-9BB1-E4B131388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9ea43-07ae-49b3-b02b-3fd15dba8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29</Pages>
  <Words>10097</Words>
  <Characters>69674</Characters>
  <Application>Microsoft Office Word</Application>
  <DocSecurity>0</DocSecurity>
  <Lines>580</Lines>
  <Paragraphs>159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Kőrös Orsolya</dc:creator>
  <cp:keywords/>
  <dc:description/>
  <cp:lastModifiedBy>Kőrös Orsolya</cp:lastModifiedBy>
  <cp:revision>79</cp:revision>
  <cp:lastPrinted>1900-12-31T23:00:00Z</cp:lastPrinted>
  <dcterms:created xsi:type="dcterms:W3CDTF">2026-04-09T16:17:00Z</dcterms:created>
  <dcterms:modified xsi:type="dcterms:W3CDTF">2026-05-18T16:25:00Z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2027-10-04T12:40:29Z</vt:filetime>
  </property>
  <property fmtid="{D5CDD505-2E9C-101B-9397-08002B2CF9AE}" pid="3" name="Érvényességet beállító">
    <vt:lpwstr>horvathjud</vt:lpwstr>
  </property>
  <property fmtid="{D5CDD505-2E9C-101B-9397-08002B2CF9AE}" pid="4" name="Érvényességi idő első beállítása">
    <vt:filetime>2022-10-04T12:40:29Z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horvathjud@mnb.hu</vt:lpwstr>
  </property>
  <property fmtid="{D5CDD505-2E9C-101B-9397-08002B2CF9AE}" pid="8" name="MSIP_Label_b0d11092-50c9-4e74-84b5-b1af078dc3d0_SetDate">
    <vt:lpwstr>2022-10-04T15:34:12.8073003Z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1c15f875-ec26-4b2e-b43a-9cfaacfbe769</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y fmtid="{D5CDD505-2E9C-101B-9397-08002B2CF9AE}" pid="14" name="ContentTypeId">
    <vt:lpwstr>0x010100650B30A9E6F26340963DA6FE880E67C5</vt:lpwstr>
  </property>
</Properties>
</file>