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8AC0A" w14:textId="77777777" w:rsidR="00915D14" w:rsidRPr="001A488A" w:rsidRDefault="00D1022D" w:rsidP="00300E88">
      <w:pPr>
        <w:autoSpaceDE w:val="0"/>
        <w:autoSpaceDN w:val="0"/>
        <w:adjustRightInd w:val="0"/>
        <w:ind w:firstLine="142"/>
        <w:jc w:val="center"/>
        <w:rPr>
          <w:rFonts w:ascii="Arial" w:hAnsi="Arial" w:cs="Arial"/>
          <w:b/>
          <w:bCs/>
        </w:rPr>
      </w:pPr>
      <w:r w:rsidRPr="001A488A">
        <w:rPr>
          <w:rFonts w:ascii="Arial" w:hAnsi="Arial" w:cs="Arial"/>
          <w:b/>
          <w:bCs/>
        </w:rPr>
        <w:t xml:space="preserve">A Magyar Nemzeti Bank elnökének </w:t>
      </w:r>
    </w:p>
    <w:p w14:paraId="1B18AC0B" w14:textId="4972AC89" w:rsidR="00D1022D" w:rsidRDefault="00C1711B" w:rsidP="00300E88">
      <w:pPr>
        <w:autoSpaceDE w:val="0"/>
        <w:autoSpaceDN w:val="0"/>
        <w:adjustRightInd w:val="0"/>
        <w:ind w:firstLine="142"/>
        <w:jc w:val="center"/>
        <w:rPr>
          <w:rFonts w:ascii="Arial" w:hAnsi="Arial" w:cs="Arial"/>
          <w:b/>
          <w:bCs/>
        </w:rPr>
      </w:pPr>
      <w:r>
        <w:rPr>
          <w:rFonts w:ascii="Arial" w:hAnsi="Arial" w:cs="Arial"/>
          <w:b/>
          <w:bCs/>
        </w:rPr>
        <w:t>…</w:t>
      </w:r>
      <w:r w:rsidR="00D1022D" w:rsidRPr="001A488A">
        <w:rPr>
          <w:rFonts w:ascii="Arial" w:hAnsi="Arial" w:cs="Arial"/>
          <w:b/>
          <w:bCs/>
        </w:rPr>
        <w:t>/</w:t>
      </w:r>
      <w:r w:rsidR="0069567B">
        <w:rPr>
          <w:rFonts w:ascii="Arial" w:hAnsi="Arial" w:cs="Arial"/>
          <w:b/>
          <w:bCs/>
        </w:rPr>
        <w:t>2025</w:t>
      </w:r>
      <w:r w:rsidR="00B82079">
        <w:rPr>
          <w:rFonts w:ascii="Arial" w:hAnsi="Arial" w:cs="Arial"/>
          <w:b/>
          <w:bCs/>
        </w:rPr>
        <w:t>. (</w:t>
      </w:r>
      <w:r>
        <w:rPr>
          <w:rFonts w:ascii="Arial" w:hAnsi="Arial" w:cs="Arial"/>
          <w:b/>
          <w:bCs/>
        </w:rPr>
        <w:t>… …</w:t>
      </w:r>
      <w:r w:rsidR="00B82079">
        <w:rPr>
          <w:rFonts w:ascii="Arial" w:hAnsi="Arial" w:cs="Arial"/>
          <w:b/>
          <w:bCs/>
        </w:rPr>
        <w:t>)</w:t>
      </w:r>
      <w:r w:rsidR="00D1022D" w:rsidRPr="001A488A">
        <w:rPr>
          <w:rFonts w:ascii="Arial" w:hAnsi="Arial" w:cs="Arial"/>
          <w:b/>
          <w:bCs/>
        </w:rPr>
        <w:t xml:space="preserve"> MNB rendelete </w:t>
      </w:r>
    </w:p>
    <w:p w14:paraId="2302E9CF" w14:textId="77777777" w:rsidR="00140FFF" w:rsidRPr="001A488A" w:rsidRDefault="00140FFF" w:rsidP="00300E88">
      <w:pPr>
        <w:autoSpaceDE w:val="0"/>
        <w:autoSpaceDN w:val="0"/>
        <w:adjustRightInd w:val="0"/>
        <w:ind w:firstLine="142"/>
        <w:jc w:val="center"/>
        <w:rPr>
          <w:rFonts w:ascii="Arial" w:hAnsi="Arial" w:cs="Arial"/>
          <w:b/>
          <w:bCs/>
        </w:rPr>
      </w:pPr>
    </w:p>
    <w:p w14:paraId="1B18AC0C" w14:textId="526FFB28" w:rsidR="004B6E63" w:rsidRPr="001A488A" w:rsidRDefault="00D1022D" w:rsidP="00300E88">
      <w:pPr>
        <w:autoSpaceDE w:val="0"/>
        <w:autoSpaceDN w:val="0"/>
        <w:adjustRightInd w:val="0"/>
        <w:ind w:firstLine="142"/>
        <w:jc w:val="center"/>
        <w:rPr>
          <w:rFonts w:ascii="Arial" w:hAnsi="Arial" w:cs="Arial"/>
        </w:rPr>
      </w:pPr>
      <w:r w:rsidRPr="001A488A">
        <w:rPr>
          <w:rFonts w:ascii="Arial" w:hAnsi="Arial" w:cs="Arial"/>
          <w:b/>
          <w:bCs/>
        </w:rPr>
        <w:t xml:space="preserve">a jegybanki információs rendszerhez elsődlegesen </w:t>
      </w:r>
      <w:r w:rsidR="00D57D16" w:rsidRPr="001A488A">
        <w:rPr>
          <w:rFonts w:ascii="Arial" w:hAnsi="Arial" w:cs="Arial"/>
          <w:b/>
          <w:bCs/>
        </w:rPr>
        <w:t xml:space="preserve">a Magyar Nemzeti Bank </w:t>
      </w:r>
      <w:r w:rsidR="00CD3095">
        <w:rPr>
          <w:rFonts w:ascii="Arial" w:hAnsi="Arial" w:cs="Arial"/>
          <w:b/>
          <w:bCs/>
        </w:rPr>
        <w:t xml:space="preserve">pénz- és hitelpiaci szervezetek feletti </w:t>
      </w:r>
      <w:r w:rsidRPr="001A488A">
        <w:rPr>
          <w:rFonts w:ascii="Arial" w:hAnsi="Arial" w:cs="Arial"/>
          <w:b/>
          <w:bCs/>
        </w:rPr>
        <w:t>felügyeleti feladatai ellátása érdekében teljesítendő</w:t>
      </w:r>
      <w:r w:rsidR="0062391F" w:rsidRPr="001A488A">
        <w:rPr>
          <w:rFonts w:ascii="Arial" w:hAnsi="Arial" w:cs="Arial"/>
          <w:b/>
          <w:bCs/>
        </w:rPr>
        <w:t xml:space="preserve"> </w:t>
      </w:r>
      <w:r w:rsidRPr="001A488A">
        <w:rPr>
          <w:rFonts w:ascii="Arial" w:hAnsi="Arial" w:cs="Arial"/>
          <w:b/>
          <w:bCs/>
        </w:rPr>
        <w:t>adatszolgáltatási kötelezettség</w:t>
      </w:r>
      <w:r w:rsidR="00EE616D" w:rsidRPr="001A488A">
        <w:rPr>
          <w:rFonts w:ascii="Arial" w:hAnsi="Arial" w:cs="Arial"/>
          <w:b/>
          <w:bCs/>
        </w:rPr>
        <w:t>ek</w:t>
      </w:r>
      <w:r w:rsidRPr="001A488A">
        <w:rPr>
          <w:rFonts w:ascii="Arial" w:hAnsi="Arial" w:cs="Arial"/>
          <w:b/>
          <w:bCs/>
        </w:rPr>
        <w:t>ről</w:t>
      </w:r>
    </w:p>
    <w:p w14:paraId="1B18AC0D" w14:textId="77777777" w:rsidR="007F17AA" w:rsidRDefault="007F17AA" w:rsidP="00300E88">
      <w:pPr>
        <w:autoSpaceDE w:val="0"/>
        <w:autoSpaceDN w:val="0"/>
        <w:adjustRightInd w:val="0"/>
        <w:ind w:firstLine="142"/>
        <w:jc w:val="center"/>
        <w:rPr>
          <w:rFonts w:ascii="Arial" w:hAnsi="Arial" w:cs="Arial"/>
        </w:rPr>
      </w:pPr>
      <w:bookmarkStart w:id="0" w:name="HUMANSOFTiktatoszam"/>
      <w:bookmarkEnd w:id="0"/>
    </w:p>
    <w:p w14:paraId="1B18AC0E" w14:textId="77777777" w:rsidR="008D6D7C" w:rsidRDefault="008D6D7C" w:rsidP="00300E88">
      <w:pPr>
        <w:autoSpaceDE w:val="0"/>
        <w:autoSpaceDN w:val="0"/>
        <w:adjustRightInd w:val="0"/>
        <w:ind w:firstLine="142"/>
        <w:jc w:val="center"/>
        <w:rPr>
          <w:rFonts w:ascii="Arial" w:hAnsi="Arial" w:cs="Arial"/>
        </w:rPr>
      </w:pPr>
      <w:bookmarkStart w:id="1" w:name="HUMANSOFTdatumHUN"/>
      <w:bookmarkEnd w:id="1"/>
    </w:p>
    <w:p w14:paraId="1B18AC0F" w14:textId="77777777" w:rsidR="008D6D7C" w:rsidRDefault="008D6D7C" w:rsidP="00300E88">
      <w:pPr>
        <w:autoSpaceDE w:val="0"/>
        <w:autoSpaceDN w:val="0"/>
        <w:adjustRightInd w:val="0"/>
        <w:ind w:firstLine="142"/>
        <w:jc w:val="center"/>
        <w:rPr>
          <w:rFonts w:ascii="Arial" w:hAnsi="Arial" w:cs="Arial"/>
        </w:rPr>
      </w:pPr>
    </w:p>
    <w:p w14:paraId="412DBD24" w14:textId="4F51D7FD" w:rsidR="008B07DF" w:rsidRPr="00681377" w:rsidRDefault="009416DB" w:rsidP="008B07DF">
      <w:pPr>
        <w:shd w:val="clear" w:color="auto" w:fill="FFFFFF"/>
        <w:ind w:firstLine="142"/>
        <w:jc w:val="both"/>
        <w:rPr>
          <w:rFonts w:ascii="Arial" w:eastAsia="Times New Roman" w:hAnsi="Arial" w:cs="Arial"/>
        </w:rPr>
      </w:pPr>
      <w:bookmarkStart w:id="2" w:name="_Hlk193721625"/>
      <w:r w:rsidRPr="001B7C0F">
        <w:rPr>
          <w:rFonts w:ascii="Arial" w:eastAsia="Times New Roman" w:hAnsi="Arial" w:cs="Arial"/>
        </w:rPr>
        <w:t xml:space="preserve">[1] </w:t>
      </w:r>
      <w:bookmarkEnd w:id="2"/>
      <w:r w:rsidRPr="001B7C0F">
        <w:rPr>
          <w:rFonts w:ascii="Arial" w:eastAsia="Times New Roman" w:hAnsi="Arial" w:cs="Arial"/>
        </w:rPr>
        <w:t>E rendelet célja a</w:t>
      </w:r>
      <w:r w:rsidR="002D0F04" w:rsidRPr="001B7C0F">
        <w:rPr>
          <w:rFonts w:ascii="Arial" w:eastAsia="Times New Roman" w:hAnsi="Arial" w:cs="Arial"/>
        </w:rPr>
        <w:t xml:space="preserve"> jegybanki információs rendszerhez elsődlegesen a</w:t>
      </w:r>
      <w:r w:rsidRPr="001B7C0F">
        <w:rPr>
          <w:rFonts w:ascii="Arial" w:eastAsia="Times New Roman" w:hAnsi="Arial" w:cs="Arial"/>
        </w:rPr>
        <w:t xml:space="preserve"> Magyar Nemzeti Bank </w:t>
      </w:r>
      <w:r w:rsidR="002D0F04" w:rsidRPr="001B7C0F">
        <w:rPr>
          <w:rFonts w:ascii="Arial" w:eastAsia="Times New Roman" w:hAnsi="Arial" w:cs="Arial"/>
        </w:rPr>
        <w:t xml:space="preserve">pénz- és hitelpiaci szervezetek feletti </w:t>
      </w:r>
      <w:r w:rsidRPr="001B7C0F">
        <w:rPr>
          <w:rFonts w:ascii="Arial" w:eastAsia="Times New Roman" w:hAnsi="Arial" w:cs="Arial"/>
        </w:rPr>
        <w:t>felügyeleti feladatai ellátása érdekében adatszolgáltatás</w:t>
      </w:r>
      <w:r w:rsidR="00140FFF">
        <w:rPr>
          <w:rFonts w:ascii="Arial" w:eastAsia="Times New Roman" w:hAnsi="Arial" w:cs="Arial"/>
        </w:rPr>
        <w:t>ra</w:t>
      </w:r>
      <w:r w:rsidRPr="001B7C0F">
        <w:rPr>
          <w:rFonts w:ascii="Arial" w:eastAsia="Times New Roman" w:hAnsi="Arial" w:cs="Arial"/>
        </w:rPr>
        <w:t xml:space="preserve"> kötelezett</w:t>
      </w:r>
      <w:r w:rsidR="00140FFF">
        <w:rPr>
          <w:rFonts w:ascii="Arial" w:eastAsia="Times New Roman" w:hAnsi="Arial" w:cs="Arial"/>
        </w:rPr>
        <w:t>ek és a jelentendő adatok körére</w:t>
      </w:r>
      <w:r w:rsidR="00135E20">
        <w:rPr>
          <w:rFonts w:ascii="Arial" w:eastAsia="Times New Roman" w:hAnsi="Arial" w:cs="Arial"/>
        </w:rPr>
        <w:t xml:space="preserve">, </w:t>
      </w:r>
      <w:r w:rsidR="00140FFF">
        <w:rPr>
          <w:rFonts w:ascii="Arial" w:eastAsia="Times New Roman" w:hAnsi="Arial" w:cs="Arial"/>
        </w:rPr>
        <w:t>valamint</w:t>
      </w:r>
      <w:r w:rsidR="00135E20">
        <w:rPr>
          <w:rFonts w:ascii="Arial" w:eastAsia="Times New Roman" w:hAnsi="Arial" w:cs="Arial"/>
        </w:rPr>
        <w:t xml:space="preserve"> az adatszolgáltatás teljesítésének módjára </w:t>
      </w:r>
      <w:r w:rsidR="00140FFF">
        <w:rPr>
          <w:rFonts w:ascii="Arial" w:eastAsia="Times New Roman" w:hAnsi="Arial" w:cs="Arial"/>
        </w:rPr>
        <w:t xml:space="preserve">és határidejére </w:t>
      </w:r>
      <w:r w:rsidR="00135E20">
        <w:rPr>
          <w:rFonts w:ascii="Arial" w:eastAsia="Times New Roman" w:hAnsi="Arial" w:cs="Arial"/>
        </w:rPr>
        <w:t>vonatkozó szabályok meghatározása.</w:t>
      </w:r>
    </w:p>
    <w:p w14:paraId="1B18AC10" w14:textId="517ACFAC" w:rsidR="007F17AA" w:rsidRDefault="009416DB" w:rsidP="008B07DF">
      <w:pPr>
        <w:autoSpaceDE w:val="0"/>
        <w:autoSpaceDN w:val="0"/>
        <w:adjustRightInd w:val="0"/>
        <w:ind w:firstLine="142"/>
        <w:jc w:val="both"/>
        <w:rPr>
          <w:rFonts w:ascii="Arial" w:hAnsi="Arial" w:cs="Arial"/>
        </w:rPr>
      </w:pPr>
      <w:r>
        <w:rPr>
          <w:rFonts w:ascii="Arial" w:hAnsi="Arial" w:cs="Arial"/>
        </w:rPr>
        <w:t xml:space="preserve">[2] </w:t>
      </w:r>
      <w:r w:rsidR="004B6E63" w:rsidRPr="001A488A">
        <w:rPr>
          <w:rFonts w:ascii="Arial" w:hAnsi="Arial" w:cs="Arial"/>
        </w:rPr>
        <w:t>A</w:t>
      </w:r>
      <w:r w:rsidR="009D5619" w:rsidRPr="001A488A">
        <w:rPr>
          <w:rFonts w:ascii="Arial" w:hAnsi="Arial" w:cs="Arial"/>
        </w:rPr>
        <w:t xml:space="preserve"> Magyar Nemzeti Bankról szóló 2013. évi CXXXIX. törvény 171. § (1) bekez</w:t>
      </w:r>
      <w:r w:rsidR="006D5B79" w:rsidRPr="001A488A">
        <w:rPr>
          <w:rFonts w:ascii="Arial" w:hAnsi="Arial" w:cs="Arial"/>
        </w:rPr>
        <w:t xml:space="preserve">dés </w:t>
      </w:r>
      <w:r w:rsidR="006D5B79" w:rsidRPr="00662D03">
        <w:rPr>
          <w:rFonts w:ascii="Arial" w:hAnsi="Arial" w:cs="Arial"/>
        </w:rPr>
        <w:t>i)</w:t>
      </w:r>
      <w:r w:rsidR="006D5B79" w:rsidRPr="001A488A">
        <w:rPr>
          <w:rFonts w:ascii="Arial" w:hAnsi="Arial" w:cs="Arial"/>
        </w:rPr>
        <w:t xml:space="preserve"> </w:t>
      </w:r>
      <w:r w:rsidR="006F2A1D" w:rsidRPr="001A488A">
        <w:rPr>
          <w:rFonts w:ascii="Arial" w:hAnsi="Arial" w:cs="Arial"/>
        </w:rPr>
        <w:t>pontjában</w:t>
      </w:r>
      <w:r w:rsidR="00B95981" w:rsidRPr="001A488A">
        <w:rPr>
          <w:rFonts w:ascii="Arial" w:hAnsi="Arial" w:cs="Arial"/>
        </w:rPr>
        <w:t xml:space="preserve"> </w:t>
      </w:r>
      <w:r w:rsidR="00410802">
        <w:rPr>
          <w:rFonts w:ascii="Arial" w:hAnsi="Arial" w:cs="Arial"/>
        </w:rPr>
        <w:t>kapott</w:t>
      </w:r>
      <w:r w:rsidR="001A488A" w:rsidRPr="001A488A">
        <w:rPr>
          <w:rFonts w:ascii="Arial" w:hAnsi="Arial" w:cs="Arial"/>
        </w:rPr>
        <w:t xml:space="preserve"> felhatal</w:t>
      </w:r>
      <w:r w:rsidR="00FD1158" w:rsidRPr="001A488A">
        <w:rPr>
          <w:rFonts w:ascii="Arial" w:hAnsi="Arial" w:cs="Arial"/>
        </w:rPr>
        <w:t>mazás alapján,</w:t>
      </w:r>
      <w:r w:rsidR="00904E7E" w:rsidRPr="001A488A">
        <w:rPr>
          <w:rFonts w:ascii="Arial" w:hAnsi="Arial" w:cs="Arial"/>
        </w:rPr>
        <w:t xml:space="preserve"> a Magyar Nemzeti Bankról szóló 2013. évi CXXXIX. törvény 4. § (6) és (9) bekezdésében </w:t>
      </w:r>
      <w:r w:rsidR="005F6EBA" w:rsidRPr="001A488A">
        <w:rPr>
          <w:rFonts w:ascii="Arial" w:hAnsi="Arial" w:cs="Arial"/>
        </w:rPr>
        <w:t>meghatározott feladatkörömben eljárva a következőket rendelem el:</w:t>
      </w:r>
    </w:p>
    <w:p w14:paraId="1B18AC11" w14:textId="77777777" w:rsidR="002A369B" w:rsidRPr="001A488A" w:rsidRDefault="002A369B" w:rsidP="00085E59">
      <w:pPr>
        <w:autoSpaceDE w:val="0"/>
        <w:autoSpaceDN w:val="0"/>
        <w:ind w:firstLine="142"/>
        <w:rPr>
          <w:rFonts w:ascii="Arial" w:hAnsi="Arial" w:cs="Arial"/>
        </w:rPr>
      </w:pPr>
    </w:p>
    <w:p w14:paraId="1B18AC12" w14:textId="77777777" w:rsidR="005F7E9D" w:rsidRDefault="004B6E63" w:rsidP="008B07DF">
      <w:pPr>
        <w:autoSpaceDE w:val="0"/>
        <w:autoSpaceDN w:val="0"/>
        <w:adjustRightInd w:val="0"/>
        <w:ind w:firstLine="142"/>
        <w:jc w:val="both"/>
        <w:rPr>
          <w:rFonts w:ascii="Arial" w:hAnsi="Arial" w:cs="Arial"/>
        </w:rPr>
      </w:pPr>
      <w:r w:rsidRPr="001A488A">
        <w:rPr>
          <w:rFonts w:ascii="Arial" w:hAnsi="Arial" w:cs="Arial"/>
          <w:b/>
          <w:bCs/>
        </w:rPr>
        <w:t xml:space="preserve">1. § </w:t>
      </w:r>
      <w:r w:rsidRPr="001A488A">
        <w:rPr>
          <w:rFonts w:ascii="Arial" w:hAnsi="Arial" w:cs="Arial"/>
        </w:rPr>
        <w:t xml:space="preserve">E rendelet hatálya </w:t>
      </w:r>
    </w:p>
    <w:p w14:paraId="1B18AC13" w14:textId="7A3CA3FA" w:rsidR="005F7E9D" w:rsidRDefault="005F7E9D" w:rsidP="008B07DF">
      <w:pPr>
        <w:autoSpaceDE w:val="0"/>
        <w:autoSpaceDN w:val="0"/>
        <w:adjustRightInd w:val="0"/>
        <w:ind w:firstLine="142"/>
        <w:jc w:val="both"/>
        <w:rPr>
          <w:rFonts w:ascii="Arial" w:hAnsi="Arial" w:cs="Arial"/>
        </w:rPr>
      </w:pPr>
      <w:r>
        <w:rPr>
          <w:rFonts w:ascii="Arial" w:hAnsi="Arial" w:cs="Arial"/>
        </w:rPr>
        <w:t xml:space="preserve">a) </w:t>
      </w:r>
      <w:r w:rsidR="004B6E63" w:rsidRPr="001A488A">
        <w:rPr>
          <w:rFonts w:ascii="Arial" w:hAnsi="Arial" w:cs="Arial"/>
        </w:rPr>
        <w:t>a hitelintézetre, a hitelintézettel egyenértékű prudenciális szabályozásnak megfelelő pénzügyi vállalkozásra (a továbbiakban együtt: hitelintézet)</w:t>
      </w:r>
      <w:r w:rsidR="00911136" w:rsidRPr="001A488A">
        <w:rPr>
          <w:rFonts w:ascii="Arial" w:hAnsi="Arial" w:cs="Arial"/>
        </w:rPr>
        <w:t xml:space="preserve">, </w:t>
      </w:r>
    </w:p>
    <w:p w14:paraId="48BD5754" w14:textId="44037E58" w:rsidR="00031180" w:rsidRDefault="000A23A8" w:rsidP="008B07DF">
      <w:pPr>
        <w:autoSpaceDE w:val="0"/>
        <w:autoSpaceDN w:val="0"/>
        <w:adjustRightInd w:val="0"/>
        <w:ind w:firstLine="142"/>
        <w:jc w:val="both"/>
        <w:rPr>
          <w:rFonts w:ascii="Arial" w:hAnsi="Arial" w:cs="Arial"/>
        </w:rPr>
      </w:pPr>
      <w:r>
        <w:rPr>
          <w:rFonts w:ascii="Arial" w:hAnsi="Arial" w:cs="Arial"/>
        </w:rPr>
        <w:t>b</w:t>
      </w:r>
      <w:r w:rsidR="005F7E9D">
        <w:rPr>
          <w:rFonts w:ascii="Arial" w:hAnsi="Arial" w:cs="Arial"/>
        </w:rPr>
        <w:t xml:space="preserve">) </w:t>
      </w:r>
      <w:r w:rsidR="00911136" w:rsidRPr="001A488A">
        <w:rPr>
          <w:rFonts w:ascii="Arial" w:hAnsi="Arial" w:cs="Arial"/>
        </w:rPr>
        <w:t xml:space="preserve">a </w:t>
      </w:r>
      <w:r w:rsidR="00031180">
        <w:rPr>
          <w:rFonts w:ascii="Arial" w:hAnsi="Arial" w:cs="Arial"/>
        </w:rPr>
        <w:t xml:space="preserve">hitelintézetekről és a pénzügyi vállalkozásokról szóló 2013. évi CCXXXVII. törvény (a továbbiakban: Hpt.) 9. § (1) bekezdés a) pontja szerinti </w:t>
      </w:r>
      <w:r w:rsidR="00911136" w:rsidRPr="001A488A">
        <w:rPr>
          <w:rFonts w:ascii="Arial" w:hAnsi="Arial" w:cs="Arial"/>
        </w:rPr>
        <w:t>pénzügyi vállalkozásra</w:t>
      </w:r>
      <w:r w:rsidR="00031180">
        <w:rPr>
          <w:rFonts w:ascii="Arial" w:hAnsi="Arial" w:cs="Arial"/>
        </w:rPr>
        <w:t xml:space="preserve"> (a továbbiakban: pénzügyi vállalkozás)</w:t>
      </w:r>
      <w:r w:rsidR="00911136" w:rsidRPr="001A488A">
        <w:rPr>
          <w:rFonts w:ascii="Arial" w:hAnsi="Arial" w:cs="Arial"/>
        </w:rPr>
        <w:t xml:space="preserve">, </w:t>
      </w:r>
    </w:p>
    <w:p w14:paraId="1B18AC15" w14:textId="02B4E663" w:rsidR="00BC739D" w:rsidRDefault="000A23A8" w:rsidP="008B07DF">
      <w:pPr>
        <w:autoSpaceDE w:val="0"/>
        <w:autoSpaceDN w:val="0"/>
        <w:adjustRightInd w:val="0"/>
        <w:ind w:firstLine="142"/>
        <w:jc w:val="both"/>
        <w:rPr>
          <w:rFonts w:ascii="Arial" w:hAnsi="Arial" w:cs="Arial"/>
        </w:rPr>
      </w:pPr>
      <w:r>
        <w:rPr>
          <w:rFonts w:ascii="Arial" w:hAnsi="Arial" w:cs="Arial"/>
        </w:rPr>
        <w:t>c</w:t>
      </w:r>
      <w:r w:rsidR="005F7E9D">
        <w:rPr>
          <w:rFonts w:ascii="Arial" w:hAnsi="Arial" w:cs="Arial"/>
        </w:rPr>
        <w:t xml:space="preserve">) </w:t>
      </w:r>
      <w:r w:rsidR="00F75DFB">
        <w:rPr>
          <w:rFonts w:ascii="Arial" w:hAnsi="Arial" w:cs="Arial"/>
        </w:rPr>
        <w:t>a</w:t>
      </w:r>
      <w:r w:rsidR="007A0972">
        <w:rPr>
          <w:rFonts w:ascii="Arial" w:hAnsi="Arial" w:cs="Arial"/>
        </w:rPr>
        <w:t xml:space="preserve"> Hpt. </w:t>
      </w:r>
      <w:r w:rsidR="00910C3A">
        <w:rPr>
          <w:rFonts w:ascii="Arial" w:hAnsi="Arial" w:cs="Arial"/>
        </w:rPr>
        <w:t xml:space="preserve">szerinti </w:t>
      </w:r>
      <w:r w:rsidR="00D3700B">
        <w:rPr>
          <w:rFonts w:ascii="Arial" w:hAnsi="Arial" w:cs="Arial"/>
        </w:rPr>
        <w:t>többes kiemelt közvetítő</w:t>
      </w:r>
      <w:r w:rsidR="00295C5B">
        <w:rPr>
          <w:rFonts w:ascii="Arial" w:hAnsi="Arial" w:cs="Arial"/>
        </w:rPr>
        <w:t>re</w:t>
      </w:r>
      <w:r w:rsidR="00D3700B">
        <w:rPr>
          <w:rFonts w:ascii="Arial" w:hAnsi="Arial" w:cs="Arial"/>
        </w:rPr>
        <w:t xml:space="preserve">, </w:t>
      </w:r>
      <w:r w:rsidR="00480764" w:rsidRPr="00747210">
        <w:rPr>
          <w:rFonts w:ascii="Arial" w:hAnsi="Arial" w:cs="Arial"/>
        </w:rPr>
        <w:t xml:space="preserve">a </w:t>
      </w:r>
      <w:r w:rsidR="00480764" w:rsidRPr="009E273B">
        <w:rPr>
          <w:rFonts w:ascii="Arial" w:hAnsi="Arial" w:cs="Arial"/>
        </w:rPr>
        <w:t xml:space="preserve">kizárólag magánszemélyek részére a mindennapi élet felszerelési tárgyainak, tartós fogyasztási cikkeinek </w:t>
      </w:r>
      <w:r w:rsidR="00BD69AE">
        <w:rPr>
          <w:rFonts w:ascii="Arial" w:hAnsi="Arial" w:cs="Arial"/>
        </w:rPr>
        <w:t xml:space="preserve">– </w:t>
      </w:r>
      <w:r w:rsidR="00480764" w:rsidRPr="009E273B">
        <w:rPr>
          <w:rFonts w:ascii="Arial" w:hAnsi="Arial" w:cs="Arial"/>
        </w:rPr>
        <w:t>ide nem értve a gépjárművet</w:t>
      </w:r>
      <w:r w:rsidR="00BD69AE">
        <w:rPr>
          <w:rFonts w:ascii="Arial" w:hAnsi="Arial" w:cs="Arial"/>
        </w:rPr>
        <w:t xml:space="preserve"> –</w:t>
      </w:r>
      <w:r w:rsidR="00747210">
        <w:rPr>
          <w:rFonts w:ascii="Arial" w:hAnsi="Arial" w:cs="Arial"/>
        </w:rPr>
        <w:t xml:space="preserve"> </w:t>
      </w:r>
      <w:r w:rsidR="00480764" w:rsidRPr="009E273B">
        <w:rPr>
          <w:rFonts w:ascii="Arial" w:hAnsi="Arial" w:cs="Arial"/>
        </w:rPr>
        <w:t>megvásárlásához nyújtott hitel- és pénzkölcsönt közvetítő többes ügynök</w:t>
      </w:r>
      <w:r w:rsidR="00747210">
        <w:rPr>
          <w:rFonts w:ascii="Arial" w:hAnsi="Arial" w:cs="Arial"/>
        </w:rPr>
        <w:t xml:space="preserve"> kivételével</w:t>
      </w:r>
      <w:r w:rsidR="00480764" w:rsidRPr="009E273B">
        <w:rPr>
          <w:rFonts w:ascii="Arial" w:hAnsi="Arial" w:cs="Arial"/>
        </w:rPr>
        <w:t xml:space="preserve"> </w:t>
      </w:r>
      <w:r w:rsidR="00821982">
        <w:rPr>
          <w:rFonts w:ascii="Arial" w:hAnsi="Arial" w:cs="Arial"/>
        </w:rPr>
        <w:t xml:space="preserve">a </w:t>
      </w:r>
      <w:r w:rsidR="00D3700B">
        <w:rPr>
          <w:rFonts w:ascii="Arial" w:hAnsi="Arial" w:cs="Arial"/>
        </w:rPr>
        <w:t>többes ügynök</w:t>
      </w:r>
      <w:r w:rsidR="00295C5B">
        <w:rPr>
          <w:rFonts w:ascii="Arial" w:hAnsi="Arial" w:cs="Arial"/>
        </w:rPr>
        <w:t>re</w:t>
      </w:r>
      <w:r w:rsidR="00D3700B">
        <w:rPr>
          <w:rFonts w:ascii="Arial" w:hAnsi="Arial" w:cs="Arial"/>
        </w:rPr>
        <w:t xml:space="preserve"> és </w:t>
      </w:r>
      <w:r w:rsidR="00821982">
        <w:rPr>
          <w:rFonts w:ascii="Arial" w:hAnsi="Arial" w:cs="Arial"/>
        </w:rPr>
        <w:t xml:space="preserve">az </w:t>
      </w:r>
      <w:r w:rsidR="00D3700B">
        <w:rPr>
          <w:rFonts w:ascii="Arial" w:hAnsi="Arial" w:cs="Arial"/>
        </w:rPr>
        <w:t>alkusz</w:t>
      </w:r>
      <w:r w:rsidR="00295C5B">
        <w:rPr>
          <w:rFonts w:ascii="Arial" w:hAnsi="Arial" w:cs="Arial"/>
        </w:rPr>
        <w:t>ra</w:t>
      </w:r>
      <w:r w:rsidR="00D3700B">
        <w:rPr>
          <w:rFonts w:ascii="Arial" w:hAnsi="Arial" w:cs="Arial"/>
        </w:rPr>
        <w:t xml:space="preserve"> </w:t>
      </w:r>
      <w:r w:rsidR="00910C3A">
        <w:rPr>
          <w:rFonts w:ascii="Arial" w:hAnsi="Arial" w:cs="Arial"/>
        </w:rPr>
        <w:t xml:space="preserve">(a továbbiakban együtt: </w:t>
      </w:r>
      <w:r w:rsidR="00F75DFB">
        <w:rPr>
          <w:rFonts w:ascii="Arial" w:hAnsi="Arial" w:cs="Arial"/>
        </w:rPr>
        <w:t>független közvetítő</w:t>
      </w:r>
      <w:r w:rsidR="00910C3A">
        <w:rPr>
          <w:rFonts w:ascii="Arial" w:hAnsi="Arial" w:cs="Arial"/>
        </w:rPr>
        <w:t>)</w:t>
      </w:r>
      <w:r w:rsidR="00F75DFB">
        <w:rPr>
          <w:rFonts w:ascii="Arial" w:hAnsi="Arial" w:cs="Arial"/>
        </w:rPr>
        <w:t xml:space="preserve">, </w:t>
      </w:r>
    </w:p>
    <w:p w14:paraId="0BA823F3" w14:textId="6B72ED0C" w:rsidR="00170A5B" w:rsidRDefault="00170A5B" w:rsidP="008B07DF">
      <w:pPr>
        <w:autoSpaceDE w:val="0"/>
        <w:autoSpaceDN w:val="0"/>
        <w:adjustRightInd w:val="0"/>
        <w:ind w:firstLine="142"/>
        <w:jc w:val="both"/>
        <w:rPr>
          <w:rFonts w:ascii="Arial" w:hAnsi="Arial" w:cs="Arial"/>
        </w:rPr>
      </w:pPr>
      <w:r>
        <w:rPr>
          <w:rFonts w:ascii="Arial" w:hAnsi="Arial" w:cs="Arial"/>
        </w:rPr>
        <w:t>d) a hitelgondozóra,</w:t>
      </w:r>
    </w:p>
    <w:p w14:paraId="65618013" w14:textId="32FCC8DE" w:rsidR="004F3134" w:rsidRDefault="008B07DF" w:rsidP="008B07DF">
      <w:pPr>
        <w:autoSpaceDE w:val="0"/>
        <w:autoSpaceDN w:val="0"/>
        <w:adjustRightInd w:val="0"/>
        <w:ind w:firstLine="142"/>
        <w:jc w:val="both"/>
        <w:rPr>
          <w:rFonts w:ascii="Arial" w:hAnsi="Arial" w:cs="Arial"/>
        </w:rPr>
      </w:pPr>
      <w:r w:rsidRPr="00CA01B8">
        <w:rPr>
          <w:rFonts w:ascii="Arial" w:hAnsi="Arial" w:cs="Arial"/>
        </w:rPr>
        <w:t>e) a hitelfelvásárlóra és a harmadik országbeli hitelfelvásárló képviselőjére</w:t>
      </w:r>
      <w:r w:rsidR="004F3134" w:rsidRPr="00CA01B8">
        <w:rPr>
          <w:rFonts w:ascii="Arial" w:hAnsi="Arial" w:cs="Arial"/>
        </w:rPr>
        <w:t>,</w:t>
      </w:r>
    </w:p>
    <w:p w14:paraId="1B18AC16" w14:textId="2EF7AED0" w:rsidR="00BC739D" w:rsidRDefault="008B07DF" w:rsidP="008B07DF">
      <w:pPr>
        <w:autoSpaceDE w:val="0"/>
        <w:autoSpaceDN w:val="0"/>
        <w:adjustRightInd w:val="0"/>
        <w:ind w:firstLine="142"/>
        <w:jc w:val="both"/>
        <w:rPr>
          <w:rFonts w:ascii="Arial" w:hAnsi="Arial" w:cs="Arial"/>
        </w:rPr>
      </w:pPr>
      <w:r>
        <w:rPr>
          <w:rFonts w:ascii="Arial" w:hAnsi="Arial" w:cs="Arial"/>
        </w:rPr>
        <w:t>f</w:t>
      </w:r>
      <w:r w:rsidR="00BC739D">
        <w:rPr>
          <w:rFonts w:ascii="Arial" w:hAnsi="Arial" w:cs="Arial"/>
        </w:rPr>
        <w:t xml:space="preserve">) </w:t>
      </w:r>
      <w:r w:rsidR="00911136" w:rsidRPr="001A488A">
        <w:rPr>
          <w:rFonts w:ascii="Arial" w:hAnsi="Arial" w:cs="Arial"/>
        </w:rPr>
        <w:t xml:space="preserve">az elektronikuspénz-kibocsátó intézményre, </w:t>
      </w:r>
    </w:p>
    <w:p w14:paraId="1B18AC17" w14:textId="108672F0" w:rsidR="00BC739D" w:rsidRDefault="008B07DF" w:rsidP="008B07DF">
      <w:pPr>
        <w:autoSpaceDE w:val="0"/>
        <w:autoSpaceDN w:val="0"/>
        <w:adjustRightInd w:val="0"/>
        <w:ind w:firstLine="142"/>
        <w:jc w:val="both"/>
        <w:rPr>
          <w:rFonts w:ascii="Arial" w:hAnsi="Arial" w:cs="Arial"/>
        </w:rPr>
      </w:pPr>
      <w:r>
        <w:rPr>
          <w:rFonts w:ascii="Arial" w:hAnsi="Arial" w:cs="Arial"/>
        </w:rPr>
        <w:t>g</w:t>
      </w:r>
      <w:r w:rsidR="00BC739D">
        <w:rPr>
          <w:rFonts w:ascii="Arial" w:hAnsi="Arial" w:cs="Arial"/>
        </w:rPr>
        <w:t xml:space="preserve">) </w:t>
      </w:r>
      <w:r w:rsidR="00911136" w:rsidRPr="001A488A">
        <w:rPr>
          <w:rFonts w:ascii="Arial" w:hAnsi="Arial" w:cs="Arial"/>
        </w:rPr>
        <w:t>a pénzforgalmi intézményre</w:t>
      </w:r>
      <w:r w:rsidR="00FA46A3">
        <w:rPr>
          <w:rFonts w:ascii="Arial" w:hAnsi="Arial" w:cs="Arial"/>
        </w:rPr>
        <w:t>,</w:t>
      </w:r>
      <w:r w:rsidR="00911136" w:rsidRPr="001A488A">
        <w:rPr>
          <w:rFonts w:ascii="Arial" w:hAnsi="Arial" w:cs="Arial"/>
        </w:rPr>
        <w:t xml:space="preserve"> </w:t>
      </w:r>
    </w:p>
    <w:p w14:paraId="328B9556" w14:textId="00CEF828" w:rsidR="00170A5B" w:rsidRDefault="008B07DF" w:rsidP="008B07DF">
      <w:pPr>
        <w:autoSpaceDE w:val="0"/>
        <w:autoSpaceDN w:val="0"/>
        <w:adjustRightInd w:val="0"/>
        <w:ind w:firstLine="142"/>
        <w:jc w:val="both"/>
        <w:rPr>
          <w:rFonts w:ascii="Arial" w:hAnsi="Arial" w:cs="Arial"/>
        </w:rPr>
      </w:pPr>
      <w:r>
        <w:rPr>
          <w:rFonts w:ascii="Arial" w:hAnsi="Arial" w:cs="Arial"/>
        </w:rPr>
        <w:t>h</w:t>
      </w:r>
      <w:r w:rsidR="00BC739D">
        <w:rPr>
          <w:rFonts w:ascii="Arial" w:hAnsi="Arial" w:cs="Arial"/>
        </w:rPr>
        <w:t xml:space="preserve">) </w:t>
      </w:r>
      <w:r w:rsidR="00911136" w:rsidRPr="001A488A">
        <w:rPr>
          <w:rFonts w:ascii="Arial" w:hAnsi="Arial" w:cs="Arial"/>
        </w:rPr>
        <w:t>a Posta Elszámoló Központot működtető intézményre (</w:t>
      </w:r>
      <w:r w:rsidR="00E302E3">
        <w:rPr>
          <w:rFonts w:ascii="Arial" w:hAnsi="Arial" w:cs="Arial"/>
        </w:rPr>
        <w:t xml:space="preserve">a </w:t>
      </w:r>
      <w:r w:rsidR="00911136" w:rsidRPr="001A488A">
        <w:rPr>
          <w:rFonts w:ascii="Arial" w:hAnsi="Arial" w:cs="Arial"/>
        </w:rPr>
        <w:t>továbbiakban:</w:t>
      </w:r>
      <w:r w:rsidR="00911136" w:rsidRPr="001A488A">
        <w:rPr>
          <w:rFonts w:ascii="Arial" w:hAnsi="Arial" w:cs="Arial"/>
          <w:b/>
          <w:bCs/>
        </w:rPr>
        <w:t xml:space="preserve"> </w:t>
      </w:r>
      <w:r w:rsidR="00911136" w:rsidRPr="001A488A">
        <w:rPr>
          <w:rFonts w:ascii="Arial" w:hAnsi="Arial" w:cs="Arial"/>
        </w:rPr>
        <w:t>PEKMI)</w:t>
      </w:r>
      <w:r w:rsidR="00BC739D">
        <w:rPr>
          <w:rFonts w:ascii="Arial" w:hAnsi="Arial" w:cs="Arial"/>
        </w:rPr>
        <w:t>,</w:t>
      </w:r>
    </w:p>
    <w:p w14:paraId="576EC7E1" w14:textId="57DD723E" w:rsidR="0069567B" w:rsidRDefault="008B07DF" w:rsidP="008B07DF">
      <w:pPr>
        <w:autoSpaceDE w:val="0"/>
        <w:autoSpaceDN w:val="0"/>
        <w:adjustRightInd w:val="0"/>
        <w:ind w:firstLine="142"/>
        <w:jc w:val="both"/>
        <w:rPr>
          <w:rFonts w:ascii="Arial" w:hAnsi="Arial" w:cs="Arial"/>
        </w:rPr>
      </w:pPr>
      <w:r>
        <w:rPr>
          <w:rFonts w:ascii="Arial" w:hAnsi="Arial" w:cs="Arial"/>
        </w:rPr>
        <w:t>i</w:t>
      </w:r>
      <w:r w:rsidR="00BC739D">
        <w:rPr>
          <w:rFonts w:ascii="Arial" w:hAnsi="Arial" w:cs="Arial"/>
        </w:rPr>
        <w:t>)</w:t>
      </w:r>
      <w:r w:rsidR="00FA46A3">
        <w:rPr>
          <w:rFonts w:ascii="Arial" w:hAnsi="Arial" w:cs="Arial"/>
        </w:rPr>
        <w:t xml:space="preserve"> </w:t>
      </w:r>
      <w:r w:rsidR="004B6E63" w:rsidRPr="001A488A">
        <w:rPr>
          <w:rFonts w:ascii="Arial" w:hAnsi="Arial" w:cs="Arial"/>
        </w:rPr>
        <w:t xml:space="preserve">az Európai Unió másik tagállamában vagy az Európai Gazdasági Térségről szóló megállapodásban részes más államban </w:t>
      </w:r>
      <w:r w:rsidR="00832658">
        <w:rPr>
          <w:rFonts w:ascii="Arial" w:hAnsi="Arial" w:cs="Arial"/>
        </w:rPr>
        <w:t xml:space="preserve">(a továbbiakban: EGT-állam) </w:t>
      </w:r>
      <w:r w:rsidR="004B6E63" w:rsidRPr="001A488A">
        <w:rPr>
          <w:rFonts w:ascii="Arial" w:hAnsi="Arial" w:cs="Arial"/>
        </w:rPr>
        <w:t>székhellyel rendelkező hitelintézet</w:t>
      </w:r>
      <w:r w:rsidR="00FC1912" w:rsidRPr="001A488A">
        <w:rPr>
          <w:rFonts w:ascii="Arial" w:hAnsi="Arial" w:cs="Arial"/>
        </w:rPr>
        <w:t xml:space="preserve">, pénzügyi vállalkozás, </w:t>
      </w:r>
      <w:r w:rsidR="00170A5B">
        <w:rPr>
          <w:rFonts w:ascii="Arial" w:hAnsi="Arial" w:cs="Arial"/>
        </w:rPr>
        <w:t>hitelgondozó,</w:t>
      </w:r>
      <w:r w:rsidR="00170A5B" w:rsidRPr="001A488A">
        <w:rPr>
          <w:rFonts w:ascii="Arial" w:hAnsi="Arial" w:cs="Arial"/>
        </w:rPr>
        <w:t xml:space="preserve"> </w:t>
      </w:r>
      <w:r w:rsidR="00FC1912" w:rsidRPr="001A488A">
        <w:rPr>
          <w:rFonts w:ascii="Arial" w:hAnsi="Arial" w:cs="Arial"/>
        </w:rPr>
        <w:t>elektronikuspénz-kibocsátó intézmény</w:t>
      </w:r>
      <w:r w:rsidR="00911136" w:rsidRPr="001A488A">
        <w:rPr>
          <w:rFonts w:ascii="Arial" w:hAnsi="Arial" w:cs="Arial"/>
        </w:rPr>
        <w:t>,</w:t>
      </w:r>
      <w:r w:rsidR="00FC1912" w:rsidRPr="001A488A">
        <w:rPr>
          <w:rFonts w:ascii="Arial" w:hAnsi="Arial" w:cs="Arial"/>
        </w:rPr>
        <w:t xml:space="preserve"> pénzforgalmi intézmény</w:t>
      </w:r>
      <w:r w:rsidR="0069567B">
        <w:rPr>
          <w:rFonts w:ascii="Arial" w:hAnsi="Arial" w:cs="Arial"/>
        </w:rPr>
        <w:t xml:space="preserve"> </w:t>
      </w:r>
      <w:r w:rsidR="004B6E63" w:rsidRPr="001A488A">
        <w:rPr>
          <w:rFonts w:ascii="Arial" w:hAnsi="Arial" w:cs="Arial"/>
        </w:rPr>
        <w:t>magyarországi fióktelepére</w:t>
      </w:r>
      <w:r w:rsidR="001F505F">
        <w:rPr>
          <w:rFonts w:ascii="Arial" w:hAnsi="Arial" w:cs="Arial"/>
        </w:rPr>
        <w:t xml:space="preserve"> (a továbbiakban</w:t>
      </w:r>
      <w:r w:rsidR="00E302E3">
        <w:rPr>
          <w:rFonts w:ascii="Arial" w:hAnsi="Arial" w:cs="Arial"/>
        </w:rPr>
        <w:t>:</w:t>
      </w:r>
      <w:r w:rsidR="001F505F">
        <w:rPr>
          <w:rFonts w:ascii="Arial" w:hAnsi="Arial" w:cs="Arial"/>
        </w:rPr>
        <w:t xml:space="preserve"> EGT</w:t>
      </w:r>
      <w:r w:rsidR="00832658">
        <w:rPr>
          <w:rFonts w:ascii="Arial" w:hAnsi="Arial" w:cs="Arial"/>
        </w:rPr>
        <w:t>-</w:t>
      </w:r>
      <w:r w:rsidR="001F505F">
        <w:rPr>
          <w:rFonts w:ascii="Arial" w:hAnsi="Arial" w:cs="Arial"/>
        </w:rPr>
        <w:t>fióktelep)</w:t>
      </w:r>
      <w:r w:rsidR="0069567B">
        <w:rPr>
          <w:rFonts w:ascii="Arial" w:hAnsi="Arial" w:cs="Arial"/>
        </w:rPr>
        <w:t>,</w:t>
      </w:r>
    </w:p>
    <w:p w14:paraId="1B18AC19" w14:textId="7D022F4C" w:rsidR="00AF5BA3" w:rsidRDefault="0069567B" w:rsidP="008B07DF">
      <w:pPr>
        <w:autoSpaceDE w:val="0"/>
        <w:autoSpaceDN w:val="0"/>
        <w:adjustRightInd w:val="0"/>
        <w:ind w:firstLine="142"/>
        <w:jc w:val="both"/>
        <w:rPr>
          <w:rFonts w:ascii="Arial" w:hAnsi="Arial" w:cs="Arial"/>
        </w:rPr>
      </w:pPr>
      <w:r>
        <w:rPr>
          <w:rFonts w:ascii="Arial" w:hAnsi="Arial" w:cs="Arial"/>
        </w:rPr>
        <w:t>j</w:t>
      </w:r>
      <w:r w:rsidR="00353C5E">
        <w:rPr>
          <w:rFonts w:ascii="Arial" w:hAnsi="Arial" w:cs="Arial"/>
        </w:rPr>
        <w:t>) a Nemzeti Adó- és Vámhivatalra (a továbbiakban: NAV)</w:t>
      </w:r>
      <w:r w:rsidR="00832658">
        <w:rPr>
          <w:rFonts w:ascii="Arial" w:hAnsi="Arial" w:cs="Arial"/>
        </w:rPr>
        <w:t xml:space="preserve"> </w:t>
      </w:r>
    </w:p>
    <w:p w14:paraId="1B18AC1A" w14:textId="77777777" w:rsidR="004B6E63" w:rsidRPr="001A488A" w:rsidRDefault="00911136" w:rsidP="004F3134">
      <w:pPr>
        <w:autoSpaceDE w:val="0"/>
        <w:autoSpaceDN w:val="0"/>
        <w:adjustRightInd w:val="0"/>
        <w:jc w:val="both"/>
        <w:rPr>
          <w:rFonts w:ascii="Arial" w:hAnsi="Arial" w:cs="Arial"/>
        </w:rPr>
      </w:pPr>
      <w:r w:rsidRPr="001A488A">
        <w:rPr>
          <w:rFonts w:ascii="Arial" w:hAnsi="Arial" w:cs="Arial"/>
        </w:rPr>
        <w:t xml:space="preserve">(a továbbiakban együtt: </w:t>
      </w:r>
      <w:r w:rsidR="005C04B2" w:rsidRPr="001A488A">
        <w:rPr>
          <w:rFonts w:ascii="Arial" w:hAnsi="Arial" w:cs="Arial"/>
        </w:rPr>
        <w:t>a</w:t>
      </w:r>
      <w:r w:rsidRPr="001A488A">
        <w:rPr>
          <w:rFonts w:ascii="Arial" w:hAnsi="Arial" w:cs="Arial"/>
        </w:rPr>
        <w:t>datszolgáltató)</w:t>
      </w:r>
      <w:r w:rsidRPr="001A488A">
        <w:rPr>
          <w:rFonts w:ascii="Arial" w:hAnsi="Arial" w:cs="Arial"/>
          <w:b/>
          <w:bCs/>
        </w:rPr>
        <w:t xml:space="preserve"> </w:t>
      </w:r>
      <w:r w:rsidR="004B6E63" w:rsidRPr="001A488A">
        <w:rPr>
          <w:rFonts w:ascii="Arial" w:hAnsi="Arial" w:cs="Arial"/>
        </w:rPr>
        <w:t>terjed ki.</w:t>
      </w:r>
    </w:p>
    <w:p w14:paraId="1B18AC1B" w14:textId="77777777" w:rsidR="001A54F3" w:rsidRDefault="001A54F3" w:rsidP="00300E88">
      <w:pPr>
        <w:autoSpaceDE w:val="0"/>
        <w:autoSpaceDN w:val="0"/>
        <w:adjustRightInd w:val="0"/>
        <w:ind w:firstLine="142"/>
        <w:jc w:val="both"/>
        <w:rPr>
          <w:rFonts w:ascii="Arial" w:hAnsi="Arial" w:cs="Arial"/>
        </w:rPr>
      </w:pPr>
    </w:p>
    <w:p w14:paraId="1B18AC1C" w14:textId="65748EA9" w:rsidR="004B6E63" w:rsidRPr="001A488A" w:rsidRDefault="007F17AA" w:rsidP="008B07DF">
      <w:pPr>
        <w:autoSpaceDE w:val="0"/>
        <w:autoSpaceDN w:val="0"/>
        <w:adjustRightInd w:val="0"/>
        <w:ind w:firstLine="142"/>
        <w:jc w:val="both"/>
        <w:rPr>
          <w:rFonts w:ascii="Arial" w:hAnsi="Arial" w:cs="Arial"/>
        </w:rPr>
      </w:pPr>
      <w:r w:rsidRPr="007F17AA">
        <w:rPr>
          <w:rFonts w:ascii="Arial" w:hAnsi="Arial" w:cs="Arial"/>
          <w:b/>
        </w:rPr>
        <w:t>2. §</w:t>
      </w:r>
      <w:r w:rsidR="001A54F3">
        <w:rPr>
          <w:rFonts w:ascii="Arial" w:hAnsi="Arial" w:cs="Arial"/>
        </w:rPr>
        <w:t xml:space="preserve"> (1</w:t>
      </w:r>
      <w:r w:rsidR="004B6E63" w:rsidRPr="001A488A">
        <w:rPr>
          <w:rFonts w:ascii="Arial" w:hAnsi="Arial" w:cs="Arial"/>
        </w:rPr>
        <w:t>) A</w:t>
      </w:r>
      <w:r w:rsidR="00911136" w:rsidRPr="001A488A">
        <w:rPr>
          <w:rFonts w:ascii="Arial" w:hAnsi="Arial" w:cs="Arial"/>
        </w:rPr>
        <w:t xml:space="preserve">z </w:t>
      </w:r>
      <w:r w:rsidR="00A614BF">
        <w:rPr>
          <w:rFonts w:ascii="Arial" w:hAnsi="Arial" w:cs="Arial"/>
        </w:rPr>
        <w:t>1. § a)–</w:t>
      </w:r>
      <w:r w:rsidR="005D4AF3">
        <w:rPr>
          <w:rFonts w:ascii="Arial" w:hAnsi="Arial" w:cs="Arial"/>
        </w:rPr>
        <w:t>i</w:t>
      </w:r>
      <w:r w:rsidR="00A614BF">
        <w:rPr>
          <w:rFonts w:ascii="Arial" w:hAnsi="Arial" w:cs="Arial"/>
        </w:rPr>
        <w:t xml:space="preserve">) pontja szerinti </w:t>
      </w:r>
      <w:r w:rsidR="00BE3F27">
        <w:rPr>
          <w:rFonts w:ascii="Arial" w:hAnsi="Arial" w:cs="Arial"/>
        </w:rPr>
        <w:t>a</w:t>
      </w:r>
      <w:r w:rsidR="00911136" w:rsidRPr="001A488A">
        <w:rPr>
          <w:rFonts w:ascii="Arial" w:hAnsi="Arial" w:cs="Arial"/>
        </w:rPr>
        <w:t>datszolgáltató</w:t>
      </w:r>
      <w:r w:rsidR="004B6E63" w:rsidRPr="001A488A">
        <w:rPr>
          <w:rFonts w:ascii="Arial" w:hAnsi="Arial" w:cs="Arial"/>
        </w:rPr>
        <w:t xml:space="preserve"> az e rendeletben foglaltak szerint </w:t>
      </w:r>
      <w:r w:rsidR="001A54F3">
        <w:rPr>
          <w:rFonts w:ascii="Arial" w:hAnsi="Arial" w:cs="Arial"/>
        </w:rPr>
        <w:t xml:space="preserve">rendszeres, eseti és a Magyar Nemzeti Bank (a továbbiakban: MNB) kijelölésén alapuló adatszolgáltatást (a továbbiakban: </w:t>
      </w:r>
      <w:r w:rsidR="004B6E63" w:rsidRPr="001A488A">
        <w:rPr>
          <w:rFonts w:ascii="Arial" w:hAnsi="Arial" w:cs="Arial"/>
        </w:rPr>
        <w:t>felügyeleti jelentés</w:t>
      </w:r>
      <w:r w:rsidR="001A54F3">
        <w:rPr>
          <w:rFonts w:ascii="Arial" w:hAnsi="Arial" w:cs="Arial"/>
        </w:rPr>
        <w:t>) teljesí</w:t>
      </w:r>
      <w:r w:rsidR="004B6E63" w:rsidRPr="001A488A">
        <w:rPr>
          <w:rFonts w:ascii="Arial" w:hAnsi="Arial" w:cs="Arial"/>
        </w:rPr>
        <w:t>t</w:t>
      </w:r>
      <w:r w:rsidR="001A54F3">
        <w:rPr>
          <w:rFonts w:ascii="Arial" w:hAnsi="Arial" w:cs="Arial"/>
        </w:rPr>
        <w:t xml:space="preserve"> az</w:t>
      </w:r>
      <w:r w:rsidR="00090D9F" w:rsidRPr="001A488A">
        <w:rPr>
          <w:rFonts w:ascii="Arial" w:hAnsi="Arial" w:cs="Arial"/>
        </w:rPr>
        <w:t xml:space="preserve"> </w:t>
      </w:r>
      <w:r w:rsidR="00547F66" w:rsidRPr="001A488A">
        <w:rPr>
          <w:rFonts w:ascii="Arial" w:hAnsi="Arial" w:cs="Arial"/>
        </w:rPr>
        <w:t>MNB</w:t>
      </w:r>
      <w:r w:rsidR="004B6E63" w:rsidRPr="001A488A">
        <w:rPr>
          <w:rFonts w:ascii="Arial" w:hAnsi="Arial" w:cs="Arial"/>
        </w:rPr>
        <w:t xml:space="preserve"> részére.</w:t>
      </w:r>
    </w:p>
    <w:p w14:paraId="1B18AC1D" w14:textId="77777777" w:rsidR="004B6E63" w:rsidRPr="00312561" w:rsidRDefault="004B6E63" w:rsidP="008B07DF">
      <w:pPr>
        <w:autoSpaceDE w:val="0"/>
        <w:autoSpaceDN w:val="0"/>
        <w:adjustRightInd w:val="0"/>
        <w:ind w:firstLine="142"/>
        <w:jc w:val="both"/>
        <w:rPr>
          <w:rFonts w:ascii="Arial" w:hAnsi="Arial" w:cs="Arial"/>
        </w:rPr>
      </w:pPr>
      <w:r w:rsidRPr="00312561">
        <w:rPr>
          <w:rFonts w:ascii="Arial" w:hAnsi="Arial" w:cs="Arial"/>
        </w:rPr>
        <w:t>(</w:t>
      </w:r>
      <w:r w:rsidR="001A54F3" w:rsidRPr="00312561">
        <w:rPr>
          <w:rFonts w:ascii="Arial" w:hAnsi="Arial" w:cs="Arial"/>
        </w:rPr>
        <w:t>2</w:t>
      </w:r>
      <w:r w:rsidRPr="00312561">
        <w:rPr>
          <w:rFonts w:ascii="Arial" w:hAnsi="Arial" w:cs="Arial"/>
        </w:rPr>
        <w:t>) A felügyeleti jelentés elkészítésének alapját a</w:t>
      </w:r>
      <w:r w:rsidR="00312561" w:rsidRPr="00312561">
        <w:rPr>
          <w:rFonts w:ascii="Arial" w:hAnsi="Arial" w:cs="Arial"/>
        </w:rPr>
        <w:t>z</w:t>
      </w:r>
      <w:r w:rsidR="00312561">
        <w:rPr>
          <w:rFonts w:ascii="Arial" w:hAnsi="Arial" w:cs="Arial"/>
        </w:rPr>
        <w:t xml:space="preserve"> adatszolgáltató által</w:t>
      </w:r>
      <w:r w:rsidR="00312561" w:rsidRPr="00312561">
        <w:rPr>
          <w:rFonts w:ascii="Arial" w:hAnsi="Arial" w:cs="Arial"/>
        </w:rPr>
        <w:t xml:space="preserve"> alkalmazott számviteli szabályozás </w:t>
      </w:r>
      <w:r w:rsidRPr="00312561">
        <w:rPr>
          <w:rFonts w:ascii="Arial" w:hAnsi="Arial" w:cs="Arial"/>
        </w:rPr>
        <w:t>szerint készített főkönyvi és analitikus nyilvántartások képezik.</w:t>
      </w:r>
    </w:p>
    <w:p w14:paraId="1B18AC1E" w14:textId="77777777" w:rsidR="001A54F3" w:rsidRDefault="001A54F3" w:rsidP="008B07DF">
      <w:pPr>
        <w:autoSpaceDE w:val="0"/>
        <w:autoSpaceDN w:val="0"/>
        <w:adjustRightInd w:val="0"/>
        <w:ind w:firstLine="142"/>
        <w:jc w:val="both"/>
        <w:rPr>
          <w:rFonts w:ascii="Arial" w:hAnsi="Arial" w:cs="Arial"/>
        </w:rPr>
      </w:pPr>
      <w:r>
        <w:rPr>
          <w:rFonts w:ascii="Arial" w:hAnsi="Arial" w:cs="Arial"/>
        </w:rPr>
        <w:t>(</w:t>
      </w:r>
      <w:r w:rsidR="00312561">
        <w:rPr>
          <w:rFonts w:ascii="Arial" w:hAnsi="Arial" w:cs="Arial"/>
        </w:rPr>
        <w:t>3</w:t>
      </w:r>
      <w:r>
        <w:rPr>
          <w:rFonts w:ascii="Arial" w:hAnsi="Arial" w:cs="Arial"/>
        </w:rPr>
        <w:t xml:space="preserve">) </w:t>
      </w:r>
      <w:r w:rsidRPr="001C4F2A">
        <w:rPr>
          <w:rFonts w:ascii="Arial" w:hAnsi="Arial" w:cs="Arial"/>
        </w:rPr>
        <w:t>A</w:t>
      </w:r>
      <w:r>
        <w:rPr>
          <w:rFonts w:ascii="Arial" w:hAnsi="Arial" w:cs="Arial"/>
        </w:rPr>
        <w:t xml:space="preserve"> felügyeleti jelentés alapjául szolgáló dokumentumokat</w:t>
      </w:r>
      <w:r w:rsidRPr="001C4F2A">
        <w:rPr>
          <w:rFonts w:ascii="Arial" w:hAnsi="Arial" w:cs="Arial"/>
        </w:rPr>
        <w:t>, a számviteli, nyilvántartási, informatikai rendszerekben tárolt információkat a</w:t>
      </w:r>
      <w:r>
        <w:rPr>
          <w:rFonts w:ascii="Arial" w:hAnsi="Arial" w:cs="Arial"/>
        </w:rPr>
        <w:t xml:space="preserve"> felügyeleti jelentés</w:t>
      </w:r>
      <w:r w:rsidRPr="001C4F2A">
        <w:rPr>
          <w:rFonts w:ascii="Arial" w:hAnsi="Arial" w:cs="Arial"/>
        </w:rPr>
        <w:t xml:space="preserve"> esedékessége naptári évének utolsó napjától számított öt évig kell megőrizni.</w:t>
      </w:r>
    </w:p>
    <w:p w14:paraId="1B18AC1F" w14:textId="77777777" w:rsidR="001A54F3" w:rsidRPr="001A488A" w:rsidRDefault="001A54F3" w:rsidP="00300E88">
      <w:pPr>
        <w:autoSpaceDE w:val="0"/>
        <w:autoSpaceDN w:val="0"/>
        <w:adjustRightInd w:val="0"/>
        <w:ind w:firstLine="142"/>
        <w:jc w:val="both"/>
        <w:rPr>
          <w:rFonts w:ascii="Arial" w:hAnsi="Arial" w:cs="Arial"/>
        </w:rPr>
      </w:pPr>
    </w:p>
    <w:p w14:paraId="1B18AC20" w14:textId="4BE4A5E4" w:rsidR="00745CD8" w:rsidRPr="001A488A" w:rsidRDefault="007F17AA" w:rsidP="008B07DF">
      <w:pPr>
        <w:autoSpaceDE w:val="0"/>
        <w:autoSpaceDN w:val="0"/>
        <w:adjustRightInd w:val="0"/>
        <w:ind w:firstLine="142"/>
        <w:jc w:val="both"/>
        <w:rPr>
          <w:rFonts w:ascii="Arial" w:hAnsi="Arial" w:cs="Arial"/>
        </w:rPr>
      </w:pPr>
      <w:r w:rsidRPr="007F17AA">
        <w:rPr>
          <w:rFonts w:ascii="Arial" w:hAnsi="Arial" w:cs="Arial"/>
          <w:b/>
        </w:rPr>
        <w:t>3. §</w:t>
      </w:r>
      <w:r w:rsidR="001A54F3">
        <w:rPr>
          <w:rFonts w:ascii="Arial" w:hAnsi="Arial" w:cs="Arial"/>
        </w:rPr>
        <w:t xml:space="preserve"> </w:t>
      </w:r>
      <w:r w:rsidR="004B6E63" w:rsidRPr="001A488A">
        <w:rPr>
          <w:rFonts w:ascii="Arial" w:hAnsi="Arial" w:cs="Arial"/>
        </w:rPr>
        <w:t>(</w:t>
      </w:r>
      <w:r w:rsidR="001A54F3">
        <w:rPr>
          <w:rFonts w:ascii="Arial" w:hAnsi="Arial" w:cs="Arial"/>
        </w:rPr>
        <w:t>1</w:t>
      </w:r>
      <w:r w:rsidR="004B6E63" w:rsidRPr="001A488A">
        <w:rPr>
          <w:rFonts w:ascii="Arial" w:hAnsi="Arial" w:cs="Arial"/>
        </w:rPr>
        <w:t>) A</w:t>
      </w:r>
      <w:r w:rsidR="00911136" w:rsidRPr="001A488A">
        <w:rPr>
          <w:rFonts w:ascii="Arial" w:hAnsi="Arial" w:cs="Arial"/>
        </w:rPr>
        <w:t>z</w:t>
      </w:r>
      <w:r w:rsidR="00A614BF">
        <w:rPr>
          <w:rFonts w:ascii="Arial" w:hAnsi="Arial" w:cs="Arial"/>
        </w:rPr>
        <w:t xml:space="preserve"> 1. § a)–</w:t>
      </w:r>
      <w:r w:rsidR="005D4AF3">
        <w:rPr>
          <w:rFonts w:ascii="Arial" w:hAnsi="Arial" w:cs="Arial"/>
        </w:rPr>
        <w:t>i</w:t>
      </w:r>
      <w:r w:rsidR="00A614BF">
        <w:rPr>
          <w:rFonts w:ascii="Arial" w:hAnsi="Arial" w:cs="Arial"/>
        </w:rPr>
        <w:t>) pontja szerinti</w:t>
      </w:r>
      <w:r w:rsidR="00911136" w:rsidRPr="001A488A">
        <w:rPr>
          <w:rFonts w:ascii="Arial" w:hAnsi="Arial" w:cs="Arial"/>
        </w:rPr>
        <w:t xml:space="preserve"> </w:t>
      </w:r>
      <w:r w:rsidR="0068417A">
        <w:rPr>
          <w:rFonts w:ascii="Arial" w:hAnsi="Arial" w:cs="Arial"/>
        </w:rPr>
        <w:t>a</w:t>
      </w:r>
      <w:r w:rsidR="00911136" w:rsidRPr="001A488A">
        <w:rPr>
          <w:rFonts w:ascii="Arial" w:hAnsi="Arial" w:cs="Arial"/>
        </w:rPr>
        <w:t xml:space="preserve">datszolgáltató </w:t>
      </w:r>
      <w:r w:rsidR="001A54F3">
        <w:rPr>
          <w:rFonts w:ascii="Arial" w:hAnsi="Arial" w:cs="Arial"/>
        </w:rPr>
        <w:t>e rendelet szerinti felügyeleti jelentés teljesítés</w:t>
      </w:r>
      <w:r w:rsidR="00B61A6F">
        <w:rPr>
          <w:rFonts w:ascii="Arial" w:hAnsi="Arial" w:cs="Arial"/>
        </w:rPr>
        <w:t>ére vonatkozó</w:t>
      </w:r>
      <w:r w:rsidR="001A54F3">
        <w:rPr>
          <w:rFonts w:ascii="Arial" w:hAnsi="Arial" w:cs="Arial"/>
        </w:rPr>
        <w:t xml:space="preserve"> kötelezettsége –</w:t>
      </w:r>
      <w:r w:rsidR="00745CD8" w:rsidRPr="001A488A">
        <w:rPr>
          <w:rFonts w:ascii="Arial" w:hAnsi="Arial" w:cs="Arial"/>
        </w:rPr>
        <w:t xml:space="preserve"> a (</w:t>
      </w:r>
      <w:r w:rsidR="001A54F3">
        <w:rPr>
          <w:rFonts w:ascii="Arial" w:hAnsi="Arial" w:cs="Arial"/>
        </w:rPr>
        <w:t>2</w:t>
      </w:r>
      <w:r w:rsidR="006A2A09">
        <w:rPr>
          <w:rFonts w:ascii="Arial" w:hAnsi="Arial" w:cs="Arial"/>
        </w:rPr>
        <w:t>)</w:t>
      </w:r>
      <w:r w:rsidR="008639E0">
        <w:rPr>
          <w:rFonts w:ascii="Arial" w:hAnsi="Arial" w:cs="Arial"/>
        </w:rPr>
        <w:t>–</w:t>
      </w:r>
      <w:r w:rsidR="006F2164">
        <w:rPr>
          <w:rFonts w:ascii="Arial" w:hAnsi="Arial" w:cs="Arial"/>
        </w:rPr>
        <w:t>(</w:t>
      </w:r>
      <w:r w:rsidR="00C37CD6">
        <w:rPr>
          <w:rFonts w:ascii="Arial" w:hAnsi="Arial" w:cs="Arial"/>
        </w:rPr>
        <w:t>6</w:t>
      </w:r>
      <w:r w:rsidR="006F2164">
        <w:rPr>
          <w:rFonts w:ascii="Arial" w:hAnsi="Arial" w:cs="Arial"/>
        </w:rPr>
        <w:t xml:space="preserve">) </w:t>
      </w:r>
      <w:r w:rsidR="00745CD8" w:rsidRPr="001A488A">
        <w:rPr>
          <w:rFonts w:ascii="Arial" w:hAnsi="Arial" w:cs="Arial"/>
        </w:rPr>
        <w:t xml:space="preserve">bekezdésben foglalt </w:t>
      </w:r>
      <w:r w:rsidR="00150EA8">
        <w:rPr>
          <w:rFonts w:ascii="Arial" w:hAnsi="Arial" w:cs="Arial"/>
        </w:rPr>
        <w:t>kivétel</w:t>
      </w:r>
      <w:r w:rsidR="00866D0A">
        <w:rPr>
          <w:rFonts w:ascii="Arial" w:hAnsi="Arial" w:cs="Arial"/>
        </w:rPr>
        <w:t>l</w:t>
      </w:r>
      <w:r w:rsidR="00150EA8">
        <w:rPr>
          <w:rFonts w:ascii="Arial" w:hAnsi="Arial" w:cs="Arial"/>
        </w:rPr>
        <w:t>el</w:t>
      </w:r>
      <w:r w:rsidR="00150EA8" w:rsidRPr="001A488A">
        <w:rPr>
          <w:rFonts w:ascii="Arial" w:hAnsi="Arial" w:cs="Arial"/>
        </w:rPr>
        <w:t xml:space="preserve"> </w:t>
      </w:r>
      <w:r w:rsidR="001A54F3">
        <w:rPr>
          <w:rFonts w:ascii="Arial" w:hAnsi="Arial" w:cs="Arial"/>
        </w:rPr>
        <w:t>–</w:t>
      </w:r>
      <w:r w:rsidR="00745CD8" w:rsidRPr="001A488A">
        <w:rPr>
          <w:rFonts w:ascii="Arial" w:hAnsi="Arial" w:cs="Arial"/>
        </w:rPr>
        <w:t xml:space="preserve"> az MNB által kiadott tevékenységi engedélyről szóló határozat </w:t>
      </w:r>
      <w:r w:rsidR="008F5A88">
        <w:rPr>
          <w:rFonts w:ascii="Arial" w:hAnsi="Arial" w:cs="Arial"/>
        </w:rPr>
        <w:t>véglegessé válása</w:t>
      </w:r>
      <w:r w:rsidR="00745CD8" w:rsidRPr="001A488A">
        <w:rPr>
          <w:rFonts w:ascii="Arial" w:hAnsi="Arial" w:cs="Arial"/>
        </w:rPr>
        <w:t xml:space="preserve"> napjától a tevékenységi engedély visszavonásáról szóló határozat </w:t>
      </w:r>
      <w:r w:rsidR="008F5A88">
        <w:rPr>
          <w:rFonts w:ascii="Arial" w:hAnsi="Arial" w:cs="Arial"/>
        </w:rPr>
        <w:t>véglegessé válása</w:t>
      </w:r>
      <w:r w:rsidR="00745CD8" w:rsidRPr="001A488A">
        <w:rPr>
          <w:rFonts w:ascii="Arial" w:hAnsi="Arial" w:cs="Arial"/>
        </w:rPr>
        <w:t xml:space="preserve"> napjáig </w:t>
      </w:r>
      <w:r w:rsidR="001A54F3">
        <w:rPr>
          <w:rFonts w:ascii="Arial" w:hAnsi="Arial" w:cs="Arial"/>
        </w:rPr>
        <w:t>áll fenn</w:t>
      </w:r>
      <w:r w:rsidR="00745CD8" w:rsidRPr="001A488A">
        <w:rPr>
          <w:rFonts w:ascii="Arial" w:hAnsi="Arial" w:cs="Arial"/>
        </w:rPr>
        <w:t>.</w:t>
      </w:r>
    </w:p>
    <w:p w14:paraId="1B18AC21" w14:textId="77777777" w:rsidR="004B6E63" w:rsidRPr="001A488A" w:rsidDel="00745CD8" w:rsidRDefault="00911136" w:rsidP="008B07DF">
      <w:pPr>
        <w:autoSpaceDE w:val="0"/>
        <w:autoSpaceDN w:val="0"/>
        <w:adjustRightInd w:val="0"/>
        <w:ind w:firstLine="142"/>
        <w:jc w:val="both"/>
        <w:rPr>
          <w:rFonts w:ascii="Arial" w:hAnsi="Arial" w:cs="Arial"/>
        </w:rPr>
      </w:pPr>
      <w:r w:rsidRPr="001A488A">
        <w:rPr>
          <w:rFonts w:ascii="Arial" w:hAnsi="Arial" w:cs="Arial"/>
        </w:rPr>
        <w:t>(</w:t>
      </w:r>
      <w:r w:rsidR="001A54F3">
        <w:rPr>
          <w:rFonts w:ascii="Arial" w:hAnsi="Arial" w:cs="Arial"/>
        </w:rPr>
        <w:t>2</w:t>
      </w:r>
      <w:r w:rsidRPr="001A488A">
        <w:rPr>
          <w:rFonts w:ascii="Arial" w:hAnsi="Arial" w:cs="Arial"/>
        </w:rPr>
        <w:t xml:space="preserve">) A PEKMI </w:t>
      </w:r>
      <w:r w:rsidR="00622D0F">
        <w:rPr>
          <w:rFonts w:ascii="Arial" w:hAnsi="Arial" w:cs="Arial"/>
        </w:rPr>
        <w:t xml:space="preserve">az </w:t>
      </w:r>
      <w:r w:rsidR="001A54F3">
        <w:rPr>
          <w:rFonts w:ascii="Arial" w:hAnsi="Arial" w:cs="Arial"/>
        </w:rPr>
        <w:t xml:space="preserve">e rendelet szerinti felügyeleti jelentést </w:t>
      </w:r>
      <w:r w:rsidRPr="001A488A">
        <w:rPr>
          <w:rFonts w:ascii="Arial" w:hAnsi="Arial" w:cs="Arial"/>
        </w:rPr>
        <w:t>e rendelet hatálybalépésének napjától pénzforgalmi szolgáltató jogállásának megszűnéséig teljesít</w:t>
      </w:r>
      <w:r w:rsidR="00A81CFB">
        <w:rPr>
          <w:rFonts w:ascii="Arial" w:hAnsi="Arial" w:cs="Arial"/>
        </w:rPr>
        <w:t>i</w:t>
      </w:r>
      <w:r w:rsidRPr="001A488A">
        <w:rPr>
          <w:rFonts w:ascii="Arial" w:hAnsi="Arial" w:cs="Arial"/>
        </w:rPr>
        <w:t>.</w:t>
      </w:r>
    </w:p>
    <w:p w14:paraId="1B18AC22" w14:textId="77777777" w:rsidR="006F2164" w:rsidRDefault="004B6E63" w:rsidP="008B07DF">
      <w:pPr>
        <w:autoSpaceDE w:val="0"/>
        <w:autoSpaceDN w:val="0"/>
        <w:adjustRightInd w:val="0"/>
        <w:ind w:firstLine="142"/>
        <w:jc w:val="both"/>
        <w:rPr>
          <w:rFonts w:ascii="Arial" w:hAnsi="Arial" w:cs="Arial"/>
        </w:rPr>
      </w:pPr>
      <w:r w:rsidRPr="001A488A">
        <w:rPr>
          <w:rFonts w:ascii="Arial" w:hAnsi="Arial" w:cs="Arial"/>
        </w:rPr>
        <w:t>(</w:t>
      </w:r>
      <w:r w:rsidR="00622D0F">
        <w:rPr>
          <w:rFonts w:ascii="Arial" w:hAnsi="Arial" w:cs="Arial"/>
        </w:rPr>
        <w:t>3</w:t>
      </w:r>
      <w:r w:rsidRPr="001A488A">
        <w:rPr>
          <w:rFonts w:ascii="Arial" w:hAnsi="Arial" w:cs="Arial"/>
        </w:rPr>
        <w:t>) A</w:t>
      </w:r>
      <w:r w:rsidR="0094503D">
        <w:rPr>
          <w:rFonts w:ascii="Arial" w:hAnsi="Arial" w:cs="Arial"/>
        </w:rPr>
        <w:t xml:space="preserve">z </w:t>
      </w:r>
      <w:r w:rsidR="002323E9">
        <w:rPr>
          <w:rFonts w:ascii="Arial" w:hAnsi="Arial" w:cs="Arial"/>
        </w:rPr>
        <w:t>EGT-</w:t>
      </w:r>
      <w:r w:rsidRPr="001A488A">
        <w:rPr>
          <w:rFonts w:ascii="Arial" w:hAnsi="Arial" w:cs="Arial"/>
        </w:rPr>
        <w:t xml:space="preserve">fióktelep </w:t>
      </w:r>
      <w:r w:rsidR="00622D0F">
        <w:rPr>
          <w:rFonts w:ascii="Arial" w:hAnsi="Arial" w:cs="Arial"/>
        </w:rPr>
        <w:t xml:space="preserve">az e rendelet szerinti felügyeleti jelentést </w:t>
      </w:r>
      <w:r w:rsidRPr="001A488A">
        <w:rPr>
          <w:rFonts w:ascii="Arial" w:hAnsi="Arial" w:cs="Arial"/>
        </w:rPr>
        <w:t>a működése megkezdésének napjától a tevékenysége befejezésének napjáig teljesít</w:t>
      </w:r>
      <w:r w:rsidR="00A81CFB">
        <w:rPr>
          <w:rFonts w:ascii="Arial" w:hAnsi="Arial" w:cs="Arial"/>
        </w:rPr>
        <w:t>i</w:t>
      </w:r>
      <w:r w:rsidRPr="001A488A">
        <w:rPr>
          <w:rFonts w:ascii="Arial" w:hAnsi="Arial" w:cs="Arial"/>
        </w:rPr>
        <w:t>.</w:t>
      </w:r>
    </w:p>
    <w:p w14:paraId="1B18AC23" w14:textId="649F18BA" w:rsidR="006F2164" w:rsidRDefault="006F2164" w:rsidP="008B07DF">
      <w:pPr>
        <w:autoSpaceDE w:val="0"/>
        <w:autoSpaceDN w:val="0"/>
        <w:adjustRightInd w:val="0"/>
        <w:ind w:firstLine="142"/>
        <w:jc w:val="both"/>
        <w:rPr>
          <w:rFonts w:ascii="Arial" w:hAnsi="Arial" w:cs="Arial"/>
        </w:rPr>
      </w:pPr>
      <w:r>
        <w:rPr>
          <w:rFonts w:ascii="Arial" w:hAnsi="Arial" w:cs="Arial"/>
        </w:rPr>
        <w:lastRenderedPageBreak/>
        <w:t>(4)</w:t>
      </w:r>
      <w:r w:rsidR="000563F9">
        <w:rPr>
          <w:rFonts w:ascii="Arial" w:hAnsi="Arial" w:cs="Arial"/>
        </w:rPr>
        <w:t xml:space="preserve"> A p</w:t>
      </w:r>
      <w:r>
        <w:rPr>
          <w:rFonts w:ascii="Arial" w:hAnsi="Arial" w:cs="Arial"/>
        </w:rPr>
        <w:t xml:space="preserve">énzügyi vállalkozás </w:t>
      </w:r>
      <w:r w:rsidR="00E302E3">
        <w:rPr>
          <w:rFonts w:ascii="Arial" w:hAnsi="Arial" w:cs="Arial"/>
        </w:rPr>
        <w:t xml:space="preserve">az </w:t>
      </w:r>
      <w:r w:rsidR="000563F9">
        <w:rPr>
          <w:rFonts w:ascii="Arial" w:hAnsi="Arial" w:cs="Arial"/>
        </w:rPr>
        <w:t xml:space="preserve">e rendelet szerinti felügyeleti jelentést </w:t>
      </w:r>
      <w:r>
        <w:rPr>
          <w:rFonts w:ascii="Arial" w:hAnsi="Arial" w:cs="Arial"/>
        </w:rPr>
        <w:t>a cégbírósági bejegyzés</w:t>
      </w:r>
      <w:r w:rsidR="00E302E3">
        <w:rPr>
          <w:rFonts w:ascii="Arial" w:hAnsi="Arial" w:cs="Arial"/>
        </w:rPr>
        <w:t>é</w:t>
      </w:r>
      <w:r>
        <w:rPr>
          <w:rFonts w:ascii="Arial" w:hAnsi="Arial" w:cs="Arial"/>
        </w:rPr>
        <w:t>t követő negyedév</w:t>
      </w:r>
      <w:r w:rsidR="005963E6">
        <w:rPr>
          <w:rFonts w:ascii="Arial" w:hAnsi="Arial" w:cs="Arial"/>
        </w:rPr>
        <w:t>től</w:t>
      </w:r>
      <w:r>
        <w:rPr>
          <w:rFonts w:ascii="Arial" w:hAnsi="Arial" w:cs="Arial"/>
        </w:rPr>
        <w:t xml:space="preserve"> teljesít</w:t>
      </w:r>
      <w:r w:rsidR="000563F9">
        <w:rPr>
          <w:rFonts w:ascii="Arial" w:hAnsi="Arial" w:cs="Arial"/>
        </w:rPr>
        <w:t>i</w:t>
      </w:r>
      <w:r>
        <w:rPr>
          <w:rFonts w:ascii="Arial" w:hAnsi="Arial" w:cs="Arial"/>
        </w:rPr>
        <w:t xml:space="preserve">. </w:t>
      </w:r>
    </w:p>
    <w:p w14:paraId="7E503D3B" w14:textId="734C3627" w:rsidR="005D4AF3" w:rsidRDefault="00BF4497" w:rsidP="008B07DF">
      <w:pPr>
        <w:autoSpaceDE w:val="0"/>
        <w:autoSpaceDN w:val="0"/>
        <w:adjustRightInd w:val="0"/>
        <w:ind w:firstLine="142"/>
        <w:jc w:val="both"/>
        <w:rPr>
          <w:rFonts w:ascii="Arial" w:hAnsi="Arial" w:cs="Arial"/>
        </w:rPr>
      </w:pPr>
      <w:r w:rsidRPr="00BF4497">
        <w:rPr>
          <w:rFonts w:ascii="Arial" w:hAnsi="Arial" w:cs="Arial"/>
        </w:rPr>
        <w:t xml:space="preserve">(5) A kizárólag számlainformációs szolgáltatást nyújtó pénzforgalmi intézmény az e rendelet szerinti felügyeleti jelentést a számlainformációs szolgáltatás végzésére vonatkozó bejelentése nyilvántartásba vétele tárgyában hozott MNB határozat véglegessé válása napjától a tevékenység megszűnéséről történő </w:t>
      </w:r>
      <w:r w:rsidRPr="009D0BD4">
        <w:rPr>
          <w:rFonts w:ascii="Arial" w:hAnsi="Arial" w:cs="Arial"/>
        </w:rPr>
        <w:t>bejelentés</w:t>
      </w:r>
      <w:r w:rsidR="00EA049C" w:rsidRPr="009D0BD4">
        <w:rPr>
          <w:rFonts w:ascii="Arial" w:hAnsi="Arial" w:cs="Arial"/>
        </w:rPr>
        <w:t>e nyilvántartásba vétele tárgyában hozott MNB határozat véglegessé válása</w:t>
      </w:r>
      <w:r w:rsidRPr="009D0BD4">
        <w:rPr>
          <w:rFonts w:ascii="Arial" w:hAnsi="Arial" w:cs="Arial"/>
        </w:rPr>
        <w:t xml:space="preserve"> napjáig teljesíti.</w:t>
      </w:r>
    </w:p>
    <w:p w14:paraId="48B72191" w14:textId="607846B4" w:rsidR="00C37CD6" w:rsidRPr="00BF4497" w:rsidRDefault="00C37CD6" w:rsidP="008B07DF">
      <w:pPr>
        <w:autoSpaceDE w:val="0"/>
        <w:autoSpaceDN w:val="0"/>
        <w:adjustRightInd w:val="0"/>
        <w:ind w:firstLine="142"/>
        <w:jc w:val="both"/>
        <w:rPr>
          <w:rFonts w:ascii="Arial" w:hAnsi="Arial" w:cs="Arial"/>
        </w:rPr>
      </w:pPr>
      <w:r>
        <w:rPr>
          <w:rFonts w:ascii="Arial" w:hAnsi="Arial" w:cs="Arial"/>
        </w:rPr>
        <w:t>(6) A hitelfelvásárló</w:t>
      </w:r>
      <w:r w:rsidR="00300E88">
        <w:rPr>
          <w:rFonts w:ascii="Arial" w:hAnsi="Arial" w:cs="Arial"/>
        </w:rPr>
        <w:t xml:space="preserve"> adatszolgáltatási kötelezettsége a</w:t>
      </w:r>
      <w:r w:rsidR="00CA5D4E">
        <w:rPr>
          <w:rFonts w:ascii="Arial" w:hAnsi="Arial" w:cs="Arial"/>
        </w:rPr>
        <w:t xml:space="preserve"> nemteljesítő hitelmegállapodások hitelgondozóiról és a nemteljesítő hitelmegállapodások felvásárlóiról szóló 2025. évi XII. törvény</w:t>
      </w:r>
      <w:r w:rsidR="00300E88">
        <w:rPr>
          <w:rFonts w:ascii="Arial" w:hAnsi="Arial" w:cs="Arial"/>
        </w:rPr>
        <w:t xml:space="preserve"> </w:t>
      </w:r>
      <w:r w:rsidR="00CA5D4E">
        <w:rPr>
          <w:rFonts w:ascii="Arial" w:hAnsi="Arial" w:cs="Arial"/>
        </w:rPr>
        <w:t xml:space="preserve">(a továbbiakban: </w:t>
      </w:r>
      <w:r w:rsidR="00300E88">
        <w:rPr>
          <w:rFonts w:ascii="Arial" w:hAnsi="Arial" w:cs="Arial"/>
        </w:rPr>
        <w:t>Nhf.</w:t>
      </w:r>
      <w:r w:rsidR="00CA5D4E">
        <w:rPr>
          <w:rFonts w:ascii="Arial" w:hAnsi="Arial" w:cs="Arial"/>
        </w:rPr>
        <w:t>)</w:t>
      </w:r>
      <w:r w:rsidR="00300E88">
        <w:rPr>
          <w:rFonts w:ascii="Arial" w:hAnsi="Arial" w:cs="Arial"/>
        </w:rPr>
        <w:t xml:space="preserve"> hatálya alá tartozó </w:t>
      </w:r>
      <w:r w:rsidR="00CA5D4E">
        <w:rPr>
          <w:rFonts w:ascii="Arial" w:hAnsi="Arial" w:cs="Arial"/>
        </w:rPr>
        <w:t>nemteljesítő hitelmemegállapodás vagy nemteljesítő hitelmegállapodásból eredő hitelező jog</w:t>
      </w:r>
      <w:r w:rsidR="00300E88">
        <w:rPr>
          <w:rFonts w:ascii="Arial" w:hAnsi="Arial" w:cs="Arial"/>
        </w:rPr>
        <w:t xml:space="preserve"> megvásárlás</w:t>
      </w:r>
      <w:r w:rsidR="00CA5D4E">
        <w:rPr>
          <w:rFonts w:ascii="Arial" w:hAnsi="Arial" w:cs="Arial"/>
        </w:rPr>
        <w:t>a napjától</w:t>
      </w:r>
      <w:r w:rsidR="00300E88">
        <w:rPr>
          <w:rFonts w:ascii="Arial" w:hAnsi="Arial" w:cs="Arial"/>
        </w:rPr>
        <w:t xml:space="preserve"> mindaddig fennál</w:t>
      </w:r>
      <w:r w:rsidR="00DC507F">
        <w:rPr>
          <w:rFonts w:ascii="Arial" w:hAnsi="Arial" w:cs="Arial"/>
        </w:rPr>
        <w:t>l</w:t>
      </w:r>
      <w:r w:rsidR="00300E88">
        <w:rPr>
          <w:rFonts w:ascii="Arial" w:hAnsi="Arial" w:cs="Arial"/>
        </w:rPr>
        <w:t xml:space="preserve">, ameddig </w:t>
      </w:r>
      <w:r w:rsidR="00CA5D4E">
        <w:rPr>
          <w:rFonts w:ascii="Arial" w:hAnsi="Arial" w:cs="Arial"/>
        </w:rPr>
        <w:t xml:space="preserve">az </w:t>
      </w:r>
      <w:r w:rsidR="00300E88">
        <w:rPr>
          <w:rFonts w:ascii="Arial" w:hAnsi="Arial" w:cs="Arial"/>
        </w:rPr>
        <w:t xml:space="preserve">Nhf. hatálya alá tartozó </w:t>
      </w:r>
      <w:r w:rsidR="00A73F28">
        <w:rPr>
          <w:rFonts w:ascii="Arial" w:hAnsi="Arial" w:cs="Arial"/>
        </w:rPr>
        <w:t xml:space="preserve">nemteljesítő hitelmemegállapodáson vagy nemteljesítő hitelmegállapodásból eredő hitelező jogon alapuló </w:t>
      </w:r>
      <w:r w:rsidR="00300E88">
        <w:rPr>
          <w:rFonts w:ascii="Arial" w:hAnsi="Arial" w:cs="Arial"/>
        </w:rPr>
        <w:t>követelésállománnyal rendelkezik.</w:t>
      </w:r>
    </w:p>
    <w:p w14:paraId="1B18AC24" w14:textId="68212C8A" w:rsidR="0066316F" w:rsidRDefault="0066316F" w:rsidP="00085E59">
      <w:pPr>
        <w:autoSpaceDE w:val="0"/>
        <w:autoSpaceDN w:val="0"/>
        <w:adjustRightInd w:val="0"/>
        <w:ind w:firstLine="142"/>
        <w:jc w:val="both"/>
        <w:rPr>
          <w:rFonts w:ascii="Arial" w:hAnsi="Arial" w:cs="Arial"/>
          <w:b/>
          <w:bCs/>
        </w:rPr>
      </w:pPr>
    </w:p>
    <w:p w14:paraId="1B18AC25" w14:textId="3B641310" w:rsidR="00881DCC" w:rsidRDefault="00B61A6F" w:rsidP="008B07DF">
      <w:pPr>
        <w:autoSpaceDE w:val="0"/>
        <w:autoSpaceDN w:val="0"/>
        <w:adjustRightInd w:val="0"/>
        <w:ind w:firstLine="142"/>
        <w:jc w:val="both"/>
        <w:rPr>
          <w:rFonts w:ascii="Arial" w:hAnsi="Arial" w:cs="Arial"/>
        </w:rPr>
      </w:pPr>
      <w:r>
        <w:rPr>
          <w:rFonts w:ascii="Arial" w:hAnsi="Arial" w:cs="Arial"/>
          <w:b/>
          <w:bCs/>
        </w:rPr>
        <w:t>4</w:t>
      </w:r>
      <w:r w:rsidR="00487BC4" w:rsidRPr="001A488A">
        <w:rPr>
          <w:rFonts w:ascii="Arial" w:hAnsi="Arial" w:cs="Arial"/>
          <w:b/>
          <w:bCs/>
        </w:rPr>
        <w:t>.</w:t>
      </w:r>
      <w:r w:rsidR="0066316F">
        <w:rPr>
          <w:rFonts w:ascii="Arial" w:hAnsi="Arial" w:cs="Arial"/>
          <w:b/>
          <w:bCs/>
        </w:rPr>
        <w:t xml:space="preserve"> </w:t>
      </w:r>
      <w:r w:rsidR="004B6E63" w:rsidRPr="001A488A">
        <w:rPr>
          <w:rFonts w:ascii="Arial" w:hAnsi="Arial" w:cs="Arial"/>
          <w:b/>
          <w:bCs/>
        </w:rPr>
        <w:t xml:space="preserve">§ </w:t>
      </w:r>
      <w:r w:rsidR="00881DCC" w:rsidRPr="00BA66D3">
        <w:rPr>
          <w:rFonts w:ascii="Arial" w:hAnsi="Arial" w:cs="Arial"/>
          <w:bCs/>
        </w:rPr>
        <w:t>(1)</w:t>
      </w:r>
      <w:r w:rsidR="00881DCC" w:rsidRPr="00E47605">
        <w:rPr>
          <w:rFonts w:ascii="Arial" w:hAnsi="Arial" w:cs="Arial"/>
        </w:rPr>
        <w:t xml:space="preserve"> A</w:t>
      </w:r>
      <w:r w:rsidR="00881DCC" w:rsidRPr="001A488A">
        <w:rPr>
          <w:rFonts w:ascii="Arial" w:hAnsi="Arial" w:cs="Arial"/>
          <w:bCs/>
        </w:rPr>
        <w:t xml:space="preserve"> </w:t>
      </w:r>
      <w:r w:rsidR="00881DCC" w:rsidRPr="00140942">
        <w:rPr>
          <w:rFonts w:ascii="Arial" w:hAnsi="Arial" w:cs="Arial"/>
          <w:bCs/>
        </w:rPr>
        <w:t>hitelintézet</w:t>
      </w:r>
      <w:r w:rsidR="00D02744">
        <w:rPr>
          <w:rFonts w:ascii="Arial" w:hAnsi="Arial" w:cs="Arial"/>
          <w:bCs/>
        </w:rPr>
        <w:t xml:space="preserve"> és</w:t>
      </w:r>
      <w:r w:rsidR="00881DCC" w:rsidRPr="00E47605">
        <w:rPr>
          <w:rFonts w:ascii="Arial" w:hAnsi="Arial" w:cs="Arial"/>
        </w:rPr>
        <w:t xml:space="preserve"> a</w:t>
      </w:r>
      <w:r w:rsidR="00FB2D73">
        <w:rPr>
          <w:rFonts w:ascii="Arial" w:hAnsi="Arial" w:cs="Arial"/>
        </w:rPr>
        <w:t xml:space="preserve"> hitelintézeti</w:t>
      </w:r>
      <w:r w:rsidR="00881DCC" w:rsidRPr="00E47605">
        <w:rPr>
          <w:rFonts w:ascii="Arial" w:hAnsi="Arial" w:cs="Arial"/>
        </w:rPr>
        <w:t xml:space="preserve"> típusú </w:t>
      </w:r>
      <w:r w:rsidR="00FB2D73">
        <w:rPr>
          <w:rFonts w:ascii="Arial" w:hAnsi="Arial" w:cs="Arial"/>
        </w:rPr>
        <w:t>EGT-</w:t>
      </w:r>
      <w:r w:rsidR="00881DCC" w:rsidRPr="00E47605">
        <w:rPr>
          <w:rFonts w:ascii="Arial" w:hAnsi="Arial" w:cs="Arial"/>
        </w:rPr>
        <w:t xml:space="preserve">fióktelep </w:t>
      </w:r>
      <w:r w:rsidR="00971907">
        <w:rPr>
          <w:rFonts w:ascii="Arial" w:hAnsi="Arial" w:cs="Arial"/>
        </w:rPr>
        <w:t xml:space="preserve">– a </w:t>
      </w:r>
      <w:r w:rsidR="00971907">
        <w:rPr>
          <w:rFonts w:ascii="Arial" w:hAnsi="Arial" w:cs="Arial"/>
          <w:bCs/>
        </w:rPr>
        <w:t>(</w:t>
      </w:r>
      <w:r w:rsidR="009E1F58" w:rsidRPr="00D95B7C">
        <w:rPr>
          <w:rFonts w:ascii="Arial" w:hAnsi="Arial" w:cs="Arial"/>
          <w:bCs/>
        </w:rPr>
        <w:t>2</w:t>
      </w:r>
      <w:r w:rsidR="00971907" w:rsidRPr="00D95B7C">
        <w:rPr>
          <w:rFonts w:ascii="Arial" w:hAnsi="Arial" w:cs="Arial"/>
          <w:bCs/>
        </w:rPr>
        <w:t>)</w:t>
      </w:r>
      <w:r w:rsidR="00971907">
        <w:rPr>
          <w:rFonts w:ascii="Arial" w:hAnsi="Arial" w:cs="Arial"/>
          <w:bCs/>
        </w:rPr>
        <w:t xml:space="preserve"> bekezdésben foglalt kivétellel – </w:t>
      </w:r>
      <w:r w:rsidR="00881DCC" w:rsidRPr="00E47605">
        <w:rPr>
          <w:rFonts w:ascii="Arial" w:hAnsi="Arial" w:cs="Arial"/>
        </w:rPr>
        <w:t>a 2. mellékletben foglaltaknak megfelelő tartalommal, formában</w:t>
      </w:r>
      <w:r w:rsidR="006A31C9">
        <w:rPr>
          <w:rFonts w:ascii="Arial" w:hAnsi="Arial" w:cs="Arial"/>
        </w:rPr>
        <w:t>, gyakorisággal</w:t>
      </w:r>
      <w:r w:rsidR="00881DCC" w:rsidRPr="00E47605">
        <w:rPr>
          <w:rFonts w:ascii="Arial" w:hAnsi="Arial" w:cs="Arial"/>
        </w:rPr>
        <w:t xml:space="preserve"> és határidőre felügyeleti jelentést teljesít az MNB részére.</w:t>
      </w:r>
    </w:p>
    <w:p w14:paraId="1B18AC26" w14:textId="082E0978" w:rsidR="00290A95" w:rsidRDefault="00B2603F" w:rsidP="008B07DF">
      <w:pPr>
        <w:autoSpaceDE w:val="0"/>
        <w:autoSpaceDN w:val="0"/>
        <w:adjustRightInd w:val="0"/>
        <w:ind w:firstLine="142"/>
        <w:jc w:val="both"/>
        <w:rPr>
          <w:rFonts w:ascii="Arial" w:hAnsi="Arial" w:cs="Arial"/>
        </w:rPr>
      </w:pPr>
      <w:r>
        <w:rPr>
          <w:rFonts w:ascii="Arial" w:hAnsi="Arial" w:cs="Arial"/>
        </w:rPr>
        <w:t>(</w:t>
      </w:r>
      <w:r w:rsidR="004868A1">
        <w:rPr>
          <w:rFonts w:ascii="Arial" w:hAnsi="Arial" w:cs="Arial"/>
        </w:rPr>
        <w:t>2</w:t>
      </w:r>
      <w:r>
        <w:rPr>
          <w:rFonts w:ascii="Arial" w:hAnsi="Arial" w:cs="Arial"/>
        </w:rPr>
        <w:t>) A</w:t>
      </w:r>
      <w:r w:rsidRPr="00901731">
        <w:rPr>
          <w:rFonts w:ascii="Arial" w:hAnsi="Arial" w:cs="Arial"/>
          <w:bCs/>
        </w:rPr>
        <w:t xml:space="preserve"> </w:t>
      </w:r>
      <w:r w:rsidR="00E350F2">
        <w:rPr>
          <w:rFonts w:ascii="Arial" w:hAnsi="Arial" w:cs="Arial"/>
          <w:bCs/>
        </w:rPr>
        <w:t xml:space="preserve">nem EGT-államban székhellyel rendelkező hitelintézet </w:t>
      </w:r>
      <w:r w:rsidR="00E350F2" w:rsidRPr="00140942">
        <w:rPr>
          <w:rFonts w:ascii="Arial" w:hAnsi="Arial" w:cs="Arial"/>
          <w:bCs/>
        </w:rPr>
        <w:t xml:space="preserve">magyarországi fióktelepeként </w:t>
      </w:r>
      <w:r w:rsidR="008829E1">
        <w:rPr>
          <w:rFonts w:ascii="Arial" w:hAnsi="Arial" w:cs="Arial"/>
          <w:bCs/>
        </w:rPr>
        <w:t xml:space="preserve">működő hitelintézet </w:t>
      </w:r>
      <w:r w:rsidR="00E350F2" w:rsidRPr="00140942">
        <w:rPr>
          <w:rFonts w:ascii="Arial" w:hAnsi="Arial" w:cs="Arial"/>
          <w:bCs/>
        </w:rPr>
        <w:t xml:space="preserve">(a továbbiakban: </w:t>
      </w:r>
      <w:r w:rsidRPr="00140942">
        <w:rPr>
          <w:rFonts w:ascii="Arial" w:hAnsi="Arial" w:cs="Arial"/>
          <w:bCs/>
        </w:rPr>
        <w:t>harmadik országbeli hitelintézet fióktelepe</w:t>
      </w:r>
      <w:r w:rsidR="008829E1">
        <w:rPr>
          <w:rFonts w:ascii="Arial" w:hAnsi="Arial" w:cs="Arial"/>
          <w:bCs/>
        </w:rPr>
        <w:t>)</w:t>
      </w:r>
      <w:r>
        <w:rPr>
          <w:rFonts w:ascii="Arial" w:hAnsi="Arial" w:cs="Arial"/>
          <w:bCs/>
        </w:rPr>
        <w:t xml:space="preserve"> </w:t>
      </w:r>
      <w:r w:rsidR="001434A2">
        <w:rPr>
          <w:rFonts w:ascii="Arial" w:hAnsi="Arial" w:cs="Arial"/>
        </w:rPr>
        <w:t xml:space="preserve">az (EU) </w:t>
      </w:r>
      <w:r w:rsidR="005D4AF3">
        <w:rPr>
          <w:rFonts w:ascii="Arial" w:hAnsi="Arial" w:cs="Arial"/>
        </w:rPr>
        <w:t>2024/3117</w:t>
      </w:r>
      <w:r>
        <w:rPr>
          <w:rFonts w:ascii="Arial" w:hAnsi="Arial" w:cs="Arial"/>
        </w:rPr>
        <w:t xml:space="preserve"> bizottsági végrehajtási rendelet </w:t>
      </w:r>
      <w:r w:rsidR="00712936" w:rsidRPr="00135BC1">
        <w:rPr>
          <w:rFonts w:ascii="Arial" w:hAnsi="Arial" w:cs="Arial"/>
        </w:rPr>
        <w:t>13</w:t>
      </w:r>
      <w:r w:rsidRPr="00135BC1">
        <w:rPr>
          <w:rFonts w:ascii="Arial" w:hAnsi="Arial" w:cs="Arial"/>
        </w:rPr>
        <w:t>. cikk (2) bekezdésében</w:t>
      </w:r>
      <w:r>
        <w:rPr>
          <w:rFonts w:ascii="Arial" w:hAnsi="Arial" w:cs="Arial"/>
        </w:rPr>
        <w:t xml:space="preserve">, valamint </w:t>
      </w:r>
      <w:r w:rsidR="005D4AF3">
        <w:rPr>
          <w:rFonts w:ascii="Arial" w:hAnsi="Arial" w:cs="Arial"/>
        </w:rPr>
        <w:t xml:space="preserve">I. </w:t>
      </w:r>
      <w:r>
        <w:rPr>
          <w:rFonts w:ascii="Arial" w:hAnsi="Arial" w:cs="Arial"/>
        </w:rPr>
        <w:t xml:space="preserve">mellékletében </w:t>
      </w:r>
      <w:r w:rsidRPr="005D5386">
        <w:rPr>
          <w:rFonts w:ascii="Arial" w:hAnsi="Arial" w:cs="Arial"/>
        </w:rPr>
        <w:t>foglaltaknak megfelelő tartalommal</w:t>
      </w:r>
      <w:r>
        <w:rPr>
          <w:rFonts w:ascii="Arial" w:hAnsi="Arial" w:cs="Arial"/>
        </w:rPr>
        <w:t xml:space="preserve"> és</w:t>
      </w:r>
      <w:r w:rsidRPr="00E9578F">
        <w:rPr>
          <w:rFonts w:ascii="Arial" w:hAnsi="Arial" w:cs="Arial"/>
        </w:rPr>
        <w:t xml:space="preserve"> </w:t>
      </w:r>
      <w:r w:rsidRPr="001B1E86">
        <w:rPr>
          <w:rFonts w:ascii="Arial" w:hAnsi="Arial" w:cs="Arial"/>
        </w:rPr>
        <w:t xml:space="preserve">formában </w:t>
      </w:r>
      <w:r>
        <w:rPr>
          <w:rFonts w:ascii="Arial" w:hAnsi="Arial" w:cs="Arial"/>
        </w:rPr>
        <w:t xml:space="preserve">felügyeleti jelentést teljesít az ingatlanfedezetű hitelekből származó veszteségekre vonatkozó adatokról </w:t>
      </w:r>
      <w:r w:rsidRPr="00454233">
        <w:rPr>
          <w:rFonts w:ascii="Arial" w:hAnsi="Arial" w:cs="Arial"/>
        </w:rPr>
        <w:t>az MNB részére.</w:t>
      </w:r>
      <w:r>
        <w:rPr>
          <w:rFonts w:ascii="Arial" w:hAnsi="Arial" w:cs="Arial"/>
        </w:rPr>
        <w:t xml:space="preserve"> A vonatkozási időpontra </w:t>
      </w:r>
      <w:r w:rsidR="00712936">
        <w:rPr>
          <w:rFonts w:ascii="Arial" w:hAnsi="Arial" w:cs="Arial"/>
        </w:rPr>
        <w:t xml:space="preserve">az (EU) </w:t>
      </w:r>
      <w:r w:rsidR="00135BC1">
        <w:rPr>
          <w:rFonts w:ascii="Arial" w:hAnsi="Arial" w:cs="Arial"/>
        </w:rPr>
        <w:t>2024/3117</w:t>
      </w:r>
      <w:r>
        <w:rPr>
          <w:rFonts w:ascii="Arial" w:hAnsi="Arial" w:cs="Arial"/>
        </w:rPr>
        <w:t xml:space="preserve"> bizottsági végrehajtási rendelet 2. cikk (1) bekezdés </w:t>
      </w:r>
      <w:r w:rsidR="00712936">
        <w:rPr>
          <w:rFonts w:ascii="Arial" w:hAnsi="Arial" w:cs="Arial"/>
        </w:rPr>
        <w:t>d</w:t>
      </w:r>
      <w:r>
        <w:rPr>
          <w:rFonts w:ascii="Arial" w:hAnsi="Arial" w:cs="Arial"/>
        </w:rPr>
        <w:t xml:space="preserve">) pontja, a teljesítési határidőre </w:t>
      </w:r>
      <w:r w:rsidR="00712936">
        <w:rPr>
          <w:rFonts w:ascii="Arial" w:hAnsi="Arial" w:cs="Arial"/>
        </w:rPr>
        <w:t xml:space="preserve">az (EU) </w:t>
      </w:r>
      <w:r w:rsidR="00135BC1">
        <w:rPr>
          <w:rFonts w:ascii="Arial" w:hAnsi="Arial" w:cs="Arial"/>
        </w:rPr>
        <w:t>2024/3117</w:t>
      </w:r>
      <w:r>
        <w:rPr>
          <w:rFonts w:ascii="Arial" w:hAnsi="Arial" w:cs="Arial"/>
        </w:rPr>
        <w:t xml:space="preserve"> bizottsági végrehajtási rendelet 3. cikk (1) bekezdés </w:t>
      </w:r>
      <w:r w:rsidR="00712936">
        <w:rPr>
          <w:rFonts w:ascii="Arial" w:hAnsi="Arial" w:cs="Arial"/>
        </w:rPr>
        <w:t>d</w:t>
      </w:r>
      <w:r>
        <w:rPr>
          <w:rFonts w:ascii="Arial" w:hAnsi="Arial" w:cs="Arial"/>
        </w:rPr>
        <w:t>) pontja, valamint (2), (4) és (5) bekezdése az irányadó.</w:t>
      </w:r>
    </w:p>
    <w:p w14:paraId="1B18AC27" w14:textId="02709A01" w:rsidR="007C1010" w:rsidRPr="00082FE7" w:rsidRDefault="007C1010" w:rsidP="008B07DF">
      <w:pPr>
        <w:autoSpaceDE w:val="0"/>
        <w:autoSpaceDN w:val="0"/>
        <w:adjustRightInd w:val="0"/>
        <w:ind w:firstLine="142"/>
        <w:jc w:val="both"/>
        <w:rPr>
          <w:rFonts w:ascii="Arial" w:hAnsi="Arial" w:cs="Arial"/>
        </w:rPr>
      </w:pPr>
      <w:r>
        <w:rPr>
          <w:rFonts w:ascii="Arial" w:hAnsi="Arial" w:cs="Arial"/>
        </w:rPr>
        <w:t>(</w:t>
      </w:r>
      <w:r w:rsidR="00303E15">
        <w:rPr>
          <w:rFonts w:ascii="Arial" w:hAnsi="Arial" w:cs="Arial"/>
        </w:rPr>
        <w:t>3</w:t>
      </w:r>
      <w:r>
        <w:rPr>
          <w:rFonts w:ascii="Arial" w:hAnsi="Arial" w:cs="Arial"/>
        </w:rPr>
        <w:t>) A</w:t>
      </w:r>
      <w:r w:rsidR="000E05CD">
        <w:rPr>
          <w:rFonts w:ascii="Arial" w:hAnsi="Arial" w:cs="Arial"/>
        </w:rPr>
        <w:t>z (1) bekezdés szerinti felügyeleti jelentés</w:t>
      </w:r>
      <w:r>
        <w:rPr>
          <w:rFonts w:ascii="Arial" w:hAnsi="Arial" w:cs="Arial"/>
        </w:rPr>
        <w:t xml:space="preserve"> kitöltés</w:t>
      </w:r>
      <w:r w:rsidR="000E05CD">
        <w:rPr>
          <w:rFonts w:ascii="Arial" w:hAnsi="Arial" w:cs="Arial"/>
        </w:rPr>
        <w:t>é</w:t>
      </w:r>
      <w:r>
        <w:rPr>
          <w:rFonts w:ascii="Arial" w:hAnsi="Arial" w:cs="Arial"/>
        </w:rPr>
        <w:t>re vonatkozó általános előírásokat az 1. melléklet, a</w:t>
      </w:r>
      <w:r w:rsidR="00A6500B">
        <w:rPr>
          <w:rFonts w:ascii="Arial" w:hAnsi="Arial" w:cs="Arial"/>
        </w:rPr>
        <w:t>z (1) bekezdés szerinti felügyeleti jelentés</w:t>
      </w:r>
      <w:r>
        <w:rPr>
          <w:rFonts w:ascii="Arial" w:hAnsi="Arial" w:cs="Arial"/>
        </w:rPr>
        <w:t xml:space="preserve"> kitöltés</w:t>
      </w:r>
      <w:r w:rsidR="00A6500B">
        <w:rPr>
          <w:rFonts w:ascii="Arial" w:hAnsi="Arial" w:cs="Arial"/>
        </w:rPr>
        <w:t>é</w:t>
      </w:r>
      <w:r>
        <w:rPr>
          <w:rFonts w:ascii="Arial" w:hAnsi="Arial" w:cs="Arial"/>
        </w:rPr>
        <w:t>re vonatkozó részletes előírásokat a 3.</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r w:rsidR="005C59A1">
        <w:rPr>
          <w:rFonts w:ascii="Arial" w:hAnsi="Arial" w:cs="Arial"/>
        </w:rPr>
        <w:t xml:space="preserve">A kitöltést segítő </w:t>
      </w:r>
      <w:r w:rsidR="00042E60">
        <w:rPr>
          <w:rFonts w:ascii="Arial" w:hAnsi="Arial" w:cs="Arial"/>
        </w:rPr>
        <w:t>t</w:t>
      </w:r>
      <w:r w:rsidR="005C59A1">
        <w:rPr>
          <w:rFonts w:ascii="Arial" w:hAnsi="Arial" w:cs="Arial"/>
        </w:rPr>
        <w:t xml:space="preserve">echnikai </w:t>
      </w:r>
      <w:r w:rsidR="00042E60">
        <w:rPr>
          <w:rFonts w:ascii="Arial" w:hAnsi="Arial" w:cs="Arial"/>
        </w:rPr>
        <w:t>s</w:t>
      </w:r>
      <w:r w:rsidR="005C59A1">
        <w:rPr>
          <w:rFonts w:ascii="Arial" w:hAnsi="Arial" w:cs="Arial"/>
        </w:rPr>
        <w:t>egédletet az MNB e rendelet hatálybalépésével egyidejűleg</w:t>
      </w:r>
      <w:r w:rsidR="00425308">
        <w:rPr>
          <w:rFonts w:ascii="Arial" w:hAnsi="Arial" w:cs="Arial"/>
        </w:rPr>
        <w:t>,</w:t>
      </w:r>
      <w:r w:rsidR="005C59A1">
        <w:rPr>
          <w:rFonts w:ascii="Arial" w:hAnsi="Arial" w:cs="Arial"/>
        </w:rPr>
        <w:t xml:space="preserve"> a honlapján teszi közzé.</w:t>
      </w:r>
    </w:p>
    <w:p w14:paraId="1B18AC28" w14:textId="77777777" w:rsidR="007C1010" w:rsidRDefault="007C1010" w:rsidP="00085E59">
      <w:pPr>
        <w:autoSpaceDE w:val="0"/>
        <w:autoSpaceDN w:val="0"/>
        <w:adjustRightInd w:val="0"/>
        <w:ind w:firstLine="142"/>
        <w:jc w:val="both"/>
        <w:rPr>
          <w:rFonts w:ascii="Arial" w:hAnsi="Arial" w:cs="Arial"/>
          <w:b/>
          <w:bCs/>
        </w:rPr>
      </w:pPr>
    </w:p>
    <w:p w14:paraId="1B18AC29" w14:textId="714BAAD1" w:rsidR="007F17AA" w:rsidRDefault="007C1010" w:rsidP="008B07DF">
      <w:pPr>
        <w:autoSpaceDE w:val="0"/>
        <w:autoSpaceDN w:val="0"/>
        <w:adjustRightInd w:val="0"/>
        <w:ind w:firstLine="142"/>
        <w:jc w:val="both"/>
        <w:rPr>
          <w:rFonts w:ascii="Arial" w:hAnsi="Arial" w:cs="Arial"/>
        </w:rPr>
      </w:pPr>
      <w:r>
        <w:rPr>
          <w:rFonts w:ascii="Arial" w:hAnsi="Arial" w:cs="Arial"/>
          <w:b/>
          <w:bCs/>
        </w:rPr>
        <w:t>5</w:t>
      </w:r>
      <w:r w:rsidR="00487BC4" w:rsidRPr="001A488A">
        <w:rPr>
          <w:rFonts w:ascii="Arial" w:hAnsi="Arial" w:cs="Arial"/>
          <w:b/>
          <w:bCs/>
        </w:rPr>
        <w:t>.</w:t>
      </w:r>
      <w:r w:rsidR="0066316F">
        <w:rPr>
          <w:rFonts w:ascii="Arial" w:hAnsi="Arial" w:cs="Arial"/>
          <w:b/>
          <w:bCs/>
        </w:rPr>
        <w:t xml:space="preserve"> </w:t>
      </w:r>
      <w:r w:rsidR="00487BC4" w:rsidRPr="001A488A">
        <w:rPr>
          <w:rFonts w:ascii="Arial" w:hAnsi="Arial" w:cs="Arial"/>
          <w:b/>
          <w:bCs/>
        </w:rPr>
        <w:t>§</w:t>
      </w:r>
      <w:r w:rsidR="008D1A80" w:rsidRPr="001A488A">
        <w:rPr>
          <w:rFonts w:ascii="Arial" w:hAnsi="Arial" w:cs="Arial"/>
          <w:b/>
          <w:bCs/>
        </w:rPr>
        <w:t xml:space="preserve"> </w:t>
      </w:r>
      <w:r w:rsidR="007F17AA" w:rsidRPr="007F17AA">
        <w:rPr>
          <w:rFonts w:ascii="Arial" w:hAnsi="Arial" w:cs="Arial"/>
          <w:bCs/>
        </w:rPr>
        <w:t>(1)</w:t>
      </w:r>
      <w:r>
        <w:rPr>
          <w:rFonts w:ascii="Arial" w:hAnsi="Arial" w:cs="Arial"/>
          <w:b/>
          <w:bCs/>
        </w:rPr>
        <w:t xml:space="preserve"> </w:t>
      </w:r>
      <w:r w:rsidR="008D1A80" w:rsidRPr="001A488A">
        <w:rPr>
          <w:rFonts w:ascii="Arial" w:hAnsi="Arial" w:cs="Arial"/>
        </w:rPr>
        <w:t>A pénzügyi vállalkozás</w:t>
      </w:r>
      <w:r w:rsidR="0054638A" w:rsidRPr="001A488A">
        <w:rPr>
          <w:rFonts w:ascii="Arial" w:hAnsi="Arial" w:cs="Arial"/>
        </w:rPr>
        <w:t xml:space="preserve"> és</w:t>
      </w:r>
      <w:r w:rsidR="008D1A80" w:rsidRPr="001A488A">
        <w:rPr>
          <w:rFonts w:ascii="Arial" w:hAnsi="Arial" w:cs="Arial"/>
        </w:rPr>
        <w:t xml:space="preserve"> az </w:t>
      </w:r>
      <w:r>
        <w:rPr>
          <w:rFonts w:ascii="Arial" w:hAnsi="Arial" w:cs="Arial"/>
        </w:rPr>
        <w:t>ezen típusú</w:t>
      </w:r>
      <w:r w:rsidR="008D1A80" w:rsidRPr="001A488A">
        <w:rPr>
          <w:rFonts w:ascii="Arial" w:hAnsi="Arial" w:cs="Arial"/>
        </w:rPr>
        <w:t xml:space="preserve"> </w:t>
      </w:r>
      <w:r w:rsidR="00FB2D73">
        <w:rPr>
          <w:rFonts w:ascii="Arial" w:hAnsi="Arial" w:cs="Arial"/>
        </w:rPr>
        <w:t>EGT-</w:t>
      </w:r>
      <w:r w:rsidR="008D1A80" w:rsidRPr="001A488A">
        <w:rPr>
          <w:rFonts w:ascii="Arial" w:hAnsi="Arial" w:cs="Arial"/>
        </w:rPr>
        <w:t xml:space="preserve">fióktelep a </w:t>
      </w:r>
      <w:r w:rsidR="00E60F7F">
        <w:rPr>
          <w:rFonts w:ascii="Arial" w:hAnsi="Arial" w:cs="Arial"/>
        </w:rPr>
        <w:t>4</w:t>
      </w:r>
      <w:r w:rsidR="008D1A80" w:rsidRPr="001A488A">
        <w:rPr>
          <w:rFonts w:ascii="Arial" w:hAnsi="Arial" w:cs="Arial"/>
        </w:rPr>
        <w:t>. mellékletben foglaltaknak megfelelő tartalommal</w:t>
      </w:r>
      <w:r>
        <w:rPr>
          <w:rFonts w:ascii="Arial" w:hAnsi="Arial" w:cs="Arial"/>
        </w:rPr>
        <w:t>,</w:t>
      </w:r>
      <w:r w:rsidR="008D1A80" w:rsidRPr="001A488A">
        <w:rPr>
          <w:rFonts w:ascii="Arial" w:hAnsi="Arial" w:cs="Arial"/>
        </w:rPr>
        <w:t xml:space="preserve"> formában</w:t>
      </w:r>
      <w:r w:rsidR="008C56A9">
        <w:rPr>
          <w:rFonts w:ascii="Arial" w:hAnsi="Arial" w:cs="Arial"/>
        </w:rPr>
        <w:t xml:space="preserve">, </w:t>
      </w:r>
      <w:r w:rsidR="009A1C4D">
        <w:rPr>
          <w:rFonts w:ascii="Arial" w:hAnsi="Arial" w:cs="Arial"/>
        </w:rPr>
        <w:t>gyakorisággal</w:t>
      </w:r>
      <w:r>
        <w:rPr>
          <w:rFonts w:ascii="Arial" w:hAnsi="Arial" w:cs="Arial"/>
        </w:rPr>
        <w:t xml:space="preserve"> és határidőre felügyeleti jelentést teljesít az MNB részére</w:t>
      </w:r>
      <w:r w:rsidR="006F2164">
        <w:rPr>
          <w:rFonts w:ascii="Arial" w:hAnsi="Arial" w:cs="Arial"/>
        </w:rPr>
        <w:t xml:space="preserve">. </w:t>
      </w:r>
    </w:p>
    <w:p w14:paraId="1B18AC2A" w14:textId="77777777" w:rsidR="001306D2" w:rsidRDefault="007C1010" w:rsidP="008B07DF">
      <w:pPr>
        <w:autoSpaceDE w:val="0"/>
        <w:autoSpaceDN w:val="0"/>
        <w:adjustRightInd w:val="0"/>
        <w:ind w:firstLine="142"/>
        <w:jc w:val="both"/>
        <w:rPr>
          <w:rFonts w:ascii="Arial" w:hAnsi="Arial" w:cs="Arial"/>
        </w:rPr>
      </w:pPr>
      <w:r>
        <w:rPr>
          <w:rFonts w:ascii="Arial" w:hAnsi="Arial" w:cs="Arial"/>
        </w:rPr>
        <w:t>(</w:t>
      </w:r>
      <w:r w:rsidR="00BE3CA6">
        <w:rPr>
          <w:rFonts w:ascii="Arial" w:hAnsi="Arial" w:cs="Arial"/>
        </w:rPr>
        <w:t>2</w:t>
      </w:r>
      <w:r>
        <w:rPr>
          <w:rFonts w:ascii="Arial" w:hAnsi="Arial" w:cs="Arial"/>
        </w:rPr>
        <w:t>)</w:t>
      </w:r>
      <w:r w:rsidRPr="007C1010">
        <w:rPr>
          <w:rFonts w:ascii="Arial" w:hAnsi="Arial" w:cs="Arial"/>
        </w:rPr>
        <w:t xml:space="preserve"> </w:t>
      </w:r>
      <w:r>
        <w:rPr>
          <w:rFonts w:ascii="Arial" w:hAnsi="Arial" w:cs="Arial"/>
        </w:rPr>
        <w:t>A kitöltésre vonatkozó általános előírásokat az 1. melléklet, a kitöltésre vonatkozó részletes előírásokat az 5.</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p>
    <w:p w14:paraId="72023426" w14:textId="77777777" w:rsidR="0069567B" w:rsidRDefault="0069567B" w:rsidP="008B07DF">
      <w:pPr>
        <w:autoSpaceDE w:val="0"/>
        <w:autoSpaceDN w:val="0"/>
        <w:adjustRightInd w:val="0"/>
        <w:ind w:firstLine="142"/>
        <w:jc w:val="both"/>
        <w:rPr>
          <w:rFonts w:ascii="Arial" w:hAnsi="Arial" w:cs="Arial"/>
        </w:rPr>
      </w:pPr>
    </w:p>
    <w:p w14:paraId="34362847" w14:textId="692DED19" w:rsidR="0069567B" w:rsidRDefault="009A2D18" w:rsidP="008B07DF">
      <w:pPr>
        <w:autoSpaceDE w:val="0"/>
        <w:autoSpaceDN w:val="0"/>
        <w:adjustRightInd w:val="0"/>
        <w:ind w:firstLine="142"/>
        <w:jc w:val="both"/>
        <w:rPr>
          <w:rFonts w:ascii="Arial" w:hAnsi="Arial" w:cs="Arial"/>
        </w:rPr>
      </w:pPr>
      <w:r>
        <w:rPr>
          <w:rFonts w:ascii="Arial" w:hAnsi="Arial" w:cs="Arial"/>
          <w:b/>
          <w:bCs/>
        </w:rPr>
        <w:t>6</w:t>
      </w:r>
      <w:r w:rsidR="0069567B" w:rsidRPr="00B6095F">
        <w:rPr>
          <w:rFonts w:ascii="Arial" w:hAnsi="Arial" w:cs="Arial"/>
          <w:b/>
          <w:bCs/>
        </w:rPr>
        <w:t>. §</w:t>
      </w:r>
      <w:r w:rsidR="0069567B">
        <w:rPr>
          <w:rFonts w:ascii="Arial" w:hAnsi="Arial" w:cs="Arial"/>
        </w:rPr>
        <w:t xml:space="preserve"> </w:t>
      </w:r>
      <w:r w:rsidR="0069567B" w:rsidRPr="007F17AA">
        <w:rPr>
          <w:rFonts w:ascii="Arial" w:hAnsi="Arial" w:cs="Arial"/>
          <w:bCs/>
        </w:rPr>
        <w:t>(1)</w:t>
      </w:r>
      <w:r w:rsidR="0069567B">
        <w:rPr>
          <w:rFonts w:ascii="Arial" w:hAnsi="Arial" w:cs="Arial"/>
          <w:b/>
          <w:bCs/>
        </w:rPr>
        <w:t xml:space="preserve"> </w:t>
      </w:r>
      <w:r w:rsidR="0069567B" w:rsidRPr="001A488A">
        <w:rPr>
          <w:rFonts w:ascii="Arial" w:hAnsi="Arial" w:cs="Arial"/>
        </w:rPr>
        <w:t xml:space="preserve">A </w:t>
      </w:r>
      <w:r w:rsidR="0069567B">
        <w:rPr>
          <w:rFonts w:ascii="Arial" w:hAnsi="Arial" w:cs="Arial"/>
        </w:rPr>
        <w:t>hitelgondozó</w:t>
      </w:r>
      <w:r w:rsidR="00C37CD6">
        <w:rPr>
          <w:rFonts w:ascii="Arial" w:hAnsi="Arial" w:cs="Arial"/>
        </w:rPr>
        <w:t xml:space="preserve"> és</w:t>
      </w:r>
      <w:r w:rsidR="0069567B">
        <w:rPr>
          <w:rFonts w:ascii="Arial" w:hAnsi="Arial" w:cs="Arial"/>
        </w:rPr>
        <w:t xml:space="preserve"> az ezen típusú EGT-fióktelep</w:t>
      </w:r>
      <w:r w:rsidR="0069567B" w:rsidRPr="001A488A">
        <w:rPr>
          <w:rFonts w:ascii="Arial" w:hAnsi="Arial" w:cs="Arial"/>
        </w:rPr>
        <w:t xml:space="preserve"> a </w:t>
      </w:r>
      <w:r w:rsidR="002403B0">
        <w:rPr>
          <w:rFonts w:ascii="Arial" w:hAnsi="Arial" w:cs="Arial"/>
        </w:rPr>
        <w:t>6</w:t>
      </w:r>
      <w:r w:rsidR="0069567B" w:rsidRPr="001A488A">
        <w:rPr>
          <w:rFonts w:ascii="Arial" w:hAnsi="Arial" w:cs="Arial"/>
        </w:rPr>
        <w:t>. mellékletben foglaltaknak megfelelő tartalommal</w:t>
      </w:r>
      <w:r w:rsidR="0069567B">
        <w:rPr>
          <w:rFonts w:ascii="Arial" w:hAnsi="Arial" w:cs="Arial"/>
        </w:rPr>
        <w:t>,</w:t>
      </w:r>
      <w:r w:rsidR="0069567B" w:rsidRPr="001A488A">
        <w:rPr>
          <w:rFonts w:ascii="Arial" w:hAnsi="Arial" w:cs="Arial"/>
        </w:rPr>
        <w:t xml:space="preserve"> formában</w:t>
      </w:r>
      <w:r w:rsidR="0069567B">
        <w:rPr>
          <w:rFonts w:ascii="Arial" w:hAnsi="Arial" w:cs="Arial"/>
        </w:rPr>
        <w:t xml:space="preserve">, gyakorisággal és határidőre felügyeleti jelentést teljesít az MNB részére. </w:t>
      </w:r>
    </w:p>
    <w:p w14:paraId="1CB3F5E6" w14:textId="7D8E5913" w:rsidR="0069567B" w:rsidRPr="00082FE7" w:rsidRDefault="0069567B" w:rsidP="008B07DF">
      <w:pPr>
        <w:autoSpaceDE w:val="0"/>
        <w:autoSpaceDN w:val="0"/>
        <w:adjustRightInd w:val="0"/>
        <w:ind w:firstLine="142"/>
        <w:jc w:val="both"/>
        <w:rPr>
          <w:rFonts w:ascii="Arial" w:hAnsi="Arial" w:cs="Arial"/>
        </w:rPr>
      </w:pPr>
      <w:r>
        <w:rPr>
          <w:rFonts w:ascii="Arial" w:hAnsi="Arial" w:cs="Arial"/>
        </w:rPr>
        <w:t>(2)</w:t>
      </w:r>
      <w:r w:rsidRPr="007C1010">
        <w:rPr>
          <w:rFonts w:ascii="Arial" w:hAnsi="Arial" w:cs="Arial"/>
        </w:rPr>
        <w:t xml:space="preserve"> </w:t>
      </w:r>
      <w:r>
        <w:rPr>
          <w:rFonts w:ascii="Arial" w:hAnsi="Arial" w:cs="Arial"/>
        </w:rPr>
        <w:t xml:space="preserve">A kitöltésre vonatkozó általános előírásokat az 1. melléklet, a kitöltésre vonatkozó részletes előírásokat a </w:t>
      </w:r>
      <w:r w:rsidR="002403B0">
        <w:rPr>
          <w:rFonts w:ascii="Arial" w:hAnsi="Arial" w:cs="Arial"/>
        </w:rPr>
        <w:t>7</w:t>
      </w:r>
      <w:r>
        <w:rPr>
          <w:rFonts w:ascii="Arial" w:hAnsi="Arial" w:cs="Arial"/>
        </w:rPr>
        <w:t>.</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p>
    <w:p w14:paraId="1B18AC2B" w14:textId="77777777" w:rsidR="00C640D4" w:rsidRPr="001A488A" w:rsidRDefault="00C640D4" w:rsidP="00085E59">
      <w:pPr>
        <w:autoSpaceDE w:val="0"/>
        <w:autoSpaceDN w:val="0"/>
        <w:adjustRightInd w:val="0"/>
        <w:ind w:firstLine="142"/>
        <w:jc w:val="both"/>
        <w:rPr>
          <w:rFonts w:ascii="Arial" w:hAnsi="Arial" w:cs="Arial"/>
        </w:rPr>
      </w:pPr>
    </w:p>
    <w:p w14:paraId="1B18AC2C" w14:textId="3BF4012D" w:rsidR="007F17AA" w:rsidRDefault="009A2D18" w:rsidP="008B07DF">
      <w:pPr>
        <w:autoSpaceDE w:val="0"/>
        <w:autoSpaceDN w:val="0"/>
        <w:adjustRightInd w:val="0"/>
        <w:ind w:firstLine="142"/>
        <w:jc w:val="both"/>
        <w:rPr>
          <w:rFonts w:ascii="Arial" w:hAnsi="Arial" w:cs="Arial"/>
        </w:rPr>
      </w:pPr>
      <w:r>
        <w:rPr>
          <w:rFonts w:ascii="Arial" w:hAnsi="Arial" w:cs="Arial"/>
          <w:b/>
        </w:rPr>
        <w:t>7</w:t>
      </w:r>
      <w:r w:rsidR="00487BC4" w:rsidRPr="001A488A">
        <w:rPr>
          <w:rFonts w:ascii="Arial" w:hAnsi="Arial" w:cs="Arial"/>
          <w:b/>
        </w:rPr>
        <w:t>.</w:t>
      </w:r>
      <w:r w:rsidR="0066316F">
        <w:rPr>
          <w:rFonts w:ascii="Arial" w:hAnsi="Arial" w:cs="Arial"/>
          <w:b/>
        </w:rPr>
        <w:t xml:space="preserve"> </w:t>
      </w:r>
      <w:r w:rsidR="00487BC4" w:rsidRPr="001A488A">
        <w:rPr>
          <w:rFonts w:ascii="Arial" w:hAnsi="Arial" w:cs="Arial"/>
          <w:b/>
        </w:rPr>
        <w:t>§</w:t>
      </w:r>
      <w:r w:rsidR="008D1A80" w:rsidRPr="001A488A">
        <w:rPr>
          <w:rFonts w:ascii="Arial" w:hAnsi="Arial" w:cs="Arial"/>
        </w:rPr>
        <w:t xml:space="preserve"> </w:t>
      </w:r>
      <w:r w:rsidR="00B34875">
        <w:rPr>
          <w:rFonts w:ascii="Arial" w:hAnsi="Arial" w:cs="Arial"/>
        </w:rPr>
        <w:t xml:space="preserve">(1) </w:t>
      </w:r>
      <w:r w:rsidR="008D1A80" w:rsidRPr="001A488A">
        <w:rPr>
          <w:rFonts w:ascii="Arial" w:hAnsi="Arial" w:cs="Arial"/>
        </w:rPr>
        <w:t xml:space="preserve">Az elektronikuspénz-kibocsátó intézmény, a pénzforgalmi intézmény, </w:t>
      </w:r>
      <w:r w:rsidR="00D462FF">
        <w:rPr>
          <w:rFonts w:ascii="Arial" w:hAnsi="Arial" w:cs="Arial"/>
        </w:rPr>
        <w:t>az ezen típusú</w:t>
      </w:r>
      <w:r w:rsidR="008D1A80" w:rsidRPr="001A488A">
        <w:rPr>
          <w:rFonts w:ascii="Arial" w:hAnsi="Arial" w:cs="Arial"/>
        </w:rPr>
        <w:t xml:space="preserve"> </w:t>
      </w:r>
      <w:r w:rsidR="00FB2D73">
        <w:rPr>
          <w:rFonts w:ascii="Arial" w:hAnsi="Arial" w:cs="Arial"/>
        </w:rPr>
        <w:t>EGT-</w:t>
      </w:r>
      <w:r w:rsidR="008D1A80" w:rsidRPr="001A488A">
        <w:rPr>
          <w:rFonts w:ascii="Arial" w:hAnsi="Arial" w:cs="Arial"/>
        </w:rPr>
        <w:t>fióktelepe</w:t>
      </w:r>
      <w:r w:rsidR="00D462FF">
        <w:rPr>
          <w:rFonts w:ascii="Arial" w:hAnsi="Arial" w:cs="Arial"/>
        </w:rPr>
        <w:t>k</w:t>
      </w:r>
      <w:r w:rsidR="008D1A80" w:rsidRPr="001A488A">
        <w:rPr>
          <w:rFonts w:ascii="Arial" w:hAnsi="Arial" w:cs="Arial"/>
        </w:rPr>
        <w:t>, valamint a PEK</w:t>
      </w:r>
      <w:r w:rsidR="00E60F7F">
        <w:rPr>
          <w:rFonts w:ascii="Arial" w:hAnsi="Arial" w:cs="Arial"/>
        </w:rPr>
        <w:t xml:space="preserve">MI a </w:t>
      </w:r>
      <w:r w:rsidR="00135BC1">
        <w:rPr>
          <w:rFonts w:ascii="Arial" w:hAnsi="Arial" w:cs="Arial"/>
        </w:rPr>
        <w:t>8</w:t>
      </w:r>
      <w:r w:rsidR="008D1A80" w:rsidRPr="001A488A">
        <w:rPr>
          <w:rFonts w:ascii="Arial" w:hAnsi="Arial" w:cs="Arial"/>
        </w:rPr>
        <w:t>. mellékletben foglaltaknak megfelelő tartalommal</w:t>
      </w:r>
      <w:r w:rsidR="00D462FF">
        <w:rPr>
          <w:rFonts w:ascii="Arial" w:hAnsi="Arial" w:cs="Arial"/>
        </w:rPr>
        <w:t>,</w:t>
      </w:r>
      <w:r w:rsidR="008D1A80" w:rsidRPr="001A488A">
        <w:rPr>
          <w:rFonts w:ascii="Arial" w:hAnsi="Arial" w:cs="Arial"/>
        </w:rPr>
        <w:t xml:space="preserve"> formába</w:t>
      </w:r>
      <w:r w:rsidR="00E60F7F">
        <w:rPr>
          <w:rFonts w:ascii="Arial" w:hAnsi="Arial" w:cs="Arial"/>
        </w:rPr>
        <w:t>n</w:t>
      </w:r>
      <w:r w:rsidR="00D5562A">
        <w:rPr>
          <w:rFonts w:ascii="Arial" w:hAnsi="Arial" w:cs="Arial"/>
        </w:rPr>
        <w:t>, gyakorisággal</w:t>
      </w:r>
      <w:r w:rsidR="00D462FF">
        <w:rPr>
          <w:rFonts w:ascii="Arial" w:hAnsi="Arial" w:cs="Arial"/>
        </w:rPr>
        <w:t xml:space="preserve"> és határidőre felügyeleti jelentést teljesít az MNB részére.</w:t>
      </w:r>
    </w:p>
    <w:p w14:paraId="1B18AC2D" w14:textId="2539D35F" w:rsidR="007F17AA" w:rsidRDefault="00D462FF" w:rsidP="008B07DF">
      <w:pPr>
        <w:autoSpaceDE w:val="0"/>
        <w:autoSpaceDN w:val="0"/>
        <w:adjustRightInd w:val="0"/>
        <w:ind w:firstLine="142"/>
        <w:jc w:val="both"/>
        <w:rPr>
          <w:rFonts w:ascii="Arial" w:hAnsi="Arial" w:cs="Arial"/>
        </w:rPr>
      </w:pPr>
      <w:r>
        <w:rPr>
          <w:rFonts w:ascii="Arial" w:hAnsi="Arial" w:cs="Arial"/>
        </w:rPr>
        <w:t>(2)</w:t>
      </w:r>
      <w:r w:rsidR="00B34875">
        <w:rPr>
          <w:rFonts w:ascii="Arial" w:hAnsi="Arial" w:cs="Arial"/>
        </w:rPr>
        <w:t xml:space="preserve"> A kitöltésre vonatkozó általános előírásokat az 1. melléklet, a kitöltésre vonatkozó részletes előírásokat</w:t>
      </w:r>
      <w:r w:rsidR="00E60F7F">
        <w:rPr>
          <w:rFonts w:ascii="Arial" w:hAnsi="Arial" w:cs="Arial"/>
        </w:rPr>
        <w:t xml:space="preserve"> a </w:t>
      </w:r>
      <w:r w:rsidR="00135BC1">
        <w:rPr>
          <w:rFonts w:ascii="Arial" w:hAnsi="Arial" w:cs="Arial"/>
        </w:rPr>
        <w:t>9</w:t>
      </w:r>
      <w:r w:rsidR="008D1A80" w:rsidRPr="001A488A">
        <w:rPr>
          <w:rFonts w:ascii="Arial" w:hAnsi="Arial" w:cs="Arial"/>
        </w:rPr>
        <w:t xml:space="preserve">. melléklet </w:t>
      </w:r>
      <w:r w:rsidR="00B34875">
        <w:rPr>
          <w:rFonts w:ascii="Arial" w:hAnsi="Arial" w:cs="Arial"/>
        </w:rPr>
        <w:t>tartalmazza</w:t>
      </w:r>
      <w:r w:rsidR="008D1A80" w:rsidRPr="001A488A">
        <w:rPr>
          <w:rFonts w:ascii="Arial" w:hAnsi="Arial" w:cs="Arial"/>
        </w:rPr>
        <w:t>.</w:t>
      </w:r>
    </w:p>
    <w:p w14:paraId="1B18AC2E" w14:textId="77777777" w:rsidR="00C640D4" w:rsidRPr="001A488A" w:rsidRDefault="00C640D4" w:rsidP="00085E59">
      <w:pPr>
        <w:autoSpaceDE w:val="0"/>
        <w:autoSpaceDN w:val="0"/>
        <w:adjustRightInd w:val="0"/>
        <w:ind w:firstLine="142"/>
        <w:jc w:val="both"/>
        <w:rPr>
          <w:rFonts w:ascii="Arial" w:hAnsi="Arial" w:cs="Arial"/>
        </w:rPr>
      </w:pPr>
    </w:p>
    <w:p w14:paraId="1B18AC2F" w14:textId="4EDD9213" w:rsidR="003103BE" w:rsidRPr="00B2603F" w:rsidRDefault="009A2D18" w:rsidP="008B07DF">
      <w:pPr>
        <w:autoSpaceDE w:val="0"/>
        <w:autoSpaceDN w:val="0"/>
        <w:adjustRightInd w:val="0"/>
        <w:ind w:firstLine="142"/>
        <w:jc w:val="both"/>
        <w:rPr>
          <w:rFonts w:ascii="Arial" w:hAnsi="Arial" w:cs="Arial"/>
        </w:rPr>
      </w:pPr>
      <w:r>
        <w:rPr>
          <w:rFonts w:ascii="Arial" w:hAnsi="Arial" w:cs="Arial"/>
          <w:b/>
        </w:rPr>
        <w:t>8</w:t>
      </w:r>
      <w:r w:rsidR="003103BE" w:rsidRPr="00B2603F">
        <w:rPr>
          <w:rFonts w:ascii="Arial" w:hAnsi="Arial" w:cs="Arial"/>
          <w:b/>
        </w:rPr>
        <w:t>. §</w:t>
      </w:r>
      <w:r w:rsidR="003103BE" w:rsidRPr="00B2603F">
        <w:rPr>
          <w:rFonts w:ascii="Arial" w:hAnsi="Arial" w:cs="Arial"/>
        </w:rPr>
        <w:t xml:space="preserve"> (1) A </w:t>
      </w:r>
      <w:r w:rsidR="003103BE">
        <w:rPr>
          <w:rFonts w:ascii="Arial" w:hAnsi="Arial" w:cs="Arial"/>
        </w:rPr>
        <w:t>független közvetítő</w:t>
      </w:r>
      <w:r w:rsidR="003103BE" w:rsidRPr="00B2603F">
        <w:rPr>
          <w:rFonts w:ascii="Arial" w:hAnsi="Arial" w:cs="Arial"/>
        </w:rPr>
        <w:t xml:space="preserve"> a </w:t>
      </w:r>
      <w:r w:rsidR="00135BC1">
        <w:rPr>
          <w:rFonts w:ascii="Arial" w:hAnsi="Arial" w:cs="Arial"/>
        </w:rPr>
        <w:t>10</w:t>
      </w:r>
      <w:r w:rsidR="003103BE" w:rsidRPr="00B2603F">
        <w:rPr>
          <w:rFonts w:ascii="Arial" w:hAnsi="Arial" w:cs="Arial"/>
        </w:rPr>
        <w:t>. mellékletben foglaltaknak megfelelő tartalommal, formában</w:t>
      </w:r>
      <w:r w:rsidR="00D5562A">
        <w:rPr>
          <w:rFonts w:ascii="Arial" w:hAnsi="Arial" w:cs="Arial"/>
        </w:rPr>
        <w:t>, gyakorisággal</w:t>
      </w:r>
      <w:r w:rsidR="003103BE" w:rsidRPr="00B2603F">
        <w:rPr>
          <w:rFonts w:ascii="Arial" w:hAnsi="Arial" w:cs="Arial"/>
        </w:rPr>
        <w:t xml:space="preserve"> és határidőre felügyeleti jelentést teljesít az MNB részére.</w:t>
      </w:r>
    </w:p>
    <w:p w14:paraId="1B18AC30" w14:textId="366EAFA4" w:rsidR="003103BE" w:rsidRPr="00082FE7" w:rsidRDefault="003103BE" w:rsidP="008B07DF">
      <w:pPr>
        <w:autoSpaceDE w:val="0"/>
        <w:autoSpaceDN w:val="0"/>
        <w:adjustRightInd w:val="0"/>
        <w:ind w:firstLine="142"/>
        <w:jc w:val="both"/>
        <w:rPr>
          <w:rFonts w:ascii="Arial" w:hAnsi="Arial" w:cs="Arial"/>
        </w:rPr>
      </w:pPr>
      <w:r w:rsidRPr="00B2603F">
        <w:rPr>
          <w:rFonts w:ascii="Arial" w:hAnsi="Arial" w:cs="Arial"/>
        </w:rPr>
        <w:t>(2) A kitöl</w:t>
      </w:r>
      <w:r>
        <w:rPr>
          <w:rFonts w:ascii="Arial" w:hAnsi="Arial" w:cs="Arial"/>
        </w:rPr>
        <w:t xml:space="preserve">tésre vonatkozó általános előírásokat az 1. melléklet, a kitöltésre vonatkozó részletes előírásokat a </w:t>
      </w:r>
      <w:r w:rsidR="00135BC1">
        <w:rPr>
          <w:rFonts w:ascii="Arial" w:hAnsi="Arial" w:cs="Arial"/>
        </w:rPr>
        <w:t>11</w:t>
      </w:r>
      <w:r w:rsidRPr="00B2603F">
        <w:rPr>
          <w:rFonts w:ascii="Arial" w:hAnsi="Arial" w:cs="Arial"/>
        </w:rPr>
        <w:t>. melléklet tartalmazza</w:t>
      </w:r>
      <w:r>
        <w:rPr>
          <w:rFonts w:ascii="Arial" w:hAnsi="Arial" w:cs="Arial"/>
        </w:rPr>
        <w:t>.</w:t>
      </w:r>
    </w:p>
    <w:p w14:paraId="1B18AC31" w14:textId="77777777" w:rsidR="003103BE" w:rsidRDefault="003103BE" w:rsidP="008B07DF">
      <w:pPr>
        <w:autoSpaceDE w:val="0"/>
        <w:autoSpaceDN w:val="0"/>
        <w:adjustRightInd w:val="0"/>
        <w:ind w:firstLine="142"/>
        <w:jc w:val="both"/>
        <w:rPr>
          <w:rFonts w:ascii="Arial" w:hAnsi="Arial" w:cs="Arial"/>
          <w:b/>
        </w:rPr>
      </w:pPr>
    </w:p>
    <w:p w14:paraId="255F2695" w14:textId="4F54EF08" w:rsidR="0069567B" w:rsidRDefault="009A2D18" w:rsidP="008B07DF">
      <w:pPr>
        <w:autoSpaceDE w:val="0"/>
        <w:autoSpaceDN w:val="0"/>
        <w:adjustRightInd w:val="0"/>
        <w:ind w:firstLine="142"/>
        <w:jc w:val="both"/>
        <w:rPr>
          <w:rFonts w:ascii="Arial" w:hAnsi="Arial" w:cs="Arial"/>
        </w:rPr>
      </w:pPr>
      <w:r>
        <w:rPr>
          <w:rFonts w:ascii="Arial" w:hAnsi="Arial" w:cs="Arial"/>
          <w:b/>
          <w:bCs/>
        </w:rPr>
        <w:t>9</w:t>
      </w:r>
      <w:r w:rsidR="0069567B" w:rsidRPr="00B6095F">
        <w:rPr>
          <w:rFonts w:ascii="Arial" w:hAnsi="Arial" w:cs="Arial"/>
          <w:b/>
          <w:bCs/>
        </w:rPr>
        <w:t>. §</w:t>
      </w:r>
      <w:r w:rsidR="0069567B">
        <w:rPr>
          <w:rFonts w:ascii="Arial" w:hAnsi="Arial" w:cs="Arial"/>
        </w:rPr>
        <w:t xml:space="preserve"> </w:t>
      </w:r>
      <w:r w:rsidR="0069567B" w:rsidRPr="007F17AA">
        <w:rPr>
          <w:rFonts w:ascii="Arial" w:hAnsi="Arial" w:cs="Arial"/>
          <w:bCs/>
        </w:rPr>
        <w:t>(1)</w:t>
      </w:r>
      <w:r w:rsidR="0069567B">
        <w:rPr>
          <w:rFonts w:ascii="Arial" w:hAnsi="Arial" w:cs="Arial"/>
          <w:b/>
          <w:bCs/>
        </w:rPr>
        <w:t xml:space="preserve"> </w:t>
      </w:r>
      <w:r w:rsidR="0069567B" w:rsidRPr="001A488A">
        <w:rPr>
          <w:rFonts w:ascii="Arial" w:hAnsi="Arial" w:cs="Arial"/>
        </w:rPr>
        <w:t xml:space="preserve">A </w:t>
      </w:r>
      <w:r w:rsidR="0069567B">
        <w:rPr>
          <w:rFonts w:ascii="Arial" w:hAnsi="Arial" w:cs="Arial"/>
        </w:rPr>
        <w:t xml:space="preserve">hitelfelvásárló </w:t>
      </w:r>
      <w:r w:rsidR="00C37CD6">
        <w:rPr>
          <w:rFonts w:ascii="Arial" w:hAnsi="Arial" w:cs="Arial"/>
        </w:rPr>
        <w:t>és</w:t>
      </w:r>
      <w:r w:rsidR="0069567B">
        <w:rPr>
          <w:rFonts w:ascii="Arial" w:hAnsi="Arial" w:cs="Arial"/>
        </w:rPr>
        <w:t xml:space="preserve"> a harmadik országbeli hitelfelvásárló képviselője </w:t>
      </w:r>
      <w:r w:rsidR="0069567B" w:rsidRPr="001A488A">
        <w:rPr>
          <w:rFonts w:ascii="Arial" w:hAnsi="Arial" w:cs="Arial"/>
        </w:rPr>
        <w:t xml:space="preserve">a </w:t>
      </w:r>
      <w:r w:rsidR="002403B0">
        <w:rPr>
          <w:rFonts w:ascii="Arial" w:hAnsi="Arial" w:cs="Arial"/>
        </w:rPr>
        <w:t>12</w:t>
      </w:r>
      <w:r w:rsidR="0069567B" w:rsidRPr="001A488A">
        <w:rPr>
          <w:rFonts w:ascii="Arial" w:hAnsi="Arial" w:cs="Arial"/>
        </w:rPr>
        <w:t>. mellékletben foglaltaknak megfelelő tartalommal</w:t>
      </w:r>
      <w:r w:rsidR="0069567B">
        <w:rPr>
          <w:rFonts w:ascii="Arial" w:hAnsi="Arial" w:cs="Arial"/>
        </w:rPr>
        <w:t>,</w:t>
      </w:r>
      <w:r w:rsidR="0069567B" w:rsidRPr="001A488A">
        <w:rPr>
          <w:rFonts w:ascii="Arial" w:hAnsi="Arial" w:cs="Arial"/>
        </w:rPr>
        <w:t xml:space="preserve"> formában</w:t>
      </w:r>
      <w:r w:rsidR="0069567B">
        <w:rPr>
          <w:rFonts w:ascii="Arial" w:hAnsi="Arial" w:cs="Arial"/>
        </w:rPr>
        <w:t xml:space="preserve">, gyakorisággal és határidőre felügyeleti jelentést teljesít az MNB részére. </w:t>
      </w:r>
    </w:p>
    <w:p w14:paraId="2F272755" w14:textId="569185C5" w:rsidR="0069567B" w:rsidRDefault="0069567B" w:rsidP="008B07DF">
      <w:pPr>
        <w:autoSpaceDE w:val="0"/>
        <w:autoSpaceDN w:val="0"/>
        <w:adjustRightInd w:val="0"/>
        <w:ind w:firstLine="142"/>
        <w:jc w:val="both"/>
        <w:rPr>
          <w:rFonts w:ascii="Arial" w:hAnsi="Arial" w:cs="Arial"/>
        </w:rPr>
      </w:pPr>
      <w:r>
        <w:rPr>
          <w:rFonts w:ascii="Arial" w:hAnsi="Arial" w:cs="Arial"/>
        </w:rPr>
        <w:t>(2)</w:t>
      </w:r>
      <w:r w:rsidRPr="007C1010">
        <w:rPr>
          <w:rFonts w:ascii="Arial" w:hAnsi="Arial" w:cs="Arial"/>
        </w:rPr>
        <w:t xml:space="preserve"> </w:t>
      </w:r>
      <w:r>
        <w:rPr>
          <w:rFonts w:ascii="Arial" w:hAnsi="Arial" w:cs="Arial"/>
        </w:rPr>
        <w:t xml:space="preserve">A kitöltésre vonatkozó általános előírásokat az 1. melléklet, a kitöltésre vonatkozó részletes előírásokat a </w:t>
      </w:r>
      <w:r w:rsidR="002403B0">
        <w:rPr>
          <w:rFonts w:ascii="Arial" w:hAnsi="Arial" w:cs="Arial"/>
        </w:rPr>
        <w:t>13</w:t>
      </w:r>
      <w:r>
        <w:rPr>
          <w:rFonts w:ascii="Arial" w:hAnsi="Arial" w:cs="Arial"/>
        </w:rPr>
        <w:t>.</w:t>
      </w:r>
      <w:r w:rsidRPr="00082FE7">
        <w:rPr>
          <w:rFonts w:ascii="Arial" w:hAnsi="Arial" w:cs="Arial"/>
        </w:rPr>
        <w:t xml:space="preserve"> melléklet t</w:t>
      </w:r>
      <w:r>
        <w:rPr>
          <w:rFonts w:ascii="Arial" w:hAnsi="Arial" w:cs="Arial"/>
        </w:rPr>
        <w:t>artalmazza</w:t>
      </w:r>
      <w:r w:rsidRPr="00082FE7">
        <w:rPr>
          <w:rFonts w:ascii="Arial" w:hAnsi="Arial" w:cs="Arial"/>
        </w:rPr>
        <w:t>.</w:t>
      </w:r>
    </w:p>
    <w:p w14:paraId="44DE7215" w14:textId="77777777" w:rsidR="0069567B" w:rsidRDefault="0069567B" w:rsidP="008B07DF">
      <w:pPr>
        <w:autoSpaceDE w:val="0"/>
        <w:autoSpaceDN w:val="0"/>
        <w:adjustRightInd w:val="0"/>
        <w:ind w:firstLine="142"/>
        <w:jc w:val="both"/>
        <w:rPr>
          <w:rFonts w:ascii="Arial" w:hAnsi="Arial" w:cs="Arial"/>
          <w:b/>
        </w:rPr>
      </w:pPr>
    </w:p>
    <w:p w14:paraId="1B18AC32" w14:textId="0D4DF926" w:rsidR="007F17AA" w:rsidRDefault="009A2D18" w:rsidP="008B07DF">
      <w:pPr>
        <w:autoSpaceDE w:val="0"/>
        <w:autoSpaceDN w:val="0"/>
        <w:adjustRightInd w:val="0"/>
        <w:ind w:firstLine="142"/>
        <w:jc w:val="both"/>
        <w:rPr>
          <w:rFonts w:ascii="Arial" w:hAnsi="Arial" w:cs="Arial"/>
        </w:rPr>
      </w:pPr>
      <w:r>
        <w:rPr>
          <w:rFonts w:ascii="Arial" w:hAnsi="Arial" w:cs="Arial"/>
          <w:b/>
        </w:rPr>
        <w:lastRenderedPageBreak/>
        <w:t>10</w:t>
      </w:r>
      <w:r w:rsidR="00824156" w:rsidRPr="001A488A">
        <w:rPr>
          <w:rFonts w:ascii="Arial" w:hAnsi="Arial" w:cs="Arial"/>
          <w:b/>
        </w:rPr>
        <w:t>.</w:t>
      </w:r>
      <w:r w:rsidR="0066316F">
        <w:rPr>
          <w:rFonts w:ascii="Arial" w:hAnsi="Arial" w:cs="Arial"/>
          <w:b/>
        </w:rPr>
        <w:t xml:space="preserve"> </w:t>
      </w:r>
      <w:r w:rsidR="00824156" w:rsidRPr="001A488A">
        <w:rPr>
          <w:rFonts w:ascii="Arial" w:hAnsi="Arial" w:cs="Arial"/>
          <w:b/>
        </w:rPr>
        <w:t>§</w:t>
      </w:r>
      <w:r w:rsidR="00E3784E" w:rsidRPr="001A488A">
        <w:rPr>
          <w:rFonts w:ascii="Arial" w:hAnsi="Arial" w:cs="Arial"/>
        </w:rPr>
        <w:t xml:space="preserve"> </w:t>
      </w:r>
      <w:r w:rsidR="00593892">
        <w:rPr>
          <w:rFonts w:ascii="Arial" w:hAnsi="Arial" w:cs="Arial"/>
        </w:rPr>
        <w:t xml:space="preserve">(1) </w:t>
      </w:r>
      <w:r w:rsidR="00E3784E" w:rsidRPr="001A488A">
        <w:rPr>
          <w:rFonts w:ascii="Arial" w:hAnsi="Arial" w:cs="Arial"/>
        </w:rPr>
        <w:t>A hitelintézet</w:t>
      </w:r>
      <w:r w:rsidR="00B34875">
        <w:rPr>
          <w:rFonts w:ascii="Arial" w:hAnsi="Arial" w:cs="Arial"/>
        </w:rPr>
        <w:t>,</w:t>
      </w:r>
      <w:r w:rsidR="00E3784E" w:rsidRPr="001A488A">
        <w:rPr>
          <w:rFonts w:ascii="Arial" w:hAnsi="Arial" w:cs="Arial"/>
        </w:rPr>
        <w:t xml:space="preserve"> a pénzügyi vállalkozás, valamint az </w:t>
      </w:r>
      <w:r w:rsidR="00B34875">
        <w:rPr>
          <w:rFonts w:ascii="Arial" w:hAnsi="Arial" w:cs="Arial"/>
        </w:rPr>
        <w:t>ezen típusú</w:t>
      </w:r>
      <w:r w:rsidR="00E3784E" w:rsidRPr="001A488A">
        <w:rPr>
          <w:rFonts w:ascii="Arial" w:hAnsi="Arial" w:cs="Arial"/>
        </w:rPr>
        <w:t xml:space="preserve"> </w:t>
      </w:r>
      <w:r w:rsidR="00FB2D73">
        <w:rPr>
          <w:rFonts w:ascii="Arial" w:hAnsi="Arial" w:cs="Arial"/>
        </w:rPr>
        <w:t>EGT-</w:t>
      </w:r>
      <w:r w:rsidR="00E3784E" w:rsidRPr="001A488A">
        <w:rPr>
          <w:rFonts w:ascii="Arial" w:hAnsi="Arial" w:cs="Arial"/>
        </w:rPr>
        <w:t>fióktelepe</w:t>
      </w:r>
      <w:r w:rsidR="00B34875">
        <w:rPr>
          <w:rFonts w:ascii="Arial" w:hAnsi="Arial" w:cs="Arial"/>
        </w:rPr>
        <w:t>k</w:t>
      </w:r>
      <w:r w:rsidR="00E3784E" w:rsidRPr="001A488A">
        <w:rPr>
          <w:rFonts w:ascii="Arial" w:hAnsi="Arial" w:cs="Arial"/>
        </w:rPr>
        <w:t xml:space="preserve"> az általuk forgalmazott hitel</w:t>
      </w:r>
      <w:r w:rsidR="002D1061">
        <w:rPr>
          <w:rFonts w:ascii="Arial" w:hAnsi="Arial" w:cs="Arial"/>
        </w:rPr>
        <w:t>-</w:t>
      </w:r>
      <w:r w:rsidR="00E3784E" w:rsidRPr="001A488A">
        <w:rPr>
          <w:rFonts w:ascii="Arial" w:hAnsi="Arial" w:cs="Arial"/>
        </w:rPr>
        <w:t xml:space="preserve"> és pénzügyi lízing</w:t>
      </w:r>
      <w:r w:rsidR="002D1061">
        <w:rPr>
          <w:rFonts w:ascii="Arial" w:hAnsi="Arial" w:cs="Arial"/>
        </w:rPr>
        <w:t>-</w:t>
      </w:r>
      <w:r w:rsidR="00E3784E" w:rsidRPr="001A488A">
        <w:rPr>
          <w:rFonts w:ascii="Arial" w:hAnsi="Arial" w:cs="Arial"/>
        </w:rPr>
        <w:t>, betéti és megtakarítási</w:t>
      </w:r>
      <w:r w:rsidR="002D1061">
        <w:rPr>
          <w:rFonts w:ascii="Arial" w:hAnsi="Arial" w:cs="Arial"/>
        </w:rPr>
        <w:t>-</w:t>
      </w:r>
      <w:r w:rsidR="00E3784E" w:rsidRPr="001A488A">
        <w:rPr>
          <w:rFonts w:ascii="Arial" w:hAnsi="Arial" w:cs="Arial"/>
        </w:rPr>
        <w:t>, valamint számlatermékek</w:t>
      </w:r>
      <w:r w:rsidR="00395D69">
        <w:rPr>
          <w:rFonts w:ascii="Arial" w:hAnsi="Arial" w:cs="Arial"/>
        </w:rPr>
        <w:t>re vonatkozó</w:t>
      </w:r>
      <w:r w:rsidR="00E3784E" w:rsidRPr="001A488A">
        <w:rPr>
          <w:rFonts w:ascii="Arial" w:hAnsi="Arial" w:cs="Arial"/>
        </w:rPr>
        <w:t xml:space="preserve"> </w:t>
      </w:r>
      <w:r w:rsidR="00B34875">
        <w:rPr>
          <w:rFonts w:ascii="Arial" w:hAnsi="Arial" w:cs="Arial"/>
        </w:rPr>
        <w:t>fel</w:t>
      </w:r>
      <w:r w:rsidR="00395D69">
        <w:rPr>
          <w:rFonts w:ascii="Arial" w:hAnsi="Arial" w:cs="Arial"/>
        </w:rPr>
        <w:t>ügyele</w:t>
      </w:r>
      <w:r w:rsidR="00E3784E" w:rsidRPr="001A488A">
        <w:rPr>
          <w:rFonts w:ascii="Arial" w:hAnsi="Arial" w:cs="Arial"/>
        </w:rPr>
        <w:t>t</w:t>
      </w:r>
      <w:r w:rsidR="00395D69">
        <w:rPr>
          <w:rFonts w:ascii="Arial" w:hAnsi="Arial" w:cs="Arial"/>
        </w:rPr>
        <w:t>i jelentést</w:t>
      </w:r>
      <w:r w:rsidR="00E3784E" w:rsidRPr="001A488A">
        <w:rPr>
          <w:rFonts w:ascii="Arial" w:hAnsi="Arial" w:cs="Arial"/>
        </w:rPr>
        <w:t xml:space="preserve"> a </w:t>
      </w:r>
      <w:r w:rsidR="00135BC1">
        <w:rPr>
          <w:rFonts w:ascii="Arial" w:hAnsi="Arial" w:cs="Arial"/>
        </w:rPr>
        <w:t>14</w:t>
      </w:r>
      <w:r w:rsidR="00E3784E" w:rsidRPr="001A488A">
        <w:rPr>
          <w:rFonts w:ascii="Arial" w:hAnsi="Arial" w:cs="Arial"/>
        </w:rPr>
        <w:t>. mellékletben foglaltaknak megfelelő tarta</w:t>
      </w:r>
      <w:r w:rsidR="00E22AE8">
        <w:rPr>
          <w:rFonts w:ascii="Arial" w:hAnsi="Arial" w:cs="Arial"/>
        </w:rPr>
        <w:t>lommal</w:t>
      </w:r>
      <w:r w:rsidR="00116900">
        <w:rPr>
          <w:rFonts w:ascii="Arial" w:hAnsi="Arial" w:cs="Arial"/>
        </w:rPr>
        <w:t>,</w:t>
      </w:r>
      <w:r w:rsidR="00E22AE8">
        <w:rPr>
          <w:rFonts w:ascii="Arial" w:hAnsi="Arial" w:cs="Arial"/>
        </w:rPr>
        <w:t xml:space="preserve"> formában</w:t>
      </w:r>
      <w:r w:rsidR="00C072B6">
        <w:rPr>
          <w:rFonts w:ascii="Arial" w:hAnsi="Arial" w:cs="Arial"/>
        </w:rPr>
        <w:t>, gyakorisággal</w:t>
      </w:r>
      <w:r w:rsidR="00116900">
        <w:rPr>
          <w:rFonts w:ascii="Arial" w:hAnsi="Arial" w:cs="Arial"/>
        </w:rPr>
        <w:t xml:space="preserve"> és határidőre teljesít</w:t>
      </w:r>
      <w:r w:rsidR="00F66856">
        <w:rPr>
          <w:rFonts w:ascii="Arial" w:hAnsi="Arial" w:cs="Arial"/>
        </w:rPr>
        <w:t>i</w:t>
      </w:r>
      <w:r w:rsidR="00C3270C">
        <w:rPr>
          <w:rFonts w:ascii="Arial" w:hAnsi="Arial" w:cs="Arial"/>
        </w:rPr>
        <w:t>k</w:t>
      </w:r>
      <w:r w:rsidR="00116900">
        <w:rPr>
          <w:rFonts w:ascii="Arial" w:hAnsi="Arial" w:cs="Arial"/>
        </w:rPr>
        <w:t xml:space="preserve"> az MNB részére.</w:t>
      </w:r>
    </w:p>
    <w:p w14:paraId="1B18AC33" w14:textId="035BD3D7" w:rsidR="007F17AA" w:rsidRDefault="00116900" w:rsidP="008B07DF">
      <w:pPr>
        <w:autoSpaceDE w:val="0"/>
        <w:autoSpaceDN w:val="0"/>
        <w:adjustRightInd w:val="0"/>
        <w:ind w:firstLine="142"/>
        <w:jc w:val="both"/>
        <w:rPr>
          <w:rFonts w:ascii="Arial" w:hAnsi="Arial" w:cs="Arial"/>
        </w:rPr>
      </w:pPr>
      <w:r>
        <w:rPr>
          <w:rFonts w:ascii="Arial" w:hAnsi="Arial" w:cs="Arial"/>
        </w:rPr>
        <w:t>(2)</w:t>
      </w:r>
      <w:r w:rsidR="00E22AE8">
        <w:rPr>
          <w:rFonts w:ascii="Arial" w:hAnsi="Arial" w:cs="Arial"/>
        </w:rPr>
        <w:t xml:space="preserve"> </w:t>
      </w:r>
      <w:r w:rsidR="00593892">
        <w:rPr>
          <w:rFonts w:ascii="Arial" w:hAnsi="Arial" w:cs="Arial"/>
        </w:rPr>
        <w:t>A kitöltésre vonatkozó általános előírásokat az 1. melléklet,</w:t>
      </w:r>
      <w:r w:rsidR="00E22AE8">
        <w:rPr>
          <w:rFonts w:ascii="Arial" w:hAnsi="Arial" w:cs="Arial"/>
        </w:rPr>
        <w:t xml:space="preserve"> a</w:t>
      </w:r>
      <w:r w:rsidR="00593892">
        <w:rPr>
          <w:rFonts w:ascii="Arial" w:hAnsi="Arial" w:cs="Arial"/>
        </w:rPr>
        <w:t xml:space="preserve"> kitöltésre vonatkozó részletes előírásokat a</w:t>
      </w:r>
      <w:r w:rsidR="00E22AE8">
        <w:rPr>
          <w:rFonts w:ascii="Arial" w:hAnsi="Arial" w:cs="Arial"/>
        </w:rPr>
        <w:t xml:space="preserve"> </w:t>
      </w:r>
      <w:r w:rsidR="00135BC1">
        <w:rPr>
          <w:rFonts w:ascii="Arial" w:hAnsi="Arial" w:cs="Arial"/>
        </w:rPr>
        <w:t>15</w:t>
      </w:r>
      <w:r w:rsidR="00E3784E" w:rsidRPr="001A488A">
        <w:rPr>
          <w:rFonts w:ascii="Arial" w:hAnsi="Arial" w:cs="Arial"/>
        </w:rPr>
        <w:t>. melléklet</w:t>
      </w:r>
      <w:r w:rsidR="00593892">
        <w:rPr>
          <w:rFonts w:ascii="Arial" w:hAnsi="Arial" w:cs="Arial"/>
        </w:rPr>
        <w:t xml:space="preserve"> tartalmazza</w:t>
      </w:r>
      <w:r w:rsidR="00E3784E" w:rsidRPr="001A488A">
        <w:rPr>
          <w:rFonts w:ascii="Arial" w:hAnsi="Arial" w:cs="Arial"/>
        </w:rPr>
        <w:t>.</w:t>
      </w:r>
    </w:p>
    <w:p w14:paraId="1B18AC34" w14:textId="77777777" w:rsidR="008D3526" w:rsidRPr="001A488A" w:rsidRDefault="008D3526" w:rsidP="00085E59">
      <w:pPr>
        <w:autoSpaceDE w:val="0"/>
        <w:autoSpaceDN w:val="0"/>
        <w:adjustRightInd w:val="0"/>
        <w:ind w:firstLine="142"/>
        <w:jc w:val="both"/>
        <w:rPr>
          <w:rFonts w:ascii="Arial" w:hAnsi="Arial" w:cs="Arial"/>
        </w:rPr>
      </w:pPr>
    </w:p>
    <w:p w14:paraId="1B18AC35" w14:textId="37D0CB06" w:rsidR="00593892" w:rsidRPr="00454233" w:rsidRDefault="009A2D18" w:rsidP="008B07DF">
      <w:pPr>
        <w:autoSpaceDE w:val="0"/>
        <w:autoSpaceDN w:val="0"/>
        <w:adjustRightInd w:val="0"/>
        <w:ind w:firstLine="142"/>
        <w:jc w:val="both"/>
        <w:rPr>
          <w:rFonts w:ascii="Arial" w:hAnsi="Arial" w:cs="Arial"/>
        </w:rPr>
      </w:pPr>
      <w:r>
        <w:rPr>
          <w:rFonts w:ascii="Arial" w:hAnsi="Arial" w:cs="Arial"/>
          <w:b/>
        </w:rPr>
        <w:t>11</w:t>
      </w:r>
      <w:r w:rsidR="00592E8F" w:rsidRPr="005D5386">
        <w:rPr>
          <w:rFonts w:ascii="Arial" w:hAnsi="Arial" w:cs="Arial"/>
          <w:b/>
        </w:rPr>
        <w:t>. §</w:t>
      </w:r>
      <w:r w:rsidR="009B6130">
        <w:rPr>
          <w:rFonts w:ascii="Arial" w:hAnsi="Arial" w:cs="Arial"/>
          <w:b/>
        </w:rPr>
        <w:t xml:space="preserve"> </w:t>
      </w:r>
      <w:r w:rsidR="00592E8F" w:rsidRPr="005D5386">
        <w:rPr>
          <w:rFonts w:ascii="Arial" w:hAnsi="Arial" w:cs="Arial"/>
        </w:rPr>
        <w:t xml:space="preserve">(1) A </w:t>
      </w:r>
      <w:r w:rsidR="00592E8F" w:rsidRPr="00C74312">
        <w:rPr>
          <w:rFonts w:ascii="Arial" w:hAnsi="Arial" w:cs="Arial"/>
        </w:rPr>
        <w:t>hitelintézet</w:t>
      </w:r>
      <w:r w:rsidR="00592E8F" w:rsidRPr="005D5386">
        <w:rPr>
          <w:rFonts w:ascii="Arial" w:hAnsi="Arial" w:cs="Arial"/>
        </w:rPr>
        <w:t xml:space="preserve"> a </w:t>
      </w:r>
      <w:r w:rsidR="00196025" w:rsidRPr="001B1E86">
        <w:rPr>
          <w:rFonts w:ascii="Arial" w:hAnsi="Arial" w:cs="Arial"/>
        </w:rPr>
        <w:t>tárgyévi javadalmazási adatokr</w:t>
      </w:r>
      <w:r w:rsidR="00196025">
        <w:rPr>
          <w:rFonts w:ascii="Arial" w:hAnsi="Arial" w:cs="Arial"/>
        </w:rPr>
        <w:t>a vonatkozó éves felügyeleti jelentést a</w:t>
      </w:r>
      <w:r w:rsidR="00196025" w:rsidRPr="00454233">
        <w:rPr>
          <w:rFonts w:ascii="Arial" w:hAnsi="Arial" w:cs="Arial"/>
        </w:rPr>
        <w:t xml:space="preserve"> </w:t>
      </w:r>
      <w:r w:rsidR="00135BC1">
        <w:rPr>
          <w:rFonts w:ascii="Arial" w:hAnsi="Arial" w:cs="Arial"/>
        </w:rPr>
        <w:t>16</w:t>
      </w:r>
      <w:r w:rsidR="00592E8F" w:rsidRPr="005D5386">
        <w:rPr>
          <w:rFonts w:ascii="Arial" w:hAnsi="Arial" w:cs="Arial"/>
        </w:rPr>
        <w:t>. mellékletben foglaltaknak megfelelő tartalommal</w:t>
      </w:r>
      <w:r w:rsidR="0070572D" w:rsidRPr="00E9578F">
        <w:rPr>
          <w:rFonts w:ascii="Arial" w:hAnsi="Arial" w:cs="Arial"/>
        </w:rPr>
        <w:t>,</w:t>
      </w:r>
      <w:r w:rsidR="00592E8F" w:rsidRPr="00E9578F">
        <w:rPr>
          <w:rFonts w:ascii="Arial" w:hAnsi="Arial" w:cs="Arial"/>
        </w:rPr>
        <w:t xml:space="preserve"> </w:t>
      </w:r>
      <w:r w:rsidR="00592E8F" w:rsidRPr="001B1E86">
        <w:rPr>
          <w:rFonts w:ascii="Arial" w:hAnsi="Arial" w:cs="Arial"/>
        </w:rPr>
        <w:t xml:space="preserve">formában </w:t>
      </w:r>
      <w:r w:rsidR="0070572D" w:rsidRPr="001B1E86">
        <w:rPr>
          <w:rFonts w:ascii="Arial" w:hAnsi="Arial" w:cs="Arial"/>
        </w:rPr>
        <w:t xml:space="preserve">és határidőre </w:t>
      </w:r>
      <w:r w:rsidR="00592E8F" w:rsidRPr="001B1E86">
        <w:rPr>
          <w:rFonts w:ascii="Arial" w:hAnsi="Arial" w:cs="Arial"/>
        </w:rPr>
        <w:t>teljesít</w:t>
      </w:r>
      <w:r w:rsidR="00196025">
        <w:rPr>
          <w:rFonts w:ascii="Arial" w:hAnsi="Arial" w:cs="Arial"/>
        </w:rPr>
        <w:t>i</w:t>
      </w:r>
      <w:r w:rsidR="00592E8F" w:rsidRPr="001B1E86">
        <w:rPr>
          <w:rFonts w:ascii="Arial" w:hAnsi="Arial" w:cs="Arial"/>
        </w:rPr>
        <w:t xml:space="preserve"> </w:t>
      </w:r>
      <w:r w:rsidR="00592E8F" w:rsidRPr="00454233">
        <w:rPr>
          <w:rFonts w:ascii="Arial" w:hAnsi="Arial" w:cs="Arial"/>
        </w:rPr>
        <w:t>az MNB részére.</w:t>
      </w:r>
    </w:p>
    <w:p w14:paraId="1B18AC36" w14:textId="5735CDA4" w:rsidR="007F17AA" w:rsidRDefault="00592E8F" w:rsidP="008B07DF">
      <w:pPr>
        <w:autoSpaceDE w:val="0"/>
        <w:autoSpaceDN w:val="0"/>
        <w:adjustRightInd w:val="0"/>
        <w:ind w:firstLine="142"/>
        <w:jc w:val="both"/>
        <w:rPr>
          <w:rFonts w:ascii="Arial" w:hAnsi="Arial" w:cs="Arial"/>
        </w:rPr>
      </w:pPr>
      <w:r w:rsidRPr="00546603">
        <w:rPr>
          <w:rFonts w:ascii="Arial" w:hAnsi="Arial" w:cs="Arial"/>
        </w:rPr>
        <w:t xml:space="preserve">(2) A kitöltésre vonatkozó </w:t>
      </w:r>
      <w:r w:rsidR="005E0471">
        <w:rPr>
          <w:rFonts w:ascii="Arial" w:hAnsi="Arial" w:cs="Arial"/>
        </w:rPr>
        <w:t xml:space="preserve">általános </w:t>
      </w:r>
      <w:r w:rsidRPr="00546603">
        <w:rPr>
          <w:rFonts w:ascii="Arial" w:hAnsi="Arial" w:cs="Arial"/>
        </w:rPr>
        <w:t xml:space="preserve">előírásokat </w:t>
      </w:r>
      <w:r w:rsidR="005E0471">
        <w:rPr>
          <w:rFonts w:ascii="Arial" w:hAnsi="Arial" w:cs="Arial"/>
        </w:rPr>
        <w:t xml:space="preserve">az 1. melléklet, a kitöltésre vonatkozó részletes előírásokat </w:t>
      </w:r>
      <w:r w:rsidRPr="00546603">
        <w:rPr>
          <w:rFonts w:ascii="Arial" w:hAnsi="Arial" w:cs="Arial"/>
        </w:rPr>
        <w:t>a</w:t>
      </w:r>
      <w:r w:rsidR="00B272A3" w:rsidRPr="0038210D">
        <w:rPr>
          <w:rFonts w:ascii="Arial" w:hAnsi="Arial" w:cs="Arial"/>
        </w:rPr>
        <w:t xml:space="preserve"> </w:t>
      </w:r>
      <w:r w:rsidR="00135BC1">
        <w:rPr>
          <w:rFonts w:ascii="Arial" w:hAnsi="Arial" w:cs="Arial"/>
        </w:rPr>
        <w:t>17</w:t>
      </w:r>
      <w:r w:rsidRPr="0038210D">
        <w:rPr>
          <w:rFonts w:ascii="Arial" w:hAnsi="Arial" w:cs="Arial"/>
        </w:rPr>
        <w:t>. melléklet tartalmazza.</w:t>
      </w:r>
      <w:r w:rsidR="00701613" w:rsidRPr="001A488A">
        <w:rPr>
          <w:rFonts w:ascii="Arial" w:hAnsi="Arial" w:cs="Arial"/>
        </w:rPr>
        <w:t xml:space="preserve"> </w:t>
      </w:r>
    </w:p>
    <w:p w14:paraId="1B18AC37" w14:textId="77777777" w:rsidR="00701613" w:rsidRDefault="00701613" w:rsidP="00085E59">
      <w:pPr>
        <w:autoSpaceDE w:val="0"/>
        <w:autoSpaceDN w:val="0"/>
        <w:adjustRightInd w:val="0"/>
        <w:ind w:firstLine="142"/>
        <w:jc w:val="both"/>
        <w:rPr>
          <w:rFonts w:ascii="Arial" w:hAnsi="Arial" w:cs="Arial"/>
        </w:rPr>
      </w:pPr>
    </w:p>
    <w:p w14:paraId="1B18AC38" w14:textId="1499686A" w:rsidR="00B2603F" w:rsidRPr="00B2603F" w:rsidRDefault="009A2D18" w:rsidP="008B07DF">
      <w:pPr>
        <w:autoSpaceDE w:val="0"/>
        <w:autoSpaceDN w:val="0"/>
        <w:adjustRightInd w:val="0"/>
        <w:ind w:firstLine="142"/>
        <w:jc w:val="both"/>
        <w:rPr>
          <w:rFonts w:ascii="Arial" w:hAnsi="Arial" w:cs="Arial"/>
        </w:rPr>
      </w:pPr>
      <w:r>
        <w:rPr>
          <w:rFonts w:ascii="Arial" w:hAnsi="Arial" w:cs="Arial"/>
          <w:b/>
        </w:rPr>
        <w:t>12</w:t>
      </w:r>
      <w:r w:rsidR="00B2603F" w:rsidRPr="00B2603F">
        <w:rPr>
          <w:rFonts w:ascii="Arial" w:hAnsi="Arial" w:cs="Arial"/>
          <w:b/>
        </w:rPr>
        <w:t>. §</w:t>
      </w:r>
      <w:r w:rsidR="00B2603F" w:rsidRPr="00B2603F">
        <w:rPr>
          <w:rFonts w:ascii="Arial" w:hAnsi="Arial" w:cs="Arial"/>
        </w:rPr>
        <w:t xml:space="preserve"> (1) A</w:t>
      </w:r>
      <w:r w:rsidR="0099525C">
        <w:rPr>
          <w:rFonts w:ascii="Arial" w:hAnsi="Arial" w:cs="Arial"/>
        </w:rPr>
        <w:t>z MNB által kijelölt</w:t>
      </w:r>
      <w:r w:rsidR="00B2603F" w:rsidRPr="00B2603F">
        <w:rPr>
          <w:rFonts w:ascii="Arial" w:hAnsi="Arial" w:cs="Arial"/>
        </w:rPr>
        <w:t xml:space="preserve"> </w:t>
      </w:r>
      <w:r w:rsidR="00B2603F" w:rsidRPr="00C74312">
        <w:rPr>
          <w:rFonts w:ascii="Arial" w:hAnsi="Arial" w:cs="Arial"/>
        </w:rPr>
        <w:t>hitelintézet</w:t>
      </w:r>
      <w:r w:rsidR="00B2603F" w:rsidRPr="00B2603F">
        <w:rPr>
          <w:rFonts w:ascii="Arial" w:hAnsi="Arial" w:cs="Arial"/>
        </w:rPr>
        <w:t xml:space="preserve"> </w:t>
      </w:r>
      <w:r w:rsidR="00D13A5E" w:rsidRPr="00B2603F">
        <w:rPr>
          <w:rFonts w:ascii="Arial" w:hAnsi="Arial" w:cs="Arial"/>
        </w:rPr>
        <w:t>a finanszírozási terv adatokr</w:t>
      </w:r>
      <w:r w:rsidR="00D13A5E">
        <w:rPr>
          <w:rFonts w:ascii="Arial" w:hAnsi="Arial" w:cs="Arial"/>
        </w:rPr>
        <w:t>a vonatkozó éves felügyeleti jelentést</w:t>
      </w:r>
      <w:r w:rsidR="00D13A5E" w:rsidRPr="00B2603F">
        <w:rPr>
          <w:rFonts w:ascii="Arial" w:hAnsi="Arial" w:cs="Arial"/>
        </w:rPr>
        <w:t xml:space="preserve"> </w:t>
      </w:r>
      <w:r w:rsidR="00B2603F" w:rsidRPr="00B2603F">
        <w:rPr>
          <w:rFonts w:ascii="Arial" w:hAnsi="Arial" w:cs="Arial"/>
        </w:rPr>
        <w:t xml:space="preserve">a </w:t>
      </w:r>
      <w:r w:rsidR="00135BC1">
        <w:rPr>
          <w:rFonts w:ascii="Arial" w:hAnsi="Arial" w:cs="Arial"/>
        </w:rPr>
        <w:t>18</w:t>
      </w:r>
      <w:r w:rsidR="00B2603F" w:rsidRPr="00B2603F">
        <w:rPr>
          <w:rFonts w:ascii="Arial" w:hAnsi="Arial" w:cs="Arial"/>
        </w:rPr>
        <w:t>. mellékletben foglaltaknak megfelelő tartalommal, formában és határidőre teljesít</w:t>
      </w:r>
      <w:r w:rsidR="00D13A5E">
        <w:rPr>
          <w:rFonts w:ascii="Arial" w:hAnsi="Arial" w:cs="Arial"/>
        </w:rPr>
        <w:t>i</w:t>
      </w:r>
      <w:r w:rsidR="00B2603F" w:rsidRPr="00B2603F">
        <w:rPr>
          <w:rFonts w:ascii="Arial" w:hAnsi="Arial" w:cs="Arial"/>
        </w:rPr>
        <w:t xml:space="preserve"> az MNB részére.</w:t>
      </w:r>
    </w:p>
    <w:p w14:paraId="1B18AC39" w14:textId="652FED72" w:rsidR="00E36DDB" w:rsidRDefault="00B2603F" w:rsidP="008B07DF">
      <w:pPr>
        <w:autoSpaceDE w:val="0"/>
        <w:autoSpaceDN w:val="0"/>
        <w:adjustRightInd w:val="0"/>
        <w:ind w:firstLine="142"/>
        <w:jc w:val="both"/>
        <w:rPr>
          <w:rFonts w:ascii="Arial" w:hAnsi="Arial" w:cs="Arial"/>
        </w:rPr>
      </w:pPr>
      <w:r w:rsidRPr="00B2603F">
        <w:rPr>
          <w:rFonts w:ascii="Arial" w:hAnsi="Arial" w:cs="Arial"/>
        </w:rPr>
        <w:t xml:space="preserve">(2) A kitöltésre vonatkozó </w:t>
      </w:r>
      <w:r w:rsidR="004E6658">
        <w:rPr>
          <w:rFonts w:ascii="Arial" w:hAnsi="Arial" w:cs="Arial"/>
        </w:rPr>
        <w:t xml:space="preserve">általános előírásokat az 1. melléklet, a kitöltésre vonatkozó részletes </w:t>
      </w:r>
      <w:r w:rsidRPr="00B2603F">
        <w:rPr>
          <w:rFonts w:ascii="Arial" w:hAnsi="Arial" w:cs="Arial"/>
        </w:rPr>
        <w:t xml:space="preserve">előírásokat a </w:t>
      </w:r>
      <w:r w:rsidR="00135BC1">
        <w:rPr>
          <w:rFonts w:ascii="Arial" w:hAnsi="Arial" w:cs="Arial"/>
        </w:rPr>
        <w:t>19</w:t>
      </w:r>
      <w:r w:rsidRPr="00B2603F">
        <w:rPr>
          <w:rFonts w:ascii="Arial" w:hAnsi="Arial" w:cs="Arial"/>
        </w:rPr>
        <w:t>. melléklet tartalmazza</w:t>
      </w:r>
      <w:r>
        <w:rPr>
          <w:rFonts w:ascii="Arial" w:hAnsi="Arial" w:cs="Arial"/>
        </w:rPr>
        <w:t>.</w:t>
      </w:r>
    </w:p>
    <w:p w14:paraId="1B18AC3A" w14:textId="77777777" w:rsidR="00B00064" w:rsidRDefault="00B00064" w:rsidP="008B07DF">
      <w:pPr>
        <w:autoSpaceDE w:val="0"/>
        <w:autoSpaceDN w:val="0"/>
        <w:adjustRightInd w:val="0"/>
        <w:ind w:firstLine="142"/>
        <w:jc w:val="both"/>
        <w:rPr>
          <w:rFonts w:ascii="Arial" w:hAnsi="Arial" w:cs="Arial"/>
        </w:rPr>
      </w:pPr>
    </w:p>
    <w:p w14:paraId="76FBA1D9" w14:textId="360DA6A4" w:rsidR="005143CA" w:rsidRPr="000B3E94" w:rsidRDefault="009A2D18" w:rsidP="008B07DF">
      <w:pPr>
        <w:ind w:firstLine="142"/>
        <w:jc w:val="both"/>
        <w:rPr>
          <w:i/>
          <w:iCs/>
        </w:rPr>
      </w:pPr>
      <w:r>
        <w:rPr>
          <w:rFonts w:ascii="Arial" w:hAnsi="Arial" w:cs="Arial"/>
          <w:b/>
          <w:bCs/>
        </w:rPr>
        <w:t>13</w:t>
      </w:r>
      <w:r w:rsidR="005143CA" w:rsidRPr="000B3E94">
        <w:rPr>
          <w:rFonts w:ascii="Arial" w:hAnsi="Arial" w:cs="Arial"/>
          <w:b/>
          <w:bCs/>
        </w:rPr>
        <w:t>. §</w:t>
      </w:r>
      <w:r w:rsidR="005143CA" w:rsidRPr="000B3E94">
        <w:rPr>
          <w:rFonts w:ascii="Arial" w:hAnsi="Arial" w:cs="Arial"/>
        </w:rPr>
        <w:t xml:space="preserve"> </w:t>
      </w:r>
      <w:r w:rsidR="005143CA" w:rsidRPr="00FB4F44">
        <w:rPr>
          <w:rFonts w:ascii="Arial" w:hAnsi="Arial" w:cs="Arial"/>
        </w:rPr>
        <w:t xml:space="preserve">(1) A </w:t>
      </w:r>
      <w:r w:rsidR="00BC4CB6">
        <w:rPr>
          <w:rFonts w:ascii="Arial" w:hAnsi="Arial" w:cs="Arial"/>
        </w:rPr>
        <w:t>szakosított hitelintézet</w:t>
      </w:r>
      <w:r w:rsidR="00975562">
        <w:rPr>
          <w:rFonts w:ascii="Arial" w:hAnsi="Arial" w:cs="Arial"/>
        </w:rPr>
        <w:t>ként működő központi értéktár</w:t>
      </w:r>
      <w:r w:rsidR="005143CA" w:rsidRPr="000B3E94">
        <w:rPr>
          <w:rFonts w:ascii="Arial" w:hAnsi="Arial" w:cs="Arial"/>
        </w:rPr>
        <w:t xml:space="preserve"> és a hitelintézettel egyenértékű prudenciális szabályozásnak megfelelő pénzügyi vállalkozás kivételével a hitelintézet, a kijelölt, összevont alapú felügyelet alá tartozó pénzügyi vállalkozás, </w:t>
      </w:r>
      <w:r w:rsidR="00DF4907">
        <w:rPr>
          <w:rFonts w:ascii="Arial" w:hAnsi="Arial" w:cs="Arial"/>
        </w:rPr>
        <w:t xml:space="preserve">valamint </w:t>
      </w:r>
      <w:r w:rsidR="005143CA" w:rsidRPr="000B3E94">
        <w:rPr>
          <w:rFonts w:ascii="Arial" w:hAnsi="Arial" w:cs="Arial"/>
        </w:rPr>
        <w:t>az ezen típusú EGT-fióktelep</w:t>
      </w:r>
      <w:r w:rsidR="00AD78F5">
        <w:rPr>
          <w:rFonts w:ascii="Arial" w:hAnsi="Arial" w:cs="Arial"/>
        </w:rPr>
        <w:t>ek</w:t>
      </w:r>
      <w:r w:rsidR="005143CA" w:rsidRPr="000B3E94">
        <w:rPr>
          <w:rFonts w:ascii="Arial" w:hAnsi="Arial" w:cs="Arial"/>
        </w:rPr>
        <w:t xml:space="preserve"> </w:t>
      </w:r>
      <w:r w:rsidR="009C6B82">
        <w:rPr>
          <w:rFonts w:ascii="Arial" w:hAnsi="Arial" w:cs="Arial"/>
        </w:rPr>
        <w:t>az ingatlantranzakciókr</w:t>
      </w:r>
      <w:r w:rsidR="00300407">
        <w:rPr>
          <w:rFonts w:ascii="Arial" w:hAnsi="Arial" w:cs="Arial"/>
        </w:rPr>
        <w:t>a vonatkozó negyedéves felügyeleti jelentést</w:t>
      </w:r>
      <w:r w:rsidR="005143CA" w:rsidRPr="00B2603F">
        <w:rPr>
          <w:rFonts w:ascii="Arial" w:hAnsi="Arial" w:cs="Arial"/>
        </w:rPr>
        <w:t xml:space="preserve"> </w:t>
      </w:r>
      <w:r w:rsidR="006564B2">
        <w:rPr>
          <w:rFonts w:ascii="Arial" w:hAnsi="Arial" w:cs="Arial"/>
        </w:rPr>
        <w:t xml:space="preserve">(jelentéskód: ING) </w:t>
      </w:r>
      <w:r w:rsidR="00922762">
        <w:rPr>
          <w:rFonts w:ascii="Arial" w:hAnsi="Arial" w:cs="Arial"/>
        </w:rPr>
        <w:t xml:space="preserve">a </w:t>
      </w:r>
      <w:r w:rsidR="00135BC1">
        <w:rPr>
          <w:rFonts w:ascii="Arial" w:hAnsi="Arial" w:cs="Arial"/>
        </w:rPr>
        <w:t>20</w:t>
      </w:r>
      <w:r w:rsidR="005143CA" w:rsidRPr="00B2603F">
        <w:rPr>
          <w:rFonts w:ascii="Arial" w:hAnsi="Arial" w:cs="Arial"/>
        </w:rPr>
        <w:t>. mellékletben foglaltaknak megfelelő tartalommal, formában</w:t>
      </w:r>
      <w:r w:rsidR="00922762">
        <w:rPr>
          <w:rFonts w:ascii="Arial" w:hAnsi="Arial" w:cs="Arial"/>
        </w:rPr>
        <w:t>,</w:t>
      </w:r>
      <w:r w:rsidR="005143CA" w:rsidRPr="00B2603F">
        <w:rPr>
          <w:rFonts w:ascii="Arial" w:hAnsi="Arial" w:cs="Arial"/>
        </w:rPr>
        <w:t xml:space="preserve"> </w:t>
      </w:r>
      <w:r w:rsidR="00521A07">
        <w:rPr>
          <w:rFonts w:ascii="Arial" w:hAnsi="Arial" w:cs="Arial"/>
        </w:rPr>
        <w:t xml:space="preserve">a tárgyidőszakot követő hónap 20. munkanapjáig </w:t>
      </w:r>
      <w:r w:rsidR="00300407">
        <w:rPr>
          <w:rFonts w:ascii="Arial" w:hAnsi="Arial" w:cs="Arial"/>
        </w:rPr>
        <w:t>teljesíti</w:t>
      </w:r>
      <w:r w:rsidR="001F35AF">
        <w:rPr>
          <w:rFonts w:ascii="Arial" w:hAnsi="Arial" w:cs="Arial"/>
        </w:rPr>
        <w:t>k</w:t>
      </w:r>
      <w:r w:rsidR="00AE63D9">
        <w:rPr>
          <w:rFonts w:ascii="Arial" w:hAnsi="Arial" w:cs="Arial"/>
        </w:rPr>
        <w:t xml:space="preserve"> az MNB részére</w:t>
      </w:r>
      <w:r w:rsidR="005143CA">
        <w:rPr>
          <w:rFonts w:ascii="Arial" w:hAnsi="Arial" w:cs="Arial"/>
        </w:rPr>
        <w:t>.</w:t>
      </w:r>
    </w:p>
    <w:p w14:paraId="2E7CF0A7" w14:textId="612F0BD0" w:rsidR="005143CA" w:rsidRDefault="005143CA" w:rsidP="008B07DF">
      <w:pPr>
        <w:autoSpaceDE w:val="0"/>
        <w:autoSpaceDN w:val="0"/>
        <w:adjustRightInd w:val="0"/>
        <w:ind w:firstLine="142"/>
        <w:jc w:val="both"/>
        <w:rPr>
          <w:rFonts w:ascii="Arial" w:hAnsi="Arial" w:cs="Arial"/>
        </w:rPr>
      </w:pPr>
      <w:r w:rsidRPr="00546603">
        <w:rPr>
          <w:rFonts w:ascii="Arial" w:hAnsi="Arial" w:cs="Arial"/>
        </w:rPr>
        <w:t xml:space="preserve">(2) A kitöltésre vonatkozó </w:t>
      </w:r>
      <w:r>
        <w:rPr>
          <w:rFonts w:ascii="Arial" w:hAnsi="Arial" w:cs="Arial"/>
        </w:rPr>
        <w:t xml:space="preserve">általános </w:t>
      </w:r>
      <w:r w:rsidRPr="00546603">
        <w:rPr>
          <w:rFonts w:ascii="Arial" w:hAnsi="Arial" w:cs="Arial"/>
        </w:rPr>
        <w:t xml:space="preserve">előírásokat </w:t>
      </w:r>
      <w:r>
        <w:rPr>
          <w:rFonts w:ascii="Arial" w:hAnsi="Arial" w:cs="Arial"/>
        </w:rPr>
        <w:t xml:space="preserve">az 1. melléklet, a kitöltésre vonatkozó részletes előírásokat </w:t>
      </w:r>
      <w:r w:rsidRPr="00546603">
        <w:rPr>
          <w:rFonts w:ascii="Arial" w:hAnsi="Arial" w:cs="Arial"/>
        </w:rPr>
        <w:t>a</w:t>
      </w:r>
      <w:r w:rsidRPr="0038210D">
        <w:rPr>
          <w:rFonts w:ascii="Arial" w:hAnsi="Arial" w:cs="Arial"/>
        </w:rPr>
        <w:t xml:space="preserve"> </w:t>
      </w:r>
      <w:r w:rsidR="00135BC1">
        <w:rPr>
          <w:rFonts w:ascii="Arial" w:hAnsi="Arial" w:cs="Arial"/>
        </w:rPr>
        <w:t>21</w:t>
      </w:r>
      <w:r w:rsidRPr="0038210D">
        <w:rPr>
          <w:rFonts w:ascii="Arial" w:hAnsi="Arial" w:cs="Arial"/>
        </w:rPr>
        <w:t>. melléklet tartalmazza.</w:t>
      </w:r>
    </w:p>
    <w:p w14:paraId="6265B42D" w14:textId="77777777" w:rsidR="005143CA" w:rsidRDefault="005143CA" w:rsidP="008B07DF">
      <w:pPr>
        <w:autoSpaceDE w:val="0"/>
        <w:autoSpaceDN w:val="0"/>
        <w:adjustRightInd w:val="0"/>
        <w:ind w:firstLine="142"/>
        <w:jc w:val="both"/>
        <w:rPr>
          <w:rFonts w:ascii="Arial" w:hAnsi="Arial" w:cs="Arial"/>
        </w:rPr>
      </w:pPr>
    </w:p>
    <w:p w14:paraId="1B18AC3B" w14:textId="438476F5" w:rsidR="00B00064" w:rsidRPr="00870D94" w:rsidRDefault="009A2D18" w:rsidP="008B07DF">
      <w:pPr>
        <w:autoSpaceDE w:val="0"/>
        <w:autoSpaceDN w:val="0"/>
        <w:adjustRightInd w:val="0"/>
        <w:ind w:firstLine="142"/>
        <w:jc w:val="both"/>
        <w:rPr>
          <w:rFonts w:ascii="Arial" w:hAnsi="Arial" w:cs="Arial"/>
        </w:rPr>
      </w:pPr>
      <w:r>
        <w:rPr>
          <w:rFonts w:ascii="Arial" w:hAnsi="Arial" w:cs="Arial"/>
          <w:b/>
        </w:rPr>
        <w:t>14</w:t>
      </w:r>
      <w:r w:rsidR="00B00064" w:rsidRPr="00870D94">
        <w:rPr>
          <w:rFonts w:ascii="Arial" w:hAnsi="Arial" w:cs="Arial"/>
          <w:b/>
        </w:rPr>
        <w:t>. §</w:t>
      </w:r>
      <w:r w:rsidR="00B00064" w:rsidRPr="00870D94">
        <w:rPr>
          <w:rFonts w:ascii="Arial" w:hAnsi="Arial" w:cs="Arial"/>
        </w:rPr>
        <w:t xml:space="preserve"> (1) A pénzforgalmi szolgáltató </w:t>
      </w:r>
      <w:r w:rsidR="00AA0F85" w:rsidRPr="00870D94">
        <w:rPr>
          <w:rFonts w:ascii="Arial" w:hAnsi="Arial" w:cs="Arial"/>
        </w:rPr>
        <w:t xml:space="preserve">a </w:t>
      </w:r>
      <w:r w:rsidR="00AA0F85" w:rsidRPr="00870D94">
        <w:rPr>
          <w:rFonts w:ascii="Arial" w:hAnsi="Arial" w:cs="Arial"/>
          <w:snapToGrid w:val="0"/>
        </w:rPr>
        <w:t>fogyasztók részére vezetett fizetési számlákhoz kapcsolódó díjakról történő tájékoztatás egyes kérdéseiről szóló 144/2018. (VIII. 13.) Korm. rendelet</w:t>
      </w:r>
      <w:r w:rsidR="00AA0F85" w:rsidRPr="00870D94">
        <w:rPr>
          <w:rFonts w:ascii="Arial" w:hAnsi="Arial" w:cs="Arial"/>
        </w:rPr>
        <w:t xml:space="preserve"> [a továbbiakban: 144/2018. (VIII. 13.) Korm. rendelet</w:t>
      </w:r>
      <w:r w:rsidR="005E6189" w:rsidRPr="00870D94">
        <w:rPr>
          <w:rFonts w:ascii="Arial" w:hAnsi="Arial" w:cs="Arial"/>
        </w:rPr>
        <w:t>]</w:t>
      </w:r>
      <w:r w:rsidR="00AA0F85" w:rsidRPr="00870D94">
        <w:rPr>
          <w:rFonts w:ascii="Arial" w:hAnsi="Arial" w:cs="Arial"/>
        </w:rPr>
        <w:t xml:space="preserve"> 1. §-a szerinti fizetési számlához </w:t>
      </w:r>
      <w:r w:rsidR="00DC4B69" w:rsidRPr="00870D94">
        <w:rPr>
          <w:rFonts w:ascii="Arial" w:hAnsi="Arial" w:cs="Arial"/>
        </w:rPr>
        <w:t>kapcsolódó díjak</w:t>
      </w:r>
      <w:r w:rsidR="000E321D" w:rsidRPr="00870D94">
        <w:rPr>
          <w:rFonts w:ascii="Arial" w:hAnsi="Arial" w:cs="Arial"/>
        </w:rPr>
        <w:t>ra és k</w:t>
      </w:r>
      <w:r w:rsidR="00DC4B69" w:rsidRPr="00870D94">
        <w:rPr>
          <w:rFonts w:ascii="Arial" w:hAnsi="Arial" w:cs="Arial"/>
        </w:rPr>
        <w:t>ondíciókr</w:t>
      </w:r>
      <w:r w:rsidR="000E321D" w:rsidRPr="00870D94">
        <w:rPr>
          <w:rFonts w:ascii="Arial" w:hAnsi="Arial" w:cs="Arial"/>
        </w:rPr>
        <w:t>a vonatkozó eseti felügy</w:t>
      </w:r>
      <w:r w:rsidR="007B523D">
        <w:rPr>
          <w:rFonts w:ascii="Arial" w:hAnsi="Arial" w:cs="Arial"/>
        </w:rPr>
        <w:t>e</w:t>
      </w:r>
      <w:r w:rsidR="000E321D" w:rsidRPr="00870D94">
        <w:rPr>
          <w:rFonts w:ascii="Arial" w:hAnsi="Arial" w:cs="Arial"/>
        </w:rPr>
        <w:t>leti jelentést</w:t>
      </w:r>
      <w:r w:rsidR="003F5941" w:rsidRPr="00870D94">
        <w:rPr>
          <w:rFonts w:ascii="Arial" w:hAnsi="Arial" w:cs="Arial"/>
        </w:rPr>
        <w:t xml:space="preserve"> (</w:t>
      </w:r>
      <w:r w:rsidR="009A26E0" w:rsidRPr="00870D94">
        <w:rPr>
          <w:rFonts w:ascii="Arial" w:hAnsi="Arial" w:cs="Arial"/>
        </w:rPr>
        <w:t>jelentés</w:t>
      </w:r>
      <w:r w:rsidR="003F5941" w:rsidRPr="00870D94">
        <w:rPr>
          <w:rFonts w:ascii="Arial" w:hAnsi="Arial" w:cs="Arial"/>
        </w:rPr>
        <w:t>kód: PADWEB)</w:t>
      </w:r>
      <w:r w:rsidR="00DC4B69" w:rsidRPr="00870D94">
        <w:rPr>
          <w:rFonts w:ascii="Arial" w:hAnsi="Arial" w:cs="Arial"/>
        </w:rPr>
        <w:t xml:space="preserve"> </w:t>
      </w:r>
      <w:r w:rsidR="00B00064" w:rsidRPr="00870D94">
        <w:rPr>
          <w:rFonts w:ascii="Arial" w:hAnsi="Arial" w:cs="Arial"/>
        </w:rPr>
        <w:t xml:space="preserve">a </w:t>
      </w:r>
      <w:r w:rsidR="00135BC1">
        <w:rPr>
          <w:rFonts w:ascii="Arial" w:hAnsi="Arial" w:cs="Arial"/>
        </w:rPr>
        <w:t>22</w:t>
      </w:r>
      <w:r w:rsidR="00B00064" w:rsidRPr="00870D94">
        <w:rPr>
          <w:rFonts w:ascii="Arial" w:hAnsi="Arial" w:cs="Arial"/>
        </w:rPr>
        <w:t xml:space="preserve">. mellékletben foglaltaknak megfelelő tartalommal, </w:t>
      </w:r>
      <w:r w:rsidR="00D5473B" w:rsidRPr="00870D94">
        <w:rPr>
          <w:rFonts w:ascii="Arial" w:hAnsi="Arial" w:cs="Arial"/>
        </w:rPr>
        <w:t>a díj</w:t>
      </w:r>
      <w:r w:rsidR="00C9192D" w:rsidRPr="00870D94">
        <w:rPr>
          <w:rFonts w:ascii="Arial" w:hAnsi="Arial" w:cs="Arial"/>
        </w:rPr>
        <w:t>a</w:t>
      </w:r>
      <w:r w:rsidR="00D5473B" w:rsidRPr="00870D94">
        <w:rPr>
          <w:rFonts w:ascii="Arial" w:hAnsi="Arial" w:cs="Arial"/>
        </w:rPr>
        <w:t>k és kondíciók érvényessége kezdő</w:t>
      </w:r>
      <w:r w:rsidR="00FF5093" w:rsidRPr="00870D94">
        <w:rPr>
          <w:rFonts w:ascii="Arial" w:hAnsi="Arial" w:cs="Arial"/>
        </w:rPr>
        <w:t>napját megelőző munkanapig</w:t>
      </w:r>
      <w:r w:rsidR="00B00064" w:rsidRPr="00870D94">
        <w:rPr>
          <w:rFonts w:ascii="Arial" w:hAnsi="Arial" w:cs="Arial"/>
        </w:rPr>
        <w:t xml:space="preserve"> teljesít</w:t>
      </w:r>
      <w:r w:rsidR="00FF5093" w:rsidRPr="00870D94">
        <w:rPr>
          <w:rFonts w:ascii="Arial" w:hAnsi="Arial" w:cs="Arial"/>
        </w:rPr>
        <w:t>i</w:t>
      </w:r>
      <w:r w:rsidR="00B00064" w:rsidRPr="00870D94">
        <w:rPr>
          <w:rFonts w:ascii="Arial" w:hAnsi="Arial" w:cs="Arial"/>
        </w:rPr>
        <w:t xml:space="preserve"> az MNB részére.</w:t>
      </w:r>
    </w:p>
    <w:p w14:paraId="1B18AC3C" w14:textId="4BD46D45" w:rsidR="00B00064" w:rsidRDefault="00B00064" w:rsidP="008B07DF">
      <w:pPr>
        <w:autoSpaceDE w:val="0"/>
        <w:autoSpaceDN w:val="0"/>
        <w:adjustRightInd w:val="0"/>
        <w:ind w:firstLine="142"/>
        <w:jc w:val="both"/>
        <w:rPr>
          <w:rFonts w:ascii="Arial" w:hAnsi="Arial" w:cs="Arial"/>
        </w:rPr>
      </w:pPr>
      <w:r w:rsidRPr="00870D94">
        <w:rPr>
          <w:rFonts w:ascii="Arial" w:hAnsi="Arial" w:cs="Arial"/>
        </w:rPr>
        <w:t xml:space="preserve">(2) A kitöltésre vonatkozó általános előírásokat az 1. melléklet, a kitöltésre vonatkozó részletes előírásokat a </w:t>
      </w:r>
      <w:r w:rsidR="00135BC1">
        <w:rPr>
          <w:rFonts w:ascii="Arial" w:hAnsi="Arial" w:cs="Arial"/>
        </w:rPr>
        <w:t>23</w:t>
      </w:r>
      <w:r w:rsidRPr="00870D94">
        <w:rPr>
          <w:rFonts w:ascii="Arial" w:hAnsi="Arial" w:cs="Arial"/>
        </w:rPr>
        <w:t>. melléklet tartalmazza.</w:t>
      </w:r>
    </w:p>
    <w:p w14:paraId="1B18AC3D" w14:textId="712DE2B5" w:rsidR="000E5F57" w:rsidRDefault="000E5F57" w:rsidP="00085E59">
      <w:pPr>
        <w:autoSpaceDE w:val="0"/>
        <w:autoSpaceDN w:val="0"/>
        <w:adjustRightInd w:val="0"/>
        <w:ind w:firstLine="142"/>
        <w:jc w:val="both"/>
        <w:rPr>
          <w:rFonts w:ascii="Arial" w:hAnsi="Arial" w:cs="Arial"/>
        </w:rPr>
      </w:pPr>
    </w:p>
    <w:p w14:paraId="2FEEB9B7" w14:textId="2F70C8DC" w:rsidR="001434A2" w:rsidRDefault="009A2D18" w:rsidP="00085E59">
      <w:pPr>
        <w:autoSpaceDE w:val="0"/>
        <w:autoSpaceDN w:val="0"/>
        <w:adjustRightInd w:val="0"/>
        <w:ind w:firstLine="142"/>
        <w:jc w:val="both"/>
        <w:rPr>
          <w:rFonts w:ascii="Arial" w:hAnsi="Arial" w:cs="Arial"/>
        </w:rPr>
      </w:pPr>
      <w:r>
        <w:rPr>
          <w:rFonts w:ascii="Arial" w:hAnsi="Arial" w:cs="Arial"/>
          <w:b/>
          <w:bCs/>
        </w:rPr>
        <w:t>15</w:t>
      </w:r>
      <w:r w:rsidR="001434A2" w:rsidRPr="001434A2">
        <w:rPr>
          <w:rFonts w:ascii="Arial" w:hAnsi="Arial" w:cs="Arial"/>
          <w:b/>
          <w:bCs/>
        </w:rPr>
        <w:t>. §</w:t>
      </w:r>
      <w:r w:rsidR="001434A2">
        <w:rPr>
          <w:rFonts w:ascii="Arial" w:hAnsi="Arial" w:cs="Arial"/>
        </w:rPr>
        <w:t xml:space="preserve"> (1) A hitelintézet az (EU) 2021/897 bizottsági végrehajtási rendelet 3. cikke szerinti éves adatszolgáltatást </w:t>
      </w:r>
      <w:r w:rsidR="001434A2" w:rsidRPr="00CB237D">
        <w:rPr>
          <w:rFonts w:ascii="Arial" w:hAnsi="Arial" w:cs="Arial"/>
        </w:rPr>
        <w:t xml:space="preserve">a </w:t>
      </w:r>
      <w:r w:rsidR="001434A2">
        <w:rPr>
          <w:rFonts w:ascii="Arial" w:hAnsi="Arial" w:cs="Arial"/>
        </w:rPr>
        <w:t xml:space="preserve">tárgyévi </w:t>
      </w:r>
      <w:r w:rsidR="001434A2" w:rsidRPr="00CB237D">
        <w:rPr>
          <w:rFonts w:ascii="Arial" w:hAnsi="Arial" w:cs="Arial"/>
        </w:rPr>
        <w:t xml:space="preserve">mérleg fordulónapját követő 16 héten belül teljesíti </w:t>
      </w:r>
      <w:r w:rsidR="001434A2">
        <w:rPr>
          <w:rFonts w:ascii="Arial" w:hAnsi="Arial" w:cs="Arial"/>
        </w:rPr>
        <w:t>az MNB részére.</w:t>
      </w:r>
    </w:p>
    <w:p w14:paraId="74576DFB" w14:textId="14D65CC4" w:rsidR="001434A2" w:rsidRDefault="001434A2" w:rsidP="008B07DF">
      <w:pPr>
        <w:autoSpaceDE w:val="0"/>
        <w:autoSpaceDN w:val="0"/>
        <w:adjustRightInd w:val="0"/>
        <w:ind w:firstLine="142"/>
        <w:jc w:val="both"/>
        <w:rPr>
          <w:rFonts w:ascii="Arial" w:hAnsi="Arial" w:cs="Arial"/>
        </w:rPr>
      </w:pPr>
      <w:r>
        <w:rPr>
          <w:rFonts w:ascii="Arial" w:hAnsi="Arial" w:cs="Arial"/>
        </w:rPr>
        <w:t xml:space="preserve">(2) A hitelintézet az (EU) 2019/1238 európai parlamenti és tanácsi rendelet 40. cikk (1) bekezdése szerinti felügyelet ellátása céljából szükséges információkat tartalmazó szöveges jelentést </w:t>
      </w:r>
      <w:r w:rsidR="00E63A20">
        <w:rPr>
          <w:rFonts w:ascii="Arial" w:hAnsi="Arial" w:cs="Arial"/>
        </w:rPr>
        <w:t>(</w:t>
      </w:r>
      <w:r>
        <w:rPr>
          <w:rFonts w:ascii="Arial" w:hAnsi="Arial" w:cs="Arial"/>
        </w:rPr>
        <w:t>a továbbiakban: PEPP szöveges jelentés</w:t>
      </w:r>
      <w:r w:rsidR="00E63A20">
        <w:rPr>
          <w:rFonts w:ascii="Arial" w:hAnsi="Arial" w:cs="Arial"/>
        </w:rPr>
        <w:t>)</w:t>
      </w:r>
      <w:r>
        <w:rPr>
          <w:rFonts w:ascii="Arial" w:hAnsi="Arial" w:cs="Arial"/>
        </w:rPr>
        <w:t xml:space="preserve"> </w:t>
      </w:r>
      <w:r w:rsidRPr="00301097">
        <w:rPr>
          <w:rFonts w:ascii="Arial" w:hAnsi="Arial" w:cs="Arial"/>
        </w:rPr>
        <w:t xml:space="preserve">a </w:t>
      </w:r>
      <w:r w:rsidR="00135BC1">
        <w:rPr>
          <w:rFonts w:ascii="Arial" w:hAnsi="Arial" w:cs="Arial"/>
        </w:rPr>
        <w:t>24</w:t>
      </w:r>
      <w:r w:rsidRPr="00301097">
        <w:rPr>
          <w:rFonts w:ascii="Arial" w:hAnsi="Arial" w:cs="Arial"/>
        </w:rPr>
        <w:t>. mellékletben foglaltaknak</w:t>
      </w:r>
      <w:r>
        <w:rPr>
          <w:rFonts w:ascii="Arial" w:hAnsi="Arial" w:cs="Arial"/>
        </w:rPr>
        <w:t xml:space="preserve"> megfelelő tartalommal</w:t>
      </w:r>
    </w:p>
    <w:p w14:paraId="5923217B" w14:textId="672F7455" w:rsidR="001434A2" w:rsidRDefault="001434A2" w:rsidP="008B07DF">
      <w:pPr>
        <w:autoSpaceDE w:val="0"/>
        <w:autoSpaceDN w:val="0"/>
        <w:adjustRightInd w:val="0"/>
        <w:ind w:firstLine="142"/>
        <w:jc w:val="both"/>
        <w:rPr>
          <w:rFonts w:ascii="Arial" w:hAnsi="Arial" w:cs="Arial"/>
        </w:rPr>
      </w:pPr>
      <w:r>
        <w:rPr>
          <w:rFonts w:ascii="Arial" w:hAnsi="Arial" w:cs="Arial"/>
        </w:rPr>
        <w:t xml:space="preserve">a) </w:t>
      </w:r>
      <w:r w:rsidRPr="00301097">
        <w:rPr>
          <w:rFonts w:ascii="Arial" w:hAnsi="Arial" w:cs="Arial"/>
        </w:rPr>
        <w:t xml:space="preserve">évente, a </w:t>
      </w:r>
      <w:r>
        <w:rPr>
          <w:rFonts w:ascii="Arial" w:hAnsi="Arial" w:cs="Arial"/>
        </w:rPr>
        <w:t xml:space="preserve">tárgyévi </w:t>
      </w:r>
      <w:r w:rsidRPr="00301097">
        <w:rPr>
          <w:rFonts w:ascii="Arial" w:hAnsi="Arial" w:cs="Arial"/>
        </w:rPr>
        <w:t>mérleg fordulónapját követő 18 héten belül</w:t>
      </w:r>
      <w:r>
        <w:rPr>
          <w:rFonts w:ascii="Arial" w:hAnsi="Arial" w:cs="Arial"/>
        </w:rPr>
        <w:t>, valamint</w:t>
      </w:r>
      <w:r w:rsidRPr="00301097">
        <w:rPr>
          <w:rFonts w:ascii="Arial" w:hAnsi="Arial" w:cs="Arial"/>
        </w:rPr>
        <w:t xml:space="preserve"> </w:t>
      </w:r>
    </w:p>
    <w:p w14:paraId="33C849B8" w14:textId="24B5DCE4" w:rsidR="001434A2" w:rsidRDefault="001434A2" w:rsidP="008B07DF">
      <w:pPr>
        <w:autoSpaceDE w:val="0"/>
        <w:autoSpaceDN w:val="0"/>
        <w:adjustRightInd w:val="0"/>
        <w:ind w:firstLine="142"/>
        <w:jc w:val="both"/>
        <w:rPr>
          <w:rFonts w:ascii="Arial" w:hAnsi="Arial" w:cs="Arial"/>
        </w:rPr>
      </w:pPr>
      <w:r>
        <w:rPr>
          <w:rFonts w:ascii="Arial" w:hAnsi="Arial" w:cs="Arial"/>
        </w:rPr>
        <w:t xml:space="preserve">b) </w:t>
      </w:r>
      <w:r w:rsidRPr="00301097">
        <w:rPr>
          <w:rFonts w:ascii="Arial" w:hAnsi="Arial" w:cs="Arial"/>
        </w:rPr>
        <w:t xml:space="preserve">a páneurópai egyéni nyugdíjtermék </w:t>
      </w:r>
      <w:r>
        <w:rPr>
          <w:rFonts w:ascii="Arial" w:hAnsi="Arial" w:cs="Arial"/>
        </w:rPr>
        <w:t xml:space="preserve">üzletágban </w:t>
      </w:r>
      <w:r w:rsidRPr="00301097">
        <w:rPr>
          <w:rFonts w:ascii="Arial" w:hAnsi="Arial" w:cs="Arial"/>
        </w:rPr>
        <w:t>(</w:t>
      </w:r>
      <w:r>
        <w:rPr>
          <w:rFonts w:ascii="Arial" w:hAnsi="Arial" w:cs="Arial"/>
        </w:rPr>
        <w:t xml:space="preserve">a </w:t>
      </w:r>
      <w:r w:rsidRPr="00301097">
        <w:rPr>
          <w:rFonts w:ascii="Arial" w:hAnsi="Arial" w:cs="Arial"/>
        </w:rPr>
        <w:t>továbbiakban: PEPP</w:t>
      </w:r>
      <w:r w:rsidR="006827C3">
        <w:rPr>
          <w:rFonts w:ascii="Arial" w:hAnsi="Arial" w:cs="Arial"/>
        </w:rPr>
        <w:t xml:space="preserve"> üzletág</w:t>
      </w:r>
      <w:r w:rsidRPr="00301097">
        <w:rPr>
          <w:rFonts w:ascii="Arial" w:hAnsi="Arial" w:cs="Arial"/>
        </w:rPr>
        <w:t>) bekövetkezett jelentős változások esetén,</w:t>
      </w:r>
      <w:r>
        <w:rPr>
          <w:rFonts w:ascii="Arial" w:hAnsi="Arial" w:cs="Arial"/>
        </w:rPr>
        <w:t xml:space="preserve"> a változást követő 6 héten belül </w:t>
      </w:r>
    </w:p>
    <w:p w14:paraId="25C0F01C" w14:textId="77777777" w:rsidR="001434A2" w:rsidRDefault="001434A2" w:rsidP="008B07DF">
      <w:pPr>
        <w:autoSpaceDE w:val="0"/>
        <w:autoSpaceDN w:val="0"/>
        <w:adjustRightInd w:val="0"/>
        <w:ind w:firstLine="142"/>
        <w:jc w:val="both"/>
        <w:rPr>
          <w:rFonts w:ascii="Arial" w:hAnsi="Arial" w:cs="Arial"/>
        </w:rPr>
      </w:pPr>
      <w:r w:rsidRPr="00301097">
        <w:rPr>
          <w:rFonts w:ascii="Arial" w:hAnsi="Arial" w:cs="Arial"/>
        </w:rPr>
        <w:t xml:space="preserve">teljesíti az MNB részére. </w:t>
      </w:r>
    </w:p>
    <w:p w14:paraId="29A3F51D" w14:textId="77777777" w:rsidR="00CD3095" w:rsidRDefault="00CD3095" w:rsidP="008B07DF">
      <w:pPr>
        <w:autoSpaceDE w:val="0"/>
        <w:autoSpaceDN w:val="0"/>
        <w:adjustRightInd w:val="0"/>
        <w:ind w:firstLine="142"/>
        <w:jc w:val="both"/>
        <w:rPr>
          <w:rFonts w:ascii="Arial" w:hAnsi="Arial" w:cs="Arial"/>
        </w:rPr>
      </w:pPr>
    </w:p>
    <w:p w14:paraId="1A40662F" w14:textId="7D2A0A4A" w:rsidR="00135BC1" w:rsidRPr="0085166F" w:rsidRDefault="00135BC1" w:rsidP="00085E59">
      <w:pPr>
        <w:autoSpaceDE w:val="0"/>
        <w:autoSpaceDN w:val="0"/>
        <w:adjustRightInd w:val="0"/>
        <w:ind w:firstLine="142"/>
        <w:jc w:val="both"/>
        <w:rPr>
          <w:rFonts w:ascii="Arial" w:hAnsi="Arial" w:cs="Arial"/>
        </w:rPr>
      </w:pPr>
      <w:r w:rsidRPr="004549D0">
        <w:rPr>
          <w:rFonts w:ascii="Arial" w:hAnsi="Arial" w:cs="Arial"/>
          <w:b/>
          <w:bCs/>
        </w:rPr>
        <w:t>1</w:t>
      </w:r>
      <w:r>
        <w:rPr>
          <w:rFonts w:ascii="Arial" w:hAnsi="Arial" w:cs="Arial"/>
          <w:b/>
          <w:bCs/>
        </w:rPr>
        <w:t>6</w:t>
      </w:r>
      <w:r w:rsidRPr="004549D0">
        <w:rPr>
          <w:rFonts w:ascii="Arial" w:hAnsi="Arial" w:cs="Arial"/>
          <w:b/>
          <w:bCs/>
        </w:rPr>
        <w:t>. §</w:t>
      </w:r>
      <w:r w:rsidRPr="00C72D51">
        <w:rPr>
          <w:rFonts w:ascii="Arial" w:hAnsi="Arial" w:cs="Arial"/>
        </w:rPr>
        <w:t xml:space="preserve"> </w:t>
      </w:r>
      <w:r w:rsidRPr="0085166F">
        <w:rPr>
          <w:rFonts w:ascii="Arial" w:hAnsi="Arial" w:cs="Arial"/>
        </w:rPr>
        <w:t>(1) A</w:t>
      </w:r>
      <w:r w:rsidR="001133DD">
        <w:rPr>
          <w:rFonts w:ascii="Arial" w:hAnsi="Arial" w:cs="Arial"/>
        </w:rPr>
        <w:t>z</w:t>
      </w:r>
      <w:r w:rsidR="00F33708">
        <w:rPr>
          <w:rFonts w:ascii="Arial" w:hAnsi="Arial" w:cs="Arial"/>
        </w:rPr>
        <w:t xml:space="preserve"> </w:t>
      </w:r>
      <w:r w:rsidR="001133DD" w:rsidRPr="00E61293">
        <w:rPr>
          <w:rFonts w:ascii="Arial" w:hAnsi="Arial" w:cs="Arial"/>
        </w:rPr>
        <w:t>Eximbank Zrt.</w:t>
      </w:r>
      <w:r w:rsidR="00135515" w:rsidRPr="00E61293">
        <w:rPr>
          <w:rFonts w:ascii="Arial" w:hAnsi="Arial" w:cs="Arial"/>
        </w:rPr>
        <w:t>,</w:t>
      </w:r>
      <w:r w:rsidR="001133DD" w:rsidRPr="00E61293">
        <w:rPr>
          <w:rFonts w:ascii="Arial" w:hAnsi="Arial" w:cs="Arial"/>
        </w:rPr>
        <w:t xml:space="preserve"> az MFB Zrt. </w:t>
      </w:r>
      <w:r w:rsidR="00135515" w:rsidRPr="00E61293">
        <w:rPr>
          <w:rFonts w:ascii="Arial" w:hAnsi="Arial" w:cs="Arial"/>
        </w:rPr>
        <w:t xml:space="preserve">és a harmadik országbeli fióktelep </w:t>
      </w:r>
      <w:r w:rsidR="001133DD" w:rsidRPr="00E61293">
        <w:rPr>
          <w:rFonts w:ascii="Arial" w:hAnsi="Arial" w:cs="Arial"/>
        </w:rPr>
        <w:t xml:space="preserve">kivételével a </w:t>
      </w:r>
      <w:r w:rsidR="00F33708">
        <w:rPr>
          <w:rFonts w:ascii="Arial" w:hAnsi="Arial" w:cs="Arial"/>
        </w:rPr>
        <w:t xml:space="preserve">hitelintézet, a pénzügyi vállalkozás, </w:t>
      </w:r>
      <w:r w:rsidR="00135515">
        <w:rPr>
          <w:rFonts w:ascii="Arial" w:hAnsi="Arial" w:cs="Arial"/>
        </w:rPr>
        <w:t xml:space="preserve">a pénzforgalmi intézmény, valamint </w:t>
      </w:r>
      <w:r w:rsidR="00F33708">
        <w:rPr>
          <w:rFonts w:ascii="Arial" w:hAnsi="Arial" w:cs="Arial"/>
        </w:rPr>
        <w:t xml:space="preserve">az </w:t>
      </w:r>
      <w:r w:rsidR="00F33708" w:rsidRPr="001A488A">
        <w:rPr>
          <w:rFonts w:ascii="Arial" w:hAnsi="Arial" w:cs="Arial"/>
        </w:rPr>
        <w:t>elektronikuspénz-kibocsátó intézmény</w:t>
      </w:r>
      <w:r w:rsidR="00135515">
        <w:rPr>
          <w:rFonts w:ascii="Arial" w:hAnsi="Arial" w:cs="Arial"/>
        </w:rPr>
        <w:t xml:space="preserve"> </w:t>
      </w:r>
      <w:r w:rsidRPr="0085166F">
        <w:rPr>
          <w:rFonts w:ascii="Arial" w:hAnsi="Arial" w:cs="Arial"/>
        </w:rPr>
        <w:t xml:space="preserve">a digitális működési rezilienciájához kapcsolódóan a </w:t>
      </w:r>
      <w:r>
        <w:rPr>
          <w:rFonts w:ascii="Arial" w:hAnsi="Arial" w:cs="Arial"/>
        </w:rPr>
        <w:t>25.</w:t>
      </w:r>
      <w:r w:rsidRPr="0085166F">
        <w:rPr>
          <w:rFonts w:ascii="Arial" w:hAnsi="Arial" w:cs="Arial"/>
        </w:rPr>
        <w:t xml:space="preserve"> mellékletben foglalta</w:t>
      </w:r>
      <w:r w:rsidR="00135515">
        <w:rPr>
          <w:rFonts w:ascii="Arial" w:hAnsi="Arial" w:cs="Arial"/>
        </w:rPr>
        <w:t>k</w:t>
      </w:r>
      <w:r w:rsidRPr="0085166F">
        <w:rPr>
          <w:rFonts w:ascii="Arial" w:hAnsi="Arial" w:cs="Arial"/>
        </w:rPr>
        <w:t>nak megfelelő tartalommal, formában, gyakorisággal és határidőre felügyeleti jelentést teljesít az MNB részére.</w:t>
      </w:r>
    </w:p>
    <w:p w14:paraId="339CE188" w14:textId="66D84313" w:rsidR="00135BC1" w:rsidRDefault="00135BC1" w:rsidP="00085E59">
      <w:pPr>
        <w:autoSpaceDE w:val="0"/>
        <w:autoSpaceDN w:val="0"/>
        <w:adjustRightInd w:val="0"/>
        <w:ind w:firstLine="142"/>
        <w:jc w:val="both"/>
        <w:rPr>
          <w:rFonts w:ascii="Arial" w:hAnsi="Arial" w:cs="Arial"/>
        </w:rPr>
      </w:pPr>
      <w:r w:rsidRPr="0085166F">
        <w:rPr>
          <w:rFonts w:ascii="Arial" w:hAnsi="Arial" w:cs="Arial"/>
        </w:rPr>
        <w:t xml:space="preserve">(2) A kitöltésre vonatkozó általános előírásokat az 1. melléklet, a kitöltésre vonatkozó részletes előírásokat a </w:t>
      </w:r>
      <w:r>
        <w:rPr>
          <w:rFonts w:ascii="Arial" w:hAnsi="Arial" w:cs="Arial"/>
        </w:rPr>
        <w:t>26.</w:t>
      </w:r>
      <w:r w:rsidRPr="0085166F">
        <w:rPr>
          <w:rFonts w:ascii="Arial" w:hAnsi="Arial" w:cs="Arial"/>
        </w:rPr>
        <w:t xml:space="preserve"> melléklet tartalmazza. </w:t>
      </w:r>
    </w:p>
    <w:p w14:paraId="2599DC10" w14:textId="77777777" w:rsidR="00135BC1" w:rsidRDefault="00135BC1" w:rsidP="008B07DF">
      <w:pPr>
        <w:autoSpaceDE w:val="0"/>
        <w:autoSpaceDN w:val="0"/>
        <w:adjustRightInd w:val="0"/>
        <w:ind w:firstLine="142"/>
        <w:jc w:val="both"/>
        <w:rPr>
          <w:rFonts w:ascii="Arial" w:hAnsi="Arial" w:cs="Arial"/>
        </w:rPr>
      </w:pPr>
    </w:p>
    <w:p w14:paraId="18EB3E1D" w14:textId="4B2B57E9" w:rsidR="00CD3095" w:rsidRPr="00CD3095" w:rsidRDefault="009A2D18" w:rsidP="008B07DF">
      <w:pPr>
        <w:autoSpaceDE w:val="0"/>
        <w:autoSpaceDN w:val="0"/>
        <w:adjustRightInd w:val="0"/>
        <w:ind w:firstLine="142"/>
        <w:jc w:val="both"/>
        <w:rPr>
          <w:rFonts w:ascii="Arial" w:hAnsi="Arial" w:cs="Arial"/>
        </w:rPr>
      </w:pPr>
      <w:r>
        <w:rPr>
          <w:rFonts w:ascii="Arial" w:hAnsi="Arial" w:cs="Arial"/>
          <w:b/>
          <w:bCs/>
        </w:rPr>
        <w:t>17</w:t>
      </w:r>
      <w:r w:rsidR="00CD3095" w:rsidRPr="00CD3095">
        <w:rPr>
          <w:rFonts w:ascii="Arial" w:hAnsi="Arial" w:cs="Arial"/>
          <w:b/>
          <w:bCs/>
        </w:rPr>
        <w:t>.</w:t>
      </w:r>
      <w:r w:rsidR="00E461B2">
        <w:rPr>
          <w:rFonts w:ascii="Arial" w:hAnsi="Arial" w:cs="Arial"/>
          <w:b/>
          <w:bCs/>
        </w:rPr>
        <w:t xml:space="preserve"> </w:t>
      </w:r>
      <w:r w:rsidR="00CD3095" w:rsidRPr="00CD3095">
        <w:rPr>
          <w:rFonts w:ascii="Arial" w:hAnsi="Arial" w:cs="Arial"/>
          <w:b/>
          <w:bCs/>
        </w:rPr>
        <w:t xml:space="preserve">§ </w:t>
      </w:r>
      <w:r w:rsidR="00CD3095" w:rsidRPr="00CD3095">
        <w:rPr>
          <w:rFonts w:ascii="Arial" w:hAnsi="Arial" w:cs="Arial"/>
        </w:rPr>
        <w:t xml:space="preserve">A NAV a kettős könyvvitelt vezető vállalkozások hozzá benyújtott társasági adóbevallásainak adataiból összeállított adatállományt a </w:t>
      </w:r>
      <w:r w:rsidR="00135BC1">
        <w:rPr>
          <w:rFonts w:ascii="Arial" w:hAnsi="Arial" w:cs="Arial"/>
        </w:rPr>
        <w:t>27</w:t>
      </w:r>
      <w:r w:rsidR="00CD3095">
        <w:rPr>
          <w:rFonts w:ascii="Arial" w:hAnsi="Arial" w:cs="Arial"/>
        </w:rPr>
        <w:t xml:space="preserve">. </w:t>
      </w:r>
      <w:r w:rsidR="00CD3095" w:rsidRPr="00CD3095">
        <w:rPr>
          <w:rFonts w:ascii="Arial" w:hAnsi="Arial" w:cs="Arial"/>
        </w:rPr>
        <w:t>mellékletben foglaltaknak megfelelő tartalommal, formában és határidőre bocsátja az MNB rendelkezésére.</w:t>
      </w:r>
    </w:p>
    <w:p w14:paraId="085F27D4" w14:textId="75C83AF5" w:rsidR="001434A2" w:rsidRPr="00B2603F" w:rsidRDefault="001434A2" w:rsidP="00085E59">
      <w:pPr>
        <w:autoSpaceDE w:val="0"/>
        <w:autoSpaceDN w:val="0"/>
        <w:adjustRightInd w:val="0"/>
        <w:ind w:firstLine="142"/>
        <w:jc w:val="both"/>
        <w:rPr>
          <w:rFonts w:ascii="Arial" w:hAnsi="Arial" w:cs="Arial"/>
        </w:rPr>
      </w:pPr>
    </w:p>
    <w:p w14:paraId="1B18AC3F" w14:textId="18348093" w:rsidR="00A01DFA" w:rsidRDefault="009A2D18" w:rsidP="008B07DF">
      <w:pPr>
        <w:autoSpaceDE w:val="0"/>
        <w:autoSpaceDN w:val="0"/>
        <w:adjustRightInd w:val="0"/>
        <w:ind w:firstLine="142"/>
        <w:jc w:val="both"/>
        <w:rPr>
          <w:rFonts w:ascii="Arial" w:hAnsi="Arial" w:cs="Arial"/>
        </w:rPr>
      </w:pPr>
      <w:bookmarkStart w:id="3" w:name="_Hlk12526171"/>
      <w:r>
        <w:rPr>
          <w:rFonts w:ascii="Arial" w:hAnsi="Arial" w:cs="Arial"/>
          <w:b/>
          <w:bCs/>
        </w:rPr>
        <w:lastRenderedPageBreak/>
        <w:t>18</w:t>
      </w:r>
      <w:r w:rsidR="00C878E8" w:rsidRPr="00C37F38">
        <w:rPr>
          <w:rFonts w:ascii="Arial" w:hAnsi="Arial" w:cs="Arial"/>
          <w:b/>
          <w:bCs/>
        </w:rPr>
        <w:t xml:space="preserve">. § </w:t>
      </w:r>
      <w:r w:rsidR="00C878E8" w:rsidRPr="00C37F38">
        <w:rPr>
          <w:rFonts w:ascii="Arial" w:hAnsi="Arial" w:cs="Arial"/>
        </w:rPr>
        <w:t>(1) Az</w:t>
      </w:r>
      <w:r w:rsidR="004B2EF3">
        <w:rPr>
          <w:rFonts w:ascii="Arial" w:hAnsi="Arial" w:cs="Arial"/>
        </w:rPr>
        <w:t xml:space="preserve"> 1. § a)–</w:t>
      </w:r>
      <w:r>
        <w:rPr>
          <w:rFonts w:ascii="Arial" w:hAnsi="Arial" w:cs="Arial"/>
        </w:rPr>
        <w:t>i</w:t>
      </w:r>
      <w:r w:rsidR="004B2EF3">
        <w:rPr>
          <w:rFonts w:ascii="Arial" w:hAnsi="Arial" w:cs="Arial"/>
        </w:rPr>
        <w:t>) pontja szerinti</w:t>
      </w:r>
      <w:r w:rsidR="00C878E8" w:rsidRPr="00C37F38">
        <w:rPr>
          <w:rFonts w:ascii="Arial" w:hAnsi="Arial" w:cs="Arial"/>
        </w:rPr>
        <w:t xml:space="preserve"> adatszolgáltató </w:t>
      </w:r>
      <w:r w:rsidR="009B6430">
        <w:rPr>
          <w:rFonts w:ascii="Arial" w:hAnsi="Arial" w:cs="Arial"/>
        </w:rPr>
        <w:t xml:space="preserve">– a </w:t>
      </w:r>
      <w:r w:rsidR="009B6430">
        <w:rPr>
          <w:rFonts w:ascii="Arial" w:hAnsi="Arial" w:cs="Arial"/>
          <w:bCs/>
        </w:rPr>
        <w:t>(</w:t>
      </w:r>
      <w:r w:rsidR="009B6430" w:rsidRPr="00D95B7C">
        <w:rPr>
          <w:rFonts w:ascii="Arial" w:hAnsi="Arial" w:cs="Arial"/>
          <w:bCs/>
        </w:rPr>
        <w:t>2)</w:t>
      </w:r>
      <w:r w:rsidR="009B6430">
        <w:rPr>
          <w:rFonts w:ascii="Arial" w:hAnsi="Arial" w:cs="Arial"/>
          <w:bCs/>
        </w:rPr>
        <w:t xml:space="preserve"> bekezdésben foglalt kivétel</w:t>
      </w:r>
      <w:r w:rsidR="00C1313B">
        <w:rPr>
          <w:rFonts w:ascii="Arial" w:hAnsi="Arial" w:cs="Arial"/>
          <w:bCs/>
        </w:rPr>
        <w:t>l</w:t>
      </w:r>
      <w:r w:rsidR="009B6430">
        <w:rPr>
          <w:rFonts w:ascii="Arial" w:hAnsi="Arial" w:cs="Arial"/>
          <w:bCs/>
        </w:rPr>
        <w:t xml:space="preserve">el – </w:t>
      </w:r>
      <w:r w:rsidR="00C878E8" w:rsidRPr="00C37F38">
        <w:rPr>
          <w:rFonts w:ascii="Arial" w:hAnsi="Arial" w:cs="Arial"/>
        </w:rPr>
        <w:t xml:space="preserve">a felügyeleti </w:t>
      </w:r>
      <w:r w:rsidR="00C878E8" w:rsidRPr="00D561B8">
        <w:rPr>
          <w:rFonts w:ascii="Arial" w:hAnsi="Arial" w:cs="Arial"/>
        </w:rPr>
        <w:t>jelentést</w:t>
      </w:r>
      <w:r w:rsidR="001434A2">
        <w:rPr>
          <w:rFonts w:ascii="Arial" w:hAnsi="Arial" w:cs="Arial"/>
        </w:rPr>
        <w:t>,</w:t>
      </w:r>
      <w:r w:rsidR="008F14A1">
        <w:rPr>
          <w:rFonts w:ascii="Arial" w:hAnsi="Arial" w:cs="Arial"/>
        </w:rPr>
        <w:t xml:space="preserve"> </w:t>
      </w:r>
      <w:r w:rsidR="00CD3095">
        <w:rPr>
          <w:rFonts w:ascii="Arial" w:hAnsi="Arial" w:cs="Arial"/>
        </w:rPr>
        <w:t xml:space="preserve">az (EU) 2021/453 bizottsági végrehajtási rendelet, </w:t>
      </w:r>
      <w:r w:rsidR="001434A2" w:rsidRPr="0069567B">
        <w:rPr>
          <w:rFonts w:ascii="Arial" w:hAnsi="Arial" w:cs="Arial"/>
        </w:rPr>
        <w:t>az (EU) 2021/897 bizottsági végrehajtási rendelet</w:t>
      </w:r>
      <w:r w:rsidR="00C1313B">
        <w:rPr>
          <w:rFonts w:ascii="Arial" w:hAnsi="Arial" w:cs="Arial"/>
        </w:rPr>
        <w:t>, illetve</w:t>
      </w:r>
      <w:r w:rsidR="00C878E8" w:rsidRPr="0069567B">
        <w:rPr>
          <w:rFonts w:ascii="Arial" w:hAnsi="Arial" w:cs="Arial"/>
        </w:rPr>
        <w:t xml:space="preserve"> </w:t>
      </w:r>
      <w:r w:rsidR="00C1313B">
        <w:rPr>
          <w:rFonts w:ascii="Arial" w:hAnsi="Arial" w:cs="Arial"/>
        </w:rPr>
        <w:t>az (EU) 2024/3117</w:t>
      </w:r>
      <w:r w:rsidR="00C1313B" w:rsidRPr="00D561B8">
        <w:rPr>
          <w:rFonts w:ascii="Arial" w:hAnsi="Arial" w:cs="Arial"/>
        </w:rPr>
        <w:t xml:space="preserve"> bizottsági végrehajtási rendelet</w:t>
      </w:r>
      <w:r w:rsidR="00C1313B" w:rsidRPr="0069567B">
        <w:rPr>
          <w:rFonts w:ascii="Arial" w:hAnsi="Arial" w:cs="Arial"/>
        </w:rPr>
        <w:t xml:space="preserve"> </w:t>
      </w:r>
      <w:r w:rsidR="00C878E8" w:rsidRPr="0069567B">
        <w:rPr>
          <w:rFonts w:ascii="Arial" w:hAnsi="Arial" w:cs="Arial"/>
        </w:rPr>
        <w:t>szerinti adatszolgáltatásokat</w:t>
      </w:r>
      <w:r w:rsidR="003A6F5C">
        <w:rPr>
          <w:rFonts w:ascii="Arial" w:hAnsi="Arial" w:cs="Arial"/>
        </w:rPr>
        <w:t>, valamint a PEPP szöveges jelentést</w:t>
      </w:r>
      <w:r w:rsidR="00C878E8" w:rsidRPr="00D561B8">
        <w:rPr>
          <w:rFonts w:ascii="Arial" w:hAnsi="Arial" w:cs="Arial"/>
        </w:rPr>
        <w:t xml:space="preserve"> az MNB által meghatározott elektronikus formában, fokozott biztonságú vagy minősített elektronikus aláírással ellátva az MNB </w:t>
      </w:r>
      <w:r w:rsidR="00A01DFA" w:rsidRPr="00D561B8">
        <w:rPr>
          <w:rFonts w:ascii="Arial" w:hAnsi="Arial" w:cs="Arial"/>
        </w:rPr>
        <w:t>„Elektronikus Rendszer Hitelesített Adatok Fogadásához” megnevezésű rendszerén (a továbbiakban: ERA rendszer)</w:t>
      </w:r>
      <w:r w:rsidR="00C878E8" w:rsidRPr="00D561B8">
        <w:rPr>
          <w:rFonts w:ascii="Arial" w:hAnsi="Arial" w:cs="Arial"/>
        </w:rPr>
        <w:t xml:space="preserve"> keresztül teljesíti.</w:t>
      </w:r>
      <w:bookmarkStart w:id="4" w:name="_Hlk5966841"/>
    </w:p>
    <w:p w14:paraId="69E8078F" w14:textId="5428F16A" w:rsidR="009B6430" w:rsidRDefault="009B6430" w:rsidP="008B07DF">
      <w:pPr>
        <w:autoSpaceDE w:val="0"/>
        <w:autoSpaceDN w:val="0"/>
        <w:adjustRightInd w:val="0"/>
        <w:ind w:firstLine="142"/>
        <w:jc w:val="both"/>
        <w:rPr>
          <w:rFonts w:ascii="Arial" w:hAnsi="Arial" w:cs="Arial"/>
        </w:rPr>
      </w:pPr>
      <w:r w:rsidRPr="009E2110">
        <w:rPr>
          <w:rFonts w:ascii="Arial" w:hAnsi="Arial" w:cs="Arial"/>
        </w:rPr>
        <w:t xml:space="preserve">(2) </w:t>
      </w:r>
      <w:r w:rsidR="00022AA0">
        <w:rPr>
          <w:rFonts w:ascii="Arial" w:hAnsi="Arial" w:cs="Arial"/>
        </w:rPr>
        <w:t>A természetes személy</w:t>
      </w:r>
      <w:r w:rsidR="00AF3CCA" w:rsidRPr="009E2110">
        <w:rPr>
          <w:rFonts w:ascii="Arial" w:hAnsi="Arial" w:cs="Arial"/>
        </w:rPr>
        <w:t xml:space="preserve"> hitelfelvásárló </w:t>
      </w:r>
      <w:r w:rsidRPr="009E2110">
        <w:rPr>
          <w:rFonts w:ascii="Arial" w:hAnsi="Arial" w:cs="Arial"/>
        </w:rPr>
        <w:t>a felügyeleti jelentést az MNB által meghatározott elektronikus formában</w:t>
      </w:r>
      <w:r w:rsidR="00022AA0">
        <w:rPr>
          <w:rFonts w:ascii="Arial" w:hAnsi="Arial" w:cs="Arial"/>
        </w:rPr>
        <w:t>,</w:t>
      </w:r>
      <w:r w:rsidRPr="009E2110">
        <w:rPr>
          <w:rFonts w:ascii="Arial" w:hAnsi="Arial" w:cs="Arial"/>
        </w:rPr>
        <w:t xml:space="preserve"> fokozott biztonságú vagy minősített elektronikus aláírás nélkül is teljesítheti az ERA rendszeren keresztül</w:t>
      </w:r>
      <w:r w:rsidR="00AF3CCA" w:rsidRPr="009E2110">
        <w:rPr>
          <w:rFonts w:ascii="Arial" w:hAnsi="Arial" w:cs="Arial"/>
        </w:rPr>
        <w:t>.</w:t>
      </w:r>
    </w:p>
    <w:p w14:paraId="3D4953F3" w14:textId="404F9CF7" w:rsidR="00F33708" w:rsidRPr="00D561B8" w:rsidRDefault="00F33708" w:rsidP="008B07DF">
      <w:pPr>
        <w:autoSpaceDE w:val="0"/>
        <w:autoSpaceDN w:val="0"/>
        <w:adjustRightInd w:val="0"/>
        <w:ind w:firstLine="142"/>
        <w:jc w:val="both"/>
        <w:rPr>
          <w:rFonts w:ascii="Arial" w:hAnsi="Arial" w:cs="Arial"/>
          <w:bCs/>
        </w:rPr>
      </w:pPr>
      <w:r w:rsidRPr="00135515">
        <w:rPr>
          <w:rFonts w:ascii="Arial" w:hAnsi="Arial" w:cs="Arial"/>
        </w:rPr>
        <w:t>(</w:t>
      </w:r>
      <w:r w:rsidR="009B6430">
        <w:rPr>
          <w:rFonts w:ascii="Arial" w:hAnsi="Arial" w:cs="Arial"/>
        </w:rPr>
        <w:t>3</w:t>
      </w:r>
      <w:r w:rsidRPr="00135515">
        <w:rPr>
          <w:rFonts w:ascii="Arial" w:hAnsi="Arial" w:cs="Arial"/>
        </w:rPr>
        <w:t>) A</w:t>
      </w:r>
      <w:r w:rsidR="00B25F41" w:rsidRPr="009E2110">
        <w:rPr>
          <w:rFonts w:ascii="Arial" w:hAnsi="Arial" w:cs="Arial"/>
        </w:rPr>
        <w:t>z Eximbank Zrt.</w:t>
      </w:r>
      <w:r w:rsidR="00135515" w:rsidRPr="009E2110">
        <w:rPr>
          <w:rFonts w:ascii="Arial" w:hAnsi="Arial" w:cs="Arial"/>
        </w:rPr>
        <w:t>,</w:t>
      </w:r>
      <w:r w:rsidR="00B25F41" w:rsidRPr="009E2110">
        <w:rPr>
          <w:rFonts w:ascii="Arial" w:hAnsi="Arial" w:cs="Arial"/>
        </w:rPr>
        <w:t xml:space="preserve"> az MFB Zrt.</w:t>
      </w:r>
      <w:r w:rsidR="00135515" w:rsidRPr="009E2110">
        <w:rPr>
          <w:rFonts w:ascii="Arial" w:hAnsi="Arial" w:cs="Arial"/>
        </w:rPr>
        <w:t xml:space="preserve"> és a harmadik országbeli fióktelep</w:t>
      </w:r>
      <w:r w:rsidR="00B25F41" w:rsidRPr="009E2110">
        <w:rPr>
          <w:rFonts w:ascii="Arial" w:hAnsi="Arial" w:cs="Arial"/>
        </w:rPr>
        <w:t xml:space="preserve"> kivételével a</w:t>
      </w:r>
      <w:r w:rsidRPr="00135515">
        <w:rPr>
          <w:rFonts w:ascii="Arial" w:hAnsi="Arial" w:cs="Arial"/>
        </w:rPr>
        <w:t xml:space="preserve"> </w:t>
      </w:r>
      <w:r w:rsidR="009A2D18" w:rsidRPr="00135515">
        <w:rPr>
          <w:rFonts w:ascii="Arial" w:hAnsi="Arial" w:cs="Arial"/>
        </w:rPr>
        <w:t xml:space="preserve">hitelintézet, a pénzügyi vállalkozás, </w:t>
      </w:r>
      <w:r w:rsidR="00135515" w:rsidRPr="009E2110">
        <w:rPr>
          <w:rFonts w:ascii="Arial" w:hAnsi="Arial" w:cs="Arial"/>
        </w:rPr>
        <w:t xml:space="preserve">a pénzforgalmi intézmény, valamint </w:t>
      </w:r>
      <w:r w:rsidR="009A2D18" w:rsidRPr="00135515">
        <w:rPr>
          <w:rFonts w:ascii="Arial" w:hAnsi="Arial" w:cs="Arial"/>
        </w:rPr>
        <w:t>az elektronikuspénz-kibocsátó intézmény</w:t>
      </w:r>
      <w:r w:rsidR="009A2D18" w:rsidRPr="009E2110">
        <w:rPr>
          <w:rFonts w:ascii="Arial" w:hAnsi="Arial" w:cs="Arial"/>
        </w:rPr>
        <w:t xml:space="preserve"> </w:t>
      </w:r>
      <w:r w:rsidRPr="00135515">
        <w:rPr>
          <w:rFonts w:ascii="Arial" w:hAnsi="Arial" w:cs="Arial"/>
        </w:rPr>
        <w:t xml:space="preserve">a jelentős IKT-vonatkozású eseményekre és jelentős kiberfenyegetésekre vonatkozó, az (EU) 2025/301 felhatalmazáson alapuló bizottsági rendelet szerinti tartalmú bejelentéseket az ERA rendszer „DORA Incidens bejelentés” szolgáltatása alatt elérhető, az (EU) 2025/302 bizottsági végrehajtási rendelet szerinti űrlapon </w:t>
      </w:r>
      <w:r w:rsidR="00135515" w:rsidRPr="009E2110">
        <w:rPr>
          <w:rFonts w:ascii="Arial" w:hAnsi="Arial" w:cs="Arial"/>
        </w:rPr>
        <w:t>fokozott biztonságú vagy minősített elektronikus aláírással ellátva teljesíti.</w:t>
      </w:r>
    </w:p>
    <w:bookmarkEnd w:id="4"/>
    <w:p w14:paraId="7B91BD77" w14:textId="72BBF673" w:rsidR="00FD5E37" w:rsidRPr="00D561B8" w:rsidRDefault="00FD5E37" w:rsidP="008B07DF">
      <w:pPr>
        <w:autoSpaceDE w:val="0"/>
        <w:autoSpaceDN w:val="0"/>
        <w:adjustRightInd w:val="0"/>
        <w:ind w:firstLine="142"/>
        <w:jc w:val="both"/>
        <w:rPr>
          <w:rFonts w:ascii="Arial" w:hAnsi="Arial" w:cs="Arial"/>
        </w:rPr>
      </w:pPr>
      <w:r w:rsidRPr="00D561B8">
        <w:rPr>
          <w:rFonts w:ascii="Arial" w:hAnsi="Arial" w:cs="Arial"/>
          <w:bCs/>
        </w:rPr>
        <w:t>(</w:t>
      </w:r>
      <w:r w:rsidR="00AF3CCA">
        <w:rPr>
          <w:rFonts w:ascii="Arial" w:hAnsi="Arial" w:cs="Arial"/>
          <w:bCs/>
        </w:rPr>
        <w:t>4</w:t>
      </w:r>
      <w:r w:rsidRPr="00D561B8">
        <w:rPr>
          <w:rFonts w:ascii="Arial" w:hAnsi="Arial" w:cs="Arial"/>
          <w:bCs/>
        </w:rPr>
        <w:t>)</w:t>
      </w:r>
      <w:r w:rsidR="00A01DFA" w:rsidRPr="00D561B8">
        <w:rPr>
          <w:rFonts w:ascii="Arial" w:hAnsi="Arial" w:cs="Arial"/>
          <w:b/>
          <w:bCs/>
        </w:rPr>
        <w:t xml:space="preserve"> </w:t>
      </w:r>
      <w:r w:rsidR="00A01DFA" w:rsidRPr="00D561B8">
        <w:rPr>
          <w:rFonts w:ascii="Arial" w:hAnsi="Arial" w:cs="Arial"/>
        </w:rPr>
        <w:t>Az adatszolgáltató a felügyeleti jelentés, adatszolgáltatás</w:t>
      </w:r>
      <w:r w:rsidR="00F33708">
        <w:rPr>
          <w:rFonts w:ascii="Arial" w:hAnsi="Arial" w:cs="Arial"/>
        </w:rPr>
        <w:t>, PEPP szöveges jelentés, bejelentés</w:t>
      </w:r>
      <w:r w:rsidR="00A01DFA" w:rsidRPr="00D561B8">
        <w:rPr>
          <w:rFonts w:ascii="Arial" w:hAnsi="Arial" w:cs="Arial"/>
        </w:rPr>
        <w:t xml:space="preserve"> teljesítésében való akadályoztatásával kapcsolatos bejelentését elektronikus formában, az ERA rendszeren keresztül</w:t>
      </w:r>
      <w:r w:rsidR="00A01DFA" w:rsidRPr="00D561B8">
        <w:rPr>
          <w:rFonts w:ascii="Arial" w:hAnsi="Arial" w:cs="Arial"/>
          <w:bCs/>
        </w:rPr>
        <w:t xml:space="preserve"> </w:t>
      </w:r>
      <w:r w:rsidR="00A01DFA" w:rsidRPr="00D561B8">
        <w:rPr>
          <w:rFonts w:ascii="Arial" w:hAnsi="Arial" w:cs="Arial"/>
        </w:rPr>
        <w:t>nyújtja be az MNB részére.</w:t>
      </w:r>
    </w:p>
    <w:p w14:paraId="1B18AC47" w14:textId="2FEA8F91" w:rsidR="00A01DFA" w:rsidRPr="006454A6" w:rsidRDefault="00FD5E37" w:rsidP="008B07DF">
      <w:pPr>
        <w:autoSpaceDE w:val="0"/>
        <w:autoSpaceDN w:val="0"/>
        <w:adjustRightInd w:val="0"/>
        <w:ind w:firstLine="142"/>
        <w:jc w:val="both"/>
        <w:rPr>
          <w:rFonts w:ascii="Arial" w:hAnsi="Arial" w:cs="Arial"/>
          <w:bCs/>
        </w:rPr>
      </w:pPr>
      <w:r w:rsidRPr="00D561B8">
        <w:rPr>
          <w:rFonts w:ascii="Arial" w:hAnsi="Arial" w:cs="Arial"/>
          <w:bCs/>
        </w:rPr>
        <w:t>(</w:t>
      </w:r>
      <w:r w:rsidR="00AF3CCA">
        <w:rPr>
          <w:rFonts w:ascii="Arial" w:hAnsi="Arial" w:cs="Arial"/>
          <w:bCs/>
        </w:rPr>
        <w:t>5</w:t>
      </w:r>
      <w:r w:rsidRPr="00D561B8">
        <w:rPr>
          <w:rFonts w:ascii="Arial" w:hAnsi="Arial" w:cs="Arial"/>
          <w:bCs/>
        </w:rPr>
        <w:t xml:space="preserve">) 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w:t>
      </w:r>
      <w:r w:rsidR="00C603DC">
        <w:rPr>
          <w:rFonts w:ascii="Arial" w:hAnsi="Arial" w:cs="Arial"/>
          <w:bCs/>
        </w:rPr>
        <w:t>54</w:t>
      </w:r>
      <w:r w:rsidRPr="00390BCE">
        <w:rPr>
          <w:rFonts w:ascii="Arial" w:hAnsi="Arial" w:cs="Arial"/>
          <w:bCs/>
        </w:rPr>
        <w:t>/</w:t>
      </w:r>
      <w:r w:rsidR="00A346FE" w:rsidRPr="00390BCE">
        <w:rPr>
          <w:rFonts w:ascii="Arial" w:hAnsi="Arial" w:cs="Arial"/>
          <w:bCs/>
        </w:rPr>
        <w:t>2</w:t>
      </w:r>
      <w:r w:rsidR="00993F1B" w:rsidRPr="00390BCE">
        <w:rPr>
          <w:rFonts w:ascii="Arial" w:hAnsi="Arial" w:cs="Arial"/>
          <w:bCs/>
        </w:rPr>
        <w:t>02</w:t>
      </w:r>
      <w:r w:rsidR="004F7126">
        <w:rPr>
          <w:rFonts w:ascii="Arial" w:hAnsi="Arial" w:cs="Arial"/>
          <w:bCs/>
        </w:rPr>
        <w:t>4</w:t>
      </w:r>
      <w:r w:rsidRPr="00390BCE">
        <w:rPr>
          <w:rFonts w:ascii="Arial" w:hAnsi="Arial" w:cs="Arial"/>
          <w:bCs/>
        </w:rPr>
        <w:t xml:space="preserve">. </w:t>
      </w:r>
      <w:r w:rsidR="00FB3F9D" w:rsidRPr="00390BCE">
        <w:rPr>
          <w:rFonts w:ascii="Arial" w:hAnsi="Arial" w:cs="Arial"/>
          <w:bCs/>
        </w:rPr>
        <w:t>(</w:t>
      </w:r>
      <w:r w:rsidR="00C603DC">
        <w:rPr>
          <w:rFonts w:ascii="Arial" w:hAnsi="Arial" w:cs="Arial"/>
          <w:bCs/>
        </w:rPr>
        <w:t>XII</w:t>
      </w:r>
      <w:r w:rsidR="003B32F7" w:rsidRPr="00390BCE">
        <w:rPr>
          <w:rFonts w:ascii="Arial" w:hAnsi="Arial" w:cs="Arial"/>
          <w:bCs/>
        </w:rPr>
        <w:t xml:space="preserve">. </w:t>
      </w:r>
      <w:r w:rsidR="00C603DC">
        <w:rPr>
          <w:rFonts w:ascii="Arial" w:hAnsi="Arial" w:cs="Arial"/>
          <w:bCs/>
        </w:rPr>
        <w:t>3</w:t>
      </w:r>
      <w:r w:rsidR="003B32F7" w:rsidRPr="00390BCE">
        <w:rPr>
          <w:rFonts w:ascii="Arial" w:hAnsi="Arial" w:cs="Arial"/>
          <w:bCs/>
        </w:rPr>
        <w:t>.</w:t>
      </w:r>
      <w:r w:rsidR="00FB3F9D" w:rsidRPr="00390BCE">
        <w:rPr>
          <w:rFonts w:ascii="Arial" w:hAnsi="Arial" w:cs="Arial"/>
          <w:bCs/>
        </w:rPr>
        <w:t>)</w:t>
      </w:r>
      <w:r w:rsidRPr="00390BCE">
        <w:rPr>
          <w:rFonts w:ascii="Arial" w:hAnsi="Arial" w:cs="Arial"/>
          <w:bCs/>
        </w:rPr>
        <w:t xml:space="preserve"> MNB rendelet</w:t>
      </w:r>
      <w:r w:rsidRPr="00D561B8">
        <w:rPr>
          <w:rFonts w:ascii="Arial" w:hAnsi="Arial" w:cs="Arial"/>
          <w:bCs/>
        </w:rPr>
        <w:t xml:space="preserve"> (a továbbiakban: alapvető feladatokhoz kapcsolódó adatszolgáltatási MNBr.) 2. melléklet I.B.1. pontja, az ERA rendszer használatát segítő részletes útmutatást az alapvető feladatokhoz kapcsolódó adatszolgáltatási MNBr. 3. melléklet 3. pontja szerinti, az MNB honlapján közzétett </w:t>
      </w:r>
      <w:r w:rsidRPr="00D561B8">
        <w:rPr>
          <w:rFonts w:ascii="Arial" w:hAnsi="Arial" w:cs="Arial"/>
        </w:rPr>
        <w:t>technikai segédletek tartalmazzák.</w:t>
      </w:r>
      <w:r w:rsidR="00A01DFA" w:rsidRPr="00231415">
        <w:rPr>
          <w:rFonts w:ascii="Arial" w:hAnsi="Arial" w:cs="Arial"/>
        </w:rPr>
        <w:t xml:space="preserve"> </w:t>
      </w:r>
    </w:p>
    <w:p w14:paraId="23CB4237" w14:textId="77777777" w:rsidR="00F273B9" w:rsidRPr="004760A8" w:rsidRDefault="00F273B9" w:rsidP="008B07DF">
      <w:pPr>
        <w:keepNext/>
        <w:autoSpaceDE w:val="0"/>
        <w:autoSpaceDN w:val="0"/>
        <w:adjustRightInd w:val="0"/>
        <w:ind w:firstLine="142"/>
        <w:jc w:val="both"/>
        <w:rPr>
          <w:rFonts w:ascii="Arial" w:hAnsi="Arial" w:cs="Arial"/>
          <w:bCs/>
        </w:rPr>
      </w:pPr>
    </w:p>
    <w:bookmarkEnd w:id="3"/>
    <w:p w14:paraId="1B18AC58" w14:textId="549275D5" w:rsidR="00622D0F" w:rsidRDefault="00135515" w:rsidP="008B07DF">
      <w:pPr>
        <w:autoSpaceDE w:val="0"/>
        <w:autoSpaceDN w:val="0"/>
        <w:adjustRightInd w:val="0"/>
        <w:ind w:firstLine="142"/>
        <w:jc w:val="both"/>
        <w:rPr>
          <w:rFonts w:ascii="Arial" w:hAnsi="Arial" w:cs="Arial"/>
        </w:rPr>
      </w:pPr>
      <w:r>
        <w:rPr>
          <w:rFonts w:ascii="Arial" w:hAnsi="Arial" w:cs="Arial"/>
          <w:b/>
        </w:rPr>
        <w:t>19</w:t>
      </w:r>
      <w:r w:rsidR="007F17AA" w:rsidRPr="007035B4">
        <w:rPr>
          <w:rFonts w:ascii="Arial" w:hAnsi="Arial" w:cs="Arial"/>
          <w:b/>
        </w:rPr>
        <w:t xml:space="preserve">. § </w:t>
      </w:r>
      <w:r w:rsidR="00622D0F" w:rsidRPr="007035B4">
        <w:rPr>
          <w:rFonts w:ascii="Arial" w:hAnsi="Arial" w:cs="Arial"/>
        </w:rPr>
        <w:t>(</w:t>
      </w:r>
      <w:r w:rsidR="001E69B7" w:rsidRPr="007035B4">
        <w:rPr>
          <w:rFonts w:ascii="Arial" w:hAnsi="Arial" w:cs="Arial"/>
        </w:rPr>
        <w:t>1</w:t>
      </w:r>
      <w:r w:rsidR="00622D0F" w:rsidRPr="007035B4">
        <w:rPr>
          <w:rFonts w:ascii="Arial" w:hAnsi="Arial" w:cs="Arial"/>
        </w:rPr>
        <w:t>) Ha az MNB megállapítja, hogy a</w:t>
      </w:r>
      <w:r w:rsidR="001E69B7" w:rsidRPr="007035B4">
        <w:rPr>
          <w:rFonts w:ascii="Arial" w:hAnsi="Arial" w:cs="Arial"/>
        </w:rPr>
        <w:t xml:space="preserve"> felügyeleti jelentés</w:t>
      </w:r>
      <w:r w:rsidR="00622D0F" w:rsidRPr="007035B4">
        <w:rPr>
          <w:rFonts w:ascii="Arial" w:hAnsi="Arial" w:cs="Arial"/>
        </w:rPr>
        <w:t xml:space="preserve"> javítást igényel, a</w:t>
      </w:r>
      <w:r w:rsidR="001E69B7" w:rsidRPr="007035B4">
        <w:rPr>
          <w:rFonts w:ascii="Arial" w:hAnsi="Arial" w:cs="Arial"/>
        </w:rPr>
        <w:t>z adatszolgáltató a</w:t>
      </w:r>
      <w:r w:rsidR="00622D0F" w:rsidRPr="007035B4">
        <w:rPr>
          <w:rFonts w:ascii="Arial" w:hAnsi="Arial" w:cs="Arial"/>
        </w:rPr>
        <w:t xml:space="preserve"> javított </w:t>
      </w:r>
      <w:r w:rsidR="001E69B7" w:rsidRPr="007035B4">
        <w:rPr>
          <w:rFonts w:ascii="Arial" w:hAnsi="Arial" w:cs="Arial"/>
        </w:rPr>
        <w:t xml:space="preserve">felügyeleti </w:t>
      </w:r>
      <w:r w:rsidR="00622D0F" w:rsidRPr="007035B4">
        <w:rPr>
          <w:rFonts w:ascii="Arial" w:hAnsi="Arial" w:cs="Arial"/>
        </w:rPr>
        <w:t>jelentést a</w:t>
      </w:r>
      <w:r w:rsidR="001E69B7" w:rsidRPr="007035B4">
        <w:rPr>
          <w:rFonts w:ascii="Arial" w:hAnsi="Arial" w:cs="Arial"/>
        </w:rPr>
        <w:t>z MNB javításra vonatkozó</w:t>
      </w:r>
      <w:r w:rsidR="00622D0F" w:rsidRPr="007035B4">
        <w:rPr>
          <w:rFonts w:ascii="Arial" w:hAnsi="Arial" w:cs="Arial"/>
        </w:rPr>
        <w:t xml:space="preserve"> felszólítás</w:t>
      </w:r>
      <w:r w:rsidR="001E69B7" w:rsidRPr="007035B4">
        <w:rPr>
          <w:rFonts w:ascii="Arial" w:hAnsi="Arial" w:cs="Arial"/>
        </w:rPr>
        <w:t>a</w:t>
      </w:r>
      <w:r w:rsidR="00622D0F" w:rsidRPr="007035B4">
        <w:rPr>
          <w:rFonts w:ascii="Arial" w:hAnsi="Arial" w:cs="Arial"/>
        </w:rPr>
        <w:t xml:space="preserve"> kézhezvételétől számít</w:t>
      </w:r>
      <w:r w:rsidR="001E69B7" w:rsidRPr="007035B4">
        <w:rPr>
          <w:rFonts w:ascii="Arial" w:hAnsi="Arial" w:cs="Arial"/>
        </w:rPr>
        <w:t>ott</w:t>
      </w:r>
      <w:r w:rsidR="00622D0F" w:rsidRPr="007035B4">
        <w:rPr>
          <w:rFonts w:ascii="Arial" w:hAnsi="Arial" w:cs="Arial"/>
        </w:rPr>
        <w:t xml:space="preserve"> 2 munkanapon belül </w:t>
      </w:r>
      <w:r w:rsidR="001E69B7" w:rsidRPr="007035B4">
        <w:rPr>
          <w:rFonts w:ascii="Arial" w:hAnsi="Arial" w:cs="Arial"/>
        </w:rPr>
        <w:t>küldi meg</w:t>
      </w:r>
      <w:r w:rsidR="00622D0F" w:rsidRPr="007035B4">
        <w:rPr>
          <w:rFonts w:ascii="Arial" w:hAnsi="Arial" w:cs="Arial"/>
        </w:rPr>
        <w:t xml:space="preserve"> a</w:t>
      </w:r>
      <w:r w:rsidR="001E69B7" w:rsidRPr="007035B4">
        <w:rPr>
          <w:rFonts w:ascii="Arial" w:hAnsi="Arial" w:cs="Arial"/>
        </w:rPr>
        <w:t>z</w:t>
      </w:r>
      <w:r w:rsidR="00622D0F" w:rsidRPr="007035B4">
        <w:rPr>
          <w:rFonts w:ascii="Arial" w:hAnsi="Arial" w:cs="Arial"/>
        </w:rPr>
        <w:t xml:space="preserve"> MNB részére.</w:t>
      </w:r>
    </w:p>
    <w:p w14:paraId="1B18AC59" w14:textId="6C2763A8" w:rsidR="00622D0F" w:rsidRPr="001A488A" w:rsidRDefault="00532FF8" w:rsidP="008B07DF">
      <w:pPr>
        <w:autoSpaceDE w:val="0"/>
        <w:autoSpaceDN w:val="0"/>
        <w:adjustRightInd w:val="0"/>
        <w:ind w:firstLine="142"/>
        <w:jc w:val="both"/>
        <w:rPr>
          <w:rFonts w:ascii="Arial" w:hAnsi="Arial" w:cs="Arial"/>
        </w:rPr>
      </w:pPr>
      <w:r>
        <w:rPr>
          <w:rFonts w:ascii="Arial" w:hAnsi="Arial" w:cs="Arial"/>
        </w:rPr>
        <w:t xml:space="preserve">(2) Ha az adatszolgáltató a felügyeleti jelentés teljesítését követően olyan, az adatszolgáltató által – </w:t>
      </w:r>
      <w:r w:rsidR="00E30E05">
        <w:rPr>
          <w:rFonts w:ascii="Arial" w:hAnsi="Arial" w:cs="Arial"/>
        </w:rPr>
        <w:t>s</w:t>
      </w:r>
      <w:r>
        <w:rPr>
          <w:rFonts w:ascii="Arial" w:hAnsi="Arial" w:cs="Arial"/>
        </w:rPr>
        <w:t xml:space="preserve">zámviteli politikájában vagy egyéb módon – meghatározott jelentős mértékű eltérést tár fel, amely a 2. § (2) bekezdése szerinti, a felügyeleti jelentés alapjául szolgáló nyilvántartások javítását teszi szükségessé, </w:t>
      </w:r>
      <w:r w:rsidR="00622D0F" w:rsidRPr="001A488A">
        <w:rPr>
          <w:rFonts w:ascii="Arial" w:hAnsi="Arial" w:cs="Arial"/>
        </w:rPr>
        <w:t xml:space="preserve">akkor a </w:t>
      </w:r>
      <w:r w:rsidR="001E69B7">
        <w:rPr>
          <w:rFonts w:ascii="Arial" w:hAnsi="Arial" w:cs="Arial"/>
        </w:rPr>
        <w:t>felügyeleti jelentést</w:t>
      </w:r>
      <w:r w:rsidR="00622D0F" w:rsidRPr="001A488A">
        <w:rPr>
          <w:rFonts w:ascii="Arial" w:hAnsi="Arial" w:cs="Arial"/>
        </w:rPr>
        <w:t xml:space="preserve"> visszamenőleg is</w:t>
      </w:r>
      <w:r w:rsidR="00D149DD">
        <w:rPr>
          <w:rFonts w:ascii="Arial" w:hAnsi="Arial" w:cs="Arial"/>
        </w:rPr>
        <w:t>, az eltéréssel érintett teljes időszakra vonatkozóan módosít</w:t>
      </w:r>
      <w:r w:rsidR="00C527DB">
        <w:rPr>
          <w:rFonts w:ascii="Arial" w:hAnsi="Arial" w:cs="Arial"/>
        </w:rPr>
        <w:t>j</w:t>
      </w:r>
      <w:r w:rsidR="00D149DD">
        <w:rPr>
          <w:rFonts w:ascii="Arial" w:hAnsi="Arial" w:cs="Arial"/>
        </w:rPr>
        <w:t>a</w:t>
      </w:r>
      <w:r w:rsidR="00622D0F" w:rsidRPr="001A488A">
        <w:rPr>
          <w:rFonts w:ascii="Arial" w:hAnsi="Arial" w:cs="Arial"/>
        </w:rPr>
        <w:t>. A</w:t>
      </w:r>
      <w:r w:rsidR="00D149DD">
        <w:rPr>
          <w:rFonts w:ascii="Arial" w:hAnsi="Arial" w:cs="Arial"/>
        </w:rPr>
        <w:t xml:space="preserve"> jelen bekezdés szerint módosított </w:t>
      </w:r>
      <w:r w:rsidR="000F6532">
        <w:rPr>
          <w:rFonts w:ascii="Arial" w:hAnsi="Arial" w:cs="Arial"/>
        </w:rPr>
        <w:t xml:space="preserve">felügyeleti </w:t>
      </w:r>
      <w:r w:rsidR="00D149DD">
        <w:rPr>
          <w:rFonts w:ascii="Arial" w:hAnsi="Arial" w:cs="Arial"/>
        </w:rPr>
        <w:t xml:space="preserve">jelentést </w:t>
      </w:r>
      <w:r w:rsidR="00D149DD" w:rsidRPr="001C4F2A">
        <w:rPr>
          <w:rFonts w:ascii="Arial" w:hAnsi="Arial" w:cs="Arial"/>
        </w:rPr>
        <w:t>–</w:t>
      </w:r>
      <w:r w:rsidR="00D149DD" w:rsidRPr="001A488A">
        <w:rPr>
          <w:rFonts w:ascii="Arial" w:hAnsi="Arial" w:cs="Arial"/>
        </w:rPr>
        <w:t xml:space="preserve"> </w:t>
      </w:r>
      <w:r w:rsidR="00D149DD">
        <w:rPr>
          <w:rFonts w:ascii="Arial" w:hAnsi="Arial" w:cs="Arial"/>
        </w:rPr>
        <w:t xml:space="preserve">a </w:t>
      </w:r>
      <w:r w:rsidR="00622D0F" w:rsidRPr="001A488A">
        <w:rPr>
          <w:rFonts w:ascii="Arial" w:hAnsi="Arial" w:cs="Arial"/>
        </w:rPr>
        <w:t>(</w:t>
      </w:r>
      <w:r w:rsidR="00D149DD">
        <w:rPr>
          <w:rFonts w:ascii="Arial" w:hAnsi="Arial" w:cs="Arial"/>
        </w:rPr>
        <w:t>3</w:t>
      </w:r>
      <w:r w:rsidR="00622D0F" w:rsidRPr="001A488A">
        <w:rPr>
          <w:rFonts w:ascii="Arial" w:hAnsi="Arial" w:cs="Arial"/>
        </w:rPr>
        <w:t xml:space="preserve">) bekezdésben foglalt </w:t>
      </w:r>
      <w:r w:rsidR="00D149DD">
        <w:rPr>
          <w:rFonts w:ascii="Arial" w:hAnsi="Arial" w:cs="Arial"/>
        </w:rPr>
        <w:t>kivétellel</w:t>
      </w:r>
      <w:r w:rsidR="00622D0F" w:rsidRPr="001A488A">
        <w:rPr>
          <w:rFonts w:ascii="Arial" w:hAnsi="Arial" w:cs="Arial"/>
        </w:rPr>
        <w:t xml:space="preserve"> </w:t>
      </w:r>
      <w:r w:rsidR="00D149DD" w:rsidRPr="001C4F2A">
        <w:rPr>
          <w:rFonts w:ascii="Arial" w:hAnsi="Arial" w:cs="Arial"/>
        </w:rPr>
        <w:t>–</w:t>
      </w:r>
      <w:r w:rsidR="00D149DD">
        <w:rPr>
          <w:rFonts w:ascii="Arial" w:hAnsi="Arial" w:cs="Arial"/>
        </w:rPr>
        <w:t xml:space="preserve"> </w:t>
      </w:r>
      <w:r w:rsidR="00622D0F" w:rsidRPr="001A488A">
        <w:rPr>
          <w:rFonts w:ascii="Arial" w:hAnsi="Arial" w:cs="Arial"/>
        </w:rPr>
        <w:t>a</w:t>
      </w:r>
      <w:r w:rsidR="00D149DD">
        <w:rPr>
          <w:rFonts w:ascii="Arial" w:hAnsi="Arial" w:cs="Arial"/>
        </w:rPr>
        <w:t>z</w:t>
      </w:r>
      <w:r w:rsidR="00622D0F" w:rsidRPr="001A488A">
        <w:rPr>
          <w:rFonts w:ascii="Arial" w:hAnsi="Arial" w:cs="Arial"/>
        </w:rPr>
        <w:t xml:space="preserve"> </w:t>
      </w:r>
      <w:r w:rsidR="00D149DD">
        <w:rPr>
          <w:rFonts w:ascii="Arial" w:hAnsi="Arial" w:cs="Arial"/>
        </w:rPr>
        <w:t xml:space="preserve">eltérés </w:t>
      </w:r>
      <w:r w:rsidR="00622D0F" w:rsidRPr="001A488A">
        <w:rPr>
          <w:rFonts w:ascii="Arial" w:hAnsi="Arial" w:cs="Arial"/>
        </w:rPr>
        <w:t>feltárás</w:t>
      </w:r>
      <w:r w:rsidR="000F6532">
        <w:rPr>
          <w:rFonts w:ascii="Arial" w:hAnsi="Arial" w:cs="Arial"/>
        </w:rPr>
        <w:t>á</w:t>
      </w:r>
      <w:r w:rsidR="00622D0F" w:rsidRPr="001A488A">
        <w:rPr>
          <w:rFonts w:ascii="Arial" w:hAnsi="Arial" w:cs="Arial"/>
        </w:rPr>
        <w:t xml:space="preserve">tól számított 15 munkanapon belül </w:t>
      </w:r>
      <w:r w:rsidR="000F6532">
        <w:rPr>
          <w:rFonts w:ascii="Arial" w:hAnsi="Arial" w:cs="Arial"/>
        </w:rPr>
        <w:t>k</w:t>
      </w:r>
      <w:r w:rsidR="001F6892">
        <w:rPr>
          <w:rFonts w:ascii="Arial" w:hAnsi="Arial" w:cs="Arial"/>
        </w:rPr>
        <w:t>üldi meg az adatszolgáltató</w:t>
      </w:r>
      <w:r w:rsidR="000F6532">
        <w:rPr>
          <w:rFonts w:ascii="Arial" w:hAnsi="Arial" w:cs="Arial"/>
        </w:rPr>
        <w:t xml:space="preserve"> </w:t>
      </w:r>
      <w:r w:rsidR="00D149DD">
        <w:rPr>
          <w:rFonts w:ascii="Arial" w:hAnsi="Arial" w:cs="Arial"/>
        </w:rPr>
        <w:t>az MNB részére</w:t>
      </w:r>
      <w:r w:rsidR="00622D0F" w:rsidRPr="001A488A">
        <w:rPr>
          <w:rFonts w:ascii="Arial" w:hAnsi="Arial" w:cs="Arial"/>
        </w:rPr>
        <w:t>.</w:t>
      </w:r>
    </w:p>
    <w:p w14:paraId="1B18AC5A" w14:textId="4E5B1153" w:rsidR="00622D0F" w:rsidRPr="001A488A" w:rsidRDefault="00622D0F" w:rsidP="008B07DF">
      <w:pPr>
        <w:autoSpaceDE w:val="0"/>
        <w:autoSpaceDN w:val="0"/>
        <w:adjustRightInd w:val="0"/>
        <w:ind w:firstLine="142"/>
        <w:jc w:val="both"/>
        <w:rPr>
          <w:rFonts w:ascii="Arial" w:hAnsi="Arial" w:cs="Arial"/>
          <w:highlight w:val="yellow"/>
        </w:rPr>
      </w:pPr>
      <w:r w:rsidRPr="001A488A">
        <w:rPr>
          <w:rFonts w:ascii="Arial" w:hAnsi="Arial" w:cs="Arial"/>
        </w:rPr>
        <w:t>(</w:t>
      </w:r>
      <w:r w:rsidR="00D149DD">
        <w:rPr>
          <w:rFonts w:ascii="Arial" w:hAnsi="Arial" w:cs="Arial"/>
        </w:rPr>
        <w:t>3</w:t>
      </w:r>
      <w:r w:rsidRPr="001A488A">
        <w:rPr>
          <w:rFonts w:ascii="Arial" w:hAnsi="Arial" w:cs="Arial"/>
        </w:rPr>
        <w:t xml:space="preserve">) A </w:t>
      </w:r>
      <w:r w:rsidR="008C1AD8">
        <w:rPr>
          <w:rFonts w:ascii="Arial" w:hAnsi="Arial" w:cs="Arial"/>
        </w:rPr>
        <w:t>14</w:t>
      </w:r>
      <w:r w:rsidRPr="001A488A">
        <w:rPr>
          <w:rFonts w:ascii="Arial" w:hAnsi="Arial" w:cs="Arial"/>
        </w:rPr>
        <w:t xml:space="preserve">. </w:t>
      </w:r>
      <w:r w:rsidR="00403213">
        <w:rPr>
          <w:rFonts w:ascii="Arial" w:hAnsi="Arial" w:cs="Arial"/>
        </w:rPr>
        <w:t xml:space="preserve">és </w:t>
      </w:r>
      <w:r w:rsidR="008C1AD8">
        <w:rPr>
          <w:rFonts w:ascii="Arial" w:hAnsi="Arial" w:cs="Arial"/>
        </w:rPr>
        <w:t>22</w:t>
      </w:r>
      <w:r w:rsidR="00403213">
        <w:rPr>
          <w:rFonts w:ascii="Arial" w:hAnsi="Arial" w:cs="Arial"/>
        </w:rPr>
        <w:t xml:space="preserve">. </w:t>
      </w:r>
      <w:r w:rsidRPr="001A488A">
        <w:rPr>
          <w:rFonts w:ascii="Arial" w:hAnsi="Arial" w:cs="Arial"/>
        </w:rPr>
        <w:t>melléklet</w:t>
      </w:r>
      <w:r w:rsidR="00D149DD">
        <w:rPr>
          <w:rFonts w:ascii="Arial" w:hAnsi="Arial" w:cs="Arial"/>
        </w:rPr>
        <w:t xml:space="preserve"> szerinti felügyeleti jelentésre</w:t>
      </w:r>
      <w:r w:rsidRPr="001A488A">
        <w:rPr>
          <w:rFonts w:ascii="Arial" w:hAnsi="Arial" w:cs="Arial"/>
        </w:rPr>
        <w:t xml:space="preserve"> vonatkozó javított adatot – a javítás pontos okának megjelölésével együtt – a</w:t>
      </w:r>
      <w:r w:rsidR="00D149DD">
        <w:rPr>
          <w:rFonts w:ascii="Arial" w:hAnsi="Arial" w:cs="Arial"/>
        </w:rPr>
        <w:t>z eltérés</w:t>
      </w:r>
      <w:r w:rsidRPr="001A488A">
        <w:rPr>
          <w:rFonts w:ascii="Arial" w:hAnsi="Arial" w:cs="Arial"/>
        </w:rPr>
        <w:t xml:space="preserve"> feltárás</w:t>
      </w:r>
      <w:r w:rsidR="00D149DD">
        <w:rPr>
          <w:rFonts w:ascii="Arial" w:hAnsi="Arial" w:cs="Arial"/>
        </w:rPr>
        <w:t>á</w:t>
      </w:r>
      <w:r w:rsidRPr="001A488A">
        <w:rPr>
          <w:rFonts w:ascii="Arial" w:hAnsi="Arial" w:cs="Arial"/>
        </w:rPr>
        <w:t xml:space="preserve">tól számított 2 munkanapon belül </w:t>
      </w:r>
      <w:r w:rsidR="00C527DB">
        <w:rPr>
          <w:rFonts w:ascii="Arial" w:hAnsi="Arial" w:cs="Arial"/>
        </w:rPr>
        <w:t>küldi meg az adatszolgáltató</w:t>
      </w:r>
      <w:r w:rsidR="00D149DD">
        <w:rPr>
          <w:rFonts w:ascii="Arial" w:hAnsi="Arial" w:cs="Arial"/>
        </w:rPr>
        <w:t xml:space="preserve"> az MNB részére</w:t>
      </w:r>
      <w:r w:rsidR="00C527DB">
        <w:rPr>
          <w:rFonts w:ascii="Arial" w:hAnsi="Arial" w:cs="Arial"/>
        </w:rPr>
        <w:t>.</w:t>
      </w:r>
    </w:p>
    <w:p w14:paraId="1B18AC5B" w14:textId="77777777" w:rsidR="00622D0F" w:rsidRPr="00EE3A62" w:rsidRDefault="00622D0F" w:rsidP="00D96420">
      <w:pPr>
        <w:autoSpaceDE w:val="0"/>
        <w:autoSpaceDN w:val="0"/>
        <w:adjustRightInd w:val="0"/>
        <w:ind w:firstLine="142"/>
        <w:jc w:val="both"/>
        <w:rPr>
          <w:rFonts w:ascii="Arial" w:hAnsi="Arial" w:cs="Arial"/>
        </w:rPr>
      </w:pPr>
    </w:p>
    <w:p w14:paraId="1B18AC5C" w14:textId="1ECEA6F7" w:rsidR="00AA3312" w:rsidRDefault="00135515" w:rsidP="008B07DF">
      <w:pPr>
        <w:autoSpaceDE w:val="0"/>
        <w:autoSpaceDN w:val="0"/>
        <w:adjustRightInd w:val="0"/>
        <w:ind w:firstLine="142"/>
        <w:jc w:val="both"/>
        <w:rPr>
          <w:rFonts w:ascii="Arial" w:hAnsi="Arial" w:cs="Arial"/>
        </w:rPr>
      </w:pPr>
      <w:r>
        <w:rPr>
          <w:rFonts w:ascii="Arial" w:hAnsi="Arial" w:cs="Arial"/>
          <w:b/>
          <w:bCs/>
        </w:rPr>
        <w:t>20</w:t>
      </w:r>
      <w:r w:rsidR="00AA3312" w:rsidRPr="00503DC1">
        <w:rPr>
          <w:rFonts w:ascii="Arial" w:hAnsi="Arial" w:cs="Arial"/>
          <w:b/>
          <w:bCs/>
        </w:rPr>
        <w:t>. §</w:t>
      </w:r>
      <w:r w:rsidR="00AA3312" w:rsidRPr="00503DC1">
        <w:rPr>
          <w:rFonts w:ascii="Arial" w:hAnsi="Arial" w:cs="Arial"/>
        </w:rPr>
        <w:t xml:space="preserve"> Ez a rendelet </w:t>
      </w:r>
      <w:r w:rsidR="004C21CF">
        <w:rPr>
          <w:rFonts w:ascii="Arial" w:hAnsi="Arial" w:cs="Arial"/>
        </w:rPr>
        <w:t>2026</w:t>
      </w:r>
      <w:r w:rsidR="005930C7">
        <w:rPr>
          <w:rFonts w:ascii="Arial" w:hAnsi="Arial" w:cs="Arial"/>
        </w:rPr>
        <w:t>. január 1-jén</w:t>
      </w:r>
      <w:r w:rsidR="00AA3312" w:rsidRPr="00503DC1">
        <w:rPr>
          <w:rFonts w:ascii="Arial" w:hAnsi="Arial" w:cs="Arial"/>
        </w:rPr>
        <w:t xml:space="preserve"> lép hatályba.</w:t>
      </w:r>
    </w:p>
    <w:p w14:paraId="57235DD5" w14:textId="77777777" w:rsidR="00AD3749" w:rsidRPr="00EE3A62" w:rsidRDefault="00AD3749" w:rsidP="008B07DF">
      <w:pPr>
        <w:autoSpaceDE w:val="0"/>
        <w:autoSpaceDN w:val="0"/>
        <w:adjustRightInd w:val="0"/>
        <w:ind w:firstLine="142"/>
        <w:jc w:val="both"/>
        <w:rPr>
          <w:rFonts w:ascii="Arial" w:hAnsi="Arial" w:cs="Arial"/>
        </w:rPr>
      </w:pPr>
    </w:p>
    <w:p w14:paraId="1B18AC61" w14:textId="52532689" w:rsidR="005A40A9" w:rsidRPr="00135515" w:rsidRDefault="00135515" w:rsidP="008B07DF">
      <w:pPr>
        <w:autoSpaceDE w:val="0"/>
        <w:autoSpaceDN w:val="0"/>
        <w:adjustRightInd w:val="0"/>
        <w:ind w:firstLine="142"/>
        <w:jc w:val="both"/>
        <w:rPr>
          <w:rFonts w:ascii="Arial" w:hAnsi="Arial" w:cs="Arial"/>
          <w:bCs/>
          <w:kern w:val="36"/>
          <w:highlight w:val="yellow"/>
        </w:rPr>
      </w:pPr>
      <w:r w:rsidRPr="00135515">
        <w:rPr>
          <w:rFonts w:ascii="Arial" w:hAnsi="Arial" w:cs="Arial"/>
          <w:b/>
        </w:rPr>
        <w:t>21</w:t>
      </w:r>
      <w:r w:rsidR="00515FE4" w:rsidRPr="00135515">
        <w:rPr>
          <w:rFonts w:ascii="Arial" w:hAnsi="Arial" w:cs="Arial"/>
          <w:b/>
        </w:rPr>
        <w:t xml:space="preserve">. § </w:t>
      </w:r>
      <w:r w:rsidR="00512666" w:rsidRPr="00135515">
        <w:rPr>
          <w:rFonts w:ascii="Arial" w:hAnsi="Arial" w:cs="Arial"/>
        </w:rPr>
        <w:t>(1)</w:t>
      </w:r>
      <w:r w:rsidR="00512666" w:rsidRPr="00135515">
        <w:rPr>
          <w:rFonts w:ascii="Arial" w:hAnsi="Arial" w:cs="Arial"/>
          <w:b/>
        </w:rPr>
        <w:t xml:space="preserve"> </w:t>
      </w:r>
      <w:r w:rsidR="00515FE4" w:rsidRPr="00135515">
        <w:rPr>
          <w:rFonts w:ascii="Arial" w:hAnsi="Arial" w:cs="Arial"/>
        </w:rPr>
        <w:t>A</w:t>
      </w:r>
      <w:r w:rsidR="00AB735A" w:rsidRPr="00135515">
        <w:rPr>
          <w:rFonts w:ascii="Arial" w:hAnsi="Arial" w:cs="Arial"/>
        </w:rPr>
        <w:t>z adatszolgáltató</w:t>
      </w:r>
      <w:r w:rsidR="00F76A50" w:rsidRPr="00135515">
        <w:rPr>
          <w:rFonts w:ascii="Arial" w:hAnsi="Arial" w:cs="Arial"/>
        </w:rPr>
        <w:t xml:space="preserve"> </w:t>
      </w:r>
      <w:r w:rsidR="00515FE4" w:rsidRPr="00135515">
        <w:rPr>
          <w:rFonts w:ascii="Arial" w:hAnsi="Arial"/>
          <w:kern w:val="36"/>
        </w:rPr>
        <w:t>a jegybanki információs rendszerhez elsődlegesen a Magyar Nemzeti Bank</w:t>
      </w:r>
      <w:r w:rsidR="005E25B9" w:rsidRPr="00135515">
        <w:rPr>
          <w:rFonts w:ascii="Arial" w:hAnsi="Arial"/>
          <w:kern w:val="36"/>
        </w:rPr>
        <w:t xml:space="preserve"> pénz- és hitelpiaci szervezetek feletti</w:t>
      </w:r>
      <w:r w:rsidR="00515FE4" w:rsidRPr="00135515">
        <w:rPr>
          <w:rFonts w:ascii="Arial" w:hAnsi="Arial"/>
          <w:kern w:val="36"/>
        </w:rPr>
        <w:t xml:space="preserve"> felügyeleti feladatai ellátása érdekében teljesítendő adatszolgáltatási kötelezettségekről szóló </w:t>
      </w:r>
      <w:r w:rsidRPr="00135515">
        <w:rPr>
          <w:rFonts w:ascii="Arial" w:hAnsi="Arial"/>
          <w:caps/>
          <w:kern w:val="36"/>
        </w:rPr>
        <w:t>55/2024</w:t>
      </w:r>
      <w:r w:rsidR="00B303F9" w:rsidRPr="00135515">
        <w:rPr>
          <w:rFonts w:ascii="Arial" w:hAnsi="Arial"/>
          <w:caps/>
          <w:kern w:val="36"/>
        </w:rPr>
        <w:t>. (XI</w:t>
      </w:r>
      <w:r w:rsidRPr="00135515">
        <w:rPr>
          <w:rFonts w:ascii="Arial" w:hAnsi="Arial"/>
          <w:caps/>
          <w:kern w:val="36"/>
        </w:rPr>
        <w:t>I</w:t>
      </w:r>
      <w:r w:rsidR="00B303F9" w:rsidRPr="00135515">
        <w:rPr>
          <w:rFonts w:ascii="Arial" w:hAnsi="Arial"/>
          <w:caps/>
          <w:kern w:val="36"/>
        </w:rPr>
        <w:t xml:space="preserve">. </w:t>
      </w:r>
      <w:r w:rsidRPr="00135515">
        <w:rPr>
          <w:rFonts w:ascii="Arial" w:hAnsi="Arial"/>
          <w:caps/>
          <w:kern w:val="36"/>
        </w:rPr>
        <w:t>3</w:t>
      </w:r>
      <w:r w:rsidR="00B303F9" w:rsidRPr="00135515">
        <w:rPr>
          <w:rFonts w:ascii="Arial" w:hAnsi="Arial"/>
          <w:caps/>
          <w:kern w:val="36"/>
        </w:rPr>
        <w:t>)</w:t>
      </w:r>
      <w:r w:rsidR="00902DF1" w:rsidRPr="00135515">
        <w:rPr>
          <w:rFonts w:ascii="Arial" w:hAnsi="Arial"/>
          <w:caps/>
          <w:kern w:val="36"/>
        </w:rPr>
        <w:t>.</w:t>
      </w:r>
      <w:r w:rsidR="00515FE4" w:rsidRPr="00135515">
        <w:rPr>
          <w:rFonts w:ascii="Arial" w:hAnsi="Arial" w:cs="Arial"/>
          <w:bCs/>
          <w:caps/>
          <w:kern w:val="36"/>
        </w:rPr>
        <w:t xml:space="preserve"> MNB </w:t>
      </w:r>
      <w:r w:rsidR="00515FE4" w:rsidRPr="00135515">
        <w:rPr>
          <w:rFonts w:ascii="Arial" w:hAnsi="Arial" w:cs="Arial"/>
          <w:bCs/>
          <w:kern w:val="36"/>
        </w:rPr>
        <w:t>rendelet</w:t>
      </w:r>
      <w:r w:rsidR="004129FC" w:rsidRPr="00135515">
        <w:rPr>
          <w:rFonts w:ascii="Arial" w:hAnsi="Arial" w:cs="Arial"/>
          <w:bCs/>
          <w:kern w:val="36"/>
        </w:rPr>
        <w:t xml:space="preserve"> [a továbbiakban:</w:t>
      </w:r>
      <w:r w:rsidR="00581EEB" w:rsidRPr="00135515">
        <w:rPr>
          <w:rFonts w:ascii="Arial" w:hAnsi="Arial" w:cs="Arial"/>
          <w:bCs/>
          <w:kern w:val="36"/>
        </w:rPr>
        <w:t xml:space="preserve"> </w:t>
      </w:r>
      <w:r w:rsidRPr="00135515">
        <w:rPr>
          <w:rFonts w:ascii="Arial" w:hAnsi="Arial" w:cs="Arial"/>
          <w:bCs/>
          <w:kern w:val="36"/>
        </w:rPr>
        <w:t>55</w:t>
      </w:r>
      <w:r w:rsidR="00960E22" w:rsidRPr="00135515">
        <w:rPr>
          <w:rFonts w:ascii="Arial" w:hAnsi="Arial" w:cs="Arial"/>
          <w:bCs/>
          <w:kern w:val="36"/>
        </w:rPr>
        <w:t>/</w:t>
      </w:r>
      <w:r w:rsidR="005E25B9" w:rsidRPr="00135515">
        <w:rPr>
          <w:rFonts w:ascii="Arial" w:hAnsi="Arial" w:cs="Arial"/>
          <w:bCs/>
          <w:kern w:val="36"/>
        </w:rPr>
        <w:t>202</w:t>
      </w:r>
      <w:r w:rsidRPr="00135515">
        <w:rPr>
          <w:rFonts w:ascii="Arial" w:hAnsi="Arial" w:cs="Arial"/>
          <w:bCs/>
          <w:kern w:val="36"/>
        </w:rPr>
        <w:t>4</w:t>
      </w:r>
      <w:r w:rsidR="00B303F9" w:rsidRPr="00135515">
        <w:rPr>
          <w:rFonts w:ascii="Arial" w:hAnsi="Arial" w:cs="Arial"/>
          <w:bCs/>
          <w:kern w:val="36"/>
        </w:rPr>
        <w:t>. (XI</w:t>
      </w:r>
      <w:r w:rsidRPr="00135515">
        <w:rPr>
          <w:rFonts w:ascii="Arial" w:hAnsi="Arial" w:cs="Arial"/>
          <w:bCs/>
          <w:kern w:val="36"/>
        </w:rPr>
        <w:t>I</w:t>
      </w:r>
      <w:r w:rsidR="00B303F9" w:rsidRPr="00135515">
        <w:rPr>
          <w:rFonts w:ascii="Arial" w:hAnsi="Arial" w:cs="Arial"/>
          <w:bCs/>
          <w:kern w:val="36"/>
        </w:rPr>
        <w:t xml:space="preserve">. </w:t>
      </w:r>
      <w:r w:rsidRPr="00135515">
        <w:rPr>
          <w:rFonts w:ascii="Arial" w:hAnsi="Arial" w:cs="Arial"/>
          <w:bCs/>
          <w:kern w:val="36"/>
        </w:rPr>
        <w:t>3</w:t>
      </w:r>
      <w:r w:rsidR="00B303F9" w:rsidRPr="00135515">
        <w:rPr>
          <w:rFonts w:ascii="Arial" w:hAnsi="Arial" w:cs="Arial"/>
          <w:bCs/>
          <w:kern w:val="36"/>
        </w:rPr>
        <w:t>.)</w:t>
      </w:r>
      <w:r w:rsidR="004129FC" w:rsidRPr="00135515">
        <w:rPr>
          <w:rFonts w:ascii="Arial" w:hAnsi="Arial" w:cs="Arial"/>
          <w:bCs/>
          <w:kern w:val="36"/>
        </w:rPr>
        <w:t xml:space="preserve"> MNB rendelet] </w:t>
      </w:r>
      <w:r w:rsidR="00EA43E0" w:rsidRPr="00135515">
        <w:rPr>
          <w:rFonts w:ascii="Arial" w:hAnsi="Arial" w:cs="Arial"/>
          <w:bCs/>
          <w:kern w:val="36"/>
        </w:rPr>
        <w:t xml:space="preserve">szerinti, </w:t>
      </w:r>
      <w:r w:rsidRPr="00135515">
        <w:rPr>
          <w:rFonts w:ascii="Arial" w:hAnsi="Arial" w:cs="Arial"/>
          <w:bCs/>
          <w:kern w:val="36"/>
        </w:rPr>
        <w:t>2026</w:t>
      </w:r>
      <w:r w:rsidR="00EA43E0" w:rsidRPr="00135515">
        <w:rPr>
          <w:rFonts w:ascii="Arial" w:hAnsi="Arial" w:cs="Arial"/>
          <w:bCs/>
          <w:kern w:val="36"/>
        </w:rPr>
        <w:t>. január 1-jét megelőző tárgyidőszakra vonatkozó felügyeleti jelentés, adatszolgáltatás</w:t>
      </w:r>
      <w:r w:rsidR="00C356D2" w:rsidRPr="00135515">
        <w:rPr>
          <w:rFonts w:ascii="Arial" w:hAnsi="Arial" w:cs="Arial"/>
          <w:bCs/>
          <w:kern w:val="36"/>
        </w:rPr>
        <w:t xml:space="preserve"> </w:t>
      </w:r>
      <w:r w:rsidR="00AB735A" w:rsidRPr="00135515">
        <w:rPr>
          <w:rFonts w:ascii="Arial" w:hAnsi="Arial" w:cs="Arial"/>
          <w:bCs/>
          <w:kern w:val="36"/>
        </w:rPr>
        <w:t>teljesítése során</w:t>
      </w:r>
      <w:r w:rsidR="00EA43E0" w:rsidRPr="00135515">
        <w:rPr>
          <w:rFonts w:ascii="Arial" w:hAnsi="Arial" w:cs="Arial"/>
          <w:bCs/>
          <w:kern w:val="36"/>
        </w:rPr>
        <w:t xml:space="preserve"> </w:t>
      </w:r>
      <w:r w:rsidR="005557E9" w:rsidRPr="006457B7">
        <w:rPr>
          <w:rFonts w:ascii="Arial" w:hAnsi="Arial" w:cs="Arial"/>
          <w:bCs/>
          <w:kern w:val="36"/>
        </w:rPr>
        <w:t xml:space="preserve">– az </w:t>
      </w:r>
      <w:r w:rsidRPr="006457B7">
        <w:rPr>
          <w:rFonts w:ascii="Arial" w:hAnsi="Arial" w:cs="Arial"/>
          <w:bCs/>
          <w:kern w:val="36"/>
        </w:rPr>
        <w:t>55</w:t>
      </w:r>
      <w:r w:rsidR="00960E22" w:rsidRPr="006457B7">
        <w:rPr>
          <w:rFonts w:ascii="Arial" w:hAnsi="Arial" w:cs="Arial"/>
          <w:bCs/>
          <w:kern w:val="36"/>
        </w:rPr>
        <w:t>/</w:t>
      </w:r>
      <w:r w:rsidR="005E25B9" w:rsidRPr="006457B7">
        <w:rPr>
          <w:rFonts w:ascii="Arial" w:hAnsi="Arial" w:cs="Arial"/>
          <w:bCs/>
          <w:kern w:val="36"/>
        </w:rPr>
        <w:t>202</w:t>
      </w:r>
      <w:r w:rsidRPr="006457B7">
        <w:rPr>
          <w:rFonts w:ascii="Arial" w:hAnsi="Arial" w:cs="Arial"/>
          <w:bCs/>
          <w:kern w:val="36"/>
        </w:rPr>
        <w:t>4</w:t>
      </w:r>
      <w:r w:rsidR="005557E9" w:rsidRPr="006457B7">
        <w:rPr>
          <w:rFonts w:ascii="Arial" w:hAnsi="Arial" w:cs="Arial"/>
          <w:bCs/>
          <w:kern w:val="36"/>
        </w:rPr>
        <w:t>. (XI</w:t>
      </w:r>
      <w:r w:rsidRPr="006457B7">
        <w:rPr>
          <w:rFonts w:ascii="Arial" w:hAnsi="Arial" w:cs="Arial"/>
          <w:bCs/>
          <w:kern w:val="36"/>
        </w:rPr>
        <w:t>I</w:t>
      </w:r>
      <w:r w:rsidR="005557E9" w:rsidRPr="006457B7">
        <w:rPr>
          <w:rFonts w:ascii="Arial" w:hAnsi="Arial" w:cs="Arial"/>
          <w:bCs/>
          <w:kern w:val="36"/>
        </w:rPr>
        <w:t xml:space="preserve">. </w:t>
      </w:r>
      <w:r w:rsidRPr="006457B7">
        <w:rPr>
          <w:rFonts w:ascii="Arial" w:hAnsi="Arial" w:cs="Arial"/>
          <w:bCs/>
          <w:kern w:val="36"/>
        </w:rPr>
        <w:t>3</w:t>
      </w:r>
      <w:r w:rsidR="005557E9" w:rsidRPr="006457B7">
        <w:rPr>
          <w:rFonts w:ascii="Arial" w:hAnsi="Arial" w:cs="Arial"/>
          <w:bCs/>
          <w:kern w:val="36"/>
        </w:rPr>
        <w:t xml:space="preserve">.) MNB rendelet 2. melléklet „ÖSSZEFOGLALÓ TÁBLA EGYEDI JELENTÉSEK” megnevezésű táblázat </w:t>
      </w:r>
      <w:r w:rsidR="006457B7">
        <w:rPr>
          <w:rFonts w:ascii="Arial" w:hAnsi="Arial" w:cs="Arial"/>
          <w:bCs/>
          <w:kern w:val="36"/>
        </w:rPr>
        <w:t xml:space="preserve">41. és </w:t>
      </w:r>
      <w:r w:rsidR="005E25B9" w:rsidRPr="006457B7">
        <w:rPr>
          <w:rFonts w:ascii="Arial" w:hAnsi="Arial" w:cs="Arial"/>
          <w:bCs/>
          <w:kern w:val="36"/>
        </w:rPr>
        <w:t>55</w:t>
      </w:r>
      <w:r w:rsidR="005557E9" w:rsidRPr="006457B7">
        <w:rPr>
          <w:rFonts w:ascii="Arial" w:hAnsi="Arial" w:cs="Arial"/>
          <w:bCs/>
          <w:kern w:val="36"/>
        </w:rPr>
        <w:t>. sorában</w:t>
      </w:r>
      <w:r w:rsidR="00CA08F2" w:rsidRPr="00C272EB">
        <w:rPr>
          <w:rFonts w:ascii="Arial" w:hAnsi="Arial" w:cs="Arial"/>
          <w:bCs/>
          <w:kern w:val="36"/>
        </w:rPr>
        <w:t xml:space="preserve">, az 55/2024. (XII. 3.) MNB rendelet 4. melléklet „ÖSSZEFOGLALÓ TÁBLA” megnevezésű táblázat 33. sorában és az 55/2024. (XII. 3.) MNB rendelet </w:t>
      </w:r>
      <w:r w:rsidR="00ED0ACF" w:rsidRPr="00C272EB">
        <w:rPr>
          <w:rFonts w:ascii="Arial" w:hAnsi="Arial" w:cs="Arial"/>
          <w:bCs/>
          <w:kern w:val="36"/>
        </w:rPr>
        <w:t>6</w:t>
      </w:r>
      <w:r w:rsidR="00CA08F2" w:rsidRPr="00C272EB">
        <w:rPr>
          <w:rFonts w:ascii="Arial" w:hAnsi="Arial" w:cs="Arial"/>
          <w:bCs/>
          <w:kern w:val="36"/>
        </w:rPr>
        <w:t>. melléklet „ÖSSZEFOGLALÓ TÁBLA” megnevezésű táblázat 21. sorában</w:t>
      </w:r>
      <w:r w:rsidR="00326C91" w:rsidRPr="00C272EB">
        <w:rPr>
          <w:rFonts w:ascii="Arial" w:hAnsi="Arial" w:cs="Arial"/>
          <w:bCs/>
          <w:kern w:val="36"/>
        </w:rPr>
        <w:t xml:space="preserve"> </w:t>
      </w:r>
      <w:r w:rsidR="005C3256" w:rsidRPr="00C272EB">
        <w:rPr>
          <w:rFonts w:ascii="Arial" w:hAnsi="Arial" w:cs="Arial"/>
        </w:rPr>
        <w:t>meghatározott</w:t>
      </w:r>
      <w:r w:rsidR="005C3256" w:rsidRPr="00D96420">
        <w:rPr>
          <w:rFonts w:ascii="Arial" w:hAnsi="Arial" w:cs="Arial"/>
        </w:rPr>
        <w:t xml:space="preserve"> felügyeleti jelentés kivételével </w:t>
      </w:r>
      <w:r w:rsidR="005C3256" w:rsidRPr="006457B7">
        <w:rPr>
          <w:rFonts w:ascii="Arial" w:hAnsi="Arial" w:cs="Arial"/>
        </w:rPr>
        <w:t>–</w:t>
      </w:r>
      <w:r w:rsidR="005C3256" w:rsidRPr="00135515">
        <w:rPr>
          <w:rFonts w:ascii="Arial" w:hAnsi="Arial" w:cs="Arial"/>
          <w:bCs/>
          <w:kern w:val="36"/>
        </w:rPr>
        <w:t xml:space="preserve"> </w:t>
      </w:r>
      <w:r w:rsidR="00BA05CD" w:rsidRPr="00135515">
        <w:rPr>
          <w:rFonts w:ascii="Arial" w:hAnsi="Arial" w:cs="Arial"/>
          <w:bCs/>
          <w:kern w:val="36"/>
        </w:rPr>
        <w:t>a</w:t>
      </w:r>
      <w:r w:rsidR="00B303F9" w:rsidRPr="00135515">
        <w:rPr>
          <w:rFonts w:ascii="Arial" w:hAnsi="Arial" w:cs="Arial"/>
          <w:bCs/>
          <w:kern w:val="36"/>
        </w:rPr>
        <w:t>z</w:t>
      </w:r>
      <w:r w:rsidR="00BA05CD" w:rsidRPr="00135515">
        <w:rPr>
          <w:rFonts w:ascii="Arial" w:hAnsi="Arial" w:cs="Arial"/>
          <w:bCs/>
          <w:kern w:val="36"/>
        </w:rPr>
        <w:t xml:space="preserve"> </w:t>
      </w:r>
      <w:r w:rsidRPr="00135515">
        <w:rPr>
          <w:rFonts w:ascii="Arial" w:hAnsi="Arial" w:cs="Arial"/>
          <w:bCs/>
          <w:caps/>
          <w:kern w:val="36"/>
        </w:rPr>
        <w:t>55</w:t>
      </w:r>
      <w:r w:rsidR="00960E22" w:rsidRPr="00135515">
        <w:rPr>
          <w:rFonts w:ascii="Arial" w:hAnsi="Arial" w:cs="Arial"/>
          <w:bCs/>
          <w:caps/>
          <w:kern w:val="36"/>
        </w:rPr>
        <w:t>/</w:t>
      </w:r>
      <w:r w:rsidR="005E25B9" w:rsidRPr="00135515">
        <w:rPr>
          <w:rFonts w:ascii="Arial" w:hAnsi="Arial" w:cs="Arial"/>
          <w:bCs/>
          <w:caps/>
          <w:kern w:val="36"/>
        </w:rPr>
        <w:t>202</w:t>
      </w:r>
      <w:r w:rsidRPr="00135515">
        <w:rPr>
          <w:rFonts w:ascii="Arial" w:hAnsi="Arial" w:cs="Arial"/>
          <w:bCs/>
          <w:caps/>
          <w:kern w:val="36"/>
        </w:rPr>
        <w:t>4</w:t>
      </w:r>
      <w:r w:rsidR="00B303F9" w:rsidRPr="00135515">
        <w:rPr>
          <w:rFonts w:ascii="Arial" w:hAnsi="Arial" w:cs="Arial"/>
          <w:bCs/>
          <w:caps/>
          <w:kern w:val="36"/>
        </w:rPr>
        <w:t>. (XI</w:t>
      </w:r>
      <w:r w:rsidRPr="00135515">
        <w:rPr>
          <w:rFonts w:ascii="Arial" w:hAnsi="Arial" w:cs="Arial"/>
          <w:bCs/>
          <w:caps/>
          <w:kern w:val="36"/>
        </w:rPr>
        <w:t>I</w:t>
      </w:r>
      <w:r w:rsidR="00B303F9" w:rsidRPr="00135515">
        <w:rPr>
          <w:rFonts w:ascii="Arial" w:hAnsi="Arial" w:cs="Arial"/>
          <w:bCs/>
          <w:caps/>
          <w:kern w:val="36"/>
        </w:rPr>
        <w:t xml:space="preserve">. </w:t>
      </w:r>
      <w:r w:rsidRPr="00135515">
        <w:rPr>
          <w:rFonts w:ascii="Arial" w:hAnsi="Arial" w:cs="Arial"/>
          <w:bCs/>
          <w:caps/>
          <w:kern w:val="36"/>
        </w:rPr>
        <w:t>3</w:t>
      </w:r>
      <w:r w:rsidR="00B303F9" w:rsidRPr="00135515">
        <w:rPr>
          <w:rFonts w:ascii="Arial" w:hAnsi="Arial" w:cs="Arial"/>
          <w:bCs/>
          <w:caps/>
          <w:kern w:val="36"/>
        </w:rPr>
        <w:t>.)</w:t>
      </w:r>
      <w:r w:rsidR="00EA43E0" w:rsidRPr="00135515">
        <w:rPr>
          <w:rFonts w:ascii="Arial" w:hAnsi="Arial" w:cs="Arial"/>
          <w:bCs/>
          <w:caps/>
          <w:kern w:val="36"/>
        </w:rPr>
        <w:t xml:space="preserve"> MNB </w:t>
      </w:r>
      <w:r w:rsidR="00EA43E0" w:rsidRPr="00135515">
        <w:rPr>
          <w:rFonts w:ascii="Arial" w:hAnsi="Arial" w:cs="Arial"/>
          <w:bCs/>
          <w:kern w:val="36"/>
        </w:rPr>
        <w:t>rendelet szabályait alkalmaz</w:t>
      </w:r>
      <w:r w:rsidR="00AB735A" w:rsidRPr="00135515">
        <w:rPr>
          <w:rFonts w:ascii="Arial" w:hAnsi="Arial" w:cs="Arial"/>
          <w:bCs/>
          <w:kern w:val="36"/>
        </w:rPr>
        <w:t>za</w:t>
      </w:r>
      <w:r w:rsidR="00EA43E0" w:rsidRPr="00135515">
        <w:rPr>
          <w:rFonts w:ascii="Arial" w:hAnsi="Arial" w:cs="Arial"/>
          <w:bCs/>
          <w:kern w:val="36"/>
        </w:rPr>
        <w:t>.</w:t>
      </w:r>
    </w:p>
    <w:p w14:paraId="1D7D497F" w14:textId="77777777" w:rsidR="002411D3" w:rsidRPr="006457B7" w:rsidRDefault="002411D3" w:rsidP="008B07DF">
      <w:pPr>
        <w:autoSpaceDE w:val="0"/>
        <w:autoSpaceDN w:val="0"/>
        <w:adjustRightInd w:val="0"/>
        <w:ind w:firstLine="142"/>
        <w:jc w:val="both"/>
        <w:rPr>
          <w:rFonts w:ascii="Arial" w:hAnsi="Arial" w:cs="Arial"/>
          <w:bCs/>
          <w:kern w:val="36"/>
        </w:rPr>
      </w:pPr>
      <w:r w:rsidRPr="006457B7">
        <w:rPr>
          <w:rFonts w:ascii="Arial" w:hAnsi="Arial" w:cs="Arial"/>
          <w:bCs/>
          <w:kern w:val="36"/>
        </w:rPr>
        <w:t xml:space="preserve">(2) Az adatszolgáltató </w:t>
      </w:r>
    </w:p>
    <w:p w14:paraId="3ADD9C18" w14:textId="1A9D0D79" w:rsidR="002411D3" w:rsidRPr="006457B7" w:rsidRDefault="002411D3" w:rsidP="008B07DF">
      <w:pPr>
        <w:autoSpaceDE w:val="0"/>
        <w:autoSpaceDN w:val="0"/>
        <w:adjustRightInd w:val="0"/>
        <w:ind w:firstLine="142"/>
        <w:jc w:val="both"/>
        <w:rPr>
          <w:rFonts w:ascii="Arial" w:hAnsi="Arial" w:cs="Arial"/>
          <w:bCs/>
          <w:kern w:val="36"/>
        </w:rPr>
      </w:pPr>
      <w:r w:rsidRPr="006457B7">
        <w:rPr>
          <w:rFonts w:ascii="Arial" w:hAnsi="Arial" w:cs="Arial"/>
          <w:bCs/>
          <w:kern w:val="36"/>
        </w:rPr>
        <w:t xml:space="preserve">a) a 2. melléklet „ÖSSZEFOGLALÓ TÁBLA EGYEDI JELENTÉSEK” megnevezésű táblázat </w:t>
      </w:r>
      <w:r w:rsidR="00326C91" w:rsidRPr="006457B7">
        <w:rPr>
          <w:rFonts w:ascii="Arial" w:hAnsi="Arial" w:cs="Arial"/>
          <w:bCs/>
          <w:kern w:val="36"/>
        </w:rPr>
        <w:t>41</w:t>
      </w:r>
      <w:r w:rsidR="000F00F7" w:rsidRPr="006457B7">
        <w:rPr>
          <w:rFonts w:ascii="Arial" w:hAnsi="Arial" w:cs="Arial"/>
          <w:bCs/>
          <w:kern w:val="36"/>
        </w:rPr>
        <w:t xml:space="preserve">. </w:t>
      </w:r>
      <w:r w:rsidRPr="006457B7">
        <w:rPr>
          <w:rFonts w:ascii="Arial" w:hAnsi="Arial" w:cs="Arial"/>
          <w:bCs/>
          <w:kern w:val="36"/>
        </w:rPr>
        <w:t>sorában</w:t>
      </w:r>
      <w:r w:rsidR="00C6602A" w:rsidRPr="006457B7">
        <w:rPr>
          <w:rFonts w:ascii="Arial" w:hAnsi="Arial" w:cs="Arial"/>
          <w:bCs/>
          <w:kern w:val="36"/>
        </w:rPr>
        <w:t>,</w:t>
      </w:r>
    </w:p>
    <w:p w14:paraId="263E22ED" w14:textId="69A79799" w:rsidR="002411D3" w:rsidRPr="006457B7" w:rsidRDefault="002411D3" w:rsidP="008B07DF">
      <w:pPr>
        <w:autoSpaceDE w:val="0"/>
        <w:autoSpaceDN w:val="0"/>
        <w:adjustRightInd w:val="0"/>
        <w:ind w:firstLine="142"/>
        <w:jc w:val="both"/>
        <w:rPr>
          <w:rFonts w:ascii="Arial" w:hAnsi="Arial" w:cs="Arial"/>
          <w:bCs/>
          <w:kern w:val="36"/>
        </w:rPr>
      </w:pPr>
      <w:r w:rsidRPr="006457B7">
        <w:rPr>
          <w:rFonts w:ascii="Arial" w:hAnsi="Arial" w:cs="Arial"/>
          <w:bCs/>
          <w:kern w:val="36"/>
        </w:rPr>
        <w:t xml:space="preserve">b) a </w:t>
      </w:r>
      <w:r w:rsidR="00326C91" w:rsidRPr="006457B7">
        <w:rPr>
          <w:rFonts w:ascii="Arial" w:hAnsi="Arial" w:cs="Arial"/>
          <w:bCs/>
          <w:kern w:val="36"/>
        </w:rPr>
        <w:t>6</w:t>
      </w:r>
      <w:r w:rsidRPr="006457B7">
        <w:rPr>
          <w:rFonts w:ascii="Arial" w:hAnsi="Arial" w:cs="Arial"/>
          <w:bCs/>
          <w:kern w:val="36"/>
        </w:rPr>
        <w:t xml:space="preserve">. melléklet </w:t>
      </w:r>
      <w:r w:rsidR="006848CC" w:rsidRPr="006457B7">
        <w:rPr>
          <w:rFonts w:ascii="Arial" w:hAnsi="Arial" w:cs="Arial"/>
          <w:bCs/>
          <w:kern w:val="36"/>
        </w:rPr>
        <w:t>„ÖSSZEFOGLALÓ TÁBLA” megnevezésű táblázat</w:t>
      </w:r>
      <w:r w:rsidR="00092D36">
        <w:rPr>
          <w:rFonts w:ascii="Arial" w:hAnsi="Arial" w:cs="Arial"/>
          <w:bCs/>
          <w:kern w:val="36"/>
        </w:rPr>
        <w:t xml:space="preserve"> 1</w:t>
      </w:r>
      <w:r w:rsidR="006848CC">
        <w:rPr>
          <w:rFonts w:ascii="Arial" w:hAnsi="Arial" w:cs="Arial"/>
          <w:bCs/>
          <w:kern w:val="36"/>
        </w:rPr>
        <w:t>–</w:t>
      </w:r>
      <w:r w:rsidR="00092D36">
        <w:rPr>
          <w:rFonts w:ascii="Arial" w:hAnsi="Arial" w:cs="Arial"/>
          <w:bCs/>
          <w:kern w:val="36"/>
        </w:rPr>
        <w:t>8., 10., 11.</w:t>
      </w:r>
      <w:r w:rsidR="006848CC">
        <w:rPr>
          <w:rFonts w:ascii="Arial" w:hAnsi="Arial" w:cs="Arial"/>
          <w:bCs/>
          <w:kern w:val="36"/>
        </w:rPr>
        <w:t xml:space="preserve"> és </w:t>
      </w:r>
      <w:r w:rsidR="00092D36">
        <w:rPr>
          <w:rFonts w:ascii="Arial" w:hAnsi="Arial" w:cs="Arial"/>
          <w:bCs/>
          <w:kern w:val="36"/>
        </w:rPr>
        <w:t>14</w:t>
      </w:r>
      <w:r w:rsidR="006848CC">
        <w:rPr>
          <w:rFonts w:ascii="Arial" w:hAnsi="Arial" w:cs="Arial"/>
          <w:bCs/>
          <w:kern w:val="36"/>
        </w:rPr>
        <w:t>–</w:t>
      </w:r>
      <w:r w:rsidR="00092D36">
        <w:rPr>
          <w:rFonts w:ascii="Arial" w:hAnsi="Arial" w:cs="Arial"/>
          <w:bCs/>
          <w:kern w:val="36"/>
        </w:rPr>
        <w:t>17. sorában,</w:t>
      </w:r>
      <w:r w:rsidR="000241B6">
        <w:rPr>
          <w:rFonts w:ascii="Arial" w:hAnsi="Arial" w:cs="Arial"/>
          <w:bCs/>
          <w:kern w:val="36"/>
        </w:rPr>
        <w:t xml:space="preserve"> </w:t>
      </w:r>
    </w:p>
    <w:p w14:paraId="6EB2D195" w14:textId="30C32361" w:rsidR="002411D3" w:rsidRPr="006457B7" w:rsidRDefault="002411D3" w:rsidP="006848CC">
      <w:pPr>
        <w:autoSpaceDE w:val="0"/>
        <w:autoSpaceDN w:val="0"/>
        <w:adjustRightInd w:val="0"/>
        <w:ind w:firstLine="142"/>
        <w:jc w:val="both"/>
        <w:rPr>
          <w:rFonts w:ascii="Arial" w:hAnsi="Arial" w:cs="Arial"/>
          <w:bCs/>
          <w:kern w:val="36"/>
        </w:rPr>
      </w:pPr>
      <w:r w:rsidRPr="006457B7">
        <w:rPr>
          <w:rFonts w:ascii="Arial" w:hAnsi="Arial" w:cs="Arial"/>
          <w:bCs/>
        </w:rPr>
        <w:t>meghatározott</w:t>
      </w:r>
      <w:r w:rsidRPr="006457B7">
        <w:rPr>
          <w:rFonts w:ascii="Arial" w:hAnsi="Arial" w:cs="Arial"/>
          <w:bCs/>
          <w:kern w:val="36"/>
        </w:rPr>
        <w:t xml:space="preserve"> </w:t>
      </w:r>
      <w:r w:rsidR="009A02C3">
        <w:rPr>
          <w:rFonts w:ascii="Arial" w:hAnsi="Arial" w:cs="Arial"/>
          <w:bCs/>
          <w:kern w:val="36"/>
        </w:rPr>
        <w:t xml:space="preserve">negyedéves gyakoriságú </w:t>
      </w:r>
      <w:r w:rsidRPr="006457B7">
        <w:rPr>
          <w:rFonts w:ascii="Arial" w:hAnsi="Arial" w:cs="Arial"/>
          <w:bCs/>
          <w:kern w:val="36"/>
        </w:rPr>
        <w:t xml:space="preserve">felügyeleti jelentést első alkalommal </w:t>
      </w:r>
      <w:r w:rsidR="00326C91" w:rsidRPr="006457B7">
        <w:rPr>
          <w:rFonts w:ascii="Arial" w:hAnsi="Arial" w:cs="Arial"/>
          <w:bCs/>
          <w:kern w:val="36"/>
        </w:rPr>
        <w:t>2025</w:t>
      </w:r>
      <w:r w:rsidRPr="006457B7">
        <w:rPr>
          <w:rFonts w:ascii="Arial" w:hAnsi="Arial" w:cs="Arial"/>
          <w:bCs/>
          <w:kern w:val="36"/>
        </w:rPr>
        <w:t xml:space="preserve">. </w:t>
      </w:r>
      <w:r w:rsidR="00C6602A" w:rsidRPr="006457B7">
        <w:rPr>
          <w:rFonts w:ascii="Arial" w:hAnsi="Arial" w:cs="Arial"/>
          <w:bCs/>
          <w:kern w:val="36"/>
        </w:rPr>
        <w:t>IV. negyedévre</w:t>
      </w:r>
      <w:r w:rsidRPr="006457B7">
        <w:rPr>
          <w:rFonts w:ascii="Arial" w:hAnsi="Arial" w:cs="Arial"/>
          <w:bCs/>
          <w:kern w:val="36"/>
        </w:rPr>
        <w:t xml:space="preserve"> mint tárgyidőszakra vonatkozóan teljesíti.</w:t>
      </w:r>
    </w:p>
    <w:p w14:paraId="7BFC75D0" w14:textId="11567A16" w:rsidR="006457B7" w:rsidRDefault="00E22AED" w:rsidP="008B07DF">
      <w:pPr>
        <w:autoSpaceDE w:val="0"/>
        <w:autoSpaceDN w:val="0"/>
        <w:adjustRightInd w:val="0"/>
        <w:ind w:firstLine="142"/>
        <w:jc w:val="both"/>
        <w:rPr>
          <w:rFonts w:ascii="Arial" w:hAnsi="Arial" w:cs="Arial"/>
          <w:bCs/>
          <w:kern w:val="36"/>
        </w:rPr>
      </w:pPr>
      <w:bookmarkStart w:id="5" w:name="_Hlk14248405"/>
      <w:r w:rsidRPr="006457B7">
        <w:rPr>
          <w:rFonts w:ascii="Arial" w:hAnsi="Arial" w:cs="Arial"/>
          <w:bCs/>
          <w:kern w:val="36"/>
        </w:rPr>
        <w:t>(</w:t>
      </w:r>
      <w:r w:rsidR="002411D3" w:rsidRPr="006457B7">
        <w:rPr>
          <w:rFonts w:ascii="Arial" w:hAnsi="Arial" w:cs="Arial"/>
          <w:bCs/>
          <w:kern w:val="36"/>
        </w:rPr>
        <w:t>3</w:t>
      </w:r>
      <w:r w:rsidRPr="006457B7">
        <w:rPr>
          <w:rFonts w:ascii="Arial" w:hAnsi="Arial" w:cs="Arial"/>
          <w:bCs/>
          <w:kern w:val="36"/>
        </w:rPr>
        <w:t xml:space="preserve">) Az adatszolgáltató </w:t>
      </w:r>
    </w:p>
    <w:p w14:paraId="448B3295" w14:textId="4D6F61DB" w:rsidR="006457B7" w:rsidRDefault="006457B7" w:rsidP="008B07DF">
      <w:pPr>
        <w:autoSpaceDE w:val="0"/>
        <w:autoSpaceDN w:val="0"/>
        <w:adjustRightInd w:val="0"/>
        <w:ind w:firstLine="142"/>
        <w:jc w:val="both"/>
        <w:rPr>
          <w:rFonts w:ascii="Arial" w:hAnsi="Arial" w:cs="Arial"/>
          <w:bCs/>
          <w:kern w:val="36"/>
        </w:rPr>
      </w:pPr>
      <w:r>
        <w:rPr>
          <w:rFonts w:ascii="Arial" w:hAnsi="Arial" w:cs="Arial"/>
          <w:bCs/>
          <w:kern w:val="36"/>
        </w:rPr>
        <w:lastRenderedPageBreak/>
        <w:t xml:space="preserve">a) </w:t>
      </w:r>
      <w:r w:rsidR="00E93B7D" w:rsidRPr="006457B7">
        <w:rPr>
          <w:rFonts w:ascii="Arial" w:hAnsi="Arial" w:cs="Arial"/>
          <w:bCs/>
          <w:kern w:val="36"/>
        </w:rPr>
        <w:t>a 2. melléklet „ÖSSZEFOGLALÓ TÁBLA EGYEDI JELENTÉSEK” megnevezésű táblázat</w:t>
      </w:r>
      <w:r w:rsidR="007A12CA">
        <w:rPr>
          <w:rFonts w:ascii="Arial" w:hAnsi="Arial" w:cs="Arial"/>
          <w:bCs/>
          <w:kern w:val="36"/>
        </w:rPr>
        <w:t xml:space="preserve"> </w:t>
      </w:r>
      <w:r w:rsidR="007A12CA" w:rsidRPr="006848CC">
        <w:rPr>
          <w:rFonts w:ascii="Arial" w:hAnsi="Arial" w:cs="Arial"/>
          <w:bCs/>
          <w:kern w:val="36"/>
        </w:rPr>
        <w:t>41.,</w:t>
      </w:r>
      <w:r w:rsidR="00E93B7D" w:rsidRPr="006848CC">
        <w:rPr>
          <w:rFonts w:ascii="Arial" w:hAnsi="Arial" w:cs="Arial"/>
          <w:bCs/>
          <w:kern w:val="36"/>
        </w:rPr>
        <w:t xml:space="preserve"> </w:t>
      </w:r>
      <w:r w:rsidR="00960E22" w:rsidRPr="006848CC">
        <w:rPr>
          <w:rFonts w:ascii="Arial" w:hAnsi="Arial" w:cs="Arial"/>
          <w:bCs/>
          <w:kern w:val="36"/>
        </w:rPr>
        <w:t xml:space="preserve">55. </w:t>
      </w:r>
      <w:r w:rsidRPr="006848CC">
        <w:rPr>
          <w:rFonts w:ascii="Arial" w:hAnsi="Arial" w:cs="Arial"/>
          <w:bCs/>
          <w:kern w:val="36"/>
        </w:rPr>
        <w:t>és</w:t>
      </w:r>
      <w:r w:rsidRPr="006457B7">
        <w:rPr>
          <w:rFonts w:ascii="Arial" w:hAnsi="Arial" w:cs="Arial"/>
          <w:bCs/>
          <w:kern w:val="36"/>
        </w:rPr>
        <w:t xml:space="preserve"> 73. </w:t>
      </w:r>
      <w:r w:rsidR="00AB0AB4" w:rsidRPr="006457B7">
        <w:rPr>
          <w:rFonts w:ascii="Arial" w:hAnsi="Arial" w:cs="Arial"/>
          <w:bCs/>
          <w:kern w:val="36"/>
        </w:rPr>
        <w:t>sor</w:t>
      </w:r>
      <w:r w:rsidR="0089155F" w:rsidRPr="006457B7">
        <w:rPr>
          <w:rFonts w:ascii="Arial" w:hAnsi="Arial" w:cs="Arial"/>
          <w:bCs/>
          <w:kern w:val="36"/>
        </w:rPr>
        <w:t>ában</w:t>
      </w:r>
      <w:r>
        <w:rPr>
          <w:rFonts w:ascii="Arial" w:hAnsi="Arial" w:cs="Arial"/>
          <w:bCs/>
          <w:kern w:val="36"/>
        </w:rPr>
        <w:t>,</w:t>
      </w:r>
    </w:p>
    <w:p w14:paraId="0F272B10" w14:textId="3B6A8423" w:rsidR="00CA08F2" w:rsidRPr="00C272EB" w:rsidRDefault="00CA08F2" w:rsidP="008B07DF">
      <w:pPr>
        <w:autoSpaceDE w:val="0"/>
        <w:autoSpaceDN w:val="0"/>
        <w:adjustRightInd w:val="0"/>
        <w:ind w:firstLine="142"/>
        <w:jc w:val="both"/>
        <w:rPr>
          <w:rFonts w:ascii="Arial" w:hAnsi="Arial" w:cs="Arial"/>
          <w:bCs/>
          <w:kern w:val="36"/>
        </w:rPr>
      </w:pPr>
      <w:r w:rsidRPr="00C272EB">
        <w:rPr>
          <w:rFonts w:ascii="Arial" w:hAnsi="Arial" w:cs="Arial"/>
          <w:bCs/>
          <w:kern w:val="36"/>
        </w:rPr>
        <w:t>b) a 4. melléklet „ÖSSZEFOGLALÓ TÁBLA” megnevezésű táblázat 33. sorában,</w:t>
      </w:r>
    </w:p>
    <w:p w14:paraId="7B95F6B1" w14:textId="4E5E2EF6" w:rsidR="00CA08F2" w:rsidRDefault="00CA08F2" w:rsidP="008B07DF">
      <w:pPr>
        <w:autoSpaceDE w:val="0"/>
        <w:autoSpaceDN w:val="0"/>
        <w:adjustRightInd w:val="0"/>
        <w:ind w:firstLine="142"/>
        <w:jc w:val="both"/>
        <w:rPr>
          <w:rFonts w:ascii="Arial" w:hAnsi="Arial" w:cs="Arial"/>
          <w:bCs/>
          <w:kern w:val="36"/>
        </w:rPr>
      </w:pPr>
      <w:r w:rsidRPr="00C272EB">
        <w:rPr>
          <w:rFonts w:ascii="Arial" w:hAnsi="Arial" w:cs="Arial"/>
          <w:bCs/>
          <w:kern w:val="36"/>
        </w:rPr>
        <w:t>c) a 8. melléklet „ÖSSZEFOGLALÓ TÁBLA” megnevezésű táblázat 21. sorában,</w:t>
      </w:r>
    </w:p>
    <w:p w14:paraId="449C4058" w14:textId="0C742D6E" w:rsidR="00C356D2" w:rsidRPr="006457B7" w:rsidRDefault="00CA08F2" w:rsidP="008B07DF">
      <w:pPr>
        <w:autoSpaceDE w:val="0"/>
        <w:autoSpaceDN w:val="0"/>
        <w:adjustRightInd w:val="0"/>
        <w:ind w:firstLine="142"/>
        <w:jc w:val="both"/>
        <w:rPr>
          <w:rFonts w:ascii="Arial" w:hAnsi="Arial" w:cs="Arial"/>
          <w:bCs/>
          <w:kern w:val="36"/>
        </w:rPr>
      </w:pPr>
      <w:r>
        <w:rPr>
          <w:rFonts w:ascii="Arial" w:hAnsi="Arial" w:cs="Arial"/>
          <w:bCs/>
          <w:kern w:val="36"/>
        </w:rPr>
        <w:t>d</w:t>
      </w:r>
      <w:r w:rsidR="006457B7">
        <w:rPr>
          <w:rFonts w:ascii="Arial" w:hAnsi="Arial" w:cs="Arial"/>
          <w:bCs/>
          <w:kern w:val="36"/>
        </w:rPr>
        <w:t xml:space="preserve">) a 25. melléklet </w:t>
      </w:r>
      <w:r w:rsidR="006457B7" w:rsidRPr="006457B7">
        <w:rPr>
          <w:rFonts w:ascii="Arial" w:hAnsi="Arial" w:cs="Arial"/>
          <w:bCs/>
          <w:kern w:val="36"/>
        </w:rPr>
        <w:t>„ÖSSZEFOGLALÓ TÁBLA” megnevezésű táblázat</w:t>
      </w:r>
      <w:r w:rsidR="006457B7">
        <w:rPr>
          <w:rFonts w:ascii="Arial" w:hAnsi="Arial" w:cs="Arial"/>
          <w:bCs/>
          <w:kern w:val="36"/>
        </w:rPr>
        <w:t xml:space="preserve"> </w:t>
      </w:r>
      <w:r w:rsidR="006457B7" w:rsidRPr="00BE6CA1">
        <w:rPr>
          <w:rFonts w:ascii="Arial" w:hAnsi="Arial" w:cs="Arial"/>
          <w:bCs/>
          <w:kern w:val="36"/>
        </w:rPr>
        <w:t>5</w:t>
      </w:r>
      <w:r w:rsidR="009E1991" w:rsidRPr="00BE6CA1">
        <w:rPr>
          <w:rFonts w:ascii="Arial" w:hAnsi="Arial" w:cs="Arial"/>
          <w:bCs/>
          <w:kern w:val="36"/>
        </w:rPr>
        <w:t>. és 6.</w:t>
      </w:r>
      <w:r w:rsidR="006457B7" w:rsidRPr="00BE6CA1">
        <w:rPr>
          <w:rFonts w:ascii="Arial" w:hAnsi="Arial" w:cs="Arial"/>
          <w:bCs/>
          <w:kern w:val="36"/>
        </w:rPr>
        <w:t xml:space="preserve"> sorában</w:t>
      </w:r>
      <w:r w:rsidR="00960E22" w:rsidRPr="006457B7">
        <w:rPr>
          <w:rFonts w:ascii="Arial" w:hAnsi="Arial" w:cs="Arial"/>
          <w:bCs/>
          <w:kern w:val="36"/>
        </w:rPr>
        <w:t xml:space="preserve"> </w:t>
      </w:r>
      <w:r w:rsidR="00BD195E" w:rsidRPr="006457B7">
        <w:rPr>
          <w:rFonts w:ascii="Arial" w:hAnsi="Arial" w:cs="Arial"/>
          <w:bCs/>
        </w:rPr>
        <w:t>meghatározott</w:t>
      </w:r>
      <w:r w:rsidR="00AB0AB4" w:rsidRPr="006457B7">
        <w:rPr>
          <w:rFonts w:ascii="Arial" w:hAnsi="Arial" w:cs="Arial"/>
          <w:bCs/>
          <w:kern w:val="36"/>
        </w:rPr>
        <w:t xml:space="preserve"> </w:t>
      </w:r>
      <w:r w:rsidR="009A02C3">
        <w:rPr>
          <w:rFonts w:ascii="Arial" w:hAnsi="Arial" w:cs="Arial"/>
          <w:bCs/>
          <w:kern w:val="36"/>
        </w:rPr>
        <w:t xml:space="preserve">éves gyakoriságú </w:t>
      </w:r>
      <w:r w:rsidR="00AB0AB4" w:rsidRPr="006457B7">
        <w:rPr>
          <w:rFonts w:ascii="Arial" w:hAnsi="Arial" w:cs="Arial"/>
          <w:bCs/>
          <w:kern w:val="36"/>
        </w:rPr>
        <w:t>felügyeleti jelentést</w:t>
      </w:r>
      <w:r w:rsidR="00640091" w:rsidRPr="006457B7">
        <w:rPr>
          <w:rFonts w:ascii="Arial" w:hAnsi="Arial" w:cs="Arial"/>
          <w:bCs/>
          <w:kern w:val="36"/>
        </w:rPr>
        <w:t xml:space="preserve"> </w:t>
      </w:r>
      <w:r w:rsidR="00AB0AB4" w:rsidRPr="006457B7">
        <w:rPr>
          <w:rFonts w:ascii="Arial" w:hAnsi="Arial" w:cs="Arial"/>
          <w:bCs/>
          <w:kern w:val="36"/>
        </w:rPr>
        <w:t xml:space="preserve">első alkalommal </w:t>
      </w:r>
      <w:r w:rsidR="006457B7" w:rsidRPr="006457B7">
        <w:rPr>
          <w:rFonts w:ascii="Arial" w:hAnsi="Arial" w:cs="Arial"/>
          <w:bCs/>
          <w:kern w:val="36"/>
        </w:rPr>
        <w:t>2025</w:t>
      </w:r>
      <w:r w:rsidR="00640091" w:rsidRPr="006457B7">
        <w:rPr>
          <w:rFonts w:ascii="Arial" w:hAnsi="Arial" w:cs="Arial"/>
          <w:bCs/>
          <w:kern w:val="36"/>
        </w:rPr>
        <w:t>.</w:t>
      </w:r>
      <w:r w:rsidR="00D87E45" w:rsidRPr="006457B7">
        <w:rPr>
          <w:rFonts w:ascii="Arial" w:hAnsi="Arial" w:cs="Arial"/>
          <w:bCs/>
          <w:kern w:val="36"/>
        </w:rPr>
        <w:t xml:space="preserve"> évre mint tárgyidőszakra vonatkozóan</w:t>
      </w:r>
      <w:r w:rsidR="00AB0AB4" w:rsidRPr="006457B7">
        <w:rPr>
          <w:rFonts w:ascii="Arial" w:hAnsi="Arial" w:cs="Arial"/>
          <w:bCs/>
          <w:kern w:val="36"/>
        </w:rPr>
        <w:t xml:space="preserve"> teljesíti. </w:t>
      </w:r>
    </w:p>
    <w:p w14:paraId="773741CC" w14:textId="662BFDF2" w:rsidR="000241B6" w:rsidRPr="00300E88" w:rsidRDefault="00FA037F" w:rsidP="008B07DF">
      <w:pPr>
        <w:autoSpaceDE w:val="0"/>
        <w:autoSpaceDN w:val="0"/>
        <w:adjustRightInd w:val="0"/>
        <w:ind w:firstLine="142"/>
        <w:jc w:val="both"/>
        <w:rPr>
          <w:rFonts w:ascii="Arial" w:hAnsi="Arial" w:cs="Arial"/>
          <w:bCs/>
          <w:kern w:val="36"/>
        </w:rPr>
      </w:pPr>
      <w:r w:rsidRPr="00300E88">
        <w:rPr>
          <w:rFonts w:ascii="Arial" w:hAnsi="Arial" w:cs="Arial"/>
          <w:bCs/>
          <w:kern w:val="36"/>
        </w:rPr>
        <w:t>(4) Az adatszolgáltató</w:t>
      </w:r>
    </w:p>
    <w:p w14:paraId="4408F956" w14:textId="0A58AE46" w:rsidR="000241B6" w:rsidRPr="00300E88" w:rsidRDefault="00FA037F" w:rsidP="008B07DF">
      <w:pPr>
        <w:autoSpaceDE w:val="0"/>
        <w:autoSpaceDN w:val="0"/>
        <w:adjustRightInd w:val="0"/>
        <w:ind w:firstLine="142"/>
        <w:jc w:val="both"/>
        <w:rPr>
          <w:rFonts w:ascii="Arial" w:hAnsi="Arial" w:cs="Arial"/>
        </w:rPr>
      </w:pPr>
      <w:r w:rsidRPr="00300E88">
        <w:rPr>
          <w:rFonts w:ascii="Arial" w:hAnsi="Arial" w:cs="Arial"/>
          <w:bCs/>
          <w:kern w:val="36"/>
        </w:rPr>
        <w:t>a) a 6. melléklet „ÖSSZEFOGLALÓ TÁBLA” megnevezésű táblázat 9., 12. és 13. sorában</w:t>
      </w:r>
      <w:r w:rsidR="00ED3FBA" w:rsidRPr="00300E88">
        <w:rPr>
          <w:rFonts w:ascii="Arial" w:hAnsi="Arial" w:cs="Arial"/>
        </w:rPr>
        <w:t>,</w:t>
      </w:r>
    </w:p>
    <w:p w14:paraId="0280BCF8" w14:textId="77777777" w:rsidR="006848CC" w:rsidRPr="00300E88" w:rsidRDefault="00ED3FBA" w:rsidP="008B07DF">
      <w:pPr>
        <w:autoSpaceDE w:val="0"/>
        <w:autoSpaceDN w:val="0"/>
        <w:adjustRightInd w:val="0"/>
        <w:ind w:firstLine="142"/>
        <w:jc w:val="both"/>
        <w:rPr>
          <w:rFonts w:ascii="Arial" w:hAnsi="Arial" w:cs="Arial"/>
        </w:rPr>
      </w:pPr>
      <w:r w:rsidRPr="00300E88">
        <w:rPr>
          <w:rFonts w:ascii="Arial" w:hAnsi="Arial" w:cs="Arial"/>
        </w:rPr>
        <w:t xml:space="preserve">b) a 12. mellékletben </w:t>
      </w:r>
    </w:p>
    <w:p w14:paraId="5C3E4E4C" w14:textId="21CA6EB6" w:rsidR="00ED3FBA" w:rsidRPr="00300E88" w:rsidRDefault="00ED3FBA" w:rsidP="008B07DF">
      <w:pPr>
        <w:autoSpaceDE w:val="0"/>
        <w:autoSpaceDN w:val="0"/>
        <w:adjustRightInd w:val="0"/>
        <w:ind w:firstLine="142"/>
        <w:jc w:val="both"/>
        <w:rPr>
          <w:rFonts w:ascii="Arial" w:hAnsi="Arial" w:cs="Arial"/>
          <w:bCs/>
          <w:kern w:val="36"/>
        </w:rPr>
      </w:pPr>
      <w:r w:rsidRPr="00300E88">
        <w:rPr>
          <w:rFonts w:ascii="Arial" w:hAnsi="Arial" w:cs="Arial"/>
        </w:rPr>
        <w:t>meg</w:t>
      </w:r>
      <w:r w:rsidRPr="00300E88">
        <w:rPr>
          <w:rFonts w:ascii="Arial" w:hAnsi="Arial" w:cs="Arial"/>
          <w:bCs/>
          <w:kern w:val="36"/>
        </w:rPr>
        <w:t xml:space="preserve">határozott felügyeleti jelentést első alkalommal a tevékenység megkezdésétől a 2025. december 31-ig terjedő időszakra </w:t>
      </w:r>
      <w:r w:rsidR="003A06DE">
        <w:rPr>
          <w:rFonts w:ascii="Arial" w:hAnsi="Arial" w:cs="Arial"/>
          <w:bCs/>
          <w:kern w:val="36"/>
        </w:rPr>
        <w:t xml:space="preserve">mint tárgyidőszakra </w:t>
      </w:r>
      <w:r w:rsidRPr="00300E88">
        <w:rPr>
          <w:rFonts w:ascii="Arial" w:hAnsi="Arial" w:cs="Arial"/>
          <w:bCs/>
          <w:kern w:val="36"/>
        </w:rPr>
        <w:t>vonatkozóan</w:t>
      </w:r>
      <w:r w:rsidR="00B061EE">
        <w:rPr>
          <w:rFonts w:ascii="Arial" w:hAnsi="Arial" w:cs="Arial"/>
          <w:bCs/>
          <w:kern w:val="36"/>
        </w:rPr>
        <w:t xml:space="preserve"> </w:t>
      </w:r>
      <w:r w:rsidRPr="00300E88">
        <w:rPr>
          <w:rFonts w:ascii="Arial" w:hAnsi="Arial" w:cs="Arial"/>
          <w:bCs/>
          <w:kern w:val="36"/>
        </w:rPr>
        <w:t>teljesíti.</w:t>
      </w:r>
    </w:p>
    <w:p w14:paraId="7D65A1F7" w14:textId="47F61442" w:rsidR="001434A2" w:rsidRPr="00581EEB" w:rsidRDefault="001434A2" w:rsidP="008B07DF">
      <w:pPr>
        <w:autoSpaceDE w:val="0"/>
        <w:autoSpaceDN w:val="0"/>
        <w:adjustRightInd w:val="0"/>
        <w:ind w:firstLine="142"/>
        <w:jc w:val="both"/>
        <w:rPr>
          <w:rFonts w:ascii="Arial" w:hAnsi="Arial" w:cs="Arial"/>
          <w:bCs/>
          <w:kern w:val="36"/>
        </w:rPr>
      </w:pPr>
      <w:r w:rsidRPr="00300E88">
        <w:rPr>
          <w:rFonts w:ascii="Arial" w:hAnsi="Arial" w:cs="Arial"/>
          <w:bCs/>
          <w:kern w:val="36"/>
        </w:rPr>
        <w:t>(</w:t>
      </w:r>
      <w:r w:rsidR="00ED3FBA" w:rsidRPr="00300E88">
        <w:rPr>
          <w:rFonts w:ascii="Arial" w:hAnsi="Arial" w:cs="Arial"/>
          <w:bCs/>
          <w:kern w:val="36"/>
        </w:rPr>
        <w:t>5</w:t>
      </w:r>
      <w:r w:rsidRPr="006457B7">
        <w:rPr>
          <w:rFonts w:ascii="Arial" w:hAnsi="Arial" w:cs="Arial"/>
          <w:bCs/>
          <w:kern w:val="36"/>
        </w:rPr>
        <w:t xml:space="preserve">) </w:t>
      </w:r>
      <w:r w:rsidRPr="006457B7">
        <w:rPr>
          <w:rFonts w:ascii="Arial" w:hAnsi="Arial" w:cs="Arial"/>
        </w:rPr>
        <w:t>Az adatszolgáltató a PEPP szöveges jelentést első alkalommal a PEPP regisztrációja évére mint tárgyidőszakra vonatkozóan teljesíti.</w:t>
      </w:r>
    </w:p>
    <w:bookmarkEnd w:id="5"/>
    <w:p w14:paraId="4F31501C" w14:textId="77777777" w:rsidR="00834CFF" w:rsidRDefault="00834CFF" w:rsidP="008B07DF">
      <w:pPr>
        <w:ind w:firstLine="142"/>
        <w:jc w:val="both"/>
        <w:rPr>
          <w:rFonts w:ascii="Arial" w:hAnsi="Arial" w:cs="Arial"/>
          <w:b/>
        </w:rPr>
      </w:pPr>
    </w:p>
    <w:p w14:paraId="7679180A" w14:textId="7825CE2B" w:rsidR="00590A51" w:rsidRDefault="00793640" w:rsidP="008B07DF">
      <w:pPr>
        <w:ind w:firstLine="142"/>
        <w:jc w:val="both"/>
        <w:rPr>
          <w:rFonts w:ascii="Arial" w:hAnsi="Arial" w:cs="Arial"/>
          <w:iCs/>
        </w:rPr>
      </w:pPr>
      <w:r>
        <w:rPr>
          <w:rFonts w:ascii="Arial" w:hAnsi="Arial" w:cs="Arial"/>
          <w:b/>
        </w:rPr>
        <w:t>22</w:t>
      </w:r>
      <w:r w:rsidR="00881DCC" w:rsidRPr="00593B90">
        <w:rPr>
          <w:rFonts w:ascii="Arial" w:hAnsi="Arial" w:cs="Arial"/>
          <w:b/>
        </w:rPr>
        <w:t>. §</w:t>
      </w:r>
      <w:r w:rsidR="00881DCC">
        <w:rPr>
          <w:rFonts w:ascii="Arial" w:hAnsi="Arial" w:cs="Arial"/>
        </w:rPr>
        <w:t xml:space="preserve"> </w:t>
      </w:r>
      <w:r w:rsidR="00242BFE">
        <w:rPr>
          <w:rFonts w:ascii="Arial" w:hAnsi="Arial" w:cs="Arial"/>
        </w:rPr>
        <w:t>(1) E rendelet</w:t>
      </w:r>
      <w:r w:rsidR="009017FC">
        <w:rPr>
          <w:rFonts w:ascii="Arial" w:hAnsi="Arial" w:cs="Arial"/>
        </w:rPr>
        <w:t xml:space="preserve"> 3.</w:t>
      </w:r>
      <w:r w:rsidR="0007693B">
        <w:rPr>
          <w:rFonts w:ascii="Arial" w:hAnsi="Arial" w:cs="Arial"/>
        </w:rPr>
        <w:t xml:space="preserve"> melléklet </w:t>
      </w:r>
      <w:r w:rsidR="00153410" w:rsidRPr="00793640">
        <w:rPr>
          <w:rFonts w:ascii="Arial" w:hAnsi="Arial" w:cs="Arial"/>
        </w:rPr>
        <w:t xml:space="preserve">II. </w:t>
      </w:r>
      <w:r w:rsidR="00485AE0" w:rsidRPr="00793640">
        <w:rPr>
          <w:rFonts w:ascii="Arial" w:hAnsi="Arial" w:cs="Arial"/>
        </w:rPr>
        <w:t xml:space="preserve">pont </w:t>
      </w:r>
      <w:r w:rsidRPr="00793640">
        <w:rPr>
          <w:rFonts w:ascii="Arial" w:hAnsi="Arial" w:cs="Arial"/>
        </w:rPr>
        <w:t>62</w:t>
      </w:r>
      <w:r w:rsidR="00153410" w:rsidRPr="00793640">
        <w:rPr>
          <w:rFonts w:ascii="Arial" w:hAnsi="Arial" w:cs="Arial"/>
        </w:rPr>
        <w:t>.</w:t>
      </w:r>
      <w:r w:rsidR="00C572F2" w:rsidRPr="00793640">
        <w:rPr>
          <w:rFonts w:ascii="Arial" w:hAnsi="Arial" w:cs="Arial"/>
        </w:rPr>
        <w:t xml:space="preserve"> és </w:t>
      </w:r>
      <w:r w:rsidRPr="00793640">
        <w:rPr>
          <w:rFonts w:ascii="Arial" w:hAnsi="Arial" w:cs="Arial"/>
        </w:rPr>
        <w:t>63</w:t>
      </w:r>
      <w:r w:rsidR="00C572F2" w:rsidRPr="00793640">
        <w:rPr>
          <w:rFonts w:ascii="Arial" w:hAnsi="Arial" w:cs="Arial"/>
        </w:rPr>
        <w:t>.</w:t>
      </w:r>
      <w:r w:rsidR="00153410" w:rsidRPr="00793640">
        <w:rPr>
          <w:rFonts w:ascii="Arial" w:hAnsi="Arial" w:cs="Arial"/>
        </w:rPr>
        <w:t xml:space="preserve"> </w:t>
      </w:r>
      <w:r w:rsidR="00485AE0" w:rsidRPr="00793640">
        <w:rPr>
          <w:rFonts w:ascii="Arial" w:hAnsi="Arial" w:cs="Arial"/>
        </w:rPr>
        <w:t>al</w:t>
      </w:r>
      <w:r w:rsidR="00153410" w:rsidRPr="00793640">
        <w:rPr>
          <w:rFonts w:ascii="Arial" w:hAnsi="Arial" w:cs="Arial"/>
        </w:rPr>
        <w:t>pontja</w:t>
      </w:r>
      <w:r w:rsidR="00153410">
        <w:rPr>
          <w:rFonts w:ascii="Arial" w:hAnsi="Arial" w:cs="Arial"/>
        </w:rPr>
        <w:t xml:space="preserve"> a </w:t>
      </w:r>
      <w:r w:rsidR="00153410" w:rsidRPr="009B7153">
        <w:rPr>
          <w:rFonts w:ascii="Arial" w:hAnsi="Arial" w:cs="Arial"/>
          <w:iCs/>
        </w:rPr>
        <w:t>fedezett kötvények kibocsátásáról és a fedezett kötvények közfelügyeletéről, továbbá a 2009/65/EK és a 2014/59/EU irányelv módosításáról szóló 2019. november 27-i (EU) 2019/2162 európai parlamenti és tanácsi irányelv 21. cikké</w:t>
      </w:r>
      <w:r w:rsidR="00590A51">
        <w:rPr>
          <w:rFonts w:ascii="Arial" w:hAnsi="Arial" w:cs="Arial"/>
          <w:iCs/>
        </w:rPr>
        <w:t>nek való megfelelést szolgálja.</w:t>
      </w:r>
    </w:p>
    <w:p w14:paraId="3F9DF3B0" w14:textId="54BD1FC8" w:rsidR="00D86E5F" w:rsidRDefault="00242BFE" w:rsidP="008B07DF">
      <w:pPr>
        <w:ind w:firstLine="142"/>
        <w:jc w:val="both"/>
        <w:rPr>
          <w:rFonts w:ascii="Arial" w:hAnsi="Arial" w:cs="Arial"/>
        </w:rPr>
      </w:pPr>
      <w:r>
        <w:rPr>
          <w:rFonts w:ascii="Arial" w:hAnsi="Arial" w:cs="Arial"/>
        </w:rPr>
        <w:t xml:space="preserve">(2) </w:t>
      </w:r>
      <w:r w:rsidR="00881DCC">
        <w:rPr>
          <w:rFonts w:ascii="Arial" w:hAnsi="Arial" w:cs="Arial"/>
        </w:rPr>
        <w:t>E rendelet</w:t>
      </w:r>
    </w:p>
    <w:p w14:paraId="18EA1F5A" w14:textId="02557BC2" w:rsidR="00D86E5F" w:rsidRDefault="00BE425D" w:rsidP="008B07DF">
      <w:pPr>
        <w:ind w:firstLine="142"/>
        <w:jc w:val="both"/>
        <w:rPr>
          <w:rFonts w:ascii="Arial" w:hAnsi="Arial" w:cs="Arial"/>
        </w:rPr>
      </w:pPr>
      <w:r>
        <w:rPr>
          <w:rFonts w:ascii="Arial" w:hAnsi="Arial" w:cs="Arial"/>
        </w:rPr>
        <w:t>1</w:t>
      </w:r>
      <w:r w:rsidR="0084797F">
        <w:rPr>
          <w:rFonts w:ascii="Arial" w:hAnsi="Arial" w:cs="Arial"/>
        </w:rPr>
        <w:t xml:space="preserve">. </w:t>
      </w:r>
      <w:r w:rsidR="002672A8">
        <w:rPr>
          <w:rFonts w:ascii="Arial" w:hAnsi="Arial" w:cs="Arial"/>
        </w:rPr>
        <w:t>15</w:t>
      </w:r>
      <w:r w:rsidR="00D86E5F" w:rsidRPr="00AC0DCD">
        <w:rPr>
          <w:rFonts w:ascii="Arial" w:hAnsi="Arial" w:cs="Arial"/>
        </w:rPr>
        <w:t>. § (</w:t>
      </w:r>
      <w:r w:rsidR="00D86E5F">
        <w:rPr>
          <w:rFonts w:ascii="Arial" w:hAnsi="Arial" w:cs="Arial"/>
        </w:rPr>
        <w:t>1</w:t>
      </w:r>
      <w:r w:rsidR="00D86E5F" w:rsidRPr="00AC0DCD">
        <w:rPr>
          <w:rFonts w:ascii="Arial" w:hAnsi="Arial" w:cs="Arial"/>
        </w:rPr>
        <w:t xml:space="preserve">) bekezdésében </w:t>
      </w:r>
      <w:r w:rsidR="00D86E5F">
        <w:rPr>
          <w:rFonts w:ascii="Arial" w:hAnsi="Arial" w:cs="Arial"/>
        </w:rPr>
        <w:t xml:space="preserve">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00D86E5F" w:rsidRPr="00160B57">
        <w:rPr>
          <w:rFonts w:ascii="Arial" w:hAnsi="Arial" w:cs="Arial"/>
        </w:rPr>
        <w:t>20</w:t>
      </w:r>
      <w:r w:rsidR="00D86E5F">
        <w:rPr>
          <w:rFonts w:ascii="Arial" w:hAnsi="Arial" w:cs="Arial"/>
        </w:rPr>
        <w:t>2</w:t>
      </w:r>
      <w:r w:rsidR="00D86E5F" w:rsidRPr="00160B57">
        <w:rPr>
          <w:rFonts w:ascii="Arial" w:hAnsi="Arial" w:cs="Arial"/>
        </w:rPr>
        <w:t>1/</w:t>
      </w:r>
      <w:r w:rsidR="00D86E5F">
        <w:rPr>
          <w:rFonts w:ascii="Arial" w:hAnsi="Arial" w:cs="Arial"/>
        </w:rPr>
        <w:t>897</w:t>
      </w:r>
      <w:r w:rsidR="00D86E5F" w:rsidRPr="00160B57">
        <w:rPr>
          <w:rFonts w:ascii="Arial" w:hAnsi="Arial" w:cs="Arial"/>
        </w:rPr>
        <w:t xml:space="preserve"> bizottsági végrehajtási</w:t>
      </w:r>
      <w:r w:rsidR="00D86E5F">
        <w:rPr>
          <w:rFonts w:ascii="Arial" w:hAnsi="Arial" w:cs="Arial"/>
        </w:rPr>
        <w:t xml:space="preserve"> rendelet</w:t>
      </w:r>
      <w:r w:rsidR="00D86E5F" w:rsidRPr="00160B57">
        <w:rPr>
          <w:rFonts w:ascii="Arial" w:hAnsi="Arial" w:cs="Arial"/>
        </w:rPr>
        <w:t xml:space="preserve"> </w:t>
      </w:r>
      <w:r w:rsidR="00D86E5F">
        <w:rPr>
          <w:rFonts w:ascii="Arial" w:hAnsi="Arial" w:cs="Arial"/>
        </w:rPr>
        <w:t>3. cikke</w:t>
      </w:r>
      <w:r w:rsidR="009D609A">
        <w:rPr>
          <w:rFonts w:ascii="Arial" w:hAnsi="Arial" w:cs="Arial"/>
        </w:rPr>
        <w:t>,</w:t>
      </w:r>
      <w:r w:rsidR="00D86E5F">
        <w:rPr>
          <w:rFonts w:ascii="Arial" w:hAnsi="Arial" w:cs="Arial"/>
        </w:rPr>
        <w:t xml:space="preserve"> </w:t>
      </w:r>
    </w:p>
    <w:p w14:paraId="3AF0957F" w14:textId="46740E41" w:rsidR="00D86E5F" w:rsidRDefault="00BE425D" w:rsidP="008B07DF">
      <w:pPr>
        <w:ind w:firstLine="142"/>
        <w:jc w:val="both"/>
        <w:rPr>
          <w:rFonts w:ascii="Arial" w:hAnsi="Arial" w:cs="Arial"/>
        </w:rPr>
      </w:pPr>
      <w:r>
        <w:rPr>
          <w:rFonts w:ascii="Arial" w:hAnsi="Arial" w:cs="Arial"/>
        </w:rPr>
        <w:t>2</w:t>
      </w:r>
      <w:r w:rsidR="00D86E5F">
        <w:rPr>
          <w:rFonts w:ascii="Arial" w:hAnsi="Arial" w:cs="Arial"/>
        </w:rPr>
        <w:t xml:space="preserve">. </w:t>
      </w:r>
      <w:r w:rsidR="002672A8">
        <w:rPr>
          <w:rFonts w:ascii="Arial" w:hAnsi="Arial" w:cs="Arial"/>
        </w:rPr>
        <w:t>15</w:t>
      </w:r>
      <w:r w:rsidR="00D86E5F" w:rsidRPr="00AC0DCD">
        <w:rPr>
          <w:rFonts w:ascii="Arial" w:hAnsi="Arial" w:cs="Arial"/>
        </w:rPr>
        <w:t>. § (</w:t>
      </w:r>
      <w:r w:rsidR="00D86E5F">
        <w:rPr>
          <w:rFonts w:ascii="Arial" w:hAnsi="Arial" w:cs="Arial"/>
        </w:rPr>
        <w:t>2</w:t>
      </w:r>
      <w:r w:rsidR="00D86E5F" w:rsidRPr="00AC0DCD">
        <w:rPr>
          <w:rFonts w:ascii="Arial" w:hAnsi="Arial" w:cs="Arial"/>
        </w:rPr>
        <w:t>) bekezdésében</w:t>
      </w:r>
      <w:r w:rsidR="00D86E5F">
        <w:rPr>
          <w:rFonts w:ascii="Arial" w:hAnsi="Arial" w:cs="Arial"/>
        </w:rPr>
        <w:t xml:space="preserve">, </w:t>
      </w:r>
      <w:r w:rsidR="003D6886">
        <w:rPr>
          <w:rFonts w:ascii="Arial" w:hAnsi="Arial" w:cs="Arial"/>
        </w:rPr>
        <w:t>21. § (</w:t>
      </w:r>
      <w:r w:rsidR="00300E88">
        <w:rPr>
          <w:rFonts w:ascii="Arial" w:hAnsi="Arial" w:cs="Arial"/>
        </w:rPr>
        <w:t>5</w:t>
      </w:r>
      <w:r w:rsidR="003D6886">
        <w:rPr>
          <w:rFonts w:ascii="Arial" w:hAnsi="Arial" w:cs="Arial"/>
        </w:rPr>
        <w:t xml:space="preserve">) bekezdésében, </w:t>
      </w:r>
      <w:r w:rsidR="00D86E5F" w:rsidRPr="00AC0DCD">
        <w:rPr>
          <w:rFonts w:ascii="Arial" w:hAnsi="Arial" w:cs="Arial"/>
        </w:rPr>
        <w:t xml:space="preserve">valamint </w:t>
      </w:r>
      <w:r w:rsidR="002672A8">
        <w:rPr>
          <w:rFonts w:ascii="Arial" w:hAnsi="Arial" w:cs="Arial"/>
        </w:rPr>
        <w:t>24</w:t>
      </w:r>
      <w:r w:rsidR="00D86E5F">
        <w:rPr>
          <w:rFonts w:ascii="Arial" w:hAnsi="Arial" w:cs="Arial"/>
        </w:rPr>
        <w:t>.</w:t>
      </w:r>
      <w:r w:rsidR="00D86E5F" w:rsidRPr="00025A9F">
        <w:rPr>
          <w:rFonts w:ascii="Arial" w:hAnsi="Arial" w:cs="Arial"/>
        </w:rPr>
        <w:t xml:space="preserve"> melléklet</w:t>
      </w:r>
      <w:r w:rsidR="00D86E5F">
        <w:rPr>
          <w:rFonts w:ascii="Arial" w:hAnsi="Arial" w:cs="Arial"/>
        </w:rPr>
        <w:t>ében a páneurópai egyéni nyugdíjtermékről (PEPP) szóló 2019. június 20-i</w:t>
      </w:r>
      <w:r w:rsidR="00D86E5F" w:rsidRPr="00AC0DCD">
        <w:rPr>
          <w:rFonts w:ascii="Arial" w:hAnsi="Arial" w:cs="Arial"/>
        </w:rPr>
        <w:t xml:space="preserve"> (EU) </w:t>
      </w:r>
      <w:r w:rsidR="00D86E5F">
        <w:rPr>
          <w:rFonts w:ascii="Arial" w:hAnsi="Arial" w:cs="Arial"/>
        </w:rPr>
        <w:t xml:space="preserve">2019/1238 európai parlamenti és tanácsi </w:t>
      </w:r>
      <w:r w:rsidR="00D86E5F" w:rsidRPr="00AC0DCD">
        <w:rPr>
          <w:rFonts w:ascii="Arial" w:hAnsi="Arial" w:cs="Arial"/>
        </w:rPr>
        <w:t xml:space="preserve">rendelet </w:t>
      </w:r>
      <w:r w:rsidR="00D86E5F">
        <w:rPr>
          <w:rFonts w:ascii="Arial" w:hAnsi="Arial" w:cs="Arial"/>
        </w:rPr>
        <w:t>40. cikk (2) bekezdés a) pontja,</w:t>
      </w:r>
    </w:p>
    <w:p w14:paraId="18C248DC" w14:textId="4C901A04" w:rsidR="00793640" w:rsidRDefault="00A544CD" w:rsidP="008B07DF">
      <w:pPr>
        <w:ind w:firstLine="142"/>
        <w:jc w:val="both"/>
        <w:rPr>
          <w:rFonts w:ascii="Arial" w:hAnsi="Arial" w:cs="Arial"/>
          <w:bCs/>
        </w:rPr>
      </w:pPr>
      <w:r>
        <w:rPr>
          <w:rFonts w:ascii="Arial" w:hAnsi="Arial" w:cs="Arial"/>
        </w:rPr>
        <w:t>3</w:t>
      </w:r>
      <w:r w:rsidR="00793640">
        <w:rPr>
          <w:rFonts w:ascii="Arial" w:hAnsi="Arial" w:cs="Arial"/>
        </w:rPr>
        <w:t>. 16. §</w:t>
      </w:r>
      <w:r w:rsidR="00025AB3">
        <w:rPr>
          <w:rFonts w:ascii="Arial" w:hAnsi="Arial" w:cs="Arial"/>
        </w:rPr>
        <w:t>-ában</w:t>
      </w:r>
      <w:r w:rsidR="00793640">
        <w:rPr>
          <w:rFonts w:ascii="Arial" w:hAnsi="Arial" w:cs="Arial"/>
        </w:rPr>
        <w:t>, 18. § (1)</w:t>
      </w:r>
      <w:r w:rsidR="00EF3697">
        <w:rPr>
          <w:rFonts w:ascii="Arial" w:hAnsi="Arial" w:cs="Arial"/>
        </w:rPr>
        <w:t xml:space="preserve"> és</w:t>
      </w:r>
      <w:r w:rsidR="00793640">
        <w:rPr>
          <w:rFonts w:ascii="Arial" w:hAnsi="Arial" w:cs="Arial"/>
        </w:rPr>
        <w:t xml:space="preserve"> (3)</w:t>
      </w:r>
      <w:r w:rsidR="00025AB3">
        <w:rPr>
          <w:rFonts w:ascii="Arial" w:hAnsi="Arial" w:cs="Arial"/>
        </w:rPr>
        <w:t>–</w:t>
      </w:r>
      <w:r w:rsidR="00793640">
        <w:rPr>
          <w:rFonts w:ascii="Arial" w:hAnsi="Arial" w:cs="Arial"/>
        </w:rPr>
        <w:t>(</w:t>
      </w:r>
      <w:r w:rsidR="00025AB3">
        <w:rPr>
          <w:rFonts w:ascii="Arial" w:hAnsi="Arial" w:cs="Arial"/>
        </w:rPr>
        <w:t>5</w:t>
      </w:r>
      <w:r w:rsidR="00793640">
        <w:rPr>
          <w:rFonts w:ascii="Arial" w:hAnsi="Arial" w:cs="Arial"/>
        </w:rPr>
        <w:t xml:space="preserve">) bekezdésében, </w:t>
      </w:r>
      <w:r w:rsidR="00793640" w:rsidRPr="001A5DEF">
        <w:rPr>
          <w:rFonts w:ascii="Arial" w:hAnsi="Arial" w:cs="Arial"/>
        </w:rPr>
        <w:t xml:space="preserve">1. melléklet </w:t>
      </w:r>
      <w:r w:rsidR="00AC3AE7">
        <w:rPr>
          <w:rFonts w:ascii="Arial" w:hAnsi="Arial" w:cs="Arial"/>
        </w:rPr>
        <w:t>2</w:t>
      </w:r>
      <w:r w:rsidR="00793640">
        <w:rPr>
          <w:rFonts w:ascii="Arial" w:hAnsi="Arial" w:cs="Arial"/>
        </w:rPr>
        <w:t>.</w:t>
      </w:r>
      <w:r w:rsidR="00AC3AE7">
        <w:rPr>
          <w:rFonts w:ascii="Arial" w:hAnsi="Arial" w:cs="Arial"/>
        </w:rPr>
        <w:t>1</w:t>
      </w:r>
      <w:r w:rsidR="00A64089">
        <w:rPr>
          <w:rFonts w:ascii="Arial" w:hAnsi="Arial" w:cs="Arial"/>
        </w:rPr>
        <w:t>54</w:t>
      </w:r>
      <w:r w:rsidR="00AC3AE7">
        <w:rPr>
          <w:rFonts w:ascii="Arial" w:hAnsi="Arial" w:cs="Arial"/>
        </w:rPr>
        <w:t xml:space="preserve">. és </w:t>
      </w:r>
      <w:r w:rsidR="00DD3D52">
        <w:rPr>
          <w:rFonts w:ascii="Arial" w:hAnsi="Arial" w:cs="Arial"/>
        </w:rPr>
        <w:t>4.15.</w:t>
      </w:r>
      <w:r w:rsidR="00793640">
        <w:rPr>
          <w:rFonts w:ascii="Arial" w:hAnsi="Arial" w:cs="Arial"/>
        </w:rPr>
        <w:t xml:space="preserve"> </w:t>
      </w:r>
      <w:r w:rsidR="00793640" w:rsidRPr="001A5DEF">
        <w:rPr>
          <w:rFonts w:ascii="Arial" w:hAnsi="Arial" w:cs="Arial"/>
        </w:rPr>
        <w:t xml:space="preserve">pontjában, valamint </w:t>
      </w:r>
      <w:r w:rsidR="00EF3697">
        <w:rPr>
          <w:rFonts w:ascii="Arial" w:hAnsi="Arial" w:cs="Arial"/>
        </w:rPr>
        <w:t>25</w:t>
      </w:r>
      <w:r w:rsidR="00793640">
        <w:rPr>
          <w:rFonts w:ascii="Arial" w:hAnsi="Arial" w:cs="Arial"/>
        </w:rPr>
        <w:t>.</w:t>
      </w:r>
      <w:r w:rsidR="00EF3697">
        <w:rPr>
          <w:rFonts w:ascii="Arial" w:hAnsi="Arial" w:cs="Arial"/>
        </w:rPr>
        <w:t xml:space="preserve"> és 26.</w:t>
      </w:r>
      <w:r w:rsidR="00793640">
        <w:rPr>
          <w:rFonts w:ascii="Arial" w:hAnsi="Arial" w:cs="Arial"/>
        </w:rPr>
        <w:t xml:space="preserve"> </w:t>
      </w:r>
      <w:r w:rsidR="00793640" w:rsidRPr="001A5DEF">
        <w:rPr>
          <w:rFonts w:ascii="Arial" w:hAnsi="Arial" w:cs="Arial"/>
        </w:rPr>
        <w:t xml:space="preserve">mellékletében a pénzügyi ágazat digitális működési rezilienciájáról, valamint az 1060/2009/EK, a 648/2012/EU, a 600/2014/EU, a 909/2014/EU és az (EU) 2016/1011 rendelet módosításáról szóló 2022. december 14-i (EU) 2022/2554 európai parlament és tanácsi rendelet </w:t>
      </w:r>
      <w:r w:rsidR="00A31013">
        <w:rPr>
          <w:rFonts w:ascii="Arial" w:hAnsi="Arial" w:cs="Arial"/>
        </w:rPr>
        <w:t xml:space="preserve">(a továbbiakban: DORA rendelet) </w:t>
      </w:r>
      <w:r w:rsidR="00793640" w:rsidRPr="001A5DEF">
        <w:rPr>
          <w:rFonts w:ascii="Arial" w:hAnsi="Arial" w:cs="Arial"/>
        </w:rPr>
        <w:t xml:space="preserve">6. cikk (5) bekezdése, 16. cikk (2) bekezdése, 19. cikk (5) bekezdése, 28. cikk (3) bekezdése, 45. cikk (3) bekezdése, </w:t>
      </w:r>
      <w:r w:rsidR="00793640" w:rsidRPr="001A5DEF">
        <w:rPr>
          <w:rFonts w:ascii="Arial" w:hAnsi="Arial" w:cs="Arial"/>
          <w:bCs/>
        </w:rPr>
        <w:t>az (EU) 2022/2554 európai parlamenti és tanácsi rendeletnek az IKT-kockázatkezelési eszközöket, módszereket, folyamatokat és szabályzatokat, valamint az egyszerűsített IKT-kockázatkezelési keretrendszert meghatározó szabályozástechnikai standardok tekintetében történő kiegészítéséről szóló 2024. március 13-i (EU) 2024/1774 felhatalmazáson alapuló bizottsági rendelet 27. és 41. cikke,</w:t>
      </w:r>
      <w:r w:rsidR="00793640" w:rsidRPr="001A5DEF">
        <w:rPr>
          <w:rFonts w:ascii="Arial" w:hAnsi="Arial" w:cs="Arial"/>
        </w:rPr>
        <w:t xml:space="preserve"> </w:t>
      </w:r>
      <w:r w:rsidR="00793640" w:rsidRPr="001A5DEF">
        <w:rPr>
          <w:rFonts w:ascii="Arial" w:hAnsi="Arial" w:cs="Arial"/>
          <w:bCs/>
        </w:rPr>
        <w:t>az (EU) 2022/2554 európai parlamenti és tanácsi rendeletnek a jelentős IKT-vonatkozású esemény pénzügyi szervezetek általi bejelentésére és a jelentős kiberfenyegetésről szóló, pénzügyi szervezetek által benyújtandó értesítésre szolgáló szabványos űrlapok, sablonok és eljárások tekintetében történő alkalmazására vonatkozó végrehajtás-technikai standardok megállapításáról szóló 2024. október 23-i (EU) 2025/302 bizottsági végrehajtási rendelet 6. cikke, valamint az (EU) 2022/2554 európai parlamenti és tanácsi rendeletnek az információ-nyilvántartáshoz kapcsolódó táblák tekintetében történő alkalmazására vonatkozó végrehajtás-technikai standardok megállapításáról szóló 2024. november 29-i (EU) 2024/2956 bizottsági végrehajtási rendelet,</w:t>
      </w:r>
    </w:p>
    <w:p w14:paraId="7FA6A3A2" w14:textId="09F4E3E1" w:rsidR="00A544CD" w:rsidRDefault="00A544CD" w:rsidP="00A544CD">
      <w:pPr>
        <w:ind w:firstLine="142"/>
        <w:jc w:val="both"/>
        <w:rPr>
          <w:rFonts w:ascii="Arial" w:hAnsi="Arial" w:cs="Arial"/>
        </w:rPr>
      </w:pPr>
      <w:r>
        <w:rPr>
          <w:rFonts w:ascii="Arial" w:hAnsi="Arial" w:cs="Arial"/>
        </w:rPr>
        <w:t>4. 18</w:t>
      </w:r>
      <w:r w:rsidRPr="00870D94">
        <w:rPr>
          <w:rFonts w:ascii="Arial" w:hAnsi="Arial" w:cs="Arial"/>
        </w:rPr>
        <w:t>.</w:t>
      </w:r>
      <w:r>
        <w:rPr>
          <w:rFonts w:ascii="Arial" w:hAnsi="Arial" w:cs="Arial"/>
        </w:rPr>
        <w:t xml:space="preserve"> </w:t>
      </w:r>
      <w:r w:rsidRPr="00870D94">
        <w:rPr>
          <w:rFonts w:ascii="Arial" w:hAnsi="Arial" w:cs="Arial"/>
        </w:rPr>
        <w:t>§</w:t>
      </w:r>
      <w:r>
        <w:rPr>
          <w:rFonts w:ascii="Arial" w:hAnsi="Arial" w:cs="Arial"/>
        </w:rPr>
        <w:t xml:space="preserve"> (1), (4) és (5) bekezdésében, valamint 1. melléklet </w:t>
      </w:r>
      <w:r w:rsidRPr="00300E88">
        <w:rPr>
          <w:rFonts w:ascii="Arial" w:hAnsi="Arial" w:cs="Arial"/>
        </w:rPr>
        <w:t>4.14.</w:t>
      </w:r>
      <w:r>
        <w:rPr>
          <w:rFonts w:ascii="Arial" w:hAnsi="Arial" w:cs="Arial"/>
        </w:rPr>
        <w:t xml:space="preserve"> pontjában a páneurópai egyéni nyugdíjtermékről (PEPP) szóló 2019. június 20-i </w:t>
      </w:r>
      <w:r w:rsidRPr="006B3D58">
        <w:rPr>
          <w:rFonts w:ascii="Arial" w:hAnsi="Arial" w:cs="Arial"/>
        </w:rPr>
        <w:t xml:space="preserve">(EU) 2019/1238 </w:t>
      </w:r>
      <w:r>
        <w:rPr>
          <w:rFonts w:ascii="Arial" w:hAnsi="Arial" w:cs="Arial"/>
        </w:rPr>
        <w:t xml:space="preserve">európai parlamenti és tanácsi </w:t>
      </w:r>
      <w:r w:rsidRPr="006B3D58">
        <w:rPr>
          <w:rFonts w:ascii="Arial" w:hAnsi="Arial" w:cs="Arial"/>
        </w:rPr>
        <w:t>rendelet</w:t>
      </w:r>
      <w:r w:rsidRPr="00160B57">
        <w:rPr>
          <w:rFonts w:ascii="Arial" w:hAnsi="Arial" w:cs="Arial"/>
        </w:rPr>
        <w:t xml:space="preserve"> </w:t>
      </w:r>
      <w:r>
        <w:rPr>
          <w:rFonts w:ascii="Arial" w:hAnsi="Arial" w:cs="Arial"/>
        </w:rPr>
        <w:t>40. cikk (2) bekezdés a) pontja,</w:t>
      </w:r>
      <w:r w:rsidRPr="00870D94" w:rsidDel="009D609A">
        <w:rPr>
          <w:rFonts w:ascii="Arial" w:hAnsi="Arial" w:cs="Arial"/>
        </w:rPr>
        <w:t xml:space="preserve"> </w:t>
      </w:r>
      <w:r w:rsidRPr="004C21CF">
        <w:rPr>
          <w:rFonts w:ascii="Arial" w:hAnsi="Arial" w:cs="Arial"/>
          <w:bCs/>
        </w:rPr>
        <w:t>az 575/2013/EU európai parlamenti és tanácsi rendeletnek az intézmények felügyeleti adatszolgáltatása tekintetében történő alkalmazására vonatkozó</w:t>
      </w:r>
      <w:r w:rsidRPr="004C21CF">
        <w:rPr>
          <w:rFonts w:ascii="Arial" w:hAnsi="Arial" w:cs="Arial"/>
        </w:rPr>
        <w:t xml:space="preserve"> végrehajtás-technikai standardok megállapításáról és az (EU) 2021/451 bizottsági végrehajtási rendelet hatályon kívül helyezéséről szóló 2024. november 29-i (EU) 2024/3117 bizottsági végrehajtási rendelet 23. cikk (1) </w:t>
      </w:r>
      <w:r w:rsidRPr="004C21CF">
        <w:rPr>
          <w:rFonts w:ascii="Arial" w:hAnsi="Arial" w:cs="Arial"/>
          <w:bCs/>
        </w:rPr>
        <w:t>bekezdése,</w:t>
      </w:r>
      <w:r>
        <w:rPr>
          <w:rFonts w:ascii="Arial" w:hAnsi="Arial" w:cs="Arial"/>
          <w:bCs/>
        </w:rPr>
        <w:t xml:space="preserve"> a</w:t>
      </w:r>
      <w:r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Pr>
          <w:rFonts w:ascii="Arial" w:hAnsi="Arial" w:cs="Arial"/>
          <w:bCs/>
        </w:rPr>
        <w:t xml:space="preserve"> szóló 2021. március 15-i (EU) 2021/453 bizottsági végrehajtási rendelet 4. cikk (1) bekezdése, </w:t>
      </w:r>
      <w:r>
        <w:rPr>
          <w:rFonts w:ascii="Arial" w:hAnsi="Arial" w:cs="Arial"/>
        </w:rPr>
        <w:t xml:space="preserve">valamint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w:t>
      </w:r>
      <w:r>
        <w:rPr>
          <w:rFonts w:ascii="Arial" w:hAnsi="Arial" w:cs="Arial"/>
        </w:rPr>
        <w:lastRenderedPageBreak/>
        <w:t xml:space="preserve">tekintetében történő alkalmazására vonatkozó 2021. március 4-i (EU) </w:t>
      </w:r>
      <w:r w:rsidRPr="00160B57">
        <w:rPr>
          <w:rFonts w:ascii="Arial" w:hAnsi="Arial" w:cs="Arial"/>
        </w:rPr>
        <w:t>20</w:t>
      </w:r>
      <w:r>
        <w:rPr>
          <w:rFonts w:ascii="Arial" w:hAnsi="Arial" w:cs="Arial"/>
        </w:rPr>
        <w:t>2</w:t>
      </w:r>
      <w:r w:rsidRPr="00160B57">
        <w:rPr>
          <w:rFonts w:ascii="Arial" w:hAnsi="Arial" w:cs="Arial"/>
        </w:rPr>
        <w:t>1/</w:t>
      </w:r>
      <w:r>
        <w:rPr>
          <w:rFonts w:ascii="Arial" w:hAnsi="Arial" w:cs="Arial"/>
        </w:rPr>
        <w:t>897</w:t>
      </w:r>
      <w:r w:rsidRPr="00160B57">
        <w:rPr>
          <w:rFonts w:ascii="Arial" w:hAnsi="Arial" w:cs="Arial"/>
        </w:rPr>
        <w:t xml:space="preserve"> bizottsági végrehajtási</w:t>
      </w:r>
      <w:r>
        <w:rPr>
          <w:rFonts w:ascii="Arial" w:hAnsi="Arial" w:cs="Arial"/>
        </w:rPr>
        <w:t xml:space="preserve"> rendelet</w:t>
      </w:r>
      <w:r w:rsidRPr="00160B57">
        <w:rPr>
          <w:rFonts w:ascii="Arial" w:hAnsi="Arial" w:cs="Arial"/>
        </w:rPr>
        <w:t xml:space="preserve"> </w:t>
      </w:r>
      <w:r>
        <w:rPr>
          <w:rFonts w:ascii="Arial" w:hAnsi="Arial" w:cs="Arial"/>
        </w:rPr>
        <w:t xml:space="preserve">3. cikke, </w:t>
      </w:r>
    </w:p>
    <w:p w14:paraId="7071EAFF" w14:textId="08CB5BD9" w:rsidR="00793640" w:rsidRPr="001A5DEF" w:rsidRDefault="00793640" w:rsidP="008B07DF">
      <w:pPr>
        <w:ind w:firstLine="142"/>
        <w:jc w:val="both"/>
        <w:rPr>
          <w:rFonts w:ascii="Arial" w:hAnsi="Arial" w:cs="Arial"/>
        </w:rPr>
      </w:pPr>
      <w:r>
        <w:rPr>
          <w:rFonts w:ascii="Arial" w:hAnsi="Arial" w:cs="Arial"/>
          <w:bCs/>
        </w:rPr>
        <w:t>5. 1</w:t>
      </w:r>
      <w:r w:rsidRPr="001A5DEF">
        <w:rPr>
          <w:rFonts w:ascii="Arial" w:hAnsi="Arial" w:cs="Arial"/>
          <w:bCs/>
        </w:rPr>
        <w:t>8. § (</w:t>
      </w:r>
      <w:r w:rsidR="00DD3D52">
        <w:rPr>
          <w:rFonts w:ascii="Arial" w:hAnsi="Arial" w:cs="Arial"/>
          <w:bCs/>
        </w:rPr>
        <w:t>3</w:t>
      </w:r>
      <w:r w:rsidRPr="001A5DEF">
        <w:rPr>
          <w:rFonts w:ascii="Arial" w:hAnsi="Arial" w:cs="Arial"/>
          <w:bCs/>
        </w:rPr>
        <w:t>)–(</w:t>
      </w:r>
      <w:r w:rsidR="00DD3D52">
        <w:rPr>
          <w:rFonts w:ascii="Arial" w:hAnsi="Arial" w:cs="Arial"/>
          <w:bCs/>
        </w:rPr>
        <w:t>5</w:t>
      </w:r>
      <w:r w:rsidRPr="001A5DEF">
        <w:rPr>
          <w:rFonts w:ascii="Arial" w:hAnsi="Arial" w:cs="Arial"/>
          <w:bCs/>
        </w:rPr>
        <w:t>) bekezdésében az (EU) 2022/2554 európai parlamenti és tanácsi rendeletnek a jelentős IKT-vonatkozású eseményekről szóló kezdeti értesítés, időközi jelentés és zárójelentés tartalmát és határidejét, valamint a jelentős kiberfenyegetésekről szóló önkéntes értesítés tartalmát meghatározó szabályozástechnikai standardok tekintetében történő kiegészítéséről szóló 2024. október 23-i (EU) 2025/301 felhatalmazáson alapuló bizottsági rendelet, valamint az (EU) 2022/2554 európai parlamenti és tanácsi rendeletnek a jelentős IKT-vonatkozású esemény pénzügyi szervezetek általi bejelentésére és a jelentős kiberfenyegetésről szóló, pénzügyi szervezetek által benyújtandó értesítésre szolgáló szabványos űrlapok, sablonok és eljárások tekintetében történő alkalmazására vonatkozó végrehajtás-technikai standardok megállapításáról szóló 2024. október 23-i (EU) 2025/302 bizottsági végrehajtási rendelet</w:t>
      </w:r>
    </w:p>
    <w:p w14:paraId="1B18AC66" w14:textId="084B3808" w:rsidR="00881DCC" w:rsidRDefault="00881DCC" w:rsidP="001E7D71">
      <w:pPr>
        <w:jc w:val="both"/>
        <w:rPr>
          <w:rFonts w:ascii="Arial" w:hAnsi="Arial" w:cs="Arial"/>
        </w:rPr>
      </w:pPr>
      <w:r>
        <w:rPr>
          <w:rFonts w:ascii="Arial" w:hAnsi="Arial" w:cs="Arial"/>
        </w:rPr>
        <w:t>végrehajtásához szükséges rendelkezéseket állapít meg.</w:t>
      </w:r>
    </w:p>
    <w:p w14:paraId="5C45373B" w14:textId="77777777" w:rsidR="002D34A1" w:rsidRDefault="002D34A1" w:rsidP="008B07DF">
      <w:pPr>
        <w:autoSpaceDE w:val="0"/>
        <w:autoSpaceDN w:val="0"/>
        <w:spacing w:line="276" w:lineRule="auto"/>
        <w:ind w:firstLine="142"/>
        <w:jc w:val="both"/>
        <w:rPr>
          <w:rFonts w:ascii="Arial" w:hAnsi="Arial" w:cs="Arial"/>
          <w:bCs/>
        </w:rPr>
      </w:pPr>
    </w:p>
    <w:p w14:paraId="2F4C38D4" w14:textId="508EE713" w:rsidR="00AD06EA" w:rsidRDefault="00793640" w:rsidP="00300E88">
      <w:pPr>
        <w:autoSpaceDE w:val="0"/>
        <w:autoSpaceDN w:val="0"/>
        <w:adjustRightInd w:val="0"/>
        <w:ind w:firstLine="142"/>
        <w:jc w:val="both"/>
        <w:rPr>
          <w:rFonts w:ascii="Arial" w:hAnsi="Arial"/>
          <w:caps/>
          <w:kern w:val="36"/>
        </w:rPr>
      </w:pPr>
      <w:r>
        <w:rPr>
          <w:rFonts w:ascii="Arial" w:hAnsi="Arial" w:cs="Arial"/>
          <w:b/>
        </w:rPr>
        <w:t>23</w:t>
      </w:r>
      <w:r w:rsidR="00436A86" w:rsidRPr="00593B90">
        <w:rPr>
          <w:rFonts w:ascii="Arial" w:hAnsi="Arial" w:cs="Arial"/>
          <w:b/>
        </w:rPr>
        <w:t>. §</w:t>
      </w:r>
      <w:r w:rsidR="005E25B9">
        <w:rPr>
          <w:rFonts w:ascii="Arial" w:hAnsi="Arial" w:cs="Arial"/>
          <w:b/>
        </w:rPr>
        <w:t xml:space="preserve"> </w:t>
      </w:r>
      <w:r w:rsidR="00F273B9" w:rsidRPr="00593B90">
        <w:rPr>
          <w:rFonts w:ascii="Arial" w:hAnsi="Arial" w:cs="Arial"/>
        </w:rPr>
        <w:t xml:space="preserve">Hatályát veszti </w:t>
      </w:r>
      <w:r w:rsidR="00F273B9" w:rsidRPr="00593B90">
        <w:rPr>
          <w:rFonts w:ascii="Arial" w:hAnsi="Arial" w:cs="Arial"/>
          <w:bCs/>
          <w:kern w:val="36"/>
        </w:rPr>
        <w:t>a</w:t>
      </w:r>
      <w:r w:rsidR="00993F1B">
        <w:rPr>
          <w:rFonts w:ascii="Arial" w:hAnsi="Arial" w:cs="Arial"/>
          <w:bCs/>
          <w:kern w:val="36"/>
        </w:rPr>
        <w:t>z</w:t>
      </w:r>
      <w:r w:rsidR="00F273B9" w:rsidRPr="00593B90">
        <w:rPr>
          <w:rFonts w:ascii="Arial" w:hAnsi="Arial" w:cs="Arial"/>
          <w:bCs/>
          <w:kern w:val="36"/>
        </w:rPr>
        <w:t xml:space="preserve"> </w:t>
      </w:r>
      <w:r w:rsidR="004C21CF">
        <w:rPr>
          <w:rFonts w:ascii="Arial" w:hAnsi="Arial"/>
          <w:caps/>
          <w:kern w:val="36"/>
        </w:rPr>
        <w:t>55/2024</w:t>
      </w:r>
      <w:r w:rsidR="00E61293">
        <w:rPr>
          <w:rFonts w:ascii="Arial" w:hAnsi="Arial"/>
          <w:caps/>
          <w:kern w:val="36"/>
        </w:rPr>
        <w:t>.</w:t>
      </w:r>
      <w:r w:rsidR="004C21CF">
        <w:rPr>
          <w:rFonts w:ascii="Arial" w:hAnsi="Arial"/>
          <w:caps/>
          <w:kern w:val="36"/>
        </w:rPr>
        <w:t xml:space="preserve"> (XII. 3.)</w:t>
      </w:r>
      <w:r w:rsidR="00F273B9" w:rsidRPr="00FA1FF6">
        <w:rPr>
          <w:rFonts w:ascii="Arial" w:hAnsi="Arial"/>
          <w:caps/>
          <w:kern w:val="36"/>
        </w:rPr>
        <w:t xml:space="preserve"> MNB </w:t>
      </w:r>
      <w:r w:rsidR="00F273B9" w:rsidRPr="00FA1FF6">
        <w:rPr>
          <w:rFonts w:ascii="Arial" w:hAnsi="Arial"/>
          <w:kern w:val="36"/>
        </w:rPr>
        <w:t>rendelet</w:t>
      </w:r>
      <w:r w:rsidR="00F273B9" w:rsidRPr="00FA1FF6">
        <w:rPr>
          <w:rFonts w:ascii="Arial" w:hAnsi="Arial"/>
          <w:caps/>
          <w:kern w:val="36"/>
        </w:rPr>
        <w:t>.</w:t>
      </w:r>
    </w:p>
    <w:p w14:paraId="035F6383" w14:textId="77777777" w:rsidR="009B5FE0" w:rsidRDefault="009B5FE0" w:rsidP="00300E88">
      <w:pPr>
        <w:autoSpaceDE w:val="0"/>
        <w:autoSpaceDN w:val="0"/>
        <w:adjustRightInd w:val="0"/>
        <w:ind w:firstLine="142"/>
        <w:jc w:val="both"/>
        <w:rPr>
          <w:rFonts w:ascii="Arial" w:hAnsi="Arial"/>
          <w:caps/>
          <w:kern w:val="36"/>
        </w:rPr>
      </w:pPr>
    </w:p>
    <w:p w14:paraId="0A0011F9" w14:textId="77777777" w:rsidR="009B5FE0" w:rsidRDefault="009B5FE0" w:rsidP="00300E88">
      <w:pPr>
        <w:autoSpaceDE w:val="0"/>
        <w:autoSpaceDN w:val="0"/>
        <w:adjustRightInd w:val="0"/>
        <w:ind w:firstLine="142"/>
        <w:jc w:val="both"/>
        <w:rPr>
          <w:rFonts w:ascii="Arial" w:hAnsi="Arial"/>
          <w:caps/>
          <w:kern w:val="36"/>
        </w:rPr>
      </w:pPr>
    </w:p>
    <w:p w14:paraId="7BA676C0" w14:textId="77777777" w:rsidR="009B5FE0" w:rsidRDefault="009B5FE0" w:rsidP="00300E88">
      <w:pPr>
        <w:autoSpaceDE w:val="0"/>
        <w:autoSpaceDN w:val="0"/>
        <w:adjustRightInd w:val="0"/>
        <w:ind w:firstLine="142"/>
        <w:jc w:val="both"/>
        <w:rPr>
          <w:rFonts w:ascii="Arial" w:hAnsi="Arial"/>
          <w:caps/>
          <w:kern w:val="36"/>
        </w:rPr>
      </w:pPr>
    </w:p>
    <w:p w14:paraId="550DA5C4" w14:textId="77777777" w:rsidR="009B5FE0" w:rsidRDefault="009B5FE0" w:rsidP="00300E88">
      <w:pPr>
        <w:autoSpaceDE w:val="0"/>
        <w:autoSpaceDN w:val="0"/>
        <w:adjustRightInd w:val="0"/>
        <w:ind w:firstLine="142"/>
        <w:jc w:val="both"/>
        <w:rPr>
          <w:rFonts w:ascii="Arial" w:hAnsi="Arial"/>
          <w:caps/>
          <w:kern w:val="36"/>
        </w:rPr>
      </w:pPr>
    </w:p>
    <w:p w14:paraId="4C53AC17" w14:textId="77777777" w:rsidR="009B5FE0" w:rsidRDefault="009B5FE0" w:rsidP="00300E88">
      <w:pPr>
        <w:autoSpaceDE w:val="0"/>
        <w:autoSpaceDN w:val="0"/>
        <w:adjustRightInd w:val="0"/>
        <w:ind w:firstLine="142"/>
        <w:jc w:val="both"/>
        <w:rPr>
          <w:rFonts w:ascii="Arial" w:hAnsi="Arial"/>
          <w:caps/>
          <w:kern w:val="36"/>
        </w:rPr>
      </w:pPr>
    </w:p>
    <w:p w14:paraId="3FFF7D51" w14:textId="16DFBC0D" w:rsidR="009B5FE0" w:rsidRDefault="009B5FE0" w:rsidP="009B5FE0">
      <w:pPr>
        <w:autoSpaceDE w:val="0"/>
        <w:autoSpaceDN w:val="0"/>
        <w:adjustRightInd w:val="0"/>
        <w:ind w:firstLine="142"/>
        <w:jc w:val="center"/>
        <w:rPr>
          <w:rFonts w:ascii="Arial" w:hAnsi="Arial" w:cs="Arial"/>
          <w:b/>
        </w:rPr>
      </w:pPr>
      <w:r>
        <w:rPr>
          <w:rFonts w:ascii="Arial" w:hAnsi="Arial" w:cs="Arial"/>
          <w:b/>
        </w:rPr>
        <w:t>Varga Mihály</w:t>
      </w:r>
    </w:p>
    <w:p w14:paraId="153F0567" w14:textId="71B7CB1F" w:rsidR="009B5FE0" w:rsidRPr="009B5FE0" w:rsidRDefault="009B5FE0" w:rsidP="009B5FE0">
      <w:pPr>
        <w:autoSpaceDE w:val="0"/>
        <w:autoSpaceDN w:val="0"/>
        <w:adjustRightInd w:val="0"/>
        <w:ind w:firstLine="142"/>
        <w:jc w:val="center"/>
        <w:rPr>
          <w:rFonts w:ascii="Arial" w:hAnsi="Arial" w:cs="Arial"/>
          <w:b/>
        </w:rPr>
      </w:pPr>
      <w:r>
        <w:rPr>
          <w:rFonts w:ascii="Arial" w:hAnsi="Arial" w:cs="Arial"/>
          <w:b/>
        </w:rPr>
        <w:t>a Magyar Nemzeti Bank elnöke</w:t>
      </w:r>
    </w:p>
    <w:sectPr w:rsidR="009B5FE0" w:rsidRPr="009B5FE0" w:rsidSect="00F5375F">
      <w:pgSz w:w="12240" w:h="15840"/>
      <w:pgMar w:top="1417" w:right="1417" w:bottom="1417" w:left="1417"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E479B" w14:textId="77777777" w:rsidR="00C55587" w:rsidRDefault="00C55587" w:rsidP="00F5375F">
      <w:r>
        <w:separator/>
      </w:r>
    </w:p>
  </w:endnote>
  <w:endnote w:type="continuationSeparator" w:id="0">
    <w:p w14:paraId="6AD4E5D4" w14:textId="77777777" w:rsidR="00C55587" w:rsidRDefault="00C55587" w:rsidP="00F5375F">
      <w:r>
        <w:continuationSeparator/>
      </w:r>
    </w:p>
  </w:endnote>
  <w:endnote w:type="continuationNotice" w:id="1">
    <w:p w14:paraId="05A7D883" w14:textId="77777777" w:rsidR="00C55587" w:rsidRDefault="00C55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E41A7" w14:textId="77777777" w:rsidR="00C55587" w:rsidRDefault="00C55587" w:rsidP="00F5375F">
      <w:r>
        <w:separator/>
      </w:r>
    </w:p>
  </w:footnote>
  <w:footnote w:type="continuationSeparator" w:id="0">
    <w:p w14:paraId="7B485699" w14:textId="77777777" w:rsidR="00C55587" w:rsidRDefault="00C55587" w:rsidP="00F5375F">
      <w:r>
        <w:continuationSeparator/>
      </w:r>
    </w:p>
  </w:footnote>
  <w:footnote w:type="continuationNotice" w:id="1">
    <w:p w14:paraId="29A41049" w14:textId="77777777" w:rsidR="00C55587" w:rsidRDefault="00C555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140CB"/>
    <w:multiLevelType w:val="hybridMultilevel"/>
    <w:tmpl w:val="0CD493A8"/>
    <w:lvl w:ilvl="0" w:tplc="D6F64B9C">
      <w:start w:val="1"/>
      <w:numFmt w:val="decimal"/>
      <w:lvlText w:val="(%1)"/>
      <w:lvlJc w:val="left"/>
      <w:pPr>
        <w:ind w:left="744" w:hanging="54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 w15:restartNumberingAfterBreak="0">
    <w:nsid w:val="3AD665B8"/>
    <w:multiLevelType w:val="hybridMultilevel"/>
    <w:tmpl w:val="4180268C"/>
    <w:lvl w:ilvl="0" w:tplc="040E0017">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 w15:restartNumberingAfterBreak="0">
    <w:nsid w:val="3B666D4A"/>
    <w:multiLevelType w:val="hybridMultilevel"/>
    <w:tmpl w:val="201E9A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D3F0E5C"/>
    <w:multiLevelType w:val="hybridMultilevel"/>
    <w:tmpl w:val="DD0EDAB2"/>
    <w:lvl w:ilvl="0" w:tplc="3BFC8C8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6445792D"/>
    <w:multiLevelType w:val="hybridMultilevel"/>
    <w:tmpl w:val="E6281242"/>
    <w:lvl w:ilvl="0" w:tplc="FA229A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663B36DF"/>
    <w:multiLevelType w:val="hybridMultilevel"/>
    <w:tmpl w:val="91B66690"/>
    <w:lvl w:ilvl="0" w:tplc="CE5C1BEE">
      <w:start w:val="1"/>
      <w:numFmt w:val="upperRoman"/>
      <w:pStyle w:val="Cm"/>
      <w:lvlText w:val="%1."/>
      <w:lvlJc w:val="righ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12416510">
    <w:abstractNumId w:val="5"/>
  </w:num>
  <w:num w:numId="2" w16cid:durableId="1123891104">
    <w:abstractNumId w:val="5"/>
  </w:num>
  <w:num w:numId="3" w16cid:durableId="1394504627">
    <w:abstractNumId w:val="0"/>
  </w:num>
  <w:num w:numId="4" w16cid:durableId="2099403392">
    <w:abstractNumId w:val="1"/>
  </w:num>
  <w:num w:numId="5" w16cid:durableId="2125999035">
    <w:abstractNumId w:val="4"/>
  </w:num>
  <w:num w:numId="6" w16cid:durableId="949049730">
    <w:abstractNumId w:val="4"/>
  </w:num>
  <w:num w:numId="7" w16cid:durableId="1768034643">
    <w:abstractNumId w:val="2"/>
  </w:num>
  <w:num w:numId="8" w16cid:durableId="6854033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E63"/>
    <w:rsid w:val="0000043C"/>
    <w:rsid w:val="000019DA"/>
    <w:rsid w:val="00002323"/>
    <w:rsid w:val="00002BE2"/>
    <w:rsid w:val="000060F5"/>
    <w:rsid w:val="00007623"/>
    <w:rsid w:val="00007CAD"/>
    <w:rsid w:val="000117A1"/>
    <w:rsid w:val="00011EBB"/>
    <w:rsid w:val="00013821"/>
    <w:rsid w:val="0001737B"/>
    <w:rsid w:val="00017AB1"/>
    <w:rsid w:val="00021676"/>
    <w:rsid w:val="00021EFD"/>
    <w:rsid w:val="00022AA0"/>
    <w:rsid w:val="0002324E"/>
    <w:rsid w:val="000241B6"/>
    <w:rsid w:val="00024357"/>
    <w:rsid w:val="00024DF4"/>
    <w:rsid w:val="00025AB3"/>
    <w:rsid w:val="000262B3"/>
    <w:rsid w:val="000267DD"/>
    <w:rsid w:val="0002694D"/>
    <w:rsid w:val="000272FE"/>
    <w:rsid w:val="00027D79"/>
    <w:rsid w:val="0003044C"/>
    <w:rsid w:val="00031180"/>
    <w:rsid w:val="000311B8"/>
    <w:rsid w:val="00032E42"/>
    <w:rsid w:val="00033A42"/>
    <w:rsid w:val="00033B7A"/>
    <w:rsid w:val="00036C20"/>
    <w:rsid w:val="00036E2B"/>
    <w:rsid w:val="00037D0A"/>
    <w:rsid w:val="000414C1"/>
    <w:rsid w:val="00042E60"/>
    <w:rsid w:val="00043305"/>
    <w:rsid w:val="000440CB"/>
    <w:rsid w:val="00044E60"/>
    <w:rsid w:val="00045D9E"/>
    <w:rsid w:val="00050F23"/>
    <w:rsid w:val="00052333"/>
    <w:rsid w:val="0005247F"/>
    <w:rsid w:val="000563F9"/>
    <w:rsid w:val="000567EF"/>
    <w:rsid w:val="00056E5B"/>
    <w:rsid w:val="0006045F"/>
    <w:rsid w:val="000612DD"/>
    <w:rsid w:val="00064955"/>
    <w:rsid w:val="000677E4"/>
    <w:rsid w:val="00071CAA"/>
    <w:rsid w:val="000755D1"/>
    <w:rsid w:val="0007563C"/>
    <w:rsid w:val="0007693B"/>
    <w:rsid w:val="00076C36"/>
    <w:rsid w:val="00084D99"/>
    <w:rsid w:val="00085E59"/>
    <w:rsid w:val="00086A89"/>
    <w:rsid w:val="00086CB9"/>
    <w:rsid w:val="00086FEF"/>
    <w:rsid w:val="00090D9F"/>
    <w:rsid w:val="00090F75"/>
    <w:rsid w:val="00091A5C"/>
    <w:rsid w:val="000926B0"/>
    <w:rsid w:val="00092D36"/>
    <w:rsid w:val="000953FA"/>
    <w:rsid w:val="00095ABE"/>
    <w:rsid w:val="000A0801"/>
    <w:rsid w:val="000A1505"/>
    <w:rsid w:val="000A20C9"/>
    <w:rsid w:val="000A23A8"/>
    <w:rsid w:val="000A3451"/>
    <w:rsid w:val="000A3A8D"/>
    <w:rsid w:val="000A3C3F"/>
    <w:rsid w:val="000A52A8"/>
    <w:rsid w:val="000A5CFA"/>
    <w:rsid w:val="000A62BB"/>
    <w:rsid w:val="000B0A65"/>
    <w:rsid w:val="000B14BD"/>
    <w:rsid w:val="000B3D79"/>
    <w:rsid w:val="000B3E94"/>
    <w:rsid w:val="000B4CEE"/>
    <w:rsid w:val="000B642E"/>
    <w:rsid w:val="000C1C27"/>
    <w:rsid w:val="000C21CB"/>
    <w:rsid w:val="000C30BE"/>
    <w:rsid w:val="000C55BF"/>
    <w:rsid w:val="000C68A1"/>
    <w:rsid w:val="000D03D3"/>
    <w:rsid w:val="000D06F2"/>
    <w:rsid w:val="000D1161"/>
    <w:rsid w:val="000D192C"/>
    <w:rsid w:val="000D2BC3"/>
    <w:rsid w:val="000D3743"/>
    <w:rsid w:val="000D3BC9"/>
    <w:rsid w:val="000D52F4"/>
    <w:rsid w:val="000E05CD"/>
    <w:rsid w:val="000E0C87"/>
    <w:rsid w:val="000E0FFC"/>
    <w:rsid w:val="000E321D"/>
    <w:rsid w:val="000E560D"/>
    <w:rsid w:val="000E5F57"/>
    <w:rsid w:val="000E65E8"/>
    <w:rsid w:val="000E6BD2"/>
    <w:rsid w:val="000F00F7"/>
    <w:rsid w:val="000F06DB"/>
    <w:rsid w:val="000F5B0F"/>
    <w:rsid w:val="000F5B96"/>
    <w:rsid w:val="000F5C45"/>
    <w:rsid w:val="000F6532"/>
    <w:rsid w:val="000F69B4"/>
    <w:rsid w:val="000F6C76"/>
    <w:rsid w:val="000F7C47"/>
    <w:rsid w:val="001006F1"/>
    <w:rsid w:val="00101923"/>
    <w:rsid w:val="0010218E"/>
    <w:rsid w:val="00102312"/>
    <w:rsid w:val="00104094"/>
    <w:rsid w:val="00104DF0"/>
    <w:rsid w:val="001061A0"/>
    <w:rsid w:val="001062CC"/>
    <w:rsid w:val="001106AA"/>
    <w:rsid w:val="00111067"/>
    <w:rsid w:val="0011173A"/>
    <w:rsid w:val="00111BBD"/>
    <w:rsid w:val="001133DD"/>
    <w:rsid w:val="001137D6"/>
    <w:rsid w:val="00116900"/>
    <w:rsid w:val="0011771F"/>
    <w:rsid w:val="00121918"/>
    <w:rsid w:val="001224EC"/>
    <w:rsid w:val="00124813"/>
    <w:rsid w:val="00124AA2"/>
    <w:rsid w:val="00125B16"/>
    <w:rsid w:val="001306D2"/>
    <w:rsid w:val="001319ED"/>
    <w:rsid w:val="001330D6"/>
    <w:rsid w:val="001333A2"/>
    <w:rsid w:val="0013371C"/>
    <w:rsid w:val="00133D11"/>
    <w:rsid w:val="00133D61"/>
    <w:rsid w:val="0013402B"/>
    <w:rsid w:val="001351E1"/>
    <w:rsid w:val="00135515"/>
    <w:rsid w:val="00135BC1"/>
    <w:rsid w:val="00135E20"/>
    <w:rsid w:val="00140942"/>
    <w:rsid w:val="00140FFF"/>
    <w:rsid w:val="00141859"/>
    <w:rsid w:val="001434A2"/>
    <w:rsid w:val="0014487D"/>
    <w:rsid w:val="00144CDF"/>
    <w:rsid w:val="001452D8"/>
    <w:rsid w:val="00150043"/>
    <w:rsid w:val="001509C5"/>
    <w:rsid w:val="00150EA8"/>
    <w:rsid w:val="001523B7"/>
    <w:rsid w:val="00152D69"/>
    <w:rsid w:val="00153410"/>
    <w:rsid w:val="00155BFF"/>
    <w:rsid w:val="001564C5"/>
    <w:rsid w:val="0015693E"/>
    <w:rsid w:val="00157DF4"/>
    <w:rsid w:val="00160007"/>
    <w:rsid w:val="001617FA"/>
    <w:rsid w:val="0016471E"/>
    <w:rsid w:val="00164860"/>
    <w:rsid w:val="001665B6"/>
    <w:rsid w:val="00167790"/>
    <w:rsid w:val="001679A3"/>
    <w:rsid w:val="001704F4"/>
    <w:rsid w:val="00170A5B"/>
    <w:rsid w:val="00172E61"/>
    <w:rsid w:val="0017538A"/>
    <w:rsid w:val="00176662"/>
    <w:rsid w:val="00180449"/>
    <w:rsid w:val="001807EC"/>
    <w:rsid w:val="0018163A"/>
    <w:rsid w:val="001847BA"/>
    <w:rsid w:val="00186FCE"/>
    <w:rsid w:val="00191A22"/>
    <w:rsid w:val="00191EF9"/>
    <w:rsid w:val="001920EE"/>
    <w:rsid w:val="001925C5"/>
    <w:rsid w:val="00192C44"/>
    <w:rsid w:val="00194099"/>
    <w:rsid w:val="00194BA5"/>
    <w:rsid w:val="0019574F"/>
    <w:rsid w:val="00196025"/>
    <w:rsid w:val="001A2D32"/>
    <w:rsid w:val="001A4883"/>
    <w:rsid w:val="001A488A"/>
    <w:rsid w:val="001A54F3"/>
    <w:rsid w:val="001A5BE0"/>
    <w:rsid w:val="001A64E3"/>
    <w:rsid w:val="001A7A5A"/>
    <w:rsid w:val="001A7DE0"/>
    <w:rsid w:val="001B0368"/>
    <w:rsid w:val="001B1A64"/>
    <w:rsid w:val="001B1E86"/>
    <w:rsid w:val="001B240F"/>
    <w:rsid w:val="001B2A62"/>
    <w:rsid w:val="001B4107"/>
    <w:rsid w:val="001B4D84"/>
    <w:rsid w:val="001B534F"/>
    <w:rsid w:val="001B6B5F"/>
    <w:rsid w:val="001B7C0F"/>
    <w:rsid w:val="001C05AA"/>
    <w:rsid w:val="001C14AC"/>
    <w:rsid w:val="001C17B1"/>
    <w:rsid w:val="001C5387"/>
    <w:rsid w:val="001C541D"/>
    <w:rsid w:val="001C66CE"/>
    <w:rsid w:val="001C6A4E"/>
    <w:rsid w:val="001C77B5"/>
    <w:rsid w:val="001D38CA"/>
    <w:rsid w:val="001D43FA"/>
    <w:rsid w:val="001D5102"/>
    <w:rsid w:val="001D5F3A"/>
    <w:rsid w:val="001D6772"/>
    <w:rsid w:val="001D6791"/>
    <w:rsid w:val="001D6AFD"/>
    <w:rsid w:val="001D7244"/>
    <w:rsid w:val="001E1011"/>
    <w:rsid w:val="001E4F42"/>
    <w:rsid w:val="001E51E0"/>
    <w:rsid w:val="001E58B9"/>
    <w:rsid w:val="001E69B7"/>
    <w:rsid w:val="001E6ACB"/>
    <w:rsid w:val="001E6F86"/>
    <w:rsid w:val="001E7D71"/>
    <w:rsid w:val="001F102A"/>
    <w:rsid w:val="001F35AF"/>
    <w:rsid w:val="001F35C5"/>
    <w:rsid w:val="001F3B73"/>
    <w:rsid w:val="001F505F"/>
    <w:rsid w:val="001F6023"/>
    <w:rsid w:val="001F6892"/>
    <w:rsid w:val="001F7068"/>
    <w:rsid w:val="002007FE"/>
    <w:rsid w:val="002008C3"/>
    <w:rsid w:val="00203BF9"/>
    <w:rsid w:val="0020650C"/>
    <w:rsid w:val="002069D6"/>
    <w:rsid w:val="00207A00"/>
    <w:rsid w:val="0021124B"/>
    <w:rsid w:val="00213091"/>
    <w:rsid w:val="0021464A"/>
    <w:rsid w:val="00215F0B"/>
    <w:rsid w:val="00216090"/>
    <w:rsid w:val="00217814"/>
    <w:rsid w:val="00220DCE"/>
    <w:rsid w:val="002231DB"/>
    <w:rsid w:val="00223357"/>
    <w:rsid w:val="00223B8C"/>
    <w:rsid w:val="00223D3A"/>
    <w:rsid w:val="0022441A"/>
    <w:rsid w:val="00224EA9"/>
    <w:rsid w:val="00226F89"/>
    <w:rsid w:val="00227A31"/>
    <w:rsid w:val="002323E9"/>
    <w:rsid w:val="0023403F"/>
    <w:rsid w:val="00234300"/>
    <w:rsid w:val="00234E24"/>
    <w:rsid w:val="0023714F"/>
    <w:rsid w:val="0023742F"/>
    <w:rsid w:val="002403B0"/>
    <w:rsid w:val="00241151"/>
    <w:rsid w:val="002411D3"/>
    <w:rsid w:val="00242293"/>
    <w:rsid w:val="00242402"/>
    <w:rsid w:val="00242BFE"/>
    <w:rsid w:val="00243E1C"/>
    <w:rsid w:val="002441DB"/>
    <w:rsid w:val="00250631"/>
    <w:rsid w:val="00250877"/>
    <w:rsid w:val="00250BB9"/>
    <w:rsid w:val="00252D27"/>
    <w:rsid w:val="00253ACE"/>
    <w:rsid w:val="00254053"/>
    <w:rsid w:val="00255E47"/>
    <w:rsid w:val="002610AC"/>
    <w:rsid w:val="002623DF"/>
    <w:rsid w:val="00262711"/>
    <w:rsid w:val="0026538C"/>
    <w:rsid w:val="00265816"/>
    <w:rsid w:val="00265F3A"/>
    <w:rsid w:val="00266546"/>
    <w:rsid w:val="002665DB"/>
    <w:rsid w:val="002672A8"/>
    <w:rsid w:val="002707A8"/>
    <w:rsid w:val="002709FE"/>
    <w:rsid w:val="00273469"/>
    <w:rsid w:val="0027360B"/>
    <w:rsid w:val="00276C0F"/>
    <w:rsid w:val="002804C3"/>
    <w:rsid w:val="00281A61"/>
    <w:rsid w:val="00281B31"/>
    <w:rsid w:val="002821B8"/>
    <w:rsid w:val="00282BD9"/>
    <w:rsid w:val="00285600"/>
    <w:rsid w:val="00285657"/>
    <w:rsid w:val="002859F8"/>
    <w:rsid w:val="002866BC"/>
    <w:rsid w:val="002905E1"/>
    <w:rsid w:val="00290A95"/>
    <w:rsid w:val="0029180B"/>
    <w:rsid w:val="00292064"/>
    <w:rsid w:val="00292DFE"/>
    <w:rsid w:val="00293898"/>
    <w:rsid w:val="00294B2D"/>
    <w:rsid w:val="00295C5B"/>
    <w:rsid w:val="00295D5A"/>
    <w:rsid w:val="00296DD6"/>
    <w:rsid w:val="002A0D3D"/>
    <w:rsid w:val="002A1229"/>
    <w:rsid w:val="002A1316"/>
    <w:rsid w:val="002A2548"/>
    <w:rsid w:val="002A2671"/>
    <w:rsid w:val="002A369B"/>
    <w:rsid w:val="002A3C7C"/>
    <w:rsid w:val="002A4140"/>
    <w:rsid w:val="002A6717"/>
    <w:rsid w:val="002B2EB3"/>
    <w:rsid w:val="002B366C"/>
    <w:rsid w:val="002B3C57"/>
    <w:rsid w:val="002B527C"/>
    <w:rsid w:val="002B5A1F"/>
    <w:rsid w:val="002B5EEF"/>
    <w:rsid w:val="002B5F22"/>
    <w:rsid w:val="002B5F3D"/>
    <w:rsid w:val="002B5FE7"/>
    <w:rsid w:val="002B6BA3"/>
    <w:rsid w:val="002B7169"/>
    <w:rsid w:val="002B731C"/>
    <w:rsid w:val="002B797B"/>
    <w:rsid w:val="002B7B3B"/>
    <w:rsid w:val="002B7B8B"/>
    <w:rsid w:val="002C169C"/>
    <w:rsid w:val="002C2BF5"/>
    <w:rsid w:val="002C2C7B"/>
    <w:rsid w:val="002C3BD2"/>
    <w:rsid w:val="002C5030"/>
    <w:rsid w:val="002C51BE"/>
    <w:rsid w:val="002C722B"/>
    <w:rsid w:val="002D095F"/>
    <w:rsid w:val="002D0F04"/>
    <w:rsid w:val="002D1061"/>
    <w:rsid w:val="002D109F"/>
    <w:rsid w:val="002D19B8"/>
    <w:rsid w:val="002D34A1"/>
    <w:rsid w:val="002D35AF"/>
    <w:rsid w:val="002D38AC"/>
    <w:rsid w:val="002D3E2A"/>
    <w:rsid w:val="002D6505"/>
    <w:rsid w:val="002D67CB"/>
    <w:rsid w:val="002E0628"/>
    <w:rsid w:val="002E5CFE"/>
    <w:rsid w:val="002E63A6"/>
    <w:rsid w:val="002F074B"/>
    <w:rsid w:val="002F2B80"/>
    <w:rsid w:val="002F3BE2"/>
    <w:rsid w:val="002F4C6C"/>
    <w:rsid w:val="002F5686"/>
    <w:rsid w:val="002F73C1"/>
    <w:rsid w:val="00300407"/>
    <w:rsid w:val="0030077F"/>
    <w:rsid w:val="00300E88"/>
    <w:rsid w:val="003018A1"/>
    <w:rsid w:val="003038FE"/>
    <w:rsid w:val="00303E15"/>
    <w:rsid w:val="00304B21"/>
    <w:rsid w:val="00305DD2"/>
    <w:rsid w:val="0030723F"/>
    <w:rsid w:val="00307ADA"/>
    <w:rsid w:val="003103BE"/>
    <w:rsid w:val="00312561"/>
    <w:rsid w:val="00313EB1"/>
    <w:rsid w:val="00313FCD"/>
    <w:rsid w:val="00314101"/>
    <w:rsid w:val="00314D4B"/>
    <w:rsid w:val="00317FA6"/>
    <w:rsid w:val="00321605"/>
    <w:rsid w:val="00321E63"/>
    <w:rsid w:val="003226DF"/>
    <w:rsid w:val="00324AAB"/>
    <w:rsid w:val="00324BDB"/>
    <w:rsid w:val="003259D8"/>
    <w:rsid w:val="00326C91"/>
    <w:rsid w:val="0032766B"/>
    <w:rsid w:val="00332445"/>
    <w:rsid w:val="00334309"/>
    <w:rsid w:val="00335358"/>
    <w:rsid w:val="00335F2C"/>
    <w:rsid w:val="0033644D"/>
    <w:rsid w:val="00336460"/>
    <w:rsid w:val="003366AF"/>
    <w:rsid w:val="003375AA"/>
    <w:rsid w:val="003407C7"/>
    <w:rsid w:val="00341B8D"/>
    <w:rsid w:val="00343555"/>
    <w:rsid w:val="0034606E"/>
    <w:rsid w:val="003506AF"/>
    <w:rsid w:val="0035139A"/>
    <w:rsid w:val="0035191B"/>
    <w:rsid w:val="00352B0B"/>
    <w:rsid w:val="003532F5"/>
    <w:rsid w:val="00353C5E"/>
    <w:rsid w:val="0036099C"/>
    <w:rsid w:val="00361939"/>
    <w:rsid w:val="00361FDA"/>
    <w:rsid w:val="0036315B"/>
    <w:rsid w:val="00363966"/>
    <w:rsid w:val="00363E74"/>
    <w:rsid w:val="00364E60"/>
    <w:rsid w:val="003661C9"/>
    <w:rsid w:val="00370F9F"/>
    <w:rsid w:val="0037162D"/>
    <w:rsid w:val="00371BC5"/>
    <w:rsid w:val="00371E45"/>
    <w:rsid w:val="0037233A"/>
    <w:rsid w:val="00375554"/>
    <w:rsid w:val="00377F0F"/>
    <w:rsid w:val="00382004"/>
    <w:rsid w:val="003820C1"/>
    <w:rsid w:val="0038210D"/>
    <w:rsid w:val="0038258D"/>
    <w:rsid w:val="003826F5"/>
    <w:rsid w:val="003830D2"/>
    <w:rsid w:val="003832E7"/>
    <w:rsid w:val="003837D8"/>
    <w:rsid w:val="00386642"/>
    <w:rsid w:val="003869BE"/>
    <w:rsid w:val="00390BCE"/>
    <w:rsid w:val="00390F82"/>
    <w:rsid w:val="0039188E"/>
    <w:rsid w:val="003929C7"/>
    <w:rsid w:val="0039385B"/>
    <w:rsid w:val="00394C69"/>
    <w:rsid w:val="00395D69"/>
    <w:rsid w:val="00395F49"/>
    <w:rsid w:val="00396A1E"/>
    <w:rsid w:val="003A06DE"/>
    <w:rsid w:val="003A2170"/>
    <w:rsid w:val="003A2818"/>
    <w:rsid w:val="003A2DA5"/>
    <w:rsid w:val="003A4D2A"/>
    <w:rsid w:val="003A603E"/>
    <w:rsid w:val="003A6F5C"/>
    <w:rsid w:val="003A7223"/>
    <w:rsid w:val="003B1094"/>
    <w:rsid w:val="003B32F7"/>
    <w:rsid w:val="003B33E3"/>
    <w:rsid w:val="003B3C12"/>
    <w:rsid w:val="003B42CA"/>
    <w:rsid w:val="003B4A4A"/>
    <w:rsid w:val="003B4E9A"/>
    <w:rsid w:val="003B61A8"/>
    <w:rsid w:val="003B627B"/>
    <w:rsid w:val="003C418F"/>
    <w:rsid w:val="003C654C"/>
    <w:rsid w:val="003C6F03"/>
    <w:rsid w:val="003D1970"/>
    <w:rsid w:val="003D2185"/>
    <w:rsid w:val="003D2913"/>
    <w:rsid w:val="003D3071"/>
    <w:rsid w:val="003D3849"/>
    <w:rsid w:val="003D3DAA"/>
    <w:rsid w:val="003D51FD"/>
    <w:rsid w:val="003D531D"/>
    <w:rsid w:val="003D54A5"/>
    <w:rsid w:val="003D54BD"/>
    <w:rsid w:val="003D5DDB"/>
    <w:rsid w:val="003D6886"/>
    <w:rsid w:val="003D6B36"/>
    <w:rsid w:val="003D7D4E"/>
    <w:rsid w:val="003E274A"/>
    <w:rsid w:val="003E6BF4"/>
    <w:rsid w:val="003E7484"/>
    <w:rsid w:val="003F252C"/>
    <w:rsid w:val="003F275C"/>
    <w:rsid w:val="003F452C"/>
    <w:rsid w:val="003F486F"/>
    <w:rsid w:val="003F5057"/>
    <w:rsid w:val="003F52F6"/>
    <w:rsid w:val="003F5941"/>
    <w:rsid w:val="00400191"/>
    <w:rsid w:val="00400E8D"/>
    <w:rsid w:val="00401A3B"/>
    <w:rsid w:val="004020A8"/>
    <w:rsid w:val="004025E7"/>
    <w:rsid w:val="00403213"/>
    <w:rsid w:val="00403F0B"/>
    <w:rsid w:val="0040458C"/>
    <w:rsid w:val="00405392"/>
    <w:rsid w:val="00405DDE"/>
    <w:rsid w:val="00407887"/>
    <w:rsid w:val="004100C0"/>
    <w:rsid w:val="00410802"/>
    <w:rsid w:val="00411C1D"/>
    <w:rsid w:val="0041265C"/>
    <w:rsid w:val="004129FC"/>
    <w:rsid w:val="00412A54"/>
    <w:rsid w:val="00412B86"/>
    <w:rsid w:val="00412D77"/>
    <w:rsid w:val="004134E9"/>
    <w:rsid w:val="00413B77"/>
    <w:rsid w:val="00415563"/>
    <w:rsid w:val="004166F1"/>
    <w:rsid w:val="00416DD2"/>
    <w:rsid w:val="0041718E"/>
    <w:rsid w:val="00422171"/>
    <w:rsid w:val="00422629"/>
    <w:rsid w:val="004226F8"/>
    <w:rsid w:val="00424486"/>
    <w:rsid w:val="0042472F"/>
    <w:rsid w:val="004248AC"/>
    <w:rsid w:val="0042527F"/>
    <w:rsid w:val="00425308"/>
    <w:rsid w:val="004257DA"/>
    <w:rsid w:val="004273FC"/>
    <w:rsid w:val="00427FA2"/>
    <w:rsid w:val="00430598"/>
    <w:rsid w:val="004323BB"/>
    <w:rsid w:val="0043336F"/>
    <w:rsid w:val="00436A86"/>
    <w:rsid w:val="004371A6"/>
    <w:rsid w:val="00437606"/>
    <w:rsid w:val="004408DE"/>
    <w:rsid w:val="00442278"/>
    <w:rsid w:val="00442463"/>
    <w:rsid w:val="004434CF"/>
    <w:rsid w:val="00445975"/>
    <w:rsid w:val="00445F9A"/>
    <w:rsid w:val="0044752F"/>
    <w:rsid w:val="004509E9"/>
    <w:rsid w:val="00450CDF"/>
    <w:rsid w:val="0045144F"/>
    <w:rsid w:val="00451FC7"/>
    <w:rsid w:val="004535E0"/>
    <w:rsid w:val="00453E05"/>
    <w:rsid w:val="00454233"/>
    <w:rsid w:val="00454A53"/>
    <w:rsid w:val="00455695"/>
    <w:rsid w:val="0046078C"/>
    <w:rsid w:val="00461455"/>
    <w:rsid w:val="004629DD"/>
    <w:rsid w:val="00464C9A"/>
    <w:rsid w:val="0046695C"/>
    <w:rsid w:val="00466D99"/>
    <w:rsid w:val="0046717E"/>
    <w:rsid w:val="004707F8"/>
    <w:rsid w:val="00470994"/>
    <w:rsid w:val="004754AE"/>
    <w:rsid w:val="00475C60"/>
    <w:rsid w:val="0047761D"/>
    <w:rsid w:val="00480611"/>
    <w:rsid w:val="00480764"/>
    <w:rsid w:val="00482CB1"/>
    <w:rsid w:val="00483646"/>
    <w:rsid w:val="00483AA9"/>
    <w:rsid w:val="0048466B"/>
    <w:rsid w:val="00485AE0"/>
    <w:rsid w:val="004868A1"/>
    <w:rsid w:val="00487BC4"/>
    <w:rsid w:val="004916BF"/>
    <w:rsid w:val="00492948"/>
    <w:rsid w:val="00493273"/>
    <w:rsid w:val="00495FB3"/>
    <w:rsid w:val="0049625E"/>
    <w:rsid w:val="00497028"/>
    <w:rsid w:val="004A0F00"/>
    <w:rsid w:val="004A1FDE"/>
    <w:rsid w:val="004A30FD"/>
    <w:rsid w:val="004A340A"/>
    <w:rsid w:val="004A3A15"/>
    <w:rsid w:val="004A3B03"/>
    <w:rsid w:val="004A51C8"/>
    <w:rsid w:val="004A5F17"/>
    <w:rsid w:val="004A61C7"/>
    <w:rsid w:val="004A68E4"/>
    <w:rsid w:val="004B2EF3"/>
    <w:rsid w:val="004B32A6"/>
    <w:rsid w:val="004B6E63"/>
    <w:rsid w:val="004B7A59"/>
    <w:rsid w:val="004C0F93"/>
    <w:rsid w:val="004C1B4D"/>
    <w:rsid w:val="004C218B"/>
    <w:rsid w:val="004C21CF"/>
    <w:rsid w:val="004C4100"/>
    <w:rsid w:val="004C5A41"/>
    <w:rsid w:val="004C7646"/>
    <w:rsid w:val="004D0FC2"/>
    <w:rsid w:val="004D22E1"/>
    <w:rsid w:val="004D30B6"/>
    <w:rsid w:val="004D5609"/>
    <w:rsid w:val="004D61BC"/>
    <w:rsid w:val="004D74A1"/>
    <w:rsid w:val="004D7A60"/>
    <w:rsid w:val="004E0657"/>
    <w:rsid w:val="004E117B"/>
    <w:rsid w:val="004E1B2E"/>
    <w:rsid w:val="004E3A6B"/>
    <w:rsid w:val="004E48C2"/>
    <w:rsid w:val="004E4F09"/>
    <w:rsid w:val="004E5106"/>
    <w:rsid w:val="004E5424"/>
    <w:rsid w:val="004E5E60"/>
    <w:rsid w:val="004E6658"/>
    <w:rsid w:val="004F07F2"/>
    <w:rsid w:val="004F0E0E"/>
    <w:rsid w:val="004F1CEE"/>
    <w:rsid w:val="004F1D2A"/>
    <w:rsid w:val="004F3134"/>
    <w:rsid w:val="004F372A"/>
    <w:rsid w:val="004F3A77"/>
    <w:rsid w:val="004F5E6A"/>
    <w:rsid w:val="004F5F74"/>
    <w:rsid w:val="004F7126"/>
    <w:rsid w:val="00503DC1"/>
    <w:rsid w:val="00504D84"/>
    <w:rsid w:val="00504F03"/>
    <w:rsid w:val="00505B1F"/>
    <w:rsid w:val="00505D1B"/>
    <w:rsid w:val="005069A3"/>
    <w:rsid w:val="00510091"/>
    <w:rsid w:val="00510B90"/>
    <w:rsid w:val="00512666"/>
    <w:rsid w:val="005143CA"/>
    <w:rsid w:val="005151BE"/>
    <w:rsid w:val="00515F34"/>
    <w:rsid w:val="00515FE4"/>
    <w:rsid w:val="00517952"/>
    <w:rsid w:val="005179E5"/>
    <w:rsid w:val="005215E8"/>
    <w:rsid w:val="00521A07"/>
    <w:rsid w:val="00522D27"/>
    <w:rsid w:val="00524B89"/>
    <w:rsid w:val="00526C5C"/>
    <w:rsid w:val="005309BD"/>
    <w:rsid w:val="00532FF8"/>
    <w:rsid w:val="00533109"/>
    <w:rsid w:val="00534E29"/>
    <w:rsid w:val="00535D4F"/>
    <w:rsid w:val="00543567"/>
    <w:rsid w:val="0054496D"/>
    <w:rsid w:val="00546159"/>
    <w:rsid w:val="0054638A"/>
    <w:rsid w:val="00546603"/>
    <w:rsid w:val="00546A98"/>
    <w:rsid w:val="00547AFA"/>
    <w:rsid w:val="00547F66"/>
    <w:rsid w:val="005557E9"/>
    <w:rsid w:val="0055623F"/>
    <w:rsid w:val="0055739B"/>
    <w:rsid w:val="00557AA1"/>
    <w:rsid w:val="005627D9"/>
    <w:rsid w:val="00562B08"/>
    <w:rsid w:val="00563E0F"/>
    <w:rsid w:val="00564C57"/>
    <w:rsid w:val="00566E41"/>
    <w:rsid w:val="005711C8"/>
    <w:rsid w:val="005732A5"/>
    <w:rsid w:val="00573532"/>
    <w:rsid w:val="00573545"/>
    <w:rsid w:val="005741FB"/>
    <w:rsid w:val="00574F1B"/>
    <w:rsid w:val="00575533"/>
    <w:rsid w:val="00575BBF"/>
    <w:rsid w:val="00575F4B"/>
    <w:rsid w:val="005772F7"/>
    <w:rsid w:val="005814FE"/>
    <w:rsid w:val="00581EEB"/>
    <w:rsid w:val="0058223F"/>
    <w:rsid w:val="00582D06"/>
    <w:rsid w:val="00582EE1"/>
    <w:rsid w:val="005832C0"/>
    <w:rsid w:val="00584085"/>
    <w:rsid w:val="0058566A"/>
    <w:rsid w:val="0058671A"/>
    <w:rsid w:val="00587170"/>
    <w:rsid w:val="0059050B"/>
    <w:rsid w:val="005909C1"/>
    <w:rsid w:val="00590A51"/>
    <w:rsid w:val="00590DF1"/>
    <w:rsid w:val="00591E16"/>
    <w:rsid w:val="00592E8F"/>
    <w:rsid w:val="005930C7"/>
    <w:rsid w:val="00593892"/>
    <w:rsid w:val="00593B90"/>
    <w:rsid w:val="0059413C"/>
    <w:rsid w:val="0059598B"/>
    <w:rsid w:val="005963E6"/>
    <w:rsid w:val="00596540"/>
    <w:rsid w:val="005966A6"/>
    <w:rsid w:val="00596910"/>
    <w:rsid w:val="005970B5"/>
    <w:rsid w:val="005A0D9B"/>
    <w:rsid w:val="005A134A"/>
    <w:rsid w:val="005A16E7"/>
    <w:rsid w:val="005A1893"/>
    <w:rsid w:val="005A40A9"/>
    <w:rsid w:val="005A4745"/>
    <w:rsid w:val="005A587B"/>
    <w:rsid w:val="005A6178"/>
    <w:rsid w:val="005A642D"/>
    <w:rsid w:val="005A7101"/>
    <w:rsid w:val="005B2C72"/>
    <w:rsid w:val="005B2E6F"/>
    <w:rsid w:val="005B2F5F"/>
    <w:rsid w:val="005B34F0"/>
    <w:rsid w:val="005B5608"/>
    <w:rsid w:val="005C04B2"/>
    <w:rsid w:val="005C13E4"/>
    <w:rsid w:val="005C15BC"/>
    <w:rsid w:val="005C16FA"/>
    <w:rsid w:val="005C1BF4"/>
    <w:rsid w:val="005C3256"/>
    <w:rsid w:val="005C59A1"/>
    <w:rsid w:val="005C710B"/>
    <w:rsid w:val="005C7D78"/>
    <w:rsid w:val="005C7E77"/>
    <w:rsid w:val="005D0322"/>
    <w:rsid w:val="005D16C9"/>
    <w:rsid w:val="005D2D6E"/>
    <w:rsid w:val="005D4AF3"/>
    <w:rsid w:val="005D5386"/>
    <w:rsid w:val="005D7D46"/>
    <w:rsid w:val="005E0471"/>
    <w:rsid w:val="005E12D1"/>
    <w:rsid w:val="005E1D2C"/>
    <w:rsid w:val="005E1DD9"/>
    <w:rsid w:val="005E25B9"/>
    <w:rsid w:val="005E2BF7"/>
    <w:rsid w:val="005E4337"/>
    <w:rsid w:val="005E530A"/>
    <w:rsid w:val="005E58F5"/>
    <w:rsid w:val="005E5C9E"/>
    <w:rsid w:val="005E6189"/>
    <w:rsid w:val="005E6754"/>
    <w:rsid w:val="005F0BB1"/>
    <w:rsid w:val="005F16C6"/>
    <w:rsid w:val="005F3935"/>
    <w:rsid w:val="005F471E"/>
    <w:rsid w:val="005F51E3"/>
    <w:rsid w:val="005F5DD6"/>
    <w:rsid w:val="005F6788"/>
    <w:rsid w:val="005F6EBA"/>
    <w:rsid w:val="005F6EC7"/>
    <w:rsid w:val="005F7E9D"/>
    <w:rsid w:val="006003C5"/>
    <w:rsid w:val="00601FAB"/>
    <w:rsid w:val="006026D5"/>
    <w:rsid w:val="006032B8"/>
    <w:rsid w:val="006033B0"/>
    <w:rsid w:val="00606350"/>
    <w:rsid w:val="006121F6"/>
    <w:rsid w:val="00613E09"/>
    <w:rsid w:val="00614EDB"/>
    <w:rsid w:val="00617E1F"/>
    <w:rsid w:val="006228D0"/>
    <w:rsid w:val="00622D0F"/>
    <w:rsid w:val="00622EB2"/>
    <w:rsid w:val="00623747"/>
    <w:rsid w:val="0062391F"/>
    <w:rsid w:val="00625766"/>
    <w:rsid w:val="00626E24"/>
    <w:rsid w:val="00630217"/>
    <w:rsid w:val="0063081F"/>
    <w:rsid w:val="00631973"/>
    <w:rsid w:val="00632D9E"/>
    <w:rsid w:val="0063398B"/>
    <w:rsid w:val="006352D0"/>
    <w:rsid w:val="006363C8"/>
    <w:rsid w:val="00640091"/>
    <w:rsid w:val="006418FD"/>
    <w:rsid w:val="006457B7"/>
    <w:rsid w:val="00645F05"/>
    <w:rsid w:val="00646732"/>
    <w:rsid w:val="00652AA4"/>
    <w:rsid w:val="00653B9C"/>
    <w:rsid w:val="006564B2"/>
    <w:rsid w:val="0065665A"/>
    <w:rsid w:val="00662D03"/>
    <w:rsid w:val="006630EE"/>
    <w:rsid w:val="0066316F"/>
    <w:rsid w:val="00664B7B"/>
    <w:rsid w:val="00665711"/>
    <w:rsid w:val="00665BA5"/>
    <w:rsid w:val="00666FDF"/>
    <w:rsid w:val="0066791F"/>
    <w:rsid w:val="0067495F"/>
    <w:rsid w:val="00675674"/>
    <w:rsid w:val="00676352"/>
    <w:rsid w:val="00676A7F"/>
    <w:rsid w:val="006805F4"/>
    <w:rsid w:val="006807E3"/>
    <w:rsid w:val="00681E86"/>
    <w:rsid w:val="00681F13"/>
    <w:rsid w:val="006827C3"/>
    <w:rsid w:val="00683C77"/>
    <w:rsid w:val="0068417A"/>
    <w:rsid w:val="00684195"/>
    <w:rsid w:val="006848CC"/>
    <w:rsid w:val="00684F87"/>
    <w:rsid w:val="00687F21"/>
    <w:rsid w:val="00690EEB"/>
    <w:rsid w:val="006937BD"/>
    <w:rsid w:val="00694300"/>
    <w:rsid w:val="0069567B"/>
    <w:rsid w:val="006963D4"/>
    <w:rsid w:val="00696CF1"/>
    <w:rsid w:val="006A056E"/>
    <w:rsid w:val="006A0CDE"/>
    <w:rsid w:val="006A2A09"/>
    <w:rsid w:val="006A31C9"/>
    <w:rsid w:val="006A31CF"/>
    <w:rsid w:val="006A3C14"/>
    <w:rsid w:val="006A3EB0"/>
    <w:rsid w:val="006A426A"/>
    <w:rsid w:val="006A6F62"/>
    <w:rsid w:val="006A7546"/>
    <w:rsid w:val="006B0FB1"/>
    <w:rsid w:val="006B1F1E"/>
    <w:rsid w:val="006B2E37"/>
    <w:rsid w:val="006B2F2A"/>
    <w:rsid w:val="006B309A"/>
    <w:rsid w:val="006B3C1B"/>
    <w:rsid w:val="006B3D3A"/>
    <w:rsid w:val="006B7511"/>
    <w:rsid w:val="006C1231"/>
    <w:rsid w:val="006C1296"/>
    <w:rsid w:val="006C3330"/>
    <w:rsid w:val="006C61F2"/>
    <w:rsid w:val="006C62C0"/>
    <w:rsid w:val="006C6B59"/>
    <w:rsid w:val="006C7CE4"/>
    <w:rsid w:val="006D5510"/>
    <w:rsid w:val="006D59DC"/>
    <w:rsid w:val="006D5B79"/>
    <w:rsid w:val="006D6C0A"/>
    <w:rsid w:val="006D7F89"/>
    <w:rsid w:val="006D7F8D"/>
    <w:rsid w:val="006E0DA9"/>
    <w:rsid w:val="006E20FE"/>
    <w:rsid w:val="006E210D"/>
    <w:rsid w:val="006E36F1"/>
    <w:rsid w:val="006E42F3"/>
    <w:rsid w:val="006E4499"/>
    <w:rsid w:val="006E582E"/>
    <w:rsid w:val="006E621D"/>
    <w:rsid w:val="006E71C5"/>
    <w:rsid w:val="006E7F3F"/>
    <w:rsid w:val="006F2164"/>
    <w:rsid w:val="006F2616"/>
    <w:rsid w:val="006F2A1D"/>
    <w:rsid w:val="006F2AA8"/>
    <w:rsid w:val="006F3DE4"/>
    <w:rsid w:val="006F4DCD"/>
    <w:rsid w:val="006F6269"/>
    <w:rsid w:val="00701613"/>
    <w:rsid w:val="00701A91"/>
    <w:rsid w:val="007021E1"/>
    <w:rsid w:val="007035B4"/>
    <w:rsid w:val="00703A0B"/>
    <w:rsid w:val="00704E38"/>
    <w:rsid w:val="0070572D"/>
    <w:rsid w:val="0070646A"/>
    <w:rsid w:val="007065E8"/>
    <w:rsid w:val="0071031C"/>
    <w:rsid w:val="0071164A"/>
    <w:rsid w:val="00712936"/>
    <w:rsid w:val="00712EB8"/>
    <w:rsid w:val="007146A9"/>
    <w:rsid w:val="007170A3"/>
    <w:rsid w:val="00722122"/>
    <w:rsid w:val="0072321A"/>
    <w:rsid w:val="00723468"/>
    <w:rsid w:val="0072397F"/>
    <w:rsid w:val="0072558D"/>
    <w:rsid w:val="007262A6"/>
    <w:rsid w:val="00732818"/>
    <w:rsid w:val="00736855"/>
    <w:rsid w:val="00737AA9"/>
    <w:rsid w:val="00740D79"/>
    <w:rsid w:val="0074226F"/>
    <w:rsid w:val="00742EE9"/>
    <w:rsid w:val="0074558D"/>
    <w:rsid w:val="00745CD8"/>
    <w:rsid w:val="00746D38"/>
    <w:rsid w:val="00747210"/>
    <w:rsid w:val="00747484"/>
    <w:rsid w:val="00747A66"/>
    <w:rsid w:val="00750C87"/>
    <w:rsid w:val="00751073"/>
    <w:rsid w:val="0075138C"/>
    <w:rsid w:val="0075260A"/>
    <w:rsid w:val="0075461D"/>
    <w:rsid w:val="00754B33"/>
    <w:rsid w:val="007556B7"/>
    <w:rsid w:val="00756C66"/>
    <w:rsid w:val="00757AC2"/>
    <w:rsid w:val="00757DEC"/>
    <w:rsid w:val="007607D4"/>
    <w:rsid w:val="007646BE"/>
    <w:rsid w:val="00765451"/>
    <w:rsid w:val="00766097"/>
    <w:rsid w:val="007703FE"/>
    <w:rsid w:val="0077047D"/>
    <w:rsid w:val="00770499"/>
    <w:rsid w:val="00770D4E"/>
    <w:rsid w:val="007716F5"/>
    <w:rsid w:val="00773B4A"/>
    <w:rsid w:val="00774E76"/>
    <w:rsid w:val="0077513E"/>
    <w:rsid w:val="00775178"/>
    <w:rsid w:val="007761B1"/>
    <w:rsid w:val="0078178F"/>
    <w:rsid w:val="00782ED7"/>
    <w:rsid w:val="007831B8"/>
    <w:rsid w:val="00783448"/>
    <w:rsid w:val="00783E6E"/>
    <w:rsid w:val="007849B4"/>
    <w:rsid w:val="007855E6"/>
    <w:rsid w:val="007858B4"/>
    <w:rsid w:val="00786AC5"/>
    <w:rsid w:val="00790841"/>
    <w:rsid w:val="0079132F"/>
    <w:rsid w:val="0079233E"/>
    <w:rsid w:val="00793640"/>
    <w:rsid w:val="007939BA"/>
    <w:rsid w:val="007973D8"/>
    <w:rsid w:val="007A0972"/>
    <w:rsid w:val="007A12CA"/>
    <w:rsid w:val="007A23C1"/>
    <w:rsid w:val="007A3271"/>
    <w:rsid w:val="007A3A0A"/>
    <w:rsid w:val="007A3A44"/>
    <w:rsid w:val="007A57F2"/>
    <w:rsid w:val="007A5B5D"/>
    <w:rsid w:val="007A72F7"/>
    <w:rsid w:val="007B0E1A"/>
    <w:rsid w:val="007B1D42"/>
    <w:rsid w:val="007B2265"/>
    <w:rsid w:val="007B2569"/>
    <w:rsid w:val="007B49BC"/>
    <w:rsid w:val="007B523D"/>
    <w:rsid w:val="007B7116"/>
    <w:rsid w:val="007C0808"/>
    <w:rsid w:val="007C1010"/>
    <w:rsid w:val="007C1415"/>
    <w:rsid w:val="007C2F27"/>
    <w:rsid w:val="007C311D"/>
    <w:rsid w:val="007C50C8"/>
    <w:rsid w:val="007C6194"/>
    <w:rsid w:val="007C68E7"/>
    <w:rsid w:val="007C6D97"/>
    <w:rsid w:val="007C74F2"/>
    <w:rsid w:val="007D0539"/>
    <w:rsid w:val="007D0C50"/>
    <w:rsid w:val="007D2D08"/>
    <w:rsid w:val="007D3B2D"/>
    <w:rsid w:val="007D49EC"/>
    <w:rsid w:val="007E041E"/>
    <w:rsid w:val="007E19CE"/>
    <w:rsid w:val="007E2587"/>
    <w:rsid w:val="007E5F9C"/>
    <w:rsid w:val="007F17AA"/>
    <w:rsid w:val="007F1EC3"/>
    <w:rsid w:val="007F337C"/>
    <w:rsid w:val="007F51BE"/>
    <w:rsid w:val="007F5B9E"/>
    <w:rsid w:val="007F6E37"/>
    <w:rsid w:val="007F7523"/>
    <w:rsid w:val="007F7C8D"/>
    <w:rsid w:val="008005CD"/>
    <w:rsid w:val="008022AD"/>
    <w:rsid w:val="00802393"/>
    <w:rsid w:val="008028A5"/>
    <w:rsid w:val="00802DAC"/>
    <w:rsid w:val="00803852"/>
    <w:rsid w:val="00804302"/>
    <w:rsid w:val="00807F88"/>
    <w:rsid w:val="008106C2"/>
    <w:rsid w:val="008112F2"/>
    <w:rsid w:val="008119DF"/>
    <w:rsid w:val="00811A40"/>
    <w:rsid w:val="0081243A"/>
    <w:rsid w:val="00812894"/>
    <w:rsid w:val="00813BB7"/>
    <w:rsid w:val="00813E7E"/>
    <w:rsid w:val="00813F3A"/>
    <w:rsid w:val="008143FB"/>
    <w:rsid w:val="008152F1"/>
    <w:rsid w:val="00816699"/>
    <w:rsid w:val="00816880"/>
    <w:rsid w:val="008206EF"/>
    <w:rsid w:val="00820A41"/>
    <w:rsid w:val="00821982"/>
    <w:rsid w:val="0082251E"/>
    <w:rsid w:val="0082340F"/>
    <w:rsid w:val="00824156"/>
    <w:rsid w:val="00824C09"/>
    <w:rsid w:val="00825346"/>
    <w:rsid w:val="008256B4"/>
    <w:rsid w:val="0083097F"/>
    <w:rsid w:val="00830D54"/>
    <w:rsid w:val="0083191F"/>
    <w:rsid w:val="00832658"/>
    <w:rsid w:val="00832C9B"/>
    <w:rsid w:val="0083418F"/>
    <w:rsid w:val="00834B73"/>
    <w:rsid w:val="00834CFF"/>
    <w:rsid w:val="008351C0"/>
    <w:rsid w:val="0083629C"/>
    <w:rsid w:val="00836754"/>
    <w:rsid w:val="00836FCE"/>
    <w:rsid w:val="00837BBF"/>
    <w:rsid w:val="008400B4"/>
    <w:rsid w:val="00842FB8"/>
    <w:rsid w:val="008439AA"/>
    <w:rsid w:val="00844900"/>
    <w:rsid w:val="0084632E"/>
    <w:rsid w:val="00846BCE"/>
    <w:rsid w:val="0084797F"/>
    <w:rsid w:val="00850CE8"/>
    <w:rsid w:val="00851381"/>
    <w:rsid w:val="008524D7"/>
    <w:rsid w:val="00852C9C"/>
    <w:rsid w:val="00856369"/>
    <w:rsid w:val="00861835"/>
    <w:rsid w:val="00861D1C"/>
    <w:rsid w:val="00861DE0"/>
    <w:rsid w:val="008639E0"/>
    <w:rsid w:val="008644D0"/>
    <w:rsid w:val="008645FA"/>
    <w:rsid w:val="00865F22"/>
    <w:rsid w:val="00865F82"/>
    <w:rsid w:val="00866D0A"/>
    <w:rsid w:val="0086774F"/>
    <w:rsid w:val="00870679"/>
    <w:rsid w:val="00870D94"/>
    <w:rsid w:val="008714F5"/>
    <w:rsid w:val="00871AC1"/>
    <w:rsid w:val="00873ADA"/>
    <w:rsid w:val="00873CBA"/>
    <w:rsid w:val="008740D7"/>
    <w:rsid w:val="00876033"/>
    <w:rsid w:val="008773B4"/>
    <w:rsid w:val="008775B5"/>
    <w:rsid w:val="008815B3"/>
    <w:rsid w:val="00881DCC"/>
    <w:rsid w:val="008821C2"/>
    <w:rsid w:val="00882705"/>
    <w:rsid w:val="008829E1"/>
    <w:rsid w:val="00885AB3"/>
    <w:rsid w:val="00886294"/>
    <w:rsid w:val="008864D7"/>
    <w:rsid w:val="00890276"/>
    <w:rsid w:val="0089155F"/>
    <w:rsid w:val="0089200F"/>
    <w:rsid w:val="00892F22"/>
    <w:rsid w:val="00892FB1"/>
    <w:rsid w:val="00895497"/>
    <w:rsid w:val="00896693"/>
    <w:rsid w:val="00896D69"/>
    <w:rsid w:val="00896DE4"/>
    <w:rsid w:val="00897842"/>
    <w:rsid w:val="008A0A53"/>
    <w:rsid w:val="008A2252"/>
    <w:rsid w:val="008A294E"/>
    <w:rsid w:val="008A2EEE"/>
    <w:rsid w:val="008A304E"/>
    <w:rsid w:val="008A3602"/>
    <w:rsid w:val="008A3CF0"/>
    <w:rsid w:val="008A3F9B"/>
    <w:rsid w:val="008A5B7B"/>
    <w:rsid w:val="008A5BEC"/>
    <w:rsid w:val="008A77D4"/>
    <w:rsid w:val="008B07DF"/>
    <w:rsid w:val="008B0C32"/>
    <w:rsid w:val="008B2E01"/>
    <w:rsid w:val="008B3178"/>
    <w:rsid w:val="008B55D2"/>
    <w:rsid w:val="008B5FD3"/>
    <w:rsid w:val="008B7ABB"/>
    <w:rsid w:val="008C0B2A"/>
    <w:rsid w:val="008C1AD8"/>
    <w:rsid w:val="008C1B22"/>
    <w:rsid w:val="008C2388"/>
    <w:rsid w:val="008C379C"/>
    <w:rsid w:val="008C3AFD"/>
    <w:rsid w:val="008C458F"/>
    <w:rsid w:val="008C4886"/>
    <w:rsid w:val="008C5439"/>
    <w:rsid w:val="008C56A9"/>
    <w:rsid w:val="008C5FBE"/>
    <w:rsid w:val="008C62B4"/>
    <w:rsid w:val="008C77E8"/>
    <w:rsid w:val="008D12BF"/>
    <w:rsid w:val="008D1A80"/>
    <w:rsid w:val="008D3526"/>
    <w:rsid w:val="008D35DC"/>
    <w:rsid w:val="008D48CC"/>
    <w:rsid w:val="008D6576"/>
    <w:rsid w:val="008D6D7C"/>
    <w:rsid w:val="008D73AB"/>
    <w:rsid w:val="008E172A"/>
    <w:rsid w:val="008E2047"/>
    <w:rsid w:val="008E241A"/>
    <w:rsid w:val="008E2AB9"/>
    <w:rsid w:val="008E4103"/>
    <w:rsid w:val="008E498D"/>
    <w:rsid w:val="008E4D22"/>
    <w:rsid w:val="008E5143"/>
    <w:rsid w:val="008E7464"/>
    <w:rsid w:val="008F06EF"/>
    <w:rsid w:val="008F087F"/>
    <w:rsid w:val="008F1137"/>
    <w:rsid w:val="008F14A1"/>
    <w:rsid w:val="008F1998"/>
    <w:rsid w:val="008F1A27"/>
    <w:rsid w:val="008F598A"/>
    <w:rsid w:val="008F5A88"/>
    <w:rsid w:val="008F6DC4"/>
    <w:rsid w:val="008F7318"/>
    <w:rsid w:val="008F744A"/>
    <w:rsid w:val="008F7DEF"/>
    <w:rsid w:val="00901583"/>
    <w:rsid w:val="009017FC"/>
    <w:rsid w:val="00901F01"/>
    <w:rsid w:val="00902335"/>
    <w:rsid w:val="0090252B"/>
    <w:rsid w:val="00902DF1"/>
    <w:rsid w:val="00904073"/>
    <w:rsid w:val="00904E7E"/>
    <w:rsid w:val="00906835"/>
    <w:rsid w:val="00910C3A"/>
    <w:rsid w:val="00910CE9"/>
    <w:rsid w:val="00910D0A"/>
    <w:rsid w:val="00911136"/>
    <w:rsid w:val="0091120D"/>
    <w:rsid w:val="00911220"/>
    <w:rsid w:val="00911312"/>
    <w:rsid w:val="009116E7"/>
    <w:rsid w:val="00911D2F"/>
    <w:rsid w:val="009143A9"/>
    <w:rsid w:val="00915D14"/>
    <w:rsid w:val="00917894"/>
    <w:rsid w:val="009204F9"/>
    <w:rsid w:val="00921A82"/>
    <w:rsid w:val="00922762"/>
    <w:rsid w:val="00923879"/>
    <w:rsid w:val="00925877"/>
    <w:rsid w:val="009258C3"/>
    <w:rsid w:val="00927201"/>
    <w:rsid w:val="00927B95"/>
    <w:rsid w:val="00927BA1"/>
    <w:rsid w:val="00932A0E"/>
    <w:rsid w:val="0093432D"/>
    <w:rsid w:val="009344B8"/>
    <w:rsid w:val="00941449"/>
    <w:rsid w:val="009416DB"/>
    <w:rsid w:val="00943421"/>
    <w:rsid w:val="009437FB"/>
    <w:rsid w:val="0094503D"/>
    <w:rsid w:val="00946182"/>
    <w:rsid w:val="009516B3"/>
    <w:rsid w:val="00951AFE"/>
    <w:rsid w:val="00951E47"/>
    <w:rsid w:val="009520E9"/>
    <w:rsid w:val="009532D9"/>
    <w:rsid w:val="00953436"/>
    <w:rsid w:val="00953B66"/>
    <w:rsid w:val="00955A40"/>
    <w:rsid w:val="00960E22"/>
    <w:rsid w:val="009614FF"/>
    <w:rsid w:val="00961946"/>
    <w:rsid w:val="00962B31"/>
    <w:rsid w:val="0096407F"/>
    <w:rsid w:val="00965735"/>
    <w:rsid w:val="00966906"/>
    <w:rsid w:val="00967E16"/>
    <w:rsid w:val="00971907"/>
    <w:rsid w:val="00971D80"/>
    <w:rsid w:val="00972983"/>
    <w:rsid w:val="00972C82"/>
    <w:rsid w:val="0097348C"/>
    <w:rsid w:val="009743CA"/>
    <w:rsid w:val="00974ABA"/>
    <w:rsid w:val="00974DA6"/>
    <w:rsid w:val="00975562"/>
    <w:rsid w:val="0097712D"/>
    <w:rsid w:val="00977FF3"/>
    <w:rsid w:val="00982554"/>
    <w:rsid w:val="00983F86"/>
    <w:rsid w:val="00985A42"/>
    <w:rsid w:val="0098675D"/>
    <w:rsid w:val="0098699F"/>
    <w:rsid w:val="00987CDC"/>
    <w:rsid w:val="00992054"/>
    <w:rsid w:val="009929FA"/>
    <w:rsid w:val="00992EAA"/>
    <w:rsid w:val="00993F1B"/>
    <w:rsid w:val="0099525C"/>
    <w:rsid w:val="00995490"/>
    <w:rsid w:val="009954BC"/>
    <w:rsid w:val="009A02C3"/>
    <w:rsid w:val="009A0773"/>
    <w:rsid w:val="009A1C4D"/>
    <w:rsid w:val="009A26E0"/>
    <w:rsid w:val="009A2D18"/>
    <w:rsid w:val="009A48C2"/>
    <w:rsid w:val="009A4A9C"/>
    <w:rsid w:val="009A53AB"/>
    <w:rsid w:val="009A5A07"/>
    <w:rsid w:val="009A6B3C"/>
    <w:rsid w:val="009B117F"/>
    <w:rsid w:val="009B1D42"/>
    <w:rsid w:val="009B20D1"/>
    <w:rsid w:val="009B3CAA"/>
    <w:rsid w:val="009B5FE0"/>
    <w:rsid w:val="009B6130"/>
    <w:rsid w:val="009B6430"/>
    <w:rsid w:val="009C218A"/>
    <w:rsid w:val="009C600C"/>
    <w:rsid w:val="009C6B82"/>
    <w:rsid w:val="009C72CA"/>
    <w:rsid w:val="009D070C"/>
    <w:rsid w:val="009D0BD4"/>
    <w:rsid w:val="009D27BD"/>
    <w:rsid w:val="009D47B7"/>
    <w:rsid w:val="009D5619"/>
    <w:rsid w:val="009D57C0"/>
    <w:rsid w:val="009D609A"/>
    <w:rsid w:val="009D69E1"/>
    <w:rsid w:val="009E1991"/>
    <w:rsid w:val="009E1F58"/>
    <w:rsid w:val="009E2050"/>
    <w:rsid w:val="009E2110"/>
    <w:rsid w:val="009E273B"/>
    <w:rsid w:val="009E279C"/>
    <w:rsid w:val="009E3FA8"/>
    <w:rsid w:val="009E7B87"/>
    <w:rsid w:val="009F101C"/>
    <w:rsid w:val="009F399F"/>
    <w:rsid w:val="009F4D14"/>
    <w:rsid w:val="00A0157A"/>
    <w:rsid w:val="00A01DFA"/>
    <w:rsid w:val="00A0313A"/>
    <w:rsid w:val="00A047D9"/>
    <w:rsid w:val="00A066A7"/>
    <w:rsid w:val="00A1060D"/>
    <w:rsid w:val="00A11CAE"/>
    <w:rsid w:val="00A13B2B"/>
    <w:rsid w:val="00A15500"/>
    <w:rsid w:val="00A15590"/>
    <w:rsid w:val="00A168FE"/>
    <w:rsid w:val="00A16A32"/>
    <w:rsid w:val="00A16A7F"/>
    <w:rsid w:val="00A20B59"/>
    <w:rsid w:val="00A23978"/>
    <w:rsid w:val="00A3010B"/>
    <w:rsid w:val="00A30992"/>
    <w:rsid w:val="00A31013"/>
    <w:rsid w:val="00A310FF"/>
    <w:rsid w:val="00A327CF"/>
    <w:rsid w:val="00A346FE"/>
    <w:rsid w:val="00A3470C"/>
    <w:rsid w:val="00A35B0C"/>
    <w:rsid w:val="00A40FEE"/>
    <w:rsid w:val="00A41EE9"/>
    <w:rsid w:val="00A42315"/>
    <w:rsid w:val="00A42E59"/>
    <w:rsid w:val="00A4498C"/>
    <w:rsid w:val="00A50E20"/>
    <w:rsid w:val="00A510F6"/>
    <w:rsid w:val="00A519B1"/>
    <w:rsid w:val="00A520DF"/>
    <w:rsid w:val="00A53A93"/>
    <w:rsid w:val="00A544CD"/>
    <w:rsid w:val="00A5588D"/>
    <w:rsid w:val="00A55909"/>
    <w:rsid w:val="00A55C6E"/>
    <w:rsid w:val="00A56B31"/>
    <w:rsid w:val="00A579A8"/>
    <w:rsid w:val="00A614BF"/>
    <w:rsid w:val="00A62B87"/>
    <w:rsid w:val="00A62BF0"/>
    <w:rsid w:val="00A64089"/>
    <w:rsid w:val="00A64131"/>
    <w:rsid w:val="00A6500B"/>
    <w:rsid w:val="00A6673A"/>
    <w:rsid w:val="00A67D6A"/>
    <w:rsid w:val="00A70867"/>
    <w:rsid w:val="00A70FC4"/>
    <w:rsid w:val="00A72BCA"/>
    <w:rsid w:val="00A73F28"/>
    <w:rsid w:val="00A74633"/>
    <w:rsid w:val="00A74DDB"/>
    <w:rsid w:val="00A7614B"/>
    <w:rsid w:val="00A76B17"/>
    <w:rsid w:val="00A7717C"/>
    <w:rsid w:val="00A80FED"/>
    <w:rsid w:val="00A81CFB"/>
    <w:rsid w:val="00A82A23"/>
    <w:rsid w:val="00A82C09"/>
    <w:rsid w:val="00A833B9"/>
    <w:rsid w:val="00A84207"/>
    <w:rsid w:val="00A84A1D"/>
    <w:rsid w:val="00A84D2C"/>
    <w:rsid w:val="00A8559F"/>
    <w:rsid w:val="00A87017"/>
    <w:rsid w:val="00A879D5"/>
    <w:rsid w:val="00A91797"/>
    <w:rsid w:val="00A95CCB"/>
    <w:rsid w:val="00A97C3A"/>
    <w:rsid w:val="00AA0E34"/>
    <w:rsid w:val="00AA0F24"/>
    <w:rsid w:val="00AA0F85"/>
    <w:rsid w:val="00AA1B81"/>
    <w:rsid w:val="00AA3138"/>
    <w:rsid w:val="00AA3312"/>
    <w:rsid w:val="00AA34AA"/>
    <w:rsid w:val="00AA5278"/>
    <w:rsid w:val="00AA7685"/>
    <w:rsid w:val="00AB0665"/>
    <w:rsid w:val="00AB0AB4"/>
    <w:rsid w:val="00AB2C8E"/>
    <w:rsid w:val="00AB3FF2"/>
    <w:rsid w:val="00AB4AC8"/>
    <w:rsid w:val="00AB5557"/>
    <w:rsid w:val="00AB56C8"/>
    <w:rsid w:val="00AB61B4"/>
    <w:rsid w:val="00AB735A"/>
    <w:rsid w:val="00AC0D76"/>
    <w:rsid w:val="00AC2085"/>
    <w:rsid w:val="00AC3AE7"/>
    <w:rsid w:val="00AC5AB9"/>
    <w:rsid w:val="00AC5E33"/>
    <w:rsid w:val="00AC6B45"/>
    <w:rsid w:val="00AD06EA"/>
    <w:rsid w:val="00AD0D8F"/>
    <w:rsid w:val="00AD1E9F"/>
    <w:rsid w:val="00AD2CAF"/>
    <w:rsid w:val="00AD3749"/>
    <w:rsid w:val="00AD3BC0"/>
    <w:rsid w:val="00AD3F60"/>
    <w:rsid w:val="00AD486F"/>
    <w:rsid w:val="00AD4CF8"/>
    <w:rsid w:val="00AD7673"/>
    <w:rsid w:val="00AD78F5"/>
    <w:rsid w:val="00AE0AB9"/>
    <w:rsid w:val="00AE15C4"/>
    <w:rsid w:val="00AE3D12"/>
    <w:rsid w:val="00AE4BAE"/>
    <w:rsid w:val="00AE4D2D"/>
    <w:rsid w:val="00AE63D9"/>
    <w:rsid w:val="00AF151B"/>
    <w:rsid w:val="00AF38D7"/>
    <w:rsid w:val="00AF39F2"/>
    <w:rsid w:val="00AF3CCA"/>
    <w:rsid w:val="00AF403D"/>
    <w:rsid w:val="00AF5BA3"/>
    <w:rsid w:val="00AF6514"/>
    <w:rsid w:val="00AF7247"/>
    <w:rsid w:val="00AF7962"/>
    <w:rsid w:val="00B00064"/>
    <w:rsid w:val="00B0082E"/>
    <w:rsid w:val="00B0084C"/>
    <w:rsid w:val="00B01485"/>
    <w:rsid w:val="00B01A88"/>
    <w:rsid w:val="00B01CB5"/>
    <w:rsid w:val="00B02EA9"/>
    <w:rsid w:val="00B03F4E"/>
    <w:rsid w:val="00B05122"/>
    <w:rsid w:val="00B061EE"/>
    <w:rsid w:val="00B07449"/>
    <w:rsid w:val="00B1046E"/>
    <w:rsid w:val="00B10FD8"/>
    <w:rsid w:val="00B1150E"/>
    <w:rsid w:val="00B12294"/>
    <w:rsid w:val="00B17BB9"/>
    <w:rsid w:val="00B21C27"/>
    <w:rsid w:val="00B22D0F"/>
    <w:rsid w:val="00B22D8A"/>
    <w:rsid w:val="00B23342"/>
    <w:rsid w:val="00B233C0"/>
    <w:rsid w:val="00B238A5"/>
    <w:rsid w:val="00B2555E"/>
    <w:rsid w:val="00B25F41"/>
    <w:rsid w:val="00B2603F"/>
    <w:rsid w:val="00B26234"/>
    <w:rsid w:val="00B264DA"/>
    <w:rsid w:val="00B2680A"/>
    <w:rsid w:val="00B26D37"/>
    <w:rsid w:val="00B272A3"/>
    <w:rsid w:val="00B300FA"/>
    <w:rsid w:val="00B303F9"/>
    <w:rsid w:val="00B31713"/>
    <w:rsid w:val="00B340A7"/>
    <w:rsid w:val="00B34232"/>
    <w:rsid w:val="00B34875"/>
    <w:rsid w:val="00B34AB9"/>
    <w:rsid w:val="00B34D50"/>
    <w:rsid w:val="00B37C93"/>
    <w:rsid w:val="00B37E7E"/>
    <w:rsid w:val="00B400C3"/>
    <w:rsid w:val="00B4061C"/>
    <w:rsid w:val="00B408F5"/>
    <w:rsid w:val="00B41B20"/>
    <w:rsid w:val="00B422B5"/>
    <w:rsid w:val="00B4659F"/>
    <w:rsid w:val="00B47A8A"/>
    <w:rsid w:val="00B47C72"/>
    <w:rsid w:val="00B50E97"/>
    <w:rsid w:val="00B512BD"/>
    <w:rsid w:val="00B51821"/>
    <w:rsid w:val="00B53F65"/>
    <w:rsid w:val="00B554A5"/>
    <w:rsid w:val="00B57806"/>
    <w:rsid w:val="00B61A6F"/>
    <w:rsid w:val="00B64D18"/>
    <w:rsid w:val="00B654D8"/>
    <w:rsid w:val="00B65BF8"/>
    <w:rsid w:val="00B707FF"/>
    <w:rsid w:val="00B708CE"/>
    <w:rsid w:val="00B720F6"/>
    <w:rsid w:val="00B741CA"/>
    <w:rsid w:val="00B74C25"/>
    <w:rsid w:val="00B757DC"/>
    <w:rsid w:val="00B75FBE"/>
    <w:rsid w:val="00B761ED"/>
    <w:rsid w:val="00B82079"/>
    <w:rsid w:val="00B82EE8"/>
    <w:rsid w:val="00B833F3"/>
    <w:rsid w:val="00B83803"/>
    <w:rsid w:val="00B857A8"/>
    <w:rsid w:val="00B86861"/>
    <w:rsid w:val="00B86C83"/>
    <w:rsid w:val="00B86E81"/>
    <w:rsid w:val="00B878AE"/>
    <w:rsid w:val="00B9147F"/>
    <w:rsid w:val="00B928FD"/>
    <w:rsid w:val="00B92E9C"/>
    <w:rsid w:val="00B93A88"/>
    <w:rsid w:val="00B95981"/>
    <w:rsid w:val="00B95C2B"/>
    <w:rsid w:val="00B965CD"/>
    <w:rsid w:val="00B96E1B"/>
    <w:rsid w:val="00BA05CD"/>
    <w:rsid w:val="00BA36AD"/>
    <w:rsid w:val="00BA3C75"/>
    <w:rsid w:val="00BA498D"/>
    <w:rsid w:val="00BA662E"/>
    <w:rsid w:val="00BA77F1"/>
    <w:rsid w:val="00BA78E6"/>
    <w:rsid w:val="00BB207A"/>
    <w:rsid w:val="00BB20EE"/>
    <w:rsid w:val="00BB2E38"/>
    <w:rsid w:val="00BB4234"/>
    <w:rsid w:val="00BB452F"/>
    <w:rsid w:val="00BB588E"/>
    <w:rsid w:val="00BB5A00"/>
    <w:rsid w:val="00BB758E"/>
    <w:rsid w:val="00BC128E"/>
    <w:rsid w:val="00BC1FDF"/>
    <w:rsid w:val="00BC3676"/>
    <w:rsid w:val="00BC413F"/>
    <w:rsid w:val="00BC4637"/>
    <w:rsid w:val="00BC4CB6"/>
    <w:rsid w:val="00BC6EEB"/>
    <w:rsid w:val="00BC739D"/>
    <w:rsid w:val="00BC7903"/>
    <w:rsid w:val="00BD195E"/>
    <w:rsid w:val="00BD21DB"/>
    <w:rsid w:val="00BD21FC"/>
    <w:rsid w:val="00BD35F3"/>
    <w:rsid w:val="00BD3C5A"/>
    <w:rsid w:val="00BD59AF"/>
    <w:rsid w:val="00BD69AE"/>
    <w:rsid w:val="00BE155F"/>
    <w:rsid w:val="00BE1801"/>
    <w:rsid w:val="00BE2D78"/>
    <w:rsid w:val="00BE3ACD"/>
    <w:rsid w:val="00BE3CA6"/>
    <w:rsid w:val="00BE3F27"/>
    <w:rsid w:val="00BE425D"/>
    <w:rsid w:val="00BE4C02"/>
    <w:rsid w:val="00BE5F89"/>
    <w:rsid w:val="00BE6CA1"/>
    <w:rsid w:val="00BE7363"/>
    <w:rsid w:val="00BF0345"/>
    <w:rsid w:val="00BF117B"/>
    <w:rsid w:val="00BF2029"/>
    <w:rsid w:val="00BF28CA"/>
    <w:rsid w:val="00BF4497"/>
    <w:rsid w:val="00BF533C"/>
    <w:rsid w:val="00BF61B7"/>
    <w:rsid w:val="00BF7D28"/>
    <w:rsid w:val="00C00C27"/>
    <w:rsid w:val="00C01EC6"/>
    <w:rsid w:val="00C028EE"/>
    <w:rsid w:val="00C05D1F"/>
    <w:rsid w:val="00C06B3E"/>
    <w:rsid w:val="00C072B6"/>
    <w:rsid w:val="00C072FB"/>
    <w:rsid w:val="00C10D9E"/>
    <w:rsid w:val="00C12174"/>
    <w:rsid w:val="00C12A0F"/>
    <w:rsid w:val="00C1313B"/>
    <w:rsid w:val="00C13C29"/>
    <w:rsid w:val="00C1646D"/>
    <w:rsid w:val="00C16492"/>
    <w:rsid w:val="00C17031"/>
    <w:rsid w:val="00C1711B"/>
    <w:rsid w:val="00C177DB"/>
    <w:rsid w:val="00C202AA"/>
    <w:rsid w:val="00C20ACB"/>
    <w:rsid w:val="00C2200D"/>
    <w:rsid w:val="00C22FF7"/>
    <w:rsid w:val="00C24347"/>
    <w:rsid w:val="00C24B4F"/>
    <w:rsid w:val="00C24B76"/>
    <w:rsid w:val="00C272EB"/>
    <w:rsid w:val="00C27F4E"/>
    <w:rsid w:val="00C30D42"/>
    <w:rsid w:val="00C30DF6"/>
    <w:rsid w:val="00C30FD5"/>
    <w:rsid w:val="00C3270C"/>
    <w:rsid w:val="00C33F4A"/>
    <w:rsid w:val="00C34978"/>
    <w:rsid w:val="00C356D2"/>
    <w:rsid w:val="00C3691F"/>
    <w:rsid w:val="00C36EBC"/>
    <w:rsid w:val="00C370F7"/>
    <w:rsid w:val="00C37CD6"/>
    <w:rsid w:val="00C40458"/>
    <w:rsid w:val="00C4241D"/>
    <w:rsid w:val="00C43CC0"/>
    <w:rsid w:val="00C442B8"/>
    <w:rsid w:val="00C4469A"/>
    <w:rsid w:val="00C46A68"/>
    <w:rsid w:val="00C470C8"/>
    <w:rsid w:val="00C506DD"/>
    <w:rsid w:val="00C50BE2"/>
    <w:rsid w:val="00C50F94"/>
    <w:rsid w:val="00C527DB"/>
    <w:rsid w:val="00C54FF3"/>
    <w:rsid w:val="00C55587"/>
    <w:rsid w:val="00C56148"/>
    <w:rsid w:val="00C572F2"/>
    <w:rsid w:val="00C603DC"/>
    <w:rsid w:val="00C640D4"/>
    <w:rsid w:val="00C64446"/>
    <w:rsid w:val="00C64AE7"/>
    <w:rsid w:val="00C6602A"/>
    <w:rsid w:val="00C714C9"/>
    <w:rsid w:val="00C74312"/>
    <w:rsid w:val="00C74A4B"/>
    <w:rsid w:val="00C756C3"/>
    <w:rsid w:val="00C760CC"/>
    <w:rsid w:val="00C76E4D"/>
    <w:rsid w:val="00C777E1"/>
    <w:rsid w:val="00C85283"/>
    <w:rsid w:val="00C85D37"/>
    <w:rsid w:val="00C8637B"/>
    <w:rsid w:val="00C878E8"/>
    <w:rsid w:val="00C9192D"/>
    <w:rsid w:val="00C91FEA"/>
    <w:rsid w:val="00C92A38"/>
    <w:rsid w:val="00C9480F"/>
    <w:rsid w:val="00C95BB5"/>
    <w:rsid w:val="00C95C59"/>
    <w:rsid w:val="00C960A7"/>
    <w:rsid w:val="00C96202"/>
    <w:rsid w:val="00CA01B8"/>
    <w:rsid w:val="00CA08F2"/>
    <w:rsid w:val="00CA2CEC"/>
    <w:rsid w:val="00CA3223"/>
    <w:rsid w:val="00CA43EB"/>
    <w:rsid w:val="00CA5D4E"/>
    <w:rsid w:val="00CA7124"/>
    <w:rsid w:val="00CA7A64"/>
    <w:rsid w:val="00CB151E"/>
    <w:rsid w:val="00CB29E1"/>
    <w:rsid w:val="00CB528F"/>
    <w:rsid w:val="00CB577B"/>
    <w:rsid w:val="00CB5B13"/>
    <w:rsid w:val="00CB6CE2"/>
    <w:rsid w:val="00CC0410"/>
    <w:rsid w:val="00CC3719"/>
    <w:rsid w:val="00CC5317"/>
    <w:rsid w:val="00CC5BAF"/>
    <w:rsid w:val="00CC664F"/>
    <w:rsid w:val="00CC7F4F"/>
    <w:rsid w:val="00CD1F43"/>
    <w:rsid w:val="00CD24BB"/>
    <w:rsid w:val="00CD2F56"/>
    <w:rsid w:val="00CD3095"/>
    <w:rsid w:val="00CD4E43"/>
    <w:rsid w:val="00CD6CEB"/>
    <w:rsid w:val="00CD73EC"/>
    <w:rsid w:val="00CE09D9"/>
    <w:rsid w:val="00CE12A9"/>
    <w:rsid w:val="00CE58AE"/>
    <w:rsid w:val="00CE5A58"/>
    <w:rsid w:val="00CE7C18"/>
    <w:rsid w:val="00CF0289"/>
    <w:rsid w:val="00CF03E8"/>
    <w:rsid w:val="00CF3387"/>
    <w:rsid w:val="00CF4701"/>
    <w:rsid w:val="00CF4C7D"/>
    <w:rsid w:val="00CF5FA5"/>
    <w:rsid w:val="00CF6948"/>
    <w:rsid w:val="00CF6A58"/>
    <w:rsid w:val="00CF6A6C"/>
    <w:rsid w:val="00CF6D68"/>
    <w:rsid w:val="00CF74A4"/>
    <w:rsid w:val="00D02705"/>
    <w:rsid w:val="00D02744"/>
    <w:rsid w:val="00D03831"/>
    <w:rsid w:val="00D042DD"/>
    <w:rsid w:val="00D04488"/>
    <w:rsid w:val="00D04EC0"/>
    <w:rsid w:val="00D078AE"/>
    <w:rsid w:val="00D1022D"/>
    <w:rsid w:val="00D1084E"/>
    <w:rsid w:val="00D11D1F"/>
    <w:rsid w:val="00D13A5E"/>
    <w:rsid w:val="00D146DF"/>
    <w:rsid w:val="00D149DD"/>
    <w:rsid w:val="00D1703A"/>
    <w:rsid w:val="00D177BE"/>
    <w:rsid w:val="00D21DE2"/>
    <w:rsid w:val="00D223B4"/>
    <w:rsid w:val="00D23479"/>
    <w:rsid w:val="00D23D8A"/>
    <w:rsid w:val="00D2509F"/>
    <w:rsid w:val="00D25B70"/>
    <w:rsid w:val="00D2669A"/>
    <w:rsid w:val="00D268E0"/>
    <w:rsid w:val="00D27999"/>
    <w:rsid w:val="00D27EB9"/>
    <w:rsid w:val="00D27FB0"/>
    <w:rsid w:val="00D317AB"/>
    <w:rsid w:val="00D319B1"/>
    <w:rsid w:val="00D31AEF"/>
    <w:rsid w:val="00D338D7"/>
    <w:rsid w:val="00D3442E"/>
    <w:rsid w:val="00D352E7"/>
    <w:rsid w:val="00D36117"/>
    <w:rsid w:val="00D3700B"/>
    <w:rsid w:val="00D37A20"/>
    <w:rsid w:val="00D43B86"/>
    <w:rsid w:val="00D4465B"/>
    <w:rsid w:val="00D446CF"/>
    <w:rsid w:val="00D45A17"/>
    <w:rsid w:val="00D462EA"/>
    <w:rsid w:val="00D462FF"/>
    <w:rsid w:val="00D465E6"/>
    <w:rsid w:val="00D47D0E"/>
    <w:rsid w:val="00D47E14"/>
    <w:rsid w:val="00D50171"/>
    <w:rsid w:val="00D52538"/>
    <w:rsid w:val="00D52CA8"/>
    <w:rsid w:val="00D53E4B"/>
    <w:rsid w:val="00D5473B"/>
    <w:rsid w:val="00D5562A"/>
    <w:rsid w:val="00D561B8"/>
    <w:rsid w:val="00D57605"/>
    <w:rsid w:val="00D57D16"/>
    <w:rsid w:val="00D60EDE"/>
    <w:rsid w:val="00D6212A"/>
    <w:rsid w:val="00D62618"/>
    <w:rsid w:val="00D62C76"/>
    <w:rsid w:val="00D63D43"/>
    <w:rsid w:val="00D65BE1"/>
    <w:rsid w:val="00D67551"/>
    <w:rsid w:val="00D702DA"/>
    <w:rsid w:val="00D703E1"/>
    <w:rsid w:val="00D73DB6"/>
    <w:rsid w:val="00D73E06"/>
    <w:rsid w:val="00D743A0"/>
    <w:rsid w:val="00D80B06"/>
    <w:rsid w:val="00D84B0E"/>
    <w:rsid w:val="00D86B51"/>
    <w:rsid w:val="00D86E5F"/>
    <w:rsid w:val="00D87AE1"/>
    <w:rsid w:val="00D87E45"/>
    <w:rsid w:val="00D90D17"/>
    <w:rsid w:val="00D90D85"/>
    <w:rsid w:val="00D918D1"/>
    <w:rsid w:val="00D928EF"/>
    <w:rsid w:val="00D93DE8"/>
    <w:rsid w:val="00D94FC4"/>
    <w:rsid w:val="00D95236"/>
    <w:rsid w:val="00D95B7C"/>
    <w:rsid w:val="00D95C7B"/>
    <w:rsid w:val="00D96420"/>
    <w:rsid w:val="00DA33A1"/>
    <w:rsid w:val="00DA36CF"/>
    <w:rsid w:val="00DA3837"/>
    <w:rsid w:val="00DA3B37"/>
    <w:rsid w:val="00DA43D0"/>
    <w:rsid w:val="00DA5D5B"/>
    <w:rsid w:val="00DA5FF1"/>
    <w:rsid w:val="00DA704E"/>
    <w:rsid w:val="00DA71A7"/>
    <w:rsid w:val="00DB35FA"/>
    <w:rsid w:val="00DB38C3"/>
    <w:rsid w:val="00DB3B85"/>
    <w:rsid w:val="00DB3CCC"/>
    <w:rsid w:val="00DB607B"/>
    <w:rsid w:val="00DC027F"/>
    <w:rsid w:val="00DC1607"/>
    <w:rsid w:val="00DC21A6"/>
    <w:rsid w:val="00DC3F23"/>
    <w:rsid w:val="00DC4B69"/>
    <w:rsid w:val="00DC507F"/>
    <w:rsid w:val="00DC5A86"/>
    <w:rsid w:val="00DC7720"/>
    <w:rsid w:val="00DC7F53"/>
    <w:rsid w:val="00DD020E"/>
    <w:rsid w:val="00DD04A5"/>
    <w:rsid w:val="00DD0CA8"/>
    <w:rsid w:val="00DD2482"/>
    <w:rsid w:val="00DD24A5"/>
    <w:rsid w:val="00DD30CE"/>
    <w:rsid w:val="00DD31C1"/>
    <w:rsid w:val="00DD3D52"/>
    <w:rsid w:val="00DD516D"/>
    <w:rsid w:val="00DD5A4A"/>
    <w:rsid w:val="00DD7C4F"/>
    <w:rsid w:val="00DE062A"/>
    <w:rsid w:val="00DE19B0"/>
    <w:rsid w:val="00DE2A0E"/>
    <w:rsid w:val="00DE3E00"/>
    <w:rsid w:val="00DE5238"/>
    <w:rsid w:val="00DE5930"/>
    <w:rsid w:val="00DF167F"/>
    <w:rsid w:val="00DF1C43"/>
    <w:rsid w:val="00DF1F6C"/>
    <w:rsid w:val="00DF2A79"/>
    <w:rsid w:val="00DF4907"/>
    <w:rsid w:val="00DF5550"/>
    <w:rsid w:val="00DF606D"/>
    <w:rsid w:val="00DF6BE5"/>
    <w:rsid w:val="00DF7AF8"/>
    <w:rsid w:val="00E001BB"/>
    <w:rsid w:val="00E00345"/>
    <w:rsid w:val="00E016FF"/>
    <w:rsid w:val="00E02265"/>
    <w:rsid w:val="00E03C6A"/>
    <w:rsid w:val="00E048C0"/>
    <w:rsid w:val="00E04A8F"/>
    <w:rsid w:val="00E06D18"/>
    <w:rsid w:val="00E077F4"/>
    <w:rsid w:val="00E07D36"/>
    <w:rsid w:val="00E1267A"/>
    <w:rsid w:val="00E15269"/>
    <w:rsid w:val="00E154B8"/>
    <w:rsid w:val="00E16F3C"/>
    <w:rsid w:val="00E21F61"/>
    <w:rsid w:val="00E22AE8"/>
    <w:rsid w:val="00E22AED"/>
    <w:rsid w:val="00E238E2"/>
    <w:rsid w:val="00E253F0"/>
    <w:rsid w:val="00E2582F"/>
    <w:rsid w:val="00E26D0A"/>
    <w:rsid w:val="00E300F7"/>
    <w:rsid w:val="00E302E3"/>
    <w:rsid w:val="00E30E05"/>
    <w:rsid w:val="00E30F48"/>
    <w:rsid w:val="00E32276"/>
    <w:rsid w:val="00E326A6"/>
    <w:rsid w:val="00E32B52"/>
    <w:rsid w:val="00E3367F"/>
    <w:rsid w:val="00E350F2"/>
    <w:rsid w:val="00E35363"/>
    <w:rsid w:val="00E36DDB"/>
    <w:rsid w:val="00E371AA"/>
    <w:rsid w:val="00E3784E"/>
    <w:rsid w:val="00E41019"/>
    <w:rsid w:val="00E422F8"/>
    <w:rsid w:val="00E42F1E"/>
    <w:rsid w:val="00E43A89"/>
    <w:rsid w:val="00E43E36"/>
    <w:rsid w:val="00E461B2"/>
    <w:rsid w:val="00E52002"/>
    <w:rsid w:val="00E56548"/>
    <w:rsid w:val="00E5683B"/>
    <w:rsid w:val="00E576B1"/>
    <w:rsid w:val="00E57D93"/>
    <w:rsid w:val="00E603E8"/>
    <w:rsid w:val="00E60F7F"/>
    <w:rsid w:val="00E61293"/>
    <w:rsid w:val="00E6278F"/>
    <w:rsid w:val="00E63A20"/>
    <w:rsid w:val="00E64402"/>
    <w:rsid w:val="00E64902"/>
    <w:rsid w:val="00E64EDE"/>
    <w:rsid w:val="00E6500F"/>
    <w:rsid w:val="00E70E1E"/>
    <w:rsid w:val="00E72E83"/>
    <w:rsid w:val="00E7525F"/>
    <w:rsid w:val="00E76EFD"/>
    <w:rsid w:val="00E77976"/>
    <w:rsid w:val="00E80651"/>
    <w:rsid w:val="00E8244A"/>
    <w:rsid w:val="00E84499"/>
    <w:rsid w:val="00E84981"/>
    <w:rsid w:val="00E84E27"/>
    <w:rsid w:val="00E84E98"/>
    <w:rsid w:val="00E85602"/>
    <w:rsid w:val="00E86747"/>
    <w:rsid w:val="00E873B9"/>
    <w:rsid w:val="00E90181"/>
    <w:rsid w:val="00E901DF"/>
    <w:rsid w:val="00E90AB7"/>
    <w:rsid w:val="00E91EBD"/>
    <w:rsid w:val="00E9366A"/>
    <w:rsid w:val="00E93B7D"/>
    <w:rsid w:val="00E93EEC"/>
    <w:rsid w:val="00E9578F"/>
    <w:rsid w:val="00E9707D"/>
    <w:rsid w:val="00E97704"/>
    <w:rsid w:val="00E978AF"/>
    <w:rsid w:val="00EA049C"/>
    <w:rsid w:val="00EA1C67"/>
    <w:rsid w:val="00EA23B8"/>
    <w:rsid w:val="00EA29EC"/>
    <w:rsid w:val="00EA2B8F"/>
    <w:rsid w:val="00EA3EB1"/>
    <w:rsid w:val="00EA43E0"/>
    <w:rsid w:val="00EA5757"/>
    <w:rsid w:val="00EA6ED1"/>
    <w:rsid w:val="00EA7D08"/>
    <w:rsid w:val="00EB05B7"/>
    <w:rsid w:val="00EB4B2B"/>
    <w:rsid w:val="00EB5E1C"/>
    <w:rsid w:val="00EB6519"/>
    <w:rsid w:val="00EB653F"/>
    <w:rsid w:val="00EB6C31"/>
    <w:rsid w:val="00EB75EC"/>
    <w:rsid w:val="00EB7D3C"/>
    <w:rsid w:val="00EC0C7A"/>
    <w:rsid w:val="00EC1183"/>
    <w:rsid w:val="00EC44A0"/>
    <w:rsid w:val="00EC53BC"/>
    <w:rsid w:val="00EC6D9D"/>
    <w:rsid w:val="00EC7AAC"/>
    <w:rsid w:val="00ED01A9"/>
    <w:rsid w:val="00ED0ACF"/>
    <w:rsid w:val="00ED0B64"/>
    <w:rsid w:val="00ED1D25"/>
    <w:rsid w:val="00ED3C7B"/>
    <w:rsid w:val="00ED3FBA"/>
    <w:rsid w:val="00ED517C"/>
    <w:rsid w:val="00ED574D"/>
    <w:rsid w:val="00ED6489"/>
    <w:rsid w:val="00ED6770"/>
    <w:rsid w:val="00ED6F8A"/>
    <w:rsid w:val="00ED70E2"/>
    <w:rsid w:val="00EE0695"/>
    <w:rsid w:val="00EE1031"/>
    <w:rsid w:val="00EE238D"/>
    <w:rsid w:val="00EE2880"/>
    <w:rsid w:val="00EE3A62"/>
    <w:rsid w:val="00EE3CB0"/>
    <w:rsid w:val="00EE4F39"/>
    <w:rsid w:val="00EE5E54"/>
    <w:rsid w:val="00EE616D"/>
    <w:rsid w:val="00EF12FD"/>
    <w:rsid w:val="00EF178A"/>
    <w:rsid w:val="00EF207C"/>
    <w:rsid w:val="00EF2424"/>
    <w:rsid w:val="00EF3697"/>
    <w:rsid w:val="00EF43F8"/>
    <w:rsid w:val="00EF7DDE"/>
    <w:rsid w:val="00F01F94"/>
    <w:rsid w:val="00F01FA4"/>
    <w:rsid w:val="00F05975"/>
    <w:rsid w:val="00F05CAF"/>
    <w:rsid w:val="00F05CD4"/>
    <w:rsid w:val="00F05CF9"/>
    <w:rsid w:val="00F05F3C"/>
    <w:rsid w:val="00F0644D"/>
    <w:rsid w:val="00F11639"/>
    <w:rsid w:val="00F121C3"/>
    <w:rsid w:val="00F15026"/>
    <w:rsid w:val="00F16141"/>
    <w:rsid w:val="00F1766F"/>
    <w:rsid w:val="00F220ED"/>
    <w:rsid w:val="00F23294"/>
    <w:rsid w:val="00F25291"/>
    <w:rsid w:val="00F261CC"/>
    <w:rsid w:val="00F273B9"/>
    <w:rsid w:val="00F3165F"/>
    <w:rsid w:val="00F3344D"/>
    <w:rsid w:val="00F33708"/>
    <w:rsid w:val="00F36101"/>
    <w:rsid w:val="00F36200"/>
    <w:rsid w:val="00F400E0"/>
    <w:rsid w:val="00F40CCF"/>
    <w:rsid w:val="00F44CB6"/>
    <w:rsid w:val="00F44CC6"/>
    <w:rsid w:val="00F457DE"/>
    <w:rsid w:val="00F4615E"/>
    <w:rsid w:val="00F47115"/>
    <w:rsid w:val="00F51D6A"/>
    <w:rsid w:val="00F51EDD"/>
    <w:rsid w:val="00F5375F"/>
    <w:rsid w:val="00F54FB3"/>
    <w:rsid w:val="00F6198A"/>
    <w:rsid w:val="00F62E68"/>
    <w:rsid w:val="00F64070"/>
    <w:rsid w:val="00F6550F"/>
    <w:rsid w:val="00F65657"/>
    <w:rsid w:val="00F65E6F"/>
    <w:rsid w:val="00F663F9"/>
    <w:rsid w:val="00F66856"/>
    <w:rsid w:val="00F66D21"/>
    <w:rsid w:val="00F74E5E"/>
    <w:rsid w:val="00F75DFB"/>
    <w:rsid w:val="00F75E44"/>
    <w:rsid w:val="00F76A50"/>
    <w:rsid w:val="00F76C1F"/>
    <w:rsid w:val="00F76D33"/>
    <w:rsid w:val="00F820FC"/>
    <w:rsid w:val="00F832F1"/>
    <w:rsid w:val="00F83EA7"/>
    <w:rsid w:val="00F866A2"/>
    <w:rsid w:val="00F90103"/>
    <w:rsid w:val="00F918C0"/>
    <w:rsid w:val="00F919F3"/>
    <w:rsid w:val="00F9208D"/>
    <w:rsid w:val="00F94431"/>
    <w:rsid w:val="00F97346"/>
    <w:rsid w:val="00F97C4B"/>
    <w:rsid w:val="00FA037F"/>
    <w:rsid w:val="00FA09FB"/>
    <w:rsid w:val="00FA1094"/>
    <w:rsid w:val="00FA1499"/>
    <w:rsid w:val="00FA14AA"/>
    <w:rsid w:val="00FA1FF6"/>
    <w:rsid w:val="00FA26DE"/>
    <w:rsid w:val="00FA2A7A"/>
    <w:rsid w:val="00FA2A8A"/>
    <w:rsid w:val="00FA32E3"/>
    <w:rsid w:val="00FA3B68"/>
    <w:rsid w:val="00FA3E37"/>
    <w:rsid w:val="00FA46A3"/>
    <w:rsid w:val="00FA62E6"/>
    <w:rsid w:val="00FB2D73"/>
    <w:rsid w:val="00FB3F9D"/>
    <w:rsid w:val="00FB4F44"/>
    <w:rsid w:val="00FB583A"/>
    <w:rsid w:val="00FB6773"/>
    <w:rsid w:val="00FB6956"/>
    <w:rsid w:val="00FB7725"/>
    <w:rsid w:val="00FC030D"/>
    <w:rsid w:val="00FC1080"/>
    <w:rsid w:val="00FC11BD"/>
    <w:rsid w:val="00FC157D"/>
    <w:rsid w:val="00FC1912"/>
    <w:rsid w:val="00FC1DEC"/>
    <w:rsid w:val="00FC389D"/>
    <w:rsid w:val="00FC77E6"/>
    <w:rsid w:val="00FD1158"/>
    <w:rsid w:val="00FD23A0"/>
    <w:rsid w:val="00FD2754"/>
    <w:rsid w:val="00FD37D4"/>
    <w:rsid w:val="00FD4156"/>
    <w:rsid w:val="00FD42F5"/>
    <w:rsid w:val="00FD5E37"/>
    <w:rsid w:val="00FD6C7C"/>
    <w:rsid w:val="00FD744F"/>
    <w:rsid w:val="00FD7BA2"/>
    <w:rsid w:val="00FE46D2"/>
    <w:rsid w:val="00FE538C"/>
    <w:rsid w:val="00FF0ABA"/>
    <w:rsid w:val="00FF1373"/>
    <w:rsid w:val="00FF1375"/>
    <w:rsid w:val="00FF1AD0"/>
    <w:rsid w:val="00FF247B"/>
    <w:rsid w:val="00FF346B"/>
    <w:rsid w:val="00FF394E"/>
    <w:rsid w:val="00FF5093"/>
    <w:rsid w:val="00FF75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8AC0A"/>
  <w15:chartTrackingRefBased/>
  <w15:docId w15:val="{DB9727F9-C602-4B56-B16B-257D6A3A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66E41"/>
    <w:rPr>
      <w:rFonts w:ascii="Times New Roman" w:hAnsi="Times New Roman"/>
    </w:rPr>
  </w:style>
  <w:style w:type="paragraph" w:styleId="Cmsor1">
    <w:name w:val="heading 1"/>
    <w:aliases w:val=" Char Char"/>
    <w:basedOn w:val="Norml"/>
    <w:next w:val="Norml"/>
    <w:link w:val="Cmsor1Char"/>
    <w:qFormat/>
    <w:rsid w:val="00566E41"/>
    <w:pPr>
      <w:keepNext/>
      <w:keepLines/>
      <w:spacing w:before="480"/>
      <w:outlineLvl w:val="0"/>
    </w:pPr>
    <w:rPr>
      <w:rFonts w:ascii="Cambria" w:eastAsia="Times New Roman" w:hAnsi="Cambria"/>
      <w:b/>
      <w:bCs/>
      <w:color w:val="365F91"/>
      <w:sz w:val="28"/>
      <w:szCs w:val="28"/>
      <w:lang w:val="x-none"/>
    </w:rPr>
  </w:style>
  <w:style w:type="paragraph" w:styleId="Cmsor2">
    <w:name w:val="heading 2"/>
    <w:basedOn w:val="Norml"/>
    <w:next w:val="Norml"/>
    <w:link w:val="Cmsor2Char"/>
    <w:autoRedefine/>
    <w:qFormat/>
    <w:rsid w:val="00566E41"/>
    <w:pPr>
      <w:keepNext/>
      <w:outlineLvl w:val="1"/>
    </w:pPr>
    <w:rPr>
      <w:rFonts w:eastAsia="Times New Roman"/>
      <w:b/>
      <w:bCs/>
      <w:iCs/>
      <w:sz w:val="24"/>
      <w:szCs w:val="28"/>
      <w:lang w:val="x-none" w:eastAsia="x-none"/>
    </w:rPr>
  </w:style>
  <w:style w:type="paragraph" w:styleId="Cmsor3">
    <w:name w:val="heading 3"/>
    <w:basedOn w:val="Norml"/>
    <w:next w:val="Norml"/>
    <w:link w:val="Cmsor3Char"/>
    <w:qFormat/>
    <w:rsid w:val="00566E41"/>
    <w:pPr>
      <w:keepNext/>
      <w:spacing w:before="240" w:after="60"/>
      <w:outlineLvl w:val="2"/>
    </w:pPr>
    <w:rPr>
      <w:rFonts w:eastAsia="Times New Roman"/>
      <w:b/>
      <w:bCs/>
      <w:sz w:val="24"/>
      <w:szCs w:val="26"/>
      <w:lang w:val="x-none" w:eastAsia="x-none"/>
    </w:rPr>
  </w:style>
  <w:style w:type="paragraph" w:styleId="Cmsor4">
    <w:name w:val="heading 4"/>
    <w:basedOn w:val="Norml"/>
    <w:next w:val="Norml"/>
    <w:link w:val="Cmsor4Char"/>
    <w:qFormat/>
    <w:rsid w:val="00566E41"/>
    <w:pPr>
      <w:keepNext/>
      <w:spacing w:before="240" w:after="60"/>
      <w:outlineLvl w:val="3"/>
    </w:pPr>
    <w:rPr>
      <w:rFonts w:eastAsia="Times New Roman"/>
      <w:b/>
      <w:bCs/>
      <w:sz w:val="26"/>
      <w:szCs w:val="28"/>
      <w:lang w:val="x-none" w:eastAsia="x-none"/>
    </w:rPr>
  </w:style>
  <w:style w:type="paragraph" w:styleId="Cmsor5">
    <w:name w:val="heading 5"/>
    <w:basedOn w:val="Norml"/>
    <w:next w:val="Norml"/>
    <w:link w:val="Cmsor5Char"/>
    <w:qFormat/>
    <w:rsid w:val="00566E41"/>
    <w:pPr>
      <w:keepNext/>
      <w:widowControl w:val="0"/>
      <w:outlineLvl w:val="4"/>
    </w:pPr>
    <w:rPr>
      <w:rFonts w:eastAsia="Times New Roman"/>
      <w:sz w:val="24"/>
      <w:u w:val="single"/>
      <w:lang w:val="x-none"/>
    </w:rPr>
  </w:style>
  <w:style w:type="paragraph" w:styleId="Cmsor7">
    <w:name w:val="heading 7"/>
    <w:basedOn w:val="Norml"/>
    <w:next w:val="Norml"/>
    <w:link w:val="Cmsor7Char"/>
    <w:qFormat/>
    <w:rsid w:val="00566E41"/>
    <w:pPr>
      <w:spacing w:before="240" w:after="60"/>
      <w:outlineLvl w:val="6"/>
    </w:pPr>
    <w:rPr>
      <w:rFonts w:eastAsia="Times New Roman"/>
      <w:sz w:val="24"/>
      <w:szCs w:val="24"/>
      <w:lang w:val="x-none" w:eastAsia="x-none"/>
    </w:rPr>
  </w:style>
  <w:style w:type="paragraph" w:styleId="Cmsor9">
    <w:name w:val="heading 9"/>
    <w:basedOn w:val="Norml"/>
    <w:next w:val="Norml"/>
    <w:link w:val="Cmsor9Char"/>
    <w:qFormat/>
    <w:rsid w:val="00566E41"/>
    <w:pPr>
      <w:spacing w:before="240" w:after="60"/>
      <w:outlineLvl w:val="8"/>
    </w:pPr>
    <w:rPr>
      <w:rFonts w:ascii="Arial" w:eastAsia="Times New Roman"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566E41"/>
    <w:rPr>
      <w:rFonts w:ascii="Cambria" w:eastAsia="Times New Roman" w:hAnsi="Cambria" w:cs="Times New Roman"/>
      <w:b/>
      <w:bCs/>
      <w:color w:val="365F91"/>
      <w:sz w:val="28"/>
      <w:szCs w:val="28"/>
      <w:lang w:eastAsia="hu-HU"/>
    </w:rPr>
  </w:style>
  <w:style w:type="character" w:customStyle="1" w:styleId="Cmsor2Char">
    <w:name w:val="Címsor 2 Char"/>
    <w:link w:val="Cmsor2"/>
    <w:rsid w:val="00566E41"/>
    <w:rPr>
      <w:rFonts w:ascii="Times New Roman" w:eastAsia="Times New Roman" w:hAnsi="Times New Roman"/>
      <w:b/>
      <w:bCs/>
      <w:iCs/>
      <w:sz w:val="24"/>
      <w:szCs w:val="28"/>
    </w:rPr>
  </w:style>
  <w:style w:type="character" w:customStyle="1" w:styleId="Cmsor3Char">
    <w:name w:val="Címsor 3 Char"/>
    <w:link w:val="Cmsor3"/>
    <w:rsid w:val="00566E41"/>
    <w:rPr>
      <w:rFonts w:ascii="Times New Roman" w:eastAsia="Times New Roman" w:hAnsi="Times New Roman"/>
      <w:b/>
      <w:bCs/>
      <w:sz w:val="24"/>
      <w:szCs w:val="26"/>
    </w:rPr>
  </w:style>
  <w:style w:type="character" w:customStyle="1" w:styleId="Cmsor4Char">
    <w:name w:val="Címsor 4 Char"/>
    <w:link w:val="Cmsor4"/>
    <w:rsid w:val="00566E41"/>
    <w:rPr>
      <w:rFonts w:ascii="Times New Roman" w:eastAsia="Times New Roman" w:hAnsi="Times New Roman"/>
      <w:b/>
      <w:bCs/>
      <w:sz w:val="26"/>
      <w:szCs w:val="28"/>
    </w:rPr>
  </w:style>
  <w:style w:type="character" w:customStyle="1" w:styleId="Cmsor5Char">
    <w:name w:val="Címsor 5 Char"/>
    <w:link w:val="Cmsor5"/>
    <w:rsid w:val="00566E41"/>
    <w:rPr>
      <w:rFonts w:ascii="Times New Roman" w:eastAsia="Times New Roman" w:hAnsi="Times New Roman" w:cs="Times New Roman"/>
      <w:sz w:val="24"/>
      <w:szCs w:val="20"/>
      <w:u w:val="single"/>
      <w:lang w:eastAsia="hu-HU"/>
    </w:rPr>
  </w:style>
  <w:style w:type="character" w:customStyle="1" w:styleId="Cmsor7Char">
    <w:name w:val="Címsor 7 Char"/>
    <w:link w:val="Cmsor7"/>
    <w:rsid w:val="00566E41"/>
    <w:rPr>
      <w:rFonts w:ascii="Times New Roman" w:eastAsia="Times New Roman" w:hAnsi="Times New Roman"/>
      <w:sz w:val="24"/>
      <w:szCs w:val="24"/>
    </w:rPr>
  </w:style>
  <w:style w:type="character" w:customStyle="1" w:styleId="Cmsor9Char">
    <w:name w:val="Címsor 9 Char"/>
    <w:link w:val="Cmsor9"/>
    <w:rsid w:val="00566E41"/>
    <w:rPr>
      <w:rFonts w:ascii="Arial" w:eastAsia="Times New Roman" w:hAnsi="Arial" w:cs="Arial"/>
      <w:sz w:val="22"/>
      <w:szCs w:val="22"/>
    </w:rPr>
  </w:style>
  <w:style w:type="paragraph" w:styleId="TJ1">
    <w:name w:val="toc 1"/>
    <w:basedOn w:val="Norml"/>
    <w:next w:val="Norml"/>
    <w:autoRedefine/>
    <w:uiPriority w:val="39"/>
    <w:unhideWhenUsed/>
    <w:qFormat/>
    <w:rsid w:val="00566E41"/>
    <w:pPr>
      <w:tabs>
        <w:tab w:val="left" w:pos="567"/>
        <w:tab w:val="right" w:leader="dot" w:pos="9214"/>
      </w:tabs>
      <w:spacing w:after="100"/>
    </w:pPr>
    <w:rPr>
      <w:rFonts w:eastAsia="Times New Roman"/>
      <w:b/>
      <w:sz w:val="22"/>
      <w:szCs w:val="22"/>
      <w:lang w:eastAsia="en-US"/>
    </w:rPr>
  </w:style>
  <w:style w:type="paragraph" w:styleId="TJ2">
    <w:name w:val="toc 2"/>
    <w:basedOn w:val="Norml"/>
    <w:next w:val="Norml"/>
    <w:autoRedefine/>
    <w:uiPriority w:val="39"/>
    <w:unhideWhenUsed/>
    <w:qFormat/>
    <w:rsid w:val="00566E41"/>
    <w:pPr>
      <w:tabs>
        <w:tab w:val="right" w:leader="dot" w:pos="9214"/>
      </w:tabs>
      <w:spacing w:after="100"/>
      <w:ind w:left="567"/>
    </w:pPr>
    <w:rPr>
      <w:rFonts w:ascii="Garamond" w:eastAsia="Times New Roman" w:hAnsi="Garamond"/>
      <w:b/>
      <w:i/>
      <w:noProof/>
      <w:snapToGrid w:val="0"/>
      <w:sz w:val="22"/>
      <w:szCs w:val="22"/>
      <w:lang w:eastAsia="en-US"/>
    </w:rPr>
  </w:style>
  <w:style w:type="paragraph" w:styleId="TJ3">
    <w:name w:val="toc 3"/>
    <w:basedOn w:val="Norml"/>
    <w:next w:val="Norml"/>
    <w:autoRedefine/>
    <w:uiPriority w:val="39"/>
    <w:unhideWhenUsed/>
    <w:qFormat/>
    <w:rsid w:val="00566E41"/>
    <w:pPr>
      <w:tabs>
        <w:tab w:val="right" w:leader="dot" w:pos="9072"/>
      </w:tabs>
      <w:spacing w:after="100" w:line="276" w:lineRule="auto"/>
      <w:ind w:left="567"/>
    </w:pPr>
    <w:rPr>
      <w:rFonts w:ascii="Calibri" w:eastAsia="Times New Roman" w:hAnsi="Calibri"/>
      <w:b/>
      <w:i/>
      <w:noProof/>
      <w:sz w:val="22"/>
      <w:szCs w:val="22"/>
      <w:lang w:eastAsia="en-US"/>
    </w:rPr>
  </w:style>
  <w:style w:type="paragraph" w:styleId="Cm">
    <w:name w:val="Title"/>
    <w:basedOn w:val="Norml"/>
    <w:link w:val="CmChar"/>
    <w:qFormat/>
    <w:rsid w:val="00566E41"/>
    <w:pPr>
      <w:numPr>
        <w:numId w:val="2"/>
      </w:numPr>
      <w:spacing w:before="360" w:after="120"/>
    </w:pPr>
    <w:rPr>
      <w:rFonts w:eastAsia="Times New Roman"/>
      <w:b/>
      <w:snapToGrid w:val="0"/>
      <w:sz w:val="28"/>
      <w:szCs w:val="24"/>
      <w:lang w:val="x-none" w:eastAsia="x-none"/>
    </w:rPr>
  </w:style>
  <w:style w:type="character" w:customStyle="1" w:styleId="CmChar">
    <w:name w:val="Cím Char"/>
    <w:link w:val="Cm"/>
    <w:rsid w:val="00566E41"/>
    <w:rPr>
      <w:rFonts w:ascii="Times New Roman" w:eastAsia="Times New Roman" w:hAnsi="Times New Roman"/>
      <w:b/>
      <w:snapToGrid w:val="0"/>
      <w:sz w:val="28"/>
      <w:szCs w:val="24"/>
    </w:rPr>
  </w:style>
  <w:style w:type="character" w:styleId="Kiemels2">
    <w:name w:val="Strong"/>
    <w:qFormat/>
    <w:rsid w:val="00566E41"/>
    <w:rPr>
      <w:b/>
    </w:rPr>
  </w:style>
  <w:style w:type="paragraph" w:styleId="Nincstrkz">
    <w:name w:val="No Spacing"/>
    <w:qFormat/>
    <w:rsid w:val="00566E41"/>
    <w:rPr>
      <w:rFonts w:ascii="Times New Roman" w:eastAsia="Times New Roman" w:hAnsi="Times New Roman"/>
      <w:sz w:val="24"/>
      <w:szCs w:val="24"/>
    </w:rPr>
  </w:style>
  <w:style w:type="paragraph" w:styleId="Listaszerbekezds">
    <w:name w:val="List Paragraph"/>
    <w:basedOn w:val="Norml"/>
    <w:uiPriority w:val="34"/>
    <w:qFormat/>
    <w:rsid w:val="00566E41"/>
    <w:pPr>
      <w:ind w:left="708"/>
    </w:pPr>
    <w:rPr>
      <w:rFonts w:eastAsia="Times New Roman"/>
      <w:sz w:val="24"/>
      <w:szCs w:val="24"/>
    </w:rPr>
  </w:style>
  <w:style w:type="paragraph" w:styleId="Tartalomjegyzkcmsora">
    <w:name w:val="TOC Heading"/>
    <w:basedOn w:val="Cmsor1"/>
    <w:next w:val="Norml"/>
    <w:uiPriority w:val="39"/>
    <w:qFormat/>
    <w:rsid w:val="00566E41"/>
    <w:pPr>
      <w:spacing w:line="276" w:lineRule="auto"/>
      <w:outlineLvl w:val="9"/>
    </w:pPr>
    <w:rPr>
      <w:lang w:eastAsia="en-US"/>
    </w:rPr>
  </w:style>
  <w:style w:type="paragraph" w:styleId="Buborkszveg">
    <w:name w:val="Balloon Text"/>
    <w:basedOn w:val="Norml"/>
    <w:link w:val="BuborkszvegChar"/>
    <w:uiPriority w:val="99"/>
    <w:semiHidden/>
    <w:unhideWhenUsed/>
    <w:rsid w:val="00FC1912"/>
    <w:rPr>
      <w:rFonts w:ascii="Tahoma" w:hAnsi="Tahoma"/>
      <w:sz w:val="16"/>
      <w:szCs w:val="16"/>
      <w:lang w:val="x-none" w:eastAsia="x-none"/>
    </w:rPr>
  </w:style>
  <w:style w:type="character" w:customStyle="1" w:styleId="BuborkszvegChar">
    <w:name w:val="Buborékszöveg Char"/>
    <w:link w:val="Buborkszveg"/>
    <w:uiPriority w:val="99"/>
    <w:semiHidden/>
    <w:rsid w:val="00FC1912"/>
    <w:rPr>
      <w:rFonts w:ascii="Tahoma" w:hAnsi="Tahoma" w:cs="Tahoma"/>
      <w:sz w:val="16"/>
      <w:szCs w:val="16"/>
    </w:rPr>
  </w:style>
  <w:style w:type="character" w:styleId="Jegyzethivatkozs">
    <w:name w:val="annotation reference"/>
    <w:uiPriority w:val="99"/>
    <w:semiHidden/>
    <w:unhideWhenUsed/>
    <w:rsid w:val="00F76C1F"/>
    <w:rPr>
      <w:sz w:val="16"/>
      <w:szCs w:val="16"/>
    </w:rPr>
  </w:style>
  <w:style w:type="paragraph" w:styleId="Jegyzetszveg">
    <w:name w:val="annotation text"/>
    <w:basedOn w:val="Norml"/>
    <w:link w:val="JegyzetszvegChar"/>
    <w:uiPriority w:val="99"/>
    <w:unhideWhenUsed/>
    <w:rsid w:val="00F76C1F"/>
    <w:rPr>
      <w:lang w:val="x-none" w:eastAsia="x-none"/>
    </w:rPr>
  </w:style>
  <w:style w:type="character" w:customStyle="1" w:styleId="JegyzetszvegChar">
    <w:name w:val="Jegyzetszöveg Char"/>
    <w:link w:val="Jegyzetszveg"/>
    <w:uiPriority w:val="99"/>
    <w:rsid w:val="00F76C1F"/>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F76C1F"/>
    <w:rPr>
      <w:b/>
      <w:bCs/>
    </w:rPr>
  </w:style>
  <w:style w:type="character" w:customStyle="1" w:styleId="MegjegyzstrgyaChar">
    <w:name w:val="Megjegyzés tárgya Char"/>
    <w:link w:val="Megjegyzstrgya"/>
    <w:uiPriority w:val="99"/>
    <w:semiHidden/>
    <w:rsid w:val="00F76C1F"/>
    <w:rPr>
      <w:rFonts w:ascii="Times New Roman" w:hAnsi="Times New Roman"/>
      <w:b/>
      <w:bCs/>
    </w:rPr>
  </w:style>
  <w:style w:type="paragraph" w:styleId="Vltozat">
    <w:name w:val="Revision"/>
    <w:hidden/>
    <w:uiPriority w:val="99"/>
    <w:semiHidden/>
    <w:rsid w:val="007C1010"/>
    <w:rPr>
      <w:rFonts w:ascii="Times New Roman" w:hAnsi="Times New Roman"/>
    </w:rPr>
  </w:style>
  <w:style w:type="paragraph" w:styleId="lfej">
    <w:name w:val="header"/>
    <w:basedOn w:val="Norml"/>
    <w:link w:val="lfejChar"/>
    <w:uiPriority w:val="99"/>
    <w:unhideWhenUsed/>
    <w:rsid w:val="00F5375F"/>
    <w:pPr>
      <w:tabs>
        <w:tab w:val="center" w:pos="4536"/>
        <w:tab w:val="right" w:pos="9072"/>
      </w:tabs>
    </w:pPr>
    <w:rPr>
      <w:lang w:val="x-none" w:eastAsia="x-none"/>
    </w:rPr>
  </w:style>
  <w:style w:type="character" w:customStyle="1" w:styleId="lfejChar">
    <w:name w:val="Élőfej Char"/>
    <w:link w:val="lfej"/>
    <w:uiPriority w:val="99"/>
    <w:rsid w:val="00F5375F"/>
    <w:rPr>
      <w:rFonts w:ascii="Times New Roman" w:hAnsi="Times New Roman"/>
    </w:rPr>
  </w:style>
  <w:style w:type="paragraph" w:styleId="llb">
    <w:name w:val="footer"/>
    <w:basedOn w:val="Norml"/>
    <w:link w:val="llbChar"/>
    <w:uiPriority w:val="99"/>
    <w:unhideWhenUsed/>
    <w:rsid w:val="00F5375F"/>
    <w:pPr>
      <w:tabs>
        <w:tab w:val="center" w:pos="4536"/>
        <w:tab w:val="right" w:pos="9072"/>
      </w:tabs>
    </w:pPr>
    <w:rPr>
      <w:lang w:val="x-none" w:eastAsia="x-none"/>
    </w:rPr>
  </w:style>
  <w:style w:type="character" w:customStyle="1" w:styleId="llbChar">
    <w:name w:val="Élőláb Char"/>
    <w:link w:val="llb"/>
    <w:uiPriority w:val="99"/>
    <w:rsid w:val="00F5375F"/>
    <w:rPr>
      <w:rFonts w:ascii="Times New Roman" w:hAnsi="Times New Roman"/>
    </w:rPr>
  </w:style>
  <w:style w:type="character" w:customStyle="1" w:styleId="st1">
    <w:name w:val="st1"/>
    <w:rsid w:val="00B2603F"/>
  </w:style>
  <w:style w:type="character" w:styleId="Hiperhivatkozs">
    <w:name w:val="Hyperlink"/>
    <w:uiPriority w:val="99"/>
    <w:unhideWhenUsed/>
    <w:rsid w:val="00B83803"/>
    <w:rPr>
      <w:color w:val="0563C1"/>
      <w:u w:val="single"/>
    </w:rPr>
  </w:style>
  <w:style w:type="character" w:styleId="Megemlts">
    <w:name w:val="Mention"/>
    <w:uiPriority w:val="99"/>
    <w:semiHidden/>
    <w:unhideWhenUsed/>
    <w:rsid w:val="00B83803"/>
    <w:rPr>
      <w:color w:val="2B579A"/>
      <w:shd w:val="clear" w:color="auto" w:fill="E6E6E6"/>
    </w:rPr>
  </w:style>
  <w:style w:type="paragraph" w:styleId="NormlWeb">
    <w:name w:val="Normal (Web)"/>
    <w:basedOn w:val="Norml"/>
    <w:uiPriority w:val="99"/>
    <w:unhideWhenUsed/>
    <w:rsid w:val="009C218A"/>
    <w:pPr>
      <w:spacing w:after="20"/>
      <w:ind w:firstLine="180"/>
      <w:jc w:val="both"/>
    </w:pPr>
    <w:rPr>
      <w:rFonts w:eastAsia="Times New Roman"/>
      <w:sz w:val="24"/>
      <w:szCs w:val="24"/>
    </w:rPr>
  </w:style>
  <w:style w:type="character" w:customStyle="1" w:styleId="hl4">
    <w:name w:val="hl4"/>
    <w:basedOn w:val="Bekezdsalapbettpusa"/>
    <w:rsid w:val="00871AC1"/>
  </w:style>
  <w:style w:type="paragraph" w:customStyle="1" w:styleId="Default">
    <w:name w:val="Default"/>
    <w:rsid w:val="00314101"/>
    <w:pPr>
      <w:autoSpaceDE w:val="0"/>
      <w:autoSpaceDN w:val="0"/>
      <w:adjustRightInd w:val="0"/>
    </w:pPr>
    <w:rPr>
      <w:rFonts w:ascii="EUAlbertina" w:hAnsi="EUAlbertina" w:cs="EUAlbertina"/>
      <w:color w:val="000000"/>
      <w:sz w:val="24"/>
      <w:szCs w:val="24"/>
    </w:rPr>
  </w:style>
  <w:style w:type="paragraph" w:styleId="Lbjegyzetszveg">
    <w:name w:val="footnote text"/>
    <w:basedOn w:val="Norml"/>
    <w:link w:val="LbjegyzetszvegChar"/>
    <w:uiPriority w:val="99"/>
    <w:semiHidden/>
    <w:unhideWhenUsed/>
    <w:qFormat/>
    <w:rsid w:val="00104DF0"/>
    <w:pPr>
      <w:jc w:val="both"/>
    </w:pPr>
    <w:rPr>
      <w:rFonts w:eastAsia="Times New Roman"/>
      <w:sz w:val="16"/>
    </w:rPr>
  </w:style>
  <w:style w:type="character" w:customStyle="1" w:styleId="LbjegyzetszvegChar">
    <w:name w:val="Lábjegyzetszöveg Char"/>
    <w:basedOn w:val="Bekezdsalapbettpusa"/>
    <w:link w:val="Lbjegyzetszveg"/>
    <w:uiPriority w:val="99"/>
    <w:semiHidden/>
    <w:rsid w:val="00104DF0"/>
    <w:rPr>
      <w:rFonts w:ascii="Times New Roman" w:eastAsia="Times New Roman" w:hAnsi="Times New Roman"/>
      <w:sz w:val="16"/>
    </w:rPr>
  </w:style>
  <w:style w:type="character" w:styleId="Lbjegyzet-hivatkozs">
    <w:name w:val="footnote reference"/>
    <w:uiPriority w:val="99"/>
    <w:semiHidden/>
    <w:unhideWhenUsed/>
    <w:rsid w:val="00104DF0"/>
    <w:rPr>
      <w:vertAlign w:val="superscript"/>
    </w:rPr>
  </w:style>
  <w:style w:type="character" w:styleId="Feloldatlanmegemlts">
    <w:name w:val="Unresolved Mention"/>
    <w:basedOn w:val="Bekezdsalapbettpusa"/>
    <w:uiPriority w:val="99"/>
    <w:semiHidden/>
    <w:unhideWhenUsed/>
    <w:rsid w:val="003532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4494">
      <w:bodyDiv w:val="1"/>
      <w:marLeft w:val="0"/>
      <w:marRight w:val="0"/>
      <w:marTop w:val="0"/>
      <w:marBottom w:val="0"/>
      <w:divBdr>
        <w:top w:val="none" w:sz="0" w:space="0" w:color="auto"/>
        <w:left w:val="none" w:sz="0" w:space="0" w:color="auto"/>
        <w:bottom w:val="none" w:sz="0" w:space="0" w:color="auto"/>
        <w:right w:val="none" w:sz="0" w:space="0" w:color="auto"/>
      </w:divBdr>
      <w:divsChild>
        <w:div w:id="792403016">
          <w:marLeft w:val="0"/>
          <w:marRight w:val="0"/>
          <w:marTop w:val="0"/>
          <w:marBottom w:val="0"/>
          <w:divBdr>
            <w:top w:val="none" w:sz="0" w:space="0" w:color="auto"/>
            <w:left w:val="none" w:sz="0" w:space="0" w:color="auto"/>
            <w:bottom w:val="none" w:sz="0" w:space="0" w:color="auto"/>
            <w:right w:val="none" w:sz="0" w:space="0" w:color="auto"/>
          </w:divBdr>
          <w:divsChild>
            <w:div w:id="73859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1045">
      <w:bodyDiv w:val="1"/>
      <w:marLeft w:val="0"/>
      <w:marRight w:val="0"/>
      <w:marTop w:val="0"/>
      <w:marBottom w:val="0"/>
      <w:divBdr>
        <w:top w:val="none" w:sz="0" w:space="0" w:color="auto"/>
        <w:left w:val="none" w:sz="0" w:space="0" w:color="auto"/>
        <w:bottom w:val="none" w:sz="0" w:space="0" w:color="auto"/>
        <w:right w:val="none" w:sz="0" w:space="0" w:color="auto"/>
      </w:divBdr>
    </w:div>
    <w:div w:id="173502303">
      <w:bodyDiv w:val="1"/>
      <w:marLeft w:val="0"/>
      <w:marRight w:val="0"/>
      <w:marTop w:val="0"/>
      <w:marBottom w:val="0"/>
      <w:divBdr>
        <w:top w:val="none" w:sz="0" w:space="0" w:color="auto"/>
        <w:left w:val="none" w:sz="0" w:space="0" w:color="auto"/>
        <w:bottom w:val="none" w:sz="0" w:space="0" w:color="auto"/>
        <w:right w:val="none" w:sz="0" w:space="0" w:color="auto"/>
      </w:divBdr>
    </w:div>
    <w:div w:id="558437972">
      <w:bodyDiv w:val="1"/>
      <w:marLeft w:val="0"/>
      <w:marRight w:val="0"/>
      <w:marTop w:val="0"/>
      <w:marBottom w:val="0"/>
      <w:divBdr>
        <w:top w:val="none" w:sz="0" w:space="0" w:color="auto"/>
        <w:left w:val="none" w:sz="0" w:space="0" w:color="auto"/>
        <w:bottom w:val="none" w:sz="0" w:space="0" w:color="auto"/>
        <w:right w:val="none" w:sz="0" w:space="0" w:color="auto"/>
      </w:divBdr>
    </w:div>
    <w:div w:id="639069976">
      <w:bodyDiv w:val="1"/>
      <w:marLeft w:val="0"/>
      <w:marRight w:val="0"/>
      <w:marTop w:val="0"/>
      <w:marBottom w:val="0"/>
      <w:divBdr>
        <w:top w:val="none" w:sz="0" w:space="0" w:color="auto"/>
        <w:left w:val="none" w:sz="0" w:space="0" w:color="auto"/>
        <w:bottom w:val="none" w:sz="0" w:space="0" w:color="auto"/>
        <w:right w:val="none" w:sz="0" w:space="0" w:color="auto"/>
      </w:divBdr>
    </w:div>
    <w:div w:id="738215531">
      <w:bodyDiv w:val="1"/>
      <w:marLeft w:val="0"/>
      <w:marRight w:val="0"/>
      <w:marTop w:val="0"/>
      <w:marBottom w:val="0"/>
      <w:divBdr>
        <w:top w:val="none" w:sz="0" w:space="0" w:color="auto"/>
        <w:left w:val="none" w:sz="0" w:space="0" w:color="auto"/>
        <w:bottom w:val="none" w:sz="0" w:space="0" w:color="auto"/>
        <w:right w:val="none" w:sz="0" w:space="0" w:color="auto"/>
      </w:divBdr>
    </w:div>
    <w:div w:id="768427900">
      <w:bodyDiv w:val="1"/>
      <w:marLeft w:val="0"/>
      <w:marRight w:val="0"/>
      <w:marTop w:val="0"/>
      <w:marBottom w:val="0"/>
      <w:divBdr>
        <w:top w:val="none" w:sz="0" w:space="0" w:color="auto"/>
        <w:left w:val="none" w:sz="0" w:space="0" w:color="auto"/>
        <w:bottom w:val="none" w:sz="0" w:space="0" w:color="auto"/>
        <w:right w:val="none" w:sz="0" w:space="0" w:color="auto"/>
      </w:divBdr>
    </w:div>
    <w:div w:id="1067194139">
      <w:bodyDiv w:val="1"/>
      <w:marLeft w:val="0"/>
      <w:marRight w:val="0"/>
      <w:marTop w:val="0"/>
      <w:marBottom w:val="0"/>
      <w:divBdr>
        <w:top w:val="none" w:sz="0" w:space="0" w:color="auto"/>
        <w:left w:val="none" w:sz="0" w:space="0" w:color="auto"/>
        <w:bottom w:val="none" w:sz="0" w:space="0" w:color="auto"/>
        <w:right w:val="none" w:sz="0" w:space="0" w:color="auto"/>
      </w:divBdr>
    </w:div>
    <w:div w:id="1234580430">
      <w:bodyDiv w:val="1"/>
      <w:marLeft w:val="0"/>
      <w:marRight w:val="0"/>
      <w:marTop w:val="0"/>
      <w:marBottom w:val="0"/>
      <w:divBdr>
        <w:top w:val="none" w:sz="0" w:space="0" w:color="auto"/>
        <w:left w:val="none" w:sz="0" w:space="0" w:color="auto"/>
        <w:bottom w:val="none" w:sz="0" w:space="0" w:color="auto"/>
        <w:right w:val="none" w:sz="0" w:space="0" w:color="auto"/>
      </w:divBdr>
    </w:div>
    <w:div w:id="1250121454">
      <w:bodyDiv w:val="1"/>
      <w:marLeft w:val="0"/>
      <w:marRight w:val="0"/>
      <w:marTop w:val="0"/>
      <w:marBottom w:val="0"/>
      <w:divBdr>
        <w:top w:val="none" w:sz="0" w:space="0" w:color="auto"/>
        <w:left w:val="none" w:sz="0" w:space="0" w:color="auto"/>
        <w:bottom w:val="none" w:sz="0" w:space="0" w:color="auto"/>
        <w:right w:val="none" w:sz="0" w:space="0" w:color="auto"/>
      </w:divBdr>
    </w:div>
    <w:div w:id="1262297310">
      <w:bodyDiv w:val="1"/>
      <w:marLeft w:val="0"/>
      <w:marRight w:val="0"/>
      <w:marTop w:val="0"/>
      <w:marBottom w:val="0"/>
      <w:divBdr>
        <w:top w:val="none" w:sz="0" w:space="0" w:color="auto"/>
        <w:left w:val="none" w:sz="0" w:space="0" w:color="auto"/>
        <w:bottom w:val="none" w:sz="0" w:space="0" w:color="auto"/>
        <w:right w:val="none" w:sz="0" w:space="0" w:color="auto"/>
      </w:divBdr>
      <w:divsChild>
        <w:div w:id="2130125091">
          <w:marLeft w:val="0"/>
          <w:marRight w:val="0"/>
          <w:marTop w:val="0"/>
          <w:marBottom w:val="0"/>
          <w:divBdr>
            <w:top w:val="none" w:sz="0" w:space="0" w:color="auto"/>
            <w:left w:val="none" w:sz="0" w:space="0" w:color="auto"/>
            <w:bottom w:val="none" w:sz="0" w:space="0" w:color="auto"/>
            <w:right w:val="none" w:sz="0" w:space="0" w:color="auto"/>
          </w:divBdr>
          <w:divsChild>
            <w:div w:id="103770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741207">
      <w:bodyDiv w:val="1"/>
      <w:marLeft w:val="0"/>
      <w:marRight w:val="0"/>
      <w:marTop w:val="0"/>
      <w:marBottom w:val="0"/>
      <w:divBdr>
        <w:top w:val="none" w:sz="0" w:space="0" w:color="auto"/>
        <w:left w:val="none" w:sz="0" w:space="0" w:color="auto"/>
        <w:bottom w:val="none" w:sz="0" w:space="0" w:color="auto"/>
        <w:right w:val="none" w:sz="0" w:space="0" w:color="auto"/>
      </w:divBdr>
    </w:div>
    <w:div w:id="1809277911">
      <w:bodyDiv w:val="1"/>
      <w:marLeft w:val="0"/>
      <w:marRight w:val="0"/>
      <w:marTop w:val="0"/>
      <w:marBottom w:val="0"/>
      <w:divBdr>
        <w:top w:val="none" w:sz="0" w:space="0" w:color="auto"/>
        <w:left w:val="none" w:sz="0" w:space="0" w:color="auto"/>
        <w:bottom w:val="none" w:sz="0" w:space="0" w:color="auto"/>
        <w:right w:val="none" w:sz="0" w:space="0" w:color="auto"/>
      </w:divBdr>
    </w:div>
    <w:div w:id="1896502949">
      <w:bodyDiv w:val="1"/>
      <w:marLeft w:val="0"/>
      <w:marRight w:val="0"/>
      <w:marTop w:val="0"/>
      <w:marBottom w:val="0"/>
      <w:divBdr>
        <w:top w:val="none" w:sz="0" w:space="0" w:color="auto"/>
        <w:left w:val="none" w:sz="0" w:space="0" w:color="auto"/>
        <w:bottom w:val="none" w:sz="0" w:space="0" w:color="auto"/>
        <w:right w:val="none" w:sz="0" w:space="0" w:color="auto"/>
      </w:divBdr>
    </w:div>
    <w:div w:id="1933320580">
      <w:bodyDiv w:val="1"/>
      <w:marLeft w:val="0"/>
      <w:marRight w:val="0"/>
      <w:marTop w:val="0"/>
      <w:marBottom w:val="0"/>
      <w:divBdr>
        <w:top w:val="none" w:sz="0" w:space="0" w:color="auto"/>
        <w:left w:val="none" w:sz="0" w:space="0" w:color="auto"/>
        <w:bottom w:val="none" w:sz="0" w:space="0" w:color="auto"/>
        <w:right w:val="none" w:sz="0" w:space="0" w:color="auto"/>
      </w:divBdr>
      <w:divsChild>
        <w:div w:id="1317222106">
          <w:marLeft w:val="0"/>
          <w:marRight w:val="0"/>
          <w:marTop w:val="0"/>
          <w:marBottom w:val="0"/>
          <w:divBdr>
            <w:top w:val="none" w:sz="0" w:space="0" w:color="auto"/>
            <w:left w:val="none" w:sz="0" w:space="0" w:color="auto"/>
            <w:bottom w:val="none" w:sz="0" w:space="0" w:color="auto"/>
            <w:right w:val="none" w:sz="0" w:space="0" w:color="auto"/>
          </w:divBdr>
          <w:divsChild>
            <w:div w:id="14076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90740">
      <w:bodyDiv w:val="1"/>
      <w:marLeft w:val="0"/>
      <w:marRight w:val="0"/>
      <w:marTop w:val="0"/>
      <w:marBottom w:val="0"/>
      <w:divBdr>
        <w:top w:val="none" w:sz="0" w:space="0" w:color="auto"/>
        <w:left w:val="none" w:sz="0" w:space="0" w:color="auto"/>
        <w:bottom w:val="none" w:sz="0" w:space="0" w:color="auto"/>
        <w:right w:val="none" w:sz="0" w:space="0" w:color="auto"/>
      </w:divBdr>
    </w:div>
    <w:div w:id="2017883401">
      <w:bodyDiv w:val="1"/>
      <w:marLeft w:val="0"/>
      <w:marRight w:val="0"/>
      <w:marTop w:val="0"/>
      <w:marBottom w:val="0"/>
      <w:divBdr>
        <w:top w:val="none" w:sz="0" w:space="0" w:color="auto"/>
        <w:left w:val="none" w:sz="0" w:space="0" w:color="auto"/>
        <w:bottom w:val="none" w:sz="0" w:space="0" w:color="auto"/>
        <w:right w:val="none" w:sz="0" w:space="0" w:color="auto"/>
      </w:divBdr>
    </w:div>
    <w:div w:id="201938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66FD0E-1B27-4DA1-B495-1EC67C1B38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99A6D4-E441-4D51-9517-AFA2D653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754A50-1B92-42B3-B28A-047BB8FF73E7}">
  <ds:schemaRefs>
    <ds:schemaRef ds:uri="http://schemas.microsoft.com/sharepoint/v3/contenttype/forms"/>
  </ds:schemaRefs>
</ds:datastoreItem>
</file>

<file path=customXml/itemProps4.xml><?xml version="1.0" encoding="utf-8"?>
<ds:datastoreItem xmlns:ds="http://schemas.openxmlformats.org/officeDocument/2006/customXml" ds:itemID="{CB60C4D2-CF5C-491D-8F84-0C235A9E6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2850</Words>
  <Characters>19668</Characters>
  <Application>Microsoft Office Word</Application>
  <DocSecurity>0</DocSecurity>
  <Lines>163</Lines>
  <Paragraphs>44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Bakacs Ferencne</dc:creator>
  <cp:keywords/>
  <cp:lastModifiedBy>MNB</cp:lastModifiedBy>
  <cp:revision>13</cp:revision>
  <cp:lastPrinted>2025-10-31T07:29:00Z</cp:lastPrinted>
  <dcterms:created xsi:type="dcterms:W3CDTF">2025-10-31T07:30:00Z</dcterms:created>
  <dcterms:modified xsi:type="dcterms:W3CDTF">2025-11-07T13:16:00Z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nyestem@mnb.hu</vt:lpwstr>
  </property>
  <property fmtid="{D5CDD505-2E9C-101B-9397-08002B2CF9AE}" pid="6" name="MSIP_Label_b0d11092-50c9-4e74-84b5-b1af078dc3d0_SetDate">
    <vt:lpwstr>2018-09-17T14:20:38.1095398+02:00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2024-07-19T06:04:28Z</vt:filetime>
  </property>
  <property fmtid="{D5CDD505-2E9C-101B-9397-08002B2CF9AE}" pid="13" name="Érvényességet beállító">
    <vt:lpwstr>gubeknei</vt:lpwstr>
  </property>
  <property fmtid="{D5CDD505-2E9C-101B-9397-08002B2CF9AE}" pid="14" name="Érvényességi idő első beállítása">
    <vt:filetime>2019-07-19T06:04:32Z</vt:filetime>
  </property>
</Properties>
</file>