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345EE" w14:textId="23E35D74"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0C0838">
        <w:rPr>
          <w:rFonts w:ascii="Arial" w:hAnsi="Arial" w:cs="Arial"/>
          <w:sz w:val="20"/>
          <w:szCs w:val="20"/>
        </w:rPr>
        <w:t>…</w:t>
      </w:r>
      <w:r w:rsidR="00942731">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0C0838">
        <w:rPr>
          <w:rFonts w:ascii="Arial" w:hAnsi="Arial" w:cs="Arial"/>
          <w:sz w:val="20"/>
          <w:szCs w:val="20"/>
        </w:rPr>
        <w:t>5</w:t>
      </w:r>
      <w:r w:rsidR="00FC2DB1" w:rsidRPr="00E840AE">
        <w:rPr>
          <w:rFonts w:ascii="Arial" w:hAnsi="Arial" w:cs="Arial"/>
          <w:sz w:val="20"/>
          <w:szCs w:val="20"/>
        </w:rPr>
        <w:t>. (</w:t>
      </w:r>
      <w:r w:rsidR="000C0838">
        <w:rPr>
          <w:rFonts w:ascii="Arial" w:hAnsi="Arial" w:cs="Arial"/>
          <w:sz w:val="20"/>
          <w:szCs w:val="20"/>
        </w:rPr>
        <w:t>..</w:t>
      </w:r>
      <w:r w:rsidR="00942731">
        <w:rPr>
          <w:rFonts w:ascii="Arial" w:hAnsi="Arial" w:cs="Arial"/>
          <w:sz w:val="20"/>
          <w:szCs w:val="20"/>
        </w:rPr>
        <w:t xml:space="preserve">. </w:t>
      </w:r>
      <w:r w:rsidR="000C0838">
        <w:rPr>
          <w:rFonts w:ascii="Arial" w:hAnsi="Arial" w:cs="Arial"/>
          <w:sz w:val="20"/>
          <w:szCs w:val="20"/>
        </w:rPr>
        <w:t>..</w:t>
      </w:r>
      <w:r w:rsidR="00942731">
        <w:rPr>
          <w:rFonts w:ascii="Arial" w:hAnsi="Arial" w:cs="Arial"/>
          <w:sz w:val="20"/>
          <w:szCs w:val="20"/>
        </w:rPr>
        <w:t>.</w:t>
      </w:r>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73A9B730" w14:textId="6E4B4A5E" w:rsidR="00135655" w:rsidRPr="00E840AE" w:rsidRDefault="00AC095D" w:rsidP="00E840AE">
      <w:pPr>
        <w:ind w:left="426" w:hanging="426"/>
        <w:jc w:val="both"/>
        <w:rPr>
          <w:rFonts w:ascii="Arial" w:hAnsi="Arial" w:cs="Arial"/>
          <w:bCs/>
          <w:sz w:val="20"/>
          <w:szCs w:val="20"/>
        </w:rPr>
      </w:pPr>
      <w:r w:rsidRPr="00E840AE">
        <w:rPr>
          <w:rFonts w:ascii="Arial" w:hAnsi="Arial" w:cs="Arial"/>
          <w:bCs/>
          <w:sz w:val="20"/>
          <w:szCs w:val="20"/>
        </w:rPr>
        <w:t>2.1.</w:t>
      </w:r>
      <w:r w:rsidRPr="00E840AE">
        <w:rPr>
          <w:rFonts w:ascii="Arial" w:hAnsi="Arial" w:cs="Arial"/>
          <w:bCs/>
          <w:sz w:val="20"/>
          <w:szCs w:val="20"/>
        </w:rPr>
        <w:tab/>
      </w:r>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r w:rsidR="00A041BC">
        <w:rPr>
          <w:rFonts w:ascii="Arial" w:hAnsi="Arial" w:cs="Arial"/>
          <w:bCs/>
          <w:sz w:val="20"/>
          <w:szCs w:val="20"/>
        </w:rPr>
        <w:t>ek</w:t>
      </w:r>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r w:rsidR="00A041BC">
        <w:rPr>
          <w:rFonts w:ascii="Arial" w:hAnsi="Arial" w:cs="Arial"/>
          <w:bCs/>
          <w:sz w:val="20"/>
          <w:szCs w:val="20"/>
        </w:rPr>
        <w:t>;</w:t>
      </w:r>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p>
    <w:p w14:paraId="31141CEF" w14:textId="77777777" w:rsidR="00514023" w:rsidRPr="00E840AE" w:rsidRDefault="00514023" w:rsidP="00E840AE">
      <w:pPr>
        <w:ind w:left="426" w:hanging="426"/>
        <w:jc w:val="both"/>
        <w:rPr>
          <w:rFonts w:ascii="Arial" w:hAnsi="Arial" w:cs="Arial"/>
          <w:bCs/>
          <w:sz w:val="20"/>
          <w:szCs w:val="20"/>
        </w:rPr>
      </w:pPr>
    </w:p>
    <w:p w14:paraId="0FA5F8C6" w14:textId="199C90AD" w:rsidR="00514023" w:rsidRDefault="00AC095D" w:rsidP="00E840AE">
      <w:pPr>
        <w:ind w:left="426" w:hanging="426"/>
        <w:jc w:val="both"/>
        <w:rPr>
          <w:rFonts w:ascii="Arial" w:hAnsi="Arial" w:cs="Arial"/>
          <w:bCs/>
          <w:sz w:val="20"/>
          <w:szCs w:val="20"/>
        </w:rPr>
      </w:pPr>
      <w:r w:rsidRPr="00E840AE">
        <w:rPr>
          <w:rFonts w:ascii="Arial" w:hAnsi="Arial" w:cs="Arial"/>
          <w:bCs/>
          <w:sz w:val="20"/>
          <w:szCs w:val="20"/>
        </w:rPr>
        <w:t>2.2.</w:t>
      </w:r>
      <w:r w:rsidRPr="00E840AE">
        <w:rPr>
          <w:rFonts w:ascii="Arial" w:hAnsi="Arial" w:cs="Arial"/>
          <w:bCs/>
          <w:sz w:val="20"/>
          <w:szCs w:val="20"/>
        </w:rPr>
        <w:tab/>
      </w:r>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rFonts w:ascii="Arial" w:hAnsi="Arial" w:cs="Arial"/>
          <w:bCs/>
          <w:sz w:val="20"/>
          <w:szCs w:val="20"/>
        </w:rPr>
      </w:pPr>
    </w:p>
    <w:p w14:paraId="68736B3A" w14:textId="36D6EA84" w:rsidR="00135655" w:rsidRPr="00E840AE" w:rsidRDefault="00135655" w:rsidP="00135655">
      <w:pPr>
        <w:ind w:left="426" w:hanging="426"/>
        <w:jc w:val="both"/>
        <w:rPr>
          <w:rFonts w:ascii="Arial" w:hAnsi="Arial" w:cs="Arial"/>
          <w:bCs/>
          <w:sz w:val="20"/>
          <w:szCs w:val="20"/>
        </w:rPr>
      </w:pPr>
      <w:r w:rsidRPr="00B64DCF">
        <w:rPr>
          <w:rFonts w:ascii="Arial" w:hAnsi="Arial" w:cs="Arial"/>
          <w:bCs/>
          <w:iCs/>
          <w:sz w:val="20"/>
          <w:szCs w:val="20"/>
        </w:rPr>
        <w:t>2.3.</w:t>
      </w:r>
      <w:r>
        <w:rPr>
          <w:rFonts w:ascii="Arial" w:hAnsi="Arial" w:cs="Arial"/>
          <w:bCs/>
          <w:i/>
          <w:sz w:val="20"/>
          <w:szCs w:val="20"/>
        </w:rPr>
        <w:tab/>
      </w:r>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p>
    <w:p w14:paraId="53FBC596" w14:textId="77777777" w:rsidR="00DB1732" w:rsidRDefault="00DB1732" w:rsidP="00E840AE">
      <w:pPr>
        <w:ind w:left="426" w:hanging="426"/>
        <w:jc w:val="both"/>
        <w:rPr>
          <w:rFonts w:ascii="Arial" w:hAnsi="Arial" w:cs="Arial"/>
          <w:bCs/>
          <w:sz w:val="20"/>
          <w:szCs w:val="20"/>
        </w:rPr>
      </w:pPr>
    </w:p>
    <w:p w14:paraId="45539498" w14:textId="77777777" w:rsidR="00135655" w:rsidRPr="00E840AE" w:rsidRDefault="00DB1732" w:rsidP="00135655">
      <w:pPr>
        <w:ind w:left="426" w:hanging="426"/>
        <w:jc w:val="both"/>
        <w:rPr>
          <w:rFonts w:ascii="Arial" w:hAnsi="Arial" w:cs="Arial"/>
          <w:bCs/>
          <w:sz w:val="20"/>
          <w:szCs w:val="20"/>
        </w:rPr>
      </w:pPr>
      <w:r>
        <w:rPr>
          <w:rFonts w:ascii="Arial" w:hAnsi="Arial" w:cs="Arial"/>
          <w:bCs/>
          <w:sz w:val="20"/>
          <w:szCs w:val="20"/>
        </w:rPr>
        <w:t xml:space="preserve">2.4. </w:t>
      </w:r>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p>
    <w:p w14:paraId="6D45820B" w14:textId="77777777" w:rsidR="00514023" w:rsidRPr="00E840AE" w:rsidRDefault="00514023" w:rsidP="00E840AE">
      <w:pPr>
        <w:ind w:left="426" w:hanging="426"/>
        <w:jc w:val="both"/>
        <w:rPr>
          <w:rFonts w:ascii="Arial" w:hAnsi="Arial" w:cs="Arial"/>
          <w:sz w:val="20"/>
          <w:szCs w:val="20"/>
        </w:rPr>
      </w:pPr>
    </w:p>
    <w:p w14:paraId="1E9AD017" w14:textId="1F0033D7" w:rsidR="00514023" w:rsidRPr="00E840AE" w:rsidRDefault="00AC095D" w:rsidP="00E840AE">
      <w:pPr>
        <w:ind w:left="426" w:hanging="426"/>
        <w:jc w:val="both"/>
        <w:rPr>
          <w:rFonts w:ascii="Arial" w:hAnsi="Arial" w:cs="Arial"/>
          <w:bCs/>
          <w:sz w:val="20"/>
          <w:szCs w:val="20"/>
        </w:rPr>
      </w:pPr>
      <w:r w:rsidRPr="00E840AE">
        <w:rPr>
          <w:rFonts w:ascii="Arial" w:hAnsi="Arial" w:cs="Arial"/>
          <w:sz w:val="20"/>
          <w:szCs w:val="20"/>
        </w:rPr>
        <w:t>2.</w:t>
      </w:r>
      <w:r w:rsidR="003224CD">
        <w:rPr>
          <w:rFonts w:ascii="Arial" w:hAnsi="Arial" w:cs="Arial"/>
          <w:sz w:val="20"/>
          <w:szCs w:val="20"/>
        </w:rPr>
        <w:t>5</w:t>
      </w:r>
      <w:r w:rsidRPr="00E840AE">
        <w:rPr>
          <w:rFonts w:ascii="Arial" w:hAnsi="Arial" w:cs="Arial"/>
          <w:sz w:val="20"/>
          <w:szCs w:val="20"/>
        </w:rPr>
        <w:t>.</w:t>
      </w:r>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 xml:space="preserve">megnevezésű felügyeleti jelentés (a továbbiakban: ZPTN jelentés) formai és technikai követelményeit az ERA rendszer Felhasználói kézikönyve, valamint az ERA – </w:t>
      </w:r>
      <w:proofErr w:type="spellStart"/>
      <w:r w:rsidRPr="00476FDD">
        <w:rPr>
          <w:rFonts w:ascii="Arial" w:hAnsi="Arial" w:cs="Arial"/>
          <w:snapToGrid w:val="0"/>
          <w:sz w:val="20"/>
          <w:szCs w:val="20"/>
        </w:rPr>
        <w:t>ZPT</w:t>
      </w:r>
      <w:proofErr w:type="spellEnd"/>
      <w:r w:rsidRPr="00476FDD">
        <w:rPr>
          <w:rFonts w:ascii="Arial" w:hAnsi="Arial" w:cs="Arial"/>
          <w:snapToGrid w:val="0"/>
          <w:sz w:val="20"/>
          <w:szCs w:val="20"/>
        </w:rPr>
        <w:t xml:space="preserve">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proofErr w:type="spellStart"/>
      <w:r w:rsidR="007607FE" w:rsidRPr="00E840AE">
        <w:rPr>
          <w:rFonts w:ascii="Arial" w:hAnsi="Arial" w:cs="Arial"/>
          <w:sz w:val="20"/>
          <w:szCs w:val="20"/>
        </w:rPr>
        <w:t>Öpt</w:t>
      </w:r>
      <w:proofErr w:type="spellEnd"/>
      <w:r w:rsidR="007607FE" w:rsidRPr="00E840AE">
        <w:rPr>
          <w:rFonts w:ascii="Arial" w:hAnsi="Arial" w:cs="Arial"/>
          <w:sz w:val="20"/>
          <w:szCs w:val="20"/>
        </w:rPr>
        <w: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proofErr w:type="spellStart"/>
      <w:r w:rsidR="00933BCB" w:rsidRPr="00E840AE">
        <w:rPr>
          <w:rFonts w:ascii="Arial" w:hAnsi="Arial" w:cs="Arial"/>
          <w:sz w:val="20"/>
          <w:szCs w:val="20"/>
        </w:rPr>
        <w:t>Öbr</w:t>
      </w:r>
      <w:proofErr w:type="spellEnd"/>
      <w:r w:rsidR="00933BCB" w:rsidRPr="00E840AE">
        <w:rPr>
          <w:rFonts w:ascii="Arial" w:hAnsi="Arial" w:cs="Arial"/>
          <w:sz w:val="20"/>
          <w:szCs w:val="20"/>
        </w:rPr>
        <w:t>.</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70L312 Hozamkifizetés</w:t>
      </w:r>
    </w:p>
    <w:p w14:paraId="1CFF0D28"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lastRenderedPageBreak/>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xml:space="preserve">, figyelemmel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 xml:space="preserve">lapszabályában alaptevékenységként megjelölt szolgáltatások szervezéséhez és nyújtásához kapcsolódóan, arra visszahatóan, a pénztár szolgáltatási kötelezettségén felül nyújtott szolgáltatások ellenértékét. Csak a </w:t>
      </w:r>
      <w:r w:rsidRPr="00E840AE">
        <w:rPr>
          <w:rFonts w:ascii="Arial" w:hAnsi="Arial" w:cs="Arial"/>
          <w:sz w:val="20"/>
          <w:szCs w:val="20"/>
        </w:rPr>
        <w:lastRenderedPageBreak/>
        <w:t>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w:t>
      </w:r>
      <w:proofErr w:type="spellStart"/>
      <w:r w:rsidRPr="00E840AE">
        <w:rPr>
          <w:rFonts w:ascii="Arial" w:hAnsi="Arial" w:cs="Arial"/>
          <w:sz w:val="20"/>
          <w:szCs w:val="20"/>
        </w:rPr>
        <w:t>jogcímenkénti</w:t>
      </w:r>
      <w:proofErr w:type="spellEnd"/>
      <w:r w:rsidRPr="00E840AE">
        <w:rPr>
          <w:rFonts w:ascii="Arial" w:hAnsi="Arial" w:cs="Arial"/>
          <w:sz w:val="20"/>
          <w:szCs w:val="20"/>
        </w:rPr>
        <w:t xml:space="preserve"> és </w:t>
      </w:r>
      <w:proofErr w:type="spellStart"/>
      <w:r w:rsidRPr="00E840AE">
        <w:rPr>
          <w:rFonts w:ascii="Arial" w:hAnsi="Arial" w:cs="Arial"/>
          <w:sz w:val="20"/>
          <w:szCs w:val="20"/>
        </w:rPr>
        <w:t>tartalékonkénti</w:t>
      </w:r>
      <w:proofErr w:type="spellEnd"/>
      <w:r w:rsidRPr="00E840AE">
        <w:rPr>
          <w:rFonts w:ascii="Arial" w:hAnsi="Arial" w:cs="Arial"/>
          <w:sz w:val="20"/>
          <w:szCs w:val="20"/>
        </w:rPr>
        <w:t xml:space="preserve">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Kamatjellegű bevételként kell kimutatni a kamatfedezeti ügyletekkel kapcsolatos realizált nyereséget, továbbá az óvadéki repóügylet kapcsán</w:t>
      </w:r>
      <w:r w:rsidR="00716F92" w:rsidRPr="00E840AE">
        <w:rPr>
          <w:rFonts w:ascii="Arial" w:hAnsi="Arial" w:cs="Arial"/>
          <w:sz w:val="20"/>
          <w:szCs w:val="20"/>
        </w:rPr>
        <w:t xml:space="preserve">, a </w:t>
      </w:r>
      <w:proofErr w:type="spellStart"/>
      <w:r w:rsidR="00716F92" w:rsidRPr="00E840AE">
        <w:rPr>
          <w:rFonts w:ascii="Arial" w:hAnsi="Arial" w:cs="Arial"/>
          <w:sz w:val="20"/>
          <w:szCs w:val="20"/>
        </w:rPr>
        <w:t>repóba</w:t>
      </w:r>
      <w:proofErr w:type="spellEnd"/>
      <w:r w:rsidR="00716F92" w:rsidRPr="00E840AE">
        <w:rPr>
          <w:rFonts w:ascii="Arial" w:hAnsi="Arial" w:cs="Arial"/>
          <w:sz w:val="20"/>
          <w:szCs w:val="20"/>
        </w:rPr>
        <w:t xml:space="preserve"> vevőnél</w:t>
      </w:r>
      <w:r w:rsidRPr="00E840AE">
        <w:rPr>
          <w:rFonts w:ascii="Arial" w:hAnsi="Arial" w:cs="Arial"/>
          <w:sz w:val="20"/>
          <w:szCs w:val="20"/>
        </w:rPr>
        <w:t xml:space="preserve"> a viszonteladási ár és a vételár közötti különbözet összegében realizált kamatot. Az óvadéki repó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repóügylet kapcsán a viszonteladási ár és a vételár közötti különbözet összegében realizált kamatot a </w:t>
      </w:r>
      <w:proofErr w:type="spellStart"/>
      <w:r w:rsidRPr="00E840AE">
        <w:rPr>
          <w:rFonts w:ascii="Arial" w:hAnsi="Arial" w:cs="Arial"/>
          <w:sz w:val="20"/>
          <w:szCs w:val="20"/>
        </w:rPr>
        <w:t>repóba</w:t>
      </w:r>
      <w:proofErr w:type="spellEnd"/>
      <w:r w:rsidRPr="00E840AE">
        <w:rPr>
          <w:rFonts w:ascii="Arial" w:hAnsi="Arial" w:cs="Arial"/>
          <w:sz w:val="20"/>
          <w:szCs w:val="20"/>
        </w:rPr>
        <w:t xml:space="preserve">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A fedezeti célú befektetések között nyilvántartott részesedések, részvények kibocsátójának – kiválás formájában történő – átalakulása során a kiváló gazdasági társaságtól térítés nélkül kapott 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w:t>
      </w:r>
      <w:proofErr w:type="spellStart"/>
      <w:r w:rsidRPr="00E840AE">
        <w:rPr>
          <w:rFonts w:ascii="Arial" w:hAnsi="Arial" w:cs="Arial"/>
          <w:snapToGrid w:val="0"/>
          <w:sz w:val="20"/>
        </w:rPr>
        <w:t>továbbértékesítési</w:t>
      </w:r>
      <w:proofErr w:type="spellEnd"/>
      <w:r w:rsidRPr="00E840AE">
        <w:rPr>
          <w:rFonts w:ascii="Arial" w:hAnsi="Arial" w:cs="Arial"/>
          <w:snapToGrid w:val="0"/>
          <w:sz w:val="20"/>
        </w:rPr>
        <w:t xml:space="preserve">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55C1044E" w14:textId="09D0B2B2"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w:t>
      </w:r>
      <w:r w:rsidRPr="00E81DC5">
        <w:rPr>
          <w:rFonts w:ascii="Arial" w:eastAsia="Calibri" w:hAnsi="Arial" w:cs="Arial"/>
          <w:sz w:val="20"/>
          <w:szCs w:val="20"/>
        </w:rPr>
        <w:t xml:space="preserve">pénztár tárgyidőszaki kiadásait, </w:t>
      </w:r>
      <w:proofErr w:type="spellStart"/>
      <w:r w:rsidRPr="00E81DC5">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81AC9E3" w:rsidR="007607FE" w:rsidRPr="00E81DC5"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w:t>
      </w:r>
      <w:r w:rsidRPr="00E81DC5">
        <w:rPr>
          <w:rFonts w:ascii="Arial" w:hAnsi="Arial" w:cs="Arial"/>
          <w:snapToGrid w:val="0"/>
          <w:sz w:val="20"/>
          <w:szCs w:val="20"/>
        </w:rPr>
        <w:t>elszámolt tárgyidőszaki kiadásokat</w:t>
      </w:r>
      <w:r w:rsidR="0094799A" w:rsidRPr="00E81DC5">
        <w:rPr>
          <w:rFonts w:ascii="Arial" w:hAnsi="Arial" w:cs="Arial"/>
          <w:snapToGrid w:val="0"/>
          <w:sz w:val="20"/>
          <w:szCs w:val="20"/>
        </w:rPr>
        <w:t xml:space="preserve"> </w:t>
      </w:r>
      <w:r w:rsidRPr="00E81DC5">
        <w:rPr>
          <w:rFonts w:ascii="Arial" w:hAnsi="Arial" w:cs="Arial"/>
          <w:snapToGrid w:val="0"/>
          <w:sz w:val="20"/>
          <w:szCs w:val="20"/>
        </w:rPr>
        <w:t xml:space="preserve">kell ebben a sorban kimutatni. </w:t>
      </w:r>
    </w:p>
    <w:p w14:paraId="1387705D" w14:textId="77777777" w:rsidR="002B1F2B" w:rsidRPr="00E81DC5" w:rsidRDefault="002B1F2B" w:rsidP="00E840AE">
      <w:pPr>
        <w:jc w:val="both"/>
        <w:rPr>
          <w:rFonts w:ascii="Arial" w:hAnsi="Arial" w:cs="Arial"/>
          <w:snapToGrid w:val="0"/>
          <w:sz w:val="20"/>
          <w:szCs w:val="20"/>
        </w:rPr>
      </w:pPr>
    </w:p>
    <w:p w14:paraId="4DEE5236" w14:textId="77777777" w:rsidR="007607FE" w:rsidRPr="00E81DC5" w:rsidRDefault="007607FE" w:rsidP="00E840AE">
      <w:pPr>
        <w:jc w:val="both"/>
        <w:rPr>
          <w:rFonts w:ascii="Arial" w:hAnsi="Arial" w:cs="Arial"/>
          <w:i/>
          <w:sz w:val="20"/>
          <w:szCs w:val="20"/>
        </w:rPr>
      </w:pPr>
      <w:r w:rsidRPr="00E81DC5">
        <w:rPr>
          <w:rFonts w:ascii="Arial" w:hAnsi="Arial" w:cs="Arial"/>
          <w:i/>
          <w:sz w:val="20"/>
          <w:szCs w:val="20"/>
        </w:rPr>
        <w:t>71OA210111 Egyösszegű szolgáltatások kifizetése</w:t>
      </w:r>
    </w:p>
    <w:p w14:paraId="4AD4C4D2" w14:textId="3B04E6DB" w:rsidR="007465C8" w:rsidRPr="00E81DC5" w:rsidRDefault="007607FE" w:rsidP="00E840AE">
      <w:pPr>
        <w:jc w:val="both"/>
        <w:rPr>
          <w:rFonts w:ascii="Arial" w:hAnsi="Arial" w:cs="Arial"/>
          <w:snapToGrid w:val="0"/>
          <w:sz w:val="20"/>
          <w:szCs w:val="20"/>
        </w:rPr>
      </w:pPr>
      <w:r w:rsidRPr="00E81DC5">
        <w:rPr>
          <w:rFonts w:ascii="Arial" w:hAnsi="Arial" w:cs="Arial"/>
          <w:snapToGrid w:val="0"/>
          <w:sz w:val="20"/>
          <w:szCs w:val="20"/>
        </w:rPr>
        <w:t>Ezen a soron kell kimutatni a pénztártag részére folyósított</w:t>
      </w:r>
      <w:r w:rsidRPr="00E81DC5">
        <w:rPr>
          <w:rFonts w:ascii="Arial" w:hAnsi="Arial" w:cs="Arial"/>
          <w:i/>
          <w:snapToGrid w:val="0"/>
          <w:sz w:val="20"/>
          <w:szCs w:val="20"/>
        </w:rPr>
        <w:t xml:space="preserve"> </w:t>
      </w:r>
      <w:r w:rsidRPr="00E81DC5">
        <w:rPr>
          <w:rFonts w:ascii="Arial" w:hAnsi="Arial" w:cs="Arial"/>
          <w:snapToGrid w:val="0"/>
          <w:sz w:val="20"/>
          <w:szCs w:val="20"/>
        </w:rPr>
        <w:t>díjakkal, költségekkel (ha ilyet felszámít a pénztár) csökkentett egyösszegű nyugdíjszolgáltatás összegét</w:t>
      </w:r>
      <w:r w:rsidR="007465C8" w:rsidRPr="00E81DC5">
        <w:rPr>
          <w:rFonts w:ascii="Arial" w:hAnsi="Arial" w:cs="Arial"/>
          <w:snapToGrid w:val="0"/>
          <w:sz w:val="20"/>
          <w:szCs w:val="20"/>
        </w:rPr>
        <w:t xml:space="preserve">, valamint az egyéni nyugdíj számlán lévő összeg meghatározott részének </w:t>
      </w:r>
      <w:r w:rsidR="00C80BB8" w:rsidRPr="00E81DC5">
        <w:rPr>
          <w:rFonts w:ascii="Arial" w:hAnsi="Arial" w:cs="Arial"/>
          <w:snapToGrid w:val="0"/>
          <w:sz w:val="20"/>
          <w:szCs w:val="20"/>
        </w:rPr>
        <w:t>egy</w:t>
      </w:r>
      <w:r w:rsidR="007465C8" w:rsidRPr="00E81DC5">
        <w:rPr>
          <w:rFonts w:ascii="Arial" w:hAnsi="Arial" w:cs="Arial"/>
          <w:snapToGrid w:val="0"/>
          <w:sz w:val="20"/>
          <w:szCs w:val="20"/>
        </w:rPr>
        <w:t>összeg</w:t>
      </w:r>
      <w:r w:rsidR="00C80BB8" w:rsidRPr="00E81DC5">
        <w:rPr>
          <w:rFonts w:ascii="Arial" w:hAnsi="Arial" w:cs="Arial"/>
          <w:snapToGrid w:val="0"/>
          <w:sz w:val="20"/>
          <w:szCs w:val="20"/>
        </w:rPr>
        <w:t>ű</w:t>
      </w:r>
      <w:r w:rsidR="007465C8" w:rsidRPr="00E81DC5">
        <w:rPr>
          <w:rFonts w:ascii="Arial" w:hAnsi="Arial" w:cs="Arial"/>
          <w:snapToGrid w:val="0"/>
          <w:sz w:val="20"/>
          <w:szCs w:val="20"/>
        </w:rPr>
        <w:t xml:space="preserve"> </w:t>
      </w:r>
      <w:r w:rsidR="00C80BB8" w:rsidRPr="00E81DC5">
        <w:rPr>
          <w:rFonts w:ascii="Arial" w:hAnsi="Arial" w:cs="Arial"/>
          <w:snapToGrid w:val="0"/>
          <w:sz w:val="20"/>
          <w:szCs w:val="20"/>
        </w:rPr>
        <w:t>kifizetését</w:t>
      </w:r>
      <w:r w:rsidR="007465C8" w:rsidRPr="00E81DC5">
        <w:rPr>
          <w:rFonts w:ascii="Arial" w:hAnsi="Arial" w:cs="Arial"/>
          <w:snapToGrid w:val="0"/>
          <w:sz w:val="20"/>
          <w:szCs w:val="20"/>
        </w:rPr>
        <w:t xml:space="preserve">, amennyiben </w:t>
      </w:r>
      <w:r w:rsidR="00C80BB8" w:rsidRPr="00E81DC5">
        <w:rPr>
          <w:rFonts w:ascii="Arial" w:hAnsi="Arial" w:cs="Arial"/>
          <w:snapToGrid w:val="0"/>
          <w:sz w:val="20"/>
          <w:szCs w:val="20"/>
        </w:rPr>
        <w:t xml:space="preserve">erről </w:t>
      </w:r>
      <w:r w:rsidR="00B33363" w:rsidRPr="00E81DC5">
        <w:rPr>
          <w:rFonts w:ascii="Arial" w:hAnsi="Arial" w:cs="Arial"/>
          <w:snapToGrid w:val="0"/>
          <w:sz w:val="20"/>
          <w:szCs w:val="20"/>
        </w:rPr>
        <w:t xml:space="preserve">az </w:t>
      </w:r>
      <w:proofErr w:type="spellStart"/>
      <w:r w:rsidR="00B33363" w:rsidRPr="00E81DC5">
        <w:rPr>
          <w:rFonts w:ascii="Arial" w:hAnsi="Arial" w:cs="Arial"/>
          <w:snapToGrid w:val="0"/>
          <w:sz w:val="20"/>
          <w:szCs w:val="20"/>
        </w:rPr>
        <w:t>Öpt</w:t>
      </w:r>
      <w:proofErr w:type="spellEnd"/>
      <w:r w:rsidR="00B33363" w:rsidRPr="00E81DC5">
        <w:rPr>
          <w:rFonts w:ascii="Arial" w:hAnsi="Arial" w:cs="Arial"/>
          <w:snapToGrid w:val="0"/>
          <w:sz w:val="20"/>
          <w:szCs w:val="20"/>
        </w:rPr>
        <w:t>. 47.</w:t>
      </w:r>
      <w:r w:rsidR="00B02D1D" w:rsidRPr="00E81DC5">
        <w:rPr>
          <w:rFonts w:ascii="Arial" w:hAnsi="Arial" w:cs="Arial"/>
          <w:snapToGrid w:val="0"/>
          <w:sz w:val="20"/>
          <w:szCs w:val="20"/>
        </w:rPr>
        <w:t xml:space="preserve"> </w:t>
      </w:r>
      <w:r w:rsidR="00B33363" w:rsidRPr="00E81DC5">
        <w:rPr>
          <w:rFonts w:ascii="Arial" w:hAnsi="Arial" w:cs="Arial"/>
          <w:snapToGrid w:val="0"/>
          <w:sz w:val="20"/>
          <w:szCs w:val="20"/>
        </w:rPr>
        <w:t>§ (5) bekezdés b), e) vagy f) pontja szerint nyilatkozott</w:t>
      </w:r>
      <w:r w:rsidR="00C80BB8" w:rsidRPr="00E81DC5">
        <w:rPr>
          <w:rFonts w:ascii="Arial" w:hAnsi="Arial" w:cs="Arial"/>
          <w:snapToGrid w:val="0"/>
          <w:sz w:val="20"/>
          <w:szCs w:val="20"/>
        </w:rPr>
        <w:t xml:space="preserve"> a pénztártag</w:t>
      </w:r>
      <w:r w:rsidR="007465C8" w:rsidRPr="00E81DC5">
        <w:rPr>
          <w:rFonts w:ascii="Arial" w:hAnsi="Arial" w:cs="Arial"/>
          <w:snapToGrid w:val="0"/>
          <w:sz w:val="20"/>
          <w:szCs w:val="20"/>
        </w:rPr>
        <w:t>.</w:t>
      </w:r>
    </w:p>
    <w:p w14:paraId="5F8F9902" w14:textId="77777777" w:rsidR="002B1F2B" w:rsidRPr="00E81DC5" w:rsidRDefault="002B1F2B" w:rsidP="00E840AE">
      <w:pPr>
        <w:jc w:val="both"/>
        <w:rPr>
          <w:rFonts w:ascii="Arial" w:hAnsi="Arial" w:cs="Arial"/>
          <w:snapToGrid w:val="0"/>
          <w:sz w:val="20"/>
          <w:szCs w:val="20"/>
          <w:u w:val="single"/>
        </w:rPr>
      </w:pPr>
    </w:p>
    <w:p w14:paraId="22EDD112" w14:textId="77777777" w:rsidR="007607FE" w:rsidRPr="00E81DC5" w:rsidRDefault="007607FE" w:rsidP="00E840AE">
      <w:pPr>
        <w:keepNext/>
        <w:jc w:val="both"/>
        <w:rPr>
          <w:rFonts w:ascii="Arial" w:hAnsi="Arial" w:cs="Arial"/>
          <w:b/>
          <w:i/>
          <w:sz w:val="20"/>
          <w:szCs w:val="20"/>
        </w:rPr>
      </w:pPr>
      <w:r w:rsidRPr="00E81DC5">
        <w:rPr>
          <w:rFonts w:ascii="Arial" w:hAnsi="Arial" w:cs="Arial"/>
          <w:i/>
          <w:sz w:val="20"/>
          <w:szCs w:val="20"/>
        </w:rPr>
        <w:t>71OA210112 Járadékszolgáltatások kifizetése</w:t>
      </w:r>
    </w:p>
    <w:p w14:paraId="187A763C" w14:textId="7337E55C" w:rsidR="006B15E3" w:rsidRPr="00E840AE" w:rsidRDefault="007607FE" w:rsidP="00E840AE">
      <w:pPr>
        <w:keepNext/>
        <w:jc w:val="both"/>
        <w:rPr>
          <w:rFonts w:ascii="Arial" w:hAnsi="Arial" w:cs="Arial"/>
          <w:snapToGrid w:val="0"/>
          <w:sz w:val="20"/>
          <w:szCs w:val="20"/>
        </w:rPr>
      </w:pPr>
      <w:r w:rsidRPr="00E81DC5">
        <w:rPr>
          <w:rFonts w:ascii="Arial" w:hAnsi="Arial" w:cs="Arial"/>
          <w:snapToGrid w:val="0"/>
          <w:sz w:val="20"/>
          <w:szCs w:val="20"/>
        </w:rPr>
        <w:t>Itt kell kimutatni a pénztár által</w:t>
      </w:r>
      <w:r w:rsidR="00024FFE" w:rsidRPr="00E81DC5">
        <w:rPr>
          <w:rFonts w:ascii="Arial" w:hAnsi="Arial" w:cs="Arial"/>
          <w:snapToGrid w:val="0"/>
          <w:sz w:val="20"/>
          <w:szCs w:val="20"/>
        </w:rPr>
        <w:t xml:space="preserve"> </w:t>
      </w:r>
      <w:r w:rsidRPr="00E81DC5">
        <w:rPr>
          <w:rFonts w:ascii="Arial" w:hAnsi="Arial" w:cs="Arial"/>
          <w:snapToGrid w:val="0"/>
          <w:sz w:val="20"/>
          <w:szCs w:val="20"/>
        </w:rPr>
        <w:t>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50018850"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r w:rsidR="00C76BC1">
        <w:rPr>
          <w:rFonts w:ascii="Arial" w:hAnsi="Arial" w:cs="Arial"/>
          <w:sz w:val="20"/>
          <w:szCs w:val="20"/>
        </w:rPr>
        <w:t>–</w:t>
      </w:r>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0E6033AC"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 xml:space="preserve">Itt kell kimutatnia a pénztárnak a felhalmozási időszakban lévő tagok részére teljesített rész- vagy egész kifizetésből tőke jogcímen felvett, az adott negyedévben </w:t>
      </w:r>
      <w:r w:rsidR="00477E13" w:rsidRPr="005276E0">
        <w:rPr>
          <w:rFonts w:ascii="Arial" w:hAnsi="Arial" w:cs="Arial"/>
          <w:sz w:val="20"/>
          <w:szCs w:val="20"/>
        </w:rPr>
        <w:t>elszámolt</w:t>
      </w:r>
      <w:r w:rsidR="00477E13" w:rsidRPr="00E81DC5">
        <w:rPr>
          <w:rFonts w:ascii="Arial" w:hAnsi="Arial" w:cs="Arial"/>
          <w:sz w:val="20"/>
          <w:szCs w:val="20"/>
        </w:rPr>
        <w:t xml:space="preserve"> </w:t>
      </w:r>
      <w:r w:rsidRPr="00E81DC5">
        <w:rPr>
          <w:rFonts w:ascii="Arial" w:hAnsi="Arial" w:cs="Arial"/>
          <w:sz w:val="20"/>
          <w:szCs w:val="20"/>
        </w:rPr>
        <w:t>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38471E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xml:space="preserve">- vagy egész kifizetésből hozam jogcímen felvett, az adott </w:t>
      </w:r>
      <w:r w:rsidRPr="00E81DC5">
        <w:rPr>
          <w:rFonts w:ascii="Arial" w:hAnsi="Arial" w:cs="Arial"/>
          <w:sz w:val="20"/>
          <w:szCs w:val="20"/>
        </w:rPr>
        <w:t xml:space="preserve">negyedévben </w:t>
      </w:r>
      <w:r w:rsidR="00477E13" w:rsidRPr="00E81DC5">
        <w:rPr>
          <w:rFonts w:ascii="Arial" w:hAnsi="Arial" w:cs="Arial"/>
          <w:sz w:val="20"/>
          <w:szCs w:val="20"/>
        </w:rPr>
        <w:t>elszámolt</w:t>
      </w:r>
      <w:r w:rsidRPr="00E81DC5">
        <w:rPr>
          <w:rFonts w:ascii="Arial" w:hAnsi="Arial" w:cs="Arial"/>
          <w:sz w:val="20"/>
          <w:szCs w:val="20"/>
        </w:rPr>
        <w:t xml:space="preserve"> összeget</w:t>
      </w:r>
      <w:bookmarkStart w:id="0"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0"/>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817A43" w:rsidRDefault="007607FE" w:rsidP="00E840AE">
      <w:pPr>
        <w:keepNext/>
        <w:jc w:val="both"/>
        <w:rPr>
          <w:rFonts w:ascii="Arial" w:hAnsi="Arial" w:cs="Arial"/>
          <w:b/>
          <w:i/>
          <w:sz w:val="20"/>
          <w:szCs w:val="20"/>
        </w:rPr>
      </w:pPr>
      <w:r w:rsidRPr="00E840AE">
        <w:rPr>
          <w:rFonts w:ascii="Arial" w:hAnsi="Arial" w:cs="Arial"/>
          <w:i/>
          <w:sz w:val="20"/>
          <w:szCs w:val="20"/>
        </w:rPr>
        <w:t xml:space="preserve">71OA210122 Más pénztárba </w:t>
      </w:r>
      <w:r w:rsidRPr="00817A43">
        <w:rPr>
          <w:rFonts w:ascii="Arial" w:hAnsi="Arial" w:cs="Arial"/>
          <w:i/>
          <w:sz w:val="20"/>
          <w:szCs w:val="20"/>
        </w:rPr>
        <w:t>történő átlépő tag által elvitt fedezet</w:t>
      </w:r>
    </w:p>
    <w:p w14:paraId="1385F3B1" w14:textId="77777777" w:rsidR="007607FE" w:rsidRPr="00817A43" w:rsidRDefault="007607FE" w:rsidP="00E840AE">
      <w:pPr>
        <w:keepNext/>
        <w:jc w:val="both"/>
        <w:rPr>
          <w:rFonts w:ascii="Arial" w:hAnsi="Arial" w:cs="Arial"/>
          <w:snapToGrid w:val="0"/>
          <w:sz w:val="20"/>
          <w:szCs w:val="20"/>
        </w:rPr>
      </w:pPr>
      <w:r w:rsidRPr="00817A43">
        <w:rPr>
          <w:rFonts w:ascii="Arial" w:hAnsi="Arial" w:cs="Arial"/>
          <w:sz w:val="20"/>
          <w:szCs w:val="20"/>
        </w:rPr>
        <w:t xml:space="preserve">Itt kell kimutatni azokat a </w:t>
      </w:r>
      <w:r w:rsidRPr="00817A43">
        <w:rPr>
          <w:rFonts w:ascii="Arial" w:hAnsi="Arial" w:cs="Arial"/>
          <w:snapToGrid w:val="0"/>
          <w:sz w:val="20"/>
          <w:szCs w:val="20"/>
        </w:rPr>
        <w:t xml:space="preserve">díjakkal, költségekkel csökkentett </w:t>
      </w:r>
      <w:r w:rsidRPr="00817A43">
        <w:rPr>
          <w:rFonts w:ascii="Arial" w:hAnsi="Arial" w:cs="Arial"/>
          <w:sz w:val="20"/>
          <w:szCs w:val="20"/>
        </w:rPr>
        <w:t xml:space="preserve">összegeket </w:t>
      </w:r>
      <w:r w:rsidRPr="00817A43">
        <w:rPr>
          <w:rFonts w:ascii="Arial" w:hAnsi="Arial" w:cs="Arial"/>
          <w:snapToGrid w:val="0"/>
          <w:sz w:val="20"/>
          <w:szCs w:val="20"/>
        </w:rPr>
        <w:t>(ha ilyet felszámít a pénztár)</w:t>
      </w:r>
      <w:r w:rsidRPr="00817A43">
        <w:rPr>
          <w:rFonts w:ascii="Arial" w:hAnsi="Arial" w:cs="Arial"/>
          <w:sz w:val="20"/>
          <w:szCs w:val="20"/>
        </w:rPr>
        <w:t>, amelyeket a tag egyéni számlájáról a pénztár a tag átlépése miatt a</w:t>
      </w:r>
      <w:r w:rsidRPr="00817A43">
        <w:rPr>
          <w:rFonts w:ascii="Arial" w:hAnsi="Arial" w:cs="Arial"/>
          <w:snapToGrid w:val="0"/>
          <w:sz w:val="20"/>
          <w:szCs w:val="20"/>
        </w:rPr>
        <w:t xml:space="preserve"> befogadó pénztárba átutalt.</w:t>
      </w:r>
    </w:p>
    <w:p w14:paraId="14E28919" w14:textId="77777777" w:rsidR="00FD48E1" w:rsidRPr="00817A43" w:rsidRDefault="00FD48E1" w:rsidP="00E840AE">
      <w:pPr>
        <w:keepNext/>
        <w:jc w:val="both"/>
        <w:rPr>
          <w:rFonts w:ascii="Arial" w:hAnsi="Arial" w:cs="Arial"/>
          <w:i/>
          <w:sz w:val="20"/>
          <w:szCs w:val="20"/>
        </w:rPr>
      </w:pPr>
    </w:p>
    <w:p w14:paraId="51B2359C" w14:textId="77777777" w:rsidR="00177110" w:rsidRPr="00817A43" w:rsidRDefault="00274DB9" w:rsidP="00E840AE">
      <w:pPr>
        <w:keepNext/>
        <w:jc w:val="both"/>
        <w:rPr>
          <w:rFonts w:ascii="Arial" w:hAnsi="Arial" w:cs="Arial"/>
          <w:i/>
          <w:sz w:val="20"/>
          <w:szCs w:val="20"/>
        </w:rPr>
      </w:pPr>
      <w:r w:rsidRPr="00817A43">
        <w:rPr>
          <w:rFonts w:ascii="Arial" w:hAnsi="Arial" w:cs="Arial"/>
          <w:i/>
          <w:sz w:val="20"/>
          <w:szCs w:val="20"/>
        </w:rPr>
        <w:t>71OA210123 Tagdíj nemfizetés</w:t>
      </w:r>
      <w:r w:rsidR="0008360A" w:rsidRPr="00817A43">
        <w:rPr>
          <w:rFonts w:ascii="Arial" w:hAnsi="Arial" w:cs="Arial"/>
          <w:i/>
          <w:sz w:val="20"/>
          <w:szCs w:val="20"/>
        </w:rPr>
        <w:t>e</w:t>
      </w:r>
      <w:r w:rsidRPr="00817A43">
        <w:rPr>
          <w:rFonts w:ascii="Arial" w:hAnsi="Arial" w:cs="Arial"/>
          <w:i/>
          <w:sz w:val="20"/>
          <w:szCs w:val="20"/>
        </w:rPr>
        <w:t xml:space="preserve"> miatt</w:t>
      </w:r>
      <w:r w:rsidR="0008360A" w:rsidRPr="00817A43">
        <w:rPr>
          <w:rFonts w:ascii="Arial" w:hAnsi="Arial" w:cs="Arial"/>
          <w:i/>
          <w:sz w:val="20"/>
          <w:szCs w:val="20"/>
        </w:rPr>
        <w:t>i</w:t>
      </w:r>
      <w:r w:rsidRPr="00817A43">
        <w:rPr>
          <w:rFonts w:ascii="Arial" w:hAnsi="Arial" w:cs="Arial"/>
          <w:i/>
          <w:sz w:val="20"/>
          <w:szCs w:val="20"/>
        </w:rPr>
        <w:t xml:space="preserve"> </w:t>
      </w:r>
      <w:r w:rsidR="0008360A" w:rsidRPr="00817A43">
        <w:rPr>
          <w:rFonts w:ascii="Arial" w:hAnsi="Arial" w:cs="Arial"/>
          <w:i/>
          <w:sz w:val="20"/>
          <w:szCs w:val="20"/>
        </w:rPr>
        <w:t>jogviszony megszűnésből adódó</w:t>
      </w:r>
      <w:r w:rsidRPr="00817A43">
        <w:rPr>
          <w:rFonts w:ascii="Arial" w:hAnsi="Arial" w:cs="Arial"/>
          <w:i/>
          <w:sz w:val="20"/>
          <w:szCs w:val="20"/>
        </w:rPr>
        <w:t xml:space="preserve"> kifizetés</w:t>
      </w:r>
    </w:p>
    <w:p w14:paraId="3CBF7DFC" w14:textId="0E81E547" w:rsidR="00177110" w:rsidRPr="00817A43" w:rsidRDefault="00D06514" w:rsidP="00E840AE">
      <w:pPr>
        <w:keepNext/>
        <w:jc w:val="both"/>
        <w:rPr>
          <w:rFonts w:ascii="Arial" w:hAnsi="Arial" w:cs="Arial"/>
          <w:sz w:val="20"/>
          <w:szCs w:val="20"/>
        </w:rPr>
      </w:pPr>
      <w:r w:rsidRPr="00817A43">
        <w:rPr>
          <w:rFonts w:ascii="Arial" w:hAnsi="Arial" w:cs="Arial"/>
          <w:sz w:val="20"/>
          <w:szCs w:val="20"/>
        </w:rPr>
        <w:t>Ezen a soron a várakozási idő letelte utáni, a tagdíj nemfizetés</w:t>
      </w:r>
      <w:r w:rsidR="0008360A" w:rsidRPr="00817A43">
        <w:rPr>
          <w:rFonts w:ascii="Arial" w:hAnsi="Arial" w:cs="Arial"/>
          <w:sz w:val="20"/>
          <w:szCs w:val="20"/>
        </w:rPr>
        <w:t>e</w:t>
      </w:r>
      <w:r w:rsidRPr="00817A43">
        <w:rPr>
          <w:rFonts w:ascii="Arial" w:hAnsi="Arial" w:cs="Arial"/>
          <w:sz w:val="20"/>
          <w:szCs w:val="20"/>
        </w:rPr>
        <w:t xml:space="preserve"> miatt</w:t>
      </w:r>
      <w:r w:rsidR="0008360A" w:rsidRPr="00817A43">
        <w:rPr>
          <w:rFonts w:ascii="Arial" w:hAnsi="Arial" w:cs="Arial"/>
          <w:sz w:val="20"/>
          <w:szCs w:val="20"/>
        </w:rPr>
        <w:t>i</w:t>
      </w:r>
      <w:r w:rsidRPr="00817A43">
        <w:rPr>
          <w:rFonts w:ascii="Arial" w:hAnsi="Arial" w:cs="Arial"/>
          <w:sz w:val="20"/>
          <w:szCs w:val="20"/>
        </w:rPr>
        <w:t xml:space="preserve"> </w:t>
      </w:r>
      <w:r w:rsidR="0008360A" w:rsidRPr="00817A43">
        <w:rPr>
          <w:rFonts w:ascii="Arial" w:hAnsi="Arial" w:cs="Arial"/>
          <w:sz w:val="20"/>
          <w:szCs w:val="20"/>
        </w:rPr>
        <w:t xml:space="preserve">jogviszony megszűnéséből adódó, a </w:t>
      </w:r>
      <w:r w:rsidRPr="00817A43">
        <w:rPr>
          <w:rFonts w:ascii="Arial" w:hAnsi="Arial" w:cs="Arial"/>
          <w:sz w:val="20"/>
          <w:szCs w:val="20"/>
        </w:rPr>
        <w:t xml:space="preserve">tagok részére teljesített kifizetéseket </w:t>
      </w:r>
      <w:r w:rsidR="00E06CBF" w:rsidRPr="00817A43">
        <w:rPr>
          <w:rFonts w:ascii="Arial" w:hAnsi="Arial" w:cs="Arial"/>
          <w:sz w:val="20"/>
          <w:szCs w:val="20"/>
        </w:rPr>
        <w:t xml:space="preserve">kell </w:t>
      </w:r>
      <w:r w:rsidRPr="00817A43">
        <w:rPr>
          <w:rFonts w:ascii="Arial" w:hAnsi="Arial" w:cs="Arial"/>
          <w:sz w:val="20"/>
          <w:szCs w:val="20"/>
        </w:rPr>
        <w:t>jelenteni.</w:t>
      </w:r>
      <w:r w:rsidR="0008360A" w:rsidRPr="00817A43">
        <w:rPr>
          <w:rFonts w:ascii="Arial" w:hAnsi="Arial" w:cs="Arial"/>
          <w:sz w:val="20"/>
          <w:szCs w:val="20"/>
        </w:rPr>
        <w:t xml:space="preserve"> </w:t>
      </w:r>
    </w:p>
    <w:p w14:paraId="1950FDFF" w14:textId="77777777" w:rsidR="00FD48E1" w:rsidRPr="00817A43" w:rsidRDefault="00FD48E1" w:rsidP="00E840AE">
      <w:pPr>
        <w:jc w:val="both"/>
        <w:rPr>
          <w:rFonts w:ascii="Arial" w:hAnsi="Arial" w:cs="Arial"/>
          <w:i/>
          <w:sz w:val="20"/>
          <w:szCs w:val="20"/>
        </w:rPr>
      </w:pPr>
    </w:p>
    <w:p w14:paraId="532CE41F" w14:textId="77777777" w:rsidR="00177110" w:rsidRPr="00817A43" w:rsidRDefault="00274DB9" w:rsidP="00E840AE">
      <w:pPr>
        <w:keepNext/>
        <w:jc w:val="both"/>
        <w:rPr>
          <w:rFonts w:ascii="Arial" w:hAnsi="Arial" w:cs="Arial"/>
          <w:i/>
          <w:sz w:val="20"/>
          <w:szCs w:val="20"/>
        </w:rPr>
      </w:pPr>
      <w:r w:rsidRPr="00817A43">
        <w:rPr>
          <w:rFonts w:ascii="Arial" w:hAnsi="Arial" w:cs="Arial"/>
          <w:i/>
          <w:sz w:val="20"/>
          <w:szCs w:val="20"/>
        </w:rPr>
        <w:t xml:space="preserve">71OA210124 Kilépés miatti kifizetés </w:t>
      </w:r>
    </w:p>
    <w:p w14:paraId="7C3853D9" w14:textId="6AEDC9DF" w:rsidR="0002354C" w:rsidRPr="00E840AE" w:rsidRDefault="00D06514" w:rsidP="00E840AE">
      <w:pPr>
        <w:jc w:val="both"/>
        <w:rPr>
          <w:rFonts w:ascii="Arial" w:hAnsi="Arial" w:cs="Arial"/>
          <w:sz w:val="20"/>
          <w:szCs w:val="20"/>
        </w:rPr>
      </w:pPr>
      <w:r w:rsidRPr="00817A43">
        <w:rPr>
          <w:rFonts w:ascii="Arial" w:hAnsi="Arial" w:cs="Arial"/>
          <w:sz w:val="20"/>
          <w:szCs w:val="20"/>
        </w:rPr>
        <w:t xml:space="preserve">Ezen a soron </w:t>
      </w:r>
      <w:r w:rsidR="0002354C" w:rsidRPr="00817A43">
        <w:rPr>
          <w:rFonts w:ascii="Arial" w:hAnsi="Arial" w:cs="Arial"/>
          <w:sz w:val="20"/>
          <w:szCs w:val="20"/>
        </w:rPr>
        <w:t>kell</w:t>
      </w:r>
      <w:r w:rsidRPr="00817A43">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 xml:space="preserve">az </w:t>
      </w:r>
      <w:proofErr w:type="spellStart"/>
      <w:r w:rsidR="00F65C5E" w:rsidRPr="00E840AE">
        <w:rPr>
          <w:rFonts w:ascii="Arial" w:hAnsi="Arial" w:cs="Arial"/>
          <w:sz w:val="20"/>
          <w:szCs w:val="20"/>
        </w:rPr>
        <w:t>Öbr</w:t>
      </w:r>
      <w:proofErr w:type="spellEnd"/>
      <w:r w:rsidR="00F65C5E" w:rsidRPr="00E840AE">
        <w:rPr>
          <w:rFonts w:ascii="Arial" w:hAnsi="Arial" w:cs="Arial"/>
          <w:sz w:val="20"/>
          <w:szCs w:val="20"/>
        </w:rPr>
        <w:t>.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2FE9529E" w:rsidR="00384F8E" w:rsidRPr="00E840AE" w:rsidRDefault="007607FE" w:rsidP="00E840AE">
      <w:pPr>
        <w:jc w:val="both"/>
        <w:rPr>
          <w:rFonts w:ascii="Arial" w:hAnsi="Arial" w:cs="Arial"/>
          <w:sz w:val="20"/>
          <w:szCs w:val="20"/>
        </w:rPr>
      </w:pPr>
      <w:r w:rsidRPr="00E840AE">
        <w:rPr>
          <w:rFonts w:ascii="Arial" w:hAnsi="Arial" w:cs="Arial"/>
          <w:sz w:val="20"/>
          <w:szCs w:val="20"/>
        </w:rPr>
        <w:t xml:space="preserve">Ezen a </w:t>
      </w:r>
      <w:r w:rsidRPr="00E81DC5">
        <w:rPr>
          <w:rFonts w:ascii="Arial" w:hAnsi="Arial" w:cs="Arial"/>
          <w:sz w:val="20"/>
          <w:szCs w:val="20"/>
        </w:rPr>
        <w:t xml:space="preserve">soron kell kimutatni </w:t>
      </w:r>
      <w:r w:rsidR="00024FFE" w:rsidRPr="00E81DC5">
        <w:rPr>
          <w:rFonts w:ascii="Arial" w:hAnsi="Arial" w:cs="Arial"/>
          <w:sz w:val="20"/>
          <w:szCs w:val="20"/>
        </w:rPr>
        <w:t xml:space="preserve">a </w:t>
      </w:r>
      <w:r w:rsidRPr="00E81DC5">
        <w:rPr>
          <w:rFonts w:ascii="Arial" w:hAnsi="Arial" w:cs="Arial"/>
          <w:sz w:val="20"/>
          <w:szCs w:val="20"/>
        </w:rPr>
        <w:t>71OA21012</w:t>
      </w:r>
      <w:r w:rsidRPr="00E840AE">
        <w:rPr>
          <w:rFonts w:ascii="Arial" w:hAnsi="Arial" w:cs="Arial"/>
          <w:sz w:val="20"/>
          <w:szCs w:val="20"/>
        </w:rPr>
        <w:t xml:space="preserve">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31E977FE"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w:t>
      </w:r>
      <w:r w:rsidRPr="00E81DC5">
        <w:rPr>
          <w:rFonts w:ascii="Arial" w:hAnsi="Arial" w:cs="Arial"/>
          <w:sz w:val="20"/>
          <w:szCs w:val="20"/>
        </w:rPr>
        <w:t>jelenteni a tárgyidőszak folyamán a pénztárnál</w:t>
      </w:r>
      <w:r w:rsidRPr="00E840AE">
        <w:rPr>
          <w:rFonts w:ascii="Arial" w:hAnsi="Arial" w:cs="Arial"/>
          <w:sz w:val="20"/>
          <w:szCs w:val="20"/>
        </w:rPr>
        <w:t xml:space="preserve">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507D08E0" w:rsidR="00330057" w:rsidRPr="00E81DC5" w:rsidRDefault="00330057" w:rsidP="00E840AE">
      <w:pPr>
        <w:jc w:val="both"/>
        <w:rPr>
          <w:rFonts w:ascii="Arial" w:hAnsi="Arial" w:cs="Arial"/>
          <w:sz w:val="20"/>
          <w:szCs w:val="20"/>
        </w:rPr>
      </w:pPr>
      <w:r w:rsidRPr="00E840AE">
        <w:rPr>
          <w:rFonts w:ascii="Arial" w:hAnsi="Arial" w:cs="Arial"/>
          <w:sz w:val="20"/>
          <w:szCs w:val="20"/>
        </w:rPr>
        <w:t xml:space="preserve">Ezen a </w:t>
      </w:r>
      <w:r w:rsidRPr="00E81DC5">
        <w:rPr>
          <w:rFonts w:ascii="Arial" w:hAnsi="Arial" w:cs="Arial"/>
          <w:sz w:val="20"/>
          <w:szCs w:val="20"/>
        </w:rPr>
        <w:t>soron kell jelenteni az MNB által kiszabott felügyeleti bírság összegét</w:t>
      </w:r>
      <w:r w:rsidR="002352FE" w:rsidRPr="00E81DC5">
        <w:rPr>
          <w:rFonts w:ascii="Arial" w:hAnsi="Arial" w:cs="Arial"/>
          <w:sz w:val="20"/>
          <w:szCs w:val="20"/>
        </w:rPr>
        <w:t xml:space="preserve"> is</w:t>
      </w:r>
      <w:r w:rsidR="002C4FA2" w:rsidRPr="00E81DC5">
        <w:rPr>
          <w:rFonts w:ascii="Arial" w:hAnsi="Arial" w:cs="Arial"/>
          <w:sz w:val="20"/>
          <w:szCs w:val="20"/>
        </w:rPr>
        <w:t>, a Számv.tv. 81. § (2) bekezdés b) pontja alapján</w:t>
      </w:r>
      <w:r w:rsidRPr="00E81DC5">
        <w:rPr>
          <w:rFonts w:ascii="Arial" w:hAnsi="Arial" w:cs="Arial"/>
          <w:sz w:val="20"/>
          <w:szCs w:val="20"/>
        </w:rPr>
        <w:t xml:space="preserve">. </w:t>
      </w:r>
    </w:p>
    <w:p w14:paraId="3C108890" w14:textId="77777777" w:rsidR="00B01C66" w:rsidRPr="00E81DC5" w:rsidRDefault="00B01C66" w:rsidP="00E840AE">
      <w:pPr>
        <w:jc w:val="both"/>
        <w:rPr>
          <w:rFonts w:ascii="Arial" w:hAnsi="Arial" w:cs="Arial"/>
          <w:i/>
          <w:sz w:val="20"/>
          <w:szCs w:val="20"/>
        </w:rPr>
      </w:pPr>
    </w:p>
    <w:p w14:paraId="6153D148" w14:textId="77777777" w:rsidR="007607FE" w:rsidRPr="00E81DC5" w:rsidRDefault="007607FE" w:rsidP="00E840AE">
      <w:pPr>
        <w:keepNext/>
        <w:jc w:val="both"/>
        <w:rPr>
          <w:rFonts w:ascii="Arial" w:hAnsi="Arial" w:cs="Arial"/>
          <w:i/>
          <w:sz w:val="20"/>
          <w:szCs w:val="20"/>
        </w:rPr>
      </w:pPr>
      <w:r w:rsidRPr="00E81DC5">
        <w:rPr>
          <w:rFonts w:ascii="Arial" w:hAnsi="Arial" w:cs="Arial"/>
          <w:i/>
          <w:sz w:val="20"/>
          <w:szCs w:val="20"/>
        </w:rPr>
        <w:t xml:space="preserve">71OA2103 Pénzügyi műveletek ráfordításai </w:t>
      </w:r>
    </w:p>
    <w:p w14:paraId="6790903E" w14:textId="77777777" w:rsidR="007607FE" w:rsidRPr="00E81DC5" w:rsidRDefault="007607FE" w:rsidP="00E840AE">
      <w:pPr>
        <w:keepNext/>
        <w:jc w:val="both"/>
        <w:rPr>
          <w:rFonts w:ascii="Arial" w:hAnsi="Arial" w:cs="Arial"/>
          <w:sz w:val="20"/>
          <w:szCs w:val="20"/>
        </w:rPr>
      </w:pPr>
      <w:r w:rsidRPr="00E81DC5">
        <w:rPr>
          <w:rFonts w:ascii="Arial" w:hAnsi="Arial" w:cs="Arial"/>
          <w:sz w:val="20"/>
          <w:szCs w:val="20"/>
        </w:rPr>
        <w:t>A pénzügyi műveletek ráfordításaina</w:t>
      </w:r>
      <w:r w:rsidR="00F65C5E" w:rsidRPr="00E81DC5">
        <w:rPr>
          <w:rFonts w:ascii="Arial" w:hAnsi="Arial" w:cs="Arial"/>
          <w:sz w:val="20"/>
          <w:szCs w:val="20"/>
        </w:rPr>
        <w:t xml:space="preserve">k elszámolásánál a </w:t>
      </w:r>
      <w:r w:rsidR="009D3EC0" w:rsidRPr="00E81DC5">
        <w:rPr>
          <w:rFonts w:ascii="Arial" w:hAnsi="Arial" w:cs="Arial"/>
          <w:sz w:val="20"/>
          <w:szCs w:val="20"/>
        </w:rPr>
        <w:t>Számv.tv.</w:t>
      </w:r>
      <w:r w:rsidR="00F65C5E" w:rsidRPr="00E81DC5">
        <w:rPr>
          <w:rFonts w:ascii="Arial" w:hAnsi="Arial" w:cs="Arial"/>
          <w:sz w:val="20"/>
          <w:szCs w:val="20"/>
        </w:rPr>
        <w:t xml:space="preserve"> 85. §</w:t>
      </w:r>
      <w:r w:rsidRPr="00E81DC5">
        <w:rPr>
          <w:rFonts w:ascii="Arial" w:hAnsi="Arial" w:cs="Arial"/>
          <w:sz w:val="20"/>
          <w:szCs w:val="20"/>
        </w:rPr>
        <w:t xml:space="preserve"> vonatkozó el</w:t>
      </w:r>
      <w:r w:rsidR="007F0511" w:rsidRPr="00E81DC5">
        <w:rPr>
          <w:rFonts w:ascii="Arial" w:hAnsi="Arial" w:cs="Arial"/>
          <w:sz w:val="20"/>
          <w:szCs w:val="20"/>
        </w:rPr>
        <w:t>őírásait kell figyelembe venni.</w:t>
      </w:r>
    </w:p>
    <w:p w14:paraId="2FFA999A" w14:textId="77777777" w:rsidR="007F0511" w:rsidRPr="00E81DC5" w:rsidRDefault="007F0511" w:rsidP="00E840AE">
      <w:pPr>
        <w:pStyle w:val="Szvegtrzs2"/>
        <w:rPr>
          <w:rFonts w:ascii="Arial" w:hAnsi="Arial" w:cs="Arial"/>
          <w:snapToGrid w:val="0"/>
          <w:sz w:val="20"/>
        </w:rPr>
      </w:pPr>
    </w:p>
    <w:p w14:paraId="3BE3852F" w14:textId="77777777" w:rsidR="00167325" w:rsidRPr="00E81DC5" w:rsidRDefault="00167325" w:rsidP="00E840AE">
      <w:pPr>
        <w:keepNext/>
        <w:jc w:val="both"/>
        <w:rPr>
          <w:rFonts w:ascii="Arial" w:hAnsi="Arial" w:cs="Arial"/>
          <w:i/>
          <w:sz w:val="20"/>
          <w:szCs w:val="20"/>
        </w:rPr>
      </w:pPr>
      <w:r w:rsidRPr="00E81DC5">
        <w:rPr>
          <w:rFonts w:ascii="Arial" w:hAnsi="Arial" w:cs="Arial"/>
          <w:i/>
          <w:sz w:val="20"/>
          <w:szCs w:val="20"/>
        </w:rPr>
        <w:t>71O</w:t>
      </w:r>
      <w:r w:rsidR="00C05D01" w:rsidRPr="00E81DC5">
        <w:rPr>
          <w:rFonts w:ascii="Arial" w:hAnsi="Arial" w:cs="Arial"/>
          <w:i/>
          <w:sz w:val="20"/>
          <w:szCs w:val="20"/>
        </w:rPr>
        <w:t>A</w:t>
      </w:r>
      <w:r w:rsidRPr="00E81DC5">
        <w:rPr>
          <w:rFonts w:ascii="Arial" w:hAnsi="Arial" w:cs="Arial"/>
          <w:i/>
          <w:sz w:val="20"/>
          <w:szCs w:val="20"/>
        </w:rPr>
        <w:t>21</w:t>
      </w:r>
      <w:r w:rsidR="00FD485C" w:rsidRPr="00E81DC5">
        <w:rPr>
          <w:rFonts w:ascii="Arial" w:hAnsi="Arial" w:cs="Arial"/>
          <w:i/>
          <w:sz w:val="20"/>
          <w:szCs w:val="20"/>
        </w:rPr>
        <w:t>0301</w:t>
      </w:r>
      <w:r w:rsidRPr="00E81DC5">
        <w:rPr>
          <w:rFonts w:ascii="Arial" w:hAnsi="Arial" w:cs="Arial"/>
          <w:i/>
          <w:sz w:val="20"/>
          <w:szCs w:val="20"/>
        </w:rPr>
        <w:t xml:space="preserve"> Fizetett kamatok és kamatjellegű kifizetések</w:t>
      </w:r>
    </w:p>
    <w:p w14:paraId="2279268E" w14:textId="10C990E9" w:rsidR="00167325" w:rsidRPr="00E840AE" w:rsidRDefault="00167325" w:rsidP="00E840AE">
      <w:pPr>
        <w:pStyle w:val="Szvegtrzs2"/>
        <w:rPr>
          <w:rFonts w:ascii="Arial" w:hAnsi="Arial" w:cs="Arial"/>
          <w:sz w:val="20"/>
        </w:rPr>
      </w:pPr>
      <w:r w:rsidRPr="00E81DC5">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 xml:space="preserve">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w:t>
      </w:r>
      <w:r w:rsidRPr="00E840AE">
        <w:rPr>
          <w:rFonts w:ascii="Arial" w:hAnsi="Arial" w:cs="Arial"/>
          <w:sz w:val="20"/>
          <w:szCs w:val="20"/>
        </w:rPr>
        <w:lastRenderedPageBreak/>
        <w:t>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bérbe adott ingatlanok fenntartásával, működtetésével összefüggésben felmerült költségek – nem a </w:t>
      </w:r>
      <w:proofErr w:type="spellStart"/>
      <w:r w:rsidRPr="00E840AE">
        <w:rPr>
          <w:rFonts w:ascii="Arial" w:hAnsi="Arial" w:cs="Arial"/>
          <w:snapToGrid w:val="0"/>
          <w:sz w:val="20"/>
        </w:rPr>
        <w:t>bérbevevő</w:t>
      </w:r>
      <w:proofErr w:type="spellEnd"/>
      <w:r w:rsidRPr="00E840AE">
        <w:rPr>
          <w:rFonts w:ascii="Arial" w:hAnsi="Arial" w:cs="Arial"/>
          <w:snapToGrid w:val="0"/>
          <w:sz w:val="20"/>
        </w:rPr>
        <w:t xml:space="preserve">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w:t>
      </w:r>
      <w:proofErr w:type="spellStart"/>
      <w:r w:rsidRPr="00E840AE">
        <w:rPr>
          <w:rFonts w:ascii="Arial" w:hAnsi="Arial" w:cs="Arial"/>
          <w:snapToGrid w:val="0"/>
          <w:sz w:val="20"/>
        </w:rPr>
        <w:t>továbbértékesítés</w:t>
      </w:r>
      <w:proofErr w:type="spellEnd"/>
      <w:r w:rsidRPr="00E840AE">
        <w:rPr>
          <w:rFonts w:ascii="Arial" w:hAnsi="Arial" w:cs="Arial"/>
          <w:snapToGrid w:val="0"/>
          <w:sz w:val="20"/>
        </w:rPr>
        <w:t xml:space="preserve">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proofErr w:type="spellStart"/>
      <w:r w:rsidRPr="00E840AE">
        <w:rPr>
          <w:rFonts w:ascii="Arial" w:hAnsi="Arial" w:cs="Arial"/>
          <w:i/>
          <w:snapToGrid w:val="0"/>
          <w:sz w:val="20"/>
        </w:rPr>
        <w:t>aját</w:t>
      </w:r>
      <w:proofErr w:type="spellEnd"/>
      <w:r w:rsidRPr="00E840AE">
        <w:rPr>
          <w:rFonts w:ascii="Arial" w:hAnsi="Arial" w:cs="Arial"/>
          <w:i/>
          <w:snapToGrid w:val="0"/>
          <w:sz w:val="20"/>
        </w:rPr>
        <w:t xml:space="preserve">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E840AE">
      <w:pPr>
        <w:pStyle w:val="Szvegtrzs2"/>
        <w:rPr>
          <w:rFonts w:ascii="Arial" w:hAnsi="Arial" w:cs="Arial"/>
          <w:i/>
          <w:snapToGrid w:val="0"/>
          <w:sz w:val="20"/>
          <w:lang w:val="hu-HU"/>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proofErr w:type="spellStart"/>
      <w:r w:rsidR="00A50B28" w:rsidRPr="00E840AE">
        <w:rPr>
          <w:rFonts w:ascii="Arial" w:hAnsi="Arial" w:cs="Arial"/>
          <w:snapToGrid w:val="0"/>
          <w:sz w:val="20"/>
          <w:szCs w:val="20"/>
        </w:rPr>
        <w:t>Övhr</w:t>
      </w:r>
      <w:proofErr w:type="spellEnd"/>
      <w:r w:rsidR="00A50B28" w:rsidRPr="00E840AE">
        <w:rPr>
          <w:rFonts w:ascii="Arial" w:hAnsi="Arial" w:cs="Arial"/>
          <w:snapToGrid w:val="0"/>
          <w:sz w:val="20"/>
          <w:szCs w:val="20"/>
        </w:rPr>
        <w:t>.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xml:space="preserve">.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1"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1"/>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 </w:t>
      </w:r>
      <w:proofErr w:type="spellStart"/>
      <w:r w:rsidRPr="00E840AE">
        <w:rPr>
          <w:rFonts w:ascii="Arial" w:hAnsi="Arial" w:cs="Arial"/>
          <w:sz w:val="20"/>
          <w:szCs w:val="20"/>
        </w:rPr>
        <w:t>Öpt</w:t>
      </w:r>
      <w:proofErr w:type="spellEnd"/>
      <w:r w:rsidRPr="00E840AE">
        <w:rPr>
          <w:rFonts w:ascii="Arial" w:hAnsi="Arial" w:cs="Arial"/>
          <w:sz w:val="20"/>
          <w:szCs w:val="20"/>
        </w:rPr>
        <w: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pénztártagok számát, akiknek az </w:t>
      </w:r>
      <w:proofErr w:type="spellStart"/>
      <w:r w:rsidRPr="00E840AE">
        <w:rPr>
          <w:rFonts w:ascii="Arial" w:hAnsi="Arial" w:cs="Arial"/>
          <w:sz w:val="20"/>
          <w:szCs w:val="20"/>
        </w:rPr>
        <w:t>Öpt</w:t>
      </w:r>
      <w:proofErr w:type="spellEnd"/>
      <w:r w:rsidRPr="00E840AE">
        <w:rPr>
          <w:rFonts w:ascii="Arial" w:hAnsi="Arial" w:cs="Arial"/>
          <w:sz w:val="20"/>
          <w:szCs w:val="20"/>
        </w:rPr>
        <w: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lapszabálya lejárt tagi kölcsönnek minősít. Amennyiben a pénztártag a tagi kölcsönt az alapszabályban meghatározott 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77777777" w:rsidR="00145E0A" w:rsidRDefault="00145E0A" w:rsidP="00145E0A">
      <w:pPr>
        <w:jc w:val="both"/>
        <w:rPr>
          <w:rFonts w:ascii="Arial" w:hAnsi="Arial" w:cs="Arial"/>
          <w:i/>
          <w:iCs/>
          <w:sz w:val="20"/>
          <w:szCs w:val="20"/>
        </w:rPr>
      </w:pPr>
      <w:r w:rsidRPr="00240BCD">
        <w:rPr>
          <w:rFonts w:ascii="Arial" w:hAnsi="Arial" w:cs="Arial"/>
          <w:i/>
          <w:iCs/>
          <w:sz w:val="20"/>
          <w:szCs w:val="20"/>
        </w:rPr>
        <w:t xml:space="preserve">71OE12 </w:t>
      </w:r>
      <w:r>
        <w:rPr>
          <w:rFonts w:ascii="Arial" w:hAnsi="Arial" w:cs="Arial"/>
          <w:i/>
          <w:iCs/>
          <w:sz w:val="20"/>
          <w:szCs w:val="20"/>
        </w:rPr>
        <w:t>Azon tagok száma, akik részére a tárgynegyedévben nem érkezett befizetés (fő)</w:t>
      </w:r>
    </w:p>
    <w:p w14:paraId="1B703CF6" w14:textId="77777777" w:rsidR="00145E0A" w:rsidRDefault="00145E0A" w:rsidP="00145E0A">
      <w:pPr>
        <w:jc w:val="both"/>
        <w:rPr>
          <w:rFonts w:ascii="Arial" w:hAnsi="Arial" w:cs="Arial"/>
          <w:sz w:val="20"/>
          <w:szCs w:val="20"/>
        </w:rPr>
      </w:pPr>
      <w:bookmarkStart w:id="2" w:name="_Hlk164690990"/>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bookmarkEnd w:id="2"/>
    <w:p w14:paraId="3BDF78B8" w14:textId="77777777" w:rsidR="00145E0A" w:rsidRDefault="00145E0A" w:rsidP="00145E0A">
      <w:pPr>
        <w:jc w:val="both"/>
        <w:rPr>
          <w:rFonts w:ascii="Arial" w:hAnsi="Arial" w:cs="Arial"/>
          <w:sz w:val="20"/>
          <w:szCs w:val="20"/>
        </w:rPr>
      </w:pPr>
    </w:p>
    <w:p w14:paraId="0726EC09" w14:textId="77777777" w:rsidR="00145E0A" w:rsidRDefault="00145E0A" w:rsidP="00145E0A">
      <w:pPr>
        <w:jc w:val="both"/>
        <w:rPr>
          <w:rFonts w:ascii="Arial" w:hAnsi="Arial" w:cs="Arial"/>
          <w:i/>
          <w:iCs/>
          <w:sz w:val="20"/>
          <w:szCs w:val="20"/>
        </w:rPr>
      </w:pPr>
      <w:bookmarkStart w:id="3" w:name="_Hlk164691066"/>
      <w:r w:rsidRPr="006B5334">
        <w:rPr>
          <w:rFonts w:ascii="Arial" w:hAnsi="Arial" w:cs="Arial"/>
          <w:i/>
          <w:iCs/>
          <w:sz w:val="20"/>
          <w:szCs w:val="20"/>
        </w:rPr>
        <w:t>71OE13 Azon tagok egyéni számlaköveteléseinek összege, akik részére a tárgynegyedévben nem érkezett befizetés</w:t>
      </w:r>
    </w:p>
    <w:p w14:paraId="7B39C9CA"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71OE12 sorban jelentett tagok pénztár felé fennálló követeléseinek összesített értékét kell jelenteni a tárgynegyedév végére vonatkozóan.</w:t>
      </w:r>
    </w:p>
    <w:bookmarkEnd w:id="3"/>
    <w:p w14:paraId="72FF573F" w14:textId="77777777" w:rsidR="00145E0A" w:rsidRDefault="00145E0A" w:rsidP="00145E0A">
      <w:pPr>
        <w:jc w:val="both"/>
        <w:rPr>
          <w:rFonts w:ascii="Arial" w:hAnsi="Arial" w:cs="Arial"/>
          <w:sz w:val="20"/>
          <w:szCs w:val="20"/>
        </w:rPr>
      </w:pPr>
    </w:p>
    <w:p w14:paraId="48C2F84F"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p>
    <w:p w14:paraId="7ABCC23E" w14:textId="77777777" w:rsidR="00145E0A" w:rsidRDefault="00145E0A" w:rsidP="00145E0A">
      <w:pPr>
        <w:jc w:val="both"/>
        <w:rPr>
          <w:rFonts w:ascii="Arial" w:hAnsi="Arial" w:cs="Arial"/>
          <w:sz w:val="20"/>
          <w:szCs w:val="20"/>
        </w:rPr>
      </w:pPr>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674B2AB" w14:textId="77777777" w:rsidR="00145E0A" w:rsidRDefault="00145E0A" w:rsidP="00145E0A">
      <w:pPr>
        <w:jc w:val="both"/>
        <w:rPr>
          <w:rFonts w:ascii="Arial" w:hAnsi="Arial" w:cs="Arial"/>
          <w:sz w:val="20"/>
          <w:szCs w:val="20"/>
        </w:rPr>
      </w:pPr>
    </w:p>
    <w:p w14:paraId="35F7248F" w14:textId="77777777" w:rsidR="00145E0A" w:rsidRPr="006B5334" w:rsidRDefault="00145E0A" w:rsidP="00145E0A">
      <w:pPr>
        <w:jc w:val="both"/>
        <w:rPr>
          <w:rFonts w:ascii="Arial" w:hAnsi="Arial" w:cs="Arial"/>
          <w:i/>
          <w:iCs/>
          <w:sz w:val="20"/>
          <w:szCs w:val="20"/>
        </w:rPr>
      </w:pPr>
      <w:bookmarkStart w:id="4" w:name="_Hlk164691131"/>
      <w:r w:rsidRPr="006B5334">
        <w:rPr>
          <w:rFonts w:ascii="Arial" w:hAnsi="Arial" w:cs="Arial"/>
          <w:i/>
          <w:iCs/>
          <w:sz w:val="20"/>
          <w:szCs w:val="20"/>
        </w:rPr>
        <w:t>71OE15 Azon tagok egyéni számlaköveteléseinek összege, akik részére a tárgynegyedévben az időszakra jutó egységes tagdíjnál kevesebb befizetés érkezett</w:t>
      </w:r>
    </w:p>
    <w:p w14:paraId="65426501"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71OE14 sorban jelentett tagok pénztár felé fennálló követeléseinek összesített értékét kell jelenteni a tárgynegyedév végére vonatkozóan.</w:t>
      </w:r>
    </w:p>
    <w:bookmarkEnd w:id="4"/>
    <w:p w14:paraId="3F29B626" w14:textId="77777777" w:rsidR="00145E0A" w:rsidRDefault="00145E0A" w:rsidP="00145E0A">
      <w:pPr>
        <w:jc w:val="both"/>
        <w:rPr>
          <w:rFonts w:ascii="Arial" w:hAnsi="Arial" w:cs="Arial"/>
          <w:sz w:val="20"/>
          <w:szCs w:val="20"/>
        </w:rPr>
      </w:pPr>
    </w:p>
    <w:p w14:paraId="3E3DA107"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p>
    <w:p w14:paraId="5D575F7C" w14:textId="77777777" w:rsidR="00145E0A" w:rsidRDefault="00145E0A" w:rsidP="00145E0A">
      <w:pPr>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p>
    <w:p w14:paraId="7BF6FEFF" w14:textId="77777777" w:rsidR="00145E0A" w:rsidRDefault="00145E0A" w:rsidP="00145E0A">
      <w:pPr>
        <w:jc w:val="both"/>
        <w:rPr>
          <w:rFonts w:ascii="Arial" w:hAnsi="Arial" w:cs="Arial"/>
          <w:sz w:val="20"/>
          <w:szCs w:val="20"/>
        </w:rPr>
      </w:pPr>
    </w:p>
    <w:p w14:paraId="4DA16C81"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p>
    <w:p w14:paraId="44CC720C" w14:textId="77777777" w:rsidR="00145E0A" w:rsidRDefault="00145E0A" w:rsidP="00145E0A">
      <w:pPr>
        <w:keepNext/>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p>
    <w:p w14:paraId="784D4B59" w14:textId="77777777" w:rsidR="00145E0A" w:rsidRDefault="00145E0A" w:rsidP="00E840AE">
      <w:pPr>
        <w:keepNext/>
        <w:jc w:val="both"/>
        <w:rPr>
          <w:rFonts w:ascii="Arial" w:hAnsi="Arial" w:cs="Arial"/>
          <w:bCs/>
          <w:i/>
          <w:sz w:val="20"/>
          <w:szCs w:val="20"/>
        </w:rPr>
      </w:pPr>
    </w:p>
    <w:p w14:paraId="5CAAE5D9" w14:textId="470E6447" w:rsidR="007607FE" w:rsidRPr="00E840AE" w:rsidRDefault="00145E0A" w:rsidP="00E840AE">
      <w:pPr>
        <w:keepNext/>
        <w:jc w:val="both"/>
        <w:rPr>
          <w:rFonts w:ascii="Arial" w:hAnsi="Arial" w:cs="Arial"/>
          <w:bCs/>
          <w:i/>
          <w:sz w:val="20"/>
          <w:szCs w:val="20"/>
        </w:rPr>
      </w:pPr>
      <w:r w:rsidRPr="00E840AE">
        <w:rPr>
          <w:rFonts w:ascii="Arial" w:hAnsi="Arial" w:cs="Arial"/>
          <w:bCs/>
          <w:i/>
          <w:sz w:val="20"/>
          <w:szCs w:val="20"/>
        </w:rPr>
        <w:t>71OE1</w:t>
      </w:r>
      <w:r>
        <w:rPr>
          <w:rFonts w:ascii="Arial" w:hAnsi="Arial" w:cs="Arial"/>
          <w:bCs/>
          <w:i/>
          <w:sz w:val="20"/>
          <w:szCs w:val="20"/>
        </w:rPr>
        <w:t>8</w:t>
      </w:r>
      <w:r w:rsidRPr="00E840AE">
        <w:rPr>
          <w:rFonts w:ascii="Arial" w:hAnsi="Arial" w:cs="Arial"/>
          <w:bCs/>
          <w:i/>
          <w:sz w:val="20"/>
          <w:szCs w:val="20"/>
        </w:rPr>
        <w:t xml:space="preserve"> </w:t>
      </w:r>
      <w:r w:rsidR="007607FE"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2127FFE9" w:rsidR="007607FE" w:rsidRPr="001F1FFA" w:rsidRDefault="00145E0A" w:rsidP="00E840AE">
      <w:pPr>
        <w:keepNext/>
        <w:jc w:val="both"/>
        <w:rPr>
          <w:rFonts w:ascii="Arial" w:hAnsi="Arial" w:cs="Arial"/>
          <w:i/>
          <w:sz w:val="20"/>
          <w:szCs w:val="20"/>
        </w:rPr>
      </w:pPr>
      <w:r w:rsidRPr="00E840AE">
        <w:rPr>
          <w:rFonts w:ascii="Arial" w:hAnsi="Arial" w:cs="Arial"/>
          <w:i/>
          <w:sz w:val="20"/>
          <w:szCs w:val="20"/>
        </w:rPr>
        <w:t>71OE</w:t>
      </w:r>
      <w:r>
        <w:rPr>
          <w:rFonts w:ascii="Arial" w:hAnsi="Arial" w:cs="Arial"/>
          <w:i/>
          <w:sz w:val="20"/>
          <w:szCs w:val="20"/>
        </w:rPr>
        <w:t>20</w:t>
      </w:r>
      <w:r w:rsidRPr="00E840AE">
        <w:rPr>
          <w:rFonts w:ascii="Arial" w:hAnsi="Arial" w:cs="Arial"/>
          <w:i/>
          <w:sz w:val="20"/>
          <w:szCs w:val="20"/>
        </w:rPr>
        <w:t xml:space="preserve"> </w:t>
      </w:r>
      <w:r w:rsidR="007607FE" w:rsidRPr="00E840AE">
        <w:rPr>
          <w:rFonts w:ascii="Arial" w:hAnsi="Arial" w:cs="Arial"/>
          <w:i/>
          <w:sz w:val="20"/>
          <w:szCs w:val="20"/>
        </w:rPr>
        <w:t xml:space="preserve">Hozamkifizetésben részesült </w:t>
      </w:r>
      <w:r w:rsidR="007607FE"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4199087E" w:rsidR="007607FE" w:rsidRPr="001F1FFA" w:rsidRDefault="00145E0A" w:rsidP="00E840AE">
      <w:pPr>
        <w:keepNext/>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21</w:t>
      </w:r>
      <w:r w:rsidRPr="001F1FFA">
        <w:rPr>
          <w:rFonts w:ascii="Arial" w:hAnsi="Arial" w:cs="Arial"/>
          <w:i/>
          <w:sz w:val="20"/>
          <w:szCs w:val="20"/>
        </w:rPr>
        <w:t xml:space="preserve"> </w:t>
      </w:r>
      <w:r w:rsidR="007607FE"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3F0BCA99" w:rsidR="00D01D1A" w:rsidRPr="00E840AE" w:rsidRDefault="00145E0A" w:rsidP="00E840AE">
      <w:pPr>
        <w:jc w:val="both"/>
        <w:rPr>
          <w:rFonts w:ascii="Arial" w:hAnsi="Arial" w:cs="Arial"/>
          <w:bCs/>
          <w:i/>
          <w:sz w:val="20"/>
          <w:szCs w:val="20"/>
        </w:rPr>
      </w:pPr>
      <w:r w:rsidRPr="00E840AE">
        <w:rPr>
          <w:rFonts w:ascii="Arial" w:hAnsi="Arial" w:cs="Arial"/>
          <w:bCs/>
          <w:i/>
          <w:sz w:val="20"/>
          <w:szCs w:val="20"/>
        </w:rPr>
        <w:t>71OE</w:t>
      </w:r>
      <w:r>
        <w:rPr>
          <w:rFonts w:ascii="Arial" w:hAnsi="Arial" w:cs="Arial"/>
          <w:bCs/>
          <w:i/>
          <w:sz w:val="20"/>
          <w:szCs w:val="20"/>
        </w:rPr>
        <w:t>24</w:t>
      </w:r>
      <w:r w:rsidRPr="00E840AE">
        <w:rPr>
          <w:rFonts w:ascii="Arial" w:hAnsi="Arial" w:cs="Arial"/>
          <w:bCs/>
          <w:i/>
          <w:sz w:val="20"/>
          <w:szCs w:val="20"/>
        </w:rPr>
        <w:t xml:space="preserve"> </w:t>
      </w:r>
      <w:r w:rsidR="00D01D1A"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 xml:space="preserve">A pénztári alkalmazottak statisztikai állományi létszámán túl, tartalmazza a nyilvántartó alkalmazásában álló, pénztár részére nyilvántartási feladatokat ellátó személyek számát is. Ha egy alkalmazott több </w:t>
      </w:r>
      <w:r w:rsidRPr="00E840AE">
        <w:rPr>
          <w:rFonts w:ascii="Arial" w:hAnsi="Arial" w:cs="Arial"/>
          <w:snapToGrid w:val="0"/>
          <w:sz w:val="20"/>
          <w:szCs w:val="20"/>
        </w:rPr>
        <w:lastRenderedPageBreak/>
        <w:t>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2DE4E163"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27</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6F3B3EE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28</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1A8A564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29</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231B1B32"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30</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0374A134"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31</w:t>
      </w:r>
      <w:r w:rsidRPr="001F1FFA">
        <w:rPr>
          <w:rFonts w:ascii="Arial" w:hAnsi="Arial" w:cs="Arial"/>
          <w:i/>
          <w:sz w:val="20"/>
          <w:szCs w:val="20"/>
        </w:rPr>
        <w:t xml:space="preserve"> </w:t>
      </w:r>
      <w:r w:rsidR="000E57F2"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r w:rsidRPr="00E840AE">
        <w:rPr>
          <w:rFonts w:ascii="Arial" w:hAnsi="Arial" w:cs="Arial"/>
          <w:sz w:val="20"/>
          <w:szCs w:val="20"/>
        </w:rPr>
        <w:t>y)/z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proofErr w:type="spellStart"/>
      <w:r w:rsidR="00CB377E" w:rsidRPr="00E840AE">
        <w:rPr>
          <w:rFonts w:ascii="Arial" w:hAnsi="Arial" w:cs="Arial"/>
          <w:bCs/>
          <w:sz w:val="20"/>
          <w:szCs w:val="20"/>
        </w:rPr>
        <w:t>Öpt</w:t>
      </w:r>
      <w:proofErr w:type="spellEnd"/>
      <w:r w:rsidR="00CB377E" w:rsidRPr="00E840AE">
        <w:rPr>
          <w:rFonts w:ascii="Arial" w:hAnsi="Arial" w:cs="Arial"/>
          <w:bCs/>
          <w:sz w:val="20"/>
          <w:szCs w:val="20"/>
        </w:rPr>
        <w: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5" w:name="_Hlk17799504"/>
      <w:r w:rsidR="00AE07EF" w:rsidRPr="00E840AE">
        <w:rPr>
          <w:rFonts w:ascii="Arial" w:hAnsi="Arial" w:cs="Arial"/>
          <w:bCs/>
          <w:sz w:val="20"/>
          <w:szCs w:val="20"/>
        </w:rPr>
        <w:t xml:space="preserve">az </w:t>
      </w:r>
      <w:proofErr w:type="spellStart"/>
      <w:r w:rsidR="00AE07EF" w:rsidRPr="00E840AE">
        <w:rPr>
          <w:rFonts w:ascii="Arial" w:hAnsi="Arial" w:cs="Arial"/>
          <w:bCs/>
          <w:sz w:val="20"/>
          <w:szCs w:val="20"/>
        </w:rPr>
        <w:t>Öpt</w:t>
      </w:r>
      <w:proofErr w:type="spellEnd"/>
      <w:r w:rsidR="00AE07EF" w:rsidRPr="00E840AE">
        <w:rPr>
          <w:rFonts w:ascii="Arial" w:hAnsi="Arial" w:cs="Arial"/>
          <w:bCs/>
          <w:sz w:val="20"/>
          <w:szCs w:val="20"/>
        </w:rPr>
        <w:t xml:space="preserve">.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5"/>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6" w:name="_Hlk17794810"/>
      <w:r w:rsidRPr="00E840AE">
        <w:rPr>
          <w:rFonts w:ascii="Arial" w:hAnsi="Arial" w:cs="Arial"/>
          <w:bCs/>
          <w:i/>
          <w:sz w:val="20"/>
          <w:szCs w:val="20"/>
        </w:rPr>
        <w:lastRenderedPageBreak/>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6"/>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w:t>
      </w:r>
      <w:proofErr w:type="spellStart"/>
      <w:r w:rsidR="005D4155" w:rsidRPr="00E840AE">
        <w:rPr>
          <w:rFonts w:ascii="Arial" w:hAnsi="Arial" w:cs="Arial"/>
          <w:bCs/>
          <w:sz w:val="20"/>
          <w:szCs w:val="20"/>
        </w:rPr>
        <w:t>Öpt</w:t>
      </w:r>
      <w:proofErr w:type="spellEnd"/>
      <w:r w:rsidR="005D4155" w:rsidRPr="00E840AE">
        <w:rPr>
          <w:rFonts w:ascii="Arial" w:hAnsi="Arial" w:cs="Arial"/>
          <w:bCs/>
          <w:sz w:val="20"/>
          <w:szCs w:val="20"/>
        </w:rPr>
        <w:t xml:space="preserve">.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 xml:space="preserve">az </w:t>
      </w:r>
      <w:proofErr w:type="spellStart"/>
      <w:r w:rsidR="00B3106E" w:rsidRPr="00E840AE">
        <w:rPr>
          <w:rFonts w:ascii="Arial" w:hAnsi="Arial" w:cs="Arial"/>
          <w:sz w:val="20"/>
          <w:szCs w:val="20"/>
        </w:rPr>
        <w:t>Öpt</w:t>
      </w:r>
      <w:proofErr w:type="spellEnd"/>
      <w:r w:rsidR="00B3106E" w:rsidRPr="00E840AE">
        <w:rPr>
          <w:rFonts w:ascii="Arial" w:hAnsi="Arial" w:cs="Arial"/>
          <w:sz w:val="20"/>
          <w:szCs w:val="20"/>
        </w:rPr>
        <w: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 xml:space="preserve">ideértve az </w:t>
      </w:r>
      <w:proofErr w:type="spellStart"/>
      <w:r w:rsidRPr="00E840AE">
        <w:rPr>
          <w:rFonts w:ascii="Arial" w:hAnsi="Arial" w:cs="Arial"/>
          <w:bCs/>
          <w:iCs/>
          <w:sz w:val="20"/>
          <w:szCs w:val="20"/>
        </w:rPr>
        <w:t>Öpt</w:t>
      </w:r>
      <w:proofErr w:type="spellEnd"/>
      <w:r w:rsidRPr="00E840AE">
        <w:rPr>
          <w:rFonts w:ascii="Arial" w:hAnsi="Arial" w:cs="Arial"/>
          <w:bCs/>
          <w:iCs/>
          <w:sz w:val="20"/>
          <w:szCs w:val="20"/>
        </w:rPr>
        <w: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 xml:space="preserve">az </w:t>
      </w:r>
      <w:proofErr w:type="spellStart"/>
      <w:r w:rsidRPr="00E840AE">
        <w:rPr>
          <w:rFonts w:ascii="Arial" w:hAnsi="Arial" w:cs="Arial"/>
          <w:sz w:val="20"/>
          <w:szCs w:val="20"/>
        </w:rPr>
        <w:t>Öpt</w:t>
      </w:r>
      <w:proofErr w:type="spellEnd"/>
      <w:r w:rsidRPr="00E840AE">
        <w:rPr>
          <w:rFonts w:ascii="Arial" w:hAnsi="Arial" w:cs="Arial"/>
          <w:sz w:val="20"/>
          <w:szCs w:val="20"/>
        </w:rPr>
        <w: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w:t>
      </w:r>
      <w:proofErr w:type="spellStart"/>
      <w:r w:rsidRPr="00E840AE">
        <w:rPr>
          <w:rFonts w:ascii="Arial" w:hAnsi="Arial" w:cs="Arial"/>
          <w:bCs/>
          <w:iCs/>
          <w:sz w:val="20"/>
          <w:szCs w:val="20"/>
        </w:rPr>
        <w:t>Öpt</w:t>
      </w:r>
      <w:proofErr w:type="spellEnd"/>
      <w:r w:rsidRPr="00E840AE">
        <w:rPr>
          <w:rFonts w:ascii="Arial" w:hAnsi="Arial" w:cs="Arial"/>
          <w:bCs/>
          <w:iCs/>
          <w:sz w:val="20"/>
          <w:szCs w:val="20"/>
        </w:rPr>
        <w: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w:t>
      </w:r>
      <w:proofErr w:type="spellStart"/>
      <w:r w:rsidRPr="00E840AE">
        <w:rPr>
          <w:rFonts w:ascii="Arial" w:hAnsi="Arial" w:cs="Arial"/>
          <w:bCs/>
          <w:i/>
          <w:sz w:val="20"/>
          <w:szCs w:val="20"/>
        </w:rPr>
        <w:t>Öpt</w:t>
      </w:r>
      <w:proofErr w:type="spellEnd"/>
      <w:r w:rsidRPr="00E840AE">
        <w:rPr>
          <w:rFonts w:ascii="Arial" w:hAnsi="Arial" w:cs="Arial"/>
          <w:bCs/>
          <w:i/>
          <w:sz w:val="20"/>
          <w:szCs w:val="20"/>
        </w:rPr>
        <w:t xml:space="preserve">.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w:t>
      </w:r>
      <w:proofErr w:type="spellStart"/>
      <w:r w:rsidRPr="00E840AE">
        <w:rPr>
          <w:rFonts w:ascii="Arial" w:hAnsi="Arial" w:cs="Arial"/>
          <w:sz w:val="20"/>
          <w:szCs w:val="20"/>
        </w:rPr>
        <w:t>Öpt</w:t>
      </w:r>
      <w:proofErr w:type="spellEnd"/>
      <w:r w:rsidRPr="00E840AE">
        <w:rPr>
          <w:rFonts w:ascii="Arial" w:hAnsi="Arial" w:cs="Arial"/>
          <w:sz w:val="20"/>
          <w:szCs w:val="20"/>
        </w:rPr>
        <w: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 xml:space="preserve">soron kell jelenteni a 71OF4221 soron jelentett tagok közül azon tagokat, akik az </w:t>
      </w:r>
      <w:proofErr w:type="spellStart"/>
      <w:r w:rsidRPr="00E840AE">
        <w:rPr>
          <w:rFonts w:ascii="Arial" w:hAnsi="Arial" w:cs="Arial"/>
          <w:sz w:val="20"/>
          <w:szCs w:val="20"/>
        </w:rPr>
        <w:t>Öpt</w:t>
      </w:r>
      <w:proofErr w:type="spellEnd"/>
      <w:r w:rsidRPr="00E840AE">
        <w:rPr>
          <w:rFonts w:ascii="Arial" w:hAnsi="Arial" w:cs="Arial"/>
          <w:sz w:val="20"/>
          <w:szCs w:val="20"/>
        </w:rPr>
        <w: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w:t>
      </w:r>
      <w:proofErr w:type="spellStart"/>
      <w:r w:rsidRPr="00E840AE">
        <w:rPr>
          <w:rFonts w:ascii="Arial" w:hAnsi="Arial" w:cs="Arial"/>
          <w:bCs/>
          <w:i/>
          <w:sz w:val="20"/>
          <w:szCs w:val="20"/>
        </w:rPr>
        <w:t>Öpt</w:t>
      </w:r>
      <w:proofErr w:type="spellEnd"/>
      <w:r w:rsidRPr="00E840AE">
        <w:rPr>
          <w:rFonts w:ascii="Arial" w:hAnsi="Arial" w:cs="Arial"/>
          <w:bCs/>
          <w:i/>
          <w:sz w:val="20"/>
          <w:szCs w:val="20"/>
        </w:rPr>
        <w:t xml:space="preserve">.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47. § (5) bekezdés a), b), d) vagy f) pontja szerint nyilatkoztak, kivéve azon tagokat, akik az </w:t>
      </w:r>
      <w:proofErr w:type="spellStart"/>
      <w:r w:rsidRPr="00E840AE">
        <w:rPr>
          <w:rFonts w:ascii="Arial" w:hAnsi="Arial" w:cs="Arial"/>
          <w:sz w:val="20"/>
          <w:szCs w:val="20"/>
        </w:rPr>
        <w:t>Öpt</w:t>
      </w:r>
      <w:proofErr w:type="spellEnd"/>
      <w:r w:rsidRPr="00E840AE">
        <w:rPr>
          <w:rFonts w:ascii="Arial" w:hAnsi="Arial" w:cs="Arial"/>
          <w:sz w:val="20"/>
          <w:szCs w:val="20"/>
        </w:rPr>
        <w: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 xml:space="preserve">soron kell jelenteni a 71OF42221 soron jelentett tagok közül azon tagokat, akik az </w:t>
      </w:r>
      <w:proofErr w:type="spellStart"/>
      <w:r w:rsidRPr="00E840AE">
        <w:rPr>
          <w:rFonts w:ascii="Arial" w:hAnsi="Arial" w:cs="Arial"/>
          <w:sz w:val="20"/>
          <w:szCs w:val="20"/>
        </w:rPr>
        <w:t>Öpt</w:t>
      </w:r>
      <w:proofErr w:type="spellEnd"/>
      <w:r w:rsidRPr="00E840AE">
        <w:rPr>
          <w:rFonts w:ascii="Arial" w:hAnsi="Arial" w:cs="Arial"/>
          <w:sz w:val="20"/>
          <w:szCs w:val="20"/>
        </w:rPr>
        <w: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w:t>
      </w:r>
      <w:proofErr w:type="spellStart"/>
      <w:r w:rsidR="00AB4AA2" w:rsidRPr="00E840AE">
        <w:rPr>
          <w:rFonts w:ascii="Arial" w:hAnsi="Arial" w:cs="Arial"/>
          <w:sz w:val="20"/>
          <w:szCs w:val="20"/>
        </w:rPr>
        <w:t>Öbr</w:t>
      </w:r>
      <w:proofErr w:type="spellEnd"/>
      <w:r w:rsidR="00AB4AA2" w:rsidRPr="00E840AE">
        <w:rPr>
          <w:rFonts w:ascii="Arial" w:hAnsi="Arial" w:cs="Arial"/>
          <w:sz w:val="20"/>
          <w:szCs w:val="20"/>
        </w:rPr>
        <w:t xml:space="preserve">.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proofErr w:type="spellStart"/>
      <w:r w:rsidR="00C416DB" w:rsidRPr="00E840AE">
        <w:rPr>
          <w:rFonts w:ascii="Arial" w:hAnsi="Arial" w:cs="Arial"/>
          <w:sz w:val="20"/>
          <w:szCs w:val="20"/>
        </w:rPr>
        <w:t>vagyonkezelő</w:t>
      </w:r>
      <w:r w:rsidR="00A502DF" w:rsidRPr="00E840AE">
        <w:rPr>
          <w:rFonts w:ascii="Arial" w:hAnsi="Arial" w:cs="Arial"/>
          <w:sz w:val="20"/>
          <w:szCs w:val="20"/>
        </w:rPr>
        <w:t>nként</w:t>
      </w:r>
      <w:proofErr w:type="spellEnd"/>
      <w:r w:rsidR="00A502DF" w:rsidRPr="00E840AE">
        <w:rPr>
          <w:rFonts w:ascii="Arial" w:hAnsi="Arial" w:cs="Arial"/>
          <w:sz w:val="20"/>
          <w:szCs w:val="20"/>
        </w:rPr>
        <w:t xml:space="preserve">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w:t>
      </w:r>
      <w:proofErr w:type="spellStart"/>
      <w:r w:rsidRPr="00E840AE">
        <w:rPr>
          <w:rFonts w:ascii="Arial" w:hAnsi="Arial" w:cs="Arial"/>
          <w:sz w:val="20"/>
          <w:szCs w:val="20"/>
        </w:rPr>
        <w:t>Legal</w:t>
      </w:r>
      <w:proofErr w:type="spellEnd"/>
      <w:r w:rsidRPr="00E840AE">
        <w:rPr>
          <w:rFonts w:ascii="Arial" w:hAnsi="Arial" w:cs="Arial"/>
          <w:sz w:val="20"/>
          <w:szCs w:val="20"/>
        </w:rPr>
        <w:t xml:space="preserve"> </w:t>
      </w:r>
      <w:proofErr w:type="spellStart"/>
      <w:r w:rsidRPr="00E840AE">
        <w:rPr>
          <w:rFonts w:ascii="Arial" w:hAnsi="Arial" w:cs="Arial"/>
          <w:sz w:val="20"/>
          <w:szCs w:val="20"/>
        </w:rPr>
        <w:t>Entity</w:t>
      </w:r>
      <w:proofErr w:type="spellEnd"/>
      <w:r w:rsidRPr="00E840AE">
        <w:rPr>
          <w:rFonts w:ascii="Arial" w:hAnsi="Arial" w:cs="Arial"/>
          <w:sz w:val="20"/>
          <w:szCs w:val="20"/>
        </w:rPr>
        <w:t xml:space="preserve"> </w:t>
      </w:r>
      <w:proofErr w:type="spellStart"/>
      <w:r w:rsidRPr="00E840AE">
        <w:rPr>
          <w:rFonts w:ascii="Arial" w:hAnsi="Arial" w:cs="Arial"/>
          <w:sz w:val="20"/>
          <w:szCs w:val="20"/>
        </w:rPr>
        <w:t>Identifier</w:t>
      </w:r>
      <w:proofErr w:type="spellEnd"/>
      <w:r w:rsidRPr="00E840AE">
        <w:rPr>
          <w:rFonts w:ascii="Arial" w:hAnsi="Arial" w:cs="Arial"/>
          <w:sz w:val="20"/>
          <w:szCs w:val="20"/>
        </w:rPr>
        <w:t xml:space="preserve">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w:t>
      </w:r>
      <w:proofErr w:type="spellStart"/>
      <w:r w:rsidRPr="00E840AE">
        <w:rPr>
          <w:rFonts w:ascii="Arial" w:hAnsi="Arial" w:cs="Arial"/>
          <w:sz w:val="20"/>
          <w:szCs w:val="20"/>
        </w:rPr>
        <w:t>Identifier</w:t>
      </w:r>
      <w:proofErr w:type="spellEnd"/>
      <w:r w:rsidRPr="00E840AE">
        <w:rPr>
          <w:rFonts w:ascii="Arial" w:hAnsi="Arial" w:cs="Arial"/>
          <w:sz w:val="20"/>
          <w:szCs w:val="20"/>
        </w:rPr>
        <w:t xml:space="preserve"> </w:t>
      </w:r>
      <w:proofErr w:type="spellStart"/>
      <w:r w:rsidRPr="00E840AE">
        <w:rPr>
          <w:rFonts w:ascii="Arial" w:hAnsi="Arial" w:cs="Arial"/>
          <w:sz w:val="20"/>
          <w:szCs w:val="20"/>
        </w:rPr>
        <w:t>Code</w:t>
      </w:r>
      <w:proofErr w:type="spellEnd"/>
      <w:r w:rsidRPr="00E840AE">
        <w:rPr>
          <w:rFonts w:ascii="Arial" w:hAnsi="Arial" w:cs="Arial"/>
          <w:sz w:val="20"/>
          <w:szCs w:val="20"/>
        </w:rPr>
        <w:t xml:space="preserv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074815CC"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7378F5DF"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w:t>
      </w:r>
      <w:proofErr w:type="spellStart"/>
      <w:r w:rsidR="0041493F" w:rsidRPr="00E840AE">
        <w:rPr>
          <w:rFonts w:ascii="Arial" w:hAnsi="Arial" w:cs="Arial"/>
          <w:sz w:val="20"/>
          <w:szCs w:val="20"/>
        </w:rPr>
        <w:t>nek</w:t>
      </w:r>
      <w:proofErr w:type="spellEnd"/>
      <w:r w:rsidR="0041493F" w:rsidRPr="00E840AE">
        <w:rPr>
          <w:rFonts w:ascii="Arial" w:hAnsi="Arial" w:cs="Arial"/>
          <w:sz w:val="20"/>
          <w:szCs w:val="20"/>
        </w:rPr>
        <w:t xml:space="preserve">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7"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7"/>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2DF5054A"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 xml:space="preserve">8. oszlop: </w:t>
      </w:r>
      <w:r w:rsidR="00F63261">
        <w:rPr>
          <w:rFonts w:ascii="Arial" w:hAnsi="Arial" w:cs="Arial"/>
          <w:i/>
          <w:sz w:val="20"/>
          <w:szCs w:val="20"/>
        </w:rPr>
        <w:t xml:space="preserve">Tárgyidőszaki </w:t>
      </w:r>
      <w:r w:rsidRPr="00E840AE">
        <w:rPr>
          <w:rFonts w:ascii="Arial" w:hAnsi="Arial" w:cs="Arial"/>
          <w:i/>
          <w:sz w:val="20"/>
          <w:szCs w:val="20"/>
        </w:rPr>
        <w:t>sikerdíj (ezer forint)</w:t>
      </w:r>
    </w:p>
    <w:p w14:paraId="50B985FB" w14:textId="3336C2C8"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 xml:space="preserve">A </w:t>
      </w:r>
      <w:r w:rsidR="00F63261" w:rsidRPr="00F63261">
        <w:rPr>
          <w:rFonts w:ascii="Arial" w:hAnsi="Arial" w:cs="Arial"/>
          <w:iCs/>
          <w:sz w:val="20"/>
          <w:szCs w:val="20"/>
        </w:rPr>
        <w:t>tárgyidőszakra fizetendő</w:t>
      </w:r>
      <w:r w:rsidR="00F63261">
        <w:rPr>
          <w:rFonts w:ascii="Arial" w:hAnsi="Arial" w:cs="Arial"/>
          <w:iCs/>
          <w:sz w:val="20"/>
          <w:szCs w:val="20"/>
        </w:rPr>
        <w:t>,</w:t>
      </w:r>
      <w:r w:rsidR="00F63261" w:rsidRPr="00F63261">
        <w:rPr>
          <w:rFonts w:ascii="Arial" w:hAnsi="Arial" w:cs="Arial"/>
          <w:iCs/>
          <w:sz w:val="20"/>
          <w:szCs w:val="20"/>
        </w:rPr>
        <w:t xml:space="preserve"> </w:t>
      </w:r>
      <w:r w:rsidRPr="00E840AE">
        <w:rPr>
          <w:rFonts w:ascii="Arial" w:hAnsi="Arial" w:cs="Arial"/>
          <w:iCs/>
          <w:sz w:val="20"/>
          <w:szCs w:val="20"/>
        </w:rPr>
        <w:t>vagyonkezelő által kiállított – vagyonkezelésre vonatkozó – számlában feltüntetett, a pénztár által felülvizsgált és elfogadott sikerdíj</w:t>
      </w:r>
      <w:r w:rsidR="008C35D3">
        <w:rPr>
          <w:rFonts w:ascii="Arial" w:hAnsi="Arial" w:cs="Arial"/>
          <w:iCs/>
          <w:sz w:val="20"/>
          <w:szCs w:val="20"/>
        </w:rPr>
        <w:t>,</w:t>
      </w:r>
      <w:r w:rsidR="00F63261" w:rsidRPr="00F63261">
        <w:t xml:space="preserve"> </w:t>
      </w:r>
      <w:r w:rsidR="00F63261" w:rsidRPr="00F63261">
        <w:rPr>
          <w:rFonts w:ascii="Arial" w:hAnsi="Arial" w:cs="Arial"/>
          <w:iCs/>
          <w:sz w:val="20"/>
          <w:szCs w:val="20"/>
        </w:rPr>
        <w:t>ideértve a több negyedévre vonatkozóan egyszerre fizetendő sikerdíjat is</w:t>
      </w:r>
      <w:r w:rsidRPr="00E840AE">
        <w:rPr>
          <w:rFonts w:ascii="Arial" w:hAnsi="Arial" w:cs="Arial"/>
          <w:iCs/>
          <w:sz w:val="20"/>
          <w:szCs w:val="20"/>
        </w:rPr>
        <w:t>.</w:t>
      </w:r>
      <w:r w:rsidR="00274DB5">
        <w:rPr>
          <w:rFonts w:ascii="Arial" w:hAnsi="Arial" w:cs="Arial"/>
          <w:iCs/>
          <w:sz w:val="20"/>
          <w:szCs w:val="20"/>
        </w:rPr>
        <w:t xml:space="preserve"> </w:t>
      </w:r>
      <w:r w:rsidR="00274DB5" w:rsidRPr="00E840AE">
        <w:rPr>
          <w:rFonts w:ascii="Arial" w:hAnsi="Arial" w:cs="Arial"/>
          <w:sz w:val="20"/>
          <w:szCs w:val="20"/>
        </w:rPr>
        <w:t>Abban az esetben, ha a tárgyidőszak</w:t>
      </w:r>
      <w:r w:rsidR="00683773">
        <w:rPr>
          <w:rFonts w:ascii="Arial" w:hAnsi="Arial" w:cs="Arial"/>
          <w:sz w:val="20"/>
          <w:szCs w:val="20"/>
        </w:rPr>
        <w:t>ra</w:t>
      </w:r>
      <w:r w:rsidR="00274DB5" w:rsidRPr="00E840AE">
        <w:rPr>
          <w:rFonts w:ascii="Arial" w:hAnsi="Arial" w:cs="Arial"/>
          <w:sz w:val="20"/>
          <w:szCs w:val="20"/>
        </w:rPr>
        <w:t xml:space="preserve"> nem </w:t>
      </w:r>
      <w:r w:rsidR="00683773" w:rsidRPr="00683773">
        <w:rPr>
          <w:rFonts w:ascii="Arial" w:hAnsi="Arial" w:cs="Arial"/>
          <w:sz w:val="20"/>
          <w:szCs w:val="20"/>
        </w:rPr>
        <w:t>számoltak fel sikerdíjat</w:t>
      </w:r>
      <w:r w:rsidR="00274DB5" w:rsidRPr="00E840AE">
        <w:rPr>
          <w:rFonts w:ascii="Arial" w:hAnsi="Arial" w:cs="Arial"/>
          <w:sz w:val="20"/>
          <w:szCs w:val="20"/>
        </w:rPr>
        <w:t>, akkor a mezőt nulla („0”) értékkel kell feltölteni.</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645E0B03" w:rsidR="00177110" w:rsidRPr="00E840AE" w:rsidRDefault="007607FE" w:rsidP="00E840AE">
      <w:pPr>
        <w:jc w:val="both"/>
        <w:rPr>
          <w:rFonts w:ascii="Arial" w:hAnsi="Arial" w:cs="Arial"/>
          <w:sz w:val="20"/>
          <w:szCs w:val="20"/>
        </w:rPr>
      </w:pPr>
      <w:r w:rsidRPr="00E840AE">
        <w:rPr>
          <w:rFonts w:ascii="Arial" w:hAnsi="Arial" w:cs="Arial"/>
          <w:sz w:val="20"/>
          <w:szCs w:val="20"/>
        </w:rPr>
        <w:t xml:space="preserve">A negyedév végi állomány piaci értéken, </w:t>
      </w:r>
      <w:proofErr w:type="spellStart"/>
      <w:r w:rsidRPr="00E840AE">
        <w:rPr>
          <w:rFonts w:ascii="Arial" w:hAnsi="Arial" w:cs="Arial"/>
          <w:sz w:val="20"/>
          <w:szCs w:val="20"/>
        </w:rPr>
        <w:t>vagyonkezelőnként</w:t>
      </w:r>
      <w:proofErr w:type="spellEnd"/>
      <w:r w:rsidR="00774BB9">
        <w:rPr>
          <w:rFonts w:ascii="Arial" w:hAnsi="Arial" w:cs="Arial"/>
          <w:sz w:val="20"/>
          <w:szCs w:val="20"/>
        </w:rPr>
        <w: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 xml:space="preserve">nettó hozamot kell bemutatni, </w:t>
      </w:r>
      <w:proofErr w:type="spellStart"/>
      <w:r w:rsidR="007607FE" w:rsidRPr="00E840AE">
        <w:rPr>
          <w:rFonts w:ascii="Arial" w:hAnsi="Arial" w:cs="Arial"/>
          <w:bCs/>
          <w:sz w:val="20"/>
          <w:szCs w:val="20"/>
        </w:rPr>
        <w:t>eszközcsoportonkénti</w:t>
      </w:r>
      <w:proofErr w:type="spellEnd"/>
      <w:r w:rsidR="007607FE" w:rsidRPr="00E840AE">
        <w:rPr>
          <w:rFonts w:ascii="Arial" w:hAnsi="Arial" w:cs="Arial"/>
          <w:bCs/>
          <w:sz w:val="20"/>
          <w:szCs w:val="20"/>
        </w:rPr>
        <w:t xml:space="preserve">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w:t>
      </w:r>
      <w:proofErr w:type="spellStart"/>
      <w:r w:rsidR="00E85C72" w:rsidRPr="00E840AE">
        <w:rPr>
          <w:rFonts w:ascii="Arial" w:hAnsi="Arial" w:cs="Arial"/>
          <w:sz w:val="20"/>
          <w:szCs w:val="20"/>
        </w:rPr>
        <w:t>Övhr</w:t>
      </w:r>
      <w:proofErr w:type="spellEnd"/>
      <w:r w:rsidR="00E85C72" w:rsidRPr="00E840AE">
        <w:rPr>
          <w:rFonts w:ascii="Arial" w:hAnsi="Arial" w:cs="Arial"/>
          <w:sz w:val="20"/>
          <w:szCs w:val="20"/>
        </w:rPr>
        <w:t xml:space="preserve">.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8" w:name="_Hlk512527540"/>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8"/>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w:t>
      </w:r>
      <w:proofErr w:type="spellStart"/>
      <w:r w:rsidR="004605B1" w:rsidRPr="00E840AE">
        <w:rPr>
          <w:rFonts w:ascii="Arial" w:hAnsi="Arial" w:cs="Arial"/>
          <w:sz w:val="20"/>
          <w:szCs w:val="20"/>
        </w:rPr>
        <w:t>Öpt</w:t>
      </w:r>
      <w:proofErr w:type="spellEnd"/>
      <w:r w:rsidR="004605B1" w:rsidRPr="00E840AE">
        <w:rPr>
          <w:rFonts w:ascii="Arial" w:hAnsi="Arial" w:cs="Arial"/>
          <w:sz w:val="20"/>
          <w:szCs w:val="20"/>
        </w:rPr>
        <w: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E840AE">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proofErr w:type="spellStart"/>
      <w:r w:rsidR="00C61761" w:rsidRPr="00E840AE">
        <w:rPr>
          <w:rFonts w:ascii="Arial" w:hAnsi="Arial" w:cs="Arial"/>
          <w:sz w:val="20"/>
          <w:szCs w:val="20"/>
        </w:rPr>
        <w:t>vagyonkezelőnként</w:t>
      </w:r>
      <w:proofErr w:type="spellEnd"/>
      <w:r w:rsidR="00C61761" w:rsidRPr="00E840AE">
        <w:rPr>
          <w:rFonts w:ascii="Arial" w:hAnsi="Arial" w:cs="Arial"/>
          <w:sz w:val="20"/>
          <w:szCs w:val="20"/>
        </w:rPr>
        <w:t xml:space="preserve"> külön soron kell feltüntetni.</w:t>
      </w:r>
    </w:p>
    <w:p w14:paraId="524C8CE7" w14:textId="77777777" w:rsidR="00013FC8" w:rsidRPr="00E840AE" w:rsidRDefault="00013FC8" w:rsidP="00E840AE">
      <w:pPr>
        <w:pStyle w:val="Default"/>
        <w:keepNext/>
        <w:jc w:val="both"/>
        <w:rPr>
          <w:rFonts w:ascii="Arial" w:hAnsi="Arial" w:cs="Arial"/>
          <w:color w:val="auto"/>
          <w:sz w:val="20"/>
          <w:szCs w:val="20"/>
        </w:rPr>
      </w:pPr>
    </w:p>
    <w:p w14:paraId="5DC660B8" w14:textId="77777777" w:rsidR="00F50D34" w:rsidRPr="00E840AE" w:rsidRDefault="007607FE" w:rsidP="00E840AE">
      <w:pPr>
        <w:keepNext/>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E840AE">
      <w:pPr>
        <w:keepNext/>
        <w:jc w:val="both"/>
        <w:rPr>
          <w:rFonts w:ascii="Arial" w:hAnsi="Arial" w:cs="Arial"/>
          <w:i/>
          <w:sz w:val="20"/>
          <w:szCs w:val="20"/>
        </w:rPr>
      </w:pPr>
      <w:bookmarkStart w:id="9" w:name="_Hlk511129662"/>
    </w:p>
    <w:p w14:paraId="3312EACF" w14:textId="074072C3" w:rsidR="00146F60" w:rsidRPr="00E840AE" w:rsidRDefault="00146F60" w:rsidP="00E840AE">
      <w:pPr>
        <w:pStyle w:val="Default"/>
        <w:keepNex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E840AE">
      <w:pPr>
        <w:pStyle w:val="Default"/>
        <w:keepNext/>
        <w:jc w:val="both"/>
        <w:rPr>
          <w:rFonts w:ascii="Arial" w:eastAsia="Times New Roman" w:hAnsi="Arial" w:cs="Arial"/>
          <w:color w:val="auto"/>
          <w:sz w:val="20"/>
          <w:szCs w:val="20"/>
          <w:lang w:eastAsia="hu-HU"/>
        </w:rPr>
      </w:pPr>
    </w:p>
    <w:p w14:paraId="1E7954C7" w14:textId="3138AFD9"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E840AE">
      <w:pPr>
        <w:keepNext/>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E840AE">
      <w:pPr>
        <w:jc w:val="both"/>
        <w:rPr>
          <w:rFonts w:ascii="Arial" w:hAnsi="Arial" w:cs="Arial"/>
          <w:sz w:val="20"/>
          <w:szCs w:val="20"/>
        </w:rPr>
      </w:pPr>
    </w:p>
    <w:p w14:paraId="7EE348EA" w14:textId="77777777"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E840AE">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lastRenderedPageBreak/>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8D4169">
      <w:pPr>
        <w:keepNext/>
        <w:jc w:val="both"/>
        <w:rPr>
          <w:rFonts w:ascii="Arial" w:hAnsi="Arial" w:cs="Arial"/>
          <w:i/>
          <w:iCs/>
          <w:sz w:val="20"/>
          <w:szCs w:val="20"/>
        </w:rPr>
      </w:pPr>
      <w:r w:rsidRPr="00E840AE">
        <w:rPr>
          <w:rFonts w:ascii="Arial" w:hAnsi="Arial" w:cs="Arial"/>
          <w:i/>
          <w:iCs/>
          <w:sz w:val="20"/>
          <w:szCs w:val="20"/>
        </w:rPr>
        <w:t>72OB34 Befektetésekhez kapcsolódó, illetve egyéb, más soron nem nevesített kötelezettségek</w:t>
      </w:r>
    </w:p>
    <w:p w14:paraId="48FF15CD" w14:textId="1420299B" w:rsidR="00E33D8D" w:rsidRPr="00E840AE" w:rsidRDefault="00E33D8D" w:rsidP="008D4169">
      <w:pPr>
        <w:keepNext/>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10"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11"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A vagyonkezelői díjakat „</w:t>
      </w:r>
      <w:proofErr w:type="spellStart"/>
      <w:r w:rsidR="00FE21D2" w:rsidRPr="00FE21D2">
        <w:rPr>
          <w:rFonts w:ascii="Arial" w:hAnsi="Arial" w:cs="Arial"/>
          <w:sz w:val="20"/>
          <w:szCs w:val="20"/>
        </w:rPr>
        <w:t>VAGYKEZ</w:t>
      </w:r>
      <w:proofErr w:type="spellEnd"/>
      <w:r w:rsidR="00FE21D2" w:rsidRPr="00FE21D2">
        <w:rPr>
          <w:rFonts w:ascii="Arial" w:hAnsi="Arial" w:cs="Arial"/>
          <w:sz w:val="20"/>
          <w:szCs w:val="20"/>
        </w:rPr>
        <w:t>”, a letétkezelői díjakat „</w:t>
      </w:r>
      <w:proofErr w:type="spellStart"/>
      <w:r w:rsidR="00FE21D2" w:rsidRPr="00FE21D2">
        <w:rPr>
          <w:rFonts w:ascii="Arial" w:hAnsi="Arial" w:cs="Arial"/>
          <w:sz w:val="20"/>
          <w:szCs w:val="20"/>
        </w:rPr>
        <w:t>LETKEZ</w:t>
      </w:r>
      <w:proofErr w:type="spellEnd"/>
      <w:r w:rsidR="00FE21D2" w:rsidRPr="00FE21D2">
        <w:rPr>
          <w:rFonts w:ascii="Arial" w:hAnsi="Arial" w:cs="Arial"/>
          <w:sz w:val="20"/>
          <w:szCs w:val="20"/>
        </w:rPr>
        <w:t xml:space="preserve">”, </w:t>
      </w:r>
      <w:r w:rsidR="00C43B19">
        <w:rPr>
          <w:rFonts w:ascii="Arial" w:hAnsi="Arial" w:cs="Arial"/>
          <w:sz w:val="20"/>
          <w:szCs w:val="20"/>
        </w:rPr>
        <w:t xml:space="preserve">a </w:t>
      </w:r>
      <w:r w:rsidR="00FE21D2" w:rsidRPr="00FE21D2">
        <w:rPr>
          <w:rFonts w:ascii="Arial" w:hAnsi="Arial" w:cs="Arial"/>
          <w:sz w:val="20"/>
          <w:szCs w:val="20"/>
        </w:rPr>
        <w:t>tranzakciós díjakat „</w:t>
      </w:r>
      <w:proofErr w:type="spellStart"/>
      <w:r w:rsidR="00FE21D2" w:rsidRPr="00FE21D2">
        <w:rPr>
          <w:rFonts w:ascii="Arial" w:hAnsi="Arial" w:cs="Arial"/>
          <w:sz w:val="20"/>
          <w:szCs w:val="20"/>
        </w:rPr>
        <w:t>TRDIJ</w:t>
      </w:r>
      <w:proofErr w:type="spellEnd"/>
      <w:r w:rsidR="00FE21D2" w:rsidRPr="00FE21D2">
        <w:rPr>
          <w:rFonts w:ascii="Arial" w:hAnsi="Arial" w:cs="Arial"/>
          <w:sz w:val="20"/>
          <w:szCs w:val="20"/>
        </w:rPr>
        <w:t xml:space="preserve">”,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w:t>
      </w:r>
      <w:proofErr w:type="spellStart"/>
      <w:r w:rsidR="00FE21D2" w:rsidRPr="00FE21D2">
        <w:rPr>
          <w:rFonts w:ascii="Arial" w:hAnsi="Arial" w:cs="Arial"/>
          <w:sz w:val="20"/>
          <w:szCs w:val="20"/>
        </w:rPr>
        <w:t>ELSZE</w:t>
      </w:r>
      <w:proofErr w:type="spellEnd"/>
      <w:r w:rsidR="00FE21D2" w:rsidRPr="00FE21D2">
        <w:rPr>
          <w:rFonts w:ascii="Arial" w:hAnsi="Arial" w:cs="Arial"/>
          <w:sz w:val="20"/>
          <w:szCs w:val="20"/>
        </w:rPr>
        <w:t>”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10"/>
    <w:bookmarkEnd w:id="11"/>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12"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w:t>
      </w:r>
      <w:proofErr w:type="spellStart"/>
      <w:r w:rsidR="00660AE2" w:rsidRPr="00E840AE">
        <w:rPr>
          <w:rFonts w:ascii="Arial" w:hAnsi="Arial" w:cs="Arial"/>
          <w:sz w:val="20"/>
          <w:szCs w:val="20"/>
        </w:rPr>
        <w:t>ééhhnn</w:t>
      </w:r>
      <w:proofErr w:type="spellEnd"/>
      <w:r w:rsidR="00660AE2" w:rsidRPr="00E840AE">
        <w:rPr>
          <w:rFonts w:ascii="Arial" w:hAnsi="Arial" w:cs="Arial"/>
          <w:sz w:val="20"/>
          <w:szCs w:val="20"/>
        </w:rPr>
        <w:t>”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45FD1F53"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20</w:t>
      </w:r>
      <w:r w:rsidR="0019512E" w:rsidRPr="00E840AE">
        <w:rPr>
          <w:rFonts w:ascii="Arial" w:hAnsi="Arial" w:cs="Arial"/>
          <w:sz w:val="20"/>
          <w:szCs w:val="20"/>
        </w:rPr>
        <w:t>2</w:t>
      </w:r>
      <w:r w:rsidR="00B64DCF">
        <w:rPr>
          <w:rFonts w:ascii="Arial" w:hAnsi="Arial" w:cs="Arial"/>
          <w:sz w:val="20"/>
          <w:szCs w:val="20"/>
        </w:rPr>
        <w:t>4</w:t>
      </w:r>
      <w:r w:rsidRPr="00E840AE">
        <w:rPr>
          <w:rFonts w:ascii="Arial" w:hAnsi="Arial" w:cs="Arial"/>
          <w:sz w:val="20"/>
          <w:szCs w:val="20"/>
        </w:rPr>
        <w:t xml:space="preserve">. április </w:t>
      </w:r>
      <w:r w:rsidR="00B64DCF" w:rsidRPr="00E840AE">
        <w:rPr>
          <w:rFonts w:ascii="Arial" w:hAnsi="Arial" w:cs="Arial"/>
          <w:sz w:val="20"/>
          <w:szCs w:val="20"/>
        </w:rPr>
        <w:t>1</w:t>
      </w:r>
      <w:r w:rsidR="00B64DCF">
        <w:rPr>
          <w:rFonts w:ascii="Arial" w:hAnsi="Arial" w:cs="Arial"/>
          <w:sz w:val="20"/>
          <w:szCs w:val="20"/>
        </w:rPr>
        <w:t>2</w:t>
      </w:r>
      <w:r w:rsidRPr="00E840AE">
        <w:rPr>
          <w:rFonts w:ascii="Arial" w:hAnsi="Arial" w:cs="Arial"/>
          <w:sz w:val="20"/>
          <w:szCs w:val="20"/>
        </w:rPr>
        <w:t xml:space="preserve">-i lejárati idővel, 1 EUR= </w:t>
      </w:r>
      <w:r w:rsidR="00B64DCF">
        <w:rPr>
          <w:rFonts w:ascii="Arial" w:hAnsi="Arial" w:cs="Arial"/>
          <w:sz w:val="20"/>
          <w:szCs w:val="20"/>
        </w:rPr>
        <w:t>391,7611</w:t>
      </w:r>
      <w:r w:rsidRPr="00E840AE">
        <w:rPr>
          <w:rFonts w:ascii="Arial" w:hAnsi="Arial" w:cs="Arial"/>
          <w:sz w:val="20"/>
          <w:szCs w:val="20"/>
        </w:rPr>
        <w:t xml:space="preserve"> HUF árfolyamon:</w:t>
      </w:r>
    </w:p>
    <w:p w14:paraId="5308578B" w14:textId="26A76862" w:rsidR="00660AE2" w:rsidRPr="00E840AE" w:rsidRDefault="00660AE2" w:rsidP="00E840AE">
      <w:pPr>
        <w:jc w:val="both"/>
        <w:rPr>
          <w:rFonts w:ascii="Arial" w:hAnsi="Arial" w:cs="Arial"/>
          <w:sz w:val="20"/>
          <w:szCs w:val="20"/>
        </w:rPr>
      </w:pPr>
      <w:proofErr w:type="spellStart"/>
      <w:r w:rsidRPr="00E840AE">
        <w:rPr>
          <w:rFonts w:ascii="Arial" w:hAnsi="Arial" w:cs="Arial"/>
          <w:sz w:val="20"/>
          <w:szCs w:val="20"/>
        </w:rPr>
        <w:t>EURHUF</w:t>
      </w:r>
      <w:proofErr w:type="spellEnd"/>
      <w:r w:rsidRPr="00E840AE">
        <w:rPr>
          <w:rFonts w:ascii="Arial" w:hAnsi="Arial" w:cs="Arial"/>
          <w:sz w:val="20"/>
          <w:szCs w:val="20"/>
        </w:rPr>
        <w:t>/</w:t>
      </w:r>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r w:rsidRPr="00E840AE">
        <w:rPr>
          <w:rFonts w:ascii="Arial" w:hAnsi="Arial" w:cs="Arial"/>
          <w:sz w:val="20"/>
          <w:szCs w:val="20"/>
        </w:rPr>
        <w:t>/E/</w:t>
      </w:r>
      <w:r w:rsidR="00B64DCF">
        <w:rPr>
          <w:rFonts w:ascii="Arial" w:hAnsi="Arial" w:cs="Arial"/>
          <w:sz w:val="20"/>
          <w:szCs w:val="20"/>
        </w:rPr>
        <w:t>391.7611</w:t>
      </w:r>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névkonvencióval kell szerepeltetni.</w:t>
      </w:r>
      <w:bookmarkEnd w:id="12"/>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3"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3"/>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w:t>
      </w:r>
      <w:proofErr w:type="spellStart"/>
      <w:r w:rsidRPr="00E840AE">
        <w:rPr>
          <w:rFonts w:ascii="Arial" w:hAnsi="Arial" w:cs="Arial"/>
          <w:sz w:val="20"/>
          <w:szCs w:val="20"/>
        </w:rPr>
        <w:t>ában</w:t>
      </w:r>
      <w:proofErr w:type="spellEnd"/>
      <w:r w:rsidRPr="00E840AE">
        <w:rPr>
          <w:rFonts w:ascii="Arial" w:hAnsi="Arial" w:cs="Arial"/>
          <w:sz w:val="20"/>
          <w:szCs w:val="20"/>
        </w:rPr>
        <w:t xml:space="preserve">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(pl.</w:t>
      </w:r>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4" w:name="_Hlk10189276"/>
      <w:bookmarkStart w:id="15"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4"/>
      <w:r w:rsidR="007246F6" w:rsidRPr="00E840AE">
        <w:t xml:space="preserve"> </w:t>
      </w:r>
      <w:r w:rsidR="007246F6" w:rsidRPr="00E840AE">
        <w:rPr>
          <w:rFonts w:ascii="Arial" w:hAnsi="Arial" w:cs="Arial"/>
          <w:sz w:val="20"/>
          <w:szCs w:val="20"/>
        </w:rPr>
        <w:t xml:space="preserve">Abban </w:t>
      </w:r>
      <w:r w:rsidR="007246F6" w:rsidRPr="00E840AE">
        <w:rPr>
          <w:rFonts w:ascii="Arial" w:hAnsi="Arial" w:cs="Arial"/>
          <w:sz w:val="20"/>
          <w:szCs w:val="20"/>
        </w:rPr>
        <w:lastRenderedPageBreak/>
        <w:t xml:space="preserve">az esetben, ha az adott eszköz </w:t>
      </w:r>
      <w:proofErr w:type="spellStart"/>
      <w:r w:rsidR="007246F6" w:rsidRPr="00E840AE">
        <w:rPr>
          <w:rFonts w:ascii="Arial" w:hAnsi="Arial" w:cs="Arial"/>
          <w:sz w:val="20"/>
          <w:szCs w:val="20"/>
        </w:rPr>
        <w:t>denominációja</w:t>
      </w:r>
      <w:proofErr w:type="spellEnd"/>
      <w:r w:rsidR="007246F6" w:rsidRPr="00E840AE">
        <w:rPr>
          <w:rFonts w:ascii="Arial" w:hAnsi="Arial" w:cs="Arial"/>
          <w:sz w:val="20"/>
          <w:szCs w:val="20"/>
        </w:rPr>
        <w:t xml:space="preserve">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w:t>
      </w:r>
      <w:proofErr w:type="spellStart"/>
      <w:r w:rsidRPr="00E840AE">
        <w:rPr>
          <w:rFonts w:ascii="Arial" w:hAnsi="Arial" w:cs="Arial"/>
          <w:sz w:val="20"/>
          <w:szCs w:val="20"/>
        </w:rPr>
        <w:t>éééé.hh.nn</w:t>
      </w:r>
      <w:proofErr w:type="spellEnd"/>
      <w:r w:rsidRPr="00E840AE">
        <w:rPr>
          <w:rFonts w:ascii="Arial" w:hAnsi="Arial" w:cs="Arial"/>
          <w:sz w:val="20"/>
          <w:szCs w:val="20"/>
        </w:rPr>
        <w:t>”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w:t>
      </w:r>
      <w:proofErr w:type="spellStart"/>
      <w:r w:rsidRPr="00E840AE">
        <w:rPr>
          <w:rFonts w:ascii="Arial" w:hAnsi="Arial" w:cs="Arial"/>
          <w:sz w:val="20"/>
          <w:szCs w:val="20"/>
        </w:rPr>
        <w:t>Legal</w:t>
      </w:r>
      <w:proofErr w:type="spellEnd"/>
      <w:r w:rsidRPr="00E840AE">
        <w:rPr>
          <w:rFonts w:ascii="Arial" w:hAnsi="Arial" w:cs="Arial"/>
          <w:sz w:val="20"/>
          <w:szCs w:val="20"/>
        </w:rPr>
        <w:t xml:space="preserve"> </w:t>
      </w:r>
      <w:proofErr w:type="spellStart"/>
      <w:r w:rsidRPr="00E840AE">
        <w:rPr>
          <w:rFonts w:ascii="Arial" w:hAnsi="Arial" w:cs="Arial"/>
          <w:sz w:val="20"/>
          <w:szCs w:val="20"/>
        </w:rPr>
        <w:t>Entity</w:t>
      </w:r>
      <w:proofErr w:type="spellEnd"/>
      <w:r w:rsidRPr="00E840AE">
        <w:rPr>
          <w:rFonts w:ascii="Arial" w:hAnsi="Arial" w:cs="Arial"/>
          <w:sz w:val="20"/>
          <w:szCs w:val="20"/>
        </w:rPr>
        <w:t xml:space="preserve"> </w:t>
      </w:r>
      <w:proofErr w:type="spellStart"/>
      <w:r w:rsidRPr="00E840AE">
        <w:rPr>
          <w:rFonts w:ascii="Arial" w:hAnsi="Arial" w:cs="Arial"/>
          <w:sz w:val="20"/>
          <w:szCs w:val="20"/>
        </w:rPr>
        <w:t>Identifier</w:t>
      </w:r>
      <w:proofErr w:type="spellEnd"/>
      <w:r w:rsidRPr="00E840AE">
        <w:rPr>
          <w:rFonts w:ascii="Arial" w:hAnsi="Arial" w:cs="Arial"/>
          <w:sz w:val="20"/>
          <w:szCs w:val="20"/>
        </w:rPr>
        <w:t xml:space="preserve">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6" w:name="_Hlk511129958"/>
      <w:bookmarkEnd w:id="15"/>
    </w:p>
    <w:bookmarkEnd w:id="16"/>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 xml:space="preserve">hoz, kiküldésének </w:t>
      </w:r>
      <w:proofErr w:type="spellStart"/>
      <w:r w:rsidR="002A0A80" w:rsidRPr="00E840AE">
        <w:rPr>
          <w:rFonts w:ascii="Arial" w:hAnsi="Arial" w:cs="Arial"/>
          <w:color w:val="auto"/>
          <w:sz w:val="20"/>
          <w:szCs w:val="20"/>
        </w:rPr>
        <w:t>határidejéhez</w:t>
      </w:r>
      <w:proofErr w:type="spellEnd"/>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 xml:space="preserve">hoz, kiküldésének </w:t>
      </w:r>
      <w:proofErr w:type="spellStart"/>
      <w:r w:rsidR="002A0A80" w:rsidRPr="00E840AE">
        <w:rPr>
          <w:rFonts w:ascii="Arial" w:hAnsi="Arial" w:cs="Arial"/>
          <w:color w:val="auto"/>
          <w:sz w:val="20"/>
          <w:szCs w:val="20"/>
        </w:rPr>
        <w:t>határidejéhez</w:t>
      </w:r>
      <w:proofErr w:type="spellEnd"/>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lastRenderedPageBreak/>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E840AE">
        <w:rPr>
          <w:rFonts w:ascii="Arial" w:hAnsi="Arial" w:cs="Arial"/>
          <w:color w:val="auto"/>
          <w:sz w:val="20"/>
          <w:szCs w:val="20"/>
        </w:rPr>
        <w:t>határidejével</w:t>
      </w:r>
      <w:proofErr w:type="spellEnd"/>
      <w:r w:rsidRPr="00E840AE">
        <w:rPr>
          <w:rFonts w:ascii="Arial" w:hAnsi="Arial" w:cs="Arial"/>
          <w:color w:val="auto"/>
          <w:sz w:val="20"/>
          <w:szCs w:val="20"/>
        </w:rPr>
        <w:t xml:space="preserve">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lastRenderedPageBreak/>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 tárgyidőszakban a pénztárt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5F8D3A7B"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r w:rsidR="007A4FE4">
        <w:rPr>
          <w:rFonts w:ascii="Arial" w:hAnsi="Arial" w:cs="Arial"/>
          <w:i/>
          <w:sz w:val="20"/>
          <w:szCs w:val="20"/>
        </w:rPr>
        <w:t>–</w:t>
      </w:r>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proofErr w:type="spellStart"/>
      <w:r w:rsidR="005845FF" w:rsidRPr="00E840AE">
        <w:rPr>
          <w:rFonts w:ascii="Arial" w:hAnsi="Arial" w:cs="Arial"/>
          <w:sz w:val="20"/>
          <w:szCs w:val="20"/>
        </w:rPr>
        <w:t>auditori</w:t>
      </w:r>
      <w:proofErr w:type="spellEnd"/>
      <w:r w:rsidR="005845FF" w:rsidRPr="00E840AE">
        <w:rPr>
          <w:rFonts w:ascii="Arial" w:hAnsi="Arial" w:cs="Arial"/>
          <w:sz w:val="20"/>
          <w:szCs w:val="20"/>
        </w:rPr>
        <w:t xml:space="preserve">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5D01ED26"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r w:rsidR="007A4FE4">
        <w:rPr>
          <w:rFonts w:ascii="Arial" w:hAnsi="Arial" w:cs="Arial"/>
          <w:sz w:val="20"/>
          <w:szCs w:val="20"/>
        </w:rPr>
        <w:t>–</w:t>
      </w:r>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7"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7"/>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7180E1C0" w:rsidR="007D227C" w:rsidRPr="00E840AE" w:rsidRDefault="000F4395" w:rsidP="00E840AE">
      <w:pPr>
        <w:jc w:val="both"/>
      </w:pPr>
      <w:r w:rsidRPr="00E840AE">
        <w:rPr>
          <w:rFonts w:ascii="Arial" w:hAnsi="Arial" w:cs="Arial"/>
          <w:sz w:val="20"/>
          <w:szCs w:val="20"/>
        </w:rPr>
        <w:lastRenderedPageBreak/>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r w:rsidR="007A4FE4">
        <w:rPr>
          <w:rFonts w:ascii="Arial" w:hAnsi="Arial" w:cs="Arial"/>
          <w:sz w:val="20"/>
          <w:szCs w:val="20"/>
        </w:rPr>
        <w:t>–</w:t>
      </w:r>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6300FE72" w14:textId="77777777" w:rsidR="0052652D" w:rsidRDefault="0052652D" w:rsidP="00E840AE">
      <w:pPr>
        <w:jc w:val="both"/>
        <w:rPr>
          <w:rFonts w:ascii="Arial" w:hAnsi="Arial" w:cs="Arial"/>
          <w:sz w:val="20"/>
          <w:szCs w:val="20"/>
        </w:rPr>
      </w:pPr>
    </w:p>
    <w:p w14:paraId="364031FF" w14:textId="4EC238EB"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w:t>
      </w:r>
      <w:bookmarkStart w:id="18" w:name="_Hlk200534438"/>
      <w:r w:rsidR="003D17BC" w:rsidRPr="003D17BC">
        <w:rPr>
          <w:rFonts w:ascii="Arial" w:hAnsi="Arial" w:cs="Arial"/>
          <w:sz w:val="20"/>
          <w:szCs w:val="20"/>
        </w:rPr>
        <w:t>2/2025. (I.</w:t>
      </w:r>
      <w:r w:rsidR="00B04C91">
        <w:rPr>
          <w:rFonts w:ascii="Arial" w:hAnsi="Arial" w:cs="Arial"/>
          <w:sz w:val="20"/>
          <w:szCs w:val="20"/>
        </w:rPr>
        <w:t xml:space="preserve"> </w:t>
      </w:r>
      <w:r w:rsidR="003D17BC" w:rsidRPr="003D17BC">
        <w:rPr>
          <w:rFonts w:ascii="Arial" w:hAnsi="Arial" w:cs="Arial"/>
          <w:sz w:val="20"/>
          <w:szCs w:val="20"/>
        </w:rPr>
        <w:t>13.)</w:t>
      </w:r>
      <w:bookmarkEnd w:id="18"/>
      <w:r w:rsidRPr="00E840AE">
        <w:rPr>
          <w:rFonts w:ascii="Arial" w:hAnsi="Arial" w:cs="Arial"/>
          <w:sz w:val="20"/>
          <w:szCs w:val="20"/>
        </w:rPr>
        <w:t xml:space="preserve">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419A03BF"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9" w:name="_Hlk42507467"/>
      <w:proofErr w:type="spellStart"/>
      <w:r w:rsidRPr="00E840AE">
        <w:rPr>
          <w:rFonts w:ascii="Arial" w:eastAsia="Calibri" w:hAnsi="Arial" w:cs="Arial"/>
          <w:bCs/>
          <w:i/>
          <w:sz w:val="20"/>
          <w:szCs w:val="20"/>
          <w:lang w:eastAsia="ja-JP"/>
        </w:rPr>
        <w:t>PEP</w:t>
      </w:r>
      <w:proofErr w:type="spellEnd"/>
      <w:r w:rsidRPr="00E840AE">
        <w:rPr>
          <w:rFonts w:ascii="Arial" w:eastAsia="Calibri" w:hAnsi="Arial" w:cs="Arial"/>
          <w:bCs/>
          <w:sz w:val="20"/>
          <w:szCs w:val="20"/>
          <w:lang w:eastAsia="ja-JP"/>
        </w:rPr>
        <w:t xml:space="preserve">: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4C8E7C38"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w:t>
      </w:r>
      <w:r w:rsidR="00265AE9">
        <w:rPr>
          <w:rFonts w:ascii="Arial" w:eastAsia="Calibri" w:hAnsi="Arial" w:cs="Arial"/>
          <w:bCs/>
          <w:iCs/>
          <w:sz w:val="20"/>
          <w:szCs w:val="20"/>
        </w:rPr>
        <w:t>a pénztár</w:t>
      </w:r>
      <w:r>
        <w:rPr>
          <w:rFonts w:ascii="Arial" w:eastAsia="Calibri" w:hAnsi="Arial" w:cs="Arial"/>
          <w:bCs/>
          <w:iCs/>
          <w:sz w:val="20"/>
          <w:szCs w:val="20"/>
        </w:rPr>
        <w:t xml:space="preserve">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9"/>
    </w:p>
    <w:p w14:paraId="2F5AE6FE" w14:textId="77777777" w:rsidR="001476F3" w:rsidRDefault="001476F3" w:rsidP="001476F3">
      <w:pPr>
        <w:pStyle w:val="Default"/>
        <w:jc w:val="both"/>
        <w:rPr>
          <w:rFonts w:ascii="Arial" w:hAnsi="Arial" w:cs="Arial"/>
          <w:b/>
          <w:bCs/>
          <w:color w:val="auto"/>
          <w:sz w:val="20"/>
          <w:szCs w:val="20"/>
        </w:rPr>
      </w:pPr>
    </w:p>
    <w:p w14:paraId="00C6C8E0" w14:textId="3A5923E0" w:rsidR="008A43AE" w:rsidRPr="008F265F" w:rsidRDefault="008A43AE" w:rsidP="008A43AE">
      <w:pPr>
        <w:pStyle w:val="Default"/>
        <w:jc w:val="both"/>
        <w:rPr>
          <w:rFonts w:ascii="Arial" w:hAnsi="Arial" w:cs="Arial"/>
          <w:color w:val="auto"/>
          <w:sz w:val="20"/>
          <w:szCs w:val="20"/>
        </w:rPr>
      </w:pPr>
      <w:r w:rsidRPr="008F265F">
        <w:rPr>
          <w:rFonts w:ascii="Arial" w:hAnsi="Arial" w:cs="Arial"/>
          <w:color w:val="auto"/>
          <w:sz w:val="20"/>
          <w:szCs w:val="20"/>
        </w:rPr>
        <w:t>A táblában használt további fogalmakra a Pmt</w:t>
      </w:r>
      <w:r w:rsidR="006B151E">
        <w:rPr>
          <w:rFonts w:ascii="Arial" w:hAnsi="Arial" w:cs="Arial"/>
          <w:color w:val="auto"/>
          <w:sz w:val="20"/>
          <w:szCs w:val="20"/>
        </w:rPr>
        <w:t>.</w:t>
      </w:r>
      <w:r w:rsidRPr="008F265F">
        <w:rPr>
          <w:rFonts w:ascii="Arial" w:hAnsi="Arial" w:cs="Arial"/>
          <w:color w:val="auto"/>
          <w:sz w:val="20"/>
          <w:szCs w:val="20"/>
        </w:rPr>
        <w:t xml:space="preserve">-ben, </w:t>
      </w:r>
      <w:r w:rsidR="006B151E">
        <w:rPr>
          <w:rFonts w:ascii="Arial" w:hAnsi="Arial" w:cs="Arial"/>
          <w:color w:val="auto"/>
          <w:sz w:val="20"/>
          <w:szCs w:val="20"/>
        </w:rPr>
        <w:t xml:space="preserve">a </w:t>
      </w:r>
      <w:r w:rsidRPr="008F265F">
        <w:rPr>
          <w:rFonts w:ascii="Arial" w:hAnsi="Arial" w:cs="Arial"/>
          <w:color w:val="auto"/>
          <w:sz w:val="20"/>
          <w:szCs w:val="20"/>
        </w:rPr>
        <w:t>Kit</w:t>
      </w:r>
      <w:r w:rsidR="006B151E">
        <w:rPr>
          <w:rFonts w:ascii="Arial" w:hAnsi="Arial" w:cs="Arial"/>
          <w:color w:val="auto"/>
          <w:sz w:val="20"/>
          <w:szCs w:val="20"/>
        </w:rPr>
        <w:t>.</w:t>
      </w:r>
      <w:r w:rsidRPr="008F265F">
        <w:rPr>
          <w:rFonts w:ascii="Arial" w:hAnsi="Arial" w:cs="Arial"/>
          <w:color w:val="auto"/>
          <w:sz w:val="20"/>
          <w:szCs w:val="20"/>
        </w:rPr>
        <w:t xml:space="preserve">-ben, valamint </w:t>
      </w:r>
      <w:r w:rsidR="006B151E">
        <w:rPr>
          <w:rFonts w:ascii="Arial" w:hAnsi="Arial" w:cs="Arial"/>
          <w:color w:val="auto"/>
          <w:sz w:val="20"/>
          <w:szCs w:val="20"/>
        </w:rPr>
        <w:t>a 14</w:t>
      </w:r>
      <w:r w:rsidRPr="008F265F">
        <w:rPr>
          <w:rFonts w:ascii="Arial" w:hAnsi="Arial" w:cs="Arial"/>
          <w:color w:val="auto"/>
          <w:sz w:val="20"/>
          <w:szCs w:val="20"/>
        </w:rPr>
        <w:t>/202</w:t>
      </w:r>
      <w:r w:rsidR="006B151E">
        <w:rPr>
          <w:rFonts w:ascii="Arial" w:hAnsi="Arial" w:cs="Arial"/>
          <w:color w:val="auto"/>
          <w:sz w:val="20"/>
          <w:szCs w:val="20"/>
        </w:rPr>
        <w:t>5</w:t>
      </w:r>
      <w:r w:rsidRPr="008C464E">
        <w:rPr>
          <w:rFonts w:ascii="Arial" w:hAnsi="Arial"/>
          <w:color w:val="auto"/>
          <w:sz w:val="20"/>
        </w:rPr>
        <w:t xml:space="preserve">. (VI. </w:t>
      </w:r>
      <w:r w:rsidR="006B151E">
        <w:rPr>
          <w:rFonts w:ascii="Arial" w:hAnsi="Arial" w:cs="Arial"/>
          <w:color w:val="auto"/>
          <w:sz w:val="20"/>
          <w:szCs w:val="20"/>
        </w:rPr>
        <w:t>16</w:t>
      </w:r>
      <w:r w:rsidRPr="008F265F">
        <w:rPr>
          <w:rFonts w:ascii="Arial" w:hAnsi="Arial" w:cs="Arial"/>
          <w:color w:val="auto"/>
          <w:sz w:val="20"/>
          <w:szCs w:val="20"/>
        </w:rPr>
        <w:t xml:space="preserve">.) MNB rendeletben foglaltak az irányadók. </w:t>
      </w:r>
    </w:p>
    <w:p w14:paraId="6514EC07" w14:textId="77777777" w:rsidR="008A43AE" w:rsidRPr="008F265F" w:rsidRDefault="008A43AE" w:rsidP="008A43AE">
      <w:pPr>
        <w:pStyle w:val="Default"/>
        <w:jc w:val="both"/>
        <w:rPr>
          <w:rFonts w:ascii="Arial" w:hAnsi="Arial" w:cs="Arial"/>
          <w:color w:val="auto"/>
          <w:sz w:val="20"/>
          <w:szCs w:val="20"/>
        </w:rPr>
      </w:pPr>
    </w:p>
    <w:p w14:paraId="53BA6E41" w14:textId="4F8BA1EA" w:rsidR="008A43AE" w:rsidRPr="008F265F" w:rsidRDefault="008A43AE" w:rsidP="008A43AE">
      <w:pPr>
        <w:pStyle w:val="Default"/>
        <w:jc w:val="both"/>
        <w:rPr>
          <w:rFonts w:ascii="Arial" w:hAnsi="Arial" w:cs="Arial"/>
          <w:color w:val="auto"/>
          <w:sz w:val="20"/>
          <w:szCs w:val="20"/>
        </w:rPr>
      </w:pPr>
      <w:r w:rsidRPr="008F265F">
        <w:rPr>
          <w:rFonts w:ascii="Arial" w:hAnsi="Arial" w:cs="Arial"/>
          <w:color w:val="auto"/>
          <w:sz w:val="20"/>
          <w:szCs w:val="20"/>
        </w:rPr>
        <w:t>A tábla kitöltését segítő módszertani útmutatást az MNB honlapján közzétett technikai segédlet tartalmazz</w:t>
      </w:r>
      <w:r w:rsidR="006B151E">
        <w:rPr>
          <w:rFonts w:ascii="Arial" w:hAnsi="Arial" w:cs="Arial"/>
          <w:color w:val="auto"/>
          <w:sz w:val="20"/>
          <w:szCs w:val="20"/>
        </w:rPr>
        <w:t>a</w:t>
      </w:r>
      <w:r w:rsidRPr="008F265F">
        <w:rPr>
          <w:rFonts w:ascii="Arial" w:hAnsi="Arial" w:cs="Arial"/>
          <w:color w:val="auto"/>
          <w:sz w:val="20"/>
          <w:szCs w:val="20"/>
        </w:rPr>
        <w:t>.</w:t>
      </w:r>
    </w:p>
    <w:p w14:paraId="6DE846E9" w14:textId="77777777" w:rsidR="008A43AE" w:rsidRDefault="008A43AE" w:rsidP="001476F3">
      <w:pPr>
        <w:pStyle w:val="Default"/>
        <w:jc w:val="both"/>
        <w:rPr>
          <w:rFonts w:ascii="Arial" w:hAnsi="Arial" w:cs="Arial"/>
          <w:b/>
          <w:bCs/>
          <w:color w:val="auto"/>
          <w:sz w:val="20"/>
          <w:szCs w:val="20"/>
        </w:rPr>
      </w:pPr>
    </w:p>
    <w:p w14:paraId="259CF5A6" w14:textId="71408851"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8EFAFBD"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000B0E4A">
        <w:rPr>
          <w:rFonts w:ascii="Arial" w:hAnsi="Arial" w:cs="Arial"/>
          <w:i/>
          <w:iCs/>
          <w:sz w:val="20"/>
          <w:szCs w:val="20"/>
        </w:rPr>
        <w:t xml:space="preserve"> </w:t>
      </w:r>
      <w:r w:rsidRPr="003A5A95">
        <w:rPr>
          <w:rFonts w:ascii="Arial" w:hAnsi="Arial" w:cs="Arial"/>
          <w:i/>
          <w:iCs/>
          <w:sz w:val="20"/>
          <w:szCs w:val="20"/>
        </w:rPr>
        <w:t>ügyfél-átvilágítás</w:t>
      </w:r>
    </w:p>
    <w:p w14:paraId="3DE7A898" w14:textId="18BF2CC7"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w:t>
      </w:r>
      <w:proofErr w:type="spellStart"/>
      <w:r w:rsidR="00056A4A" w:rsidRPr="00E840AE">
        <w:rPr>
          <w:rFonts w:ascii="Arial" w:hAnsi="Arial" w:cs="Arial"/>
          <w:color w:val="auto"/>
          <w:sz w:val="20"/>
          <w:szCs w:val="20"/>
        </w:rPr>
        <w:t>ában</w:t>
      </w:r>
      <w:proofErr w:type="spellEnd"/>
      <w:r w:rsidR="00056A4A" w:rsidRPr="00E840AE">
        <w:rPr>
          <w:rFonts w:ascii="Arial" w:hAnsi="Arial" w:cs="Arial"/>
          <w:color w:val="auto"/>
          <w:sz w:val="20"/>
          <w:szCs w:val="20"/>
        </w:rPr>
        <w:t xml:space="preserve">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79259446"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w:t>
      </w:r>
      <w:r w:rsidR="008A43AE">
        <w:rPr>
          <w:rFonts w:ascii="Arial" w:hAnsi="Arial" w:cs="Arial"/>
          <w:sz w:val="20"/>
          <w:szCs w:val="20"/>
        </w:rPr>
        <w:t>z</w:t>
      </w:r>
      <w:r w:rsidR="00056A4A" w:rsidRPr="00E840AE">
        <w:rPr>
          <w:rFonts w:ascii="Arial" w:hAnsi="Arial" w:cs="Arial"/>
          <w:sz w:val="20"/>
          <w:szCs w:val="20"/>
        </w:rPr>
        <w:t xml:space="preserve">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614DEE66"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05BFB991"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w:t>
      </w:r>
      <w:r w:rsidR="00F16423">
        <w:rPr>
          <w:rFonts w:ascii="Arial" w:hAnsi="Arial" w:cs="Arial"/>
          <w:iCs/>
          <w:sz w:val="20"/>
          <w:szCs w:val="20"/>
        </w:rPr>
        <w:t>z</w:t>
      </w:r>
      <w:r w:rsidRPr="00B11708">
        <w:rPr>
          <w:rFonts w:ascii="Arial" w:hAnsi="Arial" w:cs="Arial"/>
          <w:iCs/>
          <w:sz w:val="20"/>
          <w:szCs w:val="20"/>
        </w:rPr>
        <w:t xml:space="preserve">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w:t>
      </w:r>
      <w:r w:rsidRPr="008339D1">
        <w:rPr>
          <w:rFonts w:ascii="Arial" w:eastAsia="Calibri" w:hAnsi="Arial" w:cs="Arial"/>
          <w:bCs/>
          <w:sz w:val="20"/>
          <w:szCs w:val="20"/>
          <w:lang w:eastAsia="en-US"/>
        </w:rPr>
        <w:lastRenderedPageBreak/>
        <w:t xml:space="preserve">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7213556A"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w:t>
      </w:r>
      <w:r w:rsidR="00F16423" w:rsidRPr="00F16423">
        <w:rPr>
          <w:rFonts w:ascii="Arial" w:hAnsi="Arial" w:cs="Arial"/>
          <w:sz w:val="20"/>
          <w:szCs w:val="20"/>
        </w:rPr>
        <w:t>– jogszabályi rendelkezés vagy a pénztár saját kockázatértékelésén alapuló</w:t>
      </w:r>
      <w:r w:rsidR="00754B82">
        <w:rPr>
          <w:rFonts w:ascii="Arial" w:hAnsi="Arial" w:cs="Arial"/>
          <w:sz w:val="20"/>
          <w:szCs w:val="20"/>
        </w:rPr>
        <w:t>,</w:t>
      </w:r>
      <w:r w:rsidR="00F16423" w:rsidRPr="00F16423">
        <w:rPr>
          <w:rFonts w:ascii="Arial" w:hAnsi="Arial" w:cs="Arial"/>
          <w:sz w:val="20"/>
          <w:szCs w:val="20"/>
        </w:rPr>
        <w:t xml:space="preserve"> belső szabályzatban rögzített esetek alapján –</w:t>
      </w:r>
      <w:r w:rsidR="00F16423">
        <w:rPr>
          <w:rFonts w:ascii="Arial" w:hAnsi="Arial" w:cs="Arial"/>
          <w:sz w:val="20"/>
          <w:szCs w:val="20"/>
        </w:rPr>
        <w:t xml:space="preserve"> </w:t>
      </w:r>
      <w:r w:rsidRPr="00D802B5">
        <w:rPr>
          <w:rFonts w:ascii="Arial" w:hAnsi="Arial" w:cs="Arial"/>
          <w:sz w:val="20"/>
          <w:szCs w:val="20"/>
        </w:rPr>
        <w:t xml:space="preserve">magas kockázatúnak tekint.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12F3E4FC"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w:t>
      </w:r>
      <w:r w:rsidR="00265AE9">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proofErr w:type="spellStart"/>
      <w:r w:rsidR="00056A4A" w:rsidRPr="003A5A95">
        <w:rPr>
          <w:rFonts w:ascii="Arial" w:hAnsi="Arial" w:cs="Arial"/>
          <w:i/>
          <w:iCs/>
          <w:sz w:val="20"/>
          <w:szCs w:val="20"/>
        </w:rPr>
        <w:t>PEP</w:t>
      </w:r>
      <w:proofErr w:type="spellEnd"/>
      <w:r w:rsidR="00056A4A" w:rsidRPr="003A5A95">
        <w:rPr>
          <w:rFonts w:ascii="Arial" w:hAnsi="Arial" w:cs="Arial"/>
          <w:i/>
          <w:iCs/>
          <w:sz w:val="20"/>
          <w:szCs w:val="20"/>
        </w:rPr>
        <w:t xml:space="preserve">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w:t>
      </w:r>
      <w:proofErr w:type="spellStart"/>
      <w:r w:rsidRPr="00E840AE">
        <w:rPr>
          <w:rFonts w:ascii="Arial" w:eastAsia="Calibri" w:hAnsi="Arial" w:cs="Arial"/>
          <w:bCs/>
          <w:sz w:val="20"/>
          <w:szCs w:val="20"/>
        </w:rPr>
        <w:t>PEP-nek</w:t>
      </w:r>
      <w:proofErr w:type="spellEnd"/>
      <w:r w:rsidRPr="00E840AE">
        <w:rPr>
          <w:rFonts w:ascii="Arial" w:eastAsia="Calibri" w:hAnsi="Arial" w:cs="Arial"/>
          <w:bCs/>
          <w:sz w:val="20"/>
          <w:szCs w:val="20"/>
        </w:rPr>
        <w:t xml:space="preserve">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w:t>
      </w:r>
      <w:proofErr w:type="spellStart"/>
      <w:r w:rsidRPr="00460C66">
        <w:rPr>
          <w:rFonts w:ascii="Arial" w:hAnsi="Arial" w:cs="Arial"/>
          <w:sz w:val="20"/>
          <w:szCs w:val="20"/>
        </w:rPr>
        <w:t>PEP-nek</w:t>
      </w:r>
      <w:proofErr w:type="spellEnd"/>
      <w:r w:rsidRPr="00460C66">
        <w:rPr>
          <w:rFonts w:ascii="Arial" w:hAnsi="Arial" w:cs="Arial"/>
          <w:sz w:val="20"/>
          <w:szCs w:val="20"/>
        </w:rPr>
        <w:t xml:space="preserve">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p>
    <w:p w14:paraId="09F6ECE4" w14:textId="77777777" w:rsidR="00BC532F" w:rsidRPr="00BC532F" w:rsidRDefault="00BC532F" w:rsidP="00BC532F">
      <w:pPr>
        <w:jc w:val="both"/>
        <w:rPr>
          <w:rFonts w:ascii="Arial" w:hAnsi="Arial" w:cs="Arial"/>
          <w:i/>
          <w:iCs/>
          <w:sz w:val="20"/>
          <w:szCs w:val="20"/>
        </w:rPr>
      </w:pPr>
    </w:p>
    <w:p w14:paraId="60EA8D6A" w14:textId="4F09841E" w:rsidR="00BC532F" w:rsidRPr="00BC532F" w:rsidRDefault="00BC532F" w:rsidP="00410160">
      <w:pPr>
        <w:keepNext/>
        <w:jc w:val="both"/>
        <w:rPr>
          <w:rFonts w:ascii="Arial" w:hAnsi="Arial" w:cs="Arial"/>
          <w:i/>
          <w:iCs/>
          <w:sz w:val="20"/>
          <w:szCs w:val="20"/>
        </w:rPr>
      </w:pPr>
      <w:r w:rsidRPr="00BC532F">
        <w:rPr>
          <w:rFonts w:ascii="Arial" w:hAnsi="Arial" w:cs="Arial"/>
          <w:i/>
          <w:iCs/>
          <w:sz w:val="20"/>
          <w:szCs w:val="20"/>
        </w:rPr>
        <w:lastRenderedPageBreak/>
        <w:t xml:space="preserve">71OPM071 </w:t>
      </w:r>
      <w:r w:rsidR="007A5D13">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21400A41" w14:textId="5CE30A71" w:rsidR="00BC532F" w:rsidRPr="00460C66" w:rsidRDefault="00BC532F" w:rsidP="00410160">
      <w:pPr>
        <w:keepNext/>
        <w:jc w:val="both"/>
        <w:rPr>
          <w:rFonts w:ascii="Arial" w:hAnsi="Arial" w:cs="Arial"/>
          <w:sz w:val="20"/>
          <w:szCs w:val="20"/>
        </w:rPr>
      </w:pPr>
      <w:r w:rsidRPr="00460C66">
        <w:rPr>
          <w:rFonts w:ascii="Arial" w:hAnsi="Arial" w:cs="Arial"/>
          <w:sz w:val="20"/>
          <w:szCs w:val="20"/>
        </w:rPr>
        <w:t xml:space="preserve">Azon tárgynegyedévi legmagasabb egyösszegű ügylet összegét kell a pénztárnak megadnia, amelyet a pénztár </w:t>
      </w:r>
      <w:r w:rsidR="00265AE9" w:rsidRPr="00265AE9">
        <w:rPr>
          <w:rFonts w:ascii="Arial" w:hAnsi="Arial" w:cs="Arial"/>
          <w:sz w:val="20"/>
          <w:szCs w:val="20"/>
        </w:rPr>
        <w:t>– jogszabályi rendelkezés vagy a pénztár saját kockázatértékelésén alapuló</w:t>
      </w:r>
      <w:r w:rsidR="00754B82">
        <w:rPr>
          <w:rFonts w:ascii="Arial" w:hAnsi="Arial" w:cs="Arial"/>
          <w:sz w:val="20"/>
          <w:szCs w:val="20"/>
        </w:rPr>
        <w:t>,</w:t>
      </w:r>
      <w:r w:rsidR="00265AE9" w:rsidRPr="00265AE9">
        <w:rPr>
          <w:rFonts w:ascii="Arial" w:hAnsi="Arial" w:cs="Arial"/>
          <w:sz w:val="20"/>
          <w:szCs w:val="20"/>
        </w:rPr>
        <w:t xml:space="preserve"> belső szabályzatban rögzített esetek alapján –</w:t>
      </w:r>
      <w:r w:rsidR="00265AE9">
        <w:rPr>
          <w:rFonts w:ascii="Arial" w:hAnsi="Arial" w:cs="Arial"/>
          <w:sz w:val="20"/>
          <w:szCs w:val="20"/>
        </w:rPr>
        <w:t xml:space="preserve"> </w:t>
      </w:r>
      <w:r w:rsidRPr="00460C66">
        <w:rPr>
          <w:rFonts w:ascii="Arial" w:hAnsi="Arial" w:cs="Arial"/>
          <w:sz w:val="20"/>
          <w:szCs w:val="20"/>
        </w:rPr>
        <w:t>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2391FA79"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r w:rsidR="007A5D13">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7C9AAFBD"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5D13F45A" w:rsidR="00056A4A" w:rsidRDefault="00265AE9" w:rsidP="00E840AE">
      <w:pPr>
        <w:jc w:val="both"/>
        <w:rPr>
          <w:rFonts w:ascii="Arial" w:eastAsia="Calibri" w:hAnsi="Arial" w:cs="Arial"/>
          <w:bCs/>
          <w:sz w:val="20"/>
          <w:szCs w:val="20"/>
        </w:rPr>
      </w:pPr>
      <w:r w:rsidRPr="00265AE9">
        <w:rPr>
          <w:rFonts w:ascii="Arial" w:eastAsia="Calibri" w:hAnsi="Arial" w:cs="Arial"/>
          <w:bCs/>
          <w:sz w:val="20"/>
          <w:szCs w:val="20"/>
        </w:rPr>
        <w:t xml:space="preserve">A pénztár szűrőrendszere által kockázatosnak minősített ügyfél vagy szokatlan ügylet vonatkozásában azon riasztások tárgynegyedévi darabszáma, amelyeknek szűrési feltételeit a pénztár határozta meg. A pénztár által meghatározott szűrési feltételnek minősülnek azon szűrési feltételek is, amelyeket a pénztár a </w:t>
      </w:r>
      <w:r w:rsidR="00E20489">
        <w:rPr>
          <w:rFonts w:ascii="Arial" w:eastAsia="Calibri" w:hAnsi="Arial" w:cs="Arial"/>
          <w:bCs/>
          <w:sz w:val="20"/>
          <w:szCs w:val="20"/>
        </w:rPr>
        <w:t>14</w:t>
      </w:r>
      <w:r w:rsidRPr="00265AE9">
        <w:rPr>
          <w:rFonts w:ascii="Arial" w:eastAsia="Calibri" w:hAnsi="Arial" w:cs="Arial"/>
          <w:bCs/>
          <w:sz w:val="20"/>
          <w:szCs w:val="20"/>
        </w:rPr>
        <w:t>/</w:t>
      </w:r>
      <w:r w:rsidR="00E20489" w:rsidRPr="00265AE9">
        <w:rPr>
          <w:rFonts w:ascii="Arial" w:eastAsia="Calibri" w:hAnsi="Arial" w:cs="Arial"/>
          <w:bCs/>
          <w:sz w:val="20"/>
          <w:szCs w:val="20"/>
        </w:rPr>
        <w:t>202</w:t>
      </w:r>
      <w:r w:rsidR="00E20489">
        <w:rPr>
          <w:rFonts w:ascii="Arial" w:eastAsia="Calibri" w:hAnsi="Arial" w:cs="Arial"/>
          <w:bCs/>
          <w:sz w:val="20"/>
          <w:szCs w:val="20"/>
        </w:rPr>
        <w:t>5</w:t>
      </w:r>
      <w:r w:rsidRPr="00265AE9">
        <w:rPr>
          <w:rFonts w:ascii="Arial" w:eastAsia="Calibri" w:hAnsi="Arial" w:cs="Arial"/>
          <w:bCs/>
          <w:sz w:val="20"/>
          <w:szCs w:val="20"/>
        </w:rPr>
        <w:t xml:space="preserve">. </w:t>
      </w:r>
      <w:r w:rsidRPr="008C464E">
        <w:rPr>
          <w:rFonts w:ascii="Arial" w:eastAsia="Calibri" w:hAnsi="Arial"/>
          <w:sz w:val="20"/>
        </w:rPr>
        <w:t xml:space="preserve">(VI. </w:t>
      </w:r>
      <w:r w:rsidR="00E20489">
        <w:rPr>
          <w:rFonts w:ascii="Arial" w:eastAsia="Calibri" w:hAnsi="Arial" w:cs="Arial"/>
          <w:bCs/>
          <w:sz w:val="20"/>
          <w:szCs w:val="20"/>
        </w:rPr>
        <w:t>16</w:t>
      </w:r>
      <w:r w:rsidRPr="008C464E">
        <w:rPr>
          <w:rFonts w:ascii="Arial" w:eastAsia="Calibri" w:hAnsi="Arial"/>
          <w:sz w:val="20"/>
        </w:rPr>
        <w:t xml:space="preserve">.) MNB rendelet </w:t>
      </w:r>
      <w:r w:rsidR="00E20489" w:rsidRPr="00265AE9">
        <w:rPr>
          <w:rFonts w:ascii="Arial" w:eastAsia="Calibri" w:hAnsi="Arial" w:cs="Arial"/>
          <w:bCs/>
          <w:sz w:val="20"/>
          <w:szCs w:val="20"/>
        </w:rPr>
        <w:t>3</w:t>
      </w:r>
      <w:r w:rsidR="00E20489">
        <w:rPr>
          <w:rFonts w:ascii="Arial" w:eastAsia="Calibri" w:hAnsi="Arial" w:cs="Arial"/>
          <w:bCs/>
          <w:sz w:val="20"/>
          <w:szCs w:val="20"/>
        </w:rPr>
        <w:t>8</w:t>
      </w:r>
      <w:r w:rsidRPr="00265AE9">
        <w:rPr>
          <w:rFonts w:ascii="Arial" w:eastAsia="Calibri" w:hAnsi="Arial" w:cs="Arial"/>
          <w:bCs/>
          <w:sz w:val="20"/>
          <w:szCs w:val="20"/>
        </w:rPr>
        <w:t>. § (3) bekezdésében hivatkozott MNB tájékoztatás alapján épített be belső kockázatértékelésébe.</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2FDAFEC4" w14:textId="71E381D5" w:rsidR="00BC532F" w:rsidRPr="00E840AE" w:rsidRDefault="00265AE9" w:rsidP="00E840AE">
      <w:pPr>
        <w:jc w:val="both"/>
        <w:rPr>
          <w:rFonts w:ascii="Arial" w:eastAsia="Calibri" w:hAnsi="Arial" w:cs="Arial"/>
          <w:bCs/>
          <w:sz w:val="20"/>
          <w:szCs w:val="20"/>
        </w:rPr>
      </w:pPr>
      <w:r w:rsidRPr="00265AE9">
        <w:rPr>
          <w:rFonts w:ascii="Arial" w:eastAsia="Calibri" w:hAnsi="Arial" w:cs="Arial"/>
          <w:bCs/>
          <w:sz w:val="20"/>
          <w:szCs w:val="20"/>
        </w:rPr>
        <w:t xml:space="preserve">Azon riasztások tárgynegyedévi darabszáma, amelyeknek az elemzését és értékelését a pénztár a </w:t>
      </w:r>
      <w:r>
        <w:rPr>
          <w:rFonts w:ascii="Arial" w:eastAsia="Calibri" w:hAnsi="Arial" w:cs="Arial"/>
          <w:bCs/>
          <w:sz w:val="20"/>
          <w:szCs w:val="20"/>
        </w:rPr>
        <w:t>jogszabályi</w:t>
      </w:r>
      <w:r w:rsidRPr="00265AE9">
        <w:rPr>
          <w:rFonts w:ascii="Arial" w:eastAsia="Calibri" w:hAnsi="Arial" w:cs="Arial"/>
          <w:bCs/>
          <w:sz w:val="20"/>
          <w:szCs w:val="20"/>
        </w:rPr>
        <w:t>, illetve a belső kockázatértékelésében meghatározott határidőn belül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6C7ACBE"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alapján pénzmosás gyanúja miatt tett bejelentések</w:t>
      </w:r>
    </w:p>
    <w:p w14:paraId="79DE5985" w14:textId="053AB205"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5E864923"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alapján terrorizmus finanszírozása gyanúja miatt tett bejelentések</w:t>
      </w:r>
    </w:p>
    <w:p w14:paraId="57EAB0D3" w14:textId="7D865CCD"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1E7AFCB7"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198D98D5" w:rsidR="00F64C50" w:rsidRPr="00F64C50" w:rsidRDefault="00F64C50" w:rsidP="00F64C50">
      <w:pPr>
        <w:jc w:val="both"/>
        <w:rPr>
          <w:rFonts w:ascii="Arial" w:hAnsi="Arial" w:cs="Arial"/>
          <w:sz w:val="20"/>
          <w:szCs w:val="20"/>
        </w:rPr>
      </w:pPr>
      <w:r w:rsidRPr="00F64C50">
        <w:rPr>
          <w:rFonts w:ascii="Arial" w:hAnsi="Arial" w:cs="Arial"/>
          <w:sz w:val="20"/>
          <w:szCs w:val="20"/>
        </w:rPr>
        <w:t>Azon ügyletek darabszámát és összegét kell megadni, amelyek teljesítését bejelentés alapjául szolgáló adat, tény, körülmény felmerülése miatt a pénztár saját hatáskörben, vagy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5732804C"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1AD44A51"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59BA2054"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09619C" w:rsidRPr="0009619C">
        <w:rPr>
          <w:rFonts w:ascii="Arial" w:hAnsi="Arial" w:cs="Arial"/>
          <w:bCs/>
          <w:sz w:val="20"/>
          <w:szCs w:val="20"/>
        </w:rPr>
        <w:t xml:space="preserve">pénztár által felállított és működtetett belső </w:t>
      </w:r>
      <w:r w:rsidR="00056A4A" w:rsidRPr="00E840AE">
        <w:rPr>
          <w:rFonts w:ascii="Arial" w:hAnsi="Arial" w:cs="Arial"/>
          <w:bCs/>
          <w:sz w:val="20"/>
          <w:szCs w:val="20"/>
        </w:rPr>
        <w:t xml:space="preserve">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566241C0"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w:t>
      </w:r>
      <w:r w:rsidR="0009619C" w:rsidRPr="00BE1855">
        <w:rPr>
          <w:rFonts w:ascii="Arial" w:hAnsi="Arial" w:cs="Arial"/>
          <w:bCs/>
          <w:sz w:val="20"/>
          <w:szCs w:val="20"/>
        </w:rPr>
        <w:t>a pénzmosás vagy terrorizmus finanszírozása gyanújával megtett</w:t>
      </w:r>
      <w:r w:rsidRPr="00E840AE">
        <w:rPr>
          <w:rFonts w:ascii="Arial" w:hAnsi="Arial" w:cs="Arial"/>
          <w:bCs/>
          <w:sz w:val="20"/>
          <w:szCs w:val="20"/>
        </w:rPr>
        <w:t xml:space="preserve">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20BB402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w:t>
      </w:r>
      <w:r w:rsidR="0009619C" w:rsidRPr="0009619C">
        <w:rPr>
          <w:rFonts w:ascii="Arial" w:hAnsi="Arial" w:cs="Arial"/>
          <w:bCs/>
          <w:sz w:val="20"/>
          <w:szCs w:val="20"/>
        </w:rPr>
        <w:t xml:space="preserve">a pénzmosás vagy terrorizmus finanszírozása gyanújával megtett </w:t>
      </w:r>
      <w:r w:rsidRPr="00E840AE">
        <w:rPr>
          <w:rFonts w:ascii="Arial" w:hAnsi="Arial" w:cs="Arial"/>
          <w:bCs/>
          <w:sz w:val="20"/>
          <w:szCs w:val="20"/>
        </w:rPr>
        <w:t xml:space="preserve">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53E6F3C"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4F71C206"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w:t>
      </w:r>
      <w:proofErr w:type="spellStart"/>
      <w:r w:rsidR="00067AE8" w:rsidRPr="00E840AE">
        <w:rPr>
          <w:rFonts w:ascii="Arial" w:hAnsi="Arial" w:cs="Arial"/>
          <w:bCs/>
          <w:sz w:val="20"/>
          <w:szCs w:val="20"/>
        </w:rPr>
        <w:t>ben</w:t>
      </w:r>
      <w:proofErr w:type="spellEnd"/>
      <w:r w:rsidR="00067AE8" w:rsidRPr="00E840AE">
        <w:rPr>
          <w:rFonts w:ascii="Arial" w:hAnsi="Arial" w:cs="Arial"/>
          <w:bCs/>
          <w:sz w:val="20"/>
          <w:szCs w:val="20"/>
        </w:rPr>
        <w:t xml:space="preserve"> definiált sikerdíj(</w:t>
      </w:r>
      <w:proofErr w:type="spellStart"/>
      <w:r w:rsidR="00067AE8" w:rsidRPr="00E840AE">
        <w:rPr>
          <w:rFonts w:ascii="Arial" w:hAnsi="Arial" w:cs="Arial"/>
          <w:bCs/>
          <w:sz w:val="20"/>
          <w:szCs w:val="20"/>
        </w:rPr>
        <w:t>ak</w:t>
      </w:r>
      <w:proofErr w:type="spellEnd"/>
      <w:r w:rsidR="00067AE8" w:rsidRPr="00E840AE">
        <w:rPr>
          <w:rFonts w:ascii="Arial" w:hAnsi="Arial" w:cs="Arial"/>
          <w:bCs/>
          <w:sz w:val="20"/>
          <w:szCs w:val="20"/>
        </w:rPr>
        <w:t>)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lastRenderedPageBreak/>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 xml:space="preserve">vagy bármilyen más céllal indított pénztári akció költségeinek, eredményességének bemutatása, az akció tartalmának rövid összefoglalásával és érvényességi </w:t>
      </w:r>
      <w:proofErr w:type="spellStart"/>
      <w:r w:rsidR="00067AE8" w:rsidRPr="00E840AE">
        <w:rPr>
          <w:rFonts w:ascii="Arial" w:hAnsi="Arial" w:cs="Arial"/>
          <w:bCs/>
          <w:sz w:val="20"/>
          <w:szCs w:val="20"/>
        </w:rPr>
        <w:t>idejével</w:t>
      </w:r>
      <w:proofErr w:type="spellEnd"/>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591F28BC" w:rsidR="00AA0887" w:rsidRDefault="00AA0887" w:rsidP="00E840AE">
      <w:pPr>
        <w:numPr>
          <w:ilvl w:val="0"/>
          <w:numId w:val="6"/>
        </w:numPr>
        <w:jc w:val="both"/>
        <w:rPr>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 xml:space="preserve">tábla </w:t>
      </w:r>
      <w:r w:rsidR="005937B8">
        <w:rPr>
          <w:rFonts w:ascii="Arial" w:hAnsi="Arial" w:cs="Arial"/>
          <w:bCs/>
          <w:sz w:val="20"/>
          <w:szCs w:val="20"/>
        </w:rPr>
        <w:t>56</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r w:rsidR="00F132AC">
        <w:rPr>
          <w:rFonts w:ascii="Arial" w:hAnsi="Arial" w:cs="Arial"/>
          <w:bCs/>
          <w:sz w:val="20"/>
          <w:szCs w:val="20"/>
        </w:rPr>
        <w:t>;</w:t>
      </w:r>
    </w:p>
    <w:p w14:paraId="30D6211D" w14:textId="7F0FBEFD" w:rsidR="00F132AC" w:rsidRPr="00F132AC" w:rsidRDefault="00F132AC" w:rsidP="00F132AC">
      <w:pPr>
        <w:pStyle w:val="Listaszerbekezds"/>
        <w:numPr>
          <w:ilvl w:val="0"/>
          <w:numId w:val="6"/>
        </w:numPr>
        <w:spacing w:after="0" w:line="240" w:lineRule="auto"/>
        <w:ind w:left="714" w:hanging="357"/>
        <w:rPr>
          <w:rFonts w:ascii="Arial" w:hAnsi="Arial" w:cs="Arial"/>
          <w:bCs/>
          <w:sz w:val="20"/>
          <w:szCs w:val="20"/>
          <w:lang w:val="hu-HU" w:eastAsia="hu-HU"/>
        </w:rPr>
      </w:pPr>
      <w:r w:rsidRPr="00F132AC">
        <w:rPr>
          <w:rFonts w:ascii="Arial" w:hAnsi="Arial" w:cs="Arial"/>
          <w:bCs/>
          <w:sz w:val="20"/>
          <w:szCs w:val="20"/>
          <w:lang w:val="hu-HU" w:eastAsia="hu-HU"/>
        </w:rPr>
        <w:t>tárgyidőszakban a pénztár</w:t>
      </w:r>
      <w:r w:rsidR="003A6565">
        <w:rPr>
          <w:rFonts w:ascii="Arial" w:hAnsi="Arial" w:cs="Arial"/>
          <w:bCs/>
          <w:sz w:val="20"/>
          <w:szCs w:val="20"/>
          <w:lang w:val="hu-HU" w:eastAsia="hu-HU"/>
        </w:rPr>
        <w:t>, illetve</w:t>
      </w:r>
      <w:r w:rsidRPr="00F132AC">
        <w:rPr>
          <w:rFonts w:ascii="Arial" w:hAnsi="Arial" w:cs="Arial"/>
          <w:bCs/>
          <w:sz w:val="20"/>
          <w:szCs w:val="20"/>
          <w:lang w:val="hu-HU" w:eastAsia="hu-HU"/>
        </w:rPr>
        <w:t xml:space="preserve"> a vagyonkezelője által zöldnek minősített és infrastrukturális befektetések megnevezésére, azok fedezeti portf</w:t>
      </w:r>
      <w:r>
        <w:rPr>
          <w:rFonts w:ascii="Arial" w:hAnsi="Arial" w:cs="Arial"/>
          <w:bCs/>
          <w:sz w:val="20"/>
          <w:szCs w:val="20"/>
          <w:lang w:val="hu-HU" w:eastAsia="hu-HU"/>
        </w:rPr>
        <w:t>ó</w:t>
      </w:r>
      <w:r w:rsidRPr="00F132AC">
        <w:rPr>
          <w:rFonts w:ascii="Arial" w:hAnsi="Arial" w:cs="Arial"/>
          <w:bCs/>
          <w:sz w:val="20"/>
          <w:szCs w:val="20"/>
          <w:lang w:val="hu-HU" w:eastAsia="hu-HU"/>
        </w:rPr>
        <w:t xml:space="preserve">lión belüli arányára; </w:t>
      </w:r>
      <w:r w:rsidR="00374DB9">
        <w:rPr>
          <w:rFonts w:ascii="Arial" w:hAnsi="Arial" w:cs="Arial"/>
          <w:bCs/>
          <w:sz w:val="20"/>
          <w:szCs w:val="20"/>
          <w:lang w:val="hu-HU" w:eastAsia="hu-HU"/>
        </w:rPr>
        <w:t xml:space="preserve">továbbá </w:t>
      </w:r>
      <w:r w:rsidRPr="00F132AC">
        <w:rPr>
          <w:rFonts w:ascii="Arial" w:hAnsi="Arial" w:cs="Arial"/>
          <w:bCs/>
          <w:sz w:val="20"/>
          <w:szCs w:val="20"/>
          <w:lang w:val="hu-HU" w:eastAsia="hu-HU"/>
        </w:rPr>
        <w:t>amennyiben a pénztár választható portf</w:t>
      </w:r>
      <w:r>
        <w:rPr>
          <w:rFonts w:ascii="Arial" w:hAnsi="Arial" w:cs="Arial"/>
          <w:bCs/>
          <w:sz w:val="20"/>
          <w:szCs w:val="20"/>
          <w:lang w:val="hu-HU" w:eastAsia="hu-HU"/>
        </w:rPr>
        <w:t>ó</w:t>
      </w:r>
      <w:r w:rsidRPr="00F132AC">
        <w:rPr>
          <w:rFonts w:ascii="Arial" w:hAnsi="Arial" w:cs="Arial"/>
          <w:bCs/>
          <w:sz w:val="20"/>
          <w:szCs w:val="20"/>
          <w:lang w:val="hu-HU" w:eastAsia="hu-HU"/>
        </w:rPr>
        <w:t>liós rendszert üzemeltet, a zöldnek minősített és az infrastrukturális befektetéseknek az adott portf</w:t>
      </w:r>
      <w:r>
        <w:rPr>
          <w:rFonts w:ascii="Arial" w:hAnsi="Arial" w:cs="Arial"/>
          <w:bCs/>
          <w:sz w:val="20"/>
          <w:szCs w:val="20"/>
          <w:lang w:val="hu-HU" w:eastAsia="hu-HU"/>
        </w:rPr>
        <w:t>ó</w:t>
      </w:r>
      <w:r w:rsidRPr="00F132AC">
        <w:rPr>
          <w:rFonts w:ascii="Arial" w:hAnsi="Arial" w:cs="Arial"/>
          <w:bCs/>
          <w:sz w:val="20"/>
          <w:szCs w:val="20"/>
          <w:lang w:val="hu-HU" w:eastAsia="hu-HU"/>
        </w:rPr>
        <w:t>lióhoz viszonyított arányára is</w:t>
      </w:r>
      <w:r>
        <w:rPr>
          <w:rFonts w:ascii="Arial" w:hAnsi="Arial" w:cs="Arial"/>
          <w:bCs/>
          <w:sz w:val="20"/>
          <w:szCs w:val="20"/>
          <w:lang w:val="hu-HU" w:eastAsia="hu-HU"/>
        </w:rPr>
        <w:t>;</w:t>
      </w:r>
    </w:p>
    <w:p w14:paraId="195A408A" w14:textId="7E1C3EB9" w:rsidR="00F132AC" w:rsidRPr="00E840AE" w:rsidRDefault="00F132AC" w:rsidP="00E840AE">
      <w:pPr>
        <w:numPr>
          <w:ilvl w:val="0"/>
          <w:numId w:val="6"/>
        </w:numPr>
        <w:jc w:val="both"/>
        <w:rPr>
          <w:rFonts w:ascii="Arial" w:hAnsi="Arial" w:cs="Arial"/>
          <w:bCs/>
          <w:sz w:val="20"/>
          <w:szCs w:val="20"/>
        </w:rPr>
      </w:pPr>
      <w:r w:rsidRPr="00F132AC">
        <w:rPr>
          <w:rFonts w:ascii="Arial" w:hAnsi="Arial" w:cs="Arial"/>
          <w:bCs/>
          <w:sz w:val="20"/>
          <w:szCs w:val="20"/>
        </w:rPr>
        <w:t>a zöldnek minősített és infrastrukturális eszközök kiválasztásának szempontjaira.</w:t>
      </w:r>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proofErr w:type="spellStart"/>
      <w:r w:rsidRPr="00E840AE">
        <w:rPr>
          <w:rFonts w:ascii="Arial" w:hAnsi="Arial" w:cs="Arial"/>
          <w:sz w:val="20"/>
          <w:szCs w:val="20"/>
        </w:rPr>
        <w:t>Övhr</w:t>
      </w:r>
      <w:proofErr w:type="spellEnd"/>
      <w:r w:rsidRPr="00E840AE">
        <w:rPr>
          <w:rFonts w:ascii="Arial" w:hAnsi="Arial" w:cs="Arial"/>
          <w:sz w:val="20"/>
          <w:szCs w:val="20"/>
        </w:rPr>
        <w:t>.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w:t>
      </w:r>
      <w:proofErr w:type="spellStart"/>
      <w:r w:rsidRPr="00E840AE">
        <w:rPr>
          <w:rFonts w:ascii="Arial" w:hAnsi="Arial" w:cs="Arial"/>
          <w:sz w:val="20"/>
          <w:szCs w:val="20"/>
        </w:rPr>
        <w:t>Övhr</w:t>
      </w:r>
      <w:proofErr w:type="spellEnd"/>
      <w:r w:rsidRPr="00E840AE">
        <w:rPr>
          <w:rFonts w:ascii="Arial" w:hAnsi="Arial" w:cs="Arial"/>
          <w:sz w:val="20"/>
          <w:szCs w:val="20"/>
        </w:rPr>
        <w:t xml:space="preserve">. 1. melléklete, az eredménykimutatás táblák (73OA,73OB,73OC) az </w:t>
      </w:r>
      <w:proofErr w:type="spellStart"/>
      <w:r w:rsidRPr="00E840AE">
        <w:rPr>
          <w:rFonts w:ascii="Arial" w:hAnsi="Arial" w:cs="Arial"/>
          <w:sz w:val="20"/>
          <w:szCs w:val="20"/>
        </w:rPr>
        <w:t>Övhr</w:t>
      </w:r>
      <w:proofErr w:type="spellEnd"/>
      <w:r w:rsidRPr="00E840AE">
        <w:rPr>
          <w:rFonts w:ascii="Arial" w:hAnsi="Arial" w:cs="Arial"/>
          <w:sz w:val="20"/>
          <w:szCs w:val="20"/>
        </w:rPr>
        <w:t xml:space="preserve">.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w:t>
      </w:r>
      <w:proofErr w:type="spellStart"/>
      <w:r w:rsidRPr="00E840AE">
        <w:rPr>
          <w:rFonts w:ascii="Arial" w:eastAsia="Calibri" w:hAnsi="Arial" w:cs="Arial"/>
          <w:sz w:val="20"/>
          <w:szCs w:val="20"/>
        </w:rPr>
        <w:t>magánnyugdíjpénztárat</w:t>
      </w:r>
      <w:proofErr w:type="spellEnd"/>
      <w:r w:rsidRPr="00E840AE">
        <w:rPr>
          <w:rFonts w:ascii="Arial" w:eastAsia="Calibri" w:hAnsi="Arial" w:cs="Arial"/>
          <w:sz w:val="20"/>
          <w:szCs w:val="20"/>
        </w:rPr>
        <w:t xml:space="preserve"> is működtető önkéntes nyugdíjpénztár a cash-flow kimutatást az önkéntes nyugdíjpénztári tevékenység vonatkozásában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w:t>
      </w:r>
      <w:proofErr w:type="spellStart"/>
      <w:r w:rsidRPr="00E840AE">
        <w:rPr>
          <w:rFonts w:ascii="Arial" w:eastAsia="Calibri" w:hAnsi="Arial" w:cs="Arial"/>
          <w:sz w:val="20"/>
          <w:szCs w:val="20"/>
        </w:rPr>
        <w:t>Mvhr</w:t>
      </w:r>
      <w:proofErr w:type="spellEnd"/>
      <w:r w:rsidRPr="00E840AE">
        <w:rPr>
          <w:rFonts w:ascii="Arial" w:eastAsia="Calibri" w:hAnsi="Arial" w:cs="Arial"/>
          <w:sz w:val="20"/>
          <w:szCs w:val="20"/>
        </w:rPr>
        <w:t xml:space="preserve">.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4.7. 73OG Éves befizetések megoszlása</w:t>
      </w:r>
    </w:p>
    <w:p w14:paraId="40669B1B" w14:textId="77777777" w:rsidR="007A5D13" w:rsidRPr="007A5D13" w:rsidRDefault="007A5D13" w:rsidP="007A5D13">
      <w:pPr>
        <w:keepNext/>
        <w:jc w:val="both"/>
        <w:rPr>
          <w:rFonts w:ascii="Arial" w:hAnsi="Arial" w:cs="Arial"/>
          <w:b/>
          <w:bCs/>
          <w:sz w:val="20"/>
          <w:szCs w:val="20"/>
        </w:rPr>
      </w:pPr>
    </w:p>
    <w:p w14:paraId="3B59388B"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A tábla kitöltése</w:t>
      </w:r>
    </w:p>
    <w:p w14:paraId="1A4870A1" w14:textId="2EF6578C" w:rsidR="007A5D13" w:rsidRPr="005936A1" w:rsidRDefault="007A5D13" w:rsidP="005936A1">
      <w:pPr>
        <w:autoSpaceDE w:val="0"/>
        <w:autoSpaceDN w:val="0"/>
        <w:adjustRightInd w:val="0"/>
        <w:jc w:val="both"/>
        <w:rPr>
          <w:rFonts w:ascii="Arial" w:hAnsi="Arial" w:cs="Arial"/>
          <w:bCs/>
          <w:sz w:val="20"/>
          <w:szCs w:val="20"/>
        </w:rPr>
      </w:pPr>
      <w:r w:rsidRPr="005936A1">
        <w:rPr>
          <w:rFonts w:ascii="Arial" w:hAnsi="Arial" w:cs="Arial"/>
          <w:bCs/>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r w:rsidR="00010945" w:rsidRPr="005936A1">
        <w:rPr>
          <w:rFonts w:ascii="Arial" w:hAnsi="Arial" w:cs="Arial"/>
          <w:bCs/>
          <w:sz w:val="20"/>
          <w:szCs w:val="20"/>
        </w:rPr>
        <w:t xml:space="preserve">i </w:t>
      </w:r>
      <w:r w:rsidRPr="005936A1">
        <w:rPr>
          <w:rFonts w:ascii="Arial" w:hAnsi="Arial" w:cs="Arial"/>
          <w:bCs/>
          <w:sz w:val="20"/>
          <w:szCs w:val="20"/>
        </w:rPr>
        <w:t>befizetést</w:t>
      </w:r>
      <w:r w:rsidR="00010945" w:rsidRPr="005936A1">
        <w:rPr>
          <w:rFonts w:ascii="Arial" w:hAnsi="Arial" w:cs="Arial"/>
          <w:bCs/>
          <w:sz w:val="20"/>
          <w:szCs w:val="20"/>
        </w:rPr>
        <w:t xml:space="preserve"> </w:t>
      </w:r>
      <w:r w:rsidR="00374DB9" w:rsidRPr="005936A1">
        <w:rPr>
          <w:rFonts w:ascii="Arial" w:hAnsi="Arial" w:cs="Arial"/>
          <w:bCs/>
          <w:sz w:val="20"/>
          <w:szCs w:val="20"/>
        </w:rPr>
        <w:t xml:space="preserve">– </w:t>
      </w:r>
      <w:r w:rsidR="00010945" w:rsidRPr="005936A1">
        <w:rPr>
          <w:rFonts w:ascii="Arial" w:hAnsi="Arial" w:cs="Arial"/>
          <w:bCs/>
          <w:sz w:val="20"/>
          <w:szCs w:val="20"/>
        </w:rPr>
        <w:t>ideértve a rendszeres tagdíj</w:t>
      </w:r>
      <w:r w:rsidR="00D35FC8" w:rsidRPr="005936A1">
        <w:rPr>
          <w:rFonts w:ascii="Arial" w:hAnsi="Arial" w:cs="Arial"/>
          <w:bCs/>
          <w:sz w:val="20"/>
          <w:szCs w:val="20"/>
        </w:rPr>
        <w:t>-</w:t>
      </w:r>
      <w:r w:rsidR="00010945" w:rsidRPr="005936A1">
        <w:rPr>
          <w:rFonts w:ascii="Arial" w:hAnsi="Arial" w:cs="Arial"/>
          <w:bCs/>
          <w:sz w:val="20"/>
          <w:szCs w:val="20"/>
        </w:rPr>
        <w:t xml:space="preserve"> és az eseti befizetéseket is</w:t>
      </w:r>
      <w:r w:rsidR="00374DB9" w:rsidRPr="005936A1">
        <w:rPr>
          <w:rFonts w:ascii="Arial" w:hAnsi="Arial" w:cs="Arial"/>
          <w:bCs/>
          <w:sz w:val="20"/>
          <w:szCs w:val="20"/>
        </w:rPr>
        <w:t xml:space="preserve"> –</w:t>
      </w:r>
      <w:r w:rsidRPr="005936A1">
        <w:rPr>
          <w:rFonts w:ascii="Arial" w:hAnsi="Arial" w:cs="Arial"/>
          <w:bCs/>
          <w:sz w:val="20"/>
          <w:szCs w:val="20"/>
        </w:rPr>
        <w:t xml:space="preserve">, illetve </w:t>
      </w:r>
      <w:r w:rsidR="00374DB9" w:rsidRPr="005936A1">
        <w:rPr>
          <w:rFonts w:ascii="Arial" w:hAnsi="Arial" w:cs="Arial"/>
          <w:bCs/>
          <w:sz w:val="20"/>
          <w:szCs w:val="20"/>
        </w:rPr>
        <w:t xml:space="preserve">kell </w:t>
      </w:r>
      <w:r w:rsidRPr="005936A1">
        <w:rPr>
          <w:rFonts w:ascii="Arial" w:hAnsi="Arial" w:cs="Arial"/>
          <w:bCs/>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374DB9" w:rsidRPr="005936A1">
        <w:rPr>
          <w:rFonts w:ascii="Arial" w:hAnsi="Arial" w:cs="Arial"/>
          <w:bCs/>
          <w:sz w:val="20"/>
          <w:szCs w:val="20"/>
        </w:rPr>
        <w:t xml:space="preserve">került-e </w:t>
      </w:r>
      <w:r w:rsidRPr="005936A1">
        <w:rPr>
          <w:rFonts w:ascii="Arial" w:hAnsi="Arial" w:cs="Arial"/>
          <w:bCs/>
          <w:sz w:val="20"/>
          <w:szCs w:val="20"/>
        </w:rPr>
        <w:t>jóváírásra az egyéni számlájukon.</w:t>
      </w:r>
    </w:p>
    <w:p w14:paraId="2E17DB5A" w14:textId="77777777" w:rsidR="00D372F5" w:rsidRPr="008C464E" w:rsidRDefault="00D372F5" w:rsidP="005936A1">
      <w:pPr>
        <w:widowControl w:val="0"/>
        <w:jc w:val="both"/>
        <w:rPr>
          <w:rFonts w:ascii="Arial" w:hAnsi="Arial"/>
          <w:sz w:val="20"/>
        </w:rPr>
      </w:pPr>
    </w:p>
    <w:p w14:paraId="144C343D" w14:textId="77777777" w:rsidR="00D372F5" w:rsidRPr="00E81DC5" w:rsidRDefault="00D372F5" w:rsidP="00D372F5">
      <w:pPr>
        <w:keepNext/>
        <w:jc w:val="both"/>
        <w:rPr>
          <w:rFonts w:ascii="Arial" w:hAnsi="Arial" w:cs="Arial"/>
          <w:b/>
          <w:bCs/>
          <w:sz w:val="20"/>
          <w:szCs w:val="20"/>
        </w:rPr>
      </w:pPr>
      <w:bookmarkStart w:id="20" w:name="_Hlk199856768"/>
      <w:r w:rsidRPr="00E81DC5">
        <w:rPr>
          <w:rFonts w:ascii="Arial" w:hAnsi="Arial" w:cs="Arial"/>
          <w:b/>
          <w:bCs/>
          <w:sz w:val="20"/>
          <w:szCs w:val="20"/>
        </w:rPr>
        <w:t>A tábla oszlopai</w:t>
      </w:r>
    </w:p>
    <w:p w14:paraId="4A7CC706" w14:textId="77777777" w:rsidR="00D372F5" w:rsidRPr="00E81DC5" w:rsidRDefault="00D372F5" w:rsidP="005936A1">
      <w:pPr>
        <w:widowControl w:val="0"/>
        <w:jc w:val="both"/>
        <w:rPr>
          <w:rFonts w:ascii="Arial" w:hAnsi="Arial" w:cs="Arial"/>
          <w:b/>
          <w:bCs/>
          <w:sz w:val="20"/>
          <w:szCs w:val="20"/>
        </w:rPr>
      </w:pPr>
    </w:p>
    <w:p w14:paraId="2FEC1A3B" w14:textId="7A7CE0A7" w:rsidR="00D372F5" w:rsidRPr="00E81DC5" w:rsidRDefault="00D372F5" w:rsidP="005936A1">
      <w:pPr>
        <w:widowControl w:val="0"/>
        <w:jc w:val="both"/>
        <w:rPr>
          <w:rFonts w:ascii="Arial" w:hAnsi="Arial" w:cs="Arial"/>
          <w:i/>
          <w:iCs/>
          <w:sz w:val="20"/>
          <w:szCs w:val="20"/>
        </w:rPr>
      </w:pPr>
      <w:r w:rsidRPr="00E81DC5">
        <w:rPr>
          <w:rFonts w:ascii="Arial" w:hAnsi="Arial" w:cs="Arial"/>
          <w:i/>
          <w:iCs/>
          <w:sz w:val="20"/>
          <w:szCs w:val="20"/>
        </w:rPr>
        <w:t>3. oszlop: Összes befizetés</w:t>
      </w:r>
      <w:r w:rsidR="00CF297A" w:rsidRPr="00E81DC5">
        <w:rPr>
          <w:rFonts w:ascii="Arial" w:hAnsi="Arial" w:cs="Arial"/>
          <w:i/>
          <w:iCs/>
          <w:sz w:val="20"/>
          <w:szCs w:val="20"/>
        </w:rPr>
        <w:t xml:space="preserve"> alapján</w:t>
      </w:r>
    </w:p>
    <w:p w14:paraId="4B372CE8" w14:textId="77777777" w:rsidR="00071E21" w:rsidRPr="00E81DC5" w:rsidRDefault="00071E21" w:rsidP="005936A1">
      <w:pPr>
        <w:widowControl w:val="0"/>
        <w:jc w:val="both"/>
        <w:rPr>
          <w:rFonts w:ascii="Arial" w:hAnsi="Arial" w:cs="Arial"/>
          <w:sz w:val="20"/>
          <w:szCs w:val="20"/>
        </w:rPr>
      </w:pPr>
      <w:r w:rsidRPr="00E81DC5">
        <w:rPr>
          <w:rFonts w:ascii="Arial" w:hAnsi="Arial" w:cs="Arial"/>
          <w:sz w:val="20"/>
          <w:szCs w:val="20"/>
        </w:rPr>
        <w:t xml:space="preserve">Ebben az oszlopban azokat a tagokat kell besorolni </w:t>
      </w:r>
      <w:r w:rsidR="00D372F5" w:rsidRPr="00E81DC5">
        <w:rPr>
          <w:rFonts w:ascii="Arial" w:hAnsi="Arial" w:cs="Arial"/>
          <w:sz w:val="20"/>
          <w:szCs w:val="20"/>
        </w:rPr>
        <w:t>az egyéni tagi befizetés és a munkáltatói tagdíj-hozzájárulás együttes összeg</w:t>
      </w:r>
      <w:r w:rsidRPr="00E81DC5">
        <w:rPr>
          <w:rFonts w:ascii="Arial" w:hAnsi="Arial" w:cs="Arial"/>
          <w:sz w:val="20"/>
          <w:szCs w:val="20"/>
        </w:rPr>
        <w:t xml:space="preserve">e alapján </w:t>
      </w:r>
      <w:r w:rsidR="00D372F5" w:rsidRPr="00E81DC5">
        <w:rPr>
          <w:rFonts w:ascii="Arial" w:hAnsi="Arial" w:cs="Arial"/>
          <w:sz w:val="20"/>
          <w:szCs w:val="20"/>
        </w:rPr>
        <w:t>a megfelelő kategóriába</w:t>
      </w:r>
      <w:bookmarkEnd w:id="20"/>
      <w:r w:rsidRPr="00E81DC5">
        <w:rPr>
          <w:rFonts w:ascii="Arial" w:hAnsi="Arial" w:cs="Arial"/>
          <w:sz w:val="20"/>
          <w:szCs w:val="20"/>
        </w:rPr>
        <w:t>, akiknek egyéni számláján a tárgyévben egyéni tagi befizetés és munkáltatói tagdíj-hozzájárulás jóváírás egyaránt történt.</w:t>
      </w:r>
    </w:p>
    <w:p w14:paraId="398C209A" w14:textId="77777777" w:rsidR="00CF297A" w:rsidRPr="00E81DC5" w:rsidRDefault="00CF297A" w:rsidP="005936A1">
      <w:pPr>
        <w:widowControl w:val="0"/>
        <w:jc w:val="both"/>
        <w:rPr>
          <w:rFonts w:ascii="Arial" w:hAnsi="Arial" w:cs="Arial"/>
          <w:sz w:val="20"/>
          <w:szCs w:val="20"/>
        </w:rPr>
      </w:pPr>
    </w:p>
    <w:p w14:paraId="3B9B3143" w14:textId="5DC7B23D" w:rsidR="00CF297A" w:rsidRPr="00E81DC5" w:rsidRDefault="00CF297A" w:rsidP="005936A1">
      <w:pPr>
        <w:widowControl w:val="0"/>
        <w:jc w:val="both"/>
        <w:rPr>
          <w:rFonts w:ascii="Arial" w:hAnsi="Arial" w:cs="Arial"/>
          <w:i/>
          <w:iCs/>
          <w:sz w:val="20"/>
          <w:szCs w:val="20"/>
        </w:rPr>
      </w:pPr>
      <w:r w:rsidRPr="00E81DC5">
        <w:rPr>
          <w:rFonts w:ascii="Arial" w:hAnsi="Arial" w:cs="Arial"/>
          <w:i/>
          <w:iCs/>
          <w:sz w:val="20"/>
          <w:szCs w:val="20"/>
        </w:rPr>
        <w:t>4. oszlop: egyéni tagi befizetés alapján</w:t>
      </w:r>
    </w:p>
    <w:p w14:paraId="50300F46" w14:textId="15851BED" w:rsidR="00CF297A" w:rsidRPr="008C464E" w:rsidRDefault="00CF297A" w:rsidP="005936A1">
      <w:pPr>
        <w:widowControl w:val="0"/>
        <w:jc w:val="both"/>
        <w:rPr>
          <w:rFonts w:ascii="Arial" w:hAnsi="Arial" w:cs="Arial"/>
          <w:sz w:val="20"/>
          <w:szCs w:val="20"/>
        </w:rPr>
      </w:pPr>
      <w:r w:rsidRPr="008C464E">
        <w:rPr>
          <w:rFonts w:ascii="Arial" w:hAnsi="Arial" w:cs="Arial"/>
          <w:sz w:val="20"/>
          <w:szCs w:val="20"/>
        </w:rPr>
        <w:t xml:space="preserve">Ebben az </w:t>
      </w:r>
      <w:r w:rsidRPr="00E81DC5">
        <w:rPr>
          <w:rFonts w:ascii="Arial" w:hAnsi="Arial" w:cs="Arial"/>
          <w:sz w:val="20"/>
          <w:szCs w:val="20"/>
        </w:rPr>
        <w:t xml:space="preserve">oszlopban </w:t>
      </w:r>
      <w:r w:rsidR="00110928" w:rsidRPr="00E81DC5">
        <w:rPr>
          <w:rFonts w:ascii="Arial" w:hAnsi="Arial" w:cs="Arial"/>
          <w:sz w:val="20"/>
          <w:szCs w:val="20"/>
        </w:rPr>
        <w:t>az</w:t>
      </w:r>
      <w:r w:rsidR="008338F7" w:rsidRPr="00E81DC5">
        <w:rPr>
          <w:rFonts w:ascii="Arial" w:hAnsi="Arial" w:cs="Arial"/>
          <w:sz w:val="20"/>
          <w:szCs w:val="20"/>
        </w:rPr>
        <w:t xml:space="preserve">okat a tagokat kell </w:t>
      </w:r>
      <w:r w:rsidR="00110928" w:rsidRPr="00E81DC5">
        <w:rPr>
          <w:rFonts w:ascii="Arial" w:hAnsi="Arial" w:cs="Arial"/>
          <w:sz w:val="20"/>
          <w:szCs w:val="20"/>
        </w:rPr>
        <w:t xml:space="preserve">besorolni </w:t>
      </w:r>
      <w:r w:rsidR="008338F7" w:rsidRPr="00E81DC5">
        <w:rPr>
          <w:rFonts w:ascii="Arial" w:hAnsi="Arial" w:cs="Arial"/>
          <w:sz w:val="20"/>
          <w:szCs w:val="20"/>
        </w:rPr>
        <w:t>az egyéni tagi befizetések összege alapján</w:t>
      </w:r>
      <w:r w:rsidR="00071E21" w:rsidRPr="00E81DC5">
        <w:rPr>
          <w:rFonts w:ascii="Arial" w:hAnsi="Arial" w:cs="Arial"/>
          <w:sz w:val="20"/>
          <w:szCs w:val="20"/>
        </w:rPr>
        <w:t xml:space="preserve"> a megfelelő kategóriákba</w:t>
      </w:r>
      <w:r w:rsidR="00110928" w:rsidRPr="00E81DC5">
        <w:rPr>
          <w:rFonts w:ascii="Arial" w:hAnsi="Arial" w:cs="Arial"/>
          <w:sz w:val="20"/>
          <w:szCs w:val="20"/>
        </w:rPr>
        <w:t xml:space="preserve">, </w:t>
      </w:r>
      <w:r w:rsidRPr="00E81DC5">
        <w:rPr>
          <w:rFonts w:ascii="Arial" w:hAnsi="Arial" w:cs="Arial"/>
          <w:sz w:val="20"/>
          <w:szCs w:val="20"/>
        </w:rPr>
        <w:t>akiknek egyéni számlájá</w:t>
      </w:r>
      <w:r w:rsidR="00110928" w:rsidRPr="00E81DC5">
        <w:rPr>
          <w:rFonts w:ascii="Arial" w:hAnsi="Arial" w:cs="Arial"/>
          <w:sz w:val="20"/>
          <w:szCs w:val="20"/>
        </w:rPr>
        <w:t>n a t</w:t>
      </w:r>
      <w:r w:rsidRPr="00E81DC5">
        <w:rPr>
          <w:rFonts w:ascii="Arial" w:hAnsi="Arial" w:cs="Arial"/>
          <w:sz w:val="20"/>
          <w:szCs w:val="20"/>
        </w:rPr>
        <w:t>árgyévben egyén</w:t>
      </w:r>
      <w:r w:rsidR="00110928" w:rsidRPr="00E81DC5">
        <w:rPr>
          <w:rFonts w:ascii="Arial" w:hAnsi="Arial" w:cs="Arial"/>
          <w:sz w:val="20"/>
          <w:szCs w:val="20"/>
        </w:rPr>
        <w:t xml:space="preserve">i </w:t>
      </w:r>
      <w:r w:rsidRPr="00E81DC5">
        <w:rPr>
          <w:rFonts w:ascii="Arial" w:hAnsi="Arial" w:cs="Arial"/>
          <w:sz w:val="20"/>
          <w:szCs w:val="20"/>
        </w:rPr>
        <w:t>tagi befizetés és munkáltatói tag</w:t>
      </w:r>
      <w:r w:rsidR="00110928" w:rsidRPr="00E81DC5">
        <w:rPr>
          <w:rFonts w:ascii="Arial" w:hAnsi="Arial" w:cs="Arial"/>
          <w:sz w:val="20"/>
          <w:szCs w:val="20"/>
        </w:rPr>
        <w:t>díj-hozzájárulás jóváírás egyaránt történt.</w:t>
      </w:r>
    </w:p>
    <w:p w14:paraId="42C6EA73" w14:textId="77777777" w:rsidR="00CF297A" w:rsidRPr="00E81DC5" w:rsidRDefault="00CF297A" w:rsidP="005936A1">
      <w:pPr>
        <w:widowControl w:val="0"/>
        <w:jc w:val="both"/>
        <w:rPr>
          <w:rFonts w:ascii="Arial" w:hAnsi="Arial" w:cs="Arial"/>
          <w:i/>
          <w:iCs/>
          <w:sz w:val="20"/>
          <w:szCs w:val="20"/>
        </w:rPr>
      </w:pPr>
    </w:p>
    <w:p w14:paraId="345A5A3C" w14:textId="411C620D" w:rsidR="00CF297A" w:rsidRPr="00E81DC5" w:rsidRDefault="00CF297A" w:rsidP="005936A1">
      <w:pPr>
        <w:widowControl w:val="0"/>
        <w:jc w:val="both"/>
        <w:rPr>
          <w:rFonts w:ascii="Arial" w:hAnsi="Arial" w:cs="Arial"/>
          <w:i/>
          <w:iCs/>
          <w:sz w:val="20"/>
          <w:szCs w:val="20"/>
        </w:rPr>
      </w:pPr>
      <w:r w:rsidRPr="00E81DC5">
        <w:rPr>
          <w:rFonts w:ascii="Arial" w:hAnsi="Arial" w:cs="Arial"/>
          <w:i/>
          <w:iCs/>
          <w:sz w:val="20"/>
          <w:szCs w:val="20"/>
        </w:rPr>
        <w:t>5. oszlop: munkáltatói tagdíj-hozzájárulás alapján</w:t>
      </w:r>
    </w:p>
    <w:p w14:paraId="539BC82B" w14:textId="7D8C68D6" w:rsidR="00CF297A" w:rsidRPr="008C464E" w:rsidRDefault="00110928" w:rsidP="005936A1">
      <w:pPr>
        <w:widowControl w:val="0"/>
        <w:jc w:val="both"/>
        <w:rPr>
          <w:rFonts w:ascii="Arial" w:hAnsi="Arial" w:cs="Arial"/>
          <w:sz w:val="20"/>
          <w:szCs w:val="20"/>
        </w:rPr>
      </w:pPr>
      <w:r w:rsidRPr="008C464E">
        <w:rPr>
          <w:rFonts w:ascii="Arial" w:hAnsi="Arial" w:cs="Arial"/>
          <w:sz w:val="20"/>
          <w:szCs w:val="20"/>
        </w:rPr>
        <w:lastRenderedPageBreak/>
        <w:t xml:space="preserve">Ebben az oszlopban </w:t>
      </w:r>
      <w:r w:rsidR="008338F7" w:rsidRPr="00E81DC5">
        <w:rPr>
          <w:rFonts w:ascii="Arial" w:hAnsi="Arial" w:cs="Arial"/>
          <w:sz w:val="20"/>
          <w:szCs w:val="20"/>
        </w:rPr>
        <w:t xml:space="preserve">azokat a tagokat kell besorolni </w:t>
      </w:r>
      <w:r w:rsidRPr="00E81DC5">
        <w:rPr>
          <w:rFonts w:ascii="Arial" w:hAnsi="Arial" w:cs="Arial"/>
          <w:sz w:val="20"/>
          <w:szCs w:val="20"/>
        </w:rPr>
        <w:t>a munkáltatói tagdíj-hozzájárulás összege alapján</w:t>
      </w:r>
      <w:r w:rsidR="00071E21" w:rsidRPr="00E81DC5">
        <w:rPr>
          <w:rFonts w:ascii="Arial" w:hAnsi="Arial" w:cs="Arial"/>
          <w:sz w:val="20"/>
          <w:szCs w:val="20"/>
        </w:rPr>
        <w:t xml:space="preserve"> a megfelelő kategóriákba</w:t>
      </w:r>
      <w:r w:rsidRPr="008C464E">
        <w:rPr>
          <w:rFonts w:ascii="Arial" w:hAnsi="Arial" w:cs="Arial"/>
          <w:sz w:val="20"/>
          <w:szCs w:val="20"/>
        </w:rPr>
        <w:t>, akiknek egyéni számláján a tárgyévben egyéni tagi befizetés és munkáltatói tagdíj</w:t>
      </w:r>
      <w:r w:rsidR="00D94187" w:rsidRPr="00E81DC5">
        <w:rPr>
          <w:rFonts w:ascii="Arial" w:hAnsi="Arial" w:cs="Arial"/>
          <w:sz w:val="20"/>
          <w:szCs w:val="20"/>
        </w:rPr>
        <w:t>-</w:t>
      </w:r>
      <w:r w:rsidRPr="008C464E">
        <w:rPr>
          <w:rFonts w:ascii="Arial" w:hAnsi="Arial" w:cs="Arial"/>
          <w:sz w:val="20"/>
          <w:szCs w:val="20"/>
        </w:rPr>
        <w:t>hozzájárulás jóváírás egyaránt történt</w:t>
      </w:r>
      <w:r w:rsidR="008338F7" w:rsidRPr="00E81DC5">
        <w:rPr>
          <w:rFonts w:ascii="Arial" w:hAnsi="Arial" w:cs="Arial"/>
          <w:sz w:val="20"/>
          <w:szCs w:val="20"/>
        </w:rPr>
        <w:t>.</w:t>
      </w:r>
    </w:p>
    <w:p w14:paraId="72F77051" w14:textId="77777777" w:rsidR="00CF297A" w:rsidRPr="007A5D13" w:rsidRDefault="00CF297A" w:rsidP="005936A1">
      <w:pPr>
        <w:widowControl w:val="0"/>
        <w:jc w:val="both"/>
        <w:rPr>
          <w:rFonts w:ascii="Arial" w:hAnsi="Arial" w:cs="Arial"/>
          <w:sz w:val="20"/>
          <w:szCs w:val="20"/>
        </w:rPr>
      </w:pPr>
    </w:p>
    <w:p w14:paraId="5D8ADA89" w14:textId="77777777" w:rsidR="007A5D13" w:rsidRDefault="007A5D13" w:rsidP="005936A1">
      <w:pPr>
        <w:widowControl w:val="0"/>
        <w:jc w:val="both"/>
        <w:rPr>
          <w:rFonts w:ascii="Arial" w:hAnsi="Arial" w:cs="Arial"/>
          <w:b/>
          <w:bCs/>
          <w:sz w:val="20"/>
          <w:szCs w:val="20"/>
        </w:rPr>
      </w:pPr>
    </w:p>
    <w:p w14:paraId="7D5A4C33" w14:textId="3B896E20" w:rsidR="00F4248E" w:rsidRPr="00E840AE" w:rsidRDefault="00A545E5" w:rsidP="005936A1">
      <w:pPr>
        <w:widowControl w:val="0"/>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8</w:t>
      </w:r>
      <w:r w:rsidRPr="00E840AE">
        <w:rPr>
          <w:rFonts w:ascii="Arial" w:hAnsi="Arial" w:cs="Arial"/>
          <w:b/>
          <w:bCs/>
          <w:sz w:val="20"/>
          <w:szCs w:val="20"/>
        </w:rPr>
        <w:t xml:space="preserve">. </w:t>
      </w:r>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5936A1">
      <w:pPr>
        <w:widowControl w:val="0"/>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118E4583" w14:textId="6662F3D1" w:rsidR="004A1CB8" w:rsidRPr="008C464E" w:rsidRDefault="004A1CB8" w:rsidP="008C464E">
      <w:pPr>
        <w:pStyle w:val="Listaszerbekezds"/>
        <w:numPr>
          <w:ilvl w:val="0"/>
          <w:numId w:val="27"/>
        </w:numPr>
        <w:spacing w:after="0"/>
        <w:ind w:left="714" w:hanging="357"/>
        <w:rPr>
          <w:rFonts w:ascii="Arial" w:eastAsia="Meiryo" w:hAnsi="Arial" w:cs="Arial"/>
          <w:sz w:val="20"/>
          <w:szCs w:val="20"/>
          <w:lang w:eastAsia="ja-JP"/>
        </w:rPr>
      </w:pPr>
      <w:r w:rsidRPr="00F42D59">
        <w:rPr>
          <w:rFonts w:ascii="Arial" w:eastAsia="Meiryo" w:hAnsi="Arial" w:cs="Arial"/>
          <w:i/>
          <w:iCs/>
          <w:sz w:val="20"/>
          <w:szCs w:val="20"/>
          <w:lang w:val="hu-HU" w:eastAsia="ja-JP"/>
        </w:rPr>
        <w:t>foglalkoztatott:</w:t>
      </w:r>
      <w:r w:rsidRPr="00F42D59">
        <w:rPr>
          <w:rFonts w:ascii="Arial" w:eastAsia="Meiryo" w:hAnsi="Arial" w:cs="Arial"/>
          <w:sz w:val="20"/>
          <w:szCs w:val="20"/>
          <w:lang w:val="hu-HU" w:eastAsia="ja-JP"/>
        </w:rPr>
        <w:t xml:space="preserve"> a pénztár pénzmosás és</w:t>
      </w:r>
      <w:r w:rsidR="00E81DC5" w:rsidRPr="008C464E">
        <w:rPr>
          <w:rFonts w:ascii="Arial" w:eastAsia="Meiryo" w:hAnsi="Arial" w:cs="Arial"/>
          <w:sz w:val="20"/>
          <w:szCs w:val="20"/>
          <w:lang w:val="hu-HU" w:eastAsia="ja-JP"/>
        </w:rPr>
        <w:t xml:space="preserve"> </w:t>
      </w:r>
      <w:r w:rsidRPr="00F42D59">
        <w:rPr>
          <w:rFonts w:ascii="Arial" w:eastAsia="Meiryo" w:hAnsi="Arial" w:cs="Arial"/>
          <w:sz w:val="20"/>
          <w:szCs w:val="20"/>
          <w:lang w:val="hu-HU" w:eastAsia="ja-JP"/>
        </w:rPr>
        <w:t>terrorizmusfinanszírozás megelőzésével és megakadályozásával, valamint az Európai Unió és az ENSZ B</w:t>
      </w:r>
      <w:r w:rsidR="00E81DC5" w:rsidRPr="008C464E">
        <w:rPr>
          <w:rFonts w:ascii="Arial" w:eastAsia="Meiryo" w:hAnsi="Arial" w:cs="Arial"/>
          <w:sz w:val="20"/>
          <w:szCs w:val="20"/>
          <w:lang w:val="hu-HU" w:eastAsia="ja-JP"/>
        </w:rPr>
        <w:t xml:space="preserve">iztonsági </w:t>
      </w:r>
      <w:r w:rsidRPr="00F42D59">
        <w:rPr>
          <w:rFonts w:ascii="Arial" w:eastAsia="Meiryo" w:hAnsi="Arial" w:cs="Arial"/>
          <w:sz w:val="20"/>
          <w:szCs w:val="20"/>
          <w:lang w:val="hu-HU" w:eastAsia="ja-JP"/>
        </w:rPr>
        <w:t>T</w:t>
      </w:r>
      <w:r w:rsidR="00E81DC5" w:rsidRPr="008C464E">
        <w:rPr>
          <w:rFonts w:ascii="Arial" w:eastAsia="Meiryo" w:hAnsi="Arial" w:cs="Arial"/>
          <w:sz w:val="20"/>
          <w:szCs w:val="20"/>
          <w:lang w:val="hu-HU" w:eastAsia="ja-JP"/>
        </w:rPr>
        <w:t>anácsa</w:t>
      </w:r>
      <w:r w:rsidRPr="00F42D59">
        <w:rPr>
          <w:rFonts w:ascii="Arial" w:eastAsia="Meiryo" w:hAnsi="Arial" w:cs="Arial"/>
          <w:sz w:val="20"/>
          <w:szCs w:val="20"/>
          <w:lang w:val="hu-HU" w:eastAsia="ja-JP"/>
        </w:rPr>
        <w:t xml:space="preserve"> által elrendelt pénzügyi és vagyoni korlátozó intézkedésekkel összefüggő tevékenysége ellátásában részt vevő megfelelési vezetője és munkavállalója; </w:t>
      </w:r>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21" w:name="_Hlk39650189"/>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21"/>
    <w:p w14:paraId="0CF255F0" w14:textId="77777777" w:rsidR="0029790E" w:rsidRDefault="0029790E" w:rsidP="00E840AE">
      <w:pPr>
        <w:jc w:val="both"/>
        <w:rPr>
          <w:rFonts w:ascii="Arial" w:eastAsia="Meiryo" w:hAnsi="Arial" w:cs="Arial"/>
          <w:b/>
          <w:bCs/>
          <w:sz w:val="20"/>
          <w:szCs w:val="20"/>
          <w:lang w:eastAsia="ja-JP"/>
        </w:rPr>
      </w:pPr>
    </w:p>
    <w:p w14:paraId="00FFDC80" w14:textId="063DA7E5" w:rsidR="009E14A4" w:rsidRPr="008F265F" w:rsidRDefault="009E14A4" w:rsidP="00E840AE">
      <w:pPr>
        <w:jc w:val="both"/>
        <w:rPr>
          <w:rFonts w:ascii="Arial" w:eastAsia="Meiryo" w:hAnsi="Arial" w:cs="Arial"/>
          <w:sz w:val="20"/>
          <w:szCs w:val="20"/>
          <w:lang w:eastAsia="ja-JP"/>
        </w:rPr>
      </w:pPr>
      <w:r w:rsidRPr="008F265F">
        <w:rPr>
          <w:rFonts w:ascii="Arial" w:eastAsia="Meiryo" w:hAnsi="Arial" w:cs="Arial"/>
          <w:sz w:val="20"/>
          <w:szCs w:val="20"/>
          <w:lang w:eastAsia="ja-JP"/>
        </w:rPr>
        <w:t xml:space="preserve">A táblában használt további fogalmakra a </w:t>
      </w:r>
      <w:r w:rsidR="00E81DC5" w:rsidRPr="008F265F">
        <w:rPr>
          <w:rFonts w:ascii="Arial" w:eastAsia="Meiryo" w:hAnsi="Arial" w:cs="Arial"/>
          <w:sz w:val="20"/>
          <w:szCs w:val="20"/>
          <w:lang w:eastAsia="ja-JP"/>
        </w:rPr>
        <w:t>Pmt</w:t>
      </w:r>
      <w:r w:rsidR="00E81DC5">
        <w:rPr>
          <w:rFonts w:ascii="Arial" w:eastAsia="Meiryo" w:hAnsi="Arial" w:cs="Arial"/>
          <w:sz w:val="20"/>
          <w:szCs w:val="20"/>
          <w:lang w:eastAsia="ja-JP"/>
        </w:rPr>
        <w:t>.</w:t>
      </w:r>
      <w:r w:rsidR="00E81DC5" w:rsidRPr="008F265F">
        <w:rPr>
          <w:rFonts w:ascii="Arial" w:eastAsia="Meiryo" w:hAnsi="Arial" w:cs="Arial"/>
          <w:sz w:val="20"/>
          <w:szCs w:val="20"/>
          <w:lang w:eastAsia="ja-JP"/>
        </w:rPr>
        <w:t>-</w:t>
      </w:r>
      <w:r w:rsidRPr="008F265F">
        <w:rPr>
          <w:rFonts w:ascii="Arial" w:eastAsia="Meiryo" w:hAnsi="Arial" w:cs="Arial"/>
          <w:sz w:val="20"/>
          <w:szCs w:val="20"/>
          <w:lang w:eastAsia="ja-JP"/>
        </w:rPr>
        <w:t>ben foglaltak az irányadók.</w:t>
      </w:r>
    </w:p>
    <w:p w14:paraId="433D919C" w14:textId="77777777" w:rsidR="009E14A4" w:rsidRPr="00E840AE" w:rsidRDefault="009E14A4"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22"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22"/>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a számviteli szabályok szerint 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23" w:name="_Hlk41035755"/>
      <w:bookmarkStart w:id="24"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23"/>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71A3AAB8" w:rsidR="0029790E" w:rsidRPr="00E840AE" w:rsidRDefault="0035708C" w:rsidP="00E840AE">
      <w:pPr>
        <w:jc w:val="both"/>
        <w:rPr>
          <w:rFonts w:ascii="Arial" w:eastAsia="Meiryo" w:hAnsi="Arial" w:cs="Arial"/>
          <w:sz w:val="20"/>
          <w:szCs w:val="20"/>
          <w:lang w:eastAsia="ja-JP"/>
        </w:rPr>
      </w:pPr>
      <w:r>
        <w:rPr>
          <w:rFonts w:ascii="Arial" w:eastAsia="Meiryo" w:hAnsi="Arial" w:cs="Arial"/>
          <w:sz w:val="20"/>
          <w:szCs w:val="20"/>
          <w:lang w:eastAsia="ja-JP"/>
        </w:rPr>
        <w:t>E</w:t>
      </w:r>
      <w:r w:rsidR="0029790E" w:rsidRPr="00E840AE">
        <w:rPr>
          <w:rFonts w:ascii="Arial" w:eastAsia="Meiryo" w:hAnsi="Arial" w:cs="Arial"/>
          <w:sz w:val="20"/>
          <w:szCs w:val="20"/>
          <w:lang w:eastAsia="ja-JP"/>
        </w:rPr>
        <w:t xml:space="preserve">zen sorban megadott adat egyenlő </w:t>
      </w:r>
      <w:r w:rsidR="00116421"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24"/>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25"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25"/>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26"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26"/>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27"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27"/>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28"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28"/>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lastRenderedPageBreak/>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29" w:name="_Hlk39647253"/>
      <w:r w:rsidRPr="00E840AE">
        <w:rPr>
          <w:rFonts w:ascii="Arial" w:eastAsia="Calibri" w:hAnsi="Arial" w:cs="Arial"/>
          <w:bCs/>
          <w:sz w:val="20"/>
          <w:szCs w:val="20"/>
          <w:lang w:eastAsia="ja-JP"/>
        </w:rPr>
        <w:t xml:space="preserve">A pénztárnak </w:t>
      </w:r>
      <w:bookmarkStart w:id="30"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30"/>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w:t>
      </w:r>
      <w:proofErr w:type="spellStart"/>
      <w:r w:rsidR="00116421" w:rsidRPr="00116421">
        <w:rPr>
          <w:rFonts w:ascii="Arial" w:eastAsia="Calibri" w:hAnsi="Arial" w:cs="Arial"/>
          <w:bCs/>
          <w:sz w:val="20"/>
          <w:szCs w:val="20"/>
          <w:lang w:eastAsia="ja-JP"/>
        </w:rPr>
        <w:t>nél</w:t>
      </w:r>
      <w:proofErr w:type="spellEnd"/>
      <w:r w:rsidR="00116421" w:rsidRPr="00116421">
        <w:rPr>
          <w:rFonts w:ascii="Arial" w:eastAsia="Calibri" w:hAnsi="Arial" w:cs="Arial"/>
          <w:bCs/>
          <w:sz w:val="20"/>
          <w:szCs w:val="20"/>
          <w:lang w:eastAsia="ja-JP"/>
        </w:rPr>
        <w:t xml:space="preserve">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29"/>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3CC50C65" w:rsidR="0029790E" w:rsidRPr="00E840AE" w:rsidRDefault="0029790E" w:rsidP="00E840AE">
      <w:pPr>
        <w:keepNext/>
        <w:jc w:val="both"/>
        <w:rPr>
          <w:rFonts w:ascii="Arial" w:eastAsia="Calibri" w:hAnsi="Arial" w:cs="Arial"/>
          <w:bCs/>
          <w:sz w:val="20"/>
          <w:szCs w:val="20"/>
          <w:lang w:eastAsia="ja-JP"/>
        </w:rPr>
      </w:pPr>
      <w:bookmarkStart w:id="31" w:name="_Hlk39647269"/>
      <w:r w:rsidRPr="00E840AE">
        <w:rPr>
          <w:rFonts w:ascii="Arial" w:eastAsia="Calibri" w:hAnsi="Arial" w:cs="Arial"/>
          <w:bCs/>
          <w:sz w:val="20"/>
          <w:szCs w:val="20"/>
          <w:lang w:eastAsia="ja-JP"/>
        </w:rPr>
        <w:t>A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31"/>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32"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32"/>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33" w:name="_Hlk41293620"/>
      <w:bookmarkStart w:id="34"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33"/>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34"/>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Default="0029790E">
      <w:pPr>
        <w:jc w:val="both"/>
        <w:rPr>
          <w:rFonts w:ascii="Arial" w:eastAsia="Calibri" w:hAnsi="Arial" w:cs="Arial"/>
          <w:bCs/>
          <w:sz w:val="20"/>
          <w:szCs w:val="20"/>
          <w:lang w:eastAsia="ja-JP"/>
        </w:rPr>
      </w:pPr>
      <w:r w:rsidRPr="00DB564D">
        <w:rPr>
          <w:rFonts w:ascii="Arial" w:eastAsia="Calibri" w:hAnsi="Arial" w:cs="Arial"/>
          <w:bCs/>
          <w:sz w:val="20"/>
          <w:szCs w:val="20"/>
          <w:lang w:eastAsia="ja-JP"/>
        </w:rPr>
        <w:t>A pénztárral kötött szerződés alapján eljáró tagszervező által, a tárgyévben végzett átvilágítások számát kell feltüntetni.</w:t>
      </w:r>
    </w:p>
    <w:p w14:paraId="0A3CD8AD" w14:textId="77777777" w:rsidR="007B03CD" w:rsidRDefault="007B03CD">
      <w:pPr>
        <w:jc w:val="both"/>
        <w:rPr>
          <w:rFonts w:ascii="Arial" w:eastAsia="Calibri" w:hAnsi="Arial" w:cs="Arial"/>
          <w:bCs/>
          <w:sz w:val="20"/>
          <w:szCs w:val="20"/>
          <w:lang w:eastAsia="ja-JP"/>
        </w:rPr>
      </w:pPr>
    </w:p>
    <w:p w14:paraId="51E17FE2" w14:textId="77777777" w:rsidR="007B03CD" w:rsidRPr="00E81DC5" w:rsidRDefault="007B03CD" w:rsidP="007B03CD">
      <w:pPr>
        <w:jc w:val="both"/>
        <w:rPr>
          <w:rFonts w:ascii="Arial" w:eastAsia="Calibri" w:hAnsi="Arial" w:cs="Arial"/>
          <w:b/>
          <w:sz w:val="20"/>
          <w:szCs w:val="20"/>
          <w:lang w:eastAsia="ja-JP"/>
        </w:rPr>
      </w:pPr>
      <w:r w:rsidRPr="00E81DC5">
        <w:rPr>
          <w:rFonts w:ascii="Arial" w:eastAsia="Calibri" w:hAnsi="Arial" w:cs="Arial"/>
          <w:b/>
          <w:sz w:val="20"/>
          <w:szCs w:val="20"/>
          <w:lang w:eastAsia="ja-JP"/>
        </w:rPr>
        <w:t xml:space="preserve">73OPM081 Újonnan belépő foglalkoztatottak száma </w:t>
      </w:r>
    </w:p>
    <w:p w14:paraId="52F3F05F" w14:textId="77777777" w:rsidR="007B03CD" w:rsidRPr="00E81DC5" w:rsidRDefault="007B03CD" w:rsidP="007B03CD">
      <w:pPr>
        <w:jc w:val="both"/>
        <w:rPr>
          <w:rFonts w:ascii="Arial" w:eastAsia="Calibri" w:hAnsi="Arial" w:cs="Arial"/>
          <w:bCs/>
          <w:sz w:val="20"/>
          <w:szCs w:val="20"/>
          <w:lang w:eastAsia="ja-JP"/>
        </w:rPr>
      </w:pPr>
      <w:r w:rsidRPr="00E81DC5">
        <w:rPr>
          <w:rFonts w:ascii="Arial" w:eastAsia="Calibri" w:hAnsi="Arial" w:cs="Arial"/>
          <w:bCs/>
          <w:sz w:val="20"/>
          <w:szCs w:val="20"/>
          <w:lang w:eastAsia="ja-JP"/>
        </w:rPr>
        <w:t xml:space="preserve">A pénztár azon foglalkoztatottjainak száma, akik a tárgyévben léptek be. </w:t>
      </w:r>
    </w:p>
    <w:p w14:paraId="73593C3C" w14:textId="77777777" w:rsidR="007B03CD" w:rsidRPr="00E81DC5" w:rsidRDefault="007B03CD" w:rsidP="007B03CD">
      <w:pPr>
        <w:jc w:val="both"/>
        <w:rPr>
          <w:rFonts w:ascii="Arial" w:eastAsia="Calibri" w:hAnsi="Arial" w:cs="Arial"/>
          <w:bCs/>
          <w:sz w:val="20"/>
          <w:szCs w:val="20"/>
          <w:lang w:eastAsia="ja-JP"/>
        </w:rPr>
      </w:pPr>
    </w:p>
    <w:p w14:paraId="4168ADD4" w14:textId="77777777" w:rsidR="007B03CD" w:rsidRPr="00E81DC5" w:rsidRDefault="007B03CD" w:rsidP="007B03CD">
      <w:pPr>
        <w:jc w:val="both"/>
        <w:rPr>
          <w:rFonts w:ascii="Arial" w:eastAsia="Calibri" w:hAnsi="Arial" w:cs="Arial"/>
          <w:b/>
          <w:sz w:val="20"/>
          <w:szCs w:val="20"/>
          <w:lang w:eastAsia="ja-JP"/>
        </w:rPr>
      </w:pPr>
      <w:r w:rsidRPr="00E81DC5">
        <w:rPr>
          <w:rFonts w:ascii="Arial" w:eastAsia="Calibri" w:hAnsi="Arial" w:cs="Arial"/>
          <w:b/>
          <w:sz w:val="20"/>
          <w:szCs w:val="20"/>
          <w:lang w:eastAsia="ja-JP"/>
        </w:rPr>
        <w:t xml:space="preserve">73OPM082 Foglalkoztatottak száma </w:t>
      </w:r>
    </w:p>
    <w:p w14:paraId="67E1645F" w14:textId="02C28FB5" w:rsidR="007B03CD" w:rsidRPr="00E81DC5" w:rsidRDefault="007B03CD" w:rsidP="007B03CD">
      <w:pPr>
        <w:jc w:val="both"/>
        <w:rPr>
          <w:rFonts w:ascii="Arial" w:eastAsia="Calibri" w:hAnsi="Arial" w:cs="Arial"/>
          <w:bCs/>
          <w:sz w:val="20"/>
          <w:szCs w:val="20"/>
          <w:lang w:eastAsia="ja-JP"/>
        </w:rPr>
      </w:pPr>
      <w:r w:rsidRPr="00E81DC5">
        <w:rPr>
          <w:rFonts w:ascii="Arial" w:eastAsia="Calibri" w:hAnsi="Arial" w:cs="Arial"/>
          <w:bCs/>
          <w:sz w:val="20"/>
          <w:szCs w:val="20"/>
          <w:lang w:eastAsia="ja-JP"/>
        </w:rPr>
        <w:t xml:space="preserve">A pénztár </w:t>
      </w:r>
      <w:r w:rsidR="00624D16" w:rsidRPr="00E81DC5">
        <w:rPr>
          <w:rFonts w:ascii="Arial" w:eastAsia="Calibri" w:hAnsi="Arial" w:cs="Arial"/>
          <w:bCs/>
          <w:sz w:val="20"/>
          <w:szCs w:val="20"/>
          <w:lang w:eastAsia="ja-JP"/>
        </w:rPr>
        <w:t xml:space="preserve">foglalkoztatottjainak tárgyév végi állapot szerint </w:t>
      </w:r>
      <w:r w:rsidRPr="00E81DC5">
        <w:rPr>
          <w:rFonts w:ascii="Arial" w:eastAsia="Calibri" w:hAnsi="Arial" w:cs="Arial"/>
          <w:bCs/>
          <w:sz w:val="20"/>
          <w:szCs w:val="20"/>
          <w:lang w:eastAsia="ja-JP"/>
        </w:rPr>
        <w:t>száma.</w:t>
      </w:r>
    </w:p>
    <w:p w14:paraId="4CD47FDB" w14:textId="77777777" w:rsidR="007B03CD" w:rsidRPr="00E81DC5" w:rsidRDefault="007B03CD" w:rsidP="007B03CD">
      <w:pPr>
        <w:jc w:val="both"/>
        <w:rPr>
          <w:rFonts w:ascii="Arial" w:eastAsia="Calibri" w:hAnsi="Arial" w:cs="Arial"/>
          <w:bCs/>
          <w:sz w:val="20"/>
          <w:szCs w:val="20"/>
          <w:lang w:eastAsia="ja-JP"/>
        </w:rPr>
      </w:pPr>
    </w:p>
    <w:p w14:paraId="0F39CB41" w14:textId="77777777" w:rsidR="007B03CD" w:rsidRPr="00E81DC5" w:rsidRDefault="007B03CD" w:rsidP="007B03CD">
      <w:pPr>
        <w:jc w:val="both"/>
        <w:rPr>
          <w:rFonts w:ascii="Arial" w:eastAsia="Calibri" w:hAnsi="Arial" w:cs="Arial"/>
          <w:b/>
          <w:sz w:val="20"/>
          <w:szCs w:val="20"/>
          <w:lang w:eastAsia="ja-JP"/>
        </w:rPr>
      </w:pPr>
      <w:r w:rsidRPr="00E81DC5">
        <w:rPr>
          <w:rFonts w:ascii="Arial" w:eastAsia="Calibri" w:hAnsi="Arial" w:cs="Arial"/>
          <w:b/>
          <w:sz w:val="20"/>
          <w:szCs w:val="20"/>
          <w:lang w:eastAsia="ja-JP"/>
        </w:rPr>
        <w:t xml:space="preserve">73OPM091 Megelőzési képzésben részesült új foglalkoztatottak </w:t>
      </w:r>
    </w:p>
    <w:p w14:paraId="37373629" w14:textId="16C03D35" w:rsidR="007B03CD" w:rsidRPr="00E81DC5" w:rsidRDefault="007B03CD" w:rsidP="007B03CD">
      <w:pPr>
        <w:jc w:val="both"/>
        <w:rPr>
          <w:rFonts w:ascii="Arial" w:eastAsia="Calibri" w:hAnsi="Arial" w:cs="Arial"/>
          <w:bCs/>
          <w:sz w:val="20"/>
          <w:szCs w:val="20"/>
          <w:lang w:eastAsia="ja-JP"/>
        </w:rPr>
      </w:pPr>
      <w:r w:rsidRPr="00E81DC5">
        <w:rPr>
          <w:rFonts w:ascii="Arial" w:eastAsia="Calibri" w:hAnsi="Arial" w:cs="Arial"/>
          <w:bCs/>
          <w:sz w:val="20"/>
          <w:szCs w:val="20"/>
          <w:lang w:eastAsia="ja-JP"/>
        </w:rPr>
        <w:t>A pénztár azon foglalkoztatottjainak száma, akik a tárgyévben léptek be és a munkakörben történő alkalmazás</w:t>
      </w:r>
      <w:r w:rsidR="00624D16">
        <w:rPr>
          <w:rFonts w:ascii="Arial" w:eastAsia="Calibri" w:hAnsi="Arial" w:cs="Arial"/>
          <w:bCs/>
          <w:sz w:val="20"/>
          <w:szCs w:val="20"/>
          <w:lang w:eastAsia="ja-JP"/>
        </w:rPr>
        <w:t>ukat</w:t>
      </w:r>
      <w:r w:rsidRPr="00E81DC5">
        <w:rPr>
          <w:rFonts w:ascii="Arial" w:eastAsia="Calibri" w:hAnsi="Arial" w:cs="Arial"/>
          <w:bCs/>
          <w:sz w:val="20"/>
          <w:szCs w:val="20"/>
          <w:lang w:eastAsia="ja-JP"/>
        </w:rPr>
        <w:t xml:space="preserve"> megelőzően vagy a belépést követő harminc napon belül a pénzmosás és</w:t>
      </w:r>
      <w:r w:rsidR="00624D16">
        <w:rPr>
          <w:rFonts w:ascii="Arial" w:eastAsia="Calibri" w:hAnsi="Arial" w:cs="Arial"/>
          <w:bCs/>
          <w:sz w:val="20"/>
          <w:szCs w:val="20"/>
          <w:lang w:eastAsia="ja-JP"/>
        </w:rPr>
        <w:t xml:space="preserve"> </w:t>
      </w:r>
      <w:r w:rsidRPr="00E81DC5">
        <w:rPr>
          <w:rFonts w:ascii="Arial" w:eastAsia="Calibri" w:hAnsi="Arial" w:cs="Arial"/>
          <w:bCs/>
          <w:sz w:val="20"/>
          <w:szCs w:val="20"/>
          <w:lang w:eastAsia="ja-JP"/>
        </w:rPr>
        <w:t>terrorizmusfinanszírozás megelőzésével és megakadályozásával, valamint az Európai Unió és az ENSZ B</w:t>
      </w:r>
      <w:r w:rsidR="00624D16">
        <w:rPr>
          <w:rFonts w:ascii="Arial" w:eastAsia="Calibri" w:hAnsi="Arial" w:cs="Arial"/>
          <w:bCs/>
          <w:sz w:val="20"/>
          <w:szCs w:val="20"/>
          <w:lang w:eastAsia="ja-JP"/>
        </w:rPr>
        <w:t xml:space="preserve">iztonsági </w:t>
      </w:r>
      <w:r w:rsidRPr="00E81DC5">
        <w:rPr>
          <w:rFonts w:ascii="Arial" w:eastAsia="Calibri" w:hAnsi="Arial" w:cs="Arial"/>
          <w:bCs/>
          <w:sz w:val="20"/>
          <w:szCs w:val="20"/>
          <w:lang w:eastAsia="ja-JP"/>
        </w:rPr>
        <w:t>T</w:t>
      </w:r>
      <w:r w:rsidR="00624D16">
        <w:rPr>
          <w:rFonts w:ascii="Arial" w:eastAsia="Calibri" w:hAnsi="Arial" w:cs="Arial"/>
          <w:bCs/>
          <w:sz w:val="20"/>
          <w:szCs w:val="20"/>
          <w:lang w:eastAsia="ja-JP"/>
        </w:rPr>
        <w:t>anácsa</w:t>
      </w:r>
      <w:r w:rsidRPr="00E81DC5">
        <w:rPr>
          <w:rFonts w:ascii="Arial" w:eastAsia="Calibri" w:hAnsi="Arial" w:cs="Arial"/>
          <w:bCs/>
          <w:sz w:val="20"/>
          <w:szCs w:val="20"/>
          <w:lang w:eastAsia="ja-JP"/>
        </w:rPr>
        <w:t xml:space="preserve"> által elrendelt pénzügyi és vagyoni korlátozó intézkedésekkel kapcsolatos képzésben részesültek.  </w:t>
      </w:r>
    </w:p>
    <w:p w14:paraId="5C25898D" w14:textId="77777777" w:rsidR="007B03CD" w:rsidRPr="00E81DC5" w:rsidRDefault="007B03CD" w:rsidP="007B03CD">
      <w:pPr>
        <w:jc w:val="both"/>
        <w:rPr>
          <w:rFonts w:ascii="Arial" w:eastAsia="Calibri" w:hAnsi="Arial" w:cs="Arial"/>
          <w:bCs/>
          <w:sz w:val="20"/>
          <w:szCs w:val="20"/>
          <w:lang w:eastAsia="ja-JP"/>
        </w:rPr>
      </w:pPr>
    </w:p>
    <w:p w14:paraId="271ACB14" w14:textId="77777777" w:rsidR="007B03CD" w:rsidRPr="00E81DC5" w:rsidRDefault="007B03CD" w:rsidP="007B03CD">
      <w:pPr>
        <w:jc w:val="both"/>
        <w:rPr>
          <w:rFonts w:ascii="Arial" w:eastAsia="Calibri" w:hAnsi="Arial" w:cs="Arial"/>
          <w:b/>
          <w:sz w:val="20"/>
          <w:szCs w:val="20"/>
          <w:lang w:eastAsia="ja-JP"/>
        </w:rPr>
      </w:pPr>
      <w:r w:rsidRPr="00E81DC5">
        <w:rPr>
          <w:rFonts w:ascii="Arial" w:eastAsia="Calibri" w:hAnsi="Arial" w:cs="Arial"/>
          <w:b/>
          <w:sz w:val="20"/>
          <w:szCs w:val="20"/>
          <w:lang w:eastAsia="ja-JP"/>
        </w:rPr>
        <w:t>73OPM092 Továbbképzésben részesült foglalkoztatottak</w:t>
      </w:r>
    </w:p>
    <w:p w14:paraId="49ED8479" w14:textId="311E26BF" w:rsidR="007B03CD" w:rsidRPr="00E81DC5" w:rsidRDefault="007B03CD" w:rsidP="007B03CD">
      <w:pPr>
        <w:jc w:val="both"/>
        <w:rPr>
          <w:rFonts w:ascii="Arial" w:eastAsia="Calibri" w:hAnsi="Arial" w:cs="Arial"/>
          <w:bCs/>
          <w:sz w:val="20"/>
          <w:szCs w:val="20"/>
          <w:lang w:eastAsia="ja-JP"/>
        </w:rPr>
      </w:pPr>
      <w:r w:rsidRPr="00E81DC5">
        <w:rPr>
          <w:rFonts w:ascii="Arial" w:eastAsia="Calibri" w:hAnsi="Arial" w:cs="Arial"/>
          <w:bCs/>
          <w:sz w:val="20"/>
          <w:szCs w:val="20"/>
          <w:lang w:eastAsia="ja-JP"/>
        </w:rPr>
        <w:t xml:space="preserve">A pénztár azon foglalkoztatottjainak száma, akik a tárgyévben a pénzmosás és  </w:t>
      </w:r>
      <w:r w:rsidR="006C04DA">
        <w:rPr>
          <w:rFonts w:ascii="Arial" w:eastAsia="Calibri" w:hAnsi="Arial" w:cs="Arial"/>
          <w:bCs/>
          <w:sz w:val="20"/>
          <w:szCs w:val="20"/>
          <w:lang w:eastAsia="ja-JP"/>
        </w:rPr>
        <w:t xml:space="preserve"> </w:t>
      </w:r>
      <w:r w:rsidRPr="00E81DC5">
        <w:rPr>
          <w:rFonts w:ascii="Arial" w:eastAsia="Calibri" w:hAnsi="Arial" w:cs="Arial"/>
          <w:bCs/>
          <w:sz w:val="20"/>
          <w:szCs w:val="20"/>
          <w:lang w:eastAsia="ja-JP"/>
        </w:rPr>
        <w:t>terrorizmusfinanszírozás megelőzésével és megakadályozásával, valamint az Európai Unió és az ENSZ B</w:t>
      </w:r>
      <w:r w:rsidR="00F42D59">
        <w:rPr>
          <w:rFonts w:ascii="Arial" w:eastAsia="Calibri" w:hAnsi="Arial" w:cs="Arial"/>
          <w:bCs/>
          <w:sz w:val="20"/>
          <w:szCs w:val="20"/>
          <w:lang w:eastAsia="ja-JP"/>
        </w:rPr>
        <w:t xml:space="preserve">iztonsági </w:t>
      </w:r>
      <w:r w:rsidRPr="00E81DC5">
        <w:rPr>
          <w:rFonts w:ascii="Arial" w:eastAsia="Calibri" w:hAnsi="Arial" w:cs="Arial"/>
          <w:bCs/>
          <w:sz w:val="20"/>
          <w:szCs w:val="20"/>
          <w:lang w:eastAsia="ja-JP"/>
        </w:rPr>
        <w:t>T</w:t>
      </w:r>
      <w:r w:rsidR="00F42D59">
        <w:rPr>
          <w:rFonts w:ascii="Arial" w:eastAsia="Calibri" w:hAnsi="Arial" w:cs="Arial"/>
          <w:bCs/>
          <w:sz w:val="20"/>
          <w:szCs w:val="20"/>
          <w:lang w:eastAsia="ja-JP"/>
        </w:rPr>
        <w:t>anácsa</w:t>
      </w:r>
      <w:r w:rsidRPr="00E81DC5">
        <w:rPr>
          <w:rFonts w:ascii="Arial" w:eastAsia="Calibri" w:hAnsi="Arial" w:cs="Arial"/>
          <w:bCs/>
          <w:sz w:val="20"/>
          <w:szCs w:val="20"/>
          <w:lang w:eastAsia="ja-JP"/>
        </w:rPr>
        <w:t xml:space="preserve"> által elrendelt pénzügyi és vagyoni korlátozó intézkedésekkel kapcsolatos éves továbbképzésben részesültek. </w:t>
      </w:r>
    </w:p>
    <w:p w14:paraId="37FFF75D" w14:textId="622CE34F" w:rsidR="007B03CD" w:rsidRDefault="00624D16" w:rsidP="007B03CD">
      <w:pPr>
        <w:jc w:val="both"/>
        <w:rPr>
          <w:rFonts w:ascii="Arial" w:eastAsia="Calibri" w:hAnsi="Arial" w:cs="Arial"/>
          <w:bCs/>
          <w:sz w:val="20"/>
          <w:szCs w:val="20"/>
          <w:lang w:eastAsia="ja-JP"/>
        </w:rPr>
      </w:pPr>
      <w:r>
        <w:rPr>
          <w:rFonts w:ascii="Arial" w:eastAsia="Calibri" w:hAnsi="Arial" w:cs="Arial"/>
          <w:bCs/>
          <w:sz w:val="20"/>
          <w:szCs w:val="20"/>
          <w:lang w:eastAsia="ja-JP"/>
        </w:rPr>
        <w:t>Ezen</w:t>
      </w:r>
      <w:r w:rsidR="00D53979">
        <w:rPr>
          <w:rFonts w:ascii="Arial" w:eastAsia="Calibri" w:hAnsi="Arial" w:cs="Arial"/>
          <w:bCs/>
          <w:sz w:val="20"/>
          <w:szCs w:val="20"/>
          <w:lang w:eastAsia="ja-JP"/>
        </w:rPr>
        <w:t xml:space="preserve"> a</w:t>
      </w:r>
      <w:r w:rsidR="007B03CD" w:rsidRPr="00E81DC5">
        <w:rPr>
          <w:rFonts w:ascii="Arial" w:eastAsia="Calibri" w:hAnsi="Arial" w:cs="Arial"/>
          <w:bCs/>
          <w:sz w:val="20"/>
          <w:szCs w:val="20"/>
          <w:lang w:eastAsia="ja-JP"/>
        </w:rPr>
        <w:t xml:space="preserve"> soron csak az éves ismétlő képzésben részesült foglalkoztatottak számát kell szerepeltetni, az újonnan belépő, megelőzési képzésben részesült foglalkoztatottak számát a 73OPM091</w:t>
      </w:r>
      <w:r w:rsidR="007B03CD" w:rsidRPr="00E81DC5">
        <w:rPr>
          <w:rFonts w:ascii="Arial" w:eastAsia="Calibri" w:hAnsi="Arial" w:cs="Arial"/>
          <w:b/>
          <w:sz w:val="20"/>
          <w:szCs w:val="20"/>
          <w:lang w:eastAsia="ja-JP"/>
        </w:rPr>
        <w:t xml:space="preserve"> </w:t>
      </w:r>
      <w:r w:rsidR="007B03CD" w:rsidRPr="00E81DC5">
        <w:rPr>
          <w:rFonts w:ascii="Arial" w:eastAsia="Calibri" w:hAnsi="Arial" w:cs="Arial"/>
          <w:bCs/>
          <w:sz w:val="20"/>
          <w:szCs w:val="20"/>
          <w:lang w:eastAsia="ja-JP"/>
        </w:rPr>
        <w:t>soron kell megadni.</w:t>
      </w:r>
      <w:r w:rsidR="007B03CD" w:rsidRPr="005E220F">
        <w:rPr>
          <w:rFonts w:ascii="Arial" w:eastAsia="Calibri" w:hAnsi="Arial" w:cs="Arial"/>
          <w:bCs/>
          <w:sz w:val="20"/>
          <w:szCs w:val="20"/>
          <w:lang w:eastAsia="ja-JP"/>
        </w:rPr>
        <w:t xml:space="preserve">   </w:t>
      </w:r>
    </w:p>
    <w:p w14:paraId="6BA47948" w14:textId="77777777" w:rsidR="007B03CD" w:rsidRDefault="007B03CD" w:rsidP="008C464E">
      <w:pPr>
        <w:jc w:val="both"/>
        <w:rPr>
          <w:rFonts w:ascii="Arial" w:eastAsia="Calibri" w:hAnsi="Arial" w:cs="Arial"/>
          <w:bCs/>
          <w:sz w:val="20"/>
          <w:szCs w:val="20"/>
          <w:lang w:eastAsia="ja-JP"/>
        </w:rPr>
      </w:pPr>
    </w:p>
    <w:p w14:paraId="2C243214" w14:textId="01E564B5"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9</w:t>
      </w:r>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690FF4A6"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 xml:space="preserve">az SFDR </w:t>
      </w:r>
      <w:proofErr w:type="spellStart"/>
      <w:r>
        <w:rPr>
          <w:rFonts w:ascii="Arial" w:hAnsi="Arial" w:cs="Arial"/>
          <w:sz w:val="20"/>
          <w:szCs w:val="20"/>
        </w:rPr>
        <w:t>RTS</w:t>
      </w:r>
      <w:proofErr w:type="spellEnd"/>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22D49AD6" w14:textId="77777777" w:rsidR="00286790" w:rsidRDefault="00286790" w:rsidP="00C64F51">
      <w:pPr>
        <w:jc w:val="both"/>
        <w:rPr>
          <w:rFonts w:ascii="Arial" w:hAnsi="Arial" w:cs="Arial"/>
          <w:sz w:val="20"/>
          <w:szCs w:val="20"/>
        </w:rPr>
      </w:pPr>
    </w:p>
    <w:p w14:paraId="3F923E54" w14:textId="57B6557A" w:rsidR="00286790" w:rsidRDefault="00286790" w:rsidP="00C64F51">
      <w:pPr>
        <w:jc w:val="both"/>
        <w:rPr>
          <w:rFonts w:ascii="Arial" w:hAnsi="Arial" w:cs="Arial"/>
          <w:sz w:val="20"/>
          <w:szCs w:val="20"/>
        </w:rPr>
      </w:pPr>
      <w:r w:rsidRPr="00286790">
        <w:rPr>
          <w:rFonts w:ascii="Arial" w:hAnsi="Arial" w:cs="Arial"/>
          <w:sz w:val="20"/>
          <w:szCs w:val="20"/>
        </w:rPr>
        <w:t>A táblában a százalékos értékeket tizedestört formában, 4 tizedesjegy pontossággal kell jelenteni (például a 12,34% mutató érték esetében 0,1234 a szerepeltetendő érték).</w:t>
      </w:r>
    </w:p>
    <w:p w14:paraId="414FC830" w14:textId="77777777" w:rsidR="00C64F51" w:rsidRPr="002C1F13" w:rsidRDefault="00C64F51" w:rsidP="008C464E">
      <w:pPr>
        <w:jc w:val="both"/>
        <w:rPr>
          <w:rFonts w:ascii="Arial" w:hAnsi="Arial" w:cs="Arial"/>
          <w:sz w:val="20"/>
          <w:szCs w:val="20"/>
        </w:rPr>
      </w:pP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 xml:space="preserve">az SFDR </w:t>
      </w:r>
      <w:proofErr w:type="spellStart"/>
      <w:r>
        <w:rPr>
          <w:rFonts w:ascii="Arial" w:hAnsi="Arial" w:cs="Arial"/>
          <w:sz w:val="20"/>
          <w:szCs w:val="20"/>
          <w:lang w:val="hu-HU"/>
        </w:rPr>
        <w:t>RTS</w:t>
      </w:r>
      <w:proofErr w:type="spellEnd"/>
      <w:r>
        <w:rPr>
          <w:rFonts w:ascii="Arial" w:hAnsi="Arial" w:cs="Arial"/>
          <w:sz w:val="20"/>
          <w:szCs w:val="20"/>
          <w:lang w:val="hu-HU"/>
        </w:rPr>
        <w:t xml:space="preserve">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proofErr w:type="spellStart"/>
      <w:r w:rsidRPr="008D23F6">
        <w:rPr>
          <w:rFonts w:ascii="Arial" w:eastAsia="Meiryo" w:hAnsi="Arial" w:cs="Arial"/>
          <w:i/>
          <w:iCs/>
          <w:sz w:val="20"/>
          <w:szCs w:val="20"/>
          <w:lang w:eastAsia="ja-JP"/>
        </w:rPr>
        <w:t>PAI</w:t>
      </w:r>
      <w:proofErr w:type="spellEnd"/>
      <w:r w:rsidRPr="008D23F6">
        <w:rPr>
          <w:rFonts w:ascii="Arial" w:eastAsia="Meiryo" w:hAnsi="Arial" w:cs="Arial"/>
          <w:i/>
          <w:iCs/>
          <w:sz w:val="20"/>
          <w:szCs w:val="20"/>
          <w:lang w:eastAsia="ja-JP"/>
        </w:rPr>
        <w:t>:</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proofErr w:type="spellStart"/>
      <w:r w:rsidRPr="008D23F6">
        <w:rPr>
          <w:rFonts w:ascii="Arial" w:eastAsia="Meiryo" w:hAnsi="Arial" w:cs="Arial"/>
          <w:sz w:val="20"/>
          <w:szCs w:val="20"/>
          <w:lang w:eastAsia="ja-JP"/>
        </w:rPr>
        <w:t>Principal</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Adverse</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Impact</w:t>
      </w:r>
      <w:proofErr w:type="spellEnd"/>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lastRenderedPageBreak/>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proofErr w:type="spellStart"/>
      <w:r w:rsidRPr="007E311D">
        <w:rPr>
          <w:rFonts w:ascii="Arial" w:hAnsi="Arial" w:cs="Arial"/>
          <w:bCs/>
          <w:i/>
          <w:sz w:val="20"/>
          <w:szCs w:val="20"/>
        </w:rPr>
        <w:t>ÜHG</w:t>
      </w:r>
      <w:proofErr w:type="spellEnd"/>
      <w:r w:rsidRPr="007E311D">
        <w:rPr>
          <w:rFonts w:ascii="Arial" w:hAnsi="Arial" w:cs="Arial"/>
          <w:bCs/>
          <w:i/>
          <w:sz w:val="20"/>
          <w:szCs w:val="20"/>
        </w:rPr>
        <w:t xml:space="preserve">: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0C8A5763" w14:textId="7E0F82C2" w:rsidR="00286790" w:rsidRPr="008F265F" w:rsidRDefault="00286790" w:rsidP="00C64F51">
      <w:pPr>
        <w:jc w:val="both"/>
        <w:rPr>
          <w:rFonts w:ascii="Arial" w:eastAsia="Meiryo" w:hAnsi="Arial" w:cs="Arial"/>
          <w:sz w:val="20"/>
          <w:szCs w:val="20"/>
          <w:lang w:eastAsia="ja-JP"/>
        </w:rPr>
      </w:pPr>
      <w:r w:rsidRPr="008F265F">
        <w:rPr>
          <w:rFonts w:ascii="Arial" w:eastAsia="Meiryo" w:hAnsi="Arial" w:cs="Arial"/>
          <w:sz w:val="20"/>
          <w:szCs w:val="20"/>
          <w:lang w:eastAsia="ja-JP"/>
        </w:rPr>
        <w:t xml:space="preserve">A </w:t>
      </w:r>
      <w:r w:rsidRPr="0069593B">
        <w:rPr>
          <w:rFonts w:ascii="Arial" w:eastAsia="Meiryo" w:hAnsi="Arial" w:cs="Arial"/>
          <w:i/>
          <w:iCs/>
          <w:sz w:val="20"/>
          <w:szCs w:val="20"/>
          <w:lang w:eastAsia="ja-JP"/>
        </w:rPr>
        <w:t>73OSFDR1–73OSFDR4</w:t>
      </w:r>
      <w:r w:rsidR="00B92A2E">
        <w:rPr>
          <w:rFonts w:ascii="Arial" w:eastAsia="Meiryo" w:hAnsi="Arial" w:cs="Arial"/>
          <w:i/>
          <w:iCs/>
          <w:sz w:val="20"/>
          <w:szCs w:val="20"/>
          <w:lang w:eastAsia="ja-JP"/>
        </w:rPr>
        <w:t>2</w:t>
      </w:r>
      <w:r w:rsidRPr="008F265F">
        <w:rPr>
          <w:rFonts w:ascii="Arial" w:eastAsia="Meiryo" w:hAnsi="Arial" w:cs="Arial"/>
          <w:sz w:val="20"/>
          <w:szCs w:val="20"/>
          <w:lang w:eastAsia="ja-JP"/>
        </w:rPr>
        <w:t xml:space="preserve"> sor értelemszerű kitöltése kötelező minden pénztár számára. </w:t>
      </w:r>
    </w:p>
    <w:p w14:paraId="2F2EAC66" w14:textId="77777777" w:rsidR="00286790" w:rsidRDefault="00286790" w:rsidP="00C64F51">
      <w:pPr>
        <w:jc w:val="both"/>
        <w:rPr>
          <w:rFonts w:ascii="Arial" w:eastAsia="Meiryo" w:hAnsi="Arial" w:cs="Arial"/>
          <w:i/>
          <w:iCs/>
          <w:sz w:val="20"/>
          <w:szCs w:val="20"/>
          <w:lang w:eastAsia="ja-JP"/>
        </w:rPr>
      </w:pPr>
    </w:p>
    <w:p w14:paraId="2A7C75FB" w14:textId="6F4CD94E" w:rsidR="00C64F51" w:rsidRDefault="00B7431E" w:rsidP="00C64F51">
      <w:pPr>
        <w:jc w:val="both"/>
        <w:rPr>
          <w:rFonts w:ascii="Arial" w:hAnsi="Arial" w:cs="Arial"/>
          <w:sz w:val="20"/>
          <w:szCs w:val="20"/>
        </w:rPr>
      </w:pPr>
      <w:r>
        <w:rPr>
          <w:rFonts w:ascii="Arial" w:eastAsia="Meiryo" w:hAnsi="Arial" w:cs="Arial"/>
          <w:i/>
          <w:iCs/>
          <w:sz w:val="20"/>
          <w:szCs w:val="20"/>
          <w:lang w:eastAsia="ja-JP"/>
        </w:rPr>
        <w:t xml:space="preserve">A </w:t>
      </w:r>
      <w:r w:rsidR="00C64F51" w:rsidRPr="008A2CE0">
        <w:rPr>
          <w:rFonts w:ascii="Arial" w:eastAsia="Meiryo" w:hAnsi="Arial" w:cs="Arial"/>
          <w:i/>
          <w:iCs/>
          <w:sz w:val="20"/>
          <w:szCs w:val="20"/>
          <w:lang w:eastAsia="ja-JP"/>
        </w:rPr>
        <w:t xml:space="preserve">73OSFDR1 </w:t>
      </w:r>
      <w:r w:rsidR="00B92A2E">
        <w:rPr>
          <w:rFonts w:ascii="Arial" w:eastAsia="Meiryo" w:hAnsi="Arial" w:cs="Arial"/>
          <w:i/>
          <w:iCs/>
          <w:sz w:val="20"/>
          <w:szCs w:val="20"/>
          <w:lang w:eastAsia="ja-JP"/>
        </w:rPr>
        <w:t>sorban a</w:t>
      </w:r>
      <w:r w:rsidR="00C64F51" w:rsidRPr="002C1F13">
        <w:rPr>
          <w:rFonts w:ascii="Arial" w:hAnsi="Arial" w:cs="Arial"/>
          <w:sz w:val="20"/>
          <w:szCs w:val="20"/>
        </w:rPr>
        <w:t xml:space="preserve"> lehetséges értékek: „Igen” vagy „Nem”. A </w:t>
      </w:r>
      <w:r w:rsidR="00286790">
        <w:rPr>
          <w:rFonts w:ascii="Arial" w:hAnsi="Arial" w:cs="Arial"/>
          <w:sz w:val="20"/>
          <w:szCs w:val="20"/>
        </w:rPr>
        <w:t>sor kitöltésekor</w:t>
      </w:r>
      <w:r w:rsidR="00286790" w:rsidRPr="002C1F13">
        <w:rPr>
          <w:rFonts w:ascii="Arial" w:hAnsi="Arial" w:cs="Arial"/>
          <w:sz w:val="20"/>
          <w:szCs w:val="20"/>
        </w:rPr>
        <w:t xml:space="preserve"> </w:t>
      </w:r>
      <w:r w:rsidR="00C64F51" w:rsidRPr="002C1F13">
        <w:rPr>
          <w:rFonts w:ascii="Arial" w:hAnsi="Arial" w:cs="Arial"/>
          <w:sz w:val="20"/>
          <w:szCs w:val="20"/>
        </w:rPr>
        <w:t>az SFDR 4.</w:t>
      </w:r>
      <w:r w:rsidR="00286790">
        <w:rPr>
          <w:rFonts w:ascii="Arial" w:hAnsi="Arial" w:cs="Arial"/>
          <w:sz w:val="20"/>
          <w:szCs w:val="20"/>
        </w:rPr>
        <w:t xml:space="preserve"> cikkében foglaltakat kell figyelembe venni</w:t>
      </w:r>
      <w:r w:rsidR="00C64F51" w:rsidRPr="002C1F13">
        <w:rPr>
          <w:rFonts w:ascii="Arial" w:hAnsi="Arial" w:cs="Arial"/>
          <w:sz w:val="20"/>
          <w:szCs w:val="20"/>
        </w:rPr>
        <w:t>.</w:t>
      </w:r>
    </w:p>
    <w:p w14:paraId="1B7C867D" w14:textId="77777777" w:rsidR="0069593B" w:rsidRDefault="0069593B" w:rsidP="00C64F51">
      <w:pPr>
        <w:jc w:val="both"/>
        <w:rPr>
          <w:rFonts w:ascii="Arial" w:hAnsi="Arial" w:cs="Arial"/>
          <w:sz w:val="20"/>
          <w:szCs w:val="20"/>
        </w:rPr>
      </w:pPr>
    </w:p>
    <w:p w14:paraId="721C86E4" w14:textId="23AAC1B8" w:rsidR="0069593B" w:rsidRDefault="0069593B" w:rsidP="00C64F51">
      <w:pPr>
        <w:jc w:val="both"/>
        <w:rPr>
          <w:rFonts w:ascii="Arial" w:hAnsi="Arial" w:cs="Arial"/>
          <w:sz w:val="20"/>
          <w:szCs w:val="20"/>
        </w:rPr>
      </w:pPr>
      <w:r w:rsidRPr="003350AD">
        <w:rPr>
          <w:rFonts w:ascii="Arial" w:hAnsi="Arial" w:cs="Arial"/>
          <w:sz w:val="20"/>
          <w:szCs w:val="20"/>
        </w:rPr>
        <w:t>A</w:t>
      </w:r>
      <w:r w:rsidR="00B7431E" w:rsidRPr="003350AD">
        <w:rPr>
          <w:rFonts w:ascii="Arial" w:hAnsi="Arial" w:cs="Arial"/>
          <w:sz w:val="20"/>
          <w:szCs w:val="20"/>
        </w:rPr>
        <w:t xml:space="preserve"> </w:t>
      </w:r>
      <w:r w:rsidRPr="003350AD">
        <w:rPr>
          <w:rFonts w:ascii="Arial" w:hAnsi="Arial" w:cs="Arial"/>
          <w:i/>
          <w:iCs/>
          <w:sz w:val="20"/>
          <w:szCs w:val="20"/>
        </w:rPr>
        <w:t>73OSFDR21</w:t>
      </w:r>
      <w:r w:rsidR="008A2339" w:rsidRPr="003350AD">
        <w:rPr>
          <w:rFonts w:ascii="Arial" w:eastAsia="Meiryo" w:hAnsi="Arial" w:cs="Arial"/>
          <w:i/>
          <w:iCs/>
          <w:sz w:val="20"/>
          <w:szCs w:val="20"/>
          <w:lang w:eastAsia="ja-JP"/>
        </w:rPr>
        <w:t>–</w:t>
      </w:r>
      <w:r w:rsidRPr="003350AD">
        <w:rPr>
          <w:rFonts w:ascii="Arial" w:hAnsi="Arial" w:cs="Arial"/>
          <w:i/>
          <w:iCs/>
          <w:sz w:val="20"/>
          <w:szCs w:val="20"/>
        </w:rPr>
        <w:t>73OSFDR25</w:t>
      </w:r>
      <w:r w:rsidRPr="003350AD">
        <w:rPr>
          <w:rFonts w:ascii="Arial" w:hAnsi="Arial" w:cs="Arial"/>
          <w:sz w:val="20"/>
          <w:szCs w:val="20"/>
        </w:rPr>
        <w:t xml:space="preserve"> </w:t>
      </w:r>
      <w:r w:rsidR="00B7431E" w:rsidRPr="003350AD">
        <w:rPr>
          <w:rFonts w:ascii="Arial" w:hAnsi="Arial" w:cs="Arial"/>
          <w:sz w:val="20"/>
          <w:szCs w:val="20"/>
        </w:rPr>
        <w:t>sor</w:t>
      </w:r>
      <w:r w:rsidR="0052144D" w:rsidRPr="003350AD">
        <w:rPr>
          <w:rFonts w:ascii="Arial" w:hAnsi="Arial" w:cs="Arial"/>
          <w:sz w:val="20"/>
          <w:szCs w:val="20"/>
        </w:rPr>
        <w:t>ok közül csak azokat kell kitölteni és</w:t>
      </w:r>
      <w:r w:rsidRPr="008C464E">
        <w:rPr>
          <w:rFonts w:ascii="Arial" w:hAnsi="Arial"/>
          <w:sz w:val="20"/>
        </w:rPr>
        <w:t xml:space="preserve"> </w:t>
      </w:r>
      <w:r w:rsidR="003350AD" w:rsidRPr="008C464E">
        <w:rPr>
          <w:rFonts w:ascii="Arial" w:hAnsi="Arial"/>
          <w:sz w:val="20"/>
        </w:rPr>
        <w:t xml:space="preserve">megadni </w:t>
      </w:r>
      <w:r w:rsidRPr="008C464E">
        <w:rPr>
          <w:rFonts w:ascii="Arial" w:hAnsi="Arial"/>
          <w:sz w:val="20"/>
        </w:rPr>
        <w:t xml:space="preserve">az SFDR 4. </w:t>
      </w:r>
      <w:r w:rsidRPr="003350AD">
        <w:rPr>
          <w:rFonts w:ascii="Arial" w:hAnsi="Arial" w:cs="Arial"/>
          <w:sz w:val="20"/>
          <w:szCs w:val="20"/>
        </w:rPr>
        <w:t>cikk</w:t>
      </w:r>
      <w:r w:rsidR="0052144D" w:rsidRPr="003350AD">
        <w:rPr>
          <w:rFonts w:ascii="Arial" w:hAnsi="Arial" w:cs="Arial"/>
          <w:sz w:val="20"/>
          <w:szCs w:val="20"/>
        </w:rPr>
        <w:t xml:space="preserve"> érintett bekezdése</w:t>
      </w:r>
      <w:r w:rsidRPr="003350AD">
        <w:rPr>
          <w:rFonts w:ascii="Arial" w:hAnsi="Arial" w:cs="Arial"/>
          <w:sz w:val="20"/>
          <w:szCs w:val="20"/>
        </w:rPr>
        <w:t xml:space="preserve"> alapján közzétett adatokat tartalmazó dokumentumok elérési útját a weboldal URL címének feltüntetésével</w:t>
      </w:r>
      <w:r w:rsidR="0052144D" w:rsidRPr="003350AD">
        <w:rPr>
          <w:rFonts w:ascii="Arial" w:hAnsi="Arial" w:cs="Arial"/>
          <w:sz w:val="20"/>
          <w:szCs w:val="20"/>
        </w:rPr>
        <w:t xml:space="preserve">, </w:t>
      </w:r>
      <w:r w:rsidR="003350AD" w:rsidRPr="008C464E">
        <w:rPr>
          <w:rFonts w:ascii="Arial" w:hAnsi="Arial" w:cs="Arial"/>
          <w:sz w:val="20"/>
          <w:szCs w:val="20"/>
        </w:rPr>
        <w:t>a</w:t>
      </w:r>
      <w:r w:rsidR="0052144D" w:rsidRPr="003350AD">
        <w:rPr>
          <w:rFonts w:ascii="Arial" w:hAnsi="Arial" w:cs="Arial"/>
          <w:sz w:val="20"/>
          <w:szCs w:val="20"/>
        </w:rPr>
        <w:t>melyek relevánsak az érintett adatszolgáltató szempontjából</w:t>
      </w:r>
      <w:r w:rsidRPr="003350AD">
        <w:rPr>
          <w:rFonts w:ascii="Arial" w:hAnsi="Arial" w:cs="Arial"/>
          <w:sz w:val="20"/>
          <w:szCs w:val="20"/>
        </w:rPr>
        <w:t>.</w:t>
      </w:r>
    </w:p>
    <w:p w14:paraId="416D2998" w14:textId="77777777" w:rsidR="00B7431E" w:rsidRDefault="00B7431E" w:rsidP="00C64F51">
      <w:pPr>
        <w:jc w:val="both"/>
        <w:rPr>
          <w:rFonts w:ascii="Arial" w:hAnsi="Arial" w:cs="Arial"/>
          <w:sz w:val="20"/>
          <w:szCs w:val="20"/>
        </w:rPr>
      </w:pPr>
    </w:p>
    <w:p w14:paraId="5776678F" w14:textId="5E087104" w:rsidR="00B7431E" w:rsidRDefault="00B7431E" w:rsidP="00C64F51">
      <w:pPr>
        <w:jc w:val="both"/>
        <w:rPr>
          <w:rFonts w:ascii="Arial" w:hAnsi="Arial" w:cs="Arial"/>
          <w:sz w:val="20"/>
          <w:szCs w:val="20"/>
        </w:rPr>
      </w:pPr>
      <w:r w:rsidRPr="00B7431E">
        <w:rPr>
          <w:rFonts w:ascii="Arial" w:hAnsi="Arial" w:cs="Arial"/>
          <w:sz w:val="20"/>
          <w:szCs w:val="20"/>
        </w:rPr>
        <w:t xml:space="preserve">A </w:t>
      </w:r>
      <w:r w:rsidRPr="008F265F">
        <w:rPr>
          <w:rFonts w:ascii="Arial" w:hAnsi="Arial" w:cs="Arial"/>
          <w:i/>
          <w:iCs/>
          <w:sz w:val="20"/>
          <w:szCs w:val="20"/>
        </w:rPr>
        <w:t>7</w:t>
      </w:r>
      <w:r>
        <w:rPr>
          <w:rFonts w:ascii="Arial" w:hAnsi="Arial" w:cs="Arial"/>
          <w:i/>
          <w:iCs/>
          <w:sz w:val="20"/>
          <w:szCs w:val="20"/>
        </w:rPr>
        <w:t>3O</w:t>
      </w:r>
      <w:r w:rsidRPr="008F265F">
        <w:rPr>
          <w:rFonts w:ascii="Arial" w:hAnsi="Arial" w:cs="Arial"/>
          <w:i/>
          <w:iCs/>
          <w:sz w:val="20"/>
          <w:szCs w:val="20"/>
        </w:rPr>
        <w:t>SFDR31–7</w:t>
      </w:r>
      <w:r>
        <w:rPr>
          <w:rFonts w:ascii="Arial" w:hAnsi="Arial" w:cs="Arial"/>
          <w:i/>
          <w:iCs/>
          <w:sz w:val="20"/>
          <w:szCs w:val="20"/>
        </w:rPr>
        <w:t>3O</w:t>
      </w:r>
      <w:r w:rsidRPr="008F265F">
        <w:rPr>
          <w:rFonts w:ascii="Arial" w:hAnsi="Arial" w:cs="Arial"/>
          <w:i/>
          <w:iCs/>
          <w:sz w:val="20"/>
          <w:szCs w:val="20"/>
        </w:rPr>
        <w:t>SFDR42</w:t>
      </w:r>
      <w:r w:rsidRPr="00B7431E">
        <w:rPr>
          <w:rFonts w:ascii="Arial" w:hAnsi="Arial" w:cs="Arial"/>
          <w:sz w:val="20"/>
          <w:szCs w:val="20"/>
        </w:rPr>
        <w:t xml:space="preserve"> sorban a </w:t>
      </w:r>
      <w:r>
        <w:rPr>
          <w:rFonts w:ascii="Arial" w:hAnsi="Arial" w:cs="Arial"/>
          <w:sz w:val="20"/>
          <w:szCs w:val="20"/>
        </w:rPr>
        <w:t>pénztár</w:t>
      </w:r>
      <w:r w:rsidRPr="00B7431E">
        <w:rPr>
          <w:rFonts w:ascii="Arial" w:hAnsi="Arial" w:cs="Arial"/>
          <w:sz w:val="20"/>
          <w:szCs w:val="20"/>
        </w:rPr>
        <w:t xml:space="preserve"> által </w:t>
      </w:r>
      <w:r w:rsidR="001B5A9C">
        <w:rPr>
          <w:rFonts w:ascii="Arial" w:hAnsi="Arial" w:cs="Arial"/>
          <w:sz w:val="20"/>
          <w:szCs w:val="20"/>
        </w:rPr>
        <w:t>kialakított</w:t>
      </w:r>
      <w:r w:rsidR="00EE7885">
        <w:rPr>
          <w:rFonts w:ascii="Arial" w:hAnsi="Arial" w:cs="Arial"/>
          <w:sz w:val="20"/>
          <w:szCs w:val="20"/>
        </w:rPr>
        <w:t xml:space="preserve"> pénztári</w:t>
      </w:r>
      <w:r w:rsidRPr="00B7431E">
        <w:rPr>
          <w:rFonts w:ascii="Arial" w:hAnsi="Arial" w:cs="Arial"/>
          <w:sz w:val="20"/>
          <w:szCs w:val="20"/>
        </w:rPr>
        <w:t xml:space="preserve"> portfóliók tekintetében kell adatot szolgáltatni.</w:t>
      </w:r>
    </w:p>
    <w:p w14:paraId="41FD28A6" w14:textId="77777777" w:rsidR="00C64F51" w:rsidRPr="002C1F13" w:rsidRDefault="00C64F51" w:rsidP="00C64F51">
      <w:pPr>
        <w:jc w:val="both"/>
        <w:rPr>
          <w:rFonts w:ascii="Arial" w:hAnsi="Arial" w:cs="Arial"/>
          <w:sz w:val="20"/>
          <w:szCs w:val="20"/>
        </w:rPr>
      </w:pPr>
    </w:p>
    <w:p w14:paraId="3685D2E1" w14:textId="3CB8B9AD" w:rsidR="008B00E2" w:rsidRPr="008F265F" w:rsidRDefault="008B00E2" w:rsidP="008B00E2">
      <w:pPr>
        <w:jc w:val="both"/>
        <w:rPr>
          <w:rFonts w:ascii="Arial" w:eastAsia="Meiryo" w:hAnsi="Arial" w:cs="Arial"/>
          <w:sz w:val="20"/>
          <w:szCs w:val="20"/>
          <w:lang w:eastAsia="ja-JP"/>
        </w:rPr>
      </w:pPr>
      <w:r w:rsidRPr="008F265F">
        <w:rPr>
          <w:rFonts w:ascii="Arial" w:eastAsia="Meiryo" w:hAnsi="Arial" w:cs="Arial"/>
          <w:sz w:val="20"/>
          <w:szCs w:val="20"/>
          <w:lang w:eastAsia="ja-JP"/>
        </w:rPr>
        <w:t xml:space="preserve">A </w:t>
      </w:r>
      <w:r w:rsidRPr="002D3088">
        <w:rPr>
          <w:rFonts w:ascii="Arial" w:eastAsia="Meiryo" w:hAnsi="Arial" w:cs="Arial"/>
          <w:i/>
          <w:iCs/>
          <w:sz w:val="20"/>
          <w:szCs w:val="20"/>
          <w:lang w:eastAsia="ja-JP"/>
        </w:rPr>
        <w:t>73OSFDR501–73OSFDR9</w:t>
      </w:r>
      <w:r w:rsidRPr="008F265F">
        <w:rPr>
          <w:rFonts w:ascii="Arial" w:eastAsia="Meiryo" w:hAnsi="Arial" w:cs="Arial"/>
          <w:sz w:val="20"/>
          <w:szCs w:val="20"/>
          <w:lang w:eastAsia="ja-JP"/>
        </w:rPr>
        <w:t xml:space="preserve"> </w:t>
      </w:r>
      <w:r w:rsidR="00B7431E">
        <w:rPr>
          <w:rFonts w:ascii="Arial" w:eastAsia="Meiryo" w:hAnsi="Arial" w:cs="Arial"/>
          <w:sz w:val="20"/>
          <w:szCs w:val="20"/>
          <w:lang w:eastAsia="ja-JP"/>
        </w:rPr>
        <w:t>sort</w:t>
      </w:r>
      <w:r w:rsidRPr="008F265F">
        <w:rPr>
          <w:rFonts w:ascii="Arial" w:eastAsia="Meiryo" w:hAnsi="Arial" w:cs="Arial"/>
          <w:sz w:val="20"/>
          <w:szCs w:val="20"/>
          <w:lang w:eastAsia="ja-JP"/>
        </w:rPr>
        <w:t xml:space="preserve"> abban az esetben kell kitöltenie a pénztárnak, ha a 73OSFDR1 sor értéke „Igen”. A sorokat az SFDR </w:t>
      </w:r>
      <w:proofErr w:type="spellStart"/>
      <w:r w:rsidRPr="008F265F">
        <w:rPr>
          <w:rFonts w:ascii="Arial" w:eastAsia="Meiryo" w:hAnsi="Arial" w:cs="Arial"/>
          <w:sz w:val="20"/>
          <w:szCs w:val="20"/>
          <w:lang w:eastAsia="ja-JP"/>
        </w:rPr>
        <w:t>RTS</w:t>
      </w:r>
      <w:proofErr w:type="spellEnd"/>
      <w:r w:rsidRPr="008F265F">
        <w:rPr>
          <w:rFonts w:ascii="Arial" w:eastAsia="Meiryo" w:hAnsi="Arial" w:cs="Arial"/>
          <w:sz w:val="20"/>
          <w:szCs w:val="20"/>
          <w:lang w:eastAsia="ja-JP"/>
        </w:rPr>
        <w:t xml:space="preserve"> 6. cikk (1) bekezdés a) és b) pontja alapján kell kitölteni. Az egyes mutatókat abban a mértékegységben </w:t>
      </w:r>
      <w:r w:rsidR="00B7431E">
        <w:rPr>
          <w:rFonts w:ascii="Arial" w:eastAsia="Meiryo" w:hAnsi="Arial" w:cs="Arial"/>
          <w:sz w:val="20"/>
          <w:szCs w:val="20"/>
          <w:lang w:eastAsia="ja-JP"/>
        </w:rPr>
        <w:t>kell</w:t>
      </w:r>
      <w:r w:rsidRPr="008F265F">
        <w:rPr>
          <w:rFonts w:ascii="Arial" w:eastAsia="Meiryo" w:hAnsi="Arial" w:cs="Arial"/>
          <w:sz w:val="20"/>
          <w:szCs w:val="20"/>
          <w:lang w:eastAsia="ja-JP"/>
        </w:rPr>
        <w:t xml:space="preserve"> megadni, amely a tábla megnevezés oszlopában szerepel. A mutatószámok fogalmát és a számítási módját az SFDR </w:t>
      </w:r>
      <w:proofErr w:type="spellStart"/>
      <w:r w:rsidRPr="008F265F">
        <w:rPr>
          <w:rFonts w:ascii="Arial" w:eastAsia="Meiryo" w:hAnsi="Arial" w:cs="Arial"/>
          <w:sz w:val="20"/>
          <w:szCs w:val="20"/>
          <w:lang w:eastAsia="ja-JP"/>
        </w:rPr>
        <w:t>RTS</w:t>
      </w:r>
      <w:proofErr w:type="spellEnd"/>
      <w:r w:rsidRPr="008F265F">
        <w:rPr>
          <w:rFonts w:ascii="Arial" w:eastAsia="Meiryo" w:hAnsi="Arial" w:cs="Arial"/>
          <w:sz w:val="20"/>
          <w:szCs w:val="20"/>
          <w:lang w:eastAsia="ja-JP"/>
        </w:rPr>
        <w:t xml:space="preserve"> I. melléklete tartalmazza.</w:t>
      </w:r>
    </w:p>
    <w:p w14:paraId="1E4E00ED" w14:textId="04C1DE03" w:rsidR="008B00E2" w:rsidRDefault="008B00E2" w:rsidP="00C64F51">
      <w:pPr>
        <w:jc w:val="both"/>
        <w:rPr>
          <w:rFonts w:ascii="Arial" w:hAnsi="Arial" w:cs="Arial"/>
          <w:sz w:val="20"/>
          <w:szCs w:val="20"/>
        </w:rPr>
      </w:pPr>
    </w:p>
    <w:p w14:paraId="7EAAF2D3" w14:textId="579D9A8F" w:rsidR="008B00E2" w:rsidRDefault="00F96763" w:rsidP="00C64F51">
      <w:pPr>
        <w:jc w:val="both"/>
        <w:rPr>
          <w:rFonts w:ascii="Arial" w:hAnsi="Arial" w:cs="Arial"/>
          <w:sz w:val="20"/>
          <w:szCs w:val="20"/>
        </w:rPr>
      </w:pPr>
      <w:r>
        <w:rPr>
          <w:rFonts w:ascii="Arial" w:hAnsi="Arial" w:cs="Arial"/>
          <w:i/>
          <w:iCs/>
          <w:sz w:val="20"/>
          <w:szCs w:val="20"/>
        </w:rPr>
        <w:t xml:space="preserve">A </w:t>
      </w:r>
      <w:r w:rsidR="008B00E2" w:rsidRPr="008F265F">
        <w:rPr>
          <w:rFonts w:ascii="Arial" w:hAnsi="Arial" w:cs="Arial"/>
          <w:i/>
          <w:iCs/>
          <w:sz w:val="20"/>
          <w:szCs w:val="20"/>
        </w:rPr>
        <w:t>73OSFDR8</w:t>
      </w:r>
      <w:r w:rsidR="008B00E2" w:rsidRPr="008C464E">
        <w:rPr>
          <w:rFonts w:ascii="Arial" w:hAnsi="Arial"/>
          <w:i/>
          <w:sz w:val="20"/>
        </w:rPr>
        <w:t xml:space="preserve"> és </w:t>
      </w:r>
      <w:r w:rsidR="008B00E2" w:rsidRPr="008F265F">
        <w:rPr>
          <w:rFonts w:ascii="Arial" w:hAnsi="Arial" w:cs="Arial"/>
          <w:i/>
          <w:iCs/>
          <w:sz w:val="20"/>
          <w:szCs w:val="20"/>
        </w:rPr>
        <w:t>73OSFDR9</w:t>
      </w:r>
      <w:r w:rsidR="008B00E2" w:rsidRPr="008B00E2">
        <w:rPr>
          <w:rFonts w:ascii="Arial" w:hAnsi="Arial" w:cs="Arial"/>
          <w:sz w:val="20"/>
          <w:szCs w:val="20"/>
        </w:rPr>
        <w:t xml:space="preserve"> </w:t>
      </w:r>
      <w:r w:rsidR="00B7431E">
        <w:rPr>
          <w:rFonts w:ascii="Arial" w:hAnsi="Arial" w:cs="Arial"/>
          <w:sz w:val="20"/>
          <w:szCs w:val="20"/>
        </w:rPr>
        <w:t>sorban</w:t>
      </w:r>
      <w:r w:rsidR="008B00E2" w:rsidRPr="008B00E2">
        <w:rPr>
          <w:rFonts w:ascii="Arial" w:hAnsi="Arial" w:cs="Arial"/>
          <w:sz w:val="20"/>
          <w:szCs w:val="20"/>
        </w:rPr>
        <w:t xml:space="preserve"> </w:t>
      </w:r>
      <w:r w:rsidR="008B00E2">
        <w:rPr>
          <w:rFonts w:ascii="Arial" w:hAnsi="Arial" w:cs="Arial"/>
          <w:sz w:val="20"/>
          <w:szCs w:val="20"/>
        </w:rPr>
        <w:t>a pénztár</w:t>
      </w:r>
      <w:r w:rsidR="008B00E2" w:rsidRPr="008B00E2">
        <w:rPr>
          <w:rFonts w:ascii="Arial" w:hAnsi="Arial" w:cs="Arial"/>
          <w:sz w:val="20"/>
          <w:szCs w:val="20"/>
        </w:rPr>
        <w:t xml:space="preserve"> által alkalmazott, materiálisnak ítélt, szabadon választható mutatókat kell kiválasztani a kódlistából (SFDR_1 és SFDR_2 kódlista). A mutató kódértékét a</w:t>
      </w:r>
      <w:r w:rsidR="00B7431E">
        <w:rPr>
          <w:rFonts w:ascii="Arial" w:hAnsi="Arial" w:cs="Arial"/>
          <w:sz w:val="20"/>
          <w:szCs w:val="20"/>
        </w:rPr>
        <w:t>z</w:t>
      </w:r>
      <w:r w:rsidR="008B00E2" w:rsidRPr="008B00E2">
        <w:rPr>
          <w:rFonts w:ascii="Arial" w:hAnsi="Arial" w:cs="Arial"/>
          <w:sz w:val="20"/>
          <w:szCs w:val="20"/>
        </w:rPr>
        <w:t xml:space="preserve"> a), a mutatóhoz tartozó értéket a b) oszlopban kell megadni.</w:t>
      </w:r>
    </w:p>
    <w:p w14:paraId="6768D048" w14:textId="77777777" w:rsidR="00FA2E69" w:rsidRDefault="00FA2E69" w:rsidP="00C64F51">
      <w:pPr>
        <w:jc w:val="both"/>
        <w:rPr>
          <w:rFonts w:ascii="Arial" w:hAnsi="Arial" w:cs="Arial"/>
          <w:sz w:val="20"/>
          <w:szCs w:val="20"/>
        </w:rPr>
      </w:pPr>
    </w:p>
    <w:p w14:paraId="37C37674" w14:textId="78B7E929" w:rsidR="00FA2E69" w:rsidRPr="00D24BF5" w:rsidRDefault="00FA2E69" w:rsidP="00C64F51">
      <w:pPr>
        <w:jc w:val="both"/>
        <w:rPr>
          <w:rFonts w:ascii="Arial" w:hAnsi="Arial" w:cs="Arial"/>
          <w:sz w:val="20"/>
          <w:szCs w:val="20"/>
        </w:rPr>
      </w:pPr>
      <w:r>
        <w:rPr>
          <w:rFonts w:ascii="Arial" w:hAnsi="Arial" w:cs="Arial"/>
          <w:sz w:val="20"/>
          <w:szCs w:val="20"/>
        </w:rPr>
        <w:t>SFDR_1 kódlista:</w:t>
      </w:r>
    </w:p>
    <w:p w14:paraId="0709690C" w14:textId="77777777" w:rsidR="00C64F51" w:rsidRDefault="00C64F51" w:rsidP="00E840AE">
      <w:pPr>
        <w:autoSpaceDE w:val="0"/>
        <w:autoSpaceDN w:val="0"/>
        <w:adjustRightInd w:val="0"/>
        <w:jc w:val="both"/>
        <w:rPr>
          <w:rFonts w:ascii="Arial" w:eastAsia="Calibri" w:hAnsi="Arial" w:cs="Arial"/>
          <w:sz w:val="20"/>
          <w:szCs w:val="20"/>
        </w:rPr>
      </w:pPr>
    </w:p>
    <w:tbl>
      <w:tblPr>
        <w:tblW w:w="8916" w:type="dxa"/>
        <w:tblCellMar>
          <w:left w:w="70" w:type="dxa"/>
          <w:right w:w="70" w:type="dxa"/>
        </w:tblCellMar>
        <w:tblLook w:val="04A0" w:firstRow="1" w:lastRow="0" w:firstColumn="1" w:lastColumn="0" w:noHBand="0" w:noVBand="1"/>
      </w:tblPr>
      <w:tblGrid>
        <w:gridCol w:w="1261"/>
        <w:gridCol w:w="7655"/>
      </w:tblGrid>
      <w:tr w:rsidR="008F265F" w:rsidRPr="00854F69" w14:paraId="047901EF" w14:textId="77777777" w:rsidTr="00FA2E69">
        <w:trPr>
          <w:trHeight w:val="300"/>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45778C1" w14:textId="42C5B5ED" w:rsidR="009F41C5" w:rsidRPr="00854F69" w:rsidRDefault="00FA2E69" w:rsidP="00630B28">
            <w:pPr>
              <w:jc w:val="center"/>
              <w:rPr>
                <w:rFonts w:ascii="Arial" w:hAnsi="Arial" w:cs="Arial"/>
                <w:b/>
                <w:bCs/>
                <w:sz w:val="20"/>
                <w:szCs w:val="20"/>
              </w:rPr>
            </w:pPr>
            <w:r w:rsidRPr="00854F69">
              <w:rPr>
                <w:rFonts w:ascii="Arial" w:hAnsi="Arial" w:cs="Arial"/>
                <w:b/>
                <w:bCs/>
                <w:sz w:val="20"/>
                <w:szCs w:val="20"/>
              </w:rPr>
              <w:t>Kódkészlet</w:t>
            </w:r>
          </w:p>
        </w:tc>
        <w:tc>
          <w:tcPr>
            <w:tcW w:w="7655" w:type="dxa"/>
            <w:tcBorders>
              <w:top w:val="single" w:sz="12" w:space="0" w:color="auto"/>
              <w:left w:val="nil"/>
              <w:bottom w:val="single" w:sz="12" w:space="0" w:color="auto"/>
              <w:right w:val="single" w:sz="12" w:space="0" w:color="auto"/>
            </w:tcBorders>
            <w:shd w:val="clear" w:color="auto" w:fill="auto"/>
            <w:vAlign w:val="center"/>
            <w:hideMark/>
          </w:tcPr>
          <w:p w14:paraId="3AC075EE" w14:textId="363A1E13" w:rsidR="009F41C5" w:rsidRPr="00854F69" w:rsidRDefault="00FA2E69" w:rsidP="00630B28">
            <w:pPr>
              <w:jc w:val="center"/>
              <w:rPr>
                <w:rFonts w:ascii="Arial" w:hAnsi="Arial" w:cs="Arial"/>
                <w:b/>
                <w:bCs/>
                <w:sz w:val="20"/>
                <w:szCs w:val="20"/>
              </w:rPr>
            </w:pPr>
            <w:r w:rsidRPr="00854F69">
              <w:rPr>
                <w:rFonts w:ascii="Arial" w:hAnsi="Arial" w:cs="Arial"/>
                <w:b/>
                <w:bCs/>
                <w:sz w:val="20"/>
                <w:szCs w:val="20"/>
              </w:rPr>
              <w:t>Megnevezés</w:t>
            </w:r>
          </w:p>
        </w:tc>
      </w:tr>
      <w:tr w:rsidR="008F265F" w:rsidRPr="00854F69" w14:paraId="5EBB64FA" w14:textId="77777777" w:rsidTr="00FA2E69">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314BD277" w14:textId="05220D51" w:rsidR="009F41C5" w:rsidRPr="008F265F" w:rsidRDefault="00FA2E69" w:rsidP="00630B28">
            <w:pPr>
              <w:rPr>
                <w:rFonts w:ascii="Arial" w:hAnsi="Arial" w:cs="Arial"/>
                <w:sz w:val="20"/>
                <w:szCs w:val="20"/>
              </w:rPr>
            </w:pPr>
            <w:r w:rsidRPr="008F265F">
              <w:rPr>
                <w:rFonts w:ascii="Arial" w:hAnsi="Arial" w:cs="Arial"/>
                <w:sz w:val="20"/>
                <w:szCs w:val="20"/>
              </w:rPr>
              <w:t>SFDR8_1</w:t>
            </w:r>
          </w:p>
        </w:tc>
        <w:tc>
          <w:tcPr>
            <w:tcW w:w="7655" w:type="dxa"/>
            <w:tcBorders>
              <w:top w:val="nil"/>
              <w:left w:val="nil"/>
              <w:bottom w:val="single" w:sz="12" w:space="0" w:color="auto"/>
              <w:right w:val="single" w:sz="12" w:space="0" w:color="auto"/>
            </w:tcBorders>
            <w:shd w:val="clear" w:color="auto" w:fill="auto"/>
            <w:vAlign w:val="center"/>
          </w:tcPr>
          <w:p w14:paraId="44D5F240" w14:textId="650D87B4" w:rsidR="009F41C5" w:rsidRPr="00854F69" w:rsidRDefault="00FA2E69" w:rsidP="00630B28">
            <w:pPr>
              <w:rPr>
                <w:rFonts w:ascii="Arial" w:hAnsi="Arial" w:cs="Arial"/>
                <w:sz w:val="20"/>
                <w:szCs w:val="20"/>
              </w:rPr>
            </w:pPr>
            <w:r w:rsidRPr="00854F69">
              <w:rPr>
                <w:rFonts w:ascii="Arial" w:hAnsi="Arial" w:cs="Arial"/>
                <w:sz w:val="20"/>
                <w:szCs w:val="20"/>
              </w:rPr>
              <w:t>Szervetlen szennyezőanyag-egyenértékesek tonna/millió EUR befektetésben, súlyozott átlagként kifejezve (tonna/millió EUR)</w:t>
            </w:r>
          </w:p>
        </w:tc>
      </w:tr>
      <w:tr w:rsidR="008F265F" w:rsidRPr="00854F69" w14:paraId="6A4E55D0" w14:textId="77777777" w:rsidTr="00FA2E69">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561DC1F5" w14:textId="4C8FFE7B" w:rsidR="009F41C5" w:rsidRPr="008F265F" w:rsidRDefault="00FA2E69" w:rsidP="00630B28">
            <w:pPr>
              <w:rPr>
                <w:rFonts w:ascii="Arial" w:hAnsi="Arial" w:cs="Arial"/>
                <w:sz w:val="20"/>
                <w:szCs w:val="20"/>
              </w:rPr>
            </w:pPr>
            <w:r w:rsidRPr="008F265F">
              <w:rPr>
                <w:rFonts w:ascii="Arial" w:hAnsi="Arial" w:cs="Arial"/>
                <w:sz w:val="20"/>
                <w:szCs w:val="20"/>
              </w:rPr>
              <w:t>SFDR8_2</w:t>
            </w:r>
          </w:p>
        </w:tc>
        <w:tc>
          <w:tcPr>
            <w:tcW w:w="7655" w:type="dxa"/>
            <w:tcBorders>
              <w:top w:val="nil"/>
              <w:left w:val="nil"/>
              <w:bottom w:val="single" w:sz="12" w:space="0" w:color="auto"/>
              <w:right w:val="single" w:sz="12" w:space="0" w:color="auto"/>
            </w:tcBorders>
            <w:shd w:val="clear" w:color="auto" w:fill="auto"/>
            <w:vAlign w:val="center"/>
          </w:tcPr>
          <w:p w14:paraId="4EA6A680" w14:textId="706D3C6A" w:rsidR="009F41C5" w:rsidRPr="00854F69" w:rsidRDefault="00FA2E69" w:rsidP="00630B28">
            <w:pPr>
              <w:rPr>
                <w:rFonts w:ascii="Arial" w:hAnsi="Arial" w:cs="Arial"/>
                <w:sz w:val="20"/>
                <w:szCs w:val="20"/>
              </w:rPr>
            </w:pPr>
            <w:r w:rsidRPr="00854F69">
              <w:rPr>
                <w:rFonts w:ascii="Arial" w:hAnsi="Arial" w:cs="Arial"/>
                <w:sz w:val="20"/>
                <w:szCs w:val="20"/>
              </w:rPr>
              <w:t>Légszennyezőanyag-egyenértékesek tonna/millió EUR befektetésben, súlyozott átlagként kifejezve (tonna/millió EUR)</w:t>
            </w:r>
          </w:p>
        </w:tc>
      </w:tr>
      <w:tr w:rsidR="008F265F" w:rsidRPr="00854F69" w14:paraId="43C7B1E1" w14:textId="77777777" w:rsidTr="00FA2E69">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5A3EFA2E" w14:textId="3027D2ED" w:rsidR="009F41C5" w:rsidRPr="008F265F" w:rsidRDefault="00FA2E69" w:rsidP="00630B28">
            <w:pPr>
              <w:rPr>
                <w:rFonts w:ascii="Arial" w:hAnsi="Arial" w:cs="Arial"/>
                <w:sz w:val="20"/>
                <w:szCs w:val="20"/>
              </w:rPr>
            </w:pPr>
            <w:r w:rsidRPr="008F265F">
              <w:rPr>
                <w:rFonts w:ascii="Arial" w:hAnsi="Arial" w:cs="Arial"/>
                <w:sz w:val="20"/>
                <w:szCs w:val="20"/>
              </w:rPr>
              <w:t>SFDR8_3</w:t>
            </w:r>
          </w:p>
        </w:tc>
        <w:tc>
          <w:tcPr>
            <w:tcW w:w="7655" w:type="dxa"/>
            <w:tcBorders>
              <w:top w:val="nil"/>
              <w:left w:val="nil"/>
              <w:bottom w:val="single" w:sz="12" w:space="0" w:color="auto"/>
              <w:right w:val="single" w:sz="12" w:space="0" w:color="auto"/>
            </w:tcBorders>
            <w:shd w:val="clear" w:color="auto" w:fill="auto"/>
            <w:vAlign w:val="center"/>
          </w:tcPr>
          <w:p w14:paraId="3D10ACF3" w14:textId="3DB7C3A2" w:rsidR="009F41C5" w:rsidRPr="00854F69" w:rsidRDefault="00FA2E69" w:rsidP="00630B28">
            <w:pPr>
              <w:rPr>
                <w:rFonts w:ascii="Arial" w:hAnsi="Arial" w:cs="Arial"/>
                <w:sz w:val="20"/>
                <w:szCs w:val="20"/>
              </w:rPr>
            </w:pPr>
            <w:r w:rsidRPr="00854F69">
              <w:rPr>
                <w:rFonts w:ascii="Arial" w:hAnsi="Arial" w:cs="Arial"/>
                <w:sz w:val="20"/>
                <w:szCs w:val="20"/>
              </w:rPr>
              <w:t>Ózonkárosítóanyag-egyenértékesek tonna/millió EUR befektetésben, súlyozott átlagként kifejezve (tonna/millió EUR)</w:t>
            </w:r>
          </w:p>
        </w:tc>
      </w:tr>
      <w:tr w:rsidR="008F265F" w:rsidRPr="00854F69" w14:paraId="0541E5AA" w14:textId="77777777" w:rsidTr="00FA2E69">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5EFFE924" w14:textId="5985814C" w:rsidR="009F41C5" w:rsidRPr="008F265F" w:rsidRDefault="00FA2E69" w:rsidP="00630B28">
            <w:pPr>
              <w:rPr>
                <w:rFonts w:ascii="Arial" w:hAnsi="Arial" w:cs="Arial"/>
                <w:sz w:val="20"/>
                <w:szCs w:val="20"/>
              </w:rPr>
            </w:pPr>
            <w:r w:rsidRPr="008F265F">
              <w:rPr>
                <w:rFonts w:ascii="Arial" w:hAnsi="Arial" w:cs="Arial"/>
                <w:sz w:val="20"/>
                <w:szCs w:val="20"/>
              </w:rPr>
              <w:t>SFDR8_4</w:t>
            </w:r>
          </w:p>
        </w:tc>
        <w:tc>
          <w:tcPr>
            <w:tcW w:w="7655" w:type="dxa"/>
            <w:tcBorders>
              <w:top w:val="nil"/>
              <w:left w:val="nil"/>
              <w:bottom w:val="single" w:sz="12" w:space="0" w:color="auto"/>
              <w:right w:val="single" w:sz="12" w:space="0" w:color="auto"/>
            </w:tcBorders>
            <w:shd w:val="clear" w:color="auto" w:fill="auto"/>
            <w:vAlign w:val="center"/>
          </w:tcPr>
          <w:p w14:paraId="1A9FF335" w14:textId="79ECDE83" w:rsidR="009F41C5" w:rsidRPr="00854F69" w:rsidRDefault="00FA2E69" w:rsidP="00630B28">
            <w:pPr>
              <w:rPr>
                <w:rFonts w:ascii="Arial" w:hAnsi="Arial" w:cs="Arial"/>
                <w:sz w:val="20"/>
                <w:szCs w:val="20"/>
              </w:rPr>
            </w:pPr>
            <w:r w:rsidRPr="00854F69">
              <w:rPr>
                <w:rFonts w:ascii="Arial" w:hAnsi="Arial" w:cs="Arial"/>
                <w:sz w:val="20"/>
                <w:szCs w:val="20"/>
              </w:rPr>
              <w:t>A Párizsi Megállapodáshoz való igazodást célzó karbonkibocsátás-csökkentési kezdeményezéssel nem rendelkező, befektetést befogadó vállalkozásokba eszközölt befektetések aránya (%)</w:t>
            </w:r>
          </w:p>
        </w:tc>
      </w:tr>
      <w:tr w:rsidR="008F265F" w:rsidRPr="00854F69" w14:paraId="749C8DD3" w14:textId="77777777" w:rsidTr="00FA2E69">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4C146115" w14:textId="23568205" w:rsidR="009F41C5" w:rsidRPr="008F265F" w:rsidRDefault="00FA2E69" w:rsidP="00630B28">
            <w:pPr>
              <w:rPr>
                <w:rFonts w:ascii="Arial" w:hAnsi="Arial" w:cs="Arial"/>
                <w:sz w:val="20"/>
                <w:szCs w:val="20"/>
              </w:rPr>
            </w:pPr>
            <w:r w:rsidRPr="008F265F">
              <w:rPr>
                <w:rFonts w:ascii="Arial" w:hAnsi="Arial" w:cs="Arial"/>
                <w:sz w:val="20"/>
                <w:szCs w:val="20"/>
              </w:rPr>
              <w:t>SFDR8_5</w:t>
            </w:r>
          </w:p>
        </w:tc>
        <w:tc>
          <w:tcPr>
            <w:tcW w:w="7655" w:type="dxa"/>
            <w:tcBorders>
              <w:top w:val="nil"/>
              <w:left w:val="nil"/>
              <w:bottom w:val="single" w:sz="12" w:space="0" w:color="auto"/>
              <w:right w:val="single" w:sz="12" w:space="0" w:color="auto"/>
            </w:tcBorders>
            <w:shd w:val="clear" w:color="auto" w:fill="auto"/>
            <w:vAlign w:val="center"/>
          </w:tcPr>
          <w:p w14:paraId="44DD308E" w14:textId="57CBA765" w:rsidR="009F41C5" w:rsidRPr="008F265F" w:rsidRDefault="00FA2E69" w:rsidP="00630B28">
            <w:pPr>
              <w:rPr>
                <w:rFonts w:ascii="Arial" w:hAnsi="Arial" w:cs="Arial"/>
                <w:sz w:val="20"/>
                <w:szCs w:val="20"/>
              </w:rPr>
            </w:pPr>
            <w:r w:rsidRPr="008F265F">
              <w:rPr>
                <w:rFonts w:ascii="Arial" w:hAnsi="Arial" w:cs="Arial"/>
                <w:sz w:val="20"/>
                <w:szCs w:val="20"/>
              </w:rPr>
              <w:t>A befektetést befogadó vállalkozások által felhasznált, nem megújuló forrásokból származó energia részaránya (%)</w:t>
            </w:r>
          </w:p>
        </w:tc>
      </w:tr>
      <w:tr w:rsidR="008F265F" w:rsidRPr="00854F69" w14:paraId="4966F0BD" w14:textId="77777777" w:rsidTr="00FA2E69">
        <w:trPr>
          <w:trHeight w:val="272"/>
        </w:trPr>
        <w:tc>
          <w:tcPr>
            <w:tcW w:w="1261" w:type="dxa"/>
            <w:tcBorders>
              <w:top w:val="nil"/>
              <w:left w:val="single" w:sz="12" w:space="0" w:color="auto"/>
              <w:bottom w:val="single" w:sz="12" w:space="0" w:color="auto"/>
              <w:right w:val="single" w:sz="12" w:space="0" w:color="auto"/>
            </w:tcBorders>
            <w:shd w:val="clear" w:color="auto" w:fill="auto"/>
            <w:vAlign w:val="center"/>
          </w:tcPr>
          <w:p w14:paraId="34F9DA7A" w14:textId="71CA6D14" w:rsidR="009F41C5" w:rsidRPr="008F265F" w:rsidRDefault="00FA2E69" w:rsidP="00630B28">
            <w:pPr>
              <w:rPr>
                <w:rFonts w:ascii="Arial" w:hAnsi="Arial" w:cs="Arial"/>
                <w:sz w:val="20"/>
                <w:szCs w:val="20"/>
              </w:rPr>
            </w:pPr>
            <w:r w:rsidRPr="008F265F">
              <w:rPr>
                <w:rFonts w:ascii="Arial" w:hAnsi="Arial" w:cs="Arial"/>
                <w:sz w:val="20"/>
                <w:szCs w:val="20"/>
              </w:rPr>
              <w:t>SFDR8_6</w:t>
            </w:r>
          </w:p>
        </w:tc>
        <w:tc>
          <w:tcPr>
            <w:tcW w:w="7655" w:type="dxa"/>
            <w:tcBorders>
              <w:top w:val="nil"/>
              <w:left w:val="nil"/>
              <w:bottom w:val="single" w:sz="12" w:space="0" w:color="auto"/>
              <w:right w:val="single" w:sz="12" w:space="0" w:color="auto"/>
            </w:tcBorders>
            <w:shd w:val="clear" w:color="auto" w:fill="auto"/>
            <w:vAlign w:val="center"/>
          </w:tcPr>
          <w:p w14:paraId="703F59DA" w14:textId="69C0FB27" w:rsidR="009F41C5" w:rsidRPr="008F265F" w:rsidRDefault="00FA2E69" w:rsidP="00630B28">
            <w:pPr>
              <w:rPr>
                <w:rFonts w:ascii="Arial" w:hAnsi="Arial" w:cs="Arial"/>
                <w:sz w:val="20"/>
                <w:szCs w:val="20"/>
              </w:rPr>
            </w:pPr>
            <w:r w:rsidRPr="008F265F">
              <w:rPr>
                <w:rFonts w:ascii="Arial" w:hAnsi="Arial" w:cs="Arial"/>
                <w:sz w:val="20"/>
                <w:szCs w:val="20"/>
              </w:rPr>
              <w:t>A befektetést befogadó vállalkozások átlagos vízfogyasztása (köbméterben) a befektetést befogadó vállalkozások bevételének millió EUR-jára vetítve (köbméter/millió EUR)</w:t>
            </w:r>
          </w:p>
        </w:tc>
      </w:tr>
      <w:tr w:rsidR="008F265F" w:rsidRPr="00854F69" w14:paraId="283E05C0"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21FA808F" w14:textId="15433210" w:rsidR="00FA2E69" w:rsidRPr="008F265F" w:rsidRDefault="00FA2E69" w:rsidP="00630B28">
            <w:pPr>
              <w:rPr>
                <w:rFonts w:ascii="Arial" w:hAnsi="Arial" w:cs="Arial"/>
                <w:sz w:val="20"/>
                <w:szCs w:val="20"/>
              </w:rPr>
            </w:pPr>
            <w:r w:rsidRPr="008F265F">
              <w:rPr>
                <w:rFonts w:ascii="Arial" w:hAnsi="Arial" w:cs="Arial"/>
                <w:sz w:val="20"/>
                <w:szCs w:val="20"/>
              </w:rPr>
              <w:t>SFDR8_7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222B31C" w14:textId="0186999F" w:rsidR="00FA2E69" w:rsidRPr="008F265F" w:rsidRDefault="00FA2E69" w:rsidP="00630B28">
            <w:pPr>
              <w:rPr>
                <w:rFonts w:ascii="Arial" w:hAnsi="Arial" w:cs="Arial"/>
                <w:sz w:val="20"/>
                <w:szCs w:val="20"/>
              </w:rPr>
            </w:pPr>
            <w:r w:rsidRPr="008F265F">
              <w:rPr>
                <w:rFonts w:ascii="Arial" w:hAnsi="Arial" w:cs="Arial"/>
                <w:sz w:val="20"/>
                <w:szCs w:val="20"/>
              </w:rPr>
              <w:t xml:space="preserve">A befektetést befogadó vállalkozások által </w:t>
            </w:r>
            <w:proofErr w:type="spellStart"/>
            <w:r w:rsidRPr="008F265F">
              <w:rPr>
                <w:rFonts w:ascii="Arial" w:hAnsi="Arial" w:cs="Arial"/>
                <w:sz w:val="20"/>
                <w:szCs w:val="20"/>
              </w:rPr>
              <w:t>újrafeldolgozott</w:t>
            </w:r>
            <w:proofErr w:type="spellEnd"/>
            <w:r w:rsidRPr="008F265F">
              <w:rPr>
                <w:rFonts w:ascii="Arial" w:hAnsi="Arial" w:cs="Arial"/>
                <w:sz w:val="20"/>
                <w:szCs w:val="20"/>
              </w:rPr>
              <w:t xml:space="preserve"> és </w:t>
            </w:r>
            <w:proofErr w:type="spellStart"/>
            <w:r w:rsidRPr="008F265F">
              <w:rPr>
                <w:rFonts w:ascii="Arial" w:hAnsi="Arial" w:cs="Arial"/>
                <w:sz w:val="20"/>
                <w:szCs w:val="20"/>
              </w:rPr>
              <w:t>újrafelhasznált</w:t>
            </w:r>
            <w:proofErr w:type="spellEnd"/>
            <w:r w:rsidRPr="008F265F">
              <w:rPr>
                <w:rFonts w:ascii="Arial" w:hAnsi="Arial" w:cs="Arial"/>
                <w:sz w:val="20"/>
                <w:szCs w:val="20"/>
              </w:rPr>
              <w:t xml:space="preserve"> víz súlyozott átlagos százalékos aránya (%)</w:t>
            </w:r>
          </w:p>
        </w:tc>
      </w:tr>
      <w:tr w:rsidR="008F265F" w:rsidRPr="00854F69" w14:paraId="25F37EC5"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E6F62A6" w14:textId="6DE71603" w:rsidR="00FA2E69" w:rsidRPr="008F265F" w:rsidRDefault="00FA2E69" w:rsidP="00630B28">
            <w:pPr>
              <w:rPr>
                <w:rFonts w:ascii="Arial" w:hAnsi="Arial" w:cs="Arial"/>
                <w:sz w:val="20"/>
                <w:szCs w:val="20"/>
              </w:rPr>
            </w:pPr>
            <w:r w:rsidRPr="008F265F">
              <w:rPr>
                <w:rFonts w:ascii="Arial" w:hAnsi="Arial" w:cs="Arial"/>
                <w:sz w:val="20"/>
                <w:szCs w:val="20"/>
              </w:rPr>
              <w:t>SFDR8_8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2287A95" w14:textId="222ACA28" w:rsidR="00FA2E69" w:rsidRPr="008F265F" w:rsidRDefault="00FA2E69" w:rsidP="00630B28">
            <w:pPr>
              <w:rPr>
                <w:rFonts w:ascii="Arial" w:hAnsi="Arial" w:cs="Arial"/>
                <w:sz w:val="20"/>
                <w:szCs w:val="20"/>
              </w:rPr>
            </w:pPr>
            <w:r w:rsidRPr="008F265F">
              <w:rPr>
                <w:rFonts w:ascii="Arial" w:hAnsi="Arial" w:cs="Arial"/>
                <w:sz w:val="20"/>
                <w:szCs w:val="20"/>
              </w:rPr>
              <w:t>Vízgazdálkodási politikával nem rendelkező befektetést befogadó vállalkozásokba eszközölt befektetések aránya (%)</w:t>
            </w:r>
          </w:p>
        </w:tc>
      </w:tr>
      <w:tr w:rsidR="008F265F" w:rsidRPr="00854F69" w14:paraId="348B7833"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95320D7" w14:textId="3BC5459B" w:rsidR="00FA2E69" w:rsidRPr="008F265F" w:rsidRDefault="00FA2E69" w:rsidP="00630B28">
            <w:pPr>
              <w:rPr>
                <w:rFonts w:ascii="Arial" w:hAnsi="Arial" w:cs="Arial"/>
                <w:sz w:val="20"/>
                <w:szCs w:val="20"/>
              </w:rPr>
            </w:pPr>
            <w:r w:rsidRPr="008F265F">
              <w:rPr>
                <w:rFonts w:ascii="Arial" w:hAnsi="Arial" w:cs="Arial"/>
                <w:sz w:val="20"/>
                <w:szCs w:val="20"/>
              </w:rPr>
              <w:t>SFDR8_9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51F8057" w14:textId="240B9825" w:rsidR="00FA2E69" w:rsidRPr="008F265F" w:rsidRDefault="00FA2E69" w:rsidP="00630B28">
            <w:pPr>
              <w:rPr>
                <w:rFonts w:ascii="Arial" w:hAnsi="Arial" w:cs="Arial"/>
                <w:sz w:val="20"/>
                <w:szCs w:val="20"/>
              </w:rPr>
            </w:pPr>
            <w:r w:rsidRPr="008F265F">
              <w:rPr>
                <w:rFonts w:ascii="Arial" w:hAnsi="Arial" w:cs="Arial"/>
                <w:sz w:val="20"/>
                <w:szCs w:val="20"/>
              </w:rPr>
              <w:t>Súlyosan vízhiányos területeken található, vízgazdálkodási politikával nem rendelkező befektetést befogadó vállalkozásokba eszközölt befektetések aránya (%)</w:t>
            </w:r>
          </w:p>
        </w:tc>
      </w:tr>
      <w:tr w:rsidR="008F265F" w:rsidRPr="00854F69" w14:paraId="232004FF"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58F1A43" w14:textId="25743755" w:rsidR="00FA2E69" w:rsidRPr="008F265F" w:rsidRDefault="00FA2E69" w:rsidP="00630B28">
            <w:pPr>
              <w:rPr>
                <w:rFonts w:ascii="Arial" w:hAnsi="Arial" w:cs="Arial"/>
                <w:sz w:val="20"/>
                <w:szCs w:val="20"/>
              </w:rPr>
            </w:pPr>
            <w:r w:rsidRPr="008F265F">
              <w:rPr>
                <w:rFonts w:ascii="Arial" w:hAnsi="Arial" w:cs="Arial"/>
                <w:sz w:val="20"/>
                <w:szCs w:val="20"/>
              </w:rPr>
              <w:t>SFDR8_10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DEF5F19" w14:textId="340B6096" w:rsidR="00FA2E69" w:rsidRPr="008F265F" w:rsidRDefault="00FA2E69" w:rsidP="00630B28">
            <w:pPr>
              <w:rPr>
                <w:rFonts w:ascii="Arial" w:hAnsi="Arial" w:cs="Arial"/>
                <w:sz w:val="20"/>
                <w:szCs w:val="20"/>
              </w:rPr>
            </w:pPr>
            <w:r w:rsidRPr="008F265F">
              <w:rPr>
                <w:rFonts w:ascii="Arial" w:hAnsi="Arial" w:cs="Arial"/>
                <w:sz w:val="20"/>
                <w:szCs w:val="20"/>
              </w:rPr>
              <w:t xml:space="preserve">Az 1893/2006/EK </w:t>
            </w:r>
            <w:r w:rsidR="0037572F" w:rsidRPr="0037572F">
              <w:rPr>
                <w:rFonts w:ascii="Arial" w:hAnsi="Arial" w:cs="Arial"/>
                <w:sz w:val="20"/>
                <w:szCs w:val="20"/>
              </w:rPr>
              <w:t xml:space="preserve">európai parlamenti és tanácsi </w:t>
            </w:r>
            <w:r w:rsidRPr="008F265F">
              <w:rPr>
                <w:rFonts w:ascii="Arial" w:hAnsi="Arial" w:cs="Arial"/>
                <w:sz w:val="20"/>
                <w:szCs w:val="20"/>
              </w:rPr>
              <w:t>rendelet I. mellékleté</w:t>
            </w:r>
            <w:r w:rsidR="0037572F">
              <w:rPr>
                <w:rFonts w:ascii="Arial" w:hAnsi="Arial" w:cs="Arial"/>
                <w:sz w:val="20"/>
                <w:szCs w:val="20"/>
              </w:rPr>
              <w:t>ben foglalt táblázatban a</w:t>
            </w:r>
            <w:r w:rsidRPr="008F265F">
              <w:rPr>
                <w:rFonts w:ascii="Arial" w:hAnsi="Arial" w:cs="Arial"/>
                <w:sz w:val="20"/>
                <w:szCs w:val="20"/>
              </w:rPr>
              <w:t xml:space="preserve"> 20.2. </w:t>
            </w:r>
            <w:r w:rsidR="0037572F">
              <w:rPr>
                <w:rFonts w:ascii="Arial" w:hAnsi="Arial" w:cs="Arial"/>
                <w:sz w:val="20"/>
                <w:szCs w:val="20"/>
              </w:rPr>
              <w:t>al</w:t>
            </w:r>
            <w:r w:rsidRPr="008F265F">
              <w:rPr>
                <w:rFonts w:ascii="Arial" w:hAnsi="Arial" w:cs="Arial"/>
                <w:sz w:val="20"/>
                <w:szCs w:val="20"/>
              </w:rPr>
              <w:t xml:space="preserve">ágazatba </w:t>
            </w:r>
            <w:r w:rsidRPr="003350AD">
              <w:rPr>
                <w:rFonts w:ascii="Arial" w:hAnsi="Arial" w:cs="Arial"/>
                <w:sz w:val="20"/>
                <w:szCs w:val="20"/>
              </w:rPr>
              <w:t>tartozó (</w:t>
            </w:r>
            <w:r w:rsidR="00FA789F" w:rsidRPr="003350AD">
              <w:rPr>
                <w:rFonts w:ascii="Arial" w:hAnsi="Arial" w:cs="Arial"/>
                <w:sz w:val="20"/>
                <w:szCs w:val="20"/>
              </w:rPr>
              <w:t>M</w:t>
            </w:r>
            <w:r w:rsidR="00494B55" w:rsidRPr="003350AD">
              <w:rPr>
                <w:rFonts w:ascii="Arial" w:hAnsi="Arial" w:cs="Arial"/>
                <w:sz w:val="20"/>
                <w:szCs w:val="20"/>
              </w:rPr>
              <w:t>ezőgazdasági</w:t>
            </w:r>
            <w:r w:rsidR="00494B55">
              <w:rPr>
                <w:rFonts w:ascii="Arial" w:hAnsi="Arial" w:cs="Arial"/>
                <w:sz w:val="20"/>
                <w:szCs w:val="20"/>
              </w:rPr>
              <w:t xml:space="preserve"> </w:t>
            </w:r>
            <w:r w:rsidRPr="008F265F">
              <w:rPr>
                <w:rFonts w:ascii="Arial" w:hAnsi="Arial" w:cs="Arial"/>
                <w:sz w:val="20"/>
                <w:szCs w:val="20"/>
              </w:rPr>
              <w:t xml:space="preserve">vegyi </w:t>
            </w:r>
            <w:r w:rsidR="00494B55">
              <w:rPr>
                <w:rFonts w:ascii="Arial" w:hAnsi="Arial" w:cs="Arial"/>
                <w:sz w:val="20"/>
                <w:szCs w:val="20"/>
              </w:rPr>
              <w:t>termék gyártása</w:t>
            </w:r>
            <w:r w:rsidRPr="008F265F">
              <w:rPr>
                <w:rFonts w:ascii="Arial" w:hAnsi="Arial" w:cs="Arial"/>
                <w:sz w:val="20"/>
                <w:szCs w:val="20"/>
              </w:rPr>
              <w:t>), befektetést befogadó vállalkozásokba eszközölt befektetések aránya (%)</w:t>
            </w:r>
          </w:p>
        </w:tc>
      </w:tr>
      <w:tr w:rsidR="008F265F" w:rsidRPr="00854F69" w14:paraId="3DEA492A"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E6C65FB" w14:textId="72CA901E" w:rsidR="00FA2E69" w:rsidRPr="008F265F" w:rsidRDefault="00FA2E69" w:rsidP="00630B28">
            <w:pPr>
              <w:rPr>
                <w:rFonts w:ascii="Arial" w:hAnsi="Arial" w:cs="Arial"/>
                <w:sz w:val="20"/>
                <w:szCs w:val="20"/>
              </w:rPr>
            </w:pPr>
            <w:r w:rsidRPr="008F265F">
              <w:rPr>
                <w:rFonts w:ascii="Arial" w:hAnsi="Arial" w:cs="Arial"/>
                <w:sz w:val="20"/>
                <w:szCs w:val="20"/>
              </w:rPr>
              <w:t>SFDR8_11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F9122A1" w14:textId="5D907942" w:rsidR="00FA2E69" w:rsidRPr="008F265F" w:rsidRDefault="00FA2E69" w:rsidP="00630B28">
            <w:pPr>
              <w:rPr>
                <w:rFonts w:ascii="Arial" w:hAnsi="Arial" w:cs="Arial"/>
                <w:sz w:val="20"/>
                <w:szCs w:val="20"/>
              </w:rPr>
            </w:pPr>
            <w:r w:rsidRPr="008F265F">
              <w:rPr>
                <w:rFonts w:ascii="Arial" w:hAnsi="Arial" w:cs="Arial"/>
                <w:sz w:val="20"/>
                <w:szCs w:val="20"/>
              </w:rPr>
              <w:t>A talajromlást, elsivatagosodást vagy talajfedést okozó tevékenységet folytató befektetést befogadó vállalkozásokba eszközölt befektetések aránya (%)</w:t>
            </w:r>
          </w:p>
        </w:tc>
      </w:tr>
      <w:tr w:rsidR="008F265F" w:rsidRPr="00854F69" w14:paraId="09B93A34"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D5B8D6E" w14:textId="1FD10AA9" w:rsidR="00FA2E69" w:rsidRPr="008F265F" w:rsidRDefault="00FA2E69" w:rsidP="00630B28">
            <w:pPr>
              <w:rPr>
                <w:rFonts w:ascii="Arial" w:hAnsi="Arial" w:cs="Arial"/>
                <w:sz w:val="20"/>
                <w:szCs w:val="20"/>
              </w:rPr>
            </w:pPr>
            <w:r w:rsidRPr="008F265F">
              <w:rPr>
                <w:rFonts w:ascii="Arial" w:hAnsi="Arial" w:cs="Arial"/>
                <w:sz w:val="20"/>
                <w:szCs w:val="20"/>
              </w:rPr>
              <w:t>SFDR8_12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C4DA4D4" w14:textId="7D6909AF" w:rsidR="00FA2E69" w:rsidRPr="008F265F" w:rsidRDefault="00FA2E69" w:rsidP="00630B28">
            <w:pPr>
              <w:rPr>
                <w:rFonts w:ascii="Arial" w:hAnsi="Arial" w:cs="Arial"/>
                <w:sz w:val="20"/>
                <w:szCs w:val="20"/>
              </w:rPr>
            </w:pPr>
            <w:r w:rsidRPr="008F265F">
              <w:rPr>
                <w:rFonts w:ascii="Arial" w:hAnsi="Arial" w:cs="Arial"/>
                <w:sz w:val="20"/>
                <w:szCs w:val="20"/>
              </w:rPr>
              <w:t>Fenntartható földgazdálkodási/mezőgazdasági gyakorlatokat vagy politikákat nem alkalmazó befektetést befogadó vállalkozásokba eszközölt befektetések aránya (%)</w:t>
            </w:r>
          </w:p>
        </w:tc>
      </w:tr>
      <w:tr w:rsidR="008F265F" w:rsidRPr="00854F69" w14:paraId="67041376"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4FD21D8B" w14:textId="0E998B14" w:rsidR="00FA2E69" w:rsidRPr="008F265F" w:rsidRDefault="00FA2E69" w:rsidP="00630B28">
            <w:pPr>
              <w:rPr>
                <w:rFonts w:ascii="Arial" w:hAnsi="Arial" w:cs="Arial"/>
                <w:sz w:val="20"/>
                <w:szCs w:val="20"/>
              </w:rPr>
            </w:pPr>
            <w:r w:rsidRPr="008F265F">
              <w:rPr>
                <w:rFonts w:ascii="Arial" w:hAnsi="Arial" w:cs="Arial"/>
                <w:sz w:val="20"/>
                <w:szCs w:val="20"/>
              </w:rPr>
              <w:t>SFDR8_13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AC447D2" w14:textId="6DA6DB18" w:rsidR="00FA2E69" w:rsidRPr="008F265F" w:rsidRDefault="00FA2E69" w:rsidP="00630B28">
            <w:pPr>
              <w:rPr>
                <w:rFonts w:ascii="Arial" w:hAnsi="Arial" w:cs="Arial"/>
                <w:sz w:val="20"/>
                <w:szCs w:val="20"/>
              </w:rPr>
            </w:pPr>
            <w:r w:rsidRPr="008F265F">
              <w:rPr>
                <w:rFonts w:ascii="Arial" w:hAnsi="Arial" w:cs="Arial"/>
                <w:sz w:val="20"/>
                <w:szCs w:val="20"/>
              </w:rPr>
              <w:t>Fenntartható óceán-/tengergazdálkodási gyakorlatokat vagy politikákat nem alkalmazó befektetést befogadó vállalkozásokba eszközölt befektetések (%)</w:t>
            </w:r>
          </w:p>
        </w:tc>
      </w:tr>
      <w:tr w:rsidR="008F265F" w:rsidRPr="00854F69" w14:paraId="2D3C365C"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42560901" w14:textId="1AAFD1BF" w:rsidR="00FA2E69" w:rsidRPr="008F265F" w:rsidRDefault="00FA2E69" w:rsidP="00630B28">
            <w:pPr>
              <w:rPr>
                <w:rFonts w:ascii="Arial" w:hAnsi="Arial" w:cs="Arial"/>
                <w:sz w:val="20"/>
                <w:szCs w:val="20"/>
              </w:rPr>
            </w:pPr>
            <w:r w:rsidRPr="008F265F">
              <w:rPr>
                <w:rFonts w:ascii="Arial" w:hAnsi="Arial" w:cs="Arial"/>
                <w:sz w:val="20"/>
                <w:szCs w:val="20"/>
              </w:rPr>
              <w:lastRenderedPageBreak/>
              <w:t>SFDR8_14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79A4401B" w14:textId="61BFB9DB" w:rsidR="00FA2E69" w:rsidRPr="008F265F" w:rsidRDefault="00FA2E69" w:rsidP="00630B28">
            <w:pPr>
              <w:rPr>
                <w:rFonts w:ascii="Arial" w:hAnsi="Arial" w:cs="Arial"/>
                <w:sz w:val="20"/>
                <w:szCs w:val="20"/>
              </w:rPr>
            </w:pPr>
            <w:r w:rsidRPr="008F265F">
              <w:rPr>
                <w:rFonts w:ascii="Arial" w:hAnsi="Arial" w:cs="Arial"/>
                <w:sz w:val="20"/>
                <w:szCs w:val="20"/>
              </w:rPr>
              <w:t xml:space="preserve">A befektetést befogadó vállalkozás által termelt nem </w:t>
            </w:r>
            <w:proofErr w:type="spellStart"/>
            <w:r w:rsidRPr="008F265F">
              <w:rPr>
                <w:rFonts w:ascii="Arial" w:hAnsi="Arial" w:cs="Arial"/>
                <w:sz w:val="20"/>
                <w:szCs w:val="20"/>
              </w:rPr>
              <w:t>újrafeldolgozott</w:t>
            </w:r>
            <w:proofErr w:type="spellEnd"/>
            <w:r w:rsidRPr="008F265F">
              <w:rPr>
                <w:rFonts w:ascii="Arial" w:hAnsi="Arial" w:cs="Arial"/>
                <w:sz w:val="20"/>
                <w:szCs w:val="20"/>
              </w:rPr>
              <w:t xml:space="preserve"> hulladék tonna/millió EUR befektetésben, súlyozott átlagként kifejezve (tonna/millió EUR)</w:t>
            </w:r>
          </w:p>
        </w:tc>
      </w:tr>
      <w:tr w:rsidR="008F265F" w:rsidRPr="00854F69" w14:paraId="0CB5C19C"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044FEB7" w14:textId="27E67BAB" w:rsidR="00FA2E69" w:rsidRPr="008F265F" w:rsidRDefault="00FA2E69" w:rsidP="00630B28">
            <w:pPr>
              <w:rPr>
                <w:rFonts w:ascii="Arial" w:hAnsi="Arial" w:cs="Arial"/>
                <w:sz w:val="20"/>
                <w:szCs w:val="20"/>
              </w:rPr>
            </w:pPr>
            <w:r w:rsidRPr="008F265F">
              <w:rPr>
                <w:rFonts w:ascii="Arial" w:hAnsi="Arial" w:cs="Arial"/>
                <w:sz w:val="20"/>
                <w:szCs w:val="20"/>
              </w:rPr>
              <w:t>SFDR8_15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1EC98FC" w14:textId="5ED53911" w:rsidR="00FA2E69" w:rsidRPr="008F265F" w:rsidRDefault="00FA2E69" w:rsidP="00630B28">
            <w:pPr>
              <w:rPr>
                <w:rFonts w:ascii="Arial" w:hAnsi="Arial" w:cs="Arial"/>
                <w:sz w:val="20"/>
                <w:szCs w:val="20"/>
              </w:rPr>
            </w:pPr>
            <w:r w:rsidRPr="008F265F">
              <w:rPr>
                <w:rFonts w:ascii="Arial" w:hAnsi="Arial" w:cs="Arial"/>
                <w:sz w:val="20"/>
                <w:szCs w:val="20"/>
              </w:rPr>
              <w:t>Fenyegetett fajokat érintő tevékenységet folytató befektetést befogadó vállalkozásokba eszközölt befektetések aránya (%)</w:t>
            </w:r>
          </w:p>
        </w:tc>
      </w:tr>
      <w:tr w:rsidR="008F265F" w:rsidRPr="00854F69" w14:paraId="29DA4DF2"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3FA95F8" w14:textId="71C805E4" w:rsidR="00FA2E69" w:rsidRPr="008F265F" w:rsidRDefault="00FA2E69" w:rsidP="00630B28">
            <w:pPr>
              <w:rPr>
                <w:rFonts w:ascii="Arial" w:hAnsi="Arial" w:cs="Arial"/>
                <w:sz w:val="20"/>
                <w:szCs w:val="20"/>
              </w:rPr>
            </w:pPr>
            <w:r w:rsidRPr="008F265F">
              <w:rPr>
                <w:rFonts w:ascii="Arial" w:hAnsi="Arial" w:cs="Arial"/>
                <w:sz w:val="20"/>
                <w:szCs w:val="20"/>
              </w:rPr>
              <w:t>SFDR8_16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F584EF7" w14:textId="1FB544AA" w:rsidR="00FA2E69" w:rsidRPr="008F265F" w:rsidRDefault="00FA2E69" w:rsidP="00630B28">
            <w:pPr>
              <w:rPr>
                <w:rFonts w:ascii="Arial" w:hAnsi="Arial" w:cs="Arial"/>
                <w:sz w:val="20"/>
                <w:szCs w:val="20"/>
              </w:rPr>
            </w:pPr>
            <w:r w:rsidRPr="008F265F">
              <w:rPr>
                <w:rFonts w:ascii="Arial" w:hAnsi="Arial" w:cs="Arial"/>
                <w:sz w:val="20"/>
                <w:szCs w:val="20"/>
              </w:rPr>
              <w:t>Olyan befektetést befogadó vállalkozásokban lévő befektetések aránya, amelyek nem rendelkeznek az általuk tulajdonolt, bérelt vagy kezelt, védett területen vagy a biológiai sokféleség szempontjából jelentős értéket képviselő, védett területeken kívüli területen lévő vagy azzal szomszédos telephely biológiai sokféleségének védelmére vonatkozó politikával (%)</w:t>
            </w:r>
          </w:p>
        </w:tc>
      </w:tr>
      <w:tr w:rsidR="008F265F" w:rsidRPr="00854F69" w14:paraId="36091991"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766C4C8" w14:textId="52CCCD73" w:rsidR="00FA2E69" w:rsidRPr="008F265F" w:rsidRDefault="00FA2E69" w:rsidP="00630B28">
            <w:pPr>
              <w:rPr>
                <w:rFonts w:ascii="Arial" w:hAnsi="Arial" w:cs="Arial"/>
                <w:sz w:val="20"/>
                <w:szCs w:val="20"/>
              </w:rPr>
            </w:pPr>
            <w:r w:rsidRPr="008F265F">
              <w:rPr>
                <w:rFonts w:ascii="Arial" w:hAnsi="Arial" w:cs="Arial"/>
                <w:sz w:val="20"/>
                <w:szCs w:val="20"/>
              </w:rPr>
              <w:t>SFDR8_17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C9833D4" w14:textId="0531F440" w:rsidR="00FA2E69" w:rsidRPr="008F265F" w:rsidRDefault="00FA2E69" w:rsidP="00630B28">
            <w:pPr>
              <w:rPr>
                <w:rFonts w:ascii="Arial" w:hAnsi="Arial" w:cs="Arial"/>
                <w:sz w:val="20"/>
                <w:szCs w:val="20"/>
              </w:rPr>
            </w:pPr>
            <w:r w:rsidRPr="008F265F">
              <w:rPr>
                <w:rFonts w:ascii="Arial" w:hAnsi="Arial" w:cs="Arial"/>
                <w:sz w:val="20"/>
                <w:szCs w:val="20"/>
              </w:rPr>
              <w:t>Az erdőirtás kezelésére irányuló politikát nem alkalmazó vállalkozásokba eszközölt befektetések aránya (%)</w:t>
            </w:r>
          </w:p>
        </w:tc>
      </w:tr>
      <w:tr w:rsidR="008F265F" w:rsidRPr="00854F69" w14:paraId="0330F4D4"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ECB53F7" w14:textId="7958051C" w:rsidR="00FA2E69" w:rsidRPr="008F265F" w:rsidRDefault="00FA2E69" w:rsidP="00630B28">
            <w:pPr>
              <w:rPr>
                <w:rFonts w:ascii="Arial" w:hAnsi="Arial" w:cs="Arial"/>
                <w:sz w:val="20"/>
                <w:szCs w:val="20"/>
              </w:rPr>
            </w:pPr>
            <w:r w:rsidRPr="008F265F">
              <w:rPr>
                <w:rFonts w:ascii="Arial" w:hAnsi="Arial" w:cs="Arial"/>
                <w:sz w:val="20"/>
                <w:szCs w:val="20"/>
              </w:rPr>
              <w:t>SFDR8_18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960D751" w14:textId="5018A509" w:rsidR="00FA2E69" w:rsidRPr="008F265F" w:rsidRDefault="00FA2E69" w:rsidP="00630B28">
            <w:pPr>
              <w:rPr>
                <w:rFonts w:ascii="Arial" w:hAnsi="Arial" w:cs="Arial"/>
                <w:sz w:val="20"/>
                <w:szCs w:val="20"/>
              </w:rPr>
            </w:pPr>
            <w:r w:rsidRPr="008F265F">
              <w:rPr>
                <w:rFonts w:ascii="Arial" w:hAnsi="Arial" w:cs="Arial"/>
                <w:sz w:val="20"/>
                <w:szCs w:val="20"/>
              </w:rPr>
              <w:t>A nem a környezeti szempontból fenntartható kötvényekre vonatkozó uniós jogszabályok alapján kibocsátott, befektetésekben lévő értékpapírok aránya (%)</w:t>
            </w:r>
          </w:p>
        </w:tc>
      </w:tr>
      <w:tr w:rsidR="008F265F" w:rsidRPr="00854F69" w14:paraId="066C1C4D"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BFC0C13" w14:textId="4260000D" w:rsidR="00FA2E69" w:rsidRPr="008F265F" w:rsidRDefault="00FA2E69" w:rsidP="00630B28">
            <w:pPr>
              <w:rPr>
                <w:rFonts w:ascii="Arial" w:hAnsi="Arial" w:cs="Arial"/>
                <w:sz w:val="20"/>
                <w:szCs w:val="20"/>
              </w:rPr>
            </w:pPr>
            <w:r w:rsidRPr="008F265F">
              <w:rPr>
                <w:rFonts w:ascii="Arial" w:hAnsi="Arial" w:cs="Arial"/>
                <w:sz w:val="20"/>
                <w:szCs w:val="20"/>
              </w:rPr>
              <w:t>SFDR8_19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F681149" w14:textId="6E44ED39" w:rsidR="00FA2E69" w:rsidRPr="008F265F" w:rsidRDefault="00FA2E69" w:rsidP="00630B28">
            <w:pPr>
              <w:rPr>
                <w:rFonts w:ascii="Arial" w:hAnsi="Arial" w:cs="Arial"/>
                <w:sz w:val="20"/>
                <w:szCs w:val="20"/>
              </w:rPr>
            </w:pPr>
            <w:r w:rsidRPr="008F265F">
              <w:rPr>
                <w:rFonts w:ascii="Arial" w:hAnsi="Arial" w:cs="Arial"/>
                <w:sz w:val="20"/>
                <w:szCs w:val="20"/>
              </w:rPr>
              <w:t>A nem a környezeti szempontból fenntartható kötvényekre vonatkozó uniós jogszabályok alapján kibocsátott kötvények aránya (%)</w:t>
            </w:r>
          </w:p>
        </w:tc>
      </w:tr>
      <w:tr w:rsidR="008F265F" w:rsidRPr="00854F69" w14:paraId="5D0C5369"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26FF6CA" w14:textId="40822CC6" w:rsidR="00FA2E69" w:rsidRPr="008F265F" w:rsidRDefault="00FA2E69" w:rsidP="00630B28">
            <w:pPr>
              <w:rPr>
                <w:rFonts w:ascii="Arial" w:hAnsi="Arial" w:cs="Arial"/>
                <w:sz w:val="20"/>
                <w:szCs w:val="20"/>
              </w:rPr>
            </w:pPr>
            <w:r w:rsidRPr="008F265F">
              <w:rPr>
                <w:rFonts w:ascii="Arial" w:hAnsi="Arial" w:cs="Arial"/>
                <w:sz w:val="20"/>
                <w:szCs w:val="20"/>
              </w:rPr>
              <w:t>SFDR8_20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7C5B7E61" w14:textId="1519DFF0" w:rsidR="00FA2E69" w:rsidRPr="008F265F" w:rsidRDefault="00FA2E69" w:rsidP="00630B28">
            <w:pPr>
              <w:rPr>
                <w:rFonts w:ascii="Arial" w:hAnsi="Arial" w:cs="Arial"/>
                <w:sz w:val="20"/>
                <w:szCs w:val="20"/>
              </w:rPr>
            </w:pPr>
            <w:r w:rsidRPr="008F265F">
              <w:rPr>
                <w:rFonts w:ascii="Arial" w:hAnsi="Arial" w:cs="Arial"/>
                <w:sz w:val="20"/>
                <w:szCs w:val="20"/>
              </w:rPr>
              <w:t xml:space="preserve">Ingatlaneszközök által előidézett, 1. körbe tartozó </w:t>
            </w:r>
            <w:proofErr w:type="spellStart"/>
            <w:r w:rsidRPr="008F265F">
              <w:rPr>
                <w:rFonts w:ascii="Arial" w:hAnsi="Arial" w:cs="Arial"/>
                <w:sz w:val="20"/>
                <w:szCs w:val="20"/>
              </w:rPr>
              <w:t>ÜHG</w:t>
            </w:r>
            <w:proofErr w:type="spellEnd"/>
            <w:r w:rsidRPr="008F265F">
              <w:rPr>
                <w:rFonts w:ascii="Arial" w:hAnsi="Arial" w:cs="Arial"/>
                <w:sz w:val="20"/>
                <w:szCs w:val="20"/>
              </w:rPr>
              <w:t>-kibocsátások (tonna CO</w:t>
            </w:r>
            <w:r w:rsidRPr="008F265F">
              <w:rPr>
                <w:rFonts w:ascii="Arial" w:hAnsi="Arial" w:cs="Arial"/>
                <w:sz w:val="20"/>
                <w:szCs w:val="20"/>
                <w:vertAlign w:val="subscript"/>
              </w:rPr>
              <w:t>2</w:t>
            </w:r>
            <w:r w:rsidRPr="008F265F">
              <w:rPr>
                <w:rFonts w:ascii="Arial" w:hAnsi="Arial" w:cs="Arial"/>
                <w:sz w:val="20"/>
                <w:szCs w:val="20"/>
              </w:rPr>
              <w:t xml:space="preserve"> egyenérték)</w:t>
            </w:r>
          </w:p>
        </w:tc>
      </w:tr>
      <w:tr w:rsidR="008F265F" w:rsidRPr="00854F69" w14:paraId="4AE878C9"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0F2DA97" w14:textId="1C68635C" w:rsidR="00FA2E69" w:rsidRPr="008F265F" w:rsidRDefault="00FA2E69" w:rsidP="00630B28">
            <w:pPr>
              <w:rPr>
                <w:rFonts w:ascii="Arial" w:hAnsi="Arial" w:cs="Arial"/>
                <w:sz w:val="20"/>
                <w:szCs w:val="20"/>
              </w:rPr>
            </w:pPr>
            <w:r w:rsidRPr="008F265F">
              <w:rPr>
                <w:rFonts w:ascii="Arial" w:hAnsi="Arial" w:cs="Arial"/>
                <w:sz w:val="20"/>
                <w:szCs w:val="20"/>
              </w:rPr>
              <w:t>SFDR8_21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FB8AD98" w14:textId="00C4BF23" w:rsidR="00FA2E69" w:rsidRPr="008F265F" w:rsidRDefault="00FA2E69" w:rsidP="00630B28">
            <w:pPr>
              <w:rPr>
                <w:rFonts w:ascii="Arial" w:hAnsi="Arial" w:cs="Arial"/>
                <w:sz w:val="20"/>
                <w:szCs w:val="20"/>
              </w:rPr>
            </w:pPr>
            <w:r w:rsidRPr="008F265F">
              <w:rPr>
                <w:rFonts w:ascii="Arial" w:hAnsi="Arial" w:cs="Arial"/>
                <w:sz w:val="20"/>
                <w:szCs w:val="20"/>
              </w:rPr>
              <w:t xml:space="preserve">Ingatlaneszközök által előidézett, 2. körbe tartozó </w:t>
            </w:r>
            <w:proofErr w:type="spellStart"/>
            <w:r w:rsidRPr="008F265F">
              <w:rPr>
                <w:rFonts w:ascii="Arial" w:hAnsi="Arial" w:cs="Arial"/>
                <w:sz w:val="20"/>
                <w:szCs w:val="20"/>
              </w:rPr>
              <w:t>ÜHG</w:t>
            </w:r>
            <w:proofErr w:type="spellEnd"/>
            <w:r w:rsidRPr="008F265F">
              <w:rPr>
                <w:rFonts w:ascii="Arial" w:hAnsi="Arial" w:cs="Arial"/>
                <w:sz w:val="20"/>
                <w:szCs w:val="20"/>
              </w:rPr>
              <w:t>-kibocsátások (tonna CO</w:t>
            </w:r>
            <w:r w:rsidRPr="008F265F">
              <w:rPr>
                <w:rFonts w:ascii="Arial" w:hAnsi="Arial" w:cs="Arial"/>
                <w:sz w:val="20"/>
                <w:szCs w:val="20"/>
                <w:vertAlign w:val="subscript"/>
              </w:rPr>
              <w:t xml:space="preserve">2 </w:t>
            </w:r>
            <w:r w:rsidRPr="008F265F">
              <w:rPr>
                <w:rFonts w:ascii="Arial" w:hAnsi="Arial" w:cs="Arial"/>
                <w:sz w:val="20"/>
                <w:szCs w:val="20"/>
              </w:rPr>
              <w:t>egyenérték)</w:t>
            </w:r>
          </w:p>
        </w:tc>
      </w:tr>
      <w:tr w:rsidR="008F265F" w:rsidRPr="00854F69" w14:paraId="4B3A9AC1"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27284222" w14:textId="499366D7" w:rsidR="00FA2E69" w:rsidRPr="008F265F" w:rsidRDefault="00FA2E69" w:rsidP="00630B28">
            <w:pPr>
              <w:rPr>
                <w:rFonts w:ascii="Arial" w:hAnsi="Arial" w:cs="Arial"/>
                <w:sz w:val="20"/>
                <w:szCs w:val="20"/>
              </w:rPr>
            </w:pPr>
            <w:r w:rsidRPr="008F265F">
              <w:rPr>
                <w:rFonts w:ascii="Arial" w:hAnsi="Arial" w:cs="Arial"/>
                <w:sz w:val="20"/>
                <w:szCs w:val="20"/>
              </w:rPr>
              <w:t>SFDR8_22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E7DCD52" w14:textId="147604B3" w:rsidR="00FA2E69" w:rsidRPr="008F265F" w:rsidRDefault="00FA2E69" w:rsidP="00630B28">
            <w:pPr>
              <w:rPr>
                <w:rFonts w:ascii="Arial" w:hAnsi="Arial" w:cs="Arial"/>
                <w:sz w:val="20"/>
                <w:szCs w:val="20"/>
              </w:rPr>
            </w:pPr>
            <w:r w:rsidRPr="008F265F">
              <w:rPr>
                <w:rFonts w:ascii="Arial" w:hAnsi="Arial" w:cs="Arial"/>
                <w:sz w:val="20"/>
                <w:szCs w:val="20"/>
              </w:rPr>
              <w:t xml:space="preserve">Ingatlaneszközök által előidézett, 3. körbe tartozó </w:t>
            </w:r>
            <w:proofErr w:type="spellStart"/>
            <w:r w:rsidRPr="008F265F">
              <w:rPr>
                <w:rFonts w:ascii="Arial" w:hAnsi="Arial" w:cs="Arial"/>
                <w:sz w:val="20"/>
                <w:szCs w:val="20"/>
              </w:rPr>
              <w:t>ÜHG</w:t>
            </w:r>
            <w:proofErr w:type="spellEnd"/>
            <w:r w:rsidRPr="008F265F">
              <w:rPr>
                <w:rFonts w:ascii="Arial" w:hAnsi="Arial" w:cs="Arial"/>
                <w:sz w:val="20"/>
                <w:szCs w:val="20"/>
              </w:rPr>
              <w:t>-kibocsátások (tonna CO</w:t>
            </w:r>
            <w:r w:rsidRPr="008F265F">
              <w:rPr>
                <w:rFonts w:ascii="Arial" w:hAnsi="Arial" w:cs="Arial"/>
                <w:sz w:val="20"/>
                <w:szCs w:val="20"/>
                <w:vertAlign w:val="subscript"/>
              </w:rPr>
              <w:t>2</w:t>
            </w:r>
            <w:r w:rsidRPr="008F265F">
              <w:rPr>
                <w:rFonts w:ascii="Arial" w:hAnsi="Arial" w:cs="Arial"/>
                <w:sz w:val="20"/>
                <w:szCs w:val="20"/>
              </w:rPr>
              <w:t xml:space="preserve"> egyenérték)</w:t>
            </w:r>
          </w:p>
        </w:tc>
      </w:tr>
      <w:tr w:rsidR="008F265F" w:rsidRPr="00854F69" w14:paraId="337A5900"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1B02A07" w14:textId="4E6D1674" w:rsidR="00FA2E69" w:rsidRPr="008F265F" w:rsidRDefault="00FA2E69" w:rsidP="00630B28">
            <w:pPr>
              <w:rPr>
                <w:rFonts w:ascii="Arial" w:hAnsi="Arial" w:cs="Arial"/>
                <w:sz w:val="20"/>
                <w:szCs w:val="20"/>
              </w:rPr>
            </w:pPr>
            <w:r w:rsidRPr="008F265F">
              <w:rPr>
                <w:rFonts w:ascii="Arial" w:hAnsi="Arial" w:cs="Arial"/>
                <w:sz w:val="20"/>
                <w:szCs w:val="20"/>
              </w:rPr>
              <w:t>SFDR8_23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E490CBB" w14:textId="089E20B1" w:rsidR="00FA2E69" w:rsidRPr="008F265F" w:rsidRDefault="00FA2E69" w:rsidP="00630B28">
            <w:pPr>
              <w:rPr>
                <w:rFonts w:ascii="Arial" w:hAnsi="Arial" w:cs="Arial"/>
                <w:sz w:val="20"/>
                <w:szCs w:val="20"/>
              </w:rPr>
            </w:pPr>
            <w:r w:rsidRPr="008F265F">
              <w:rPr>
                <w:rFonts w:ascii="Arial" w:hAnsi="Arial" w:cs="Arial"/>
                <w:sz w:val="20"/>
                <w:szCs w:val="20"/>
              </w:rPr>
              <w:t xml:space="preserve">Ingatlaneszközök által előidézett </w:t>
            </w:r>
            <w:proofErr w:type="spellStart"/>
            <w:r w:rsidRPr="008F265F">
              <w:rPr>
                <w:rFonts w:ascii="Arial" w:hAnsi="Arial" w:cs="Arial"/>
                <w:sz w:val="20"/>
                <w:szCs w:val="20"/>
              </w:rPr>
              <w:t>ÜHG-összkibocsátás</w:t>
            </w:r>
            <w:proofErr w:type="spellEnd"/>
            <w:r w:rsidRPr="008F265F">
              <w:rPr>
                <w:rFonts w:ascii="Arial" w:hAnsi="Arial" w:cs="Arial"/>
                <w:sz w:val="20"/>
                <w:szCs w:val="20"/>
              </w:rPr>
              <w:t xml:space="preserve"> (tonna CO</w:t>
            </w:r>
            <w:r w:rsidRPr="008F265F">
              <w:rPr>
                <w:rFonts w:ascii="Arial" w:hAnsi="Arial" w:cs="Arial"/>
                <w:sz w:val="20"/>
                <w:szCs w:val="20"/>
                <w:vertAlign w:val="subscript"/>
              </w:rPr>
              <w:t>2</w:t>
            </w:r>
            <w:r w:rsidRPr="008F265F">
              <w:rPr>
                <w:rFonts w:ascii="Arial" w:hAnsi="Arial" w:cs="Arial"/>
                <w:sz w:val="20"/>
                <w:szCs w:val="20"/>
              </w:rPr>
              <w:t xml:space="preserve"> egyenérték)</w:t>
            </w:r>
          </w:p>
        </w:tc>
      </w:tr>
      <w:tr w:rsidR="008F265F" w:rsidRPr="00854F69" w14:paraId="249CAF13"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1078B90" w14:textId="23CEADF4" w:rsidR="00FA2E69" w:rsidRPr="008F265F" w:rsidRDefault="00FA2E69" w:rsidP="00630B28">
            <w:pPr>
              <w:rPr>
                <w:rFonts w:ascii="Arial" w:hAnsi="Arial" w:cs="Arial"/>
                <w:sz w:val="20"/>
                <w:szCs w:val="20"/>
              </w:rPr>
            </w:pPr>
            <w:r w:rsidRPr="008F265F">
              <w:rPr>
                <w:rFonts w:ascii="Arial" w:hAnsi="Arial" w:cs="Arial"/>
                <w:sz w:val="20"/>
                <w:szCs w:val="20"/>
              </w:rPr>
              <w:t>SFDR8_24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981D387" w14:textId="1D2BF25D" w:rsidR="00FA2E69" w:rsidRPr="008F265F" w:rsidRDefault="00FA2E69" w:rsidP="00630B28">
            <w:pPr>
              <w:rPr>
                <w:rFonts w:ascii="Arial" w:hAnsi="Arial" w:cs="Arial"/>
                <w:sz w:val="20"/>
                <w:szCs w:val="20"/>
              </w:rPr>
            </w:pPr>
            <w:r w:rsidRPr="008F265F">
              <w:rPr>
                <w:rFonts w:ascii="Arial" w:hAnsi="Arial" w:cs="Arial"/>
                <w:sz w:val="20"/>
                <w:szCs w:val="20"/>
              </w:rPr>
              <w:t xml:space="preserve">A saját tulajdonú ingatlanok </w:t>
            </w:r>
            <w:proofErr w:type="spellStart"/>
            <w:r w:rsidRPr="008F265F">
              <w:rPr>
                <w:rFonts w:ascii="Arial" w:hAnsi="Arial" w:cs="Arial"/>
                <w:sz w:val="20"/>
                <w:szCs w:val="20"/>
              </w:rPr>
              <w:t>négyzetméterenkénti</w:t>
            </w:r>
            <w:proofErr w:type="spellEnd"/>
            <w:r w:rsidRPr="008F265F">
              <w:rPr>
                <w:rFonts w:ascii="Arial" w:hAnsi="Arial" w:cs="Arial"/>
                <w:sz w:val="20"/>
                <w:szCs w:val="20"/>
              </w:rPr>
              <w:t xml:space="preserve"> energiafogyasztása </w:t>
            </w:r>
            <w:proofErr w:type="spellStart"/>
            <w:r w:rsidRPr="008F265F">
              <w:rPr>
                <w:rFonts w:ascii="Arial" w:hAnsi="Arial" w:cs="Arial"/>
                <w:sz w:val="20"/>
                <w:szCs w:val="20"/>
              </w:rPr>
              <w:t>GWh</w:t>
            </w:r>
            <w:proofErr w:type="spellEnd"/>
            <w:r w:rsidRPr="008F265F">
              <w:rPr>
                <w:rFonts w:ascii="Arial" w:hAnsi="Arial" w:cs="Arial"/>
                <w:sz w:val="20"/>
                <w:szCs w:val="20"/>
              </w:rPr>
              <w:t>-ban (</w:t>
            </w:r>
            <w:proofErr w:type="spellStart"/>
            <w:r w:rsidRPr="008F265F">
              <w:rPr>
                <w:rFonts w:ascii="Arial" w:hAnsi="Arial" w:cs="Arial"/>
                <w:sz w:val="20"/>
                <w:szCs w:val="20"/>
              </w:rPr>
              <w:t>GWh</w:t>
            </w:r>
            <w:proofErr w:type="spellEnd"/>
            <w:r w:rsidRPr="008F265F">
              <w:rPr>
                <w:rFonts w:ascii="Arial" w:hAnsi="Arial" w:cs="Arial"/>
                <w:sz w:val="20"/>
                <w:szCs w:val="20"/>
              </w:rPr>
              <w:t>/m</w:t>
            </w:r>
            <w:r w:rsidRPr="008F265F">
              <w:rPr>
                <w:rFonts w:ascii="Arial" w:hAnsi="Arial" w:cs="Arial"/>
                <w:sz w:val="20"/>
                <w:szCs w:val="20"/>
                <w:vertAlign w:val="superscript"/>
              </w:rPr>
              <w:t>2</w:t>
            </w:r>
            <w:r w:rsidRPr="008F265F">
              <w:rPr>
                <w:rFonts w:ascii="Arial" w:hAnsi="Arial" w:cs="Arial"/>
                <w:sz w:val="20"/>
                <w:szCs w:val="20"/>
              </w:rPr>
              <w:t>)</w:t>
            </w:r>
          </w:p>
        </w:tc>
      </w:tr>
      <w:tr w:rsidR="008F265F" w:rsidRPr="00854F69" w14:paraId="716B682B"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8DB1814" w14:textId="4CB92917" w:rsidR="00FA2E69" w:rsidRPr="008F265F" w:rsidRDefault="00FA2E69" w:rsidP="00630B28">
            <w:pPr>
              <w:rPr>
                <w:rFonts w:ascii="Arial" w:hAnsi="Arial" w:cs="Arial"/>
                <w:sz w:val="20"/>
                <w:szCs w:val="20"/>
              </w:rPr>
            </w:pPr>
            <w:r w:rsidRPr="008F265F">
              <w:rPr>
                <w:rFonts w:ascii="Arial" w:hAnsi="Arial" w:cs="Arial"/>
                <w:sz w:val="20"/>
                <w:szCs w:val="20"/>
              </w:rPr>
              <w:t>SFDR8_25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8376D5E" w14:textId="67C2D85E" w:rsidR="00FA2E69" w:rsidRPr="008F265F" w:rsidRDefault="00FA2E69" w:rsidP="00630B28">
            <w:pPr>
              <w:rPr>
                <w:rFonts w:ascii="Arial" w:hAnsi="Arial" w:cs="Arial"/>
                <w:sz w:val="20"/>
                <w:szCs w:val="20"/>
              </w:rPr>
            </w:pPr>
            <w:r w:rsidRPr="008F265F">
              <w:rPr>
                <w:rFonts w:ascii="Arial" w:hAnsi="Arial" w:cs="Arial"/>
                <w:sz w:val="20"/>
                <w:szCs w:val="20"/>
              </w:rPr>
              <w:t>Hulladékhasznosítási vagy -újrafeldolgozási szerződés hatálya alá nem tartozó és hulladékválogató létesítményekkel fel nem szerelt ingatlaneszközök aránya (%)</w:t>
            </w:r>
          </w:p>
        </w:tc>
      </w:tr>
      <w:tr w:rsidR="008F265F" w:rsidRPr="00854F69" w14:paraId="5372148F"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15F331C" w14:textId="3E74995B" w:rsidR="00FA2E69" w:rsidRPr="008F265F" w:rsidRDefault="00FA2E69" w:rsidP="00630B28">
            <w:pPr>
              <w:rPr>
                <w:rFonts w:ascii="Arial" w:hAnsi="Arial" w:cs="Arial"/>
                <w:sz w:val="20"/>
                <w:szCs w:val="20"/>
              </w:rPr>
            </w:pPr>
            <w:r w:rsidRPr="008F265F">
              <w:rPr>
                <w:rFonts w:ascii="Arial" w:hAnsi="Arial" w:cs="Arial"/>
                <w:sz w:val="20"/>
                <w:szCs w:val="20"/>
              </w:rPr>
              <w:t>SFDR8_26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C38A07F" w14:textId="0A066D36" w:rsidR="00FA2E69" w:rsidRPr="008F265F" w:rsidRDefault="00FA2E69" w:rsidP="00630B28">
            <w:pPr>
              <w:rPr>
                <w:rFonts w:ascii="Arial" w:hAnsi="Arial" w:cs="Arial"/>
                <w:sz w:val="20"/>
                <w:szCs w:val="20"/>
              </w:rPr>
            </w:pPr>
            <w:r w:rsidRPr="008F265F">
              <w:rPr>
                <w:rFonts w:ascii="Arial" w:hAnsi="Arial" w:cs="Arial"/>
                <w:sz w:val="20"/>
                <w:szCs w:val="20"/>
              </w:rPr>
              <w:t xml:space="preserve">A nyersanyagként felhasznált építőanyagok (a visszanyert, </w:t>
            </w:r>
            <w:proofErr w:type="spellStart"/>
            <w:r w:rsidRPr="008F265F">
              <w:rPr>
                <w:rFonts w:ascii="Arial" w:hAnsi="Arial" w:cs="Arial"/>
                <w:sz w:val="20"/>
                <w:szCs w:val="20"/>
              </w:rPr>
              <w:t>újrafeldolgozott</w:t>
            </w:r>
            <w:proofErr w:type="spellEnd"/>
            <w:r w:rsidRPr="008F265F">
              <w:rPr>
                <w:rFonts w:ascii="Arial" w:hAnsi="Arial" w:cs="Arial"/>
                <w:sz w:val="20"/>
                <w:szCs w:val="20"/>
              </w:rPr>
              <w:t xml:space="preserve"> és </w:t>
            </w:r>
            <w:proofErr w:type="spellStart"/>
            <w:r w:rsidRPr="008F265F">
              <w:rPr>
                <w:rFonts w:ascii="Arial" w:hAnsi="Arial" w:cs="Arial"/>
                <w:sz w:val="20"/>
                <w:szCs w:val="20"/>
              </w:rPr>
              <w:t>bioalapú</w:t>
            </w:r>
            <w:proofErr w:type="spellEnd"/>
            <w:r w:rsidRPr="008F265F">
              <w:rPr>
                <w:rFonts w:ascii="Arial" w:hAnsi="Arial" w:cs="Arial"/>
                <w:sz w:val="20"/>
                <w:szCs w:val="20"/>
              </w:rPr>
              <w:t xml:space="preserve"> építőanyagok kivételével) aránya az új építkezésekhez és nagyobb felújításokhoz felhasznált építőanyagok teljes tömegéhez viszonyítva (%)</w:t>
            </w:r>
          </w:p>
        </w:tc>
      </w:tr>
      <w:tr w:rsidR="008F265F" w:rsidRPr="00854F69" w14:paraId="008FC3DC" w14:textId="77777777" w:rsidTr="00FA2E69">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A0D653C" w14:textId="003981CF" w:rsidR="00FA2E69" w:rsidRPr="008F265F" w:rsidRDefault="00FA2E69" w:rsidP="00630B28">
            <w:pPr>
              <w:rPr>
                <w:rFonts w:ascii="Arial" w:hAnsi="Arial" w:cs="Arial"/>
                <w:sz w:val="20"/>
                <w:szCs w:val="20"/>
              </w:rPr>
            </w:pPr>
            <w:r w:rsidRPr="008F265F">
              <w:rPr>
                <w:rFonts w:ascii="Arial" w:hAnsi="Arial" w:cs="Arial"/>
                <w:sz w:val="20"/>
                <w:szCs w:val="20"/>
              </w:rPr>
              <w:t>SFDR8_27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EF177DA" w14:textId="34E5D4C7" w:rsidR="00FA2E69" w:rsidRPr="008F265F" w:rsidRDefault="00FA2E69" w:rsidP="00630B28">
            <w:pPr>
              <w:rPr>
                <w:rFonts w:ascii="Arial" w:hAnsi="Arial" w:cs="Arial"/>
                <w:sz w:val="20"/>
                <w:szCs w:val="20"/>
              </w:rPr>
            </w:pPr>
            <w:r w:rsidRPr="008F265F">
              <w:rPr>
                <w:rFonts w:ascii="Arial" w:hAnsi="Arial" w:cs="Arial"/>
                <w:sz w:val="20"/>
                <w:szCs w:val="20"/>
              </w:rPr>
              <w:t>A vegetáció nélküli területeknek (a földfelszínen, valamint a tetőkön, teraszokon és falakon növényzettel nem borított felületeknek) az összes ingatlaneszköz teljes telekterületéhez viszonyított aránya (%)</w:t>
            </w:r>
          </w:p>
        </w:tc>
      </w:tr>
    </w:tbl>
    <w:p w14:paraId="16080883" w14:textId="77777777" w:rsidR="009F41C5" w:rsidRPr="00E840AE" w:rsidRDefault="009F41C5" w:rsidP="00E840AE">
      <w:pPr>
        <w:autoSpaceDE w:val="0"/>
        <w:autoSpaceDN w:val="0"/>
        <w:adjustRightInd w:val="0"/>
        <w:jc w:val="both"/>
        <w:rPr>
          <w:rFonts w:ascii="Arial" w:eastAsia="Calibri" w:hAnsi="Arial" w:cs="Arial"/>
          <w:sz w:val="20"/>
          <w:szCs w:val="20"/>
        </w:rPr>
      </w:pPr>
    </w:p>
    <w:p w14:paraId="2643A4C5" w14:textId="16FC80B6" w:rsidR="00FA2E69" w:rsidRDefault="00FA2E69" w:rsidP="00FA2E69">
      <w:pPr>
        <w:jc w:val="both"/>
        <w:rPr>
          <w:rFonts w:ascii="Arial" w:hAnsi="Arial" w:cs="Arial"/>
          <w:sz w:val="20"/>
          <w:szCs w:val="20"/>
        </w:rPr>
      </w:pPr>
      <w:r>
        <w:rPr>
          <w:rFonts w:ascii="Arial" w:hAnsi="Arial" w:cs="Arial"/>
          <w:sz w:val="20"/>
          <w:szCs w:val="20"/>
        </w:rPr>
        <w:t>SFDR_2 kódlista:</w:t>
      </w:r>
    </w:p>
    <w:p w14:paraId="6017A7DC" w14:textId="77777777" w:rsidR="00FA2E69" w:rsidRDefault="00FA2E69" w:rsidP="00FA2E69">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1261"/>
        <w:gridCol w:w="7655"/>
      </w:tblGrid>
      <w:tr w:rsidR="008F265F" w:rsidRPr="00854F69" w14:paraId="38F0364B" w14:textId="77777777" w:rsidTr="00630B28">
        <w:trPr>
          <w:trHeight w:val="300"/>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49F9AE2" w14:textId="77777777" w:rsidR="00FA2E69" w:rsidRPr="00854F69" w:rsidRDefault="00FA2E69" w:rsidP="00630B28">
            <w:pPr>
              <w:jc w:val="center"/>
              <w:rPr>
                <w:rFonts w:ascii="Arial" w:hAnsi="Arial" w:cs="Arial"/>
                <w:b/>
                <w:bCs/>
                <w:sz w:val="20"/>
                <w:szCs w:val="20"/>
              </w:rPr>
            </w:pPr>
            <w:r w:rsidRPr="00854F69">
              <w:rPr>
                <w:rFonts w:ascii="Arial" w:hAnsi="Arial" w:cs="Arial"/>
                <w:b/>
                <w:bCs/>
                <w:sz w:val="20"/>
                <w:szCs w:val="20"/>
              </w:rPr>
              <w:t>Kódkészlet</w:t>
            </w:r>
          </w:p>
        </w:tc>
        <w:tc>
          <w:tcPr>
            <w:tcW w:w="7655" w:type="dxa"/>
            <w:tcBorders>
              <w:top w:val="single" w:sz="12" w:space="0" w:color="auto"/>
              <w:left w:val="nil"/>
              <w:bottom w:val="single" w:sz="12" w:space="0" w:color="auto"/>
              <w:right w:val="single" w:sz="12" w:space="0" w:color="auto"/>
            </w:tcBorders>
            <w:shd w:val="clear" w:color="auto" w:fill="auto"/>
            <w:vAlign w:val="center"/>
            <w:hideMark/>
          </w:tcPr>
          <w:p w14:paraId="2A05BB53" w14:textId="77777777" w:rsidR="00FA2E69" w:rsidRPr="00854F69" w:rsidRDefault="00FA2E69" w:rsidP="00630B28">
            <w:pPr>
              <w:jc w:val="center"/>
              <w:rPr>
                <w:rFonts w:ascii="Arial" w:hAnsi="Arial" w:cs="Arial"/>
                <w:b/>
                <w:bCs/>
                <w:sz w:val="20"/>
                <w:szCs w:val="20"/>
              </w:rPr>
            </w:pPr>
            <w:r w:rsidRPr="00854F69">
              <w:rPr>
                <w:rFonts w:ascii="Arial" w:hAnsi="Arial" w:cs="Arial"/>
                <w:b/>
                <w:bCs/>
                <w:sz w:val="20"/>
                <w:szCs w:val="20"/>
              </w:rPr>
              <w:t>Megnevezés</w:t>
            </w:r>
          </w:p>
        </w:tc>
      </w:tr>
      <w:tr w:rsidR="008F265F" w:rsidRPr="00854F69" w14:paraId="0A038157"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725FBE99" w14:textId="4954F417" w:rsidR="00FA2E69" w:rsidRPr="008F265F" w:rsidRDefault="00FA2E69" w:rsidP="00630B28">
            <w:pPr>
              <w:rPr>
                <w:rFonts w:ascii="Arial" w:hAnsi="Arial" w:cs="Arial"/>
                <w:sz w:val="20"/>
                <w:szCs w:val="20"/>
              </w:rPr>
            </w:pPr>
            <w:r w:rsidRPr="008F265F">
              <w:rPr>
                <w:rFonts w:ascii="Arial" w:hAnsi="Arial" w:cs="Arial"/>
                <w:sz w:val="20"/>
                <w:szCs w:val="20"/>
              </w:rPr>
              <w:t>SFDR9_1</w:t>
            </w:r>
          </w:p>
        </w:tc>
        <w:tc>
          <w:tcPr>
            <w:tcW w:w="7655" w:type="dxa"/>
            <w:tcBorders>
              <w:top w:val="nil"/>
              <w:left w:val="nil"/>
              <w:bottom w:val="single" w:sz="12" w:space="0" w:color="auto"/>
              <w:right w:val="single" w:sz="12" w:space="0" w:color="auto"/>
            </w:tcBorders>
            <w:shd w:val="clear" w:color="auto" w:fill="auto"/>
            <w:vAlign w:val="center"/>
          </w:tcPr>
          <w:p w14:paraId="5E1FEE3D" w14:textId="02002543" w:rsidR="00FA2E69" w:rsidRPr="00854F69" w:rsidRDefault="00FA2E69" w:rsidP="00630B28">
            <w:pPr>
              <w:rPr>
                <w:rFonts w:ascii="Arial" w:hAnsi="Arial" w:cs="Arial"/>
                <w:sz w:val="20"/>
                <w:szCs w:val="20"/>
              </w:rPr>
            </w:pPr>
            <w:r w:rsidRPr="00854F69">
              <w:rPr>
                <w:rFonts w:ascii="Arial" w:hAnsi="Arial" w:cs="Arial"/>
                <w:sz w:val="20"/>
                <w:szCs w:val="20"/>
              </w:rPr>
              <w:t>Munkahelyibaleset-megelőzési politikát nem alkalmazó befektetést befogadó vállalkozásokba eszközölt befektetések aránya (%)</w:t>
            </w:r>
          </w:p>
        </w:tc>
      </w:tr>
      <w:tr w:rsidR="008F265F" w:rsidRPr="00854F69" w14:paraId="21EE43B2"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43859EA7" w14:textId="293E24DE" w:rsidR="00FA2E69" w:rsidRPr="008F265F" w:rsidRDefault="00FA2E69" w:rsidP="00630B28">
            <w:pPr>
              <w:rPr>
                <w:rFonts w:ascii="Arial" w:hAnsi="Arial" w:cs="Arial"/>
                <w:sz w:val="20"/>
                <w:szCs w:val="20"/>
              </w:rPr>
            </w:pPr>
            <w:r w:rsidRPr="008F265F">
              <w:rPr>
                <w:rFonts w:ascii="Arial" w:hAnsi="Arial" w:cs="Arial"/>
                <w:sz w:val="20"/>
                <w:szCs w:val="20"/>
              </w:rPr>
              <w:t>SFDR9_2</w:t>
            </w:r>
          </w:p>
        </w:tc>
        <w:tc>
          <w:tcPr>
            <w:tcW w:w="7655" w:type="dxa"/>
            <w:tcBorders>
              <w:top w:val="nil"/>
              <w:left w:val="nil"/>
              <w:bottom w:val="single" w:sz="12" w:space="0" w:color="auto"/>
              <w:right w:val="single" w:sz="12" w:space="0" w:color="auto"/>
            </w:tcBorders>
            <w:shd w:val="clear" w:color="auto" w:fill="auto"/>
            <w:vAlign w:val="center"/>
          </w:tcPr>
          <w:p w14:paraId="78244169" w14:textId="0E394CAF" w:rsidR="00FA2E69" w:rsidRPr="00854F69" w:rsidRDefault="00FA2E69" w:rsidP="00630B28">
            <w:pPr>
              <w:rPr>
                <w:rFonts w:ascii="Arial" w:hAnsi="Arial" w:cs="Arial"/>
                <w:sz w:val="20"/>
                <w:szCs w:val="20"/>
              </w:rPr>
            </w:pPr>
            <w:r w:rsidRPr="00854F69">
              <w:rPr>
                <w:rFonts w:ascii="Arial" w:hAnsi="Arial" w:cs="Arial"/>
                <w:sz w:val="20"/>
                <w:szCs w:val="20"/>
              </w:rPr>
              <w:t>A befektetést befogadó vállalkozásoknál bekövetkezett balesetek aránya súlyozott átlagként kifejezve (%)</w:t>
            </w:r>
          </w:p>
        </w:tc>
      </w:tr>
      <w:tr w:rsidR="008F265F" w:rsidRPr="00854F69" w14:paraId="2963CB86"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4CA7C287" w14:textId="68E495F3" w:rsidR="00FA2E69" w:rsidRPr="008F265F" w:rsidRDefault="00FA2E69" w:rsidP="00630B28">
            <w:pPr>
              <w:rPr>
                <w:rFonts w:ascii="Arial" w:hAnsi="Arial" w:cs="Arial"/>
                <w:sz w:val="20"/>
                <w:szCs w:val="20"/>
              </w:rPr>
            </w:pPr>
            <w:r w:rsidRPr="008F265F">
              <w:rPr>
                <w:rFonts w:ascii="Arial" w:hAnsi="Arial" w:cs="Arial"/>
                <w:sz w:val="20"/>
                <w:szCs w:val="20"/>
              </w:rPr>
              <w:t>SFDR9_3</w:t>
            </w:r>
          </w:p>
        </w:tc>
        <w:tc>
          <w:tcPr>
            <w:tcW w:w="7655" w:type="dxa"/>
            <w:tcBorders>
              <w:top w:val="nil"/>
              <w:left w:val="nil"/>
              <w:bottom w:val="single" w:sz="12" w:space="0" w:color="auto"/>
              <w:right w:val="single" w:sz="12" w:space="0" w:color="auto"/>
            </w:tcBorders>
            <w:shd w:val="clear" w:color="auto" w:fill="auto"/>
            <w:vAlign w:val="center"/>
          </w:tcPr>
          <w:p w14:paraId="5ADE9E17" w14:textId="0BB2C90E" w:rsidR="00FA2E69" w:rsidRPr="00854F69" w:rsidRDefault="00FA2E69" w:rsidP="00630B28">
            <w:pPr>
              <w:rPr>
                <w:rFonts w:ascii="Arial" w:hAnsi="Arial" w:cs="Arial"/>
                <w:sz w:val="20"/>
                <w:szCs w:val="20"/>
              </w:rPr>
            </w:pPr>
            <w:r w:rsidRPr="00854F69">
              <w:rPr>
                <w:rFonts w:ascii="Arial" w:hAnsi="Arial" w:cs="Arial"/>
                <w:sz w:val="20"/>
                <w:szCs w:val="20"/>
              </w:rPr>
              <w:t>A befektetést befogadó vállalkozásoknál sérülés, baleset, haláleset vagy betegség miatt elveszett munkanapok száma súlyozott átlagban kifejezve (számérték)</w:t>
            </w:r>
          </w:p>
        </w:tc>
      </w:tr>
      <w:tr w:rsidR="008F265F" w:rsidRPr="00854F69" w14:paraId="1A4EAB30"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74838E1F" w14:textId="0264B927" w:rsidR="00FA2E69" w:rsidRPr="008F265F" w:rsidRDefault="00FA2E69" w:rsidP="00630B28">
            <w:pPr>
              <w:rPr>
                <w:rFonts w:ascii="Arial" w:hAnsi="Arial" w:cs="Arial"/>
                <w:sz w:val="20"/>
                <w:szCs w:val="20"/>
              </w:rPr>
            </w:pPr>
            <w:r w:rsidRPr="008F265F">
              <w:rPr>
                <w:rFonts w:ascii="Arial" w:hAnsi="Arial" w:cs="Arial"/>
                <w:sz w:val="20"/>
                <w:szCs w:val="20"/>
              </w:rPr>
              <w:t>SFDR9_4</w:t>
            </w:r>
          </w:p>
        </w:tc>
        <w:tc>
          <w:tcPr>
            <w:tcW w:w="7655" w:type="dxa"/>
            <w:tcBorders>
              <w:top w:val="nil"/>
              <w:left w:val="nil"/>
              <w:bottom w:val="single" w:sz="12" w:space="0" w:color="auto"/>
              <w:right w:val="single" w:sz="12" w:space="0" w:color="auto"/>
            </w:tcBorders>
            <w:shd w:val="clear" w:color="auto" w:fill="auto"/>
            <w:vAlign w:val="center"/>
          </w:tcPr>
          <w:p w14:paraId="75F02F2C" w14:textId="4B4F825C" w:rsidR="00FA2E69" w:rsidRPr="00854F69" w:rsidRDefault="00FA2E69" w:rsidP="00630B28">
            <w:pPr>
              <w:rPr>
                <w:rFonts w:ascii="Arial" w:hAnsi="Arial" w:cs="Arial"/>
                <w:sz w:val="20"/>
                <w:szCs w:val="20"/>
              </w:rPr>
            </w:pPr>
            <w:r w:rsidRPr="00854F69">
              <w:rPr>
                <w:rFonts w:ascii="Arial" w:hAnsi="Arial" w:cs="Arial"/>
                <w:sz w:val="20"/>
                <w:szCs w:val="20"/>
              </w:rPr>
              <w:t>A nem biztonságos munkakörülmények, a bizonytalan foglalkoztatás, a gyermekmunka és a kényszermunka ellen kidolgozott, beszállítókra vonatkozó magatartási kódexszel nem rendelkező befektetést befogadó vállalkozásokba eszközölt befektések aránya (%)</w:t>
            </w:r>
          </w:p>
        </w:tc>
      </w:tr>
      <w:tr w:rsidR="008F265F" w:rsidRPr="00854F69" w14:paraId="164A7D6E"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570A222F" w14:textId="4B05D658" w:rsidR="00FA2E69" w:rsidRPr="008F265F" w:rsidRDefault="00FA2E69" w:rsidP="00630B28">
            <w:pPr>
              <w:rPr>
                <w:rFonts w:ascii="Arial" w:hAnsi="Arial" w:cs="Arial"/>
                <w:sz w:val="20"/>
                <w:szCs w:val="20"/>
              </w:rPr>
            </w:pPr>
            <w:r w:rsidRPr="008F265F">
              <w:rPr>
                <w:rFonts w:ascii="Arial" w:hAnsi="Arial" w:cs="Arial"/>
                <w:sz w:val="20"/>
                <w:szCs w:val="20"/>
              </w:rPr>
              <w:t>SFDR9_5</w:t>
            </w:r>
          </w:p>
        </w:tc>
        <w:tc>
          <w:tcPr>
            <w:tcW w:w="7655" w:type="dxa"/>
            <w:tcBorders>
              <w:top w:val="nil"/>
              <w:left w:val="nil"/>
              <w:bottom w:val="single" w:sz="12" w:space="0" w:color="auto"/>
              <w:right w:val="single" w:sz="12" w:space="0" w:color="auto"/>
            </w:tcBorders>
            <w:shd w:val="clear" w:color="auto" w:fill="auto"/>
            <w:vAlign w:val="center"/>
          </w:tcPr>
          <w:p w14:paraId="3ACE456F" w14:textId="17423D6E" w:rsidR="00FA2E69" w:rsidRPr="008F265F" w:rsidRDefault="00FA2E69" w:rsidP="00630B28">
            <w:pPr>
              <w:rPr>
                <w:rFonts w:ascii="Arial" w:hAnsi="Arial" w:cs="Arial"/>
                <w:sz w:val="20"/>
                <w:szCs w:val="20"/>
              </w:rPr>
            </w:pPr>
            <w:r w:rsidRPr="008F265F">
              <w:rPr>
                <w:rFonts w:ascii="Arial" w:hAnsi="Arial" w:cs="Arial"/>
                <w:sz w:val="20"/>
                <w:szCs w:val="20"/>
              </w:rPr>
              <w:t>A munkavállalói ügyekkel kapcsolatos panaszkezelési mechanizmussal nem rendelkező befektetést befogadó vállalkozásokba eszközölt befektetések aránya (%)</w:t>
            </w:r>
          </w:p>
        </w:tc>
      </w:tr>
      <w:tr w:rsidR="008F265F" w:rsidRPr="00854F69" w14:paraId="20EF02D7" w14:textId="77777777" w:rsidTr="00630B28">
        <w:trPr>
          <w:trHeight w:val="272"/>
        </w:trPr>
        <w:tc>
          <w:tcPr>
            <w:tcW w:w="1261" w:type="dxa"/>
            <w:tcBorders>
              <w:top w:val="nil"/>
              <w:left w:val="single" w:sz="12" w:space="0" w:color="auto"/>
              <w:bottom w:val="single" w:sz="12" w:space="0" w:color="auto"/>
              <w:right w:val="single" w:sz="12" w:space="0" w:color="auto"/>
            </w:tcBorders>
            <w:shd w:val="clear" w:color="auto" w:fill="auto"/>
            <w:vAlign w:val="center"/>
          </w:tcPr>
          <w:p w14:paraId="42BAB117" w14:textId="0376C725" w:rsidR="00FA2E69" w:rsidRPr="008F265F" w:rsidRDefault="00FA2E69" w:rsidP="00630B28">
            <w:pPr>
              <w:rPr>
                <w:rFonts w:ascii="Arial" w:hAnsi="Arial" w:cs="Arial"/>
                <w:sz w:val="20"/>
                <w:szCs w:val="20"/>
              </w:rPr>
            </w:pPr>
            <w:r w:rsidRPr="008F265F">
              <w:rPr>
                <w:rFonts w:ascii="Arial" w:hAnsi="Arial" w:cs="Arial"/>
                <w:sz w:val="20"/>
                <w:szCs w:val="20"/>
              </w:rPr>
              <w:t>SFDR9_6</w:t>
            </w:r>
          </w:p>
        </w:tc>
        <w:tc>
          <w:tcPr>
            <w:tcW w:w="7655" w:type="dxa"/>
            <w:tcBorders>
              <w:top w:val="nil"/>
              <w:left w:val="nil"/>
              <w:bottom w:val="single" w:sz="12" w:space="0" w:color="auto"/>
              <w:right w:val="single" w:sz="12" w:space="0" w:color="auto"/>
            </w:tcBorders>
            <w:shd w:val="clear" w:color="auto" w:fill="auto"/>
            <w:vAlign w:val="center"/>
          </w:tcPr>
          <w:p w14:paraId="0F2887D0" w14:textId="42F3B409" w:rsidR="00FA2E69" w:rsidRPr="008F265F" w:rsidRDefault="00FA2E69" w:rsidP="00630B28">
            <w:pPr>
              <w:rPr>
                <w:rFonts w:ascii="Arial" w:hAnsi="Arial" w:cs="Arial"/>
                <w:sz w:val="20"/>
                <w:szCs w:val="20"/>
              </w:rPr>
            </w:pPr>
            <w:r w:rsidRPr="008F265F">
              <w:rPr>
                <w:rFonts w:ascii="Arial" w:hAnsi="Arial" w:cs="Arial"/>
                <w:sz w:val="20"/>
                <w:szCs w:val="20"/>
              </w:rPr>
              <w:t>A visszaélést bejelentő személyek védelmére vonatkozó politikát nem alkalmazó szervezetekbe eszközölt befektetések aránya (%)</w:t>
            </w:r>
          </w:p>
        </w:tc>
      </w:tr>
      <w:tr w:rsidR="008F265F" w:rsidRPr="00854F69" w14:paraId="439950E9"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C4CC880" w14:textId="2B909BBC" w:rsidR="00FA2E69" w:rsidRPr="008F265F" w:rsidRDefault="00FA2E69" w:rsidP="00630B28">
            <w:pPr>
              <w:rPr>
                <w:rFonts w:ascii="Arial" w:hAnsi="Arial" w:cs="Arial"/>
                <w:sz w:val="20"/>
                <w:szCs w:val="20"/>
              </w:rPr>
            </w:pPr>
            <w:r w:rsidRPr="008F265F">
              <w:rPr>
                <w:rFonts w:ascii="Arial" w:hAnsi="Arial" w:cs="Arial"/>
                <w:sz w:val="20"/>
                <w:szCs w:val="20"/>
              </w:rPr>
              <w:t>SFDR9_7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78B49A88" w14:textId="7430DC40" w:rsidR="00FA2E69" w:rsidRPr="008F265F" w:rsidRDefault="00FA2E69" w:rsidP="00630B28">
            <w:pPr>
              <w:rPr>
                <w:rFonts w:ascii="Arial" w:hAnsi="Arial" w:cs="Arial"/>
                <w:sz w:val="20"/>
                <w:szCs w:val="20"/>
              </w:rPr>
            </w:pPr>
            <w:r w:rsidRPr="008F265F">
              <w:rPr>
                <w:rFonts w:ascii="Arial" w:hAnsi="Arial" w:cs="Arial"/>
                <w:sz w:val="20"/>
                <w:szCs w:val="20"/>
              </w:rPr>
              <w:t>A befektetést befogadó vállalkozásoknál jelentett hátrányos megkülönböztetési esetek száma súlyozott átlagként kifejezve (számérték)</w:t>
            </w:r>
          </w:p>
        </w:tc>
      </w:tr>
      <w:tr w:rsidR="008F265F" w:rsidRPr="00854F69" w14:paraId="229CE064"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BC1DE12" w14:textId="68E0D353" w:rsidR="00FA2E69" w:rsidRPr="008F265F" w:rsidRDefault="00FA2E69" w:rsidP="00630B28">
            <w:pPr>
              <w:rPr>
                <w:rFonts w:ascii="Arial" w:hAnsi="Arial" w:cs="Arial"/>
                <w:sz w:val="20"/>
                <w:szCs w:val="20"/>
              </w:rPr>
            </w:pPr>
            <w:r w:rsidRPr="008F265F">
              <w:rPr>
                <w:rFonts w:ascii="Arial" w:hAnsi="Arial" w:cs="Arial"/>
                <w:sz w:val="20"/>
                <w:szCs w:val="20"/>
              </w:rPr>
              <w:t>SFDR9_8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7715A2B" w14:textId="26C50521" w:rsidR="00FA2E69" w:rsidRPr="008F265F" w:rsidRDefault="00FA2E69" w:rsidP="00630B28">
            <w:pPr>
              <w:rPr>
                <w:rFonts w:ascii="Arial" w:hAnsi="Arial" w:cs="Arial"/>
                <w:sz w:val="20"/>
                <w:szCs w:val="20"/>
              </w:rPr>
            </w:pPr>
            <w:r w:rsidRPr="008F265F">
              <w:rPr>
                <w:rFonts w:ascii="Arial" w:hAnsi="Arial" w:cs="Arial"/>
                <w:sz w:val="20"/>
                <w:szCs w:val="20"/>
              </w:rPr>
              <w:t>A befektetést befogadó vállalkozásokkal szembeni szankciókhoz vezető hátrányos megkülönböztetési esetek száma súlyozott átlagként kifejezve (számérték)</w:t>
            </w:r>
          </w:p>
        </w:tc>
      </w:tr>
      <w:tr w:rsidR="008F265F" w:rsidRPr="00854F69" w14:paraId="19DAD04F"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7591BB7" w14:textId="4350C7CD" w:rsidR="00FA2E69" w:rsidRPr="008F265F" w:rsidRDefault="00FA2E69" w:rsidP="00630B28">
            <w:pPr>
              <w:rPr>
                <w:rFonts w:ascii="Arial" w:hAnsi="Arial" w:cs="Arial"/>
                <w:sz w:val="20"/>
                <w:szCs w:val="20"/>
              </w:rPr>
            </w:pPr>
            <w:r w:rsidRPr="008F265F">
              <w:rPr>
                <w:rFonts w:ascii="Arial" w:hAnsi="Arial" w:cs="Arial"/>
                <w:sz w:val="20"/>
                <w:szCs w:val="20"/>
              </w:rPr>
              <w:t>SFDR9_9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0892EF2" w14:textId="20C70FD0" w:rsidR="00FA2E69" w:rsidRPr="008F265F" w:rsidRDefault="00FA2E69" w:rsidP="00630B28">
            <w:pPr>
              <w:rPr>
                <w:rFonts w:ascii="Arial" w:hAnsi="Arial" w:cs="Arial"/>
                <w:sz w:val="20"/>
                <w:szCs w:val="20"/>
              </w:rPr>
            </w:pPr>
            <w:r w:rsidRPr="008F265F">
              <w:rPr>
                <w:rFonts w:ascii="Arial" w:hAnsi="Arial" w:cs="Arial"/>
                <w:sz w:val="20"/>
                <w:szCs w:val="20"/>
              </w:rPr>
              <w:t>A legmagasabb javadalmazásban részesülő egyén éves teljes javadalmazásának az összes munkavállaló (a legmagasabb javadalmazásban részesülő egyén nélkül számított) éves medián összjövedelméhez viszonyított átlagos aránya (%)</w:t>
            </w:r>
          </w:p>
        </w:tc>
      </w:tr>
      <w:tr w:rsidR="008F265F" w:rsidRPr="00854F69" w14:paraId="493EBD1E"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A762ABB" w14:textId="7214F41F" w:rsidR="00FA2E69" w:rsidRPr="008F265F" w:rsidRDefault="00FA2E69" w:rsidP="00630B28">
            <w:pPr>
              <w:rPr>
                <w:rFonts w:ascii="Arial" w:hAnsi="Arial" w:cs="Arial"/>
                <w:sz w:val="20"/>
                <w:szCs w:val="20"/>
              </w:rPr>
            </w:pPr>
            <w:r w:rsidRPr="008F265F">
              <w:rPr>
                <w:rFonts w:ascii="Arial" w:hAnsi="Arial" w:cs="Arial"/>
                <w:sz w:val="20"/>
                <w:szCs w:val="20"/>
              </w:rPr>
              <w:lastRenderedPageBreak/>
              <w:t>SFDR9_10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2524571" w14:textId="7A5A3037" w:rsidR="00FA2E69" w:rsidRPr="008F265F" w:rsidRDefault="00FA2E69" w:rsidP="00630B28">
            <w:pPr>
              <w:rPr>
                <w:rFonts w:ascii="Arial" w:hAnsi="Arial" w:cs="Arial"/>
                <w:sz w:val="20"/>
                <w:szCs w:val="20"/>
              </w:rPr>
            </w:pPr>
            <w:r w:rsidRPr="008F265F">
              <w:rPr>
                <w:rFonts w:ascii="Arial" w:hAnsi="Arial" w:cs="Arial"/>
                <w:sz w:val="20"/>
                <w:szCs w:val="20"/>
              </w:rPr>
              <w:t>Az emberi jogi politikával nem rendelkező szervezetekbe eszközölt befektetések aránya (%)</w:t>
            </w:r>
          </w:p>
        </w:tc>
      </w:tr>
      <w:tr w:rsidR="008F265F" w:rsidRPr="00854F69" w14:paraId="33154F31"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6EA032A" w14:textId="765E5C0E" w:rsidR="00FA2E69" w:rsidRPr="008F265F" w:rsidRDefault="00FA2E69" w:rsidP="00630B28">
            <w:pPr>
              <w:rPr>
                <w:rFonts w:ascii="Arial" w:hAnsi="Arial" w:cs="Arial"/>
                <w:sz w:val="20"/>
                <w:szCs w:val="20"/>
              </w:rPr>
            </w:pPr>
            <w:r w:rsidRPr="008F265F">
              <w:rPr>
                <w:rFonts w:ascii="Arial" w:hAnsi="Arial" w:cs="Arial"/>
                <w:sz w:val="20"/>
                <w:szCs w:val="20"/>
              </w:rPr>
              <w:t>SFDR9_11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A881EE0" w14:textId="2C24E78A" w:rsidR="00FA2E69" w:rsidRPr="008F265F" w:rsidRDefault="00FA2E69" w:rsidP="00630B28">
            <w:pPr>
              <w:rPr>
                <w:rFonts w:ascii="Arial" w:hAnsi="Arial" w:cs="Arial"/>
                <w:sz w:val="20"/>
                <w:szCs w:val="20"/>
              </w:rPr>
            </w:pPr>
            <w:r w:rsidRPr="008F265F">
              <w:rPr>
                <w:rFonts w:ascii="Arial" w:hAnsi="Arial" w:cs="Arial"/>
                <w:sz w:val="20"/>
                <w:szCs w:val="20"/>
              </w:rPr>
              <w:t>A káros emberi jogi hatások azonosítására, megelőzésére, enyhítésére és kezelésére irányuló átvilágítási folyamattal nem rendelkező szervezetekbe eszközölt befektetések aránya (%)</w:t>
            </w:r>
          </w:p>
        </w:tc>
      </w:tr>
      <w:tr w:rsidR="008F265F" w:rsidRPr="00854F69" w14:paraId="28535434"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38BE025" w14:textId="5C0048AE" w:rsidR="00FA2E69" w:rsidRPr="008F265F" w:rsidRDefault="00FA2E69" w:rsidP="00630B28">
            <w:pPr>
              <w:rPr>
                <w:rFonts w:ascii="Arial" w:hAnsi="Arial" w:cs="Arial"/>
                <w:sz w:val="20"/>
                <w:szCs w:val="20"/>
              </w:rPr>
            </w:pPr>
            <w:r w:rsidRPr="008F265F">
              <w:rPr>
                <w:rFonts w:ascii="Arial" w:hAnsi="Arial" w:cs="Arial"/>
                <w:sz w:val="20"/>
                <w:szCs w:val="20"/>
              </w:rPr>
              <w:t>SFDR9_12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822C103" w14:textId="52DB1EE7" w:rsidR="00FA2E69" w:rsidRPr="008F265F" w:rsidRDefault="00FA2E69" w:rsidP="00630B28">
            <w:pPr>
              <w:rPr>
                <w:rFonts w:ascii="Arial" w:hAnsi="Arial" w:cs="Arial"/>
                <w:sz w:val="20"/>
                <w:szCs w:val="20"/>
              </w:rPr>
            </w:pPr>
            <w:r w:rsidRPr="008F265F">
              <w:rPr>
                <w:rFonts w:ascii="Arial" w:hAnsi="Arial" w:cs="Arial"/>
                <w:sz w:val="20"/>
                <w:szCs w:val="20"/>
              </w:rPr>
              <w:t>Az emberkereskedelem elleni politikával nem rendelkező befektetést befogadó vállalkozásokba eszközölt befektetések aránya (%)</w:t>
            </w:r>
          </w:p>
        </w:tc>
      </w:tr>
      <w:tr w:rsidR="008F265F" w:rsidRPr="00854F69" w14:paraId="05476273"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FD206A4" w14:textId="05EE7FF7" w:rsidR="00FA2E69" w:rsidRPr="008F265F" w:rsidRDefault="00FA2E69" w:rsidP="00630B28">
            <w:pPr>
              <w:rPr>
                <w:rFonts w:ascii="Arial" w:hAnsi="Arial" w:cs="Arial"/>
                <w:sz w:val="20"/>
                <w:szCs w:val="20"/>
              </w:rPr>
            </w:pPr>
            <w:r w:rsidRPr="008F265F">
              <w:rPr>
                <w:rFonts w:ascii="Arial" w:hAnsi="Arial" w:cs="Arial"/>
                <w:sz w:val="20"/>
                <w:szCs w:val="20"/>
              </w:rPr>
              <w:t>SFDR9_13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7557A73" w14:textId="0AFACB21" w:rsidR="00FA2E69" w:rsidRPr="008F265F" w:rsidRDefault="00FA2E69" w:rsidP="00630B28">
            <w:pPr>
              <w:rPr>
                <w:rFonts w:ascii="Arial" w:hAnsi="Arial" w:cs="Arial"/>
                <w:sz w:val="20"/>
                <w:szCs w:val="20"/>
              </w:rPr>
            </w:pPr>
            <w:r w:rsidRPr="008F265F">
              <w:rPr>
                <w:rFonts w:ascii="Arial" w:hAnsi="Arial" w:cs="Arial"/>
                <w:sz w:val="20"/>
                <w:szCs w:val="20"/>
              </w:rPr>
              <w:t>A földrajzi területek vagy a tevékenység típusa alapján gyermekmunka előfordulása tekintetében jelentős kockázattal járó tevékenységeknek és beszállítóknak kitett befektetést befogadó vállalkozásokba eszközölt befektetések aránya (%)</w:t>
            </w:r>
          </w:p>
        </w:tc>
      </w:tr>
      <w:tr w:rsidR="008F265F" w:rsidRPr="00854F69" w14:paraId="252E13B2"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E9892FF" w14:textId="740CDCA4" w:rsidR="00FA2E69" w:rsidRPr="008F265F" w:rsidRDefault="00FA2E69" w:rsidP="00630B28">
            <w:pPr>
              <w:rPr>
                <w:rFonts w:ascii="Arial" w:hAnsi="Arial" w:cs="Arial"/>
                <w:sz w:val="20"/>
                <w:szCs w:val="20"/>
              </w:rPr>
            </w:pPr>
            <w:r w:rsidRPr="008F265F">
              <w:rPr>
                <w:rFonts w:ascii="Arial" w:hAnsi="Arial" w:cs="Arial"/>
                <w:sz w:val="20"/>
                <w:szCs w:val="20"/>
              </w:rPr>
              <w:t>SFDR9_14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E4C0379" w14:textId="3A237B91" w:rsidR="00FA2E69" w:rsidRPr="008F265F" w:rsidRDefault="00FA2E69" w:rsidP="00630B28">
            <w:pPr>
              <w:rPr>
                <w:rFonts w:ascii="Arial" w:hAnsi="Arial" w:cs="Arial"/>
                <w:sz w:val="20"/>
                <w:szCs w:val="20"/>
              </w:rPr>
            </w:pPr>
            <w:r w:rsidRPr="008F265F">
              <w:rPr>
                <w:rFonts w:ascii="Arial" w:hAnsi="Arial" w:cs="Arial"/>
                <w:sz w:val="20"/>
                <w:szCs w:val="20"/>
              </w:rPr>
              <w:t>A földrajzi területek és/vagy a tevékenység típusa alapján a kényszermunka előfordulása tekintetében jelentős kockázattal járó tevékenységeknek és beszállítóknak kitett befektetést befogadó vállalkozásokba eszközölt befektetések aránya (%)</w:t>
            </w:r>
          </w:p>
        </w:tc>
      </w:tr>
      <w:tr w:rsidR="008F265F" w:rsidRPr="00854F69" w14:paraId="447ABC18"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3B66C3A" w14:textId="5A9A97C8" w:rsidR="00FA2E69" w:rsidRPr="008F265F" w:rsidRDefault="00FA2E69" w:rsidP="00630B28">
            <w:pPr>
              <w:rPr>
                <w:rFonts w:ascii="Arial" w:hAnsi="Arial" w:cs="Arial"/>
                <w:sz w:val="20"/>
                <w:szCs w:val="20"/>
              </w:rPr>
            </w:pPr>
            <w:r w:rsidRPr="008F265F">
              <w:rPr>
                <w:rFonts w:ascii="Arial" w:hAnsi="Arial" w:cs="Arial"/>
                <w:sz w:val="20"/>
                <w:szCs w:val="20"/>
              </w:rPr>
              <w:t>SFDR9_15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862E1BC" w14:textId="5D2A2560" w:rsidR="00FA2E69" w:rsidRPr="008F265F" w:rsidRDefault="00FA2E69" w:rsidP="00630B28">
            <w:pPr>
              <w:rPr>
                <w:rFonts w:ascii="Arial" w:hAnsi="Arial" w:cs="Arial"/>
                <w:sz w:val="20"/>
                <w:szCs w:val="20"/>
              </w:rPr>
            </w:pPr>
            <w:r w:rsidRPr="008F265F">
              <w:rPr>
                <w:rFonts w:ascii="Arial" w:hAnsi="Arial" w:cs="Arial"/>
                <w:sz w:val="20"/>
                <w:szCs w:val="20"/>
              </w:rPr>
              <w:t>A befektetést befogadó vállalkozásokkal kapcsolatos súlyos emberi jogi problémák és incidensek száma súlyozott átlagként kifejezve (számérték)</w:t>
            </w:r>
          </w:p>
        </w:tc>
      </w:tr>
      <w:tr w:rsidR="008F265F" w:rsidRPr="00854F69" w14:paraId="58D9F039"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38EB38B" w14:textId="2A22A2BD" w:rsidR="00FA2E69" w:rsidRPr="008F265F" w:rsidRDefault="00FA2E69" w:rsidP="00630B28">
            <w:pPr>
              <w:rPr>
                <w:rFonts w:ascii="Arial" w:hAnsi="Arial" w:cs="Arial"/>
                <w:sz w:val="20"/>
                <w:szCs w:val="20"/>
              </w:rPr>
            </w:pPr>
            <w:r w:rsidRPr="008F265F">
              <w:rPr>
                <w:rFonts w:ascii="Arial" w:hAnsi="Arial" w:cs="Arial"/>
                <w:sz w:val="20"/>
                <w:szCs w:val="20"/>
              </w:rPr>
              <w:t>SFDR9_16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48AB8A3" w14:textId="0A8BB781" w:rsidR="00FA2E69" w:rsidRPr="008F265F" w:rsidRDefault="00FA2E69" w:rsidP="00630B28">
            <w:pPr>
              <w:rPr>
                <w:rFonts w:ascii="Arial" w:hAnsi="Arial" w:cs="Arial"/>
                <w:sz w:val="20"/>
                <w:szCs w:val="20"/>
              </w:rPr>
            </w:pPr>
            <w:r w:rsidRPr="008F265F">
              <w:rPr>
                <w:rFonts w:ascii="Arial" w:hAnsi="Arial" w:cs="Arial"/>
                <w:sz w:val="20"/>
                <w:szCs w:val="20"/>
              </w:rPr>
              <w:t>Az Egyesült Nemzetek Korrupció elleni egyezményével összhangban álló korrupcióellenes és megvesztegetés elleni politikával nem rendelkező szervezetekbe eszközölt befektetések aránya (%)</w:t>
            </w:r>
          </w:p>
        </w:tc>
      </w:tr>
      <w:tr w:rsidR="008F265F" w:rsidRPr="00854F69" w14:paraId="2DECF825"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BE19E96" w14:textId="6F3F338F" w:rsidR="00FA2E69" w:rsidRPr="008F265F" w:rsidRDefault="00FA2E69" w:rsidP="00630B28">
            <w:pPr>
              <w:rPr>
                <w:rFonts w:ascii="Arial" w:hAnsi="Arial" w:cs="Arial"/>
                <w:sz w:val="20"/>
                <w:szCs w:val="20"/>
              </w:rPr>
            </w:pPr>
            <w:r w:rsidRPr="008F265F">
              <w:rPr>
                <w:rFonts w:ascii="Arial" w:hAnsi="Arial" w:cs="Arial"/>
                <w:sz w:val="20"/>
                <w:szCs w:val="20"/>
              </w:rPr>
              <w:t>SFDR9_17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98DBF33" w14:textId="375A7AB0" w:rsidR="00FA2E69" w:rsidRPr="008F265F" w:rsidRDefault="00FA2E69" w:rsidP="00630B28">
            <w:pPr>
              <w:rPr>
                <w:rFonts w:ascii="Arial" w:hAnsi="Arial" w:cs="Arial"/>
                <w:sz w:val="20"/>
                <w:szCs w:val="20"/>
              </w:rPr>
            </w:pPr>
            <w:r w:rsidRPr="008F265F">
              <w:rPr>
                <w:rFonts w:ascii="Arial" w:hAnsi="Arial" w:cs="Arial"/>
                <w:sz w:val="20"/>
                <w:szCs w:val="20"/>
              </w:rPr>
              <w:t>A korrupció és a megvesztegetés elleni eljárások és standardok megsértése esetén alkalmazott intézkedések tekintetében azonosított hiányossággal rendelkező befektetést befogadó vállalkozásokba eszközölt befektetések aránya (%)</w:t>
            </w:r>
          </w:p>
        </w:tc>
      </w:tr>
      <w:tr w:rsidR="008F265F" w:rsidRPr="00854F69" w14:paraId="5EF85027"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6F87D81" w14:textId="16C6E2AD" w:rsidR="00FA2E69" w:rsidRPr="008F265F" w:rsidRDefault="00FA2E69" w:rsidP="00630B28">
            <w:pPr>
              <w:rPr>
                <w:rFonts w:ascii="Arial" w:hAnsi="Arial" w:cs="Arial"/>
                <w:sz w:val="20"/>
                <w:szCs w:val="20"/>
              </w:rPr>
            </w:pPr>
            <w:r w:rsidRPr="008F265F">
              <w:rPr>
                <w:rFonts w:ascii="Arial" w:hAnsi="Arial" w:cs="Arial"/>
                <w:sz w:val="20"/>
                <w:szCs w:val="20"/>
              </w:rPr>
              <w:t>SFDR9_18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5F3A471" w14:textId="683FBBD1" w:rsidR="00FA2E69" w:rsidRPr="008F265F" w:rsidRDefault="00FA2E69" w:rsidP="00630B28">
            <w:pPr>
              <w:rPr>
                <w:rFonts w:ascii="Arial" w:hAnsi="Arial" w:cs="Arial"/>
                <w:sz w:val="20"/>
                <w:szCs w:val="20"/>
              </w:rPr>
            </w:pPr>
            <w:r w:rsidRPr="008F265F">
              <w:rPr>
                <w:rFonts w:ascii="Arial" w:hAnsi="Arial" w:cs="Arial"/>
                <w:sz w:val="20"/>
                <w:szCs w:val="20"/>
              </w:rPr>
              <w:t>A befektetést befogadó vállalkozások korrupció és vesztegetés elleni jogszabályok megsértésében való bűnösségét megállapító ítéletek száma (számérték)</w:t>
            </w:r>
          </w:p>
        </w:tc>
      </w:tr>
      <w:tr w:rsidR="008F265F" w:rsidRPr="00854F69" w14:paraId="48D7E9A8"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727BE7B" w14:textId="286C8BEA" w:rsidR="00FA2E69" w:rsidRPr="008F265F" w:rsidRDefault="00FA2E69" w:rsidP="00630B28">
            <w:pPr>
              <w:rPr>
                <w:rFonts w:ascii="Arial" w:hAnsi="Arial" w:cs="Arial"/>
                <w:sz w:val="20"/>
                <w:szCs w:val="20"/>
              </w:rPr>
            </w:pPr>
            <w:r w:rsidRPr="008F265F">
              <w:rPr>
                <w:rFonts w:ascii="Arial" w:hAnsi="Arial" w:cs="Arial"/>
                <w:sz w:val="20"/>
                <w:szCs w:val="20"/>
              </w:rPr>
              <w:t>SFDR9_19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AC37E7A" w14:textId="5CC2DCE6" w:rsidR="00FA2E69" w:rsidRPr="008F265F" w:rsidRDefault="00FA2E69" w:rsidP="00630B28">
            <w:pPr>
              <w:rPr>
                <w:rFonts w:ascii="Arial" w:hAnsi="Arial" w:cs="Arial"/>
                <w:sz w:val="20"/>
                <w:szCs w:val="20"/>
              </w:rPr>
            </w:pPr>
            <w:r w:rsidRPr="008F265F">
              <w:rPr>
                <w:rFonts w:ascii="Arial" w:hAnsi="Arial" w:cs="Arial"/>
                <w:sz w:val="20"/>
                <w:szCs w:val="20"/>
              </w:rPr>
              <w:t>A befektetést befogadó vállalkozások korrupció és vesztegetés elleni jogszabályok megsértésében való bűnösségét megállapító ítéletek miatt fizetett bírságok összege (millió EUR)</w:t>
            </w:r>
          </w:p>
        </w:tc>
      </w:tr>
      <w:tr w:rsidR="008F265F" w:rsidRPr="00854F69" w14:paraId="77861074"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E2BBBFB" w14:textId="4ED03ED8" w:rsidR="00FA2E69" w:rsidRPr="008F265F" w:rsidRDefault="00FA2E69" w:rsidP="00630B28">
            <w:pPr>
              <w:rPr>
                <w:rFonts w:ascii="Arial" w:hAnsi="Arial" w:cs="Arial"/>
                <w:sz w:val="20"/>
                <w:szCs w:val="20"/>
              </w:rPr>
            </w:pPr>
            <w:r w:rsidRPr="008F265F">
              <w:rPr>
                <w:rFonts w:ascii="Arial" w:hAnsi="Arial" w:cs="Arial"/>
                <w:sz w:val="20"/>
                <w:szCs w:val="20"/>
              </w:rPr>
              <w:t>SFDR9_20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ED75FE2" w14:textId="5F066ADB" w:rsidR="00FA2E69" w:rsidRPr="008F265F" w:rsidRDefault="00FA2E69" w:rsidP="00630B28">
            <w:pPr>
              <w:rPr>
                <w:rFonts w:ascii="Arial" w:hAnsi="Arial" w:cs="Arial"/>
                <w:sz w:val="20"/>
                <w:szCs w:val="20"/>
              </w:rPr>
            </w:pPr>
            <w:r w:rsidRPr="008F265F">
              <w:rPr>
                <w:rFonts w:ascii="Arial" w:hAnsi="Arial" w:cs="Arial"/>
                <w:sz w:val="20"/>
                <w:szCs w:val="20"/>
              </w:rPr>
              <w:t>A jövedelemeloszlás és a gazdasági egyenlőtlenség egy adott gazdaság szereplői között (számérték)</w:t>
            </w:r>
          </w:p>
        </w:tc>
      </w:tr>
      <w:tr w:rsidR="008F265F" w:rsidRPr="00854F69" w14:paraId="1C78E749"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D322A8C" w14:textId="7BB7CFB4" w:rsidR="00FA2E69" w:rsidRPr="008F265F" w:rsidRDefault="00FA2E69" w:rsidP="00630B28">
            <w:pPr>
              <w:rPr>
                <w:rFonts w:ascii="Arial" w:hAnsi="Arial" w:cs="Arial"/>
                <w:sz w:val="20"/>
                <w:szCs w:val="20"/>
              </w:rPr>
            </w:pPr>
            <w:r w:rsidRPr="008F265F">
              <w:rPr>
                <w:rFonts w:ascii="Arial" w:hAnsi="Arial" w:cs="Arial"/>
                <w:sz w:val="20"/>
                <w:szCs w:val="20"/>
              </w:rPr>
              <w:t>SFDR9_21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897392B" w14:textId="56AB8E95" w:rsidR="00FA2E69" w:rsidRPr="008F265F" w:rsidRDefault="00FA2E69" w:rsidP="00630B28">
            <w:pPr>
              <w:rPr>
                <w:rFonts w:ascii="Arial" w:hAnsi="Arial" w:cs="Arial"/>
                <w:sz w:val="20"/>
                <w:szCs w:val="20"/>
              </w:rPr>
            </w:pPr>
            <w:r w:rsidRPr="008F265F">
              <w:rPr>
                <w:rFonts w:ascii="Arial" w:hAnsi="Arial" w:cs="Arial"/>
                <w:sz w:val="20"/>
                <w:szCs w:val="20"/>
              </w:rPr>
              <w:t>A politikai és civil társadalmi szervezetek működési szabadságának mértéke (számérték)</w:t>
            </w:r>
          </w:p>
        </w:tc>
      </w:tr>
      <w:tr w:rsidR="008F265F" w:rsidRPr="00854F69" w14:paraId="01FF29C8"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54DABFE" w14:textId="1AA85E0B" w:rsidR="00FA2E69" w:rsidRPr="008F265F" w:rsidRDefault="00FA2E69" w:rsidP="00630B28">
            <w:pPr>
              <w:rPr>
                <w:rFonts w:ascii="Arial" w:hAnsi="Arial" w:cs="Arial"/>
                <w:sz w:val="20"/>
                <w:szCs w:val="20"/>
              </w:rPr>
            </w:pPr>
            <w:r w:rsidRPr="008F265F">
              <w:rPr>
                <w:rFonts w:ascii="Arial" w:hAnsi="Arial" w:cs="Arial"/>
                <w:sz w:val="20"/>
                <w:szCs w:val="20"/>
              </w:rPr>
              <w:t>SFDR9_22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FCC0C42" w14:textId="36145E09" w:rsidR="00FA2E69" w:rsidRPr="008F265F" w:rsidRDefault="00FA2E69" w:rsidP="00630B28">
            <w:pPr>
              <w:rPr>
                <w:rFonts w:ascii="Arial" w:hAnsi="Arial" w:cs="Arial"/>
                <w:sz w:val="20"/>
                <w:szCs w:val="20"/>
              </w:rPr>
            </w:pPr>
            <w:r w:rsidRPr="008F265F">
              <w:rPr>
                <w:rFonts w:ascii="Arial" w:hAnsi="Arial" w:cs="Arial"/>
                <w:sz w:val="20"/>
                <w:szCs w:val="20"/>
              </w:rPr>
              <w:t>A befektetést befogadó országok átlagos emberi jogi teljesítményének mérése (számérték)</w:t>
            </w:r>
          </w:p>
        </w:tc>
      </w:tr>
      <w:tr w:rsidR="008F265F" w:rsidRPr="00854F69" w14:paraId="7E15D6DF"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4F27D0D" w14:textId="40F160C6" w:rsidR="00FA2E69" w:rsidRPr="008F265F" w:rsidRDefault="00FA2E69" w:rsidP="00630B28">
            <w:pPr>
              <w:rPr>
                <w:rFonts w:ascii="Arial" w:hAnsi="Arial" w:cs="Arial"/>
                <w:sz w:val="20"/>
                <w:szCs w:val="20"/>
              </w:rPr>
            </w:pPr>
            <w:r w:rsidRPr="008F265F">
              <w:rPr>
                <w:rFonts w:ascii="Arial" w:hAnsi="Arial" w:cs="Arial"/>
                <w:sz w:val="20"/>
                <w:szCs w:val="20"/>
              </w:rPr>
              <w:t>SFDR9_23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5B439AF" w14:textId="53261EB5" w:rsidR="00FA2E69" w:rsidRPr="008F265F" w:rsidRDefault="00FA2E69" w:rsidP="00630B28">
            <w:pPr>
              <w:rPr>
                <w:rFonts w:ascii="Arial" w:hAnsi="Arial" w:cs="Arial"/>
                <w:sz w:val="20"/>
                <w:szCs w:val="20"/>
              </w:rPr>
            </w:pPr>
            <w:r w:rsidRPr="008F265F">
              <w:rPr>
                <w:rFonts w:ascii="Arial" w:hAnsi="Arial" w:cs="Arial"/>
                <w:sz w:val="20"/>
                <w:szCs w:val="20"/>
              </w:rPr>
              <w:t xml:space="preserve">A </w:t>
            </w:r>
            <w:proofErr w:type="spellStart"/>
            <w:r w:rsidRPr="008F265F">
              <w:rPr>
                <w:rFonts w:ascii="Arial" w:hAnsi="Arial" w:cs="Arial"/>
                <w:sz w:val="20"/>
                <w:szCs w:val="20"/>
              </w:rPr>
              <w:t>közszektorbeli</w:t>
            </w:r>
            <w:proofErr w:type="spellEnd"/>
            <w:r w:rsidRPr="008F265F">
              <w:rPr>
                <w:rFonts w:ascii="Arial" w:hAnsi="Arial" w:cs="Arial"/>
                <w:sz w:val="20"/>
                <w:szCs w:val="20"/>
              </w:rPr>
              <w:t xml:space="preserve"> korrupció észlelt szintjének mérése (számérték)</w:t>
            </w:r>
          </w:p>
        </w:tc>
      </w:tr>
      <w:tr w:rsidR="008F265F" w:rsidRPr="00854F69" w14:paraId="75164CAC"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26E12339" w14:textId="1652B8E7" w:rsidR="00FA2E69" w:rsidRPr="008F265F" w:rsidRDefault="00FA2E69" w:rsidP="00630B28">
            <w:pPr>
              <w:rPr>
                <w:rFonts w:ascii="Arial" w:hAnsi="Arial" w:cs="Arial"/>
                <w:sz w:val="20"/>
                <w:szCs w:val="20"/>
              </w:rPr>
            </w:pPr>
            <w:r w:rsidRPr="008F265F">
              <w:rPr>
                <w:rFonts w:ascii="Arial" w:hAnsi="Arial" w:cs="Arial"/>
                <w:sz w:val="20"/>
                <w:szCs w:val="20"/>
              </w:rPr>
              <w:t>SFDR9_24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610FF13" w14:textId="534C7EBC" w:rsidR="00FA2E69" w:rsidRPr="008F265F" w:rsidRDefault="00FA2E69" w:rsidP="00630B28">
            <w:pPr>
              <w:rPr>
                <w:rFonts w:ascii="Arial" w:hAnsi="Arial" w:cs="Arial"/>
                <w:sz w:val="20"/>
                <w:szCs w:val="20"/>
              </w:rPr>
            </w:pPr>
            <w:r w:rsidRPr="008F265F">
              <w:rPr>
                <w:rFonts w:ascii="Arial" w:hAnsi="Arial" w:cs="Arial"/>
                <w:sz w:val="20"/>
                <w:szCs w:val="20"/>
              </w:rPr>
              <w:t>Az adózási szempontból nem együttműködő országok és területek európai uniós jegyzékében szereplő országokban és területeken eszközölt befektetések aránya (%)</w:t>
            </w:r>
          </w:p>
        </w:tc>
      </w:tr>
      <w:tr w:rsidR="008F265F" w:rsidRPr="00854F69" w14:paraId="17244FBA"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3885B57" w14:textId="0C45AE63" w:rsidR="00FA2E69" w:rsidRPr="008F265F" w:rsidRDefault="00FA2E69" w:rsidP="00630B28">
            <w:pPr>
              <w:rPr>
                <w:rFonts w:ascii="Arial" w:hAnsi="Arial" w:cs="Arial"/>
                <w:sz w:val="20"/>
                <w:szCs w:val="20"/>
              </w:rPr>
            </w:pPr>
            <w:r w:rsidRPr="008F265F">
              <w:rPr>
                <w:rFonts w:ascii="Arial" w:hAnsi="Arial" w:cs="Arial"/>
                <w:sz w:val="20"/>
                <w:szCs w:val="20"/>
              </w:rPr>
              <w:t>SFDR9_25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5125185C" w14:textId="6AEFCD29" w:rsidR="00FA2E69" w:rsidRPr="008F265F" w:rsidRDefault="00FA2E69" w:rsidP="00630B28">
            <w:pPr>
              <w:rPr>
                <w:rFonts w:ascii="Arial" w:hAnsi="Arial" w:cs="Arial"/>
                <w:sz w:val="20"/>
                <w:szCs w:val="20"/>
              </w:rPr>
            </w:pPr>
            <w:r w:rsidRPr="008F265F">
              <w:rPr>
                <w:rFonts w:ascii="Arial" w:hAnsi="Arial" w:cs="Arial"/>
                <w:sz w:val="20"/>
                <w:szCs w:val="20"/>
              </w:rPr>
              <w:t>A jelenlegi rendszer erőszak általi megdöntése valószínűségének mérése (%)</w:t>
            </w:r>
          </w:p>
        </w:tc>
      </w:tr>
      <w:tr w:rsidR="008F265F" w:rsidRPr="00854F69" w14:paraId="11801CB0"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7133EED" w14:textId="19171D4B" w:rsidR="00FA2E69" w:rsidRPr="008F265F" w:rsidRDefault="00FA2E69" w:rsidP="00630B28">
            <w:pPr>
              <w:rPr>
                <w:rFonts w:ascii="Arial" w:hAnsi="Arial" w:cs="Arial"/>
                <w:sz w:val="20"/>
                <w:szCs w:val="20"/>
              </w:rPr>
            </w:pPr>
            <w:r w:rsidRPr="008F265F">
              <w:rPr>
                <w:rFonts w:ascii="Arial" w:hAnsi="Arial" w:cs="Arial"/>
                <w:sz w:val="20"/>
                <w:szCs w:val="20"/>
              </w:rPr>
              <w:t>SFDR9_26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861F851" w14:textId="7F7A0B9B" w:rsidR="00FA2E69" w:rsidRPr="008F265F" w:rsidRDefault="00FA2E69" w:rsidP="00630B28">
            <w:pPr>
              <w:rPr>
                <w:rFonts w:ascii="Arial" w:hAnsi="Arial" w:cs="Arial"/>
                <w:sz w:val="20"/>
                <w:szCs w:val="20"/>
              </w:rPr>
            </w:pPr>
            <w:r w:rsidRPr="008F265F">
              <w:rPr>
                <w:rFonts w:ascii="Arial" w:hAnsi="Arial" w:cs="Arial"/>
                <w:sz w:val="20"/>
                <w:szCs w:val="20"/>
              </w:rPr>
              <w:t>A korrupció szintjének, az alapvető jogok hiányának, valamint a polgári és büntető igazságszolgáltatás hiányosságainak mérése (számérték)</w:t>
            </w:r>
          </w:p>
        </w:tc>
      </w:tr>
    </w:tbl>
    <w:p w14:paraId="10731F44" w14:textId="77777777" w:rsidR="00FA2E69" w:rsidRPr="00D24BF5" w:rsidRDefault="00FA2E69" w:rsidP="008C464E">
      <w:pPr>
        <w:jc w:val="both"/>
        <w:rPr>
          <w:rFonts w:ascii="Arial"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w:t>
      </w:r>
      <w:proofErr w:type="spellStart"/>
      <w:r w:rsidRPr="00E840AE">
        <w:rPr>
          <w:rFonts w:ascii="Arial" w:hAnsi="Arial" w:cs="Arial"/>
          <w:bCs/>
          <w:sz w:val="20"/>
          <w:szCs w:val="20"/>
        </w:rPr>
        <w:t>Övhr</w:t>
      </w:r>
      <w:proofErr w:type="spellEnd"/>
      <w:r w:rsidRPr="00E840AE">
        <w:rPr>
          <w:rFonts w:ascii="Arial" w:hAnsi="Arial" w:cs="Arial"/>
          <w:bCs/>
          <w:sz w:val="20"/>
          <w:szCs w:val="20"/>
        </w:rPr>
        <w:t xml:space="preserve">.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xml:space="preserve">§ (7) bekezdése alapján egyesített (összesített) éves pénztári beszámolót is köteles készíteni az a pénztár, amely </w:t>
      </w:r>
      <w:proofErr w:type="spellStart"/>
      <w:r w:rsidRPr="00E840AE">
        <w:rPr>
          <w:rFonts w:ascii="Arial" w:eastAsia="Calibri" w:hAnsi="Arial" w:cs="Arial"/>
          <w:sz w:val="20"/>
          <w:szCs w:val="20"/>
        </w:rPr>
        <w:t>magánnyugdíjpénztárat</w:t>
      </w:r>
      <w:proofErr w:type="spellEnd"/>
      <w:r w:rsidRPr="00E840AE">
        <w:rPr>
          <w:rFonts w:ascii="Arial" w:eastAsia="Calibri" w:hAnsi="Arial" w:cs="Arial"/>
          <w:sz w:val="20"/>
          <w:szCs w:val="20"/>
        </w:rPr>
        <w:t xml:space="preserve">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w:t>
      </w:r>
      <w:proofErr w:type="spellStart"/>
      <w:r w:rsidRPr="00E840AE">
        <w:rPr>
          <w:rFonts w:ascii="Arial" w:eastAsia="Calibri" w:hAnsi="Arial" w:cs="Arial"/>
          <w:sz w:val="20"/>
          <w:szCs w:val="20"/>
        </w:rPr>
        <w:t>Övhr</w:t>
      </w:r>
      <w:proofErr w:type="spellEnd"/>
      <w:r w:rsidRPr="00E840AE">
        <w:rPr>
          <w:rFonts w:ascii="Arial" w:eastAsia="Calibri" w:hAnsi="Arial" w:cs="Arial"/>
          <w:sz w:val="20"/>
          <w:szCs w:val="20"/>
        </w:rPr>
        <w:t xml:space="preserve">.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lastRenderedPageBreak/>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r w:rsidR="00CD208F">
        <w:rPr>
          <w:rFonts w:ascii="Arial" w:hAnsi="Arial" w:cs="Arial"/>
          <w:bCs/>
          <w:sz w:val="20"/>
          <w:szCs w:val="20"/>
        </w:rPr>
        <w:t xml:space="preserve">belépő és </w:t>
      </w:r>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3993D305" w:rsidR="003B128E" w:rsidRPr="00E840AE" w:rsidRDefault="00CD208F" w:rsidP="00E840AE">
      <w:pPr>
        <w:jc w:val="both"/>
        <w:rPr>
          <w:rFonts w:ascii="Arial" w:hAnsi="Arial" w:cs="Arial"/>
          <w:bCs/>
          <w:i/>
          <w:sz w:val="20"/>
          <w:szCs w:val="20"/>
        </w:rPr>
      </w:pPr>
      <w:r>
        <w:rPr>
          <w:rFonts w:ascii="Arial" w:hAnsi="Arial" w:cs="Arial"/>
          <w:bCs/>
          <w:i/>
          <w:sz w:val="20"/>
          <w:szCs w:val="20"/>
        </w:rPr>
        <w:t>4</w:t>
      </w:r>
      <w:r w:rsidR="003B128E" w:rsidRPr="00E840AE">
        <w:rPr>
          <w:rFonts w:ascii="Arial" w:hAnsi="Arial" w:cs="Arial"/>
          <w:bCs/>
          <w:i/>
          <w:sz w:val="20"/>
          <w:szCs w:val="20"/>
        </w:rPr>
        <w:t>. oszlop: Tagi követelések összege december 31-én</w:t>
      </w:r>
      <w:r w:rsidR="003B128E"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35"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35"/>
    </w:p>
    <w:p w14:paraId="301E40B2" w14:textId="77777777" w:rsidR="003B128E" w:rsidRPr="00E840AE" w:rsidRDefault="003B128E" w:rsidP="00E840AE">
      <w:pPr>
        <w:jc w:val="both"/>
        <w:rPr>
          <w:rFonts w:ascii="Arial" w:hAnsi="Arial" w:cs="Arial"/>
          <w:bCs/>
          <w:sz w:val="20"/>
          <w:szCs w:val="20"/>
        </w:rPr>
      </w:pPr>
    </w:p>
    <w:p w14:paraId="13A4AC82" w14:textId="4AD1ACA7" w:rsidR="00EB706C" w:rsidRPr="00E840AE" w:rsidRDefault="00CD208F" w:rsidP="0079005D">
      <w:pPr>
        <w:keepNext/>
        <w:jc w:val="both"/>
        <w:rPr>
          <w:rFonts w:ascii="Arial" w:hAnsi="Arial" w:cs="Arial"/>
          <w:bCs/>
          <w:i/>
          <w:sz w:val="20"/>
          <w:szCs w:val="20"/>
        </w:rPr>
      </w:pPr>
      <w:r>
        <w:rPr>
          <w:rFonts w:ascii="Arial" w:hAnsi="Arial" w:cs="Arial"/>
          <w:bCs/>
          <w:i/>
          <w:sz w:val="20"/>
          <w:szCs w:val="20"/>
        </w:rPr>
        <w:t>1</w:t>
      </w:r>
      <w:r w:rsidR="00F65E32" w:rsidRPr="00E840AE">
        <w:rPr>
          <w:rFonts w:ascii="Arial" w:hAnsi="Arial" w:cs="Arial"/>
          <w:bCs/>
          <w:i/>
          <w:sz w:val="20"/>
          <w:szCs w:val="20"/>
        </w:rPr>
        <w:t>6.</w:t>
      </w:r>
      <w:r w:rsidR="005D2C5B" w:rsidRPr="00E840AE">
        <w:rPr>
          <w:rFonts w:ascii="Arial" w:hAnsi="Arial" w:cs="Arial"/>
          <w:bCs/>
          <w:i/>
          <w:sz w:val="20"/>
          <w:szCs w:val="20"/>
        </w:rPr>
        <w:t xml:space="preserve"> </w:t>
      </w:r>
      <w:r w:rsidR="00F65E32"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00F65E32"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543F4181"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 xml:space="preserve">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w:t>
      </w:r>
      <w:r w:rsidR="00623A44">
        <w:rPr>
          <w:rFonts w:ascii="Arial" w:hAnsi="Arial" w:cs="Arial"/>
          <w:bCs/>
          <w:sz w:val="20"/>
          <w:szCs w:val="20"/>
        </w:rPr>
        <w:t>19</w:t>
      </w:r>
      <w:r w:rsidRPr="00E840AE">
        <w:rPr>
          <w:rFonts w:ascii="Arial" w:hAnsi="Arial" w:cs="Arial"/>
          <w:bCs/>
          <w:sz w:val="20"/>
          <w:szCs w:val="20"/>
        </w:rPr>
        <w:t>.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717F3837" w:rsidR="00746FF2" w:rsidRPr="00E840AE" w:rsidRDefault="00CD208F" w:rsidP="00E840AE">
      <w:pPr>
        <w:keepNext/>
        <w:jc w:val="both"/>
        <w:rPr>
          <w:rFonts w:ascii="Arial" w:hAnsi="Arial" w:cs="Arial"/>
          <w:bCs/>
          <w:i/>
          <w:sz w:val="20"/>
          <w:szCs w:val="20"/>
        </w:rPr>
      </w:pPr>
      <w:r>
        <w:rPr>
          <w:rFonts w:ascii="Arial" w:hAnsi="Arial" w:cs="Arial"/>
          <w:bCs/>
          <w:i/>
          <w:sz w:val="20"/>
          <w:szCs w:val="20"/>
        </w:rPr>
        <w:t>19</w:t>
      </w:r>
      <w:r w:rsidR="00746FF2" w:rsidRPr="00E840AE">
        <w:rPr>
          <w:rFonts w:ascii="Arial" w:hAnsi="Arial" w:cs="Arial"/>
          <w:bCs/>
          <w:i/>
          <w:sz w:val="20"/>
          <w:szCs w:val="20"/>
        </w:rPr>
        <w:t>.</w:t>
      </w:r>
      <w:r w:rsidR="005D2C5B" w:rsidRPr="00E840AE">
        <w:rPr>
          <w:rFonts w:ascii="Arial" w:hAnsi="Arial" w:cs="Arial"/>
          <w:bCs/>
          <w:i/>
          <w:sz w:val="20"/>
          <w:szCs w:val="20"/>
        </w:rPr>
        <w:t xml:space="preserve"> </w:t>
      </w:r>
      <w:r w:rsidR="00746FF2" w:rsidRPr="00E840AE">
        <w:rPr>
          <w:rFonts w:ascii="Arial" w:hAnsi="Arial" w:cs="Arial"/>
          <w:bCs/>
          <w:i/>
          <w:sz w:val="20"/>
          <w:szCs w:val="20"/>
        </w:rPr>
        <w:t>oszlop</w:t>
      </w:r>
      <w:r w:rsidR="00F82752" w:rsidRPr="00E840AE">
        <w:rPr>
          <w:rFonts w:ascii="Arial" w:hAnsi="Arial" w:cs="Arial"/>
          <w:bCs/>
          <w:i/>
          <w:sz w:val="20"/>
          <w:szCs w:val="20"/>
        </w:rPr>
        <w:t>: T</w:t>
      </w:r>
      <w:r w:rsidR="00746FF2"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7F1B5451" w:rsidR="002944CC" w:rsidRPr="00E840AE" w:rsidRDefault="00CD208F" w:rsidP="00E840AE">
      <w:pPr>
        <w:jc w:val="both"/>
        <w:rPr>
          <w:rFonts w:ascii="Arial" w:hAnsi="Arial" w:cs="Arial"/>
          <w:bCs/>
          <w:i/>
          <w:sz w:val="20"/>
          <w:szCs w:val="20"/>
        </w:rPr>
      </w:pPr>
      <w:r>
        <w:rPr>
          <w:rFonts w:ascii="Arial" w:hAnsi="Arial" w:cs="Arial"/>
          <w:bCs/>
          <w:i/>
          <w:sz w:val="20"/>
          <w:szCs w:val="20"/>
        </w:rPr>
        <w:t>22</w:t>
      </w:r>
      <w:r w:rsidR="002944CC" w:rsidRPr="00E840AE">
        <w:rPr>
          <w:rFonts w:ascii="Arial" w:hAnsi="Arial" w:cs="Arial"/>
          <w:bCs/>
          <w:i/>
          <w:sz w:val="20"/>
          <w:szCs w:val="20"/>
        </w:rPr>
        <w:t>.</w:t>
      </w:r>
      <w:r w:rsidR="005D2C5B" w:rsidRPr="00E840AE">
        <w:rPr>
          <w:rFonts w:ascii="Arial" w:hAnsi="Arial" w:cs="Arial"/>
          <w:bCs/>
          <w:i/>
          <w:sz w:val="20"/>
          <w:szCs w:val="20"/>
        </w:rPr>
        <w:t xml:space="preserve"> </w:t>
      </w:r>
      <w:r w:rsidR="002944CC" w:rsidRPr="00E840AE">
        <w:rPr>
          <w:rFonts w:ascii="Arial" w:hAnsi="Arial" w:cs="Arial"/>
          <w:bCs/>
          <w:i/>
          <w:sz w:val="20"/>
          <w:szCs w:val="20"/>
        </w:rPr>
        <w:t xml:space="preserve">oszlop: </w:t>
      </w:r>
      <w:r w:rsidR="007B2B34" w:rsidRPr="00E840AE">
        <w:rPr>
          <w:rFonts w:ascii="Arial" w:hAnsi="Arial" w:cs="Arial"/>
          <w:bCs/>
          <w:i/>
          <w:sz w:val="20"/>
          <w:szCs w:val="20"/>
        </w:rPr>
        <w:t>A</w:t>
      </w:r>
      <w:r w:rsidR="002944CC"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172DA937"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w:t>
      </w:r>
      <w:r w:rsidR="00623A44">
        <w:rPr>
          <w:rFonts w:ascii="Arial" w:hAnsi="Arial" w:cs="Arial"/>
          <w:bCs/>
          <w:sz w:val="20"/>
          <w:szCs w:val="20"/>
        </w:rPr>
        <w:t>1</w:t>
      </w:r>
      <w:r w:rsidRPr="00E840AE">
        <w:rPr>
          <w:rFonts w:ascii="Arial" w:hAnsi="Arial" w:cs="Arial"/>
          <w:bCs/>
          <w:sz w:val="20"/>
          <w:szCs w:val="20"/>
        </w:rPr>
        <w:t xml:space="preserve">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xml:space="preserve">, ideértve a </w:t>
      </w:r>
      <w:r w:rsidR="00623A44">
        <w:rPr>
          <w:rFonts w:ascii="Arial" w:hAnsi="Arial" w:cs="Arial"/>
          <w:bCs/>
          <w:iCs/>
          <w:sz w:val="20"/>
          <w:szCs w:val="20"/>
        </w:rPr>
        <w:t>25</w:t>
      </w:r>
      <w:r w:rsidR="00703B33" w:rsidRPr="00E840AE">
        <w:rPr>
          <w:rFonts w:ascii="Arial" w:hAnsi="Arial" w:cs="Arial"/>
          <w:bCs/>
          <w:iCs/>
          <w:sz w:val="20"/>
          <w:szCs w:val="20"/>
        </w:rPr>
        <w:t>.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3C29741C" w:rsidR="00703B33" w:rsidRPr="00E840AE" w:rsidRDefault="00CD208F" w:rsidP="00C93692">
      <w:pPr>
        <w:keepNext/>
        <w:jc w:val="both"/>
        <w:rPr>
          <w:rFonts w:ascii="Arial" w:hAnsi="Arial" w:cs="Arial"/>
          <w:bCs/>
          <w:i/>
          <w:sz w:val="20"/>
          <w:szCs w:val="20"/>
        </w:rPr>
      </w:pPr>
      <w:r>
        <w:rPr>
          <w:rFonts w:ascii="Arial" w:hAnsi="Arial" w:cs="Arial"/>
          <w:bCs/>
          <w:i/>
          <w:sz w:val="20"/>
          <w:szCs w:val="20"/>
        </w:rPr>
        <w:t>25</w:t>
      </w:r>
      <w:r w:rsidR="00703B33" w:rsidRPr="00E840AE">
        <w:rPr>
          <w:rFonts w:ascii="Arial" w:hAnsi="Arial" w:cs="Arial"/>
          <w:bCs/>
          <w:i/>
          <w:sz w:val="20"/>
          <w:szCs w:val="20"/>
        </w:rPr>
        <w:t xml:space="preserve">. oszlop: </w:t>
      </w:r>
      <w:r w:rsidR="007B2B34" w:rsidRPr="00E840AE">
        <w:rPr>
          <w:rFonts w:ascii="Arial" w:hAnsi="Arial" w:cs="Arial"/>
          <w:bCs/>
          <w:i/>
          <w:sz w:val="20"/>
          <w:szCs w:val="20"/>
        </w:rPr>
        <w:t>T</w:t>
      </w:r>
      <w:r w:rsidR="00703B33"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4DC1716E" w:rsidR="005D2C5B" w:rsidRPr="00E840AE" w:rsidRDefault="00703B33"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w:t>
      </w:r>
      <w:r w:rsidR="00623A44">
        <w:rPr>
          <w:rFonts w:ascii="Arial" w:hAnsi="Arial" w:cs="Arial"/>
          <w:bCs/>
          <w:sz w:val="20"/>
          <w:szCs w:val="20"/>
        </w:rPr>
        <w:t>19</w:t>
      </w:r>
      <w:r w:rsidRPr="00E840AE">
        <w:rPr>
          <w:rFonts w:ascii="Arial" w:hAnsi="Arial" w:cs="Arial"/>
          <w:bCs/>
          <w:sz w:val="20"/>
          <w:szCs w:val="20"/>
        </w:rPr>
        <w:t xml:space="preserve">.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23A02BA1" w:rsidR="0001038A" w:rsidRPr="00E840AE" w:rsidRDefault="00CD208F" w:rsidP="00E840AE">
      <w:pPr>
        <w:jc w:val="both"/>
        <w:rPr>
          <w:rFonts w:ascii="Arial" w:hAnsi="Arial" w:cs="Arial"/>
          <w:bCs/>
          <w:i/>
          <w:sz w:val="20"/>
          <w:szCs w:val="20"/>
        </w:rPr>
      </w:pPr>
      <w:r>
        <w:rPr>
          <w:rFonts w:ascii="Arial" w:hAnsi="Arial" w:cs="Arial"/>
          <w:bCs/>
          <w:i/>
          <w:sz w:val="20"/>
          <w:szCs w:val="20"/>
        </w:rPr>
        <w:t>28</w:t>
      </w:r>
      <w:r w:rsidR="0001038A"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0001038A" w:rsidRPr="00E840AE">
        <w:rPr>
          <w:rFonts w:ascii="Arial" w:hAnsi="Arial" w:cs="Arial"/>
          <w:bCs/>
          <w:i/>
          <w:sz w:val="20"/>
          <w:szCs w:val="20"/>
        </w:rPr>
        <w:t>az egységes tagdíjat teljes mértékben meg nem fizető tagok egyéni tagdíjbefizetése</w:t>
      </w:r>
    </w:p>
    <w:p w14:paraId="0DE26FF5" w14:textId="1129699F"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w:t>
      </w:r>
      <w:r w:rsidR="00623A44">
        <w:rPr>
          <w:rFonts w:ascii="Arial" w:hAnsi="Arial" w:cs="Arial"/>
          <w:bCs/>
          <w:iCs/>
          <w:sz w:val="20"/>
          <w:szCs w:val="20"/>
        </w:rPr>
        <w:t>1</w:t>
      </w:r>
      <w:r w:rsidRPr="00E840AE">
        <w:rPr>
          <w:rFonts w:ascii="Arial" w:hAnsi="Arial" w:cs="Arial"/>
          <w:bCs/>
          <w:iCs/>
          <w:sz w:val="20"/>
          <w:szCs w:val="20"/>
        </w:rPr>
        <w:t xml:space="preserve">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56A9E845" w:rsidR="0001038A" w:rsidRPr="00E840AE" w:rsidRDefault="00CD208F" w:rsidP="00E840AE">
      <w:pPr>
        <w:jc w:val="both"/>
        <w:rPr>
          <w:rFonts w:ascii="Arial" w:hAnsi="Arial" w:cs="Arial"/>
          <w:bCs/>
          <w:i/>
          <w:sz w:val="20"/>
          <w:szCs w:val="20"/>
        </w:rPr>
      </w:pPr>
      <w:r>
        <w:rPr>
          <w:rFonts w:ascii="Arial" w:hAnsi="Arial" w:cs="Arial"/>
          <w:bCs/>
          <w:i/>
          <w:sz w:val="20"/>
          <w:szCs w:val="20"/>
        </w:rPr>
        <w:t>31</w:t>
      </w:r>
      <w:r w:rsidR="0001038A" w:rsidRPr="00E840AE">
        <w:rPr>
          <w:rFonts w:ascii="Arial" w:hAnsi="Arial" w:cs="Arial"/>
          <w:bCs/>
          <w:i/>
          <w:sz w:val="20"/>
          <w:szCs w:val="20"/>
        </w:rPr>
        <w:t>. oszlop: Tárgyév</w:t>
      </w:r>
      <w:r w:rsidR="007D2EDB" w:rsidRPr="00E840AE">
        <w:rPr>
          <w:rFonts w:ascii="Arial" w:hAnsi="Arial" w:cs="Arial"/>
          <w:bCs/>
          <w:i/>
          <w:sz w:val="20"/>
          <w:szCs w:val="20"/>
        </w:rPr>
        <w:t>ben</w:t>
      </w:r>
      <w:r w:rsidR="0001038A"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0001038A" w:rsidRPr="00E840AE">
        <w:rPr>
          <w:rFonts w:ascii="Arial" w:hAnsi="Arial" w:cs="Arial"/>
          <w:bCs/>
          <w:i/>
          <w:sz w:val="20"/>
          <w:szCs w:val="20"/>
        </w:rPr>
        <w:t>hozzájárulása</w:t>
      </w:r>
    </w:p>
    <w:p w14:paraId="4BAC974D" w14:textId="7CC5B85F" w:rsidR="005D2C5B" w:rsidRPr="00E840AE" w:rsidRDefault="00175B9C"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w:t>
      </w:r>
      <w:r w:rsidR="00623A44">
        <w:rPr>
          <w:rFonts w:ascii="Arial" w:hAnsi="Arial" w:cs="Arial"/>
          <w:bCs/>
          <w:sz w:val="20"/>
          <w:szCs w:val="20"/>
        </w:rPr>
        <w:t>1</w:t>
      </w:r>
      <w:r w:rsidRPr="00E840AE">
        <w:rPr>
          <w:rFonts w:ascii="Arial" w:hAnsi="Arial" w:cs="Arial"/>
          <w:bCs/>
          <w:sz w:val="20"/>
          <w:szCs w:val="20"/>
        </w:rPr>
        <w:t>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 xml:space="preserve">3. 74OC Szolgáltatást </w:t>
      </w:r>
      <w:proofErr w:type="spellStart"/>
      <w:r w:rsidRPr="00E840AE">
        <w:rPr>
          <w:rFonts w:ascii="Arial" w:hAnsi="Arial" w:cs="Arial"/>
          <w:b/>
          <w:bCs/>
          <w:sz w:val="20"/>
          <w:szCs w:val="20"/>
        </w:rPr>
        <w:t>igénybevevők</w:t>
      </w:r>
      <w:proofErr w:type="spellEnd"/>
      <w:r w:rsidRPr="00E840AE">
        <w:rPr>
          <w:rFonts w:ascii="Arial" w:hAnsi="Arial" w:cs="Arial"/>
          <w:b/>
          <w:bCs/>
          <w:sz w:val="20"/>
          <w:szCs w:val="20"/>
        </w:rPr>
        <w:t xml:space="preserve">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lastRenderedPageBreak/>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proofErr w:type="spellStart"/>
      <w:r w:rsidR="00002F73" w:rsidRPr="00E840AE">
        <w:rPr>
          <w:rFonts w:ascii="Arial" w:hAnsi="Arial" w:cs="Arial"/>
          <w:color w:val="auto"/>
          <w:sz w:val="20"/>
          <w:szCs w:val="20"/>
          <w:lang w:eastAsia="hu-HU"/>
        </w:rPr>
        <w:t>Öbr</w:t>
      </w:r>
      <w:proofErr w:type="spellEnd"/>
      <w:r w:rsidR="00002F73" w:rsidRPr="00E840AE">
        <w:rPr>
          <w:rFonts w:ascii="Arial" w:hAnsi="Arial" w:cs="Arial"/>
          <w:color w:val="auto"/>
          <w:sz w:val="20"/>
          <w:szCs w:val="20"/>
          <w:lang w:eastAsia="hu-HU"/>
        </w:rPr>
        <w:t xml:space="preserve">.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 xml:space="preserve">énzügyi </w:t>
      </w:r>
      <w:proofErr w:type="gramStart"/>
      <w:r w:rsidR="00491CA3" w:rsidRPr="00E840AE">
        <w:rPr>
          <w:rFonts w:ascii="Arial" w:hAnsi="Arial" w:cs="Arial"/>
          <w:b/>
          <w:sz w:val="20"/>
          <w:szCs w:val="20"/>
        </w:rPr>
        <w:t>terv jelentés</w:t>
      </w:r>
      <w:proofErr w:type="gramEnd"/>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w:t>
      </w:r>
      <w:proofErr w:type="spellStart"/>
      <w:r w:rsidR="00E35052" w:rsidRPr="00E840AE">
        <w:rPr>
          <w:rFonts w:ascii="Arial" w:hAnsi="Arial" w:cs="Arial"/>
          <w:sz w:val="20"/>
          <w:szCs w:val="20"/>
        </w:rPr>
        <w:t>Öpt</w:t>
      </w:r>
      <w:proofErr w:type="spellEnd"/>
      <w:r w:rsidR="00E35052" w:rsidRPr="00E840AE">
        <w:rPr>
          <w:rFonts w:ascii="Arial" w:hAnsi="Arial" w:cs="Arial"/>
          <w:sz w:val="20"/>
          <w:szCs w:val="20"/>
        </w:rPr>
        <w: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w:t>
      </w:r>
      <w:proofErr w:type="gramStart"/>
      <w:r w:rsidRPr="00E840AE">
        <w:rPr>
          <w:rFonts w:ascii="Arial" w:hAnsi="Arial" w:cs="Arial"/>
          <w:b/>
          <w:sz w:val="20"/>
          <w:szCs w:val="20"/>
        </w:rPr>
        <w:t xml:space="preserve">terv </w:t>
      </w:r>
      <w:r w:rsidR="001000FE" w:rsidRPr="00E840AE">
        <w:rPr>
          <w:rFonts w:ascii="Arial" w:hAnsi="Arial" w:cs="Arial"/>
          <w:b/>
          <w:sz w:val="20"/>
          <w:szCs w:val="20"/>
        </w:rPr>
        <w:t>jelentés</w:t>
      </w:r>
      <w:proofErr w:type="gramEnd"/>
      <w:r w:rsidR="001000FE" w:rsidRPr="00E840AE">
        <w:rPr>
          <w:rFonts w:ascii="Arial" w:hAnsi="Arial" w:cs="Arial"/>
          <w:b/>
          <w:sz w:val="20"/>
          <w:szCs w:val="20"/>
        </w:rPr>
        <w:t xml:space="preserve">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w:t>
      </w:r>
      <w:proofErr w:type="spellStart"/>
      <w:r w:rsidR="003B559B" w:rsidRPr="00E840AE">
        <w:rPr>
          <w:rFonts w:ascii="Arial" w:hAnsi="Arial" w:cs="Arial"/>
          <w:sz w:val="20"/>
          <w:szCs w:val="20"/>
        </w:rPr>
        <w:t>típusonkénti</w:t>
      </w:r>
      <w:proofErr w:type="spellEnd"/>
      <w:r w:rsidR="003B559B" w:rsidRPr="00E840AE">
        <w:rPr>
          <w:rFonts w:ascii="Arial" w:hAnsi="Arial" w:cs="Arial"/>
          <w:sz w:val="20"/>
          <w:szCs w:val="20"/>
        </w:rPr>
        <w:t xml:space="preserve">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lastRenderedPageBreak/>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 xml:space="preserve">Az </w:t>
      </w:r>
      <w:proofErr w:type="spellStart"/>
      <w:r w:rsidRPr="00E840AE">
        <w:rPr>
          <w:rFonts w:ascii="Arial" w:hAnsi="Arial" w:cs="Arial"/>
          <w:iCs/>
          <w:sz w:val="20"/>
          <w:szCs w:val="20"/>
        </w:rPr>
        <w:t>Öpt</w:t>
      </w:r>
      <w:proofErr w:type="spellEnd"/>
      <w:r w:rsidRPr="00E840AE">
        <w:rPr>
          <w:rFonts w:ascii="Arial" w:hAnsi="Arial" w:cs="Arial"/>
          <w:iCs/>
          <w:sz w:val="20"/>
          <w:szCs w:val="20"/>
        </w:rPr>
        <w: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 xml:space="preserve">Az </w:t>
      </w:r>
      <w:proofErr w:type="spellStart"/>
      <w:r w:rsidRPr="00E840AE">
        <w:rPr>
          <w:rFonts w:ascii="Arial" w:hAnsi="Arial" w:cs="Arial"/>
          <w:iCs/>
          <w:sz w:val="20"/>
          <w:szCs w:val="20"/>
        </w:rPr>
        <w:t>Öpt</w:t>
      </w:r>
      <w:proofErr w:type="spellEnd"/>
      <w:r w:rsidRPr="00E840AE">
        <w:rPr>
          <w:rFonts w:ascii="Arial" w:hAnsi="Arial" w:cs="Arial"/>
          <w:iCs/>
          <w:sz w:val="20"/>
          <w:szCs w:val="20"/>
        </w:rPr>
        <w: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w:t>
      </w:r>
      <w:proofErr w:type="gramStart"/>
      <w:r w:rsidR="001000FE" w:rsidRPr="00E840AE">
        <w:rPr>
          <w:rFonts w:ascii="Arial" w:hAnsi="Arial" w:cs="Arial"/>
          <w:b/>
          <w:sz w:val="20"/>
          <w:szCs w:val="20"/>
        </w:rPr>
        <w:t xml:space="preserve">terv </w:t>
      </w:r>
      <w:r w:rsidR="00BD5FDE" w:rsidRPr="00E840AE">
        <w:rPr>
          <w:rFonts w:ascii="Arial" w:hAnsi="Arial" w:cs="Arial"/>
          <w:b/>
          <w:sz w:val="20"/>
          <w:szCs w:val="20"/>
        </w:rPr>
        <w:t>jelentés</w:t>
      </w:r>
      <w:proofErr w:type="gramEnd"/>
      <w:r w:rsidR="00BD5FDE" w:rsidRPr="00E840AE">
        <w:rPr>
          <w:rFonts w:ascii="Arial" w:hAnsi="Arial" w:cs="Arial"/>
          <w:b/>
          <w:sz w:val="20"/>
          <w:szCs w:val="20"/>
        </w:rPr>
        <w:t xml:space="preserve">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lastRenderedPageBreak/>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t>X</w:t>
      </w:r>
      <w:r w:rsidR="000A3046" w:rsidRPr="00E840AE">
        <w:rPr>
          <w:rFonts w:ascii="Arial" w:hAnsi="Arial" w:cs="Arial"/>
          <w:b/>
          <w:sz w:val="20"/>
          <w:szCs w:val="20"/>
        </w:rPr>
        <w:t>.</w:t>
      </w:r>
    </w:p>
    <w:p w14:paraId="67AE36E6" w14:textId="77777777" w:rsidR="00BA5261" w:rsidRPr="00E840AE" w:rsidRDefault="000A3046"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410160">
      <w:pPr>
        <w:keepNext/>
        <w:autoSpaceDE w:val="0"/>
        <w:autoSpaceDN w:val="0"/>
        <w:adjustRightInd w:val="0"/>
        <w:jc w:val="center"/>
        <w:rPr>
          <w:rFonts w:ascii="Arial" w:hAnsi="Arial" w:cs="Arial"/>
          <w:b/>
          <w:sz w:val="20"/>
          <w:szCs w:val="20"/>
        </w:rPr>
      </w:pPr>
    </w:p>
    <w:p w14:paraId="513F3428" w14:textId="59CDA546" w:rsidR="000A3046" w:rsidRPr="00E840AE" w:rsidRDefault="00577A67" w:rsidP="00410160">
      <w:pPr>
        <w:keepNext/>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7B5380F2" w:rsidR="00ED5600" w:rsidRPr="00E840AE" w:rsidRDefault="005C21C1" w:rsidP="00E840AE">
      <w:pPr>
        <w:jc w:val="both"/>
        <w:rPr>
          <w:rFonts w:ascii="Arial" w:hAnsi="Arial" w:cs="Arial"/>
          <w:sz w:val="20"/>
          <w:szCs w:val="20"/>
        </w:rPr>
      </w:pPr>
      <w:r>
        <w:rPr>
          <w:rFonts w:ascii="Arial" w:hAnsi="Arial" w:cs="Arial"/>
          <w:sz w:val="20"/>
          <w:szCs w:val="20"/>
        </w:rPr>
        <w:t>E</w:t>
      </w:r>
      <w:r w:rsidR="000A6157" w:rsidRPr="000A6157">
        <w:rPr>
          <w:rFonts w:ascii="Arial" w:hAnsi="Arial" w:cs="Arial"/>
          <w:sz w:val="20"/>
          <w:szCs w:val="20"/>
        </w:rPr>
        <w:t>redeti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000A6157"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000A6157"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EGYENI</w:t>
            </w:r>
            <w:proofErr w:type="spellEnd"/>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VALASZT</w:t>
            </w:r>
            <w:proofErr w:type="spellEnd"/>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SZOLG</w:t>
            </w:r>
            <w:proofErr w:type="spellEnd"/>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MUK</w:t>
            </w:r>
            <w:proofErr w:type="spellEnd"/>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LIKV</w:t>
            </w:r>
            <w:proofErr w:type="spellEnd"/>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proofErr w:type="spellStart"/>
            <w:r w:rsidRPr="002726A6">
              <w:rPr>
                <w:rFonts w:ascii="Arial" w:hAnsi="Arial" w:cs="Arial"/>
                <w:color w:val="000000"/>
                <w:sz w:val="20"/>
                <w:szCs w:val="20"/>
              </w:rPr>
              <w:t>FUGG</w:t>
            </w:r>
            <w:proofErr w:type="spellEnd"/>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C93692">
      <w:pPr>
        <w:keepNext/>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lastRenderedPageBreak/>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Amennyiben a pénztár befektetési politikájával együtt a Választható portfóliós rendszer szabályzata is változik, úgy a tábla ezen sorát a felügyeleti jelentés teljesítésekor üresen kell hagyni. A befektetési 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E24CDEC"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3. 70</w:t>
      </w:r>
      <w:r w:rsidR="00CD208F">
        <w:rPr>
          <w:rFonts w:ascii="Arial" w:eastAsia="Calibri" w:hAnsi="Arial" w:cs="Arial"/>
          <w:b/>
          <w:sz w:val="20"/>
          <w:szCs w:val="20"/>
          <w:lang w:eastAsia="en-US"/>
        </w:rPr>
        <w:t>_</w:t>
      </w:r>
      <w:r w:rsidRPr="00C64F51">
        <w:rPr>
          <w:rFonts w:ascii="Arial" w:eastAsia="Calibri" w:hAnsi="Arial" w:cs="Arial"/>
          <w:b/>
          <w:sz w:val="20"/>
          <w:szCs w:val="20"/>
          <w:lang w:eastAsia="en-US"/>
        </w:rPr>
        <w:t>OBPR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31EFB">
      <w:pPr>
        <w:jc w:val="both"/>
        <w:rPr>
          <w:rFonts w:ascii="Arial" w:hAnsi="Arial" w:cs="Arial"/>
          <w:sz w:val="20"/>
          <w:szCs w:val="20"/>
        </w:rPr>
      </w:pPr>
      <w:r w:rsidRPr="00C64F51">
        <w:rPr>
          <w:rFonts w:ascii="Arial" w:hAnsi="Arial" w:cs="Arial"/>
          <w:sz w:val="20"/>
          <w:szCs w:val="20"/>
        </w:rPr>
        <w:t>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úgy azt egy új ismétlősor beszúrásával teheti meg. Az új ismétlősorban ugyanazt a portfólió azonosítót kell szerepeltetni.</w:t>
      </w:r>
    </w:p>
    <w:p w14:paraId="1623D3B5" w14:textId="77777777" w:rsidR="00C64F51" w:rsidRPr="00C64F51" w:rsidRDefault="00C64F51" w:rsidP="00B31EFB">
      <w:pPr>
        <w:jc w:val="both"/>
        <w:rPr>
          <w:rFonts w:ascii="Arial" w:hAnsi="Arial" w:cs="Arial"/>
          <w:sz w:val="20"/>
          <w:szCs w:val="20"/>
        </w:rPr>
      </w:pPr>
    </w:p>
    <w:p w14:paraId="777D786E" w14:textId="77777777" w:rsidR="00C64F51" w:rsidRPr="00C64F51" w:rsidRDefault="00C64F51" w:rsidP="00B31EFB">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31EFB">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31EFB">
      <w:pPr>
        <w:jc w:val="both"/>
        <w:rPr>
          <w:rFonts w:ascii="Arial" w:hAnsi="Arial" w:cs="Arial"/>
          <w:sz w:val="20"/>
          <w:szCs w:val="20"/>
        </w:rPr>
      </w:pPr>
    </w:p>
    <w:p w14:paraId="544B78C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31EFB">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31EFB">
      <w:pPr>
        <w:jc w:val="both"/>
        <w:rPr>
          <w:rFonts w:ascii="Arial" w:hAnsi="Arial" w:cs="Arial"/>
          <w:sz w:val="20"/>
          <w:szCs w:val="20"/>
        </w:rPr>
      </w:pPr>
    </w:p>
    <w:p w14:paraId="77C7B8F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31EFB">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31EFB">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31EFB">
      <w:pPr>
        <w:jc w:val="both"/>
        <w:rPr>
          <w:rFonts w:ascii="Arial" w:hAnsi="Arial" w:cs="Arial"/>
          <w:sz w:val="20"/>
          <w:szCs w:val="20"/>
        </w:rPr>
      </w:pPr>
    </w:p>
    <w:p w14:paraId="4163F16E" w14:textId="5CA723A6" w:rsidR="00C64F51" w:rsidRPr="00C64F51" w:rsidRDefault="00C64F51" w:rsidP="00B31EFB">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31EFB">
      <w:pPr>
        <w:jc w:val="both"/>
        <w:rPr>
          <w:rFonts w:ascii="Arial" w:hAnsi="Arial" w:cs="Arial"/>
          <w:sz w:val="20"/>
          <w:szCs w:val="20"/>
        </w:rPr>
      </w:pPr>
      <w:proofErr w:type="gramStart"/>
      <w:r w:rsidRPr="00C64F51">
        <w:rPr>
          <w:rFonts w:ascii="Arial" w:hAnsi="Arial" w:cs="Arial"/>
          <w:sz w:val="20"/>
          <w:szCs w:val="20"/>
        </w:rPr>
        <w:t>ISIN</w:t>
      </w:r>
      <w:proofErr w:type="gramEnd"/>
      <w:r w:rsidRPr="00C64F51">
        <w:rPr>
          <w:rFonts w:ascii="Arial" w:hAnsi="Arial" w:cs="Arial"/>
          <w:sz w:val="20"/>
          <w:szCs w:val="20"/>
        </w:rPr>
        <w:t xml:space="preserve">: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31EFB">
      <w:pPr>
        <w:jc w:val="both"/>
        <w:rPr>
          <w:rFonts w:ascii="Arial" w:hAnsi="Arial" w:cs="Arial"/>
          <w:sz w:val="20"/>
          <w:szCs w:val="20"/>
        </w:rPr>
      </w:pPr>
      <w:proofErr w:type="spellStart"/>
      <w:r w:rsidRPr="00C64F51">
        <w:rPr>
          <w:rFonts w:ascii="Arial" w:hAnsi="Arial" w:cs="Arial"/>
          <w:sz w:val="20"/>
          <w:szCs w:val="20"/>
        </w:rPr>
        <w:t>BBG</w:t>
      </w:r>
      <w:proofErr w:type="spellEnd"/>
      <w:r w:rsidRPr="00C64F51">
        <w:rPr>
          <w:rFonts w:ascii="Arial" w:hAnsi="Arial" w:cs="Arial"/>
          <w:sz w:val="20"/>
          <w:szCs w:val="20"/>
        </w:rPr>
        <w:t xml:space="preserve">: </w:t>
      </w:r>
      <w:r w:rsidR="00427B92">
        <w:rPr>
          <w:rFonts w:ascii="Arial" w:hAnsi="Arial" w:cs="Arial"/>
          <w:sz w:val="20"/>
          <w:szCs w:val="20"/>
        </w:rPr>
        <w:t>a</w:t>
      </w:r>
      <w:r w:rsidRPr="00C64F51">
        <w:rPr>
          <w:rFonts w:ascii="Arial" w:hAnsi="Arial" w:cs="Arial"/>
          <w:sz w:val="20"/>
          <w:szCs w:val="20"/>
        </w:rPr>
        <w:t xml:space="preserve">mennyiben az index komponens azonosítója </w:t>
      </w:r>
      <w:proofErr w:type="spellStart"/>
      <w:r w:rsidRPr="00C64F51">
        <w:rPr>
          <w:rFonts w:ascii="Arial" w:hAnsi="Arial" w:cs="Arial"/>
          <w:sz w:val="20"/>
          <w:szCs w:val="20"/>
        </w:rPr>
        <w:t>Bloomberg</w:t>
      </w:r>
      <w:proofErr w:type="spellEnd"/>
      <w:r w:rsidRPr="00C64F51">
        <w:rPr>
          <w:rFonts w:ascii="Arial" w:hAnsi="Arial" w:cs="Arial"/>
          <w:sz w:val="20"/>
          <w:szCs w:val="20"/>
        </w:rPr>
        <w:t xml:space="preserve"> </w:t>
      </w:r>
      <w:proofErr w:type="spellStart"/>
      <w:r w:rsidRPr="00C64F51">
        <w:rPr>
          <w:rFonts w:ascii="Arial" w:hAnsi="Arial" w:cs="Arial"/>
          <w:sz w:val="20"/>
          <w:szCs w:val="20"/>
        </w:rPr>
        <w:t>ticker</w:t>
      </w:r>
      <w:proofErr w:type="spellEnd"/>
      <w:r w:rsidRPr="00C64F51">
        <w:rPr>
          <w:rFonts w:ascii="Arial" w:hAnsi="Arial" w:cs="Arial"/>
          <w:sz w:val="20"/>
          <w:szCs w:val="20"/>
        </w:rPr>
        <w:t xml:space="preserve"> azonosítóval került jelölésre. </w:t>
      </w:r>
    </w:p>
    <w:p w14:paraId="0EBAC35C" w14:textId="0E47A437" w:rsidR="00C64F51" w:rsidRPr="00C64F51" w:rsidRDefault="00C64F51" w:rsidP="00B31EFB">
      <w:pPr>
        <w:jc w:val="both"/>
        <w:rPr>
          <w:rFonts w:ascii="Arial" w:hAnsi="Arial" w:cs="Arial"/>
          <w:sz w:val="20"/>
          <w:szCs w:val="20"/>
        </w:rPr>
      </w:pPr>
      <w:proofErr w:type="spellStart"/>
      <w:r w:rsidRPr="00C64F51">
        <w:rPr>
          <w:rFonts w:ascii="Arial" w:hAnsi="Arial" w:cs="Arial"/>
          <w:sz w:val="20"/>
          <w:szCs w:val="20"/>
        </w:rPr>
        <w:t>REUT</w:t>
      </w:r>
      <w:proofErr w:type="spellEnd"/>
      <w:r w:rsidRPr="00C64F51">
        <w:rPr>
          <w:rFonts w:ascii="Arial" w:hAnsi="Arial" w:cs="Arial"/>
          <w:sz w:val="20"/>
          <w:szCs w:val="20"/>
        </w:rPr>
        <w:t xml:space="preserve">: </w:t>
      </w:r>
      <w:r w:rsidR="00427B92">
        <w:rPr>
          <w:rFonts w:ascii="Arial" w:hAnsi="Arial" w:cs="Arial"/>
          <w:sz w:val="20"/>
          <w:szCs w:val="20"/>
        </w:rPr>
        <w:t>a</w:t>
      </w:r>
      <w:r w:rsidRPr="00C64F51">
        <w:rPr>
          <w:rFonts w:ascii="Arial" w:hAnsi="Arial" w:cs="Arial"/>
          <w:sz w:val="20"/>
          <w:szCs w:val="20"/>
        </w:rPr>
        <w:t xml:space="preserve">mennyiben az index komponens azonosítója Reuters </w:t>
      </w:r>
      <w:proofErr w:type="spellStart"/>
      <w:r w:rsidRPr="00C64F51">
        <w:rPr>
          <w:rFonts w:ascii="Arial" w:hAnsi="Arial" w:cs="Arial"/>
          <w:sz w:val="20"/>
          <w:szCs w:val="20"/>
        </w:rPr>
        <w:t>ticker</w:t>
      </w:r>
      <w:proofErr w:type="spellEnd"/>
      <w:r w:rsidRPr="00C64F51">
        <w:rPr>
          <w:rFonts w:ascii="Arial" w:hAnsi="Arial" w:cs="Arial"/>
          <w:sz w:val="20"/>
          <w:szCs w:val="20"/>
        </w:rPr>
        <w:t xml:space="preserve"> azonosítóval került jelölésre.</w:t>
      </w:r>
    </w:p>
    <w:p w14:paraId="5001A50C" w14:textId="5C51444C"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31EFB">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w:t>
      </w:r>
      <w:proofErr w:type="spellStart"/>
      <w:r w:rsidRPr="00C64F51">
        <w:rPr>
          <w:rFonts w:ascii="Arial" w:hAnsi="Arial" w:cs="Arial"/>
          <w:sz w:val="20"/>
          <w:szCs w:val="20"/>
        </w:rPr>
        <w:t>MSCI</w:t>
      </w:r>
      <w:proofErr w:type="spellEnd"/>
      <w:r w:rsidRPr="00C64F51">
        <w:rPr>
          <w:rFonts w:ascii="Arial" w:hAnsi="Arial" w:cs="Arial"/>
          <w:sz w:val="20"/>
          <w:szCs w:val="20"/>
        </w:rPr>
        <w:t xml:space="preserve"> World USD index esetén: </w:t>
      </w:r>
      <w:proofErr w:type="spellStart"/>
      <w:r w:rsidRPr="00C64F51">
        <w:rPr>
          <w:rFonts w:ascii="Arial" w:hAnsi="Arial" w:cs="Arial"/>
          <w:sz w:val="20"/>
          <w:szCs w:val="20"/>
        </w:rPr>
        <w:t>BBG</w:t>
      </w:r>
      <w:proofErr w:type="spellEnd"/>
      <w:r w:rsidRPr="00C64F51">
        <w:rPr>
          <w:rFonts w:ascii="Arial" w:hAnsi="Arial" w:cs="Arial"/>
          <w:sz w:val="20"/>
          <w:szCs w:val="20"/>
        </w:rPr>
        <w:t>/</w:t>
      </w:r>
      <w:proofErr w:type="spellStart"/>
      <w:r w:rsidRPr="00C64F51">
        <w:rPr>
          <w:rFonts w:ascii="Arial" w:hAnsi="Arial" w:cs="Arial"/>
          <w:sz w:val="20"/>
          <w:szCs w:val="20"/>
        </w:rPr>
        <w:t>MSDUWI</w:t>
      </w:r>
      <w:proofErr w:type="spellEnd"/>
      <w:r w:rsidRPr="00C64F51">
        <w:rPr>
          <w:rFonts w:ascii="Arial" w:hAnsi="Arial" w:cs="Arial"/>
          <w:sz w:val="20"/>
          <w:szCs w:val="20"/>
        </w:rPr>
        <w:t>.</w:t>
      </w:r>
    </w:p>
    <w:p w14:paraId="31E7E510" w14:textId="77777777" w:rsidR="00C64F51" w:rsidRPr="00C64F51" w:rsidRDefault="00C64F51" w:rsidP="00B31EFB">
      <w:pPr>
        <w:jc w:val="both"/>
        <w:rPr>
          <w:rFonts w:ascii="Arial" w:hAnsi="Arial" w:cs="Arial"/>
          <w:sz w:val="20"/>
          <w:szCs w:val="20"/>
        </w:rPr>
      </w:pPr>
    </w:p>
    <w:p w14:paraId="284B7500" w14:textId="77777777" w:rsidR="00C64F51" w:rsidRPr="00C64F51" w:rsidRDefault="00C64F51" w:rsidP="00C93692">
      <w:pPr>
        <w:keepNext/>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31EFB">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31EFB">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76E1B523" w14:textId="31923463" w:rsidR="00506D66" w:rsidRPr="005936A1" w:rsidRDefault="000D61B6" w:rsidP="005936A1">
      <w:pPr>
        <w:jc w:val="both"/>
        <w:rPr>
          <w:rFonts w:ascii="Arial" w:hAnsi="Arial" w:cs="Arial"/>
          <w:sz w:val="20"/>
          <w:szCs w:val="20"/>
        </w:rPr>
      </w:pPr>
      <w:r w:rsidRPr="005936A1">
        <w:rPr>
          <w:rFonts w:ascii="Arial" w:hAnsi="Arial" w:cs="Arial"/>
          <w:sz w:val="20"/>
          <w:szCs w:val="20"/>
        </w:rPr>
        <w:t xml:space="preserve">A felügyeleti jelentést az ERA rendszer </w:t>
      </w:r>
      <w:proofErr w:type="spellStart"/>
      <w:r w:rsidRPr="005936A1">
        <w:rPr>
          <w:rFonts w:ascii="Arial" w:hAnsi="Arial" w:cs="Arial"/>
          <w:sz w:val="20"/>
          <w:szCs w:val="20"/>
        </w:rPr>
        <w:t>ZPT</w:t>
      </w:r>
      <w:proofErr w:type="spellEnd"/>
      <w:r w:rsidRPr="005936A1">
        <w:rPr>
          <w:rFonts w:ascii="Arial" w:hAnsi="Arial" w:cs="Arial"/>
          <w:sz w:val="20"/>
          <w:szCs w:val="20"/>
        </w:rPr>
        <w:t xml:space="preserve"> termékbejelentő szolgáltatása felületén elérhető űrlapon szükséges teljesíteni, a jelentendő adatok tartalmára az ott elérhető kitöltési információk nyújtanak útmutatást.</w:t>
      </w:r>
    </w:p>
    <w:p w14:paraId="59F02A51" w14:textId="77777777" w:rsidR="00C64F51" w:rsidRPr="00726480" w:rsidRDefault="00C64F51" w:rsidP="005936A1">
      <w:pPr>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7E5DB" w14:textId="77777777" w:rsidR="008F265F" w:rsidRDefault="008F265F" w:rsidP="00C211D8">
      <w:r>
        <w:separator/>
      </w:r>
    </w:p>
  </w:endnote>
  <w:endnote w:type="continuationSeparator" w:id="0">
    <w:p w14:paraId="3E78DF9E" w14:textId="77777777" w:rsidR="008F265F" w:rsidRDefault="008F265F" w:rsidP="00C211D8">
      <w:r>
        <w:continuationSeparator/>
      </w:r>
    </w:p>
  </w:endnote>
  <w:endnote w:type="continuationNotice" w:id="1">
    <w:p w14:paraId="0EDDAD1A" w14:textId="77777777" w:rsidR="008F265F" w:rsidRDefault="008F2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1C9C1" w14:textId="77777777" w:rsidR="008F265F" w:rsidRDefault="008F265F" w:rsidP="00C211D8">
      <w:r>
        <w:separator/>
      </w:r>
    </w:p>
  </w:footnote>
  <w:footnote w:type="continuationSeparator" w:id="0">
    <w:p w14:paraId="2BA23A7C" w14:textId="77777777" w:rsidR="008F265F" w:rsidRDefault="008F265F" w:rsidP="00C211D8">
      <w:r>
        <w:continuationSeparator/>
      </w:r>
    </w:p>
  </w:footnote>
  <w:footnote w:type="continuationNotice" w:id="1">
    <w:p w14:paraId="6C1CA1C6" w14:textId="77777777" w:rsidR="008F265F" w:rsidRDefault="008F2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21E"/>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2DF5"/>
    <w:rsid w:val="0002354C"/>
    <w:rsid w:val="00023F07"/>
    <w:rsid w:val="000244BE"/>
    <w:rsid w:val="00024FF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4F18"/>
    <w:rsid w:val="000651DF"/>
    <w:rsid w:val="000656A4"/>
    <w:rsid w:val="000658E2"/>
    <w:rsid w:val="00065BC7"/>
    <w:rsid w:val="0006604F"/>
    <w:rsid w:val="000663D5"/>
    <w:rsid w:val="00067019"/>
    <w:rsid w:val="0006739D"/>
    <w:rsid w:val="00067AE8"/>
    <w:rsid w:val="00067DDB"/>
    <w:rsid w:val="0007003B"/>
    <w:rsid w:val="00070936"/>
    <w:rsid w:val="000717FA"/>
    <w:rsid w:val="00071E21"/>
    <w:rsid w:val="00072580"/>
    <w:rsid w:val="00073479"/>
    <w:rsid w:val="0007417D"/>
    <w:rsid w:val="0007456C"/>
    <w:rsid w:val="00074BD0"/>
    <w:rsid w:val="00074D59"/>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5B8E"/>
    <w:rsid w:val="0009619C"/>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4A"/>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838"/>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1B6"/>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4D7C"/>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8DC"/>
    <w:rsid w:val="00101B46"/>
    <w:rsid w:val="00102004"/>
    <w:rsid w:val="0010213E"/>
    <w:rsid w:val="00103CD1"/>
    <w:rsid w:val="001047F5"/>
    <w:rsid w:val="001048EA"/>
    <w:rsid w:val="00104C07"/>
    <w:rsid w:val="00104CFE"/>
    <w:rsid w:val="001065ED"/>
    <w:rsid w:val="00106964"/>
    <w:rsid w:val="001072E5"/>
    <w:rsid w:val="00107E93"/>
    <w:rsid w:val="0011089C"/>
    <w:rsid w:val="00110928"/>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0B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C4D"/>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6E7B"/>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2F10"/>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40E9"/>
    <w:rsid w:val="001B530C"/>
    <w:rsid w:val="001B587D"/>
    <w:rsid w:val="001B5A9C"/>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033"/>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5E30"/>
    <w:rsid w:val="002464C6"/>
    <w:rsid w:val="002472C2"/>
    <w:rsid w:val="00247534"/>
    <w:rsid w:val="0025072F"/>
    <w:rsid w:val="00250B16"/>
    <w:rsid w:val="00251F9E"/>
    <w:rsid w:val="002521B8"/>
    <w:rsid w:val="002535D5"/>
    <w:rsid w:val="00253629"/>
    <w:rsid w:val="00253DB0"/>
    <w:rsid w:val="00254AE2"/>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5AE9"/>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5"/>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790"/>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088"/>
    <w:rsid w:val="002D338A"/>
    <w:rsid w:val="002D3DC5"/>
    <w:rsid w:val="002D3E59"/>
    <w:rsid w:val="002D3E93"/>
    <w:rsid w:val="002D4472"/>
    <w:rsid w:val="002D450B"/>
    <w:rsid w:val="002D4C3B"/>
    <w:rsid w:val="002D531A"/>
    <w:rsid w:val="002D5ECB"/>
    <w:rsid w:val="002D60B9"/>
    <w:rsid w:val="002D69FE"/>
    <w:rsid w:val="002D6F7C"/>
    <w:rsid w:val="002D7271"/>
    <w:rsid w:val="002D7A3E"/>
    <w:rsid w:val="002E0437"/>
    <w:rsid w:val="002E1515"/>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0AD"/>
    <w:rsid w:val="003356D3"/>
    <w:rsid w:val="00335C8C"/>
    <w:rsid w:val="00337844"/>
    <w:rsid w:val="00340288"/>
    <w:rsid w:val="00340471"/>
    <w:rsid w:val="00341688"/>
    <w:rsid w:val="0034172F"/>
    <w:rsid w:val="00341ABB"/>
    <w:rsid w:val="00341F12"/>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08C"/>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572F"/>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1E76"/>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7BC"/>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160"/>
    <w:rsid w:val="00410594"/>
    <w:rsid w:val="00410A8F"/>
    <w:rsid w:val="00410F3B"/>
    <w:rsid w:val="0041231A"/>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A"/>
    <w:rsid w:val="00476B1B"/>
    <w:rsid w:val="00476E36"/>
    <w:rsid w:val="00476EED"/>
    <w:rsid w:val="00476FDD"/>
    <w:rsid w:val="00477B94"/>
    <w:rsid w:val="00477CDF"/>
    <w:rsid w:val="00477E13"/>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B55"/>
    <w:rsid w:val="00494CAF"/>
    <w:rsid w:val="00494F50"/>
    <w:rsid w:val="00495BB6"/>
    <w:rsid w:val="00496725"/>
    <w:rsid w:val="004969F0"/>
    <w:rsid w:val="0049772D"/>
    <w:rsid w:val="00497A6F"/>
    <w:rsid w:val="00497BFE"/>
    <w:rsid w:val="00497CDF"/>
    <w:rsid w:val="004A04F4"/>
    <w:rsid w:val="004A16B6"/>
    <w:rsid w:val="004A17C9"/>
    <w:rsid w:val="004A1CB8"/>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067E"/>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16"/>
    <w:rsid w:val="004F0AFF"/>
    <w:rsid w:val="004F0B2C"/>
    <w:rsid w:val="004F1D58"/>
    <w:rsid w:val="004F21CA"/>
    <w:rsid w:val="004F266A"/>
    <w:rsid w:val="004F2B2F"/>
    <w:rsid w:val="004F327E"/>
    <w:rsid w:val="004F33E8"/>
    <w:rsid w:val="004F4378"/>
    <w:rsid w:val="004F454B"/>
    <w:rsid w:val="004F45F9"/>
    <w:rsid w:val="004F5E44"/>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6D66"/>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44D"/>
    <w:rsid w:val="00521FF5"/>
    <w:rsid w:val="0052430C"/>
    <w:rsid w:val="00524B29"/>
    <w:rsid w:val="0052652D"/>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36A1"/>
    <w:rsid w:val="005937B8"/>
    <w:rsid w:val="0059453E"/>
    <w:rsid w:val="00594638"/>
    <w:rsid w:val="005954F8"/>
    <w:rsid w:val="0059561C"/>
    <w:rsid w:val="00595A77"/>
    <w:rsid w:val="005963FC"/>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B9E"/>
    <w:rsid w:val="005B5E3A"/>
    <w:rsid w:val="005B5F2B"/>
    <w:rsid w:val="005B642A"/>
    <w:rsid w:val="005B6847"/>
    <w:rsid w:val="005B7787"/>
    <w:rsid w:val="005B782B"/>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3F3"/>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D45"/>
    <w:rsid w:val="00615826"/>
    <w:rsid w:val="0061605E"/>
    <w:rsid w:val="00616E68"/>
    <w:rsid w:val="0061723C"/>
    <w:rsid w:val="0061724B"/>
    <w:rsid w:val="0061785E"/>
    <w:rsid w:val="00617A1B"/>
    <w:rsid w:val="00617B6D"/>
    <w:rsid w:val="0062227F"/>
    <w:rsid w:val="00622525"/>
    <w:rsid w:val="00622726"/>
    <w:rsid w:val="00623A44"/>
    <w:rsid w:val="00624C89"/>
    <w:rsid w:val="00624D16"/>
    <w:rsid w:val="00624FC2"/>
    <w:rsid w:val="00626F2E"/>
    <w:rsid w:val="00627512"/>
    <w:rsid w:val="00627EAC"/>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15BD"/>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3773"/>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93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4D4"/>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1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4DA"/>
    <w:rsid w:val="006C0CDC"/>
    <w:rsid w:val="006C13E3"/>
    <w:rsid w:val="006C22F3"/>
    <w:rsid w:val="006C25A0"/>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4FE"/>
    <w:rsid w:val="006E2854"/>
    <w:rsid w:val="006E390B"/>
    <w:rsid w:val="006E3A67"/>
    <w:rsid w:val="006E47AC"/>
    <w:rsid w:val="006E4CAF"/>
    <w:rsid w:val="006E605E"/>
    <w:rsid w:val="006E6446"/>
    <w:rsid w:val="006E7188"/>
    <w:rsid w:val="006E7688"/>
    <w:rsid w:val="006E7CB6"/>
    <w:rsid w:val="006E7FE0"/>
    <w:rsid w:val="006F0590"/>
    <w:rsid w:val="006F1362"/>
    <w:rsid w:val="006F15C4"/>
    <w:rsid w:val="006F1B64"/>
    <w:rsid w:val="006F2847"/>
    <w:rsid w:val="006F299C"/>
    <w:rsid w:val="006F31E4"/>
    <w:rsid w:val="006F34FE"/>
    <w:rsid w:val="006F3C2E"/>
    <w:rsid w:val="006F3C32"/>
    <w:rsid w:val="006F4442"/>
    <w:rsid w:val="006F4C09"/>
    <w:rsid w:val="006F6185"/>
    <w:rsid w:val="006F6258"/>
    <w:rsid w:val="006F6895"/>
    <w:rsid w:val="006F6E93"/>
    <w:rsid w:val="00700633"/>
    <w:rsid w:val="0070086B"/>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5C0E"/>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779"/>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B82"/>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4BB9"/>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3CD"/>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A8F"/>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2E68"/>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A43"/>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8F7"/>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4F69"/>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95A"/>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339"/>
    <w:rsid w:val="008A2CE0"/>
    <w:rsid w:val="008A313F"/>
    <w:rsid w:val="008A3342"/>
    <w:rsid w:val="008A3355"/>
    <w:rsid w:val="008A3590"/>
    <w:rsid w:val="008A43AE"/>
    <w:rsid w:val="008A4D16"/>
    <w:rsid w:val="008A4D49"/>
    <w:rsid w:val="008A4F67"/>
    <w:rsid w:val="008A52C3"/>
    <w:rsid w:val="008A5615"/>
    <w:rsid w:val="008A58F7"/>
    <w:rsid w:val="008A6BB3"/>
    <w:rsid w:val="008A7085"/>
    <w:rsid w:val="008A73DF"/>
    <w:rsid w:val="008A7BCC"/>
    <w:rsid w:val="008A7CA1"/>
    <w:rsid w:val="008B00E2"/>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5D3"/>
    <w:rsid w:val="008C3706"/>
    <w:rsid w:val="008C3A45"/>
    <w:rsid w:val="008C3C67"/>
    <w:rsid w:val="008C4090"/>
    <w:rsid w:val="008C44F7"/>
    <w:rsid w:val="008C464E"/>
    <w:rsid w:val="008C61D1"/>
    <w:rsid w:val="008C6547"/>
    <w:rsid w:val="008C6A0F"/>
    <w:rsid w:val="008C70B5"/>
    <w:rsid w:val="008C7AC2"/>
    <w:rsid w:val="008D0337"/>
    <w:rsid w:val="008D13A7"/>
    <w:rsid w:val="008D17A6"/>
    <w:rsid w:val="008D1907"/>
    <w:rsid w:val="008D36BA"/>
    <w:rsid w:val="008D3799"/>
    <w:rsid w:val="008D4169"/>
    <w:rsid w:val="008D46DE"/>
    <w:rsid w:val="008D4CF7"/>
    <w:rsid w:val="008D4DBB"/>
    <w:rsid w:val="008D502F"/>
    <w:rsid w:val="008D6420"/>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265F"/>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731"/>
    <w:rsid w:val="00942B7F"/>
    <w:rsid w:val="00942D86"/>
    <w:rsid w:val="00944502"/>
    <w:rsid w:val="00945282"/>
    <w:rsid w:val="00945387"/>
    <w:rsid w:val="00945CCE"/>
    <w:rsid w:val="00946862"/>
    <w:rsid w:val="00946B34"/>
    <w:rsid w:val="00947298"/>
    <w:rsid w:val="0094799A"/>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3883"/>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4A4"/>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2D29"/>
    <w:rsid w:val="009F39B0"/>
    <w:rsid w:val="009F41C5"/>
    <w:rsid w:val="009F4611"/>
    <w:rsid w:val="009F4854"/>
    <w:rsid w:val="009F4857"/>
    <w:rsid w:val="009F4D9D"/>
    <w:rsid w:val="009F51E4"/>
    <w:rsid w:val="009F63EB"/>
    <w:rsid w:val="009F712F"/>
    <w:rsid w:val="00A0021D"/>
    <w:rsid w:val="00A004EE"/>
    <w:rsid w:val="00A00849"/>
    <w:rsid w:val="00A014AA"/>
    <w:rsid w:val="00A014D5"/>
    <w:rsid w:val="00A017F5"/>
    <w:rsid w:val="00A01A3B"/>
    <w:rsid w:val="00A01FB3"/>
    <w:rsid w:val="00A020EF"/>
    <w:rsid w:val="00A0241D"/>
    <w:rsid w:val="00A02860"/>
    <w:rsid w:val="00A033C6"/>
    <w:rsid w:val="00A041BC"/>
    <w:rsid w:val="00A04548"/>
    <w:rsid w:val="00A04F3B"/>
    <w:rsid w:val="00A052D8"/>
    <w:rsid w:val="00A055F1"/>
    <w:rsid w:val="00A05718"/>
    <w:rsid w:val="00A05C97"/>
    <w:rsid w:val="00A06183"/>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5BCB"/>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9719B"/>
    <w:rsid w:val="00AA0331"/>
    <w:rsid w:val="00AA0887"/>
    <w:rsid w:val="00AA0F46"/>
    <w:rsid w:val="00AA19EB"/>
    <w:rsid w:val="00AA1B12"/>
    <w:rsid w:val="00AA1F3F"/>
    <w:rsid w:val="00AA3266"/>
    <w:rsid w:val="00AA339E"/>
    <w:rsid w:val="00AA33D6"/>
    <w:rsid w:val="00AA38B9"/>
    <w:rsid w:val="00AA3981"/>
    <w:rsid w:val="00AA4A5A"/>
    <w:rsid w:val="00AA5220"/>
    <w:rsid w:val="00AA5B1D"/>
    <w:rsid w:val="00AB034F"/>
    <w:rsid w:val="00AB04F8"/>
    <w:rsid w:val="00AB05F1"/>
    <w:rsid w:val="00AB0758"/>
    <w:rsid w:val="00AB0991"/>
    <w:rsid w:val="00AB2915"/>
    <w:rsid w:val="00AB2E8B"/>
    <w:rsid w:val="00AB3F83"/>
    <w:rsid w:val="00AB3FFF"/>
    <w:rsid w:val="00AB4AA2"/>
    <w:rsid w:val="00AB4AF5"/>
    <w:rsid w:val="00AB5F23"/>
    <w:rsid w:val="00AB6990"/>
    <w:rsid w:val="00AB6F63"/>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A6F"/>
    <w:rsid w:val="00B02D1D"/>
    <w:rsid w:val="00B02E54"/>
    <w:rsid w:val="00B03785"/>
    <w:rsid w:val="00B03A01"/>
    <w:rsid w:val="00B03AA9"/>
    <w:rsid w:val="00B03CFE"/>
    <w:rsid w:val="00B03D38"/>
    <w:rsid w:val="00B03F8B"/>
    <w:rsid w:val="00B0407F"/>
    <w:rsid w:val="00B04379"/>
    <w:rsid w:val="00B048C8"/>
    <w:rsid w:val="00B04C91"/>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36"/>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31E"/>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2A2E"/>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51"/>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1C10"/>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39D"/>
    <w:rsid w:val="00BE4E85"/>
    <w:rsid w:val="00BE5D4E"/>
    <w:rsid w:val="00BE66BF"/>
    <w:rsid w:val="00BE7134"/>
    <w:rsid w:val="00BF0C25"/>
    <w:rsid w:val="00BF125A"/>
    <w:rsid w:val="00BF2581"/>
    <w:rsid w:val="00BF2A71"/>
    <w:rsid w:val="00BF3A8B"/>
    <w:rsid w:val="00BF429B"/>
    <w:rsid w:val="00BF448B"/>
    <w:rsid w:val="00BF4891"/>
    <w:rsid w:val="00BF49A9"/>
    <w:rsid w:val="00BF4CCC"/>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88"/>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2D7F"/>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692"/>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297A"/>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154"/>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2F5"/>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3979"/>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39AE"/>
    <w:rsid w:val="00D74E78"/>
    <w:rsid w:val="00D75DED"/>
    <w:rsid w:val="00D7664C"/>
    <w:rsid w:val="00D8001C"/>
    <w:rsid w:val="00D80255"/>
    <w:rsid w:val="00D802B5"/>
    <w:rsid w:val="00D802B9"/>
    <w:rsid w:val="00D81387"/>
    <w:rsid w:val="00D819B7"/>
    <w:rsid w:val="00D81CC1"/>
    <w:rsid w:val="00D8245C"/>
    <w:rsid w:val="00D82E72"/>
    <w:rsid w:val="00D838D3"/>
    <w:rsid w:val="00D83B53"/>
    <w:rsid w:val="00D83CF9"/>
    <w:rsid w:val="00D84AEE"/>
    <w:rsid w:val="00D862F6"/>
    <w:rsid w:val="00D86812"/>
    <w:rsid w:val="00D86C4F"/>
    <w:rsid w:val="00D87189"/>
    <w:rsid w:val="00D9030D"/>
    <w:rsid w:val="00D911EB"/>
    <w:rsid w:val="00D93F3A"/>
    <w:rsid w:val="00D94187"/>
    <w:rsid w:val="00D94F92"/>
    <w:rsid w:val="00D96739"/>
    <w:rsid w:val="00D9716E"/>
    <w:rsid w:val="00D97853"/>
    <w:rsid w:val="00DA09D5"/>
    <w:rsid w:val="00DA0EE2"/>
    <w:rsid w:val="00DA0F02"/>
    <w:rsid w:val="00DA22B2"/>
    <w:rsid w:val="00DA2C61"/>
    <w:rsid w:val="00DA324C"/>
    <w:rsid w:val="00DA3A7F"/>
    <w:rsid w:val="00DA430A"/>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64D"/>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2F02"/>
    <w:rsid w:val="00DF3610"/>
    <w:rsid w:val="00DF3916"/>
    <w:rsid w:val="00DF3CED"/>
    <w:rsid w:val="00DF496D"/>
    <w:rsid w:val="00DF4F4C"/>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4CFB"/>
    <w:rsid w:val="00E16B59"/>
    <w:rsid w:val="00E17151"/>
    <w:rsid w:val="00E20374"/>
    <w:rsid w:val="00E20489"/>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0E87"/>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4DC"/>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1DC5"/>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97FA7"/>
    <w:rsid w:val="00EA0E87"/>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24B"/>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1F5B"/>
    <w:rsid w:val="00EE2D15"/>
    <w:rsid w:val="00EE2EC8"/>
    <w:rsid w:val="00EE33C2"/>
    <w:rsid w:val="00EE3F87"/>
    <w:rsid w:val="00EE3FED"/>
    <w:rsid w:val="00EE44B9"/>
    <w:rsid w:val="00EE507E"/>
    <w:rsid w:val="00EE51C1"/>
    <w:rsid w:val="00EE5243"/>
    <w:rsid w:val="00EE62FF"/>
    <w:rsid w:val="00EE703D"/>
    <w:rsid w:val="00EE72F0"/>
    <w:rsid w:val="00EE7592"/>
    <w:rsid w:val="00EE7885"/>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6423"/>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2D59"/>
    <w:rsid w:val="00F43783"/>
    <w:rsid w:val="00F43D3E"/>
    <w:rsid w:val="00F44DB6"/>
    <w:rsid w:val="00F45006"/>
    <w:rsid w:val="00F4542E"/>
    <w:rsid w:val="00F45895"/>
    <w:rsid w:val="00F460E3"/>
    <w:rsid w:val="00F46794"/>
    <w:rsid w:val="00F46FDC"/>
    <w:rsid w:val="00F479A1"/>
    <w:rsid w:val="00F47EEB"/>
    <w:rsid w:val="00F50D34"/>
    <w:rsid w:val="00F50E35"/>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1958"/>
    <w:rsid w:val="00F62031"/>
    <w:rsid w:val="00F62035"/>
    <w:rsid w:val="00F63261"/>
    <w:rsid w:val="00F644BC"/>
    <w:rsid w:val="00F64931"/>
    <w:rsid w:val="00F64C50"/>
    <w:rsid w:val="00F6516F"/>
    <w:rsid w:val="00F6595C"/>
    <w:rsid w:val="00F65BD0"/>
    <w:rsid w:val="00F65C5E"/>
    <w:rsid w:val="00F65C7D"/>
    <w:rsid w:val="00F65CAC"/>
    <w:rsid w:val="00F65E32"/>
    <w:rsid w:val="00F65EC2"/>
    <w:rsid w:val="00F6697D"/>
    <w:rsid w:val="00F66996"/>
    <w:rsid w:val="00F67915"/>
    <w:rsid w:val="00F70227"/>
    <w:rsid w:val="00F70D7D"/>
    <w:rsid w:val="00F70E02"/>
    <w:rsid w:val="00F712E0"/>
    <w:rsid w:val="00F715FF"/>
    <w:rsid w:val="00F71887"/>
    <w:rsid w:val="00F71A50"/>
    <w:rsid w:val="00F72287"/>
    <w:rsid w:val="00F7272D"/>
    <w:rsid w:val="00F730EF"/>
    <w:rsid w:val="00F7328A"/>
    <w:rsid w:val="00F7339E"/>
    <w:rsid w:val="00F752B5"/>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87999"/>
    <w:rsid w:val="00F907DA"/>
    <w:rsid w:val="00F9199E"/>
    <w:rsid w:val="00F94AED"/>
    <w:rsid w:val="00F95094"/>
    <w:rsid w:val="00F95213"/>
    <w:rsid w:val="00F95FB9"/>
    <w:rsid w:val="00F96763"/>
    <w:rsid w:val="00F96922"/>
    <w:rsid w:val="00F9725F"/>
    <w:rsid w:val="00F977BD"/>
    <w:rsid w:val="00F97AC9"/>
    <w:rsid w:val="00FA0160"/>
    <w:rsid w:val="00FA08EF"/>
    <w:rsid w:val="00FA0ABF"/>
    <w:rsid w:val="00FA0C21"/>
    <w:rsid w:val="00FA1722"/>
    <w:rsid w:val="00FA19BC"/>
    <w:rsid w:val="00FA22FB"/>
    <w:rsid w:val="00FA29EE"/>
    <w:rsid w:val="00FA2B48"/>
    <w:rsid w:val="00FA2E69"/>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A789F"/>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5AEC"/>
    <w:rsid w:val="00FD673C"/>
    <w:rsid w:val="00FD6E44"/>
    <w:rsid w:val="00FD7FD5"/>
    <w:rsid w:val="00FE149C"/>
    <w:rsid w:val="00FE16DB"/>
    <w:rsid w:val="00FE1BB9"/>
    <w:rsid w:val="00FE21D2"/>
    <w:rsid w:val="00FE2BD6"/>
    <w:rsid w:val="00FE3906"/>
    <w:rsid w:val="00FE43CC"/>
    <w:rsid w:val="00FE5835"/>
    <w:rsid w:val="00FE59F0"/>
    <w:rsid w:val="00FE6FDD"/>
    <w:rsid w:val="00FE7212"/>
    <w:rsid w:val="00FE735B"/>
    <w:rsid w:val="00FE75AC"/>
    <w:rsid w:val="00FE79EF"/>
    <w:rsid w:val="00FF024C"/>
    <w:rsid w:val="00FF0D3A"/>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A2E69"/>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 w:type="paragraph" w:styleId="Lbjegyzetszveg">
    <w:name w:val="footnote text"/>
    <w:basedOn w:val="Norml"/>
    <w:link w:val="LbjegyzetszvegChar"/>
    <w:uiPriority w:val="99"/>
    <w:semiHidden/>
    <w:unhideWhenUsed/>
    <w:rsid w:val="00286790"/>
    <w:rPr>
      <w:sz w:val="20"/>
      <w:szCs w:val="20"/>
    </w:rPr>
  </w:style>
  <w:style w:type="character" w:customStyle="1" w:styleId="LbjegyzetszvegChar">
    <w:name w:val="Lábjegyzetszöveg Char"/>
    <w:basedOn w:val="Bekezdsalapbettpusa"/>
    <w:link w:val="Lbjegyzetszveg"/>
    <w:uiPriority w:val="99"/>
    <w:semiHidden/>
    <w:rsid w:val="00286790"/>
    <w:rPr>
      <w:rFonts w:ascii="Times New Roman" w:eastAsia="Times New Roman" w:hAnsi="Times New Roman"/>
    </w:rPr>
  </w:style>
  <w:style w:type="character" w:styleId="Lbjegyzet-hivatkozs">
    <w:name w:val="footnote reference"/>
    <w:basedOn w:val="Bekezdsalapbettpusa"/>
    <w:uiPriority w:val="99"/>
    <w:semiHidden/>
    <w:unhideWhenUsed/>
    <w:rsid w:val="002867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441">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25239439">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36153108">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0613964">
      <w:bodyDiv w:val="1"/>
      <w:marLeft w:val="0"/>
      <w:marRight w:val="0"/>
      <w:marTop w:val="0"/>
      <w:marBottom w:val="0"/>
      <w:divBdr>
        <w:top w:val="none" w:sz="0" w:space="0" w:color="auto"/>
        <w:left w:val="none" w:sz="0" w:space="0" w:color="auto"/>
        <w:bottom w:val="none" w:sz="0" w:space="0" w:color="auto"/>
        <w:right w:val="none" w:sz="0" w:space="0" w:color="auto"/>
      </w:divBdr>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280255626">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12135463">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750928382">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82748758">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38</Pages>
  <Words>16413</Words>
  <Characters>113255</Characters>
  <Application>Microsoft Office Word</Application>
  <DocSecurity>0</DocSecurity>
  <Lines>943</Lines>
  <Paragraphs>258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24</cp:revision>
  <cp:lastPrinted>2025-11-11T14:42:00Z</cp:lastPrinted>
  <dcterms:created xsi:type="dcterms:W3CDTF">2025-09-16T14:05:00Z</dcterms:created>
  <dcterms:modified xsi:type="dcterms:W3CDTF">2025-11-11T14:43:00Z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