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2308" w14:textId="77777777" w:rsidR="0092684C" w:rsidRPr="003B7DA2" w:rsidRDefault="0092684C">
      <w:pPr>
        <w:jc w:val="both"/>
        <w:rPr>
          <w:u w:val="single"/>
        </w:rPr>
      </w:pPr>
    </w:p>
    <w:p w14:paraId="7F24B608" w14:textId="77777777" w:rsidR="0092684C" w:rsidRPr="003B7DA2" w:rsidRDefault="0092684C">
      <w:pPr>
        <w:pStyle w:val="Heading3"/>
        <w:jc w:val="center"/>
        <w:rPr>
          <w:rFonts w:ascii="Calibri" w:hAnsi="Calibri"/>
          <w:sz w:val="22"/>
          <w:szCs w:val="22"/>
        </w:rPr>
      </w:pPr>
      <w:bookmarkStart w:id="0" w:name="_Toc120612687"/>
      <w:bookmarkStart w:id="1" w:name="_Toc122850666"/>
      <w:bookmarkStart w:id="2" w:name="_Toc125788685"/>
      <w:r w:rsidRPr="003B7DA2">
        <w:rPr>
          <w:rFonts w:ascii="Calibri" w:hAnsi="Calibri"/>
          <w:sz w:val="22"/>
          <w:szCs w:val="22"/>
        </w:rPr>
        <w:t>Az egyes pénzügyi derivatív instrumentumokkal kapcsolatos sajátosságok</w:t>
      </w:r>
      <w:bookmarkEnd w:id="0"/>
      <w:bookmarkEnd w:id="1"/>
      <w:bookmarkEnd w:id="2"/>
      <w:r w:rsidRPr="003B7DA2">
        <w:rPr>
          <w:rFonts w:ascii="Calibri" w:hAnsi="Calibri"/>
          <w:sz w:val="22"/>
          <w:szCs w:val="22"/>
        </w:rPr>
        <w:t>, példák az R0</w:t>
      </w:r>
      <w:r w:rsidR="00583402" w:rsidRPr="003B7DA2">
        <w:rPr>
          <w:rFonts w:ascii="Calibri" w:hAnsi="Calibri"/>
          <w:sz w:val="22"/>
          <w:szCs w:val="22"/>
        </w:rPr>
        <w:t>5</w:t>
      </w:r>
      <w:r w:rsidRPr="003B7DA2">
        <w:rPr>
          <w:rFonts w:ascii="Calibri" w:hAnsi="Calibri"/>
          <w:sz w:val="22"/>
          <w:szCs w:val="22"/>
        </w:rPr>
        <w:t>/R14 adatszolgáltatás DER táblái összeállításához</w:t>
      </w:r>
    </w:p>
    <w:p w14:paraId="3E683FBA" w14:textId="77777777" w:rsidR="0092684C" w:rsidRPr="003B7DA2" w:rsidRDefault="0092684C">
      <w:pPr>
        <w:pStyle w:val="BodyText"/>
        <w:rPr>
          <w:rFonts w:ascii="Calibri" w:hAnsi="Calibri"/>
          <w:b/>
          <w:bCs/>
          <w:sz w:val="22"/>
          <w:szCs w:val="22"/>
          <w:u w:val="single"/>
        </w:rPr>
      </w:pPr>
      <w:bookmarkStart w:id="3" w:name="_Toc120612688"/>
      <w:bookmarkStart w:id="4" w:name="_Toc122850667"/>
    </w:p>
    <w:p w14:paraId="40618EEC" w14:textId="77777777" w:rsidR="0092684C" w:rsidRPr="003B7DA2" w:rsidRDefault="0092684C">
      <w:pPr>
        <w:pStyle w:val="BodyText"/>
        <w:rPr>
          <w:rFonts w:ascii="Calibri" w:hAnsi="Calibri"/>
          <w:b/>
          <w:bCs/>
          <w:sz w:val="22"/>
          <w:szCs w:val="22"/>
          <w:u w:val="single"/>
        </w:rPr>
      </w:pPr>
    </w:p>
    <w:p w14:paraId="79B4D118" w14:textId="77777777" w:rsidR="0092684C" w:rsidRPr="003B7DA2" w:rsidRDefault="0092684C">
      <w:pPr>
        <w:pStyle w:val="BodyText"/>
        <w:rPr>
          <w:rFonts w:ascii="Calibri" w:hAnsi="Calibri"/>
          <w:b/>
          <w:bCs/>
          <w:sz w:val="22"/>
          <w:szCs w:val="22"/>
          <w:u w:val="single"/>
        </w:rPr>
      </w:pPr>
    </w:p>
    <w:p w14:paraId="28C66BFF" w14:textId="77777777" w:rsidR="0092684C" w:rsidRPr="003B7DA2" w:rsidRDefault="0092684C">
      <w:pPr>
        <w:pStyle w:val="BodyText"/>
        <w:rPr>
          <w:rFonts w:ascii="Calibri" w:hAnsi="Calibri"/>
          <w:b/>
          <w:bCs/>
          <w:sz w:val="22"/>
          <w:szCs w:val="22"/>
        </w:rPr>
      </w:pPr>
      <w:r w:rsidRPr="003B7DA2">
        <w:rPr>
          <w:rFonts w:ascii="Calibri" w:hAnsi="Calibri"/>
          <w:b/>
          <w:bCs/>
          <w:sz w:val="22"/>
          <w:szCs w:val="22"/>
        </w:rPr>
        <w:t>1. Határidős ügyletek:</w:t>
      </w:r>
    </w:p>
    <w:p w14:paraId="5F29ED3A" w14:textId="77777777" w:rsidR="0092684C" w:rsidRPr="003B7DA2" w:rsidRDefault="0092684C">
      <w:pPr>
        <w:pStyle w:val="BodyText"/>
        <w:rPr>
          <w:rFonts w:ascii="Calibri" w:hAnsi="Calibri"/>
          <w:b/>
          <w:bCs/>
          <w:sz w:val="22"/>
          <w:szCs w:val="22"/>
          <w:u w:val="single"/>
        </w:rPr>
      </w:pPr>
    </w:p>
    <w:p w14:paraId="667EB0DF"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Határidős ügyletek, amelyeknek a pénzügyi derivatív megállapodásban rögzített teljesítési időpontja meghaladja az azonnali ügyletekét (a magyar számviteli előírások szerint a tőzsdén kívüli ügyletekre definiált 8, devizaügyletekre vonatkozóan 2 értéknapot, illetve a tőzsdei ügyletek esetében azon időpontot, amelyekre azonnali ügyletek jegyezhetők).   </w:t>
      </w:r>
    </w:p>
    <w:p w14:paraId="25543CF2" w14:textId="77777777" w:rsidR="0092684C" w:rsidRPr="003B7DA2" w:rsidRDefault="0092684C">
      <w:pPr>
        <w:pStyle w:val="BlockText"/>
        <w:ind w:left="0" w:right="116"/>
        <w:rPr>
          <w:rFonts w:ascii="Calibri" w:hAnsi="Calibri"/>
          <w:sz w:val="22"/>
          <w:szCs w:val="22"/>
        </w:rPr>
      </w:pPr>
    </w:p>
    <w:p w14:paraId="2BB2D2E7" w14:textId="77777777" w:rsidR="0092684C" w:rsidRPr="003B7DA2" w:rsidRDefault="0092684C">
      <w:pPr>
        <w:pStyle w:val="BlockText"/>
        <w:ind w:left="0" w:right="116"/>
        <w:rPr>
          <w:rFonts w:ascii="Calibri" w:hAnsi="Calibri"/>
          <w:sz w:val="22"/>
          <w:szCs w:val="22"/>
        </w:rPr>
      </w:pPr>
      <w:r w:rsidRPr="003B7DA2">
        <w:rPr>
          <w:rFonts w:ascii="Calibri" w:hAnsi="Calibri"/>
          <w:sz w:val="22"/>
          <w:szCs w:val="22"/>
        </w:rPr>
        <w:t xml:space="preserve">Az ügyletkötés költségei szintén eligazítást adnak, mivel azonnali ügyletről akkor lehet beszélni, ha az ügylet az üzletkötést követő legkorábbi időpontban teljesítésbe megy, azaz adott értéknapra az üzletkötés napjánál későbbi időpontban már nem – vagy csak plusz költségek ellenében – lehet üzletet kötni. A legkorábbi teljesítés értéknapja ügylettípusonként más és más, továbbá az értéknapot a hétvégék és bankszünnapok is befolyásolják. </w:t>
      </w:r>
    </w:p>
    <w:p w14:paraId="0651AA3C" w14:textId="77777777" w:rsidR="0092684C" w:rsidRPr="003B7DA2" w:rsidRDefault="0092684C">
      <w:pPr>
        <w:pStyle w:val="BlockText"/>
        <w:ind w:left="0" w:right="116"/>
        <w:rPr>
          <w:rFonts w:ascii="Calibri" w:hAnsi="Calibri"/>
          <w:sz w:val="22"/>
          <w:szCs w:val="22"/>
        </w:rPr>
      </w:pPr>
    </w:p>
    <w:p w14:paraId="05FC69C3" w14:textId="77777777" w:rsidR="0092684C" w:rsidRPr="003B7DA2" w:rsidRDefault="0092684C">
      <w:pPr>
        <w:pStyle w:val="BodyText"/>
        <w:rPr>
          <w:rFonts w:ascii="Calibri" w:hAnsi="Calibri"/>
          <w:sz w:val="22"/>
          <w:szCs w:val="22"/>
        </w:rPr>
      </w:pPr>
      <w:r w:rsidRPr="003B7DA2">
        <w:rPr>
          <w:rFonts w:ascii="Calibri" w:hAnsi="Calibri"/>
          <w:sz w:val="22"/>
          <w:szCs w:val="22"/>
        </w:rPr>
        <w:t xml:space="preserve">A táblák kitöltésénél figyelemmel kell lenni arra, hogy azokban azonnali ügyletek nem szerepeltethetők, viszont a pénzügyi </w:t>
      </w:r>
      <w:proofErr w:type="spellStart"/>
      <w:r w:rsidRPr="003B7DA2">
        <w:rPr>
          <w:rFonts w:ascii="Calibri" w:hAnsi="Calibri"/>
          <w:sz w:val="22"/>
          <w:szCs w:val="22"/>
        </w:rPr>
        <w:t>derivatívákat</w:t>
      </w:r>
      <w:proofErr w:type="spellEnd"/>
      <w:r w:rsidRPr="003B7DA2">
        <w:rPr>
          <w:rFonts w:ascii="Calibri" w:hAnsi="Calibri"/>
          <w:sz w:val="22"/>
          <w:szCs w:val="22"/>
        </w:rPr>
        <w:t xml:space="preserve"> jelenteni kell: pl. egy azonnali értékpapír vétel, amelynek teljesítési napja lehet az üzletkötést követő 5. munkanap, nem szerepeltethető a táblákban, viszont az ezen ügylethez kapcsolódó, ugyancsak 5. teljesítési napra, mint értéknapra nem rezidens partnerrel kötött devizakonverzió már határidős üzletkötés, így azt az adatszolgáltatónak a DER táblákban jelentenie kell.  </w:t>
      </w:r>
    </w:p>
    <w:p w14:paraId="3F720687" w14:textId="77777777" w:rsidR="001677E7" w:rsidRPr="003B7DA2" w:rsidRDefault="001677E7">
      <w:pPr>
        <w:pStyle w:val="BodyText"/>
        <w:rPr>
          <w:rFonts w:ascii="Calibri" w:hAnsi="Calibri"/>
          <w:b/>
          <w:bCs/>
          <w:sz w:val="22"/>
          <w:szCs w:val="22"/>
          <w:u w:val="single"/>
        </w:rPr>
      </w:pPr>
    </w:p>
    <w:p w14:paraId="147134B9" w14:textId="77777777" w:rsidR="001677E7" w:rsidRPr="003B7DA2" w:rsidRDefault="001677E7" w:rsidP="001677E7">
      <w:pPr>
        <w:pStyle w:val="BlockText"/>
        <w:ind w:left="0" w:right="116"/>
        <w:rPr>
          <w:rFonts w:ascii="Calibri" w:hAnsi="Calibri"/>
          <w:b/>
          <w:sz w:val="22"/>
          <w:szCs w:val="22"/>
        </w:rPr>
      </w:pPr>
      <w:r w:rsidRPr="003B7DA2">
        <w:rPr>
          <w:rFonts w:ascii="Calibri" w:hAnsi="Calibri"/>
          <w:b/>
          <w:sz w:val="22"/>
          <w:szCs w:val="22"/>
        </w:rPr>
        <w:t>1. példa</w:t>
      </w:r>
    </w:p>
    <w:p w14:paraId="56006237" w14:textId="77777777"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vagyis az értékpapír leszállítása és az ellenérték kifizetése is ekkor történik meg. Szerepeltetni kell-e ezt az ügyletet a pénzügyi </w:t>
      </w:r>
      <w:proofErr w:type="spellStart"/>
      <w:r w:rsidRPr="003B7DA2">
        <w:rPr>
          <w:rFonts w:ascii="Calibri" w:hAnsi="Calibri"/>
          <w:sz w:val="22"/>
          <w:szCs w:val="22"/>
        </w:rPr>
        <w:t>derivatívák</w:t>
      </w:r>
      <w:proofErr w:type="spellEnd"/>
      <w:r w:rsidRPr="003B7DA2">
        <w:rPr>
          <w:rFonts w:ascii="Calibri" w:hAnsi="Calibri"/>
          <w:sz w:val="22"/>
          <w:szCs w:val="22"/>
        </w:rPr>
        <w:t xml:space="preserve"> között? </w:t>
      </w:r>
    </w:p>
    <w:p w14:paraId="67C4BCFB" w14:textId="77777777"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Nem, mivel ez azonnali értékpapír vásárlási ügylet.</w:t>
      </w:r>
    </w:p>
    <w:p w14:paraId="0192E3B2" w14:textId="77777777" w:rsidR="001677E7" w:rsidRPr="003B7DA2" w:rsidRDefault="001677E7" w:rsidP="001677E7">
      <w:pPr>
        <w:pStyle w:val="BlockText"/>
        <w:ind w:left="0" w:right="116"/>
        <w:rPr>
          <w:rFonts w:ascii="Calibri" w:hAnsi="Calibri"/>
          <w:sz w:val="22"/>
          <w:szCs w:val="22"/>
        </w:rPr>
      </w:pPr>
    </w:p>
    <w:p w14:paraId="7B35D676" w14:textId="77777777" w:rsidR="001677E7" w:rsidRPr="003B7DA2" w:rsidRDefault="001677E7" w:rsidP="001677E7">
      <w:pPr>
        <w:pStyle w:val="BlockText"/>
        <w:ind w:left="0" w:right="116"/>
        <w:rPr>
          <w:rFonts w:ascii="Calibri" w:hAnsi="Calibri"/>
          <w:b/>
          <w:sz w:val="22"/>
          <w:szCs w:val="22"/>
        </w:rPr>
      </w:pPr>
      <w:r w:rsidRPr="003B7DA2">
        <w:rPr>
          <w:rFonts w:ascii="Calibri" w:hAnsi="Calibri"/>
          <w:b/>
          <w:sz w:val="22"/>
          <w:szCs w:val="22"/>
        </w:rPr>
        <w:t>2. példa</w:t>
      </w:r>
    </w:p>
    <w:p w14:paraId="5B7172EA" w14:textId="77777777"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Az adatszolgáltató az értékpapírt nem rezidens partnerétől ekkor fogja megkapni, s ekkor kell (ezzel az értéknappal) az ellenértéket, 8 millió EUR összeget a partner számláján jóvá íratnia. Annak érdekében, hogy a 8 nap alatt bekövetkező árfolyam ingadozásokat kizárja, az adatszolgáltató a vállalatcsoportján belüli, londoni székhelyű </w:t>
      </w:r>
      <w:proofErr w:type="spellStart"/>
      <w:r w:rsidRPr="003B7DA2">
        <w:rPr>
          <w:rFonts w:ascii="Calibri" w:hAnsi="Calibri"/>
          <w:sz w:val="22"/>
          <w:szCs w:val="22"/>
        </w:rPr>
        <w:t>Treasury</w:t>
      </w:r>
      <w:proofErr w:type="spellEnd"/>
      <w:r w:rsidRPr="003B7DA2">
        <w:rPr>
          <w:rFonts w:ascii="Calibri" w:hAnsi="Calibri"/>
          <w:sz w:val="22"/>
          <w:szCs w:val="22"/>
        </w:rPr>
        <w:t xml:space="preserve"> központját megbízza azzal, hogy a most meghatározott árfolyamon (250 HUF/EUR) hajtsa végre a 8. értéknappal az átutalást.  Mely ügyletet kell jelentenie a DER táblákban? </w:t>
      </w:r>
    </w:p>
    <w:p w14:paraId="2A525EBD" w14:textId="77777777" w:rsidR="001677E7" w:rsidRPr="003B7DA2" w:rsidRDefault="001677E7" w:rsidP="001677E7">
      <w:pPr>
        <w:pStyle w:val="BlockText"/>
        <w:ind w:left="0" w:right="116"/>
        <w:rPr>
          <w:rFonts w:ascii="Calibri" w:hAnsi="Calibri"/>
          <w:sz w:val="22"/>
          <w:szCs w:val="22"/>
        </w:rPr>
      </w:pPr>
    </w:p>
    <w:p w14:paraId="3509496F" w14:textId="77777777"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Az értékpapír vásárlása azonnali ügylet, nem </w:t>
      </w:r>
      <w:proofErr w:type="spellStart"/>
      <w:r w:rsidRPr="003B7DA2">
        <w:rPr>
          <w:rFonts w:ascii="Calibri" w:hAnsi="Calibri"/>
          <w:sz w:val="22"/>
          <w:szCs w:val="22"/>
        </w:rPr>
        <w:t>derivatíva</w:t>
      </w:r>
      <w:proofErr w:type="spellEnd"/>
      <w:r w:rsidRPr="003B7DA2">
        <w:rPr>
          <w:rFonts w:ascii="Calibri" w:hAnsi="Calibri"/>
          <w:sz w:val="22"/>
          <w:szCs w:val="22"/>
        </w:rPr>
        <w:t xml:space="preserve">, azt a DER táblákban nem kell jelentenie. Azonban a most meghatározott árfolyamon 8. értéknappal végrehajtandó konverzió tartalmát tekintve egy határidős deviza átváltás, </w:t>
      </w:r>
      <w:proofErr w:type="spellStart"/>
      <w:r w:rsidRPr="003B7DA2">
        <w:rPr>
          <w:rFonts w:ascii="Calibri" w:hAnsi="Calibri"/>
          <w:sz w:val="22"/>
          <w:szCs w:val="22"/>
        </w:rPr>
        <w:t>forward</w:t>
      </w:r>
      <w:proofErr w:type="spellEnd"/>
      <w:r w:rsidRPr="003B7DA2">
        <w:rPr>
          <w:rFonts w:ascii="Calibri" w:hAnsi="Calibri"/>
          <w:sz w:val="22"/>
          <w:szCs w:val="22"/>
        </w:rPr>
        <w:t xml:space="preserve"> ügylet, azt jelentenie kell. (A jelentés módja megegyezik a </w:t>
      </w:r>
      <w:proofErr w:type="spellStart"/>
      <w:r w:rsidRPr="003B7DA2">
        <w:rPr>
          <w:rFonts w:ascii="Calibri" w:hAnsi="Calibri"/>
          <w:sz w:val="22"/>
          <w:szCs w:val="22"/>
        </w:rPr>
        <w:t>forward</w:t>
      </w:r>
      <w:proofErr w:type="spellEnd"/>
      <w:r w:rsidRPr="003B7DA2">
        <w:rPr>
          <w:rFonts w:ascii="Calibri" w:hAnsi="Calibri"/>
          <w:sz w:val="22"/>
          <w:szCs w:val="22"/>
        </w:rPr>
        <w:t xml:space="preserve"> ügyletekre adott példával) </w:t>
      </w:r>
    </w:p>
    <w:p w14:paraId="4052F9D2" w14:textId="77777777" w:rsidR="001677E7" w:rsidRPr="003B7DA2" w:rsidRDefault="001677E7" w:rsidP="001677E7">
      <w:pPr>
        <w:pStyle w:val="BlockText"/>
        <w:ind w:left="0" w:right="116"/>
        <w:rPr>
          <w:rFonts w:ascii="Calibri" w:hAnsi="Calibri"/>
          <w:sz w:val="22"/>
          <w:szCs w:val="22"/>
        </w:rPr>
      </w:pPr>
    </w:p>
    <w:p w14:paraId="4A46C69A" w14:textId="77777777" w:rsidR="0092684C" w:rsidRPr="003B7DA2" w:rsidRDefault="0092684C">
      <w:pPr>
        <w:pStyle w:val="BodyText"/>
        <w:rPr>
          <w:rFonts w:ascii="Calibri" w:hAnsi="Calibri"/>
          <w:b/>
          <w:bCs/>
          <w:sz w:val="22"/>
          <w:szCs w:val="22"/>
          <w:u w:val="single"/>
        </w:rPr>
      </w:pPr>
    </w:p>
    <w:p w14:paraId="183DEF91" w14:textId="77777777" w:rsidR="0092684C" w:rsidRPr="003B7DA2" w:rsidRDefault="0092684C">
      <w:pPr>
        <w:pStyle w:val="BodyText"/>
        <w:rPr>
          <w:rFonts w:ascii="Calibri" w:hAnsi="Calibri"/>
          <w:b/>
          <w:bCs/>
          <w:sz w:val="22"/>
          <w:szCs w:val="22"/>
        </w:rPr>
      </w:pPr>
      <w:r w:rsidRPr="003B7DA2">
        <w:rPr>
          <w:rFonts w:ascii="Calibri" w:hAnsi="Calibri"/>
          <w:b/>
          <w:bCs/>
          <w:sz w:val="22"/>
          <w:szCs w:val="22"/>
        </w:rPr>
        <w:t xml:space="preserve">a. Külföldi tőzsdén kötött </w:t>
      </w:r>
      <w:proofErr w:type="spellStart"/>
      <w:r w:rsidRPr="003B7DA2">
        <w:rPr>
          <w:rFonts w:ascii="Calibri" w:hAnsi="Calibri"/>
          <w:b/>
          <w:bCs/>
          <w:sz w:val="22"/>
          <w:szCs w:val="22"/>
        </w:rPr>
        <w:t>futures</w:t>
      </w:r>
      <w:proofErr w:type="spellEnd"/>
      <w:r w:rsidRPr="003B7DA2">
        <w:rPr>
          <w:rFonts w:ascii="Calibri" w:hAnsi="Calibri"/>
          <w:b/>
          <w:bCs/>
          <w:sz w:val="22"/>
          <w:szCs w:val="22"/>
        </w:rPr>
        <w:t xml:space="preserve"> ügyletek</w:t>
      </w:r>
      <w:bookmarkEnd w:id="3"/>
      <w:bookmarkEnd w:id="4"/>
      <w:r w:rsidRPr="003B7DA2">
        <w:rPr>
          <w:rFonts w:ascii="Calibri" w:hAnsi="Calibri"/>
          <w:b/>
          <w:bCs/>
          <w:sz w:val="22"/>
          <w:szCs w:val="22"/>
        </w:rPr>
        <w:t xml:space="preserve">  </w:t>
      </w:r>
    </w:p>
    <w:p w14:paraId="1B1C5D8D" w14:textId="77777777" w:rsidR="0092684C" w:rsidRPr="003B7DA2" w:rsidRDefault="0092684C">
      <w:pPr>
        <w:ind w:left="720"/>
        <w:jc w:val="both"/>
        <w:rPr>
          <w:rFonts w:ascii="Calibri" w:hAnsi="Calibri"/>
          <w:snapToGrid w:val="0"/>
          <w:sz w:val="22"/>
          <w:szCs w:val="22"/>
          <w:lang w:eastAsia="en-US"/>
        </w:rPr>
      </w:pPr>
    </w:p>
    <w:p w14:paraId="2A3DB5D4" w14:textId="77777777" w:rsidR="0092684C" w:rsidRPr="003B7DA2" w:rsidRDefault="0092684C">
      <w:pPr>
        <w:ind w:left="720"/>
        <w:jc w:val="both"/>
        <w:rPr>
          <w:rFonts w:ascii="Calibri" w:hAnsi="Calibri"/>
          <w:snapToGrid w:val="0"/>
          <w:sz w:val="22"/>
          <w:szCs w:val="22"/>
          <w:lang w:eastAsia="en-US"/>
        </w:rPr>
      </w:pPr>
    </w:p>
    <w:p w14:paraId="1C75440F"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59C0B636" w14:textId="77777777" w:rsidR="0092684C" w:rsidRPr="003B7DA2" w:rsidRDefault="0092684C">
      <w:pPr>
        <w:ind w:left="720"/>
        <w:jc w:val="both"/>
        <w:rPr>
          <w:rFonts w:ascii="Calibri" w:hAnsi="Calibri"/>
          <w:snapToGrid w:val="0"/>
          <w:sz w:val="22"/>
          <w:szCs w:val="22"/>
          <w:lang w:eastAsia="en-US"/>
        </w:rPr>
      </w:pPr>
    </w:p>
    <w:p w14:paraId="511B0963"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tőzsdei határidős ügyletek (olyan szabványosított megállapodások, kontraktusok, amelyeket a tőzsdén adni, venni lehet, amelyek szerint bizonyos devizaösszegeket jövőbeli időpontban, meghatározott árfolyamon más devizára lehet átváltani) árát a tőzsdén jegyzik, és ez az ár a kereslet-kínálat, illetve a kamatok, árfolyamok változásának függvényében állandóan változik. A tőzsdei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a tőzsdén fellépő cégek (akik lehetnek közvetítő brókerek és hitelintézetek) részére ún.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számlákat vezet, amely számlákon fedezetet kell biztosítani a megvásárolt kontraktusok árváltozásából eredő esetleges veszteségek fedezésére, a megvásárolt pozíciók %-ában kifejezett minimum összegben. A felek egymást nem ismerik, formailag partnerük maga a tőzsde, a tőzsdével kötik az ügyletet, és vele szemben követelnek, ha éppen nyereséges az aznapi árfolyamok szerint az ügylet, vagy tartoznak a tőzsde felé, ha az ügylet aznap éppen veszteséges. A kontraktus értékváltozásából adódó napi (ténylegesen a nap végi) nyereség, illetve veszteség összegét (a tőzsdei záró árak alapján) az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kiszámítja, és naponta kifizeti az ügyfélnek, vagy beszedi az ügyféltől, e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számlák segítségével. (Ez az ún. </w:t>
      </w:r>
      <w:proofErr w:type="spellStart"/>
      <w:r w:rsidRPr="003B7DA2">
        <w:rPr>
          <w:rFonts w:ascii="Calibri" w:hAnsi="Calibri"/>
          <w:snapToGrid w:val="0"/>
          <w:sz w:val="22"/>
          <w:szCs w:val="22"/>
          <w:lang w:eastAsia="en-US"/>
        </w:rPr>
        <w:t>future</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style</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margining</w:t>
      </w:r>
      <w:proofErr w:type="spellEnd"/>
      <w:r w:rsidRPr="003B7DA2">
        <w:rPr>
          <w:rFonts w:ascii="Calibri" w:hAnsi="Calibri"/>
          <w:snapToGrid w:val="0"/>
          <w:sz w:val="22"/>
          <w:szCs w:val="22"/>
          <w:lang w:eastAsia="en-US"/>
        </w:rPr>
        <w:t xml:space="preserve">.) Mivel a résztvevők minden nap megkapják a követelés ellenértékét, illetve megfizetik tartozásukat, ezután másnapig nincs követelés, tartozás pozíciójuk, a kontraktus értéke minden nap végén nullával zár. Pozíciós adatot ezen ügyletek esetében tehát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nem kell jelenteni. </w:t>
      </w:r>
    </w:p>
    <w:p w14:paraId="1543F7A7" w14:textId="77777777" w:rsidR="0092684C" w:rsidRPr="003B7DA2" w:rsidRDefault="0092684C">
      <w:pPr>
        <w:ind w:left="720"/>
        <w:jc w:val="both"/>
        <w:rPr>
          <w:rFonts w:ascii="Calibri" w:hAnsi="Calibri"/>
          <w:snapToGrid w:val="0"/>
          <w:sz w:val="22"/>
          <w:szCs w:val="22"/>
          <w:lang w:eastAsia="en-US"/>
        </w:rPr>
      </w:pPr>
    </w:p>
    <w:p w14:paraId="6B808F97"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3E119076" w14:textId="77777777" w:rsidR="0092684C" w:rsidRPr="003B7DA2" w:rsidRDefault="0092684C">
      <w:pPr>
        <w:ind w:left="720"/>
        <w:jc w:val="both"/>
        <w:rPr>
          <w:rFonts w:ascii="Calibri" w:hAnsi="Calibri"/>
          <w:snapToGrid w:val="0"/>
          <w:sz w:val="22"/>
          <w:szCs w:val="22"/>
          <w:lang w:eastAsia="en-US"/>
        </w:rPr>
      </w:pPr>
    </w:p>
    <w:p w14:paraId="42DFDB67"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w:t>
      </w:r>
      <w:proofErr w:type="spellStart"/>
      <w:r w:rsidRPr="003B7DA2">
        <w:rPr>
          <w:rFonts w:ascii="Calibri" w:hAnsi="Calibri"/>
          <w:snapToGrid w:val="0"/>
          <w:sz w:val="22"/>
          <w:szCs w:val="22"/>
          <w:lang w:eastAsia="en-US"/>
        </w:rPr>
        <w:t>elszámolóháznál</w:t>
      </w:r>
      <w:proofErr w:type="spellEnd"/>
      <w:r w:rsidRPr="003B7DA2">
        <w:rPr>
          <w:rFonts w:ascii="Calibri" w:hAnsi="Calibri"/>
          <w:snapToGrid w:val="0"/>
          <w:sz w:val="22"/>
          <w:szCs w:val="22"/>
          <w:lang w:eastAsia="en-US"/>
        </w:rPr>
        <w:t xml:space="preserve"> vezetett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számlán terhelt vagy jóváírt ún. változó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összegek jelentik a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ügyletek esetében a tranzakciókat. Az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számításai szerinti tartozások összegét kellett adott napokon kifizetni, így a kifizetések összegét kell összeadni, majd forintra átszámítva a FT kódú, a tőzsde országa szerinti sorban a „T” táblában tranzakcióként a kiadás oszlopban feltüntetni.</w:t>
      </w:r>
      <w:bookmarkStart w:id="5" w:name="_Toc120612689"/>
      <w:bookmarkStart w:id="6" w:name="_Toc122850668"/>
      <w:r w:rsidRPr="003B7DA2">
        <w:rPr>
          <w:rFonts w:ascii="Calibri" w:hAnsi="Calibri"/>
          <w:snapToGrid w:val="0"/>
          <w:sz w:val="22"/>
          <w:szCs w:val="22"/>
          <w:lang w:eastAsia="en-US"/>
        </w:rPr>
        <w:t xml:space="preserve"> Ezzel szemben a fentiek szerint bevételezett összegeket, amelyek a követeléseket jelentették adott napon az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számításai szerint, összegezve a FT kódú, a tőzsde országa szerinti sorban kell a „K” jelű tábla tranzakció</w:t>
      </w:r>
      <w:r w:rsidR="00FA2922" w:rsidRPr="003B7DA2">
        <w:rPr>
          <w:rFonts w:ascii="Calibri" w:hAnsi="Calibri"/>
          <w:snapToGrid w:val="0"/>
          <w:sz w:val="22"/>
          <w:szCs w:val="22"/>
          <w:lang w:eastAsia="en-US"/>
        </w:rPr>
        <w:t>i</w:t>
      </w:r>
      <w:r w:rsidRPr="003B7DA2">
        <w:rPr>
          <w:rFonts w:ascii="Calibri" w:hAnsi="Calibri"/>
          <w:snapToGrid w:val="0"/>
          <w:sz w:val="22"/>
          <w:szCs w:val="22"/>
          <w:lang w:eastAsia="en-US"/>
        </w:rPr>
        <w:t xml:space="preserve">ként a bevétel oszlopban feltüntetni.  </w:t>
      </w:r>
    </w:p>
    <w:p w14:paraId="20F0E4C6" w14:textId="77777777" w:rsidR="0092684C" w:rsidRPr="003B7DA2" w:rsidRDefault="0092684C">
      <w:pPr>
        <w:ind w:left="720"/>
        <w:jc w:val="both"/>
        <w:rPr>
          <w:rFonts w:ascii="Calibri" w:hAnsi="Calibri"/>
          <w:snapToGrid w:val="0"/>
          <w:sz w:val="22"/>
          <w:szCs w:val="22"/>
          <w:lang w:eastAsia="en-US"/>
        </w:rPr>
      </w:pPr>
    </w:p>
    <w:p w14:paraId="5485380D"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számlán biztosítékként elhelyezett összegeket, amelyek terhére a fizetések történnek, és amelyek javára a befolyásokat elszámolják, az ügyletek lezárása után visszakapja a befizető, ezek mindenkori állományát nem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hanem az egyéb befektetések tábláiban kell jelenteni követelésként. Ezek elvileg nem mehetnek mínuszba, mivel ha a biztosíték nem elegendő, az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lezárja az ügyletet és elszámol a számla tulajdonosával.)</w:t>
      </w:r>
    </w:p>
    <w:p w14:paraId="15C42670" w14:textId="77777777" w:rsidR="0092684C" w:rsidRPr="003B7DA2" w:rsidRDefault="0092684C">
      <w:pPr>
        <w:pStyle w:val="BodyText"/>
        <w:rPr>
          <w:rFonts w:ascii="Calibri" w:hAnsi="Calibri"/>
          <w:b/>
          <w:bCs/>
          <w:sz w:val="22"/>
          <w:szCs w:val="22"/>
          <w:u w:val="single"/>
        </w:rPr>
      </w:pPr>
    </w:p>
    <w:p w14:paraId="210356C1" w14:textId="77777777" w:rsidR="0092684C" w:rsidRPr="003B7DA2" w:rsidRDefault="0092684C">
      <w:pPr>
        <w:pStyle w:val="BodyText"/>
        <w:rPr>
          <w:rFonts w:ascii="Calibri" w:hAnsi="Calibri"/>
          <w:b/>
          <w:bCs/>
          <w:sz w:val="22"/>
          <w:szCs w:val="22"/>
          <w:u w:val="single"/>
        </w:rPr>
      </w:pPr>
    </w:p>
    <w:p w14:paraId="1823E935" w14:textId="77777777" w:rsidR="0092684C" w:rsidRPr="003B7DA2" w:rsidRDefault="0092684C">
      <w:pPr>
        <w:pStyle w:val="BodyText"/>
        <w:rPr>
          <w:rFonts w:ascii="Calibri" w:hAnsi="Calibri"/>
          <w:b/>
          <w:bCs/>
          <w:sz w:val="22"/>
          <w:szCs w:val="22"/>
          <w:u w:val="single"/>
        </w:rPr>
      </w:pPr>
    </w:p>
    <w:p w14:paraId="34B6477C" w14:textId="77777777"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Példa:</w:t>
      </w:r>
    </w:p>
    <w:p w14:paraId="4FE1207C"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futures</w:t>
      </w:r>
      <w:proofErr w:type="spellEnd"/>
      <w:r w:rsidRPr="003B7DA2">
        <w:rPr>
          <w:rFonts w:ascii="Calibri" w:hAnsi="Calibri"/>
          <w:bCs/>
          <w:sz w:val="22"/>
          <w:szCs w:val="22"/>
        </w:rPr>
        <w:t xml:space="preserve"> ügylet jelentéséről írunk, több ügylet esetében értelemszerűen kell az adatokat összesíteni, országonként. </w:t>
      </w:r>
    </w:p>
    <w:p w14:paraId="0AA816FB"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lastRenderedPageBreak/>
        <w:t xml:space="preserve">Az adatszolgáltató a német tőzsdén január 10-én egy kontraktus csomagot jegyez: 10 ezer EUR-t fog venni 250-es Ft árfolyamon, vagyis 2.500 ezer forintért, április 10-én. </w:t>
      </w:r>
    </w:p>
    <w:p w14:paraId="6D865E2B"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A német </w:t>
      </w:r>
      <w:proofErr w:type="spellStart"/>
      <w:r w:rsidRPr="003B7DA2">
        <w:rPr>
          <w:rFonts w:ascii="Calibri" w:hAnsi="Calibri"/>
          <w:bCs/>
          <w:sz w:val="22"/>
          <w:szCs w:val="22"/>
        </w:rPr>
        <w:t>elszámolóház</w:t>
      </w:r>
      <w:proofErr w:type="spellEnd"/>
      <w:r w:rsidRPr="003B7DA2">
        <w:rPr>
          <w:rFonts w:ascii="Calibri" w:hAnsi="Calibri"/>
          <w:bCs/>
          <w:sz w:val="22"/>
          <w:szCs w:val="22"/>
        </w:rPr>
        <w:t xml:space="preserve"> az adatszolgáltató </w:t>
      </w:r>
      <w:proofErr w:type="spellStart"/>
      <w:r w:rsidRPr="003B7DA2">
        <w:rPr>
          <w:rFonts w:ascii="Calibri" w:hAnsi="Calibri"/>
          <w:bCs/>
          <w:sz w:val="22"/>
          <w:szCs w:val="22"/>
        </w:rPr>
        <w:t>margin</w:t>
      </w:r>
      <w:proofErr w:type="spellEnd"/>
      <w:r w:rsidRPr="003B7DA2">
        <w:rPr>
          <w:rFonts w:ascii="Calibri" w:hAnsi="Calibri"/>
          <w:bCs/>
          <w:sz w:val="22"/>
          <w:szCs w:val="22"/>
        </w:rPr>
        <w:t xml:space="preserve"> számláján naponta rendezi az ügylet értékének változásából eredő érték különbözeteket. Január folyamán a jóváírt összegek 20 ezer forintot, a terhelések összesen 80 ezer forintot tettek ki. </w:t>
      </w:r>
    </w:p>
    <w:p w14:paraId="56D7804B"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Januári jelentés (erre az egy kötésre…)</w:t>
      </w:r>
    </w:p>
    <w:p w14:paraId="2461B402"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A pozíciós adat mindig 0, mivel naponta megtörténik a követelések, tartozások rendezése, a bevételezett összegek a követelést csökkentő tranzakcióként a DERK táblában, a terhelések viszont a tartozást csökkentő tranzakcióként a DERT táblában jelentendők, s ezen összeggel egyezik meg az átértékelés összege is. Az átértékelés összege pozitív, mivel a követelést, illetve a tartozást csökkentő tranzakciót egyenlíti ki 0-ra, ami a záró pozíció értéke… (Más szóval: akár követelés, akár tartozás keletkezett, az egy átértékelődés eredménye, vagyis pozitív átértékelődés történt az adott táblában, s ezt az így keletkezett követelést, vagy tartozást csökkentette le, szüntette meg a tranzakció, vagyis az </w:t>
      </w:r>
      <w:proofErr w:type="spellStart"/>
      <w:r w:rsidRPr="003B7DA2">
        <w:rPr>
          <w:rFonts w:ascii="Calibri" w:hAnsi="Calibri"/>
          <w:bCs/>
          <w:sz w:val="22"/>
          <w:szCs w:val="22"/>
        </w:rPr>
        <w:t>elszámolóház</w:t>
      </w:r>
      <w:proofErr w:type="spellEnd"/>
      <w:r w:rsidRPr="003B7DA2">
        <w:rPr>
          <w:rFonts w:ascii="Calibri" w:hAnsi="Calibri"/>
          <w:bCs/>
          <w:sz w:val="22"/>
          <w:szCs w:val="22"/>
        </w:rPr>
        <w:t xml:space="preserve"> jóváírása, vagy terhelése.) </w:t>
      </w:r>
    </w:p>
    <w:p w14:paraId="534386BE" w14:textId="77777777" w:rsidR="00B17209" w:rsidRPr="003B7DA2" w:rsidRDefault="00B17209" w:rsidP="00B17209">
      <w:pPr>
        <w:pStyle w:val="BodyText"/>
        <w:rPr>
          <w:rFonts w:ascii="Calibri" w:hAnsi="Calibri"/>
          <w:bCs/>
          <w:sz w:val="22"/>
          <w:szCs w:val="22"/>
        </w:rPr>
      </w:pPr>
    </w:p>
    <w:p w14:paraId="609514F1"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B17209" w:rsidRPr="003B7DA2" w14:paraId="7590593A" w14:textId="77777777" w:rsidTr="00D45209">
        <w:tc>
          <w:tcPr>
            <w:tcW w:w="913" w:type="dxa"/>
            <w:vMerge w:val="restart"/>
          </w:tcPr>
          <w:p w14:paraId="52514D4C"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40F3E18"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27CDDE42"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14:paraId="1FD46504"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32341888"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139DD73A"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295679EE"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4FBA417C" w14:textId="77777777" w:rsidTr="00D45209">
        <w:tc>
          <w:tcPr>
            <w:tcW w:w="913" w:type="dxa"/>
            <w:vMerge/>
          </w:tcPr>
          <w:p w14:paraId="3DBC07FF" w14:textId="77777777" w:rsidR="00B17209" w:rsidRPr="003B7DA2" w:rsidRDefault="00B17209" w:rsidP="00B17209">
            <w:pPr>
              <w:pStyle w:val="BodyText"/>
              <w:rPr>
                <w:rFonts w:ascii="Calibri" w:hAnsi="Calibri"/>
                <w:b/>
                <w:bCs/>
                <w:sz w:val="22"/>
                <w:szCs w:val="22"/>
                <w:u w:val="single"/>
              </w:rPr>
            </w:pPr>
          </w:p>
        </w:tc>
        <w:tc>
          <w:tcPr>
            <w:tcW w:w="1137" w:type="dxa"/>
            <w:vMerge/>
          </w:tcPr>
          <w:p w14:paraId="718B9A46" w14:textId="77777777" w:rsidR="00B17209" w:rsidRPr="003B7DA2" w:rsidRDefault="00B17209" w:rsidP="00B17209">
            <w:pPr>
              <w:pStyle w:val="BodyText"/>
              <w:rPr>
                <w:rFonts w:ascii="Calibri" w:hAnsi="Calibri"/>
                <w:b/>
                <w:bCs/>
                <w:sz w:val="22"/>
                <w:szCs w:val="22"/>
                <w:u w:val="single"/>
              </w:rPr>
            </w:pPr>
          </w:p>
        </w:tc>
        <w:tc>
          <w:tcPr>
            <w:tcW w:w="918" w:type="dxa"/>
            <w:vMerge/>
          </w:tcPr>
          <w:p w14:paraId="13AA6B10" w14:textId="77777777" w:rsidR="00B17209" w:rsidRPr="003B7DA2" w:rsidRDefault="00B17209" w:rsidP="00B17209">
            <w:pPr>
              <w:pStyle w:val="BodyText"/>
              <w:rPr>
                <w:rFonts w:ascii="Calibri" w:hAnsi="Calibri"/>
                <w:b/>
                <w:bCs/>
                <w:sz w:val="22"/>
                <w:szCs w:val="22"/>
                <w:u w:val="single"/>
              </w:rPr>
            </w:pPr>
          </w:p>
        </w:tc>
        <w:tc>
          <w:tcPr>
            <w:tcW w:w="900" w:type="dxa"/>
          </w:tcPr>
          <w:p w14:paraId="0BDA1391"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482D517B"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0D9BB12E"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28E8EEDB"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0B20036E" w14:textId="77777777" w:rsidR="00B17209" w:rsidRPr="003B7DA2" w:rsidRDefault="00B17209" w:rsidP="00B17209">
            <w:pPr>
              <w:pStyle w:val="BodyText"/>
              <w:rPr>
                <w:rFonts w:ascii="Calibri" w:hAnsi="Calibri" w:cs="Arial"/>
                <w:sz w:val="22"/>
                <w:szCs w:val="22"/>
              </w:rPr>
            </w:pPr>
          </w:p>
        </w:tc>
        <w:tc>
          <w:tcPr>
            <w:tcW w:w="1033" w:type="dxa"/>
            <w:vMerge/>
          </w:tcPr>
          <w:p w14:paraId="66304B74" w14:textId="77777777" w:rsidR="00B17209" w:rsidRPr="003B7DA2" w:rsidRDefault="00B17209" w:rsidP="00B17209">
            <w:pPr>
              <w:pStyle w:val="BodyText"/>
              <w:rPr>
                <w:rFonts w:ascii="Calibri" w:hAnsi="Calibri" w:cs="Arial"/>
                <w:sz w:val="22"/>
                <w:szCs w:val="22"/>
              </w:rPr>
            </w:pPr>
          </w:p>
        </w:tc>
        <w:tc>
          <w:tcPr>
            <w:tcW w:w="901" w:type="dxa"/>
            <w:vMerge/>
          </w:tcPr>
          <w:p w14:paraId="65CB9FB1" w14:textId="77777777" w:rsidR="00B17209" w:rsidRPr="003B7DA2" w:rsidRDefault="00B17209" w:rsidP="00B17209">
            <w:pPr>
              <w:pStyle w:val="BodyText"/>
              <w:rPr>
                <w:rFonts w:ascii="Calibri" w:hAnsi="Calibri" w:cs="Arial"/>
                <w:sz w:val="22"/>
                <w:szCs w:val="22"/>
              </w:rPr>
            </w:pPr>
          </w:p>
        </w:tc>
      </w:tr>
      <w:tr w:rsidR="00B17209" w:rsidRPr="003B7DA2" w14:paraId="2EB8140A" w14:textId="77777777" w:rsidTr="00D45209">
        <w:tc>
          <w:tcPr>
            <w:tcW w:w="913" w:type="dxa"/>
          </w:tcPr>
          <w:p w14:paraId="376F1960"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3C2D3DDC"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2EAAED6D"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0" w:type="dxa"/>
          </w:tcPr>
          <w:p w14:paraId="6E633387"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1025" w:type="dxa"/>
          </w:tcPr>
          <w:p w14:paraId="6EBCC670"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20 000</w:t>
            </w:r>
          </w:p>
        </w:tc>
        <w:tc>
          <w:tcPr>
            <w:tcW w:w="1127" w:type="dxa"/>
          </w:tcPr>
          <w:p w14:paraId="5B15B564"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20 000</w:t>
            </w:r>
          </w:p>
        </w:tc>
        <w:tc>
          <w:tcPr>
            <w:tcW w:w="1033" w:type="dxa"/>
          </w:tcPr>
          <w:p w14:paraId="6ADC9D29"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2C8613F3"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66E59767" w14:textId="77777777" w:rsidR="00B17209" w:rsidRPr="003B7DA2" w:rsidRDefault="00B17209" w:rsidP="00B17209">
      <w:pPr>
        <w:pStyle w:val="BodyText"/>
        <w:rPr>
          <w:rFonts w:ascii="Calibri" w:hAnsi="Calibri"/>
          <w:b/>
          <w:bCs/>
          <w:sz w:val="22"/>
          <w:szCs w:val="22"/>
          <w:u w:val="single"/>
        </w:rPr>
      </w:pPr>
    </w:p>
    <w:p w14:paraId="10EE271C"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B17209" w:rsidRPr="003B7DA2" w14:paraId="39235E40" w14:textId="77777777" w:rsidTr="00D45209">
        <w:tc>
          <w:tcPr>
            <w:tcW w:w="913" w:type="dxa"/>
            <w:vMerge w:val="restart"/>
          </w:tcPr>
          <w:p w14:paraId="1B5F04BD"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745768B"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2EE16898"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18766E9B"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127DEC8E"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3E8B890"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11FD2FE7"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7FA7D04C" w14:textId="77777777" w:rsidTr="00D45209">
        <w:tc>
          <w:tcPr>
            <w:tcW w:w="913" w:type="dxa"/>
            <w:vMerge/>
          </w:tcPr>
          <w:p w14:paraId="1CE392F8" w14:textId="77777777" w:rsidR="00B17209" w:rsidRPr="003B7DA2" w:rsidRDefault="00B17209" w:rsidP="00B17209">
            <w:pPr>
              <w:pStyle w:val="BodyText"/>
              <w:rPr>
                <w:rFonts w:ascii="Calibri" w:hAnsi="Calibri"/>
                <w:b/>
                <w:bCs/>
                <w:sz w:val="22"/>
                <w:szCs w:val="22"/>
                <w:u w:val="single"/>
              </w:rPr>
            </w:pPr>
          </w:p>
        </w:tc>
        <w:tc>
          <w:tcPr>
            <w:tcW w:w="1137" w:type="dxa"/>
            <w:vMerge/>
          </w:tcPr>
          <w:p w14:paraId="618A0623" w14:textId="77777777" w:rsidR="00B17209" w:rsidRPr="003B7DA2" w:rsidRDefault="00B17209" w:rsidP="00B17209">
            <w:pPr>
              <w:pStyle w:val="BodyText"/>
              <w:rPr>
                <w:rFonts w:ascii="Calibri" w:hAnsi="Calibri"/>
                <w:b/>
                <w:bCs/>
                <w:sz w:val="22"/>
                <w:szCs w:val="22"/>
                <w:u w:val="single"/>
              </w:rPr>
            </w:pPr>
          </w:p>
        </w:tc>
        <w:tc>
          <w:tcPr>
            <w:tcW w:w="918" w:type="dxa"/>
            <w:vMerge/>
          </w:tcPr>
          <w:p w14:paraId="071A68F3" w14:textId="77777777" w:rsidR="00B17209" w:rsidRPr="003B7DA2" w:rsidRDefault="00B17209" w:rsidP="00B17209">
            <w:pPr>
              <w:pStyle w:val="BodyText"/>
              <w:rPr>
                <w:rFonts w:ascii="Calibri" w:hAnsi="Calibri"/>
                <w:b/>
                <w:bCs/>
                <w:sz w:val="22"/>
                <w:szCs w:val="22"/>
                <w:u w:val="single"/>
              </w:rPr>
            </w:pPr>
          </w:p>
        </w:tc>
        <w:tc>
          <w:tcPr>
            <w:tcW w:w="904" w:type="dxa"/>
          </w:tcPr>
          <w:p w14:paraId="1B38EBE6"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71BEA42D"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39AD5972"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4A4D3112"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14:paraId="0E606465" w14:textId="77777777" w:rsidR="00B17209" w:rsidRPr="003B7DA2" w:rsidRDefault="00B17209" w:rsidP="00B17209">
            <w:pPr>
              <w:pStyle w:val="BodyText"/>
              <w:rPr>
                <w:rFonts w:ascii="Calibri" w:hAnsi="Calibri" w:cs="Arial"/>
                <w:sz w:val="22"/>
                <w:szCs w:val="22"/>
              </w:rPr>
            </w:pPr>
          </w:p>
        </w:tc>
        <w:tc>
          <w:tcPr>
            <w:tcW w:w="1033" w:type="dxa"/>
            <w:vMerge/>
          </w:tcPr>
          <w:p w14:paraId="22F83CE7" w14:textId="77777777" w:rsidR="00B17209" w:rsidRPr="003B7DA2" w:rsidRDefault="00B17209" w:rsidP="00B17209">
            <w:pPr>
              <w:pStyle w:val="BodyText"/>
              <w:rPr>
                <w:rFonts w:ascii="Calibri" w:hAnsi="Calibri" w:cs="Arial"/>
                <w:sz w:val="22"/>
                <w:szCs w:val="22"/>
              </w:rPr>
            </w:pPr>
          </w:p>
        </w:tc>
        <w:tc>
          <w:tcPr>
            <w:tcW w:w="901" w:type="dxa"/>
            <w:vMerge/>
          </w:tcPr>
          <w:p w14:paraId="284524F7" w14:textId="77777777" w:rsidR="00B17209" w:rsidRPr="003B7DA2" w:rsidRDefault="00B17209" w:rsidP="00B17209">
            <w:pPr>
              <w:pStyle w:val="BodyText"/>
              <w:rPr>
                <w:rFonts w:ascii="Calibri" w:hAnsi="Calibri" w:cs="Arial"/>
                <w:sz w:val="22"/>
                <w:szCs w:val="22"/>
              </w:rPr>
            </w:pPr>
          </w:p>
        </w:tc>
      </w:tr>
      <w:tr w:rsidR="00B17209" w:rsidRPr="003B7DA2" w14:paraId="303CAFBB" w14:textId="77777777" w:rsidTr="00D45209">
        <w:tc>
          <w:tcPr>
            <w:tcW w:w="913" w:type="dxa"/>
          </w:tcPr>
          <w:p w14:paraId="63EEF921"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61D85B33"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442FA92A"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737990D6" w14:textId="77777777" w:rsidR="00B17209" w:rsidRPr="003B7DA2" w:rsidRDefault="00B17209" w:rsidP="00B17209">
            <w:pPr>
              <w:pStyle w:val="BodyText"/>
              <w:rPr>
                <w:rFonts w:ascii="Calibri" w:hAnsi="Calibri" w:cs="Arial"/>
                <w:sz w:val="22"/>
                <w:szCs w:val="22"/>
              </w:rPr>
            </w:pPr>
          </w:p>
        </w:tc>
        <w:tc>
          <w:tcPr>
            <w:tcW w:w="1025" w:type="dxa"/>
          </w:tcPr>
          <w:p w14:paraId="19B6671E"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80 000</w:t>
            </w:r>
          </w:p>
        </w:tc>
        <w:tc>
          <w:tcPr>
            <w:tcW w:w="1127" w:type="dxa"/>
          </w:tcPr>
          <w:p w14:paraId="059EA9AB"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80 000</w:t>
            </w:r>
          </w:p>
        </w:tc>
        <w:tc>
          <w:tcPr>
            <w:tcW w:w="1033" w:type="dxa"/>
          </w:tcPr>
          <w:p w14:paraId="32DFA857"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4949D351"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232E6297" w14:textId="77777777" w:rsidR="00B17209" w:rsidRPr="003B7DA2" w:rsidRDefault="00B17209" w:rsidP="00B17209">
      <w:pPr>
        <w:pStyle w:val="BodyText"/>
        <w:rPr>
          <w:rFonts w:ascii="Calibri" w:hAnsi="Calibri"/>
          <w:bCs/>
          <w:sz w:val="22"/>
          <w:szCs w:val="22"/>
        </w:rPr>
      </w:pPr>
    </w:p>
    <w:p w14:paraId="45890389"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Februárban 30 ezer forint volt az összes jóváírás, 30 ezer forint az összes terhelés. </w:t>
      </w:r>
    </w:p>
    <w:p w14:paraId="34597FF4" w14:textId="77777777" w:rsidR="00B17209" w:rsidRPr="003B7DA2" w:rsidRDefault="00B17209" w:rsidP="00B17209">
      <w:pPr>
        <w:pStyle w:val="BodyText"/>
        <w:rPr>
          <w:rFonts w:ascii="Calibri" w:hAnsi="Calibri"/>
          <w:bCs/>
          <w:sz w:val="22"/>
          <w:szCs w:val="22"/>
        </w:rPr>
      </w:pPr>
    </w:p>
    <w:p w14:paraId="688E7DAB"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B17209" w:rsidRPr="003B7DA2" w14:paraId="77431F6F" w14:textId="77777777" w:rsidTr="00D45209">
        <w:tc>
          <w:tcPr>
            <w:tcW w:w="913" w:type="dxa"/>
            <w:vMerge w:val="restart"/>
          </w:tcPr>
          <w:p w14:paraId="3D77F4A5"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3DF12A85"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67F8FC37"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55F0CA42"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118C1E9F"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477F68AB"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7DDF36B8"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532C1568" w14:textId="77777777" w:rsidTr="00D45209">
        <w:tc>
          <w:tcPr>
            <w:tcW w:w="913" w:type="dxa"/>
            <w:vMerge/>
          </w:tcPr>
          <w:p w14:paraId="6519E96C" w14:textId="77777777" w:rsidR="00B17209" w:rsidRPr="003B7DA2" w:rsidRDefault="00B17209" w:rsidP="00B17209">
            <w:pPr>
              <w:pStyle w:val="BodyText"/>
              <w:rPr>
                <w:rFonts w:ascii="Calibri" w:hAnsi="Calibri"/>
                <w:b/>
                <w:bCs/>
                <w:sz w:val="22"/>
                <w:szCs w:val="22"/>
                <w:u w:val="single"/>
              </w:rPr>
            </w:pPr>
          </w:p>
        </w:tc>
        <w:tc>
          <w:tcPr>
            <w:tcW w:w="1137" w:type="dxa"/>
            <w:vMerge/>
          </w:tcPr>
          <w:p w14:paraId="2E1CB711" w14:textId="77777777" w:rsidR="00B17209" w:rsidRPr="003B7DA2" w:rsidRDefault="00B17209" w:rsidP="00B17209">
            <w:pPr>
              <w:pStyle w:val="BodyText"/>
              <w:rPr>
                <w:rFonts w:ascii="Calibri" w:hAnsi="Calibri"/>
                <w:b/>
                <w:bCs/>
                <w:sz w:val="22"/>
                <w:szCs w:val="22"/>
                <w:u w:val="single"/>
              </w:rPr>
            </w:pPr>
          </w:p>
        </w:tc>
        <w:tc>
          <w:tcPr>
            <w:tcW w:w="918" w:type="dxa"/>
            <w:vMerge/>
          </w:tcPr>
          <w:p w14:paraId="1EA7D10F" w14:textId="77777777" w:rsidR="00B17209" w:rsidRPr="003B7DA2" w:rsidRDefault="00B17209" w:rsidP="00B17209">
            <w:pPr>
              <w:pStyle w:val="BodyText"/>
              <w:rPr>
                <w:rFonts w:ascii="Calibri" w:hAnsi="Calibri"/>
                <w:b/>
                <w:bCs/>
                <w:sz w:val="22"/>
                <w:szCs w:val="22"/>
                <w:u w:val="single"/>
              </w:rPr>
            </w:pPr>
          </w:p>
        </w:tc>
        <w:tc>
          <w:tcPr>
            <w:tcW w:w="904" w:type="dxa"/>
          </w:tcPr>
          <w:p w14:paraId="270BE3AC"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0E2A124E"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7F0D057C"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31986D5E"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3FA88AC9" w14:textId="77777777" w:rsidR="00B17209" w:rsidRPr="003B7DA2" w:rsidRDefault="00B17209" w:rsidP="00B17209">
            <w:pPr>
              <w:pStyle w:val="BodyText"/>
              <w:rPr>
                <w:rFonts w:ascii="Calibri" w:hAnsi="Calibri" w:cs="Arial"/>
                <w:sz w:val="22"/>
                <w:szCs w:val="22"/>
              </w:rPr>
            </w:pPr>
          </w:p>
        </w:tc>
        <w:tc>
          <w:tcPr>
            <w:tcW w:w="1033" w:type="dxa"/>
            <w:vMerge/>
          </w:tcPr>
          <w:p w14:paraId="3FE1207A" w14:textId="77777777" w:rsidR="00B17209" w:rsidRPr="003B7DA2" w:rsidRDefault="00B17209" w:rsidP="00B17209">
            <w:pPr>
              <w:pStyle w:val="BodyText"/>
              <w:rPr>
                <w:rFonts w:ascii="Calibri" w:hAnsi="Calibri" w:cs="Arial"/>
                <w:sz w:val="22"/>
                <w:szCs w:val="22"/>
              </w:rPr>
            </w:pPr>
          </w:p>
        </w:tc>
        <w:tc>
          <w:tcPr>
            <w:tcW w:w="901" w:type="dxa"/>
            <w:vMerge/>
          </w:tcPr>
          <w:p w14:paraId="3AA7D1E5" w14:textId="77777777" w:rsidR="00B17209" w:rsidRPr="003B7DA2" w:rsidRDefault="00B17209" w:rsidP="00B17209">
            <w:pPr>
              <w:pStyle w:val="BodyText"/>
              <w:rPr>
                <w:rFonts w:ascii="Calibri" w:hAnsi="Calibri" w:cs="Arial"/>
                <w:sz w:val="22"/>
                <w:szCs w:val="22"/>
              </w:rPr>
            </w:pPr>
          </w:p>
        </w:tc>
      </w:tr>
      <w:tr w:rsidR="00B17209" w:rsidRPr="003B7DA2" w14:paraId="6835DBF1" w14:textId="77777777" w:rsidTr="00D45209">
        <w:tc>
          <w:tcPr>
            <w:tcW w:w="913" w:type="dxa"/>
          </w:tcPr>
          <w:p w14:paraId="5D3E211A"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3388D8FC"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23F8FCA9"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2201B351"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 xml:space="preserve">0 </w:t>
            </w:r>
          </w:p>
        </w:tc>
        <w:tc>
          <w:tcPr>
            <w:tcW w:w="1025" w:type="dxa"/>
          </w:tcPr>
          <w:p w14:paraId="3648EEB0"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30 000</w:t>
            </w:r>
          </w:p>
        </w:tc>
        <w:tc>
          <w:tcPr>
            <w:tcW w:w="1127" w:type="dxa"/>
          </w:tcPr>
          <w:p w14:paraId="26F99B9F"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033" w:type="dxa"/>
          </w:tcPr>
          <w:p w14:paraId="50D3F9C1"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6F213687"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754392FA" w14:textId="77777777" w:rsidR="00B17209" w:rsidRPr="003B7DA2" w:rsidRDefault="00B17209" w:rsidP="00B17209">
      <w:pPr>
        <w:pStyle w:val="BodyText"/>
        <w:rPr>
          <w:rFonts w:ascii="Calibri" w:hAnsi="Calibri"/>
          <w:b/>
          <w:bCs/>
          <w:sz w:val="22"/>
          <w:szCs w:val="22"/>
          <w:u w:val="single"/>
        </w:rPr>
      </w:pPr>
    </w:p>
    <w:p w14:paraId="3C6A6646"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B17209" w:rsidRPr="003B7DA2" w14:paraId="64E875AF" w14:textId="77777777" w:rsidTr="00D45209">
        <w:tc>
          <w:tcPr>
            <w:tcW w:w="913" w:type="dxa"/>
            <w:vMerge w:val="restart"/>
          </w:tcPr>
          <w:p w14:paraId="58E2632B"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00035D5D"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1C216C1D"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493D5846"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51703E86"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5A1B689B"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6888D88D"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58010313" w14:textId="77777777" w:rsidTr="00D45209">
        <w:tc>
          <w:tcPr>
            <w:tcW w:w="913" w:type="dxa"/>
            <w:vMerge/>
          </w:tcPr>
          <w:p w14:paraId="44F799F5" w14:textId="77777777" w:rsidR="00B17209" w:rsidRPr="003B7DA2" w:rsidRDefault="00B17209" w:rsidP="00B17209">
            <w:pPr>
              <w:pStyle w:val="BodyText"/>
              <w:rPr>
                <w:rFonts w:ascii="Calibri" w:hAnsi="Calibri"/>
                <w:b/>
                <w:bCs/>
                <w:sz w:val="22"/>
                <w:szCs w:val="22"/>
                <w:u w:val="single"/>
              </w:rPr>
            </w:pPr>
          </w:p>
        </w:tc>
        <w:tc>
          <w:tcPr>
            <w:tcW w:w="1137" w:type="dxa"/>
            <w:vMerge/>
          </w:tcPr>
          <w:p w14:paraId="69DA2E9B" w14:textId="77777777" w:rsidR="00B17209" w:rsidRPr="003B7DA2" w:rsidRDefault="00B17209" w:rsidP="00B17209">
            <w:pPr>
              <w:pStyle w:val="BodyText"/>
              <w:rPr>
                <w:rFonts w:ascii="Calibri" w:hAnsi="Calibri"/>
                <w:b/>
                <w:bCs/>
                <w:sz w:val="22"/>
                <w:szCs w:val="22"/>
                <w:u w:val="single"/>
              </w:rPr>
            </w:pPr>
          </w:p>
        </w:tc>
        <w:tc>
          <w:tcPr>
            <w:tcW w:w="918" w:type="dxa"/>
            <w:vMerge/>
          </w:tcPr>
          <w:p w14:paraId="723AF202" w14:textId="77777777" w:rsidR="00B17209" w:rsidRPr="003B7DA2" w:rsidRDefault="00B17209" w:rsidP="00B17209">
            <w:pPr>
              <w:pStyle w:val="BodyText"/>
              <w:rPr>
                <w:rFonts w:ascii="Calibri" w:hAnsi="Calibri"/>
                <w:b/>
                <w:bCs/>
                <w:sz w:val="22"/>
                <w:szCs w:val="22"/>
                <w:u w:val="single"/>
              </w:rPr>
            </w:pPr>
          </w:p>
        </w:tc>
        <w:tc>
          <w:tcPr>
            <w:tcW w:w="904" w:type="dxa"/>
          </w:tcPr>
          <w:p w14:paraId="5A6320AD"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27E960B2"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3F2F49F5"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143505D0"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14:paraId="512CACD1" w14:textId="77777777" w:rsidR="00B17209" w:rsidRPr="003B7DA2" w:rsidRDefault="00B17209" w:rsidP="00B17209">
            <w:pPr>
              <w:pStyle w:val="BodyText"/>
              <w:rPr>
                <w:rFonts w:ascii="Calibri" w:hAnsi="Calibri" w:cs="Arial"/>
                <w:sz w:val="22"/>
                <w:szCs w:val="22"/>
              </w:rPr>
            </w:pPr>
          </w:p>
        </w:tc>
        <w:tc>
          <w:tcPr>
            <w:tcW w:w="1033" w:type="dxa"/>
            <w:vMerge/>
          </w:tcPr>
          <w:p w14:paraId="39EEA6DE" w14:textId="77777777" w:rsidR="00B17209" w:rsidRPr="003B7DA2" w:rsidRDefault="00B17209" w:rsidP="00B17209">
            <w:pPr>
              <w:pStyle w:val="BodyText"/>
              <w:rPr>
                <w:rFonts w:ascii="Calibri" w:hAnsi="Calibri" w:cs="Arial"/>
                <w:sz w:val="22"/>
                <w:szCs w:val="22"/>
              </w:rPr>
            </w:pPr>
          </w:p>
        </w:tc>
        <w:tc>
          <w:tcPr>
            <w:tcW w:w="901" w:type="dxa"/>
            <w:vMerge/>
          </w:tcPr>
          <w:p w14:paraId="13845D6E" w14:textId="77777777" w:rsidR="00B17209" w:rsidRPr="003B7DA2" w:rsidRDefault="00B17209" w:rsidP="00B17209">
            <w:pPr>
              <w:pStyle w:val="BodyText"/>
              <w:rPr>
                <w:rFonts w:ascii="Calibri" w:hAnsi="Calibri" w:cs="Arial"/>
                <w:sz w:val="22"/>
                <w:szCs w:val="22"/>
              </w:rPr>
            </w:pPr>
          </w:p>
        </w:tc>
      </w:tr>
      <w:tr w:rsidR="00B17209" w:rsidRPr="003B7DA2" w14:paraId="108ECB06" w14:textId="77777777" w:rsidTr="00D45209">
        <w:tc>
          <w:tcPr>
            <w:tcW w:w="913" w:type="dxa"/>
          </w:tcPr>
          <w:p w14:paraId="39DFDFFF"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5CA10949"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28EE1295"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504BA888" w14:textId="77777777" w:rsidR="00B17209" w:rsidRPr="003B7DA2" w:rsidRDefault="00B17209" w:rsidP="00B17209">
            <w:pPr>
              <w:pStyle w:val="BodyText"/>
              <w:rPr>
                <w:rFonts w:ascii="Calibri" w:hAnsi="Calibri"/>
                <w:b/>
                <w:bCs/>
                <w:sz w:val="22"/>
                <w:szCs w:val="22"/>
                <w:u w:val="single"/>
              </w:rPr>
            </w:pPr>
          </w:p>
        </w:tc>
        <w:tc>
          <w:tcPr>
            <w:tcW w:w="1025" w:type="dxa"/>
          </w:tcPr>
          <w:p w14:paraId="018D5169"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127" w:type="dxa"/>
          </w:tcPr>
          <w:p w14:paraId="2578E11E"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033" w:type="dxa"/>
          </w:tcPr>
          <w:p w14:paraId="296109AD"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0ABD05A9"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510F5DDD"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lastRenderedPageBreak/>
        <w:t xml:space="preserve">Márciusban 20 ezer forint jóváírást, 90 ezer forint összegű terhelést hajtott végre e csomag miatt  számláján az </w:t>
      </w:r>
      <w:proofErr w:type="spellStart"/>
      <w:r w:rsidRPr="003B7DA2">
        <w:rPr>
          <w:rFonts w:ascii="Calibri" w:hAnsi="Calibri"/>
          <w:bCs/>
          <w:sz w:val="22"/>
          <w:szCs w:val="22"/>
        </w:rPr>
        <w:t>elszámolóház</w:t>
      </w:r>
      <w:proofErr w:type="spellEnd"/>
      <w:r w:rsidRPr="003B7DA2">
        <w:rPr>
          <w:rFonts w:ascii="Calibri" w:hAnsi="Calibri"/>
          <w:bCs/>
          <w:sz w:val="22"/>
          <w:szCs w:val="22"/>
        </w:rPr>
        <w:t xml:space="preserve">. </w:t>
      </w:r>
    </w:p>
    <w:p w14:paraId="5590BDB7" w14:textId="77777777" w:rsidR="00B17209" w:rsidRPr="003B7DA2" w:rsidRDefault="00B17209" w:rsidP="00B17209">
      <w:pPr>
        <w:pStyle w:val="BodyText"/>
        <w:rPr>
          <w:rFonts w:ascii="Calibri" w:hAnsi="Calibri"/>
          <w:bCs/>
          <w:sz w:val="22"/>
          <w:szCs w:val="22"/>
        </w:rPr>
      </w:pPr>
    </w:p>
    <w:p w14:paraId="2CCAF025"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B17209" w:rsidRPr="003B7DA2" w14:paraId="7A8B1E2B" w14:textId="77777777" w:rsidTr="00D45209">
        <w:tc>
          <w:tcPr>
            <w:tcW w:w="913" w:type="dxa"/>
            <w:vMerge w:val="restart"/>
          </w:tcPr>
          <w:p w14:paraId="006B8D0B"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390E8B0E"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7DF96A6E"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6474FB2A"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76D4682D"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4DAD7218"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11FEE45A"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37AD212B" w14:textId="77777777" w:rsidTr="00D45209">
        <w:tc>
          <w:tcPr>
            <w:tcW w:w="913" w:type="dxa"/>
            <w:vMerge/>
          </w:tcPr>
          <w:p w14:paraId="461150C8" w14:textId="77777777" w:rsidR="00B17209" w:rsidRPr="003B7DA2" w:rsidRDefault="00B17209" w:rsidP="00B17209">
            <w:pPr>
              <w:pStyle w:val="BodyText"/>
              <w:rPr>
                <w:rFonts w:ascii="Calibri" w:hAnsi="Calibri"/>
                <w:b/>
                <w:bCs/>
                <w:sz w:val="22"/>
                <w:szCs w:val="22"/>
                <w:u w:val="single"/>
              </w:rPr>
            </w:pPr>
          </w:p>
        </w:tc>
        <w:tc>
          <w:tcPr>
            <w:tcW w:w="1137" w:type="dxa"/>
            <w:vMerge/>
          </w:tcPr>
          <w:p w14:paraId="2154D78F" w14:textId="77777777" w:rsidR="00B17209" w:rsidRPr="003B7DA2" w:rsidRDefault="00B17209" w:rsidP="00B17209">
            <w:pPr>
              <w:pStyle w:val="BodyText"/>
              <w:rPr>
                <w:rFonts w:ascii="Calibri" w:hAnsi="Calibri"/>
                <w:b/>
                <w:bCs/>
                <w:sz w:val="22"/>
                <w:szCs w:val="22"/>
                <w:u w:val="single"/>
              </w:rPr>
            </w:pPr>
          </w:p>
        </w:tc>
        <w:tc>
          <w:tcPr>
            <w:tcW w:w="918" w:type="dxa"/>
            <w:vMerge/>
          </w:tcPr>
          <w:p w14:paraId="4EDE46B1" w14:textId="77777777" w:rsidR="00B17209" w:rsidRPr="003B7DA2" w:rsidRDefault="00B17209" w:rsidP="00B17209">
            <w:pPr>
              <w:pStyle w:val="BodyText"/>
              <w:rPr>
                <w:rFonts w:ascii="Calibri" w:hAnsi="Calibri"/>
                <w:b/>
                <w:bCs/>
                <w:sz w:val="22"/>
                <w:szCs w:val="22"/>
                <w:u w:val="single"/>
              </w:rPr>
            </w:pPr>
          </w:p>
        </w:tc>
        <w:tc>
          <w:tcPr>
            <w:tcW w:w="904" w:type="dxa"/>
          </w:tcPr>
          <w:p w14:paraId="404AC18D"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0EF0227B"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2D677D82"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7646C03C"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1349C01A" w14:textId="77777777" w:rsidR="00B17209" w:rsidRPr="003B7DA2" w:rsidRDefault="00B17209" w:rsidP="00B17209">
            <w:pPr>
              <w:pStyle w:val="BodyText"/>
              <w:rPr>
                <w:rFonts w:ascii="Calibri" w:hAnsi="Calibri" w:cs="Arial"/>
                <w:sz w:val="22"/>
                <w:szCs w:val="22"/>
              </w:rPr>
            </w:pPr>
          </w:p>
        </w:tc>
        <w:tc>
          <w:tcPr>
            <w:tcW w:w="1033" w:type="dxa"/>
            <w:vMerge/>
          </w:tcPr>
          <w:p w14:paraId="0F5B5421" w14:textId="77777777" w:rsidR="00B17209" w:rsidRPr="003B7DA2" w:rsidRDefault="00B17209" w:rsidP="00B17209">
            <w:pPr>
              <w:pStyle w:val="BodyText"/>
              <w:rPr>
                <w:rFonts w:ascii="Calibri" w:hAnsi="Calibri" w:cs="Arial"/>
                <w:sz w:val="22"/>
                <w:szCs w:val="22"/>
              </w:rPr>
            </w:pPr>
          </w:p>
        </w:tc>
        <w:tc>
          <w:tcPr>
            <w:tcW w:w="901" w:type="dxa"/>
            <w:vMerge/>
          </w:tcPr>
          <w:p w14:paraId="3DB72FAF" w14:textId="77777777" w:rsidR="00B17209" w:rsidRPr="003B7DA2" w:rsidRDefault="00B17209" w:rsidP="00B17209">
            <w:pPr>
              <w:pStyle w:val="BodyText"/>
              <w:rPr>
                <w:rFonts w:ascii="Calibri" w:hAnsi="Calibri" w:cs="Arial"/>
                <w:sz w:val="22"/>
                <w:szCs w:val="22"/>
              </w:rPr>
            </w:pPr>
          </w:p>
        </w:tc>
      </w:tr>
      <w:tr w:rsidR="00B17209" w:rsidRPr="003B7DA2" w14:paraId="05DD5A49" w14:textId="77777777" w:rsidTr="00D45209">
        <w:tc>
          <w:tcPr>
            <w:tcW w:w="913" w:type="dxa"/>
          </w:tcPr>
          <w:p w14:paraId="07DE4B3C"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75F903C0"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6D11DD79"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616A6D8E"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0</w:t>
            </w:r>
          </w:p>
        </w:tc>
        <w:tc>
          <w:tcPr>
            <w:tcW w:w="1025" w:type="dxa"/>
          </w:tcPr>
          <w:p w14:paraId="4AF9D181"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20 000</w:t>
            </w:r>
          </w:p>
        </w:tc>
        <w:tc>
          <w:tcPr>
            <w:tcW w:w="1127" w:type="dxa"/>
          </w:tcPr>
          <w:p w14:paraId="6CE7116F"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20 000</w:t>
            </w:r>
          </w:p>
        </w:tc>
        <w:tc>
          <w:tcPr>
            <w:tcW w:w="1033" w:type="dxa"/>
          </w:tcPr>
          <w:p w14:paraId="7794CBC7"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225A8642"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17DD60DD"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B17209" w:rsidRPr="003B7DA2" w14:paraId="44122A8E" w14:textId="77777777" w:rsidTr="00D45209">
        <w:tc>
          <w:tcPr>
            <w:tcW w:w="913" w:type="dxa"/>
            <w:vMerge w:val="restart"/>
          </w:tcPr>
          <w:p w14:paraId="22D9B68F"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53D4F3D"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6C158EFB"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121B1964"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34A9BB84"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6E8B748B"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7702DE2C"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7CD56059" w14:textId="77777777" w:rsidTr="00D45209">
        <w:tc>
          <w:tcPr>
            <w:tcW w:w="913" w:type="dxa"/>
            <w:vMerge/>
          </w:tcPr>
          <w:p w14:paraId="07F76B12" w14:textId="77777777" w:rsidR="00B17209" w:rsidRPr="003B7DA2" w:rsidRDefault="00B17209" w:rsidP="00B17209">
            <w:pPr>
              <w:pStyle w:val="BodyText"/>
              <w:rPr>
                <w:rFonts w:ascii="Calibri" w:hAnsi="Calibri"/>
                <w:b/>
                <w:bCs/>
                <w:sz w:val="22"/>
                <w:szCs w:val="22"/>
                <w:u w:val="single"/>
              </w:rPr>
            </w:pPr>
          </w:p>
        </w:tc>
        <w:tc>
          <w:tcPr>
            <w:tcW w:w="1137" w:type="dxa"/>
            <w:vMerge/>
          </w:tcPr>
          <w:p w14:paraId="39D35114" w14:textId="77777777" w:rsidR="00B17209" w:rsidRPr="003B7DA2" w:rsidRDefault="00B17209" w:rsidP="00B17209">
            <w:pPr>
              <w:pStyle w:val="BodyText"/>
              <w:rPr>
                <w:rFonts w:ascii="Calibri" w:hAnsi="Calibri"/>
                <w:b/>
                <w:bCs/>
                <w:sz w:val="22"/>
                <w:szCs w:val="22"/>
                <w:u w:val="single"/>
              </w:rPr>
            </w:pPr>
          </w:p>
        </w:tc>
        <w:tc>
          <w:tcPr>
            <w:tcW w:w="918" w:type="dxa"/>
            <w:vMerge/>
          </w:tcPr>
          <w:p w14:paraId="7ADA474D" w14:textId="77777777" w:rsidR="00B17209" w:rsidRPr="003B7DA2" w:rsidRDefault="00B17209" w:rsidP="00B17209">
            <w:pPr>
              <w:pStyle w:val="BodyText"/>
              <w:rPr>
                <w:rFonts w:ascii="Calibri" w:hAnsi="Calibri"/>
                <w:b/>
                <w:bCs/>
                <w:sz w:val="22"/>
                <w:szCs w:val="22"/>
                <w:u w:val="single"/>
              </w:rPr>
            </w:pPr>
          </w:p>
        </w:tc>
        <w:tc>
          <w:tcPr>
            <w:tcW w:w="904" w:type="dxa"/>
          </w:tcPr>
          <w:p w14:paraId="22EE496A"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2A83257A"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0441751E"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5E36B16D"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14:paraId="73417EE8" w14:textId="77777777" w:rsidR="00B17209" w:rsidRPr="003B7DA2" w:rsidRDefault="00B17209" w:rsidP="00B17209">
            <w:pPr>
              <w:pStyle w:val="BodyText"/>
              <w:rPr>
                <w:rFonts w:ascii="Calibri" w:hAnsi="Calibri" w:cs="Arial"/>
                <w:sz w:val="22"/>
                <w:szCs w:val="22"/>
              </w:rPr>
            </w:pPr>
          </w:p>
        </w:tc>
        <w:tc>
          <w:tcPr>
            <w:tcW w:w="1033" w:type="dxa"/>
            <w:vMerge/>
          </w:tcPr>
          <w:p w14:paraId="32AE8218" w14:textId="77777777" w:rsidR="00B17209" w:rsidRPr="003B7DA2" w:rsidRDefault="00B17209" w:rsidP="00B17209">
            <w:pPr>
              <w:pStyle w:val="BodyText"/>
              <w:rPr>
                <w:rFonts w:ascii="Calibri" w:hAnsi="Calibri" w:cs="Arial"/>
                <w:sz w:val="22"/>
                <w:szCs w:val="22"/>
              </w:rPr>
            </w:pPr>
          </w:p>
        </w:tc>
        <w:tc>
          <w:tcPr>
            <w:tcW w:w="901" w:type="dxa"/>
            <w:vMerge/>
          </w:tcPr>
          <w:p w14:paraId="6BC19747" w14:textId="77777777" w:rsidR="00B17209" w:rsidRPr="003B7DA2" w:rsidRDefault="00B17209" w:rsidP="00B17209">
            <w:pPr>
              <w:pStyle w:val="BodyText"/>
              <w:rPr>
                <w:rFonts w:ascii="Calibri" w:hAnsi="Calibri" w:cs="Arial"/>
                <w:sz w:val="22"/>
                <w:szCs w:val="22"/>
              </w:rPr>
            </w:pPr>
          </w:p>
        </w:tc>
      </w:tr>
      <w:tr w:rsidR="00B17209" w:rsidRPr="003B7DA2" w14:paraId="129F4902" w14:textId="77777777" w:rsidTr="00D45209">
        <w:tc>
          <w:tcPr>
            <w:tcW w:w="913" w:type="dxa"/>
          </w:tcPr>
          <w:p w14:paraId="20DE235B"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04FF18A1"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49607F4D"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16008A43" w14:textId="77777777" w:rsidR="00B17209" w:rsidRPr="003B7DA2" w:rsidRDefault="00B17209" w:rsidP="00B17209">
            <w:pPr>
              <w:pStyle w:val="BodyText"/>
              <w:rPr>
                <w:rFonts w:ascii="Calibri" w:hAnsi="Calibri"/>
                <w:b/>
                <w:bCs/>
                <w:sz w:val="22"/>
                <w:szCs w:val="22"/>
                <w:u w:val="single"/>
              </w:rPr>
            </w:pPr>
          </w:p>
        </w:tc>
        <w:tc>
          <w:tcPr>
            <w:tcW w:w="1025" w:type="dxa"/>
          </w:tcPr>
          <w:p w14:paraId="2DC4E549"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90 000</w:t>
            </w:r>
          </w:p>
        </w:tc>
        <w:tc>
          <w:tcPr>
            <w:tcW w:w="1127" w:type="dxa"/>
          </w:tcPr>
          <w:p w14:paraId="759CFD27"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90 000</w:t>
            </w:r>
          </w:p>
        </w:tc>
        <w:tc>
          <w:tcPr>
            <w:tcW w:w="1033" w:type="dxa"/>
          </w:tcPr>
          <w:p w14:paraId="22A8C6FE"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3FE6C1A2"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03C08D73" w14:textId="77777777" w:rsidR="00B17209" w:rsidRPr="003B7DA2" w:rsidRDefault="00B17209" w:rsidP="00B17209">
      <w:pPr>
        <w:pStyle w:val="BodyText"/>
        <w:rPr>
          <w:rFonts w:ascii="Calibri" w:hAnsi="Calibri"/>
          <w:bCs/>
          <w:sz w:val="22"/>
          <w:szCs w:val="22"/>
        </w:rPr>
      </w:pPr>
    </w:p>
    <w:p w14:paraId="0CFF1F57"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Áprilisban utolsó napig, vagyis 9-éig bezáróan 10 ezer forint jóváírást és 6 ezer forint terhelést hajtott végre az </w:t>
      </w:r>
      <w:proofErr w:type="spellStart"/>
      <w:r w:rsidRPr="003B7DA2">
        <w:rPr>
          <w:rFonts w:ascii="Calibri" w:hAnsi="Calibri"/>
          <w:bCs/>
          <w:sz w:val="22"/>
          <w:szCs w:val="22"/>
        </w:rPr>
        <w:t>elszámolóház</w:t>
      </w:r>
      <w:proofErr w:type="spellEnd"/>
      <w:r w:rsidRPr="003B7DA2">
        <w:rPr>
          <w:rFonts w:ascii="Calibri" w:hAnsi="Calibri"/>
          <w:bCs/>
          <w:sz w:val="22"/>
          <w:szCs w:val="22"/>
        </w:rPr>
        <w:t xml:space="preserve">, míg április 10-én, az akkori árfolyamoknak megfelelően egy utolsó, 1 ezer forintos nyereség kifizetésével (jóváírással) zárta le az ügyletet. Tehát nem történik meg az ügylet szerinti devizaösszeg és forint összeg cseréje, hanem az érték különbözet elszámolásával zárják le az ügyletet. Áprilisban tehát az alábbi adatokat kellett jelenteni: </w:t>
      </w:r>
    </w:p>
    <w:p w14:paraId="326206AD" w14:textId="77777777" w:rsidR="00B17209" w:rsidRPr="003B7DA2" w:rsidRDefault="00B17209" w:rsidP="00B17209">
      <w:pPr>
        <w:pStyle w:val="BodyText"/>
        <w:rPr>
          <w:rFonts w:ascii="Calibri" w:hAnsi="Calibri"/>
          <w:b/>
          <w:bCs/>
          <w:sz w:val="22"/>
          <w:szCs w:val="22"/>
          <w:u w:val="single"/>
        </w:rPr>
      </w:pPr>
    </w:p>
    <w:p w14:paraId="75A6EBEB"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B17209" w:rsidRPr="003B7DA2" w14:paraId="079B3134" w14:textId="77777777" w:rsidTr="00D45209">
        <w:tc>
          <w:tcPr>
            <w:tcW w:w="913" w:type="dxa"/>
            <w:vMerge w:val="restart"/>
          </w:tcPr>
          <w:p w14:paraId="1FB584BE"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1B235EF"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7CCBBB2E"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2ED8DE1B"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50CD782A"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7587D299"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76A734A2"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54511B65" w14:textId="77777777" w:rsidTr="00D45209">
        <w:tc>
          <w:tcPr>
            <w:tcW w:w="913" w:type="dxa"/>
            <w:vMerge/>
          </w:tcPr>
          <w:p w14:paraId="67BB3F3A" w14:textId="77777777" w:rsidR="00B17209" w:rsidRPr="003B7DA2" w:rsidRDefault="00B17209" w:rsidP="00B17209">
            <w:pPr>
              <w:pStyle w:val="BodyText"/>
              <w:rPr>
                <w:rFonts w:ascii="Calibri" w:hAnsi="Calibri"/>
                <w:b/>
                <w:bCs/>
                <w:sz w:val="22"/>
                <w:szCs w:val="22"/>
                <w:u w:val="single"/>
              </w:rPr>
            </w:pPr>
          </w:p>
        </w:tc>
        <w:tc>
          <w:tcPr>
            <w:tcW w:w="1137" w:type="dxa"/>
            <w:vMerge/>
          </w:tcPr>
          <w:p w14:paraId="15757BC6" w14:textId="77777777" w:rsidR="00B17209" w:rsidRPr="003B7DA2" w:rsidRDefault="00B17209" w:rsidP="00B17209">
            <w:pPr>
              <w:pStyle w:val="BodyText"/>
              <w:rPr>
                <w:rFonts w:ascii="Calibri" w:hAnsi="Calibri"/>
                <w:b/>
                <w:bCs/>
                <w:sz w:val="22"/>
                <w:szCs w:val="22"/>
                <w:u w:val="single"/>
              </w:rPr>
            </w:pPr>
          </w:p>
        </w:tc>
        <w:tc>
          <w:tcPr>
            <w:tcW w:w="918" w:type="dxa"/>
            <w:vMerge/>
          </w:tcPr>
          <w:p w14:paraId="571A1D64" w14:textId="77777777" w:rsidR="00B17209" w:rsidRPr="003B7DA2" w:rsidRDefault="00B17209" w:rsidP="00B17209">
            <w:pPr>
              <w:pStyle w:val="BodyText"/>
              <w:rPr>
                <w:rFonts w:ascii="Calibri" w:hAnsi="Calibri"/>
                <w:b/>
                <w:bCs/>
                <w:sz w:val="22"/>
                <w:szCs w:val="22"/>
                <w:u w:val="single"/>
              </w:rPr>
            </w:pPr>
          </w:p>
        </w:tc>
        <w:tc>
          <w:tcPr>
            <w:tcW w:w="904" w:type="dxa"/>
          </w:tcPr>
          <w:p w14:paraId="1FE66397"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64875EA9"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38476C2F"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270E2B68"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65A3F092" w14:textId="77777777" w:rsidR="00B17209" w:rsidRPr="003B7DA2" w:rsidRDefault="00B17209" w:rsidP="00B17209">
            <w:pPr>
              <w:pStyle w:val="BodyText"/>
              <w:rPr>
                <w:rFonts w:ascii="Calibri" w:hAnsi="Calibri" w:cs="Arial"/>
                <w:sz w:val="22"/>
                <w:szCs w:val="22"/>
              </w:rPr>
            </w:pPr>
          </w:p>
        </w:tc>
        <w:tc>
          <w:tcPr>
            <w:tcW w:w="1033" w:type="dxa"/>
            <w:vMerge/>
          </w:tcPr>
          <w:p w14:paraId="5D510F4B" w14:textId="77777777" w:rsidR="00B17209" w:rsidRPr="003B7DA2" w:rsidRDefault="00B17209" w:rsidP="00B17209">
            <w:pPr>
              <w:pStyle w:val="BodyText"/>
              <w:rPr>
                <w:rFonts w:ascii="Calibri" w:hAnsi="Calibri" w:cs="Arial"/>
                <w:sz w:val="22"/>
                <w:szCs w:val="22"/>
              </w:rPr>
            </w:pPr>
          </w:p>
        </w:tc>
        <w:tc>
          <w:tcPr>
            <w:tcW w:w="901" w:type="dxa"/>
            <w:vMerge/>
          </w:tcPr>
          <w:p w14:paraId="09C48C90" w14:textId="77777777" w:rsidR="00B17209" w:rsidRPr="003B7DA2" w:rsidRDefault="00B17209" w:rsidP="00B17209">
            <w:pPr>
              <w:pStyle w:val="BodyText"/>
              <w:rPr>
                <w:rFonts w:ascii="Calibri" w:hAnsi="Calibri" w:cs="Arial"/>
                <w:sz w:val="22"/>
                <w:szCs w:val="22"/>
              </w:rPr>
            </w:pPr>
          </w:p>
        </w:tc>
      </w:tr>
      <w:tr w:rsidR="00B17209" w:rsidRPr="003B7DA2" w14:paraId="2047B2F5" w14:textId="77777777" w:rsidTr="00D45209">
        <w:tc>
          <w:tcPr>
            <w:tcW w:w="913" w:type="dxa"/>
          </w:tcPr>
          <w:p w14:paraId="4694DC8A"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57DD74B8"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65D3A7D5"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03DA934A"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0</w:t>
            </w:r>
          </w:p>
        </w:tc>
        <w:tc>
          <w:tcPr>
            <w:tcW w:w="1025" w:type="dxa"/>
          </w:tcPr>
          <w:p w14:paraId="7351297D"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11 000</w:t>
            </w:r>
          </w:p>
        </w:tc>
        <w:tc>
          <w:tcPr>
            <w:tcW w:w="1127" w:type="dxa"/>
          </w:tcPr>
          <w:p w14:paraId="0BB195AD"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11 000</w:t>
            </w:r>
          </w:p>
        </w:tc>
        <w:tc>
          <w:tcPr>
            <w:tcW w:w="1033" w:type="dxa"/>
          </w:tcPr>
          <w:p w14:paraId="36C7CBAA"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29DD0CFB"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79A91633" w14:textId="77777777" w:rsidR="00B17209" w:rsidRPr="003B7DA2" w:rsidRDefault="00B17209" w:rsidP="00B17209">
      <w:pPr>
        <w:pStyle w:val="BodyText"/>
        <w:rPr>
          <w:rFonts w:ascii="Calibri" w:hAnsi="Calibri"/>
          <w:b/>
          <w:bCs/>
          <w:sz w:val="22"/>
          <w:szCs w:val="22"/>
          <w:u w:val="single"/>
        </w:rPr>
      </w:pPr>
    </w:p>
    <w:p w14:paraId="66C5A161"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B17209" w:rsidRPr="003B7DA2" w14:paraId="1E2E68AB" w14:textId="77777777" w:rsidTr="00D45209">
        <w:tc>
          <w:tcPr>
            <w:tcW w:w="913" w:type="dxa"/>
            <w:vMerge w:val="restart"/>
          </w:tcPr>
          <w:p w14:paraId="46CCF402"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3FB9CE8A"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5635477E"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550491ED"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2B5F132E"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796F9CA1"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49D8D349"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347B70EB" w14:textId="77777777" w:rsidTr="00D45209">
        <w:tc>
          <w:tcPr>
            <w:tcW w:w="913" w:type="dxa"/>
            <w:vMerge/>
          </w:tcPr>
          <w:p w14:paraId="75723718" w14:textId="77777777" w:rsidR="00B17209" w:rsidRPr="003B7DA2" w:rsidRDefault="00B17209" w:rsidP="00B17209">
            <w:pPr>
              <w:pStyle w:val="BodyText"/>
              <w:rPr>
                <w:rFonts w:ascii="Calibri" w:hAnsi="Calibri"/>
                <w:b/>
                <w:bCs/>
                <w:sz w:val="22"/>
                <w:szCs w:val="22"/>
                <w:u w:val="single"/>
              </w:rPr>
            </w:pPr>
          </w:p>
        </w:tc>
        <w:tc>
          <w:tcPr>
            <w:tcW w:w="1137" w:type="dxa"/>
            <w:vMerge/>
          </w:tcPr>
          <w:p w14:paraId="39B87ECB" w14:textId="77777777" w:rsidR="00B17209" w:rsidRPr="003B7DA2" w:rsidRDefault="00B17209" w:rsidP="00B17209">
            <w:pPr>
              <w:pStyle w:val="BodyText"/>
              <w:rPr>
                <w:rFonts w:ascii="Calibri" w:hAnsi="Calibri"/>
                <w:b/>
                <w:bCs/>
                <w:sz w:val="22"/>
                <w:szCs w:val="22"/>
                <w:u w:val="single"/>
              </w:rPr>
            </w:pPr>
          </w:p>
        </w:tc>
        <w:tc>
          <w:tcPr>
            <w:tcW w:w="918" w:type="dxa"/>
            <w:vMerge/>
          </w:tcPr>
          <w:p w14:paraId="75E4FAF3" w14:textId="77777777" w:rsidR="00B17209" w:rsidRPr="003B7DA2" w:rsidRDefault="00B17209" w:rsidP="00B17209">
            <w:pPr>
              <w:pStyle w:val="BodyText"/>
              <w:rPr>
                <w:rFonts w:ascii="Calibri" w:hAnsi="Calibri"/>
                <w:b/>
                <w:bCs/>
                <w:sz w:val="22"/>
                <w:szCs w:val="22"/>
                <w:u w:val="single"/>
              </w:rPr>
            </w:pPr>
          </w:p>
        </w:tc>
        <w:tc>
          <w:tcPr>
            <w:tcW w:w="904" w:type="dxa"/>
          </w:tcPr>
          <w:p w14:paraId="6C7C27DF"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72128FEB"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4D281897"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16443A31"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14:paraId="52791B67" w14:textId="77777777" w:rsidR="00B17209" w:rsidRPr="003B7DA2" w:rsidRDefault="00B17209" w:rsidP="00B17209">
            <w:pPr>
              <w:pStyle w:val="BodyText"/>
              <w:rPr>
                <w:rFonts w:ascii="Calibri" w:hAnsi="Calibri" w:cs="Arial"/>
                <w:sz w:val="22"/>
                <w:szCs w:val="22"/>
              </w:rPr>
            </w:pPr>
          </w:p>
        </w:tc>
        <w:tc>
          <w:tcPr>
            <w:tcW w:w="1033" w:type="dxa"/>
            <w:vMerge/>
          </w:tcPr>
          <w:p w14:paraId="0B1D21B4" w14:textId="77777777" w:rsidR="00B17209" w:rsidRPr="003B7DA2" w:rsidRDefault="00B17209" w:rsidP="00B17209">
            <w:pPr>
              <w:pStyle w:val="BodyText"/>
              <w:rPr>
                <w:rFonts w:ascii="Calibri" w:hAnsi="Calibri" w:cs="Arial"/>
                <w:sz w:val="22"/>
                <w:szCs w:val="22"/>
              </w:rPr>
            </w:pPr>
          </w:p>
        </w:tc>
        <w:tc>
          <w:tcPr>
            <w:tcW w:w="901" w:type="dxa"/>
            <w:vMerge/>
          </w:tcPr>
          <w:p w14:paraId="77A29D5A" w14:textId="77777777" w:rsidR="00B17209" w:rsidRPr="003B7DA2" w:rsidRDefault="00B17209" w:rsidP="00B17209">
            <w:pPr>
              <w:pStyle w:val="BodyText"/>
              <w:rPr>
                <w:rFonts w:ascii="Calibri" w:hAnsi="Calibri" w:cs="Arial"/>
                <w:sz w:val="22"/>
                <w:szCs w:val="22"/>
              </w:rPr>
            </w:pPr>
          </w:p>
        </w:tc>
      </w:tr>
      <w:tr w:rsidR="00B17209" w:rsidRPr="003B7DA2" w14:paraId="5F70071F" w14:textId="77777777" w:rsidTr="00D45209">
        <w:tc>
          <w:tcPr>
            <w:tcW w:w="913" w:type="dxa"/>
          </w:tcPr>
          <w:p w14:paraId="7EA7BE82"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04448AF3"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54933A5B"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2F32AA19" w14:textId="77777777" w:rsidR="00B17209" w:rsidRPr="003B7DA2" w:rsidRDefault="00B17209" w:rsidP="00B17209">
            <w:pPr>
              <w:pStyle w:val="BodyText"/>
              <w:rPr>
                <w:rFonts w:ascii="Calibri" w:hAnsi="Calibri"/>
                <w:b/>
                <w:bCs/>
                <w:sz w:val="22"/>
                <w:szCs w:val="22"/>
                <w:u w:val="single"/>
              </w:rPr>
            </w:pPr>
          </w:p>
        </w:tc>
        <w:tc>
          <w:tcPr>
            <w:tcW w:w="1025" w:type="dxa"/>
          </w:tcPr>
          <w:p w14:paraId="45B45048"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6 000</w:t>
            </w:r>
          </w:p>
        </w:tc>
        <w:tc>
          <w:tcPr>
            <w:tcW w:w="1127" w:type="dxa"/>
          </w:tcPr>
          <w:p w14:paraId="3178B3C6"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6 000</w:t>
            </w:r>
          </w:p>
        </w:tc>
        <w:tc>
          <w:tcPr>
            <w:tcW w:w="1033" w:type="dxa"/>
          </w:tcPr>
          <w:p w14:paraId="7E956FB1"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45EAE56B"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67CE1483" w14:textId="77777777" w:rsidR="00B17209" w:rsidRPr="003B7DA2" w:rsidRDefault="00B17209" w:rsidP="00B17209">
      <w:pPr>
        <w:pStyle w:val="BodyText"/>
        <w:rPr>
          <w:rFonts w:ascii="Calibri" w:hAnsi="Calibri"/>
          <w:snapToGrid w:val="0"/>
          <w:sz w:val="22"/>
          <w:szCs w:val="22"/>
          <w:lang w:eastAsia="en-US"/>
        </w:rPr>
      </w:pPr>
    </w:p>
    <w:bookmarkEnd w:id="5"/>
    <w:bookmarkEnd w:id="6"/>
    <w:p w14:paraId="67F5E724" w14:textId="77777777" w:rsidR="0092684C" w:rsidRPr="003B7DA2" w:rsidRDefault="0092684C">
      <w:pPr>
        <w:ind w:left="720"/>
        <w:jc w:val="both"/>
        <w:rPr>
          <w:rFonts w:ascii="Calibri" w:hAnsi="Calibri"/>
          <w:sz w:val="22"/>
          <w:szCs w:val="22"/>
        </w:rPr>
      </w:pPr>
    </w:p>
    <w:p w14:paraId="5FB12C17" w14:textId="77777777" w:rsidR="00B17209" w:rsidRPr="003B7DA2" w:rsidRDefault="00B17209">
      <w:pPr>
        <w:ind w:left="720"/>
        <w:jc w:val="both"/>
        <w:rPr>
          <w:rFonts w:ascii="Calibri" w:hAnsi="Calibri"/>
          <w:sz w:val="22"/>
          <w:szCs w:val="22"/>
        </w:rPr>
      </w:pPr>
    </w:p>
    <w:p w14:paraId="2AF54A4B" w14:textId="77777777" w:rsidR="0092684C" w:rsidRPr="003B7DA2" w:rsidRDefault="0092684C">
      <w:pPr>
        <w:pStyle w:val="BodyText"/>
        <w:rPr>
          <w:rFonts w:ascii="Calibri" w:hAnsi="Calibri"/>
          <w:b/>
          <w:bCs/>
          <w:sz w:val="22"/>
          <w:szCs w:val="22"/>
        </w:rPr>
      </w:pPr>
      <w:bookmarkStart w:id="7" w:name="_Toc120612690"/>
      <w:bookmarkStart w:id="8" w:name="_Toc122850669"/>
      <w:r w:rsidRPr="003B7DA2">
        <w:rPr>
          <w:rFonts w:ascii="Calibri" w:hAnsi="Calibri"/>
          <w:b/>
          <w:bCs/>
          <w:sz w:val="22"/>
          <w:szCs w:val="22"/>
        </w:rPr>
        <w:t xml:space="preserve">b. Nem rezidensekkel kötött </w:t>
      </w:r>
      <w:proofErr w:type="spellStart"/>
      <w:r w:rsidRPr="003B7DA2">
        <w:rPr>
          <w:rFonts w:ascii="Calibri" w:hAnsi="Calibri"/>
          <w:b/>
          <w:bCs/>
          <w:sz w:val="22"/>
          <w:szCs w:val="22"/>
        </w:rPr>
        <w:t>forwardok</w:t>
      </w:r>
      <w:proofErr w:type="spellEnd"/>
      <w:r w:rsidRPr="003B7DA2">
        <w:rPr>
          <w:rFonts w:ascii="Calibri" w:hAnsi="Calibri"/>
          <w:b/>
          <w:bCs/>
          <w:sz w:val="22"/>
          <w:szCs w:val="22"/>
        </w:rPr>
        <w:t>:</w:t>
      </w:r>
      <w:bookmarkEnd w:id="7"/>
      <w:bookmarkEnd w:id="8"/>
    </w:p>
    <w:p w14:paraId="1F2FF438" w14:textId="77777777" w:rsidR="0092684C" w:rsidRPr="003B7DA2" w:rsidRDefault="0092684C">
      <w:pPr>
        <w:autoSpaceDE w:val="0"/>
        <w:autoSpaceDN w:val="0"/>
        <w:adjustRightInd w:val="0"/>
        <w:ind w:left="720"/>
        <w:jc w:val="both"/>
        <w:rPr>
          <w:rFonts w:ascii="Calibri" w:hAnsi="Calibri"/>
          <w:snapToGrid w:val="0"/>
          <w:sz w:val="22"/>
          <w:szCs w:val="22"/>
          <w:lang w:eastAsia="en-US"/>
        </w:rPr>
      </w:pPr>
    </w:p>
    <w:p w14:paraId="0DB8BB13" w14:textId="77777777" w:rsidR="0092684C" w:rsidRPr="003B7DA2" w:rsidRDefault="0092684C">
      <w:pPr>
        <w:autoSpaceDE w:val="0"/>
        <w:autoSpaceDN w:val="0"/>
        <w:adjustRightInd w:val="0"/>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ún. </w:t>
      </w:r>
      <w:proofErr w:type="spellStart"/>
      <w:r w:rsidRPr="003B7DA2">
        <w:rPr>
          <w:rFonts w:ascii="Calibri" w:hAnsi="Calibri"/>
          <w:snapToGrid w:val="0"/>
          <w:sz w:val="22"/>
          <w:szCs w:val="22"/>
          <w:lang w:eastAsia="en-US"/>
        </w:rPr>
        <w:t>outright</w:t>
      </w:r>
      <w:proofErr w:type="spellEnd"/>
      <w:r w:rsidRPr="003B7DA2">
        <w:rPr>
          <w:rFonts w:ascii="Calibri" w:hAnsi="Calibri"/>
          <w:snapToGrid w:val="0"/>
          <w:sz w:val="22"/>
          <w:szCs w:val="22"/>
          <w:lang w:eastAsia="en-US"/>
        </w:rPr>
        <w:t xml:space="preserve"> </w:t>
      </w:r>
      <w:proofErr w:type="spellStart"/>
      <w:r w:rsidRPr="003B7DA2">
        <w:rPr>
          <w:rFonts w:ascii="Calibri" w:hAnsi="Calibri"/>
          <w:b/>
          <w:snapToGrid w:val="0"/>
          <w:sz w:val="22"/>
          <w:szCs w:val="22"/>
          <w:lang w:eastAsia="en-US"/>
        </w:rPr>
        <w:t>forward</w:t>
      </w:r>
      <w:proofErr w:type="spellEnd"/>
      <w:r w:rsidRPr="003B7DA2">
        <w:rPr>
          <w:rFonts w:ascii="Calibri" w:hAnsi="Calibri"/>
          <w:b/>
          <w:snapToGrid w:val="0"/>
          <w:sz w:val="22"/>
          <w:szCs w:val="22"/>
          <w:lang w:eastAsia="en-US"/>
        </w:rPr>
        <w:t xml:space="preserve"> </w:t>
      </w:r>
      <w:r w:rsidRPr="003B7DA2">
        <w:rPr>
          <w:rFonts w:ascii="Calibri" w:hAnsi="Calibri"/>
          <w:snapToGrid w:val="0"/>
          <w:sz w:val="22"/>
          <w:szCs w:val="22"/>
          <w:lang w:eastAsia="en-US"/>
        </w:rPr>
        <w:t xml:space="preserve">ügyletek olyan határidős deviza konverziós megállapodások, amelyeket az OTC piacon (vagyis nem szervezett piacon, nem tőzsdén) kötöttek, tehát szerződéses feltételeik nem </w:t>
      </w:r>
      <w:proofErr w:type="spellStart"/>
      <w:r w:rsidRPr="003B7DA2">
        <w:rPr>
          <w:rFonts w:ascii="Calibri" w:hAnsi="Calibri"/>
          <w:snapToGrid w:val="0"/>
          <w:sz w:val="22"/>
          <w:szCs w:val="22"/>
          <w:lang w:eastAsia="en-US"/>
        </w:rPr>
        <w:t>sztandardizáltak</w:t>
      </w:r>
      <w:proofErr w:type="spellEnd"/>
      <w:r w:rsidRPr="003B7DA2">
        <w:rPr>
          <w:rFonts w:ascii="Calibri" w:hAnsi="Calibri"/>
          <w:snapToGrid w:val="0"/>
          <w:sz w:val="22"/>
          <w:szCs w:val="22"/>
          <w:lang w:eastAsia="en-US"/>
        </w:rPr>
        <w:t xml:space="preserve"> (szabványosítottak), ezért a szerződő felek konkrét igényei szerint köthetők.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 teljesítése akár a devizaösszegek </w:t>
      </w:r>
      <w:r w:rsidRPr="003B7DA2">
        <w:rPr>
          <w:rFonts w:ascii="Calibri" w:hAnsi="Calibri"/>
          <w:snapToGrid w:val="0"/>
          <w:sz w:val="22"/>
          <w:szCs w:val="22"/>
          <w:lang w:eastAsia="en-US"/>
        </w:rPr>
        <w:lastRenderedPageBreak/>
        <w:t xml:space="preserve">leszállításával (vagyis a teljes devizaösszegek cseréjével), akár az értékkülönbözet elszámolásával is történhet.  </w:t>
      </w:r>
    </w:p>
    <w:p w14:paraId="02ED7A42" w14:textId="77777777" w:rsidR="0092684C" w:rsidRPr="003B7DA2" w:rsidRDefault="0092684C">
      <w:pPr>
        <w:ind w:left="720"/>
        <w:jc w:val="both"/>
        <w:rPr>
          <w:rFonts w:ascii="Calibri" w:hAnsi="Calibri"/>
          <w:snapToGrid w:val="0"/>
          <w:sz w:val="22"/>
          <w:szCs w:val="22"/>
          <w:lang w:eastAsia="en-US"/>
        </w:rPr>
      </w:pPr>
    </w:p>
    <w:p w14:paraId="6B77EBD9" w14:textId="77777777" w:rsidR="0092684C" w:rsidRPr="003B7DA2" w:rsidRDefault="0092684C">
      <w:pPr>
        <w:ind w:left="720"/>
        <w:jc w:val="both"/>
        <w:rPr>
          <w:rFonts w:ascii="Calibri" w:hAnsi="Calibri"/>
          <w:b/>
          <w:snapToGrid w:val="0"/>
          <w:sz w:val="22"/>
          <w:szCs w:val="22"/>
          <w:lang w:eastAsia="en-US"/>
        </w:rPr>
      </w:pPr>
    </w:p>
    <w:p w14:paraId="729FD4AC"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Követelések és tartozások, időszak eleji nyitó és időszak végi záró pozíció:</w:t>
      </w:r>
    </w:p>
    <w:p w14:paraId="78AED087" w14:textId="77777777" w:rsidR="0092684C" w:rsidRPr="003B7DA2" w:rsidRDefault="0092684C">
      <w:pPr>
        <w:ind w:left="1440"/>
        <w:jc w:val="both"/>
        <w:rPr>
          <w:rFonts w:ascii="Calibri" w:hAnsi="Calibri"/>
          <w:snapToGrid w:val="0"/>
          <w:sz w:val="22"/>
          <w:szCs w:val="22"/>
          <w:lang w:eastAsia="en-US"/>
        </w:rPr>
      </w:pPr>
    </w:p>
    <w:p w14:paraId="6582C998"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határidős ügyletek kezdetén egyenlő piaci értékű kockázati kitettségeket cserélnek el, így kötésekor az ügylet piaci értéke nulla. Ezek után az ügylet piaci értéke az alapul szolgáló eszközök, jelen esetben a deviza piaci értéke (határidős devizaárfolyama) szerint változik. Így</w:t>
      </w:r>
      <w:r w:rsidRPr="003B7DA2">
        <w:rPr>
          <w:rFonts w:ascii="Calibri" w:hAnsi="Calibri" w:cs="Arial"/>
          <w:sz w:val="22"/>
          <w:szCs w:val="22"/>
        </w:rPr>
        <w:t xml:space="preserve"> a nyitott ügyletek piaci (vagy helyettesítési) értéke pozitív, nulla és negatív értéket is felvehet, a mögöttes árak változásától függően</w:t>
      </w:r>
      <w:r w:rsidRPr="003B7DA2">
        <w:rPr>
          <w:rFonts w:ascii="Calibri" w:hAnsi="Calibri"/>
          <w:snapToGrid w:val="0"/>
          <w:sz w:val="22"/>
          <w:szCs w:val="22"/>
          <w:lang w:eastAsia="en-US"/>
        </w:rPr>
        <w:t xml:space="preserve">. </w:t>
      </w:r>
    </w:p>
    <w:p w14:paraId="657CC47A" w14:textId="77777777" w:rsidR="0092684C" w:rsidRPr="003B7DA2" w:rsidRDefault="0092684C">
      <w:pPr>
        <w:ind w:left="3240"/>
        <w:jc w:val="both"/>
        <w:rPr>
          <w:rFonts w:ascii="Calibri" w:hAnsi="Calibri"/>
          <w:snapToGrid w:val="0"/>
          <w:sz w:val="22"/>
          <w:szCs w:val="22"/>
          <w:lang w:eastAsia="en-US"/>
        </w:rPr>
      </w:pPr>
    </w:p>
    <w:p w14:paraId="7E8A6A9C"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tőzsdén kívüli (nem szabványosított) határidős nyitott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ügyletek bruttó piaci értékét a mögöttes termék (jelen táblában a deviza, vagy valuta) jegyzett határidős árának figyelembe vételével kell meghatározni és országonként összesítve a kiértékelés eredményétől függően a követelés, vagy tartozás táblában jelenteni.</w:t>
      </w:r>
    </w:p>
    <w:p w14:paraId="1F28F143" w14:textId="77777777" w:rsidR="0092684C" w:rsidRPr="003B7DA2" w:rsidRDefault="0092684C">
      <w:pPr>
        <w:jc w:val="both"/>
        <w:rPr>
          <w:rFonts w:ascii="Calibri" w:hAnsi="Calibri"/>
          <w:b/>
          <w:snapToGrid w:val="0"/>
          <w:sz w:val="22"/>
          <w:szCs w:val="22"/>
          <w:lang w:eastAsia="en-US"/>
        </w:rPr>
      </w:pPr>
    </w:p>
    <w:p w14:paraId="00BC644C"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566059A0" w14:textId="77777777" w:rsidR="0092684C" w:rsidRPr="003B7DA2" w:rsidRDefault="0092684C">
      <w:pPr>
        <w:ind w:left="3240"/>
        <w:jc w:val="both"/>
        <w:rPr>
          <w:rFonts w:ascii="Calibri" w:hAnsi="Calibri"/>
          <w:snapToGrid w:val="0"/>
          <w:sz w:val="22"/>
          <w:szCs w:val="22"/>
          <w:lang w:eastAsia="en-US"/>
        </w:rPr>
      </w:pPr>
    </w:p>
    <w:p w14:paraId="495B3ACC" w14:textId="77777777" w:rsidR="0092684C" w:rsidRPr="003B7DA2" w:rsidRDefault="0092684C">
      <w:pPr>
        <w:ind w:left="72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esetén az ügylet lezárásakor a szerződő felek között teljesített bruttó, vagy (elszámolásos teljesítés, lezárás esetén) nettó fizetéseket kell itt országonként 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 vagy tartozás táblába sorolni, míg bruttó teljesítéskor (az ügylet zárásakor) az ügylet eredménye szerinti táblában kell a tranzakció mindkét lábát (bevétel és kiadás) szerepeltetni (tehát ki kell számítani a bejövő és kimenő összeg különbözetét). </w:t>
      </w:r>
    </w:p>
    <w:p w14:paraId="4BEB8A16" w14:textId="77777777" w:rsidR="0092684C" w:rsidRPr="003B7DA2" w:rsidRDefault="0092684C">
      <w:pPr>
        <w:rPr>
          <w:rFonts w:ascii="Calibri" w:hAnsi="Calibri"/>
          <w:sz w:val="22"/>
          <w:szCs w:val="22"/>
        </w:rPr>
      </w:pPr>
    </w:p>
    <w:p w14:paraId="261D5000" w14:textId="77777777" w:rsidR="0092684C" w:rsidRPr="003B7DA2" w:rsidRDefault="0092684C">
      <w:pPr>
        <w:rPr>
          <w:rFonts w:ascii="Calibri" w:hAnsi="Calibri"/>
          <w:sz w:val="22"/>
          <w:szCs w:val="22"/>
        </w:rPr>
      </w:pPr>
    </w:p>
    <w:p w14:paraId="4D92D9F4" w14:textId="77777777" w:rsidR="0092684C" w:rsidRPr="003B7DA2" w:rsidRDefault="0092684C">
      <w:pPr>
        <w:rPr>
          <w:rFonts w:ascii="Calibri" w:hAnsi="Calibri"/>
          <w:b/>
          <w:sz w:val="22"/>
          <w:szCs w:val="22"/>
          <w:u w:val="single"/>
        </w:rPr>
      </w:pPr>
      <w:r w:rsidRPr="003B7DA2">
        <w:rPr>
          <w:rFonts w:ascii="Calibri" w:hAnsi="Calibri"/>
          <w:b/>
          <w:sz w:val="22"/>
          <w:szCs w:val="22"/>
          <w:u w:val="single"/>
        </w:rPr>
        <w:t xml:space="preserve">Példa leszállításos </w:t>
      </w:r>
      <w:proofErr w:type="spellStart"/>
      <w:r w:rsidRPr="003B7DA2">
        <w:rPr>
          <w:rFonts w:ascii="Calibri" w:hAnsi="Calibri"/>
          <w:b/>
          <w:sz w:val="22"/>
          <w:szCs w:val="22"/>
          <w:u w:val="single"/>
        </w:rPr>
        <w:t>forward</w:t>
      </w:r>
      <w:proofErr w:type="spellEnd"/>
      <w:r w:rsidRPr="003B7DA2">
        <w:rPr>
          <w:rFonts w:ascii="Calibri" w:hAnsi="Calibri"/>
          <w:b/>
          <w:sz w:val="22"/>
          <w:szCs w:val="22"/>
          <w:u w:val="single"/>
        </w:rPr>
        <w:t xml:space="preserve"> ügyletre:</w:t>
      </w:r>
    </w:p>
    <w:p w14:paraId="15C04A33"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forward</w:t>
      </w:r>
      <w:proofErr w:type="spellEnd"/>
      <w:r w:rsidRPr="003B7DA2">
        <w:rPr>
          <w:rFonts w:ascii="Calibri" w:hAnsi="Calibri"/>
          <w:bCs/>
          <w:sz w:val="22"/>
          <w:szCs w:val="22"/>
        </w:rPr>
        <w:t xml:space="preserve"> ügylet jelentéséről írunk, több ügylet esetében értelemszerűen kell az adatokat összesíteni, országonként. </w:t>
      </w:r>
    </w:p>
    <w:p w14:paraId="0CEB30DE"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A rezidens adatszolgáltató cég január 10-én kötött egy megállapodást német partnerével, mely szerint: 10 ezer EUR-t fog venni 250-es Ft árfolyamon, vagyis 2.500 ezer forintért, április 10-én. </w:t>
      </w:r>
    </w:p>
    <w:p w14:paraId="35BE59D0"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14:paraId="62885DFF"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Január végén pozíciója 0 volt.</w:t>
      </w:r>
    </w:p>
    <w:p w14:paraId="248AECE2"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Ebben a kivételes esetben, mivel a nyitó pozíció 0 (az előző tárgyidőszak végén még nem volt meg ez az ügylet), a záró pozíció is 0, ez viszont már a kiértékelés szerint, tranzakcióra a hónap folyamán nem került sor, fizetés csak áprilisban lesz, ezért még átértékelődést sem kell jelenteni (hiszen ha voltak is átértékelődések a tárgyidőszak folyamán, azok kiegyenlíthették egymást, ezért 0 a tárgyidőszak végi pozíció). Ez az ügylet tehát nem jelenik meg a táblákban. </w:t>
      </w:r>
    </w:p>
    <w:p w14:paraId="00AE6D80" w14:textId="77777777" w:rsidR="00260413" w:rsidRPr="003B7DA2" w:rsidRDefault="00260413" w:rsidP="00260413">
      <w:pPr>
        <w:pStyle w:val="BodyText"/>
        <w:rPr>
          <w:rFonts w:ascii="Calibri" w:hAnsi="Calibri"/>
          <w:bCs/>
          <w:sz w:val="22"/>
          <w:szCs w:val="22"/>
        </w:rPr>
      </w:pPr>
    </w:p>
    <w:p w14:paraId="3EAB8158"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Február végén pozitív piaci értékű volt ez az ügylete, a pozitív piaci érték 20 ezer Ft volt, ezt záró állományként a követel táblában kell jelenteni (nyitó állomány 0, tranzakció továbbra sem volt, a különbözet tehát átértékelés, méghozzá pozitív, ez okozta a pozitív záró értéket a 0-hoz képest). </w:t>
      </w:r>
    </w:p>
    <w:p w14:paraId="548DEF80" w14:textId="77777777" w:rsidR="00260413" w:rsidRPr="003B7DA2" w:rsidRDefault="00260413" w:rsidP="00260413">
      <w:pPr>
        <w:pStyle w:val="BodyText"/>
        <w:rPr>
          <w:rFonts w:ascii="Calibri" w:hAnsi="Calibri"/>
          <w:bCs/>
          <w:sz w:val="22"/>
          <w:szCs w:val="22"/>
        </w:rPr>
      </w:pPr>
    </w:p>
    <w:p w14:paraId="6429E155" w14:textId="77777777" w:rsidR="00260413" w:rsidRPr="003B7DA2" w:rsidRDefault="00260413" w:rsidP="00260413">
      <w:pPr>
        <w:pStyle w:val="BodyText"/>
        <w:rPr>
          <w:rFonts w:ascii="Calibri" w:hAnsi="Calibri"/>
          <w:bCs/>
          <w:sz w:val="22"/>
          <w:szCs w:val="22"/>
        </w:rPr>
      </w:pPr>
    </w:p>
    <w:p w14:paraId="35B65FEF" w14:textId="77777777" w:rsidR="003B7DA2" w:rsidRPr="003B7DA2" w:rsidRDefault="003B7DA2" w:rsidP="00260413">
      <w:pPr>
        <w:pStyle w:val="BodyText"/>
        <w:rPr>
          <w:rFonts w:ascii="Calibri" w:hAnsi="Calibri"/>
          <w:bCs/>
          <w:sz w:val="22"/>
          <w:szCs w:val="22"/>
        </w:rPr>
      </w:pPr>
    </w:p>
    <w:p w14:paraId="308B1670" w14:textId="77777777"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lastRenderedPageBreak/>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260413" w:rsidRPr="003B7DA2" w14:paraId="59B5A703" w14:textId="77777777" w:rsidTr="00D45209">
        <w:tc>
          <w:tcPr>
            <w:tcW w:w="913" w:type="dxa"/>
            <w:vMerge w:val="restart"/>
          </w:tcPr>
          <w:p w14:paraId="62E88C85"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0E63AF40"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2146D111"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14:paraId="34CF3019" w14:textId="77777777"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0B750E65"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24B5EDF8"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7276FC30"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65D2133E" w14:textId="77777777" w:rsidTr="00D45209">
        <w:tc>
          <w:tcPr>
            <w:tcW w:w="913" w:type="dxa"/>
            <w:vMerge/>
          </w:tcPr>
          <w:p w14:paraId="28D4F562" w14:textId="77777777" w:rsidR="00260413" w:rsidRPr="003B7DA2" w:rsidRDefault="00260413" w:rsidP="00260413">
            <w:pPr>
              <w:pStyle w:val="BodyText"/>
              <w:rPr>
                <w:rFonts w:ascii="Calibri" w:hAnsi="Calibri"/>
                <w:b/>
                <w:bCs/>
                <w:sz w:val="22"/>
                <w:szCs w:val="22"/>
                <w:u w:val="single"/>
              </w:rPr>
            </w:pPr>
          </w:p>
        </w:tc>
        <w:tc>
          <w:tcPr>
            <w:tcW w:w="1137" w:type="dxa"/>
            <w:vMerge/>
          </w:tcPr>
          <w:p w14:paraId="0CD67B89" w14:textId="77777777" w:rsidR="00260413" w:rsidRPr="003B7DA2" w:rsidRDefault="00260413" w:rsidP="00260413">
            <w:pPr>
              <w:pStyle w:val="BodyText"/>
              <w:rPr>
                <w:rFonts w:ascii="Calibri" w:hAnsi="Calibri"/>
                <w:b/>
                <w:bCs/>
                <w:sz w:val="22"/>
                <w:szCs w:val="22"/>
                <w:u w:val="single"/>
              </w:rPr>
            </w:pPr>
          </w:p>
        </w:tc>
        <w:tc>
          <w:tcPr>
            <w:tcW w:w="918" w:type="dxa"/>
            <w:vMerge/>
          </w:tcPr>
          <w:p w14:paraId="1B4DDC76" w14:textId="77777777" w:rsidR="00260413" w:rsidRPr="003B7DA2" w:rsidRDefault="00260413" w:rsidP="00260413">
            <w:pPr>
              <w:pStyle w:val="BodyText"/>
              <w:rPr>
                <w:rFonts w:ascii="Calibri" w:hAnsi="Calibri"/>
                <w:b/>
                <w:bCs/>
                <w:sz w:val="22"/>
                <w:szCs w:val="22"/>
                <w:u w:val="single"/>
              </w:rPr>
            </w:pPr>
          </w:p>
        </w:tc>
        <w:tc>
          <w:tcPr>
            <w:tcW w:w="900" w:type="dxa"/>
          </w:tcPr>
          <w:p w14:paraId="150F5C5C" w14:textId="77777777"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0956DF76"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64C76185"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14:paraId="4FF5193C"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08D5FE8C" w14:textId="77777777" w:rsidR="00260413" w:rsidRPr="003B7DA2" w:rsidRDefault="00260413" w:rsidP="00260413">
            <w:pPr>
              <w:pStyle w:val="BodyText"/>
              <w:rPr>
                <w:rFonts w:ascii="Calibri" w:hAnsi="Calibri" w:cs="Arial"/>
                <w:sz w:val="22"/>
                <w:szCs w:val="22"/>
              </w:rPr>
            </w:pPr>
          </w:p>
        </w:tc>
        <w:tc>
          <w:tcPr>
            <w:tcW w:w="1033" w:type="dxa"/>
            <w:vMerge/>
          </w:tcPr>
          <w:p w14:paraId="1492FBFB" w14:textId="77777777" w:rsidR="00260413" w:rsidRPr="003B7DA2" w:rsidRDefault="00260413" w:rsidP="00260413">
            <w:pPr>
              <w:pStyle w:val="BodyText"/>
              <w:rPr>
                <w:rFonts w:ascii="Calibri" w:hAnsi="Calibri" w:cs="Arial"/>
                <w:sz w:val="22"/>
                <w:szCs w:val="22"/>
              </w:rPr>
            </w:pPr>
          </w:p>
        </w:tc>
        <w:tc>
          <w:tcPr>
            <w:tcW w:w="901" w:type="dxa"/>
            <w:vMerge/>
          </w:tcPr>
          <w:p w14:paraId="65D98BB9" w14:textId="77777777" w:rsidR="00260413" w:rsidRPr="003B7DA2" w:rsidRDefault="00260413" w:rsidP="00260413">
            <w:pPr>
              <w:pStyle w:val="BodyText"/>
              <w:rPr>
                <w:rFonts w:ascii="Calibri" w:hAnsi="Calibri" w:cs="Arial"/>
                <w:sz w:val="22"/>
                <w:szCs w:val="22"/>
              </w:rPr>
            </w:pPr>
          </w:p>
        </w:tc>
      </w:tr>
      <w:tr w:rsidR="00260413" w:rsidRPr="003B7DA2" w14:paraId="59A90C24" w14:textId="77777777" w:rsidTr="00D45209">
        <w:tc>
          <w:tcPr>
            <w:tcW w:w="913" w:type="dxa"/>
          </w:tcPr>
          <w:p w14:paraId="473925F6"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14:paraId="7672328B" w14:textId="77777777"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14:paraId="1609F915"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0" w:type="dxa"/>
          </w:tcPr>
          <w:p w14:paraId="17A55467"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14:paraId="3CA3A89E"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14:paraId="6D888DE3"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20 000</w:t>
            </w:r>
          </w:p>
        </w:tc>
        <w:tc>
          <w:tcPr>
            <w:tcW w:w="1033" w:type="dxa"/>
          </w:tcPr>
          <w:p w14:paraId="2AB82B29"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14:paraId="765C9ABC"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20 000</w:t>
            </w:r>
          </w:p>
        </w:tc>
      </w:tr>
    </w:tbl>
    <w:p w14:paraId="4543A602" w14:textId="77777777" w:rsidR="00260413" w:rsidRPr="003B7DA2" w:rsidRDefault="00260413" w:rsidP="00260413">
      <w:pPr>
        <w:pStyle w:val="BodyText"/>
        <w:rPr>
          <w:rFonts w:ascii="Calibri" w:hAnsi="Calibri"/>
          <w:b/>
          <w:bCs/>
          <w:sz w:val="22"/>
          <w:szCs w:val="22"/>
          <w:u w:val="single"/>
        </w:rPr>
      </w:pPr>
    </w:p>
    <w:p w14:paraId="4F4467E7" w14:textId="77777777" w:rsidR="00260413" w:rsidRPr="003B7DA2" w:rsidRDefault="00260413" w:rsidP="00260413">
      <w:pPr>
        <w:pStyle w:val="BodyText"/>
        <w:rPr>
          <w:rFonts w:ascii="Calibri" w:hAnsi="Calibri"/>
          <w:bCs/>
          <w:sz w:val="22"/>
          <w:szCs w:val="22"/>
        </w:rPr>
      </w:pPr>
    </w:p>
    <w:p w14:paraId="0E52E635"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Március végén viszont negatív volt a piaci érték, mínusz 10 ezer forintot tett ki az ügylet piaci értéke (vagyis adott árakon veszteséges lett volna a rezidens cég szempontjából). Ekkor ez a záró állomány a tartozás DERT táblában kerül jelentésre, ahol 0 volt a nyitó pozíció (előző tárgyidőszakban záró 0 volt) és a 10 ezer záró pozíció közötti különbözet átértékelésként szerepelhet, pozitív előjellel, hiszen a tartozás megnőtt. A követel DERK táblában a 20 ezer forintos nyitó állomány mellett 0 záró állomány szerepel (pozitív piaci értékű ügylet hiányában), a különbség átértékelésként jelentkezik, amely, mivel 0-ra csökkentette le a nyitó pozíciót, negatív előjelű. (Mondhatjuk úgy is: átértékeléssel szemben 0-ig kivezettük az ügyletet a követelések táblájából és átvezettük a tartozások táblába, ahol a 0-tól a pozíció 10 ezres értékéig szintén átértékeléssel szemben vettük nyilvántartásba.) </w:t>
      </w:r>
    </w:p>
    <w:p w14:paraId="1D563834" w14:textId="77777777" w:rsidR="00260413" w:rsidRPr="003B7DA2" w:rsidRDefault="00260413" w:rsidP="00260413">
      <w:pPr>
        <w:pStyle w:val="BodyText"/>
        <w:rPr>
          <w:rFonts w:ascii="Calibri" w:hAnsi="Calibri"/>
          <w:bCs/>
          <w:sz w:val="22"/>
          <w:szCs w:val="22"/>
        </w:rPr>
      </w:pPr>
    </w:p>
    <w:p w14:paraId="0FB6D82B" w14:textId="77777777" w:rsidR="00260413" w:rsidRPr="003B7DA2" w:rsidRDefault="00260413" w:rsidP="00260413">
      <w:pPr>
        <w:pStyle w:val="BodyText"/>
        <w:rPr>
          <w:rFonts w:ascii="Calibri" w:hAnsi="Calibri"/>
          <w:bCs/>
          <w:sz w:val="22"/>
          <w:szCs w:val="22"/>
        </w:rPr>
      </w:pPr>
    </w:p>
    <w:p w14:paraId="748FA2B7" w14:textId="77777777"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260413" w:rsidRPr="003B7DA2" w14:paraId="1D79763C" w14:textId="77777777" w:rsidTr="00D45209">
        <w:tc>
          <w:tcPr>
            <w:tcW w:w="913" w:type="dxa"/>
            <w:vMerge w:val="restart"/>
          </w:tcPr>
          <w:p w14:paraId="4562300E"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62DA6060"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6EB0342A"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14:paraId="78CE21AC" w14:textId="77777777"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16EEAB6A"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5D32B296"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7CF9FD5B"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04C14CAA" w14:textId="77777777" w:rsidTr="00D45209">
        <w:tc>
          <w:tcPr>
            <w:tcW w:w="913" w:type="dxa"/>
            <w:vMerge/>
          </w:tcPr>
          <w:p w14:paraId="57B99E1B" w14:textId="77777777" w:rsidR="00260413" w:rsidRPr="003B7DA2" w:rsidRDefault="00260413" w:rsidP="00260413">
            <w:pPr>
              <w:pStyle w:val="BodyText"/>
              <w:rPr>
                <w:rFonts w:ascii="Calibri" w:hAnsi="Calibri"/>
                <w:b/>
                <w:bCs/>
                <w:sz w:val="22"/>
                <w:szCs w:val="22"/>
                <w:u w:val="single"/>
              </w:rPr>
            </w:pPr>
          </w:p>
        </w:tc>
        <w:tc>
          <w:tcPr>
            <w:tcW w:w="1137" w:type="dxa"/>
            <w:vMerge/>
          </w:tcPr>
          <w:p w14:paraId="06F36880" w14:textId="77777777" w:rsidR="00260413" w:rsidRPr="003B7DA2" w:rsidRDefault="00260413" w:rsidP="00260413">
            <w:pPr>
              <w:pStyle w:val="BodyText"/>
              <w:rPr>
                <w:rFonts w:ascii="Calibri" w:hAnsi="Calibri"/>
                <w:b/>
                <w:bCs/>
                <w:sz w:val="22"/>
                <w:szCs w:val="22"/>
                <w:u w:val="single"/>
              </w:rPr>
            </w:pPr>
          </w:p>
        </w:tc>
        <w:tc>
          <w:tcPr>
            <w:tcW w:w="918" w:type="dxa"/>
            <w:vMerge/>
          </w:tcPr>
          <w:p w14:paraId="42FC9F30" w14:textId="77777777" w:rsidR="00260413" w:rsidRPr="003B7DA2" w:rsidRDefault="00260413" w:rsidP="00260413">
            <w:pPr>
              <w:pStyle w:val="BodyText"/>
              <w:rPr>
                <w:rFonts w:ascii="Calibri" w:hAnsi="Calibri"/>
                <w:b/>
                <w:bCs/>
                <w:sz w:val="22"/>
                <w:szCs w:val="22"/>
                <w:u w:val="single"/>
              </w:rPr>
            </w:pPr>
          </w:p>
        </w:tc>
        <w:tc>
          <w:tcPr>
            <w:tcW w:w="900" w:type="dxa"/>
          </w:tcPr>
          <w:p w14:paraId="7073C01D" w14:textId="77777777"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239E03E9"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0008C05D"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14:paraId="6AC86488"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24C5B0D1" w14:textId="77777777" w:rsidR="00260413" w:rsidRPr="003B7DA2" w:rsidRDefault="00260413" w:rsidP="00260413">
            <w:pPr>
              <w:pStyle w:val="BodyText"/>
              <w:rPr>
                <w:rFonts w:ascii="Calibri" w:hAnsi="Calibri" w:cs="Arial"/>
                <w:sz w:val="22"/>
                <w:szCs w:val="22"/>
              </w:rPr>
            </w:pPr>
          </w:p>
        </w:tc>
        <w:tc>
          <w:tcPr>
            <w:tcW w:w="1033" w:type="dxa"/>
            <w:vMerge/>
          </w:tcPr>
          <w:p w14:paraId="4F1D0955" w14:textId="77777777" w:rsidR="00260413" w:rsidRPr="003B7DA2" w:rsidRDefault="00260413" w:rsidP="00260413">
            <w:pPr>
              <w:pStyle w:val="BodyText"/>
              <w:rPr>
                <w:rFonts w:ascii="Calibri" w:hAnsi="Calibri" w:cs="Arial"/>
                <w:sz w:val="22"/>
                <w:szCs w:val="22"/>
              </w:rPr>
            </w:pPr>
          </w:p>
        </w:tc>
        <w:tc>
          <w:tcPr>
            <w:tcW w:w="901" w:type="dxa"/>
            <w:vMerge/>
          </w:tcPr>
          <w:p w14:paraId="27FBDFB1" w14:textId="77777777" w:rsidR="00260413" w:rsidRPr="003B7DA2" w:rsidRDefault="00260413" w:rsidP="00260413">
            <w:pPr>
              <w:pStyle w:val="BodyText"/>
              <w:rPr>
                <w:rFonts w:ascii="Calibri" w:hAnsi="Calibri" w:cs="Arial"/>
                <w:sz w:val="22"/>
                <w:szCs w:val="22"/>
              </w:rPr>
            </w:pPr>
          </w:p>
        </w:tc>
      </w:tr>
      <w:tr w:rsidR="00260413" w:rsidRPr="003B7DA2" w14:paraId="5DA7E885" w14:textId="77777777" w:rsidTr="00D45209">
        <w:tc>
          <w:tcPr>
            <w:tcW w:w="913" w:type="dxa"/>
          </w:tcPr>
          <w:p w14:paraId="06A6D48D"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14:paraId="4934E0F1" w14:textId="77777777"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14:paraId="0CA64E7A"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20 000</w:t>
            </w:r>
          </w:p>
        </w:tc>
        <w:tc>
          <w:tcPr>
            <w:tcW w:w="900" w:type="dxa"/>
          </w:tcPr>
          <w:p w14:paraId="631D5863"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14:paraId="77D4C566"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14:paraId="38A5C86D"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- 20 000</w:t>
            </w:r>
          </w:p>
        </w:tc>
        <w:tc>
          <w:tcPr>
            <w:tcW w:w="1033" w:type="dxa"/>
          </w:tcPr>
          <w:p w14:paraId="4B06C681"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14:paraId="5DFA1296"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r>
    </w:tbl>
    <w:p w14:paraId="0D9022F7" w14:textId="77777777" w:rsidR="00260413" w:rsidRPr="003B7DA2" w:rsidRDefault="00260413" w:rsidP="00260413">
      <w:pPr>
        <w:pStyle w:val="BodyText"/>
        <w:rPr>
          <w:rFonts w:ascii="Calibri" w:hAnsi="Calibri"/>
          <w:b/>
          <w:bCs/>
          <w:sz w:val="22"/>
          <w:szCs w:val="22"/>
          <w:u w:val="single"/>
        </w:rPr>
      </w:pPr>
    </w:p>
    <w:p w14:paraId="6D9A1FBD" w14:textId="77777777"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260413" w:rsidRPr="003B7DA2" w14:paraId="75BE2FB5" w14:textId="77777777" w:rsidTr="00D45209">
        <w:tc>
          <w:tcPr>
            <w:tcW w:w="913" w:type="dxa"/>
            <w:vMerge w:val="restart"/>
          </w:tcPr>
          <w:p w14:paraId="4CC096D6"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3676F47"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0224C0FA"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570BE38D" w14:textId="77777777"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7E2582EB"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01C7B65"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5FB67548"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7BD5E33A" w14:textId="77777777" w:rsidTr="00D45209">
        <w:tc>
          <w:tcPr>
            <w:tcW w:w="913" w:type="dxa"/>
            <w:vMerge/>
          </w:tcPr>
          <w:p w14:paraId="1C393834" w14:textId="77777777" w:rsidR="00260413" w:rsidRPr="003B7DA2" w:rsidRDefault="00260413" w:rsidP="00260413">
            <w:pPr>
              <w:pStyle w:val="BodyText"/>
              <w:rPr>
                <w:rFonts w:ascii="Calibri" w:hAnsi="Calibri"/>
                <w:b/>
                <w:bCs/>
                <w:sz w:val="22"/>
                <w:szCs w:val="22"/>
                <w:u w:val="single"/>
              </w:rPr>
            </w:pPr>
          </w:p>
        </w:tc>
        <w:tc>
          <w:tcPr>
            <w:tcW w:w="1137" w:type="dxa"/>
            <w:vMerge/>
          </w:tcPr>
          <w:p w14:paraId="5A2DE9B2" w14:textId="77777777" w:rsidR="00260413" w:rsidRPr="003B7DA2" w:rsidRDefault="00260413" w:rsidP="00260413">
            <w:pPr>
              <w:pStyle w:val="BodyText"/>
              <w:rPr>
                <w:rFonts w:ascii="Calibri" w:hAnsi="Calibri"/>
                <w:b/>
                <w:bCs/>
                <w:sz w:val="22"/>
                <w:szCs w:val="22"/>
                <w:u w:val="single"/>
              </w:rPr>
            </w:pPr>
          </w:p>
        </w:tc>
        <w:tc>
          <w:tcPr>
            <w:tcW w:w="918" w:type="dxa"/>
            <w:vMerge/>
          </w:tcPr>
          <w:p w14:paraId="2E6B4475" w14:textId="77777777" w:rsidR="00260413" w:rsidRPr="003B7DA2" w:rsidRDefault="00260413" w:rsidP="00260413">
            <w:pPr>
              <w:pStyle w:val="BodyText"/>
              <w:rPr>
                <w:rFonts w:ascii="Calibri" w:hAnsi="Calibri"/>
                <w:b/>
                <w:bCs/>
                <w:sz w:val="22"/>
                <w:szCs w:val="22"/>
                <w:u w:val="single"/>
              </w:rPr>
            </w:pPr>
          </w:p>
        </w:tc>
        <w:tc>
          <w:tcPr>
            <w:tcW w:w="904" w:type="dxa"/>
          </w:tcPr>
          <w:p w14:paraId="642DFA78" w14:textId="77777777"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52EEAFC0"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29D930A4"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14:paraId="0C2BDFE5"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xml:space="preserve"> (Kiadás)</w:t>
            </w:r>
          </w:p>
        </w:tc>
        <w:tc>
          <w:tcPr>
            <w:tcW w:w="1127" w:type="dxa"/>
            <w:vMerge/>
          </w:tcPr>
          <w:p w14:paraId="0A38FF47" w14:textId="77777777" w:rsidR="00260413" w:rsidRPr="003B7DA2" w:rsidRDefault="00260413" w:rsidP="00260413">
            <w:pPr>
              <w:pStyle w:val="BodyText"/>
              <w:rPr>
                <w:rFonts w:ascii="Calibri" w:hAnsi="Calibri" w:cs="Arial"/>
                <w:sz w:val="22"/>
                <w:szCs w:val="22"/>
              </w:rPr>
            </w:pPr>
          </w:p>
        </w:tc>
        <w:tc>
          <w:tcPr>
            <w:tcW w:w="1033" w:type="dxa"/>
            <w:vMerge/>
          </w:tcPr>
          <w:p w14:paraId="47A60B47" w14:textId="77777777" w:rsidR="00260413" w:rsidRPr="003B7DA2" w:rsidRDefault="00260413" w:rsidP="00260413">
            <w:pPr>
              <w:pStyle w:val="BodyText"/>
              <w:rPr>
                <w:rFonts w:ascii="Calibri" w:hAnsi="Calibri" w:cs="Arial"/>
                <w:sz w:val="22"/>
                <w:szCs w:val="22"/>
              </w:rPr>
            </w:pPr>
          </w:p>
        </w:tc>
        <w:tc>
          <w:tcPr>
            <w:tcW w:w="901" w:type="dxa"/>
            <w:vMerge/>
          </w:tcPr>
          <w:p w14:paraId="480B7D62" w14:textId="77777777" w:rsidR="00260413" w:rsidRPr="003B7DA2" w:rsidRDefault="00260413" w:rsidP="00260413">
            <w:pPr>
              <w:pStyle w:val="BodyText"/>
              <w:rPr>
                <w:rFonts w:ascii="Calibri" w:hAnsi="Calibri" w:cs="Arial"/>
                <w:sz w:val="22"/>
                <w:szCs w:val="22"/>
              </w:rPr>
            </w:pPr>
          </w:p>
        </w:tc>
      </w:tr>
      <w:tr w:rsidR="00260413" w:rsidRPr="003B7DA2" w14:paraId="71E85643" w14:textId="77777777" w:rsidTr="00D45209">
        <w:tc>
          <w:tcPr>
            <w:tcW w:w="913" w:type="dxa"/>
          </w:tcPr>
          <w:p w14:paraId="577B24FA"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14:paraId="2A465CDE" w14:textId="77777777"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14:paraId="68658684"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4" w:type="dxa"/>
          </w:tcPr>
          <w:p w14:paraId="19E655F0"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14:paraId="347BA5D0"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14:paraId="0694FD4C"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c>
          <w:tcPr>
            <w:tcW w:w="1033" w:type="dxa"/>
          </w:tcPr>
          <w:p w14:paraId="1CC61332"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14:paraId="75DB1CAF"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r>
    </w:tbl>
    <w:p w14:paraId="79424FBB" w14:textId="77777777" w:rsidR="00260413" w:rsidRPr="003B7DA2" w:rsidRDefault="00260413" w:rsidP="00260413">
      <w:pPr>
        <w:rPr>
          <w:rFonts w:ascii="Calibri" w:hAnsi="Calibri"/>
          <w:sz w:val="22"/>
          <w:szCs w:val="22"/>
        </w:rPr>
      </w:pPr>
    </w:p>
    <w:p w14:paraId="7FF9C1D3" w14:textId="77777777" w:rsidR="00260413" w:rsidRPr="003B7DA2" w:rsidRDefault="00260413" w:rsidP="00260413">
      <w:pPr>
        <w:pStyle w:val="BodyText"/>
        <w:rPr>
          <w:rFonts w:ascii="Calibri" w:hAnsi="Calibri"/>
          <w:bCs/>
          <w:sz w:val="22"/>
          <w:szCs w:val="22"/>
        </w:rPr>
      </w:pPr>
    </w:p>
    <w:p w14:paraId="2B8DB676"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Április 10-én megtörténik a deviza csere: a rezidens cég átutalja a 2.500 ezer forintot és bevételezi a 10 ezer EUR összeget. Ekkor a piacon az azonnali árfolyam 200 Ft / 1 EUR, tehát ennek megfelelően 2 millió Ft-ot kell a 10 ezer EUR ellenértékeként szerepeltetni a táblában bevételi tranzakcióként. Mivel 2 millió helyett 2.5 millió forintot kellett a cégnek átutalnia, az ügylet veszteséggel zárult, ezért a tartozás táblában kell feltüntetni a tranzakciót. A záró állomány 0, mivel az ügylet a leszállítással lezárult. Mivel a nyitó állomány is a tartozás táblában szerepelt, ezért most csak a tartozás DERT táblában kell jelenteni adatot:  (Az átértékelés összege a kivonás eredményeként adódik, pozitív előjelű…)</w:t>
      </w:r>
    </w:p>
    <w:p w14:paraId="769D9B9D" w14:textId="77777777" w:rsidR="00260413" w:rsidRPr="003B7DA2" w:rsidRDefault="00260413" w:rsidP="00260413">
      <w:pPr>
        <w:pStyle w:val="BodyText"/>
        <w:rPr>
          <w:rFonts w:ascii="Calibri" w:hAnsi="Calibri"/>
          <w:b/>
          <w:bCs/>
          <w:sz w:val="22"/>
          <w:szCs w:val="22"/>
          <w:u w:val="single"/>
        </w:rPr>
      </w:pPr>
    </w:p>
    <w:p w14:paraId="1767D292" w14:textId="77777777" w:rsidR="003B7DA2" w:rsidRPr="003B7DA2" w:rsidRDefault="003B7DA2" w:rsidP="00260413">
      <w:pPr>
        <w:pStyle w:val="BodyText"/>
        <w:rPr>
          <w:rFonts w:ascii="Calibri" w:hAnsi="Calibri"/>
          <w:b/>
          <w:bCs/>
          <w:sz w:val="22"/>
          <w:szCs w:val="22"/>
          <w:u w:val="single"/>
        </w:rPr>
      </w:pPr>
    </w:p>
    <w:p w14:paraId="0505DA53" w14:textId="77777777" w:rsidR="003B7DA2" w:rsidRPr="003B7DA2" w:rsidRDefault="003B7DA2" w:rsidP="00260413">
      <w:pPr>
        <w:pStyle w:val="BodyText"/>
        <w:rPr>
          <w:rFonts w:ascii="Calibri" w:hAnsi="Calibri"/>
          <w:b/>
          <w:bCs/>
          <w:sz w:val="22"/>
          <w:szCs w:val="22"/>
          <w:u w:val="single"/>
        </w:rPr>
      </w:pPr>
    </w:p>
    <w:p w14:paraId="4C9546DE" w14:textId="77777777"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lastRenderedPageBreak/>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876"/>
        <w:gridCol w:w="1033"/>
        <w:gridCol w:w="901"/>
      </w:tblGrid>
      <w:tr w:rsidR="00260413" w:rsidRPr="003B7DA2" w14:paraId="1CB1A082" w14:textId="77777777" w:rsidTr="00D45209">
        <w:tc>
          <w:tcPr>
            <w:tcW w:w="913" w:type="dxa"/>
            <w:vMerge w:val="restart"/>
          </w:tcPr>
          <w:p w14:paraId="15CC8CA4"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633C28D2"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15F6F7CD"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14:paraId="3E8D4273" w14:textId="77777777"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876" w:type="dxa"/>
            <w:vMerge w:val="restart"/>
          </w:tcPr>
          <w:p w14:paraId="4C3AFA7C"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DA8568B"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0E0CD0C4"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25F1EA4D" w14:textId="77777777" w:rsidTr="00D45209">
        <w:tc>
          <w:tcPr>
            <w:tcW w:w="913" w:type="dxa"/>
            <w:vMerge/>
          </w:tcPr>
          <w:p w14:paraId="656762A2" w14:textId="77777777" w:rsidR="00260413" w:rsidRPr="003B7DA2" w:rsidRDefault="00260413" w:rsidP="00260413">
            <w:pPr>
              <w:pStyle w:val="BodyText"/>
              <w:rPr>
                <w:rFonts w:ascii="Calibri" w:hAnsi="Calibri"/>
                <w:b/>
                <w:bCs/>
                <w:sz w:val="22"/>
                <w:szCs w:val="22"/>
                <w:u w:val="single"/>
              </w:rPr>
            </w:pPr>
          </w:p>
        </w:tc>
        <w:tc>
          <w:tcPr>
            <w:tcW w:w="1137" w:type="dxa"/>
            <w:vMerge/>
          </w:tcPr>
          <w:p w14:paraId="4A3FBEA9" w14:textId="77777777" w:rsidR="00260413" w:rsidRPr="003B7DA2" w:rsidRDefault="00260413" w:rsidP="00260413">
            <w:pPr>
              <w:pStyle w:val="BodyText"/>
              <w:rPr>
                <w:rFonts w:ascii="Calibri" w:hAnsi="Calibri"/>
                <w:b/>
                <w:bCs/>
                <w:sz w:val="22"/>
                <w:szCs w:val="22"/>
                <w:u w:val="single"/>
              </w:rPr>
            </w:pPr>
          </w:p>
        </w:tc>
        <w:tc>
          <w:tcPr>
            <w:tcW w:w="918" w:type="dxa"/>
            <w:vMerge/>
          </w:tcPr>
          <w:p w14:paraId="0A82431F" w14:textId="77777777" w:rsidR="00260413" w:rsidRPr="003B7DA2" w:rsidRDefault="00260413" w:rsidP="00260413">
            <w:pPr>
              <w:pStyle w:val="BodyText"/>
              <w:rPr>
                <w:rFonts w:ascii="Calibri" w:hAnsi="Calibri"/>
                <w:b/>
                <w:bCs/>
                <w:sz w:val="22"/>
                <w:szCs w:val="22"/>
                <w:u w:val="single"/>
              </w:rPr>
            </w:pPr>
          </w:p>
        </w:tc>
        <w:tc>
          <w:tcPr>
            <w:tcW w:w="1100" w:type="dxa"/>
          </w:tcPr>
          <w:p w14:paraId="4255BB0D" w14:textId="77777777"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6DF5C3CD"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080" w:type="dxa"/>
          </w:tcPr>
          <w:p w14:paraId="086586C3"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14:paraId="39EFA0E9"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xml:space="preserve"> (Kiadás)</w:t>
            </w:r>
          </w:p>
        </w:tc>
        <w:tc>
          <w:tcPr>
            <w:tcW w:w="876" w:type="dxa"/>
            <w:vMerge/>
          </w:tcPr>
          <w:p w14:paraId="38FCDBB8" w14:textId="77777777" w:rsidR="00260413" w:rsidRPr="003B7DA2" w:rsidRDefault="00260413" w:rsidP="00260413">
            <w:pPr>
              <w:pStyle w:val="BodyText"/>
              <w:rPr>
                <w:rFonts w:ascii="Calibri" w:hAnsi="Calibri" w:cs="Arial"/>
                <w:sz w:val="22"/>
                <w:szCs w:val="22"/>
              </w:rPr>
            </w:pPr>
          </w:p>
        </w:tc>
        <w:tc>
          <w:tcPr>
            <w:tcW w:w="1033" w:type="dxa"/>
            <w:vMerge/>
          </w:tcPr>
          <w:p w14:paraId="5785E9D9" w14:textId="77777777" w:rsidR="00260413" w:rsidRPr="003B7DA2" w:rsidRDefault="00260413" w:rsidP="00260413">
            <w:pPr>
              <w:pStyle w:val="BodyText"/>
              <w:rPr>
                <w:rFonts w:ascii="Calibri" w:hAnsi="Calibri" w:cs="Arial"/>
                <w:sz w:val="22"/>
                <w:szCs w:val="22"/>
              </w:rPr>
            </w:pPr>
          </w:p>
        </w:tc>
        <w:tc>
          <w:tcPr>
            <w:tcW w:w="901" w:type="dxa"/>
            <w:vMerge/>
          </w:tcPr>
          <w:p w14:paraId="47691907" w14:textId="77777777" w:rsidR="00260413" w:rsidRPr="003B7DA2" w:rsidRDefault="00260413" w:rsidP="00260413">
            <w:pPr>
              <w:pStyle w:val="BodyText"/>
              <w:rPr>
                <w:rFonts w:ascii="Calibri" w:hAnsi="Calibri" w:cs="Arial"/>
                <w:sz w:val="22"/>
                <w:szCs w:val="22"/>
              </w:rPr>
            </w:pPr>
          </w:p>
        </w:tc>
      </w:tr>
      <w:tr w:rsidR="00260413" w:rsidRPr="003B7DA2" w14:paraId="7EA9D248" w14:textId="77777777" w:rsidTr="00D45209">
        <w:tc>
          <w:tcPr>
            <w:tcW w:w="913" w:type="dxa"/>
          </w:tcPr>
          <w:p w14:paraId="4CB64DC2"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14:paraId="08D1F7C0" w14:textId="77777777"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14:paraId="7A1A4648"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c>
          <w:tcPr>
            <w:tcW w:w="1100" w:type="dxa"/>
          </w:tcPr>
          <w:p w14:paraId="5D072793"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2 000 </w:t>
            </w:r>
            <w:proofErr w:type="spellStart"/>
            <w:r w:rsidRPr="003B7DA2">
              <w:rPr>
                <w:rFonts w:ascii="Calibri" w:hAnsi="Calibri"/>
                <w:bCs/>
                <w:sz w:val="22"/>
                <w:szCs w:val="22"/>
              </w:rPr>
              <w:t>000</w:t>
            </w:r>
            <w:proofErr w:type="spellEnd"/>
          </w:p>
        </w:tc>
        <w:tc>
          <w:tcPr>
            <w:tcW w:w="1080" w:type="dxa"/>
          </w:tcPr>
          <w:p w14:paraId="76861022"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2 500 000</w:t>
            </w:r>
          </w:p>
        </w:tc>
        <w:tc>
          <w:tcPr>
            <w:tcW w:w="876" w:type="dxa"/>
          </w:tcPr>
          <w:p w14:paraId="1025F179"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490 000</w:t>
            </w:r>
          </w:p>
        </w:tc>
        <w:tc>
          <w:tcPr>
            <w:tcW w:w="1033" w:type="dxa"/>
          </w:tcPr>
          <w:p w14:paraId="1AAD7205"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14:paraId="0AFBF31A"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r>
    </w:tbl>
    <w:p w14:paraId="53F509F1" w14:textId="77777777" w:rsidR="00260413" w:rsidRPr="003B7DA2" w:rsidRDefault="00260413" w:rsidP="00260413">
      <w:pPr>
        <w:rPr>
          <w:rFonts w:ascii="Calibri" w:hAnsi="Calibri"/>
          <w:sz w:val="22"/>
          <w:szCs w:val="22"/>
        </w:rPr>
      </w:pPr>
    </w:p>
    <w:p w14:paraId="7A8B5111" w14:textId="77777777" w:rsidR="0092684C" w:rsidRPr="003B7DA2" w:rsidRDefault="0092684C">
      <w:pPr>
        <w:rPr>
          <w:rFonts w:ascii="Calibri" w:hAnsi="Calibri"/>
          <w:sz w:val="22"/>
          <w:szCs w:val="22"/>
        </w:rPr>
      </w:pPr>
    </w:p>
    <w:p w14:paraId="4DB1F64E" w14:textId="77777777"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 xml:space="preserve">Példa elszámolásos </w:t>
      </w:r>
      <w:proofErr w:type="spellStart"/>
      <w:r w:rsidRPr="003B7DA2">
        <w:rPr>
          <w:rFonts w:ascii="Calibri" w:hAnsi="Calibri"/>
          <w:b/>
          <w:bCs/>
          <w:sz w:val="22"/>
          <w:szCs w:val="22"/>
          <w:u w:val="single"/>
        </w:rPr>
        <w:t>forward</w:t>
      </w:r>
      <w:proofErr w:type="spellEnd"/>
      <w:r w:rsidRPr="003B7DA2">
        <w:rPr>
          <w:rFonts w:ascii="Calibri" w:hAnsi="Calibri"/>
          <w:b/>
          <w:bCs/>
          <w:sz w:val="22"/>
          <w:szCs w:val="22"/>
          <w:u w:val="single"/>
        </w:rPr>
        <w:t xml:space="preserve"> ügyletre:</w:t>
      </w:r>
    </w:p>
    <w:p w14:paraId="3F42F55D" w14:textId="77777777" w:rsidR="0092684C" w:rsidRPr="003B7DA2" w:rsidRDefault="0092684C">
      <w:pPr>
        <w:pStyle w:val="BodyText"/>
        <w:rPr>
          <w:rFonts w:ascii="Calibri" w:hAnsi="Calibri"/>
          <w:bCs/>
          <w:sz w:val="22"/>
          <w:szCs w:val="22"/>
        </w:rPr>
      </w:pPr>
      <w:r w:rsidRPr="003B7DA2">
        <w:rPr>
          <w:rFonts w:ascii="Calibri" w:hAnsi="Calibri"/>
          <w:bCs/>
          <w:sz w:val="22"/>
          <w:szCs w:val="22"/>
        </w:rPr>
        <w:t>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14:paraId="06CBC143" w14:textId="77777777" w:rsidR="0092684C" w:rsidRPr="003B7DA2" w:rsidRDefault="0092684C">
      <w:pPr>
        <w:pStyle w:val="BodyText"/>
        <w:rPr>
          <w:rFonts w:ascii="Calibri" w:hAnsi="Calibri"/>
          <w:bCs/>
          <w:sz w:val="22"/>
          <w:szCs w:val="22"/>
        </w:rPr>
      </w:pPr>
    </w:p>
    <w:p w14:paraId="51C1DDF6" w14:textId="77777777" w:rsidR="0092684C" w:rsidRPr="003B7DA2" w:rsidRDefault="0092684C">
      <w:pPr>
        <w:pStyle w:val="BodyText"/>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14:paraId="156D102B"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Január végén pozíciója 0 volt, míg februárban pozitív piaci értékű volt ez az ügylete. Januárban így, mivel a nyitó és záró állomány is 0 lenne, nem kell szerepeltetni az ügyletet. Februárban a pozitív piaci érték 20 ezer Ft volt , ezt záró állományként a követel táblában kell jelenteni (nyitó állomány 0, a különbözet átértékelés). Március végén viszont negatív volt a piaci érték, mínusz 10 ezer forintot tett ki az ügylet piaci értéke (vagyis adott árakon veszteséges lett volna a rezidens cég szempontjából). Ekkor ez a záró állomány a tartozás táblában kerül jelentésre, ahol 0 nyitó pozíció és a 10 ezer záró pozíció közötti különbözet átértékelésként szerepelhet. Ugyanez történik a követel táblában is, hiszen a 20 ezer forintos nyitó állomány mellett 0 záró állomány szerepel (pozitív piaci értékű ügylet hiányában), a különbség átértékelésként jelentkezik. Mondhatjuk úgy is: átértékeléssel szemben 0-ig kivezettük az ügyletet a követelések táblájából és átvezettük a tartozások táblába, ahol a 0-tól a pozíció 10 ezres értékéig szintén átértékeléssel szemben vettük nyilvántartásba. </w:t>
      </w:r>
    </w:p>
    <w:p w14:paraId="14120762" w14:textId="77777777" w:rsidR="0092684C" w:rsidRPr="003B7DA2" w:rsidRDefault="0092684C">
      <w:pPr>
        <w:pStyle w:val="BodyText"/>
        <w:rPr>
          <w:rFonts w:ascii="Calibri" w:hAnsi="Calibri"/>
          <w:bCs/>
          <w:sz w:val="22"/>
          <w:szCs w:val="22"/>
        </w:rPr>
      </w:pPr>
    </w:p>
    <w:p w14:paraId="12B1F234" w14:textId="77777777" w:rsidR="0092684C" w:rsidRPr="003B7DA2" w:rsidRDefault="0092684C">
      <w:pPr>
        <w:pStyle w:val="BodyText"/>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szerepelne bevételként az elszámolásban, míg kiadási oldalon 2.5 millió forint. Az ügylet veszteséggel zárult, így a tartozás táblában kell feltüntetni a tranzakciót, vagyis az 500 ezer Ft értékkülönbözetet, kiadási oldalon (a cég végül is ezt a különbözetet utalja német partnerének).</w:t>
      </w:r>
    </w:p>
    <w:p w14:paraId="4FA55FD3"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 A záró állomány 0, mivel az ügylet a leszállítással lezárult. (Az előző időszakhoz hasonlóan előfordulhatott volna, hogy a záró egyenleg nem ugyanazon táblához tartozna, nevezetesen, hogy nem veszteséges, hanem nyereséges lenne lezáráskor az ügylet, ekkor ugyancsak 0-ig átértékeléssel szemben ki kellene vezetni és felvenni a másik táblába, ahol ezen időszakban a tranzakció és hozzá kapcsolódóan az átértékelés szerepelne…)</w:t>
      </w:r>
    </w:p>
    <w:p w14:paraId="1659FE91"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Az ügylet teljes mértékben megegyezik az előzővel, 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14:paraId="1587BD25" w14:textId="77777777" w:rsidR="00BE22CF" w:rsidRPr="003B7DA2" w:rsidRDefault="00BE22CF" w:rsidP="00BE22CF">
      <w:pPr>
        <w:pStyle w:val="BodyText"/>
        <w:rPr>
          <w:rFonts w:ascii="Calibri" w:hAnsi="Calibri"/>
          <w:bCs/>
          <w:sz w:val="22"/>
          <w:szCs w:val="22"/>
        </w:rPr>
      </w:pPr>
    </w:p>
    <w:p w14:paraId="136FFE53"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Az előbbiekhez képest különbség csak a rendezéskor, az áprilisi adatszolgáltatásban lesz, a következőképpen:</w:t>
      </w:r>
    </w:p>
    <w:p w14:paraId="4A7C6D60" w14:textId="77777777" w:rsidR="00BE22CF" w:rsidRPr="003B7DA2" w:rsidRDefault="00BE22CF" w:rsidP="00BE22CF">
      <w:pPr>
        <w:pStyle w:val="BodyText"/>
        <w:rPr>
          <w:rFonts w:ascii="Calibri" w:hAnsi="Calibri"/>
          <w:bCs/>
          <w:sz w:val="22"/>
          <w:szCs w:val="22"/>
        </w:rPr>
      </w:pPr>
    </w:p>
    <w:p w14:paraId="227CD0B2"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 az elszámolásban bevételként, míg kiadási oldalon 2.5 millió forint, a veszteség összege tehát 500 ezer Ft-ot tesz ki. Mivel az ügylet veszteséggel zárult, így a tranzakciót, vagyis az 500 ezer Ft értékkülönbözet átutalását a tartozás DERT táblában kell feltüntetni, mint a tartozást csökkentő (megszüntető) tranzakciót (a cég végül is ezt a különbözetet utalja német partnerének). Mivel az előző tárgyidőszakban is e táblában szerepelt az ügylet, így a DERK táblában nem kell adatot jelenteni. A DERT táblában tehát ezen ügylet miatt:</w:t>
      </w:r>
    </w:p>
    <w:p w14:paraId="295F07D2"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 xml:space="preserve">A záró állomány 0, mivel az ügylet a leszállítással lezárult. A nyitó állomány az előző időszak végi záró állománnyal egyenlő, tehát 10 000, a tartozást csökkenti az 500 ezres kiadás, az átértékelés összege pedig a különbözetből adódik: 490 000 Ft összegű… </w:t>
      </w:r>
    </w:p>
    <w:p w14:paraId="3DBBBDE2" w14:textId="77777777" w:rsidR="00BE22CF" w:rsidRPr="003B7DA2" w:rsidRDefault="00BE22CF" w:rsidP="00BE22CF">
      <w:pPr>
        <w:pStyle w:val="BodyText"/>
        <w:rPr>
          <w:rFonts w:ascii="Calibri" w:hAnsi="Calibri"/>
          <w:b/>
          <w:bCs/>
          <w:sz w:val="22"/>
          <w:szCs w:val="22"/>
          <w:u w:val="single"/>
        </w:rPr>
      </w:pPr>
    </w:p>
    <w:p w14:paraId="66706296" w14:textId="77777777" w:rsidR="00BE22CF" w:rsidRPr="003B7DA2" w:rsidRDefault="00BE22CF" w:rsidP="00BE22CF">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57"/>
        <w:gridCol w:w="1131"/>
        <w:gridCol w:w="1242"/>
        <w:gridCol w:w="1156"/>
        <w:gridCol w:w="901"/>
      </w:tblGrid>
      <w:tr w:rsidR="00BE22CF" w:rsidRPr="003B7DA2" w14:paraId="1D688B00" w14:textId="77777777" w:rsidTr="00D45209">
        <w:tc>
          <w:tcPr>
            <w:tcW w:w="913" w:type="dxa"/>
            <w:vMerge w:val="restart"/>
          </w:tcPr>
          <w:p w14:paraId="00830C62" w14:textId="77777777"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3E7EB0B1" w14:textId="77777777"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1D4D4CC6" w14:textId="77777777"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3986F809" w14:textId="77777777" w:rsidR="00BE22CF" w:rsidRPr="003B7DA2" w:rsidRDefault="00BE22CF"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09E63C47"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60A31C73" w14:textId="77777777" w:rsidR="00BE22CF" w:rsidRPr="003B7DA2" w:rsidRDefault="00BE22CF"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6C874B81" w14:textId="77777777" w:rsidR="00BE22CF" w:rsidRPr="003B7DA2" w:rsidRDefault="00BE22CF"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E22CF" w:rsidRPr="003B7DA2" w14:paraId="1CD36F6F" w14:textId="77777777" w:rsidTr="00D45209">
        <w:tc>
          <w:tcPr>
            <w:tcW w:w="913" w:type="dxa"/>
            <w:vMerge/>
          </w:tcPr>
          <w:p w14:paraId="4EA951A5" w14:textId="77777777" w:rsidR="00BE22CF" w:rsidRPr="003B7DA2" w:rsidRDefault="00BE22CF" w:rsidP="00BE22CF">
            <w:pPr>
              <w:pStyle w:val="BodyText"/>
              <w:rPr>
                <w:rFonts w:ascii="Calibri" w:hAnsi="Calibri"/>
                <w:b/>
                <w:bCs/>
                <w:sz w:val="22"/>
                <w:szCs w:val="22"/>
                <w:u w:val="single"/>
              </w:rPr>
            </w:pPr>
          </w:p>
        </w:tc>
        <w:tc>
          <w:tcPr>
            <w:tcW w:w="1137" w:type="dxa"/>
            <w:vMerge/>
          </w:tcPr>
          <w:p w14:paraId="50AE0E31" w14:textId="77777777" w:rsidR="00BE22CF" w:rsidRPr="003B7DA2" w:rsidRDefault="00BE22CF" w:rsidP="00BE22CF">
            <w:pPr>
              <w:pStyle w:val="BodyText"/>
              <w:rPr>
                <w:rFonts w:ascii="Calibri" w:hAnsi="Calibri"/>
                <w:b/>
                <w:bCs/>
                <w:sz w:val="22"/>
                <w:szCs w:val="22"/>
                <w:u w:val="single"/>
              </w:rPr>
            </w:pPr>
          </w:p>
        </w:tc>
        <w:tc>
          <w:tcPr>
            <w:tcW w:w="918" w:type="dxa"/>
            <w:vMerge/>
          </w:tcPr>
          <w:p w14:paraId="4063532E" w14:textId="77777777" w:rsidR="00BE22CF" w:rsidRPr="003B7DA2" w:rsidRDefault="00BE22CF" w:rsidP="00BE22CF">
            <w:pPr>
              <w:pStyle w:val="BodyText"/>
              <w:rPr>
                <w:rFonts w:ascii="Calibri" w:hAnsi="Calibri"/>
                <w:b/>
                <w:bCs/>
                <w:sz w:val="22"/>
                <w:szCs w:val="22"/>
                <w:u w:val="single"/>
              </w:rPr>
            </w:pPr>
          </w:p>
        </w:tc>
        <w:tc>
          <w:tcPr>
            <w:tcW w:w="904" w:type="dxa"/>
          </w:tcPr>
          <w:p w14:paraId="3D7ADC56" w14:textId="77777777" w:rsidR="00BE22CF" w:rsidRPr="003B7DA2" w:rsidRDefault="00BE22CF"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2D6393CE"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602A0107"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Állományt csökkentő</w:t>
            </w:r>
          </w:p>
          <w:p w14:paraId="4676566A"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 xml:space="preserve"> (Kiadás)</w:t>
            </w:r>
          </w:p>
        </w:tc>
        <w:tc>
          <w:tcPr>
            <w:tcW w:w="1127" w:type="dxa"/>
            <w:vMerge/>
          </w:tcPr>
          <w:p w14:paraId="44DDF76D" w14:textId="77777777" w:rsidR="00BE22CF" w:rsidRPr="003B7DA2" w:rsidRDefault="00BE22CF" w:rsidP="00BE22CF">
            <w:pPr>
              <w:pStyle w:val="BodyText"/>
              <w:rPr>
                <w:rFonts w:ascii="Calibri" w:hAnsi="Calibri" w:cs="Arial"/>
                <w:sz w:val="22"/>
                <w:szCs w:val="22"/>
              </w:rPr>
            </w:pPr>
          </w:p>
        </w:tc>
        <w:tc>
          <w:tcPr>
            <w:tcW w:w="1033" w:type="dxa"/>
            <w:vMerge/>
          </w:tcPr>
          <w:p w14:paraId="1269DF0D" w14:textId="77777777" w:rsidR="00BE22CF" w:rsidRPr="003B7DA2" w:rsidRDefault="00BE22CF" w:rsidP="00BE22CF">
            <w:pPr>
              <w:pStyle w:val="BodyText"/>
              <w:rPr>
                <w:rFonts w:ascii="Calibri" w:hAnsi="Calibri" w:cs="Arial"/>
                <w:sz w:val="22"/>
                <w:szCs w:val="22"/>
              </w:rPr>
            </w:pPr>
          </w:p>
        </w:tc>
        <w:tc>
          <w:tcPr>
            <w:tcW w:w="901" w:type="dxa"/>
            <w:vMerge/>
          </w:tcPr>
          <w:p w14:paraId="029EB005" w14:textId="77777777" w:rsidR="00BE22CF" w:rsidRPr="003B7DA2" w:rsidRDefault="00BE22CF" w:rsidP="00BE22CF">
            <w:pPr>
              <w:pStyle w:val="BodyText"/>
              <w:rPr>
                <w:rFonts w:ascii="Calibri" w:hAnsi="Calibri" w:cs="Arial"/>
                <w:sz w:val="22"/>
                <w:szCs w:val="22"/>
              </w:rPr>
            </w:pPr>
          </w:p>
        </w:tc>
      </w:tr>
      <w:tr w:rsidR="00BE22CF" w:rsidRPr="003B7DA2" w14:paraId="45B5D5E0" w14:textId="77777777" w:rsidTr="00D45209">
        <w:tc>
          <w:tcPr>
            <w:tcW w:w="913" w:type="dxa"/>
          </w:tcPr>
          <w:p w14:paraId="7666B0F7"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FW</w:t>
            </w:r>
          </w:p>
        </w:tc>
        <w:tc>
          <w:tcPr>
            <w:tcW w:w="1137" w:type="dxa"/>
          </w:tcPr>
          <w:p w14:paraId="5C9FFB0D" w14:textId="77777777" w:rsidR="00BE22CF" w:rsidRPr="003B7DA2" w:rsidRDefault="00BE22CF" w:rsidP="00BE22CF">
            <w:pPr>
              <w:pStyle w:val="BodyText"/>
              <w:rPr>
                <w:rFonts w:ascii="Calibri" w:hAnsi="Calibri"/>
                <w:bCs/>
                <w:sz w:val="22"/>
                <w:szCs w:val="22"/>
              </w:rPr>
            </w:pPr>
            <w:r w:rsidRPr="003B7DA2">
              <w:rPr>
                <w:rFonts w:ascii="Calibri" w:hAnsi="Calibri" w:cs="Arial"/>
                <w:sz w:val="22"/>
                <w:szCs w:val="22"/>
              </w:rPr>
              <w:t>DE</w:t>
            </w:r>
          </w:p>
        </w:tc>
        <w:tc>
          <w:tcPr>
            <w:tcW w:w="918" w:type="dxa"/>
          </w:tcPr>
          <w:p w14:paraId="006EFD5D"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10 000</w:t>
            </w:r>
          </w:p>
        </w:tc>
        <w:tc>
          <w:tcPr>
            <w:tcW w:w="904" w:type="dxa"/>
          </w:tcPr>
          <w:p w14:paraId="3CFA91E2"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c>
          <w:tcPr>
            <w:tcW w:w="1025" w:type="dxa"/>
          </w:tcPr>
          <w:p w14:paraId="73BB4E50"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500 000</w:t>
            </w:r>
          </w:p>
        </w:tc>
        <w:tc>
          <w:tcPr>
            <w:tcW w:w="1127" w:type="dxa"/>
          </w:tcPr>
          <w:p w14:paraId="73B835BE"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490 000</w:t>
            </w:r>
          </w:p>
        </w:tc>
        <w:tc>
          <w:tcPr>
            <w:tcW w:w="1033" w:type="dxa"/>
          </w:tcPr>
          <w:p w14:paraId="7CF29C67"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c>
          <w:tcPr>
            <w:tcW w:w="901" w:type="dxa"/>
          </w:tcPr>
          <w:p w14:paraId="0267084B"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r>
    </w:tbl>
    <w:p w14:paraId="6BDAC7CB" w14:textId="77777777" w:rsidR="00BE22CF" w:rsidRPr="003B7DA2" w:rsidRDefault="00BE22CF" w:rsidP="00BE22CF">
      <w:pPr>
        <w:rPr>
          <w:rFonts w:ascii="Calibri" w:hAnsi="Calibri"/>
          <w:sz w:val="22"/>
          <w:szCs w:val="22"/>
        </w:rPr>
      </w:pPr>
    </w:p>
    <w:p w14:paraId="432FAA49" w14:textId="77777777" w:rsidR="0092684C" w:rsidRPr="003B7DA2" w:rsidRDefault="0092684C">
      <w:pPr>
        <w:rPr>
          <w:rFonts w:ascii="Calibri" w:hAnsi="Calibri"/>
          <w:sz w:val="22"/>
          <w:szCs w:val="22"/>
        </w:rPr>
      </w:pPr>
    </w:p>
    <w:p w14:paraId="16A48FF5" w14:textId="77777777" w:rsidR="0092684C" w:rsidRPr="003B7DA2" w:rsidRDefault="0092684C">
      <w:pPr>
        <w:rPr>
          <w:rFonts w:ascii="Calibri" w:hAnsi="Calibri"/>
          <w:sz w:val="22"/>
          <w:szCs w:val="22"/>
        </w:rPr>
      </w:pPr>
    </w:p>
    <w:p w14:paraId="423370E3" w14:textId="77777777" w:rsidR="0092684C" w:rsidRPr="003B7DA2" w:rsidRDefault="0092684C">
      <w:pPr>
        <w:pStyle w:val="BodyText"/>
        <w:rPr>
          <w:rFonts w:ascii="Calibri" w:hAnsi="Calibri"/>
          <w:b/>
          <w:bCs/>
          <w:sz w:val="22"/>
          <w:szCs w:val="22"/>
        </w:rPr>
      </w:pPr>
      <w:r w:rsidRPr="003B7DA2">
        <w:rPr>
          <w:rFonts w:ascii="Calibri" w:hAnsi="Calibri"/>
          <w:b/>
          <w:bCs/>
          <w:sz w:val="22"/>
          <w:szCs w:val="22"/>
        </w:rPr>
        <w:t>2. Opciók:</w:t>
      </w:r>
    </w:p>
    <w:p w14:paraId="4A7E87DC" w14:textId="77777777" w:rsidR="0092684C" w:rsidRPr="003B7DA2" w:rsidRDefault="0092684C">
      <w:pPr>
        <w:pStyle w:val="BodyText"/>
        <w:rPr>
          <w:rFonts w:ascii="Calibri" w:hAnsi="Calibri"/>
          <w:b/>
          <w:bCs/>
          <w:sz w:val="22"/>
          <w:szCs w:val="22"/>
        </w:rPr>
      </w:pPr>
    </w:p>
    <w:p w14:paraId="732EE321"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Egy </w:t>
      </w:r>
      <w:r w:rsidRPr="003B7DA2">
        <w:rPr>
          <w:rFonts w:ascii="Calibri" w:hAnsi="Calibri"/>
          <w:b/>
          <w:snapToGrid w:val="0"/>
          <w:sz w:val="22"/>
          <w:szCs w:val="22"/>
          <w:lang w:eastAsia="en-US"/>
        </w:rPr>
        <w:t>opció</w:t>
      </w:r>
      <w:r w:rsidRPr="003B7DA2">
        <w:rPr>
          <w:rFonts w:ascii="Calibri" w:hAnsi="Calibri"/>
          <w:snapToGrid w:val="0"/>
          <w:sz w:val="22"/>
          <w:szCs w:val="22"/>
          <w:lang w:eastAsia="en-US"/>
        </w:rPr>
        <w:t xml:space="preserve"> megvásárlója prémiumot fizet az opció kiírójának (eladójának), amiért cserébe megkapja a kötelezettség nélküli jogot arra, hogy vegyen (</w:t>
      </w:r>
      <w:proofErr w:type="spellStart"/>
      <w:r w:rsidRPr="003B7DA2">
        <w:rPr>
          <w:rFonts w:ascii="Calibri" w:hAnsi="Calibri"/>
          <w:snapToGrid w:val="0"/>
          <w:sz w:val="22"/>
          <w:szCs w:val="22"/>
          <w:lang w:eastAsia="en-US"/>
        </w:rPr>
        <w:t>call</w:t>
      </w:r>
      <w:proofErr w:type="spellEnd"/>
      <w:r w:rsidRPr="003B7DA2">
        <w:rPr>
          <w:rFonts w:ascii="Calibri" w:hAnsi="Calibri"/>
          <w:snapToGrid w:val="0"/>
          <w:sz w:val="22"/>
          <w:szCs w:val="22"/>
          <w:lang w:eastAsia="en-US"/>
        </w:rPr>
        <w:t xml:space="preserve"> opció) vagy eladjon (</w:t>
      </w:r>
      <w:proofErr w:type="spellStart"/>
      <w:r w:rsidRPr="003B7DA2">
        <w:rPr>
          <w:rFonts w:ascii="Calibri" w:hAnsi="Calibri"/>
          <w:snapToGrid w:val="0"/>
          <w:sz w:val="22"/>
          <w:szCs w:val="22"/>
          <w:lang w:eastAsia="en-US"/>
        </w:rPr>
        <w:t>put</w:t>
      </w:r>
      <w:proofErr w:type="spellEnd"/>
      <w:r w:rsidRPr="003B7DA2">
        <w:rPr>
          <w:rFonts w:ascii="Calibri" w:hAnsi="Calibri"/>
          <w:snapToGrid w:val="0"/>
          <w:sz w:val="22"/>
          <w:szCs w:val="22"/>
          <w:lang w:eastAsia="en-US"/>
        </w:rPr>
        <w:t xml:space="preserve"> opció) egy meghatározott mögöttes terméket (reál, vagy pénzügyi) egy szerződésben meghatározott áron (kötési, vagy lehívási ár) egy meghatározott jövőbeli (tehát 2 értéknapon túli) időpontban, vagy időpontig. </w:t>
      </w:r>
    </w:p>
    <w:p w14:paraId="68CC4B84" w14:textId="77777777" w:rsidR="0092684C" w:rsidRPr="003B7DA2" w:rsidRDefault="0092684C">
      <w:pPr>
        <w:ind w:left="720"/>
        <w:jc w:val="both"/>
        <w:rPr>
          <w:rFonts w:ascii="Calibri" w:hAnsi="Calibri"/>
          <w:snapToGrid w:val="0"/>
          <w:sz w:val="22"/>
          <w:szCs w:val="22"/>
          <w:lang w:eastAsia="en-US"/>
        </w:rPr>
      </w:pPr>
    </w:p>
    <w:p w14:paraId="007A01C4"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követelések, tartozások értékelése során természetesen figyelembe kell venni, hogy vételi, vagy eladási opcióról van-e szó (vagyis az opciós jog valamely mögöttes termék eladására, vagy vételére vonatkozik-e), adatszolgáltatási tábláinkban azonban csak az értékelés végeredményét kell feltüntetni</w:t>
      </w:r>
      <w:r w:rsidR="00BF7D76"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w:t>
      </w:r>
      <w:r w:rsidR="00BF7D76" w:rsidRPr="003B7DA2">
        <w:rPr>
          <w:rFonts w:ascii="Calibri" w:hAnsi="Calibri"/>
          <w:snapToGrid w:val="0"/>
          <w:sz w:val="22"/>
          <w:szCs w:val="22"/>
          <w:lang w:eastAsia="en-US"/>
        </w:rPr>
        <w:t>Így egy-egy</w:t>
      </w:r>
      <w:r w:rsidRPr="003B7DA2">
        <w:rPr>
          <w:rFonts w:ascii="Calibri" w:hAnsi="Calibri"/>
          <w:snapToGrid w:val="0"/>
          <w:sz w:val="22"/>
          <w:szCs w:val="22"/>
          <w:lang w:eastAsia="en-US"/>
        </w:rPr>
        <w:t xml:space="preserve"> sorban </w:t>
      </w:r>
      <w:r w:rsidR="00BF7D76" w:rsidRPr="003B7DA2">
        <w:rPr>
          <w:rFonts w:ascii="Calibri" w:hAnsi="Calibri"/>
          <w:snapToGrid w:val="0"/>
          <w:sz w:val="22"/>
          <w:szCs w:val="22"/>
          <w:lang w:eastAsia="en-US"/>
        </w:rPr>
        <w:t xml:space="preserve">országonként </w:t>
      </w:r>
      <w:r w:rsidRPr="003B7DA2">
        <w:rPr>
          <w:rFonts w:ascii="Calibri" w:hAnsi="Calibri"/>
          <w:snapToGrid w:val="0"/>
          <w:sz w:val="22"/>
          <w:szCs w:val="22"/>
          <w:lang w:eastAsia="en-US"/>
        </w:rPr>
        <w:t>összevontan jelenthetők, amennyiben piaci értékük az adott időpontban pozitív, vagy negatív, függetlenül a mögöttes termék mibenlététől is. A lényeg, hogy eladott (kiírt) opciós jogról van-e szó az adatszolgáltató szempontjából, vagy pedig megvásárolt opciós jogról. Előbbi esetben valamennyi adat a tartozás, utóbbi esetben valamennyi adat a követel táblában jelentendő, az alábbiak szerint:</w:t>
      </w:r>
    </w:p>
    <w:p w14:paraId="63A26483" w14:textId="77777777" w:rsidR="0092684C" w:rsidRPr="003B7DA2" w:rsidRDefault="0092684C">
      <w:pPr>
        <w:jc w:val="both"/>
        <w:rPr>
          <w:rFonts w:ascii="Calibri" w:hAnsi="Calibri"/>
          <w:b/>
          <w:snapToGrid w:val="0"/>
          <w:sz w:val="22"/>
          <w:szCs w:val="22"/>
          <w:lang w:eastAsia="en-US"/>
        </w:rPr>
      </w:pPr>
    </w:p>
    <w:p w14:paraId="67F6EB27" w14:textId="77777777" w:rsidR="00921A62" w:rsidRPr="003B7DA2" w:rsidRDefault="00921A62">
      <w:pPr>
        <w:jc w:val="both"/>
        <w:rPr>
          <w:rFonts w:ascii="Calibri" w:hAnsi="Calibri"/>
          <w:b/>
          <w:snapToGrid w:val="0"/>
          <w:sz w:val="22"/>
          <w:szCs w:val="22"/>
          <w:lang w:eastAsia="en-US"/>
        </w:rPr>
      </w:pPr>
    </w:p>
    <w:p w14:paraId="06A81C40" w14:textId="77777777" w:rsidR="00921A62" w:rsidRPr="003B7DA2" w:rsidRDefault="00921A62">
      <w:pPr>
        <w:jc w:val="both"/>
        <w:rPr>
          <w:rFonts w:ascii="Calibri" w:hAnsi="Calibri"/>
          <w:b/>
          <w:snapToGrid w:val="0"/>
          <w:sz w:val="22"/>
          <w:szCs w:val="22"/>
          <w:lang w:eastAsia="en-US"/>
        </w:rPr>
      </w:pPr>
    </w:p>
    <w:p w14:paraId="7A5077FF" w14:textId="77777777" w:rsidR="00921A62" w:rsidRPr="003B7DA2" w:rsidRDefault="00921A62">
      <w:pPr>
        <w:jc w:val="both"/>
        <w:rPr>
          <w:rFonts w:ascii="Calibri" w:hAnsi="Calibri"/>
          <w:b/>
          <w:snapToGrid w:val="0"/>
          <w:sz w:val="22"/>
          <w:szCs w:val="22"/>
          <w:lang w:eastAsia="en-US"/>
        </w:rPr>
      </w:pPr>
    </w:p>
    <w:p w14:paraId="7C186D0A"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501C1F21" w14:textId="77777777" w:rsidR="0092684C" w:rsidRPr="003B7DA2" w:rsidRDefault="0092684C">
      <w:pPr>
        <w:ind w:left="720"/>
        <w:jc w:val="both"/>
        <w:rPr>
          <w:rFonts w:ascii="Calibri" w:hAnsi="Calibri"/>
          <w:snapToGrid w:val="0"/>
          <w:sz w:val="22"/>
          <w:szCs w:val="22"/>
          <w:lang w:eastAsia="en-US"/>
        </w:rPr>
      </w:pPr>
    </w:p>
    <w:p w14:paraId="61E310A0"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opciós kontraktus kötésekor az opció vevője mindig eszközhöz jut, tehát követelés pozícióba kerül, míg az opció kiíróját a prémium kézhezvételét követően kötelezettség </w:t>
      </w:r>
      <w:r w:rsidRPr="003B7DA2">
        <w:rPr>
          <w:rFonts w:ascii="Calibri" w:hAnsi="Calibri"/>
          <w:snapToGrid w:val="0"/>
          <w:sz w:val="22"/>
          <w:szCs w:val="22"/>
          <w:lang w:eastAsia="en-US"/>
        </w:rPr>
        <w:lastRenderedPageBreak/>
        <w:t>terheli. (Az opciók kezdeti értéke megegyezik az opció kiírójának fizetett prémiummal, értéke a későbbiek során a piaci árak függvényében változhat.)</w:t>
      </w:r>
    </w:p>
    <w:p w14:paraId="5F01A995"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vevőnek mindig követelése lesz, hiszen jogot szerez, amelyet csak akkor érvényesít, ha az ügylet az ő szempontjából nyereséges lesz, különben nem hívja le az opciót, az  további tranzakció bekövetkezte nélkül lejár a lejárat időpontjában. Ekkor az opciós jog vevőjét csak az opciós díj terheli, kiadásként. </w:t>
      </w:r>
    </w:p>
    <w:p w14:paraId="5DD3A2B4"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kiírónak azonban kötelezettsége, hogy eleget tegyen a vevő kérésének, amennyiben az </w:t>
      </w:r>
      <w:proofErr w:type="spellStart"/>
      <w:r w:rsidRPr="003B7DA2">
        <w:rPr>
          <w:rFonts w:ascii="Calibri" w:hAnsi="Calibri"/>
          <w:snapToGrid w:val="0"/>
          <w:sz w:val="22"/>
          <w:szCs w:val="22"/>
          <w:lang w:eastAsia="en-US"/>
        </w:rPr>
        <w:t>az</w:t>
      </w:r>
      <w:proofErr w:type="spellEnd"/>
      <w:r w:rsidRPr="003B7DA2">
        <w:rPr>
          <w:rFonts w:ascii="Calibri" w:hAnsi="Calibri"/>
          <w:snapToGrid w:val="0"/>
          <w:sz w:val="22"/>
          <w:szCs w:val="22"/>
          <w:lang w:eastAsia="en-US"/>
        </w:rPr>
        <w:t xml:space="preserve"> opciós jogát érvényesíteni akarja, azaz eladjon, vagy vegyen az opcióban szereplő lehívási áron, akárhogy is alakulnak a piaci árak, így bár bevételhez jutott az opciós díj összegében, potenciális vesztesége az ügyleten akármekkora lehet.</w:t>
      </w:r>
    </w:p>
    <w:p w14:paraId="1B15AA9C"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 </w:t>
      </w:r>
    </w:p>
    <w:p w14:paraId="293EE6A2"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Mivel egy opciós ügylet mindig a befektető (vagyis az opciót megvásárló fél) követelésének és az eladó tartozásának tekinthető, így a követelés táblában az adatszolgáltató rezidens által megvásárolt (nem rezidens által kiírt) opciók aktuális piaci értékét kell országonként összesíteni, míg a tartozás táblában minden, a rezidens adatszolgáltató által külföldi partnernek eladott opció országonként összesített piaci értékét kell megadni. Az ügyletek piaci értékét vagy konkrét jegyzett ár segítségével, ennek hiányában azt megközelítő, számított piaci ár segítségével lehet kiszámítani, ez utóbbi esetében valamely általánosan elfogadott értékelési módszert alkalmazhat a vállalat, </w:t>
      </w:r>
      <w:proofErr w:type="spellStart"/>
      <w:r w:rsidRPr="003B7DA2">
        <w:rPr>
          <w:rFonts w:ascii="Calibri" w:hAnsi="Calibri"/>
          <w:snapToGrid w:val="0"/>
          <w:sz w:val="22"/>
          <w:szCs w:val="22"/>
          <w:lang w:eastAsia="en-US"/>
        </w:rPr>
        <w:t>p</w:t>
      </w:r>
      <w:r w:rsidRPr="003B7DA2">
        <w:rPr>
          <w:rFonts w:ascii="Calibri" w:hAnsi="Calibri"/>
          <w:sz w:val="22"/>
          <w:szCs w:val="22"/>
        </w:rPr>
        <w:t>l</w:t>
      </w:r>
      <w:proofErr w:type="spellEnd"/>
      <w:r w:rsidRPr="003B7DA2">
        <w:rPr>
          <w:rFonts w:ascii="Calibri" w:hAnsi="Calibri"/>
          <w:sz w:val="22"/>
          <w:szCs w:val="22"/>
        </w:rPr>
        <w:t xml:space="preserve"> a </w:t>
      </w:r>
      <w:proofErr w:type="spellStart"/>
      <w:r w:rsidRPr="003B7DA2">
        <w:rPr>
          <w:rFonts w:ascii="Calibri" w:hAnsi="Calibri"/>
          <w:sz w:val="22"/>
          <w:szCs w:val="22"/>
        </w:rPr>
        <w:t>Black-Scholes</w:t>
      </w:r>
      <w:proofErr w:type="spellEnd"/>
      <w:r w:rsidRPr="003B7DA2">
        <w:rPr>
          <w:rFonts w:ascii="Calibri" w:hAnsi="Calibri"/>
          <w:sz w:val="22"/>
          <w:szCs w:val="22"/>
        </w:rPr>
        <w:t xml:space="preserve"> formulát</w:t>
      </w:r>
      <w:r w:rsidRPr="003B7DA2">
        <w:rPr>
          <w:rFonts w:ascii="Calibri" w:hAnsi="Calibri"/>
          <w:snapToGrid w:val="0"/>
          <w:sz w:val="22"/>
          <w:szCs w:val="22"/>
          <w:lang w:eastAsia="en-US"/>
        </w:rPr>
        <w:t xml:space="preserve">. </w:t>
      </w:r>
    </w:p>
    <w:p w14:paraId="6D22A506" w14:textId="77777777" w:rsidR="0092684C" w:rsidRPr="003B7DA2" w:rsidRDefault="0092684C">
      <w:pPr>
        <w:ind w:left="720"/>
        <w:jc w:val="both"/>
        <w:rPr>
          <w:rFonts w:ascii="Calibri" w:hAnsi="Calibri"/>
          <w:snapToGrid w:val="0"/>
          <w:sz w:val="22"/>
          <w:szCs w:val="22"/>
          <w:lang w:eastAsia="en-US"/>
        </w:rPr>
      </w:pPr>
    </w:p>
    <w:p w14:paraId="6521BEA7"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ugyanazon partnerrel kötött vásárolt és eladott opciók egymással szemben nem összevezethetők, s nem vezethetők össze ugyanazon mögöttes termékre vonatkozó vásárolt és eladott opciók sem. </w:t>
      </w:r>
    </w:p>
    <w:p w14:paraId="5A9C0706" w14:textId="77777777" w:rsidR="0092684C" w:rsidRPr="003B7DA2" w:rsidRDefault="0092684C">
      <w:pPr>
        <w:ind w:left="720"/>
        <w:jc w:val="both"/>
        <w:rPr>
          <w:rFonts w:ascii="Calibri" w:hAnsi="Calibri"/>
          <w:b/>
          <w:snapToGrid w:val="0"/>
          <w:sz w:val="22"/>
          <w:szCs w:val="22"/>
          <w:lang w:eastAsia="en-US"/>
        </w:rPr>
      </w:pPr>
    </w:p>
    <w:p w14:paraId="2EC662C6"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0BC8077F" w14:textId="77777777" w:rsidR="0092684C" w:rsidRPr="003B7DA2" w:rsidRDefault="0092684C">
      <w:pPr>
        <w:ind w:left="720"/>
        <w:jc w:val="both"/>
        <w:rPr>
          <w:rFonts w:ascii="Calibri" w:hAnsi="Calibri"/>
          <w:b/>
          <w:snapToGrid w:val="0"/>
          <w:sz w:val="22"/>
          <w:szCs w:val="22"/>
          <w:lang w:eastAsia="en-US"/>
        </w:rPr>
      </w:pPr>
    </w:p>
    <w:p w14:paraId="13D44425" w14:textId="77777777"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Ezen mezőkben kell jelenteni az o</w:t>
      </w:r>
      <w:r w:rsidRPr="003B7DA2">
        <w:rPr>
          <w:rFonts w:ascii="Calibri" w:hAnsi="Calibri"/>
          <w:sz w:val="22"/>
          <w:szCs w:val="22"/>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14:paraId="5146EAF9" w14:textId="77777777" w:rsidR="0092684C" w:rsidRPr="003B7DA2" w:rsidRDefault="0092684C">
      <w:pPr>
        <w:ind w:left="720"/>
        <w:jc w:val="both"/>
        <w:rPr>
          <w:rFonts w:ascii="Calibri" w:hAnsi="Calibri"/>
          <w:sz w:val="22"/>
          <w:szCs w:val="22"/>
        </w:rPr>
      </w:pPr>
    </w:p>
    <w:p w14:paraId="28B140C1" w14:textId="77777777" w:rsidR="0092684C" w:rsidRPr="003B7DA2" w:rsidRDefault="0092684C">
      <w:pPr>
        <w:ind w:left="720"/>
        <w:jc w:val="both"/>
        <w:rPr>
          <w:rFonts w:ascii="Calibri" w:hAnsi="Calibri"/>
          <w:sz w:val="22"/>
          <w:szCs w:val="22"/>
        </w:rPr>
      </w:pPr>
      <w:r w:rsidRPr="003B7DA2">
        <w:rPr>
          <w:rFonts w:ascii="Calibri" w:hAnsi="Calibri"/>
          <w:sz w:val="22"/>
          <w:szCs w:val="22"/>
        </w:rPr>
        <w:t xml:space="preserve">Elszámolásos konstrukcióban </w:t>
      </w:r>
      <w:r w:rsidR="002E01FF" w:rsidRPr="003B7DA2">
        <w:rPr>
          <w:rFonts w:ascii="Calibri" w:hAnsi="Calibri"/>
          <w:sz w:val="22"/>
          <w:szCs w:val="22"/>
        </w:rPr>
        <w:t>az ügylet</w:t>
      </w:r>
      <w:r w:rsidRPr="003B7DA2">
        <w:rPr>
          <w:rFonts w:ascii="Calibri" w:hAnsi="Calibri"/>
          <w:sz w:val="22"/>
          <w:szCs w:val="22"/>
        </w:rPr>
        <w:t xml:space="preserve"> lezárásakor, illetve lehívásakor kapott/fizetett nettó összegeket</w:t>
      </w:r>
      <w:r w:rsidR="002E01FF" w:rsidRPr="003B7DA2">
        <w:rPr>
          <w:rFonts w:ascii="Calibri" w:hAnsi="Calibri"/>
          <w:sz w:val="22"/>
          <w:szCs w:val="22"/>
        </w:rPr>
        <w:t xml:space="preserve"> kell tranzakcióként jelenteni</w:t>
      </w:r>
      <w:r w:rsidRPr="003B7DA2">
        <w:rPr>
          <w:rFonts w:ascii="Calibri" w:hAnsi="Calibri"/>
          <w:sz w:val="22"/>
          <w:szCs w:val="22"/>
        </w:rPr>
        <w:t xml:space="preserve">. Bizonyos tőzsdei opció-típusok (elsősorban kamatláb opciók) esetében néhány, az ügylet tartama alatt felmerülő, teljesített változó </w:t>
      </w:r>
      <w:proofErr w:type="spellStart"/>
      <w:r w:rsidRPr="003B7DA2">
        <w:rPr>
          <w:rFonts w:ascii="Calibri" w:hAnsi="Calibri"/>
          <w:sz w:val="22"/>
          <w:szCs w:val="22"/>
        </w:rPr>
        <w:t>margin</w:t>
      </w:r>
      <w:proofErr w:type="spellEnd"/>
      <w:r w:rsidRPr="003B7DA2">
        <w:rPr>
          <w:rFonts w:ascii="Calibri" w:hAnsi="Calibri"/>
          <w:sz w:val="22"/>
          <w:szCs w:val="22"/>
        </w:rPr>
        <w:t xml:space="preserve"> kifizetések, illetve bevételek is ebbe a körbe tartoznak. </w:t>
      </w:r>
    </w:p>
    <w:p w14:paraId="330DEDFA" w14:textId="77777777" w:rsidR="0092684C" w:rsidRPr="003B7DA2" w:rsidRDefault="0092684C">
      <w:pPr>
        <w:ind w:left="720"/>
        <w:jc w:val="both"/>
        <w:rPr>
          <w:rFonts w:ascii="Calibri" w:hAnsi="Calibri"/>
          <w:sz w:val="22"/>
          <w:szCs w:val="22"/>
        </w:rPr>
      </w:pPr>
    </w:p>
    <w:p w14:paraId="386F5CB3" w14:textId="77777777" w:rsidR="0092684C" w:rsidRPr="003B7DA2" w:rsidRDefault="0092684C">
      <w:pPr>
        <w:ind w:left="720"/>
        <w:jc w:val="both"/>
        <w:rPr>
          <w:rFonts w:ascii="Calibri" w:hAnsi="Calibri"/>
          <w:sz w:val="22"/>
          <w:szCs w:val="22"/>
        </w:rPr>
      </w:pPr>
      <w:r w:rsidRPr="003B7DA2">
        <w:rPr>
          <w:rFonts w:ascii="Calibri" w:hAnsi="Calibri"/>
          <w:sz w:val="22"/>
          <w:szCs w:val="22"/>
        </w:rPr>
        <w:t xml:space="preserve">Leszállításos lehívás esetében, amennyiben nem deviza, vagy valutaösszeg vételéről/eladásáról van szó, a mögöttes terméknek az opciós szerződés szerinti lehívási ára, valamint az aktuális piaci ára közötti különbözet tekintendő </w:t>
      </w:r>
      <w:r w:rsidR="002E01FF" w:rsidRPr="003B7DA2">
        <w:rPr>
          <w:rFonts w:ascii="Calibri" w:hAnsi="Calibri"/>
          <w:sz w:val="22"/>
          <w:szCs w:val="22"/>
        </w:rPr>
        <w:t xml:space="preserve">pénzügyi </w:t>
      </w:r>
      <w:proofErr w:type="spellStart"/>
      <w:r w:rsidR="002E01FF" w:rsidRPr="003B7DA2">
        <w:rPr>
          <w:rFonts w:ascii="Calibri" w:hAnsi="Calibri"/>
          <w:sz w:val="22"/>
          <w:szCs w:val="22"/>
        </w:rPr>
        <w:t>derivatíva</w:t>
      </w:r>
      <w:proofErr w:type="spellEnd"/>
      <w:r w:rsidR="002E01FF" w:rsidRPr="003B7DA2">
        <w:rPr>
          <w:rFonts w:ascii="Calibri" w:hAnsi="Calibri"/>
          <w:sz w:val="22"/>
          <w:szCs w:val="22"/>
        </w:rPr>
        <w:t xml:space="preserve"> </w:t>
      </w:r>
      <w:r w:rsidRPr="003B7DA2">
        <w:rPr>
          <w:rFonts w:ascii="Calibri" w:hAnsi="Calibri"/>
          <w:sz w:val="22"/>
          <w:szCs w:val="22"/>
        </w:rPr>
        <w:t xml:space="preserve">tranzakciónak. A deviza, valuta vételre/eladásra kötött opciók esetében a szerződés szerinti bruttó fizetések tüntethetők fel </w:t>
      </w:r>
      <w:proofErr w:type="spellStart"/>
      <w:r w:rsidR="00722D7A" w:rsidRPr="003B7DA2">
        <w:rPr>
          <w:rFonts w:ascii="Calibri" w:hAnsi="Calibri"/>
          <w:sz w:val="22"/>
          <w:szCs w:val="22"/>
        </w:rPr>
        <w:t>derivatíva</w:t>
      </w:r>
      <w:proofErr w:type="spellEnd"/>
      <w:r w:rsidR="00722D7A" w:rsidRPr="003B7DA2">
        <w:rPr>
          <w:rFonts w:ascii="Calibri" w:hAnsi="Calibri"/>
          <w:sz w:val="22"/>
          <w:szCs w:val="22"/>
        </w:rPr>
        <w:t xml:space="preserve"> </w:t>
      </w:r>
      <w:r w:rsidRPr="003B7DA2">
        <w:rPr>
          <w:rFonts w:ascii="Calibri" w:hAnsi="Calibri"/>
          <w:sz w:val="22"/>
          <w:szCs w:val="22"/>
        </w:rPr>
        <w:t xml:space="preserve">tranzakcióként.  </w:t>
      </w:r>
    </w:p>
    <w:p w14:paraId="23440071" w14:textId="77777777" w:rsidR="0092684C" w:rsidRPr="003B7DA2" w:rsidRDefault="0092684C">
      <w:pPr>
        <w:ind w:left="720"/>
        <w:jc w:val="both"/>
        <w:rPr>
          <w:rFonts w:ascii="Calibri" w:hAnsi="Calibri"/>
          <w:sz w:val="22"/>
          <w:szCs w:val="22"/>
        </w:rPr>
      </w:pPr>
    </w:p>
    <w:p w14:paraId="02D1B87C" w14:textId="77777777"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Péld</w:t>
      </w:r>
      <w:r w:rsidR="00874533" w:rsidRPr="003B7DA2">
        <w:rPr>
          <w:rFonts w:ascii="Calibri" w:hAnsi="Calibri"/>
          <w:b/>
          <w:bCs/>
          <w:sz w:val="22"/>
          <w:szCs w:val="22"/>
          <w:u w:val="single"/>
        </w:rPr>
        <w:t>ák</w:t>
      </w:r>
      <w:r w:rsidRPr="003B7DA2">
        <w:rPr>
          <w:rFonts w:ascii="Calibri" w:hAnsi="Calibri"/>
          <w:b/>
          <w:bCs/>
          <w:sz w:val="22"/>
          <w:szCs w:val="22"/>
          <w:u w:val="single"/>
        </w:rPr>
        <w:t>:</w:t>
      </w:r>
    </w:p>
    <w:p w14:paraId="429F20D3"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egy-egy db. eladott, illetve vásárolt opció jelentéséről írunk, több ügylet esetében értelemszerűen kell az adatokat összesíteni, országonként. </w:t>
      </w:r>
    </w:p>
    <w:p w14:paraId="6DBB05D6" w14:textId="77777777" w:rsidR="0092684C" w:rsidRPr="003B7DA2" w:rsidRDefault="0092684C">
      <w:pPr>
        <w:pStyle w:val="BodyText"/>
        <w:rPr>
          <w:rFonts w:ascii="Calibri" w:hAnsi="Calibri"/>
          <w:bCs/>
          <w:sz w:val="22"/>
          <w:szCs w:val="22"/>
        </w:rPr>
      </w:pPr>
    </w:p>
    <w:p w14:paraId="3ADBC2A7"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rezidens cég német partnerétől vásárol január 10-én jogot arra, hogy április 20-án eladjon neki 1 millió EUR összeget 250 millió HUF ellenében. Ezért a jogért (a január 10-i árak figyelembe vételével) forintra átszámítva 20 millió HUF prémiumot kell fizetnie (a két fél ekkora összegben állapodott meg, ez az összeg a januári tárgyidőszak tranzakciója). </w:t>
      </w:r>
    </w:p>
    <w:p w14:paraId="1BC74754"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lastRenderedPageBreak/>
        <w:t xml:space="preserve">Az árak alakulását figyelembe véve a cég havonta kiértékelte pozícióját, amelynek értéke január végén alacsonyabb, mint az induláskori, a prémiumfizetés miatti 20 millió HUF, ezen egyetlen ügylet január végén számított értéke 10 millió HUF. Mivel megvásárolt opcióról van szó, ez az összeg, hasonlóan a prémiumhoz (az követelést növelő kiadás), mint tranzakcióhoz a DERK táblába sorolandó. A nyitó állomány természetesen 0, az átértékelés összege különbözetként megállapítható. </w:t>
      </w:r>
    </w:p>
    <w:p w14:paraId="47082001" w14:textId="77777777" w:rsidR="00874533" w:rsidRPr="003B7DA2" w:rsidRDefault="00874533" w:rsidP="00874533">
      <w:pPr>
        <w:pStyle w:val="BodyText"/>
        <w:rPr>
          <w:rFonts w:ascii="Calibri" w:hAnsi="Calibri"/>
          <w:bCs/>
          <w:sz w:val="22"/>
          <w:szCs w:val="22"/>
        </w:rPr>
      </w:pPr>
    </w:p>
    <w:p w14:paraId="1DC0B2F0"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1440"/>
        <w:gridCol w:w="720"/>
        <w:gridCol w:w="1080"/>
      </w:tblGrid>
      <w:tr w:rsidR="00874533" w:rsidRPr="003B7DA2" w14:paraId="7427CEBB" w14:textId="77777777" w:rsidTr="00D45209">
        <w:tc>
          <w:tcPr>
            <w:tcW w:w="913" w:type="dxa"/>
            <w:vMerge w:val="restart"/>
          </w:tcPr>
          <w:p w14:paraId="049D5C3C"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3E8225F"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1B7B4F4F"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14:paraId="649E5766"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14:paraId="298BCBC2"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731493EF"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080" w:type="dxa"/>
            <w:vMerge w:val="restart"/>
            <w:vAlign w:val="center"/>
          </w:tcPr>
          <w:p w14:paraId="777C3C72"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2F2D03A2" w14:textId="77777777" w:rsidTr="00D45209">
        <w:tc>
          <w:tcPr>
            <w:tcW w:w="913" w:type="dxa"/>
            <w:vMerge/>
          </w:tcPr>
          <w:p w14:paraId="3632DCBC" w14:textId="77777777" w:rsidR="00874533" w:rsidRPr="003B7DA2" w:rsidRDefault="00874533" w:rsidP="00874533">
            <w:pPr>
              <w:pStyle w:val="BodyText"/>
              <w:rPr>
                <w:rFonts w:ascii="Calibri" w:hAnsi="Calibri"/>
                <w:b/>
                <w:bCs/>
                <w:sz w:val="22"/>
                <w:szCs w:val="22"/>
                <w:u w:val="single"/>
              </w:rPr>
            </w:pPr>
          </w:p>
        </w:tc>
        <w:tc>
          <w:tcPr>
            <w:tcW w:w="1137" w:type="dxa"/>
            <w:vMerge/>
          </w:tcPr>
          <w:p w14:paraId="584AFB6D" w14:textId="77777777" w:rsidR="00874533" w:rsidRPr="003B7DA2" w:rsidRDefault="00874533" w:rsidP="00874533">
            <w:pPr>
              <w:pStyle w:val="BodyText"/>
              <w:rPr>
                <w:rFonts w:ascii="Calibri" w:hAnsi="Calibri"/>
                <w:b/>
                <w:bCs/>
                <w:sz w:val="22"/>
                <w:szCs w:val="22"/>
                <w:u w:val="single"/>
              </w:rPr>
            </w:pPr>
          </w:p>
        </w:tc>
        <w:tc>
          <w:tcPr>
            <w:tcW w:w="918" w:type="dxa"/>
            <w:vMerge/>
          </w:tcPr>
          <w:p w14:paraId="4F9C6A5A" w14:textId="77777777" w:rsidR="00874533" w:rsidRPr="003B7DA2" w:rsidRDefault="00874533" w:rsidP="00874533">
            <w:pPr>
              <w:pStyle w:val="BodyText"/>
              <w:rPr>
                <w:rFonts w:ascii="Calibri" w:hAnsi="Calibri"/>
                <w:b/>
                <w:bCs/>
                <w:sz w:val="22"/>
                <w:szCs w:val="22"/>
                <w:u w:val="single"/>
              </w:rPr>
            </w:pPr>
          </w:p>
        </w:tc>
        <w:tc>
          <w:tcPr>
            <w:tcW w:w="1100" w:type="dxa"/>
          </w:tcPr>
          <w:p w14:paraId="3EA8CBCC"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080" w:type="dxa"/>
          </w:tcPr>
          <w:p w14:paraId="6C9F276D"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14:paraId="30B86407" w14:textId="77777777" w:rsidR="00874533" w:rsidRPr="003B7DA2" w:rsidRDefault="00874533" w:rsidP="00874533">
            <w:pPr>
              <w:pStyle w:val="BodyText"/>
              <w:rPr>
                <w:rFonts w:ascii="Calibri" w:hAnsi="Calibri" w:cs="Arial"/>
                <w:sz w:val="22"/>
                <w:szCs w:val="22"/>
              </w:rPr>
            </w:pPr>
          </w:p>
        </w:tc>
        <w:tc>
          <w:tcPr>
            <w:tcW w:w="720" w:type="dxa"/>
            <w:vMerge/>
          </w:tcPr>
          <w:p w14:paraId="2CE23BE2" w14:textId="77777777" w:rsidR="00874533" w:rsidRPr="003B7DA2" w:rsidRDefault="00874533" w:rsidP="00874533">
            <w:pPr>
              <w:pStyle w:val="BodyText"/>
              <w:rPr>
                <w:rFonts w:ascii="Calibri" w:hAnsi="Calibri" w:cs="Arial"/>
                <w:sz w:val="22"/>
                <w:szCs w:val="22"/>
              </w:rPr>
            </w:pPr>
          </w:p>
        </w:tc>
        <w:tc>
          <w:tcPr>
            <w:tcW w:w="1080" w:type="dxa"/>
            <w:vMerge/>
          </w:tcPr>
          <w:p w14:paraId="7E2010AF" w14:textId="77777777" w:rsidR="00874533" w:rsidRPr="003B7DA2" w:rsidRDefault="00874533" w:rsidP="00874533">
            <w:pPr>
              <w:pStyle w:val="BodyText"/>
              <w:rPr>
                <w:rFonts w:ascii="Calibri" w:hAnsi="Calibri" w:cs="Arial"/>
                <w:sz w:val="22"/>
                <w:szCs w:val="22"/>
              </w:rPr>
            </w:pPr>
          </w:p>
        </w:tc>
      </w:tr>
      <w:tr w:rsidR="00874533" w:rsidRPr="003B7DA2" w14:paraId="6FAB8CF8" w14:textId="77777777" w:rsidTr="00D45209">
        <w:tc>
          <w:tcPr>
            <w:tcW w:w="913" w:type="dxa"/>
          </w:tcPr>
          <w:p w14:paraId="6CF133A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14:paraId="7C5719F4"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918" w:type="dxa"/>
          </w:tcPr>
          <w:p w14:paraId="348B9DC0"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c>
          <w:tcPr>
            <w:tcW w:w="1100" w:type="dxa"/>
          </w:tcPr>
          <w:p w14:paraId="6B2FAF2E"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xml:space="preserve">20 000 </w:t>
            </w:r>
            <w:proofErr w:type="spellStart"/>
            <w:r w:rsidRPr="003B7DA2">
              <w:rPr>
                <w:rFonts w:ascii="Calibri" w:hAnsi="Calibri" w:cs="Arial"/>
                <w:sz w:val="22"/>
                <w:szCs w:val="22"/>
              </w:rPr>
              <w:t>000</w:t>
            </w:r>
            <w:proofErr w:type="spellEnd"/>
          </w:p>
        </w:tc>
        <w:tc>
          <w:tcPr>
            <w:tcW w:w="1080" w:type="dxa"/>
          </w:tcPr>
          <w:p w14:paraId="1F606F26"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14:paraId="5194CCF6"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- 10 000 </w:t>
            </w:r>
            <w:proofErr w:type="spellStart"/>
            <w:r w:rsidRPr="003B7DA2">
              <w:rPr>
                <w:rFonts w:ascii="Calibri" w:hAnsi="Calibri"/>
                <w:bCs/>
                <w:sz w:val="22"/>
                <w:szCs w:val="22"/>
              </w:rPr>
              <w:t>000</w:t>
            </w:r>
            <w:proofErr w:type="spellEnd"/>
          </w:p>
        </w:tc>
        <w:tc>
          <w:tcPr>
            <w:tcW w:w="720" w:type="dxa"/>
          </w:tcPr>
          <w:p w14:paraId="5487D022"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14:paraId="79488F3A"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234BEB53" w14:textId="77777777" w:rsidR="00874533" w:rsidRPr="003B7DA2" w:rsidRDefault="00874533" w:rsidP="00874533">
      <w:pPr>
        <w:pStyle w:val="BodyText"/>
        <w:rPr>
          <w:rFonts w:ascii="Calibri" w:hAnsi="Calibri"/>
          <w:bCs/>
          <w:sz w:val="22"/>
          <w:szCs w:val="22"/>
        </w:rPr>
      </w:pPr>
    </w:p>
    <w:p w14:paraId="328F91EA"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Február végére az ügylet értéke ismét 20 millió HUF-ra emelkedett, ez lesz a záró állomány, a nyitó és záró állomány közti különbözet az átértékelés, újabb tranzakció hiányában. </w:t>
      </w:r>
    </w:p>
    <w:p w14:paraId="48DD91C7" w14:textId="77777777" w:rsidR="00874533" w:rsidRPr="003B7DA2" w:rsidRDefault="00874533" w:rsidP="00874533">
      <w:pPr>
        <w:pStyle w:val="BodyText"/>
        <w:rPr>
          <w:rFonts w:ascii="Calibri" w:hAnsi="Calibri"/>
          <w:bCs/>
          <w:sz w:val="22"/>
          <w:szCs w:val="22"/>
        </w:rPr>
      </w:pPr>
    </w:p>
    <w:p w14:paraId="772E5BFA"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14:paraId="27945938" w14:textId="77777777" w:rsidTr="00D45209">
        <w:tc>
          <w:tcPr>
            <w:tcW w:w="913" w:type="dxa"/>
            <w:vMerge w:val="restart"/>
          </w:tcPr>
          <w:p w14:paraId="488B7A1C"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9D85A6B"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14:paraId="6C1170F8"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14:paraId="7427B97A"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14:paraId="33036001"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2386C262"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14:paraId="03DBF00A"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5EEB746A" w14:textId="77777777" w:rsidTr="00D45209">
        <w:tc>
          <w:tcPr>
            <w:tcW w:w="913" w:type="dxa"/>
            <w:vMerge/>
          </w:tcPr>
          <w:p w14:paraId="012F8BEB" w14:textId="77777777" w:rsidR="00874533" w:rsidRPr="003B7DA2" w:rsidRDefault="00874533" w:rsidP="00874533">
            <w:pPr>
              <w:pStyle w:val="BodyText"/>
              <w:rPr>
                <w:rFonts w:ascii="Calibri" w:hAnsi="Calibri"/>
                <w:b/>
                <w:bCs/>
                <w:sz w:val="22"/>
                <w:szCs w:val="22"/>
                <w:u w:val="single"/>
              </w:rPr>
            </w:pPr>
          </w:p>
        </w:tc>
        <w:tc>
          <w:tcPr>
            <w:tcW w:w="1137" w:type="dxa"/>
            <w:vMerge/>
          </w:tcPr>
          <w:p w14:paraId="1817704B" w14:textId="77777777" w:rsidR="00874533" w:rsidRPr="003B7DA2" w:rsidRDefault="00874533" w:rsidP="00874533">
            <w:pPr>
              <w:pStyle w:val="BodyText"/>
              <w:rPr>
                <w:rFonts w:ascii="Calibri" w:hAnsi="Calibri"/>
                <w:b/>
                <w:bCs/>
                <w:sz w:val="22"/>
                <w:szCs w:val="22"/>
                <w:u w:val="single"/>
              </w:rPr>
            </w:pPr>
          </w:p>
        </w:tc>
        <w:tc>
          <w:tcPr>
            <w:tcW w:w="1298" w:type="dxa"/>
            <w:vMerge/>
          </w:tcPr>
          <w:p w14:paraId="563BB062" w14:textId="77777777" w:rsidR="00874533" w:rsidRPr="003B7DA2" w:rsidRDefault="00874533" w:rsidP="00874533">
            <w:pPr>
              <w:pStyle w:val="BodyText"/>
              <w:rPr>
                <w:rFonts w:ascii="Calibri" w:hAnsi="Calibri"/>
                <w:b/>
                <w:bCs/>
                <w:sz w:val="22"/>
                <w:szCs w:val="22"/>
                <w:u w:val="single"/>
              </w:rPr>
            </w:pPr>
          </w:p>
        </w:tc>
        <w:tc>
          <w:tcPr>
            <w:tcW w:w="1080" w:type="dxa"/>
          </w:tcPr>
          <w:p w14:paraId="4AEA7B5A"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14:paraId="208B0277"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14:paraId="0FEA4FBF" w14:textId="77777777" w:rsidR="00874533" w:rsidRPr="003B7DA2" w:rsidRDefault="00874533" w:rsidP="00874533">
            <w:pPr>
              <w:pStyle w:val="BodyText"/>
              <w:rPr>
                <w:rFonts w:ascii="Calibri" w:hAnsi="Calibri" w:cs="Arial"/>
                <w:sz w:val="22"/>
                <w:szCs w:val="22"/>
              </w:rPr>
            </w:pPr>
          </w:p>
        </w:tc>
        <w:tc>
          <w:tcPr>
            <w:tcW w:w="720" w:type="dxa"/>
            <w:vMerge/>
          </w:tcPr>
          <w:p w14:paraId="2B0214ED" w14:textId="77777777" w:rsidR="00874533" w:rsidRPr="003B7DA2" w:rsidRDefault="00874533" w:rsidP="00874533">
            <w:pPr>
              <w:pStyle w:val="BodyText"/>
              <w:rPr>
                <w:rFonts w:ascii="Calibri" w:hAnsi="Calibri" w:cs="Arial"/>
                <w:sz w:val="22"/>
                <w:szCs w:val="22"/>
              </w:rPr>
            </w:pPr>
          </w:p>
        </w:tc>
        <w:tc>
          <w:tcPr>
            <w:tcW w:w="1260" w:type="dxa"/>
            <w:vMerge/>
          </w:tcPr>
          <w:p w14:paraId="09E986F7" w14:textId="77777777" w:rsidR="00874533" w:rsidRPr="003B7DA2" w:rsidRDefault="00874533" w:rsidP="00874533">
            <w:pPr>
              <w:pStyle w:val="BodyText"/>
              <w:rPr>
                <w:rFonts w:ascii="Calibri" w:hAnsi="Calibri" w:cs="Arial"/>
                <w:sz w:val="22"/>
                <w:szCs w:val="22"/>
              </w:rPr>
            </w:pPr>
          </w:p>
        </w:tc>
      </w:tr>
      <w:tr w:rsidR="00874533" w:rsidRPr="003B7DA2" w14:paraId="48785C10" w14:textId="77777777" w:rsidTr="00D45209">
        <w:tc>
          <w:tcPr>
            <w:tcW w:w="913" w:type="dxa"/>
          </w:tcPr>
          <w:p w14:paraId="09DDF9AD"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14:paraId="23C01C4B"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14:paraId="1C0A36CD"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80" w:type="dxa"/>
          </w:tcPr>
          <w:p w14:paraId="4EE509DF"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43B8A11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14:paraId="1D0859C7"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10 000 </w:t>
            </w:r>
            <w:proofErr w:type="spellStart"/>
            <w:r w:rsidRPr="003B7DA2">
              <w:rPr>
                <w:rFonts w:ascii="Calibri" w:hAnsi="Calibri"/>
                <w:bCs/>
                <w:sz w:val="22"/>
                <w:szCs w:val="22"/>
              </w:rPr>
              <w:t>000</w:t>
            </w:r>
            <w:proofErr w:type="spellEnd"/>
          </w:p>
        </w:tc>
        <w:tc>
          <w:tcPr>
            <w:tcW w:w="720" w:type="dxa"/>
          </w:tcPr>
          <w:p w14:paraId="6468F52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29915BB8"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r>
    </w:tbl>
    <w:p w14:paraId="4C70B0D2" w14:textId="77777777" w:rsidR="00874533" w:rsidRPr="003B7DA2" w:rsidRDefault="00874533" w:rsidP="00874533">
      <w:pPr>
        <w:pStyle w:val="BodyText"/>
        <w:rPr>
          <w:rFonts w:ascii="Calibri" w:hAnsi="Calibri"/>
          <w:bCs/>
          <w:sz w:val="22"/>
          <w:szCs w:val="22"/>
        </w:rPr>
      </w:pPr>
    </w:p>
    <w:p w14:paraId="1A3C4E6B" w14:textId="77777777" w:rsidR="00874533" w:rsidRPr="003B7DA2" w:rsidRDefault="00874533" w:rsidP="00874533">
      <w:pPr>
        <w:pStyle w:val="BodyText"/>
        <w:rPr>
          <w:rFonts w:ascii="Calibri" w:hAnsi="Calibri"/>
          <w:bCs/>
          <w:sz w:val="22"/>
          <w:szCs w:val="22"/>
        </w:rPr>
      </w:pPr>
    </w:p>
    <w:p w14:paraId="16992874" w14:textId="77777777" w:rsidR="00874533" w:rsidRPr="003B7DA2" w:rsidRDefault="00874533" w:rsidP="00874533">
      <w:pPr>
        <w:pStyle w:val="BodyText"/>
        <w:rPr>
          <w:rFonts w:ascii="Calibri" w:hAnsi="Calibri"/>
          <w:bCs/>
          <w:sz w:val="22"/>
          <w:szCs w:val="22"/>
        </w:rPr>
      </w:pPr>
    </w:p>
    <w:p w14:paraId="0CB1ABDB"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Március végén az ügylet értéke 35 millió HUF összeget tett ki.</w:t>
      </w:r>
    </w:p>
    <w:p w14:paraId="171AAF80" w14:textId="77777777" w:rsidR="00874533" w:rsidRPr="003B7DA2" w:rsidRDefault="00874533" w:rsidP="00874533">
      <w:pPr>
        <w:pStyle w:val="BodyText"/>
        <w:rPr>
          <w:rFonts w:ascii="Calibri" w:hAnsi="Calibri"/>
          <w:bCs/>
          <w:sz w:val="22"/>
          <w:szCs w:val="22"/>
        </w:rPr>
      </w:pPr>
    </w:p>
    <w:p w14:paraId="75CB8B27"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14:paraId="402F7A1E" w14:textId="77777777" w:rsidTr="00D45209">
        <w:tc>
          <w:tcPr>
            <w:tcW w:w="913" w:type="dxa"/>
            <w:vMerge w:val="restart"/>
          </w:tcPr>
          <w:p w14:paraId="1CA64637"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31E066F3"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14:paraId="08DA503F"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14:paraId="3A453DCE"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14:paraId="0D60D52A"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56DE711E"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14:paraId="2EA662F7"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058D10B8" w14:textId="77777777" w:rsidTr="00D45209">
        <w:tc>
          <w:tcPr>
            <w:tcW w:w="913" w:type="dxa"/>
            <w:vMerge/>
          </w:tcPr>
          <w:p w14:paraId="786CA950" w14:textId="77777777" w:rsidR="00874533" w:rsidRPr="003B7DA2" w:rsidRDefault="00874533" w:rsidP="00874533">
            <w:pPr>
              <w:pStyle w:val="BodyText"/>
              <w:rPr>
                <w:rFonts w:ascii="Calibri" w:hAnsi="Calibri"/>
                <w:b/>
                <w:bCs/>
                <w:sz w:val="22"/>
                <w:szCs w:val="22"/>
                <w:u w:val="single"/>
              </w:rPr>
            </w:pPr>
          </w:p>
        </w:tc>
        <w:tc>
          <w:tcPr>
            <w:tcW w:w="1137" w:type="dxa"/>
            <w:vMerge/>
          </w:tcPr>
          <w:p w14:paraId="7BA848C9" w14:textId="77777777" w:rsidR="00874533" w:rsidRPr="003B7DA2" w:rsidRDefault="00874533" w:rsidP="00874533">
            <w:pPr>
              <w:pStyle w:val="BodyText"/>
              <w:rPr>
                <w:rFonts w:ascii="Calibri" w:hAnsi="Calibri"/>
                <w:b/>
                <w:bCs/>
                <w:sz w:val="22"/>
                <w:szCs w:val="22"/>
                <w:u w:val="single"/>
              </w:rPr>
            </w:pPr>
          </w:p>
        </w:tc>
        <w:tc>
          <w:tcPr>
            <w:tcW w:w="1298" w:type="dxa"/>
            <w:vMerge/>
          </w:tcPr>
          <w:p w14:paraId="01FD486D" w14:textId="77777777" w:rsidR="00874533" w:rsidRPr="003B7DA2" w:rsidRDefault="00874533" w:rsidP="00874533">
            <w:pPr>
              <w:pStyle w:val="BodyText"/>
              <w:rPr>
                <w:rFonts w:ascii="Calibri" w:hAnsi="Calibri"/>
                <w:b/>
                <w:bCs/>
                <w:sz w:val="22"/>
                <w:szCs w:val="22"/>
                <w:u w:val="single"/>
              </w:rPr>
            </w:pPr>
          </w:p>
        </w:tc>
        <w:tc>
          <w:tcPr>
            <w:tcW w:w="1080" w:type="dxa"/>
          </w:tcPr>
          <w:p w14:paraId="6CD02562"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14:paraId="08370BC1"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14:paraId="42CAABED" w14:textId="77777777" w:rsidR="00874533" w:rsidRPr="003B7DA2" w:rsidRDefault="00874533" w:rsidP="00874533">
            <w:pPr>
              <w:pStyle w:val="BodyText"/>
              <w:rPr>
                <w:rFonts w:ascii="Calibri" w:hAnsi="Calibri" w:cs="Arial"/>
                <w:sz w:val="22"/>
                <w:szCs w:val="22"/>
              </w:rPr>
            </w:pPr>
          </w:p>
        </w:tc>
        <w:tc>
          <w:tcPr>
            <w:tcW w:w="720" w:type="dxa"/>
            <w:vMerge/>
          </w:tcPr>
          <w:p w14:paraId="74328181" w14:textId="77777777" w:rsidR="00874533" w:rsidRPr="003B7DA2" w:rsidRDefault="00874533" w:rsidP="00874533">
            <w:pPr>
              <w:pStyle w:val="BodyText"/>
              <w:rPr>
                <w:rFonts w:ascii="Calibri" w:hAnsi="Calibri" w:cs="Arial"/>
                <w:sz w:val="22"/>
                <w:szCs w:val="22"/>
              </w:rPr>
            </w:pPr>
          </w:p>
        </w:tc>
        <w:tc>
          <w:tcPr>
            <w:tcW w:w="1260" w:type="dxa"/>
            <w:vMerge/>
          </w:tcPr>
          <w:p w14:paraId="509F2CF8" w14:textId="77777777" w:rsidR="00874533" w:rsidRPr="003B7DA2" w:rsidRDefault="00874533" w:rsidP="00874533">
            <w:pPr>
              <w:pStyle w:val="BodyText"/>
              <w:rPr>
                <w:rFonts w:ascii="Calibri" w:hAnsi="Calibri" w:cs="Arial"/>
                <w:sz w:val="22"/>
                <w:szCs w:val="22"/>
              </w:rPr>
            </w:pPr>
          </w:p>
        </w:tc>
      </w:tr>
      <w:tr w:rsidR="00874533" w:rsidRPr="003B7DA2" w14:paraId="25C51EDE" w14:textId="77777777" w:rsidTr="00D45209">
        <w:tc>
          <w:tcPr>
            <w:tcW w:w="913" w:type="dxa"/>
          </w:tcPr>
          <w:p w14:paraId="0FC72888"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14:paraId="666A9A08"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14:paraId="22A420B1"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080" w:type="dxa"/>
          </w:tcPr>
          <w:p w14:paraId="0D86DC7A"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09C4F450"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14:paraId="63DD592F"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15 000 </w:t>
            </w:r>
            <w:proofErr w:type="spellStart"/>
            <w:r w:rsidRPr="003B7DA2">
              <w:rPr>
                <w:rFonts w:ascii="Calibri" w:hAnsi="Calibri"/>
                <w:bCs/>
                <w:sz w:val="22"/>
                <w:szCs w:val="22"/>
              </w:rPr>
              <w:t>000</w:t>
            </w:r>
            <w:proofErr w:type="spellEnd"/>
          </w:p>
        </w:tc>
        <w:tc>
          <w:tcPr>
            <w:tcW w:w="720" w:type="dxa"/>
          </w:tcPr>
          <w:p w14:paraId="3DB33BC9"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20097473"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35 000 </w:t>
            </w:r>
            <w:proofErr w:type="spellStart"/>
            <w:r w:rsidRPr="003B7DA2">
              <w:rPr>
                <w:rFonts w:ascii="Calibri" w:hAnsi="Calibri"/>
                <w:bCs/>
                <w:sz w:val="22"/>
                <w:szCs w:val="22"/>
              </w:rPr>
              <w:t>000</w:t>
            </w:r>
            <w:proofErr w:type="spellEnd"/>
          </w:p>
        </w:tc>
      </w:tr>
    </w:tbl>
    <w:p w14:paraId="163E023E" w14:textId="77777777" w:rsidR="00874533" w:rsidRPr="003B7DA2" w:rsidRDefault="00874533" w:rsidP="00874533">
      <w:pPr>
        <w:pStyle w:val="BodyText"/>
        <w:rPr>
          <w:rFonts w:ascii="Calibri" w:hAnsi="Calibri"/>
          <w:bCs/>
          <w:sz w:val="22"/>
          <w:szCs w:val="22"/>
        </w:rPr>
      </w:pPr>
    </w:p>
    <w:p w14:paraId="63E8C4F6"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áprilisban is úgy alakultak, hogy az üzlet a vevő cég számára a lehívás időpontjáig nyereséges maradt, ezért lehívta az opciót, vagyis április 20-án 1 millió EUR összeget utalt át a német partnere bankszámlájára, s ennek ellenében kapott 250 millió HUF összeget a szerződésnek megfelelően. (1 EUR ebben az időpontban 200 Ft ellenében volt megvásárolható a piacon, tehát a cég 200 millió forintért megvásárolhatta az 1 millió EUR összeget, amelyet átutalt és cserébe megkapta a 250 millió forintot. A táblában ekkor tranzakcióként a bevételezett 250 millió forintot és a kiadott EUR összeg aktuális piaci árfolyamon számított forint ellenértékét, azaz 200 millió forintot kell szerepeltetni). A nyitó és záró állományok különbözete a tranzakciókon túl az ár/árfolyamváltozások következtében alakult ki, ezért a különbözeti összeget átértékelésként kell jelenteni. </w:t>
      </w:r>
    </w:p>
    <w:p w14:paraId="73D8F34C" w14:textId="77777777" w:rsidR="00874533" w:rsidRPr="003B7DA2" w:rsidRDefault="00874533" w:rsidP="00874533">
      <w:pPr>
        <w:pStyle w:val="BodyText"/>
        <w:rPr>
          <w:rFonts w:ascii="Calibri" w:hAnsi="Calibri"/>
          <w:bCs/>
          <w:sz w:val="22"/>
          <w:szCs w:val="22"/>
        </w:rPr>
      </w:pPr>
    </w:p>
    <w:p w14:paraId="64FA93F5"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260"/>
        <w:gridCol w:w="1260"/>
        <w:gridCol w:w="1260"/>
        <w:gridCol w:w="720"/>
        <w:gridCol w:w="1260"/>
      </w:tblGrid>
      <w:tr w:rsidR="00874533" w:rsidRPr="003B7DA2" w14:paraId="225DD6F2" w14:textId="77777777" w:rsidTr="00D45209">
        <w:tc>
          <w:tcPr>
            <w:tcW w:w="913" w:type="dxa"/>
            <w:vMerge w:val="restart"/>
          </w:tcPr>
          <w:p w14:paraId="7C0B06D3"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4E11D146"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14:paraId="1C9657C1"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14:paraId="4EB13B1D"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0035A3A0"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24D2EDAB"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14:paraId="4AF489F8"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5BE6A54C" w14:textId="77777777" w:rsidTr="00D45209">
        <w:tc>
          <w:tcPr>
            <w:tcW w:w="913" w:type="dxa"/>
            <w:vMerge/>
          </w:tcPr>
          <w:p w14:paraId="050BD251" w14:textId="77777777" w:rsidR="00874533" w:rsidRPr="003B7DA2" w:rsidRDefault="00874533" w:rsidP="00874533">
            <w:pPr>
              <w:pStyle w:val="BodyText"/>
              <w:rPr>
                <w:rFonts w:ascii="Calibri" w:hAnsi="Calibri"/>
                <w:b/>
                <w:bCs/>
                <w:sz w:val="22"/>
                <w:szCs w:val="22"/>
                <w:u w:val="single"/>
              </w:rPr>
            </w:pPr>
          </w:p>
        </w:tc>
        <w:tc>
          <w:tcPr>
            <w:tcW w:w="1137" w:type="dxa"/>
            <w:vMerge/>
          </w:tcPr>
          <w:p w14:paraId="31901D15" w14:textId="77777777" w:rsidR="00874533" w:rsidRPr="003B7DA2" w:rsidRDefault="00874533" w:rsidP="00874533">
            <w:pPr>
              <w:pStyle w:val="BodyText"/>
              <w:rPr>
                <w:rFonts w:ascii="Calibri" w:hAnsi="Calibri"/>
                <w:b/>
                <w:bCs/>
                <w:sz w:val="22"/>
                <w:szCs w:val="22"/>
                <w:u w:val="single"/>
              </w:rPr>
            </w:pPr>
          </w:p>
        </w:tc>
        <w:tc>
          <w:tcPr>
            <w:tcW w:w="1298" w:type="dxa"/>
            <w:vMerge/>
          </w:tcPr>
          <w:p w14:paraId="00B87631" w14:textId="77777777" w:rsidR="00874533" w:rsidRPr="003B7DA2" w:rsidRDefault="00874533" w:rsidP="00874533">
            <w:pPr>
              <w:pStyle w:val="BodyText"/>
              <w:rPr>
                <w:rFonts w:ascii="Calibri" w:hAnsi="Calibri"/>
                <w:b/>
                <w:bCs/>
                <w:sz w:val="22"/>
                <w:szCs w:val="22"/>
                <w:u w:val="single"/>
              </w:rPr>
            </w:pPr>
          </w:p>
        </w:tc>
        <w:tc>
          <w:tcPr>
            <w:tcW w:w="1260" w:type="dxa"/>
          </w:tcPr>
          <w:p w14:paraId="3F9AD4D2"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14:paraId="31E35DC6"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260" w:type="dxa"/>
            <w:vMerge/>
          </w:tcPr>
          <w:p w14:paraId="7A913FEE" w14:textId="77777777" w:rsidR="00874533" w:rsidRPr="003B7DA2" w:rsidRDefault="00874533" w:rsidP="00874533">
            <w:pPr>
              <w:pStyle w:val="BodyText"/>
              <w:rPr>
                <w:rFonts w:ascii="Calibri" w:hAnsi="Calibri" w:cs="Arial"/>
                <w:sz w:val="22"/>
                <w:szCs w:val="22"/>
              </w:rPr>
            </w:pPr>
          </w:p>
        </w:tc>
        <w:tc>
          <w:tcPr>
            <w:tcW w:w="720" w:type="dxa"/>
            <w:vMerge/>
          </w:tcPr>
          <w:p w14:paraId="314E86D9" w14:textId="77777777" w:rsidR="00874533" w:rsidRPr="003B7DA2" w:rsidRDefault="00874533" w:rsidP="00874533">
            <w:pPr>
              <w:pStyle w:val="BodyText"/>
              <w:rPr>
                <w:rFonts w:ascii="Calibri" w:hAnsi="Calibri" w:cs="Arial"/>
                <w:sz w:val="22"/>
                <w:szCs w:val="22"/>
              </w:rPr>
            </w:pPr>
          </w:p>
        </w:tc>
        <w:tc>
          <w:tcPr>
            <w:tcW w:w="1260" w:type="dxa"/>
            <w:vMerge/>
          </w:tcPr>
          <w:p w14:paraId="2C97F033" w14:textId="77777777" w:rsidR="00874533" w:rsidRPr="003B7DA2" w:rsidRDefault="00874533" w:rsidP="00874533">
            <w:pPr>
              <w:pStyle w:val="BodyText"/>
              <w:rPr>
                <w:rFonts w:ascii="Calibri" w:hAnsi="Calibri" w:cs="Arial"/>
                <w:sz w:val="22"/>
                <w:szCs w:val="22"/>
              </w:rPr>
            </w:pPr>
          </w:p>
        </w:tc>
      </w:tr>
      <w:tr w:rsidR="00874533" w:rsidRPr="003B7DA2" w14:paraId="44EFA30D" w14:textId="77777777" w:rsidTr="00D45209">
        <w:tc>
          <w:tcPr>
            <w:tcW w:w="913" w:type="dxa"/>
          </w:tcPr>
          <w:p w14:paraId="3A604D78"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14:paraId="1B88CDE9"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14:paraId="6A502AE6"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35 000 </w:t>
            </w:r>
            <w:proofErr w:type="spellStart"/>
            <w:r w:rsidRPr="003B7DA2">
              <w:rPr>
                <w:rFonts w:ascii="Calibri" w:hAnsi="Calibri"/>
                <w:bCs/>
                <w:sz w:val="22"/>
                <w:szCs w:val="22"/>
              </w:rPr>
              <w:t>000</w:t>
            </w:r>
            <w:proofErr w:type="spellEnd"/>
          </w:p>
        </w:tc>
        <w:tc>
          <w:tcPr>
            <w:tcW w:w="1260" w:type="dxa"/>
          </w:tcPr>
          <w:p w14:paraId="208AAFCB"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xml:space="preserve">200 000 </w:t>
            </w:r>
            <w:proofErr w:type="spellStart"/>
            <w:r w:rsidRPr="003B7DA2">
              <w:rPr>
                <w:rFonts w:ascii="Calibri" w:hAnsi="Calibri" w:cs="Arial"/>
                <w:sz w:val="22"/>
                <w:szCs w:val="22"/>
              </w:rPr>
              <w:t>000</w:t>
            </w:r>
            <w:proofErr w:type="spellEnd"/>
          </w:p>
        </w:tc>
        <w:tc>
          <w:tcPr>
            <w:tcW w:w="1260" w:type="dxa"/>
          </w:tcPr>
          <w:p w14:paraId="0386CA5A"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xml:space="preserve">250 000 </w:t>
            </w:r>
            <w:proofErr w:type="spellStart"/>
            <w:r w:rsidRPr="003B7DA2">
              <w:rPr>
                <w:rFonts w:ascii="Calibri" w:hAnsi="Calibri" w:cs="Arial"/>
                <w:sz w:val="22"/>
                <w:szCs w:val="22"/>
              </w:rPr>
              <w:t>000</w:t>
            </w:r>
            <w:proofErr w:type="spellEnd"/>
          </w:p>
        </w:tc>
        <w:tc>
          <w:tcPr>
            <w:tcW w:w="1260" w:type="dxa"/>
          </w:tcPr>
          <w:p w14:paraId="650D9CBC"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15 000 </w:t>
            </w:r>
            <w:proofErr w:type="spellStart"/>
            <w:r w:rsidRPr="003B7DA2">
              <w:rPr>
                <w:rFonts w:ascii="Calibri" w:hAnsi="Calibri"/>
                <w:bCs/>
                <w:sz w:val="22"/>
                <w:szCs w:val="22"/>
              </w:rPr>
              <w:t>000</w:t>
            </w:r>
            <w:proofErr w:type="spellEnd"/>
          </w:p>
        </w:tc>
        <w:tc>
          <w:tcPr>
            <w:tcW w:w="720" w:type="dxa"/>
          </w:tcPr>
          <w:p w14:paraId="5642C16C"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5A032001"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r>
    </w:tbl>
    <w:p w14:paraId="384EF7A6" w14:textId="77777777" w:rsidR="00874533" w:rsidRPr="003B7DA2" w:rsidRDefault="00874533" w:rsidP="00874533">
      <w:pPr>
        <w:pStyle w:val="BodyText"/>
        <w:rPr>
          <w:rFonts w:ascii="Calibri" w:hAnsi="Calibri"/>
          <w:bCs/>
          <w:sz w:val="22"/>
          <w:szCs w:val="22"/>
        </w:rPr>
      </w:pPr>
    </w:p>
    <w:p w14:paraId="487F718C"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másik példa, az egyszerűség kedvéért a fordítottja: </w:t>
      </w:r>
    </w:p>
    <w:p w14:paraId="5C33E452"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rezidens cég német partnerének eladja január 10-én a jogot arra, hogy április 20-án a német cég eladjon neki 1 millió EUR összeget 250 millió HUF ellenében. Ezért a jogért (a január 10-i árak figyelembe vételével) forintra átszámítva 20 millió HUF prémiumot kap a német féltől (januári tranzakció, tartozás állományát növelő), s a szerződés kötéstől kezdve kötelezettsége áll fenn, amellyel kapcsolatos minden tételt a DERT táblában jelent. </w:t>
      </w:r>
    </w:p>
    <w:p w14:paraId="4DCAFD2C"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alakulását figyelembe véve a cég havonta kiértékelte pozícióját. Ezen egyetlen ügylet január végén számított értéke 10 millió HUF tartozás. </w:t>
      </w:r>
    </w:p>
    <w:p w14:paraId="7F5F6396" w14:textId="77777777" w:rsidR="00874533" w:rsidRPr="003B7DA2" w:rsidRDefault="00874533" w:rsidP="00874533">
      <w:pPr>
        <w:pStyle w:val="BodyText"/>
        <w:rPr>
          <w:rFonts w:ascii="Calibri" w:hAnsi="Calibri"/>
          <w:bCs/>
          <w:sz w:val="22"/>
          <w:szCs w:val="22"/>
        </w:rPr>
      </w:pPr>
    </w:p>
    <w:p w14:paraId="097C7332"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20"/>
        <w:gridCol w:w="1080"/>
        <w:gridCol w:w="1080"/>
        <w:gridCol w:w="1260"/>
        <w:gridCol w:w="788"/>
        <w:gridCol w:w="1192"/>
      </w:tblGrid>
      <w:tr w:rsidR="00874533" w:rsidRPr="003B7DA2" w14:paraId="2C701640" w14:textId="77777777" w:rsidTr="00D45209">
        <w:tc>
          <w:tcPr>
            <w:tcW w:w="913" w:type="dxa"/>
            <w:vMerge w:val="restart"/>
          </w:tcPr>
          <w:p w14:paraId="065C08D4"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3CB6152"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20" w:type="dxa"/>
            <w:vMerge w:val="restart"/>
          </w:tcPr>
          <w:p w14:paraId="7C613205"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37C8E29A"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30AA004B"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88" w:type="dxa"/>
            <w:vMerge w:val="restart"/>
            <w:vAlign w:val="center"/>
          </w:tcPr>
          <w:p w14:paraId="04DA08A1"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192" w:type="dxa"/>
            <w:vMerge w:val="restart"/>
            <w:vAlign w:val="center"/>
          </w:tcPr>
          <w:p w14:paraId="3B89B1A0"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43E48D44" w14:textId="77777777" w:rsidTr="00D45209">
        <w:tc>
          <w:tcPr>
            <w:tcW w:w="913" w:type="dxa"/>
            <w:vMerge/>
          </w:tcPr>
          <w:p w14:paraId="631267E5" w14:textId="77777777" w:rsidR="00874533" w:rsidRPr="003B7DA2" w:rsidRDefault="00874533" w:rsidP="00874533">
            <w:pPr>
              <w:pStyle w:val="BodyText"/>
              <w:rPr>
                <w:rFonts w:ascii="Calibri" w:hAnsi="Calibri"/>
                <w:b/>
                <w:bCs/>
                <w:sz w:val="22"/>
                <w:szCs w:val="22"/>
                <w:u w:val="single"/>
              </w:rPr>
            </w:pPr>
          </w:p>
        </w:tc>
        <w:tc>
          <w:tcPr>
            <w:tcW w:w="1137" w:type="dxa"/>
            <w:vMerge/>
          </w:tcPr>
          <w:p w14:paraId="5428A371" w14:textId="77777777" w:rsidR="00874533" w:rsidRPr="003B7DA2" w:rsidRDefault="00874533" w:rsidP="00874533">
            <w:pPr>
              <w:pStyle w:val="BodyText"/>
              <w:rPr>
                <w:rFonts w:ascii="Calibri" w:hAnsi="Calibri"/>
                <w:b/>
                <w:bCs/>
                <w:sz w:val="22"/>
                <w:szCs w:val="22"/>
                <w:u w:val="single"/>
              </w:rPr>
            </w:pPr>
          </w:p>
        </w:tc>
        <w:tc>
          <w:tcPr>
            <w:tcW w:w="920" w:type="dxa"/>
            <w:vMerge/>
          </w:tcPr>
          <w:p w14:paraId="36130B6E" w14:textId="77777777" w:rsidR="00874533" w:rsidRPr="003B7DA2" w:rsidRDefault="00874533" w:rsidP="00874533">
            <w:pPr>
              <w:pStyle w:val="BodyText"/>
              <w:rPr>
                <w:rFonts w:ascii="Calibri" w:hAnsi="Calibri"/>
                <w:b/>
                <w:bCs/>
                <w:sz w:val="22"/>
                <w:szCs w:val="22"/>
                <w:u w:val="single"/>
              </w:rPr>
            </w:pPr>
          </w:p>
        </w:tc>
        <w:tc>
          <w:tcPr>
            <w:tcW w:w="1080" w:type="dxa"/>
          </w:tcPr>
          <w:p w14:paraId="13AA4B96"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14:paraId="07227E0E"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14:paraId="514A9A47"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14:paraId="360D82AA" w14:textId="77777777" w:rsidR="00874533" w:rsidRPr="003B7DA2" w:rsidRDefault="00874533" w:rsidP="00874533">
            <w:pPr>
              <w:pStyle w:val="BodyText"/>
              <w:rPr>
                <w:rFonts w:ascii="Calibri" w:hAnsi="Calibri" w:cs="Arial"/>
                <w:sz w:val="22"/>
                <w:szCs w:val="22"/>
              </w:rPr>
            </w:pPr>
          </w:p>
        </w:tc>
        <w:tc>
          <w:tcPr>
            <w:tcW w:w="788" w:type="dxa"/>
            <w:vMerge/>
          </w:tcPr>
          <w:p w14:paraId="3F5A8AAD" w14:textId="77777777" w:rsidR="00874533" w:rsidRPr="003B7DA2" w:rsidRDefault="00874533" w:rsidP="00874533">
            <w:pPr>
              <w:pStyle w:val="BodyText"/>
              <w:rPr>
                <w:rFonts w:ascii="Calibri" w:hAnsi="Calibri" w:cs="Arial"/>
                <w:sz w:val="22"/>
                <w:szCs w:val="22"/>
              </w:rPr>
            </w:pPr>
          </w:p>
        </w:tc>
        <w:tc>
          <w:tcPr>
            <w:tcW w:w="1192" w:type="dxa"/>
            <w:vMerge/>
          </w:tcPr>
          <w:p w14:paraId="0F86DD4D" w14:textId="77777777" w:rsidR="00874533" w:rsidRPr="003B7DA2" w:rsidRDefault="00874533" w:rsidP="00874533">
            <w:pPr>
              <w:pStyle w:val="BodyText"/>
              <w:rPr>
                <w:rFonts w:ascii="Calibri" w:hAnsi="Calibri" w:cs="Arial"/>
                <w:sz w:val="22"/>
                <w:szCs w:val="22"/>
              </w:rPr>
            </w:pPr>
          </w:p>
        </w:tc>
      </w:tr>
      <w:tr w:rsidR="00874533" w:rsidRPr="003B7DA2" w14:paraId="7BDAF216" w14:textId="77777777" w:rsidTr="00D45209">
        <w:tc>
          <w:tcPr>
            <w:tcW w:w="913" w:type="dxa"/>
          </w:tcPr>
          <w:p w14:paraId="320C4FAF"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14:paraId="1D59A838"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920" w:type="dxa"/>
          </w:tcPr>
          <w:p w14:paraId="1397364D"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c>
          <w:tcPr>
            <w:tcW w:w="1080" w:type="dxa"/>
          </w:tcPr>
          <w:p w14:paraId="2B0AE62A"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xml:space="preserve">20 000 </w:t>
            </w:r>
            <w:proofErr w:type="spellStart"/>
            <w:r w:rsidRPr="003B7DA2">
              <w:rPr>
                <w:rFonts w:ascii="Calibri" w:hAnsi="Calibri" w:cs="Arial"/>
                <w:sz w:val="22"/>
                <w:szCs w:val="22"/>
              </w:rPr>
              <w:t>000</w:t>
            </w:r>
            <w:proofErr w:type="spellEnd"/>
          </w:p>
        </w:tc>
        <w:tc>
          <w:tcPr>
            <w:tcW w:w="1080" w:type="dxa"/>
          </w:tcPr>
          <w:p w14:paraId="5C2CA9F4"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3880E788"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xml:space="preserve">- 10 000 </w:t>
            </w:r>
            <w:proofErr w:type="spellStart"/>
            <w:r w:rsidRPr="003B7DA2">
              <w:rPr>
                <w:rFonts w:ascii="Calibri" w:hAnsi="Calibri" w:cs="Arial"/>
                <w:sz w:val="22"/>
                <w:szCs w:val="22"/>
              </w:rPr>
              <w:t>000</w:t>
            </w:r>
            <w:proofErr w:type="spellEnd"/>
          </w:p>
        </w:tc>
        <w:tc>
          <w:tcPr>
            <w:tcW w:w="788" w:type="dxa"/>
          </w:tcPr>
          <w:p w14:paraId="443F29D8"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192" w:type="dxa"/>
          </w:tcPr>
          <w:p w14:paraId="46350A5A"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19863C91" w14:textId="77777777" w:rsidR="00874533" w:rsidRPr="003B7DA2" w:rsidRDefault="00874533" w:rsidP="00874533">
      <w:pPr>
        <w:pStyle w:val="BodyText"/>
        <w:rPr>
          <w:rFonts w:ascii="Calibri" w:hAnsi="Calibri"/>
          <w:bCs/>
          <w:sz w:val="22"/>
          <w:szCs w:val="22"/>
        </w:rPr>
      </w:pPr>
    </w:p>
    <w:p w14:paraId="4DCE42D8" w14:textId="77777777" w:rsidR="00874533" w:rsidRPr="003B7DA2" w:rsidRDefault="00874533" w:rsidP="00874533">
      <w:pPr>
        <w:pStyle w:val="BodyText"/>
        <w:rPr>
          <w:rFonts w:ascii="Calibri" w:hAnsi="Calibri"/>
          <w:bCs/>
          <w:sz w:val="22"/>
          <w:szCs w:val="22"/>
        </w:rPr>
      </w:pPr>
    </w:p>
    <w:p w14:paraId="7CE72CD6" w14:textId="77777777" w:rsidR="00874533" w:rsidRPr="003B7DA2" w:rsidRDefault="00874533" w:rsidP="00874533">
      <w:pPr>
        <w:pStyle w:val="BodyText"/>
        <w:rPr>
          <w:rFonts w:ascii="Calibri" w:hAnsi="Calibri"/>
          <w:bCs/>
          <w:sz w:val="22"/>
          <w:szCs w:val="22"/>
        </w:rPr>
      </w:pPr>
    </w:p>
    <w:p w14:paraId="4BAFFBD0" w14:textId="77777777" w:rsidR="00874533" w:rsidRPr="003B7DA2" w:rsidRDefault="00874533" w:rsidP="00874533">
      <w:pPr>
        <w:pStyle w:val="BodyText"/>
        <w:rPr>
          <w:rFonts w:ascii="Calibri" w:hAnsi="Calibri"/>
          <w:bCs/>
          <w:sz w:val="22"/>
          <w:szCs w:val="22"/>
        </w:rPr>
      </w:pPr>
    </w:p>
    <w:p w14:paraId="395C2DF5"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Február végére az ügylet értéke 20 millió HUF tartozás, a nyitó és záró állomány közötti különbözet az átértékelés összege:</w:t>
      </w:r>
    </w:p>
    <w:p w14:paraId="205BF037" w14:textId="77777777" w:rsidR="00874533" w:rsidRPr="003B7DA2" w:rsidRDefault="00874533" w:rsidP="00874533">
      <w:pPr>
        <w:pStyle w:val="BodyText"/>
        <w:rPr>
          <w:rFonts w:ascii="Calibri" w:hAnsi="Calibri"/>
          <w:bCs/>
          <w:sz w:val="22"/>
          <w:szCs w:val="22"/>
        </w:rPr>
      </w:pPr>
    </w:p>
    <w:p w14:paraId="021B2A27"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14:paraId="4EBCE3D5" w14:textId="77777777" w:rsidTr="00D45209">
        <w:tc>
          <w:tcPr>
            <w:tcW w:w="913" w:type="dxa"/>
            <w:vMerge w:val="restart"/>
          </w:tcPr>
          <w:p w14:paraId="672CC82C"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3C082E0F"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14:paraId="20DBB969"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2864C152"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3C5927E7"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14:paraId="435C9CD6"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14:paraId="52F9A85D"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6FCDA1F4" w14:textId="77777777" w:rsidTr="00D45209">
        <w:tc>
          <w:tcPr>
            <w:tcW w:w="913" w:type="dxa"/>
            <w:vMerge/>
          </w:tcPr>
          <w:p w14:paraId="3F7D395F" w14:textId="77777777" w:rsidR="00874533" w:rsidRPr="003B7DA2" w:rsidRDefault="00874533" w:rsidP="00874533">
            <w:pPr>
              <w:pStyle w:val="BodyText"/>
              <w:rPr>
                <w:rFonts w:ascii="Calibri" w:hAnsi="Calibri"/>
                <w:b/>
                <w:bCs/>
                <w:sz w:val="22"/>
                <w:szCs w:val="22"/>
                <w:u w:val="single"/>
              </w:rPr>
            </w:pPr>
          </w:p>
        </w:tc>
        <w:tc>
          <w:tcPr>
            <w:tcW w:w="1137" w:type="dxa"/>
            <w:vMerge/>
          </w:tcPr>
          <w:p w14:paraId="420EC6EE" w14:textId="77777777" w:rsidR="00874533" w:rsidRPr="003B7DA2" w:rsidRDefault="00874533" w:rsidP="00874533">
            <w:pPr>
              <w:pStyle w:val="BodyText"/>
              <w:rPr>
                <w:rFonts w:ascii="Calibri" w:hAnsi="Calibri"/>
                <w:b/>
                <w:bCs/>
                <w:sz w:val="22"/>
                <w:szCs w:val="22"/>
                <w:u w:val="single"/>
              </w:rPr>
            </w:pPr>
          </w:p>
        </w:tc>
        <w:tc>
          <w:tcPr>
            <w:tcW w:w="1118" w:type="dxa"/>
            <w:vMerge/>
          </w:tcPr>
          <w:p w14:paraId="4BF274FF" w14:textId="77777777" w:rsidR="00874533" w:rsidRPr="003B7DA2" w:rsidRDefault="00874533" w:rsidP="00874533">
            <w:pPr>
              <w:pStyle w:val="BodyText"/>
              <w:rPr>
                <w:rFonts w:ascii="Calibri" w:hAnsi="Calibri"/>
                <w:b/>
                <w:bCs/>
                <w:sz w:val="22"/>
                <w:szCs w:val="22"/>
                <w:u w:val="single"/>
              </w:rPr>
            </w:pPr>
          </w:p>
        </w:tc>
        <w:tc>
          <w:tcPr>
            <w:tcW w:w="1080" w:type="dxa"/>
          </w:tcPr>
          <w:p w14:paraId="2F7F40FD"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14:paraId="3FED0865"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14:paraId="0367E668"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14:paraId="43FEE3D8" w14:textId="77777777" w:rsidR="00874533" w:rsidRPr="003B7DA2" w:rsidRDefault="00874533" w:rsidP="00874533">
            <w:pPr>
              <w:pStyle w:val="BodyText"/>
              <w:rPr>
                <w:rFonts w:ascii="Calibri" w:hAnsi="Calibri" w:cs="Arial"/>
                <w:sz w:val="22"/>
                <w:szCs w:val="22"/>
              </w:rPr>
            </w:pPr>
          </w:p>
        </w:tc>
        <w:tc>
          <w:tcPr>
            <w:tcW w:w="900" w:type="dxa"/>
            <w:vMerge/>
          </w:tcPr>
          <w:p w14:paraId="2477BAEC" w14:textId="77777777" w:rsidR="00874533" w:rsidRPr="003B7DA2" w:rsidRDefault="00874533" w:rsidP="00874533">
            <w:pPr>
              <w:pStyle w:val="BodyText"/>
              <w:rPr>
                <w:rFonts w:ascii="Calibri" w:hAnsi="Calibri" w:cs="Arial"/>
                <w:sz w:val="22"/>
                <w:szCs w:val="22"/>
              </w:rPr>
            </w:pPr>
          </w:p>
        </w:tc>
        <w:tc>
          <w:tcPr>
            <w:tcW w:w="1260" w:type="dxa"/>
            <w:vMerge/>
          </w:tcPr>
          <w:p w14:paraId="204AC754" w14:textId="77777777" w:rsidR="00874533" w:rsidRPr="003B7DA2" w:rsidRDefault="00874533" w:rsidP="00874533">
            <w:pPr>
              <w:pStyle w:val="BodyText"/>
              <w:rPr>
                <w:rFonts w:ascii="Calibri" w:hAnsi="Calibri" w:cs="Arial"/>
                <w:sz w:val="22"/>
                <w:szCs w:val="22"/>
              </w:rPr>
            </w:pPr>
          </w:p>
        </w:tc>
      </w:tr>
      <w:tr w:rsidR="00874533" w:rsidRPr="003B7DA2" w14:paraId="0FF9BFDF" w14:textId="77777777" w:rsidTr="00D45209">
        <w:tc>
          <w:tcPr>
            <w:tcW w:w="913" w:type="dxa"/>
          </w:tcPr>
          <w:p w14:paraId="3ECAEF93"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14:paraId="0A559D77"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14:paraId="1186A783"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 xml:space="preserve">10 000 </w:t>
            </w:r>
            <w:proofErr w:type="spellStart"/>
            <w:r w:rsidRPr="003B7DA2">
              <w:rPr>
                <w:rFonts w:ascii="Calibri" w:hAnsi="Calibri" w:cs="Arial"/>
                <w:sz w:val="22"/>
                <w:szCs w:val="22"/>
              </w:rPr>
              <w:t>000</w:t>
            </w:r>
            <w:proofErr w:type="spellEnd"/>
          </w:p>
        </w:tc>
        <w:tc>
          <w:tcPr>
            <w:tcW w:w="1080" w:type="dxa"/>
          </w:tcPr>
          <w:p w14:paraId="75D518CA"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14:paraId="0B24F32C"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2391A72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xml:space="preserve">10 000 </w:t>
            </w:r>
            <w:proofErr w:type="spellStart"/>
            <w:r w:rsidRPr="003B7DA2">
              <w:rPr>
                <w:rFonts w:ascii="Calibri" w:hAnsi="Calibri" w:cs="Arial"/>
                <w:sz w:val="22"/>
                <w:szCs w:val="22"/>
              </w:rPr>
              <w:t>000</w:t>
            </w:r>
            <w:proofErr w:type="spellEnd"/>
          </w:p>
        </w:tc>
        <w:tc>
          <w:tcPr>
            <w:tcW w:w="900" w:type="dxa"/>
          </w:tcPr>
          <w:p w14:paraId="25C5E6D9"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3435D359"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r>
    </w:tbl>
    <w:p w14:paraId="7B428CE0" w14:textId="77777777" w:rsidR="00874533" w:rsidRPr="003B7DA2" w:rsidRDefault="00874533" w:rsidP="00874533">
      <w:pPr>
        <w:pStyle w:val="BodyText"/>
        <w:rPr>
          <w:rFonts w:ascii="Calibri" w:hAnsi="Calibri"/>
          <w:bCs/>
          <w:sz w:val="22"/>
          <w:szCs w:val="22"/>
        </w:rPr>
      </w:pPr>
    </w:p>
    <w:p w14:paraId="4323566D" w14:textId="77777777" w:rsidR="00874533" w:rsidRPr="003B7DA2" w:rsidRDefault="00874533" w:rsidP="00874533">
      <w:pPr>
        <w:pStyle w:val="BodyText"/>
        <w:rPr>
          <w:rFonts w:ascii="Calibri" w:hAnsi="Calibri"/>
          <w:bCs/>
          <w:sz w:val="22"/>
          <w:szCs w:val="22"/>
        </w:rPr>
      </w:pPr>
    </w:p>
    <w:p w14:paraId="3DB7608D"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lastRenderedPageBreak/>
        <w:t xml:space="preserve">Március végén a tartozás 35 millió HUF összeget tett ki. </w:t>
      </w:r>
    </w:p>
    <w:p w14:paraId="3EFFC99B" w14:textId="77777777" w:rsidR="00874533" w:rsidRPr="003B7DA2" w:rsidRDefault="00874533" w:rsidP="00874533">
      <w:pPr>
        <w:pStyle w:val="BodyText"/>
        <w:rPr>
          <w:rFonts w:ascii="Calibri" w:hAnsi="Calibri"/>
          <w:bCs/>
          <w:sz w:val="22"/>
          <w:szCs w:val="22"/>
        </w:rPr>
      </w:pPr>
    </w:p>
    <w:p w14:paraId="75E6049D" w14:textId="77777777" w:rsidR="00874533" w:rsidRPr="003B7DA2" w:rsidRDefault="00874533" w:rsidP="00874533">
      <w:pPr>
        <w:pStyle w:val="BodyText"/>
        <w:rPr>
          <w:rFonts w:ascii="Calibri" w:hAnsi="Calibri"/>
          <w:bCs/>
          <w:sz w:val="22"/>
          <w:szCs w:val="22"/>
        </w:rPr>
      </w:pPr>
    </w:p>
    <w:p w14:paraId="144BFBEA"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14:paraId="644851F7" w14:textId="77777777" w:rsidTr="00D45209">
        <w:tc>
          <w:tcPr>
            <w:tcW w:w="913" w:type="dxa"/>
            <w:vMerge w:val="restart"/>
          </w:tcPr>
          <w:p w14:paraId="420C03AB"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61F591C8"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14:paraId="24E69D9E"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3E3988D2"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4042B2A3"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14:paraId="59CBE297"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14:paraId="7DC0B0B7"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649973E3" w14:textId="77777777" w:rsidTr="00D45209">
        <w:tc>
          <w:tcPr>
            <w:tcW w:w="913" w:type="dxa"/>
            <w:vMerge/>
          </w:tcPr>
          <w:p w14:paraId="457D69BD" w14:textId="77777777" w:rsidR="00874533" w:rsidRPr="003B7DA2" w:rsidRDefault="00874533" w:rsidP="00874533">
            <w:pPr>
              <w:pStyle w:val="BodyText"/>
              <w:rPr>
                <w:rFonts w:ascii="Calibri" w:hAnsi="Calibri"/>
                <w:b/>
                <w:bCs/>
                <w:sz w:val="22"/>
                <w:szCs w:val="22"/>
                <w:u w:val="single"/>
              </w:rPr>
            </w:pPr>
          </w:p>
        </w:tc>
        <w:tc>
          <w:tcPr>
            <w:tcW w:w="1137" w:type="dxa"/>
            <w:vMerge/>
          </w:tcPr>
          <w:p w14:paraId="774E5EE9" w14:textId="77777777" w:rsidR="00874533" w:rsidRPr="003B7DA2" w:rsidRDefault="00874533" w:rsidP="00874533">
            <w:pPr>
              <w:pStyle w:val="BodyText"/>
              <w:rPr>
                <w:rFonts w:ascii="Calibri" w:hAnsi="Calibri"/>
                <w:b/>
                <w:bCs/>
                <w:sz w:val="22"/>
                <w:szCs w:val="22"/>
                <w:u w:val="single"/>
              </w:rPr>
            </w:pPr>
          </w:p>
        </w:tc>
        <w:tc>
          <w:tcPr>
            <w:tcW w:w="1118" w:type="dxa"/>
            <w:vMerge/>
          </w:tcPr>
          <w:p w14:paraId="149BF607" w14:textId="77777777" w:rsidR="00874533" w:rsidRPr="003B7DA2" w:rsidRDefault="00874533" w:rsidP="00874533">
            <w:pPr>
              <w:pStyle w:val="BodyText"/>
              <w:rPr>
                <w:rFonts w:ascii="Calibri" w:hAnsi="Calibri"/>
                <w:b/>
                <w:bCs/>
                <w:sz w:val="22"/>
                <w:szCs w:val="22"/>
                <w:u w:val="single"/>
              </w:rPr>
            </w:pPr>
          </w:p>
        </w:tc>
        <w:tc>
          <w:tcPr>
            <w:tcW w:w="1080" w:type="dxa"/>
          </w:tcPr>
          <w:p w14:paraId="3E3A14E1"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14:paraId="553FC74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14:paraId="0ACC592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14:paraId="5C8480F5" w14:textId="77777777" w:rsidR="00874533" w:rsidRPr="003B7DA2" w:rsidRDefault="00874533" w:rsidP="00874533">
            <w:pPr>
              <w:pStyle w:val="BodyText"/>
              <w:rPr>
                <w:rFonts w:ascii="Calibri" w:hAnsi="Calibri" w:cs="Arial"/>
                <w:sz w:val="22"/>
                <w:szCs w:val="22"/>
              </w:rPr>
            </w:pPr>
          </w:p>
        </w:tc>
        <w:tc>
          <w:tcPr>
            <w:tcW w:w="900" w:type="dxa"/>
            <w:vMerge/>
          </w:tcPr>
          <w:p w14:paraId="625430C3" w14:textId="77777777" w:rsidR="00874533" w:rsidRPr="003B7DA2" w:rsidRDefault="00874533" w:rsidP="00874533">
            <w:pPr>
              <w:pStyle w:val="BodyText"/>
              <w:rPr>
                <w:rFonts w:ascii="Calibri" w:hAnsi="Calibri" w:cs="Arial"/>
                <w:sz w:val="22"/>
                <w:szCs w:val="22"/>
              </w:rPr>
            </w:pPr>
          </w:p>
        </w:tc>
        <w:tc>
          <w:tcPr>
            <w:tcW w:w="1260" w:type="dxa"/>
            <w:vMerge/>
          </w:tcPr>
          <w:p w14:paraId="52DF890C" w14:textId="77777777" w:rsidR="00874533" w:rsidRPr="003B7DA2" w:rsidRDefault="00874533" w:rsidP="00874533">
            <w:pPr>
              <w:pStyle w:val="BodyText"/>
              <w:rPr>
                <w:rFonts w:ascii="Calibri" w:hAnsi="Calibri" w:cs="Arial"/>
                <w:sz w:val="22"/>
                <w:szCs w:val="22"/>
              </w:rPr>
            </w:pPr>
          </w:p>
        </w:tc>
      </w:tr>
      <w:tr w:rsidR="00874533" w:rsidRPr="003B7DA2" w14:paraId="7BCC5BE0" w14:textId="77777777" w:rsidTr="00D45209">
        <w:tc>
          <w:tcPr>
            <w:tcW w:w="913" w:type="dxa"/>
          </w:tcPr>
          <w:p w14:paraId="6DFFC632"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14:paraId="08635A3D"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14:paraId="66898331"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 xml:space="preserve">20 000 </w:t>
            </w:r>
            <w:proofErr w:type="spellStart"/>
            <w:r w:rsidRPr="003B7DA2">
              <w:rPr>
                <w:rFonts w:ascii="Calibri" w:hAnsi="Calibri" w:cs="Arial"/>
                <w:sz w:val="22"/>
                <w:szCs w:val="22"/>
              </w:rPr>
              <w:t>000</w:t>
            </w:r>
            <w:proofErr w:type="spellEnd"/>
          </w:p>
        </w:tc>
        <w:tc>
          <w:tcPr>
            <w:tcW w:w="1080" w:type="dxa"/>
          </w:tcPr>
          <w:p w14:paraId="447ACF02"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14:paraId="36646242"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441A5259"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xml:space="preserve">15 000 </w:t>
            </w:r>
            <w:proofErr w:type="spellStart"/>
            <w:r w:rsidRPr="003B7DA2">
              <w:rPr>
                <w:rFonts w:ascii="Calibri" w:hAnsi="Calibri" w:cs="Arial"/>
                <w:sz w:val="22"/>
                <w:szCs w:val="22"/>
              </w:rPr>
              <w:t>000</w:t>
            </w:r>
            <w:proofErr w:type="spellEnd"/>
          </w:p>
        </w:tc>
        <w:tc>
          <w:tcPr>
            <w:tcW w:w="900" w:type="dxa"/>
          </w:tcPr>
          <w:p w14:paraId="40D5E80A"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69339AF3"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35 000 </w:t>
            </w:r>
            <w:proofErr w:type="spellStart"/>
            <w:r w:rsidRPr="003B7DA2">
              <w:rPr>
                <w:rFonts w:ascii="Calibri" w:hAnsi="Calibri"/>
                <w:bCs/>
                <w:sz w:val="22"/>
                <w:szCs w:val="22"/>
              </w:rPr>
              <w:t>000</w:t>
            </w:r>
            <w:proofErr w:type="spellEnd"/>
          </w:p>
        </w:tc>
      </w:tr>
    </w:tbl>
    <w:p w14:paraId="69EDAD63" w14:textId="77777777" w:rsidR="00874533" w:rsidRPr="003B7DA2" w:rsidRDefault="00874533" w:rsidP="00874533">
      <w:pPr>
        <w:pStyle w:val="BodyText"/>
        <w:rPr>
          <w:rFonts w:ascii="Calibri" w:hAnsi="Calibri"/>
          <w:bCs/>
          <w:sz w:val="22"/>
          <w:szCs w:val="22"/>
        </w:rPr>
      </w:pPr>
    </w:p>
    <w:p w14:paraId="5E21A979"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áprilisban is úgy alakultak, hogy az üzlet veszteséges, a vevő lehívja az opciót, vagyis él a jogával. Így április 20-án az adatszolgáltató rezidens cég kénytelen megvenni az 1 millió EUR összeget, ennyit bevételezett tehát, s ennek ellenében fizetett 250 millió HUF összeget. A táblában ekkor tranzakcióként a bevételezett EUR napi árfolyamon számított forint ellenértéke, 200 millió forint szerepel, kiadásként pedig az átutalt 250 millió Ft. A nyitó és záró állományok különbözete a tranzakciókon túl az ár/árfolyamváltozások következtében alakult ki, ezért a különbözeti összeget átértékelésként kell jelenteni. </w:t>
      </w:r>
    </w:p>
    <w:p w14:paraId="4C6F601F" w14:textId="77777777" w:rsidR="00874533" w:rsidRPr="003B7DA2" w:rsidRDefault="00874533" w:rsidP="00874533">
      <w:pPr>
        <w:pStyle w:val="BodyText"/>
        <w:rPr>
          <w:rFonts w:ascii="Calibri" w:hAnsi="Calibri"/>
          <w:bCs/>
          <w:sz w:val="22"/>
          <w:szCs w:val="22"/>
        </w:rPr>
      </w:pPr>
    </w:p>
    <w:p w14:paraId="67C764F1"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260"/>
        <w:gridCol w:w="1260"/>
        <w:gridCol w:w="1260"/>
        <w:gridCol w:w="900"/>
        <w:gridCol w:w="900"/>
      </w:tblGrid>
      <w:tr w:rsidR="00874533" w:rsidRPr="003B7DA2" w14:paraId="0D038829" w14:textId="77777777" w:rsidTr="00D45209">
        <w:tc>
          <w:tcPr>
            <w:tcW w:w="913" w:type="dxa"/>
            <w:vMerge w:val="restart"/>
          </w:tcPr>
          <w:p w14:paraId="67787007"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26EADC3"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14:paraId="3B0CD6ED"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14:paraId="769E07B4"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279A7AC7"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14:paraId="6C64FDD4"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900" w:type="dxa"/>
            <w:vMerge w:val="restart"/>
            <w:vAlign w:val="center"/>
          </w:tcPr>
          <w:p w14:paraId="796AB08A"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6FF7C0C4" w14:textId="77777777" w:rsidTr="00D45209">
        <w:tc>
          <w:tcPr>
            <w:tcW w:w="913" w:type="dxa"/>
            <w:vMerge/>
          </w:tcPr>
          <w:p w14:paraId="5B8B4145" w14:textId="77777777" w:rsidR="00874533" w:rsidRPr="003B7DA2" w:rsidRDefault="00874533" w:rsidP="00874533">
            <w:pPr>
              <w:pStyle w:val="BodyText"/>
              <w:rPr>
                <w:rFonts w:ascii="Calibri" w:hAnsi="Calibri"/>
                <w:b/>
                <w:bCs/>
                <w:sz w:val="22"/>
                <w:szCs w:val="22"/>
                <w:u w:val="single"/>
              </w:rPr>
            </w:pPr>
          </w:p>
        </w:tc>
        <w:tc>
          <w:tcPr>
            <w:tcW w:w="1137" w:type="dxa"/>
            <w:vMerge/>
          </w:tcPr>
          <w:p w14:paraId="0853CCA3" w14:textId="77777777" w:rsidR="00874533" w:rsidRPr="003B7DA2" w:rsidRDefault="00874533" w:rsidP="00874533">
            <w:pPr>
              <w:pStyle w:val="BodyText"/>
              <w:rPr>
                <w:rFonts w:ascii="Calibri" w:hAnsi="Calibri"/>
                <w:b/>
                <w:bCs/>
                <w:sz w:val="22"/>
                <w:szCs w:val="22"/>
                <w:u w:val="single"/>
              </w:rPr>
            </w:pPr>
          </w:p>
        </w:tc>
        <w:tc>
          <w:tcPr>
            <w:tcW w:w="1118" w:type="dxa"/>
            <w:vMerge/>
          </w:tcPr>
          <w:p w14:paraId="11DE3128" w14:textId="77777777" w:rsidR="00874533" w:rsidRPr="003B7DA2" w:rsidRDefault="00874533" w:rsidP="00874533">
            <w:pPr>
              <w:pStyle w:val="BodyText"/>
              <w:rPr>
                <w:rFonts w:ascii="Calibri" w:hAnsi="Calibri"/>
                <w:b/>
                <w:bCs/>
                <w:sz w:val="22"/>
                <w:szCs w:val="22"/>
                <w:u w:val="single"/>
              </w:rPr>
            </w:pPr>
          </w:p>
        </w:tc>
        <w:tc>
          <w:tcPr>
            <w:tcW w:w="1260" w:type="dxa"/>
          </w:tcPr>
          <w:p w14:paraId="141077E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260" w:type="dxa"/>
          </w:tcPr>
          <w:p w14:paraId="56D42DAF"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14:paraId="24E973D5"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14:paraId="2B0D8361" w14:textId="77777777" w:rsidR="00874533" w:rsidRPr="003B7DA2" w:rsidRDefault="00874533" w:rsidP="00874533">
            <w:pPr>
              <w:pStyle w:val="BodyText"/>
              <w:rPr>
                <w:rFonts w:ascii="Calibri" w:hAnsi="Calibri" w:cs="Arial"/>
                <w:sz w:val="22"/>
                <w:szCs w:val="22"/>
              </w:rPr>
            </w:pPr>
          </w:p>
        </w:tc>
        <w:tc>
          <w:tcPr>
            <w:tcW w:w="900" w:type="dxa"/>
            <w:vMerge/>
          </w:tcPr>
          <w:p w14:paraId="4075E147" w14:textId="77777777" w:rsidR="00874533" w:rsidRPr="003B7DA2" w:rsidRDefault="00874533" w:rsidP="00874533">
            <w:pPr>
              <w:pStyle w:val="BodyText"/>
              <w:rPr>
                <w:rFonts w:ascii="Calibri" w:hAnsi="Calibri" w:cs="Arial"/>
                <w:sz w:val="22"/>
                <w:szCs w:val="22"/>
              </w:rPr>
            </w:pPr>
          </w:p>
        </w:tc>
        <w:tc>
          <w:tcPr>
            <w:tcW w:w="900" w:type="dxa"/>
            <w:vMerge/>
          </w:tcPr>
          <w:p w14:paraId="05502DC0" w14:textId="77777777" w:rsidR="00874533" w:rsidRPr="003B7DA2" w:rsidRDefault="00874533" w:rsidP="00874533">
            <w:pPr>
              <w:pStyle w:val="BodyText"/>
              <w:rPr>
                <w:rFonts w:ascii="Calibri" w:hAnsi="Calibri" w:cs="Arial"/>
                <w:sz w:val="22"/>
                <w:szCs w:val="22"/>
              </w:rPr>
            </w:pPr>
          </w:p>
        </w:tc>
      </w:tr>
      <w:tr w:rsidR="00874533" w:rsidRPr="003B7DA2" w14:paraId="4B8B9D8E" w14:textId="77777777" w:rsidTr="00D45209">
        <w:tc>
          <w:tcPr>
            <w:tcW w:w="913" w:type="dxa"/>
          </w:tcPr>
          <w:p w14:paraId="0EAB0AE1"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14:paraId="52CD0DF6"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14:paraId="1F9D875D"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 xml:space="preserve">35 000 </w:t>
            </w:r>
            <w:proofErr w:type="spellStart"/>
            <w:r w:rsidRPr="003B7DA2">
              <w:rPr>
                <w:rFonts w:ascii="Calibri" w:hAnsi="Calibri" w:cs="Arial"/>
                <w:sz w:val="22"/>
                <w:szCs w:val="22"/>
              </w:rPr>
              <w:t>000</w:t>
            </w:r>
            <w:proofErr w:type="spellEnd"/>
          </w:p>
        </w:tc>
        <w:tc>
          <w:tcPr>
            <w:tcW w:w="1260" w:type="dxa"/>
          </w:tcPr>
          <w:p w14:paraId="795EAAF6"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xml:space="preserve">200 000 </w:t>
            </w:r>
            <w:proofErr w:type="spellStart"/>
            <w:r w:rsidRPr="003B7DA2">
              <w:rPr>
                <w:rFonts w:ascii="Calibri" w:hAnsi="Calibri" w:cs="Arial"/>
                <w:sz w:val="22"/>
                <w:szCs w:val="22"/>
              </w:rPr>
              <w:t>000</w:t>
            </w:r>
            <w:proofErr w:type="spellEnd"/>
          </w:p>
        </w:tc>
        <w:tc>
          <w:tcPr>
            <w:tcW w:w="1260" w:type="dxa"/>
          </w:tcPr>
          <w:p w14:paraId="3FD197B4"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 xml:space="preserve">250 000 </w:t>
            </w:r>
            <w:proofErr w:type="spellStart"/>
            <w:r w:rsidRPr="003B7DA2">
              <w:rPr>
                <w:rFonts w:ascii="Calibri" w:hAnsi="Calibri"/>
                <w:bCs/>
                <w:sz w:val="22"/>
                <w:szCs w:val="22"/>
              </w:rPr>
              <w:t>000</w:t>
            </w:r>
            <w:proofErr w:type="spellEnd"/>
          </w:p>
        </w:tc>
        <w:tc>
          <w:tcPr>
            <w:tcW w:w="1260" w:type="dxa"/>
          </w:tcPr>
          <w:p w14:paraId="66B5A370"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xml:space="preserve">15 000 </w:t>
            </w:r>
            <w:proofErr w:type="spellStart"/>
            <w:r w:rsidRPr="003B7DA2">
              <w:rPr>
                <w:rFonts w:ascii="Calibri" w:hAnsi="Calibri" w:cs="Arial"/>
                <w:sz w:val="22"/>
                <w:szCs w:val="22"/>
              </w:rPr>
              <w:t>000</w:t>
            </w:r>
            <w:proofErr w:type="spellEnd"/>
          </w:p>
        </w:tc>
        <w:tc>
          <w:tcPr>
            <w:tcW w:w="900" w:type="dxa"/>
          </w:tcPr>
          <w:p w14:paraId="614BF1BA"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900" w:type="dxa"/>
          </w:tcPr>
          <w:p w14:paraId="398557F1"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r>
    </w:tbl>
    <w:p w14:paraId="462824BB" w14:textId="77777777" w:rsidR="0092684C" w:rsidRPr="003B7DA2" w:rsidRDefault="0092684C">
      <w:pPr>
        <w:pStyle w:val="BodyText"/>
        <w:rPr>
          <w:rFonts w:ascii="Calibri" w:hAnsi="Calibri"/>
          <w:bCs/>
          <w:sz w:val="22"/>
          <w:szCs w:val="22"/>
        </w:rPr>
      </w:pPr>
    </w:p>
    <w:p w14:paraId="0D15F31A" w14:textId="77777777" w:rsidR="0092684C" w:rsidRPr="003B7DA2" w:rsidRDefault="0092684C">
      <w:pPr>
        <w:rPr>
          <w:rFonts w:ascii="Calibri" w:hAnsi="Calibri"/>
          <w:sz w:val="22"/>
          <w:szCs w:val="22"/>
        </w:rPr>
      </w:pPr>
    </w:p>
    <w:p w14:paraId="1E1BE5C5" w14:textId="77777777" w:rsidR="0092684C" w:rsidRPr="003B7DA2" w:rsidRDefault="0092684C">
      <w:pPr>
        <w:pStyle w:val="BodyText"/>
        <w:rPr>
          <w:rFonts w:ascii="Calibri" w:hAnsi="Calibri"/>
          <w:b/>
          <w:bCs/>
          <w:sz w:val="22"/>
          <w:szCs w:val="22"/>
        </w:rPr>
      </w:pPr>
      <w:bookmarkStart w:id="9" w:name="_Toc120612691"/>
      <w:bookmarkStart w:id="10" w:name="_Toc122850670"/>
      <w:r w:rsidRPr="003B7DA2">
        <w:rPr>
          <w:rFonts w:ascii="Calibri" w:hAnsi="Calibri"/>
          <w:b/>
          <w:bCs/>
          <w:sz w:val="22"/>
          <w:szCs w:val="22"/>
        </w:rPr>
        <w:t xml:space="preserve">3. Nem rezidensekkel kötött </w:t>
      </w:r>
      <w:proofErr w:type="spellStart"/>
      <w:r w:rsidRPr="003B7DA2">
        <w:rPr>
          <w:rFonts w:ascii="Calibri" w:hAnsi="Calibri"/>
          <w:b/>
          <w:bCs/>
          <w:sz w:val="22"/>
          <w:szCs w:val="22"/>
        </w:rPr>
        <w:t>swapok</w:t>
      </w:r>
      <w:proofErr w:type="spellEnd"/>
      <w:r w:rsidRPr="003B7DA2">
        <w:rPr>
          <w:rFonts w:ascii="Calibri" w:hAnsi="Calibri"/>
          <w:b/>
          <w:bCs/>
          <w:sz w:val="22"/>
          <w:szCs w:val="22"/>
        </w:rPr>
        <w:t>:</w:t>
      </w:r>
      <w:bookmarkEnd w:id="9"/>
      <w:bookmarkEnd w:id="10"/>
    </w:p>
    <w:p w14:paraId="2F4A6852" w14:textId="77777777" w:rsidR="0092684C" w:rsidRPr="003B7DA2" w:rsidRDefault="0092684C">
      <w:pPr>
        <w:pStyle w:val="BodyText"/>
        <w:rPr>
          <w:rFonts w:ascii="Calibri" w:hAnsi="Calibri"/>
          <w:b/>
          <w:bCs/>
          <w:sz w:val="22"/>
          <w:szCs w:val="22"/>
        </w:rPr>
      </w:pPr>
    </w:p>
    <w:p w14:paraId="5490DCA4" w14:textId="77777777" w:rsidR="0092684C" w:rsidRPr="003B7DA2" w:rsidRDefault="0092684C">
      <w:pPr>
        <w:ind w:left="540"/>
        <w:jc w:val="both"/>
        <w:rPr>
          <w:rFonts w:ascii="Calibri" w:hAnsi="Calibri"/>
          <w:snapToGrid w:val="0"/>
          <w:sz w:val="22"/>
          <w:szCs w:val="22"/>
          <w:lang w:eastAsia="en-US"/>
        </w:rPr>
      </w:pPr>
      <w:r w:rsidRPr="003B7DA2">
        <w:rPr>
          <w:rFonts w:ascii="Calibri" w:hAnsi="Calibri"/>
          <w:snapToGrid w:val="0"/>
          <w:sz w:val="22"/>
          <w:szCs w:val="22"/>
          <w:lang w:eastAsia="en-US"/>
        </w:rPr>
        <w:t>A</w:t>
      </w:r>
      <w:r w:rsidRPr="003B7DA2">
        <w:rPr>
          <w:rFonts w:ascii="Calibri" w:hAnsi="Calibri"/>
          <w:b/>
          <w:snapToGrid w:val="0"/>
          <w:sz w:val="22"/>
          <w:szCs w:val="22"/>
          <w:lang w:eastAsia="en-US"/>
        </w:rPr>
        <w:t xml:space="preserve"> </w:t>
      </w:r>
      <w:proofErr w:type="spellStart"/>
      <w:r w:rsidRPr="003B7DA2">
        <w:rPr>
          <w:rFonts w:ascii="Calibri" w:hAnsi="Calibri"/>
          <w:b/>
          <w:snapToGrid w:val="0"/>
          <w:sz w:val="22"/>
          <w:szCs w:val="22"/>
          <w:lang w:eastAsia="en-US"/>
        </w:rPr>
        <w:t>swapok</w:t>
      </w:r>
      <w:proofErr w:type="spellEnd"/>
      <w:r w:rsidRPr="003B7DA2">
        <w:rPr>
          <w:rFonts w:ascii="Calibri" w:hAnsi="Calibri"/>
          <w:snapToGrid w:val="0"/>
          <w:sz w:val="22"/>
          <w:szCs w:val="22"/>
          <w:lang w:eastAsia="en-US"/>
        </w:rPr>
        <w:t xml:space="preserve"> esetében a partnerek fizetések cseréjében állapodnak meg, azaz a szerződésben előre meghatározott feltételek szerint cash flow cserét/cseréket hajtanak végre. A fizetések meghatározott jövőbeli időpontokban, vagy periódusonként történnek, meghatározott névleges összegekre vonatkoztatva, a ténylegesen fizetendő cash flow összegek, pedig a mögöttes termék referencia árán, hozamán alapulnak. </w:t>
      </w:r>
    </w:p>
    <w:p w14:paraId="546D6B06" w14:textId="77777777" w:rsidR="0092684C" w:rsidRPr="003B7DA2" w:rsidRDefault="0092684C">
      <w:pPr>
        <w:ind w:left="54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Swapokat</w:t>
      </w:r>
      <w:proofErr w:type="spellEnd"/>
      <w:r w:rsidRPr="003B7DA2">
        <w:rPr>
          <w:rFonts w:ascii="Calibri" w:hAnsi="Calibri"/>
          <w:snapToGrid w:val="0"/>
          <w:sz w:val="22"/>
          <w:szCs w:val="22"/>
          <w:lang w:eastAsia="en-US"/>
        </w:rPr>
        <w:t xml:space="preserve"> általában OTC piacon kötnek, s a kontraktusból eredő fizetési kötelezettségek teljesítése általában „leszállítással” történik.</w:t>
      </w:r>
    </w:p>
    <w:p w14:paraId="04AFB128" w14:textId="77777777" w:rsidR="0092684C" w:rsidRPr="003B7DA2" w:rsidRDefault="0092684C">
      <w:pPr>
        <w:ind w:left="540"/>
        <w:jc w:val="both"/>
        <w:rPr>
          <w:rFonts w:ascii="Calibri" w:hAnsi="Calibri"/>
          <w:snapToGrid w:val="0"/>
          <w:sz w:val="22"/>
          <w:szCs w:val="22"/>
          <w:lang w:eastAsia="en-US"/>
        </w:rPr>
      </w:pPr>
    </w:p>
    <w:p w14:paraId="632BF531"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286A3258" w14:textId="77777777" w:rsidR="0092684C" w:rsidRPr="003B7DA2" w:rsidRDefault="0092684C">
      <w:pPr>
        <w:rPr>
          <w:rFonts w:ascii="Calibri" w:hAnsi="Calibri"/>
          <w:sz w:val="22"/>
          <w:szCs w:val="22"/>
        </w:rPr>
      </w:pPr>
    </w:p>
    <w:p w14:paraId="0D1A0FC5" w14:textId="77777777" w:rsidR="0092684C" w:rsidRPr="003B7DA2" w:rsidRDefault="0092684C">
      <w:pPr>
        <w:numPr>
          <w:ilvl w:val="0"/>
          <w:numId w:val="3"/>
        </w:numPr>
        <w:ind w:hanging="180"/>
        <w:jc w:val="both"/>
        <w:rPr>
          <w:rFonts w:ascii="Calibri" w:hAnsi="Calibri" w:cs="Arial"/>
          <w:sz w:val="22"/>
          <w:szCs w:val="22"/>
        </w:rPr>
      </w:pPr>
      <w:r w:rsidRPr="003B7DA2">
        <w:rPr>
          <w:rFonts w:ascii="Calibri" w:hAnsi="Calibri"/>
          <w:snapToGrid w:val="0"/>
          <w:sz w:val="22"/>
          <w:szCs w:val="22"/>
          <w:lang w:eastAsia="en-US"/>
        </w:rPr>
        <w:t xml:space="preserve">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megállapodások (egy devizakonverziót hajtanak végre a szerződő felek a megállapodás szerinti árfolyamon, ezt nevezzük rövid lábnak, és egy későbbi időpontban, meghatározott árfolyamon ezzel ellentétes konverziót hajtanak végre, ezt nevezzük hosszú lábnak, vagy határidős lábnak) határidős lábának bruttó piaci értékét kell itt országonként a </w:t>
      </w:r>
      <w:r w:rsidRPr="003B7DA2">
        <w:rPr>
          <w:rFonts w:ascii="Calibri" w:hAnsi="Calibri"/>
          <w:snapToGrid w:val="0"/>
          <w:sz w:val="22"/>
          <w:szCs w:val="22"/>
          <w:lang w:eastAsia="en-US"/>
        </w:rPr>
        <w:lastRenderedPageBreak/>
        <w:t xml:space="preserve">megfelelő táblában jelenteni,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alkalmazott kiértékelési módszer segítségével. </w:t>
      </w:r>
    </w:p>
    <w:p w14:paraId="3BDBBC14" w14:textId="77777777" w:rsidR="0092684C" w:rsidRPr="003B7DA2" w:rsidRDefault="0092684C">
      <w:pPr>
        <w:ind w:left="360"/>
        <w:jc w:val="both"/>
        <w:rPr>
          <w:rFonts w:ascii="Calibri" w:hAnsi="Calibri"/>
          <w:snapToGrid w:val="0"/>
          <w:sz w:val="22"/>
          <w:szCs w:val="22"/>
          <w:lang w:eastAsia="en-US"/>
        </w:rPr>
      </w:pPr>
    </w:p>
    <w:p w14:paraId="77CB17FD" w14:textId="77777777"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Az egydevizás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megállapodás alapján egy devizanemhez kapcsolódó periodikus kamatfizetéseket cserélnek el a szerződő felek, akár fixet változóra, akár változót egy más indexhez kötött másik változó kamatra. 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ügyletek bruttó piaci értékét kell itt országonként, a kiértékelés eredményének megfelelő táblában szerepeltetni, a szerződés teljes időtartama alatt várható fizetett és kapott kamatok közötti különbség nettó jelenértéke számításával. </w:t>
      </w:r>
    </w:p>
    <w:p w14:paraId="4564451D" w14:textId="77777777" w:rsidR="0092684C" w:rsidRPr="003B7DA2" w:rsidRDefault="0092684C">
      <w:pPr>
        <w:jc w:val="both"/>
        <w:rPr>
          <w:rFonts w:ascii="Calibri" w:hAnsi="Calibri"/>
          <w:snapToGrid w:val="0"/>
          <w:sz w:val="22"/>
          <w:szCs w:val="22"/>
          <w:lang w:eastAsia="en-US"/>
        </w:rPr>
      </w:pPr>
    </w:p>
    <w:p w14:paraId="32BC3B48" w14:textId="77777777"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Keresztdevizás </w:t>
      </w:r>
      <w:proofErr w:type="spellStart"/>
      <w:r w:rsidRPr="003B7DA2">
        <w:rPr>
          <w:rFonts w:ascii="Calibri" w:hAnsi="Calibri"/>
          <w:snapToGrid w:val="0"/>
          <w:sz w:val="22"/>
          <w:szCs w:val="22"/>
          <w:lang w:eastAsia="en-US"/>
        </w:rPr>
        <w:t>kamatlábswap</w:t>
      </w:r>
      <w:proofErr w:type="spellEnd"/>
      <w:r w:rsidRPr="003B7DA2">
        <w:rPr>
          <w:rFonts w:ascii="Calibri" w:hAnsi="Calibri"/>
          <w:snapToGrid w:val="0"/>
          <w:sz w:val="22"/>
          <w:szCs w:val="22"/>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és egyéb hasonló összetett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típusú ügyletek piaci értékének kiszámításánál a valutaárfolyamok és egyéb árak várható értékét is figyelembe kell venni.</w:t>
      </w:r>
    </w:p>
    <w:p w14:paraId="7A3B1983" w14:textId="77777777" w:rsidR="0092684C" w:rsidRPr="003B7DA2" w:rsidRDefault="0092684C">
      <w:pPr>
        <w:ind w:left="720"/>
        <w:jc w:val="both"/>
        <w:rPr>
          <w:rFonts w:ascii="Calibri" w:hAnsi="Calibri"/>
          <w:b/>
          <w:snapToGrid w:val="0"/>
          <w:sz w:val="22"/>
          <w:szCs w:val="22"/>
          <w:lang w:eastAsia="en-US"/>
        </w:rPr>
      </w:pPr>
    </w:p>
    <w:p w14:paraId="484EA70F" w14:textId="77777777" w:rsidR="0092684C" w:rsidRPr="003B7DA2" w:rsidRDefault="0092684C">
      <w:pPr>
        <w:ind w:left="720"/>
        <w:jc w:val="both"/>
        <w:rPr>
          <w:rFonts w:ascii="Calibri" w:hAnsi="Calibri"/>
          <w:b/>
          <w:snapToGrid w:val="0"/>
          <w:sz w:val="22"/>
          <w:szCs w:val="22"/>
          <w:lang w:eastAsia="en-US"/>
        </w:rPr>
      </w:pPr>
    </w:p>
    <w:p w14:paraId="0C6BB6A8" w14:textId="77777777" w:rsidR="0092684C" w:rsidRPr="003B7DA2" w:rsidRDefault="0092684C">
      <w:pPr>
        <w:jc w:val="both"/>
        <w:rPr>
          <w:rFonts w:ascii="Calibri" w:hAnsi="Calibri"/>
          <w:b/>
          <w:snapToGrid w:val="0"/>
          <w:sz w:val="22"/>
          <w:szCs w:val="22"/>
          <w:lang w:eastAsia="en-US"/>
        </w:rPr>
      </w:pPr>
      <w:r w:rsidRPr="003B7DA2">
        <w:rPr>
          <w:rFonts w:ascii="Calibri" w:hAnsi="Calibri"/>
          <w:b/>
          <w:snapToGrid w:val="0"/>
          <w:sz w:val="22"/>
          <w:szCs w:val="22"/>
          <w:lang w:eastAsia="en-US"/>
        </w:rPr>
        <w:t xml:space="preserve">      Tranzakciók:</w:t>
      </w:r>
    </w:p>
    <w:p w14:paraId="1B4AF418" w14:textId="77777777" w:rsidR="0092684C" w:rsidRPr="003B7DA2" w:rsidRDefault="0092684C">
      <w:pPr>
        <w:ind w:left="360"/>
        <w:jc w:val="both"/>
        <w:rPr>
          <w:rFonts w:ascii="Calibri" w:hAnsi="Calibri"/>
          <w:snapToGrid w:val="0"/>
          <w:sz w:val="22"/>
          <w:szCs w:val="22"/>
          <w:lang w:eastAsia="en-US"/>
        </w:rPr>
      </w:pPr>
    </w:p>
    <w:p w14:paraId="258304E0" w14:textId="77777777" w:rsidR="0092684C" w:rsidRPr="003B7DA2" w:rsidRDefault="0092684C">
      <w:pPr>
        <w:numPr>
          <w:ilvl w:val="0"/>
          <w:numId w:val="3"/>
        </w:numPr>
        <w:ind w:hanging="18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ügyletek esetében a tranzakciókat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leírtak szerint kell jelenteni. A forgalmi adatok között csak az ügylet második (hosszú) lábát kell jelenteni. Az ügylet indulásakor teljesített első konverziót (rövid lábat) egyáltalán nem kell jelenteni a derivatív táblákban. A „</w:t>
      </w:r>
      <w:proofErr w:type="spellStart"/>
      <w:r w:rsidRPr="003B7DA2">
        <w:rPr>
          <w:rFonts w:ascii="Calibri" w:hAnsi="Calibri"/>
          <w:snapToGrid w:val="0"/>
          <w:sz w:val="22"/>
          <w:szCs w:val="22"/>
          <w:lang w:eastAsia="en-US"/>
        </w:rPr>
        <w:t>tomorrow</w:t>
      </w:r>
      <w:proofErr w:type="spellEnd"/>
      <w:r w:rsidRPr="003B7DA2">
        <w:rPr>
          <w:rFonts w:ascii="Calibri" w:hAnsi="Calibri"/>
          <w:snapToGrid w:val="0"/>
          <w:sz w:val="22"/>
          <w:szCs w:val="22"/>
          <w:lang w:eastAsia="en-US"/>
        </w:rPr>
        <w:t>/</w:t>
      </w:r>
      <w:proofErr w:type="spellStart"/>
      <w:r w:rsidRPr="003B7DA2">
        <w:rPr>
          <w:rFonts w:ascii="Calibri" w:hAnsi="Calibri"/>
          <w:snapToGrid w:val="0"/>
          <w:sz w:val="22"/>
          <w:szCs w:val="22"/>
          <w:lang w:eastAsia="en-US"/>
        </w:rPr>
        <w:t>next</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day</w:t>
      </w:r>
      <w:proofErr w:type="spellEnd"/>
      <w:r w:rsidRPr="003B7DA2">
        <w:rPr>
          <w:rFonts w:ascii="Calibri" w:hAnsi="Calibri"/>
          <w:snapToGrid w:val="0"/>
          <w:sz w:val="22"/>
          <w:szCs w:val="22"/>
          <w:lang w:eastAsia="en-US"/>
        </w:rPr>
        <w:t>” (vagyis az üzletkötést követő napon: rövid láb, valamint az azt követő napon: hosszú láb) végrehajtott tranzakciók szintén e kategóriába tartoznak.</w:t>
      </w:r>
    </w:p>
    <w:p w14:paraId="2E5EDC25" w14:textId="77777777" w:rsidR="0092684C" w:rsidRPr="003B7DA2" w:rsidRDefault="0092684C">
      <w:pPr>
        <w:ind w:left="180"/>
        <w:jc w:val="both"/>
        <w:rPr>
          <w:rFonts w:ascii="Calibri" w:hAnsi="Calibri"/>
          <w:snapToGrid w:val="0"/>
          <w:sz w:val="22"/>
          <w:szCs w:val="22"/>
          <w:lang w:eastAsia="en-US"/>
        </w:rPr>
      </w:pPr>
    </w:p>
    <w:p w14:paraId="083037F5" w14:textId="77777777"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 kamat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és kereszt-deviza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esetében az ügylet élettartama alatt a kamatfizetést és a kamat bevételt a jelentésben a tranzakciók alatt kell jelenteni, megengedett a tranzakciónak az ügylet </w:t>
      </w:r>
      <w:proofErr w:type="spellStart"/>
      <w:r w:rsidRPr="003B7DA2">
        <w:rPr>
          <w:rFonts w:ascii="Calibri" w:hAnsi="Calibri"/>
          <w:snapToGrid w:val="0"/>
          <w:sz w:val="22"/>
          <w:szCs w:val="22"/>
          <w:lang w:eastAsia="en-US"/>
        </w:rPr>
        <w:t>kamatfizetéskori</w:t>
      </w:r>
      <w:proofErr w:type="spellEnd"/>
      <w:r w:rsidRPr="003B7DA2">
        <w:rPr>
          <w:rFonts w:ascii="Calibri" w:hAnsi="Calibri"/>
          <w:snapToGrid w:val="0"/>
          <w:sz w:val="22"/>
          <w:szCs w:val="22"/>
          <w:lang w:eastAsia="en-US"/>
        </w:rPr>
        <w:t xml:space="preserve"> kiértékelése helyett az ügylet nyitó pozíciójának megfelelő táblában való szerepeltetése. </w:t>
      </w:r>
    </w:p>
    <w:p w14:paraId="3CDF748A" w14:textId="77777777" w:rsidR="0092684C" w:rsidRPr="003B7DA2" w:rsidRDefault="0092684C">
      <w:pPr>
        <w:autoSpaceDE w:val="0"/>
        <w:autoSpaceDN w:val="0"/>
        <w:adjustRightInd w:val="0"/>
        <w:ind w:left="708"/>
        <w:jc w:val="both"/>
        <w:rPr>
          <w:rFonts w:ascii="Calibri" w:hAnsi="Calibri"/>
          <w:sz w:val="22"/>
          <w:szCs w:val="22"/>
        </w:rPr>
      </w:pPr>
    </w:p>
    <w:p w14:paraId="6386B75C" w14:textId="77777777" w:rsidR="0092684C" w:rsidRPr="003B7DA2" w:rsidRDefault="0092684C">
      <w:pPr>
        <w:autoSpaceDE w:val="0"/>
        <w:autoSpaceDN w:val="0"/>
        <w:adjustRightInd w:val="0"/>
        <w:ind w:left="540"/>
        <w:jc w:val="both"/>
        <w:rPr>
          <w:rFonts w:ascii="Calibri" w:hAnsi="Calibri" w:cs="Arial"/>
          <w:sz w:val="22"/>
          <w:szCs w:val="22"/>
        </w:rPr>
      </w:pPr>
      <w:r w:rsidRPr="003B7DA2">
        <w:rPr>
          <w:rFonts w:ascii="Calibri" w:hAnsi="Calibri"/>
          <w:sz w:val="22"/>
          <w:szCs w:val="22"/>
        </w:rPr>
        <w:t xml:space="preserve">Ugyancsak a tranzakciók között kell jelenteni minden egyéb, a </w:t>
      </w:r>
      <w:proofErr w:type="spellStart"/>
      <w:r w:rsidRPr="003B7DA2">
        <w:rPr>
          <w:rFonts w:ascii="Calibri" w:hAnsi="Calibri"/>
          <w:sz w:val="22"/>
          <w:szCs w:val="22"/>
        </w:rPr>
        <w:t>swap</w:t>
      </w:r>
      <w:proofErr w:type="spellEnd"/>
      <w:r w:rsidRPr="003B7DA2">
        <w:rPr>
          <w:rFonts w:ascii="Calibri" w:hAnsi="Calibri"/>
          <w:sz w:val="22"/>
          <w:szCs w:val="22"/>
        </w:rPr>
        <w:t xml:space="preserve"> ügyletek futamideje alatt a megállapodás alapján teljesített fizetést is. </w:t>
      </w:r>
    </w:p>
    <w:p w14:paraId="42352D79" w14:textId="77777777" w:rsidR="0092684C" w:rsidRPr="003B7DA2" w:rsidRDefault="0092684C">
      <w:pPr>
        <w:ind w:left="360"/>
        <w:jc w:val="both"/>
        <w:rPr>
          <w:rFonts w:ascii="Calibri" w:hAnsi="Calibri" w:cs="Garamond"/>
          <w:b/>
          <w:i/>
          <w:sz w:val="22"/>
          <w:szCs w:val="22"/>
          <w:u w:val="single"/>
        </w:rPr>
      </w:pPr>
    </w:p>
    <w:p w14:paraId="0D1E47C3" w14:textId="77777777" w:rsidR="0092684C" w:rsidRPr="003B7DA2" w:rsidRDefault="0092684C">
      <w:pPr>
        <w:pStyle w:val="BodyText"/>
        <w:rPr>
          <w:rFonts w:ascii="Calibri" w:hAnsi="Calibri"/>
          <w:snapToGrid w:val="0"/>
          <w:sz w:val="22"/>
          <w:szCs w:val="22"/>
          <w:lang w:eastAsia="en-US"/>
        </w:rPr>
      </w:pPr>
      <w:bookmarkStart w:id="11" w:name="_Toc122850671"/>
      <w:r w:rsidRPr="003B7DA2">
        <w:rPr>
          <w:rFonts w:ascii="Calibri" w:hAnsi="Calibri"/>
          <w:snapToGrid w:val="0"/>
          <w:sz w:val="22"/>
          <w:szCs w:val="22"/>
          <w:lang w:eastAsia="en-US"/>
        </w:rPr>
        <w:t>A</w:t>
      </w:r>
      <w:r w:rsidRPr="003B7DA2">
        <w:rPr>
          <w:rFonts w:ascii="Calibri" w:hAnsi="Calibri"/>
          <w:snapToGrid w:val="0"/>
          <w:sz w:val="22"/>
          <w:szCs w:val="22"/>
          <w:u w:val="single"/>
          <w:lang w:eastAsia="en-US"/>
        </w:rPr>
        <w:t xml:space="preserve"> </w:t>
      </w:r>
      <w:r w:rsidRPr="003B7DA2">
        <w:rPr>
          <w:rFonts w:ascii="Calibri" w:hAnsi="Calibri"/>
          <w:b/>
          <w:snapToGrid w:val="0"/>
          <w:sz w:val="22"/>
          <w:szCs w:val="22"/>
          <w:u w:val="single"/>
          <w:lang w:eastAsia="en-US"/>
        </w:rPr>
        <w:t xml:space="preserve">példa </w:t>
      </w:r>
      <w:proofErr w:type="spellStart"/>
      <w:r w:rsidRPr="003B7DA2">
        <w:rPr>
          <w:rFonts w:ascii="Calibri" w:hAnsi="Calibri"/>
          <w:b/>
          <w:snapToGrid w:val="0"/>
          <w:sz w:val="22"/>
          <w:szCs w:val="22"/>
          <w:u w:val="single"/>
          <w:lang w:eastAsia="en-US"/>
        </w:rPr>
        <w:t>devizaswap</w:t>
      </w:r>
      <w:proofErr w:type="spellEnd"/>
      <w:r w:rsidRPr="003B7DA2">
        <w:rPr>
          <w:rFonts w:ascii="Calibri" w:hAnsi="Calibri"/>
          <w:b/>
          <w:snapToGrid w:val="0"/>
          <w:sz w:val="22"/>
          <w:szCs w:val="22"/>
          <w:u w:val="single"/>
          <w:lang w:eastAsia="en-US"/>
        </w:rPr>
        <w:t xml:space="preserve"> ügylet esetén</w:t>
      </w:r>
      <w:r w:rsidRPr="003B7DA2">
        <w:rPr>
          <w:rFonts w:ascii="Calibri" w:hAnsi="Calibri"/>
          <w:snapToGrid w:val="0"/>
          <w:sz w:val="22"/>
          <w:szCs w:val="22"/>
          <w:lang w:eastAsia="en-US"/>
        </w:rPr>
        <w:t xml:space="preserve"> azonos lenne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ügyletnél bemutatott példával, ahol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feltételei 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hosszú lábának feltételeivel egyezőek. A rövid láb ezzel ellentétes konverzió lenne a megállapodás induló időpontjában, az ügyletet ezen időponttól kezdve kellene szerepeltetni a táblákban, de mivel a rövid láb nem jelentendő, időszakonként lezárásig csak pozíciós adatok és átértékelés adatok lennének (kivéve, ha a szerződés esetleges egyéb, időközbeni fizetéseket is előír, mert azok a tranzakciós oszlopban lennének jelentendők, a vonatkozó időszak nyitó állománya szerinti táblában).</w:t>
      </w:r>
    </w:p>
    <w:p w14:paraId="5DB3BE48" w14:textId="77777777" w:rsidR="0092684C" w:rsidRPr="003B7DA2" w:rsidRDefault="0092684C">
      <w:pPr>
        <w:pStyle w:val="BodyText"/>
        <w:rPr>
          <w:rFonts w:ascii="Calibri" w:hAnsi="Calibri"/>
          <w:snapToGrid w:val="0"/>
          <w:sz w:val="22"/>
          <w:szCs w:val="22"/>
          <w:lang w:eastAsia="en-US"/>
        </w:rPr>
      </w:pPr>
    </w:p>
    <w:p w14:paraId="5397C412" w14:textId="77777777" w:rsidR="0092684C" w:rsidRPr="003B7DA2" w:rsidRDefault="0092684C">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14:paraId="0049C04F" w14:textId="77777777" w:rsidR="0042568A" w:rsidRPr="003B7DA2" w:rsidRDefault="0042568A" w:rsidP="0042568A">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b.) 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14:paraId="28633B0B" w14:textId="77777777"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 xml:space="preserve">A rezidens adatszolgáltató cég 2006. január 10-én megállapodást köt nem rezidens német partnerével, hogy egy 1 millió EUR névértékű tőkeösszeg után számított fix és változó kamatot cserélnek el meghatározott időszakon keresztül (pl. 8 év). A fix évi 3 % kamatlábbal számított összeget a rezidens fél fizeti félévente német partnerének, s attól 3 havi LIBOR + 1 % kamatfizetésben </w:t>
      </w:r>
      <w:r w:rsidRPr="003B7DA2">
        <w:rPr>
          <w:rFonts w:ascii="Calibri" w:hAnsi="Calibri"/>
          <w:snapToGrid w:val="0"/>
          <w:sz w:val="22"/>
          <w:szCs w:val="22"/>
          <w:lang w:eastAsia="en-US"/>
        </w:rPr>
        <w:lastRenderedPageBreak/>
        <w:t>részesül háromhavonta. A szerződésben pontos dátummal szerepelnek a kamatfizetési kötelezettségek is.</w:t>
      </w:r>
    </w:p>
    <w:p w14:paraId="01DCCC26" w14:textId="77777777"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piaci változó kamatlábak szerint az ügylet a fix kamatfizetési kötelezettségéhez képest nyereséges, vagy veszteséges-e, s az így kapott értéket tünteti fel a megfelelő tábla záró pozíciós mezőjében. (I., II., III., IV., V., VI., VII. hónap: + 10 millió forint, - 10 millió Ft, + 20 millió Ft, + 10 millió Ft, - 10 Ft, + 20 millió Ft, + 10 millió Ft a forintra történt átszámítás után). Az átértékelések, a másik táblába történő „átvezetések” a korábban ismertetett módszerrel történhetnek.</w:t>
      </w:r>
    </w:p>
    <w:p w14:paraId="0E9083AE" w14:textId="77777777"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 xml:space="preserve">Az első kamatfizetésre áprilisban, megadott értéknapon kerül sor, befolyik a változó kamat összege, ez akkor éppen 7.500 EUR volt, az aktuális árfolyam pedig 250 HUF/EUR. Mivel az áprilisi 20 milliós nyitó állomány ezen ügylet esetében éppen a követelés táblában állt fenn, ezért a kamatbefolyást (1.875.000 Ft) a követelés táblában lehet jelenteni, anélkül, hogy a tranzakció időpontjában újból ki kellene értékelni az ügyletet. Ugyanígy, </w:t>
      </w:r>
      <w:r w:rsidR="00A37F7F" w:rsidRPr="003B7DA2">
        <w:rPr>
          <w:rFonts w:ascii="Calibri" w:hAnsi="Calibri"/>
          <w:snapToGrid w:val="0"/>
          <w:sz w:val="22"/>
          <w:szCs w:val="22"/>
          <w:lang w:eastAsia="en-US"/>
        </w:rPr>
        <w:t xml:space="preserve">júliusban, amikor mind </w:t>
      </w:r>
      <w:r w:rsidRPr="003B7DA2">
        <w:rPr>
          <w:rFonts w:ascii="Calibri" w:hAnsi="Calibri"/>
          <w:snapToGrid w:val="0"/>
          <w:sz w:val="22"/>
          <w:szCs w:val="22"/>
          <w:lang w:eastAsia="en-US"/>
        </w:rPr>
        <w:t>a fix kamatfizetés, kimenő tranzakció</w:t>
      </w:r>
      <w:r w:rsidR="00A37F7F" w:rsidRPr="003B7DA2">
        <w:rPr>
          <w:rFonts w:ascii="Calibri" w:hAnsi="Calibri"/>
          <w:snapToGrid w:val="0"/>
          <w:sz w:val="22"/>
          <w:szCs w:val="22"/>
          <w:lang w:eastAsia="en-US"/>
        </w:rPr>
        <w:t>, mind a következő változó kamatfizetés, bejövő tranzakció (vagy a kettő különbözetének nettó módon történő pénzügyi kiegyenlítése)</w:t>
      </w:r>
      <w:r w:rsidRPr="003B7DA2">
        <w:rPr>
          <w:rFonts w:ascii="Calibri" w:hAnsi="Calibri"/>
          <w:snapToGrid w:val="0"/>
          <w:sz w:val="22"/>
          <w:szCs w:val="22"/>
          <w:lang w:eastAsia="en-US"/>
        </w:rPr>
        <w:t xml:space="preserve"> </w:t>
      </w:r>
      <w:r w:rsidR="00A37F7F" w:rsidRPr="003B7DA2">
        <w:rPr>
          <w:rFonts w:ascii="Calibri" w:hAnsi="Calibri"/>
          <w:snapToGrid w:val="0"/>
          <w:sz w:val="22"/>
          <w:szCs w:val="22"/>
          <w:lang w:eastAsia="en-US"/>
        </w:rPr>
        <w:t xml:space="preserve">a követelés táblában szerepeltethető anélkül, hogy a tranzakció időpontjában kiértékelnénk az ügyletet, </w:t>
      </w:r>
      <w:r w:rsidRPr="003B7DA2">
        <w:rPr>
          <w:rFonts w:ascii="Calibri" w:hAnsi="Calibri"/>
          <w:snapToGrid w:val="0"/>
          <w:sz w:val="22"/>
          <w:szCs w:val="22"/>
          <w:lang w:eastAsia="en-US"/>
        </w:rPr>
        <w:t xml:space="preserve">mivel júliusban a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megállapodás kiértékelt nyitó állománya (vagyis a június végi záró állomány) + 20 millió EUR volt</w:t>
      </w:r>
      <w:r w:rsidR="00744347"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A</w:t>
      </w:r>
      <w:r w:rsidR="00A37F7F" w:rsidRPr="003B7DA2">
        <w:rPr>
          <w:rFonts w:ascii="Calibri" w:hAnsi="Calibri"/>
          <w:snapToGrid w:val="0"/>
          <w:sz w:val="22"/>
          <w:szCs w:val="22"/>
          <w:lang w:eastAsia="en-US"/>
        </w:rPr>
        <w:t xml:space="preserve"> júliusi</w:t>
      </w:r>
      <w:r w:rsidRPr="003B7DA2">
        <w:rPr>
          <w:rFonts w:ascii="Calibri" w:hAnsi="Calibri"/>
          <w:snapToGrid w:val="0"/>
          <w:sz w:val="22"/>
          <w:szCs w:val="22"/>
          <w:lang w:eastAsia="en-US"/>
        </w:rPr>
        <w:t xml:space="preserve"> tranzakció időpontjában az árfolyam 230 HUF/EUR, ezért a kifizetésre került 15 ezer EUR </w:t>
      </w:r>
      <w:r w:rsidR="00A37F7F" w:rsidRPr="003B7DA2">
        <w:rPr>
          <w:rFonts w:ascii="Calibri" w:hAnsi="Calibri"/>
          <w:snapToGrid w:val="0"/>
          <w:sz w:val="22"/>
          <w:szCs w:val="22"/>
          <w:lang w:eastAsia="en-US"/>
        </w:rPr>
        <w:t xml:space="preserve">fix kamatfizetés </w:t>
      </w:r>
      <w:r w:rsidRPr="003B7DA2">
        <w:rPr>
          <w:rFonts w:ascii="Calibri" w:hAnsi="Calibri"/>
          <w:snapToGrid w:val="0"/>
          <w:sz w:val="22"/>
          <w:szCs w:val="22"/>
          <w:lang w:eastAsia="en-US"/>
        </w:rPr>
        <w:t>forint ellenértéke: 3.450 ezer Ft</w:t>
      </w:r>
      <w:r w:rsidR="00A37F7F" w:rsidRPr="003B7DA2">
        <w:rPr>
          <w:rFonts w:ascii="Calibri" w:hAnsi="Calibri"/>
          <w:snapToGrid w:val="0"/>
          <w:sz w:val="22"/>
          <w:szCs w:val="22"/>
          <w:lang w:eastAsia="en-US"/>
        </w:rPr>
        <w:t>, míg a változó kamatbefolyás összege forintban 1.</w:t>
      </w:r>
      <w:r w:rsidR="00146264" w:rsidRPr="003B7DA2">
        <w:rPr>
          <w:rFonts w:ascii="Calibri" w:hAnsi="Calibri"/>
          <w:snapToGrid w:val="0"/>
          <w:sz w:val="22"/>
          <w:szCs w:val="22"/>
          <w:lang w:eastAsia="en-US"/>
        </w:rPr>
        <w:t>7</w:t>
      </w:r>
      <w:r w:rsidR="00A37F7F" w:rsidRPr="003B7DA2">
        <w:rPr>
          <w:rFonts w:ascii="Calibri" w:hAnsi="Calibri"/>
          <w:snapToGrid w:val="0"/>
          <w:sz w:val="22"/>
          <w:szCs w:val="22"/>
          <w:lang w:eastAsia="en-US"/>
        </w:rPr>
        <w:t>0</w:t>
      </w:r>
      <w:r w:rsidR="00146264" w:rsidRPr="003B7DA2">
        <w:rPr>
          <w:rFonts w:ascii="Calibri" w:hAnsi="Calibri"/>
          <w:snapToGrid w:val="0"/>
          <w:sz w:val="22"/>
          <w:szCs w:val="22"/>
          <w:lang w:eastAsia="en-US"/>
        </w:rPr>
        <w:t>2</w:t>
      </w:r>
      <w:r w:rsidR="00A37F7F" w:rsidRPr="003B7DA2">
        <w:rPr>
          <w:rFonts w:ascii="Calibri" w:hAnsi="Calibri"/>
          <w:snapToGrid w:val="0"/>
          <w:sz w:val="22"/>
          <w:szCs w:val="22"/>
          <w:lang w:eastAsia="en-US"/>
        </w:rPr>
        <w:t xml:space="preserve"> ezer volt.</w:t>
      </w:r>
      <w:r w:rsidRPr="003B7DA2">
        <w:rPr>
          <w:rFonts w:ascii="Calibri" w:hAnsi="Calibri"/>
          <w:snapToGrid w:val="0"/>
          <w:sz w:val="22"/>
          <w:szCs w:val="22"/>
          <w:lang w:eastAsia="en-US"/>
        </w:rPr>
        <w:t xml:space="preserve"> </w:t>
      </w:r>
    </w:p>
    <w:p w14:paraId="591874B1" w14:textId="77777777" w:rsidR="0042568A" w:rsidRPr="003B7DA2" w:rsidRDefault="0042568A" w:rsidP="0042568A">
      <w:pPr>
        <w:pStyle w:val="BodyText"/>
        <w:rPr>
          <w:rFonts w:ascii="Calibri" w:hAnsi="Calibri"/>
          <w:bCs/>
          <w:sz w:val="22"/>
          <w:szCs w:val="22"/>
        </w:rPr>
      </w:pPr>
    </w:p>
    <w:p w14:paraId="1A4189E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Januárban, az ügylet indulásakor tehát a nyitó állomány 0, a záró állomány a követelés táblában 10 millió Ft a kiértékelés alapján,</w:t>
      </w:r>
      <w:r w:rsidR="00744347" w:rsidRPr="003B7DA2">
        <w:rPr>
          <w:rFonts w:ascii="Calibri" w:hAnsi="Calibri"/>
          <w:bCs/>
          <w:sz w:val="22"/>
          <w:szCs w:val="22"/>
        </w:rPr>
        <w:t xml:space="preserve"> amely az átértékelés eredménye.</w:t>
      </w:r>
    </w:p>
    <w:p w14:paraId="5F5480CA" w14:textId="77777777" w:rsidR="0042568A" w:rsidRPr="003B7DA2" w:rsidRDefault="0042568A" w:rsidP="0042568A">
      <w:pPr>
        <w:pStyle w:val="BodyText"/>
        <w:rPr>
          <w:rFonts w:ascii="Calibri" w:hAnsi="Calibri"/>
          <w:bCs/>
          <w:sz w:val="22"/>
          <w:szCs w:val="22"/>
        </w:rPr>
      </w:pPr>
    </w:p>
    <w:p w14:paraId="47DDBAB8"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281"/>
        <w:gridCol w:w="900"/>
        <w:gridCol w:w="1131"/>
        <w:gridCol w:w="1131"/>
        <w:gridCol w:w="1316"/>
        <w:gridCol w:w="1208"/>
        <w:gridCol w:w="1253"/>
      </w:tblGrid>
      <w:tr w:rsidR="0042568A" w:rsidRPr="003B7DA2" w14:paraId="4DC26F13" w14:textId="77777777" w:rsidTr="00D45209">
        <w:tc>
          <w:tcPr>
            <w:tcW w:w="913" w:type="dxa"/>
            <w:vMerge w:val="restart"/>
          </w:tcPr>
          <w:p w14:paraId="20510FEB"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60DC7380"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0447DA22"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5387FBA7"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22CE2371"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59325D7F"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7C39BADB"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286BF09B" w14:textId="77777777" w:rsidTr="00D45209">
        <w:tc>
          <w:tcPr>
            <w:tcW w:w="913" w:type="dxa"/>
            <w:vMerge/>
          </w:tcPr>
          <w:p w14:paraId="372C0E22" w14:textId="77777777" w:rsidR="0042568A" w:rsidRPr="003B7DA2" w:rsidRDefault="0042568A" w:rsidP="0042568A">
            <w:pPr>
              <w:pStyle w:val="BodyText"/>
              <w:rPr>
                <w:rFonts w:ascii="Calibri" w:hAnsi="Calibri"/>
                <w:b/>
                <w:bCs/>
                <w:sz w:val="22"/>
                <w:szCs w:val="22"/>
                <w:u w:val="single"/>
              </w:rPr>
            </w:pPr>
          </w:p>
        </w:tc>
        <w:tc>
          <w:tcPr>
            <w:tcW w:w="1137" w:type="dxa"/>
            <w:vMerge/>
          </w:tcPr>
          <w:p w14:paraId="30270D36" w14:textId="77777777" w:rsidR="0042568A" w:rsidRPr="003B7DA2" w:rsidRDefault="0042568A" w:rsidP="0042568A">
            <w:pPr>
              <w:pStyle w:val="BodyText"/>
              <w:rPr>
                <w:rFonts w:ascii="Calibri" w:hAnsi="Calibri"/>
                <w:b/>
                <w:bCs/>
                <w:sz w:val="22"/>
                <w:szCs w:val="22"/>
                <w:u w:val="single"/>
              </w:rPr>
            </w:pPr>
          </w:p>
        </w:tc>
        <w:tc>
          <w:tcPr>
            <w:tcW w:w="918" w:type="dxa"/>
            <w:vMerge/>
          </w:tcPr>
          <w:p w14:paraId="6532A8CE" w14:textId="77777777" w:rsidR="0042568A" w:rsidRPr="003B7DA2" w:rsidRDefault="0042568A" w:rsidP="0042568A">
            <w:pPr>
              <w:pStyle w:val="BodyText"/>
              <w:rPr>
                <w:rFonts w:ascii="Calibri" w:hAnsi="Calibri"/>
                <w:b/>
                <w:bCs/>
                <w:sz w:val="22"/>
                <w:szCs w:val="22"/>
                <w:u w:val="single"/>
              </w:rPr>
            </w:pPr>
          </w:p>
        </w:tc>
        <w:tc>
          <w:tcPr>
            <w:tcW w:w="1025" w:type="dxa"/>
          </w:tcPr>
          <w:p w14:paraId="6382DF05"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2EB2AA2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1736136D"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1094091A"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1A2DEF62" w14:textId="77777777" w:rsidR="0042568A" w:rsidRPr="003B7DA2" w:rsidRDefault="0042568A" w:rsidP="0042568A">
            <w:pPr>
              <w:pStyle w:val="BodyText"/>
              <w:rPr>
                <w:rFonts w:ascii="Calibri" w:hAnsi="Calibri" w:cs="Arial"/>
                <w:sz w:val="22"/>
                <w:szCs w:val="22"/>
              </w:rPr>
            </w:pPr>
          </w:p>
        </w:tc>
        <w:tc>
          <w:tcPr>
            <w:tcW w:w="1260" w:type="dxa"/>
            <w:vMerge/>
          </w:tcPr>
          <w:p w14:paraId="6F453A45" w14:textId="77777777" w:rsidR="0042568A" w:rsidRPr="003B7DA2" w:rsidRDefault="0042568A" w:rsidP="0042568A">
            <w:pPr>
              <w:pStyle w:val="BodyText"/>
              <w:rPr>
                <w:rFonts w:ascii="Calibri" w:hAnsi="Calibri" w:cs="Arial"/>
                <w:sz w:val="22"/>
                <w:szCs w:val="22"/>
              </w:rPr>
            </w:pPr>
          </w:p>
        </w:tc>
        <w:tc>
          <w:tcPr>
            <w:tcW w:w="1620" w:type="dxa"/>
            <w:vMerge/>
          </w:tcPr>
          <w:p w14:paraId="4DD967B2" w14:textId="77777777" w:rsidR="0042568A" w:rsidRPr="003B7DA2" w:rsidRDefault="0042568A" w:rsidP="0042568A">
            <w:pPr>
              <w:pStyle w:val="BodyText"/>
              <w:rPr>
                <w:rFonts w:ascii="Calibri" w:hAnsi="Calibri" w:cs="Arial"/>
                <w:sz w:val="22"/>
                <w:szCs w:val="22"/>
              </w:rPr>
            </w:pPr>
          </w:p>
        </w:tc>
      </w:tr>
      <w:tr w:rsidR="0042568A" w:rsidRPr="003B7DA2" w14:paraId="0E3542F6" w14:textId="77777777" w:rsidTr="00D45209">
        <w:tc>
          <w:tcPr>
            <w:tcW w:w="913" w:type="dxa"/>
          </w:tcPr>
          <w:p w14:paraId="4FFA3516"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1137" w:type="dxa"/>
          </w:tcPr>
          <w:p w14:paraId="4CD37178"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918" w:type="dxa"/>
          </w:tcPr>
          <w:p w14:paraId="66B4F8AF"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47B54796"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1088228E"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51A26BFD"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260" w:type="dxa"/>
          </w:tcPr>
          <w:p w14:paraId="5F15B0E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5E30B8FA"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2C569FAD" w14:textId="77777777" w:rsidR="0042568A" w:rsidRPr="003B7DA2" w:rsidRDefault="0042568A" w:rsidP="0042568A">
      <w:pPr>
        <w:pStyle w:val="BodyText"/>
        <w:rPr>
          <w:rFonts w:ascii="Calibri" w:hAnsi="Calibri"/>
          <w:bCs/>
          <w:sz w:val="22"/>
          <w:szCs w:val="22"/>
        </w:rPr>
      </w:pPr>
    </w:p>
    <w:p w14:paraId="12386E31"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Február végén az ügylet veszteséges, tehát a 10 millió Ft záró állomány a DERT táblában kerül jelentésre: itt 0 nyitó és 10 millió forintos záró állomány, s ugyanekkora összegű átértékelés jelentendő. Ugyanakkor a DERK táblában e soron a 10 millió forintos nyitó állomány mellett 0 záró állományt találunk, a különbség az állományt csökkentő átértékelés, tehát negatív előjelű.</w:t>
      </w:r>
    </w:p>
    <w:p w14:paraId="19E80613" w14:textId="77777777" w:rsidR="0042568A" w:rsidRPr="003B7DA2" w:rsidRDefault="0042568A" w:rsidP="0042568A">
      <w:pPr>
        <w:pStyle w:val="BodyText"/>
        <w:rPr>
          <w:rFonts w:ascii="Calibri" w:hAnsi="Calibri"/>
          <w:bCs/>
          <w:sz w:val="22"/>
          <w:szCs w:val="22"/>
        </w:rPr>
      </w:pPr>
    </w:p>
    <w:p w14:paraId="753DCA2F" w14:textId="77777777" w:rsidR="0042568A" w:rsidRPr="003B7DA2" w:rsidRDefault="0042568A" w:rsidP="0042568A">
      <w:pPr>
        <w:pStyle w:val="BodyText"/>
        <w:rPr>
          <w:rFonts w:ascii="Calibri" w:hAnsi="Calibri"/>
          <w:bCs/>
          <w:sz w:val="22"/>
          <w:szCs w:val="22"/>
        </w:rPr>
      </w:pPr>
    </w:p>
    <w:p w14:paraId="5E82719F"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51102346" w14:textId="77777777" w:rsidTr="00D45209">
        <w:tc>
          <w:tcPr>
            <w:tcW w:w="913" w:type="dxa"/>
            <w:vMerge w:val="restart"/>
          </w:tcPr>
          <w:p w14:paraId="4D4DC70A"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3BD9A226"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272E6BA4"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3AE43245"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5F6943AD"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6456300B"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597DFAEC"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0DFCA26C" w14:textId="77777777" w:rsidTr="00D45209">
        <w:tc>
          <w:tcPr>
            <w:tcW w:w="913" w:type="dxa"/>
            <w:vMerge/>
          </w:tcPr>
          <w:p w14:paraId="732611B6" w14:textId="77777777" w:rsidR="0042568A" w:rsidRPr="003B7DA2" w:rsidRDefault="0042568A" w:rsidP="0042568A">
            <w:pPr>
              <w:pStyle w:val="BodyText"/>
              <w:rPr>
                <w:rFonts w:ascii="Calibri" w:hAnsi="Calibri"/>
                <w:b/>
                <w:bCs/>
                <w:sz w:val="22"/>
                <w:szCs w:val="22"/>
                <w:u w:val="single"/>
              </w:rPr>
            </w:pPr>
          </w:p>
        </w:tc>
        <w:tc>
          <w:tcPr>
            <w:tcW w:w="815" w:type="dxa"/>
            <w:vMerge/>
          </w:tcPr>
          <w:p w14:paraId="168278CB" w14:textId="77777777" w:rsidR="0042568A" w:rsidRPr="003B7DA2" w:rsidRDefault="0042568A" w:rsidP="0042568A">
            <w:pPr>
              <w:pStyle w:val="BodyText"/>
              <w:rPr>
                <w:rFonts w:ascii="Calibri" w:hAnsi="Calibri"/>
                <w:b/>
                <w:bCs/>
                <w:sz w:val="22"/>
                <w:szCs w:val="22"/>
                <w:u w:val="single"/>
              </w:rPr>
            </w:pPr>
          </w:p>
        </w:tc>
        <w:tc>
          <w:tcPr>
            <w:tcW w:w="1240" w:type="dxa"/>
            <w:vMerge/>
          </w:tcPr>
          <w:p w14:paraId="2660B906" w14:textId="77777777" w:rsidR="0042568A" w:rsidRPr="003B7DA2" w:rsidRDefault="0042568A" w:rsidP="0042568A">
            <w:pPr>
              <w:pStyle w:val="BodyText"/>
              <w:rPr>
                <w:rFonts w:ascii="Calibri" w:hAnsi="Calibri"/>
                <w:b/>
                <w:bCs/>
                <w:sz w:val="22"/>
                <w:szCs w:val="22"/>
                <w:u w:val="single"/>
              </w:rPr>
            </w:pPr>
          </w:p>
        </w:tc>
        <w:tc>
          <w:tcPr>
            <w:tcW w:w="1025" w:type="dxa"/>
          </w:tcPr>
          <w:p w14:paraId="67A6D446"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062A6B0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2457DC95"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59B60416"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36C7B688" w14:textId="77777777" w:rsidR="0042568A" w:rsidRPr="003B7DA2" w:rsidRDefault="0042568A" w:rsidP="0042568A">
            <w:pPr>
              <w:pStyle w:val="BodyText"/>
              <w:rPr>
                <w:rFonts w:ascii="Calibri" w:hAnsi="Calibri" w:cs="Arial"/>
                <w:sz w:val="22"/>
                <w:szCs w:val="22"/>
              </w:rPr>
            </w:pPr>
          </w:p>
        </w:tc>
        <w:tc>
          <w:tcPr>
            <w:tcW w:w="1260" w:type="dxa"/>
            <w:vMerge/>
          </w:tcPr>
          <w:p w14:paraId="26B24085" w14:textId="77777777" w:rsidR="0042568A" w:rsidRPr="003B7DA2" w:rsidRDefault="0042568A" w:rsidP="0042568A">
            <w:pPr>
              <w:pStyle w:val="BodyText"/>
              <w:rPr>
                <w:rFonts w:ascii="Calibri" w:hAnsi="Calibri" w:cs="Arial"/>
                <w:sz w:val="22"/>
                <w:szCs w:val="22"/>
              </w:rPr>
            </w:pPr>
          </w:p>
        </w:tc>
        <w:tc>
          <w:tcPr>
            <w:tcW w:w="1620" w:type="dxa"/>
            <w:vMerge/>
          </w:tcPr>
          <w:p w14:paraId="1F62023D" w14:textId="77777777" w:rsidR="0042568A" w:rsidRPr="003B7DA2" w:rsidRDefault="0042568A" w:rsidP="0042568A">
            <w:pPr>
              <w:pStyle w:val="BodyText"/>
              <w:rPr>
                <w:rFonts w:ascii="Calibri" w:hAnsi="Calibri" w:cs="Arial"/>
                <w:sz w:val="22"/>
                <w:szCs w:val="22"/>
              </w:rPr>
            </w:pPr>
          </w:p>
        </w:tc>
      </w:tr>
      <w:tr w:rsidR="0042568A" w:rsidRPr="003B7DA2" w14:paraId="2721DB13" w14:textId="77777777" w:rsidTr="00D45209">
        <w:tc>
          <w:tcPr>
            <w:tcW w:w="913" w:type="dxa"/>
          </w:tcPr>
          <w:p w14:paraId="2FEFCEEB"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1DE1E45E"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7E029933"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25" w:type="dxa"/>
          </w:tcPr>
          <w:p w14:paraId="44BC3C6D"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04670807"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7FABB3A1"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260" w:type="dxa"/>
          </w:tcPr>
          <w:p w14:paraId="79172571"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080446EE"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14:paraId="58DE2DBC" w14:textId="77777777" w:rsidR="0042568A" w:rsidRPr="003B7DA2" w:rsidRDefault="0042568A" w:rsidP="0042568A">
      <w:pPr>
        <w:pStyle w:val="BodyText"/>
        <w:rPr>
          <w:rFonts w:ascii="Calibri" w:hAnsi="Calibri"/>
          <w:bCs/>
          <w:sz w:val="22"/>
          <w:szCs w:val="22"/>
        </w:rPr>
      </w:pPr>
    </w:p>
    <w:p w14:paraId="5E8D6A39" w14:textId="77777777" w:rsidR="0042568A" w:rsidRPr="003B7DA2" w:rsidRDefault="0042568A" w:rsidP="0042568A">
      <w:pPr>
        <w:pStyle w:val="BodyText"/>
        <w:rPr>
          <w:rFonts w:ascii="Calibri" w:hAnsi="Calibri"/>
          <w:b/>
          <w:bCs/>
          <w:sz w:val="22"/>
          <w:szCs w:val="22"/>
          <w:u w:val="single"/>
        </w:rPr>
      </w:pPr>
    </w:p>
    <w:p w14:paraId="7231003E"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lastRenderedPageBreak/>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81"/>
        <w:gridCol w:w="902"/>
        <w:gridCol w:w="1131"/>
        <w:gridCol w:w="1131"/>
        <w:gridCol w:w="1242"/>
        <w:gridCol w:w="1156"/>
        <w:gridCol w:w="1369"/>
      </w:tblGrid>
      <w:tr w:rsidR="0042568A" w:rsidRPr="003B7DA2" w14:paraId="3B8A8748" w14:textId="77777777" w:rsidTr="00D45209">
        <w:tc>
          <w:tcPr>
            <w:tcW w:w="913" w:type="dxa"/>
            <w:vMerge w:val="restart"/>
          </w:tcPr>
          <w:p w14:paraId="5CE34E2C"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73ACD5F"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45E571C1"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0E49D474"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416829BA"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54159844"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14:paraId="5B7F3E6B"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2A1807EB" w14:textId="77777777" w:rsidTr="00D45209">
        <w:tc>
          <w:tcPr>
            <w:tcW w:w="913" w:type="dxa"/>
            <w:vMerge/>
          </w:tcPr>
          <w:p w14:paraId="4C74AB06" w14:textId="77777777" w:rsidR="0042568A" w:rsidRPr="003B7DA2" w:rsidRDefault="0042568A" w:rsidP="0042568A">
            <w:pPr>
              <w:pStyle w:val="BodyText"/>
              <w:rPr>
                <w:rFonts w:ascii="Calibri" w:hAnsi="Calibri"/>
                <w:b/>
                <w:bCs/>
                <w:sz w:val="22"/>
                <w:szCs w:val="22"/>
                <w:u w:val="single"/>
              </w:rPr>
            </w:pPr>
          </w:p>
        </w:tc>
        <w:tc>
          <w:tcPr>
            <w:tcW w:w="1137" w:type="dxa"/>
            <w:vMerge/>
          </w:tcPr>
          <w:p w14:paraId="32D1E52A" w14:textId="77777777" w:rsidR="0042568A" w:rsidRPr="003B7DA2" w:rsidRDefault="0042568A" w:rsidP="0042568A">
            <w:pPr>
              <w:pStyle w:val="BodyText"/>
              <w:rPr>
                <w:rFonts w:ascii="Calibri" w:hAnsi="Calibri"/>
                <w:b/>
                <w:bCs/>
                <w:sz w:val="22"/>
                <w:szCs w:val="22"/>
                <w:u w:val="single"/>
              </w:rPr>
            </w:pPr>
          </w:p>
        </w:tc>
        <w:tc>
          <w:tcPr>
            <w:tcW w:w="918" w:type="dxa"/>
            <w:vMerge/>
          </w:tcPr>
          <w:p w14:paraId="395149E2" w14:textId="77777777" w:rsidR="0042568A" w:rsidRPr="003B7DA2" w:rsidRDefault="0042568A" w:rsidP="0042568A">
            <w:pPr>
              <w:pStyle w:val="BodyText"/>
              <w:rPr>
                <w:rFonts w:ascii="Calibri" w:hAnsi="Calibri"/>
                <w:b/>
                <w:bCs/>
                <w:sz w:val="22"/>
                <w:szCs w:val="22"/>
                <w:u w:val="single"/>
              </w:rPr>
            </w:pPr>
          </w:p>
        </w:tc>
        <w:tc>
          <w:tcPr>
            <w:tcW w:w="1025" w:type="dxa"/>
          </w:tcPr>
          <w:p w14:paraId="7E8C43D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14:paraId="66132F53"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127" w:type="dxa"/>
            <w:vMerge/>
          </w:tcPr>
          <w:p w14:paraId="090B6131" w14:textId="77777777" w:rsidR="0042568A" w:rsidRPr="003B7DA2" w:rsidRDefault="0042568A" w:rsidP="0042568A">
            <w:pPr>
              <w:pStyle w:val="BodyText"/>
              <w:rPr>
                <w:rFonts w:ascii="Calibri" w:hAnsi="Calibri" w:cs="Arial"/>
                <w:sz w:val="22"/>
                <w:szCs w:val="22"/>
              </w:rPr>
            </w:pPr>
          </w:p>
        </w:tc>
        <w:tc>
          <w:tcPr>
            <w:tcW w:w="1033" w:type="dxa"/>
            <w:vMerge/>
          </w:tcPr>
          <w:p w14:paraId="149C46B5" w14:textId="77777777" w:rsidR="0042568A" w:rsidRPr="003B7DA2" w:rsidRDefault="0042568A" w:rsidP="0042568A">
            <w:pPr>
              <w:pStyle w:val="BodyText"/>
              <w:rPr>
                <w:rFonts w:ascii="Calibri" w:hAnsi="Calibri" w:cs="Arial"/>
                <w:sz w:val="22"/>
                <w:szCs w:val="22"/>
              </w:rPr>
            </w:pPr>
          </w:p>
        </w:tc>
        <w:tc>
          <w:tcPr>
            <w:tcW w:w="1750" w:type="dxa"/>
            <w:vMerge/>
          </w:tcPr>
          <w:p w14:paraId="4A51402E" w14:textId="77777777" w:rsidR="0042568A" w:rsidRPr="003B7DA2" w:rsidRDefault="0042568A" w:rsidP="0042568A">
            <w:pPr>
              <w:pStyle w:val="BodyText"/>
              <w:rPr>
                <w:rFonts w:ascii="Calibri" w:hAnsi="Calibri" w:cs="Arial"/>
                <w:sz w:val="22"/>
                <w:szCs w:val="22"/>
              </w:rPr>
            </w:pPr>
          </w:p>
        </w:tc>
      </w:tr>
      <w:tr w:rsidR="0042568A" w:rsidRPr="003B7DA2" w14:paraId="1C1348C9" w14:textId="77777777" w:rsidTr="00D45209">
        <w:tc>
          <w:tcPr>
            <w:tcW w:w="913" w:type="dxa"/>
          </w:tcPr>
          <w:p w14:paraId="76F488BA"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1137" w:type="dxa"/>
          </w:tcPr>
          <w:p w14:paraId="1E2E36EB"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918" w:type="dxa"/>
          </w:tcPr>
          <w:p w14:paraId="6DFD85D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3204C3AE"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7BD3A8C6"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127" w:type="dxa"/>
          </w:tcPr>
          <w:p w14:paraId="01FEA779" w14:textId="77777777"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33" w:type="dxa"/>
          </w:tcPr>
          <w:p w14:paraId="216B8408"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750" w:type="dxa"/>
          </w:tcPr>
          <w:p w14:paraId="34B4EDCB"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2ADBF7CD" w14:textId="77777777" w:rsidR="0042568A" w:rsidRPr="003B7DA2" w:rsidRDefault="0042568A" w:rsidP="0042568A">
      <w:pPr>
        <w:pStyle w:val="BodyText"/>
        <w:rPr>
          <w:rFonts w:ascii="Calibri" w:hAnsi="Calibri"/>
          <w:bCs/>
          <w:sz w:val="22"/>
          <w:szCs w:val="22"/>
        </w:rPr>
      </w:pPr>
    </w:p>
    <w:p w14:paraId="53BE3077" w14:textId="77777777" w:rsidR="0042568A" w:rsidRPr="003B7DA2" w:rsidRDefault="0042568A" w:rsidP="0042568A">
      <w:pPr>
        <w:pStyle w:val="BodyText"/>
        <w:rPr>
          <w:rFonts w:ascii="Calibri" w:hAnsi="Calibri"/>
          <w:bCs/>
          <w:sz w:val="22"/>
          <w:szCs w:val="22"/>
        </w:rPr>
      </w:pPr>
    </w:p>
    <w:p w14:paraId="42561986"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Március végére az ügylet ismét nyereségessé válik. Kamatfizetés, tehát tranzakció még nem volt, jelentendők a nyitó és záró pozíciók és az átértékelés összege. Most a DERT táblából kerül átvezetésre 0 záró pozíción keresztül az ügylet a DERK táblába, az átértékelések segítségével: </w:t>
      </w:r>
    </w:p>
    <w:p w14:paraId="7C1E10C7" w14:textId="77777777" w:rsidR="0042568A" w:rsidRPr="003B7DA2" w:rsidRDefault="0042568A" w:rsidP="0042568A">
      <w:pPr>
        <w:pStyle w:val="BodyText"/>
        <w:rPr>
          <w:rFonts w:ascii="Calibri" w:hAnsi="Calibri"/>
          <w:bCs/>
          <w:sz w:val="22"/>
          <w:szCs w:val="22"/>
        </w:rPr>
      </w:pPr>
    </w:p>
    <w:p w14:paraId="2876A019"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185C11B1" w14:textId="77777777" w:rsidTr="00D45209">
        <w:tc>
          <w:tcPr>
            <w:tcW w:w="913" w:type="dxa"/>
            <w:vMerge w:val="restart"/>
          </w:tcPr>
          <w:p w14:paraId="69E8B805"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1FE888F6"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36DB037C"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0B2175C8"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1DB022F2"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0939549E"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776FD570"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664713B2" w14:textId="77777777" w:rsidTr="00D45209">
        <w:tc>
          <w:tcPr>
            <w:tcW w:w="913" w:type="dxa"/>
            <w:vMerge/>
          </w:tcPr>
          <w:p w14:paraId="1F1F6B46" w14:textId="77777777" w:rsidR="0042568A" w:rsidRPr="003B7DA2" w:rsidRDefault="0042568A" w:rsidP="0042568A">
            <w:pPr>
              <w:pStyle w:val="BodyText"/>
              <w:rPr>
                <w:rFonts w:ascii="Calibri" w:hAnsi="Calibri"/>
                <w:b/>
                <w:bCs/>
                <w:sz w:val="22"/>
                <w:szCs w:val="22"/>
                <w:u w:val="single"/>
              </w:rPr>
            </w:pPr>
          </w:p>
        </w:tc>
        <w:tc>
          <w:tcPr>
            <w:tcW w:w="815" w:type="dxa"/>
            <w:vMerge/>
          </w:tcPr>
          <w:p w14:paraId="13632A35" w14:textId="77777777" w:rsidR="0042568A" w:rsidRPr="003B7DA2" w:rsidRDefault="0042568A" w:rsidP="0042568A">
            <w:pPr>
              <w:pStyle w:val="BodyText"/>
              <w:rPr>
                <w:rFonts w:ascii="Calibri" w:hAnsi="Calibri"/>
                <w:b/>
                <w:bCs/>
                <w:sz w:val="22"/>
                <w:szCs w:val="22"/>
                <w:u w:val="single"/>
              </w:rPr>
            </w:pPr>
          </w:p>
        </w:tc>
        <w:tc>
          <w:tcPr>
            <w:tcW w:w="1240" w:type="dxa"/>
            <w:vMerge/>
          </w:tcPr>
          <w:p w14:paraId="5E56FB8F" w14:textId="77777777" w:rsidR="0042568A" w:rsidRPr="003B7DA2" w:rsidRDefault="0042568A" w:rsidP="0042568A">
            <w:pPr>
              <w:pStyle w:val="BodyText"/>
              <w:rPr>
                <w:rFonts w:ascii="Calibri" w:hAnsi="Calibri"/>
                <w:b/>
                <w:bCs/>
                <w:sz w:val="22"/>
                <w:szCs w:val="22"/>
                <w:u w:val="single"/>
              </w:rPr>
            </w:pPr>
          </w:p>
        </w:tc>
        <w:tc>
          <w:tcPr>
            <w:tcW w:w="1025" w:type="dxa"/>
          </w:tcPr>
          <w:p w14:paraId="49FD81A7"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1D63C24E"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1721EDA0"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0BA5CAF3"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72678C1D" w14:textId="77777777" w:rsidR="0042568A" w:rsidRPr="003B7DA2" w:rsidRDefault="0042568A" w:rsidP="0042568A">
            <w:pPr>
              <w:pStyle w:val="BodyText"/>
              <w:rPr>
                <w:rFonts w:ascii="Calibri" w:hAnsi="Calibri" w:cs="Arial"/>
                <w:sz w:val="22"/>
                <w:szCs w:val="22"/>
              </w:rPr>
            </w:pPr>
          </w:p>
        </w:tc>
        <w:tc>
          <w:tcPr>
            <w:tcW w:w="1260" w:type="dxa"/>
            <w:vMerge/>
          </w:tcPr>
          <w:p w14:paraId="09772B73" w14:textId="77777777" w:rsidR="0042568A" w:rsidRPr="003B7DA2" w:rsidRDefault="0042568A" w:rsidP="0042568A">
            <w:pPr>
              <w:pStyle w:val="BodyText"/>
              <w:rPr>
                <w:rFonts w:ascii="Calibri" w:hAnsi="Calibri" w:cs="Arial"/>
                <w:sz w:val="22"/>
                <w:szCs w:val="22"/>
              </w:rPr>
            </w:pPr>
          </w:p>
        </w:tc>
        <w:tc>
          <w:tcPr>
            <w:tcW w:w="1620" w:type="dxa"/>
            <w:vMerge/>
          </w:tcPr>
          <w:p w14:paraId="3BCA9872" w14:textId="77777777" w:rsidR="0042568A" w:rsidRPr="003B7DA2" w:rsidRDefault="0042568A" w:rsidP="0042568A">
            <w:pPr>
              <w:pStyle w:val="BodyText"/>
              <w:rPr>
                <w:rFonts w:ascii="Calibri" w:hAnsi="Calibri" w:cs="Arial"/>
                <w:sz w:val="22"/>
                <w:szCs w:val="22"/>
              </w:rPr>
            </w:pPr>
          </w:p>
        </w:tc>
      </w:tr>
      <w:tr w:rsidR="0042568A" w:rsidRPr="003B7DA2" w14:paraId="75E04E11" w14:textId="77777777" w:rsidTr="00D45209">
        <w:tc>
          <w:tcPr>
            <w:tcW w:w="913" w:type="dxa"/>
          </w:tcPr>
          <w:p w14:paraId="4FCB7C0A"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4C626672"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760102F2"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1FDAEE7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2CFAD1C0"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2D4D8506"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260" w:type="dxa"/>
          </w:tcPr>
          <w:p w14:paraId="11F4FB98"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7E64A37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r>
    </w:tbl>
    <w:p w14:paraId="391FDEC8" w14:textId="77777777" w:rsidR="0042568A" w:rsidRPr="003B7DA2" w:rsidRDefault="0042568A" w:rsidP="0042568A">
      <w:pPr>
        <w:pStyle w:val="BodyText"/>
        <w:rPr>
          <w:rFonts w:ascii="Calibri" w:hAnsi="Calibri"/>
          <w:b/>
          <w:bCs/>
          <w:sz w:val="22"/>
          <w:szCs w:val="22"/>
          <w:u w:val="single"/>
        </w:rPr>
      </w:pPr>
    </w:p>
    <w:p w14:paraId="16B27B32" w14:textId="77777777" w:rsidR="0042568A" w:rsidRPr="003B7DA2" w:rsidRDefault="0042568A" w:rsidP="0042568A">
      <w:pPr>
        <w:pStyle w:val="BodyText"/>
        <w:rPr>
          <w:rFonts w:ascii="Calibri" w:hAnsi="Calibri"/>
          <w:b/>
          <w:bCs/>
          <w:sz w:val="22"/>
          <w:szCs w:val="22"/>
          <w:u w:val="single"/>
        </w:rPr>
      </w:pPr>
    </w:p>
    <w:p w14:paraId="582CED27"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950"/>
        <w:gridCol w:w="1750"/>
      </w:tblGrid>
      <w:tr w:rsidR="0042568A" w:rsidRPr="003B7DA2" w14:paraId="200D422D" w14:textId="77777777" w:rsidTr="00D45209">
        <w:tc>
          <w:tcPr>
            <w:tcW w:w="913" w:type="dxa"/>
            <w:vMerge w:val="restart"/>
          </w:tcPr>
          <w:p w14:paraId="4E92CFA7"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71351561"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1C8210AB"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44C62F49"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14:paraId="0210E21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950" w:type="dxa"/>
            <w:vMerge w:val="restart"/>
            <w:vAlign w:val="center"/>
          </w:tcPr>
          <w:p w14:paraId="5CBDFBF2"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14:paraId="7F775538"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478C1805" w14:textId="77777777" w:rsidTr="00D45209">
        <w:tc>
          <w:tcPr>
            <w:tcW w:w="913" w:type="dxa"/>
            <w:vMerge/>
          </w:tcPr>
          <w:p w14:paraId="37B08380" w14:textId="77777777" w:rsidR="0042568A" w:rsidRPr="003B7DA2" w:rsidRDefault="0042568A" w:rsidP="0042568A">
            <w:pPr>
              <w:pStyle w:val="BodyText"/>
              <w:rPr>
                <w:rFonts w:ascii="Calibri" w:hAnsi="Calibri"/>
                <w:b/>
                <w:bCs/>
                <w:sz w:val="22"/>
                <w:szCs w:val="22"/>
                <w:u w:val="single"/>
              </w:rPr>
            </w:pPr>
          </w:p>
        </w:tc>
        <w:tc>
          <w:tcPr>
            <w:tcW w:w="815" w:type="dxa"/>
            <w:vMerge/>
          </w:tcPr>
          <w:p w14:paraId="09B1A676" w14:textId="77777777" w:rsidR="0042568A" w:rsidRPr="003B7DA2" w:rsidRDefault="0042568A" w:rsidP="0042568A">
            <w:pPr>
              <w:pStyle w:val="BodyText"/>
              <w:rPr>
                <w:rFonts w:ascii="Calibri" w:hAnsi="Calibri"/>
                <w:b/>
                <w:bCs/>
                <w:sz w:val="22"/>
                <w:szCs w:val="22"/>
                <w:u w:val="single"/>
              </w:rPr>
            </w:pPr>
          </w:p>
        </w:tc>
        <w:tc>
          <w:tcPr>
            <w:tcW w:w="1240" w:type="dxa"/>
            <w:vMerge/>
          </w:tcPr>
          <w:p w14:paraId="7F4BB1FD" w14:textId="77777777" w:rsidR="0042568A" w:rsidRPr="003B7DA2" w:rsidRDefault="0042568A" w:rsidP="0042568A">
            <w:pPr>
              <w:pStyle w:val="BodyText"/>
              <w:rPr>
                <w:rFonts w:ascii="Calibri" w:hAnsi="Calibri"/>
                <w:b/>
                <w:bCs/>
                <w:sz w:val="22"/>
                <w:szCs w:val="22"/>
                <w:u w:val="single"/>
              </w:rPr>
            </w:pPr>
          </w:p>
        </w:tc>
        <w:tc>
          <w:tcPr>
            <w:tcW w:w="1025" w:type="dxa"/>
          </w:tcPr>
          <w:p w14:paraId="15F82ECC"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14:paraId="6D28138F"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14:paraId="358351C8" w14:textId="77777777" w:rsidR="0042568A" w:rsidRPr="003B7DA2" w:rsidRDefault="0042568A" w:rsidP="0042568A">
            <w:pPr>
              <w:pStyle w:val="BodyText"/>
              <w:rPr>
                <w:rFonts w:ascii="Calibri" w:hAnsi="Calibri" w:cs="Arial"/>
                <w:sz w:val="22"/>
                <w:szCs w:val="22"/>
              </w:rPr>
            </w:pPr>
          </w:p>
        </w:tc>
        <w:tc>
          <w:tcPr>
            <w:tcW w:w="950" w:type="dxa"/>
            <w:vMerge/>
          </w:tcPr>
          <w:p w14:paraId="09E530D0" w14:textId="77777777" w:rsidR="0042568A" w:rsidRPr="003B7DA2" w:rsidRDefault="0042568A" w:rsidP="0042568A">
            <w:pPr>
              <w:pStyle w:val="BodyText"/>
              <w:rPr>
                <w:rFonts w:ascii="Calibri" w:hAnsi="Calibri" w:cs="Arial"/>
                <w:sz w:val="22"/>
                <w:szCs w:val="22"/>
              </w:rPr>
            </w:pPr>
          </w:p>
        </w:tc>
        <w:tc>
          <w:tcPr>
            <w:tcW w:w="1750" w:type="dxa"/>
            <w:vMerge/>
          </w:tcPr>
          <w:p w14:paraId="388E5628" w14:textId="77777777" w:rsidR="0042568A" w:rsidRPr="003B7DA2" w:rsidRDefault="0042568A" w:rsidP="0042568A">
            <w:pPr>
              <w:pStyle w:val="BodyText"/>
              <w:rPr>
                <w:rFonts w:ascii="Calibri" w:hAnsi="Calibri" w:cs="Arial"/>
                <w:sz w:val="22"/>
                <w:szCs w:val="22"/>
              </w:rPr>
            </w:pPr>
          </w:p>
        </w:tc>
      </w:tr>
      <w:tr w:rsidR="0042568A" w:rsidRPr="003B7DA2" w14:paraId="54D2C155" w14:textId="77777777" w:rsidTr="00D45209">
        <w:tc>
          <w:tcPr>
            <w:tcW w:w="913" w:type="dxa"/>
          </w:tcPr>
          <w:p w14:paraId="64824956"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75445A0E"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5A3FC7EA"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25" w:type="dxa"/>
          </w:tcPr>
          <w:p w14:paraId="5BE54D86"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06DBEEA4"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14:paraId="3E5EBEB4" w14:textId="77777777"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950" w:type="dxa"/>
          </w:tcPr>
          <w:p w14:paraId="53C6D0E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750" w:type="dxa"/>
          </w:tcPr>
          <w:p w14:paraId="0D496C77"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14:paraId="344FCB3F" w14:textId="77777777" w:rsidR="0042568A" w:rsidRPr="003B7DA2" w:rsidRDefault="0042568A" w:rsidP="0042568A">
      <w:pPr>
        <w:pStyle w:val="BodyText"/>
        <w:rPr>
          <w:rFonts w:ascii="Calibri" w:hAnsi="Calibri"/>
          <w:bCs/>
          <w:sz w:val="22"/>
          <w:szCs w:val="22"/>
        </w:rPr>
      </w:pPr>
    </w:p>
    <w:p w14:paraId="743502E8"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Áprilisban tehát, a nyitó pozíció táblájában, a DERK táblában kerül jelentésre az 1 875 000 Ft értékű kamatbevétel (a követelés állományt csökkentő tranzakció), s a záró állomány 10 millió forint, követelés, ezért a tartozás táblában most nem szerepel az ügylet.</w:t>
      </w:r>
    </w:p>
    <w:p w14:paraId="30BD6203" w14:textId="77777777" w:rsidR="0042568A" w:rsidRPr="003B7DA2" w:rsidRDefault="0042568A" w:rsidP="0042568A">
      <w:pPr>
        <w:pStyle w:val="BodyText"/>
        <w:rPr>
          <w:rFonts w:ascii="Calibri" w:hAnsi="Calibri"/>
          <w:bCs/>
          <w:sz w:val="22"/>
          <w:szCs w:val="22"/>
        </w:rPr>
      </w:pPr>
    </w:p>
    <w:p w14:paraId="6C65DDEF"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783F769D" w14:textId="77777777" w:rsidTr="00D45209">
        <w:tc>
          <w:tcPr>
            <w:tcW w:w="913" w:type="dxa"/>
            <w:vMerge w:val="restart"/>
          </w:tcPr>
          <w:p w14:paraId="1B0019A8"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6DE4F102"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02FED5A9"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055778A8"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07BC8AB8"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67227C77"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310DC4B1"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0B6E01A1" w14:textId="77777777" w:rsidTr="00D45209">
        <w:tc>
          <w:tcPr>
            <w:tcW w:w="913" w:type="dxa"/>
            <w:vMerge/>
          </w:tcPr>
          <w:p w14:paraId="35B66DB5" w14:textId="77777777" w:rsidR="0042568A" w:rsidRPr="003B7DA2" w:rsidRDefault="0042568A" w:rsidP="0042568A">
            <w:pPr>
              <w:pStyle w:val="BodyText"/>
              <w:rPr>
                <w:rFonts w:ascii="Calibri" w:hAnsi="Calibri"/>
                <w:b/>
                <w:bCs/>
                <w:sz w:val="22"/>
                <w:szCs w:val="22"/>
                <w:u w:val="single"/>
              </w:rPr>
            </w:pPr>
          </w:p>
        </w:tc>
        <w:tc>
          <w:tcPr>
            <w:tcW w:w="815" w:type="dxa"/>
            <w:vMerge/>
          </w:tcPr>
          <w:p w14:paraId="329B7838" w14:textId="77777777" w:rsidR="0042568A" w:rsidRPr="003B7DA2" w:rsidRDefault="0042568A" w:rsidP="0042568A">
            <w:pPr>
              <w:pStyle w:val="BodyText"/>
              <w:rPr>
                <w:rFonts w:ascii="Calibri" w:hAnsi="Calibri"/>
                <w:b/>
                <w:bCs/>
                <w:sz w:val="22"/>
                <w:szCs w:val="22"/>
                <w:u w:val="single"/>
              </w:rPr>
            </w:pPr>
          </w:p>
        </w:tc>
        <w:tc>
          <w:tcPr>
            <w:tcW w:w="1240" w:type="dxa"/>
            <w:vMerge/>
          </w:tcPr>
          <w:p w14:paraId="115FD06B" w14:textId="77777777" w:rsidR="0042568A" w:rsidRPr="003B7DA2" w:rsidRDefault="0042568A" w:rsidP="0042568A">
            <w:pPr>
              <w:pStyle w:val="BodyText"/>
              <w:rPr>
                <w:rFonts w:ascii="Calibri" w:hAnsi="Calibri"/>
                <w:b/>
                <w:bCs/>
                <w:sz w:val="22"/>
                <w:szCs w:val="22"/>
                <w:u w:val="single"/>
              </w:rPr>
            </w:pPr>
          </w:p>
        </w:tc>
        <w:tc>
          <w:tcPr>
            <w:tcW w:w="1025" w:type="dxa"/>
          </w:tcPr>
          <w:p w14:paraId="23CB44B5"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4817913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4B2A02E8"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25BE4CA8"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108FA2B9" w14:textId="77777777" w:rsidR="0042568A" w:rsidRPr="003B7DA2" w:rsidRDefault="0042568A" w:rsidP="0042568A">
            <w:pPr>
              <w:pStyle w:val="BodyText"/>
              <w:rPr>
                <w:rFonts w:ascii="Calibri" w:hAnsi="Calibri" w:cs="Arial"/>
                <w:sz w:val="22"/>
                <w:szCs w:val="22"/>
              </w:rPr>
            </w:pPr>
          </w:p>
        </w:tc>
        <w:tc>
          <w:tcPr>
            <w:tcW w:w="1260" w:type="dxa"/>
            <w:vMerge/>
          </w:tcPr>
          <w:p w14:paraId="716256F1" w14:textId="77777777" w:rsidR="0042568A" w:rsidRPr="003B7DA2" w:rsidRDefault="0042568A" w:rsidP="0042568A">
            <w:pPr>
              <w:pStyle w:val="BodyText"/>
              <w:rPr>
                <w:rFonts w:ascii="Calibri" w:hAnsi="Calibri" w:cs="Arial"/>
                <w:sz w:val="22"/>
                <w:szCs w:val="22"/>
              </w:rPr>
            </w:pPr>
          </w:p>
        </w:tc>
        <w:tc>
          <w:tcPr>
            <w:tcW w:w="1620" w:type="dxa"/>
            <w:vMerge/>
          </w:tcPr>
          <w:p w14:paraId="64AE3D2E" w14:textId="77777777" w:rsidR="0042568A" w:rsidRPr="003B7DA2" w:rsidRDefault="0042568A" w:rsidP="0042568A">
            <w:pPr>
              <w:pStyle w:val="BodyText"/>
              <w:rPr>
                <w:rFonts w:ascii="Calibri" w:hAnsi="Calibri" w:cs="Arial"/>
                <w:sz w:val="22"/>
                <w:szCs w:val="22"/>
              </w:rPr>
            </w:pPr>
          </w:p>
        </w:tc>
      </w:tr>
      <w:tr w:rsidR="0042568A" w:rsidRPr="003B7DA2" w14:paraId="44DD11F7" w14:textId="77777777" w:rsidTr="00D45209">
        <w:tc>
          <w:tcPr>
            <w:tcW w:w="913" w:type="dxa"/>
          </w:tcPr>
          <w:p w14:paraId="164130E4"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5DFD6588"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5D2CEFEA"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025" w:type="dxa"/>
          </w:tcPr>
          <w:p w14:paraId="1FFCD83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41FFD1FB"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1 875 000</w:t>
            </w:r>
          </w:p>
        </w:tc>
        <w:tc>
          <w:tcPr>
            <w:tcW w:w="1390" w:type="dxa"/>
          </w:tcPr>
          <w:p w14:paraId="0E276AC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-8 125 000</w:t>
            </w:r>
          </w:p>
        </w:tc>
        <w:tc>
          <w:tcPr>
            <w:tcW w:w="1260" w:type="dxa"/>
          </w:tcPr>
          <w:p w14:paraId="1937C037"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0AD5BDBF"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700718CE" w14:textId="77777777" w:rsidR="0042568A" w:rsidRPr="003B7DA2" w:rsidRDefault="0042568A" w:rsidP="0042568A">
      <w:pPr>
        <w:pStyle w:val="BodyText"/>
        <w:rPr>
          <w:rFonts w:ascii="Calibri" w:hAnsi="Calibri"/>
          <w:bCs/>
          <w:sz w:val="22"/>
          <w:szCs w:val="22"/>
        </w:rPr>
      </w:pPr>
    </w:p>
    <w:p w14:paraId="5B4F7C23"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Május végén az ügylet ismét veszteséget mutat, 10 millió Ft-ot, s mivel tranzakció (kamatfizetés) nem esik erre a tárgyidőszakra, ismét csak az átértékelés segítségével kerül átvezetésre az ügylet a DERK táblából a DERT táblába:</w:t>
      </w:r>
    </w:p>
    <w:p w14:paraId="135A3ABC" w14:textId="77777777" w:rsidR="0042568A" w:rsidRPr="003B7DA2" w:rsidRDefault="0042568A" w:rsidP="0042568A">
      <w:pPr>
        <w:pStyle w:val="BodyText"/>
        <w:rPr>
          <w:rFonts w:ascii="Calibri" w:hAnsi="Calibri"/>
          <w:bCs/>
          <w:sz w:val="22"/>
          <w:szCs w:val="22"/>
        </w:rPr>
      </w:pPr>
    </w:p>
    <w:p w14:paraId="078C06FB"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3794EABC" w14:textId="77777777" w:rsidTr="00D45209">
        <w:tc>
          <w:tcPr>
            <w:tcW w:w="913" w:type="dxa"/>
            <w:vMerge w:val="restart"/>
          </w:tcPr>
          <w:p w14:paraId="21F48601"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3CC59E65"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045A4DDB"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176970C6"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431827D5"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10BCF04C"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3B5B45E3"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1E3FB346" w14:textId="77777777" w:rsidTr="00D45209">
        <w:tc>
          <w:tcPr>
            <w:tcW w:w="913" w:type="dxa"/>
            <w:vMerge/>
          </w:tcPr>
          <w:p w14:paraId="66FDFCE5" w14:textId="77777777" w:rsidR="0042568A" w:rsidRPr="003B7DA2" w:rsidRDefault="0042568A" w:rsidP="0042568A">
            <w:pPr>
              <w:pStyle w:val="BodyText"/>
              <w:rPr>
                <w:rFonts w:ascii="Calibri" w:hAnsi="Calibri"/>
                <w:b/>
                <w:bCs/>
                <w:sz w:val="22"/>
                <w:szCs w:val="22"/>
                <w:u w:val="single"/>
              </w:rPr>
            </w:pPr>
          </w:p>
        </w:tc>
        <w:tc>
          <w:tcPr>
            <w:tcW w:w="815" w:type="dxa"/>
            <w:vMerge/>
          </w:tcPr>
          <w:p w14:paraId="38DBCBC9" w14:textId="77777777" w:rsidR="0042568A" w:rsidRPr="003B7DA2" w:rsidRDefault="0042568A" w:rsidP="0042568A">
            <w:pPr>
              <w:pStyle w:val="BodyText"/>
              <w:rPr>
                <w:rFonts w:ascii="Calibri" w:hAnsi="Calibri"/>
                <w:b/>
                <w:bCs/>
                <w:sz w:val="22"/>
                <w:szCs w:val="22"/>
                <w:u w:val="single"/>
              </w:rPr>
            </w:pPr>
          </w:p>
        </w:tc>
        <w:tc>
          <w:tcPr>
            <w:tcW w:w="1240" w:type="dxa"/>
            <w:vMerge/>
          </w:tcPr>
          <w:p w14:paraId="6325BBC1" w14:textId="77777777" w:rsidR="0042568A" w:rsidRPr="003B7DA2" w:rsidRDefault="0042568A" w:rsidP="0042568A">
            <w:pPr>
              <w:pStyle w:val="BodyText"/>
              <w:rPr>
                <w:rFonts w:ascii="Calibri" w:hAnsi="Calibri"/>
                <w:b/>
                <w:bCs/>
                <w:sz w:val="22"/>
                <w:szCs w:val="22"/>
                <w:u w:val="single"/>
              </w:rPr>
            </w:pPr>
          </w:p>
        </w:tc>
        <w:tc>
          <w:tcPr>
            <w:tcW w:w="1025" w:type="dxa"/>
          </w:tcPr>
          <w:p w14:paraId="39A0BDDF"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66A0D6EC"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4361FD71"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2144AC7F"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629A52CF" w14:textId="77777777" w:rsidR="0042568A" w:rsidRPr="003B7DA2" w:rsidRDefault="0042568A" w:rsidP="0042568A">
            <w:pPr>
              <w:pStyle w:val="BodyText"/>
              <w:rPr>
                <w:rFonts w:ascii="Calibri" w:hAnsi="Calibri" w:cs="Arial"/>
                <w:sz w:val="22"/>
                <w:szCs w:val="22"/>
              </w:rPr>
            </w:pPr>
          </w:p>
        </w:tc>
        <w:tc>
          <w:tcPr>
            <w:tcW w:w="1260" w:type="dxa"/>
            <w:vMerge/>
          </w:tcPr>
          <w:p w14:paraId="5567C4C3" w14:textId="77777777" w:rsidR="0042568A" w:rsidRPr="003B7DA2" w:rsidRDefault="0042568A" w:rsidP="0042568A">
            <w:pPr>
              <w:pStyle w:val="BodyText"/>
              <w:rPr>
                <w:rFonts w:ascii="Calibri" w:hAnsi="Calibri" w:cs="Arial"/>
                <w:sz w:val="22"/>
                <w:szCs w:val="22"/>
              </w:rPr>
            </w:pPr>
          </w:p>
        </w:tc>
        <w:tc>
          <w:tcPr>
            <w:tcW w:w="1620" w:type="dxa"/>
            <w:vMerge/>
          </w:tcPr>
          <w:p w14:paraId="08F44675" w14:textId="77777777" w:rsidR="0042568A" w:rsidRPr="003B7DA2" w:rsidRDefault="0042568A" w:rsidP="0042568A">
            <w:pPr>
              <w:pStyle w:val="BodyText"/>
              <w:rPr>
                <w:rFonts w:ascii="Calibri" w:hAnsi="Calibri" w:cs="Arial"/>
                <w:sz w:val="22"/>
                <w:szCs w:val="22"/>
              </w:rPr>
            </w:pPr>
          </w:p>
        </w:tc>
      </w:tr>
      <w:tr w:rsidR="0042568A" w:rsidRPr="003B7DA2" w14:paraId="39E7D114" w14:textId="77777777" w:rsidTr="00D45209">
        <w:tc>
          <w:tcPr>
            <w:tcW w:w="913" w:type="dxa"/>
          </w:tcPr>
          <w:p w14:paraId="0CCD43D3"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39AF9C64"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210F7EA6"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25" w:type="dxa"/>
          </w:tcPr>
          <w:p w14:paraId="6A7A635E"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74430EC6"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4B9AA4E9"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260" w:type="dxa"/>
          </w:tcPr>
          <w:p w14:paraId="06B5568A"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75C5A214"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14:paraId="0D4CB0D4" w14:textId="77777777" w:rsidR="0042568A" w:rsidRPr="003B7DA2" w:rsidRDefault="0042568A" w:rsidP="0042568A">
      <w:pPr>
        <w:pStyle w:val="BodyText"/>
        <w:rPr>
          <w:rFonts w:ascii="Calibri" w:hAnsi="Calibri"/>
          <w:bCs/>
          <w:sz w:val="22"/>
          <w:szCs w:val="22"/>
        </w:rPr>
      </w:pPr>
    </w:p>
    <w:p w14:paraId="52287035"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14:paraId="1B6E1837" w14:textId="77777777" w:rsidTr="00D45209">
        <w:tc>
          <w:tcPr>
            <w:tcW w:w="913" w:type="dxa"/>
            <w:vMerge w:val="restart"/>
          </w:tcPr>
          <w:p w14:paraId="74658E1F"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770A388A"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5E27FAF2"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3ED2F6A6"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14:paraId="3E4D04E3"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14:paraId="2BC1565A"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331A8506"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7B5B49C1" w14:textId="77777777" w:rsidTr="00D45209">
        <w:tc>
          <w:tcPr>
            <w:tcW w:w="913" w:type="dxa"/>
            <w:vMerge/>
          </w:tcPr>
          <w:p w14:paraId="69A3B212" w14:textId="77777777" w:rsidR="0042568A" w:rsidRPr="003B7DA2" w:rsidRDefault="0042568A" w:rsidP="0042568A">
            <w:pPr>
              <w:pStyle w:val="BodyText"/>
              <w:rPr>
                <w:rFonts w:ascii="Calibri" w:hAnsi="Calibri"/>
                <w:b/>
                <w:bCs/>
                <w:sz w:val="22"/>
                <w:szCs w:val="22"/>
                <w:u w:val="single"/>
              </w:rPr>
            </w:pPr>
          </w:p>
        </w:tc>
        <w:tc>
          <w:tcPr>
            <w:tcW w:w="815" w:type="dxa"/>
            <w:vMerge/>
          </w:tcPr>
          <w:p w14:paraId="47F3504E" w14:textId="77777777" w:rsidR="0042568A" w:rsidRPr="003B7DA2" w:rsidRDefault="0042568A" w:rsidP="0042568A">
            <w:pPr>
              <w:pStyle w:val="BodyText"/>
              <w:rPr>
                <w:rFonts w:ascii="Calibri" w:hAnsi="Calibri"/>
                <w:b/>
                <w:bCs/>
                <w:sz w:val="22"/>
                <w:szCs w:val="22"/>
                <w:u w:val="single"/>
              </w:rPr>
            </w:pPr>
          </w:p>
        </w:tc>
        <w:tc>
          <w:tcPr>
            <w:tcW w:w="1240" w:type="dxa"/>
            <w:vMerge/>
          </w:tcPr>
          <w:p w14:paraId="5C5C8C29" w14:textId="77777777" w:rsidR="0042568A" w:rsidRPr="003B7DA2" w:rsidRDefault="0042568A" w:rsidP="0042568A">
            <w:pPr>
              <w:pStyle w:val="BodyText"/>
              <w:rPr>
                <w:rFonts w:ascii="Calibri" w:hAnsi="Calibri"/>
                <w:b/>
                <w:bCs/>
                <w:sz w:val="22"/>
                <w:szCs w:val="22"/>
                <w:u w:val="single"/>
              </w:rPr>
            </w:pPr>
          </w:p>
        </w:tc>
        <w:tc>
          <w:tcPr>
            <w:tcW w:w="1025" w:type="dxa"/>
          </w:tcPr>
          <w:p w14:paraId="6579FA34"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14:paraId="138079A8"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14:paraId="42C7D090" w14:textId="77777777" w:rsidR="0042568A" w:rsidRPr="003B7DA2" w:rsidRDefault="0042568A" w:rsidP="0042568A">
            <w:pPr>
              <w:pStyle w:val="BodyText"/>
              <w:rPr>
                <w:rFonts w:ascii="Calibri" w:hAnsi="Calibri" w:cs="Arial"/>
                <w:sz w:val="22"/>
                <w:szCs w:val="22"/>
              </w:rPr>
            </w:pPr>
          </w:p>
        </w:tc>
        <w:tc>
          <w:tcPr>
            <w:tcW w:w="1080" w:type="dxa"/>
            <w:vMerge/>
          </w:tcPr>
          <w:p w14:paraId="0698F670" w14:textId="77777777" w:rsidR="0042568A" w:rsidRPr="003B7DA2" w:rsidRDefault="0042568A" w:rsidP="0042568A">
            <w:pPr>
              <w:pStyle w:val="BodyText"/>
              <w:rPr>
                <w:rFonts w:ascii="Calibri" w:hAnsi="Calibri" w:cs="Arial"/>
                <w:sz w:val="22"/>
                <w:szCs w:val="22"/>
              </w:rPr>
            </w:pPr>
          </w:p>
        </w:tc>
        <w:tc>
          <w:tcPr>
            <w:tcW w:w="1620" w:type="dxa"/>
            <w:vMerge/>
          </w:tcPr>
          <w:p w14:paraId="3532DD29" w14:textId="77777777" w:rsidR="0042568A" w:rsidRPr="003B7DA2" w:rsidRDefault="0042568A" w:rsidP="0042568A">
            <w:pPr>
              <w:pStyle w:val="BodyText"/>
              <w:rPr>
                <w:rFonts w:ascii="Calibri" w:hAnsi="Calibri" w:cs="Arial"/>
                <w:sz w:val="22"/>
                <w:szCs w:val="22"/>
              </w:rPr>
            </w:pPr>
          </w:p>
        </w:tc>
      </w:tr>
      <w:tr w:rsidR="0042568A" w:rsidRPr="003B7DA2" w14:paraId="68B1D941" w14:textId="77777777" w:rsidTr="00D45209">
        <w:tc>
          <w:tcPr>
            <w:tcW w:w="913" w:type="dxa"/>
          </w:tcPr>
          <w:p w14:paraId="7829657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6726D69B"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5803D7B1"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267683E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2BAF369F"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14:paraId="7BCF3558" w14:textId="77777777"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80" w:type="dxa"/>
          </w:tcPr>
          <w:p w14:paraId="573E6B07"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109CC157"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09E88ABA"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Június végén az ügylet 20 millió Ft pozitív piaci értéket mutat, átvezetésre kerül a DERT táblából a DERK táblába:</w:t>
      </w:r>
    </w:p>
    <w:p w14:paraId="391EBB91" w14:textId="77777777" w:rsidR="0042568A" w:rsidRPr="003B7DA2" w:rsidRDefault="0042568A" w:rsidP="0042568A">
      <w:pPr>
        <w:pStyle w:val="BodyText"/>
        <w:rPr>
          <w:rFonts w:ascii="Calibri" w:hAnsi="Calibri"/>
          <w:bCs/>
          <w:sz w:val="22"/>
          <w:szCs w:val="22"/>
        </w:rPr>
      </w:pPr>
    </w:p>
    <w:p w14:paraId="6B0E73C7" w14:textId="77777777" w:rsidR="0042568A" w:rsidRPr="003B7DA2" w:rsidRDefault="0042568A" w:rsidP="0042568A">
      <w:pPr>
        <w:pStyle w:val="BodyText"/>
        <w:rPr>
          <w:rFonts w:ascii="Calibri" w:hAnsi="Calibri"/>
          <w:bCs/>
          <w:sz w:val="22"/>
          <w:szCs w:val="22"/>
        </w:rPr>
      </w:pPr>
    </w:p>
    <w:p w14:paraId="247C8BC9"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74E31E84" w14:textId="77777777" w:rsidTr="00D45209">
        <w:tc>
          <w:tcPr>
            <w:tcW w:w="913" w:type="dxa"/>
            <w:vMerge w:val="restart"/>
          </w:tcPr>
          <w:p w14:paraId="590B6679"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25672299"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00A71DFB"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2635C3DB"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77A77FB3"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6FDAE4E2"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3B8B9515"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029F2A86" w14:textId="77777777" w:rsidTr="00D45209">
        <w:tc>
          <w:tcPr>
            <w:tcW w:w="913" w:type="dxa"/>
            <w:vMerge/>
          </w:tcPr>
          <w:p w14:paraId="4816B0A1" w14:textId="77777777" w:rsidR="0042568A" w:rsidRPr="003B7DA2" w:rsidRDefault="0042568A" w:rsidP="0042568A">
            <w:pPr>
              <w:pStyle w:val="BodyText"/>
              <w:rPr>
                <w:rFonts w:ascii="Calibri" w:hAnsi="Calibri"/>
                <w:b/>
                <w:bCs/>
                <w:sz w:val="22"/>
                <w:szCs w:val="22"/>
                <w:u w:val="single"/>
              </w:rPr>
            </w:pPr>
          </w:p>
        </w:tc>
        <w:tc>
          <w:tcPr>
            <w:tcW w:w="815" w:type="dxa"/>
            <w:vMerge/>
          </w:tcPr>
          <w:p w14:paraId="2982E1F0" w14:textId="77777777" w:rsidR="0042568A" w:rsidRPr="003B7DA2" w:rsidRDefault="0042568A" w:rsidP="0042568A">
            <w:pPr>
              <w:pStyle w:val="BodyText"/>
              <w:rPr>
                <w:rFonts w:ascii="Calibri" w:hAnsi="Calibri"/>
                <w:b/>
                <w:bCs/>
                <w:sz w:val="22"/>
                <w:szCs w:val="22"/>
                <w:u w:val="single"/>
              </w:rPr>
            </w:pPr>
          </w:p>
        </w:tc>
        <w:tc>
          <w:tcPr>
            <w:tcW w:w="1240" w:type="dxa"/>
            <w:vMerge/>
          </w:tcPr>
          <w:p w14:paraId="1D2278AD" w14:textId="77777777" w:rsidR="0042568A" w:rsidRPr="003B7DA2" w:rsidRDefault="0042568A" w:rsidP="0042568A">
            <w:pPr>
              <w:pStyle w:val="BodyText"/>
              <w:rPr>
                <w:rFonts w:ascii="Calibri" w:hAnsi="Calibri"/>
                <w:b/>
                <w:bCs/>
                <w:sz w:val="22"/>
                <w:szCs w:val="22"/>
                <w:u w:val="single"/>
              </w:rPr>
            </w:pPr>
          </w:p>
        </w:tc>
        <w:tc>
          <w:tcPr>
            <w:tcW w:w="1025" w:type="dxa"/>
          </w:tcPr>
          <w:p w14:paraId="4E7C3912"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0EA6588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1E9F2FF3"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5BFF4F3F"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6C901926" w14:textId="77777777" w:rsidR="0042568A" w:rsidRPr="003B7DA2" w:rsidRDefault="0042568A" w:rsidP="0042568A">
            <w:pPr>
              <w:pStyle w:val="BodyText"/>
              <w:rPr>
                <w:rFonts w:ascii="Calibri" w:hAnsi="Calibri" w:cs="Arial"/>
                <w:sz w:val="22"/>
                <w:szCs w:val="22"/>
              </w:rPr>
            </w:pPr>
          </w:p>
        </w:tc>
        <w:tc>
          <w:tcPr>
            <w:tcW w:w="1260" w:type="dxa"/>
            <w:vMerge/>
          </w:tcPr>
          <w:p w14:paraId="6F21AAE8" w14:textId="77777777" w:rsidR="0042568A" w:rsidRPr="003B7DA2" w:rsidRDefault="0042568A" w:rsidP="0042568A">
            <w:pPr>
              <w:pStyle w:val="BodyText"/>
              <w:rPr>
                <w:rFonts w:ascii="Calibri" w:hAnsi="Calibri" w:cs="Arial"/>
                <w:sz w:val="22"/>
                <w:szCs w:val="22"/>
              </w:rPr>
            </w:pPr>
          </w:p>
        </w:tc>
        <w:tc>
          <w:tcPr>
            <w:tcW w:w="1620" w:type="dxa"/>
            <w:vMerge/>
          </w:tcPr>
          <w:p w14:paraId="79A679E4" w14:textId="77777777" w:rsidR="0042568A" w:rsidRPr="003B7DA2" w:rsidRDefault="0042568A" w:rsidP="0042568A">
            <w:pPr>
              <w:pStyle w:val="BodyText"/>
              <w:rPr>
                <w:rFonts w:ascii="Calibri" w:hAnsi="Calibri" w:cs="Arial"/>
                <w:sz w:val="22"/>
                <w:szCs w:val="22"/>
              </w:rPr>
            </w:pPr>
          </w:p>
        </w:tc>
      </w:tr>
      <w:tr w:rsidR="0042568A" w:rsidRPr="003B7DA2" w14:paraId="6DA0E06E" w14:textId="77777777" w:rsidTr="00D45209">
        <w:tc>
          <w:tcPr>
            <w:tcW w:w="913" w:type="dxa"/>
          </w:tcPr>
          <w:p w14:paraId="2F2F128C"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3BE763B9"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36E9790A"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35D53D64"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50A0E71D"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47CF2FCE"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260" w:type="dxa"/>
          </w:tcPr>
          <w:p w14:paraId="7269DDBB"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626C3E5A"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r>
    </w:tbl>
    <w:p w14:paraId="4FCEBEB7" w14:textId="77777777" w:rsidR="0042568A" w:rsidRPr="003B7DA2" w:rsidRDefault="0042568A" w:rsidP="0042568A">
      <w:pPr>
        <w:pStyle w:val="BodyText"/>
        <w:rPr>
          <w:rFonts w:ascii="Calibri" w:hAnsi="Calibri"/>
          <w:bCs/>
          <w:sz w:val="22"/>
          <w:szCs w:val="22"/>
        </w:rPr>
      </w:pPr>
    </w:p>
    <w:p w14:paraId="49775BE8"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14:paraId="7F55F039" w14:textId="77777777" w:rsidTr="00D45209">
        <w:tc>
          <w:tcPr>
            <w:tcW w:w="913" w:type="dxa"/>
            <w:vMerge w:val="restart"/>
          </w:tcPr>
          <w:p w14:paraId="030D9C91"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3C3C0C84"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66B8F361"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605DAF65"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14:paraId="051EA9C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14:paraId="046338D1"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6D876C62"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78E060D4" w14:textId="77777777" w:rsidTr="00D45209">
        <w:tc>
          <w:tcPr>
            <w:tcW w:w="913" w:type="dxa"/>
            <w:vMerge/>
          </w:tcPr>
          <w:p w14:paraId="1EEDA808" w14:textId="77777777" w:rsidR="0042568A" w:rsidRPr="003B7DA2" w:rsidRDefault="0042568A" w:rsidP="0042568A">
            <w:pPr>
              <w:pStyle w:val="BodyText"/>
              <w:rPr>
                <w:rFonts w:ascii="Calibri" w:hAnsi="Calibri"/>
                <w:b/>
                <w:bCs/>
                <w:sz w:val="22"/>
                <w:szCs w:val="22"/>
                <w:u w:val="single"/>
              </w:rPr>
            </w:pPr>
          </w:p>
        </w:tc>
        <w:tc>
          <w:tcPr>
            <w:tcW w:w="815" w:type="dxa"/>
            <w:vMerge/>
          </w:tcPr>
          <w:p w14:paraId="1E53EEFC" w14:textId="77777777" w:rsidR="0042568A" w:rsidRPr="003B7DA2" w:rsidRDefault="0042568A" w:rsidP="0042568A">
            <w:pPr>
              <w:pStyle w:val="BodyText"/>
              <w:rPr>
                <w:rFonts w:ascii="Calibri" w:hAnsi="Calibri"/>
                <w:b/>
                <w:bCs/>
                <w:sz w:val="22"/>
                <w:szCs w:val="22"/>
                <w:u w:val="single"/>
              </w:rPr>
            </w:pPr>
          </w:p>
        </w:tc>
        <w:tc>
          <w:tcPr>
            <w:tcW w:w="1240" w:type="dxa"/>
            <w:vMerge/>
          </w:tcPr>
          <w:p w14:paraId="1503F63E" w14:textId="77777777" w:rsidR="0042568A" w:rsidRPr="003B7DA2" w:rsidRDefault="0042568A" w:rsidP="0042568A">
            <w:pPr>
              <w:pStyle w:val="BodyText"/>
              <w:rPr>
                <w:rFonts w:ascii="Calibri" w:hAnsi="Calibri"/>
                <w:b/>
                <w:bCs/>
                <w:sz w:val="22"/>
                <w:szCs w:val="22"/>
                <w:u w:val="single"/>
              </w:rPr>
            </w:pPr>
          </w:p>
        </w:tc>
        <w:tc>
          <w:tcPr>
            <w:tcW w:w="1025" w:type="dxa"/>
          </w:tcPr>
          <w:p w14:paraId="540A60F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14:paraId="2D35F523"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14:paraId="0A0A15A9" w14:textId="77777777" w:rsidR="0042568A" w:rsidRPr="003B7DA2" w:rsidRDefault="0042568A" w:rsidP="0042568A">
            <w:pPr>
              <w:pStyle w:val="BodyText"/>
              <w:rPr>
                <w:rFonts w:ascii="Calibri" w:hAnsi="Calibri" w:cs="Arial"/>
                <w:sz w:val="22"/>
                <w:szCs w:val="22"/>
              </w:rPr>
            </w:pPr>
          </w:p>
        </w:tc>
        <w:tc>
          <w:tcPr>
            <w:tcW w:w="1080" w:type="dxa"/>
            <w:vMerge/>
          </w:tcPr>
          <w:p w14:paraId="3FEDB4FC" w14:textId="77777777" w:rsidR="0042568A" w:rsidRPr="003B7DA2" w:rsidRDefault="0042568A" w:rsidP="0042568A">
            <w:pPr>
              <w:pStyle w:val="BodyText"/>
              <w:rPr>
                <w:rFonts w:ascii="Calibri" w:hAnsi="Calibri" w:cs="Arial"/>
                <w:sz w:val="22"/>
                <w:szCs w:val="22"/>
              </w:rPr>
            </w:pPr>
          </w:p>
        </w:tc>
        <w:tc>
          <w:tcPr>
            <w:tcW w:w="1620" w:type="dxa"/>
            <w:vMerge/>
          </w:tcPr>
          <w:p w14:paraId="1D44F10E" w14:textId="77777777" w:rsidR="0042568A" w:rsidRPr="003B7DA2" w:rsidRDefault="0042568A" w:rsidP="0042568A">
            <w:pPr>
              <w:pStyle w:val="BodyText"/>
              <w:rPr>
                <w:rFonts w:ascii="Calibri" w:hAnsi="Calibri" w:cs="Arial"/>
                <w:sz w:val="22"/>
                <w:szCs w:val="22"/>
              </w:rPr>
            </w:pPr>
          </w:p>
        </w:tc>
      </w:tr>
      <w:tr w:rsidR="0042568A" w:rsidRPr="003B7DA2" w14:paraId="5F5FB706" w14:textId="77777777" w:rsidTr="00D45209">
        <w:tc>
          <w:tcPr>
            <w:tcW w:w="913" w:type="dxa"/>
          </w:tcPr>
          <w:p w14:paraId="52EF8E70"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4B384E68"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4A24BEF4"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25" w:type="dxa"/>
          </w:tcPr>
          <w:p w14:paraId="7EBE61F1"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68C04971"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14:paraId="33CE6DA9" w14:textId="77777777"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80" w:type="dxa"/>
          </w:tcPr>
          <w:p w14:paraId="1151BEAB"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080C6A8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14:paraId="75FD564A" w14:textId="77777777" w:rsidR="0042568A" w:rsidRPr="003B7DA2" w:rsidRDefault="0042568A" w:rsidP="0042568A">
      <w:pPr>
        <w:pStyle w:val="BodyText"/>
        <w:rPr>
          <w:rFonts w:ascii="Calibri" w:hAnsi="Calibri"/>
          <w:bCs/>
          <w:sz w:val="22"/>
          <w:szCs w:val="22"/>
        </w:rPr>
      </w:pPr>
    </w:p>
    <w:p w14:paraId="12E4516B"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lastRenderedPageBreak/>
        <w:t xml:space="preserve">Júliusban az adatszolgáltató teljesíti fix kamatfizetési kötelezettségét, </w:t>
      </w:r>
      <w:r w:rsidR="00A37F7F" w:rsidRPr="003B7DA2">
        <w:rPr>
          <w:rFonts w:ascii="Calibri" w:hAnsi="Calibri"/>
          <w:bCs/>
          <w:sz w:val="22"/>
          <w:szCs w:val="22"/>
        </w:rPr>
        <w:t>vagyis átutal</w:t>
      </w:r>
      <w:r w:rsidRPr="003B7DA2">
        <w:rPr>
          <w:rFonts w:ascii="Calibri" w:hAnsi="Calibri"/>
          <w:bCs/>
          <w:sz w:val="22"/>
          <w:szCs w:val="22"/>
        </w:rPr>
        <w:t xml:space="preserve"> 3 450 ezer forintnak megfelelő összeget</w:t>
      </w:r>
      <w:r w:rsidR="00A37F7F" w:rsidRPr="003B7DA2">
        <w:rPr>
          <w:rFonts w:ascii="Calibri" w:hAnsi="Calibri"/>
          <w:bCs/>
          <w:sz w:val="22"/>
          <w:szCs w:val="22"/>
        </w:rPr>
        <w:t>, ugyanakkor megkapja az ugyancsak júliusban esedékes, a három havi változó kamatláb alapján számított összesen 1.</w:t>
      </w:r>
      <w:r w:rsidR="00146264" w:rsidRPr="003B7DA2">
        <w:rPr>
          <w:rFonts w:ascii="Calibri" w:hAnsi="Calibri"/>
          <w:bCs/>
          <w:sz w:val="22"/>
          <w:szCs w:val="22"/>
        </w:rPr>
        <w:t>7</w:t>
      </w:r>
      <w:r w:rsidR="00A37F7F" w:rsidRPr="003B7DA2">
        <w:rPr>
          <w:rFonts w:ascii="Calibri" w:hAnsi="Calibri"/>
          <w:bCs/>
          <w:sz w:val="22"/>
          <w:szCs w:val="22"/>
        </w:rPr>
        <w:t>0</w:t>
      </w:r>
      <w:r w:rsidR="00146264" w:rsidRPr="003B7DA2">
        <w:rPr>
          <w:rFonts w:ascii="Calibri" w:hAnsi="Calibri"/>
          <w:bCs/>
          <w:sz w:val="22"/>
          <w:szCs w:val="22"/>
        </w:rPr>
        <w:t>2</w:t>
      </w:r>
      <w:r w:rsidR="00A37F7F" w:rsidRPr="003B7DA2">
        <w:rPr>
          <w:rFonts w:ascii="Calibri" w:hAnsi="Calibri"/>
          <w:bCs/>
          <w:sz w:val="22"/>
          <w:szCs w:val="22"/>
        </w:rPr>
        <w:t xml:space="preserve"> ezer Ft kamatot. E</w:t>
      </w:r>
      <w:r w:rsidRPr="003B7DA2">
        <w:rPr>
          <w:rFonts w:ascii="Calibri" w:hAnsi="Calibri"/>
          <w:bCs/>
          <w:sz w:val="22"/>
          <w:szCs w:val="22"/>
        </w:rPr>
        <w:t>zt a</w:t>
      </w:r>
      <w:r w:rsidR="00A37F7F" w:rsidRPr="003B7DA2">
        <w:rPr>
          <w:rFonts w:ascii="Calibri" w:hAnsi="Calibri"/>
          <w:bCs/>
          <w:sz w:val="22"/>
          <w:szCs w:val="22"/>
        </w:rPr>
        <w:t xml:space="preserve"> két</w:t>
      </w:r>
      <w:r w:rsidRPr="003B7DA2">
        <w:rPr>
          <w:rFonts w:ascii="Calibri" w:hAnsi="Calibri"/>
          <w:bCs/>
          <w:sz w:val="22"/>
          <w:szCs w:val="22"/>
        </w:rPr>
        <w:t xml:space="preserve"> tranzakciót, mivel az ügylet a nyitó állomány szerint a DERK táblában található, a DERK táblában követelést növelő kiadásként</w:t>
      </w:r>
      <w:r w:rsidR="00A37F7F" w:rsidRPr="003B7DA2">
        <w:rPr>
          <w:rFonts w:ascii="Calibri" w:hAnsi="Calibri"/>
          <w:bCs/>
          <w:sz w:val="22"/>
          <w:szCs w:val="22"/>
        </w:rPr>
        <w:t>, illetve követelést csökkentő bevételként</w:t>
      </w:r>
      <w:r w:rsidRPr="003B7DA2">
        <w:rPr>
          <w:rFonts w:ascii="Calibri" w:hAnsi="Calibri"/>
          <w:bCs/>
          <w:sz w:val="22"/>
          <w:szCs w:val="22"/>
        </w:rPr>
        <w:t xml:space="preserve"> kell jelenteni</w:t>
      </w:r>
      <w:r w:rsidR="00A37F7F" w:rsidRPr="003B7DA2">
        <w:rPr>
          <w:rFonts w:ascii="Calibri" w:hAnsi="Calibri"/>
          <w:bCs/>
          <w:sz w:val="22"/>
          <w:szCs w:val="22"/>
        </w:rPr>
        <w:t xml:space="preserve"> (nettó kiegyenlítés esetén követelést növelő kiadásként kellene 1.</w:t>
      </w:r>
      <w:r w:rsidR="00146264" w:rsidRPr="003B7DA2">
        <w:rPr>
          <w:rFonts w:ascii="Calibri" w:hAnsi="Calibri"/>
          <w:bCs/>
          <w:sz w:val="22"/>
          <w:szCs w:val="22"/>
        </w:rPr>
        <w:t>748</w:t>
      </w:r>
      <w:r w:rsidR="00A37F7F" w:rsidRPr="003B7DA2">
        <w:rPr>
          <w:rFonts w:ascii="Calibri" w:hAnsi="Calibri"/>
          <w:bCs/>
          <w:sz w:val="22"/>
          <w:szCs w:val="22"/>
        </w:rPr>
        <w:t xml:space="preserve"> ezer Ft összeget feltüntetni)</w:t>
      </w:r>
      <w:r w:rsidRPr="003B7DA2">
        <w:rPr>
          <w:rFonts w:ascii="Calibri" w:hAnsi="Calibri"/>
          <w:bCs/>
          <w:sz w:val="22"/>
          <w:szCs w:val="22"/>
        </w:rPr>
        <w:t xml:space="preserve">. A záró pozíció szintén pozitív piaci értékű, a különbözetet az átértékelés adja meg. A DERT tábla ebben a tárgyidőszakban nem érintett. </w:t>
      </w:r>
    </w:p>
    <w:p w14:paraId="5C142526" w14:textId="77777777" w:rsidR="0042568A" w:rsidRPr="003B7DA2" w:rsidRDefault="0042568A" w:rsidP="0042568A">
      <w:pPr>
        <w:pStyle w:val="BodyText"/>
        <w:rPr>
          <w:rFonts w:ascii="Calibri" w:hAnsi="Calibri"/>
          <w:bCs/>
          <w:sz w:val="22"/>
          <w:szCs w:val="22"/>
        </w:rPr>
      </w:pPr>
    </w:p>
    <w:p w14:paraId="0BE21440"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5F01A282" w14:textId="77777777" w:rsidTr="00D45209">
        <w:tc>
          <w:tcPr>
            <w:tcW w:w="913" w:type="dxa"/>
            <w:vMerge w:val="restart"/>
          </w:tcPr>
          <w:p w14:paraId="7B2F8EDF"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6A8906FB"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25DDC2B2"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4782F5A3"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0616594B"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226C3504"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2C3A98B8"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52166A2E" w14:textId="77777777" w:rsidTr="00D45209">
        <w:tc>
          <w:tcPr>
            <w:tcW w:w="913" w:type="dxa"/>
            <w:vMerge/>
          </w:tcPr>
          <w:p w14:paraId="5CC442FF" w14:textId="77777777" w:rsidR="0042568A" w:rsidRPr="003B7DA2" w:rsidRDefault="0042568A" w:rsidP="0042568A">
            <w:pPr>
              <w:pStyle w:val="BodyText"/>
              <w:rPr>
                <w:rFonts w:ascii="Calibri" w:hAnsi="Calibri"/>
                <w:b/>
                <w:bCs/>
                <w:sz w:val="22"/>
                <w:szCs w:val="22"/>
                <w:u w:val="single"/>
              </w:rPr>
            </w:pPr>
          </w:p>
        </w:tc>
        <w:tc>
          <w:tcPr>
            <w:tcW w:w="815" w:type="dxa"/>
            <w:vMerge/>
          </w:tcPr>
          <w:p w14:paraId="704B0E72" w14:textId="77777777" w:rsidR="0042568A" w:rsidRPr="003B7DA2" w:rsidRDefault="0042568A" w:rsidP="0042568A">
            <w:pPr>
              <w:pStyle w:val="BodyText"/>
              <w:rPr>
                <w:rFonts w:ascii="Calibri" w:hAnsi="Calibri"/>
                <w:b/>
                <w:bCs/>
                <w:sz w:val="22"/>
                <w:szCs w:val="22"/>
                <w:u w:val="single"/>
              </w:rPr>
            </w:pPr>
          </w:p>
        </w:tc>
        <w:tc>
          <w:tcPr>
            <w:tcW w:w="1240" w:type="dxa"/>
            <w:vMerge/>
          </w:tcPr>
          <w:p w14:paraId="0A761524" w14:textId="77777777" w:rsidR="0042568A" w:rsidRPr="003B7DA2" w:rsidRDefault="0042568A" w:rsidP="0042568A">
            <w:pPr>
              <w:pStyle w:val="BodyText"/>
              <w:rPr>
                <w:rFonts w:ascii="Calibri" w:hAnsi="Calibri"/>
                <w:b/>
                <w:bCs/>
                <w:sz w:val="22"/>
                <w:szCs w:val="22"/>
                <w:u w:val="single"/>
              </w:rPr>
            </w:pPr>
          </w:p>
        </w:tc>
        <w:tc>
          <w:tcPr>
            <w:tcW w:w="1025" w:type="dxa"/>
          </w:tcPr>
          <w:p w14:paraId="6F15C4F1"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31313A9A"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48A1F2E5"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07F029F0"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2385A180" w14:textId="77777777" w:rsidR="0042568A" w:rsidRPr="003B7DA2" w:rsidRDefault="0042568A" w:rsidP="0042568A">
            <w:pPr>
              <w:pStyle w:val="BodyText"/>
              <w:rPr>
                <w:rFonts w:ascii="Calibri" w:hAnsi="Calibri" w:cs="Arial"/>
                <w:sz w:val="22"/>
                <w:szCs w:val="22"/>
              </w:rPr>
            </w:pPr>
          </w:p>
        </w:tc>
        <w:tc>
          <w:tcPr>
            <w:tcW w:w="1260" w:type="dxa"/>
            <w:vMerge/>
          </w:tcPr>
          <w:p w14:paraId="58915FA6" w14:textId="77777777" w:rsidR="0042568A" w:rsidRPr="003B7DA2" w:rsidRDefault="0042568A" w:rsidP="0042568A">
            <w:pPr>
              <w:pStyle w:val="BodyText"/>
              <w:rPr>
                <w:rFonts w:ascii="Calibri" w:hAnsi="Calibri" w:cs="Arial"/>
                <w:sz w:val="22"/>
                <w:szCs w:val="22"/>
              </w:rPr>
            </w:pPr>
          </w:p>
        </w:tc>
        <w:tc>
          <w:tcPr>
            <w:tcW w:w="1620" w:type="dxa"/>
            <w:vMerge/>
          </w:tcPr>
          <w:p w14:paraId="5C0F4D54" w14:textId="77777777" w:rsidR="0042568A" w:rsidRPr="003B7DA2" w:rsidRDefault="0042568A" w:rsidP="0042568A">
            <w:pPr>
              <w:pStyle w:val="BodyText"/>
              <w:rPr>
                <w:rFonts w:ascii="Calibri" w:hAnsi="Calibri" w:cs="Arial"/>
                <w:sz w:val="22"/>
                <w:szCs w:val="22"/>
              </w:rPr>
            </w:pPr>
          </w:p>
        </w:tc>
      </w:tr>
      <w:tr w:rsidR="0042568A" w:rsidRPr="003B7DA2" w14:paraId="329EDA52" w14:textId="77777777" w:rsidTr="00D45209">
        <w:tc>
          <w:tcPr>
            <w:tcW w:w="913" w:type="dxa"/>
          </w:tcPr>
          <w:p w14:paraId="40F4384F"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7421011E"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3134D49C"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025" w:type="dxa"/>
          </w:tcPr>
          <w:p w14:paraId="52CD3020"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3 450 000</w:t>
            </w:r>
          </w:p>
        </w:tc>
        <w:tc>
          <w:tcPr>
            <w:tcW w:w="1025" w:type="dxa"/>
          </w:tcPr>
          <w:p w14:paraId="24BC1218" w14:textId="77777777" w:rsidR="0042568A" w:rsidRPr="003B7DA2" w:rsidRDefault="00A37F7F" w:rsidP="0042568A">
            <w:pPr>
              <w:pStyle w:val="BodyText"/>
              <w:rPr>
                <w:rFonts w:ascii="Calibri" w:hAnsi="Calibri" w:cs="Arial"/>
                <w:sz w:val="22"/>
                <w:szCs w:val="22"/>
              </w:rPr>
            </w:pPr>
            <w:r w:rsidRPr="003B7DA2">
              <w:rPr>
                <w:rFonts w:ascii="Calibri" w:hAnsi="Calibri" w:cs="Arial"/>
                <w:sz w:val="22"/>
                <w:szCs w:val="22"/>
              </w:rPr>
              <w:t>1 </w:t>
            </w:r>
            <w:r w:rsidR="00146264" w:rsidRPr="003B7DA2">
              <w:rPr>
                <w:rFonts w:ascii="Calibri" w:hAnsi="Calibri" w:cs="Arial"/>
                <w:sz w:val="22"/>
                <w:szCs w:val="22"/>
              </w:rPr>
              <w:t>7</w:t>
            </w:r>
            <w:r w:rsidRPr="003B7DA2">
              <w:rPr>
                <w:rFonts w:ascii="Calibri" w:hAnsi="Calibri" w:cs="Arial"/>
                <w:sz w:val="22"/>
                <w:szCs w:val="22"/>
              </w:rPr>
              <w:t>0</w:t>
            </w:r>
            <w:r w:rsidR="00146264" w:rsidRPr="003B7DA2">
              <w:rPr>
                <w:rFonts w:ascii="Calibri" w:hAnsi="Calibri" w:cs="Arial"/>
                <w:sz w:val="22"/>
                <w:szCs w:val="22"/>
              </w:rPr>
              <w:t>2</w:t>
            </w:r>
            <w:r w:rsidRPr="003B7DA2">
              <w:rPr>
                <w:rFonts w:ascii="Calibri" w:hAnsi="Calibri" w:cs="Arial"/>
                <w:sz w:val="22"/>
                <w:szCs w:val="22"/>
              </w:rPr>
              <w:t xml:space="preserve"> 000</w:t>
            </w:r>
          </w:p>
        </w:tc>
        <w:tc>
          <w:tcPr>
            <w:tcW w:w="1390" w:type="dxa"/>
          </w:tcPr>
          <w:p w14:paraId="5E0EEDB8"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-1</w:t>
            </w:r>
            <w:r w:rsidR="00531997" w:rsidRPr="003B7DA2">
              <w:rPr>
                <w:rFonts w:ascii="Calibri" w:hAnsi="Calibri" w:cs="Arial"/>
                <w:sz w:val="22"/>
                <w:szCs w:val="22"/>
              </w:rPr>
              <w:t>1</w:t>
            </w:r>
            <w:r w:rsidRPr="003B7DA2">
              <w:rPr>
                <w:rFonts w:ascii="Calibri" w:hAnsi="Calibri" w:cs="Arial"/>
                <w:sz w:val="22"/>
                <w:szCs w:val="22"/>
              </w:rPr>
              <w:t> </w:t>
            </w:r>
            <w:r w:rsidR="00146264" w:rsidRPr="003B7DA2">
              <w:rPr>
                <w:rFonts w:ascii="Calibri" w:hAnsi="Calibri" w:cs="Arial"/>
                <w:sz w:val="22"/>
                <w:szCs w:val="22"/>
              </w:rPr>
              <w:t>748</w:t>
            </w:r>
            <w:r w:rsidRPr="003B7DA2">
              <w:rPr>
                <w:rFonts w:ascii="Calibri" w:hAnsi="Calibri" w:cs="Arial"/>
                <w:sz w:val="22"/>
                <w:szCs w:val="22"/>
              </w:rPr>
              <w:t xml:space="preserve"> 000</w:t>
            </w:r>
          </w:p>
        </w:tc>
        <w:tc>
          <w:tcPr>
            <w:tcW w:w="1260" w:type="dxa"/>
          </w:tcPr>
          <w:p w14:paraId="7DC2A53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2F4985CD"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132A5542" w14:textId="77777777" w:rsidR="0042568A" w:rsidRPr="003B7DA2" w:rsidRDefault="0042568A" w:rsidP="0042568A">
      <w:pPr>
        <w:pStyle w:val="BodyText"/>
        <w:rPr>
          <w:rFonts w:ascii="Calibri" w:hAnsi="Calibri"/>
          <w:bCs/>
          <w:sz w:val="22"/>
          <w:szCs w:val="22"/>
        </w:rPr>
      </w:pPr>
    </w:p>
    <w:p w14:paraId="5A1573CE" w14:textId="77777777" w:rsidR="0092684C" w:rsidRPr="003B7DA2" w:rsidRDefault="0092684C">
      <w:pPr>
        <w:pStyle w:val="BodyText"/>
        <w:rPr>
          <w:rFonts w:ascii="Calibri" w:hAnsi="Calibri"/>
          <w:b/>
          <w:bCs/>
          <w:sz w:val="22"/>
          <w:szCs w:val="22"/>
        </w:rPr>
      </w:pPr>
    </w:p>
    <w:p w14:paraId="040893D6" w14:textId="77777777" w:rsidR="0092684C" w:rsidRPr="003B7DA2" w:rsidRDefault="0092684C">
      <w:pPr>
        <w:pStyle w:val="BodyText"/>
        <w:rPr>
          <w:rFonts w:ascii="Calibri" w:hAnsi="Calibri"/>
          <w:b/>
          <w:bCs/>
          <w:sz w:val="22"/>
          <w:szCs w:val="22"/>
        </w:rPr>
      </w:pPr>
      <w:r w:rsidRPr="003B7DA2">
        <w:rPr>
          <w:rFonts w:ascii="Calibri" w:hAnsi="Calibri"/>
          <w:b/>
          <w:bCs/>
          <w:sz w:val="22"/>
          <w:szCs w:val="22"/>
        </w:rPr>
        <w:t xml:space="preserve">4. Egyéb pénzügyi </w:t>
      </w:r>
      <w:proofErr w:type="spellStart"/>
      <w:r w:rsidRPr="003B7DA2">
        <w:rPr>
          <w:rFonts w:ascii="Calibri" w:hAnsi="Calibri"/>
          <w:b/>
          <w:bCs/>
          <w:sz w:val="22"/>
          <w:szCs w:val="22"/>
        </w:rPr>
        <w:t>derivatívák</w:t>
      </w:r>
      <w:proofErr w:type="spellEnd"/>
      <w:r w:rsidRPr="003B7DA2">
        <w:rPr>
          <w:rFonts w:ascii="Calibri" w:hAnsi="Calibri"/>
          <w:b/>
          <w:bCs/>
          <w:sz w:val="22"/>
          <w:szCs w:val="22"/>
        </w:rPr>
        <w:t>:</w:t>
      </w:r>
      <w:bookmarkEnd w:id="11"/>
    </w:p>
    <w:p w14:paraId="581C1EBB" w14:textId="77777777" w:rsidR="0092684C" w:rsidRPr="003B7DA2" w:rsidRDefault="0092684C">
      <w:pPr>
        <w:rPr>
          <w:rFonts w:ascii="Calibri" w:hAnsi="Calibri"/>
          <w:sz w:val="22"/>
          <w:szCs w:val="22"/>
        </w:rPr>
      </w:pPr>
    </w:p>
    <w:p w14:paraId="49D3C94B"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Ezen instrumentum kód alatt kell jelenteni mindazon pénzügyi derivatív ügyleteket, amelyek máshova nem kerültek besorolásra  (pl. a külföldi partnerekkel kötött határidős kamatláb megállapodások (FRA), a határidős betétek vásárlásai és eladásai, a </w:t>
      </w:r>
      <w:proofErr w:type="spellStart"/>
      <w:r w:rsidRPr="003B7DA2">
        <w:rPr>
          <w:rFonts w:ascii="Calibri" w:hAnsi="Calibri"/>
          <w:snapToGrid w:val="0"/>
          <w:sz w:val="22"/>
          <w:szCs w:val="22"/>
          <w:lang w:eastAsia="en-US"/>
        </w:rPr>
        <w:t>hitelderivatívák</w:t>
      </w:r>
      <w:proofErr w:type="spellEnd"/>
      <w:r w:rsidRPr="003B7DA2">
        <w:rPr>
          <w:rFonts w:ascii="Calibri" w:hAnsi="Calibri"/>
          <w:snapToGrid w:val="0"/>
          <w:sz w:val="22"/>
          <w:szCs w:val="22"/>
          <w:lang w:eastAsia="en-US"/>
        </w:rPr>
        <w:t xml:space="preserve"> különböző fajtái), továbbá, amelyek esetében a mögöttes termék valamilyen reál ügylet, pl.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nemesfém-ügyletek, határidős értékpapír, illetve áruügyletek).</w:t>
      </w:r>
    </w:p>
    <w:p w14:paraId="5CDE2886" w14:textId="77777777" w:rsidR="0092684C" w:rsidRPr="003B7DA2" w:rsidRDefault="0092684C">
      <w:pPr>
        <w:rPr>
          <w:rFonts w:ascii="Calibri" w:hAnsi="Calibri"/>
          <w:sz w:val="22"/>
          <w:szCs w:val="22"/>
        </w:rPr>
      </w:pPr>
    </w:p>
    <w:p w14:paraId="51C57432"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b/>
          <w:snapToGrid w:val="0"/>
          <w:sz w:val="22"/>
          <w:szCs w:val="22"/>
          <w:lang w:eastAsia="en-US"/>
        </w:rPr>
        <w:t>FRA ügyletek</w:t>
      </w:r>
      <w:r w:rsidRPr="003B7DA2">
        <w:rPr>
          <w:rFonts w:ascii="Calibri" w:hAnsi="Calibri"/>
          <w:snapToGrid w:val="0"/>
          <w:sz w:val="22"/>
          <w:szCs w:val="22"/>
          <w:lang w:eastAsia="en-US"/>
        </w:rPr>
        <w:t xml:space="preserve"> (Határidős kamatláb megállapodások): </w:t>
      </w:r>
    </w:p>
    <w:p w14:paraId="1F078200"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w:t>
      </w:r>
      <w:r w:rsidR="00F17625" w:rsidRPr="003B7DA2">
        <w:rPr>
          <w:rFonts w:ascii="Calibri" w:hAnsi="Calibri"/>
          <w:snapToGrid w:val="0"/>
          <w:sz w:val="22"/>
          <w:szCs w:val="22"/>
          <w:lang w:eastAsia="en-US"/>
        </w:rPr>
        <w:t>z FRA ügylet egy, a</w:t>
      </w:r>
      <w:r w:rsidRPr="003B7DA2">
        <w:rPr>
          <w:rFonts w:ascii="Calibri" w:hAnsi="Calibri"/>
          <w:snapToGrid w:val="0"/>
          <w:sz w:val="22"/>
          <w:szCs w:val="22"/>
          <w:lang w:eastAsia="en-US"/>
        </w:rPr>
        <w:t xml:space="preserve"> </w:t>
      </w:r>
      <w:r w:rsidR="00F17625" w:rsidRPr="003B7DA2">
        <w:rPr>
          <w:rFonts w:ascii="Calibri" w:hAnsi="Calibri"/>
          <w:snapToGrid w:val="0"/>
          <w:sz w:val="22"/>
          <w:szCs w:val="22"/>
          <w:lang w:eastAsia="en-US"/>
        </w:rPr>
        <w:t xml:space="preserve">megállapodásban </w:t>
      </w:r>
      <w:r w:rsidRPr="003B7DA2">
        <w:rPr>
          <w:rFonts w:ascii="Calibri" w:hAnsi="Calibri"/>
          <w:snapToGrid w:val="0"/>
          <w:sz w:val="22"/>
          <w:szCs w:val="22"/>
          <w:lang w:eastAsia="en-US"/>
        </w:rPr>
        <w:t>meghatározott jövőbeli időpont</w:t>
      </w:r>
      <w:r w:rsidR="00F17625" w:rsidRPr="003B7DA2">
        <w:rPr>
          <w:rFonts w:ascii="Calibri" w:hAnsi="Calibri"/>
          <w:snapToGrid w:val="0"/>
          <w:sz w:val="22"/>
          <w:szCs w:val="22"/>
          <w:lang w:eastAsia="en-US"/>
        </w:rPr>
        <w:t xml:space="preserve">ban, meghatározott (többnyire névleges) összeg után </w:t>
      </w:r>
      <w:r w:rsidRPr="003B7DA2">
        <w:rPr>
          <w:rFonts w:ascii="Calibri" w:hAnsi="Calibri"/>
          <w:snapToGrid w:val="0"/>
          <w:sz w:val="22"/>
          <w:szCs w:val="22"/>
          <w:lang w:eastAsia="en-US"/>
        </w:rPr>
        <w:t>a szerződésben meg</w:t>
      </w:r>
      <w:r w:rsidR="00F17625" w:rsidRPr="003B7DA2">
        <w:rPr>
          <w:rFonts w:ascii="Calibri" w:hAnsi="Calibri"/>
          <w:snapToGrid w:val="0"/>
          <w:sz w:val="22"/>
          <w:szCs w:val="22"/>
          <w:lang w:eastAsia="en-US"/>
        </w:rPr>
        <w:t>szabott</w:t>
      </w:r>
      <w:r w:rsidRPr="003B7DA2">
        <w:rPr>
          <w:rFonts w:ascii="Calibri" w:hAnsi="Calibri"/>
          <w:snapToGrid w:val="0"/>
          <w:sz w:val="22"/>
          <w:szCs w:val="22"/>
          <w:lang w:eastAsia="en-US"/>
        </w:rPr>
        <w:t xml:space="preserve"> kamatlábbal</w:t>
      </w:r>
      <w:r w:rsidR="00F17625" w:rsidRPr="003B7DA2">
        <w:rPr>
          <w:rFonts w:ascii="Calibri" w:hAnsi="Calibri"/>
          <w:snapToGrid w:val="0"/>
          <w:sz w:val="22"/>
          <w:szCs w:val="22"/>
          <w:lang w:eastAsia="en-US"/>
        </w:rPr>
        <w:t xml:space="preserve"> (ez értelemszerűen egy változó, valamilyen piacon időszakonként fixált kamatláb)</w:t>
      </w:r>
      <w:r w:rsidRPr="003B7DA2">
        <w:rPr>
          <w:rFonts w:ascii="Calibri" w:hAnsi="Calibri"/>
          <w:snapToGrid w:val="0"/>
          <w:sz w:val="22"/>
          <w:szCs w:val="22"/>
          <w:lang w:eastAsia="en-US"/>
        </w:rPr>
        <w:t xml:space="preserve"> számított kamatösszeg</w:t>
      </w:r>
      <w:r w:rsidR="00F17625" w:rsidRPr="003B7DA2">
        <w:rPr>
          <w:rFonts w:ascii="Calibri" w:hAnsi="Calibri"/>
          <w:snapToGrid w:val="0"/>
          <w:sz w:val="22"/>
          <w:szCs w:val="22"/>
          <w:lang w:eastAsia="en-US"/>
        </w:rPr>
        <w:t>r</w:t>
      </w:r>
      <w:r w:rsidRPr="003B7DA2">
        <w:rPr>
          <w:rFonts w:ascii="Calibri" w:hAnsi="Calibri"/>
          <w:snapToGrid w:val="0"/>
          <w:sz w:val="22"/>
          <w:szCs w:val="22"/>
          <w:lang w:eastAsia="en-US"/>
        </w:rPr>
        <w:t>e</w:t>
      </w:r>
      <w:r w:rsidR="00F17625" w:rsidRPr="003B7DA2">
        <w:rPr>
          <w:rFonts w:ascii="Calibri" w:hAnsi="Calibri"/>
          <w:snapToGrid w:val="0"/>
          <w:sz w:val="22"/>
          <w:szCs w:val="22"/>
          <w:lang w:eastAsia="en-US"/>
        </w:rPr>
        <w:t xml:space="preserve"> szól. </w:t>
      </w:r>
      <w:r w:rsidRPr="003B7DA2">
        <w:rPr>
          <w:rFonts w:ascii="Calibri" w:hAnsi="Calibri"/>
          <w:snapToGrid w:val="0"/>
          <w:sz w:val="22"/>
          <w:szCs w:val="22"/>
          <w:lang w:eastAsia="en-US"/>
        </w:rPr>
        <w:t xml:space="preserve"> </w:t>
      </w:r>
    </w:p>
    <w:p w14:paraId="7E12F9B0" w14:textId="77777777" w:rsidR="00727BF5" w:rsidRPr="003B7DA2" w:rsidRDefault="00727BF5">
      <w:pPr>
        <w:ind w:left="720"/>
        <w:jc w:val="both"/>
        <w:rPr>
          <w:rFonts w:ascii="Calibri" w:hAnsi="Calibri"/>
          <w:snapToGrid w:val="0"/>
          <w:sz w:val="22"/>
          <w:szCs w:val="22"/>
          <w:lang w:eastAsia="en-US"/>
        </w:rPr>
      </w:pPr>
    </w:p>
    <w:p w14:paraId="3901BDEA"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Tapasztalataink szerint Magyarországon az FRA ügyletek túlnyomó részénél az esedékes fizetések értékkülönbözet elszámolással történnek, vagyis a teljesítés időintervallumára érvényes kamatláb meghirdetésekor (ezt nevezik fixingnek, pl. a tőzsdén ebben az időpontban hirdetik meg a következő havi, három havi stb. betét-periódusokra jegyezhető kamatlábakat) kiszámítják ezen aktuális piaci, illetve a</w:t>
      </w:r>
      <w:r w:rsidR="00F17625" w:rsidRPr="003B7DA2">
        <w:rPr>
          <w:rFonts w:ascii="Calibri" w:hAnsi="Calibri"/>
          <w:snapToGrid w:val="0"/>
          <w:sz w:val="22"/>
          <w:szCs w:val="22"/>
          <w:lang w:eastAsia="en-US"/>
        </w:rPr>
        <w:t>z FRA</w:t>
      </w:r>
      <w:r w:rsidRPr="003B7DA2">
        <w:rPr>
          <w:rFonts w:ascii="Calibri" w:hAnsi="Calibri"/>
          <w:snapToGrid w:val="0"/>
          <w:sz w:val="22"/>
          <w:szCs w:val="22"/>
          <w:lang w:eastAsia="en-US"/>
        </w:rPr>
        <w:t xml:space="preserve"> szerződésben meghatározott kamatlábbal a mögöttes névleges kötelezettség összege után járó kamatösszegeket, s csupán ezek különbözetét rendezik, aszerint, hogy negatív, vagy pozitív különbözet adódik. A fizetés is ezen időpontban, vagyis fixingkor történik, nem pedig a mögöttes termék (vagyis egy hitel-betét összeg) megadott kamatfizetési időpontjaiban.</w:t>
      </w:r>
    </w:p>
    <w:p w14:paraId="12DF7FEB" w14:textId="77777777" w:rsidR="00F17625" w:rsidRPr="003B7DA2" w:rsidRDefault="00F17625">
      <w:pPr>
        <w:ind w:left="720"/>
        <w:jc w:val="both"/>
        <w:rPr>
          <w:rFonts w:ascii="Calibri" w:hAnsi="Calibri"/>
          <w:snapToGrid w:val="0"/>
          <w:sz w:val="22"/>
          <w:szCs w:val="22"/>
          <w:lang w:eastAsia="en-US"/>
        </w:rPr>
      </w:pPr>
    </w:p>
    <w:p w14:paraId="233B1FE8"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ügyletek piaci értéke </w:t>
      </w:r>
      <w:r w:rsidR="00F17625" w:rsidRPr="003B7DA2">
        <w:rPr>
          <w:rFonts w:ascii="Calibri" w:hAnsi="Calibri"/>
          <w:snapToGrid w:val="0"/>
          <w:sz w:val="22"/>
          <w:szCs w:val="22"/>
          <w:lang w:eastAsia="en-US"/>
        </w:rPr>
        <w:t xml:space="preserve">futamidő alatt </w:t>
      </w:r>
      <w:r w:rsidRPr="003B7DA2">
        <w:rPr>
          <w:rFonts w:ascii="Calibri" w:hAnsi="Calibri"/>
          <w:snapToGrid w:val="0"/>
          <w:sz w:val="22"/>
          <w:szCs w:val="22"/>
          <w:lang w:eastAsia="en-US"/>
        </w:rPr>
        <w:t xml:space="preserve">valamely időpontban úgy állapítható meg, hogy kiszámítják a szerződésben szereplő időszakra vonatkozóan a megadott piacon a kiértékelés időpontjában jegyzett kamatláb és a szerződés szerinti kamatláb közötti különbséget, s e kamatkülönbözet nettó jelenértéke teszi ki az adatszolgáltatónak a kiértékelés alapján </w:t>
      </w:r>
      <w:r w:rsidRPr="003B7DA2">
        <w:rPr>
          <w:rFonts w:ascii="Calibri" w:hAnsi="Calibri"/>
          <w:snapToGrid w:val="0"/>
          <w:sz w:val="22"/>
          <w:szCs w:val="22"/>
          <w:lang w:eastAsia="en-US"/>
        </w:rPr>
        <w:lastRenderedPageBreak/>
        <w:t>várható fizető, vagy kedvezményezett pozíciója szerint az ügylet pozitív, vagy negatív piaci értékét.</w:t>
      </w:r>
    </w:p>
    <w:p w14:paraId="2E43D056" w14:textId="77777777" w:rsidR="0092684C" w:rsidRPr="003B7DA2" w:rsidRDefault="0092684C">
      <w:pPr>
        <w:ind w:left="720"/>
        <w:jc w:val="both"/>
        <w:rPr>
          <w:rFonts w:ascii="Calibri" w:hAnsi="Calibri"/>
          <w:b/>
          <w:snapToGrid w:val="0"/>
          <w:sz w:val="22"/>
          <w:szCs w:val="22"/>
          <w:lang w:eastAsia="en-US"/>
        </w:rPr>
      </w:pPr>
    </w:p>
    <w:p w14:paraId="7A9C50E6"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59D889B4" w14:textId="77777777" w:rsidR="0092684C" w:rsidRPr="003B7DA2" w:rsidRDefault="0092684C">
      <w:pPr>
        <w:rPr>
          <w:rFonts w:ascii="Calibri" w:hAnsi="Calibri"/>
          <w:sz w:val="22"/>
          <w:szCs w:val="22"/>
        </w:rPr>
      </w:pPr>
    </w:p>
    <w:p w14:paraId="6327ABDC"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Az adatszolgáltatónak a kiértékelés alapján várható fizető, vagy kedvezményezett pozíciója szerinti táblában kell az FRA ügylet országonkénti bruttó</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 xml:space="preserve">piaci értékét jelenteni..      </w:t>
      </w:r>
    </w:p>
    <w:p w14:paraId="03F8FF3A" w14:textId="77777777" w:rsidR="0092684C" w:rsidRPr="003B7DA2" w:rsidRDefault="0092684C">
      <w:pPr>
        <w:ind w:left="720"/>
        <w:jc w:val="both"/>
        <w:rPr>
          <w:rFonts w:ascii="Calibri" w:hAnsi="Calibri"/>
          <w:snapToGrid w:val="0"/>
          <w:sz w:val="22"/>
          <w:szCs w:val="22"/>
          <w:lang w:eastAsia="en-US"/>
        </w:rPr>
      </w:pPr>
    </w:p>
    <w:p w14:paraId="0264018E"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519C61E0" w14:textId="77777777" w:rsidR="0092684C" w:rsidRPr="003B7DA2" w:rsidRDefault="0092684C">
      <w:pPr>
        <w:ind w:left="360"/>
        <w:jc w:val="both"/>
        <w:rPr>
          <w:rFonts w:ascii="Calibri" w:hAnsi="Calibri"/>
          <w:snapToGrid w:val="0"/>
          <w:sz w:val="22"/>
          <w:szCs w:val="22"/>
          <w:lang w:eastAsia="en-US"/>
        </w:rPr>
      </w:pPr>
    </w:p>
    <w:p w14:paraId="7763BE8B" w14:textId="77777777"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Az FRA ügylet</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miatt fixingkor fizetett, vagy bevételezett kamatkülönbözet összegét kell a fizetés iránya szerinti táblában, országonként összesítve szerepeltetni.</w:t>
      </w:r>
    </w:p>
    <w:p w14:paraId="4891C81E" w14:textId="77777777" w:rsidR="0092684C" w:rsidRPr="003B7DA2" w:rsidRDefault="0092684C">
      <w:pPr>
        <w:jc w:val="both"/>
        <w:rPr>
          <w:rFonts w:ascii="Calibri" w:hAnsi="Calibri" w:cs="Garamond"/>
          <w:i/>
          <w:sz w:val="22"/>
          <w:szCs w:val="22"/>
        </w:rPr>
      </w:pPr>
    </w:p>
    <w:p w14:paraId="1BB6F6D9" w14:textId="77777777" w:rsidR="0092684C" w:rsidRPr="003B7DA2" w:rsidRDefault="0092684C">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egyszerűsített FRA ügyletre: </w:t>
      </w:r>
    </w:p>
    <w:p w14:paraId="5528B567" w14:textId="77777777"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cég 2006. január 10-én megállapodást köt nem rezidens német partnerével</w:t>
      </w:r>
      <w:r w:rsidR="0058577D"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1 millió EUR </w:t>
      </w:r>
      <w:r w:rsidR="00F17625" w:rsidRPr="003B7DA2">
        <w:rPr>
          <w:rFonts w:ascii="Calibri" w:hAnsi="Calibri"/>
          <w:snapToGrid w:val="0"/>
          <w:sz w:val="22"/>
          <w:szCs w:val="22"/>
          <w:lang w:eastAsia="en-US"/>
        </w:rPr>
        <w:t>névleges</w:t>
      </w:r>
      <w:r w:rsidRPr="003B7DA2">
        <w:rPr>
          <w:rFonts w:ascii="Calibri" w:hAnsi="Calibri"/>
          <w:snapToGrid w:val="0"/>
          <w:sz w:val="22"/>
          <w:szCs w:val="22"/>
          <w:lang w:eastAsia="en-US"/>
        </w:rPr>
        <w:t xml:space="preserve"> tőkeösszeg után 5 hónap</w:t>
      </w:r>
      <w:r w:rsidR="0058577D" w:rsidRPr="003B7DA2">
        <w:rPr>
          <w:rFonts w:ascii="Calibri" w:hAnsi="Calibri"/>
          <w:snapToGrid w:val="0"/>
          <w:sz w:val="22"/>
          <w:szCs w:val="22"/>
          <w:lang w:eastAsia="en-US"/>
        </w:rPr>
        <w:t xml:space="preserve"> múlva</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adott piacon meghirdetett 3 havi betéti kamatlábra, a szerződésben ezt a kamatlábat 3</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-ban állapítják meg.</w:t>
      </w:r>
      <w:r w:rsidRPr="003B7DA2">
        <w:rPr>
          <w:rFonts w:ascii="Calibri" w:hAnsi="Calibri"/>
          <w:snapToGrid w:val="0"/>
          <w:sz w:val="22"/>
          <w:szCs w:val="22"/>
          <w:lang w:eastAsia="en-US"/>
        </w:rPr>
        <w:t xml:space="preserve"> </w:t>
      </w:r>
      <w:r w:rsidR="004C73FB" w:rsidRPr="003B7DA2">
        <w:rPr>
          <w:rFonts w:ascii="Calibri" w:hAnsi="Calibri"/>
          <w:snapToGrid w:val="0"/>
          <w:sz w:val="22"/>
          <w:szCs w:val="22"/>
          <w:lang w:eastAsia="en-US"/>
        </w:rPr>
        <w:t>(</w:t>
      </w:r>
      <w:r w:rsidR="0052559A" w:rsidRPr="003B7DA2">
        <w:rPr>
          <w:rFonts w:ascii="Calibri" w:hAnsi="Calibri"/>
          <w:snapToGrid w:val="0"/>
          <w:sz w:val="22"/>
          <w:szCs w:val="22"/>
          <w:lang w:eastAsia="en-US"/>
        </w:rPr>
        <w:t>A német féllel abban állapodnak meg, hogy</w:t>
      </w:r>
      <w:r w:rsidR="004C73FB" w:rsidRPr="003B7DA2">
        <w:rPr>
          <w:rFonts w:ascii="Calibri" w:hAnsi="Calibri"/>
          <w:snapToGrid w:val="0"/>
          <w:sz w:val="22"/>
          <w:szCs w:val="22"/>
          <w:lang w:eastAsia="en-US"/>
        </w:rPr>
        <w:t xml:space="preserve"> a fixing időpontjában meghirdetett piaci kamatlábbal számolt kamatösszeg</w:t>
      </w:r>
      <w:r w:rsidR="0052559A" w:rsidRPr="003B7DA2">
        <w:rPr>
          <w:rFonts w:ascii="Calibri" w:hAnsi="Calibri"/>
          <w:snapToGrid w:val="0"/>
          <w:sz w:val="22"/>
          <w:szCs w:val="22"/>
          <w:lang w:eastAsia="en-US"/>
        </w:rPr>
        <w:t xml:space="preserve"> és ezen, szerződéses kamatösszeg különbözetét fogják rendezni aszerint, hogy az végül is nyereséget, vagy veszteséget okoz-e. Ha a piaci kamat tehát magasabb, akkor veszteség éri a rezidens felet, át kell utalnia a különbözetet, ha alacsonyabb, akkor nyeresége van, a német féltől megkapja a különbözetet.</w:t>
      </w:r>
      <w:r w:rsidR="004C73FB" w:rsidRPr="003B7DA2">
        <w:rPr>
          <w:rFonts w:ascii="Calibri" w:hAnsi="Calibri"/>
          <w:snapToGrid w:val="0"/>
          <w:sz w:val="22"/>
          <w:szCs w:val="22"/>
          <w:lang w:eastAsia="en-US"/>
        </w:rPr>
        <w:t>)</w:t>
      </w:r>
    </w:p>
    <w:p w14:paraId="15C410B4" w14:textId="77777777"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Az irányadó (a megállapodásban megjelölt) piacon 5 hónappal később (fixing) a 3 hónapos betét kamatláb</w:t>
      </w:r>
      <w:r w:rsidR="0058577D" w:rsidRPr="003B7DA2">
        <w:rPr>
          <w:rFonts w:ascii="Calibri" w:hAnsi="Calibri"/>
          <w:snapToGrid w:val="0"/>
          <w:sz w:val="22"/>
          <w:szCs w:val="22"/>
          <w:lang w:eastAsia="en-US"/>
        </w:rPr>
        <w:t>a</w:t>
      </w:r>
      <w:r w:rsidRPr="003B7DA2">
        <w:rPr>
          <w:rFonts w:ascii="Calibri" w:hAnsi="Calibri"/>
          <w:snapToGrid w:val="0"/>
          <w:sz w:val="22"/>
          <w:szCs w:val="22"/>
          <w:lang w:eastAsia="en-US"/>
        </w:rPr>
        <w:t xml:space="preserve"> 4 %-</w:t>
      </w:r>
      <w:r w:rsidR="0058577D" w:rsidRPr="003B7DA2">
        <w:rPr>
          <w:rFonts w:ascii="Calibri" w:hAnsi="Calibri"/>
          <w:snapToGrid w:val="0"/>
          <w:sz w:val="22"/>
          <w:szCs w:val="22"/>
          <w:lang w:eastAsia="en-US"/>
        </w:rPr>
        <w:t>ban kerül meghirdetésre.</w:t>
      </w:r>
      <w:r w:rsidRPr="003B7DA2">
        <w:rPr>
          <w:rFonts w:ascii="Calibri" w:hAnsi="Calibri"/>
          <w:snapToGrid w:val="0"/>
          <w:sz w:val="22"/>
          <w:szCs w:val="22"/>
          <w:lang w:eastAsia="en-US"/>
        </w:rPr>
        <w:t xml:space="preserve">  </w:t>
      </w:r>
    </w:p>
    <w:p w14:paraId="1DC18C87" w14:textId="77777777"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kamatlábak szerint az ügylet a szerződés szerinti kamatlábhoz viszonyítva nyereséges, vagy veszteséges-e, s az így kapott értéket tünteti fel a megfelelő tábla záró pozíciós mezőjében. (I., II., III., IV., V. hónap: + 1 millió forint, - 1 millió Ft, + 2 millió Ft, + 1 millió Ft, - 1 millió Ft, a forintra történt átszámítás után). Az átértékelések, a másik táblába történő „átvezetések” a korábban ismertetett módszerrel történhetnek.</w:t>
      </w:r>
    </w:p>
    <w:p w14:paraId="2538E74B" w14:textId="77777777"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Fixingkor kiderült, hogy a rezidens fél számára az ügylet veszteséges volt, mivel 4 %-os kamatláb he</w:t>
      </w:r>
      <w:r w:rsidR="004C73FB" w:rsidRPr="003B7DA2">
        <w:rPr>
          <w:rFonts w:ascii="Calibri" w:hAnsi="Calibri"/>
          <w:snapToGrid w:val="0"/>
          <w:sz w:val="22"/>
          <w:szCs w:val="22"/>
          <w:lang w:eastAsia="en-US"/>
        </w:rPr>
        <w:t xml:space="preserve">lyett csupán 3 %-os kamatlábat tud realizálni a szerződés szerint. </w:t>
      </w:r>
      <w:r w:rsidRPr="003B7DA2">
        <w:rPr>
          <w:rFonts w:ascii="Calibri" w:hAnsi="Calibri"/>
          <w:snapToGrid w:val="0"/>
          <w:sz w:val="22"/>
          <w:szCs w:val="22"/>
          <w:lang w:eastAsia="en-US"/>
        </w:rPr>
        <w:t xml:space="preserve">A veszteség kiszámítása után ezt az összeget kénytelen átutalni. A veszteség összege a forintra történő átszámítás után 600 ezer Ft-ot tesz ki. Ezt tehát a Tartozások táblában kiadásként kell feltüntetni. </w:t>
      </w:r>
    </w:p>
    <w:p w14:paraId="130DF055" w14:textId="77777777" w:rsidR="0092684C" w:rsidRPr="003B7DA2" w:rsidRDefault="0092684C">
      <w:pPr>
        <w:pStyle w:val="BodyText"/>
        <w:rPr>
          <w:rFonts w:ascii="Calibri" w:hAnsi="Calibri"/>
          <w:b/>
          <w:bCs/>
          <w:sz w:val="22"/>
          <w:szCs w:val="22"/>
          <w:u w:val="single"/>
        </w:rPr>
      </w:pPr>
    </w:p>
    <w:p w14:paraId="18C99651" w14:textId="77777777" w:rsidR="0092684C" w:rsidRPr="003B7DA2" w:rsidRDefault="00583402">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14:paraId="25E3A168" w14:textId="77777777" w:rsidTr="00D45209">
        <w:tc>
          <w:tcPr>
            <w:tcW w:w="918" w:type="dxa"/>
            <w:vMerge w:val="restart"/>
          </w:tcPr>
          <w:p w14:paraId="08986610" w14:textId="77777777" w:rsidR="0092684C" w:rsidRPr="003B7DA2" w:rsidRDefault="0092684C" w:rsidP="00D45209">
            <w:pPr>
              <w:jc w:val="center"/>
              <w:rPr>
                <w:rFonts w:ascii="Calibri" w:hAnsi="Calibri"/>
                <w:bCs/>
                <w:sz w:val="22"/>
                <w:szCs w:val="22"/>
              </w:rPr>
            </w:pPr>
            <w:r w:rsidRPr="003B7DA2">
              <w:rPr>
                <w:rFonts w:ascii="Calibri" w:hAnsi="Calibri" w:cs="Arial"/>
                <w:sz w:val="22"/>
                <w:szCs w:val="22"/>
              </w:rPr>
              <w:t>Időszak</w:t>
            </w:r>
          </w:p>
        </w:tc>
        <w:tc>
          <w:tcPr>
            <w:tcW w:w="913" w:type="dxa"/>
            <w:vMerge w:val="restart"/>
          </w:tcPr>
          <w:p w14:paraId="599035F9"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14:paraId="0C737A36"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14:paraId="45241A8C"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151B37CA"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14:paraId="50380C6F"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14:paraId="1141E62E"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14:paraId="28281CBF"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14:paraId="48E7CBCF" w14:textId="77777777" w:rsidTr="00D45209">
        <w:tc>
          <w:tcPr>
            <w:tcW w:w="918" w:type="dxa"/>
            <w:vMerge/>
          </w:tcPr>
          <w:p w14:paraId="28B3DA57" w14:textId="77777777" w:rsidR="0092684C" w:rsidRPr="003B7DA2" w:rsidRDefault="0092684C">
            <w:pPr>
              <w:pStyle w:val="BodyText"/>
              <w:rPr>
                <w:rFonts w:ascii="Calibri" w:hAnsi="Calibri"/>
                <w:b/>
                <w:bCs/>
                <w:sz w:val="22"/>
                <w:szCs w:val="22"/>
                <w:u w:val="single"/>
              </w:rPr>
            </w:pPr>
          </w:p>
        </w:tc>
        <w:tc>
          <w:tcPr>
            <w:tcW w:w="913" w:type="dxa"/>
            <w:vMerge/>
          </w:tcPr>
          <w:p w14:paraId="16CC00FE" w14:textId="77777777" w:rsidR="0092684C" w:rsidRPr="003B7DA2" w:rsidRDefault="0092684C">
            <w:pPr>
              <w:pStyle w:val="BodyText"/>
              <w:rPr>
                <w:rFonts w:ascii="Calibri" w:hAnsi="Calibri"/>
                <w:b/>
                <w:bCs/>
                <w:sz w:val="22"/>
                <w:szCs w:val="22"/>
                <w:u w:val="single"/>
              </w:rPr>
            </w:pPr>
          </w:p>
        </w:tc>
        <w:tc>
          <w:tcPr>
            <w:tcW w:w="797" w:type="dxa"/>
            <w:vMerge/>
          </w:tcPr>
          <w:p w14:paraId="2B4ECB65" w14:textId="77777777" w:rsidR="0092684C" w:rsidRPr="003B7DA2" w:rsidRDefault="0092684C">
            <w:pPr>
              <w:pStyle w:val="BodyText"/>
              <w:rPr>
                <w:rFonts w:ascii="Calibri" w:hAnsi="Calibri"/>
                <w:b/>
                <w:bCs/>
                <w:sz w:val="22"/>
                <w:szCs w:val="22"/>
                <w:u w:val="single"/>
              </w:rPr>
            </w:pPr>
          </w:p>
        </w:tc>
        <w:tc>
          <w:tcPr>
            <w:tcW w:w="1080" w:type="dxa"/>
            <w:vMerge/>
          </w:tcPr>
          <w:p w14:paraId="08DDA13C" w14:textId="77777777" w:rsidR="0092684C" w:rsidRPr="003B7DA2" w:rsidRDefault="0092684C">
            <w:pPr>
              <w:pStyle w:val="BodyText"/>
              <w:rPr>
                <w:rFonts w:ascii="Calibri" w:hAnsi="Calibri"/>
                <w:b/>
                <w:bCs/>
                <w:sz w:val="22"/>
                <w:szCs w:val="22"/>
                <w:u w:val="single"/>
              </w:rPr>
            </w:pPr>
          </w:p>
        </w:tc>
        <w:tc>
          <w:tcPr>
            <w:tcW w:w="1080" w:type="dxa"/>
          </w:tcPr>
          <w:p w14:paraId="397F2F79"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5F4D0308"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(Kiadás)</w:t>
            </w:r>
          </w:p>
        </w:tc>
        <w:tc>
          <w:tcPr>
            <w:tcW w:w="1080" w:type="dxa"/>
          </w:tcPr>
          <w:p w14:paraId="287A2E16"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7246D635"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195" w:type="dxa"/>
            <w:vMerge/>
          </w:tcPr>
          <w:p w14:paraId="2294B5C1" w14:textId="77777777" w:rsidR="0092684C" w:rsidRPr="003B7DA2" w:rsidRDefault="0092684C">
            <w:pPr>
              <w:pStyle w:val="BodyText"/>
              <w:rPr>
                <w:rFonts w:ascii="Calibri" w:hAnsi="Calibri" w:cs="Arial"/>
                <w:sz w:val="22"/>
                <w:szCs w:val="22"/>
              </w:rPr>
            </w:pPr>
          </w:p>
        </w:tc>
        <w:tc>
          <w:tcPr>
            <w:tcW w:w="785" w:type="dxa"/>
            <w:vMerge/>
          </w:tcPr>
          <w:p w14:paraId="3E0D6263" w14:textId="77777777" w:rsidR="0092684C" w:rsidRPr="003B7DA2" w:rsidRDefault="0092684C">
            <w:pPr>
              <w:pStyle w:val="BodyText"/>
              <w:rPr>
                <w:rFonts w:ascii="Calibri" w:hAnsi="Calibri" w:cs="Arial"/>
                <w:sz w:val="22"/>
                <w:szCs w:val="22"/>
              </w:rPr>
            </w:pPr>
          </w:p>
        </w:tc>
        <w:tc>
          <w:tcPr>
            <w:tcW w:w="1149" w:type="dxa"/>
            <w:vMerge/>
          </w:tcPr>
          <w:p w14:paraId="22844F6D" w14:textId="77777777" w:rsidR="0092684C" w:rsidRPr="003B7DA2" w:rsidRDefault="0092684C">
            <w:pPr>
              <w:pStyle w:val="BodyText"/>
              <w:rPr>
                <w:rFonts w:ascii="Calibri" w:hAnsi="Calibri" w:cs="Arial"/>
                <w:sz w:val="22"/>
                <w:szCs w:val="22"/>
              </w:rPr>
            </w:pPr>
          </w:p>
        </w:tc>
      </w:tr>
      <w:tr w:rsidR="0092684C" w:rsidRPr="003B7DA2" w14:paraId="6EAC27D7" w14:textId="77777777" w:rsidTr="00D45209">
        <w:tc>
          <w:tcPr>
            <w:tcW w:w="918" w:type="dxa"/>
          </w:tcPr>
          <w:p w14:paraId="7F829B6A" w14:textId="77777777"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14:paraId="50911BD5"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69E58AA0"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26040A92"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041652D7"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6774C6BD"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05F92930" w14:textId="77777777" w:rsidR="0092684C" w:rsidRPr="003B7DA2" w:rsidRDefault="0092684C" w:rsidP="00D45209">
            <w:pPr>
              <w:pStyle w:val="BodyText"/>
              <w:jc w:val="center"/>
              <w:rPr>
                <w:rFonts w:ascii="Calibri" w:hAnsi="Calibri" w:cs="Arial"/>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42ADD8D3"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2263EDF2"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2ED67C5B" w14:textId="77777777" w:rsidTr="00D45209">
        <w:tc>
          <w:tcPr>
            <w:tcW w:w="918" w:type="dxa"/>
          </w:tcPr>
          <w:p w14:paraId="5D815585"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14:paraId="45BAB73E"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27149CE4"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5CD3A8B9"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1080" w:type="dxa"/>
          </w:tcPr>
          <w:p w14:paraId="3EFCAF80"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7EE5A9B9"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4BAD1172" w14:textId="77777777"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49832A57"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47FC22F9"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23208448" w14:textId="77777777" w:rsidTr="00D45209">
        <w:tc>
          <w:tcPr>
            <w:tcW w:w="918" w:type="dxa"/>
          </w:tcPr>
          <w:p w14:paraId="756D76FD"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14:paraId="037AB024"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14C3FBAB"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3D9A9781"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6EB2F52B"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6274737F"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287FB929" w14:textId="77777777" w:rsidR="0092684C" w:rsidRPr="003B7DA2" w:rsidRDefault="0092684C" w:rsidP="00D45209">
            <w:pPr>
              <w:pStyle w:val="BodyText"/>
              <w:jc w:val="center"/>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46EF348F"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61C0238B" w14:textId="77777777" w:rsidR="0092684C" w:rsidRPr="003B7DA2" w:rsidRDefault="0092684C">
            <w:pPr>
              <w:pStyle w:val="BodyText"/>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6EA4EC03" w14:textId="77777777" w:rsidTr="00D45209">
        <w:tc>
          <w:tcPr>
            <w:tcW w:w="918" w:type="dxa"/>
          </w:tcPr>
          <w:p w14:paraId="317F9081"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14:paraId="05D7703F"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34F9CA06"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6DC8174D" w14:textId="77777777" w:rsidR="0092684C" w:rsidRPr="003B7DA2" w:rsidRDefault="0092684C">
            <w:pPr>
              <w:pStyle w:val="BodyText"/>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lastRenderedPageBreak/>
              <w:t>000</w:t>
            </w:r>
            <w:proofErr w:type="spellEnd"/>
          </w:p>
        </w:tc>
        <w:tc>
          <w:tcPr>
            <w:tcW w:w="1080" w:type="dxa"/>
          </w:tcPr>
          <w:p w14:paraId="3032DDFC"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lastRenderedPageBreak/>
              <w:t>0</w:t>
            </w:r>
          </w:p>
        </w:tc>
        <w:tc>
          <w:tcPr>
            <w:tcW w:w="1080" w:type="dxa"/>
          </w:tcPr>
          <w:p w14:paraId="2A7ACD83"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442AE093" w14:textId="77777777" w:rsidR="0092684C" w:rsidRPr="003B7DA2" w:rsidRDefault="0092684C">
            <w:pPr>
              <w:pStyle w:val="BodyText"/>
              <w:rPr>
                <w:rFonts w:ascii="Calibri" w:hAnsi="Calibri" w:cs="Arial"/>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lastRenderedPageBreak/>
              <w:t>000</w:t>
            </w:r>
            <w:proofErr w:type="spellEnd"/>
          </w:p>
        </w:tc>
        <w:tc>
          <w:tcPr>
            <w:tcW w:w="785" w:type="dxa"/>
          </w:tcPr>
          <w:p w14:paraId="3BF633E8" w14:textId="77777777" w:rsidR="0092684C" w:rsidRPr="003B7DA2" w:rsidRDefault="0092684C">
            <w:pPr>
              <w:pStyle w:val="BodyText"/>
              <w:rPr>
                <w:rFonts w:ascii="Calibri" w:hAnsi="Calibri"/>
                <w:bCs/>
                <w:sz w:val="22"/>
                <w:szCs w:val="22"/>
              </w:rPr>
            </w:pPr>
            <w:r w:rsidRPr="003B7DA2">
              <w:rPr>
                <w:rFonts w:ascii="Calibri" w:hAnsi="Calibri"/>
                <w:bCs/>
                <w:sz w:val="22"/>
                <w:szCs w:val="22"/>
              </w:rPr>
              <w:lastRenderedPageBreak/>
              <w:t>0</w:t>
            </w:r>
          </w:p>
        </w:tc>
        <w:tc>
          <w:tcPr>
            <w:tcW w:w="1149" w:type="dxa"/>
          </w:tcPr>
          <w:p w14:paraId="6F321036"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3503B45E" w14:textId="77777777" w:rsidTr="00D45209">
        <w:tc>
          <w:tcPr>
            <w:tcW w:w="918" w:type="dxa"/>
          </w:tcPr>
          <w:p w14:paraId="47FF2DCB"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14:paraId="238CA495"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6592A7D1"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463CE5E6"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1080" w:type="dxa"/>
          </w:tcPr>
          <w:p w14:paraId="294C94C1"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79F36EAD"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0AE9D664" w14:textId="77777777"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47D27166"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6F55434C"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403B1777" w14:textId="77777777" w:rsidTr="00D45209">
        <w:tc>
          <w:tcPr>
            <w:tcW w:w="918" w:type="dxa"/>
          </w:tcPr>
          <w:p w14:paraId="6A2B5A6E"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14:paraId="1C391776"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5545DA1D"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73CD78FA"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2CA704FC"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1E76FC42"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55B8391B" w14:textId="77777777" w:rsidR="0092684C" w:rsidRPr="003B7DA2" w:rsidRDefault="0092684C">
            <w:pPr>
              <w:pStyle w:val="BodyText"/>
              <w:rPr>
                <w:rFonts w:ascii="Calibri" w:hAnsi="Calibri" w:cs="Arial"/>
                <w:sz w:val="22"/>
                <w:szCs w:val="22"/>
              </w:rPr>
            </w:pPr>
          </w:p>
        </w:tc>
        <w:tc>
          <w:tcPr>
            <w:tcW w:w="785" w:type="dxa"/>
          </w:tcPr>
          <w:p w14:paraId="1773A571"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4A9E915A"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bl>
    <w:p w14:paraId="36000E0B" w14:textId="77777777" w:rsidR="0092684C" w:rsidRPr="003B7DA2" w:rsidRDefault="0092684C">
      <w:pPr>
        <w:jc w:val="both"/>
        <w:rPr>
          <w:rFonts w:ascii="Calibri" w:hAnsi="Calibri" w:cs="Garamond"/>
          <w:sz w:val="22"/>
          <w:szCs w:val="22"/>
        </w:rPr>
      </w:pPr>
    </w:p>
    <w:p w14:paraId="3B277F5B" w14:textId="77777777" w:rsidR="0092684C" w:rsidRPr="003B7DA2" w:rsidRDefault="00583402">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14:paraId="5A29837B" w14:textId="77777777" w:rsidTr="00D45209">
        <w:tc>
          <w:tcPr>
            <w:tcW w:w="918" w:type="dxa"/>
            <w:vMerge w:val="restart"/>
          </w:tcPr>
          <w:p w14:paraId="754DAB35" w14:textId="77777777" w:rsidR="0092684C" w:rsidRPr="003B7DA2" w:rsidRDefault="0092684C">
            <w:pPr>
              <w:pStyle w:val="BodyText"/>
              <w:rPr>
                <w:rFonts w:ascii="Calibri" w:hAnsi="Calibri"/>
                <w:bCs/>
                <w:sz w:val="22"/>
                <w:szCs w:val="22"/>
              </w:rPr>
            </w:pPr>
            <w:r w:rsidRPr="003B7DA2">
              <w:rPr>
                <w:rFonts w:ascii="Calibri" w:hAnsi="Calibri"/>
                <w:bCs/>
                <w:sz w:val="22"/>
                <w:szCs w:val="22"/>
              </w:rPr>
              <w:t>Időszak</w:t>
            </w:r>
          </w:p>
        </w:tc>
        <w:tc>
          <w:tcPr>
            <w:tcW w:w="913" w:type="dxa"/>
            <w:vMerge w:val="restart"/>
          </w:tcPr>
          <w:p w14:paraId="3FAE18B3"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14:paraId="14F65C07"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14:paraId="4A353995"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76EED614"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14:paraId="4397AC02"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14:paraId="2CAEB48D"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14:paraId="4551474F"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14:paraId="7320AEF5" w14:textId="77777777" w:rsidTr="00D45209">
        <w:tc>
          <w:tcPr>
            <w:tcW w:w="918" w:type="dxa"/>
            <w:vMerge/>
          </w:tcPr>
          <w:p w14:paraId="05A5E11A" w14:textId="77777777" w:rsidR="0092684C" w:rsidRPr="003B7DA2" w:rsidRDefault="0092684C">
            <w:pPr>
              <w:pStyle w:val="BodyText"/>
              <w:rPr>
                <w:rFonts w:ascii="Calibri" w:hAnsi="Calibri"/>
                <w:b/>
                <w:bCs/>
                <w:sz w:val="22"/>
                <w:szCs w:val="22"/>
                <w:u w:val="single"/>
              </w:rPr>
            </w:pPr>
          </w:p>
        </w:tc>
        <w:tc>
          <w:tcPr>
            <w:tcW w:w="913" w:type="dxa"/>
            <w:vMerge/>
          </w:tcPr>
          <w:p w14:paraId="47B946A3" w14:textId="77777777" w:rsidR="0092684C" w:rsidRPr="003B7DA2" w:rsidRDefault="0092684C">
            <w:pPr>
              <w:pStyle w:val="BodyText"/>
              <w:rPr>
                <w:rFonts w:ascii="Calibri" w:hAnsi="Calibri"/>
                <w:b/>
                <w:bCs/>
                <w:sz w:val="22"/>
                <w:szCs w:val="22"/>
                <w:u w:val="single"/>
              </w:rPr>
            </w:pPr>
          </w:p>
        </w:tc>
        <w:tc>
          <w:tcPr>
            <w:tcW w:w="797" w:type="dxa"/>
            <w:vMerge/>
          </w:tcPr>
          <w:p w14:paraId="29D7AACA" w14:textId="77777777" w:rsidR="0092684C" w:rsidRPr="003B7DA2" w:rsidRDefault="0092684C">
            <w:pPr>
              <w:pStyle w:val="BodyText"/>
              <w:rPr>
                <w:rFonts w:ascii="Calibri" w:hAnsi="Calibri"/>
                <w:b/>
                <w:bCs/>
                <w:sz w:val="22"/>
                <w:szCs w:val="22"/>
                <w:u w:val="single"/>
              </w:rPr>
            </w:pPr>
          </w:p>
        </w:tc>
        <w:tc>
          <w:tcPr>
            <w:tcW w:w="1080" w:type="dxa"/>
            <w:vMerge/>
          </w:tcPr>
          <w:p w14:paraId="51BFDD7A" w14:textId="77777777" w:rsidR="0092684C" w:rsidRPr="003B7DA2" w:rsidRDefault="0092684C">
            <w:pPr>
              <w:pStyle w:val="BodyText"/>
              <w:rPr>
                <w:rFonts w:ascii="Calibri" w:hAnsi="Calibri"/>
                <w:b/>
                <w:bCs/>
                <w:sz w:val="22"/>
                <w:szCs w:val="22"/>
                <w:u w:val="single"/>
              </w:rPr>
            </w:pPr>
          </w:p>
        </w:tc>
        <w:tc>
          <w:tcPr>
            <w:tcW w:w="1080" w:type="dxa"/>
          </w:tcPr>
          <w:p w14:paraId="48A05FD8"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14:paraId="4B89C918"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Állományt csökkentő (Kiadás)</w:t>
            </w:r>
          </w:p>
        </w:tc>
        <w:tc>
          <w:tcPr>
            <w:tcW w:w="1195" w:type="dxa"/>
            <w:vMerge/>
          </w:tcPr>
          <w:p w14:paraId="7FF47F92" w14:textId="77777777" w:rsidR="0092684C" w:rsidRPr="003B7DA2" w:rsidRDefault="0092684C">
            <w:pPr>
              <w:pStyle w:val="BodyText"/>
              <w:rPr>
                <w:rFonts w:ascii="Calibri" w:hAnsi="Calibri" w:cs="Arial"/>
                <w:sz w:val="22"/>
                <w:szCs w:val="22"/>
              </w:rPr>
            </w:pPr>
          </w:p>
        </w:tc>
        <w:tc>
          <w:tcPr>
            <w:tcW w:w="785" w:type="dxa"/>
            <w:vMerge/>
          </w:tcPr>
          <w:p w14:paraId="61CF0CC8" w14:textId="77777777" w:rsidR="0092684C" w:rsidRPr="003B7DA2" w:rsidRDefault="0092684C">
            <w:pPr>
              <w:pStyle w:val="BodyText"/>
              <w:rPr>
                <w:rFonts w:ascii="Calibri" w:hAnsi="Calibri" w:cs="Arial"/>
                <w:sz w:val="22"/>
                <w:szCs w:val="22"/>
              </w:rPr>
            </w:pPr>
          </w:p>
        </w:tc>
        <w:tc>
          <w:tcPr>
            <w:tcW w:w="1149" w:type="dxa"/>
            <w:vMerge/>
          </w:tcPr>
          <w:p w14:paraId="5F2A4187" w14:textId="77777777" w:rsidR="0092684C" w:rsidRPr="003B7DA2" w:rsidRDefault="0092684C">
            <w:pPr>
              <w:pStyle w:val="BodyText"/>
              <w:rPr>
                <w:rFonts w:ascii="Calibri" w:hAnsi="Calibri" w:cs="Arial"/>
                <w:sz w:val="22"/>
                <w:szCs w:val="22"/>
              </w:rPr>
            </w:pPr>
          </w:p>
        </w:tc>
      </w:tr>
      <w:tr w:rsidR="0092684C" w:rsidRPr="003B7DA2" w14:paraId="69A01D17" w14:textId="77777777" w:rsidTr="00D45209">
        <w:tc>
          <w:tcPr>
            <w:tcW w:w="918" w:type="dxa"/>
          </w:tcPr>
          <w:p w14:paraId="47E4E1D1" w14:textId="77777777"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14:paraId="32B7EFA9"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5571ECFA"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0E9D10B5"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3A96BA15"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436D98A9"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5E866DD9" w14:textId="77777777" w:rsidR="0092684C" w:rsidRPr="003B7DA2" w:rsidRDefault="0092684C">
            <w:pPr>
              <w:pStyle w:val="BodyText"/>
              <w:rPr>
                <w:rFonts w:ascii="Calibri" w:hAnsi="Calibri" w:cs="Arial"/>
                <w:sz w:val="22"/>
                <w:szCs w:val="22"/>
              </w:rPr>
            </w:pPr>
          </w:p>
        </w:tc>
        <w:tc>
          <w:tcPr>
            <w:tcW w:w="785" w:type="dxa"/>
          </w:tcPr>
          <w:p w14:paraId="66311198"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037CE66A"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1CA644A2" w14:textId="77777777" w:rsidTr="00D45209">
        <w:tc>
          <w:tcPr>
            <w:tcW w:w="918" w:type="dxa"/>
          </w:tcPr>
          <w:p w14:paraId="3E88D81E"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14:paraId="22D7CBCB"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4BB1FCDE"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063EAD7D"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2D9249E9"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602A3DA5"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4F8BC027" w14:textId="77777777" w:rsidR="0092684C" w:rsidRPr="003B7DA2" w:rsidRDefault="0092684C">
            <w:pPr>
              <w:pStyle w:val="BodyText"/>
              <w:rPr>
                <w:rFonts w:ascii="Calibri" w:hAnsi="Calibri"/>
                <w:b/>
                <w:bCs/>
                <w:sz w:val="22"/>
                <w:szCs w:val="22"/>
                <w:u w:val="single"/>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3F577082"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18840AFD"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04466A76" w14:textId="77777777" w:rsidTr="00D45209">
        <w:tc>
          <w:tcPr>
            <w:tcW w:w="918" w:type="dxa"/>
          </w:tcPr>
          <w:p w14:paraId="31A3C196"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14:paraId="72465CF3"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1068BEBB"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1D69C781"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1080" w:type="dxa"/>
          </w:tcPr>
          <w:p w14:paraId="7E1762D9"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62380781"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1A84D6A1" w14:textId="77777777"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752A8E24"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7C9BE8FF"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0C81413C" w14:textId="77777777" w:rsidTr="00D45209">
        <w:tc>
          <w:tcPr>
            <w:tcW w:w="918" w:type="dxa"/>
          </w:tcPr>
          <w:p w14:paraId="1C6EF308"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14:paraId="676E3C4A"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0B0BE08B"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61B1D90F"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7EE106DC"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19D13423"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09C9F344"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785" w:type="dxa"/>
          </w:tcPr>
          <w:p w14:paraId="2386354C"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6EB763EC"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7A0E80BB" w14:textId="77777777" w:rsidTr="00D45209">
        <w:tc>
          <w:tcPr>
            <w:tcW w:w="918" w:type="dxa"/>
          </w:tcPr>
          <w:p w14:paraId="55B04EDF"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14:paraId="67CEA411"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7D78FEF5"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25D9F497"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35891ACD"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67D5EB0F"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14A78E52"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1</w:t>
            </w:r>
            <w:r w:rsidR="005F1451" w:rsidRPr="003B7DA2">
              <w:rPr>
                <w:rFonts w:ascii="Calibri" w:hAnsi="Calibri" w:cs="Arial"/>
                <w:sz w:val="22"/>
                <w:szCs w:val="22"/>
              </w:rPr>
              <w:t xml:space="preserve"> </w:t>
            </w:r>
            <w:r w:rsidRPr="003B7DA2">
              <w:rPr>
                <w:rFonts w:ascii="Calibri" w:hAnsi="Calibri" w:cs="Arial"/>
                <w:sz w:val="22"/>
                <w:szCs w:val="22"/>
              </w:rPr>
              <w:t>000</w:t>
            </w:r>
            <w:r w:rsidR="005F1451" w:rsidRPr="003B7DA2">
              <w:rPr>
                <w:rFonts w:ascii="Calibri" w:hAnsi="Calibri" w:cs="Arial"/>
                <w:sz w:val="22"/>
                <w:szCs w:val="22"/>
              </w:rPr>
              <w:t xml:space="preserve"> </w:t>
            </w:r>
            <w:proofErr w:type="spellStart"/>
            <w:r w:rsidR="005F1451" w:rsidRPr="003B7DA2">
              <w:rPr>
                <w:rFonts w:ascii="Calibri" w:hAnsi="Calibri" w:cs="Arial"/>
                <w:sz w:val="22"/>
                <w:szCs w:val="22"/>
              </w:rPr>
              <w:t>000</w:t>
            </w:r>
            <w:proofErr w:type="spellEnd"/>
          </w:p>
        </w:tc>
        <w:tc>
          <w:tcPr>
            <w:tcW w:w="785" w:type="dxa"/>
          </w:tcPr>
          <w:p w14:paraId="7B0B9A88"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07343CD6"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025130ED" w14:textId="77777777" w:rsidTr="00D45209">
        <w:tc>
          <w:tcPr>
            <w:tcW w:w="918" w:type="dxa"/>
          </w:tcPr>
          <w:p w14:paraId="196D7F78"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14:paraId="18BFEA0D"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1582A4D4"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4FFA2405"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1080" w:type="dxa"/>
          </w:tcPr>
          <w:p w14:paraId="4A44A6D6"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46C14379"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600</w:t>
            </w:r>
            <w:r w:rsidR="005F1451" w:rsidRPr="003B7DA2">
              <w:rPr>
                <w:rFonts w:ascii="Calibri" w:hAnsi="Calibri" w:cs="Arial"/>
                <w:sz w:val="22"/>
                <w:szCs w:val="22"/>
              </w:rPr>
              <w:t xml:space="preserve"> 000</w:t>
            </w:r>
          </w:p>
        </w:tc>
        <w:tc>
          <w:tcPr>
            <w:tcW w:w="1195" w:type="dxa"/>
          </w:tcPr>
          <w:p w14:paraId="7F4649BA" w14:textId="77777777" w:rsidR="0092684C" w:rsidRPr="003B7DA2" w:rsidRDefault="0092684C">
            <w:pPr>
              <w:pStyle w:val="BodyText"/>
              <w:rPr>
                <w:rFonts w:ascii="Calibri" w:hAnsi="Calibri" w:cs="Arial"/>
                <w:sz w:val="22"/>
                <w:szCs w:val="22"/>
              </w:rPr>
            </w:pPr>
            <w:r w:rsidRPr="003B7DA2">
              <w:rPr>
                <w:rFonts w:ascii="Calibri" w:hAnsi="Calibri"/>
                <w:bCs/>
                <w:sz w:val="22"/>
                <w:szCs w:val="22"/>
              </w:rPr>
              <w:t>- 400</w:t>
            </w:r>
            <w:r w:rsidR="005F1451" w:rsidRPr="003B7DA2">
              <w:rPr>
                <w:rFonts w:ascii="Calibri" w:hAnsi="Calibri"/>
                <w:bCs/>
                <w:sz w:val="22"/>
                <w:szCs w:val="22"/>
              </w:rPr>
              <w:t xml:space="preserve"> 000</w:t>
            </w:r>
          </w:p>
        </w:tc>
        <w:tc>
          <w:tcPr>
            <w:tcW w:w="785" w:type="dxa"/>
          </w:tcPr>
          <w:p w14:paraId="46875D6E"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52181E5A"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bl>
    <w:p w14:paraId="7FCE997C" w14:textId="77777777" w:rsidR="0092684C" w:rsidRPr="003B7DA2" w:rsidRDefault="0092684C">
      <w:pPr>
        <w:rPr>
          <w:rFonts w:ascii="Calibri" w:hAnsi="Calibri"/>
          <w:sz w:val="22"/>
          <w:szCs w:val="22"/>
        </w:rPr>
      </w:pPr>
    </w:p>
    <w:p w14:paraId="33E31C64" w14:textId="77777777" w:rsidR="0092684C" w:rsidRPr="003B7DA2" w:rsidRDefault="0092684C">
      <w:pPr>
        <w:jc w:val="both"/>
        <w:rPr>
          <w:rFonts w:ascii="Calibri" w:hAnsi="Calibri" w:cs="Garamond"/>
          <w:i/>
          <w:sz w:val="22"/>
          <w:szCs w:val="22"/>
        </w:rPr>
      </w:pPr>
    </w:p>
    <w:p w14:paraId="2AC4F9ED" w14:textId="77777777" w:rsidR="0092684C" w:rsidRPr="003B7DA2" w:rsidRDefault="0092684C">
      <w:pPr>
        <w:jc w:val="both"/>
        <w:rPr>
          <w:rFonts w:ascii="Calibri" w:hAnsi="Calibri" w:cs="Garamond"/>
          <w:i/>
          <w:sz w:val="22"/>
          <w:szCs w:val="22"/>
        </w:rPr>
      </w:pPr>
    </w:p>
    <w:p w14:paraId="61B4CB84" w14:textId="77777777" w:rsidR="0092684C" w:rsidRPr="003B7DA2" w:rsidRDefault="0092684C">
      <w:pPr>
        <w:ind w:firstLine="720"/>
        <w:jc w:val="both"/>
        <w:rPr>
          <w:rFonts w:ascii="Calibri" w:hAnsi="Calibri"/>
          <w:sz w:val="22"/>
          <w:szCs w:val="22"/>
        </w:rPr>
      </w:pPr>
      <w:r w:rsidRPr="003B7DA2">
        <w:rPr>
          <w:rFonts w:ascii="Calibri" w:hAnsi="Calibri"/>
          <w:b/>
          <w:snapToGrid w:val="0"/>
          <w:sz w:val="22"/>
          <w:szCs w:val="22"/>
          <w:lang w:eastAsia="en-US"/>
        </w:rPr>
        <w:t>Devizától, valutától eltérő mögöttes termék</w:t>
      </w:r>
      <w:r w:rsidRPr="003B7DA2">
        <w:rPr>
          <w:rFonts w:ascii="Calibri" w:hAnsi="Calibri"/>
          <w:sz w:val="22"/>
          <w:szCs w:val="22"/>
        </w:rPr>
        <w:t xml:space="preserve"> esetében: </w:t>
      </w:r>
    </w:p>
    <w:p w14:paraId="6FF07FA9" w14:textId="77777777" w:rsidR="0092684C" w:rsidRPr="003B7DA2" w:rsidRDefault="0092684C">
      <w:pPr>
        <w:ind w:left="720"/>
        <w:jc w:val="both"/>
        <w:rPr>
          <w:rFonts w:ascii="Calibri" w:hAnsi="Calibri"/>
          <w:b/>
          <w:snapToGrid w:val="0"/>
          <w:sz w:val="22"/>
          <w:szCs w:val="22"/>
          <w:lang w:eastAsia="en-US"/>
        </w:rPr>
      </w:pPr>
    </w:p>
    <w:p w14:paraId="785E6822"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58CDD65D" w14:textId="77777777" w:rsidR="0092684C" w:rsidRPr="003B7DA2" w:rsidRDefault="0092684C">
      <w:pPr>
        <w:ind w:left="720"/>
        <w:jc w:val="both"/>
        <w:rPr>
          <w:rFonts w:ascii="Calibri" w:hAnsi="Calibri"/>
          <w:snapToGrid w:val="0"/>
          <w:sz w:val="22"/>
          <w:szCs w:val="22"/>
          <w:lang w:eastAsia="en-US"/>
        </w:rPr>
      </w:pPr>
    </w:p>
    <w:p w14:paraId="6BA58AEB"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Amennyiben egy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ügylet az alapul szolgáló valamely reál termék tényleges leszállításával jár, e táblákban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tranzakcióként csak a mögöttes termék aktuális piaci ára és a szerződéses (kötési) ára közötti különbözeteket kell jelenteni az adatszolgáltató szempontjából nézve bevételként, vagy kiadásként, az iránynak megfelelő táblában. Az időszak végi kiértékelések a mögöttes termék árváltozásait figyelembe véve történnek, a tábla kitöltése a megfelelő instrumentum szerint történik (pl. az elszámolásos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ügyletre adott példa szerint, amennyiben határidős áru, vagy értékpapír vásárlásról van szó, mivel az értékkülönbözet lesz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 maga a leszállítás nem jelentendő </w:t>
      </w:r>
      <w:proofErr w:type="spellStart"/>
      <w:r w:rsidRPr="003B7DA2">
        <w:rPr>
          <w:rFonts w:ascii="Calibri" w:hAnsi="Calibri"/>
          <w:snapToGrid w:val="0"/>
          <w:sz w:val="22"/>
          <w:szCs w:val="22"/>
          <w:lang w:eastAsia="en-US"/>
        </w:rPr>
        <w:t>derivatívaként</w:t>
      </w:r>
      <w:proofErr w:type="spellEnd"/>
      <w:r w:rsidRPr="003B7DA2">
        <w:rPr>
          <w:rFonts w:ascii="Calibri" w:hAnsi="Calibri"/>
          <w:snapToGrid w:val="0"/>
          <w:sz w:val="22"/>
          <w:szCs w:val="22"/>
          <w:lang w:eastAsia="en-US"/>
        </w:rPr>
        <w:t xml:space="preserve">, vagy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ügyletre adott példa szerint, amennyiben a vonatkozó tőzsdén a szóban forgó ügylettel kapcsolatban folyamatosan megtörténik az értékkülönbözetek rendezése, esetleg az opcióknál adott példa szerint, amennyiben opciós ügyletről van szó). </w:t>
      </w:r>
    </w:p>
    <w:p w14:paraId="48CF511B" w14:textId="77777777" w:rsidR="0092684C" w:rsidRPr="003B7DA2" w:rsidRDefault="0092684C">
      <w:pPr>
        <w:ind w:left="720"/>
        <w:jc w:val="both"/>
        <w:rPr>
          <w:rFonts w:ascii="Calibri" w:hAnsi="Calibri"/>
          <w:snapToGrid w:val="0"/>
          <w:sz w:val="22"/>
          <w:szCs w:val="22"/>
          <w:lang w:eastAsia="en-US"/>
        </w:rPr>
      </w:pPr>
    </w:p>
    <w:p w14:paraId="54675CD6" w14:textId="77777777" w:rsidR="0092684C" w:rsidRPr="003B7DA2" w:rsidRDefault="0092684C">
      <w:pPr>
        <w:tabs>
          <w:tab w:val="left" w:pos="1440"/>
        </w:tabs>
        <w:jc w:val="both"/>
        <w:rPr>
          <w:rFonts w:ascii="Calibri" w:hAnsi="Calibri"/>
          <w:sz w:val="22"/>
          <w:szCs w:val="22"/>
        </w:rPr>
      </w:pPr>
    </w:p>
    <w:sectPr w:rsidR="0092684C" w:rsidRPr="003B7D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EBF6" w14:textId="77777777" w:rsidR="005B46FE" w:rsidRDefault="005B46FE">
      <w:r>
        <w:separator/>
      </w:r>
    </w:p>
  </w:endnote>
  <w:endnote w:type="continuationSeparator" w:id="0">
    <w:p w14:paraId="723F0C90" w14:textId="77777777" w:rsidR="005B46FE" w:rsidRDefault="005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E076" w14:textId="77777777" w:rsidR="00EF0748" w:rsidRDefault="00EF0748" w:rsidP="0058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1EBB5" w14:textId="77777777" w:rsidR="00EF0748" w:rsidRDefault="00EF0748" w:rsidP="00583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6F9C" w14:textId="77777777" w:rsidR="00EF0748" w:rsidRDefault="00EF0748" w:rsidP="0058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DA2">
      <w:rPr>
        <w:rStyle w:val="PageNumber"/>
        <w:noProof/>
      </w:rPr>
      <w:t>19</w:t>
    </w:r>
    <w:r>
      <w:rPr>
        <w:rStyle w:val="PageNumber"/>
      </w:rPr>
      <w:fldChar w:fldCharType="end"/>
    </w:r>
  </w:p>
  <w:p w14:paraId="38AFB73F" w14:textId="77777777" w:rsidR="00EF0748" w:rsidRDefault="00EF0748" w:rsidP="005834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6A64" w14:textId="77777777" w:rsidR="005B46FE" w:rsidRDefault="005B46FE">
      <w:r>
        <w:separator/>
      </w:r>
    </w:p>
  </w:footnote>
  <w:footnote w:type="continuationSeparator" w:id="0">
    <w:p w14:paraId="5C20246B" w14:textId="77777777" w:rsidR="005B46FE" w:rsidRDefault="005B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2C0"/>
    <w:multiLevelType w:val="hybridMultilevel"/>
    <w:tmpl w:val="5DB2CE42"/>
    <w:lvl w:ilvl="0" w:tplc="763084F4">
      <w:start w:val="1"/>
      <w:numFmt w:val="upperLetter"/>
      <w:lvlText w:val="%1."/>
      <w:lvlJc w:val="left"/>
      <w:pPr>
        <w:tabs>
          <w:tab w:val="num" w:pos="360"/>
        </w:tabs>
        <w:ind w:left="360" w:hanging="360"/>
      </w:pPr>
      <w:rPr>
        <w:rFonts w:hint="default"/>
        <w:b/>
      </w:rPr>
    </w:lvl>
    <w:lvl w:ilvl="1" w:tplc="040E0013">
      <w:start w:val="1"/>
      <w:numFmt w:val="upperRoman"/>
      <w:lvlText w:val="%2."/>
      <w:lvlJc w:val="right"/>
      <w:pPr>
        <w:tabs>
          <w:tab w:val="num" w:pos="900"/>
        </w:tabs>
        <w:ind w:left="900" w:hanging="180"/>
      </w:pPr>
      <w:rPr>
        <w:rFonts w:hint="default"/>
      </w:rPr>
    </w:lvl>
    <w:lvl w:ilvl="2" w:tplc="878EC85E">
      <w:start w:val="7"/>
      <w:numFmt w:val="decimal"/>
      <w:lvlText w:val="%3."/>
      <w:lvlJc w:val="left"/>
      <w:pPr>
        <w:tabs>
          <w:tab w:val="num" w:pos="1800"/>
        </w:tabs>
        <w:ind w:left="1800" w:hanging="360"/>
      </w:pPr>
      <w:rPr>
        <w:rFonts w:hint="default"/>
      </w:rPr>
    </w:lvl>
    <w:lvl w:ilvl="3" w:tplc="5EA8C3DE">
      <w:start w:val="1"/>
      <w:numFmt w:val="lowerLetter"/>
      <w:lvlText w:val="%4.)"/>
      <w:lvlJc w:val="left"/>
      <w:pPr>
        <w:tabs>
          <w:tab w:val="num" w:pos="2520"/>
        </w:tabs>
        <w:ind w:left="2520" w:hanging="360"/>
      </w:pPr>
      <w:rPr>
        <w:rFonts w:hint="default"/>
        <w:b/>
        <w:u w:val="single"/>
      </w:rPr>
    </w:lvl>
    <w:lvl w:ilvl="4" w:tplc="2A9ACB74">
      <w:start w:val="2"/>
      <w:numFmt w:val="upperLetter"/>
      <w:lvlText w:val="%5.)"/>
      <w:lvlJc w:val="left"/>
      <w:pPr>
        <w:tabs>
          <w:tab w:val="num" w:pos="3240"/>
        </w:tabs>
        <w:ind w:left="3240" w:hanging="360"/>
      </w:pPr>
      <w:rPr>
        <w:rFonts w:ascii="Garamond" w:hAnsi="Garamond"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214A09"/>
    <w:multiLevelType w:val="hybridMultilevel"/>
    <w:tmpl w:val="6A001E88"/>
    <w:lvl w:ilvl="0" w:tplc="040E0005">
      <w:start w:val="1"/>
      <w:numFmt w:val="bullet"/>
      <w:lvlText w:val=""/>
      <w:lvlJc w:val="left"/>
      <w:pPr>
        <w:tabs>
          <w:tab w:val="num" w:pos="360"/>
        </w:tabs>
        <w:ind w:left="360" w:hanging="360"/>
      </w:pPr>
      <w:rPr>
        <w:rFonts w:ascii="Wingdings" w:hAnsi="Wingdings" w:hint="default"/>
      </w:rPr>
    </w:lvl>
    <w:lvl w:ilvl="1" w:tplc="46E4E632">
      <w:numFmt w:val="bullet"/>
      <w:lvlText w:val="-"/>
      <w:lvlJc w:val="left"/>
      <w:pPr>
        <w:tabs>
          <w:tab w:val="num" w:pos="1080"/>
        </w:tabs>
        <w:ind w:left="1080" w:hanging="360"/>
      </w:pPr>
      <w:rPr>
        <w:rFonts w:ascii="Garamond" w:eastAsia="Times New Roman" w:hAnsi="Garamond"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2151B8"/>
    <w:multiLevelType w:val="hybridMultilevel"/>
    <w:tmpl w:val="974A5BA4"/>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AD966BA"/>
    <w:multiLevelType w:val="hybridMultilevel"/>
    <w:tmpl w:val="6E1E113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02"/>
    <w:rsid w:val="0006326C"/>
    <w:rsid w:val="00127224"/>
    <w:rsid w:val="00146264"/>
    <w:rsid w:val="001677E7"/>
    <w:rsid w:val="001B44CE"/>
    <w:rsid w:val="00215FBE"/>
    <w:rsid w:val="00260413"/>
    <w:rsid w:val="0027262F"/>
    <w:rsid w:val="002E01FF"/>
    <w:rsid w:val="00343062"/>
    <w:rsid w:val="003A3297"/>
    <w:rsid w:val="003B7DA2"/>
    <w:rsid w:val="003D468D"/>
    <w:rsid w:val="00401CFA"/>
    <w:rsid w:val="0042568A"/>
    <w:rsid w:val="00450DB8"/>
    <w:rsid w:val="004C73FB"/>
    <w:rsid w:val="0052559A"/>
    <w:rsid w:val="00531997"/>
    <w:rsid w:val="00583402"/>
    <w:rsid w:val="0058577D"/>
    <w:rsid w:val="00595B8E"/>
    <w:rsid w:val="005A655A"/>
    <w:rsid w:val="005B46FE"/>
    <w:rsid w:val="005F1451"/>
    <w:rsid w:val="00601BFA"/>
    <w:rsid w:val="00695875"/>
    <w:rsid w:val="00722D7A"/>
    <w:rsid w:val="00727BF5"/>
    <w:rsid w:val="00744347"/>
    <w:rsid w:val="00812742"/>
    <w:rsid w:val="00874533"/>
    <w:rsid w:val="00921A62"/>
    <w:rsid w:val="0092684C"/>
    <w:rsid w:val="00932E05"/>
    <w:rsid w:val="009C20F5"/>
    <w:rsid w:val="009D212F"/>
    <w:rsid w:val="00A37F7F"/>
    <w:rsid w:val="00A80ACF"/>
    <w:rsid w:val="00A95B1D"/>
    <w:rsid w:val="00B17209"/>
    <w:rsid w:val="00B65BA2"/>
    <w:rsid w:val="00BE22CF"/>
    <w:rsid w:val="00BF7D76"/>
    <w:rsid w:val="00C30686"/>
    <w:rsid w:val="00C414DE"/>
    <w:rsid w:val="00C70DED"/>
    <w:rsid w:val="00C973AB"/>
    <w:rsid w:val="00CD6D72"/>
    <w:rsid w:val="00CE7EB0"/>
    <w:rsid w:val="00CF4CDD"/>
    <w:rsid w:val="00D45209"/>
    <w:rsid w:val="00E10029"/>
    <w:rsid w:val="00EF0748"/>
    <w:rsid w:val="00F01240"/>
    <w:rsid w:val="00F16E63"/>
    <w:rsid w:val="00F17625"/>
    <w:rsid w:val="00FA29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6B242E"/>
  <w15:chartTrackingRefBased/>
  <w15:docId w15:val="{0C21403F-9930-40D9-A39D-C3280142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jc w:val="both"/>
    </w:pPr>
    <w:rPr>
      <w:rFonts w:ascii="Times New Roman" w:hAnsi="Times New Roma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BlockText">
    <w:name w:val="Block Text"/>
    <w:basedOn w:val="Normal"/>
    <w:pPr>
      <w:spacing w:before="120"/>
      <w:ind w:left="283" w:right="562"/>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rPr>
  </w:style>
  <w:style w:type="paragraph" w:customStyle="1" w:styleId="CharChar1CharCharCharCharCharCharCharCharCharCharCharCharChar">
    <w:name w:val=" Char Char1 Char Char Char Char Char Char Char Char Char Char Char Char Char"/>
    <w:basedOn w:val="Normal"/>
    <w:rsid w:val="00EF0748"/>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972">
      <w:bodyDiv w:val="1"/>
      <w:marLeft w:val="0"/>
      <w:marRight w:val="0"/>
      <w:marTop w:val="0"/>
      <w:marBottom w:val="0"/>
      <w:divBdr>
        <w:top w:val="none" w:sz="0" w:space="0" w:color="auto"/>
        <w:left w:val="none" w:sz="0" w:space="0" w:color="auto"/>
        <w:bottom w:val="none" w:sz="0" w:space="0" w:color="auto"/>
        <w:right w:val="none" w:sz="0" w:space="0" w:color="auto"/>
      </w:divBdr>
    </w:div>
    <w:div w:id="213277825">
      <w:bodyDiv w:val="1"/>
      <w:marLeft w:val="0"/>
      <w:marRight w:val="0"/>
      <w:marTop w:val="0"/>
      <w:marBottom w:val="0"/>
      <w:divBdr>
        <w:top w:val="none" w:sz="0" w:space="0" w:color="auto"/>
        <w:left w:val="none" w:sz="0" w:space="0" w:color="auto"/>
        <w:bottom w:val="none" w:sz="0" w:space="0" w:color="auto"/>
        <w:right w:val="none" w:sz="0" w:space="0" w:color="auto"/>
      </w:divBdr>
    </w:div>
    <w:div w:id="594896954">
      <w:bodyDiv w:val="1"/>
      <w:marLeft w:val="0"/>
      <w:marRight w:val="0"/>
      <w:marTop w:val="0"/>
      <w:marBottom w:val="0"/>
      <w:divBdr>
        <w:top w:val="none" w:sz="0" w:space="0" w:color="auto"/>
        <w:left w:val="none" w:sz="0" w:space="0" w:color="auto"/>
        <w:bottom w:val="none" w:sz="0" w:space="0" w:color="auto"/>
        <w:right w:val="none" w:sz="0" w:space="0" w:color="auto"/>
      </w:divBdr>
    </w:div>
    <w:div w:id="7277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5864</Words>
  <Characters>40462</Characters>
  <Application>Microsoft Office Word</Application>
  <DocSecurity>0</DocSecurity>
  <Lines>337</Lines>
  <Paragraphs>92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„Option style margining” arra a rendszerre utal, amikor a szerződésben kikötött érték változását a lejáratkor rendezik</vt:lpstr>
      <vt:lpstr>„Option style margining” arra a rendszerre utal, amikor a szerződésben kikötött érték változását a lejáratkor rendezik</vt:lpstr>
    </vt:vector>
  </TitlesOfParts>
  <Company>Magyar Nemzeti Bank</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style margining” arra a rendszerre utal, amikor a szerződésben kikötött érték változását a lejáratkor rendezik</dc:title>
  <dc:subject/>
  <dc:creator>Horvátthné Fedor Katalin</dc:creator>
  <cp:keywords/>
  <dc:description/>
  <cp:lastModifiedBy>Gorelov Iván</cp:lastModifiedBy>
  <cp:revision>2</cp:revision>
  <dcterms:created xsi:type="dcterms:W3CDTF">2022-02-16T15:12:00Z</dcterms:created>
  <dcterms:modified xsi:type="dcterms:W3CDTF">2022-02-16T15:12:00Z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-2069107237</vt:i4>
  </property>
  <property fmtid="{D5CDD505-2E9C-101B-9397-08002B2CF9AE}" pid="3" name="_EmailSubject">
    <vt:lpwstr/>
  </property>
  <property fmtid="{D5CDD505-2E9C-101B-9397-08002B2CF9AE}" pid="4" name="_AuthorEmail">
    <vt:lpwstr>horvathnek@mnb.hu</vt:lpwstr>
  </property>
  <property fmtid="{D5CDD505-2E9C-101B-9397-08002B2CF9AE}" pid="5" name="_AuthorEmailDisplayName">
    <vt:lpwstr>Horvátthné Fedor Katalin</vt:lpwstr>
  </property>
  <property fmtid="{D5CDD505-2E9C-101B-9397-08002B2CF9AE}" pid="6" name="_ReviewingToolsShownOnce">
    <vt:lpwstr/>
  </property>
  <property fmtid="{D5CDD505-2E9C-101B-9397-08002B2CF9AE}" pid="7" name="Érvényességi idő">
    <vt:filetime>2027-02-16T15:12:16Z</vt:filetime>
  </property>
  <property fmtid="{D5CDD505-2E9C-101B-9397-08002B2CF9AE}" pid="8" name="Érvényességet beállító">
    <vt:lpwstr>gorelovi</vt:lpwstr>
  </property>
  <property fmtid="{D5CDD505-2E9C-101B-9397-08002B2CF9AE}" pid="9" name="Érvényességi idő első beállítása">
    <vt:filetime>2022-02-16T15:12:16Z</vt:filetime>
  </property>
  <property fmtid="{D5CDD505-2E9C-101B-9397-08002B2CF9AE}" pid="10" name="MSIP_Label_b0d11092-50c9-4e74-84b5-b1af078dc3d0_Enabled">
    <vt:lpwstr>True</vt:lpwstr>
  </property>
  <property fmtid="{D5CDD505-2E9C-101B-9397-08002B2CF9AE}" pid="11" name="MSIP_Label_b0d11092-50c9-4e74-84b5-b1af078dc3d0_SiteId">
    <vt:lpwstr>97c01ef8-0264-4eef-9c08-fb4a9ba1c0db</vt:lpwstr>
  </property>
  <property fmtid="{D5CDD505-2E9C-101B-9397-08002B2CF9AE}" pid="12" name="MSIP_Label_b0d11092-50c9-4e74-84b5-b1af078dc3d0_Owner">
    <vt:lpwstr>gorelovi@mnb.hu</vt:lpwstr>
  </property>
  <property fmtid="{D5CDD505-2E9C-101B-9397-08002B2CF9AE}" pid="13" name="MSIP_Label_b0d11092-50c9-4e74-84b5-b1af078dc3d0_SetDate">
    <vt:lpwstr>2022-02-16T15:12:28.2299277Z</vt:lpwstr>
  </property>
  <property fmtid="{D5CDD505-2E9C-101B-9397-08002B2CF9AE}" pid="14" name="MSIP_Label_b0d11092-50c9-4e74-84b5-b1af078dc3d0_Name">
    <vt:lpwstr>Protected</vt:lpwstr>
  </property>
  <property fmtid="{D5CDD505-2E9C-101B-9397-08002B2CF9AE}" pid="15" name="MSIP_Label_b0d11092-50c9-4e74-84b5-b1af078dc3d0_Application">
    <vt:lpwstr>Microsoft Azure Information Protection</vt:lpwstr>
  </property>
  <property fmtid="{D5CDD505-2E9C-101B-9397-08002B2CF9AE}" pid="16" name="MSIP_Label_b0d11092-50c9-4e74-84b5-b1af078dc3d0_ActionId">
    <vt:lpwstr>9dae67bf-0a16-42ab-9dff-0a71e9612fc8</vt:lpwstr>
  </property>
  <property fmtid="{D5CDD505-2E9C-101B-9397-08002B2CF9AE}" pid="17" name="MSIP_Label_b0d11092-50c9-4e74-84b5-b1af078dc3d0_Extended_MSFT_Method">
    <vt:lpwstr>Automatic</vt:lpwstr>
  </property>
  <property fmtid="{D5CDD505-2E9C-101B-9397-08002B2CF9AE}" pid="18" name="Sensitivity">
    <vt:lpwstr>Protected</vt:lpwstr>
  </property>
</Properties>
</file>