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84C" w:rsidRPr="003B7DA2" w:rsidRDefault="0092684C">
      <w:pPr>
        <w:jc w:val="both"/>
        <w:rPr>
          <w:u w:val="single"/>
        </w:rPr>
      </w:pPr>
      <w:bookmarkStart w:id="0" w:name="_GoBack"/>
      <w:bookmarkEnd w:id="0"/>
    </w:p>
    <w:p w:rsidR="0092684C" w:rsidRPr="003B7DA2" w:rsidRDefault="0092684C">
      <w:pPr>
        <w:pStyle w:val="Heading3"/>
        <w:jc w:val="center"/>
        <w:rPr>
          <w:rFonts w:ascii="Calibri" w:hAnsi="Calibri"/>
          <w:sz w:val="22"/>
          <w:szCs w:val="22"/>
        </w:rPr>
      </w:pPr>
      <w:bookmarkStart w:id="1" w:name="_Toc120612687"/>
      <w:bookmarkStart w:id="2" w:name="_Toc122850666"/>
      <w:bookmarkStart w:id="3" w:name="_Toc125788685"/>
      <w:r w:rsidRPr="003B7DA2">
        <w:rPr>
          <w:rFonts w:ascii="Calibri" w:hAnsi="Calibri"/>
          <w:sz w:val="22"/>
          <w:szCs w:val="22"/>
        </w:rPr>
        <w:t>Az egyes pénzügyi derivatív instrumentumokkal kapcsolatos sajátosságok</w:t>
      </w:r>
      <w:bookmarkEnd w:id="1"/>
      <w:bookmarkEnd w:id="2"/>
      <w:bookmarkEnd w:id="3"/>
      <w:r w:rsidRPr="003B7DA2">
        <w:rPr>
          <w:rFonts w:ascii="Calibri" w:hAnsi="Calibri"/>
          <w:sz w:val="22"/>
          <w:szCs w:val="22"/>
        </w:rPr>
        <w:t>, példák az R0</w:t>
      </w:r>
      <w:r w:rsidR="00583402" w:rsidRPr="003B7DA2">
        <w:rPr>
          <w:rFonts w:ascii="Calibri" w:hAnsi="Calibri"/>
          <w:sz w:val="22"/>
          <w:szCs w:val="22"/>
        </w:rPr>
        <w:t>5</w:t>
      </w:r>
      <w:r w:rsidRPr="003B7DA2">
        <w:rPr>
          <w:rFonts w:ascii="Calibri" w:hAnsi="Calibri"/>
          <w:sz w:val="22"/>
          <w:szCs w:val="22"/>
        </w:rPr>
        <w:t>/R14 adatszolgáltatás DER táblái összeállításához</w:t>
      </w:r>
    </w:p>
    <w:p w:rsidR="0092684C" w:rsidRPr="003B7DA2" w:rsidRDefault="0092684C">
      <w:pPr>
        <w:pStyle w:val="BodyText"/>
        <w:rPr>
          <w:rFonts w:ascii="Calibri" w:hAnsi="Calibri"/>
          <w:b/>
          <w:bCs/>
          <w:sz w:val="22"/>
          <w:szCs w:val="22"/>
          <w:u w:val="single"/>
        </w:rPr>
      </w:pPr>
      <w:bookmarkStart w:id="4" w:name="_Toc120612688"/>
      <w:bookmarkStart w:id="5" w:name="_Toc122850667"/>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rPr>
      </w:pPr>
      <w:r w:rsidRPr="003B7DA2">
        <w:rPr>
          <w:rFonts w:ascii="Calibri" w:hAnsi="Calibri"/>
          <w:b/>
          <w:bCs/>
          <w:sz w:val="22"/>
          <w:szCs w:val="22"/>
        </w:rPr>
        <w:t>1. Határidős ügyletek:</w:t>
      </w: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rsidR="0092684C" w:rsidRPr="003B7DA2" w:rsidRDefault="0092684C">
      <w:pPr>
        <w:pStyle w:val="BlockText"/>
        <w:ind w:left="0" w:right="116"/>
        <w:rPr>
          <w:rFonts w:ascii="Calibri" w:hAnsi="Calibri"/>
          <w:sz w:val="22"/>
          <w:szCs w:val="22"/>
        </w:rPr>
      </w:pPr>
    </w:p>
    <w:p w:rsidR="0092684C" w:rsidRPr="003B7DA2" w:rsidRDefault="0092684C">
      <w:pPr>
        <w:pStyle w:val="BlockText"/>
        <w:ind w:left="0" w:right="116"/>
        <w:rPr>
          <w:rFonts w:ascii="Calibri" w:hAnsi="Calibri"/>
          <w:sz w:val="22"/>
          <w:szCs w:val="22"/>
        </w:rPr>
      </w:pPr>
      <w:r w:rsidRPr="003B7DA2">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rsidR="0092684C" w:rsidRPr="003B7DA2" w:rsidRDefault="0092684C">
      <w:pPr>
        <w:pStyle w:val="BlockText"/>
        <w:ind w:left="0" w:right="116"/>
        <w:rPr>
          <w:rFonts w:ascii="Calibri" w:hAnsi="Calibri"/>
          <w:sz w:val="22"/>
          <w:szCs w:val="22"/>
        </w:rPr>
      </w:pPr>
    </w:p>
    <w:p w:rsidR="0092684C" w:rsidRPr="003B7DA2" w:rsidRDefault="0092684C">
      <w:pPr>
        <w:pStyle w:val="BodyText"/>
        <w:rPr>
          <w:rFonts w:ascii="Calibri" w:hAnsi="Calibri"/>
          <w:sz w:val="22"/>
          <w:szCs w:val="22"/>
        </w:rPr>
      </w:pPr>
      <w:r w:rsidRPr="003B7DA2">
        <w:rPr>
          <w:rFonts w:ascii="Calibri" w:hAnsi="Calibri"/>
          <w:sz w:val="22"/>
          <w:szCs w:val="22"/>
        </w:rPr>
        <w:t xml:space="preserve">A táblák kitöltésénél figyelemmel kell lenni arra, hogy azokban azonnali ügyletek nem szerepeltethetők, viszont a pénzügyi </w:t>
      </w:r>
      <w:proofErr w:type="spellStart"/>
      <w:r w:rsidRPr="003B7DA2">
        <w:rPr>
          <w:rFonts w:ascii="Calibri" w:hAnsi="Calibri"/>
          <w:sz w:val="22"/>
          <w:szCs w:val="22"/>
        </w:rPr>
        <w:t>derivatívákat</w:t>
      </w:r>
      <w:proofErr w:type="spellEnd"/>
      <w:r w:rsidRPr="003B7DA2">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rsidR="001677E7" w:rsidRPr="003B7DA2" w:rsidRDefault="001677E7">
      <w:pPr>
        <w:pStyle w:val="BodyText"/>
        <w:rPr>
          <w:rFonts w:ascii="Calibri" w:hAnsi="Calibri"/>
          <w:b/>
          <w:bCs/>
          <w:sz w:val="22"/>
          <w:szCs w:val="22"/>
          <w:u w:val="single"/>
        </w:rPr>
      </w:pPr>
    </w:p>
    <w:p w:rsidR="001677E7" w:rsidRPr="003B7DA2" w:rsidRDefault="001677E7" w:rsidP="001677E7">
      <w:pPr>
        <w:pStyle w:val="BlockText"/>
        <w:ind w:left="0" w:right="116"/>
        <w:rPr>
          <w:rFonts w:ascii="Calibri" w:hAnsi="Calibri"/>
          <w:b/>
          <w:sz w:val="22"/>
          <w:szCs w:val="22"/>
        </w:rPr>
      </w:pPr>
      <w:r w:rsidRPr="003B7DA2">
        <w:rPr>
          <w:rFonts w:ascii="Calibri" w:hAnsi="Calibri"/>
          <w:b/>
          <w:sz w:val="22"/>
          <w:szCs w:val="22"/>
        </w:rPr>
        <w:t>1. példa</w:t>
      </w:r>
    </w:p>
    <w:p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vagyis az értékpapír leszállítása és az ellenérték kifizetése is ekkor történik meg. Szerepeltetni kell-e ezt az ügyletet a pénzügyi </w:t>
      </w:r>
      <w:proofErr w:type="spellStart"/>
      <w:r w:rsidRPr="003B7DA2">
        <w:rPr>
          <w:rFonts w:ascii="Calibri" w:hAnsi="Calibri"/>
          <w:sz w:val="22"/>
          <w:szCs w:val="22"/>
        </w:rPr>
        <w:t>derivatívák</w:t>
      </w:r>
      <w:proofErr w:type="spellEnd"/>
      <w:r w:rsidRPr="003B7DA2">
        <w:rPr>
          <w:rFonts w:ascii="Calibri" w:hAnsi="Calibri"/>
          <w:sz w:val="22"/>
          <w:szCs w:val="22"/>
        </w:rPr>
        <w:t xml:space="preserve"> között? </w:t>
      </w:r>
    </w:p>
    <w:p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Nem, mivel ez azonnali értékpapír vásárlási ügylet.</w:t>
      </w:r>
    </w:p>
    <w:p w:rsidR="001677E7" w:rsidRPr="003B7DA2" w:rsidRDefault="001677E7" w:rsidP="001677E7">
      <w:pPr>
        <w:pStyle w:val="BlockText"/>
        <w:ind w:left="0" w:right="116"/>
        <w:rPr>
          <w:rFonts w:ascii="Calibri" w:hAnsi="Calibri"/>
          <w:sz w:val="22"/>
          <w:szCs w:val="22"/>
        </w:rPr>
      </w:pPr>
    </w:p>
    <w:p w:rsidR="001677E7" w:rsidRPr="003B7DA2" w:rsidRDefault="001677E7" w:rsidP="001677E7">
      <w:pPr>
        <w:pStyle w:val="BlockText"/>
        <w:ind w:left="0" w:right="116"/>
        <w:rPr>
          <w:rFonts w:ascii="Calibri" w:hAnsi="Calibri"/>
          <w:b/>
          <w:sz w:val="22"/>
          <w:szCs w:val="22"/>
        </w:rPr>
      </w:pPr>
      <w:r w:rsidRPr="003B7DA2">
        <w:rPr>
          <w:rFonts w:ascii="Calibri" w:hAnsi="Calibri"/>
          <w:b/>
          <w:sz w:val="22"/>
          <w:szCs w:val="22"/>
        </w:rPr>
        <w:t>2. példa</w:t>
      </w:r>
    </w:p>
    <w:p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Az adatszolgáltató az értékpapírt nem rezidens partnerétől ekkor fogja megkapni, s ekkor kell (ezzel az értéknappal) az ellenértéket, 8 millió EUR összeget a partner számláján jóvá íratnia. Annak érdekében, hogy a 8 nap alatt bekövetkező árfolyam ingadozásokat kizárja, az adatszolgáltató a vállalatcsoportján belüli, londoni székhelyű </w:t>
      </w:r>
      <w:proofErr w:type="spellStart"/>
      <w:r w:rsidRPr="003B7DA2">
        <w:rPr>
          <w:rFonts w:ascii="Calibri" w:hAnsi="Calibri"/>
          <w:sz w:val="22"/>
          <w:szCs w:val="22"/>
        </w:rPr>
        <w:t>Treasury</w:t>
      </w:r>
      <w:proofErr w:type="spellEnd"/>
      <w:r w:rsidRPr="003B7DA2">
        <w:rPr>
          <w:rFonts w:ascii="Calibri" w:hAnsi="Calibri"/>
          <w:sz w:val="22"/>
          <w:szCs w:val="22"/>
        </w:rPr>
        <w:t xml:space="preserve"> központját megbízza azzal, hogy a most meghatározott árfolyamon (250 HUF/EUR) hajtsa végre a 8. értéknappal az átutalást.  Mely ügyletet kell jelentenie a DER táblákban? </w:t>
      </w:r>
    </w:p>
    <w:p w:rsidR="001677E7" w:rsidRPr="003B7DA2" w:rsidRDefault="001677E7" w:rsidP="001677E7">
      <w:pPr>
        <w:pStyle w:val="BlockText"/>
        <w:ind w:left="0" w:right="116"/>
        <w:rPr>
          <w:rFonts w:ascii="Calibri" w:hAnsi="Calibri"/>
          <w:sz w:val="22"/>
          <w:szCs w:val="22"/>
        </w:rPr>
      </w:pPr>
    </w:p>
    <w:p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Az értékpapír vásárlása azonnali ügylet, nem </w:t>
      </w:r>
      <w:proofErr w:type="spellStart"/>
      <w:r w:rsidRPr="003B7DA2">
        <w:rPr>
          <w:rFonts w:ascii="Calibri" w:hAnsi="Calibri"/>
          <w:sz w:val="22"/>
          <w:szCs w:val="22"/>
        </w:rPr>
        <w:t>derivatíva</w:t>
      </w:r>
      <w:proofErr w:type="spellEnd"/>
      <w:r w:rsidRPr="003B7DA2">
        <w:rPr>
          <w:rFonts w:ascii="Calibri" w:hAnsi="Calibri"/>
          <w:sz w:val="22"/>
          <w:szCs w:val="22"/>
        </w:rPr>
        <w:t xml:space="preserve">, azt a DER táblákban nem kell jelentenie. Azonban a most meghatározott árfolyamon 8. értéknappal végrehajtandó konverzió tartalmát tekintve egy határidős deviza átváltás, </w:t>
      </w:r>
      <w:proofErr w:type="spellStart"/>
      <w:r w:rsidRPr="003B7DA2">
        <w:rPr>
          <w:rFonts w:ascii="Calibri" w:hAnsi="Calibri"/>
          <w:sz w:val="22"/>
          <w:szCs w:val="22"/>
        </w:rPr>
        <w:t>forward</w:t>
      </w:r>
      <w:proofErr w:type="spellEnd"/>
      <w:r w:rsidRPr="003B7DA2">
        <w:rPr>
          <w:rFonts w:ascii="Calibri" w:hAnsi="Calibri"/>
          <w:sz w:val="22"/>
          <w:szCs w:val="22"/>
        </w:rPr>
        <w:t xml:space="preserve"> ügylet, azt jelentenie kell. (A jelentés módja megegyezik a </w:t>
      </w:r>
      <w:proofErr w:type="spellStart"/>
      <w:r w:rsidRPr="003B7DA2">
        <w:rPr>
          <w:rFonts w:ascii="Calibri" w:hAnsi="Calibri"/>
          <w:sz w:val="22"/>
          <w:szCs w:val="22"/>
        </w:rPr>
        <w:t>forward</w:t>
      </w:r>
      <w:proofErr w:type="spellEnd"/>
      <w:r w:rsidRPr="003B7DA2">
        <w:rPr>
          <w:rFonts w:ascii="Calibri" w:hAnsi="Calibri"/>
          <w:sz w:val="22"/>
          <w:szCs w:val="22"/>
        </w:rPr>
        <w:t xml:space="preserve"> ügyletekre adott példával) </w:t>
      </w:r>
    </w:p>
    <w:p w:rsidR="001677E7" w:rsidRPr="003B7DA2" w:rsidRDefault="001677E7" w:rsidP="001677E7">
      <w:pPr>
        <w:pStyle w:val="BlockText"/>
        <w:ind w:left="0" w:right="116"/>
        <w:rPr>
          <w:rFonts w:ascii="Calibri" w:hAnsi="Calibri"/>
          <w:sz w:val="22"/>
          <w:szCs w:val="22"/>
        </w:rPr>
      </w:pP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rPr>
      </w:pPr>
      <w:r w:rsidRPr="003B7DA2">
        <w:rPr>
          <w:rFonts w:ascii="Calibri" w:hAnsi="Calibri"/>
          <w:b/>
          <w:bCs/>
          <w:sz w:val="22"/>
          <w:szCs w:val="22"/>
        </w:rPr>
        <w:t xml:space="preserve">a. Külföldi tőzsdén kötött </w:t>
      </w:r>
      <w:proofErr w:type="spellStart"/>
      <w:r w:rsidRPr="003B7DA2">
        <w:rPr>
          <w:rFonts w:ascii="Calibri" w:hAnsi="Calibri"/>
          <w:b/>
          <w:bCs/>
          <w:sz w:val="22"/>
          <w:szCs w:val="22"/>
        </w:rPr>
        <w:t>futures</w:t>
      </w:r>
      <w:proofErr w:type="spellEnd"/>
      <w:r w:rsidRPr="003B7DA2">
        <w:rPr>
          <w:rFonts w:ascii="Calibri" w:hAnsi="Calibri"/>
          <w:b/>
          <w:bCs/>
          <w:sz w:val="22"/>
          <w:szCs w:val="22"/>
        </w:rPr>
        <w:t xml:space="preserve"> ügyletek</w:t>
      </w:r>
      <w:bookmarkEnd w:id="4"/>
      <w:bookmarkEnd w:id="5"/>
      <w:r w:rsidRPr="003B7DA2">
        <w:rPr>
          <w:rFonts w:ascii="Calibri" w:hAnsi="Calibri"/>
          <w:b/>
          <w:bCs/>
          <w:sz w:val="22"/>
          <w:szCs w:val="22"/>
        </w:rPr>
        <w:t xml:space="preserve">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elszámolóház a tőzsdén fellépő cégek (akik lehetnek közvetítő brókerek és hitelintézetek) részére ún. margin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tőzsdei záró árak alapján) az elszámolóház kiszámítja, és naponta kifizeti az ügyfélnek, vagy beszedi az ügyféltől, e margin számlák segítségével. (Ez az ún. </w:t>
      </w:r>
      <w:proofErr w:type="spellStart"/>
      <w:r w:rsidRPr="003B7DA2">
        <w:rPr>
          <w:rFonts w:ascii="Calibri" w:hAnsi="Calibri"/>
          <w:snapToGrid w:val="0"/>
          <w:sz w:val="22"/>
          <w:szCs w:val="22"/>
          <w:lang w:eastAsia="en-US"/>
        </w:rPr>
        <w:t>future</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style</w:t>
      </w:r>
      <w:proofErr w:type="spellEnd"/>
      <w:r w:rsidRPr="003B7DA2">
        <w:rPr>
          <w:rFonts w:ascii="Calibri" w:hAnsi="Calibri"/>
          <w:snapToGrid w:val="0"/>
          <w:sz w:val="22"/>
          <w:szCs w:val="22"/>
          <w:lang w:eastAsia="en-US"/>
        </w:rPr>
        <w:t xml:space="preserve"> margining.) Mivel a résztvevők minden nap megkapják a követelés ellenértékét, illetve megfizetik tartozásukat, ezután másnapig nincs követelés, tartozás pozíciójuk, a kontraktus értéke minden nap végén nullával zár. Pozíciós adatot ezen ügyletek esetében tehát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nem kell jelenteni.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elszámolóháznál vezetett margin számlán terhelt vagy jóváírt ún. változó margin összegek jelentik a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ügyletek esetében a tranzakciókat. Az elszámolóház számításai szerinti tartozások összegét kellett adott napokon kifizetni, így a kifizetések összegét kell összeadni, majd forintra átszámítva a FT kódú, a tőzsde országa szerinti sorban a „T” táblában tranzakcióként a kiadás oszlopban feltüntetni.</w:t>
      </w:r>
      <w:bookmarkStart w:id="6" w:name="_Toc120612689"/>
      <w:bookmarkStart w:id="7" w:name="_Toc122850668"/>
      <w:r w:rsidRPr="003B7DA2">
        <w:rPr>
          <w:rFonts w:ascii="Calibri" w:hAnsi="Calibri"/>
          <w:snapToGrid w:val="0"/>
          <w:sz w:val="22"/>
          <w:szCs w:val="22"/>
          <w:lang w:eastAsia="en-US"/>
        </w:rPr>
        <w:t xml:space="preserve"> Ezzel szemben a fentiek szerint bevételezett összegeket, amelyek a követeléseket jelentették adott napon az elszámolóház számításai szerint, összegezve a FT kódú, a tőzsde országa szerinti sorban kell a „K” jelű tábla tranzakció</w:t>
      </w:r>
      <w:r w:rsidR="00FA2922" w:rsidRPr="003B7DA2">
        <w:rPr>
          <w:rFonts w:ascii="Calibri" w:hAnsi="Calibri"/>
          <w:snapToGrid w:val="0"/>
          <w:sz w:val="22"/>
          <w:szCs w:val="22"/>
          <w:lang w:eastAsia="en-US"/>
        </w:rPr>
        <w:t>i</w:t>
      </w:r>
      <w:r w:rsidRPr="003B7DA2">
        <w:rPr>
          <w:rFonts w:ascii="Calibri" w:hAnsi="Calibri"/>
          <w:snapToGrid w:val="0"/>
          <w:sz w:val="22"/>
          <w:szCs w:val="22"/>
          <w:lang w:eastAsia="en-US"/>
        </w:rPr>
        <w:t xml:space="preserve">ként a bevétel oszlopban feltüntetni.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margin számlán biztosítékként elhelyezett összegeket, amelyek terhére a fizetések történnek, és amelyek javára a befolyásokat elszámolják, az ügyletek lezárása után visszakapja a befizető, ezek mindenkori állományát nem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hanem az egyéb befektetések tábláiban kell jelenteni követelésként. Ezek elvileg nem mehetnek mínuszba, </w:t>
      </w:r>
      <w:proofErr w:type="gramStart"/>
      <w:r w:rsidRPr="003B7DA2">
        <w:rPr>
          <w:rFonts w:ascii="Calibri" w:hAnsi="Calibri"/>
          <w:snapToGrid w:val="0"/>
          <w:sz w:val="22"/>
          <w:szCs w:val="22"/>
          <w:lang w:eastAsia="en-US"/>
        </w:rPr>
        <w:t>mivel</w:t>
      </w:r>
      <w:proofErr w:type="gramEnd"/>
      <w:r w:rsidRPr="003B7DA2">
        <w:rPr>
          <w:rFonts w:ascii="Calibri" w:hAnsi="Calibri"/>
          <w:snapToGrid w:val="0"/>
          <w:sz w:val="22"/>
          <w:szCs w:val="22"/>
          <w:lang w:eastAsia="en-US"/>
        </w:rPr>
        <w:t xml:space="preserve"> ha a biztosíték nem elegendő, az elszámolóház lezárja az ügyletet és elszámol a számla tulajdonosával.)</w:t>
      </w: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u w:val="single"/>
        </w:rPr>
      </w:pPr>
    </w:p>
    <w:p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Példa:</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futures</w:t>
      </w:r>
      <w:proofErr w:type="spellEnd"/>
      <w:r w:rsidRPr="003B7DA2">
        <w:rPr>
          <w:rFonts w:ascii="Calibri" w:hAnsi="Calibri"/>
          <w:bCs/>
          <w:sz w:val="22"/>
          <w:szCs w:val="22"/>
        </w:rPr>
        <w:t xml:space="preserve"> ügylet jelentéséről írunk, több ügylet esetében értelemszerűen kell az adatokat összesíteni, országonként. </w:t>
      </w:r>
    </w:p>
    <w:p w:rsidR="00B17209" w:rsidRPr="003B7DA2" w:rsidRDefault="00B17209" w:rsidP="00B17209">
      <w:pPr>
        <w:pStyle w:val="BodyText"/>
        <w:rPr>
          <w:rFonts w:ascii="Calibri" w:hAnsi="Calibri"/>
          <w:bCs/>
          <w:sz w:val="22"/>
          <w:szCs w:val="22"/>
        </w:rPr>
      </w:pPr>
      <w:r w:rsidRPr="003B7DA2">
        <w:rPr>
          <w:rFonts w:ascii="Calibri" w:hAnsi="Calibri"/>
          <w:bCs/>
          <w:sz w:val="22"/>
          <w:szCs w:val="22"/>
        </w:rPr>
        <w:lastRenderedPageBreak/>
        <w:t xml:space="preserve">Az adatszolgáltató a német tőzsdén január 10-én egy kontraktus csomagot jegyez: 10 ezer EUR-t fog venni 250-es Ft árfolyamon, vagyis 2.500 ezer forintért, április 10-én. </w:t>
      </w: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A német elszámolóház az adatszolgáltató margin számláján naponta rendezi az ügylet értékének változásából eredő érték különbözeteket. Január folyamán a jóváírt összegek 20 ezer forintot, a terhelések összesen 80 ezer forintot tettek ki. </w:t>
      </w: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Januári jelentés (erre az egy kötésre…)</w:t>
      </w: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A pozíciós adat mindig 0, mivel naponta megtörténik a követelések, tartozások rendezése, a bevételezett összegek a követelést csökkentő tranzakcióként a DERK táblában, a terhelések viszont a tartozást csökkentő tranzakcióként a DERT táblában jelentendők, s ezen összeggel egyezik meg az átértékelés összege is. Az átértékelés összege pozitív, mivel a követelést, illetve a tartozást csökkentő tranzakciót egyenlíti ki 0-ra, ami a záró pozíció értéke… (Más szóval: akár követelés, akár tartozás keletkezett, az egy átértékelődés eredménye, vagyis pozitív átértékelődés történt az adott táblában, s ezt az így keletkezett követelést, vagy tartozást csökkentette le, szüntette meg a tranzakció, vagyis az elszámolóház jóváírása, vagy terhelése.) </w:t>
      </w:r>
    </w:p>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0"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0"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20 000</w:t>
            </w:r>
          </w:p>
        </w:tc>
        <w:tc>
          <w:tcPr>
            <w:tcW w:w="1127"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20 000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
          <w:bCs/>
          <w:sz w:val="22"/>
          <w:szCs w:val="22"/>
          <w:u w:val="single"/>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cs="Arial"/>
                <w:sz w:val="22"/>
                <w:szCs w:val="22"/>
              </w:rPr>
            </w:pP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80 000</w:t>
            </w:r>
          </w:p>
        </w:tc>
        <w:tc>
          <w:tcPr>
            <w:tcW w:w="1127"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80 000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Februárban 30 ezer forint volt az összes jóváírás, 30 ezer forint az összes terhelés. </w:t>
      </w:r>
    </w:p>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 xml:space="preserve">0 </w:t>
            </w:r>
          </w:p>
        </w:tc>
        <w:tc>
          <w:tcPr>
            <w:tcW w:w="1025"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30 000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
          <w:bCs/>
          <w:sz w:val="22"/>
          <w:szCs w:val="22"/>
          <w:u w:val="single"/>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p>
        </w:tc>
        <w:tc>
          <w:tcPr>
            <w:tcW w:w="1025"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Márciusban 20 ezer forint jóváírást, 90 ezer forint összegű terhelést hajtott végre e csomag </w:t>
      </w:r>
      <w:proofErr w:type="gramStart"/>
      <w:r w:rsidRPr="003B7DA2">
        <w:rPr>
          <w:rFonts w:ascii="Calibri" w:hAnsi="Calibri"/>
          <w:bCs/>
          <w:sz w:val="22"/>
          <w:szCs w:val="22"/>
        </w:rPr>
        <w:t>miatt  számláján</w:t>
      </w:r>
      <w:proofErr w:type="gramEnd"/>
      <w:r w:rsidRPr="003B7DA2">
        <w:rPr>
          <w:rFonts w:ascii="Calibri" w:hAnsi="Calibri"/>
          <w:bCs/>
          <w:sz w:val="22"/>
          <w:szCs w:val="22"/>
        </w:rPr>
        <w:t xml:space="preserve"> az elszámolóház. </w:t>
      </w:r>
    </w:p>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0</w:t>
            </w:r>
          </w:p>
        </w:tc>
        <w:tc>
          <w:tcPr>
            <w:tcW w:w="1025"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20 000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20 000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p>
        </w:tc>
        <w:tc>
          <w:tcPr>
            <w:tcW w:w="1025"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90 000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90 000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Cs/>
          <w:sz w:val="22"/>
          <w:szCs w:val="22"/>
        </w:rPr>
      </w:pPr>
    </w:p>
    <w:p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Áprilisban utolsó napig, vagyis 9-éig bezáróan 10 ezer forint jóváírást és 6 ezer forint terhelést hajtott végre az elszámolóház, míg április 10-én, az akkori árfolyamoknak megfelelően egy utolsó, 1 ezer forintos nyereség kifizetésével (jóváírással) zárta le az ügyletet. Tehát nem történik meg az ügylet szerinti devizaösszeg és forint összeg cseréje, hanem az érték különbözet elszámolásával zárják le az ügyletet. Áprilisban tehát az alábbi adatokat kellett jelenteni: </w:t>
      </w:r>
    </w:p>
    <w:p w:rsidR="00B17209" w:rsidRPr="003B7DA2" w:rsidRDefault="00B17209" w:rsidP="00B17209">
      <w:pPr>
        <w:pStyle w:val="BodyText"/>
        <w:rPr>
          <w:rFonts w:ascii="Calibri" w:hAnsi="Calibri"/>
          <w:b/>
          <w:bCs/>
          <w:sz w:val="22"/>
          <w:szCs w:val="22"/>
          <w:u w:val="single"/>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0</w:t>
            </w:r>
          </w:p>
        </w:tc>
        <w:tc>
          <w:tcPr>
            <w:tcW w:w="1025"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11 000</w:t>
            </w:r>
          </w:p>
        </w:tc>
        <w:tc>
          <w:tcPr>
            <w:tcW w:w="1127"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11 000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b/>
          <w:bCs/>
          <w:sz w:val="22"/>
          <w:szCs w:val="22"/>
          <w:u w:val="single"/>
        </w:rPr>
      </w:pPr>
    </w:p>
    <w:p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rsidTr="00D45209">
        <w:tc>
          <w:tcPr>
            <w:tcW w:w="913"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rsidTr="00D45209">
        <w:tc>
          <w:tcPr>
            <w:tcW w:w="913" w:type="dxa"/>
            <w:vMerge/>
          </w:tcPr>
          <w:p w:rsidR="00B17209" w:rsidRPr="003B7DA2" w:rsidRDefault="00B17209" w:rsidP="00B17209">
            <w:pPr>
              <w:pStyle w:val="BodyText"/>
              <w:rPr>
                <w:rFonts w:ascii="Calibri" w:hAnsi="Calibri"/>
                <w:b/>
                <w:bCs/>
                <w:sz w:val="22"/>
                <w:szCs w:val="22"/>
                <w:u w:val="single"/>
              </w:rPr>
            </w:pPr>
          </w:p>
        </w:tc>
        <w:tc>
          <w:tcPr>
            <w:tcW w:w="1137" w:type="dxa"/>
            <w:vMerge/>
          </w:tcPr>
          <w:p w:rsidR="00B17209" w:rsidRPr="003B7DA2" w:rsidRDefault="00B17209" w:rsidP="00B17209">
            <w:pPr>
              <w:pStyle w:val="BodyText"/>
              <w:rPr>
                <w:rFonts w:ascii="Calibri" w:hAnsi="Calibri"/>
                <w:b/>
                <w:bCs/>
                <w:sz w:val="22"/>
                <w:szCs w:val="22"/>
                <w:u w:val="single"/>
              </w:rPr>
            </w:pPr>
          </w:p>
        </w:tc>
        <w:tc>
          <w:tcPr>
            <w:tcW w:w="918" w:type="dxa"/>
            <w:vMerge/>
          </w:tcPr>
          <w:p w:rsidR="00B17209" w:rsidRPr="003B7DA2" w:rsidRDefault="00B17209" w:rsidP="00B17209">
            <w:pPr>
              <w:pStyle w:val="BodyText"/>
              <w:rPr>
                <w:rFonts w:ascii="Calibri" w:hAnsi="Calibri"/>
                <w:b/>
                <w:bCs/>
                <w:sz w:val="22"/>
                <w:szCs w:val="22"/>
                <w:u w:val="single"/>
              </w:rPr>
            </w:pPr>
          </w:p>
        </w:tc>
        <w:tc>
          <w:tcPr>
            <w:tcW w:w="904" w:type="dxa"/>
          </w:tcPr>
          <w:p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rsidR="00B17209" w:rsidRPr="003B7DA2" w:rsidRDefault="00B17209" w:rsidP="00B17209">
            <w:pPr>
              <w:pStyle w:val="BodyText"/>
              <w:rPr>
                <w:rFonts w:ascii="Calibri" w:hAnsi="Calibri" w:cs="Arial"/>
                <w:sz w:val="22"/>
                <w:szCs w:val="22"/>
              </w:rPr>
            </w:pPr>
          </w:p>
        </w:tc>
        <w:tc>
          <w:tcPr>
            <w:tcW w:w="1033" w:type="dxa"/>
            <w:vMerge/>
          </w:tcPr>
          <w:p w:rsidR="00B17209" w:rsidRPr="003B7DA2" w:rsidRDefault="00B17209" w:rsidP="00B17209">
            <w:pPr>
              <w:pStyle w:val="BodyText"/>
              <w:rPr>
                <w:rFonts w:ascii="Calibri" w:hAnsi="Calibri" w:cs="Arial"/>
                <w:sz w:val="22"/>
                <w:szCs w:val="22"/>
              </w:rPr>
            </w:pPr>
          </w:p>
        </w:tc>
        <w:tc>
          <w:tcPr>
            <w:tcW w:w="901" w:type="dxa"/>
            <w:vMerge/>
          </w:tcPr>
          <w:p w:rsidR="00B17209" w:rsidRPr="003B7DA2" w:rsidRDefault="00B17209" w:rsidP="00B17209">
            <w:pPr>
              <w:pStyle w:val="BodyText"/>
              <w:rPr>
                <w:rFonts w:ascii="Calibri" w:hAnsi="Calibri" w:cs="Arial"/>
                <w:sz w:val="22"/>
                <w:szCs w:val="22"/>
              </w:rPr>
            </w:pPr>
          </w:p>
        </w:tc>
      </w:tr>
      <w:tr w:rsidR="00B17209" w:rsidRPr="003B7DA2" w:rsidTr="00D45209">
        <w:tc>
          <w:tcPr>
            <w:tcW w:w="913" w:type="dxa"/>
          </w:tcPr>
          <w:p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rsidR="00B17209" w:rsidRPr="003B7DA2" w:rsidRDefault="00B17209" w:rsidP="00B17209">
            <w:pPr>
              <w:pStyle w:val="BodyText"/>
              <w:rPr>
                <w:rFonts w:ascii="Calibri" w:hAnsi="Calibri"/>
                <w:b/>
                <w:bCs/>
                <w:sz w:val="22"/>
                <w:szCs w:val="22"/>
                <w:u w:val="single"/>
              </w:rPr>
            </w:pPr>
          </w:p>
        </w:tc>
        <w:tc>
          <w:tcPr>
            <w:tcW w:w="1025"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6 000</w:t>
            </w:r>
          </w:p>
        </w:tc>
        <w:tc>
          <w:tcPr>
            <w:tcW w:w="1127" w:type="dxa"/>
          </w:tcPr>
          <w:p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6 000</w:t>
            </w:r>
          </w:p>
        </w:tc>
        <w:tc>
          <w:tcPr>
            <w:tcW w:w="1033"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rsidR="00B17209" w:rsidRPr="003B7DA2" w:rsidRDefault="00B17209" w:rsidP="00B17209">
      <w:pPr>
        <w:pStyle w:val="BodyText"/>
        <w:rPr>
          <w:rFonts w:ascii="Calibri" w:hAnsi="Calibri"/>
          <w:snapToGrid w:val="0"/>
          <w:sz w:val="22"/>
          <w:szCs w:val="22"/>
          <w:lang w:eastAsia="en-US"/>
        </w:rPr>
      </w:pPr>
    </w:p>
    <w:bookmarkEnd w:id="6"/>
    <w:bookmarkEnd w:id="7"/>
    <w:p w:rsidR="0092684C" w:rsidRPr="003B7DA2" w:rsidRDefault="0092684C">
      <w:pPr>
        <w:ind w:left="720"/>
        <w:jc w:val="both"/>
        <w:rPr>
          <w:rFonts w:ascii="Calibri" w:hAnsi="Calibri"/>
          <w:sz w:val="22"/>
          <w:szCs w:val="22"/>
        </w:rPr>
      </w:pPr>
    </w:p>
    <w:p w:rsidR="00B17209" w:rsidRPr="003B7DA2" w:rsidRDefault="00B17209">
      <w:pPr>
        <w:ind w:left="720"/>
        <w:jc w:val="both"/>
        <w:rPr>
          <w:rFonts w:ascii="Calibri" w:hAnsi="Calibri"/>
          <w:sz w:val="22"/>
          <w:szCs w:val="22"/>
        </w:rPr>
      </w:pPr>
    </w:p>
    <w:p w:rsidR="0092684C" w:rsidRPr="003B7DA2" w:rsidRDefault="0092684C">
      <w:pPr>
        <w:pStyle w:val="BodyText"/>
        <w:rPr>
          <w:rFonts w:ascii="Calibri" w:hAnsi="Calibri"/>
          <w:b/>
          <w:bCs/>
          <w:sz w:val="22"/>
          <w:szCs w:val="22"/>
        </w:rPr>
      </w:pPr>
      <w:bookmarkStart w:id="8" w:name="_Toc120612690"/>
      <w:bookmarkStart w:id="9" w:name="_Toc122850669"/>
      <w:r w:rsidRPr="003B7DA2">
        <w:rPr>
          <w:rFonts w:ascii="Calibri" w:hAnsi="Calibri"/>
          <w:b/>
          <w:bCs/>
          <w:sz w:val="22"/>
          <w:szCs w:val="22"/>
        </w:rPr>
        <w:t xml:space="preserve">b. Nem rezidensekkel kötött </w:t>
      </w:r>
      <w:proofErr w:type="spellStart"/>
      <w:r w:rsidRPr="003B7DA2">
        <w:rPr>
          <w:rFonts w:ascii="Calibri" w:hAnsi="Calibri"/>
          <w:b/>
          <w:bCs/>
          <w:sz w:val="22"/>
          <w:szCs w:val="22"/>
        </w:rPr>
        <w:t>forwardok</w:t>
      </w:r>
      <w:proofErr w:type="spellEnd"/>
      <w:r w:rsidRPr="003B7DA2">
        <w:rPr>
          <w:rFonts w:ascii="Calibri" w:hAnsi="Calibri"/>
          <w:b/>
          <w:bCs/>
          <w:sz w:val="22"/>
          <w:szCs w:val="22"/>
        </w:rPr>
        <w:t>:</w:t>
      </w:r>
      <w:bookmarkEnd w:id="8"/>
      <w:bookmarkEnd w:id="9"/>
    </w:p>
    <w:p w:rsidR="0092684C" w:rsidRPr="003B7DA2" w:rsidRDefault="0092684C">
      <w:pPr>
        <w:autoSpaceDE w:val="0"/>
        <w:autoSpaceDN w:val="0"/>
        <w:adjustRightInd w:val="0"/>
        <w:ind w:left="720"/>
        <w:jc w:val="both"/>
        <w:rPr>
          <w:rFonts w:ascii="Calibri" w:hAnsi="Calibri"/>
          <w:snapToGrid w:val="0"/>
          <w:sz w:val="22"/>
          <w:szCs w:val="22"/>
          <w:lang w:eastAsia="en-US"/>
        </w:rPr>
      </w:pPr>
    </w:p>
    <w:p w:rsidR="0092684C" w:rsidRPr="003B7DA2" w:rsidRDefault="0092684C">
      <w:pPr>
        <w:autoSpaceDE w:val="0"/>
        <w:autoSpaceDN w:val="0"/>
        <w:adjustRightInd w:val="0"/>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ún. </w:t>
      </w:r>
      <w:proofErr w:type="spellStart"/>
      <w:r w:rsidRPr="003B7DA2">
        <w:rPr>
          <w:rFonts w:ascii="Calibri" w:hAnsi="Calibri"/>
          <w:snapToGrid w:val="0"/>
          <w:sz w:val="22"/>
          <w:szCs w:val="22"/>
          <w:lang w:eastAsia="en-US"/>
        </w:rPr>
        <w:t>outright</w:t>
      </w:r>
      <w:proofErr w:type="spellEnd"/>
      <w:r w:rsidRPr="003B7DA2">
        <w:rPr>
          <w:rFonts w:ascii="Calibri" w:hAnsi="Calibri"/>
          <w:snapToGrid w:val="0"/>
          <w:sz w:val="22"/>
          <w:szCs w:val="22"/>
          <w:lang w:eastAsia="en-US"/>
        </w:rPr>
        <w:t xml:space="preserve"> </w:t>
      </w:r>
      <w:proofErr w:type="spellStart"/>
      <w:r w:rsidRPr="003B7DA2">
        <w:rPr>
          <w:rFonts w:ascii="Calibri" w:hAnsi="Calibri"/>
          <w:b/>
          <w:snapToGrid w:val="0"/>
          <w:sz w:val="22"/>
          <w:szCs w:val="22"/>
          <w:lang w:eastAsia="en-US"/>
        </w:rPr>
        <w:t>forward</w:t>
      </w:r>
      <w:proofErr w:type="spellEnd"/>
      <w:r w:rsidRPr="003B7DA2">
        <w:rPr>
          <w:rFonts w:ascii="Calibri" w:hAnsi="Calibri"/>
          <w:b/>
          <w:snapToGrid w:val="0"/>
          <w:sz w:val="22"/>
          <w:szCs w:val="22"/>
          <w:lang w:eastAsia="en-US"/>
        </w:rPr>
        <w:t xml:space="preserve"> </w:t>
      </w:r>
      <w:r w:rsidRPr="003B7DA2">
        <w:rPr>
          <w:rFonts w:ascii="Calibri" w:hAnsi="Calibri"/>
          <w:snapToGrid w:val="0"/>
          <w:sz w:val="22"/>
          <w:szCs w:val="22"/>
          <w:lang w:eastAsia="en-US"/>
        </w:rPr>
        <w:t xml:space="preserve">ügyletek olyan határidős deviza konverziós megállapodások, amelyeket az OTC piacon (vagyis nem szervezett piacon, nem tőzsdén) kötöttek, tehát szerződéses feltételeik nem </w:t>
      </w:r>
      <w:proofErr w:type="spellStart"/>
      <w:r w:rsidRPr="003B7DA2">
        <w:rPr>
          <w:rFonts w:ascii="Calibri" w:hAnsi="Calibri"/>
          <w:snapToGrid w:val="0"/>
          <w:sz w:val="22"/>
          <w:szCs w:val="22"/>
          <w:lang w:eastAsia="en-US"/>
        </w:rPr>
        <w:t>sztandardizáltak</w:t>
      </w:r>
      <w:proofErr w:type="spellEnd"/>
      <w:r w:rsidRPr="003B7DA2">
        <w:rPr>
          <w:rFonts w:ascii="Calibri" w:hAnsi="Calibri"/>
          <w:snapToGrid w:val="0"/>
          <w:sz w:val="22"/>
          <w:szCs w:val="22"/>
          <w:lang w:eastAsia="en-US"/>
        </w:rPr>
        <w:t xml:space="preserve"> (szabványosítottak), ezért a szerződő felek konkrét igényei szerint köthetők.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 teljesítése akár a devizaösszegek leszállításával (vagyis a teljes devizaösszegek cseréjével), akár az értékkülönbözet elszámolásával is történhet.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Követelések és tartozások, időszak eleji nyitó és időszak végi záró pozíció:</w:t>
      </w:r>
    </w:p>
    <w:p w:rsidR="0092684C" w:rsidRPr="003B7DA2" w:rsidRDefault="0092684C">
      <w:pPr>
        <w:ind w:left="144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3B7DA2">
        <w:rPr>
          <w:rFonts w:ascii="Calibri" w:hAnsi="Calibri" w:cs="Arial"/>
          <w:sz w:val="22"/>
          <w:szCs w:val="22"/>
        </w:rPr>
        <w:t xml:space="preserve"> a nyitott ügyletek piaci (vagy helyettesítési) értéke pozitív, nulla és negatív értéket is felvehet, a mögöttes árak változásától függően</w:t>
      </w:r>
      <w:r w:rsidRPr="003B7DA2">
        <w:rPr>
          <w:rFonts w:ascii="Calibri" w:hAnsi="Calibri"/>
          <w:snapToGrid w:val="0"/>
          <w:sz w:val="22"/>
          <w:szCs w:val="22"/>
          <w:lang w:eastAsia="en-US"/>
        </w:rPr>
        <w:t xml:space="preserve">. </w:t>
      </w:r>
    </w:p>
    <w:p w:rsidR="0092684C" w:rsidRPr="003B7DA2" w:rsidRDefault="0092684C">
      <w:pPr>
        <w:ind w:left="324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tőzsdén kívüli (nem szabványosított) határidős nyitott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ügyletek bruttó piaci értékét a mögöttes termék (jelen táblában a deviza, vagy valuta) jegyzett határidős árának figyelembe vételével kell meghatározni és országonként összesítve a kiértékelés eredményétől függően a követelés, vagy tartozás táblában jelenteni.</w:t>
      </w:r>
    </w:p>
    <w:p w:rsidR="0092684C" w:rsidRPr="003B7DA2" w:rsidRDefault="0092684C">
      <w:pPr>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324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rsidR="0092684C" w:rsidRPr="003B7DA2" w:rsidRDefault="0092684C">
      <w:pPr>
        <w:rPr>
          <w:rFonts w:ascii="Calibri" w:hAnsi="Calibri"/>
          <w:sz w:val="22"/>
          <w:szCs w:val="22"/>
        </w:rPr>
      </w:pPr>
    </w:p>
    <w:p w:rsidR="0092684C" w:rsidRPr="003B7DA2" w:rsidRDefault="0092684C">
      <w:pPr>
        <w:rPr>
          <w:rFonts w:ascii="Calibri" w:hAnsi="Calibri"/>
          <w:sz w:val="22"/>
          <w:szCs w:val="22"/>
        </w:rPr>
      </w:pPr>
    </w:p>
    <w:p w:rsidR="0092684C" w:rsidRPr="003B7DA2" w:rsidRDefault="0092684C">
      <w:pPr>
        <w:rPr>
          <w:rFonts w:ascii="Calibri" w:hAnsi="Calibri"/>
          <w:b/>
          <w:sz w:val="22"/>
          <w:szCs w:val="22"/>
          <w:u w:val="single"/>
        </w:rPr>
      </w:pPr>
      <w:r w:rsidRPr="003B7DA2">
        <w:rPr>
          <w:rFonts w:ascii="Calibri" w:hAnsi="Calibri"/>
          <w:b/>
          <w:sz w:val="22"/>
          <w:szCs w:val="22"/>
          <w:u w:val="single"/>
        </w:rPr>
        <w:t xml:space="preserve">Példa leszállításos </w:t>
      </w:r>
      <w:proofErr w:type="spellStart"/>
      <w:r w:rsidRPr="003B7DA2">
        <w:rPr>
          <w:rFonts w:ascii="Calibri" w:hAnsi="Calibri"/>
          <w:b/>
          <w:sz w:val="22"/>
          <w:szCs w:val="22"/>
          <w:u w:val="single"/>
        </w:rPr>
        <w:t>forward</w:t>
      </w:r>
      <w:proofErr w:type="spellEnd"/>
      <w:r w:rsidRPr="003B7DA2">
        <w:rPr>
          <w:rFonts w:ascii="Calibri" w:hAnsi="Calibri"/>
          <w:b/>
          <w:sz w:val="22"/>
          <w:szCs w:val="22"/>
          <w:u w:val="single"/>
        </w:rPr>
        <w:t xml:space="preserve"> ügyletre:</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forward</w:t>
      </w:r>
      <w:proofErr w:type="spellEnd"/>
      <w:r w:rsidRPr="003B7DA2">
        <w:rPr>
          <w:rFonts w:ascii="Calibri" w:hAnsi="Calibri"/>
          <w:bCs/>
          <w:sz w:val="22"/>
          <w:szCs w:val="22"/>
        </w:rPr>
        <w:t xml:space="preserve"> ügylet jelentéséről írunk, több ügylet esetében értelemszerűen kell az adatokat összesíteni, országonként. </w:t>
      </w: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A rezidens adatszolgáltató cég január 10-én kötött egy megállapodást német partnerével, mely szerint: 10 ezer EUR-t fog venni 250-es Ft árfolyamon, vagyis 2.500 ezer forintért, április 10-én. </w:t>
      </w: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Január végén pozíciója 0 volt.</w:t>
      </w: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Ebben a kivételes esetben, mivel a nyitó pozíció 0 (az előző tárgyidőszak végén még nem volt meg ez az ügylet), a záró pozíció is 0, ez viszont már a kiértékelés szerint, tranzakcióra a hónap folyamán nem került sor, fizetés csak áprilisban lesz, ezért még átértékelődést sem kell jelenteni (</w:t>
      </w:r>
      <w:proofErr w:type="gramStart"/>
      <w:r w:rsidRPr="003B7DA2">
        <w:rPr>
          <w:rFonts w:ascii="Calibri" w:hAnsi="Calibri"/>
          <w:bCs/>
          <w:sz w:val="22"/>
          <w:szCs w:val="22"/>
        </w:rPr>
        <w:t>hiszen</w:t>
      </w:r>
      <w:proofErr w:type="gramEnd"/>
      <w:r w:rsidRPr="003B7DA2">
        <w:rPr>
          <w:rFonts w:ascii="Calibri" w:hAnsi="Calibri"/>
          <w:bCs/>
          <w:sz w:val="22"/>
          <w:szCs w:val="22"/>
        </w:rPr>
        <w:t xml:space="preserve"> ha voltak is átértékelődések a tárgyidőszak folyamán, azok kiegyenlíthették egymást, ezért 0 a tárgyidőszak végi pozíció). Ez az ügylet tehát nem jelenik meg a táblákban. </w:t>
      </w: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Február végén pozitív piaci értékű volt ez az ügylete, a pozitív piaci érték 20 ezer Ft volt, ezt záró állományként a követel táblában kell jelenteni (nyitó állomány 0, tranzakció továbbra sem volt, a különbözet tehát átértékelés, méghozzá pozitív, ez okozta a pozitív záró értéket a 0-hoz képest). </w:t>
      </w: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p>
    <w:p w:rsidR="003B7DA2" w:rsidRPr="003B7DA2" w:rsidRDefault="003B7DA2" w:rsidP="00260413">
      <w:pPr>
        <w:pStyle w:val="BodyText"/>
        <w:rPr>
          <w:rFonts w:ascii="Calibri" w:hAnsi="Calibri"/>
          <w:bCs/>
          <w:sz w:val="22"/>
          <w:szCs w:val="22"/>
        </w:rPr>
      </w:pPr>
    </w:p>
    <w:p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260413" w:rsidRPr="003B7DA2" w:rsidTr="00D45209">
        <w:tc>
          <w:tcPr>
            <w:tcW w:w="913"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rsidTr="00D45209">
        <w:tc>
          <w:tcPr>
            <w:tcW w:w="913" w:type="dxa"/>
            <w:vMerge/>
          </w:tcPr>
          <w:p w:rsidR="00260413" w:rsidRPr="003B7DA2" w:rsidRDefault="00260413" w:rsidP="00260413">
            <w:pPr>
              <w:pStyle w:val="BodyText"/>
              <w:rPr>
                <w:rFonts w:ascii="Calibri" w:hAnsi="Calibri"/>
                <w:b/>
                <w:bCs/>
                <w:sz w:val="22"/>
                <w:szCs w:val="22"/>
                <w:u w:val="single"/>
              </w:rPr>
            </w:pPr>
          </w:p>
        </w:tc>
        <w:tc>
          <w:tcPr>
            <w:tcW w:w="1137" w:type="dxa"/>
            <w:vMerge/>
          </w:tcPr>
          <w:p w:rsidR="00260413" w:rsidRPr="003B7DA2" w:rsidRDefault="00260413" w:rsidP="00260413">
            <w:pPr>
              <w:pStyle w:val="BodyText"/>
              <w:rPr>
                <w:rFonts w:ascii="Calibri" w:hAnsi="Calibri"/>
                <w:b/>
                <w:bCs/>
                <w:sz w:val="22"/>
                <w:szCs w:val="22"/>
                <w:u w:val="single"/>
              </w:rPr>
            </w:pPr>
          </w:p>
        </w:tc>
        <w:tc>
          <w:tcPr>
            <w:tcW w:w="918" w:type="dxa"/>
            <w:vMerge/>
          </w:tcPr>
          <w:p w:rsidR="00260413" w:rsidRPr="003B7DA2" w:rsidRDefault="00260413" w:rsidP="00260413">
            <w:pPr>
              <w:pStyle w:val="BodyText"/>
              <w:rPr>
                <w:rFonts w:ascii="Calibri" w:hAnsi="Calibri"/>
                <w:b/>
                <w:bCs/>
                <w:sz w:val="22"/>
                <w:szCs w:val="22"/>
                <w:u w:val="single"/>
              </w:rPr>
            </w:pPr>
          </w:p>
        </w:tc>
        <w:tc>
          <w:tcPr>
            <w:tcW w:w="900" w:type="dxa"/>
          </w:tcPr>
          <w:p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260413" w:rsidRPr="003B7DA2" w:rsidRDefault="00260413" w:rsidP="00260413">
            <w:pPr>
              <w:pStyle w:val="BodyText"/>
              <w:rPr>
                <w:rFonts w:ascii="Calibri" w:hAnsi="Calibri" w:cs="Arial"/>
                <w:sz w:val="22"/>
                <w:szCs w:val="22"/>
              </w:rPr>
            </w:pPr>
          </w:p>
        </w:tc>
        <w:tc>
          <w:tcPr>
            <w:tcW w:w="1033" w:type="dxa"/>
            <w:vMerge/>
          </w:tcPr>
          <w:p w:rsidR="00260413" w:rsidRPr="003B7DA2" w:rsidRDefault="00260413" w:rsidP="00260413">
            <w:pPr>
              <w:pStyle w:val="BodyText"/>
              <w:rPr>
                <w:rFonts w:ascii="Calibri" w:hAnsi="Calibri" w:cs="Arial"/>
                <w:sz w:val="22"/>
                <w:szCs w:val="22"/>
              </w:rPr>
            </w:pPr>
          </w:p>
        </w:tc>
        <w:tc>
          <w:tcPr>
            <w:tcW w:w="901" w:type="dxa"/>
            <w:vMerge/>
          </w:tcPr>
          <w:p w:rsidR="00260413" w:rsidRPr="003B7DA2" w:rsidRDefault="00260413" w:rsidP="00260413">
            <w:pPr>
              <w:pStyle w:val="BodyText"/>
              <w:rPr>
                <w:rFonts w:ascii="Calibri" w:hAnsi="Calibri" w:cs="Arial"/>
                <w:sz w:val="22"/>
                <w:szCs w:val="22"/>
              </w:rPr>
            </w:pPr>
          </w:p>
        </w:tc>
      </w:tr>
      <w:tr w:rsidR="00260413" w:rsidRPr="003B7DA2" w:rsidTr="00D45209">
        <w:tc>
          <w:tcPr>
            <w:tcW w:w="913"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0"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20 000</w:t>
            </w:r>
          </w:p>
        </w:tc>
        <w:tc>
          <w:tcPr>
            <w:tcW w:w="1033"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20 000</w:t>
            </w:r>
          </w:p>
        </w:tc>
      </w:tr>
    </w:tbl>
    <w:p w:rsidR="00260413" w:rsidRPr="003B7DA2" w:rsidRDefault="00260413" w:rsidP="00260413">
      <w:pPr>
        <w:pStyle w:val="BodyText"/>
        <w:rPr>
          <w:rFonts w:ascii="Calibri" w:hAnsi="Calibri"/>
          <w:b/>
          <w:bCs/>
          <w:sz w:val="22"/>
          <w:szCs w:val="22"/>
          <w:u w:val="single"/>
        </w:rPr>
      </w:pP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Március végén viszont negatív volt a piaci érték, mínusz 10 ezer forintot tett ki az ügylet piaci értéke (vagyis adott árakon veszteséges lett volna a rezidens cég szempontjából). Ekkor ez a záró állomány a tartozás DERT táblában kerül jelentésre, ahol 0 volt a nyitó pozíció (előző tárgyidőszakban záró 0 volt) és a 10 ezer záró pozíció közötti különbözet átértékelésként szerepelhet, pozitív előjellel, hiszen a tartozás megnőtt. A követel DERK táblában a 20 ezer forintos nyitó állomány mellett 0 záró állomány szerepel (pozitív piaci értékű ügylet hiányában), a különbség átértékelésként jelentkezik, amely, mivel 0-ra csökkentette le a nyitó pozíciót, negatív előjelű. (Mondhatjuk úgy is: átértékeléssel szemben 0-ig kivezettük az ügyletet a követelések táblájából és átvezettük a tartozások táblába, ahol a 0-tól a pozíció 10 ezres értékéig szintén átértékeléssel szemben vettük nyilvántartásba.) </w:t>
      </w: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260413" w:rsidRPr="003B7DA2" w:rsidTr="00D45209">
        <w:tc>
          <w:tcPr>
            <w:tcW w:w="913"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rsidTr="00D45209">
        <w:tc>
          <w:tcPr>
            <w:tcW w:w="913" w:type="dxa"/>
            <w:vMerge/>
          </w:tcPr>
          <w:p w:rsidR="00260413" w:rsidRPr="003B7DA2" w:rsidRDefault="00260413" w:rsidP="00260413">
            <w:pPr>
              <w:pStyle w:val="BodyText"/>
              <w:rPr>
                <w:rFonts w:ascii="Calibri" w:hAnsi="Calibri"/>
                <w:b/>
                <w:bCs/>
                <w:sz w:val="22"/>
                <w:szCs w:val="22"/>
                <w:u w:val="single"/>
              </w:rPr>
            </w:pPr>
          </w:p>
        </w:tc>
        <w:tc>
          <w:tcPr>
            <w:tcW w:w="1137" w:type="dxa"/>
            <w:vMerge/>
          </w:tcPr>
          <w:p w:rsidR="00260413" w:rsidRPr="003B7DA2" w:rsidRDefault="00260413" w:rsidP="00260413">
            <w:pPr>
              <w:pStyle w:val="BodyText"/>
              <w:rPr>
                <w:rFonts w:ascii="Calibri" w:hAnsi="Calibri"/>
                <w:b/>
                <w:bCs/>
                <w:sz w:val="22"/>
                <w:szCs w:val="22"/>
                <w:u w:val="single"/>
              </w:rPr>
            </w:pPr>
          </w:p>
        </w:tc>
        <w:tc>
          <w:tcPr>
            <w:tcW w:w="918" w:type="dxa"/>
            <w:vMerge/>
          </w:tcPr>
          <w:p w:rsidR="00260413" w:rsidRPr="003B7DA2" w:rsidRDefault="00260413" w:rsidP="00260413">
            <w:pPr>
              <w:pStyle w:val="BodyText"/>
              <w:rPr>
                <w:rFonts w:ascii="Calibri" w:hAnsi="Calibri"/>
                <w:b/>
                <w:bCs/>
                <w:sz w:val="22"/>
                <w:szCs w:val="22"/>
                <w:u w:val="single"/>
              </w:rPr>
            </w:pPr>
          </w:p>
        </w:tc>
        <w:tc>
          <w:tcPr>
            <w:tcW w:w="900" w:type="dxa"/>
          </w:tcPr>
          <w:p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rsidR="00260413" w:rsidRPr="003B7DA2" w:rsidRDefault="00260413" w:rsidP="00260413">
            <w:pPr>
              <w:pStyle w:val="BodyText"/>
              <w:rPr>
                <w:rFonts w:ascii="Calibri" w:hAnsi="Calibri" w:cs="Arial"/>
                <w:sz w:val="22"/>
                <w:szCs w:val="22"/>
              </w:rPr>
            </w:pPr>
          </w:p>
        </w:tc>
        <w:tc>
          <w:tcPr>
            <w:tcW w:w="1033" w:type="dxa"/>
            <w:vMerge/>
          </w:tcPr>
          <w:p w:rsidR="00260413" w:rsidRPr="003B7DA2" w:rsidRDefault="00260413" w:rsidP="00260413">
            <w:pPr>
              <w:pStyle w:val="BodyText"/>
              <w:rPr>
                <w:rFonts w:ascii="Calibri" w:hAnsi="Calibri" w:cs="Arial"/>
                <w:sz w:val="22"/>
                <w:szCs w:val="22"/>
              </w:rPr>
            </w:pPr>
          </w:p>
        </w:tc>
        <w:tc>
          <w:tcPr>
            <w:tcW w:w="901" w:type="dxa"/>
            <w:vMerge/>
          </w:tcPr>
          <w:p w:rsidR="00260413" w:rsidRPr="003B7DA2" w:rsidRDefault="00260413" w:rsidP="00260413">
            <w:pPr>
              <w:pStyle w:val="BodyText"/>
              <w:rPr>
                <w:rFonts w:ascii="Calibri" w:hAnsi="Calibri" w:cs="Arial"/>
                <w:sz w:val="22"/>
                <w:szCs w:val="22"/>
              </w:rPr>
            </w:pPr>
          </w:p>
        </w:tc>
      </w:tr>
      <w:tr w:rsidR="00260413" w:rsidRPr="003B7DA2" w:rsidTr="00D45209">
        <w:tc>
          <w:tcPr>
            <w:tcW w:w="913"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20 000</w:t>
            </w:r>
          </w:p>
        </w:tc>
        <w:tc>
          <w:tcPr>
            <w:tcW w:w="900"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- 20 000</w:t>
            </w:r>
          </w:p>
        </w:tc>
        <w:tc>
          <w:tcPr>
            <w:tcW w:w="1033"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r>
    </w:tbl>
    <w:p w:rsidR="00260413" w:rsidRPr="003B7DA2" w:rsidRDefault="00260413" w:rsidP="00260413">
      <w:pPr>
        <w:pStyle w:val="BodyText"/>
        <w:rPr>
          <w:rFonts w:ascii="Calibri" w:hAnsi="Calibri"/>
          <w:b/>
          <w:bCs/>
          <w:sz w:val="22"/>
          <w:szCs w:val="22"/>
          <w:u w:val="single"/>
        </w:rPr>
      </w:pPr>
    </w:p>
    <w:p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260413" w:rsidRPr="003B7DA2" w:rsidTr="00D45209">
        <w:tc>
          <w:tcPr>
            <w:tcW w:w="913"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rsidTr="00D45209">
        <w:tc>
          <w:tcPr>
            <w:tcW w:w="913" w:type="dxa"/>
            <w:vMerge/>
          </w:tcPr>
          <w:p w:rsidR="00260413" w:rsidRPr="003B7DA2" w:rsidRDefault="00260413" w:rsidP="00260413">
            <w:pPr>
              <w:pStyle w:val="BodyText"/>
              <w:rPr>
                <w:rFonts w:ascii="Calibri" w:hAnsi="Calibri"/>
                <w:b/>
                <w:bCs/>
                <w:sz w:val="22"/>
                <w:szCs w:val="22"/>
                <w:u w:val="single"/>
              </w:rPr>
            </w:pPr>
          </w:p>
        </w:tc>
        <w:tc>
          <w:tcPr>
            <w:tcW w:w="1137" w:type="dxa"/>
            <w:vMerge/>
          </w:tcPr>
          <w:p w:rsidR="00260413" w:rsidRPr="003B7DA2" w:rsidRDefault="00260413" w:rsidP="00260413">
            <w:pPr>
              <w:pStyle w:val="BodyText"/>
              <w:rPr>
                <w:rFonts w:ascii="Calibri" w:hAnsi="Calibri"/>
                <w:b/>
                <w:bCs/>
                <w:sz w:val="22"/>
                <w:szCs w:val="22"/>
                <w:u w:val="single"/>
              </w:rPr>
            </w:pPr>
          </w:p>
        </w:tc>
        <w:tc>
          <w:tcPr>
            <w:tcW w:w="918" w:type="dxa"/>
            <w:vMerge/>
          </w:tcPr>
          <w:p w:rsidR="00260413" w:rsidRPr="003B7DA2" w:rsidRDefault="00260413" w:rsidP="00260413">
            <w:pPr>
              <w:pStyle w:val="BodyText"/>
              <w:rPr>
                <w:rFonts w:ascii="Calibri" w:hAnsi="Calibri"/>
                <w:b/>
                <w:bCs/>
                <w:sz w:val="22"/>
                <w:szCs w:val="22"/>
                <w:u w:val="single"/>
              </w:rPr>
            </w:pPr>
          </w:p>
        </w:tc>
        <w:tc>
          <w:tcPr>
            <w:tcW w:w="904" w:type="dxa"/>
          </w:tcPr>
          <w:p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xml:space="preserve"> (Kiadás)</w:t>
            </w:r>
          </w:p>
        </w:tc>
        <w:tc>
          <w:tcPr>
            <w:tcW w:w="1127" w:type="dxa"/>
            <w:vMerge/>
          </w:tcPr>
          <w:p w:rsidR="00260413" w:rsidRPr="003B7DA2" w:rsidRDefault="00260413" w:rsidP="00260413">
            <w:pPr>
              <w:pStyle w:val="BodyText"/>
              <w:rPr>
                <w:rFonts w:ascii="Calibri" w:hAnsi="Calibri" w:cs="Arial"/>
                <w:sz w:val="22"/>
                <w:szCs w:val="22"/>
              </w:rPr>
            </w:pPr>
          </w:p>
        </w:tc>
        <w:tc>
          <w:tcPr>
            <w:tcW w:w="1033" w:type="dxa"/>
            <w:vMerge/>
          </w:tcPr>
          <w:p w:rsidR="00260413" w:rsidRPr="003B7DA2" w:rsidRDefault="00260413" w:rsidP="00260413">
            <w:pPr>
              <w:pStyle w:val="BodyText"/>
              <w:rPr>
                <w:rFonts w:ascii="Calibri" w:hAnsi="Calibri" w:cs="Arial"/>
                <w:sz w:val="22"/>
                <w:szCs w:val="22"/>
              </w:rPr>
            </w:pPr>
          </w:p>
        </w:tc>
        <w:tc>
          <w:tcPr>
            <w:tcW w:w="901" w:type="dxa"/>
            <w:vMerge/>
          </w:tcPr>
          <w:p w:rsidR="00260413" w:rsidRPr="003B7DA2" w:rsidRDefault="00260413" w:rsidP="00260413">
            <w:pPr>
              <w:pStyle w:val="BodyText"/>
              <w:rPr>
                <w:rFonts w:ascii="Calibri" w:hAnsi="Calibri" w:cs="Arial"/>
                <w:sz w:val="22"/>
                <w:szCs w:val="22"/>
              </w:rPr>
            </w:pPr>
          </w:p>
        </w:tc>
      </w:tr>
      <w:tr w:rsidR="00260413" w:rsidRPr="003B7DA2" w:rsidTr="00D45209">
        <w:tc>
          <w:tcPr>
            <w:tcW w:w="913"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4"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c>
          <w:tcPr>
            <w:tcW w:w="1033"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r>
    </w:tbl>
    <w:p w:rsidR="00260413" w:rsidRPr="003B7DA2" w:rsidRDefault="00260413" w:rsidP="00260413">
      <w:pPr>
        <w:rPr>
          <w:rFonts w:ascii="Calibri" w:hAnsi="Calibri"/>
          <w:sz w:val="22"/>
          <w:szCs w:val="22"/>
        </w:rPr>
      </w:pPr>
    </w:p>
    <w:p w:rsidR="00260413" w:rsidRPr="003B7DA2" w:rsidRDefault="00260413" w:rsidP="00260413">
      <w:pPr>
        <w:pStyle w:val="BodyText"/>
        <w:rPr>
          <w:rFonts w:ascii="Calibri" w:hAnsi="Calibri"/>
          <w:bCs/>
          <w:sz w:val="22"/>
          <w:szCs w:val="22"/>
        </w:rPr>
      </w:pPr>
    </w:p>
    <w:p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Április 10-én megtörténik a deviza csere: a rezidens cég átutalja a 2.500 ezer forintot és bevételezi a 10 ezer EUR összeget. Ekkor a piacon az azonnali árfolyam 200 Ft / 1 EUR, tehát ennek megfelelően 2 millió Ft-ot kell a 10 ezer EUR ellenértékeként szerepeltetni a táblában bevételi tranzakcióként. Mivel 2 millió helyett 2.5 millió forintot kellett a cégnek átutalnia, az ügylet veszteséggel zárult, ezért a tartozás táblában kell feltüntetni a tranzakciót. A záró állomány 0, mivel az ügylet a leszállítással lezárult. Mivel a nyitó állomány is a tartozás táblában szerepelt, ezért most csak a tartozás DERT táblában kell jelenteni </w:t>
      </w:r>
      <w:proofErr w:type="gramStart"/>
      <w:r w:rsidRPr="003B7DA2">
        <w:rPr>
          <w:rFonts w:ascii="Calibri" w:hAnsi="Calibri"/>
          <w:bCs/>
          <w:sz w:val="22"/>
          <w:szCs w:val="22"/>
        </w:rPr>
        <w:t>adatot:  (</w:t>
      </w:r>
      <w:proofErr w:type="gramEnd"/>
      <w:r w:rsidRPr="003B7DA2">
        <w:rPr>
          <w:rFonts w:ascii="Calibri" w:hAnsi="Calibri"/>
          <w:bCs/>
          <w:sz w:val="22"/>
          <w:szCs w:val="22"/>
        </w:rPr>
        <w:t>Az átértékelés összege a kivonás eredményeként adódik, pozitív előjelű…)</w:t>
      </w:r>
    </w:p>
    <w:p w:rsidR="00260413" w:rsidRPr="003B7DA2" w:rsidRDefault="00260413" w:rsidP="00260413">
      <w:pPr>
        <w:pStyle w:val="BodyText"/>
        <w:rPr>
          <w:rFonts w:ascii="Calibri" w:hAnsi="Calibri"/>
          <w:b/>
          <w:bCs/>
          <w:sz w:val="22"/>
          <w:szCs w:val="22"/>
          <w:u w:val="single"/>
        </w:rPr>
      </w:pPr>
    </w:p>
    <w:p w:rsidR="003B7DA2" w:rsidRPr="003B7DA2" w:rsidRDefault="003B7DA2" w:rsidP="00260413">
      <w:pPr>
        <w:pStyle w:val="BodyText"/>
        <w:rPr>
          <w:rFonts w:ascii="Calibri" w:hAnsi="Calibri"/>
          <w:b/>
          <w:bCs/>
          <w:sz w:val="22"/>
          <w:szCs w:val="22"/>
          <w:u w:val="single"/>
        </w:rPr>
      </w:pPr>
    </w:p>
    <w:p w:rsidR="003B7DA2" w:rsidRPr="003B7DA2" w:rsidRDefault="003B7DA2" w:rsidP="00260413">
      <w:pPr>
        <w:pStyle w:val="BodyText"/>
        <w:rPr>
          <w:rFonts w:ascii="Calibri" w:hAnsi="Calibri"/>
          <w:b/>
          <w:bCs/>
          <w:sz w:val="22"/>
          <w:szCs w:val="22"/>
          <w:u w:val="single"/>
        </w:rPr>
      </w:pPr>
    </w:p>
    <w:p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876"/>
        <w:gridCol w:w="1033"/>
        <w:gridCol w:w="901"/>
      </w:tblGrid>
      <w:tr w:rsidR="00260413" w:rsidRPr="003B7DA2" w:rsidTr="00D45209">
        <w:tc>
          <w:tcPr>
            <w:tcW w:w="913"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876" w:type="dxa"/>
            <w:vMerge w:val="restart"/>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rsidTr="00D45209">
        <w:tc>
          <w:tcPr>
            <w:tcW w:w="913" w:type="dxa"/>
            <w:vMerge/>
          </w:tcPr>
          <w:p w:rsidR="00260413" w:rsidRPr="003B7DA2" w:rsidRDefault="00260413" w:rsidP="00260413">
            <w:pPr>
              <w:pStyle w:val="BodyText"/>
              <w:rPr>
                <w:rFonts w:ascii="Calibri" w:hAnsi="Calibri"/>
                <w:b/>
                <w:bCs/>
                <w:sz w:val="22"/>
                <w:szCs w:val="22"/>
                <w:u w:val="single"/>
              </w:rPr>
            </w:pPr>
          </w:p>
        </w:tc>
        <w:tc>
          <w:tcPr>
            <w:tcW w:w="1137" w:type="dxa"/>
            <w:vMerge/>
          </w:tcPr>
          <w:p w:rsidR="00260413" w:rsidRPr="003B7DA2" w:rsidRDefault="00260413" w:rsidP="00260413">
            <w:pPr>
              <w:pStyle w:val="BodyText"/>
              <w:rPr>
                <w:rFonts w:ascii="Calibri" w:hAnsi="Calibri"/>
                <w:b/>
                <w:bCs/>
                <w:sz w:val="22"/>
                <w:szCs w:val="22"/>
                <w:u w:val="single"/>
              </w:rPr>
            </w:pPr>
          </w:p>
        </w:tc>
        <w:tc>
          <w:tcPr>
            <w:tcW w:w="918" w:type="dxa"/>
            <w:vMerge/>
          </w:tcPr>
          <w:p w:rsidR="00260413" w:rsidRPr="003B7DA2" w:rsidRDefault="00260413" w:rsidP="00260413">
            <w:pPr>
              <w:pStyle w:val="BodyText"/>
              <w:rPr>
                <w:rFonts w:ascii="Calibri" w:hAnsi="Calibri"/>
                <w:b/>
                <w:bCs/>
                <w:sz w:val="22"/>
                <w:szCs w:val="22"/>
                <w:u w:val="single"/>
              </w:rPr>
            </w:pPr>
          </w:p>
        </w:tc>
        <w:tc>
          <w:tcPr>
            <w:tcW w:w="1100" w:type="dxa"/>
          </w:tcPr>
          <w:p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080"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xml:space="preserve"> (Kiadás)</w:t>
            </w:r>
          </w:p>
        </w:tc>
        <w:tc>
          <w:tcPr>
            <w:tcW w:w="876" w:type="dxa"/>
            <w:vMerge/>
          </w:tcPr>
          <w:p w:rsidR="00260413" w:rsidRPr="003B7DA2" w:rsidRDefault="00260413" w:rsidP="00260413">
            <w:pPr>
              <w:pStyle w:val="BodyText"/>
              <w:rPr>
                <w:rFonts w:ascii="Calibri" w:hAnsi="Calibri" w:cs="Arial"/>
                <w:sz w:val="22"/>
                <w:szCs w:val="22"/>
              </w:rPr>
            </w:pPr>
          </w:p>
        </w:tc>
        <w:tc>
          <w:tcPr>
            <w:tcW w:w="1033" w:type="dxa"/>
            <w:vMerge/>
          </w:tcPr>
          <w:p w:rsidR="00260413" w:rsidRPr="003B7DA2" w:rsidRDefault="00260413" w:rsidP="00260413">
            <w:pPr>
              <w:pStyle w:val="BodyText"/>
              <w:rPr>
                <w:rFonts w:ascii="Calibri" w:hAnsi="Calibri" w:cs="Arial"/>
                <w:sz w:val="22"/>
                <w:szCs w:val="22"/>
              </w:rPr>
            </w:pPr>
          </w:p>
        </w:tc>
        <w:tc>
          <w:tcPr>
            <w:tcW w:w="901" w:type="dxa"/>
            <w:vMerge/>
          </w:tcPr>
          <w:p w:rsidR="00260413" w:rsidRPr="003B7DA2" w:rsidRDefault="00260413" w:rsidP="00260413">
            <w:pPr>
              <w:pStyle w:val="BodyText"/>
              <w:rPr>
                <w:rFonts w:ascii="Calibri" w:hAnsi="Calibri" w:cs="Arial"/>
                <w:sz w:val="22"/>
                <w:szCs w:val="22"/>
              </w:rPr>
            </w:pPr>
          </w:p>
        </w:tc>
      </w:tr>
      <w:tr w:rsidR="00260413" w:rsidRPr="003B7DA2" w:rsidTr="00D45209">
        <w:tc>
          <w:tcPr>
            <w:tcW w:w="913" w:type="dxa"/>
          </w:tcPr>
          <w:p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c>
          <w:tcPr>
            <w:tcW w:w="1100"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2 000 000</w:t>
            </w:r>
          </w:p>
        </w:tc>
        <w:tc>
          <w:tcPr>
            <w:tcW w:w="1080"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2 500 000</w:t>
            </w:r>
          </w:p>
        </w:tc>
        <w:tc>
          <w:tcPr>
            <w:tcW w:w="876"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490 000</w:t>
            </w:r>
          </w:p>
        </w:tc>
        <w:tc>
          <w:tcPr>
            <w:tcW w:w="1033"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r>
    </w:tbl>
    <w:p w:rsidR="00260413" w:rsidRPr="003B7DA2" w:rsidRDefault="00260413" w:rsidP="00260413">
      <w:pPr>
        <w:rPr>
          <w:rFonts w:ascii="Calibri" w:hAnsi="Calibri"/>
          <w:sz w:val="22"/>
          <w:szCs w:val="22"/>
        </w:rPr>
      </w:pPr>
    </w:p>
    <w:p w:rsidR="0092684C" w:rsidRPr="003B7DA2" w:rsidRDefault="0092684C">
      <w:pPr>
        <w:rPr>
          <w:rFonts w:ascii="Calibri" w:hAnsi="Calibri"/>
          <w:sz w:val="22"/>
          <w:szCs w:val="22"/>
        </w:rPr>
      </w:pPr>
    </w:p>
    <w:p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 xml:space="preserve">Példa elszámolásos </w:t>
      </w:r>
      <w:proofErr w:type="spellStart"/>
      <w:r w:rsidRPr="003B7DA2">
        <w:rPr>
          <w:rFonts w:ascii="Calibri" w:hAnsi="Calibri"/>
          <w:b/>
          <w:bCs/>
          <w:sz w:val="22"/>
          <w:szCs w:val="22"/>
          <w:u w:val="single"/>
        </w:rPr>
        <w:t>forward</w:t>
      </w:r>
      <w:proofErr w:type="spellEnd"/>
      <w:r w:rsidRPr="003B7DA2">
        <w:rPr>
          <w:rFonts w:ascii="Calibri" w:hAnsi="Calibri"/>
          <w:b/>
          <w:bCs/>
          <w:sz w:val="22"/>
          <w:szCs w:val="22"/>
          <w:u w:val="single"/>
        </w:rPr>
        <w:t xml:space="preserve"> ügyletre:</w:t>
      </w:r>
    </w:p>
    <w:p w:rsidR="0092684C" w:rsidRPr="003B7DA2" w:rsidRDefault="0092684C">
      <w:pPr>
        <w:pStyle w:val="BodyText"/>
        <w:rPr>
          <w:rFonts w:ascii="Calibri" w:hAnsi="Calibri"/>
          <w:bCs/>
          <w:sz w:val="22"/>
          <w:szCs w:val="22"/>
        </w:rPr>
      </w:pPr>
      <w:r w:rsidRPr="003B7DA2">
        <w:rPr>
          <w:rFonts w:ascii="Calibri" w:hAnsi="Calibri"/>
          <w:bCs/>
          <w:sz w:val="22"/>
          <w:szCs w:val="22"/>
        </w:rPr>
        <w:t>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rsidR="0092684C" w:rsidRPr="003B7DA2" w:rsidRDefault="0092684C">
      <w:pPr>
        <w:pStyle w:val="BodyText"/>
        <w:rPr>
          <w:rFonts w:ascii="Calibri" w:hAnsi="Calibri"/>
          <w:bCs/>
          <w:sz w:val="22"/>
          <w:szCs w:val="22"/>
        </w:rPr>
      </w:pPr>
    </w:p>
    <w:p w:rsidR="0092684C" w:rsidRPr="003B7DA2" w:rsidRDefault="0092684C">
      <w:pPr>
        <w:pStyle w:val="BodyText"/>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Január végén pozíciója 0 volt, míg februárban pozitív piaci értékű volt ez az ügylete. Januárban így, mivel a nyitó és záró állomány is 0 lenne, nem kell szerepeltetni az ügyletet. Februárban a pozitív piaci érték 20 ezer Ft </w:t>
      </w:r>
      <w:proofErr w:type="gramStart"/>
      <w:r w:rsidRPr="003B7DA2">
        <w:rPr>
          <w:rFonts w:ascii="Calibri" w:hAnsi="Calibri"/>
          <w:bCs/>
          <w:sz w:val="22"/>
          <w:szCs w:val="22"/>
        </w:rPr>
        <w:t>volt ,</w:t>
      </w:r>
      <w:proofErr w:type="gramEnd"/>
      <w:r w:rsidRPr="003B7DA2">
        <w:rPr>
          <w:rFonts w:ascii="Calibri" w:hAnsi="Calibri"/>
          <w:bCs/>
          <w:sz w:val="22"/>
          <w:szCs w:val="22"/>
        </w:rPr>
        <w:t xml:space="preserve"> ezt záró állományként a követel táblában kell jelenteni (nyitó állomány 0, a különbözet átértékelés). Március végén viszont negatív volt a piaci érték, mínusz 10 ezer forintot tett ki az ügylet piaci értéke (vagyis adott árakon veszteséges lett volna a rezidens cég szempontjából). Ekkor ez a záró állomány a tartozás táblában kerül jelentésre, ahol 0 nyitó pozíció és a 10 ezer záró pozíció közötti különbözet átértékelésként szerepelhet. Ugyanez történik a követel táblában is, hiszen a 20 ezer forintos nyitó állomány mellett 0 záró állomány szerepel (pozitív piaci értékű ügylet hiányában), a különbség átértékelésként jelentkezik. Mondhatjuk úgy is: átértékeléssel szemben 0-ig kivezettük az ügyletet a követelések táblájából és átvezettük a tartozások táblába, ahol a 0-tól a pozíció 10 ezres értékéig szintén átértékeléssel szemben vettük nyilvántartásba. </w:t>
      </w:r>
    </w:p>
    <w:p w:rsidR="0092684C" w:rsidRPr="003B7DA2" w:rsidRDefault="0092684C">
      <w:pPr>
        <w:pStyle w:val="BodyText"/>
        <w:rPr>
          <w:rFonts w:ascii="Calibri" w:hAnsi="Calibri"/>
          <w:bCs/>
          <w:sz w:val="22"/>
          <w:szCs w:val="22"/>
        </w:rPr>
      </w:pPr>
    </w:p>
    <w:p w:rsidR="0092684C" w:rsidRPr="003B7DA2" w:rsidRDefault="0092684C">
      <w:pPr>
        <w:pStyle w:val="BodyText"/>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szerepelne bevételként az elszámolásban, míg kiadási oldalon 2.5 millió forint. Az ügylet veszteséggel zárult, így a tartozás táblában kell feltüntetni a tranzakciót, vagyis az 500 ezer Ft értékkülönbözetet, kiadási oldalon (a cég végül is ezt a különbözetet utalja német partnerének).</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 A záró állomány 0, mivel az ügylet a leszállítással lezárult. (Az előző időszakhoz hasonlóan előfordulhatott volna, hogy a záró egyenleg nem ugyanazon táblához tartozna, nevezetesen, hogy nem veszteséges, hanem nyereséges lenne lezáráskor az ügylet, ekkor ugyancsak 0-ig átértékeléssel szemben ki kellene vezetni és felvenni a másik táblába, ahol ezen időszakban a tranzakció és hozzá kapcsolódóan az átértékelés szerepelne…)</w:t>
      </w:r>
    </w:p>
    <w:p w:rsidR="00BE22CF" w:rsidRPr="003B7DA2" w:rsidRDefault="00BE22CF" w:rsidP="00BE22CF">
      <w:pPr>
        <w:pStyle w:val="BodyText"/>
        <w:rPr>
          <w:rFonts w:ascii="Calibri" w:hAnsi="Calibri"/>
          <w:bCs/>
          <w:sz w:val="22"/>
          <w:szCs w:val="22"/>
        </w:rPr>
      </w:pPr>
      <w:r w:rsidRPr="003B7DA2">
        <w:rPr>
          <w:rFonts w:ascii="Calibri" w:hAnsi="Calibri"/>
          <w:bCs/>
          <w:sz w:val="22"/>
          <w:szCs w:val="22"/>
        </w:rPr>
        <w:t>Az ügylet teljes mértékben megegyezik az előzővel, 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rsidR="00BE22CF" w:rsidRPr="003B7DA2" w:rsidRDefault="00BE22CF" w:rsidP="00BE22CF">
      <w:pPr>
        <w:pStyle w:val="BodyText"/>
        <w:rPr>
          <w:rFonts w:ascii="Calibri" w:hAnsi="Calibri"/>
          <w:bCs/>
          <w:sz w:val="22"/>
          <w:szCs w:val="22"/>
        </w:rPr>
      </w:pPr>
    </w:p>
    <w:p w:rsidR="00BE22CF" w:rsidRPr="003B7DA2" w:rsidRDefault="00BE22CF" w:rsidP="00BE22CF">
      <w:pPr>
        <w:pStyle w:val="BodyText"/>
        <w:rPr>
          <w:rFonts w:ascii="Calibri" w:hAnsi="Calibri"/>
          <w:bCs/>
          <w:sz w:val="22"/>
          <w:szCs w:val="22"/>
        </w:rPr>
      </w:pPr>
      <w:r w:rsidRPr="003B7DA2">
        <w:rPr>
          <w:rFonts w:ascii="Calibri" w:hAnsi="Calibri"/>
          <w:bCs/>
          <w:sz w:val="22"/>
          <w:szCs w:val="22"/>
        </w:rPr>
        <w:t>Az előbbiekhez képest különbség csak a rendezéskor, az áprilisi adatszolgáltatásban lesz, a következőképpen:</w:t>
      </w:r>
    </w:p>
    <w:p w:rsidR="00BE22CF" w:rsidRPr="003B7DA2" w:rsidRDefault="00BE22CF" w:rsidP="00BE22CF">
      <w:pPr>
        <w:pStyle w:val="BodyText"/>
        <w:rPr>
          <w:rFonts w:ascii="Calibri" w:hAnsi="Calibri"/>
          <w:bCs/>
          <w:sz w:val="22"/>
          <w:szCs w:val="22"/>
        </w:rPr>
      </w:pPr>
    </w:p>
    <w:p w:rsidR="00BE22CF" w:rsidRPr="003B7DA2" w:rsidRDefault="00BE22CF" w:rsidP="00BE22CF">
      <w:pPr>
        <w:pStyle w:val="BodyText"/>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 az elszámolásban bevételként, míg kiadási oldalon 2.5 millió forint, a veszteség összege tehát 500 ezer Ft-ot tesz ki. Mivel az ügylet veszteséggel zárult, így a tranzakciót, vagyis az 500 ezer Ft értékkülönbözet átutalását a tartozás DERT táblában kell feltüntetni, mint a tartozást csökkentő (megszüntető) tranzakciót (a cég végül is ezt a különbözetet utalja német partnerének). Mivel az előző tárgyidőszakban is e táblában szerepelt az ügylet, így a DERK táblában nem kell adatot jelenteni. A DERT táblában tehát ezen ügylet miatt:</w:t>
      </w:r>
    </w:p>
    <w:p w:rsidR="00BE22CF" w:rsidRPr="003B7DA2" w:rsidRDefault="00BE22CF" w:rsidP="00BE22CF">
      <w:pPr>
        <w:pStyle w:val="BodyText"/>
        <w:rPr>
          <w:rFonts w:ascii="Calibri" w:hAnsi="Calibri"/>
          <w:bCs/>
          <w:sz w:val="22"/>
          <w:szCs w:val="22"/>
        </w:rPr>
      </w:pPr>
      <w:r w:rsidRPr="003B7DA2">
        <w:rPr>
          <w:rFonts w:ascii="Calibri" w:hAnsi="Calibri"/>
          <w:bCs/>
          <w:sz w:val="22"/>
          <w:szCs w:val="22"/>
        </w:rPr>
        <w:t xml:space="preserve">A záró állomány 0, mivel az ügylet a leszállítással lezárult. A nyitó állomány az előző időszak végi záró állománnyal egyenlő, tehát 10 000, a tartozást csökkenti az 500 ezres kiadás, az átértékelés összege pedig a különbözetből adódik: 490 000 Ft összegű… </w:t>
      </w:r>
    </w:p>
    <w:p w:rsidR="00BE22CF" w:rsidRPr="003B7DA2" w:rsidRDefault="00BE22CF" w:rsidP="00BE22CF">
      <w:pPr>
        <w:pStyle w:val="BodyText"/>
        <w:rPr>
          <w:rFonts w:ascii="Calibri" w:hAnsi="Calibri"/>
          <w:b/>
          <w:bCs/>
          <w:sz w:val="22"/>
          <w:szCs w:val="22"/>
          <w:u w:val="single"/>
        </w:rPr>
      </w:pPr>
    </w:p>
    <w:p w:rsidR="00BE22CF" w:rsidRPr="003B7DA2" w:rsidRDefault="00BE22CF" w:rsidP="00BE22CF">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E22CF" w:rsidRPr="003B7DA2" w:rsidTr="00D45209">
        <w:tc>
          <w:tcPr>
            <w:tcW w:w="913" w:type="dxa"/>
            <w:vMerge w:val="restart"/>
          </w:tcPr>
          <w:p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rsidR="00BE22CF" w:rsidRPr="003B7DA2" w:rsidRDefault="00BE22CF"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BE22CF" w:rsidRPr="003B7DA2" w:rsidRDefault="00BE22CF"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rsidR="00BE22CF" w:rsidRPr="003B7DA2" w:rsidRDefault="00BE22CF"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E22CF" w:rsidRPr="003B7DA2" w:rsidTr="00D45209">
        <w:tc>
          <w:tcPr>
            <w:tcW w:w="913" w:type="dxa"/>
            <w:vMerge/>
          </w:tcPr>
          <w:p w:rsidR="00BE22CF" w:rsidRPr="003B7DA2" w:rsidRDefault="00BE22CF" w:rsidP="00BE22CF">
            <w:pPr>
              <w:pStyle w:val="BodyText"/>
              <w:rPr>
                <w:rFonts w:ascii="Calibri" w:hAnsi="Calibri"/>
                <w:b/>
                <w:bCs/>
                <w:sz w:val="22"/>
                <w:szCs w:val="22"/>
                <w:u w:val="single"/>
              </w:rPr>
            </w:pPr>
          </w:p>
        </w:tc>
        <w:tc>
          <w:tcPr>
            <w:tcW w:w="1137" w:type="dxa"/>
            <w:vMerge/>
          </w:tcPr>
          <w:p w:rsidR="00BE22CF" w:rsidRPr="003B7DA2" w:rsidRDefault="00BE22CF" w:rsidP="00BE22CF">
            <w:pPr>
              <w:pStyle w:val="BodyText"/>
              <w:rPr>
                <w:rFonts w:ascii="Calibri" w:hAnsi="Calibri"/>
                <w:b/>
                <w:bCs/>
                <w:sz w:val="22"/>
                <w:szCs w:val="22"/>
                <w:u w:val="single"/>
              </w:rPr>
            </w:pPr>
          </w:p>
        </w:tc>
        <w:tc>
          <w:tcPr>
            <w:tcW w:w="918" w:type="dxa"/>
            <w:vMerge/>
          </w:tcPr>
          <w:p w:rsidR="00BE22CF" w:rsidRPr="003B7DA2" w:rsidRDefault="00BE22CF" w:rsidP="00BE22CF">
            <w:pPr>
              <w:pStyle w:val="BodyText"/>
              <w:rPr>
                <w:rFonts w:ascii="Calibri" w:hAnsi="Calibri"/>
                <w:b/>
                <w:bCs/>
                <w:sz w:val="22"/>
                <w:szCs w:val="22"/>
                <w:u w:val="single"/>
              </w:rPr>
            </w:pPr>
          </w:p>
        </w:tc>
        <w:tc>
          <w:tcPr>
            <w:tcW w:w="904" w:type="dxa"/>
          </w:tcPr>
          <w:p w:rsidR="00BE22CF" w:rsidRPr="003B7DA2" w:rsidRDefault="00BE22CF" w:rsidP="00D45209">
            <w:pPr>
              <w:pStyle w:val="BodyText"/>
              <w:ind w:right="-224"/>
              <w:rPr>
                <w:rFonts w:ascii="Calibri" w:hAnsi="Calibri" w:cs="Arial"/>
                <w:sz w:val="22"/>
                <w:szCs w:val="22"/>
              </w:rPr>
            </w:pPr>
            <w:r w:rsidRPr="003B7DA2">
              <w:rPr>
                <w:rFonts w:ascii="Calibri" w:hAnsi="Calibri" w:cs="Arial"/>
                <w:sz w:val="22"/>
                <w:szCs w:val="22"/>
              </w:rPr>
              <w:t>Állomány t növelő</w:t>
            </w:r>
          </w:p>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(Bevétel)</w:t>
            </w:r>
          </w:p>
        </w:tc>
        <w:tc>
          <w:tcPr>
            <w:tcW w:w="1025" w:type="dxa"/>
          </w:tcPr>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Állományt csökkentő</w:t>
            </w:r>
          </w:p>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 xml:space="preserve"> (Kiadás)</w:t>
            </w:r>
          </w:p>
        </w:tc>
        <w:tc>
          <w:tcPr>
            <w:tcW w:w="1127" w:type="dxa"/>
            <w:vMerge/>
          </w:tcPr>
          <w:p w:rsidR="00BE22CF" w:rsidRPr="003B7DA2" w:rsidRDefault="00BE22CF" w:rsidP="00BE22CF">
            <w:pPr>
              <w:pStyle w:val="BodyText"/>
              <w:rPr>
                <w:rFonts w:ascii="Calibri" w:hAnsi="Calibri" w:cs="Arial"/>
                <w:sz w:val="22"/>
                <w:szCs w:val="22"/>
              </w:rPr>
            </w:pPr>
          </w:p>
        </w:tc>
        <w:tc>
          <w:tcPr>
            <w:tcW w:w="1033" w:type="dxa"/>
            <w:vMerge/>
          </w:tcPr>
          <w:p w:rsidR="00BE22CF" w:rsidRPr="003B7DA2" w:rsidRDefault="00BE22CF" w:rsidP="00BE22CF">
            <w:pPr>
              <w:pStyle w:val="BodyText"/>
              <w:rPr>
                <w:rFonts w:ascii="Calibri" w:hAnsi="Calibri" w:cs="Arial"/>
                <w:sz w:val="22"/>
                <w:szCs w:val="22"/>
              </w:rPr>
            </w:pPr>
          </w:p>
        </w:tc>
        <w:tc>
          <w:tcPr>
            <w:tcW w:w="901" w:type="dxa"/>
            <w:vMerge/>
          </w:tcPr>
          <w:p w:rsidR="00BE22CF" w:rsidRPr="003B7DA2" w:rsidRDefault="00BE22CF" w:rsidP="00BE22CF">
            <w:pPr>
              <w:pStyle w:val="BodyText"/>
              <w:rPr>
                <w:rFonts w:ascii="Calibri" w:hAnsi="Calibri" w:cs="Arial"/>
                <w:sz w:val="22"/>
                <w:szCs w:val="22"/>
              </w:rPr>
            </w:pPr>
          </w:p>
        </w:tc>
      </w:tr>
      <w:tr w:rsidR="00BE22CF" w:rsidRPr="003B7DA2" w:rsidTr="00D45209">
        <w:tc>
          <w:tcPr>
            <w:tcW w:w="913" w:type="dxa"/>
          </w:tcPr>
          <w:p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FW</w:t>
            </w:r>
          </w:p>
        </w:tc>
        <w:tc>
          <w:tcPr>
            <w:tcW w:w="1137" w:type="dxa"/>
          </w:tcPr>
          <w:p w:rsidR="00BE22CF" w:rsidRPr="003B7DA2" w:rsidRDefault="00BE22CF" w:rsidP="00BE22CF">
            <w:pPr>
              <w:pStyle w:val="BodyText"/>
              <w:rPr>
                <w:rFonts w:ascii="Calibri" w:hAnsi="Calibri"/>
                <w:bCs/>
                <w:sz w:val="22"/>
                <w:szCs w:val="22"/>
              </w:rPr>
            </w:pPr>
            <w:r w:rsidRPr="003B7DA2">
              <w:rPr>
                <w:rFonts w:ascii="Calibri" w:hAnsi="Calibri" w:cs="Arial"/>
                <w:sz w:val="22"/>
                <w:szCs w:val="22"/>
              </w:rPr>
              <w:t>DE</w:t>
            </w:r>
          </w:p>
        </w:tc>
        <w:tc>
          <w:tcPr>
            <w:tcW w:w="918"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10 000</w:t>
            </w:r>
          </w:p>
        </w:tc>
        <w:tc>
          <w:tcPr>
            <w:tcW w:w="904"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c>
          <w:tcPr>
            <w:tcW w:w="1025"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500 000</w:t>
            </w:r>
          </w:p>
        </w:tc>
        <w:tc>
          <w:tcPr>
            <w:tcW w:w="1127"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490 000</w:t>
            </w:r>
          </w:p>
        </w:tc>
        <w:tc>
          <w:tcPr>
            <w:tcW w:w="1033"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c>
          <w:tcPr>
            <w:tcW w:w="901" w:type="dxa"/>
          </w:tcPr>
          <w:p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r>
    </w:tbl>
    <w:p w:rsidR="00BE22CF" w:rsidRPr="003B7DA2" w:rsidRDefault="00BE22CF" w:rsidP="00BE22CF">
      <w:pPr>
        <w:rPr>
          <w:rFonts w:ascii="Calibri" w:hAnsi="Calibri"/>
          <w:sz w:val="22"/>
          <w:szCs w:val="22"/>
        </w:rPr>
      </w:pPr>
    </w:p>
    <w:p w:rsidR="0092684C" w:rsidRPr="003B7DA2" w:rsidRDefault="0092684C">
      <w:pPr>
        <w:rPr>
          <w:rFonts w:ascii="Calibri" w:hAnsi="Calibri"/>
          <w:sz w:val="22"/>
          <w:szCs w:val="22"/>
        </w:rPr>
      </w:pPr>
    </w:p>
    <w:p w:rsidR="0092684C" w:rsidRPr="003B7DA2" w:rsidRDefault="0092684C">
      <w:pPr>
        <w:rPr>
          <w:rFonts w:ascii="Calibri" w:hAnsi="Calibri"/>
          <w:sz w:val="22"/>
          <w:szCs w:val="22"/>
        </w:rPr>
      </w:pPr>
    </w:p>
    <w:p w:rsidR="0092684C" w:rsidRPr="003B7DA2" w:rsidRDefault="0092684C">
      <w:pPr>
        <w:pStyle w:val="BodyText"/>
        <w:rPr>
          <w:rFonts w:ascii="Calibri" w:hAnsi="Calibri"/>
          <w:b/>
          <w:bCs/>
          <w:sz w:val="22"/>
          <w:szCs w:val="22"/>
        </w:rPr>
      </w:pPr>
      <w:r w:rsidRPr="003B7DA2">
        <w:rPr>
          <w:rFonts w:ascii="Calibri" w:hAnsi="Calibri"/>
          <w:b/>
          <w:bCs/>
          <w:sz w:val="22"/>
          <w:szCs w:val="22"/>
        </w:rPr>
        <w:t>2. Opciók:</w:t>
      </w:r>
    </w:p>
    <w:p w:rsidR="0092684C" w:rsidRPr="003B7DA2" w:rsidRDefault="0092684C">
      <w:pPr>
        <w:pStyle w:val="BodyText"/>
        <w:rPr>
          <w:rFonts w:ascii="Calibri" w:hAnsi="Calibri"/>
          <w:b/>
          <w:bCs/>
          <w:sz w:val="22"/>
          <w:szCs w:val="22"/>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Egy </w:t>
      </w:r>
      <w:r w:rsidRPr="003B7DA2">
        <w:rPr>
          <w:rFonts w:ascii="Calibri" w:hAnsi="Calibri"/>
          <w:b/>
          <w:snapToGrid w:val="0"/>
          <w:sz w:val="22"/>
          <w:szCs w:val="22"/>
          <w:lang w:eastAsia="en-US"/>
        </w:rPr>
        <w:t>opció</w:t>
      </w:r>
      <w:r w:rsidRPr="003B7DA2">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3B7DA2">
        <w:rPr>
          <w:rFonts w:ascii="Calibri" w:hAnsi="Calibri"/>
          <w:snapToGrid w:val="0"/>
          <w:sz w:val="22"/>
          <w:szCs w:val="22"/>
          <w:lang w:eastAsia="en-US"/>
        </w:rPr>
        <w:t>call</w:t>
      </w:r>
      <w:proofErr w:type="spellEnd"/>
      <w:r w:rsidRPr="003B7DA2">
        <w:rPr>
          <w:rFonts w:ascii="Calibri" w:hAnsi="Calibri"/>
          <w:snapToGrid w:val="0"/>
          <w:sz w:val="22"/>
          <w:szCs w:val="22"/>
          <w:lang w:eastAsia="en-US"/>
        </w:rPr>
        <w:t xml:space="preserve"> opció) vagy eladjon (</w:t>
      </w:r>
      <w:proofErr w:type="spellStart"/>
      <w:r w:rsidRPr="003B7DA2">
        <w:rPr>
          <w:rFonts w:ascii="Calibri" w:hAnsi="Calibri"/>
          <w:snapToGrid w:val="0"/>
          <w:sz w:val="22"/>
          <w:szCs w:val="22"/>
          <w:lang w:eastAsia="en-US"/>
        </w:rPr>
        <w:t>put</w:t>
      </w:r>
      <w:proofErr w:type="spellEnd"/>
      <w:r w:rsidRPr="003B7DA2">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követelések, tartozások értékelése során természetesen figyelembe kell venni, hogy vételi, vagy eladási opcióról van-e szó (vagyis az opciós jog valamely mögöttes termék eladására, vagy vételére vonatkozik-e), adatszolgáltatási tábláinkban azonban csak az értékelés végeredményét kell feltüntetni</w:t>
      </w:r>
      <w:r w:rsidR="00BF7D76"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w:t>
      </w:r>
      <w:r w:rsidR="00BF7D76" w:rsidRPr="003B7DA2">
        <w:rPr>
          <w:rFonts w:ascii="Calibri" w:hAnsi="Calibri"/>
          <w:snapToGrid w:val="0"/>
          <w:sz w:val="22"/>
          <w:szCs w:val="22"/>
          <w:lang w:eastAsia="en-US"/>
        </w:rPr>
        <w:t>Így egy-egy</w:t>
      </w:r>
      <w:r w:rsidRPr="003B7DA2">
        <w:rPr>
          <w:rFonts w:ascii="Calibri" w:hAnsi="Calibri"/>
          <w:snapToGrid w:val="0"/>
          <w:sz w:val="22"/>
          <w:szCs w:val="22"/>
          <w:lang w:eastAsia="en-US"/>
        </w:rPr>
        <w:t xml:space="preserve"> sorban </w:t>
      </w:r>
      <w:r w:rsidR="00BF7D76" w:rsidRPr="003B7DA2">
        <w:rPr>
          <w:rFonts w:ascii="Calibri" w:hAnsi="Calibri"/>
          <w:snapToGrid w:val="0"/>
          <w:sz w:val="22"/>
          <w:szCs w:val="22"/>
          <w:lang w:eastAsia="en-US"/>
        </w:rPr>
        <w:t xml:space="preserve">országonként </w:t>
      </w:r>
      <w:r w:rsidRPr="003B7DA2">
        <w:rPr>
          <w:rFonts w:ascii="Calibri" w:hAnsi="Calibri"/>
          <w:snapToGrid w:val="0"/>
          <w:sz w:val="22"/>
          <w:szCs w:val="22"/>
          <w:lang w:eastAsia="en-US"/>
        </w:rPr>
        <w:t>összevontan jelenthetők, amennyiben piaci értékük az adott időpontban pozitív, vagy negatív, függetlenül a mögöttes termék mibenlététől is. A lényeg, hogy eladott (kiírt) opciós jogról van-e szó az adatszolgáltató szempontjából, vagy pedig megvásárolt opciós jogról. Előbbi esetben valamennyi adat a tartozás, utóbbi esetben valamennyi adat a követel táblában jelentendő, az alábbiak szerint:</w:t>
      </w:r>
    </w:p>
    <w:p w:rsidR="0092684C" w:rsidRPr="003B7DA2" w:rsidRDefault="0092684C">
      <w:pPr>
        <w:jc w:val="both"/>
        <w:rPr>
          <w:rFonts w:ascii="Calibri" w:hAnsi="Calibri"/>
          <w:b/>
          <w:snapToGrid w:val="0"/>
          <w:sz w:val="22"/>
          <w:szCs w:val="22"/>
          <w:lang w:eastAsia="en-US"/>
        </w:rPr>
      </w:pPr>
    </w:p>
    <w:p w:rsidR="00921A62" w:rsidRPr="003B7DA2" w:rsidRDefault="00921A62">
      <w:pPr>
        <w:jc w:val="both"/>
        <w:rPr>
          <w:rFonts w:ascii="Calibri" w:hAnsi="Calibri"/>
          <w:b/>
          <w:snapToGrid w:val="0"/>
          <w:sz w:val="22"/>
          <w:szCs w:val="22"/>
          <w:lang w:eastAsia="en-US"/>
        </w:rPr>
      </w:pPr>
    </w:p>
    <w:p w:rsidR="00921A62" w:rsidRPr="003B7DA2" w:rsidRDefault="00921A62">
      <w:pPr>
        <w:jc w:val="both"/>
        <w:rPr>
          <w:rFonts w:ascii="Calibri" w:hAnsi="Calibri"/>
          <w:b/>
          <w:snapToGrid w:val="0"/>
          <w:sz w:val="22"/>
          <w:szCs w:val="22"/>
          <w:lang w:eastAsia="en-US"/>
        </w:rPr>
      </w:pPr>
    </w:p>
    <w:p w:rsidR="00921A62" w:rsidRPr="003B7DA2" w:rsidRDefault="00921A62">
      <w:pPr>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Az opciós kontraktus kötésekor az opció vevője mindig eszközhöz jut, tehát követelés pozícióba kerül, míg az opció kiíróját a prémium kézhezvételét követően kötelezettség terheli. (Az opciók kezdeti értéke megegyezik az opció kiírójának fizetett prémiummal, értéke a későbbiek során a piaci árak függvényében változhat.)</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w:t>
      </w:r>
      <w:proofErr w:type="gramStart"/>
      <w:r w:rsidRPr="003B7DA2">
        <w:rPr>
          <w:rFonts w:ascii="Calibri" w:hAnsi="Calibri"/>
          <w:snapToGrid w:val="0"/>
          <w:sz w:val="22"/>
          <w:szCs w:val="22"/>
          <w:lang w:eastAsia="en-US"/>
        </w:rPr>
        <w:t>az  további</w:t>
      </w:r>
      <w:proofErr w:type="gramEnd"/>
      <w:r w:rsidRPr="003B7DA2">
        <w:rPr>
          <w:rFonts w:ascii="Calibri" w:hAnsi="Calibri"/>
          <w:snapToGrid w:val="0"/>
          <w:sz w:val="22"/>
          <w:szCs w:val="22"/>
          <w:lang w:eastAsia="en-US"/>
        </w:rPr>
        <w:t xml:space="preserve"> tranzakció bekövetkezte nélkül lejár a lejárat időpontjában. Ekkor az opciós jog vevőjét csak az opciós díj terheli, kiadásként. </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kiírónak azonban kötelezettsége, hogy eleget tegyen a vevő kérésének, amennyiben az az opciós jogát érvényesíteni akarja, azaz eladjon, vagy vegyen az opcióban szereplő lehívási áron, akárhogy is alakulnak a piaci árak, így bár bevételhez jutott az opciós díj összegében, potenciális vesztesége az ügyleten akármekkora lehet.</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 </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3B7DA2">
        <w:rPr>
          <w:rFonts w:ascii="Calibri" w:hAnsi="Calibri"/>
          <w:snapToGrid w:val="0"/>
          <w:sz w:val="22"/>
          <w:szCs w:val="22"/>
          <w:lang w:eastAsia="en-US"/>
        </w:rPr>
        <w:t>p</w:t>
      </w:r>
      <w:r w:rsidRPr="003B7DA2">
        <w:rPr>
          <w:rFonts w:ascii="Calibri" w:hAnsi="Calibri"/>
          <w:sz w:val="22"/>
          <w:szCs w:val="22"/>
        </w:rPr>
        <w:t>l</w:t>
      </w:r>
      <w:proofErr w:type="spellEnd"/>
      <w:r w:rsidRPr="003B7DA2">
        <w:rPr>
          <w:rFonts w:ascii="Calibri" w:hAnsi="Calibri"/>
          <w:sz w:val="22"/>
          <w:szCs w:val="22"/>
        </w:rPr>
        <w:t xml:space="preserve"> a Black-</w:t>
      </w:r>
      <w:proofErr w:type="spellStart"/>
      <w:r w:rsidRPr="003B7DA2">
        <w:rPr>
          <w:rFonts w:ascii="Calibri" w:hAnsi="Calibri"/>
          <w:sz w:val="22"/>
          <w:szCs w:val="22"/>
        </w:rPr>
        <w:t>Scholes</w:t>
      </w:r>
      <w:proofErr w:type="spellEnd"/>
      <w:r w:rsidRPr="003B7DA2">
        <w:rPr>
          <w:rFonts w:ascii="Calibri" w:hAnsi="Calibri"/>
          <w:sz w:val="22"/>
          <w:szCs w:val="22"/>
        </w:rPr>
        <w:t xml:space="preserve"> formulát</w:t>
      </w:r>
      <w:r w:rsidRPr="003B7DA2">
        <w:rPr>
          <w:rFonts w:ascii="Calibri" w:hAnsi="Calibri"/>
          <w:snapToGrid w:val="0"/>
          <w:sz w:val="22"/>
          <w:szCs w:val="22"/>
          <w:lang w:eastAsia="en-US"/>
        </w:rPr>
        <w:t xml:space="preserve">.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Ezen mezőkben kell jelenteni az o</w:t>
      </w:r>
      <w:r w:rsidRPr="003B7DA2">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rsidR="0092684C" w:rsidRPr="003B7DA2" w:rsidRDefault="0092684C">
      <w:pPr>
        <w:ind w:left="720"/>
        <w:jc w:val="both"/>
        <w:rPr>
          <w:rFonts w:ascii="Calibri" w:hAnsi="Calibri"/>
          <w:sz w:val="22"/>
          <w:szCs w:val="22"/>
        </w:rPr>
      </w:pPr>
    </w:p>
    <w:p w:rsidR="0092684C" w:rsidRPr="003B7DA2" w:rsidRDefault="0092684C">
      <w:pPr>
        <w:ind w:left="720"/>
        <w:jc w:val="both"/>
        <w:rPr>
          <w:rFonts w:ascii="Calibri" w:hAnsi="Calibri"/>
          <w:sz w:val="22"/>
          <w:szCs w:val="22"/>
        </w:rPr>
      </w:pPr>
      <w:r w:rsidRPr="003B7DA2">
        <w:rPr>
          <w:rFonts w:ascii="Calibri" w:hAnsi="Calibri"/>
          <w:sz w:val="22"/>
          <w:szCs w:val="22"/>
        </w:rPr>
        <w:t xml:space="preserve">Elszámolásos konstrukcióban </w:t>
      </w:r>
      <w:r w:rsidR="002E01FF" w:rsidRPr="003B7DA2">
        <w:rPr>
          <w:rFonts w:ascii="Calibri" w:hAnsi="Calibri"/>
          <w:sz w:val="22"/>
          <w:szCs w:val="22"/>
        </w:rPr>
        <w:t>az ügylet</w:t>
      </w:r>
      <w:r w:rsidRPr="003B7DA2">
        <w:rPr>
          <w:rFonts w:ascii="Calibri" w:hAnsi="Calibri"/>
          <w:sz w:val="22"/>
          <w:szCs w:val="22"/>
        </w:rPr>
        <w:t xml:space="preserve"> lezárásakor, illetve lehívásakor kapott/fizetett nettó összegeket</w:t>
      </w:r>
      <w:r w:rsidR="002E01FF" w:rsidRPr="003B7DA2">
        <w:rPr>
          <w:rFonts w:ascii="Calibri" w:hAnsi="Calibri"/>
          <w:sz w:val="22"/>
          <w:szCs w:val="22"/>
        </w:rPr>
        <w:t xml:space="preserve"> kell tranzakcióként jelenteni</w:t>
      </w:r>
      <w:r w:rsidRPr="003B7DA2">
        <w:rPr>
          <w:rFonts w:ascii="Calibri" w:hAnsi="Calibri"/>
          <w:sz w:val="22"/>
          <w:szCs w:val="22"/>
        </w:rPr>
        <w:t xml:space="preserve">. Bizonyos tőzsdei opció-típusok (elsősorban kamatláb opciók) esetében néhány, az ügylet tartama alatt felmerülő, teljesített változó margin kifizetések, illetve bevételek is ebbe a körbe tartoznak. </w:t>
      </w:r>
    </w:p>
    <w:p w:rsidR="0092684C" w:rsidRPr="003B7DA2" w:rsidRDefault="0092684C">
      <w:pPr>
        <w:ind w:left="720"/>
        <w:jc w:val="both"/>
        <w:rPr>
          <w:rFonts w:ascii="Calibri" w:hAnsi="Calibri"/>
          <w:sz w:val="22"/>
          <w:szCs w:val="22"/>
        </w:rPr>
      </w:pPr>
    </w:p>
    <w:p w:rsidR="0092684C" w:rsidRPr="003B7DA2" w:rsidRDefault="0092684C">
      <w:pPr>
        <w:ind w:left="720"/>
        <w:jc w:val="both"/>
        <w:rPr>
          <w:rFonts w:ascii="Calibri" w:hAnsi="Calibri"/>
          <w:sz w:val="22"/>
          <w:szCs w:val="22"/>
        </w:rPr>
      </w:pPr>
      <w:r w:rsidRPr="003B7DA2">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w:t>
      </w:r>
      <w:r w:rsidR="002E01FF" w:rsidRPr="003B7DA2">
        <w:rPr>
          <w:rFonts w:ascii="Calibri" w:hAnsi="Calibri"/>
          <w:sz w:val="22"/>
          <w:szCs w:val="22"/>
        </w:rPr>
        <w:t xml:space="preserve">pénzügyi </w:t>
      </w:r>
      <w:proofErr w:type="spellStart"/>
      <w:r w:rsidR="002E01FF" w:rsidRPr="003B7DA2">
        <w:rPr>
          <w:rFonts w:ascii="Calibri" w:hAnsi="Calibri"/>
          <w:sz w:val="22"/>
          <w:szCs w:val="22"/>
        </w:rPr>
        <w:t>derivatíva</w:t>
      </w:r>
      <w:proofErr w:type="spellEnd"/>
      <w:r w:rsidR="002E01FF" w:rsidRPr="003B7DA2">
        <w:rPr>
          <w:rFonts w:ascii="Calibri" w:hAnsi="Calibri"/>
          <w:sz w:val="22"/>
          <w:szCs w:val="22"/>
        </w:rPr>
        <w:t xml:space="preserve"> </w:t>
      </w:r>
      <w:r w:rsidRPr="003B7DA2">
        <w:rPr>
          <w:rFonts w:ascii="Calibri" w:hAnsi="Calibri"/>
          <w:sz w:val="22"/>
          <w:szCs w:val="22"/>
        </w:rPr>
        <w:t xml:space="preserve">tranzakciónak. A deviza, valuta vételre/eladásra kötött opciók esetében a szerződés szerinti bruttó fizetések tüntethetők fel </w:t>
      </w:r>
      <w:proofErr w:type="spellStart"/>
      <w:r w:rsidR="00722D7A" w:rsidRPr="003B7DA2">
        <w:rPr>
          <w:rFonts w:ascii="Calibri" w:hAnsi="Calibri"/>
          <w:sz w:val="22"/>
          <w:szCs w:val="22"/>
        </w:rPr>
        <w:t>derivatíva</w:t>
      </w:r>
      <w:proofErr w:type="spellEnd"/>
      <w:r w:rsidR="00722D7A" w:rsidRPr="003B7DA2">
        <w:rPr>
          <w:rFonts w:ascii="Calibri" w:hAnsi="Calibri"/>
          <w:sz w:val="22"/>
          <w:szCs w:val="22"/>
        </w:rPr>
        <w:t xml:space="preserve"> </w:t>
      </w:r>
      <w:r w:rsidRPr="003B7DA2">
        <w:rPr>
          <w:rFonts w:ascii="Calibri" w:hAnsi="Calibri"/>
          <w:sz w:val="22"/>
          <w:szCs w:val="22"/>
        </w:rPr>
        <w:t xml:space="preserve">tranzakcióként.  </w:t>
      </w:r>
    </w:p>
    <w:p w:rsidR="0092684C" w:rsidRPr="003B7DA2" w:rsidRDefault="0092684C">
      <w:pPr>
        <w:ind w:left="720"/>
        <w:jc w:val="both"/>
        <w:rPr>
          <w:rFonts w:ascii="Calibri" w:hAnsi="Calibri"/>
          <w:sz w:val="22"/>
          <w:szCs w:val="22"/>
        </w:rPr>
      </w:pPr>
    </w:p>
    <w:p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Péld</w:t>
      </w:r>
      <w:r w:rsidR="00874533" w:rsidRPr="003B7DA2">
        <w:rPr>
          <w:rFonts w:ascii="Calibri" w:hAnsi="Calibri"/>
          <w:b/>
          <w:bCs/>
          <w:sz w:val="22"/>
          <w:szCs w:val="22"/>
          <w:u w:val="single"/>
        </w:rPr>
        <w:t>ák</w:t>
      </w:r>
      <w:r w:rsidRPr="003B7DA2">
        <w:rPr>
          <w:rFonts w:ascii="Calibri" w:hAnsi="Calibri"/>
          <w:b/>
          <w:bCs/>
          <w:sz w:val="22"/>
          <w:szCs w:val="22"/>
          <w:u w:val="single"/>
        </w:rPr>
        <w:t>:</w:t>
      </w:r>
    </w:p>
    <w:p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egy-egy db. eladott, illetve vásárolt opció jelentéséről írunk, több ügylet esetében értelemszerűen kell az adatokat összesíteni, országonként. </w:t>
      </w:r>
    </w:p>
    <w:p w:rsidR="0092684C" w:rsidRPr="003B7DA2" w:rsidRDefault="0092684C">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rezidens cég német partnerétől vásárol január 10-én jogot arra, hogy április 20-án eladjon neki 1 millió EUR összeget 250 millió HUF ellenében. Ezért a jogért (a január 10-i árak figyelembe vételével) forintra átszámítva 20 millió HUF prémiumot kell fizetnie (a két fél ekkora összegben állapodott meg, ez az összeg a januári tárgyidőszak tranzakciója). </w:t>
      </w: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alakulását figyelembe véve a cég havonta kiértékelte pozícióját, amelynek értéke január végén alacsonyabb, mint az induláskori, a prémiumfizetés miatti 20 millió HUF, ezen egyetlen ügylet január végén számított értéke 10 millió HUF. Mivel megvásárolt opcióról van szó, ez az összeg, hasonlóan a prémiumhoz (az követelést növelő kiadás), mint tranzakcióhoz a DERK táblába sorolandó. A nyitó állomány természetesen 0, az átértékelés összege különbözetként megállapítható.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1440"/>
        <w:gridCol w:w="720"/>
        <w:gridCol w:w="108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08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918" w:type="dxa"/>
            <w:vMerge/>
          </w:tcPr>
          <w:p w:rsidR="00874533" w:rsidRPr="003B7DA2" w:rsidRDefault="00874533" w:rsidP="00874533">
            <w:pPr>
              <w:pStyle w:val="BodyText"/>
              <w:rPr>
                <w:rFonts w:ascii="Calibri" w:hAnsi="Calibri"/>
                <w:b/>
                <w:bCs/>
                <w:sz w:val="22"/>
                <w:szCs w:val="22"/>
                <w:u w:val="single"/>
              </w:rPr>
            </w:pPr>
          </w:p>
        </w:tc>
        <w:tc>
          <w:tcPr>
            <w:tcW w:w="110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rsidR="00874533" w:rsidRPr="003B7DA2" w:rsidRDefault="00874533" w:rsidP="00874533">
            <w:pPr>
              <w:pStyle w:val="BodyText"/>
              <w:rPr>
                <w:rFonts w:ascii="Calibri" w:hAnsi="Calibri" w:cs="Arial"/>
                <w:sz w:val="22"/>
                <w:szCs w:val="22"/>
              </w:rPr>
            </w:pPr>
          </w:p>
        </w:tc>
        <w:tc>
          <w:tcPr>
            <w:tcW w:w="720" w:type="dxa"/>
            <w:vMerge/>
          </w:tcPr>
          <w:p w:rsidR="00874533" w:rsidRPr="003B7DA2" w:rsidRDefault="00874533" w:rsidP="00874533">
            <w:pPr>
              <w:pStyle w:val="BodyText"/>
              <w:rPr>
                <w:rFonts w:ascii="Calibri" w:hAnsi="Calibri" w:cs="Arial"/>
                <w:sz w:val="22"/>
                <w:szCs w:val="22"/>
              </w:rPr>
            </w:pPr>
          </w:p>
        </w:tc>
        <w:tc>
          <w:tcPr>
            <w:tcW w:w="108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918"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c>
          <w:tcPr>
            <w:tcW w:w="110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- 10 000 000</w:t>
            </w:r>
          </w:p>
        </w:tc>
        <w:tc>
          <w:tcPr>
            <w:tcW w:w="72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Február végére az ügylet értéke ismét 20 millió HUF-ra emelkedett, ez lesz a záró állomány, a nyitó és záró állomány közti különbözet az átértékelés, újabb tranzakció hiányában.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298"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rsidR="00874533" w:rsidRPr="003B7DA2" w:rsidRDefault="00874533" w:rsidP="00874533">
            <w:pPr>
              <w:pStyle w:val="BodyText"/>
              <w:rPr>
                <w:rFonts w:ascii="Calibri" w:hAnsi="Calibri" w:cs="Arial"/>
                <w:sz w:val="22"/>
                <w:szCs w:val="22"/>
              </w:rPr>
            </w:pPr>
          </w:p>
        </w:tc>
        <w:tc>
          <w:tcPr>
            <w:tcW w:w="72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10 000 000</w:t>
            </w:r>
          </w:p>
        </w:tc>
        <w:tc>
          <w:tcPr>
            <w:tcW w:w="72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Március végén az ügylet értéke 35 millió HUF összeget tett ki.</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298"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rsidR="00874533" w:rsidRPr="003B7DA2" w:rsidRDefault="00874533" w:rsidP="00874533">
            <w:pPr>
              <w:pStyle w:val="BodyText"/>
              <w:rPr>
                <w:rFonts w:ascii="Calibri" w:hAnsi="Calibri" w:cs="Arial"/>
                <w:sz w:val="22"/>
                <w:szCs w:val="22"/>
              </w:rPr>
            </w:pPr>
          </w:p>
        </w:tc>
        <w:tc>
          <w:tcPr>
            <w:tcW w:w="72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15 000 000</w:t>
            </w:r>
          </w:p>
        </w:tc>
        <w:tc>
          <w:tcPr>
            <w:tcW w:w="72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áprilisban is úgy alakultak, hogy az üzlet a vevő cég számára a lehívás időpontjáig nyereséges maradt, ezért lehívta az opciót, vagyis április 20-án 1 millió EUR összeget utalt át a német partnere bankszámlájára, s ennek ellenében kapott 250 millió HUF összeget a szerződésnek megfelelően. (1 EUR ebben az időpontban 200 Ft ellenében volt megvásárolható a piacon, tehát a cég 200 millió forintért megvásárolhatta az 1 millió EUR összeget, amelyet átutalt és cserébe megkapta a 250 millió forintot. A táblában ekkor tranzakcióként a bevételezett 250 millió forintot és a kiadott EUR összeg aktuális piaci árfolyamon számított forint ellenértékét, azaz 200 millió forintot kell szerepeltetni). A nyitó és záró állományok különbözete a tranzakciókon túl az ár/árfolyamváltozások következtében alakult ki, ezért a különbözeti összeget átértékelésként kell jelenteni.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260"/>
        <w:gridCol w:w="1260"/>
        <w:gridCol w:w="1260"/>
        <w:gridCol w:w="72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298" w:type="dxa"/>
            <w:vMerge/>
          </w:tcPr>
          <w:p w:rsidR="00874533" w:rsidRPr="003B7DA2" w:rsidRDefault="00874533" w:rsidP="00874533">
            <w:pPr>
              <w:pStyle w:val="BodyText"/>
              <w:rPr>
                <w:rFonts w:ascii="Calibri" w:hAnsi="Calibri"/>
                <w:b/>
                <w:bCs/>
                <w:sz w:val="22"/>
                <w:szCs w:val="22"/>
                <w:u w:val="single"/>
              </w:rPr>
            </w:pP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260" w:type="dxa"/>
            <w:vMerge/>
          </w:tcPr>
          <w:p w:rsidR="00874533" w:rsidRPr="003B7DA2" w:rsidRDefault="00874533" w:rsidP="00874533">
            <w:pPr>
              <w:pStyle w:val="BodyText"/>
              <w:rPr>
                <w:rFonts w:ascii="Calibri" w:hAnsi="Calibri" w:cs="Arial"/>
                <w:sz w:val="22"/>
                <w:szCs w:val="22"/>
              </w:rPr>
            </w:pPr>
          </w:p>
        </w:tc>
        <w:tc>
          <w:tcPr>
            <w:tcW w:w="72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200 000 000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250 000 000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15 000 000</w:t>
            </w:r>
          </w:p>
        </w:tc>
        <w:tc>
          <w:tcPr>
            <w:tcW w:w="72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másik példa, az egyszerűség kedvéért a fordítottja: </w:t>
      </w: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rezidens cég német partnerének eladja január 10-én a jogot arra, hogy április 20-án a német cég eladjon neki 1 millió EUR összeget 250 millió HUF ellenében. Ezért a jogért (a január 10-i árak figyelembe vételével) forintra átszámítva 20 millió HUF prémiumot kap a német féltől (januári tranzakció, tartozás állományát növelő), s a </w:t>
      </w:r>
      <w:proofErr w:type="gramStart"/>
      <w:r w:rsidRPr="003B7DA2">
        <w:rPr>
          <w:rFonts w:ascii="Calibri" w:hAnsi="Calibri"/>
          <w:bCs/>
          <w:sz w:val="22"/>
          <w:szCs w:val="22"/>
        </w:rPr>
        <w:t>szerződés kötéstől</w:t>
      </w:r>
      <w:proofErr w:type="gramEnd"/>
      <w:r w:rsidRPr="003B7DA2">
        <w:rPr>
          <w:rFonts w:ascii="Calibri" w:hAnsi="Calibri"/>
          <w:bCs/>
          <w:sz w:val="22"/>
          <w:szCs w:val="22"/>
        </w:rPr>
        <w:t xml:space="preserve"> kezdve kötelezettsége áll fenn, amellyel kapcsolatos minden tételt a DERT táblában jelent. </w:t>
      </w: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alakulását figyelembe véve a cég havonta kiértékelte pozícióját. Ezen egyetlen ügylet január végén számított értéke 10 millió HUF tartozás.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20"/>
        <w:gridCol w:w="1080"/>
        <w:gridCol w:w="1080"/>
        <w:gridCol w:w="1260"/>
        <w:gridCol w:w="788"/>
        <w:gridCol w:w="1192"/>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20"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88"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192"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920"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rsidR="00874533" w:rsidRPr="003B7DA2" w:rsidRDefault="00874533" w:rsidP="00874533">
            <w:pPr>
              <w:pStyle w:val="BodyText"/>
              <w:rPr>
                <w:rFonts w:ascii="Calibri" w:hAnsi="Calibri" w:cs="Arial"/>
                <w:sz w:val="22"/>
                <w:szCs w:val="22"/>
              </w:rPr>
            </w:pPr>
          </w:p>
        </w:tc>
        <w:tc>
          <w:tcPr>
            <w:tcW w:w="788" w:type="dxa"/>
            <w:vMerge/>
          </w:tcPr>
          <w:p w:rsidR="00874533" w:rsidRPr="003B7DA2" w:rsidRDefault="00874533" w:rsidP="00874533">
            <w:pPr>
              <w:pStyle w:val="BodyText"/>
              <w:rPr>
                <w:rFonts w:ascii="Calibri" w:hAnsi="Calibri" w:cs="Arial"/>
                <w:sz w:val="22"/>
                <w:szCs w:val="22"/>
              </w:rPr>
            </w:pPr>
          </w:p>
        </w:tc>
        <w:tc>
          <w:tcPr>
            <w:tcW w:w="1192"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92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- 10 000 000</w:t>
            </w:r>
          </w:p>
        </w:tc>
        <w:tc>
          <w:tcPr>
            <w:tcW w:w="788"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192"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Február végére az ügylet értéke 20 millió HUF tartozás, a nyitó és záró állomány közötti különbözet az átértékelés összege:</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118"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rsidR="00874533" w:rsidRPr="003B7DA2" w:rsidRDefault="00874533" w:rsidP="00874533">
            <w:pPr>
              <w:pStyle w:val="BodyText"/>
              <w:rPr>
                <w:rFonts w:ascii="Calibri" w:hAnsi="Calibri" w:cs="Arial"/>
                <w:sz w:val="22"/>
                <w:szCs w:val="22"/>
              </w:rPr>
            </w:pPr>
          </w:p>
        </w:tc>
        <w:tc>
          <w:tcPr>
            <w:tcW w:w="90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10 000 000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10 000 000</w:t>
            </w:r>
          </w:p>
        </w:tc>
        <w:tc>
          <w:tcPr>
            <w:tcW w:w="90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Március végén a tartozás 35 millió HUF összeget tett ki.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118" w:type="dxa"/>
            <w:vMerge/>
          </w:tcPr>
          <w:p w:rsidR="00874533" w:rsidRPr="003B7DA2" w:rsidRDefault="00874533" w:rsidP="00874533">
            <w:pPr>
              <w:pStyle w:val="BodyText"/>
              <w:rPr>
                <w:rFonts w:ascii="Calibri" w:hAnsi="Calibri"/>
                <w:b/>
                <w:bCs/>
                <w:sz w:val="22"/>
                <w:szCs w:val="22"/>
                <w:u w:val="single"/>
              </w:rPr>
            </w:pP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rsidR="00874533" w:rsidRPr="003B7DA2" w:rsidRDefault="00874533" w:rsidP="00874533">
            <w:pPr>
              <w:pStyle w:val="BodyText"/>
              <w:rPr>
                <w:rFonts w:ascii="Calibri" w:hAnsi="Calibri" w:cs="Arial"/>
                <w:sz w:val="22"/>
                <w:szCs w:val="22"/>
              </w:rPr>
            </w:pPr>
          </w:p>
        </w:tc>
        <w:tc>
          <w:tcPr>
            <w:tcW w:w="900" w:type="dxa"/>
            <w:vMerge/>
          </w:tcPr>
          <w:p w:rsidR="00874533" w:rsidRPr="003B7DA2" w:rsidRDefault="00874533" w:rsidP="00874533">
            <w:pPr>
              <w:pStyle w:val="BodyText"/>
              <w:rPr>
                <w:rFonts w:ascii="Calibri" w:hAnsi="Calibri" w:cs="Arial"/>
                <w:sz w:val="22"/>
                <w:szCs w:val="22"/>
              </w:rPr>
            </w:pPr>
          </w:p>
        </w:tc>
        <w:tc>
          <w:tcPr>
            <w:tcW w:w="126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20 000 000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15 000 000</w:t>
            </w:r>
          </w:p>
        </w:tc>
        <w:tc>
          <w:tcPr>
            <w:tcW w:w="90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r>
    </w:tbl>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áprilisban is úgy alakultak, hogy az üzlet veszteséges, a vevő lehívja az opciót, vagyis él a jogával. Így április 20-án az adatszolgáltató rezidens cég kénytelen megvenni az 1 millió EUR összeget, ennyit bevételezett tehát, s ennek ellenében fizetett 250 millió HUF összeget. A táblában ekkor tranzakcióként a bevételezett EUR napi árfolyamon számított forint ellenértéke, 200 millió forint szerepel, kiadásként pedig az átutalt 250 millió Ft. A nyitó és záró állományok különbözete a tranzakciókon túl az ár/árfolyamváltozások következtében alakult ki, ezért a különbözeti összeget átértékelésként kell jelenteni. </w:t>
      </w:r>
    </w:p>
    <w:p w:rsidR="00874533" w:rsidRPr="003B7DA2" w:rsidRDefault="00874533" w:rsidP="00874533">
      <w:pPr>
        <w:pStyle w:val="BodyText"/>
        <w:rPr>
          <w:rFonts w:ascii="Calibri" w:hAnsi="Calibri"/>
          <w:bCs/>
          <w:sz w:val="22"/>
          <w:szCs w:val="22"/>
        </w:rPr>
      </w:pPr>
    </w:p>
    <w:p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260"/>
        <w:gridCol w:w="1260"/>
        <w:gridCol w:w="1260"/>
        <w:gridCol w:w="900"/>
        <w:gridCol w:w="900"/>
      </w:tblGrid>
      <w:tr w:rsidR="00874533" w:rsidRPr="003B7DA2" w:rsidTr="00D45209">
        <w:tc>
          <w:tcPr>
            <w:tcW w:w="913"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900" w:type="dxa"/>
            <w:vMerge w:val="restart"/>
            <w:vAlign w:val="center"/>
          </w:tcPr>
          <w:p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rsidTr="00D45209">
        <w:tc>
          <w:tcPr>
            <w:tcW w:w="913" w:type="dxa"/>
            <w:vMerge/>
          </w:tcPr>
          <w:p w:rsidR="00874533" w:rsidRPr="003B7DA2" w:rsidRDefault="00874533" w:rsidP="00874533">
            <w:pPr>
              <w:pStyle w:val="BodyText"/>
              <w:rPr>
                <w:rFonts w:ascii="Calibri" w:hAnsi="Calibri"/>
                <w:b/>
                <w:bCs/>
                <w:sz w:val="22"/>
                <w:szCs w:val="22"/>
                <w:u w:val="single"/>
              </w:rPr>
            </w:pPr>
          </w:p>
        </w:tc>
        <w:tc>
          <w:tcPr>
            <w:tcW w:w="1137" w:type="dxa"/>
            <w:vMerge/>
          </w:tcPr>
          <w:p w:rsidR="00874533" w:rsidRPr="003B7DA2" w:rsidRDefault="00874533" w:rsidP="00874533">
            <w:pPr>
              <w:pStyle w:val="BodyText"/>
              <w:rPr>
                <w:rFonts w:ascii="Calibri" w:hAnsi="Calibri"/>
                <w:b/>
                <w:bCs/>
                <w:sz w:val="22"/>
                <w:szCs w:val="22"/>
                <w:u w:val="single"/>
              </w:rPr>
            </w:pPr>
          </w:p>
        </w:tc>
        <w:tc>
          <w:tcPr>
            <w:tcW w:w="1118" w:type="dxa"/>
            <w:vMerge/>
          </w:tcPr>
          <w:p w:rsidR="00874533" w:rsidRPr="003B7DA2" w:rsidRDefault="00874533" w:rsidP="00874533">
            <w:pPr>
              <w:pStyle w:val="BodyText"/>
              <w:rPr>
                <w:rFonts w:ascii="Calibri" w:hAnsi="Calibri"/>
                <w:b/>
                <w:bCs/>
                <w:sz w:val="22"/>
                <w:szCs w:val="22"/>
                <w:u w:val="single"/>
              </w:rPr>
            </w:pP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rsidR="00874533" w:rsidRPr="003B7DA2" w:rsidRDefault="00874533" w:rsidP="00874533">
            <w:pPr>
              <w:pStyle w:val="BodyText"/>
              <w:rPr>
                <w:rFonts w:ascii="Calibri" w:hAnsi="Calibri" w:cs="Arial"/>
                <w:sz w:val="22"/>
                <w:szCs w:val="22"/>
              </w:rPr>
            </w:pPr>
          </w:p>
        </w:tc>
        <w:tc>
          <w:tcPr>
            <w:tcW w:w="900" w:type="dxa"/>
            <w:vMerge/>
          </w:tcPr>
          <w:p w:rsidR="00874533" w:rsidRPr="003B7DA2" w:rsidRDefault="00874533" w:rsidP="00874533">
            <w:pPr>
              <w:pStyle w:val="BodyText"/>
              <w:rPr>
                <w:rFonts w:ascii="Calibri" w:hAnsi="Calibri" w:cs="Arial"/>
                <w:sz w:val="22"/>
                <w:szCs w:val="22"/>
              </w:rPr>
            </w:pPr>
          </w:p>
        </w:tc>
        <w:tc>
          <w:tcPr>
            <w:tcW w:w="900" w:type="dxa"/>
            <w:vMerge/>
          </w:tcPr>
          <w:p w:rsidR="00874533" w:rsidRPr="003B7DA2" w:rsidRDefault="00874533" w:rsidP="00874533">
            <w:pPr>
              <w:pStyle w:val="BodyText"/>
              <w:rPr>
                <w:rFonts w:ascii="Calibri" w:hAnsi="Calibri" w:cs="Arial"/>
                <w:sz w:val="22"/>
                <w:szCs w:val="22"/>
              </w:rPr>
            </w:pPr>
          </w:p>
        </w:tc>
      </w:tr>
      <w:tr w:rsidR="00874533" w:rsidRPr="003B7DA2" w:rsidTr="00D45209">
        <w:tc>
          <w:tcPr>
            <w:tcW w:w="913"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rsidR="00874533" w:rsidRPr="003B7DA2" w:rsidRDefault="00874533" w:rsidP="00874533">
            <w:pPr>
              <w:pStyle w:val="BodyText"/>
              <w:rPr>
                <w:rFonts w:ascii="Calibri" w:hAnsi="Calibri"/>
                <w:bCs/>
                <w:sz w:val="22"/>
                <w:szCs w:val="22"/>
              </w:rPr>
            </w:pPr>
            <w:r w:rsidRPr="003B7DA2">
              <w:rPr>
                <w:rFonts w:ascii="Calibri" w:hAnsi="Calibri" w:cs="Arial"/>
                <w:sz w:val="22"/>
                <w:szCs w:val="22"/>
              </w:rPr>
              <w:t>35 000 000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200 000 000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250 000 000</w:t>
            </w:r>
          </w:p>
        </w:tc>
        <w:tc>
          <w:tcPr>
            <w:tcW w:w="1260" w:type="dxa"/>
          </w:tcPr>
          <w:p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15 000 000</w:t>
            </w:r>
          </w:p>
        </w:tc>
        <w:tc>
          <w:tcPr>
            <w:tcW w:w="900" w:type="dxa"/>
          </w:tcPr>
          <w:p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900" w:type="dxa"/>
          </w:tcPr>
          <w:p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r>
    </w:tbl>
    <w:p w:rsidR="0092684C" w:rsidRPr="003B7DA2" w:rsidRDefault="0092684C">
      <w:pPr>
        <w:pStyle w:val="BodyText"/>
        <w:rPr>
          <w:rFonts w:ascii="Calibri" w:hAnsi="Calibri"/>
          <w:bCs/>
          <w:sz w:val="22"/>
          <w:szCs w:val="22"/>
        </w:rPr>
      </w:pPr>
    </w:p>
    <w:p w:rsidR="0092684C" w:rsidRPr="003B7DA2" w:rsidRDefault="0092684C">
      <w:pPr>
        <w:rPr>
          <w:rFonts w:ascii="Calibri" w:hAnsi="Calibri"/>
          <w:sz w:val="22"/>
          <w:szCs w:val="22"/>
        </w:rPr>
      </w:pPr>
    </w:p>
    <w:p w:rsidR="0092684C" w:rsidRPr="003B7DA2" w:rsidRDefault="0092684C">
      <w:pPr>
        <w:pStyle w:val="BodyText"/>
        <w:rPr>
          <w:rFonts w:ascii="Calibri" w:hAnsi="Calibri"/>
          <w:b/>
          <w:bCs/>
          <w:sz w:val="22"/>
          <w:szCs w:val="22"/>
        </w:rPr>
      </w:pPr>
      <w:bookmarkStart w:id="10" w:name="_Toc120612691"/>
      <w:bookmarkStart w:id="11" w:name="_Toc122850670"/>
      <w:r w:rsidRPr="003B7DA2">
        <w:rPr>
          <w:rFonts w:ascii="Calibri" w:hAnsi="Calibri"/>
          <w:b/>
          <w:bCs/>
          <w:sz w:val="22"/>
          <w:szCs w:val="22"/>
        </w:rPr>
        <w:t xml:space="preserve">3. Nem rezidensekkel kötött </w:t>
      </w:r>
      <w:proofErr w:type="spellStart"/>
      <w:r w:rsidRPr="003B7DA2">
        <w:rPr>
          <w:rFonts w:ascii="Calibri" w:hAnsi="Calibri"/>
          <w:b/>
          <w:bCs/>
          <w:sz w:val="22"/>
          <w:szCs w:val="22"/>
        </w:rPr>
        <w:t>swapok</w:t>
      </w:r>
      <w:proofErr w:type="spellEnd"/>
      <w:r w:rsidRPr="003B7DA2">
        <w:rPr>
          <w:rFonts w:ascii="Calibri" w:hAnsi="Calibri"/>
          <w:b/>
          <w:bCs/>
          <w:sz w:val="22"/>
          <w:szCs w:val="22"/>
        </w:rPr>
        <w:t>:</w:t>
      </w:r>
      <w:bookmarkEnd w:id="10"/>
      <w:bookmarkEnd w:id="11"/>
    </w:p>
    <w:p w:rsidR="0092684C" w:rsidRPr="003B7DA2" w:rsidRDefault="0092684C">
      <w:pPr>
        <w:pStyle w:val="BodyText"/>
        <w:rPr>
          <w:rFonts w:ascii="Calibri" w:hAnsi="Calibri"/>
          <w:b/>
          <w:bCs/>
          <w:sz w:val="22"/>
          <w:szCs w:val="22"/>
        </w:rPr>
      </w:pPr>
    </w:p>
    <w:p w:rsidR="0092684C" w:rsidRPr="003B7DA2" w:rsidRDefault="0092684C">
      <w:pPr>
        <w:ind w:left="540"/>
        <w:jc w:val="both"/>
        <w:rPr>
          <w:rFonts w:ascii="Calibri" w:hAnsi="Calibri"/>
          <w:snapToGrid w:val="0"/>
          <w:sz w:val="22"/>
          <w:szCs w:val="22"/>
          <w:lang w:eastAsia="en-US"/>
        </w:rPr>
      </w:pPr>
      <w:r w:rsidRPr="003B7DA2">
        <w:rPr>
          <w:rFonts w:ascii="Calibri" w:hAnsi="Calibri"/>
          <w:snapToGrid w:val="0"/>
          <w:sz w:val="22"/>
          <w:szCs w:val="22"/>
          <w:lang w:eastAsia="en-US"/>
        </w:rPr>
        <w:t>A</w:t>
      </w:r>
      <w:r w:rsidRPr="003B7DA2">
        <w:rPr>
          <w:rFonts w:ascii="Calibri" w:hAnsi="Calibri"/>
          <w:b/>
          <w:snapToGrid w:val="0"/>
          <w:sz w:val="22"/>
          <w:szCs w:val="22"/>
          <w:lang w:eastAsia="en-US"/>
        </w:rPr>
        <w:t xml:space="preserve"> </w:t>
      </w:r>
      <w:proofErr w:type="spellStart"/>
      <w:r w:rsidRPr="003B7DA2">
        <w:rPr>
          <w:rFonts w:ascii="Calibri" w:hAnsi="Calibri"/>
          <w:b/>
          <w:snapToGrid w:val="0"/>
          <w:sz w:val="22"/>
          <w:szCs w:val="22"/>
          <w:lang w:eastAsia="en-US"/>
        </w:rPr>
        <w:t>swapok</w:t>
      </w:r>
      <w:proofErr w:type="spellEnd"/>
      <w:r w:rsidRPr="003B7DA2">
        <w:rPr>
          <w:rFonts w:ascii="Calibri" w:hAnsi="Calibri"/>
          <w:snapToGrid w:val="0"/>
          <w:sz w:val="22"/>
          <w:szCs w:val="22"/>
          <w:lang w:eastAsia="en-US"/>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névleges összegekre vonatkoztatva, a ténylegesen fizetendő cash flow összegek, pedig a mögöttes termék referencia árán, hozamán alapulnak. </w:t>
      </w:r>
    </w:p>
    <w:p w:rsidR="0092684C" w:rsidRPr="003B7DA2" w:rsidRDefault="0092684C">
      <w:pPr>
        <w:ind w:left="54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Swapokat</w:t>
      </w:r>
      <w:proofErr w:type="spellEnd"/>
      <w:r w:rsidRPr="003B7DA2">
        <w:rPr>
          <w:rFonts w:ascii="Calibri" w:hAnsi="Calibri"/>
          <w:snapToGrid w:val="0"/>
          <w:sz w:val="22"/>
          <w:szCs w:val="22"/>
          <w:lang w:eastAsia="en-US"/>
        </w:rPr>
        <w:t xml:space="preserve"> általában OTC piacon kötnek, s a kontraktusból eredő fizetési kötelezettségek teljesítése általában „leszállítással” történik.</w:t>
      </w:r>
    </w:p>
    <w:p w:rsidR="0092684C" w:rsidRPr="003B7DA2" w:rsidRDefault="0092684C">
      <w:pPr>
        <w:ind w:left="54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rsidR="0092684C" w:rsidRPr="003B7DA2" w:rsidRDefault="0092684C">
      <w:pPr>
        <w:rPr>
          <w:rFonts w:ascii="Calibri" w:hAnsi="Calibri"/>
          <w:sz w:val="22"/>
          <w:szCs w:val="22"/>
        </w:rPr>
      </w:pPr>
    </w:p>
    <w:p w:rsidR="0092684C" w:rsidRPr="003B7DA2" w:rsidRDefault="0092684C">
      <w:pPr>
        <w:numPr>
          <w:ilvl w:val="0"/>
          <w:numId w:val="3"/>
        </w:numPr>
        <w:ind w:hanging="180"/>
        <w:jc w:val="both"/>
        <w:rPr>
          <w:rFonts w:ascii="Calibri" w:hAnsi="Calibri" w:cs="Arial"/>
          <w:sz w:val="22"/>
          <w:szCs w:val="22"/>
        </w:rPr>
      </w:pPr>
      <w:r w:rsidRPr="003B7DA2">
        <w:rPr>
          <w:rFonts w:ascii="Calibri" w:hAnsi="Calibri"/>
          <w:snapToGrid w:val="0"/>
          <w:sz w:val="22"/>
          <w:szCs w:val="22"/>
          <w:lang w:eastAsia="en-US"/>
        </w:rPr>
        <w:t xml:space="preserve">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megfelelő táblában jelenteni,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alkalmazott kiértékelési módszer segítségével. </w:t>
      </w:r>
    </w:p>
    <w:p w:rsidR="0092684C" w:rsidRPr="003B7DA2" w:rsidRDefault="0092684C">
      <w:pPr>
        <w:ind w:left="360"/>
        <w:jc w:val="both"/>
        <w:rPr>
          <w:rFonts w:ascii="Calibri" w:hAnsi="Calibri"/>
          <w:snapToGrid w:val="0"/>
          <w:sz w:val="22"/>
          <w:szCs w:val="22"/>
          <w:lang w:eastAsia="en-US"/>
        </w:rPr>
      </w:pPr>
    </w:p>
    <w:p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Az egydevizás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rsidR="0092684C" w:rsidRPr="003B7DA2" w:rsidRDefault="0092684C">
      <w:pPr>
        <w:jc w:val="both"/>
        <w:rPr>
          <w:rFonts w:ascii="Calibri" w:hAnsi="Calibri"/>
          <w:snapToGrid w:val="0"/>
          <w:sz w:val="22"/>
          <w:szCs w:val="22"/>
          <w:lang w:eastAsia="en-US"/>
        </w:rPr>
      </w:pPr>
    </w:p>
    <w:p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Keresztdevizás </w:t>
      </w:r>
      <w:proofErr w:type="spellStart"/>
      <w:r w:rsidRPr="003B7DA2">
        <w:rPr>
          <w:rFonts w:ascii="Calibri" w:hAnsi="Calibri"/>
          <w:snapToGrid w:val="0"/>
          <w:sz w:val="22"/>
          <w:szCs w:val="22"/>
          <w:lang w:eastAsia="en-US"/>
        </w:rPr>
        <w:t>kamatlábswap</w:t>
      </w:r>
      <w:proofErr w:type="spellEnd"/>
      <w:r w:rsidRPr="003B7DA2">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és egyéb hasonló összetett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p>
    <w:p w:rsidR="0092684C" w:rsidRPr="003B7DA2" w:rsidRDefault="0092684C">
      <w:pPr>
        <w:jc w:val="both"/>
        <w:rPr>
          <w:rFonts w:ascii="Calibri" w:hAnsi="Calibri"/>
          <w:b/>
          <w:snapToGrid w:val="0"/>
          <w:sz w:val="22"/>
          <w:szCs w:val="22"/>
          <w:lang w:eastAsia="en-US"/>
        </w:rPr>
      </w:pPr>
      <w:r w:rsidRPr="003B7DA2">
        <w:rPr>
          <w:rFonts w:ascii="Calibri" w:hAnsi="Calibri"/>
          <w:b/>
          <w:snapToGrid w:val="0"/>
          <w:sz w:val="22"/>
          <w:szCs w:val="22"/>
          <w:lang w:eastAsia="en-US"/>
        </w:rPr>
        <w:t xml:space="preserve">      Tranzakciók:</w:t>
      </w:r>
    </w:p>
    <w:p w:rsidR="0092684C" w:rsidRPr="003B7DA2" w:rsidRDefault="0092684C">
      <w:pPr>
        <w:ind w:left="360"/>
        <w:jc w:val="both"/>
        <w:rPr>
          <w:rFonts w:ascii="Calibri" w:hAnsi="Calibri"/>
          <w:snapToGrid w:val="0"/>
          <w:sz w:val="22"/>
          <w:szCs w:val="22"/>
          <w:lang w:eastAsia="en-US"/>
        </w:rPr>
      </w:pPr>
    </w:p>
    <w:p w:rsidR="0092684C" w:rsidRPr="003B7DA2" w:rsidRDefault="0092684C">
      <w:pPr>
        <w:numPr>
          <w:ilvl w:val="0"/>
          <w:numId w:val="3"/>
        </w:numPr>
        <w:ind w:hanging="18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ügyletek esetében a tranzakciókat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leírtak szerint kell jelenteni. A forgalmi adatok között csak az ügylet második (hosszú) lábát kell jelenteni. Az ügylet indulásakor teljesített első konverziót (rövid lábat) egyáltalán nem kell jelenteni a derivatív táblákban. A „</w:t>
      </w:r>
      <w:proofErr w:type="spellStart"/>
      <w:r w:rsidRPr="003B7DA2">
        <w:rPr>
          <w:rFonts w:ascii="Calibri" w:hAnsi="Calibri"/>
          <w:snapToGrid w:val="0"/>
          <w:sz w:val="22"/>
          <w:szCs w:val="22"/>
          <w:lang w:eastAsia="en-US"/>
        </w:rPr>
        <w:t>tomorrow</w:t>
      </w:r>
      <w:proofErr w:type="spellEnd"/>
      <w:r w:rsidRPr="003B7DA2">
        <w:rPr>
          <w:rFonts w:ascii="Calibri" w:hAnsi="Calibri"/>
          <w:snapToGrid w:val="0"/>
          <w:sz w:val="22"/>
          <w:szCs w:val="22"/>
          <w:lang w:eastAsia="en-US"/>
        </w:rPr>
        <w:t>/</w:t>
      </w:r>
      <w:proofErr w:type="spellStart"/>
      <w:r w:rsidRPr="003B7DA2">
        <w:rPr>
          <w:rFonts w:ascii="Calibri" w:hAnsi="Calibri"/>
          <w:snapToGrid w:val="0"/>
          <w:sz w:val="22"/>
          <w:szCs w:val="22"/>
          <w:lang w:eastAsia="en-US"/>
        </w:rPr>
        <w:t>next</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day</w:t>
      </w:r>
      <w:proofErr w:type="spellEnd"/>
      <w:r w:rsidRPr="003B7DA2">
        <w:rPr>
          <w:rFonts w:ascii="Calibri" w:hAnsi="Calibri"/>
          <w:snapToGrid w:val="0"/>
          <w:sz w:val="22"/>
          <w:szCs w:val="22"/>
          <w:lang w:eastAsia="en-US"/>
        </w:rPr>
        <w:t>” (vagyis az üzletkötést követő napon: rövid láb, valamint az azt követő napon: hosszú láb) végrehajtott tranzakciók szintén e kategóriába tartoznak.</w:t>
      </w:r>
    </w:p>
    <w:p w:rsidR="0092684C" w:rsidRPr="003B7DA2" w:rsidRDefault="0092684C">
      <w:pPr>
        <w:ind w:left="180"/>
        <w:jc w:val="both"/>
        <w:rPr>
          <w:rFonts w:ascii="Calibri" w:hAnsi="Calibri"/>
          <w:snapToGrid w:val="0"/>
          <w:sz w:val="22"/>
          <w:szCs w:val="22"/>
          <w:lang w:eastAsia="en-US"/>
        </w:rPr>
      </w:pPr>
    </w:p>
    <w:p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 kamat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és kereszt-deviza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esetében az ügylet élettartama alatt a kamatfizetést és a kamat bevételt a jelentésben a tranzakciók alatt kell jelenteni, megengedett a tranzakciónak az ügylet kamatfizetéskori kiértékelése helyett az ügylet nyitó pozíciójának megfelelő táblában való szerepeltetése. </w:t>
      </w:r>
    </w:p>
    <w:p w:rsidR="0092684C" w:rsidRPr="003B7DA2" w:rsidRDefault="0092684C">
      <w:pPr>
        <w:autoSpaceDE w:val="0"/>
        <w:autoSpaceDN w:val="0"/>
        <w:adjustRightInd w:val="0"/>
        <w:ind w:left="708"/>
        <w:jc w:val="both"/>
        <w:rPr>
          <w:rFonts w:ascii="Calibri" w:hAnsi="Calibri"/>
          <w:sz w:val="22"/>
          <w:szCs w:val="22"/>
        </w:rPr>
      </w:pPr>
    </w:p>
    <w:p w:rsidR="0092684C" w:rsidRPr="003B7DA2" w:rsidRDefault="0092684C">
      <w:pPr>
        <w:autoSpaceDE w:val="0"/>
        <w:autoSpaceDN w:val="0"/>
        <w:adjustRightInd w:val="0"/>
        <w:ind w:left="540"/>
        <w:jc w:val="both"/>
        <w:rPr>
          <w:rFonts w:ascii="Calibri" w:hAnsi="Calibri" w:cs="Arial"/>
          <w:sz w:val="22"/>
          <w:szCs w:val="22"/>
        </w:rPr>
      </w:pPr>
      <w:r w:rsidRPr="003B7DA2">
        <w:rPr>
          <w:rFonts w:ascii="Calibri" w:hAnsi="Calibri"/>
          <w:sz w:val="22"/>
          <w:szCs w:val="22"/>
        </w:rPr>
        <w:t xml:space="preserve">Ugyancsak a tranzakciók között kell jelenteni minden egyéb, a </w:t>
      </w:r>
      <w:proofErr w:type="spellStart"/>
      <w:r w:rsidRPr="003B7DA2">
        <w:rPr>
          <w:rFonts w:ascii="Calibri" w:hAnsi="Calibri"/>
          <w:sz w:val="22"/>
          <w:szCs w:val="22"/>
        </w:rPr>
        <w:t>swap</w:t>
      </w:r>
      <w:proofErr w:type="spellEnd"/>
      <w:r w:rsidRPr="003B7DA2">
        <w:rPr>
          <w:rFonts w:ascii="Calibri" w:hAnsi="Calibri"/>
          <w:sz w:val="22"/>
          <w:szCs w:val="22"/>
        </w:rPr>
        <w:t xml:space="preserve"> ügyletek futamideje alatt a megállapodás alapján teljesített fizetést is. </w:t>
      </w:r>
    </w:p>
    <w:p w:rsidR="0092684C" w:rsidRPr="003B7DA2" w:rsidRDefault="0092684C">
      <w:pPr>
        <w:ind w:left="360"/>
        <w:jc w:val="both"/>
        <w:rPr>
          <w:rFonts w:ascii="Calibri" w:hAnsi="Calibri" w:cs="Garamond"/>
          <w:b/>
          <w:i/>
          <w:sz w:val="22"/>
          <w:szCs w:val="22"/>
          <w:u w:val="single"/>
        </w:rPr>
      </w:pPr>
    </w:p>
    <w:p w:rsidR="0092684C" w:rsidRPr="003B7DA2" w:rsidRDefault="0092684C">
      <w:pPr>
        <w:pStyle w:val="BodyText"/>
        <w:rPr>
          <w:rFonts w:ascii="Calibri" w:hAnsi="Calibri"/>
          <w:snapToGrid w:val="0"/>
          <w:sz w:val="22"/>
          <w:szCs w:val="22"/>
          <w:lang w:eastAsia="en-US"/>
        </w:rPr>
      </w:pPr>
      <w:bookmarkStart w:id="12" w:name="_Toc122850671"/>
      <w:r w:rsidRPr="003B7DA2">
        <w:rPr>
          <w:rFonts w:ascii="Calibri" w:hAnsi="Calibri"/>
          <w:snapToGrid w:val="0"/>
          <w:sz w:val="22"/>
          <w:szCs w:val="22"/>
          <w:lang w:eastAsia="en-US"/>
        </w:rPr>
        <w:t>A</w:t>
      </w:r>
      <w:r w:rsidRPr="003B7DA2">
        <w:rPr>
          <w:rFonts w:ascii="Calibri" w:hAnsi="Calibri"/>
          <w:snapToGrid w:val="0"/>
          <w:sz w:val="22"/>
          <w:szCs w:val="22"/>
          <w:u w:val="single"/>
          <w:lang w:eastAsia="en-US"/>
        </w:rPr>
        <w:t xml:space="preserve"> </w:t>
      </w:r>
      <w:r w:rsidRPr="003B7DA2">
        <w:rPr>
          <w:rFonts w:ascii="Calibri" w:hAnsi="Calibri"/>
          <w:b/>
          <w:snapToGrid w:val="0"/>
          <w:sz w:val="22"/>
          <w:szCs w:val="22"/>
          <w:u w:val="single"/>
          <w:lang w:eastAsia="en-US"/>
        </w:rPr>
        <w:t xml:space="preserve">példa </w:t>
      </w:r>
      <w:proofErr w:type="spellStart"/>
      <w:r w:rsidRPr="003B7DA2">
        <w:rPr>
          <w:rFonts w:ascii="Calibri" w:hAnsi="Calibri"/>
          <w:b/>
          <w:snapToGrid w:val="0"/>
          <w:sz w:val="22"/>
          <w:szCs w:val="22"/>
          <w:u w:val="single"/>
          <w:lang w:eastAsia="en-US"/>
        </w:rPr>
        <w:t>devizaswap</w:t>
      </w:r>
      <w:proofErr w:type="spellEnd"/>
      <w:r w:rsidRPr="003B7DA2">
        <w:rPr>
          <w:rFonts w:ascii="Calibri" w:hAnsi="Calibri"/>
          <w:b/>
          <w:snapToGrid w:val="0"/>
          <w:sz w:val="22"/>
          <w:szCs w:val="22"/>
          <w:u w:val="single"/>
          <w:lang w:eastAsia="en-US"/>
        </w:rPr>
        <w:t xml:space="preserve"> ügylet esetén</w:t>
      </w:r>
      <w:r w:rsidRPr="003B7DA2">
        <w:rPr>
          <w:rFonts w:ascii="Calibri" w:hAnsi="Calibri"/>
          <w:snapToGrid w:val="0"/>
          <w:sz w:val="22"/>
          <w:szCs w:val="22"/>
          <w:lang w:eastAsia="en-US"/>
        </w:rPr>
        <w:t xml:space="preserve"> azonos lenne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ügyletnél bemutatott példával, ahol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feltételei 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hosszú lábának feltételeivel egyezőek. A rövid láb ezzel ellentétes konverzió lenne a megállapodás induló időpontjában, az ügyletet ezen időponttól kezdve kellene szerepeltetni a táblákban, de mivel a rövid láb nem jelentendő, időszakonként lezárásig csak pozíciós adatok és átértékelés adatok lennének (kivéve, ha a szerződés esetleges egyéb, időközbeni fizetéseket is előír, mert azok a tranzakciós oszlopban lennének jelentendők, a vonatkozó időszak nyitó állománya szerinti táblában).</w:t>
      </w:r>
    </w:p>
    <w:p w:rsidR="0092684C" w:rsidRPr="003B7DA2" w:rsidRDefault="0092684C">
      <w:pPr>
        <w:pStyle w:val="BodyText"/>
        <w:rPr>
          <w:rFonts w:ascii="Calibri" w:hAnsi="Calibri"/>
          <w:snapToGrid w:val="0"/>
          <w:sz w:val="22"/>
          <w:szCs w:val="22"/>
          <w:lang w:eastAsia="en-US"/>
        </w:rPr>
      </w:pPr>
    </w:p>
    <w:p w:rsidR="0092684C" w:rsidRPr="003B7DA2" w:rsidRDefault="0092684C">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rsidR="0042568A" w:rsidRPr="003B7DA2" w:rsidRDefault="0042568A" w:rsidP="0042568A">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b.) 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cég 2006. január 10-én megállapodást köt nem rezidens német partnerével, hogy egy 1 millió EUR névértékű tőkeösszeg után számított fix és változó kamatot cserélnek el meghatározott időszakon keresztül (pl. 8 év). A fix évi 3 % kamatlábbal számított összeget a rezidens fél fizeti félévente német partnerének, s attól 3 havi LIBOR + 1 % kamatfizetésben részesül háromhavonta. A szerződésben pontos dátummal szerepelnek a kamatfizetési kötelezettségek is.</w:t>
      </w:r>
    </w:p>
    <w:p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piaci változó kamatlábak szerint az ügylet a fix kamatfizetési kötelezettségéhez képest nyereséges, vagy veszteséges-e, s az így kapott értéket tünteti fel a megfelelő tábla záró pozíciós mezőjében. (I., II., III., IV., V., VI., VII. hónap: + 10 millió forint, - 10 millió Ft, + 20 millió Ft, + 10 millió Ft, - 10 Ft, + 20 millió Ft, + 10 millió Ft a forintra történt átszámítás után). Az átértékelések, a másik táblába történő „átvezetések” a korábban ismertetett módszerrel történhetnek.</w:t>
      </w:r>
    </w:p>
    <w:p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 xml:space="preserve">Az első kamatfizetésre áprilisban, megadott értéknapon kerül sor, befolyik a változó kamat összege, ez akkor éppen 7.500 EUR volt, az aktuális árfolyam pedig 250 HUF/EUR. Mivel az áprilisi 20 milliós nyitó állomány ezen ügylet esetében éppen a követelés táblában állt fenn, ezért a kamatbefolyást (1.875.000 Ft) a követelés táblában lehet jelenteni, anélkül, hogy a tranzakció időpontjában újból ki kellene értékelni az ügyletet. Ugyanígy, </w:t>
      </w:r>
      <w:r w:rsidR="00A37F7F" w:rsidRPr="003B7DA2">
        <w:rPr>
          <w:rFonts w:ascii="Calibri" w:hAnsi="Calibri"/>
          <w:snapToGrid w:val="0"/>
          <w:sz w:val="22"/>
          <w:szCs w:val="22"/>
          <w:lang w:eastAsia="en-US"/>
        </w:rPr>
        <w:t xml:space="preserve">júliusban, amikor mind </w:t>
      </w:r>
      <w:r w:rsidRPr="003B7DA2">
        <w:rPr>
          <w:rFonts w:ascii="Calibri" w:hAnsi="Calibri"/>
          <w:snapToGrid w:val="0"/>
          <w:sz w:val="22"/>
          <w:szCs w:val="22"/>
          <w:lang w:eastAsia="en-US"/>
        </w:rPr>
        <w:t>a fix kamatfizetés, kimenő tranzakció</w:t>
      </w:r>
      <w:r w:rsidR="00A37F7F" w:rsidRPr="003B7DA2">
        <w:rPr>
          <w:rFonts w:ascii="Calibri" w:hAnsi="Calibri"/>
          <w:snapToGrid w:val="0"/>
          <w:sz w:val="22"/>
          <w:szCs w:val="22"/>
          <w:lang w:eastAsia="en-US"/>
        </w:rPr>
        <w:t>, mind a következő változó kamatfizetés, bejövő tranzakció (vagy a kettő különbözetének nettó módon történő pénzügyi kiegyenlítése)</w:t>
      </w:r>
      <w:r w:rsidRPr="003B7DA2">
        <w:rPr>
          <w:rFonts w:ascii="Calibri" w:hAnsi="Calibri"/>
          <w:snapToGrid w:val="0"/>
          <w:sz w:val="22"/>
          <w:szCs w:val="22"/>
          <w:lang w:eastAsia="en-US"/>
        </w:rPr>
        <w:t xml:space="preserve"> </w:t>
      </w:r>
      <w:r w:rsidR="00A37F7F" w:rsidRPr="003B7DA2">
        <w:rPr>
          <w:rFonts w:ascii="Calibri" w:hAnsi="Calibri"/>
          <w:snapToGrid w:val="0"/>
          <w:sz w:val="22"/>
          <w:szCs w:val="22"/>
          <w:lang w:eastAsia="en-US"/>
        </w:rPr>
        <w:t xml:space="preserve">a követelés táblában szerepeltethető anélkül, hogy a tranzakció időpontjában kiértékelnénk az ügyletet, </w:t>
      </w:r>
      <w:r w:rsidRPr="003B7DA2">
        <w:rPr>
          <w:rFonts w:ascii="Calibri" w:hAnsi="Calibri"/>
          <w:snapToGrid w:val="0"/>
          <w:sz w:val="22"/>
          <w:szCs w:val="22"/>
          <w:lang w:eastAsia="en-US"/>
        </w:rPr>
        <w:t xml:space="preserve">mivel júliusban a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megállapodás kiértékelt nyitó állománya (vagyis a június végi záró állomány) + 20 millió EUR volt</w:t>
      </w:r>
      <w:r w:rsidR="00744347"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A</w:t>
      </w:r>
      <w:r w:rsidR="00A37F7F" w:rsidRPr="003B7DA2">
        <w:rPr>
          <w:rFonts w:ascii="Calibri" w:hAnsi="Calibri"/>
          <w:snapToGrid w:val="0"/>
          <w:sz w:val="22"/>
          <w:szCs w:val="22"/>
          <w:lang w:eastAsia="en-US"/>
        </w:rPr>
        <w:t xml:space="preserve"> júliusi</w:t>
      </w:r>
      <w:r w:rsidRPr="003B7DA2">
        <w:rPr>
          <w:rFonts w:ascii="Calibri" w:hAnsi="Calibri"/>
          <w:snapToGrid w:val="0"/>
          <w:sz w:val="22"/>
          <w:szCs w:val="22"/>
          <w:lang w:eastAsia="en-US"/>
        </w:rPr>
        <w:t xml:space="preserve"> tranzakció időpontjában az árfolyam 230 HUF/EUR, ezért a kifizetésre került 15 ezer EUR </w:t>
      </w:r>
      <w:r w:rsidR="00A37F7F" w:rsidRPr="003B7DA2">
        <w:rPr>
          <w:rFonts w:ascii="Calibri" w:hAnsi="Calibri"/>
          <w:snapToGrid w:val="0"/>
          <w:sz w:val="22"/>
          <w:szCs w:val="22"/>
          <w:lang w:eastAsia="en-US"/>
        </w:rPr>
        <w:t xml:space="preserve">fix kamatfizetés </w:t>
      </w:r>
      <w:r w:rsidRPr="003B7DA2">
        <w:rPr>
          <w:rFonts w:ascii="Calibri" w:hAnsi="Calibri"/>
          <w:snapToGrid w:val="0"/>
          <w:sz w:val="22"/>
          <w:szCs w:val="22"/>
          <w:lang w:eastAsia="en-US"/>
        </w:rPr>
        <w:t>forint ellenértéke: 3.450 ezer Ft</w:t>
      </w:r>
      <w:r w:rsidR="00A37F7F" w:rsidRPr="003B7DA2">
        <w:rPr>
          <w:rFonts w:ascii="Calibri" w:hAnsi="Calibri"/>
          <w:snapToGrid w:val="0"/>
          <w:sz w:val="22"/>
          <w:szCs w:val="22"/>
          <w:lang w:eastAsia="en-US"/>
        </w:rPr>
        <w:t>, míg a változó kamatbefolyás összege forintban 1.</w:t>
      </w:r>
      <w:r w:rsidR="00146264" w:rsidRPr="003B7DA2">
        <w:rPr>
          <w:rFonts w:ascii="Calibri" w:hAnsi="Calibri"/>
          <w:snapToGrid w:val="0"/>
          <w:sz w:val="22"/>
          <w:szCs w:val="22"/>
          <w:lang w:eastAsia="en-US"/>
        </w:rPr>
        <w:t>7</w:t>
      </w:r>
      <w:r w:rsidR="00A37F7F" w:rsidRPr="003B7DA2">
        <w:rPr>
          <w:rFonts w:ascii="Calibri" w:hAnsi="Calibri"/>
          <w:snapToGrid w:val="0"/>
          <w:sz w:val="22"/>
          <w:szCs w:val="22"/>
          <w:lang w:eastAsia="en-US"/>
        </w:rPr>
        <w:t>0</w:t>
      </w:r>
      <w:r w:rsidR="00146264" w:rsidRPr="003B7DA2">
        <w:rPr>
          <w:rFonts w:ascii="Calibri" w:hAnsi="Calibri"/>
          <w:snapToGrid w:val="0"/>
          <w:sz w:val="22"/>
          <w:szCs w:val="22"/>
          <w:lang w:eastAsia="en-US"/>
        </w:rPr>
        <w:t>2</w:t>
      </w:r>
      <w:r w:rsidR="00A37F7F" w:rsidRPr="003B7DA2">
        <w:rPr>
          <w:rFonts w:ascii="Calibri" w:hAnsi="Calibri"/>
          <w:snapToGrid w:val="0"/>
          <w:sz w:val="22"/>
          <w:szCs w:val="22"/>
          <w:lang w:eastAsia="en-US"/>
        </w:rPr>
        <w:t xml:space="preserve"> ezer volt.</w:t>
      </w:r>
      <w:r w:rsidRPr="003B7DA2">
        <w:rPr>
          <w:rFonts w:ascii="Calibri" w:hAnsi="Calibri"/>
          <w:snapToGrid w:val="0"/>
          <w:sz w:val="22"/>
          <w:szCs w:val="22"/>
          <w:lang w:eastAsia="en-US"/>
        </w:rPr>
        <w:t xml:space="preserve"> </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Januárban, az ügylet indulásakor tehát a nyitó állomány 0, a záró állomány a követelés táblában 10 millió Ft a kiértékelés alapján,</w:t>
      </w:r>
      <w:r w:rsidR="00744347" w:rsidRPr="003B7DA2">
        <w:rPr>
          <w:rFonts w:ascii="Calibri" w:hAnsi="Calibri"/>
          <w:bCs/>
          <w:sz w:val="22"/>
          <w:szCs w:val="22"/>
        </w:rPr>
        <w:t xml:space="preserve"> amely az átértékelés eredménye.</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281"/>
        <w:gridCol w:w="907"/>
        <w:gridCol w:w="1131"/>
        <w:gridCol w:w="1131"/>
        <w:gridCol w:w="1345"/>
        <w:gridCol w:w="1228"/>
        <w:gridCol w:w="1395"/>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1137" w:type="dxa"/>
            <w:vMerge/>
          </w:tcPr>
          <w:p w:rsidR="0042568A" w:rsidRPr="003B7DA2" w:rsidRDefault="0042568A" w:rsidP="0042568A">
            <w:pPr>
              <w:pStyle w:val="BodyText"/>
              <w:rPr>
                <w:rFonts w:ascii="Calibri" w:hAnsi="Calibri"/>
                <w:b/>
                <w:bCs/>
                <w:sz w:val="22"/>
                <w:szCs w:val="22"/>
                <w:u w:val="single"/>
              </w:rPr>
            </w:pPr>
          </w:p>
        </w:tc>
        <w:tc>
          <w:tcPr>
            <w:tcW w:w="918"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1137"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918"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Február végén az ügylet veszteséges, tehát a 10 millió Ft záró állomány a DERT táblában kerül jelentésre: itt 0 nyitó és 10 millió forintos záró állomány, s ugyanekkora összegű átértékelés jelentendő. Ugyanakkor a DERK táblában e soron a 10 millió forintos nyitó állomány mellett 0 záró állományt találunk, a különbség az állományt csökkentő átértékelés, tehát negatív előjelű.</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281"/>
        <w:gridCol w:w="910"/>
        <w:gridCol w:w="1131"/>
        <w:gridCol w:w="1131"/>
        <w:gridCol w:w="1242"/>
        <w:gridCol w:w="1156"/>
        <w:gridCol w:w="1556"/>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1137" w:type="dxa"/>
            <w:vMerge/>
          </w:tcPr>
          <w:p w:rsidR="0042568A" w:rsidRPr="003B7DA2" w:rsidRDefault="0042568A" w:rsidP="0042568A">
            <w:pPr>
              <w:pStyle w:val="BodyText"/>
              <w:rPr>
                <w:rFonts w:ascii="Calibri" w:hAnsi="Calibri"/>
                <w:b/>
                <w:bCs/>
                <w:sz w:val="22"/>
                <w:szCs w:val="22"/>
                <w:u w:val="single"/>
              </w:rPr>
            </w:pPr>
          </w:p>
        </w:tc>
        <w:tc>
          <w:tcPr>
            <w:tcW w:w="918"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127" w:type="dxa"/>
            <w:vMerge/>
          </w:tcPr>
          <w:p w:rsidR="0042568A" w:rsidRPr="003B7DA2" w:rsidRDefault="0042568A" w:rsidP="0042568A">
            <w:pPr>
              <w:pStyle w:val="BodyText"/>
              <w:rPr>
                <w:rFonts w:ascii="Calibri" w:hAnsi="Calibri" w:cs="Arial"/>
                <w:sz w:val="22"/>
                <w:szCs w:val="22"/>
              </w:rPr>
            </w:pPr>
          </w:p>
        </w:tc>
        <w:tc>
          <w:tcPr>
            <w:tcW w:w="1033" w:type="dxa"/>
            <w:vMerge/>
          </w:tcPr>
          <w:p w:rsidR="0042568A" w:rsidRPr="003B7DA2" w:rsidRDefault="0042568A" w:rsidP="0042568A">
            <w:pPr>
              <w:pStyle w:val="BodyText"/>
              <w:rPr>
                <w:rFonts w:ascii="Calibri" w:hAnsi="Calibri" w:cs="Arial"/>
                <w:sz w:val="22"/>
                <w:szCs w:val="22"/>
              </w:rPr>
            </w:pPr>
          </w:p>
        </w:tc>
        <w:tc>
          <w:tcPr>
            <w:tcW w:w="175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1137"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918"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127" w:type="dxa"/>
          </w:tcPr>
          <w:p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33"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75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Március végére az ügylet ismét nyereségessé válik. Kamatfizetés, tehát tranzakció még nem volt, jelentendők a nyitó és záró pozíciók és az átértékelés összege. Most a DERT táblából kerül átvezetésre 0 záró pozíción keresztül az ügylet a DERK táblába, az átértékelések segítségével: </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20 000 000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r>
    </w:tbl>
    <w:p w:rsidR="0042568A" w:rsidRPr="003B7DA2" w:rsidRDefault="0042568A" w:rsidP="0042568A">
      <w:pPr>
        <w:pStyle w:val="BodyText"/>
        <w:rPr>
          <w:rFonts w:ascii="Calibri" w:hAnsi="Calibri"/>
          <w:b/>
          <w:bCs/>
          <w:sz w:val="22"/>
          <w:szCs w:val="22"/>
          <w:u w:val="single"/>
        </w:rPr>
      </w:pPr>
    </w:p>
    <w:p w:rsidR="0042568A" w:rsidRPr="003B7DA2" w:rsidRDefault="0042568A" w:rsidP="0042568A">
      <w:pPr>
        <w:pStyle w:val="BodyText"/>
        <w:rPr>
          <w:rFonts w:ascii="Calibri" w:hAnsi="Calibri"/>
          <w:b/>
          <w:bCs/>
          <w:sz w:val="22"/>
          <w:szCs w:val="22"/>
          <w:u w:val="single"/>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950"/>
        <w:gridCol w:w="175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95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rsidR="0042568A" w:rsidRPr="003B7DA2" w:rsidRDefault="0042568A" w:rsidP="0042568A">
            <w:pPr>
              <w:pStyle w:val="BodyText"/>
              <w:rPr>
                <w:rFonts w:ascii="Calibri" w:hAnsi="Calibri" w:cs="Arial"/>
                <w:sz w:val="22"/>
                <w:szCs w:val="22"/>
              </w:rPr>
            </w:pPr>
          </w:p>
        </w:tc>
        <w:tc>
          <w:tcPr>
            <w:tcW w:w="950" w:type="dxa"/>
            <w:vMerge/>
          </w:tcPr>
          <w:p w:rsidR="0042568A" w:rsidRPr="003B7DA2" w:rsidRDefault="0042568A" w:rsidP="0042568A">
            <w:pPr>
              <w:pStyle w:val="BodyText"/>
              <w:rPr>
                <w:rFonts w:ascii="Calibri" w:hAnsi="Calibri" w:cs="Arial"/>
                <w:sz w:val="22"/>
                <w:szCs w:val="22"/>
              </w:rPr>
            </w:pPr>
          </w:p>
        </w:tc>
        <w:tc>
          <w:tcPr>
            <w:tcW w:w="175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95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75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Áprilisban tehát, a nyitó pozíció táblájában, a DERK táblában kerül jelentésre az 1 875 000 Ft értékű kamatbevétel (a követelés állományt csökkentő tranzakció), s a záró állomány 10 millió forint, követelés, ezért a tartozás táblában most nem szerepel az ügylet.</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1 875 000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-8 125 000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Május végén az ügylet ismét veszteséget mutat, 10 millió Ft-ot, s mivel tranzakció (kamatfizetés) nem esik erre a tárgyidőszakra, ismét csak az átértékelés segítségével kerül átvezetésre az ügylet a DERK táblából a DERT táblába:</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rsidR="0042568A" w:rsidRPr="003B7DA2" w:rsidRDefault="0042568A" w:rsidP="0042568A">
            <w:pPr>
              <w:pStyle w:val="BodyText"/>
              <w:rPr>
                <w:rFonts w:ascii="Calibri" w:hAnsi="Calibri" w:cs="Arial"/>
                <w:sz w:val="22"/>
                <w:szCs w:val="22"/>
              </w:rPr>
            </w:pPr>
          </w:p>
        </w:tc>
        <w:tc>
          <w:tcPr>
            <w:tcW w:w="108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8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r w:rsidRPr="003B7DA2">
        <w:rPr>
          <w:rFonts w:ascii="Calibri" w:hAnsi="Calibri"/>
          <w:bCs/>
          <w:sz w:val="22"/>
          <w:szCs w:val="22"/>
        </w:rPr>
        <w:t>Június végén az ügylet 20 millió Ft pozitív piaci értéket mutat, átvezetésre kerül a DERT táblából a DERK táblába:</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bCs/>
                <w:sz w:val="22"/>
                <w:szCs w:val="22"/>
              </w:rPr>
              <w:t>20 000 000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rsidR="0042568A" w:rsidRPr="003B7DA2" w:rsidRDefault="0042568A" w:rsidP="0042568A">
            <w:pPr>
              <w:pStyle w:val="BodyText"/>
              <w:rPr>
                <w:rFonts w:ascii="Calibri" w:hAnsi="Calibri" w:cs="Arial"/>
                <w:sz w:val="22"/>
                <w:szCs w:val="22"/>
              </w:rPr>
            </w:pPr>
          </w:p>
        </w:tc>
        <w:tc>
          <w:tcPr>
            <w:tcW w:w="108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8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Júliusban az adatszolgáltató teljesíti fix kamatfizetési kötelezettségét, </w:t>
      </w:r>
      <w:r w:rsidR="00A37F7F" w:rsidRPr="003B7DA2">
        <w:rPr>
          <w:rFonts w:ascii="Calibri" w:hAnsi="Calibri"/>
          <w:bCs/>
          <w:sz w:val="22"/>
          <w:szCs w:val="22"/>
        </w:rPr>
        <w:t>vagyis átutal</w:t>
      </w:r>
      <w:r w:rsidRPr="003B7DA2">
        <w:rPr>
          <w:rFonts w:ascii="Calibri" w:hAnsi="Calibri"/>
          <w:bCs/>
          <w:sz w:val="22"/>
          <w:szCs w:val="22"/>
        </w:rPr>
        <w:t xml:space="preserve"> 3 450 ezer forintnak megfelelő összeget</w:t>
      </w:r>
      <w:r w:rsidR="00A37F7F" w:rsidRPr="003B7DA2">
        <w:rPr>
          <w:rFonts w:ascii="Calibri" w:hAnsi="Calibri"/>
          <w:bCs/>
          <w:sz w:val="22"/>
          <w:szCs w:val="22"/>
        </w:rPr>
        <w:t>, ugyanakkor megkapja az ugyancsak júliusban esedékes, a három havi változó kamatláb alapján számított összesen 1.</w:t>
      </w:r>
      <w:r w:rsidR="00146264" w:rsidRPr="003B7DA2">
        <w:rPr>
          <w:rFonts w:ascii="Calibri" w:hAnsi="Calibri"/>
          <w:bCs/>
          <w:sz w:val="22"/>
          <w:szCs w:val="22"/>
        </w:rPr>
        <w:t>7</w:t>
      </w:r>
      <w:r w:rsidR="00A37F7F" w:rsidRPr="003B7DA2">
        <w:rPr>
          <w:rFonts w:ascii="Calibri" w:hAnsi="Calibri"/>
          <w:bCs/>
          <w:sz w:val="22"/>
          <w:szCs w:val="22"/>
        </w:rPr>
        <w:t>0</w:t>
      </w:r>
      <w:r w:rsidR="00146264" w:rsidRPr="003B7DA2">
        <w:rPr>
          <w:rFonts w:ascii="Calibri" w:hAnsi="Calibri"/>
          <w:bCs/>
          <w:sz w:val="22"/>
          <w:szCs w:val="22"/>
        </w:rPr>
        <w:t>2</w:t>
      </w:r>
      <w:r w:rsidR="00A37F7F" w:rsidRPr="003B7DA2">
        <w:rPr>
          <w:rFonts w:ascii="Calibri" w:hAnsi="Calibri"/>
          <w:bCs/>
          <w:sz w:val="22"/>
          <w:szCs w:val="22"/>
        </w:rPr>
        <w:t xml:space="preserve"> ezer Ft kamatot. E</w:t>
      </w:r>
      <w:r w:rsidRPr="003B7DA2">
        <w:rPr>
          <w:rFonts w:ascii="Calibri" w:hAnsi="Calibri"/>
          <w:bCs/>
          <w:sz w:val="22"/>
          <w:szCs w:val="22"/>
        </w:rPr>
        <w:t>zt a</w:t>
      </w:r>
      <w:r w:rsidR="00A37F7F" w:rsidRPr="003B7DA2">
        <w:rPr>
          <w:rFonts w:ascii="Calibri" w:hAnsi="Calibri"/>
          <w:bCs/>
          <w:sz w:val="22"/>
          <w:szCs w:val="22"/>
        </w:rPr>
        <w:t xml:space="preserve"> két</w:t>
      </w:r>
      <w:r w:rsidRPr="003B7DA2">
        <w:rPr>
          <w:rFonts w:ascii="Calibri" w:hAnsi="Calibri"/>
          <w:bCs/>
          <w:sz w:val="22"/>
          <w:szCs w:val="22"/>
        </w:rPr>
        <w:t xml:space="preserve"> tranzakciót, mivel az ügylet a nyitó állomány szerint a DERK táblában található, a DERK táblában követelést növelő kiadásként</w:t>
      </w:r>
      <w:r w:rsidR="00A37F7F" w:rsidRPr="003B7DA2">
        <w:rPr>
          <w:rFonts w:ascii="Calibri" w:hAnsi="Calibri"/>
          <w:bCs/>
          <w:sz w:val="22"/>
          <w:szCs w:val="22"/>
        </w:rPr>
        <w:t>, illetve követelést csökkentő bevételként</w:t>
      </w:r>
      <w:r w:rsidRPr="003B7DA2">
        <w:rPr>
          <w:rFonts w:ascii="Calibri" w:hAnsi="Calibri"/>
          <w:bCs/>
          <w:sz w:val="22"/>
          <w:szCs w:val="22"/>
        </w:rPr>
        <w:t xml:space="preserve"> kell jelenteni</w:t>
      </w:r>
      <w:r w:rsidR="00A37F7F" w:rsidRPr="003B7DA2">
        <w:rPr>
          <w:rFonts w:ascii="Calibri" w:hAnsi="Calibri"/>
          <w:bCs/>
          <w:sz w:val="22"/>
          <w:szCs w:val="22"/>
        </w:rPr>
        <w:t xml:space="preserve"> (nettó kiegyenlítés esetén követelést növelő kiadásként kellene 1.</w:t>
      </w:r>
      <w:r w:rsidR="00146264" w:rsidRPr="003B7DA2">
        <w:rPr>
          <w:rFonts w:ascii="Calibri" w:hAnsi="Calibri"/>
          <w:bCs/>
          <w:sz w:val="22"/>
          <w:szCs w:val="22"/>
        </w:rPr>
        <w:t>748</w:t>
      </w:r>
      <w:r w:rsidR="00A37F7F" w:rsidRPr="003B7DA2">
        <w:rPr>
          <w:rFonts w:ascii="Calibri" w:hAnsi="Calibri"/>
          <w:bCs/>
          <w:sz w:val="22"/>
          <w:szCs w:val="22"/>
        </w:rPr>
        <w:t xml:space="preserve"> ezer Ft összeget feltüntetni)</w:t>
      </w:r>
      <w:r w:rsidRPr="003B7DA2">
        <w:rPr>
          <w:rFonts w:ascii="Calibri" w:hAnsi="Calibri"/>
          <w:bCs/>
          <w:sz w:val="22"/>
          <w:szCs w:val="22"/>
        </w:rPr>
        <w:t xml:space="preserve">. A záró pozíció szintén pozitív piaci értékű, a különbözetet az átértékelés adja meg. A DERT tábla ebben a tárgyidőszakban nem érintett. </w:t>
      </w:r>
    </w:p>
    <w:p w:rsidR="0042568A" w:rsidRPr="003B7DA2" w:rsidRDefault="0042568A" w:rsidP="0042568A">
      <w:pPr>
        <w:pStyle w:val="BodyText"/>
        <w:rPr>
          <w:rFonts w:ascii="Calibri" w:hAnsi="Calibri"/>
          <w:bCs/>
          <w:sz w:val="22"/>
          <w:szCs w:val="22"/>
        </w:rPr>
      </w:pPr>
    </w:p>
    <w:p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rsidTr="00D45209">
        <w:tc>
          <w:tcPr>
            <w:tcW w:w="913"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rsidTr="00D45209">
        <w:tc>
          <w:tcPr>
            <w:tcW w:w="913" w:type="dxa"/>
            <w:vMerge/>
          </w:tcPr>
          <w:p w:rsidR="0042568A" w:rsidRPr="003B7DA2" w:rsidRDefault="0042568A" w:rsidP="0042568A">
            <w:pPr>
              <w:pStyle w:val="BodyText"/>
              <w:rPr>
                <w:rFonts w:ascii="Calibri" w:hAnsi="Calibri"/>
                <w:b/>
                <w:bCs/>
                <w:sz w:val="22"/>
                <w:szCs w:val="22"/>
                <w:u w:val="single"/>
              </w:rPr>
            </w:pPr>
          </w:p>
        </w:tc>
        <w:tc>
          <w:tcPr>
            <w:tcW w:w="815" w:type="dxa"/>
            <w:vMerge/>
          </w:tcPr>
          <w:p w:rsidR="0042568A" w:rsidRPr="003B7DA2" w:rsidRDefault="0042568A" w:rsidP="0042568A">
            <w:pPr>
              <w:pStyle w:val="BodyText"/>
              <w:rPr>
                <w:rFonts w:ascii="Calibri" w:hAnsi="Calibri"/>
                <w:b/>
                <w:bCs/>
                <w:sz w:val="22"/>
                <w:szCs w:val="22"/>
                <w:u w:val="single"/>
              </w:rPr>
            </w:pPr>
          </w:p>
        </w:tc>
        <w:tc>
          <w:tcPr>
            <w:tcW w:w="1240" w:type="dxa"/>
            <w:vMerge/>
          </w:tcPr>
          <w:p w:rsidR="0042568A" w:rsidRPr="003B7DA2" w:rsidRDefault="0042568A" w:rsidP="0042568A">
            <w:pPr>
              <w:pStyle w:val="BodyText"/>
              <w:rPr>
                <w:rFonts w:ascii="Calibri" w:hAnsi="Calibri"/>
                <w:b/>
                <w:bCs/>
                <w:sz w:val="22"/>
                <w:szCs w:val="22"/>
                <w:u w:val="single"/>
              </w:rPr>
            </w:pP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rsidR="0042568A" w:rsidRPr="003B7DA2" w:rsidRDefault="0042568A" w:rsidP="0042568A">
            <w:pPr>
              <w:pStyle w:val="BodyText"/>
              <w:rPr>
                <w:rFonts w:ascii="Calibri" w:hAnsi="Calibri" w:cs="Arial"/>
                <w:sz w:val="22"/>
                <w:szCs w:val="22"/>
              </w:rPr>
            </w:pPr>
          </w:p>
        </w:tc>
        <w:tc>
          <w:tcPr>
            <w:tcW w:w="1260" w:type="dxa"/>
            <w:vMerge/>
          </w:tcPr>
          <w:p w:rsidR="0042568A" w:rsidRPr="003B7DA2" w:rsidRDefault="0042568A" w:rsidP="0042568A">
            <w:pPr>
              <w:pStyle w:val="BodyText"/>
              <w:rPr>
                <w:rFonts w:ascii="Calibri" w:hAnsi="Calibri" w:cs="Arial"/>
                <w:sz w:val="22"/>
                <w:szCs w:val="22"/>
              </w:rPr>
            </w:pPr>
          </w:p>
        </w:tc>
        <w:tc>
          <w:tcPr>
            <w:tcW w:w="1620" w:type="dxa"/>
            <w:vMerge/>
          </w:tcPr>
          <w:p w:rsidR="0042568A" w:rsidRPr="003B7DA2" w:rsidRDefault="0042568A" w:rsidP="0042568A">
            <w:pPr>
              <w:pStyle w:val="BodyText"/>
              <w:rPr>
                <w:rFonts w:ascii="Calibri" w:hAnsi="Calibri" w:cs="Arial"/>
                <w:sz w:val="22"/>
                <w:szCs w:val="22"/>
              </w:rPr>
            </w:pPr>
          </w:p>
        </w:tc>
      </w:tr>
      <w:tr w:rsidR="0042568A" w:rsidRPr="003B7DA2" w:rsidTr="00D45209">
        <w:tc>
          <w:tcPr>
            <w:tcW w:w="913"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c>
          <w:tcPr>
            <w:tcW w:w="1025"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3 450 000</w:t>
            </w:r>
          </w:p>
        </w:tc>
        <w:tc>
          <w:tcPr>
            <w:tcW w:w="1025" w:type="dxa"/>
          </w:tcPr>
          <w:p w:rsidR="0042568A" w:rsidRPr="003B7DA2" w:rsidRDefault="00A37F7F" w:rsidP="0042568A">
            <w:pPr>
              <w:pStyle w:val="BodyText"/>
              <w:rPr>
                <w:rFonts w:ascii="Calibri" w:hAnsi="Calibri" w:cs="Arial"/>
                <w:sz w:val="22"/>
                <w:szCs w:val="22"/>
              </w:rPr>
            </w:pPr>
            <w:r w:rsidRPr="003B7DA2">
              <w:rPr>
                <w:rFonts w:ascii="Calibri" w:hAnsi="Calibri" w:cs="Arial"/>
                <w:sz w:val="22"/>
                <w:szCs w:val="22"/>
              </w:rPr>
              <w:t>1 </w:t>
            </w:r>
            <w:r w:rsidR="00146264" w:rsidRPr="003B7DA2">
              <w:rPr>
                <w:rFonts w:ascii="Calibri" w:hAnsi="Calibri" w:cs="Arial"/>
                <w:sz w:val="22"/>
                <w:szCs w:val="22"/>
              </w:rPr>
              <w:t>7</w:t>
            </w:r>
            <w:r w:rsidRPr="003B7DA2">
              <w:rPr>
                <w:rFonts w:ascii="Calibri" w:hAnsi="Calibri" w:cs="Arial"/>
                <w:sz w:val="22"/>
                <w:szCs w:val="22"/>
              </w:rPr>
              <w:t>0</w:t>
            </w:r>
            <w:r w:rsidR="00146264" w:rsidRPr="003B7DA2">
              <w:rPr>
                <w:rFonts w:ascii="Calibri" w:hAnsi="Calibri" w:cs="Arial"/>
                <w:sz w:val="22"/>
                <w:szCs w:val="22"/>
              </w:rPr>
              <w:t>2</w:t>
            </w:r>
            <w:r w:rsidRPr="003B7DA2">
              <w:rPr>
                <w:rFonts w:ascii="Calibri" w:hAnsi="Calibri" w:cs="Arial"/>
                <w:sz w:val="22"/>
                <w:szCs w:val="22"/>
              </w:rPr>
              <w:t xml:space="preserve"> 000</w:t>
            </w:r>
          </w:p>
        </w:tc>
        <w:tc>
          <w:tcPr>
            <w:tcW w:w="1390" w:type="dxa"/>
          </w:tcPr>
          <w:p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-1</w:t>
            </w:r>
            <w:r w:rsidR="00531997" w:rsidRPr="003B7DA2">
              <w:rPr>
                <w:rFonts w:ascii="Calibri" w:hAnsi="Calibri" w:cs="Arial"/>
                <w:sz w:val="22"/>
                <w:szCs w:val="22"/>
              </w:rPr>
              <w:t>1</w:t>
            </w:r>
            <w:r w:rsidRPr="003B7DA2">
              <w:rPr>
                <w:rFonts w:ascii="Calibri" w:hAnsi="Calibri" w:cs="Arial"/>
                <w:sz w:val="22"/>
                <w:szCs w:val="22"/>
              </w:rPr>
              <w:t> </w:t>
            </w:r>
            <w:r w:rsidR="00146264" w:rsidRPr="003B7DA2">
              <w:rPr>
                <w:rFonts w:ascii="Calibri" w:hAnsi="Calibri" w:cs="Arial"/>
                <w:sz w:val="22"/>
                <w:szCs w:val="22"/>
              </w:rPr>
              <w:t>748</w:t>
            </w:r>
            <w:r w:rsidRPr="003B7DA2">
              <w:rPr>
                <w:rFonts w:ascii="Calibri" w:hAnsi="Calibri" w:cs="Arial"/>
                <w:sz w:val="22"/>
                <w:szCs w:val="22"/>
              </w:rPr>
              <w:t xml:space="preserve"> 000</w:t>
            </w:r>
          </w:p>
        </w:tc>
        <w:tc>
          <w:tcPr>
            <w:tcW w:w="126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rsidR="0042568A" w:rsidRPr="003B7DA2" w:rsidRDefault="0042568A" w:rsidP="0042568A">
      <w:pPr>
        <w:pStyle w:val="BodyText"/>
        <w:rPr>
          <w:rFonts w:ascii="Calibri" w:hAnsi="Calibri"/>
          <w:bCs/>
          <w:sz w:val="22"/>
          <w:szCs w:val="22"/>
        </w:rPr>
      </w:pPr>
    </w:p>
    <w:p w:rsidR="0092684C" w:rsidRPr="003B7DA2" w:rsidRDefault="0092684C">
      <w:pPr>
        <w:pStyle w:val="BodyText"/>
        <w:rPr>
          <w:rFonts w:ascii="Calibri" w:hAnsi="Calibri"/>
          <w:b/>
          <w:bCs/>
          <w:sz w:val="22"/>
          <w:szCs w:val="22"/>
        </w:rPr>
      </w:pPr>
    </w:p>
    <w:p w:rsidR="0092684C" w:rsidRPr="003B7DA2" w:rsidRDefault="0092684C">
      <w:pPr>
        <w:pStyle w:val="BodyText"/>
        <w:rPr>
          <w:rFonts w:ascii="Calibri" w:hAnsi="Calibri"/>
          <w:b/>
          <w:bCs/>
          <w:sz w:val="22"/>
          <w:szCs w:val="22"/>
        </w:rPr>
      </w:pPr>
      <w:r w:rsidRPr="003B7DA2">
        <w:rPr>
          <w:rFonts w:ascii="Calibri" w:hAnsi="Calibri"/>
          <w:b/>
          <w:bCs/>
          <w:sz w:val="22"/>
          <w:szCs w:val="22"/>
        </w:rPr>
        <w:t xml:space="preserve">4. Egyéb pénzügyi </w:t>
      </w:r>
      <w:proofErr w:type="spellStart"/>
      <w:r w:rsidRPr="003B7DA2">
        <w:rPr>
          <w:rFonts w:ascii="Calibri" w:hAnsi="Calibri"/>
          <w:b/>
          <w:bCs/>
          <w:sz w:val="22"/>
          <w:szCs w:val="22"/>
        </w:rPr>
        <w:t>derivatívák</w:t>
      </w:r>
      <w:proofErr w:type="spellEnd"/>
      <w:r w:rsidRPr="003B7DA2">
        <w:rPr>
          <w:rFonts w:ascii="Calibri" w:hAnsi="Calibri"/>
          <w:b/>
          <w:bCs/>
          <w:sz w:val="22"/>
          <w:szCs w:val="22"/>
        </w:rPr>
        <w:t>:</w:t>
      </w:r>
      <w:bookmarkEnd w:id="12"/>
    </w:p>
    <w:p w:rsidR="0092684C" w:rsidRPr="003B7DA2" w:rsidRDefault="0092684C">
      <w:pPr>
        <w:rPr>
          <w:rFonts w:ascii="Calibri" w:hAnsi="Calibri"/>
          <w:sz w:val="22"/>
          <w:szCs w:val="22"/>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Ezen instrumentum kód alatt kell jelenteni mindazon pénzügyi derivatív ügyleteket, amelyek máshova nem kerültek </w:t>
      </w:r>
      <w:proofErr w:type="gramStart"/>
      <w:r w:rsidRPr="003B7DA2">
        <w:rPr>
          <w:rFonts w:ascii="Calibri" w:hAnsi="Calibri"/>
          <w:snapToGrid w:val="0"/>
          <w:sz w:val="22"/>
          <w:szCs w:val="22"/>
          <w:lang w:eastAsia="en-US"/>
        </w:rPr>
        <w:t>besorolásra  (</w:t>
      </w:r>
      <w:proofErr w:type="gramEnd"/>
      <w:r w:rsidRPr="003B7DA2">
        <w:rPr>
          <w:rFonts w:ascii="Calibri" w:hAnsi="Calibri"/>
          <w:snapToGrid w:val="0"/>
          <w:sz w:val="22"/>
          <w:szCs w:val="22"/>
          <w:lang w:eastAsia="en-US"/>
        </w:rPr>
        <w:t xml:space="preserve">pl. a külföldi partnerekkel kötött határidős kamatláb megállapodások (FRA), a határidős betétek vásárlásai és eladásai, a </w:t>
      </w:r>
      <w:proofErr w:type="spellStart"/>
      <w:r w:rsidRPr="003B7DA2">
        <w:rPr>
          <w:rFonts w:ascii="Calibri" w:hAnsi="Calibri"/>
          <w:snapToGrid w:val="0"/>
          <w:sz w:val="22"/>
          <w:szCs w:val="22"/>
          <w:lang w:eastAsia="en-US"/>
        </w:rPr>
        <w:t>hitelderivatívák</w:t>
      </w:r>
      <w:proofErr w:type="spellEnd"/>
      <w:r w:rsidRPr="003B7DA2">
        <w:rPr>
          <w:rFonts w:ascii="Calibri" w:hAnsi="Calibri"/>
          <w:snapToGrid w:val="0"/>
          <w:sz w:val="22"/>
          <w:szCs w:val="22"/>
          <w:lang w:eastAsia="en-US"/>
        </w:rPr>
        <w:t xml:space="preserve"> különböző fajtái), továbbá, amelyek esetében a mögöttes termék valamilyen reál ügylet, pl.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nemesfém-ügyletek, határidős értékpapír, illetve áruügyletek).</w:t>
      </w:r>
    </w:p>
    <w:p w:rsidR="0092684C" w:rsidRPr="003B7DA2" w:rsidRDefault="0092684C">
      <w:pPr>
        <w:rPr>
          <w:rFonts w:ascii="Calibri" w:hAnsi="Calibri"/>
          <w:sz w:val="22"/>
          <w:szCs w:val="22"/>
        </w:rPr>
      </w:pPr>
    </w:p>
    <w:p w:rsidR="0092684C" w:rsidRPr="003B7DA2" w:rsidRDefault="0092684C">
      <w:pPr>
        <w:ind w:left="720"/>
        <w:jc w:val="both"/>
        <w:rPr>
          <w:rFonts w:ascii="Calibri" w:hAnsi="Calibri"/>
          <w:snapToGrid w:val="0"/>
          <w:sz w:val="22"/>
          <w:szCs w:val="22"/>
          <w:lang w:eastAsia="en-US"/>
        </w:rPr>
      </w:pPr>
      <w:r w:rsidRPr="003B7DA2">
        <w:rPr>
          <w:rFonts w:ascii="Calibri" w:hAnsi="Calibri"/>
          <w:b/>
          <w:snapToGrid w:val="0"/>
          <w:sz w:val="22"/>
          <w:szCs w:val="22"/>
          <w:lang w:eastAsia="en-US"/>
        </w:rPr>
        <w:t>FRA ügyletek</w:t>
      </w:r>
      <w:r w:rsidRPr="003B7DA2">
        <w:rPr>
          <w:rFonts w:ascii="Calibri" w:hAnsi="Calibri"/>
          <w:snapToGrid w:val="0"/>
          <w:sz w:val="22"/>
          <w:szCs w:val="22"/>
          <w:lang w:eastAsia="en-US"/>
        </w:rPr>
        <w:t xml:space="preserve"> (Határidős kamatláb megállapodások): </w:t>
      </w: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w:t>
      </w:r>
      <w:r w:rsidR="00F17625" w:rsidRPr="003B7DA2">
        <w:rPr>
          <w:rFonts w:ascii="Calibri" w:hAnsi="Calibri"/>
          <w:snapToGrid w:val="0"/>
          <w:sz w:val="22"/>
          <w:szCs w:val="22"/>
          <w:lang w:eastAsia="en-US"/>
        </w:rPr>
        <w:t>z FRA ügylet egy, a</w:t>
      </w:r>
      <w:r w:rsidRPr="003B7DA2">
        <w:rPr>
          <w:rFonts w:ascii="Calibri" w:hAnsi="Calibri"/>
          <w:snapToGrid w:val="0"/>
          <w:sz w:val="22"/>
          <w:szCs w:val="22"/>
          <w:lang w:eastAsia="en-US"/>
        </w:rPr>
        <w:t xml:space="preserve"> </w:t>
      </w:r>
      <w:r w:rsidR="00F17625" w:rsidRPr="003B7DA2">
        <w:rPr>
          <w:rFonts w:ascii="Calibri" w:hAnsi="Calibri"/>
          <w:snapToGrid w:val="0"/>
          <w:sz w:val="22"/>
          <w:szCs w:val="22"/>
          <w:lang w:eastAsia="en-US"/>
        </w:rPr>
        <w:t xml:space="preserve">megállapodásban </w:t>
      </w:r>
      <w:r w:rsidRPr="003B7DA2">
        <w:rPr>
          <w:rFonts w:ascii="Calibri" w:hAnsi="Calibri"/>
          <w:snapToGrid w:val="0"/>
          <w:sz w:val="22"/>
          <w:szCs w:val="22"/>
          <w:lang w:eastAsia="en-US"/>
        </w:rPr>
        <w:t>meghatározott jövőbeli időpont</w:t>
      </w:r>
      <w:r w:rsidR="00F17625" w:rsidRPr="003B7DA2">
        <w:rPr>
          <w:rFonts w:ascii="Calibri" w:hAnsi="Calibri"/>
          <w:snapToGrid w:val="0"/>
          <w:sz w:val="22"/>
          <w:szCs w:val="22"/>
          <w:lang w:eastAsia="en-US"/>
        </w:rPr>
        <w:t xml:space="preserve">ban, meghatározott (többnyire névleges) összeg után </w:t>
      </w:r>
      <w:r w:rsidRPr="003B7DA2">
        <w:rPr>
          <w:rFonts w:ascii="Calibri" w:hAnsi="Calibri"/>
          <w:snapToGrid w:val="0"/>
          <w:sz w:val="22"/>
          <w:szCs w:val="22"/>
          <w:lang w:eastAsia="en-US"/>
        </w:rPr>
        <w:t>a szerződésben meg</w:t>
      </w:r>
      <w:r w:rsidR="00F17625" w:rsidRPr="003B7DA2">
        <w:rPr>
          <w:rFonts w:ascii="Calibri" w:hAnsi="Calibri"/>
          <w:snapToGrid w:val="0"/>
          <w:sz w:val="22"/>
          <w:szCs w:val="22"/>
          <w:lang w:eastAsia="en-US"/>
        </w:rPr>
        <w:t>szabott</w:t>
      </w:r>
      <w:r w:rsidRPr="003B7DA2">
        <w:rPr>
          <w:rFonts w:ascii="Calibri" w:hAnsi="Calibri"/>
          <w:snapToGrid w:val="0"/>
          <w:sz w:val="22"/>
          <w:szCs w:val="22"/>
          <w:lang w:eastAsia="en-US"/>
        </w:rPr>
        <w:t xml:space="preserve"> kamatlábbal</w:t>
      </w:r>
      <w:r w:rsidR="00F17625" w:rsidRPr="003B7DA2">
        <w:rPr>
          <w:rFonts w:ascii="Calibri" w:hAnsi="Calibri"/>
          <w:snapToGrid w:val="0"/>
          <w:sz w:val="22"/>
          <w:szCs w:val="22"/>
          <w:lang w:eastAsia="en-US"/>
        </w:rPr>
        <w:t xml:space="preserve"> (ez értelemszerűen egy változó, valamilyen piacon időszakonként fixált kamatláb)</w:t>
      </w:r>
      <w:r w:rsidRPr="003B7DA2">
        <w:rPr>
          <w:rFonts w:ascii="Calibri" w:hAnsi="Calibri"/>
          <w:snapToGrid w:val="0"/>
          <w:sz w:val="22"/>
          <w:szCs w:val="22"/>
          <w:lang w:eastAsia="en-US"/>
        </w:rPr>
        <w:t xml:space="preserve"> számított kamatösszeg</w:t>
      </w:r>
      <w:r w:rsidR="00F17625" w:rsidRPr="003B7DA2">
        <w:rPr>
          <w:rFonts w:ascii="Calibri" w:hAnsi="Calibri"/>
          <w:snapToGrid w:val="0"/>
          <w:sz w:val="22"/>
          <w:szCs w:val="22"/>
          <w:lang w:eastAsia="en-US"/>
        </w:rPr>
        <w:t>r</w:t>
      </w:r>
      <w:r w:rsidRPr="003B7DA2">
        <w:rPr>
          <w:rFonts w:ascii="Calibri" w:hAnsi="Calibri"/>
          <w:snapToGrid w:val="0"/>
          <w:sz w:val="22"/>
          <w:szCs w:val="22"/>
          <w:lang w:eastAsia="en-US"/>
        </w:rPr>
        <w:t>e</w:t>
      </w:r>
      <w:r w:rsidR="00F17625" w:rsidRPr="003B7DA2">
        <w:rPr>
          <w:rFonts w:ascii="Calibri" w:hAnsi="Calibri"/>
          <w:snapToGrid w:val="0"/>
          <w:sz w:val="22"/>
          <w:szCs w:val="22"/>
          <w:lang w:eastAsia="en-US"/>
        </w:rPr>
        <w:t xml:space="preserve"> szól. </w:t>
      </w:r>
      <w:r w:rsidRPr="003B7DA2">
        <w:rPr>
          <w:rFonts w:ascii="Calibri" w:hAnsi="Calibri"/>
          <w:snapToGrid w:val="0"/>
          <w:sz w:val="22"/>
          <w:szCs w:val="22"/>
          <w:lang w:eastAsia="en-US"/>
        </w:rPr>
        <w:t xml:space="preserve"> </w:t>
      </w:r>
    </w:p>
    <w:p w:rsidR="00727BF5" w:rsidRPr="003B7DA2" w:rsidRDefault="00727BF5">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w:t>
      </w:r>
      <w:r w:rsidR="00F17625" w:rsidRPr="003B7DA2">
        <w:rPr>
          <w:rFonts w:ascii="Calibri" w:hAnsi="Calibri"/>
          <w:snapToGrid w:val="0"/>
          <w:sz w:val="22"/>
          <w:szCs w:val="22"/>
          <w:lang w:eastAsia="en-US"/>
        </w:rPr>
        <w:t>z FRA</w:t>
      </w:r>
      <w:r w:rsidRPr="003B7DA2">
        <w:rPr>
          <w:rFonts w:ascii="Calibri" w:hAnsi="Calibri"/>
          <w:snapToGrid w:val="0"/>
          <w:sz w:val="22"/>
          <w:szCs w:val="22"/>
          <w:lang w:eastAsia="en-US"/>
        </w:rPr>
        <w:t xml:space="preserve">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rsidR="00F17625" w:rsidRPr="003B7DA2" w:rsidRDefault="00F17625">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ügyletek piaci értéke </w:t>
      </w:r>
      <w:r w:rsidR="00F17625" w:rsidRPr="003B7DA2">
        <w:rPr>
          <w:rFonts w:ascii="Calibri" w:hAnsi="Calibri"/>
          <w:snapToGrid w:val="0"/>
          <w:sz w:val="22"/>
          <w:szCs w:val="22"/>
          <w:lang w:eastAsia="en-US"/>
        </w:rPr>
        <w:t xml:space="preserve">futamidő alatt </w:t>
      </w:r>
      <w:r w:rsidRPr="003B7DA2">
        <w:rPr>
          <w:rFonts w:ascii="Calibri" w:hAnsi="Calibri"/>
          <w:snapToGrid w:val="0"/>
          <w:sz w:val="22"/>
          <w:szCs w:val="22"/>
          <w:lang w:eastAsia="en-US"/>
        </w:rPr>
        <w:t>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várható fizető, vagy kedvezményezett pozíciója szerint az ügylet pozitív, vagy negatív piaci értékét.</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rsidR="0092684C" w:rsidRPr="003B7DA2" w:rsidRDefault="0092684C">
      <w:pPr>
        <w:rPr>
          <w:rFonts w:ascii="Calibri" w:hAnsi="Calibri"/>
          <w:sz w:val="22"/>
          <w:szCs w:val="22"/>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 xml:space="preserve">piaci értékét </w:t>
      </w:r>
      <w:proofErr w:type="gramStart"/>
      <w:r w:rsidRPr="003B7DA2">
        <w:rPr>
          <w:rFonts w:ascii="Calibri" w:hAnsi="Calibri"/>
          <w:snapToGrid w:val="0"/>
          <w:sz w:val="22"/>
          <w:szCs w:val="22"/>
          <w:lang w:eastAsia="en-US"/>
        </w:rPr>
        <w:t>jelenteni..</w:t>
      </w:r>
      <w:proofErr w:type="gramEnd"/>
      <w:r w:rsidRPr="003B7DA2">
        <w:rPr>
          <w:rFonts w:ascii="Calibri" w:hAnsi="Calibri"/>
          <w:snapToGrid w:val="0"/>
          <w:sz w:val="22"/>
          <w:szCs w:val="22"/>
          <w:lang w:eastAsia="en-US"/>
        </w:rPr>
        <w:t xml:space="preserve">      </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360"/>
        <w:jc w:val="both"/>
        <w:rPr>
          <w:rFonts w:ascii="Calibri" w:hAnsi="Calibri"/>
          <w:snapToGrid w:val="0"/>
          <w:sz w:val="22"/>
          <w:szCs w:val="22"/>
          <w:lang w:eastAsia="en-US"/>
        </w:rPr>
      </w:pPr>
    </w:p>
    <w:p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Az FRA ügylet</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rsidR="0092684C" w:rsidRPr="003B7DA2" w:rsidRDefault="0092684C">
      <w:pPr>
        <w:jc w:val="both"/>
        <w:rPr>
          <w:rFonts w:ascii="Calibri" w:hAnsi="Calibri" w:cs="Garamond"/>
          <w:i/>
          <w:sz w:val="22"/>
          <w:szCs w:val="22"/>
        </w:rPr>
      </w:pPr>
    </w:p>
    <w:p w:rsidR="0092684C" w:rsidRPr="003B7DA2" w:rsidRDefault="0092684C">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egyszerűsített FRA ügyletre: </w:t>
      </w:r>
    </w:p>
    <w:p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cég 2006. január 10-én megállapodást köt nem rezidens német partnerével</w:t>
      </w:r>
      <w:r w:rsidR="0058577D"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1 millió EUR </w:t>
      </w:r>
      <w:r w:rsidR="00F17625" w:rsidRPr="003B7DA2">
        <w:rPr>
          <w:rFonts w:ascii="Calibri" w:hAnsi="Calibri"/>
          <w:snapToGrid w:val="0"/>
          <w:sz w:val="22"/>
          <w:szCs w:val="22"/>
          <w:lang w:eastAsia="en-US"/>
        </w:rPr>
        <w:t>névleges</w:t>
      </w:r>
      <w:r w:rsidRPr="003B7DA2">
        <w:rPr>
          <w:rFonts w:ascii="Calibri" w:hAnsi="Calibri"/>
          <w:snapToGrid w:val="0"/>
          <w:sz w:val="22"/>
          <w:szCs w:val="22"/>
          <w:lang w:eastAsia="en-US"/>
        </w:rPr>
        <w:t xml:space="preserve"> tőkeösszeg után 5 hónap</w:t>
      </w:r>
      <w:r w:rsidR="0058577D" w:rsidRPr="003B7DA2">
        <w:rPr>
          <w:rFonts w:ascii="Calibri" w:hAnsi="Calibri"/>
          <w:snapToGrid w:val="0"/>
          <w:sz w:val="22"/>
          <w:szCs w:val="22"/>
          <w:lang w:eastAsia="en-US"/>
        </w:rPr>
        <w:t xml:space="preserve"> múlva</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adott piacon meghirdetett 3 havi betéti kamatlábra, a szerződésben ezt a kamatlábat 3</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-ban állapítják meg.</w:t>
      </w:r>
      <w:r w:rsidRPr="003B7DA2">
        <w:rPr>
          <w:rFonts w:ascii="Calibri" w:hAnsi="Calibri"/>
          <w:snapToGrid w:val="0"/>
          <w:sz w:val="22"/>
          <w:szCs w:val="22"/>
          <w:lang w:eastAsia="en-US"/>
        </w:rPr>
        <w:t xml:space="preserve"> </w:t>
      </w:r>
      <w:r w:rsidR="004C73FB" w:rsidRPr="003B7DA2">
        <w:rPr>
          <w:rFonts w:ascii="Calibri" w:hAnsi="Calibri"/>
          <w:snapToGrid w:val="0"/>
          <w:sz w:val="22"/>
          <w:szCs w:val="22"/>
          <w:lang w:eastAsia="en-US"/>
        </w:rPr>
        <w:t>(</w:t>
      </w:r>
      <w:r w:rsidR="0052559A" w:rsidRPr="003B7DA2">
        <w:rPr>
          <w:rFonts w:ascii="Calibri" w:hAnsi="Calibri"/>
          <w:snapToGrid w:val="0"/>
          <w:sz w:val="22"/>
          <w:szCs w:val="22"/>
          <w:lang w:eastAsia="en-US"/>
        </w:rPr>
        <w:t>A német féllel abban állapodnak meg, hogy</w:t>
      </w:r>
      <w:r w:rsidR="004C73FB" w:rsidRPr="003B7DA2">
        <w:rPr>
          <w:rFonts w:ascii="Calibri" w:hAnsi="Calibri"/>
          <w:snapToGrid w:val="0"/>
          <w:sz w:val="22"/>
          <w:szCs w:val="22"/>
          <w:lang w:eastAsia="en-US"/>
        </w:rPr>
        <w:t xml:space="preserve"> a fixing időpontjában meghirdetett piaci kamatlábbal számolt kamatösszeg</w:t>
      </w:r>
      <w:r w:rsidR="0052559A" w:rsidRPr="003B7DA2">
        <w:rPr>
          <w:rFonts w:ascii="Calibri" w:hAnsi="Calibri"/>
          <w:snapToGrid w:val="0"/>
          <w:sz w:val="22"/>
          <w:szCs w:val="22"/>
          <w:lang w:eastAsia="en-US"/>
        </w:rPr>
        <w:t xml:space="preserve"> és ezen, szerződéses kamatösszeg különbözetét fogják rendezni aszerint, hogy az végül is nyereséget, vagy veszteséget okoz-e. Ha a piaci kamat tehát magasabb, akkor veszteség éri a rezidens felet, át kell utalnia a különbözetet, ha alacsonyabb, akkor nyeresége van, a német féltől megkapja a különbözetet.</w:t>
      </w:r>
      <w:r w:rsidR="004C73FB" w:rsidRPr="003B7DA2">
        <w:rPr>
          <w:rFonts w:ascii="Calibri" w:hAnsi="Calibri"/>
          <w:snapToGrid w:val="0"/>
          <w:sz w:val="22"/>
          <w:szCs w:val="22"/>
          <w:lang w:eastAsia="en-US"/>
        </w:rPr>
        <w:t>)</w:t>
      </w:r>
    </w:p>
    <w:p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Az irányadó (a megállapodásban megjelölt) piacon 5 hónappal később (fixing) a 3 hónapos betét kamatláb</w:t>
      </w:r>
      <w:r w:rsidR="0058577D" w:rsidRPr="003B7DA2">
        <w:rPr>
          <w:rFonts w:ascii="Calibri" w:hAnsi="Calibri"/>
          <w:snapToGrid w:val="0"/>
          <w:sz w:val="22"/>
          <w:szCs w:val="22"/>
          <w:lang w:eastAsia="en-US"/>
        </w:rPr>
        <w:t>a</w:t>
      </w:r>
      <w:r w:rsidRPr="003B7DA2">
        <w:rPr>
          <w:rFonts w:ascii="Calibri" w:hAnsi="Calibri"/>
          <w:snapToGrid w:val="0"/>
          <w:sz w:val="22"/>
          <w:szCs w:val="22"/>
          <w:lang w:eastAsia="en-US"/>
        </w:rPr>
        <w:t xml:space="preserve"> 4 %-</w:t>
      </w:r>
      <w:r w:rsidR="0058577D" w:rsidRPr="003B7DA2">
        <w:rPr>
          <w:rFonts w:ascii="Calibri" w:hAnsi="Calibri"/>
          <w:snapToGrid w:val="0"/>
          <w:sz w:val="22"/>
          <w:szCs w:val="22"/>
          <w:lang w:eastAsia="en-US"/>
        </w:rPr>
        <w:t>ban kerül meghirdetésre.</w:t>
      </w:r>
      <w:r w:rsidRPr="003B7DA2">
        <w:rPr>
          <w:rFonts w:ascii="Calibri" w:hAnsi="Calibri"/>
          <w:snapToGrid w:val="0"/>
          <w:sz w:val="22"/>
          <w:szCs w:val="22"/>
          <w:lang w:eastAsia="en-US"/>
        </w:rPr>
        <w:t xml:space="preserve">  </w:t>
      </w:r>
    </w:p>
    <w:p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kamatlábak szerint az ügylet a szerződés szerinti kamatlábhoz viszonyítva nyereséges, vagy veszteséges-e, s az így kapott értéket tünteti fel a megfelelő tábla záró pozíciós mezőjében. (I., II., III., IV., V. hónap: + 1 millió forint, - 1 millió Ft, + 2 millió Ft, + 1 millió Ft, - 1 millió Ft, a forintra történt átszámítás után). Az átértékelések, a másik táblába történő „átvezetések” a korábban ismertetett módszerrel történhetnek.</w:t>
      </w:r>
    </w:p>
    <w:p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Fixingkor kiderült, hogy a rezidens fél számára az ügylet veszteséges volt, mivel 4 %-os kamatláb he</w:t>
      </w:r>
      <w:r w:rsidR="004C73FB" w:rsidRPr="003B7DA2">
        <w:rPr>
          <w:rFonts w:ascii="Calibri" w:hAnsi="Calibri"/>
          <w:snapToGrid w:val="0"/>
          <w:sz w:val="22"/>
          <w:szCs w:val="22"/>
          <w:lang w:eastAsia="en-US"/>
        </w:rPr>
        <w:t xml:space="preserve">lyett csupán 3 %-os kamatlábat tud realizálni a szerződés szerint. </w:t>
      </w:r>
      <w:r w:rsidRPr="003B7DA2">
        <w:rPr>
          <w:rFonts w:ascii="Calibri" w:hAnsi="Calibri"/>
          <w:snapToGrid w:val="0"/>
          <w:sz w:val="22"/>
          <w:szCs w:val="22"/>
          <w:lang w:eastAsia="en-US"/>
        </w:rPr>
        <w:t xml:space="preserve">A veszteség kiszámítása után ezt az összeget kénytelen átutalni. A veszteség összege a forintra történő átszámítás után 600 ezer Ft-ot tesz ki. Ezt tehát a Tartozások táblában kiadásként kell feltüntetni. </w:t>
      </w:r>
    </w:p>
    <w:p w:rsidR="0092684C" w:rsidRPr="003B7DA2" w:rsidRDefault="0092684C">
      <w:pPr>
        <w:pStyle w:val="BodyText"/>
        <w:rPr>
          <w:rFonts w:ascii="Calibri" w:hAnsi="Calibri"/>
          <w:b/>
          <w:bCs/>
          <w:sz w:val="22"/>
          <w:szCs w:val="22"/>
          <w:u w:val="single"/>
        </w:rPr>
      </w:pPr>
    </w:p>
    <w:p w:rsidR="0092684C" w:rsidRPr="003B7DA2" w:rsidRDefault="00583402">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rsidTr="00D45209">
        <w:tc>
          <w:tcPr>
            <w:tcW w:w="918" w:type="dxa"/>
            <w:vMerge w:val="restart"/>
          </w:tcPr>
          <w:p w:rsidR="0092684C" w:rsidRPr="003B7DA2" w:rsidRDefault="0092684C" w:rsidP="00D45209">
            <w:pPr>
              <w:jc w:val="center"/>
              <w:rPr>
                <w:rFonts w:ascii="Calibri" w:hAnsi="Calibri"/>
                <w:bCs/>
                <w:sz w:val="22"/>
                <w:szCs w:val="22"/>
              </w:rPr>
            </w:pPr>
            <w:r w:rsidRPr="003B7DA2">
              <w:rPr>
                <w:rFonts w:ascii="Calibri" w:hAnsi="Calibri" w:cs="Arial"/>
                <w:sz w:val="22"/>
                <w:szCs w:val="22"/>
              </w:rPr>
              <w:t>Időszak</w:t>
            </w:r>
          </w:p>
        </w:tc>
        <w:tc>
          <w:tcPr>
            <w:tcW w:w="913"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rsidTr="00D45209">
        <w:tc>
          <w:tcPr>
            <w:tcW w:w="918" w:type="dxa"/>
            <w:vMerge/>
          </w:tcPr>
          <w:p w:rsidR="0092684C" w:rsidRPr="003B7DA2" w:rsidRDefault="0092684C">
            <w:pPr>
              <w:pStyle w:val="BodyText"/>
              <w:rPr>
                <w:rFonts w:ascii="Calibri" w:hAnsi="Calibri"/>
                <w:b/>
                <w:bCs/>
                <w:sz w:val="22"/>
                <w:szCs w:val="22"/>
                <w:u w:val="single"/>
              </w:rPr>
            </w:pPr>
          </w:p>
        </w:tc>
        <w:tc>
          <w:tcPr>
            <w:tcW w:w="913" w:type="dxa"/>
            <w:vMerge/>
          </w:tcPr>
          <w:p w:rsidR="0092684C" w:rsidRPr="003B7DA2" w:rsidRDefault="0092684C">
            <w:pPr>
              <w:pStyle w:val="BodyText"/>
              <w:rPr>
                <w:rFonts w:ascii="Calibri" w:hAnsi="Calibri"/>
                <w:b/>
                <w:bCs/>
                <w:sz w:val="22"/>
                <w:szCs w:val="22"/>
                <w:u w:val="single"/>
              </w:rPr>
            </w:pPr>
          </w:p>
        </w:tc>
        <w:tc>
          <w:tcPr>
            <w:tcW w:w="797" w:type="dxa"/>
            <w:vMerge/>
          </w:tcPr>
          <w:p w:rsidR="0092684C" w:rsidRPr="003B7DA2" w:rsidRDefault="0092684C">
            <w:pPr>
              <w:pStyle w:val="BodyText"/>
              <w:rPr>
                <w:rFonts w:ascii="Calibri" w:hAnsi="Calibri"/>
                <w:b/>
                <w:bCs/>
                <w:sz w:val="22"/>
                <w:szCs w:val="22"/>
                <w:u w:val="single"/>
              </w:rPr>
            </w:pPr>
          </w:p>
        </w:tc>
        <w:tc>
          <w:tcPr>
            <w:tcW w:w="1080" w:type="dxa"/>
            <w:vMerge/>
          </w:tcPr>
          <w:p w:rsidR="0092684C" w:rsidRPr="003B7DA2" w:rsidRDefault="0092684C">
            <w:pPr>
              <w:pStyle w:val="BodyText"/>
              <w:rPr>
                <w:rFonts w:ascii="Calibri" w:hAnsi="Calibri"/>
                <w:b/>
                <w:bCs/>
                <w:sz w:val="22"/>
                <w:szCs w:val="22"/>
                <w:u w:val="single"/>
              </w:rPr>
            </w:pPr>
          </w:p>
        </w:tc>
        <w:tc>
          <w:tcPr>
            <w:tcW w:w="1080" w:type="dxa"/>
          </w:tcPr>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Állományt növelő</w:t>
            </w:r>
          </w:p>
          <w:p w:rsidR="0092684C" w:rsidRPr="003B7DA2" w:rsidRDefault="0092684C">
            <w:pPr>
              <w:pStyle w:val="BodyText"/>
              <w:rPr>
                <w:rFonts w:ascii="Calibri" w:hAnsi="Calibri" w:cs="Arial"/>
                <w:sz w:val="22"/>
                <w:szCs w:val="22"/>
              </w:rPr>
            </w:pPr>
            <w:r w:rsidRPr="003B7DA2">
              <w:rPr>
                <w:rFonts w:ascii="Calibri" w:hAnsi="Calibri" w:cs="Arial"/>
                <w:sz w:val="22"/>
                <w:szCs w:val="22"/>
              </w:rPr>
              <w:t>(Kiadás)</w:t>
            </w:r>
          </w:p>
        </w:tc>
        <w:tc>
          <w:tcPr>
            <w:tcW w:w="1080" w:type="dxa"/>
          </w:tcPr>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Állományt csökkentő</w:t>
            </w:r>
          </w:p>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195" w:type="dxa"/>
            <w:vMerge/>
          </w:tcPr>
          <w:p w:rsidR="0092684C" w:rsidRPr="003B7DA2" w:rsidRDefault="0092684C">
            <w:pPr>
              <w:pStyle w:val="BodyText"/>
              <w:rPr>
                <w:rFonts w:ascii="Calibri" w:hAnsi="Calibri" w:cs="Arial"/>
                <w:sz w:val="22"/>
                <w:szCs w:val="22"/>
              </w:rPr>
            </w:pPr>
          </w:p>
        </w:tc>
        <w:tc>
          <w:tcPr>
            <w:tcW w:w="785" w:type="dxa"/>
            <w:vMerge/>
          </w:tcPr>
          <w:p w:rsidR="0092684C" w:rsidRPr="003B7DA2" w:rsidRDefault="0092684C">
            <w:pPr>
              <w:pStyle w:val="BodyText"/>
              <w:rPr>
                <w:rFonts w:ascii="Calibri" w:hAnsi="Calibri" w:cs="Arial"/>
                <w:sz w:val="22"/>
                <w:szCs w:val="22"/>
              </w:rPr>
            </w:pPr>
          </w:p>
        </w:tc>
        <w:tc>
          <w:tcPr>
            <w:tcW w:w="1149" w:type="dxa"/>
            <w:vMerge/>
          </w:tcPr>
          <w:p w:rsidR="0092684C" w:rsidRPr="003B7DA2" w:rsidRDefault="0092684C">
            <w:pPr>
              <w:pStyle w:val="BodyText"/>
              <w:rPr>
                <w:rFonts w:ascii="Calibri" w:hAnsi="Calibri" w:cs="Arial"/>
                <w:sz w:val="22"/>
                <w:szCs w:val="22"/>
              </w:rPr>
            </w:pPr>
          </w:p>
        </w:tc>
      </w:tr>
      <w:tr w:rsidR="0092684C" w:rsidRPr="003B7DA2" w:rsidTr="00D45209">
        <w:tc>
          <w:tcPr>
            <w:tcW w:w="918" w:type="dxa"/>
          </w:tcPr>
          <w:p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rsidP="00D45209">
            <w:pPr>
              <w:pStyle w:val="BodyText"/>
              <w:jc w:val="center"/>
              <w:rPr>
                <w:rFonts w:ascii="Calibri" w:hAnsi="Calibri" w:cs="Arial"/>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rsidP="00D45209">
            <w:pPr>
              <w:pStyle w:val="BodyText"/>
              <w:jc w:val="center"/>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cs="Arial"/>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cs="Arial"/>
                <w:sz w:val="22"/>
                <w:szCs w:val="22"/>
              </w:rPr>
            </w:pP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bl>
    <w:p w:rsidR="0092684C" w:rsidRPr="003B7DA2" w:rsidRDefault="0092684C">
      <w:pPr>
        <w:jc w:val="both"/>
        <w:rPr>
          <w:rFonts w:ascii="Calibri" w:hAnsi="Calibri" w:cs="Garamond"/>
          <w:sz w:val="22"/>
          <w:szCs w:val="22"/>
        </w:rPr>
      </w:pPr>
    </w:p>
    <w:p w:rsidR="0092684C" w:rsidRPr="003B7DA2" w:rsidRDefault="00583402">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rsidTr="00D45209">
        <w:tc>
          <w:tcPr>
            <w:tcW w:w="918" w:type="dxa"/>
            <w:vMerge w:val="restart"/>
          </w:tcPr>
          <w:p w:rsidR="0092684C" w:rsidRPr="003B7DA2" w:rsidRDefault="0092684C">
            <w:pPr>
              <w:pStyle w:val="BodyText"/>
              <w:rPr>
                <w:rFonts w:ascii="Calibri" w:hAnsi="Calibri"/>
                <w:bCs/>
                <w:sz w:val="22"/>
                <w:szCs w:val="22"/>
              </w:rPr>
            </w:pPr>
            <w:r w:rsidRPr="003B7DA2">
              <w:rPr>
                <w:rFonts w:ascii="Calibri" w:hAnsi="Calibri"/>
                <w:bCs/>
                <w:sz w:val="22"/>
                <w:szCs w:val="22"/>
              </w:rPr>
              <w:t>Időszak</w:t>
            </w:r>
          </w:p>
        </w:tc>
        <w:tc>
          <w:tcPr>
            <w:tcW w:w="913"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rsidR="0092684C" w:rsidRPr="003B7DA2" w:rsidRDefault="0092684C">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rsidR="0092684C" w:rsidRPr="003B7DA2" w:rsidRDefault="0092684C">
            <w:pPr>
              <w:pStyle w:val="BodyText"/>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rsidTr="00D45209">
        <w:tc>
          <w:tcPr>
            <w:tcW w:w="918" w:type="dxa"/>
            <w:vMerge/>
          </w:tcPr>
          <w:p w:rsidR="0092684C" w:rsidRPr="003B7DA2" w:rsidRDefault="0092684C">
            <w:pPr>
              <w:pStyle w:val="BodyText"/>
              <w:rPr>
                <w:rFonts w:ascii="Calibri" w:hAnsi="Calibri"/>
                <w:b/>
                <w:bCs/>
                <w:sz w:val="22"/>
                <w:szCs w:val="22"/>
                <w:u w:val="single"/>
              </w:rPr>
            </w:pPr>
          </w:p>
        </w:tc>
        <w:tc>
          <w:tcPr>
            <w:tcW w:w="913" w:type="dxa"/>
            <w:vMerge/>
          </w:tcPr>
          <w:p w:rsidR="0092684C" w:rsidRPr="003B7DA2" w:rsidRDefault="0092684C">
            <w:pPr>
              <w:pStyle w:val="BodyText"/>
              <w:rPr>
                <w:rFonts w:ascii="Calibri" w:hAnsi="Calibri"/>
                <w:b/>
                <w:bCs/>
                <w:sz w:val="22"/>
                <w:szCs w:val="22"/>
                <w:u w:val="single"/>
              </w:rPr>
            </w:pPr>
          </w:p>
        </w:tc>
        <w:tc>
          <w:tcPr>
            <w:tcW w:w="797" w:type="dxa"/>
            <w:vMerge/>
          </w:tcPr>
          <w:p w:rsidR="0092684C" w:rsidRPr="003B7DA2" w:rsidRDefault="0092684C">
            <w:pPr>
              <w:pStyle w:val="BodyText"/>
              <w:rPr>
                <w:rFonts w:ascii="Calibri" w:hAnsi="Calibri"/>
                <w:b/>
                <w:bCs/>
                <w:sz w:val="22"/>
                <w:szCs w:val="22"/>
                <w:u w:val="single"/>
              </w:rPr>
            </w:pPr>
          </w:p>
        </w:tc>
        <w:tc>
          <w:tcPr>
            <w:tcW w:w="1080" w:type="dxa"/>
            <w:vMerge/>
          </w:tcPr>
          <w:p w:rsidR="0092684C" w:rsidRPr="003B7DA2" w:rsidRDefault="0092684C">
            <w:pPr>
              <w:pStyle w:val="BodyText"/>
              <w:rPr>
                <w:rFonts w:ascii="Calibri" w:hAnsi="Calibri"/>
                <w:b/>
                <w:bCs/>
                <w:sz w:val="22"/>
                <w:szCs w:val="22"/>
                <w:u w:val="single"/>
              </w:rPr>
            </w:pP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Állományt csökkentő (Kiadás)</w:t>
            </w:r>
          </w:p>
        </w:tc>
        <w:tc>
          <w:tcPr>
            <w:tcW w:w="1195" w:type="dxa"/>
            <w:vMerge/>
          </w:tcPr>
          <w:p w:rsidR="0092684C" w:rsidRPr="003B7DA2" w:rsidRDefault="0092684C">
            <w:pPr>
              <w:pStyle w:val="BodyText"/>
              <w:rPr>
                <w:rFonts w:ascii="Calibri" w:hAnsi="Calibri" w:cs="Arial"/>
                <w:sz w:val="22"/>
                <w:szCs w:val="22"/>
              </w:rPr>
            </w:pPr>
          </w:p>
        </w:tc>
        <w:tc>
          <w:tcPr>
            <w:tcW w:w="785" w:type="dxa"/>
            <w:vMerge/>
          </w:tcPr>
          <w:p w:rsidR="0092684C" w:rsidRPr="003B7DA2" w:rsidRDefault="0092684C">
            <w:pPr>
              <w:pStyle w:val="BodyText"/>
              <w:rPr>
                <w:rFonts w:ascii="Calibri" w:hAnsi="Calibri" w:cs="Arial"/>
                <w:sz w:val="22"/>
                <w:szCs w:val="22"/>
              </w:rPr>
            </w:pPr>
          </w:p>
        </w:tc>
        <w:tc>
          <w:tcPr>
            <w:tcW w:w="1149" w:type="dxa"/>
            <w:vMerge/>
          </w:tcPr>
          <w:p w:rsidR="0092684C" w:rsidRPr="003B7DA2" w:rsidRDefault="0092684C">
            <w:pPr>
              <w:pStyle w:val="BodyText"/>
              <w:rPr>
                <w:rFonts w:ascii="Calibri" w:hAnsi="Calibri" w:cs="Arial"/>
                <w:sz w:val="22"/>
                <w:szCs w:val="22"/>
              </w:rPr>
            </w:pPr>
          </w:p>
        </w:tc>
      </w:tr>
      <w:tr w:rsidR="0092684C" w:rsidRPr="003B7DA2" w:rsidTr="00D45209">
        <w:tc>
          <w:tcPr>
            <w:tcW w:w="918" w:type="dxa"/>
          </w:tcPr>
          <w:p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cs="Arial"/>
                <w:sz w:val="22"/>
                <w:szCs w:val="22"/>
              </w:rPr>
            </w:pP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
                <w:bCs/>
                <w:sz w:val="22"/>
                <w:szCs w:val="22"/>
                <w:u w:val="single"/>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1</w:t>
            </w:r>
            <w:r w:rsidR="005F1451" w:rsidRPr="003B7DA2">
              <w:rPr>
                <w:rFonts w:ascii="Calibri" w:hAnsi="Calibri" w:cs="Arial"/>
                <w:sz w:val="22"/>
                <w:szCs w:val="22"/>
              </w:rPr>
              <w:t xml:space="preserve"> </w:t>
            </w:r>
            <w:r w:rsidRPr="003B7DA2">
              <w:rPr>
                <w:rFonts w:ascii="Calibri" w:hAnsi="Calibri" w:cs="Arial"/>
                <w:sz w:val="22"/>
                <w:szCs w:val="22"/>
              </w:rPr>
              <w:t>000</w:t>
            </w:r>
            <w:r w:rsidR="005F1451" w:rsidRPr="003B7DA2">
              <w:rPr>
                <w:rFonts w:ascii="Calibri" w:hAnsi="Calibri" w:cs="Arial"/>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rsidTr="00D45209">
        <w:tc>
          <w:tcPr>
            <w:tcW w:w="918" w:type="dxa"/>
          </w:tcPr>
          <w:p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rsidR="0092684C" w:rsidRPr="003B7DA2" w:rsidRDefault="0092684C">
            <w:pPr>
              <w:pStyle w:val="BodyText"/>
              <w:rPr>
                <w:rFonts w:ascii="Calibri" w:hAnsi="Calibri" w:cs="Arial"/>
                <w:sz w:val="22"/>
                <w:szCs w:val="22"/>
              </w:rPr>
            </w:pPr>
            <w:r w:rsidRPr="003B7DA2">
              <w:rPr>
                <w:rFonts w:ascii="Calibri" w:hAnsi="Calibri" w:cs="Arial"/>
                <w:sz w:val="22"/>
                <w:szCs w:val="22"/>
              </w:rPr>
              <w:t>600</w:t>
            </w:r>
            <w:r w:rsidR="005F1451" w:rsidRPr="003B7DA2">
              <w:rPr>
                <w:rFonts w:ascii="Calibri" w:hAnsi="Calibri" w:cs="Arial"/>
                <w:sz w:val="22"/>
                <w:szCs w:val="22"/>
              </w:rPr>
              <w:t xml:space="preserve"> 000</w:t>
            </w:r>
          </w:p>
        </w:tc>
        <w:tc>
          <w:tcPr>
            <w:tcW w:w="1195" w:type="dxa"/>
          </w:tcPr>
          <w:p w:rsidR="0092684C" w:rsidRPr="003B7DA2" w:rsidRDefault="0092684C">
            <w:pPr>
              <w:pStyle w:val="BodyText"/>
              <w:rPr>
                <w:rFonts w:ascii="Calibri" w:hAnsi="Calibri" w:cs="Arial"/>
                <w:sz w:val="22"/>
                <w:szCs w:val="22"/>
              </w:rPr>
            </w:pPr>
            <w:r w:rsidRPr="003B7DA2">
              <w:rPr>
                <w:rFonts w:ascii="Calibri" w:hAnsi="Calibri"/>
                <w:bCs/>
                <w:sz w:val="22"/>
                <w:szCs w:val="22"/>
              </w:rPr>
              <w:t>- 400</w:t>
            </w:r>
            <w:r w:rsidR="005F1451" w:rsidRPr="003B7DA2">
              <w:rPr>
                <w:rFonts w:ascii="Calibri" w:hAnsi="Calibri"/>
                <w:bCs/>
                <w:sz w:val="22"/>
                <w:szCs w:val="22"/>
              </w:rPr>
              <w:t xml:space="preserve"> 000</w:t>
            </w:r>
          </w:p>
        </w:tc>
        <w:tc>
          <w:tcPr>
            <w:tcW w:w="785"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rsidR="0092684C" w:rsidRPr="003B7DA2" w:rsidRDefault="0092684C">
            <w:pPr>
              <w:pStyle w:val="BodyText"/>
              <w:rPr>
                <w:rFonts w:ascii="Calibri" w:hAnsi="Calibri"/>
                <w:bCs/>
                <w:sz w:val="22"/>
                <w:szCs w:val="22"/>
              </w:rPr>
            </w:pPr>
            <w:r w:rsidRPr="003B7DA2">
              <w:rPr>
                <w:rFonts w:ascii="Calibri" w:hAnsi="Calibri"/>
                <w:bCs/>
                <w:sz w:val="22"/>
                <w:szCs w:val="22"/>
              </w:rPr>
              <w:t>0</w:t>
            </w:r>
          </w:p>
        </w:tc>
      </w:tr>
    </w:tbl>
    <w:p w:rsidR="0092684C" w:rsidRPr="003B7DA2" w:rsidRDefault="0092684C">
      <w:pPr>
        <w:rPr>
          <w:rFonts w:ascii="Calibri" w:hAnsi="Calibri"/>
          <w:sz w:val="22"/>
          <w:szCs w:val="22"/>
        </w:rPr>
      </w:pPr>
    </w:p>
    <w:p w:rsidR="0092684C" w:rsidRPr="003B7DA2" w:rsidRDefault="0092684C">
      <w:pPr>
        <w:jc w:val="both"/>
        <w:rPr>
          <w:rFonts w:ascii="Calibri" w:hAnsi="Calibri" w:cs="Garamond"/>
          <w:i/>
          <w:sz w:val="22"/>
          <w:szCs w:val="22"/>
        </w:rPr>
      </w:pPr>
    </w:p>
    <w:p w:rsidR="0092684C" w:rsidRPr="003B7DA2" w:rsidRDefault="0092684C">
      <w:pPr>
        <w:jc w:val="both"/>
        <w:rPr>
          <w:rFonts w:ascii="Calibri" w:hAnsi="Calibri" w:cs="Garamond"/>
          <w:i/>
          <w:sz w:val="22"/>
          <w:szCs w:val="22"/>
        </w:rPr>
      </w:pPr>
    </w:p>
    <w:p w:rsidR="0092684C" w:rsidRPr="003B7DA2" w:rsidRDefault="0092684C">
      <w:pPr>
        <w:ind w:firstLine="720"/>
        <w:jc w:val="both"/>
        <w:rPr>
          <w:rFonts w:ascii="Calibri" w:hAnsi="Calibri"/>
          <w:sz w:val="22"/>
          <w:szCs w:val="22"/>
        </w:rPr>
      </w:pPr>
      <w:r w:rsidRPr="003B7DA2">
        <w:rPr>
          <w:rFonts w:ascii="Calibri" w:hAnsi="Calibri"/>
          <w:b/>
          <w:snapToGrid w:val="0"/>
          <w:sz w:val="22"/>
          <w:szCs w:val="22"/>
          <w:lang w:eastAsia="en-US"/>
        </w:rPr>
        <w:t>Devizától, valutától eltérő mögöttes termék</w:t>
      </w:r>
      <w:r w:rsidRPr="003B7DA2">
        <w:rPr>
          <w:rFonts w:ascii="Calibri" w:hAnsi="Calibri"/>
          <w:sz w:val="22"/>
          <w:szCs w:val="22"/>
        </w:rPr>
        <w:t xml:space="preserve"> esetében: </w:t>
      </w:r>
    </w:p>
    <w:p w:rsidR="0092684C" w:rsidRPr="003B7DA2" w:rsidRDefault="0092684C">
      <w:pPr>
        <w:ind w:left="720"/>
        <w:jc w:val="both"/>
        <w:rPr>
          <w:rFonts w:ascii="Calibri" w:hAnsi="Calibri"/>
          <w:b/>
          <w:snapToGrid w:val="0"/>
          <w:sz w:val="22"/>
          <w:szCs w:val="22"/>
          <w:lang w:eastAsia="en-US"/>
        </w:rPr>
      </w:pPr>
    </w:p>
    <w:p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rsidR="0092684C" w:rsidRPr="003B7DA2" w:rsidRDefault="0092684C">
      <w:pPr>
        <w:ind w:left="720"/>
        <w:jc w:val="both"/>
        <w:rPr>
          <w:rFonts w:ascii="Calibri" w:hAnsi="Calibri"/>
          <w:snapToGrid w:val="0"/>
          <w:sz w:val="22"/>
          <w:szCs w:val="22"/>
          <w:lang w:eastAsia="en-US"/>
        </w:rPr>
      </w:pPr>
    </w:p>
    <w:p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Amennyiben egy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ügylet az alapul szolgáló valamely reál termék tényleges leszállításával jár, e táblákban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tranzakcióként csak a mögöttes termék aktuális piaci ára és a szerződéses (kötési) ára közötti különbözeteket kell jelenteni az adatszolgáltató szempontjából nézve bevételként, vagy kiadásként, az iránynak megfelelő táblában. Az időszak végi kiértékelések a mögöttes termék árváltozásait figyelembe véve történnek, a tábla kitöltése a megfelelő instrumentum szerint történik (pl. az elszámolásos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ügyletre adott példa szerint, amennyiben határidős áru, vagy értékpapír vásárlásról van szó, mivel az értékkülönbözet lesz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 maga a leszállítás nem jelentendő </w:t>
      </w:r>
      <w:proofErr w:type="spellStart"/>
      <w:r w:rsidRPr="003B7DA2">
        <w:rPr>
          <w:rFonts w:ascii="Calibri" w:hAnsi="Calibri"/>
          <w:snapToGrid w:val="0"/>
          <w:sz w:val="22"/>
          <w:szCs w:val="22"/>
          <w:lang w:eastAsia="en-US"/>
        </w:rPr>
        <w:t>derivatívaként</w:t>
      </w:r>
      <w:proofErr w:type="spellEnd"/>
      <w:r w:rsidRPr="003B7DA2">
        <w:rPr>
          <w:rFonts w:ascii="Calibri" w:hAnsi="Calibri"/>
          <w:snapToGrid w:val="0"/>
          <w:sz w:val="22"/>
          <w:szCs w:val="22"/>
          <w:lang w:eastAsia="en-US"/>
        </w:rPr>
        <w:t xml:space="preserve">, vagy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ügyletre adott példa szerint, amennyiben a vonatkozó tőzsdén a szóban forgó ügylettel kapcsolatban folyamatosan megtörténik az értékkülönbözetek rendezése, esetleg az opcióknál adott példa szerint, amennyiben opciós ügyletről van szó). </w:t>
      </w:r>
    </w:p>
    <w:p w:rsidR="0092684C" w:rsidRPr="003B7DA2" w:rsidRDefault="0092684C">
      <w:pPr>
        <w:ind w:left="720"/>
        <w:jc w:val="both"/>
        <w:rPr>
          <w:rFonts w:ascii="Calibri" w:hAnsi="Calibri"/>
          <w:snapToGrid w:val="0"/>
          <w:sz w:val="22"/>
          <w:szCs w:val="22"/>
          <w:lang w:eastAsia="en-US"/>
        </w:rPr>
      </w:pPr>
    </w:p>
    <w:p w:rsidR="0092684C" w:rsidRPr="003B7DA2" w:rsidRDefault="0092684C">
      <w:pPr>
        <w:tabs>
          <w:tab w:val="left" w:pos="1440"/>
        </w:tabs>
        <w:jc w:val="both"/>
        <w:rPr>
          <w:rFonts w:ascii="Calibri" w:hAnsi="Calibri"/>
          <w:sz w:val="22"/>
          <w:szCs w:val="22"/>
        </w:rPr>
      </w:pPr>
    </w:p>
    <w:sectPr w:rsidR="0092684C" w:rsidRPr="003B7D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FE" w:rsidRDefault="005B46FE">
      <w:r>
        <w:separator/>
      </w:r>
    </w:p>
  </w:endnote>
  <w:endnote w:type="continuationSeparator" w:id="0">
    <w:p w:rsidR="005B46FE" w:rsidRDefault="005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48" w:rsidRDefault="00EF0748" w:rsidP="0058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748" w:rsidRDefault="00EF0748" w:rsidP="00583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48" w:rsidRDefault="00EF0748" w:rsidP="0058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DA2">
      <w:rPr>
        <w:rStyle w:val="PageNumber"/>
        <w:noProof/>
      </w:rPr>
      <w:t>19</w:t>
    </w:r>
    <w:r>
      <w:rPr>
        <w:rStyle w:val="PageNumber"/>
      </w:rPr>
      <w:fldChar w:fldCharType="end"/>
    </w:r>
  </w:p>
  <w:p w:rsidR="00EF0748" w:rsidRDefault="00EF0748" w:rsidP="005834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FE" w:rsidRDefault="005B46FE">
      <w:r>
        <w:separator/>
      </w:r>
    </w:p>
  </w:footnote>
  <w:footnote w:type="continuationSeparator" w:id="0">
    <w:p w:rsidR="005B46FE" w:rsidRDefault="005B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2C0"/>
    <w:multiLevelType w:val="hybridMultilevel"/>
    <w:tmpl w:val="5DB2CE42"/>
    <w:lvl w:ilvl="0" w:tplc="763084F4">
      <w:start w:val="1"/>
      <w:numFmt w:val="upperLetter"/>
      <w:lvlText w:val="%1."/>
      <w:lvlJc w:val="left"/>
      <w:pPr>
        <w:tabs>
          <w:tab w:val="num" w:pos="360"/>
        </w:tabs>
        <w:ind w:left="360" w:hanging="360"/>
      </w:pPr>
      <w:rPr>
        <w:rFonts w:hint="default"/>
        <w:b/>
      </w:rPr>
    </w:lvl>
    <w:lvl w:ilvl="1" w:tplc="040E0013">
      <w:start w:val="1"/>
      <w:numFmt w:val="upperRoman"/>
      <w:lvlText w:val="%2."/>
      <w:lvlJc w:val="right"/>
      <w:pPr>
        <w:tabs>
          <w:tab w:val="num" w:pos="900"/>
        </w:tabs>
        <w:ind w:left="900" w:hanging="180"/>
      </w:pPr>
      <w:rPr>
        <w:rFonts w:hint="default"/>
      </w:rPr>
    </w:lvl>
    <w:lvl w:ilvl="2" w:tplc="878EC85E">
      <w:start w:val="7"/>
      <w:numFmt w:val="decimal"/>
      <w:lvlText w:val="%3."/>
      <w:lvlJc w:val="left"/>
      <w:pPr>
        <w:tabs>
          <w:tab w:val="num" w:pos="1800"/>
        </w:tabs>
        <w:ind w:left="1800" w:hanging="360"/>
      </w:pPr>
      <w:rPr>
        <w:rFonts w:hint="default"/>
      </w:rPr>
    </w:lvl>
    <w:lvl w:ilvl="3" w:tplc="5EA8C3DE">
      <w:start w:val="1"/>
      <w:numFmt w:val="lowerLetter"/>
      <w:lvlText w:val="%4.)"/>
      <w:lvlJc w:val="left"/>
      <w:pPr>
        <w:tabs>
          <w:tab w:val="num" w:pos="2520"/>
        </w:tabs>
        <w:ind w:left="2520" w:hanging="360"/>
      </w:pPr>
      <w:rPr>
        <w:rFonts w:hint="default"/>
        <w:b/>
        <w:u w:val="single"/>
      </w:rPr>
    </w:lvl>
    <w:lvl w:ilvl="4" w:tplc="2A9ACB74">
      <w:start w:val="2"/>
      <w:numFmt w:val="upperLetter"/>
      <w:lvlText w:val="%5.)"/>
      <w:lvlJc w:val="left"/>
      <w:pPr>
        <w:tabs>
          <w:tab w:val="num" w:pos="3240"/>
        </w:tabs>
        <w:ind w:left="3240" w:hanging="360"/>
      </w:pPr>
      <w:rPr>
        <w:rFonts w:ascii="Garamond" w:hAnsi="Garamond"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214A09"/>
    <w:multiLevelType w:val="hybridMultilevel"/>
    <w:tmpl w:val="6A001E88"/>
    <w:lvl w:ilvl="0" w:tplc="040E0005">
      <w:start w:val="1"/>
      <w:numFmt w:val="bullet"/>
      <w:lvlText w:val=""/>
      <w:lvlJc w:val="left"/>
      <w:pPr>
        <w:tabs>
          <w:tab w:val="num" w:pos="360"/>
        </w:tabs>
        <w:ind w:left="360" w:hanging="360"/>
      </w:pPr>
      <w:rPr>
        <w:rFonts w:ascii="Wingdings" w:hAnsi="Wingdings" w:hint="default"/>
      </w:rPr>
    </w:lvl>
    <w:lvl w:ilvl="1" w:tplc="46E4E632">
      <w:numFmt w:val="bullet"/>
      <w:lvlText w:val="-"/>
      <w:lvlJc w:val="left"/>
      <w:pPr>
        <w:tabs>
          <w:tab w:val="num" w:pos="1080"/>
        </w:tabs>
        <w:ind w:left="1080" w:hanging="360"/>
      </w:pPr>
      <w:rPr>
        <w:rFonts w:ascii="Garamond" w:eastAsia="Times New Roman" w:hAnsi="Garamond"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2151B8"/>
    <w:multiLevelType w:val="hybridMultilevel"/>
    <w:tmpl w:val="974A5BA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AD966BA"/>
    <w:multiLevelType w:val="hybridMultilevel"/>
    <w:tmpl w:val="6E1E113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402"/>
    <w:rsid w:val="0006326C"/>
    <w:rsid w:val="00127224"/>
    <w:rsid w:val="00146264"/>
    <w:rsid w:val="001677E7"/>
    <w:rsid w:val="001B44CE"/>
    <w:rsid w:val="00215FBE"/>
    <w:rsid w:val="00260413"/>
    <w:rsid w:val="0027262F"/>
    <w:rsid w:val="0029758D"/>
    <w:rsid w:val="002E01FF"/>
    <w:rsid w:val="00343062"/>
    <w:rsid w:val="003A3297"/>
    <w:rsid w:val="003B7DA2"/>
    <w:rsid w:val="003D468D"/>
    <w:rsid w:val="00401CFA"/>
    <w:rsid w:val="0042568A"/>
    <w:rsid w:val="00450DB8"/>
    <w:rsid w:val="004C73FB"/>
    <w:rsid w:val="0052559A"/>
    <w:rsid w:val="00531997"/>
    <w:rsid w:val="00583402"/>
    <w:rsid w:val="0058577D"/>
    <w:rsid w:val="00595B8E"/>
    <w:rsid w:val="005A655A"/>
    <w:rsid w:val="005B46FE"/>
    <w:rsid w:val="005F1451"/>
    <w:rsid w:val="00601BFA"/>
    <w:rsid w:val="00695875"/>
    <w:rsid w:val="00722D7A"/>
    <w:rsid w:val="00727BF5"/>
    <w:rsid w:val="00744347"/>
    <w:rsid w:val="00874533"/>
    <w:rsid w:val="00921A62"/>
    <w:rsid w:val="0092684C"/>
    <w:rsid w:val="00932E05"/>
    <w:rsid w:val="009C20F5"/>
    <w:rsid w:val="009D212F"/>
    <w:rsid w:val="00A37F7F"/>
    <w:rsid w:val="00A80ACF"/>
    <w:rsid w:val="00A95B1D"/>
    <w:rsid w:val="00B17209"/>
    <w:rsid w:val="00B65BA2"/>
    <w:rsid w:val="00BE22CF"/>
    <w:rsid w:val="00BF7D76"/>
    <w:rsid w:val="00C30686"/>
    <w:rsid w:val="00C414DE"/>
    <w:rsid w:val="00C70DED"/>
    <w:rsid w:val="00C973AB"/>
    <w:rsid w:val="00CD6D72"/>
    <w:rsid w:val="00CE7EB0"/>
    <w:rsid w:val="00CF4CDD"/>
    <w:rsid w:val="00D45209"/>
    <w:rsid w:val="00E10029"/>
    <w:rsid w:val="00EF0748"/>
    <w:rsid w:val="00F01240"/>
    <w:rsid w:val="00F16E63"/>
    <w:rsid w:val="00F17625"/>
    <w:rsid w:val="00FA29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42BC9E-03A2-46B6-B954-407E1E3E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jc w:val="both"/>
    </w:pPr>
    <w:rPr>
      <w:rFonts w:ascii="Times New Roman" w:hAnsi="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BlockText">
    <w:name w:val="Block Text"/>
    <w:basedOn w:val="Normal"/>
    <w:pPr>
      <w:spacing w:before="120"/>
      <w:ind w:left="283" w:right="562"/>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rPr>
  </w:style>
  <w:style w:type="paragraph" w:customStyle="1" w:styleId="CharChar1CharCharCharCharCharCharCharCharCharCharCharCharChar">
    <w:name w:val=" Char Char1 Char Char Char Char Char Char Char Char Char Char Char Char Char"/>
    <w:basedOn w:val="Normal"/>
    <w:rsid w:val="00EF0748"/>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972">
      <w:bodyDiv w:val="1"/>
      <w:marLeft w:val="0"/>
      <w:marRight w:val="0"/>
      <w:marTop w:val="0"/>
      <w:marBottom w:val="0"/>
      <w:divBdr>
        <w:top w:val="none" w:sz="0" w:space="0" w:color="auto"/>
        <w:left w:val="none" w:sz="0" w:space="0" w:color="auto"/>
        <w:bottom w:val="none" w:sz="0" w:space="0" w:color="auto"/>
        <w:right w:val="none" w:sz="0" w:space="0" w:color="auto"/>
      </w:divBdr>
    </w:div>
    <w:div w:id="213277825">
      <w:bodyDiv w:val="1"/>
      <w:marLeft w:val="0"/>
      <w:marRight w:val="0"/>
      <w:marTop w:val="0"/>
      <w:marBottom w:val="0"/>
      <w:divBdr>
        <w:top w:val="none" w:sz="0" w:space="0" w:color="auto"/>
        <w:left w:val="none" w:sz="0" w:space="0" w:color="auto"/>
        <w:bottom w:val="none" w:sz="0" w:space="0" w:color="auto"/>
        <w:right w:val="none" w:sz="0" w:space="0" w:color="auto"/>
      </w:divBdr>
    </w:div>
    <w:div w:id="594896954">
      <w:bodyDiv w:val="1"/>
      <w:marLeft w:val="0"/>
      <w:marRight w:val="0"/>
      <w:marTop w:val="0"/>
      <w:marBottom w:val="0"/>
      <w:divBdr>
        <w:top w:val="none" w:sz="0" w:space="0" w:color="auto"/>
        <w:left w:val="none" w:sz="0" w:space="0" w:color="auto"/>
        <w:bottom w:val="none" w:sz="0" w:space="0" w:color="auto"/>
        <w:right w:val="none" w:sz="0" w:space="0" w:color="auto"/>
      </w:divBdr>
    </w:div>
    <w:div w:id="7277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5864</Words>
  <Characters>40462</Characters>
  <Application>Microsoft Office Word</Application>
  <DocSecurity>0</DocSecurity>
  <Lines>337</Lines>
  <Paragraphs>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„Option style margining” arra a rendszerre utal, amikor a szerződésben kikötött érték változását a lejáratkor rendezik</vt:lpstr>
      <vt:lpstr>„Option style margining” arra a rendszerre utal, amikor a szerződésben kikötött érték változását a lejáratkor rendezik</vt:lpstr>
    </vt:vector>
  </TitlesOfParts>
  <Company>Magyar Nemzeti Bank</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style margining” arra a rendszerre utal, amikor a szerződésben kikötött érték változását a lejáratkor rendezik</dc:title>
  <dc:subject/>
  <dc:creator>Horvátthné Fedor Katalin</dc:creator>
  <cp:keywords/>
  <dc:description/>
  <cp:lastModifiedBy>Adorján Andrea</cp:lastModifiedBy>
  <cp:revision>2</cp:revision>
  <dcterms:created xsi:type="dcterms:W3CDTF">2022-02-24T14:15:00Z</dcterms:created>
  <dcterms:modified xsi:type="dcterms:W3CDTF">2022-02-24T14:15:00Z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-2069107237</vt:i4>
  </property>
  <property fmtid="{D5CDD505-2E9C-101B-9397-08002B2CF9AE}" pid="3" name="_EmailSubject">
    <vt:lpwstr/>
  </property>
  <property fmtid="{D5CDD505-2E9C-101B-9397-08002B2CF9AE}" pid="4" name="_AuthorEmail">
    <vt:lpwstr>horvathnek@mnb.hu</vt:lpwstr>
  </property>
  <property fmtid="{D5CDD505-2E9C-101B-9397-08002B2CF9AE}" pid="5" name="_AuthorEmailDisplayName">
    <vt:lpwstr>Horvátthné Fedor Katalin</vt:lpwstr>
  </property>
  <property fmtid="{D5CDD505-2E9C-101B-9397-08002B2CF9AE}" pid="6" name="_ReviewingToolsShownOnce">
    <vt:lpwstr/>
  </property>
  <property fmtid="{D5CDD505-2E9C-101B-9397-08002B2CF9AE}" pid="7" name="Érvényességi idő">
    <vt:filetime>2027-02-24T14:14:47Z</vt:filetime>
  </property>
  <property fmtid="{D5CDD505-2E9C-101B-9397-08002B2CF9AE}" pid="8" name="Érvényességet beállító">
    <vt:lpwstr>adorjana</vt:lpwstr>
  </property>
  <property fmtid="{D5CDD505-2E9C-101B-9397-08002B2CF9AE}" pid="9" name="Érvényességi idő első beállítása">
    <vt:filetime>2022-02-24T14:14:47Z</vt:filetime>
  </property>
  <property fmtid="{D5CDD505-2E9C-101B-9397-08002B2CF9AE}" pid="10" name="MSIP_Label_b0d11092-50c9-4e74-84b5-b1af078dc3d0_Enabled">
    <vt:lpwstr>True</vt:lpwstr>
  </property>
  <property fmtid="{D5CDD505-2E9C-101B-9397-08002B2CF9AE}" pid="11" name="MSIP_Label_b0d11092-50c9-4e74-84b5-b1af078dc3d0_SiteId">
    <vt:lpwstr>97c01ef8-0264-4eef-9c08-fb4a9ba1c0db</vt:lpwstr>
  </property>
  <property fmtid="{D5CDD505-2E9C-101B-9397-08002B2CF9AE}" pid="12" name="MSIP_Label_b0d11092-50c9-4e74-84b5-b1af078dc3d0_Owner">
    <vt:lpwstr>adorjana@mnb.hu</vt:lpwstr>
  </property>
  <property fmtid="{D5CDD505-2E9C-101B-9397-08002B2CF9AE}" pid="13" name="MSIP_Label_b0d11092-50c9-4e74-84b5-b1af078dc3d0_SetDate">
    <vt:lpwstr>2022-02-24T14:15:03.5603792Z</vt:lpwstr>
  </property>
  <property fmtid="{D5CDD505-2E9C-101B-9397-08002B2CF9AE}" pid="14" name="MSIP_Label_b0d11092-50c9-4e74-84b5-b1af078dc3d0_Name">
    <vt:lpwstr>Protected</vt:lpwstr>
  </property>
  <property fmtid="{D5CDD505-2E9C-101B-9397-08002B2CF9AE}" pid="15" name="MSIP_Label_b0d11092-50c9-4e74-84b5-b1af078dc3d0_Application">
    <vt:lpwstr>Microsoft Azure Information Protection</vt:lpwstr>
  </property>
  <property fmtid="{D5CDD505-2E9C-101B-9397-08002B2CF9AE}" pid="16" name="MSIP_Label_b0d11092-50c9-4e74-84b5-b1af078dc3d0_ActionId">
    <vt:lpwstr>f78d07c4-ac07-4ae3-9d57-6ca6a59a9019</vt:lpwstr>
  </property>
  <property fmtid="{D5CDD505-2E9C-101B-9397-08002B2CF9AE}" pid="17" name="MSIP_Label_b0d11092-50c9-4e74-84b5-b1af078dc3d0_Extended_MSFT_Method">
    <vt:lpwstr>Automatic</vt:lpwstr>
  </property>
  <property fmtid="{D5CDD505-2E9C-101B-9397-08002B2CF9AE}" pid="18" name="Sensitivity">
    <vt:lpwstr>Protected</vt:lpwstr>
  </property>
</Properties>
</file>