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3B1" w14:textId="77777777" w:rsidR="00C36546" w:rsidRPr="00A236B4" w:rsidRDefault="00C36546" w:rsidP="00C36546">
      <w:pPr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 xml:space="preserve">MNB azonosító: </w:t>
      </w:r>
      <w:r w:rsidRPr="00A236B4">
        <w:rPr>
          <w:rFonts w:ascii="Calibri" w:hAnsi="Calibri"/>
          <w:b/>
          <w:sz w:val="22"/>
          <w:szCs w:val="22"/>
        </w:rPr>
        <w:t>R19</w:t>
      </w:r>
    </w:p>
    <w:p w14:paraId="0272AF63" w14:textId="77777777" w:rsidR="00C36546" w:rsidRPr="00A236B4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</w:p>
    <w:p w14:paraId="04BF1387" w14:textId="77777777" w:rsidR="00C36546" w:rsidRPr="00A236B4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</w:p>
    <w:p w14:paraId="315CDC1E" w14:textId="77777777" w:rsidR="00C36546" w:rsidRPr="00A236B4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A236B4">
        <w:rPr>
          <w:rFonts w:ascii="Calibri" w:hAnsi="Calibri"/>
          <w:b/>
          <w:sz w:val="22"/>
          <w:szCs w:val="22"/>
        </w:rPr>
        <w:t>MÓDSZERTANI SEGÉDLET</w:t>
      </w:r>
    </w:p>
    <w:p w14:paraId="52752C9A" w14:textId="77777777" w:rsidR="00C36546" w:rsidRPr="00A236B4" w:rsidRDefault="00C36546" w:rsidP="00C36546">
      <w:pPr>
        <w:pStyle w:val="TOC2"/>
        <w:ind w:left="0"/>
        <w:rPr>
          <w:rFonts w:ascii="Calibri" w:hAnsi="Calibri"/>
          <w:b/>
          <w:sz w:val="22"/>
          <w:szCs w:val="22"/>
        </w:rPr>
      </w:pPr>
    </w:p>
    <w:p w14:paraId="743CE5FF" w14:textId="77777777" w:rsidR="00C36546" w:rsidRPr="00A236B4" w:rsidRDefault="00C36546" w:rsidP="00C36546">
      <w:pPr>
        <w:jc w:val="center"/>
        <w:rPr>
          <w:rFonts w:ascii="Calibri" w:hAnsi="Calibri" w:cs="Arial"/>
          <w:b/>
          <w:sz w:val="22"/>
          <w:szCs w:val="22"/>
        </w:rPr>
      </w:pPr>
      <w:r w:rsidRPr="00A236B4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14:paraId="5F506C42" w14:textId="77777777" w:rsidR="00C36546" w:rsidRPr="00A236B4" w:rsidRDefault="00C36546" w:rsidP="00C36546">
      <w:pPr>
        <w:jc w:val="center"/>
        <w:rPr>
          <w:rFonts w:ascii="Calibri" w:hAnsi="Calibri"/>
          <w:sz w:val="22"/>
          <w:szCs w:val="22"/>
        </w:rPr>
      </w:pPr>
    </w:p>
    <w:p w14:paraId="2B560D4C" w14:textId="77777777" w:rsidR="00C36546" w:rsidRPr="00A236B4" w:rsidRDefault="00C36546" w:rsidP="00C36546">
      <w:pPr>
        <w:rPr>
          <w:rFonts w:ascii="Calibri" w:hAnsi="Calibri"/>
          <w:sz w:val="22"/>
          <w:szCs w:val="22"/>
        </w:rPr>
      </w:pPr>
    </w:p>
    <w:p w14:paraId="1F48F6FA" w14:textId="77777777" w:rsidR="00C36546" w:rsidRPr="00A236B4" w:rsidRDefault="00C36546" w:rsidP="00C36546">
      <w:pPr>
        <w:pStyle w:val="Heading1"/>
        <w:rPr>
          <w:rFonts w:ascii="Calibri" w:hAnsi="Calibri"/>
          <w:sz w:val="22"/>
          <w:szCs w:val="22"/>
        </w:rPr>
      </w:pPr>
      <w:bookmarkStart w:id="0" w:name="_Toc121899093"/>
      <w:bookmarkStart w:id="1" w:name="_Toc122142153"/>
      <w:bookmarkStart w:id="2" w:name="_Toc122169403"/>
      <w:bookmarkStart w:id="3" w:name="_Toc124838744"/>
      <w:bookmarkStart w:id="4" w:name="_Toc124919164"/>
      <w:bookmarkStart w:id="5" w:name="_Toc124920149"/>
      <w:r w:rsidRPr="00A236B4">
        <w:rPr>
          <w:rFonts w:ascii="Calibri" w:hAnsi="Calibri"/>
          <w:sz w:val="22"/>
          <w:szCs w:val="22"/>
        </w:rPr>
        <w:t>I. Általános tudnivalók</w:t>
      </w:r>
      <w:bookmarkEnd w:id="0"/>
      <w:bookmarkEnd w:id="1"/>
      <w:bookmarkEnd w:id="2"/>
      <w:bookmarkEnd w:id="3"/>
      <w:bookmarkEnd w:id="4"/>
      <w:bookmarkEnd w:id="5"/>
    </w:p>
    <w:p w14:paraId="4D378A8B" w14:textId="77777777" w:rsidR="00C36546" w:rsidRPr="00A236B4" w:rsidRDefault="00C36546" w:rsidP="00C36546">
      <w:pPr>
        <w:pStyle w:val="Heading3"/>
        <w:numPr>
          <w:ilvl w:val="0"/>
          <w:numId w:val="1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A236B4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14:paraId="66CAD966" w14:textId="77777777" w:rsidR="003E485B" w:rsidRPr="00B264DD" w:rsidRDefault="00C36546" w:rsidP="00C36546">
      <w:pPr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 xml:space="preserve">Az adatszolgáltatás előzetes - évközi negyedéves, illetve év végi – magyar számviteli előírások szerinti mérlegadatokra vonatkozik. </w:t>
      </w:r>
      <w:r w:rsidR="00B264DD" w:rsidRPr="00B264DD">
        <w:rPr>
          <w:rFonts w:ascii="Calibri" w:hAnsi="Calibri" w:cs="Arial"/>
          <w:sz w:val="22"/>
          <w:szCs w:val="22"/>
        </w:rPr>
        <w:t xml:space="preserve">Amennyiben az adatszolgáltató </w:t>
      </w:r>
      <w:proofErr w:type="spellStart"/>
      <w:r w:rsidR="00B264DD" w:rsidRPr="00B264DD">
        <w:rPr>
          <w:rFonts w:ascii="Calibri" w:hAnsi="Calibri" w:cs="Arial"/>
          <w:sz w:val="22"/>
          <w:szCs w:val="22"/>
        </w:rPr>
        <w:t>IFRS</w:t>
      </w:r>
      <w:proofErr w:type="spellEnd"/>
      <w:r w:rsidR="00B264DD" w:rsidRPr="00B264DD">
        <w:rPr>
          <w:rFonts w:ascii="Calibri" w:hAnsi="Calibri" w:cs="Arial"/>
          <w:sz w:val="22"/>
          <w:szCs w:val="22"/>
        </w:rPr>
        <w:t>-ek szerinti éves egyedi beszámolót készít, akkor az adatszolgáltatást ezen előírások szerinti mérlegadatok alapján kell kitölteni.</w:t>
      </w:r>
    </w:p>
    <w:p w14:paraId="0F031545" w14:textId="77777777" w:rsidR="00C36546" w:rsidRPr="00A236B4" w:rsidRDefault="00C36546" w:rsidP="00C36546">
      <w:pPr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 xml:space="preserve">Az adatszolgáltatást az éves beszámoló végleges adatai alapján nem kell megismételni. </w:t>
      </w:r>
    </w:p>
    <w:p w14:paraId="0453AB2C" w14:textId="77777777" w:rsidR="00C36546" w:rsidRPr="00A236B4" w:rsidRDefault="00C36546" w:rsidP="00C36546">
      <w:pPr>
        <w:spacing w:before="120"/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>A jelentést negyedévente kell elkészíteni, és a tárgy időszakot követő hó</w:t>
      </w:r>
      <w:r w:rsidR="00B520B0" w:rsidRPr="00A236B4">
        <w:rPr>
          <w:rFonts w:ascii="Calibri" w:hAnsi="Calibri"/>
          <w:sz w:val="22"/>
          <w:szCs w:val="22"/>
        </w:rPr>
        <w:t>nap 30</w:t>
      </w:r>
      <w:r w:rsidRPr="00A236B4">
        <w:rPr>
          <w:rFonts w:ascii="Calibri" w:hAnsi="Calibri"/>
          <w:sz w:val="22"/>
          <w:szCs w:val="22"/>
        </w:rPr>
        <w:t xml:space="preserve">. </w:t>
      </w:r>
      <w:r w:rsidR="00B520B0" w:rsidRPr="00A236B4">
        <w:rPr>
          <w:rFonts w:ascii="Calibri" w:hAnsi="Calibri"/>
          <w:sz w:val="22"/>
          <w:szCs w:val="22"/>
        </w:rPr>
        <w:t>napjáig</w:t>
      </w:r>
      <w:r w:rsidRPr="00A236B4">
        <w:rPr>
          <w:rFonts w:ascii="Calibri" w:hAnsi="Calibri"/>
          <w:sz w:val="22"/>
          <w:szCs w:val="22"/>
        </w:rPr>
        <w:t xml:space="preserve"> </w:t>
      </w:r>
      <w:proofErr w:type="spellStart"/>
      <w:r w:rsidRPr="00A236B4">
        <w:rPr>
          <w:rFonts w:ascii="Calibri" w:hAnsi="Calibri"/>
          <w:sz w:val="22"/>
          <w:szCs w:val="22"/>
        </w:rPr>
        <w:t>EBEAD-on</w:t>
      </w:r>
      <w:proofErr w:type="spellEnd"/>
      <w:r w:rsidRPr="00A236B4">
        <w:rPr>
          <w:rFonts w:ascii="Calibri" w:hAnsi="Calibri"/>
          <w:sz w:val="22"/>
          <w:szCs w:val="22"/>
        </w:rPr>
        <w:t xml:space="preserve"> beküldeni annak a negyedévnek a megjelölésével, mint vonatkozási időponttal, amelyről a jelentés készül (pl. a 20</w:t>
      </w:r>
      <w:r w:rsidR="007064E1" w:rsidRPr="00A236B4">
        <w:rPr>
          <w:rFonts w:ascii="Calibri" w:hAnsi="Calibri"/>
          <w:sz w:val="22"/>
          <w:szCs w:val="22"/>
        </w:rPr>
        <w:t>1</w:t>
      </w:r>
      <w:r w:rsidR="00606B61">
        <w:rPr>
          <w:rFonts w:ascii="Calibri" w:hAnsi="Calibri"/>
          <w:sz w:val="22"/>
          <w:szCs w:val="22"/>
        </w:rPr>
        <w:t>7</w:t>
      </w:r>
      <w:r w:rsidRPr="00A236B4">
        <w:rPr>
          <w:rFonts w:ascii="Calibri" w:hAnsi="Calibri"/>
          <w:sz w:val="22"/>
          <w:szCs w:val="22"/>
        </w:rPr>
        <w:t>.I. negyedévéről szóló jelentés vonatkozási ideje 20</w:t>
      </w:r>
      <w:r w:rsidR="007064E1" w:rsidRPr="00A236B4">
        <w:rPr>
          <w:rFonts w:ascii="Calibri" w:hAnsi="Calibri"/>
          <w:sz w:val="22"/>
          <w:szCs w:val="22"/>
        </w:rPr>
        <w:t>1</w:t>
      </w:r>
      <w:r w:rsidR="00606B61">
        <w:rPr>
          <w:rFonts w:ascii="Calibri" w:hAnsi="Calibri"/>
          <w:sz w:val="22"/>
          <w:szCs w:val="22"/>
        </w:rPr>
        <w:t>7</w:t>
      </w:r>
      <w:r w:rsidRPr="00A236B4">
        <w:rPr>
          <w:rFonts w:ascii="Calibri" w:hAnsi="Calibri"/>
          <w:sz w:val="22"/>
          <w:szCs w:val="22"/>
        </w:rPr>
        <w:t>N1).</w:t>
      </w:r>
    </w:p>
    <w:p w14:paraId="18DA65D1" w14:textId="77777777" w:rsidR="00670F76" w:rsidRPr="00A236B4" w:rsidRDefault="00670F76" w:rsidP="00C36546">
      <w:pPr>
        <w:jc w:val="both"/>
        <w:rPr>
          <w:rFonts w:ascii="Calibri" w:hAnsi="Calibri" w:cs="Arial"/>
          <w:b/>
          <w:sz w:val="22"/>
          <w:szCs w:val="22"/>
        </w:rPr>
      </w:pPr>
    </w:p>
    <w:p w14:paraId="0D80CA90" w14:textId="77777777" w:rsidR="00B520B0" w:rsidRPr="00A236B4" w:rsidRDefault="00B520B0" w:rsidP="006232D1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236B4">
        <w:rPr>
          <w:rFonts w:ascii="Calibri" w:hAnsi="Calibri"/>
          <w:b/>
          <w:sz w:val="22"/>
          <w:szCs w:val="22"/>
        </w:rPr>
        <w:t xml:space="preserve">Az adatok számbavétele </w:t>
      </w:r>
    </w:p>
    <w:p w14:paraId="20E79C4E" w14:textId="77777777" w:rsidR="00443830" w:rsidRPr="00A236B4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>Az adatokat a tárgynegyedév</w:t>
      </w:r>
      <w:r w:rsidR="00443830" w:rsidRPr="00A236B4">
        <w:rPr>
          <w:rFonts w:ascii="Calibri" w:hAnsi="Calibri"/>
          <w:sz w:val="22"/>
          <w:szCs w:val="22"/>
        </w:rPr>
        <w:t xml:space="preserve"> - ami megegyezik a</w:t>
      </w:r>
      <w:r w:rsidRPr="00A236B4">
        <w:rPr>
          <w:rFonts w:ascii="Calibri" w:hAnsi="Calibri"/>
          <w:sz w:val="22"/>
          <w:szCs w:val="22"/>
        </w:rPr>
        <w:t xml:space="preserve"> naptári negyedév</w:t>
      </w:r>
      <w:r w:rsidR="00443830" w:rsidRPr="00A236B4">
        <w:rPr>
          <w:rFonts w:ascii="Calibri" w:hAnsi="Calibri"/>
          <w:sz w:val="22"/>
          <w:szCs w:val="22"/>
        </w:rPr>
        <w:t>vel</w:t>
      </w:r>
      <w:r w:rsidRPr="00A236B4">
        <w:rPr>
          <w:rFonts w:ascii="Calibri" w:hAnsi="Calibri"/>
          <w:sz w:val="22"/>
          <w:szCs w:val="22"/>
        </w:rPr>
        <w:t xml:space="preserve"> </w:t>
      </w:r>
      <w:r w:rsidR="00443830" w:rsidRPr="00A236B4">
        <w:rPr>
          <w:rFonts w:ascii="Calibri" w:hAnsi="Calibri"/>
          <w:sz w:val="22"/>
          <w:szCs w:val="22"/>
        </w:rPr>
        <w:t xml:space="preserve">- </w:t>
      </w:r>
      <w:r w:rsidRPr="00A236B4">
        <w:rPr>
          <w:rFonts w:ascii="Calibri" w:hAnsi="Calibri"/>
          <w:sz w:val="22"/>
          <w:szCs w:val="22"/>
        </w:rPr>
        <w:t xml:space="preserve">utolsó napjára vonatkozóan kell megadni millió forintban, egész számra kerekítve. </w:t>
      </w:r>
      <w:r w:rsidR="00443830" w:rsidRPr="00A236B4">
        <w:rPr>
          <w:rFonts w:ascii="Calibri" w:hAnsi="Calibri"/>
          <w:sz w:val="22"/>
          <w:szCs w:val="22"/>
        </w:rPr>
        <w:t>Az eltérő üzleti évet választó adatszolgáltatónak is a naptári negyedévet kell tárgynegyedévnek venni. Azok az eltérő üzleti évet választó jelentők, akiknél a fordulónap nem esik egybe a naptári negyedév végével</w:t>
      </w:r>
      <w:r w:rsidR="002517EE" w:rsidRPr="00A236B4">
        <w:rPr>
          <w:rFonts w:ascii="Calibri" w:hAnsi="Calibri"/>
          <w:sz w:val="22"/>
          <w:szCs w:val="22"/>
        </w:rPr>
        <w:t>, szintén a naptári negyedév végére vonatkozó állományi adatokat kell, hogy szerepeltessék az adatszolgáltatásban. Az eredményben az üzleti év kezdetétől a tárgynegyedév végéig felhalmozott összeget kell jelenteni. (Például a február 28-i mérleg fordulónappal rendelkező adatszolgáltató első negyedévről szóló adatszolgáltatásában csak a márciusi eredmény szerepelhet.</w:t>
      </w:r>
      <w:r w:rsidR="00C86FE3" w:rsidRPr="00A236B4">
        <w:rPr>
          <w:rFonts w:ascii="Calibri" w:hAnsi="Calibri"/>
          <w:sz w:val="22"/>
          <w:szCs w:val="22"/>
        </w:rPr>
        <w:t>)</w:t>
      </w:r>
    </w:p>
    <w:p w14:paraId="70641355" w14:textId="77777777" w:rsidR="00C86FE3" w:rsidRPr="00A236B4" w:rsidRDefault="00C86FE3" w:rsidP="00B520B0">
      <w:pPr>
        <w:jc w:val="both"/>
        <w:rPr>
          <w:rFonts w:ascii="Calibri" w:hAnsi="Calibri"/>
          <w:sz w:val="22"/>
          <w:szCs w:val="22"/>
        </w:rPr>
      </w:pPr>
    </w:p>
    <w:p w14:paraId="4A468A28" w14:textId="77777777" w:rsidR="009E24B2" w:rsidRPr="00A236B4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külfölddel szemben fennálló), külföldi fióktelepekkel együttes és hazai fizetőeszközben kifejezett (átszámított) tételei. </w:t>
      </w:r>
      <w:r w:rsidR="003E485B" w:rsidRPr="00A236B4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A236B4">
        <w:rPr>
          <w:rFonts w:ascii="Calibri" w:hAnsi="Calibri"/>
          <w:sz w:val="22"/>
          <w:szCs w:val="22"/>
        </w:rPr>
        <w:t>ált</w:t>
      </w:r>
      <w:r w:rsidR="003E485B" w:rsidRPr="00A236B4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</w:p>
    <w:p w14:paraId="0F2EF820" w14:textId="77777777" w:rsidR="00B520B0" w:rsidRPr="00A236B4" w:rsidRDefault="00B520B0" w:rsidP="00B520B0">
      <w:pPr>
        <w:jc w:val="both"/>
        <w:rPr>
          <w:rFonts w:ascii="Calibri" w:hAnsi="Calibri"/>
          <w:sz w:val="22"/>
          <w:szCs w:val="22"/>
        </w:rPr>
      </w:pPr>
    </w:p>
    <w:p w14:paraId="17F1A411" w14:textId="77777777" w:rsidR="00B520B0" w:rsidRPr="00A236B4" w:rsidRDefault="00B520B0" w:rsidP="00B520B0">
      <w:pPr>
        <w:pStyle w:val="Heading1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 xml:space="preserve">II. A tábla kitöltésével kapcsolatos részletes </w:t>
      </w:r>
      <w:r w:rsidR="006232D1" w:rsidRPr="00A236B4">
        <w:rPr>
          <w:rFonts w:ascii="Calibri" w:hAnsi="Calibri"/>
          <w:sz w:val="22"/>
          <w:szCs w:val="22"/>
        </w:rPr>
        <w:t>tudnivalók</w:t>
      </w:r>
    </w:p>
    <w:p w14:paraId="2C2FDBBF" w14:textId="77777777" w:rsidR="009A091B" w:rsidRPr="00A236B4" w:rsidRDefault="006B39CA">
      <w:pPr>
        <w:rPr>
          <w:rFonts w:ascii="Calibri" w:hAnsi="Calibri"/>
          <w:sz w:val="22"/>
          <w:szCs w:val="22"/>
        </w:rPr>
      </w:pPr>
      <w:r w:rsidRPr="006B39CA">
        <w:rPr>
          <w:rFonts w:ascii="Calibri" w:hAnsi="Calibri"/>
          <w:b/>
          <w:sz w:val="22"/>
          <w:szCs w:val="22"/>
        </w:rPr>
        <w:t>TAJ tábla</w:t>
      </w:r>
    </w:p>
    <w:p w14:paraId="430DF15F" w14:textId="77777777" w:rsidR="009A091B" w:rsidRPr="00A236B4" w:rsidRDefault="00720F4B">
      <w:pPr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</w:p>
    <w:p w14:paraId="08F1B231" w14:textId="77777777" w:rsidR="00A7367D" w:rsidRPr="00A236B4" w:rsidRDefault="00A7367D">
      <w:pPr>
        <w:rPr>
          <w:rFonts w:ascii="Calibri" w:hAnsi="Calibri"/>
          <w:sz w:val="22"/>
          <w:szCs w:val="22"/>
        </w:rPr>
      </w:pPr>
    </w:p>
    <w:p w14:paraId="3B4DABC3" w14:textId="77777777" w:rsidR="00DF7F5F" w:rsidRDefault="003446EC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bookmarkStart w:id="6" w:name="_GoBack"/>
      <w:bookmarkEnd w:id="6"/>
      <w:r>
        <w:rPr>
          <w:rFonts w:ascii="Calibri" w:hAnsi="Calibri" w:cs="Arial"/>
          <w:sz w:val="22"/>
          <w:szCs w:val="22"/>
        </w:rPr>
        <w:t>01. sor: A B</w:t>
      </w:r>
      <w:r w:rsidR="00DF7F5F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 tartoznak a tartós befektetésnek számító részesedések, adott kölcsönök, értékpapírok, bankbetétek, illetve egyéb hosszú lejáratú követelések. A befektetett pénzügyi eszközöket könyv szerinti nettó (</w:t>
      </w:r>
      <w:r w:rsidR="00DF7F5F" w:rsidRPr="00231D73">
        <w:rPr>
          <w:rFonts w:ascii="Calibri" w:hAnsi="Calibri" w:cs="Arial"/>
          <w:sz w:val="22"/>
          <w:szCs w:val="22"/>
        </w:rPr>
        <w:t>értékhelyesbítéssel, értékelési különbözettel vagy ér</w:t>
      </w:r>
      <w:r w:rsidR="00DF7F5F">
        <w:rPr>
          <w:rFonts w:ascii="Calibri" w:hAnsi="Calibri" w:cs="Arial"/>
          <w:sz w:val="22"/>
          <w:szCs w:val="22"/>
        </w:rPr>
        <w:t>tékvesztéssel korrigált) értéken kell megadni</w:t>
      </w:r>
      <w:r w:rsidR="00DF7F5F" w:rsidRPr="00231D73">
        <w:rPr>
          <w:rFonts w:ascii="Calibri" w:hAnsi="Calibri" w:cs="Arial"/>
          <w:sz w:val="22"/>
          <w:szCs w:val="22"/>
        </w:rPr>
        <w:t>.</w:t>
      </w:r>
      <w:r w:rsidR="00DF7F5F">
        <w:rPr>
          <w:rFonts w:ascii="Calibri" w:hAnsi="Calibri" w:cs="Arial"/>
          <w:sz w:val="22"/>
          <w:szCs w:val="22"/>
        </w:rPr>
        <w:t xml:space="preserve"> Ebből ki kell emelni a 02. sorban a tartós részesedéseket és a 03. sorban a tartósan adott kölcsönöket. Ezek együttes értéke </w:t>
      </w:r>
      <w:r>
        <w:rPr>
          <w:rFonts w:ascii="Calibri" w:hAnsi="Calibri" w:cs="Arial"/>
          <w:sz w:val="22"/>
          <w:szCs w:val="22"/>
        </w:rPr>
        <w:t>kisebb vagy egyenlő, mint a 01. sor összege.</w:t>
      </w:r>
      <w:r w:rsidR="00DF7F5F">
        <w:rPr>
          <w:rFonts w:ascii="Calibri" w:hAnsi="Calibri" w:cs="Arial"/>
          <w:sz w:val="22"/>
          <w:szCs w:val="22"/>
        </w:rPr>
        <w:t xml:space="preserve">  </w:t>
      </w:r>
    </w:p>
    <w:p w14:paraId="2DC326E4" w14:textId="77777777" w:rsidR="00231D73" w:rsidRPr="00231D7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231D73">
        <w:rPr>
          <w:rFonts w:ascii="Calibri" w:hAnsi="Calibri" w:cs="Arial"/>
          <w:sz w:val="22"/>
          <w:szCs w:val="22"/>
        </w:rPr>
        <w:t>02</w:t>
      </w:r>
      <w:r>
        <w:rPr>
          <w:rFonts w:ascii="Calibri" w:hAnsi="Calibri" w:cs="Arial"/>
          <w:sz w:val="22"/>
          <w:szCs w:val="22"/>
        </w:rPr>
        <w:t>. sor</w:t>
      </w:r>
      <w:r w:rsidRPr="00231D73">
        <w:rPr>
          <w:rFonts w:ascii="Calibri" w:hAnsi="Calibri" w:cs="Arial"/>
          <w:sz w:val="22"/>
          <w:szCs w:val="22"/>
        </w:rPr>
        <w:t xml:space="preserve">: </w:t>
      </w:r>
      <w:r w:rsidR="003446EC">
        <w:rPr>
          <w:rFonts w:ascii="Calibri" w:hAnsi="Calibri" w:cs="Arial"/>
          <w:sz w:val="22"/>
          <w:szCs w:val="22"/>
        </w:rPr>
        <w:t>A</w:t>
      </w:r>
      <w:r w:rsidRPr="00231D73">
        <w:rPr>
          <w:rFonts w:ascii="Calibri" w:hAnsi="Calibri" w:cs="Arial"/>
          <w:sz w:val="22"/>
          <w:szCs w:val="22"/>
        </w:rPr>
        <w:t xml:space="preserve"> befektetett pénzügyi eszközök között szereplő, az adatszolgáltató tulajdonában lévő részvények, egyéb részesedések könyv szerinti nettó (értékhelyesbítéssel, értékelési különbözettel vagy értékvesztéssel korrigált) értékét kell megadni.</w:t>
      </w:r>
    </w:p>
    <w:p w14:paraId="32B7C482" w14:textId="77777777" w:rsidR="00231D73" w:rsidRPr="00A236B4" w:rsidRDefault="00231D7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lastRenderedPageBreak/>
        <w:t>0</w:t>
      </w:r>
      <w:r>
        <w:rPr>
          <w:rFonts w:ascii="Calibri" w:hAnsi="Calibri"/>
          <w:sz w:val="22"/>
          <w:szCs w:val="22"/>
        </w:rPr>
        <w:t>3</w:t>
      </w:r>
      <w:r w:rsidRPr="00A236B4">
        <w:rPr>
          <w:rFonts w:ascii="Calibri" w:hAnsi="Calibri"/>
          <w:sz w:val="22"/>
          <w:szCs w:val="22"/>
        </w:rPr>
        <w:t>-0</w:t>
      </w:r>
      <w:r>
        <w:rPr>
          <w:rFonts w:ascii="Calibri" w:hAnsi="Calibri"/>
          <w:sz w:val="22"/>
          <w:szCs w:val="22"/>
        </w:rPr>
        <w:t>4 és 9-10.</w:t>
      </w:r>
      <w:r w:rsidRPr="00A236B4">
        <w:rPr>
          <w:rFonts w:ascii="Calibri" w:hAnsi="Calibri"/>
          <w:sz w:val="22"/>
          <w:szCs w:val="22"/>
        </w:rPr>
        <w:t xml:space="preserve"> sorok: Az adott kölcsönök alatt a befektetett pénzügyi eszközök és a követelések között szereplő, bármely belföldi vagy külföldi </w:t>
      </w:r>
      <w:r w:rsidR="003446EC">
        <w:rPr>
          <w:rFonts w:ascii="Calibri" w:hAnsi="Calibri"/>
          <w:sz w:val="22"/>
          <w:szCs w:val="22"/>
        </w:rPr>
        <w:t xml:space="preserve">vállalati </w:t>
      </w:r>
      <w:r w:rsidRPr="00A236B4">
        <w:rPr>
          <w:rFonts w:ascii="Calibri" w:hAnsi="Calibri"/>
          <w:sz w:val="22"/>
          <w:szCs w:val="22"/>
        </w:rPr>
        <w:t xml:space="preserve">partnernek kölcsönadott pénzeszköz állományát kell érteni, ideértve a </w:t>
      </w:r>
      <w:r>
        <w:rPr>
          <w:rFonts w:ascii="Calibri" w:hAnsi="Calibri"/>
          <w:sz w:val="22"/>
          <w:szCs w:val="22"/>
        </w:rPr>
        <w:t>bármely</w:t>
      </w:r>
      <w:r w:rsidRPr="00A236B4">
        <w:rPr>
          <w:rFonts w:ascii="Calibri" w:hAnsi="Calibri"/>
          <w:sz w:val="22"/>
          <w:szCs w:val="22"/>
        </w:rPr>
        <w:t xml:space="preserve"> részesedési viszonyban lévő vállalkozásokat</w:t>
      </w:r>
      <w:r>
        <w:rPr>
          <w:rFonts w:ascii="Calibri" w:hAnsi="Calibri"/>
          <w:sz w:val="22"/>
          <w:szCs w:val="22"/>
        </w:rPr>
        <w:t>,</w:t>
      </w:r>
      <w:r w:rsidRPr="00A236B4">
        <w:rPr>
          <w:rFonts w:ascii="Calibri" w:hAnsi="Calibri"/>
          <w:sz w:val="22"/>
          <w:szCs w:val="22"/>
        </w:rPr>
        <w:t xml:space="preserve">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>
        <w:rPr>
          <w:rFonts w:ascii="Calibri" w:hAnsi="Calibri"/>
          <w:sz w:val="22"/>
          <w:szCs w:val="22"/>
        </w:rPr>
        <w:t xml:space="preserve">vállalatnál vezetett </w:t>
      </w:r>
      <w:r w:rsidRPr="00A236B4">
        <w:rPr>
          <w:rFonts w:ascii="Calibri" w:hAnsi="Calibri"/>
          <w:sz w:val="22"/>
          <w:szCs w:val="22"/>
        </w:rPr>
        <w:t>elszámolási számla pozitív egyenlege, a cash-</w:t>
      </w:r>
      <w:proofErr w:type="spellStart"/>
      <w:r w:rsidRPr="00A236B4">
        <w:rPr>
          <w:rFonts w:ascii="Calibri" w:hAnsi="Calibri"/>
          <w:sz w:val="22"/>
          <w:szCs w:val="22"/>
        </w:rPr>
        <w:t>pool</w:t>
      </w:r>
      <w:proofErr w:type="spellEnd"/>
      <w:r w:rsidRPr="00A236B4">
        <w:rPr>
          <w:rFonts w:ascii="Calibri" w:hAnsi="Calibri"/>
          <w:sz w:val="22"/>
          <w:szCs w:val="22"/>
        </w:rPr>
        <w:t xml:space="preserve"> konstrukcióból adódó, belföldi és külföldi </w:t>
      </w:r>
      <w:r w:rsidR="003446EC">
        <w:rPr>
          <w:rFonts w:ascii="Calibri" w:hAnsi="Calibri"/>
          <w:sz w:val="22"/>
          <w:szCs w:val="22"/>
        </w:rPr>
        <w:t xml:space="preserve">vállalati </w:t>
      </w:r>
      <w:r w:rsidRPr="00A236B4">
        <w:rPr>
          <w:rFonts w:ascii="Calibri" w:hAnsi="Calibri"/>
          <w:sz w:val="22"/>
          <w:szCs w:val="22"/>
        </w:rPr>
        <w:t xml:space="preserve">partnerekkel szemben fennálló követelés állomány, a belföldi és külföldi partnerrel szemben fennálló pénzügyi lízing- és </w:t>
      </w:r>
      <w:proofErr w:type="spellStart"/>
      <w:r w:rsidRPr="00A236B4">
        <w:rPr>
          <w:rFonts w:ascii="Calibri" w:hAnsi="Calibri"/>
          <w:sz w:val="22"/>
          <w:szCs w:val="22"/>
        </w:rPr>
        <w:t>repó</w:t>
      </w:r>
      <w:proofErr w:type="spellEnd"/>
      <w:r w:rsidRPr="00A236B4">
        <w:rPr>
          <w:rFonts w:ascii="Calibri" w:hAnsi="Calibri"/>
          <w:sz w:val="22"/>
          <w:szCs w:val="22"/>
        </w:rPr>
        <w:t xml:space="preserve"> követelés, a részletre, a halasztott fizetéssel történt értékesítés miatti követelés is. </w:t>
      </w:r>
    </w:p>
    <w:p w14:paraId="4EFA743C" w14:textId="77777777" w:rsidR="003446EC" w:rsidRDefault="00231D73" w:rsidP="00231D73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>Nem kell szerepeltetni azonban az osztalékköveteléseket, a jegyzett tőke emeléséből, illetve leszállításából adódó követeléseket, az adott előlegeket és a vevőköveteléseket. A 0</w:t>
      </w:r>
      <w:r>
        <w:rPr>
          <w:rFonts w:ascii="Calibri" w:hAnsi="Calibri"/>
          <w:sz w:val="22"/>
          <w:szCs w:val="22"/>
        </w:rPr>
        <w:t>4</w:t>
      </w:r>
      <w:r w:rsidR="003446E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és 10</w:t>
      </w:r>
      <w:r w:rsidRPr="00A236B4">
        <w:rPr>
          <w:rFonts w:ascii="Calibri" w:hAnsi="Calibri"/>
          <w:sz w:val="22"/>
          <w:szCs w:val="22"/>
        </w:rPr>
        <w:t>. sorban a külfölddel kapcsolatos részt kell kiemelni.</w:t>
      </w:r>
    </w:p>
    <w:p w14:paraId="794A06CC" w14:textId="77777777" w:rsidR="00A82170" w:rsidRDefault="003446EC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05. sor: 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>
        <w:rPr>
          <w:rFonts w:ascii="Calibri" w:hAnsi="Calibri"/>
          <w:sz w:val="22"/>
          <w:szCs w:val="22"/>
        </w:rPr>
        <w:t>üzleti partnerekkel kapcsolatos,</w:t>
      </w:r>
      <w:r w:rsidR="00A82170" w:rsidRPr="00A82170">
        <w:rPr>
          <w:rFonts w:ascii="Calibri" w:hAnsi="Calibri"/>
          <w:sz w:val="22"/>
          <w:szCs w:val="22"/>
        </w:rPr>
        <w:t xml:space="preserve"> különféle szállítási, vállalkozási, szolgáltatási és egyéb szerződésekből jogszerűen eredő, pénzértékben kifejezett fizetési igények</w:t>
      </w:r>
      <w:r w:rsidR="00A82170">
        <w:rPr>
          <w:rFonts w:ascii="Calibri" w:hAnsi="Calibri"/>
          <w:sz w:val="22"/>
          <w:szCs w:val="22"/>
        </w:rPr>
        <w:t xml:space="preserve">. </w:t>
      </w:r>
      <w:r w:rsidR="00A82170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231D73">
        <w:rPr>
          <w:rFonts w:ascii="Calibri" w:hAnsi="Calibri" w:cs="Arial"/>
          <w:sz w:val="22"/>
          <w:szCs w:val="22"/>
        </w:rPr>
        <w:t>értékhelyesbítéssel, értékelési különbözettel vagy ér</w:t>
      </w:r>
      <w:r w:rsidR="00A82170">
        <w:rPr>
          <w:rFonts w:ascii="Calibri" w:hAnsi="Calibri" w:cs="Arial"/>
          <w:sz w:val="22"/>
          <w:szCs w:val="22"/>
        </w:rPr>
        <w:t>tékvesztéssel korrigált) értéken kell megadni</w:t>
      </w:r>
      <w:r w:rsidR="00A82170" w:rsidRPr="00231D73">
        <w:rPr>
          <w:rFonts w:ascii="Calibri" w:hAnsi="Calibri" w:cs="Arial"/>
          <w:sz w:val="22"/>
          <w:szCs w:val="22"/>
        </w:rPr>
        <w:t>.</w:t>
      </w:r>
      <w:r w:rsidR="00A82170">
        <w:rPr>
          <w:rFonts w:ascii="Calibri" w:hAnsi="Calibri" w:cs="Arial"/>
          <w:sz w:val="22"/>
          <w:szCs w:val="22"/>
        </w:rPr>
        <w:t xml:space="preserve"> Ebből ki kell emelni a 06. sorban a követelésként elszámolt adott előlegeket, a 07. sorban az </w:t>
      </w:r>
      <w:r w:rsidR="00A82170" w:rsidRPr="00A82170">
        <w:rPr>
          <w:rFonts w:ascii="Calibri" w:hAnsi="Calibri" w:cs="Arial"/>
          <w:sz w:val="22"/>
          <w:szCs w:val="22"/>
        </w:rPr>
        <w:t>áruszállításból és szolgáltatás</w:t>
      </w:r>
      <w:r w:rsidR="00A82170">
        <w:rPr>
          <w:rFonts w:ascii="Calibri" w:hAnsi="Calibri" w:cs="Arial"/>
          <w:sz w:val="22"/>
          <w:szCs w:val="22"/>
        </w:rPr>
        <w:t>nyújtásból</w:t>
      </w:r>
      <w:r w:rsidR="00A82170" w:rsidRPr="00A82170">
        <w:rPr>
          <w:rFonts w:ascii="Calibri" w:hAnsi="Calibri" w:cs="Arial"/>
          <w:sz w:val="22"/>
          <w:szCs w:val="22"/>
        </w:rPr>
        <w:t xml:space="preserve"> származó követelések</w:t>
      </w:r>
      <w:r w:rsidR="00A82170">
        <w:rPr>
          <w:rFonts w:ascii="Calibri" w:hAnsi="Calibri" w:cs="Arial"/>
          <w:sz w:val="22"/>
          <w:szCs w:val="22"/>
        </w:rPr>
        <w:t>et és a 09. sorban a rövid lejáratra adott kölcsönöket. Ezek együttes értéke kisebb vagy egyenlő, mint a 05. sor összege.</w:t>
      </w:r>
    </w:p>
    <w:p w14:paraId="27F3BA9E" w14:textId="77777777" w:rsidR="00231D73" w:rsidRPr="00A236B4" w:rsidRDefault="00A82170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06. sor: Követelésként elszámolt adott előlegként kell kimutatni </w:t>
      </w:r>
      <w:r w:rsidR="00EA6435">
        <w:rPr>
          <w:rFonts w:ascii="Calibri" w:hAnsi="Calibri" w:cs="Arial"/>
          <w:sz w:val="22"/>
          <w:szCs w:val="22"/>
        </w:rPr>
        <w:t>azokat az ületi partnereknek adott előlegeket, amelyek nem szerepelnek a tárgyi eszközök, az immateriális javak vagy a készletek mérleg szerinti értékében, azaz az adatszolgáltató a beszámolójában a követelések között szerepelteti ezeket.</w:t>
      </w:r>
      <w:r w:rsidR="002C6FAD">
        <w:rPr>
          <w:rFonts w:ascii="Calibri" w:hAnsi="Calibri" w:cs="Arial"/>
          <w:sz w:val="22"/>
          <w:szCs w:val="22"/>
        </w:rPr>
        <w:t xml:space="preserve"> Amennyiben a magyar számviteli </w:t>
      </w:r>
      <w:r w:rsidR="003B12A5">
        <w:rPr>
          <w:rFonts w:ascii="Calibri" w:hAnsi="Calibri" w:cs="Arial"/>
          <w:sz w:val="22"/>
          <w:szCs w:val="22"/>
        </w:rPr>
        <w:t>szabályokat követi az adatszolgáltató, akkor ebben a sorban a szolgáltatásra adott előlegeket kell feltüntetni. Amennyiben a nemzetközi számviteli szabályok alapján készíti egyedi beszámolóját az adatszolgáltató, akkor valamennyi adott előleget ebben a sorban kell kimutatni.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4C4B18A3" w14:textId="77777777" w:rsidR="00926A70" w:rsidRPr="00A236B4" w:rsidRDefault="00B520B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>0</w:t>
      </w:r>
      <w:r w:rsidR="00E329CE">
        <w:rPr>
          <w:rFonts w:ascii="Calibri" w:hAnsi="Calibri"/>
          <w:sz w:val="22"/>
          <w:szCs w:val="22"/>
        </w:rPr>
        <w:t>7</w:t>
      </w:r>
      <w:r w:rsidRPr="00A236B4">
        <w:rPr>
          <w:rFonts w:ascii="Calibri" w:hAnsi="Calibri"/>
          <w:sz w:val="22"/>
          <w:szCs w:val="22"/>
        </w:rPr>
        <w:t>-0</w:t>
      </w:r>
      <w:r w:rsidR="00E329CE">
        <w:rPr>
          <w:rFonts w:ascii="Calibri" w:hAnsi="Calibri"/>
          <w:sz w:val="22"/>
          <w:szCs w:val="22"/>
        </w:rPr>
        <w:t>8 és 18-19.</w:t>
      </w:r>
      <w:r w:rsidRPr="00A236B4">
        <w:rPr>
          <w:rFonts w:ascii="Calibri" w:hAnsi="Calibri"/>
          <w:sz w:val="22"/>
          <w:szCs w:val="22"/>
        </w:rPr>
        <w:t xml:space="preserve"> sorok: Az áruszállításból és szolgáltatás</w:t>
      </w:r>
      <w:r w:rsidR="003B12A5">
        <w:rPr>
          <w:rFonts w:ascii="Calibri" w:hAnsi="Calibri"/>
          <w:sz w:val="22"/>
          <w:szCs w:val="22"/>
        </w:rPr>
        <w:t>nyújtás</w:t>
      </w:r>
      <w:r w:rsidRPr="00A236B4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A236B4">
        <w:rPr>
          <w:rFonts w:ascii="Calibri" w:hAnsi="Calibri"/>
          <w:sz w:val="22"/>
          <w:szCs w:val="22"/>
        </w:rPr>
        <w:t xml:space="preserve">t kell itt jelenteni, </w:t>
      </w:r>
      <w:r w:rsidRPr="00A236B4">
        <w:rPr>
          <w:rFonts w:ascii="Calibri" w:hAnsi="Calibri"/>
          <w:sz w:val="22"/>
          <w:szCs w:val="22"/>
        </w:rPr>
        <w:t>beleért</w:t>
      </w:r>
      <w:r w:rsidR="0065759A" w:rsidRPr="00A236B4">
        <w:rPr>
          <w:rFonts w:ascii="Calibri" w:hAnsi="Calibri"/>
          <w:sz w:val="22"/>
          <w:szCs w:val="22"/>
        </w:rPr>
        <w:t>ve</w:t>
      </w:r>
      <w:r w:rsidRPr="00A236B4">
        <w:rPr>
          <w:rFonts w:ascii="Calibri" w:hAnsi="Calibri"/>
          <w:sz w:val="22"/>
          <w:szCs w:val="22"/>
        </w:rPr>
        <w:t xml:space="preserve"> a </w:t>
      </w:r>
      <w:r w:rsidR="00690AAF">
        <w:rPr>
          <w:rFonts w:ascii="Calibri" w:hAnsi="Calibri"/>
          <w:sz w:val="22"/>
          <w:szCs w:val="22"/>
        </w:rPr>
        <w:t xml:space="preserve">bármely </w:t>
      </w:r>
      <w:r w:rsidRPr="00A236B4">
        <w:rPr>
          <w:rFonts w:ascii="Calibri" w:hAnsi="Calibri"/>
          <w:sz w:val="22"/>
          <w:szCs w:val="22"/>
        </w:rPr>
        <w:t>részesedési viszonyban lévő vállalkozásokkal szemben fennálló ilyen típusú követelések, illetve kötelezettségek állomány</w:t>
      </w:r>
      <w:r w:rsidR="0065759A" w:rsidRPr="00A236B4">
        <w:rPr>
          <w:rFonts w:ascii="Calibri" w:hAnsi="Calibri"/>
          <w:sz w:val="22"/>
          <w:szCs w:val="22"/>
        </w:rPr>
        <w:t>át</w:t>
      </w:r>
      <w:r w:rsidRPr="00A236B4">
        <w:rPr>
          <w:rFonts w:ascii="Calibri" w:hAnsi="Calibri"/>
          <w:sz w:val="22"/>
          <w:szCs w:val="22"/>
        </w:rPr>
        <w:t xml:space="preserve"> is. </w:t>
      </w:r>
      <w:r w:rsidR="006232D1" w:rsidRPr="00A236B4">
        <w:rPr>
          <w:rFonts w:ascii="Calibri" w:hAnsi="Calibri"/>
          <w:sz w:val="22"/>
          <w:szCs w:val="22"/>
        </w:rPr>
        <w:t>A 0</w:t>
      </w:r>
      <w:r w:rsidR="00E329CE">
        <w:rPr>
          <w:rFonts w:ascii="Calibri" w:hAnsi="Calibri"/>
          <w:sz w:val="22"/>
          <w:szCs w:val="22"/>
        </w:rPr>
        <w:t>8</w:t>
      </w:r>
      <w:r w:rsidR="006232D1" w:rsidRPr="00A236B4">
        <w:rPr>
          <w:rFonts w:ascii="Calibri" w:hAnsi="Calibri"/>
          <w:sz w:val="22"/>
          <w:szCs w:val="22"/>
        </w:rPr>
        <w:t xml:space="preserve"> és </w:t>
      </w:r>
      <w:r w:rsidR="00E329CE">
        <w:rPr>
          <w:rFonts w:ascii="Calibri" w:hAnsi="Calibri"/>
          <w:sz w:val="22"/>
          <w:szCs w:val="22"/>
        </w:rPr>
        <w:t>19</w:t>
      </w:r>
      <w:r w:rsidR="006232D1" w:rsidRPr="00A236B4">
        <w:rPr>
          <w:rFonts w:ascii="Calibri" w:hAnsi="Calibri"/>
          <w:sz w:val="22"/>
          <w:szCs w:val="22"/>
        </w:rPr>
        <w:t>. sorban a külfölddel kapcsolatos tételeket k</w:t>
      </w:r>
      <w:r w:rsidR="0065759A" w:rsidRPr="00A236B4">
        <w:rPr>
          <w:rFonts w:ascii="Calibri" w:hAnsi="Calibri"/>
          <w:sz w:val="22"/>
          <w:szCs w:val="22"/>
        </w:rPr>
        <w:t>ell</w:t>
      </w:r>
      <w:r w:rsidR="006232D1" w:rsidRPr="00A236B4">
        <w:rPr>
          <w:rFonts w:ascii="Calibri" w:hAnsi="Calibri"/>
          <w:sz w:val="22"/>
          <w:szCs w:val="22"/>
        </w:rPr>
        <w:t xml:space="preserve"> kiemelni. </w:t>
      </w:r>
      <w:r w:rsidRPr="00A236B4">
        <w:rPr>
          <w:rFonts w:ascii="Calibri" w:hAnsi="Calibri"/>
          <w:sz w:val="22"/>
          <w:szCs w:val="22"/>
        </w:rPr>
        <w:t>A követeléseket mérleg szerinti nettó (értékvesztéssel csökkentett) értéken kell jelenteni</w:t>
      </w:r>
      <w:r w:rsidR="00EA4A09" w:rsidRPr="00A236B4">
        <w:rPr>
          <w:rFonts w:ascii="Calibri" w:hAnsi="Calibri"/>
          <w:sz w:val="22"/>
          <w:szCs w:val="22"/>
        </w:rPr>
        <w:t>.</w:t>
      </w:r>
    </w:p>
    <w:p w14:paraId="77FD0BDD" w14:textId="77777777" w:rsidR="00231D73" w:rsidRPr="00231D7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231D73">
        <w:rPr>
          <w:rFonts w:ascii="Calibri" w:hAnsi="Calibri" w:cs="Arial"/>
          <w:sz w:val="22"/>
          <w:szCs w:val="22"/>
        </w:rPr>
        <w:t>11</w:t>
      </w:r>
      <w:r>
        <w:rPr>
          <w:rFonts w:ascii="Calibri" w:hAnsi="Calibri" w:cs="Arial"/>
          <w:sz w:val="22"/>
          <w:szCs w:val="22"/>
        </w:rPr>
        <w:t>. sor</w:t>
      </w:r>
      <w:r w:rsidRPr="00231D73">
        <w:rPr>
          <w:rFonts w:ascii="Calibri" w:hAnsi="Calibri" w:cs="Arial"/>
          <w:sz w:val="22"/>
          <w:szCs w:val="22"/>
        </w:rPr>
        <w:t>:</w:t>
      </w:r>
      <w:r w:rsidRPr="00231D73">
        <w:rPr>
          <w:rFonts w:ascii="Calibri" w:hAnsi="Calibri" w:cs="Arial"/>
          <w:sz w:val="22"/>
          <w:szCs w:val="22"/>
        </w:rPr>
        <w:tab/>
        <w:t>Pénzeszközként a bankszámlák pozitív egyenlege, a bankbetétek és csekkek, illetve a pénztári készpénz állománya mutatható ki, könyv szerinti nettó értéken. Az értékpapírok</w:t>
      </w:r>
      <w:r w:rsidR="003B12A5">
        <w:rPr>
          <w:rFonts w:ascii="Calibri" w:hAnsi="Calibri" w:cs="Arial"/>
          <w:sz w:val="22"/>
          <w:szCs w:val="22"/>
        </w:rPr>
        <w:t xml:space="preserve"> és a vállalati partnernél vezetett elszámolási számlák, cash-</w:t>
      </w:r>
      <w:proofErr w:type="spellStart"/>
      <w:r w:rsidR="003B12A5">
        <w:rPr>
          <w:rFonts w:ascii="Calibri" w:hAnsi="Calibri" w:cs="Arial"/>
          <w:sz w:val="22"/>
          <w:szCs w:val="22"/>
        </w:rPr>
        <w:t>pool</w:t>
      </w:r>
      <w:proofErr w:type="spellEnd"/>
      <w:r w:rsidR="003B12A5">
        <w:rPr>
          <w:rFonts w:ascii="Calibri" w:hAnsi="Calibri" w:cs="Arial"/>
          <w:sz w:val="22"/>
          <w:szCs w:val="22"/>
        </w:rPr>
        <w:t xml:space="preserve"> számlák</w:t>
      </w:r>
      <w:r w:rsidRPr="00231D73">
        <w:rPr>
          <w:rFonts w:ascii="Calibri" w:hAnsi="Calibri" w:cs="Arial"/>
          <w:sz w:val="22"/>
          <w:szCs w:val="22"/>
        </w:rPr>
        <w:t xml:space="preserve"> nem képezhetik részét a pénzeszközöknek.</w:t>
      </w:r>
    </w:p>
    <w:p w14:paraId="41BD17A5" w14:textId="77777777" w:rsidR="00BF1903" w:rsidRPr="00A236B4" w:rsidRDefault="00231D73" w:rsidP="00BF1903">
      <w:pPr>
        <w:ind w:left="720" w:hanging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B520B0" w:rsidRPr="00A236B4">
        <w:rPr>
          <w:rFonts w:ascii="Calibri" w:hAnsi="Calibri"/>
          <w:sz w:val="22"/>
          <w:szCs w:val="22"/>
        </w:rPr>
        <w:t>. sor: Az adatszolgáltató pénztári készpénz állományának adatait kell megadni</w:t>
      </w:r>
      <w:r w:rsidR="002A1A86" w:rsidRPr="00A236B4">
        <w:rPr>
          <w:rFonts w:ascii="Calibri" w:hAnsi="Calibri"/>
          <w:sz w:val="22"/>
          <w:szCs w:val="22"/>
        </w:rPr>
        <w:t xml:space="preserve"> ebben a sorban</w:t>
      </w:r>
      <w:r w:rsidR="003B12A5">
        <w:rPr>
          <w:rFonts w:ascii="Calibri" w:hAnsi="Calibri"/>
          <w:sz w:val="22"/>
          <w:szCs w:val="22"/>
        </w:rPr>
        <w:t>, kiemelve a 11. sorból</w:t>
      </w:r>
      <w:r w:rsidR="00B520B0" w:rsidRPr="00A236B4">
        <w:rPr>
          <w:rFonts w:ascii="Calibri" w:hAnsi="Calibri"/>
          <w:sz w:val="22"/>
          <w:szCs w:val="22"/>
        </w:rPr>
        <w:t>. A pénzeszközökből nem tarto</w:t>
      </w:r>
      <w:r w:rsidR="0096157E">
        <w:rPr>
          <w:rFonts w:ascii="Calibri" w:hAnsi="Calibri"/>
          <w:sz w:val="22"/>
          <w:szCs w:val="22"/>
        </w:rPr>
        <w:t>znak ide a számlák, bankbetétek</w:t>
      </w:r>
      <w:r w:rsidR="00B520B0" w:rsidRPr="00A236B4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A236B4">
        <w:rPr>
          <w:rFonts w:ascii="Calibri" w:hAnsi="Calibri"/>
          <w:sz w:val="22"/>
          <w:szCs w:val="22"/>
        </w:rPr>
        <w:t xml:space="preserve"> </w:t>
      </w:r>
      <w:r w:rsidR="009F07DD" w:rsidRPr="00A236B4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A236B4">
        <w:rPr>
          <w:rFonts w:ascii="Calibri" w:hAnsi="Calibri"/>
          <w:sz w:val="22"/>
          <w:szCs w:val="22"/>
        </w:rPr>
        <w:t>,</w:t>
      </w:r>
      <w:r w:rsidR="009F07DD" w:rsidRPr="00A236B4">
        <w:rPr>
          <w:rFonts w:ascii="Calibri" w:hAnsi="Calibri"/>
          <w:sz w:val="22"/>
          <w:szCs w:val="22"/>
        </w:rPr>
        <w:t xml:space="preserve"> millióra kerekítve kell megadni.</w:t>
      </w:r>
    </w:p>
    <w:p w14:paraId="0E40E03F" w14:textId="77777777" w:rsidR="00231D73" w:rsidRPr="00231D7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231D73">
        <w:rPr>
          <w:rFonts w:ascii="Calibri" w:hAnsi="Calibri" w:cs="Arial"/>
          <w:sz w:val="22"/>
          <w:szCs w:val="22"/>
        </w:rPr>
        <w:t>13-16</w:t>
      </w:r>
      <w:r>
        <w:rPr>
          <w:rFonts w:ascii="Calibri" w:hAnsi="Calibri" w:cs="Arial"/>
          <w:sz w:val="22"/>
          <w:szCs w:val="22"/>
        </w:rPr>
        <w:t>. sorok</w:t>
      </w:r>
      <w:r w:rsidRPr="00231D73">
        <w:rPr>
          <w:rFonts w:ascii="Calibri" w:hAnsi="Calibri" w:cs="Arial"/>
          <w:sz w:val="22"/>
          <w:szCs w:val="22"/>
        </w:rPr>
        <w:t xml:space="preserve">: A </w:t>
      </w:r>
      <w:proofErr w:type="spellStart"/>
      <w:r w:rsidRPr="00231D73">
        <w:rPr>
          <w:rFonts w:ascii="Calibri" w:hAnsi="Calibri" w:cs="Arial"/>
          <w:sz w:val="22"/>
          <w:szCs w:val="22"/>
        </w:rPr>
        <w:t>hátrasorolt</w:t>
      </w:r>
      <w:proofErr w:type="spellEnd"/>
      <w:r w:rsidRPr="00231D73">
        <w:rPr>
          <w:rFonts w:ascii="Calibri" w:hAnsi="Calibri" w:cs="Arial"/>
          <w:sz w:val="22"/>
          <w:szCs w:val="22"/>
        </w:rPr>
        <w:t>, hosszú, illetve rövid lejáratú kötelezettségek tartalmát a saját tőkével összhangban kell meghatározni oly módon, hogy a saját tőkében foglalt tőkeelemek, tőkeinstrumentumok ne szerepeljenek a kötelezettségek között.</w:t>
      </w:r>
      <w:r w:rsidR="003B12A5">
        <w:rPr>
          <w:rFonts w:ascii="Calibri" w:hAnsi="Calibri" w:cs="Arial"/>
          <w:sz w:val="22"/>
          <w:szCs w:val="22"/>
        </w:rPr>
        <w:t xml:space="preserve"> Amennyiben az adatszolgáltató </w:t>
      </w:r>
      <w:proofErr w:type="spellStart"/>
      <w:r w:rsidR="003B12A5">
        <w:rPr>
          <w:rFonts w:ascii="Calibri" w:hAnsi="Calibri" w:cs="Arial"/>
          <w:sz w:val="22"/>
          <w:szCs w:val="22"/>
        </w:rPr>
        <w:t>hátrasorolt</w:t>
      </w:r>
      <w:proofErr w:type="spellEnd"/>
      <w:r w:rsidR="003B12A5">
        <w:rPr>
          <w:rFonts w:ascii="Calibri" w:hAnsi="Calibri" w:cs="Arial"/>
          <w:sz w:val="22"/>
          <w:szCs w:val="22"/>
        </w:rPr>
        <w:t xml:space="preserve"> kötelezettséget (13. sor) nem tud elkülöníteni, akkor valamennyi éven túli lejáratú kötelezettségét besorolhatja a hosszú lejáratú kötelezettségek közé (14. sor).</w:t>
      </w:r>
    </w:p>
    <w:p w14:paraId="69E7996A" w14:textId="77777777" w:rsidR="00231D73" w:rsidRPr="00231D73" w:rsidRDefault="00231D73" w:rsidP="00231D73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231D73">
        <w:rPr>
          <w:rFonts w:ascii="Calibri" w:hAnsi="Calibri" w:cs="Arial"/>
          <w:sz w:val="22"/>
          <w:szCs w:val="22"/>
        </w:rPr>
        <w:lastRenderedPageBreak/>
        <w:t>15. sor: A hosszú lejáratú kötelezettségek között szereplő bármely külföldi partnertől felvett hitel és kölcsön típusú tartozások együttes összegét kell szerepeltetni ezen a soron. Figyelembe kell venni a részesedési viszonyban lévő vállalkozásoktól felvett kölcsönöket is.</w:t>
      </w:r>
    </w:p>
    <w:p w14:paraId="74F5711D" w14:textId="77777777" w:rsidR="00B520B0" w:rsidRPr="00A236B4" w:rsidRDefault="00231D73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231D73">
        <w:rPr>
          <w:rFonts w:ascii="Calibri" w:hAnsi="Calibri" w:cs="Arial"/>
          <w:sz w:val="22"/>
          <w:szCs w:val="22"/>
        </w:rPr>
        <w:t>17. sor:</w:t>
      </w:r>
      <w:r w:rsidRPr="00231D73">
        <w:rPr>
          <w:rFonts w:ascii="Calibri" w:hAnsi="Calibri" w:cs="Arial"/>
          <w:sz w:val="22"/>
          <w:szCs w:val="22"/>
        </w:rPr>
        <w:tab/>
        <w:t>A számviteli előírások szerinti tartalommal kell kitölteni ezt a sort, ideértve a részesedési viszonyban lévő vállalkozásokkal szembeni ilyen típusú kötelezettségeket is.</w:t>
      </w:r>
    </w:p>
    <w:p w14:paraId="07015E2C" w14:textId="77777777" w:rsidR="00690AAF" w:rsidRDefault="00606B61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</w:t>
      </w:r>
      <w:r w:rsidR="00690AAF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26</w:t>
      </w:r>
      <w:r w:rsidR="00B520B0" w:rsidRPr="00A236B4">
        <w:rPr>
          <w:rFonts w:ascii="Calibri" w:hAnsi="Calibri"/>
          <w:sz w:val="22"/>
          <w:szCs w:val="22"/>
        </w:rPr>
        <w:t>. sor</w:t>
      </w:r>
      <w:r w:rsidR="00690AAF">
        <w:rPr>
          <w:rFonts w:ascii="Calibri" w:hAnsi="Calibri"/>
          <w:sz w:val="22"/>
          <w:szCs w:val="22"/>
        </w:rPr>
        <w:t>ok</w:t>
      </w:r>
      <w:r w:rsidR="00B520B0" w:rsidRPr="00A236B4">
        <w:rPr>
          <w:rFonts w:ascii="Calibri" w:hAnsi="Calibri"/>
          <w:sz w:val="22"/>
          <w:szCs w:val="22"/>
        </w:rPr>
        <w:t>:</w:t>
      </w:r>
      <w:r w:rsidR="00A7367D" w:rsidRPr="00A236B4">
        <w:rPr>
          <w:rFonts w:ascii="Calibri" w:hAnsi="Calibri"/>
          <w:sz w:val="22"/>
          <w:szCs w:val="22"/>
        </w:rPr>
        <w:t xml:space="preserve"> </w:t>
      </w:r>
      <w:r w:rsidR="00B264DD" w:rsidRPr="00B264DD">
        <w:rPr>
          <w:rFonts w:ascii="Calibri" w:hAnsi="Calibri"/>
          <w:sz w:val="22"/>
          <w:szCs w:val="22"/>
        </w:rPr>
        <w:t xml:space="preserve">A számviteli törvény által definiált saját tőkét és annak részeit kell ezeken a sorokon szerepeltetni. Amennyiben az adatszolgáltató </w:t>
      </w:r>
      <w:proofErr w:type="spellStart"/>
      <w:r w:rsidR="00B264DD" w:rsidRPr="00B264DD">
        <w:rPr>
          <w:rFonts w:ascii="Calibri" w:hAnsi="Calibri"/>
          <w:sz w:val="22"/>
          <w:szCs w:val="22"/>
        </w:rPr>
        <w:t>IFRS</w:t>
      </w:r>
      <w:proofErr w:type="spellEnd"/>
      <w:r w:rsidR="00B264DD" w:rsidRPr="00B264DD">
        <w:rPr>
          <w:rFonts w:ascii="Calibri" w:hAnsi="Calibri"/>
          <w:sz w:val="22"/>
          <w:szCs w:val="22"/>
        </w:rPr>
        <w:t>-ek szerinti éves beszámolót készít, akkor a saját tőke megfeleltetési tábla szerint kell a táblát kitölteni.</w:t>
      </w:r>
      <w:r w:rsidR="00B264DD">
        <w:rPr>
          <w:rFonts w:ascii="Calibri" w:hAnsi="Calibri"/>
          <w:sz w:val="22"/>
          <w:szCs w:val="22"/>
        </w:rPr>
        <w:t xml:space="preserve"> </w:t>
      </w:r>
    </w:p>
    <w:p w14:paraId="5A86828B" w14:textId="77777777" w:rsidR="00690AAF" w:rsidRDefault="00690AAF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</w:p>
    <w:p w14:paraId="754AF00D" w14:textId="77777777" w:rsidR="00690AAF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690AAF">
        <w:rPr>
          <w:rFonts w:ascii="Calibri" w:hAnsi="Calibri"/>
          <w:sz w:val="22"/>
          <w:szCs w:val="22"/>
        </w:rPr>
        <w:t>A Visszavásárolt saját részvény, részesedés névértéken (</w:t>
      </w:r>
      <w:r w:rsidR="00606B61">
        <w:rPr>
          <w:rFonts w:ascii="Calibri" w:hAnsi="Calibri"/>
          <w:sz w:val="22"/>
          <w:szCs w:val="22"/>
        </w:rPr>
        <w:t>21</w:t>
      </w:r>
      <w:r w:rsidRPr="00690AAF">
        <w:rPr>
          <w:rFonts w:ascii="Calibri" w:hAnsi="Calibri"/>
          <w:sz w:val="22"/>
          <w:szCs w:val="22"/>
        </w:rPr>
        <w:t>.) soron a vállalat által visszavásárolt saját részvény, részesedés névértékét kell feltűntetni a részvény, részesedés értékesítéséig vagy bevonásának cégbírósági bejegyzéséig. A tájékoztató sort a vállalat által alkalmazott számviteli előírásoktól függetlenül ki kell tölteni.</w:t>
      </w:r>
    </w:p>
    <w:p w14:paraId="56E80F98" w14:textId="77777777" w:rsidR="00690AAF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</w:p>
    <w:p w14:paraId="1FAB1136" w14:textId="77777777" w:rsidR="009A091B" w:rsidRDefault="00B520B0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A236B4">
        <w:rPr>
          <w:rFonts w:ascii="Calibri" w:hAnsi="Calibri"/>
          <w:sz w:val="22"/>
          <w:szCs w:val="22"/>
        </w:rPr>
        <w:t>Az évközi (előzetes) eredmény</w:t>
      </w:r>
      <w:r w:rsidR="00B264DD">
        <w:rPr>
          <w:rFonts w:ascii="Calibri" w:hAnsi="Calibri"/>
          <w:sz w:val="22"/>
          <w:szCs w:val="22"/>
        </w:rPr>
        <w:t xml:space="preserve"> (</w:t>
      </w:r>
      <w:r w:rsidR="00606B61">
        <w:rPr>
          <w:rFonts w:ascii="Calibri" w:hAnsi="Calibri"/>
          <w:sz w:val="22"/>
          <w:szCs w:val="22"/>
        </w:rPr>
        <w:t>25</w:t>
      </w:r>
      <w:r w:rsidR="00B264DD">
        <w:rPr>
          <w:rFonts w:ascii="Calibri" w:hAnsi="Calibri"/>
          <w:sz w:val="22"/>
          <w:szCs w:val="22"/>
        </w:rPr>
        <w:t>. sor)</w:t>
      </w:r>
      <w:r w:rsidRPr="00A236B4">
        <w:rPr>
          <w:rFonts w:ascii="Calibri" w:hAnsi="Calibri"/>
          <w:sz w:val="22"/>
          <w:szCs w:val="22"/>
        </w:rPr>
        <w:t xml:space="preserve"> az üzletév első napjától a tárgynegyedév utolsó napjáig tartó időszak alatt felhalmozódott, tárgyidőszakra vonatkozó, eredményt terhelő adófizetési kötelezettséggel korrigált, de osztalékfizetéssel nem csökkentett eredmény. A jelentett eredményben − és így a számított saját tőkében is − az üzletévre vonatkozóan esetlegesen már megszavazott, vagy akár már (osztalékelőleg formájában) ki is fizetett osztaléknak, tulajdonosi jövedelemnek benne kell lennie</w:t>
      </w:r>
      <w:r w:rsidR="00926A70" w:rsidRPr="00A236B4">
        <w:rPr>
          <w:rFonts w:ascii="Calibri" w:hAnsi="Calibri"/>
          <w:sz w:val="22"/>
          <w:szCs w:val="22"/>
        </w:rPr>
        <w:t>.</w:t>
      </w:r>
      <w:r w:rsidR="0008798E" w:rsidRPr="00A236B4">
        <w:rPr>
          <w:rFonts w:ascii="Calibri" w:hAnsi="Calibri"/>
          <w:sz w:val="22"/>
          <w:szCs w:val="22"/>
        </w:rPr>
        <w:t xml:space="preserve"> </w:t>
      </w:r>
      <w:r w:rsidR="0068658F" w:rsidRPr="00A236B4">
        <w:rPr>
          <w:rFonts w:ascii="Calibri" w:hAnsi="Calibri"/>
          <w:sz w:val="22"/>
          <w:szCs w:val="22"/>
        </w:rPr>
        <w:t>Amennyiben év közben, illetve az adatszolgáltatás határidejéig nem készül teljes körű zárás, az eredmény meghatározásánál becslést kell használni a pontosabb adatok megadása érdekében.</w:t>
      </w:r>
    </w:p>
    <w:p w14:paraId="00C01A0A" w14:textId="77777777" w:rsidR="003B12A5" w:rsidRPr="00A236B4" w:rsidRDefault="003B12A5" w:rsidP="00690AAF">
      <w:pPr>
        <w:ind w:left="709"/>
        <w:jc w:val="both"/>
        <w:rPr>
          <w:rFonts w:ascii="Calibri" w:hAnsi="Calibri" w:cs="Arial"/>
          <w:b/>
          <w:sz w:val="22"/>
          <w:szCs w:val="22"/>
        </w:rPr>
      </w:pPr>
    </w:p>
    <w:p w14:paraId="64B3A7CE" w14:textId="77777777" w:rsidR="006B39CA" w:rsidRPr="006B39CA" w:rsidRDefault="006B39CA" w:rsidP="006B39CA">
      <w:pPr>
        <w:spacing w:before="120" w:after="120"/>
        <w:ind w:left="45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B39CA">
        <w:rPr>
          <w:rFonts w:ascii="Calibri" w:hAnsi="Calibri" w:cs="Arial"/>
          <w:b/>
          <w:sz w:val="22"/>
          <w:szCs w:val="22"/>
        </w:rPr>
        <w:t>MAFA</w:t>
      </w:r>
      <w:proofErr w:type="spellEnd"/>
      <w:r w:rsidRPr="006B39CA">
        <w:rPr>
          <w:rFonts w:ascii="Calibri" w:hAnsi="Calibri" w:cs="Arial"/>
          <w:b/>
          <w:sz w:val="22"/>
          <w:szCs w:val="22"/>
        </w:rPr>
        <w:t xml:space="preserve"> tábla</w:t>
      </w:r>
    </w:p>
    <w:p w14:paraId="5B397030" w14:textId="77777777" w:rsidR="006B39CA" w:rsidRPr="006B39CA" w:rsidRDefault="006B39CA" w:rsidP="006B39CA">
      <w:pPr>
        <w:ind w:left="45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>A tábla kitöltésére az összesítetten 250 millió forintot meghaladó értékesítési vagy beszerzési forgalmat lebonyolító adatszolgáltatók kötelezettek.</w:t>
      </w:r>
    </w:p>
    <w:p w14:paraId="4591CB63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>A táblában a nem-rezidens vállalkozások Magyarországon bejegyzett ÁFA-regisztrációin keresztül lebonyolított értékesítési és beszerzési forgalmat kell – termék és bérmunkadíj bontásban – (ÁFA-regisztrációs) partnerenként jelenteni. Bérmunka esetében a termékértékesítés a bruttó, azaz a bérmunkaanyagot is magában foglaló értéket jelenti, a beszerzés pedig a beérkezett bérmunkaanyagokat takarja. A bérmunkadíj a hozzáadott értéket, azaz a feldolgozási díjat és a saját tulajdonú beépített termék értékét is tartalmazza.</w:t>
      </w:r>
    </w:p>
    <w:p w14:paraId="053468AA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 xml:space="preserve">Ugyanitt kell jelenteni a mérlegben elszámolt értékesítést az EU-n kívüli országba történő kiszállítás esetében, ha a kiviteli vámokmányokat a cég a saját nevében állítja ki, de a kísérő számla a (cégcsoportba tartozó) nem-rezidens partner nevében került kiállításra a külföldi fél részére. </w:t>
      </w:r>
    </w:p>
    <w:p w14:paraId="469FF11D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>A nem-rezidens vállalkozások azonosítójaként és neveként az R01 adatszolgáltatásban jelentett azonosítót és nevet kell használni.</w:t>
      </w:r>
    </w:p>
    <w:p w14:paraId="00F1B796" w14:textId="77777777" w:rsidR="006B39CA" w:rsidRPr="006B39CA" w:rsidRDefault="006B39CA" w:rsidP="006B39CA">
      <w:pPr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  <w:proofErr w:type="spellStart"/>
      <w:r w:rsidRPr="006B39CA">
        <w:rPr>
          <w:rFonts w:ascii="Calibri" w:hAnsi="Calibri" w:cs="Arial"/>
          <w:b/>
          <w:sz w:val="22"/>
          <w:szCs w:val="22"/>
        </w:rPr>
        <w:t>KAFA</w:t>
      </w:r>
      <w:proofErr w:type="spellEnd"/>
      <w:r w:rsidRPr="006B39CA">
        <w:rPr>
          <w:rFonts w:ascii="Calibri" w:hAnsi="Calibri" w:cs="Arial"/>
          <w:b/>
          <w:sz w:val="22"/>
          <w:szCs w:val="22"/>
        </w:rPr>
        <w:t xml:space="preserve"> tábla</w:t>
      </w:r>
    </w:p>
    <w:p w14:paraId="541CA4FF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>A tábla kitöltésére az összesítetten 250 millió forintot meghaladó értékesítési vagy beszerzési forgalmat lebonyolító adatszolgáltatók kötelezettek.</w:t>
      </w:r>
    </w:p>
    <w:p w14:paraId="69F2AA9E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 xml:space="preserve">A táblában a rezidens vállalkozások külföldön bejegyzett ÁFA-regisztrációin keresztül nem-rezidens partnerekkel lebonyolított értékesítési és beszerzési forgalmat kell – termék és bérmunkadíj bontásban </w:t>
      </w:r>
      <w:proofErr w:type="gramStart"/>
      <w:r w:rsidRPr="006B39CA">
        <w:rPr>
          <w:rFonts w:ascii="Calibri" w:hAnsi="Calibri" w:cs="Arial"/>
          <w:sz w:val="22"/>
          <w:szCs w:val="22"/>
        </w:rPr>
        <w:t>–  (</w:t>
      </w:r>
      <w:proofErr w:type="gramEnd"/>
      <w:r w:rsidRPr="006B39CA">
        <w:rPr>
          <w:rFonts w:ascii="Calibri" w:hAnsi="Calibri" w:cs="Arial"/>
          <w:sz w:val="22"/>
          <w:szCs w:val="22"/>
        </w:rPr>
        <w:t xml:space="preserve">ÁFA-regisztrációs) partnerenként jelenteni. </w:t>
      </w:r>
    </w:p>
    <w:p w14:paraId="1D886EDB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>Értékesítésként a Magyarországról induló, itt gyártott, vásárolt vagy raktározott, továbbá a passzív bérmunka ügylet keretében Magyarországról kiszállított alapanyagok segítségével külföldön előállított termékek nem-rezidens vevőknek külföldön történő értékesítését kell jelenteni.</w:t>
      </w:r>
    </w:p>
    <w:p w14:paraId="161179EA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lastRenderedPageBreak/>
        <w:t>Beszerzésként a nem-rezidens eladóktól külföldön beszerzett és Magyarországra behozott áruk, továbbá passzív bérmunka ügylet keretében külföldön beszerzett és Magyarországra be nem hozott, a feldolgozás során felhasznált áruk és a feldolgozónak fizetett bérmunkadíj összegét kell feltüntetni. A bérmunka díj a hozzáadott értéket, azaz a feldolgozási díjat és a nem-rezidens feldolgozó saját tulajdonában lévő beépített termékek értékét is tartalmazza.</w:t>
      </w:r>
    </w:p>
    <w:p w14:paraId="377EBBE2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>Az országkódok listáját a 3. melléklet 4.2 pontja szerinti, az MNB honlapján közzétett technikai segédlet tartalmazza.</w:t>
      </w:r>
    </w:p>
    <w:p w14:paraId="13FA9795" w14:textId="77777777" w:rsidR="006B39CA" w:rsidRPr="006B39CA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6B39CA">
        <w:rPr>
          <w:rFonts w:ascii="Calibri" w:hAnsi="Calibri" w:cs="Arial"/>
          <w:sz w:val="22"/>
          <w:szCs w:val="22"/>
        </w:rPr>
        <w:t>A táblák kitöltését segítő módszertani útmutatást, illetve a hibátlan beküldést elősegítő ellenőrzési szabályokat a 3. melléklet 9., illetve 5. pontja szerinti, az MNB honlapján közzétett technikai segédlet tartalmazza.</w:t>
      </w:r>
    </w:p>
    <w:p w14:paraId="0F95F7BD" w14:textId="77777777" w:rsidR="006B39CA" w:rsidRPr="0058356D" w:rsidRDefault="006B39CA" w:rsidP="006B39CA"/>
    <w:p w14:paraId="074DC184" w14:textId="77777777" w:rsidR="001C0DD1" w:rsidRPr="00A236B4" w:rsidRDefault="001C0DD1" w:rsidP="00A7367D">
      <w:pPr>
        <w:ind w:left="709" w:hanging="709"/>
        <w:rPr>
          <w:rFonts w:ascii="Calibri" w:hAnsi="Calibri"/>
          <w:sz w:val="22"/>
          <w:szCs w:val="22"/>
        </w:rPr>
      </w:pPr>
    </w:p>
    <w:sectPr w:rsidR="001C0DD1" w:rsidRPr="00A236B4" w:rsidSect="001C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842A" w14:textId="77777777" w:rsidR="0062569B" w:rsidRDefault="0062569B" w:rsidP="0062569B">
      <w:r>
        <w:separator/>
      </w:r>
    </w:p>
  </w:endnote>
  <w:endnote w:type="continuationSeparator" w:id="0">
    <w:p w14:paraId="3F067B56" w14:textId="77777777" w:rsidR="0062569B" w:rsidRDefault="0062569B" w:rsidP="0062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B959" w14:textId="77777777" w:rsidR="0062569B" w:rsidRDefault="0062569B" w:rsidP="0062569B">
      <w:r>
        <w:separator/>
      </w:r>
    </w:p>
  </w:footnote>
  <w:footnote w:type="continuationSeparator" w:id="0">
    <w:p w14:paraId="09FC5B11" w14:textId="77777777" w:rsidR="0062569B" w:rsidRDefault="0062569B" w:rsidP="0062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F76"/>
    <w:rsid w:val="00071D66"/>
    <w:rsid w:val="0008798E"/>
    <w:rsid w:val="00120666"/>
    <w:rsid w:val="00177305"/>
    <w:rsid w:val="001C0DD1"/>
    <w:rsid w:val="001E3EC1"/>
    <w:rsid w:val="00207D95"/>
    <w:rsid w:val="00231D73"/>
    <w:rsid w:val="002517EE"/>
    <w:rsid w:val="002A1A86"/>
    <w:rsid w:val="002C6FAD"/>
    <w:rsid w:val="002E7900"/>
    <w:rsid w:val="00303F3E"/>
    <w:rsid w:val="003446EC"/>
    <w:rsid w:val="00361E4E"/>
    <w:rsid w:val="003B12A5"/>
    <w:rsid w:val="003E485B"/>
    <w:rsid w:val="00443830"/>
    <w:rsid w:val="004864C9"/>
    <w:rsid w:val="0052569C"/>
    <w:rsid w:val="00606B61"/>
    <w:rsid w:val="006232D1"/>
    <w:rsid w:val="0062569B"/>
    <w:rsid w:val="0065759A"/>
    <w:rsid w:val="006653CC"/>
    <w:rsid w:val="00670F76"/>
    <w:rsid w:val="00677BCF"/>
    <w:rsid w:val="0068658F"/>
    <w:rsid w:val="00690AAF"/>
    <w:rsid w:val="006B39CA"/>
    <w:rsid w:val="006D50EC"/>
    <w:rsid w:val="007064E1"/>
    <w:rsid w:val="00720F4B"/>
    <w:rsid w:val="00741AFF"/>
    <w:rsid w:val="007C6049"/>
    <w:rsid w:val="00903F94"/>
    <w:rsid w:val="009114D4"/>
    <w:rsid w:val="00926A70"/>
    <w:rsid w:val="00943B85"/>
    <w:rsid w:val="009511BB"/>
    <w:rsid w:val="0096157E"/>
    <w:rsid w:val="009974D2"/>
    <w:rsid w:val="009A091B"/>
    <w:rsid w:val="009E24B2"/>
    <w:rsid w:val="009F07DD"/>
    <w:rsid w:val="00A06877"/>
    <w:rsid w:val="00A21477"/>
    <w:rsid w:val="00A236B4"/>
    <w:rsid w:val="00A44883"/>
    <w:rsid w:val="00A7367D"/>
    <w:rsid w:val="00A82170"/>
    <w:rsid w:val="00B13B81"/>
    <w:rsid w:val="00B264DD"/>
    <w:rsid w:val="00B520B0"/>
    <w:rsid w:val="00BE27F4"/>
    <w:rsid w:val="00BF1903"/>
    <w:rsid w:val="00BF4F84"/>
    <w:rsid w:val="00C36546"/>
    <w:rsid w:val="00C86FE3"/>
    <w:rsid w:val="00CB7700"/>
    <w:rsid w:val="00D94919"/>
    <w:rsid w:val="00DF7F5F"/>
    <w:rsid w:val="00E329CE"/>
    <w:rsid w:val="00E42F7D"/>
    <w:rsid w:val="00EA4A09"/>
    <w:rsid w:val="00EA6435"/>
    <w:rsid w:val="00EE362D"/>
    <w:rsid w:val="00F61BDC"/>
    <w:rsid w:val="00FB15E8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F519CE"/>
  <w15:chartTrackingRefBased/>
  <w15:docId w15:val="{34B9BC9A-CC50-46FE-A2FC-5212FE3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yperlink">
    <w:name w:val="Hyperlink"/>
    <w:rsid w:val="00670F76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670F76"/>
    <w:pPr>
      <w:tabs>
        <w:tab w:val="right" w:leader="dot" w:pos="9062"/>
      </w:tabs>
      <w:ind w:left="360"/>
    </w:pPr>
  </w:style>
  <w:style w:type="paragraph" w:styleId="TOC3">
    <w:name w:val="toc 3"/>
    <w:basedOn w:val="Normal"/>
    <w:next w:val="Norma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Heading1Char">
    <w:name w:val="Heading 1 Char"/>
    <w:link w:val="Heading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link w:val="Heading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Paragraph">
    <w:name w:val="List Paragraph"/>
    <w:basedOn w:val="Normal"/>
    <w:uiPriority w:val="34"/>
    <w:qFormat/>
    <w:rsid w:val="00C3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10098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Czinege-Gyalog Éva</cp:lastModifiedBy>
  <cp:revision>2</cp:revision>
  <dcterms:created xsi:type="dcterms:W3CDTF">2022-03-31T10:26:00Z</dcterms:created>
  <dcterms:modified xsi:type="dcterms:W3CDTF">2022-03-31T10:26:00Z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2027-03-31T10:26:15Z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2022-03-31T10:26:16Z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2022-03-31T10:26:57.3268750Z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4c472131-80b1-43f8-ae74-0624dc65770f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