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6024" w14:textId="77777777" w:rsidR="007D0EAB" w:rsidRPr="006D372C" w:rsidRDefault="007D0EAB" w:rsidP="007D0EAB">
      <w:pPr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MNB azonosító: </w:t>
      </w:r>
      <w:r w:rsidR="000F5AE2" w:rsidRPr="006D372C">
        <w:rPr>
          <w:rFonts w:ascii="Calibri" w:hAnsi="Calibri"/>
          <w:b/>
          <w:sz w:val="22"/>
          <w:szCs w:val="22"/>
        </w:rPr>
        <w:t>R</w:t>
      </w:r>
      <w:r w:rsidR="00FC039E" w:rsidRPr="006D372C">
        <w:rPr>
          <w:rFonts w:ascii="Calibri" w:hAnsi="Calibri"/>
          <w:b/>
          <w:sz w:val="22"/>
          <w:szCs w:val="22"/>
        </w:rPr>
        <w:t>22</w:t>
      </w:r>
    </w:p>
    <w:p w14:paraId="583A3086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4B6470A7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674286B0" w14:textId="77777777" w:rsidR="004D52BB" w:rsidRPr="006D372C" w:rsidRDefault="004D52BB" w:rsidP="004D52BB">
      <w:pPr>
        <w:jc w:val="center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MÓDSZERTANI SEGÉDLET</w:t>
      </w:r>
    </w:p>
    <w:p w14:paraId="7E360DD6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7ABDCD44" w14:textId="77777777" w:rsidR="00FC039E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6D372C">
        <w:rPr>
          <w:rFonts w:ascii="Calibri" w:hAnsi="Calibri" w:cs="Arial"/>
          <w:b/>
          <w:sz w:val="22"/>
          <w:szCs w:val="22"/>
        </w:rPr>
        <w:t>Éven túli lejáratú tartozások esedékességi bontása</w:t>
      </w:r>
    </w:p>
    <w:p w14:paraId="5E7893BA" w14:textId="77777777" w:rsidR="0029696F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r w:rsidRPr="006D372C">
        <w:rPr>
          <w:rFonts w:ascii="Calibri" w:hAnsi="Calibri" w:cs="Arial"/>
          <w:b/>
          <w:sz w:val="22"/>
          <w:szCs w:val="22"/>
        </w:rPr>
        <w:t>– központi kormányzat, helyi önkormányzatok és társadalombiztosítási alapok</w:t>
      </w:r>
    </w:p>
    <w:p w14:paraId="52C8214F" w14:textId="77777777" w:rsidR="00FC039E" w:rsidRPr="006D372C" w:rsidRDefault="00FC039E" w:rsidP="00FC039E">
      <w:pPr>
        <w:jc w:val="center"/>
        <w:rPr>
          <w:rFonts w:ascii="Calibri" w:hAnsi="Calibri"/>
          <w:b/>
          <w:sz w:val="22"/>
          <w:szCs w:val="22"/>
        </w:rPr>
      </w:pPr>
    </w:p>
    <w:p w14:paraId="62B2AC43" w14:textId="77777777" w:rsidR="0033054E" w:rsidRPr="006D372C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6D372C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7B877B00" w14:textId="77777777" w:rsidR="00953F32" w:rsidRPr="006D372C" w:rsidRDefault="00953F32" w:rsidP="00953F32">
      <w:pPr>
        <w:jc w:val="both"/>
        <w:rPr>
          <w:rFonts w:ascii="Calibri" w:hAnsi="Calibri"/>
          <w:sz w:val="22"/>
          <w:szCs w:val="22"/>
        </w:rPr>
      </w:pPr>
    </w:p>
    <w:p w14:paraId="1786A816" w14:textId="77777777" w:rsidR="0040019F" w:rsidRPr="006D372C" w:rsidRDefault="0040019F" w:rsidP="0040019F">
      <w:pPr>
        <w:jc w:val="both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23EB1BDA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Az adatszolgáltatás</w:t>
      </w:r>
      <w:r w:rsidRPr="006D372C" w:rsidDel="003B5738">
        <w:rPr>
          <w:rFonts w:ascii="Calibri" w:hAnsi="Calibri"/>
          <w:sz w:val="22"/>
          <w:szCs w:val="22"/>
        </w:rPr>
        <w:t>b</w:t>
      </w:r>
      <w:r w:rsidRPr="006D372C">
        <w:rPr>
          <w:rFonts w:ascii="Calibri" w:hAnsi="Calibri"/>
          <w:sz w:val="22"/>
          <w:szCs w:val="22"/>
        </w:rPr>
        <w:t>a</w:t>
      </w:r>
      <w:r w:rsidRPr="006D372C" w:rsidDel="003B5738">
        <w:rPr>
          <w:rFonts w:ascii="Calibri" w:hAnsi="Calibri"/>
          <w:sz w:val="22"/>
          <w:szCs w:val="22"/>
        </w:rPr>
        <w:t xml:space="preserve">n </w:t>
      </w:r>
      <w:r w:rsidRPr="006D372C">
        <w:rPr>
          <w:rFonts w:ascii="Calibri" w:hAnsi="Calibri"/>
          <w:sz w:val="22"/>
          <w:szCs w:val="22"/>
        </w:rPr>
        <w:t>a negyedév végén az R09 adatszolgáltatás</w:t>
      </w:r>
      <w:r w:rsidRPr="006D372C">
        <w:rPr>
          <w:rFonts w:ascii="Calibri" w:hAnsi="Calibri"/>
          <w:b/>
          <w:i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 xml:space="preserve">BEFT_GHI táblájában jelentett nem rezidensekkel szemben fennálló éven túli lejáratú tartozások esedékességi bontását kell megadni. </w:t>
      </w:r>
    </w:p>
    <w:p w14:paraId="0D983518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tartozásokat az eredeti – tehát nem a még hátralévő – lejáratuk szerint, a BEFT_</w:t>
      </w:r>
      <w:r w:rsidR="0008690C" w:rsidRPr="006D372C">
        <w:rPr>
          <w:rFonts w:ascii="Calibri" w:hAnsi="Calibri"/>
          <w:sz w:val="22"/>
          <w:szCs w:val="22"/>
        </w:rPr>
        <w:t xml:space="preserve">GHI </w:t>
      </w:r>
      <w:r w:rsidRPr="006D372C">
        <w:rPr>
          <w:rFonts w:ascii="Calibri" w:hAnsi="Calibri"/>
          <w:sz w:val="22"/>
          <w:szCs w:val="22"/>
        </w:rPr>
        <w:t xml:space="preserve">táblában jelentett lejáratokkal egyezően kell besorolni. </w:t>
      </w:r>
    </w:p>
    <w:p w14:paraId="2339845B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70975818" w14:textId="77777777" w:rsidR="0040019F" w:rsidRPr="006D372C" w:rsidRDefault="0040019F" w:rsidP="0040019F">
      <w:pPr>
        <w:pStyle w:val="Heading2"/>
        <w:numPr>
          <w:ilvl w:val="0"/>
          <w:numId w:val="22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i w:val="0"/>
          <w:sz w:val="22"/>
          <w:szCs w:val="22"/>
        </w:rPr>
        <w:t>Lejárati bontás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791B8408" w14:textId="77777777" w:rsidR="0040019F" w:rsidRPr="006D372C" w:rsidRDefault="0040019F" w:rsidP="0040019F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 xml:space="preserve">A lejáratot a futamidő végéig havi bontásban kell megadni EEEEHH formátumban. </w:t>
      </w:r>
    </w:p>
    <w:p w14:paraId="2FA515BA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6B3F4CEC" w14:textId="77777777" w:rsidR="0040019F" w:rsidRPr="006D372C" w:rsidRDefault="0040019F" w:rsidP="0040019F">
      <w:pPr>
        <w:pStyle w:val="Heading2"/>
        <w:numPr>
          <w:ilvl w:val="0"/>
          <w:numId w:val="22"/>
        </w:numPr>
        <w:rPr>
          <w:rFonts w:ascii="Calibri" w:hAnsi="Calibri"/>
          <w:i w:val="0"/>
          <w:iCs w:val="0"/>
          <w:sz w:val="22"/>
          <w:szCs w:val="22"/>
        </w:rPr>
      </w:pPr>
      <w:r w:rsidRPr="006D372C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7676D718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LEJ2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6D372C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BEFT1_GHI táblákban ugyanazon azonosító adatokkal ellátott hitelek, negyedév végi záró állományával.</w:t>
      </w:r>
    </w:p>
    <w:p w14:paraId="48269A25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LEJ3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6D372C">
        <w:rPr>
          <w:rFonts w:ascii="Calibri" w:hAnsi="Calibri"/>
          <w:sz w:val="22"/>
          <w:szCs w:val="22"/>
        </w:rPr>
        <w:t xml:space="preserve">feltüntetett adatok esetében az instrumentum és devizanemenként összesített állományoknak meg kell egyezniük - a devizanemenkénti bontást figyelembe véve - az adott instrumentumra vonatkozóan a BEFT_GHI táblákban ugyanazon instrumentum kóddal feltüntetett negyedév végi záró állományokkal. </w:t>
      </w:r>
    </w:p>
    <w:p w14:paraId="0BF462F9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3985A2A7" w14:textId="77777777" w:rsidR="00CD2BF6" w:rsidRPr="006D372C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II. A táblák</w:t>
      </w:r>
      <w:r w:rsidR="00CD2BF6" w:rsidRPr="006D372C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56BDC359" w14:textId="77777777" w:rsidR="0001555C" w:rsidRPr="006D372C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D372C">
        <w:rPr>
          <w:rFonts w:ascii="Calibri" w:hAnsi="Calibri"/>
          <w:sz w:val="22"/>
          <w:szCs w:val="22"/>
        </w:rPr>
        <w:t>LEJ</w:t>
      </w:r>
      <w:r w:rsidR="00D459B6" w:rsidRPr="006D372C">
        <w:rPr>
          <w:rFonts w:ascii="Calibri" w:hAnsi="Calibri"/>
          <w:sz w:val="22"/>
          <w:szCs w:val="22"/>
        </w:rPr>
        <w:t>2</w:t>
      </w:r>
      <w:r w:rsidR="00695063" w:rsidRPr="006D372C">
        <w:rPr>
          <w:rFonts w:ascii="Calibri" w:hAnsi="Calibri"/>
          <w:sz w:val="22"/>
          <w:szCs w:val="22"/>
        </w:rPr>
        <w:t xml:space="preserve"> </w:t>
      </w:r>
      <w:r w:rsidR="0001555C" w:rsidRPr="006D372C">
        <w:rPr>
          <w:rFonts w:ascii="Calibri" w:hAnsi="Calibri"/>
          <w:sz w:val="22"/>
          <w:szCs w:val="22"/>
        </w:rPr>
        <w:t>tábla</w:t>
      </w:r>
      <w:r w:rsidR="00D459B6" w:rsidRPr="006D372C">
        <w:rPr>
          <w:rFonts w:ascii="Calibri" w:hAnsi="Calibri"/>
          <w:sz w:val="22"/>
          <w:szCs w:val="22"/>
        </w:rPr>
        <w:t>:</w:t>
      </w:r>
      <w:r w:rsidR="0001555C" w:rsidRPr="006D372C">
        <w:rPr>
          <w:rFonts w:ascii="Calibri" w:hAnsi="Calibri"/>
          <w:sz w:val="22"/>
          <w:szCs w:val="22"/>
        </w:rPr>
        <w:t xml:space="preserve">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</w:t>
      </w:r>
      <w:r w:rsidR="00154F5B" w:rsidRPr="006D372C">
        <w:rPr>
          <w:rFonts w:ascii="Calibri" w:hAnsi="Calibri"/>
          <w:sz w:val="22"/>
          <w:szCs w:val="22"/>
        </w:rPr>
        <w:t>konzorciális</w:t>
      </w:r>
      <w:r w:rsidR="0008690C" w:rsidRPr="006D372C">
        <w:rPr>
          <w:rFonts w:ascii="Calibri" w:hAnsi="Calibri"/>
          <w:sz w:val="22"/>
          <w:szCs w:val="22"/>
        </w:rPr>
        <w:t xml:space="preserve"> és</w:t>
      </w:r>
      <w:r w:rsidR="00154F5B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államilag garantált</w:t>
      </w:r>
      <w:r w:rsidR="008925A3" w:rsidRPr="006D372C">
        <w:rPr>
          <w:rFonts w:ascii="Calibri" w:hAnsi="Calibri"/>
          <w:sz w:val="22"/>
          <w:szCs w:val="22"/>
        </w:rPr>
        <w:t xml:space="preserve"> hitelek</w:t>
      </w:r>
      <w:r w:rsidRPr="006D372C">
        <w:rPr>
          <w:rFonts w:ascii="Calibri" w:hAnsi="Calibri"/>
          <w:sz w:val="22"/>
          <w:szCs w:val="22"/>
        </w:rPr>
        <w:t xml:space="preserve">, valamint az állam és többségi </w:t>
      </w:r>
      <w:r w:rsidR="007B2822" w:rsidRPr="006D372C">
        <w:rPr>
          <w:rFonts w:ascii="Calibri" w:hAnsi="Calibri"/>
          <w:sz w:val="22"/>
          <w:szCs w:val="22"/>
        </w:rPr>
        <w:t xml:space="preserve">állami </w:t>
      </w:r>
      <w:r w:rsidRPr="006D372C">
        <w:rPr>
          <w:rFonts w:ascii="Calibri" w:hAnsi="Calibri"/>
          <w:sz w:val="22"/>
          <w:szCs w:val="22"/>
        </w:rPr>
        <w:t xml:space="preserve">tulajdonú adatszolgáltatók egyéb hitelei után fennálló tartozások esedékesség szerinti </w:t>
      </w:r>
      <w:bookmarkEnd w:id="14"/>
      <w:bookmarkEnd w:id="15"/>
      <w:bookmarkEnd w:id="16"/>
      <w:bookmarkEnd w:id="17"/>
      <w:bookmarkEnd w:id="18"/>
      <w:bookmarkEnd w:id="19"/>
      <w:r w:rsidRPr="006D372C">
        <w:rPr>
          <w:rFonts w:ascii="Calibri" w:hAnsi="Calibri"/>
          <w:sz w:val="22"/>
          <w:szCs w:val="22"/>
        </w:rPr>
        <w:t>bontása</w:t>
      </w:r>
    </w:p>
    <w:p w14:paraId="48FC0FA3" w14:textId="77777777" w:rsidR="00406F9D" w:rsidRPr="006D372C" w:rsidRDefault="00406F9D" w:rsidP="00406F9D">
      <w:pPr>
        <w:rPr>
          <w:rFonts w:ascii="Calibri" w:hAnsi="Calibri"/>
          <w:sz w:val="22"/>
          <w:szCs w:val="22"/>
        </w:rPr>
      </w:pPr>
    </w:p>
    <w:p w14:paraId="08F0C60C" w14:textId="77777777" w:rsidR="008E1190" w:rsidRPr="006D372C" w:rsidRDefault="008E1190" w:rsidP="00953F32">
      <w:pPr>
        <w:pStyle w:val="Heading2"/>
        <w:spacing w:before="0" w:after="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>E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bben a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b w:val="0"/>
          <w:i w:val="0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6D372C">
        <w:rPr>
          <w:rFonts w:ascii="Calibri" w:hAnsi="Calibri"/>
          <w:b w:val="0"/>
          <w:i w:val="0"/>
          <w:sz w:val="22"/>
          <w:szCs w:val="22"/>
        </w:rPr>
        <w:t>BEFT1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_GHI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tábláiban részletezett –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 konzorciális, államilag garantált </w:t>
      </w:r>
      <w:proofErr w:type="gramStart"/>
      <w:r w:rsidR="000C0FA4" w:rsidRPr="006D372C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valamint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 xml:space="preserve">az állam és többségi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állami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>tulajdonú adatszolgáltatók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éven túli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>egyéb hitel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tartozások negyedév végi </w:t>
      </w:r>
      <w:r w:rsidR="00863B4E" w:rsidRPr="006D372C">
        <w:rPr>
          <w:rFonts w:ascii="Calibri" w:hAnsi="Calibri"/>
          <w:b w:val="0"/>
          <w:i w:val="0"/>
          <w:sz w:val="22"/>
          <w:szCs w:val="22"/>
        </w:rPr>
        <w:t xml:space="preserve">záró </w:t>
      </w:r>
      <w:r w:rsidRPr="006D372C">
        <w:rPr>
          <w:rFonts w:ascii="Calibri" w:hAnsi="Calibri"/>
          <w:b w:val="0"/>
          <w:i w:val="0"/>
          <w:sz w:val="22"/>
          <w:szCs w:val="22"/>
        </w:rPr>
        <w:t>állományainak esedékességi bontását.</w:t>
      </w:r>
    </w:p>
    <w:p w14:paraId="17EA6812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16A72660" w14:textId="77777777" w:rsidR="008E1190" w:rsidRPr="006D372C" w:rsidRDefault="008E1190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LEJ2 táblában részletezendő hitelekre vonatkozóan – a </w:t>
      </w:r>
      <w:r w:rsidR="0028132B" w:rsidRPr="006D372C">
        <w:rPr>
          <w:rFonts w:ascii="Calibri" w:hAnsi="Calibri"/>
          <w:sz w:val="22"/>
          <w:szCs w:val="22"/>
        </w:rPr>
        <w:t>BEFT1</w:t>
      </w:r>
      <w:r w:rsidR="00953F32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2B7A1F" w:rsidRPr="006D372C">
        <w:rPr>
          <w:rFonts w:ascii="Calibri" w:hAnsi="Calibri"/>
          <w:sz w:val="22"/>
          <w:szCs w:val="22"/>
        </w:rPr>
        <w:t xml:space="preserve">z esedékességi </w:t>
      </w:r>
      <w:r w:rsidRPr="006D372C">
        <w:rPr>
          <w:rFonts w:ascii="Calibri" w:hAnsi="Calibri"/>
          <w:sz w:val="22"/>
          <w:szCs w:val="22"/>
        </w:rPr>
        <w:t>bontást.</w:t>
      </w:r>
    </w:p>
    <w:p w14:paraId="2577EE51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04FE712C" w14:textId="77777777" w:rsidR="000C0FA4" w:rsidRPr="006D372C" w:rsidRDefault="000C0FA4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 </w:t>
      </w:r>
      <w:r w:rsidR="008925A3" w:rsidRPr="006D372C">
        <w:rPr>
          <w:rFonts w:ascii="Calibri" w:hAnsi="Calibri"/>
          <w:sz w:val="22"/>
          <w:szCs w:val="22"/>
        </w:rPr>
        <w:t>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>e” oszlop</w:t>
      </w:r>
      <w:r w:rsidRPr="006D372C">
        <w:rPr>
          <w:rFonts w:ascii="Calibri" w:hAnsi="Calibri"/>
          <w:sz w:val="22"/>
          <w:szCs w:val="22"/>
        </w:rPr>
        <w:t>: Ezek a</w:t>
      </w:r>
      <w:r w:rsidR="008925A3" w:rsidRPr="006D372C">
        <w:rPr>
          <w:rFonts w:ascii="Calibri" w:hAnsi="Calibri"/>
          <w:sz w:val="22"/>
          <w:szCs w:val="22"/>
        </w:rPr>
        <w:t>z oszlopok</w:t>
      </w:r>
      <w:r w:rsidRPr="006D372C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BEFT1_GHI tábla „a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i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h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g</w:t>
      </w:r>
      <w:r w:rsidR="00F21F77" w:rsidRPr="006D372C">
        <w:rPr>
          <w:rFonts w:ascii="Calibri" w:hAnsi="Calibri"/>
          <w:sz w:val="22"/>
          <w:szCs w:val="22"/>
        </w:rPr>
        <w:t>” és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megadott adatokkal.</w:t>
      </w:r>
    </w:p>
    <w:p w14:paraId="30484CFF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lastRenderedPageBreak/>
        <w:t>A táblában egy adott hitelre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60BEAC53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0DE5D641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455936E2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„g” oszlop: itt kell rögzíteni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0A9B4995" w14:textId="77777777" w:rsidR="004A14A6" w:rsidRPr="006D372C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02628591" w14:textId="77777777" w:rsidR="0063587F" w:rsidRPr="006D372C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6D372C">
        <w:rPr>
          <w:rFonts w:ascii="Calibri" w:hAnsi="Calibri"/>
          <w:sz w:val="22"/>
          <w:szCs w:val="22"/>
        </w:rPr>
        <w:t>LEJ</w:t>
      </w:r>
      <w:r w:rsidR="0029696F" w:rsidRPr="006D372C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953F32" w:rsidRPr="006D372C">
        <w:rPr>
          <w:rFonts w:ascii="Calibri" w:hAnsi="Calibri"/>
          <w:sz w:val="22"/>
          <w:szCs w:val="22"/>
        </w:rPr>
        <w:t>Éven túli</w:t>
      </w:r>
      <w:r w:rsidR="00F208DE" w:rsidRPr="006D372C">
        <w:rPr>
          <w:rFonts w:ascii="Calibri" w:hAnsi="Calibri"/>
          <w:sz w:val="22"/>
          <w:szCs w:val="22"/>
        </w:rPr>
        <w:t xml:space="preserve"> </w:t>
      </w:r>
      <w:r w:rsidR="007B2822" w:rsidRPr="006D372C">
        <w:rPr>
          <w:rFonts w:ascii="Calibri" w:hAnsi="Calibri"/>
          <w:sz w:val="22"/>
          <w:szCs w:val="22"/>
        </w:rPr>
        <w:t xml:space="preserve">lejáratú </w:t>
      </w:r>
      <w:r w:rsidR="00F208DE" w:rsidRPr="006D372C">
        <w:rPr>
          <w:rFonts w:ascii="Calibri" w:hAnsi="Calibri"/>
          <w:sz w:val="22"/>
          <w:szCs w:val="22"/>
        </w:rPr>
        <w:t xml:space="preserve">kereskedelmi hitelek, pénzügyi lízingek, </w:t>
      </w:r>
      <w:proofErr w:type="spellStart"/>
      <w:r w:rsidR="00F208DE" w:rsidRPr="006D372C">
        <w:rPr>
          <w:rFonts w:ascii="Calibri" w:hAnsi="Calibri"/>
          <w:sz w:val="22"/>
          <w:szCs w:val="22"/>
        </w:rPr>
        <w:t>repó</w:t>
      </w:r>
      <w:proofErr w:type="spellEnd"/>
      <w:r w:rsidR="00F208DE" w:rsidRPr="006D372C">
        <w:rPr>
          <w:rFonts w:ascii="Calibri" w:hAnsi="Calibri"/>
          <w:sz w:val="22"/>
          <w:szCs w:val="22"/>
        </w:rPr>
        <w:t xml:space="preserve"> és egyéb tartozások után fennálló tartozások esedékesség szerinti bontása</w:t>
      </w:r>
    </w:p>
    <w:p w14:paraId="18AAB424" w14:textId="77777777" w:rsidR="00EE4704" w:rsidRPr="006D372C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67CD7FDA" w14:textId="77777777" w:rsidR="00F208DE" w:rsidRPr="006D372C" w:rsidRDefault="00F208DE" w:rsidP="00E0428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E</w:t>
      </w:r>
      <w:r w:rsidR="000C0FA4" w:rsidRPr="006D372C">
        <w:rPr>
          <w:rFonts w:ascii="Calibri" w:hAnsi="Calibri"/>
          <w:sz w:val="22"/>
          <w:szCs w:val="22"/>
        </w:rPr>
        <w:t>bben a</w:t>
      </w:r>
      <w:r w:rsidRPr="006D372C">
        <w:rPr>
          <w:rFonts w:ascii="Calibri" w:hAnsi="Calibri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sz w:val="22"/>
          <w:szCs w:val="22"/>
        </w:rPr>
        <w:t>adatszolgáltatás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tábláiban részletezett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felvett tartozások negyedév végi </w:t>
      </w:r>
      <w:r w:rsidR="00863B4E" w:rsidRPr="006D372C">
        <w:rPr>
          <w:rFonts w:ascii="Calibri" w:hAnsi="Calibri"/>
          <w:sz w:val="22"/>
          <w:szCs w:val="22"/>
        </w:rPr>
        <w:t xml:space="preserve">záró </w:t>
      </w:r>
      <w:r w:rsidRPr="006D372C">
        <w:rPr>
          <w:rFonts w:ascii="Calibri" w:hAnsi="Calibri"/>
          <w:sz w:val="22"/>
          <w:szCs w:val="22"/>
        </w:rPr>
        <w:t>állományainak lejárati esedékességi bontását.</w:t>
      </w:r>
    </w:p>
    <w:p w14:paraId="51AEB692" w14:textId="77777777" w:rsidR="00F208DE" w:rsidRPr="006D372C" w:rsidRDefault="00F208DE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részletezendő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tartozásokra vonatkozóan – a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0C0FA4" w:rsidRPr="006D372C">
        <w:rPr>
          <w:rFonts w:ascii="Calibri" w:hAnsi="Calibri"/>
          <w:sz w:val="22"/>
          <w:szCs w:val="22"/>
        </w:rPr>
        <w:t xml:space="preserve">táblák </w:t>
      </w:r>
      <w:r w:rsidRPr="006D372C">
        <w:rPr>
          <w:rFonts w:ascii="Calibri" w:hAnsi="Calibri"/>
          <w:sz w:val="22"/>
          <w:szCs w:val="22"/>
        </w:rPr>
        <w:t>jelentési módszerével azonosan –</w:t>
      </w:r>
      <w:r w:rsidR="00AF4B71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instrumentumonként és devizanem összesítésben kell elvégezni a</w:t>
      </w:r>
      <w:r w:rsidR="000C0FA4" w:rsidRPr="006D372C">
        <w:rPr>
          <w:rFonts w:ascii="Calibri" w:hAnsi="Calibri"/>
          <w:sz w:val="22"/>
          <w:szCs w:val="22"/>
        </w:rPr>
        <w:t>z esedékességi</w:t>
      </w:r>
      <w:r w:rsidRPr="006D372C">
        <w:rPr>
          <w:rFonts w:ascii="Calibri" w:hAnsi="Calibri"/>
          <w:sz w:val="22"/>
          <w:szCs w:val="22"/>
        </w:rPr>
        <w:t xml:space="preserve"> bontást.</w:t>
      </w:r>
    </w:p>
    <w:p w14:paraId="369ED9DA" w14:textId="77777777" w:rsidR="00E04283" w:rsidRPr="006D372C" w:rsidRDefault="00E04283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07185FBC" w14:textId="77777777" w:rsidR="000C0FA4" w:rsidRPr="006D372C" w:rsidRDefault="008925A3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Pr="006D372C">
        <w:rPr>
          <w:rFonts w:ascii="Calibri" w:hAnsi="Calibri"/>
          <w:sz w:val="22"/>
          <w:szCs w:val="22"/>
        </w:rPr>
        <w:t>b” oszlop</w:t>
      </w:r>
      <w:r w:rsidR="000C0FA4" w:rsidRPr="006D372C">
        <w:rPr>
          <w:rFonts w:ascii="Calibri" w:hAnsi="Calibri"/>
          <w:sz w:val="22"/>
          <w:szCs w:val="22"/>
        </w:rPr>
        <w:t>: Ezek a sorok az instrumentum és devizanem azonosítására szolgálnak, amelyekben feltüntetett adatoknak meg kell egyezniük:</w:t>
      </w:r>
    </w:p>
    <w:p w14:paraId="4D1D531D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BEFT1_GHI tábla </w:t>
      </w:r>
      <w:r w:rsidR="00A41CC6" w:rsidRPr="006D372C">
        <w:rPr>
          <w:rFonts w:ascii="Calibri" w:hAnsi="Calibri"/>
          <w:sz w:val="22"/>
          <w:szCs w:val="22"/>
        </w:rPr>
        <w:t>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(</w:t>
      </w:r>
      <w:proofErr w:type="spellStart"/>
      <w:r w:rsidRPr="006D372C">
        <w:rPr>
          <w:rFonts w:ascii="Calibri" w:hAnsi="Calibri"/>
          <w:sz w:val="22"/>
          <w:szCs w:val="22"/>
        </w:rPr>
        <w:t>repó</w:t>
      </w:r>
      <w:proofErr w:type="spellEnd"/>
      <w:r w:rsidRPr="006D372C">
        <w:rPr>
          <w:rFonts w:ascii="Calibri" w:hAnsi="Calibri"/>
          <w:sz w:val="22"/>
          <w:szCs w:val="22"/>
        </w:rPr>
        <w:t>, pénzügyi lízing, kereskedelmi hitelekre) megadott adatokkal.</w:t>
      </w:r>
    </w:p>
    <w:p w14:paraId="790A52A1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BEFT4_</w:t>
      </w:r>
      <w:r w:rsidR="0008690C" w:rsidRPr="006D372C">
        <w:rPr>
          <w:rFonts w:ascii="Calibri" w:hAnsi="Calibri"/>
          <w:sz w:val="22"/>
          <w:szCs w:val="22"/>
        </w:rPr>
        <w:t>GHI</w:t>
      </w:r>
      <w:r w:rsidR="00A41CC6" w:rsidRPr="006D372C">
        <w:rPr>
          <w:rFonts w:ascii="Calibri" w:hAnsi="Calibri"/>
          <w:sz w:val="22"/>
          <w:szCs w:val="22"/>
        </w:rPr>
        <w:t xml:space="preserve"> tábla 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d” oszlopaiban (egyéb hosszú tartozások</w:t>
      </w:r>
      <w:r w:rsidR="00F5638E" w:rsidRPr="006D372C">
        <w:rPr>
          <w:rFonts w:ascii="Calibri" w:hAnsi="Calibri"/>
          <w:sz w:val="22"/>
          <w:szCs w:val="22"/>
        </w:rPr>
        <w:t>ra</w:t>
      </w:r>
      <w:r w:rsidRPr="006D372C">
        <w:rPr>
          <w:rFonts w:ascii="Calibri" w:hAnsi="Calibri"/>
          <w:sz w:val="22"/>
          <w:szCs w:val="22"/>
        </w:rPr>
        <w:t>) megadott adatokkal.</w:t>
      </w:r>
    </w:p>
    <w:p w14:paraId="1C10D530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4CCF5F17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4A7FC83A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23312EDE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„d” oszlop: itt kell rögzíteni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30DFAD4D" w14:textId="77777777" w:rsidR="000C0FA4" w:rsidRPr="006D372C" w:rsidRDefault="000C0FA4" w:rsidP="000C0FA4">
      <w:pPr>
        <w:ind w:left="1080"/>
        <w:jc w:val="both"/>
        <w:rPr>
          <w:rFonts w:ascii="Calibri" w:hAnsi="Calibri"/>
          <w:sz w:val="22"/>
          <w:szCs w:val="22"/>
        </w:rPr>
      </w:pPr>
    </w:p>
    <w:p w14:paraId="100834B9" w14:textId="77777777" w:rsidR="000C0FA4" w:rsidRPr="006D372C" w:rsidRDefault="000C0FA4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25DB5734" w14:textId="77777777" w:rsidR="00F208DE" w:rsidRPr="006D372C" w:rsidRDefault="00F208DE" w:rsidP="00EE4704">
      <w:pPr>
        <w:rPr>
          <w:rFonts w:ascii="Calibri" w:hAnsi="Calibri"/>
          <w:sz w:val="22"/>
          <w:szCs w:val="22"/>
        </w:rPr>
      </w:pPr>
    </w:p>
    <w:p w14:paraId="6AAD2FFE" w14:textId="77777777" w:rsidR="004E25E3" w:rsidRPr="006D372C" w:rsidRDefault="004E25E3" w:rsidP="000B1089">
      <w:pPr>
        <w:jc w:val="both"/>
        <w:rPr>
          <w:rFonts w:ascii="Calibri" w:hAnsi="Calibri"/>
          <w:sz w:val="22"/>
          <w:szCs w:val="22"/>
        </w:rPr>
      </w:pPr>
    </w:p>
    <w:sectPr w:rsidR="004E25E3" w:rsidRPr="006D372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66C6" w14:textId="77777777" w:rsidR="00D60DBF" w:rsidRDefault="00D60DBF" w:rsidP="00D60DBF">
      <w:r>
        <w:separator/>
      </w:r>
    </w:p>
  </w:endnote>
  <w:endnote w:type="continuationSeparator" w:id="0">
    <w:p w14:paraId="4E7542E5" w14:textId="77777777" w:rsidR="00D60DBF" w:rsidRDefault="00D60DBF" w:rsidP="00D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05C1" w14:textId="77777777" w:rsidR="00F5638E" w:rsidRDefault="00F5638E" w:rsidP="00F5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E8113" w14:textId="77777777" w:rsidR="00F5638E" w:rsidRDefault="00F5638E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6E61" w14:textId="77777777" w:rsidR="00F5638E" w:rsidRDefault="00F5638E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15C4" w14:textId="77777777" w:rsidR="00D60DBF" w:rsidRDefault="00D60DBF" w:rsidP="00D60DBF">
      <w:r>
        <w:separator/>
      </w:r>
    </w:p>
  </w:footnote>
  <w:footnote w:type="continuationSeparator" w:id="0">
    <w:p w14:paraId="5BE0C7AC" w14:textId="77777777" w:rsidR="00D60DBF" w:rsidRDefault="00D60DBF" w:rsidP="00D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BF25" w14:textId="77777777" w:rsidR="00F5638E" w:rsidRPr="00B4698D" w:rsidRDefault="00F5638E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C32D84"/>
    <w:multiLevelType w:val="hybridMultilevel"/>
    <w:tmpl w:val="C82274BC"/>
    <w:lvl w:ilvl="0" w:tplc="9E2EC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6A524C0C"/>
    <w:lvl w:ilvl="0" w:tplc="C3C848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B3668"/>
    <w:multiLevelType w:val="hybridMultilevel"/>
    <w:tmpl w:val="CFEE5F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1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0448B"/>
    <w:rsid w:val="0001555C"/>
    <w:rsid w:val="00016D59"/>
    <w:rsid w:val="000377C4"/>
    <w:rsid w:val="00040486"/>
    <w:rsid w:val="0006267C"/>
    <w:rsid w:val="0008690C"/>
    <w:rsid w:val="000B1089"/>
    <w:rsid w:val="000C0FA4"/>
    <w:rsid w:val="000E0901"/>
    <w:rsid w:val="000F5AE2"/>
    <w:rsid w:val="001107C0"/>
    <w:rsid w:val="00114521"/>
    <w:rsid w:val="001358D8"/>
    <w:rsid w:val="00154F5B"/>
    <w:rsid w:val="001922FA"/>
    <w:rsid w:val="001B1019"/>
    <w:rsid w:val="002029D1"/>
    <w:rsid w:val="0023487A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7A1F"/>
    <w:rsid w:val="002C0B09"/>
    <w:rsid w:val="002C359A"/>
    <w:rsid w:val="002D6416"/>
    <w:rsid w:val="002E3102"/>
    <w:rsid w:val="00314595"/>
    <w:rsid w:val="00327D92"/>
    <w:rsid w:val="0033054E"/>
    <w:rsid w:val="00375C8E"/>
    <w:rsid w:val="003B5C05"/>
    <w:rsid w:val="003B5F82"/>
    <w:rsid w:val="003B6A4E"/>
    <w:rsid w:val="003B7681"/>
    <w:rsid w:val="003E03CA"/>
    <w:rsid w:val="003F1F78"/>
    <w:rsid w:val="0040019F"/>
    <w:rsid w:val="00406F9D"/>
    <w:rsid w:val="0041214C"/>
    <w:rsid w:val="004122BA"/>
    <w:rsid w:val="00421195"/>
    <w:rsid w:val="00421D68"/>
    <w:rsid w:val="00446E7D"/>
    <w:rsid w:val="00447378"/>
    <w:rsid w:val="00456463"/>
    <w:rsid w:val="004979D0"/>
    <w:rsid w:val="004A14A6"/>
    <w:rsid w:val="004C7D89"/>
    <w:rsid w:val="004D52BB"/>
    <w:rsid w:val="004D6AB3"/>
    <w:rsid w:val="004E25E3"/>
    <w:rsid w:val="004E77F1"/>
    <w:rsid w:val="00510D8B"/>
    <w:rsid w:val="005179EF"/>
    <w:rsid w:val="00542C13"/>
    <w:rsid w:val="00571E61"/>
    <w:rsid w:val="00582EED"/>
    <w:rsid w:val="005977CA"/>
    <w:rsid w:val="005F62D7"/>
    <w:rsid w:val="0061419E"/>
    <w:rsid w:val="00614DA1"/>
    <w:rsid w:val="0063587F"/>
    <w:rsid w:val="0065060E"/>
    <w:rsid w:val="0065191C"/>
    <w:rsid w:val="00694B3D"/>
    <w:rsid w:val="00695063"/>
    <w:rsid w:val="006A5E57"/>
    <w:rsid w:val="006D2DC1"/>
    <w:rsid w:val="006D372C"/>
    <w:rsid w:val="006F06B7"/>
    <w:rsid w:val="00751C11"/>
    <w:rsid w:val="0076621E"/>
    <w:rsid w:val="007736F3"/>
    <w:rsid w:val="007B2822"/>
    <w:rsid w:val="007D01EF"/>
    <w:rsid w:val="007D0EAB"/>
    <w:rsid w:val="007F4AC7"/>
    <w:rsid w:val="007F76ED"/>
    <w:rsid w:val="00816171"/>
    <w:rsid w:val="00822132"/>
    <w:rsid w:val="008238A7"/>
    <w:rsid w:val="008428A4"/>
    <w:rsid w:val="008452EF"/>
    <w:rsid w:val="00852AF0"/>
    <w:rsid w:val="00863B4E"/>
    <w:rsid w:val="008925A3"/>
    <w:rsid w:val="008A2B0E"/>
    <w:rsid w:val="008E1190"/>
    <w:rsid w:val="008F0804"/>
    <w:rsid w:val="008F188A"/>
    <w:rsid w:val="009019BB"/>
    <w:rsid w:val="00932091"/>
    <w:rsid w:val="00932BF7"/>
    <w:rsid w:val="00947FB5"/>
    <w:rsid w:val="00953F32"/>
    <w:rsid w:val="009A5562"/>
    <w:rsid w:val="009A611A"/>
    <w:rsid w:val="009E63D3"/>
    <w:rsid w:val="009F7CE9"/>
    <w:rsid w:val="00A0279D"/>
    <w:rsid w:val="00A3739C"/>
    <w:rsid w:val="00A41CC6"/>
    <w:rsid w:val="00A4587E"/>
    <w:rsid w:val="00A520CA"/>
    <w:rsid w:val="00A60A49"/>
    <w:rsid w:val="00A71A5B"/>
    <w:rsid w:val="00AB1220"/>
    <w:rsid w:val="00AC683B"/>
    <w:rsid w:val="00AD762F"/>
    <w:rsid w:val="00AF4B71"/>
    <w:rsid w:val="00AF4F66"/>
    <w:rsid w:val="00B13FCD"/>
    <w:rsid w:val="00B33EBE"/>
    <w:rsid w:val="00B44F45"/>
    <w:rsid w:val="00B4698D"/>
    <w:rsid w:val="00B65B2E"/>
    <w:rsid w:val="00B92F0E"/>
    <w:rsid w:val="00BA1811"/>
    <w:rsid w:val="00BC2B62"/>
    <w:rsid w:val="00BD7B34"/>
    <w:rsid w:val="00BE551C"/>
    <w:rsid w:val="00C0325B"/>
    <w:rsid w:val="00C35CEE"/>
    <w:rsid w:val="00C54E24"/>
    <w:rsid w:val="00C63FBF"/>
    <w:rsid w:val="00C95E9D"/>
    <w:rsid w:val="00CC6167"/>
    <w:rsid w:val="00CC6FAF"/>
    <w:rsid w:val="00CD2BF6"/>
    <w:rsid w:val="00D0017E"/>
    <w:rsid w:val="00D210F7"/>
    <w:rsid w:val="00D459B6"/>
    <w:rsid w:val="00D60DBF"/>
    <w:rsid w:val="00D62266"/>
    <w:rsid w:val="00D83D92"/>
    <w:rsid w:val="00DB5066"/>
    <w:rsid w:val="00E0101E"/>
    <w:rsid w:val="00E04283"/>
    <w:rsid w:val="00E17B9C"/>
    <w:rsid w:val="00E25A0F"/>
    <w:rsid w:val="00E65C1E"/>
    <w:rsid w:val="00EA3853"/>
    <w:rsid w:val="00EA7D19"/>
    <w:rsid w:val="00EB5588"/>
    <w:rsid w:val="00ED6C5F"/>
    <w:rsid w:val="00EE4704"/>
    <w:rsid w:val="00EF3819"/>
    <w:rsid w:val="00EF7D3F"/>
    <w:rsid w:val="00F128CF"/>
    <w:rsid w:val="00F208DE"/>
    <w:rsid w:val="00F21F77"/>
    <w:rsid w:val="00F525F1"/>
    <w:rsid w:val="00F5638E"/>
    <w:rsid w:val="00F57222"/>
    <w:rsid w:val="00F75962"/>
    <w:rsid w:val="00FB59EC"/>
    <w:rsid w:val="00FB5DB5"/>
    <w:rsid w:val="00FC039E"/>
    <w:rsid w:val="00FC0F5E"/>
    <w:rsid w:val="00FC6226"/>
    <w:rsid w:val="00FD3AE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A1B8D8"/>
  <w15:chartTrackingRefBased/>
  <w15:docId w15:val="{27DAC216-E693-4A38-91E8-0C621F14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basedOn w:val="DefaultParagraphFont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basedOn w:val="DefaultParagraphFont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Czinege-Gyalog Éva</cp:lastModifiedBy>
  <cp:revision>2</cp:revision>
  <dcterms:created xsi:type="dcterms:W3CDTF">2022-03-31T11:13:00Z</dcterms:created>
  <dcterms:modified xsi:type="dcterms:W3CDTF">2022-03-31T11:13:00Z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1186835354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2027-03-31T10:59:18Z</vt:filetime>
  </property>
  <property fmtid="{D5CDD505-2E9C-101B-9397-08002B2CF9AE}" pid="8" name="Érvényességet beállító">
    <vt:lpwstr>gyaloge</vt:lpwstr>
  </property>
  <property fmtid="{D5CDD505-2E9C-101B-9397-08002B2CF9AE}" pid="9" name="Érvényességi idő első beállítása">
    <vt:filetime>2022-03-31T10:59:19Z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gyaloge@mnb.hu</vt:lpwstr>
  </property>
  <property fmtid="{D5CDD505-2E9C-101B-9397-08002B2CF9AE}" pid="13" name="MSIP_Label_b0d11092-50c9-4e74-84b5-b1af078dc3d0_SetDate">
    <vt:lpwstr>2022-03-31T11:13:27.1891362Z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27b8bcdb-7a9a-4054-8ded-b9d9b215af17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