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0129D" w14:textId="77777777" w:rsidR="00B15FE8" w:rsidRPr="00693977" w:rsidRDefault="00B15FE8" w:rsidP="00140078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 xml:space="preserve">A Magyar Nemzeti Bank elnökének </w:t>
      </w:r>
    </w:p>
    <w:p w14:paraId="3156E8A1" w14:textId="3543FA1B" w:rsidR="00B15FE8" w:rsidRDefault="003F021A" w:rsidP="00140078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  <w:r w:rsidR="006C59B5">
        <w:rPr>
          <w:rFonts w:ascii="Arial" w:hAnsi="Arial" w:cs="Arial"/>
          <w:b/>
          <w:bCs/>
        </w:rPr>
        <w:t>/</w:t>
      </w:r>
      <w:r w:rsidR="00B15FE8" w:rsidRPr="00693977">
        <w:rPr>
          <w:rFonts w:ascii="Arial" w:hAnsi="Arial" w:cs="Arial"/>
          <w:b/>
          <w:bCs/>
        </w:rPr>
        <w:t>20</w:t>
      </w:r>
      <w:r w:rsidR="00B15FE8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5</w:t>
      </w:r>
      <w:r w:rsidR="00B15FE8" w:rsidRPr="00693977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…</w:t>
      </w:r>
      <w:r w:rsidR="006C59B5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…</w:t>
      </w:r>
      <w:r w:rsidR="00B15FE8" w:rsidRPr="00693977">
        <w:rPr>
          <w:rFonts w:ascii="Arial" w:hAnsi="Arial" w:cs="Arial"/>
          <w:b/>
          <w:bCs/>
        </w:rPr>
        <w:t>) MNB rendelete</w:t>
      </w:r>
    </w:p>
    <w:p w14:paraId="37863650" w14:textId="77777777" w:rsidR="00111809" w:rsidRPr="00693977" w:rsidRDefault="00111809" w:rsidP="00140078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bCs/>
        </w:rPr>
      </w:pPr>
    </w:p>
    <w:p w14:paraId="6E2728ED" w14:textId="77777777" w:rsidR="00B15FE8" w:rsidRPr="00693977" w:rsidRDefault="00B15FE8" w:rsidP="00140078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Arial" w:hAnsi="Arial" w:cs="Arial"/>
          <w:b/>
          <w:bCs/>
        </w:rPr>
      </w:pPr>
      <w:r w:rsidRPr="00693977">
        <w:rPr>
          <w:rFonts w:ascii="Arial" w:hAnsi="Arial" w:cs="Arial"/>
          <w:b/>
          <w:bCs/>
        </w:rPr>
        <w:t>a tőkepiaci szervezetek által a jegybanki információs rendszerhez elsődlegesen a Magyar Nemzeti Bank felügyeleti feladatai ellátása érdekében teljesítendő adatszolgáltatási kötelezettségekről</w:t>
      </w:r>
    </w:p>
    <w:p w14:paraId="400CF7B5" w14:textId="3A2E9E6A" w:rsidR="00F53FBA" w:rsidRDefault="00F53FBA" w:rsidP="00140078">
      <w:pPr>
        <w:spacing w:after="0" w:line="240" w:lineRule="auto"/>
        <w:ind w:firstLine="142"/>
        <w:outlineLvl w:val="0"/>
        <w:rPr>
          <w:rFonts w:ascii="Arial" w:eastAsia="Times New Roman" w:hAnsi="Arial" w:cs="Arial"/>
          <w:b/>
          <w:bCs/>
        </w:rPr>
      </w:pPr>
    </w:p>
    <w:p w14:paraId="2B4C793E" w14:textId="77777777" w:rsidR="00790560" w:rsidRPr="002A00C8" w:rsidRDefault="00790560" w:rsidP="00140078">
      <w:pPr>
        <w:spacing w:after="0" w:line="240" w:lineRule="auto"/>
        <w:ind w:firstLine="142"/>
        <w:outlineLvl w:val="0"/>
        <w:rPr>
          <w:rFonts w:ascii="Arial" w:eastAsia="Times New Roman" w:hAnsi="Arial" w:cs="Arial"/>
          <w:b/>
          <w:bCs/>
        </w:rPr>
      </w:pPr>
    </w:p>
    <w:p w14:paraId="7F19CD0A" w14:textId="629DA962" w:rsidR="00053919" w:rsidRPr="00512892" w:rsidRDefault="00DD0F4F" w:rsidP="00140078">
      <w:pPr>
        <w:spacing w:after="0" w:line="240" w:lineRule="auto"/>
        <w:ind w:firstLine="142"/>
        <w:outlineLvl w:val="0"/>
        <w:rPr>
          <w:rFonts w:ascii="Arial" w:eastAsia="Times New Roman" w:hAnsi="Arial" w:cs="Arial"/>
        </w:rPr>
      </w:pPr>
      <w:r w:rsidRPr="00512892">
        <w:rPr>
          <w:rFonts w:ascii="Arial" w:eastAsia="Times New Roman" w:hAnsi="Arial" w:cs="Arial"/>
        </w:rPr>
        <w:t xml:space="preserve">[1] </w:t>
      </w:r>
      <w:r>
        <w:rPr>
          <w:rFonts w:ascii="Arial" w:eastAsia="Times New Roman" w:hAnsi="Arial" w:cs="Arial"/>
        </w:rPr>
        <w:t xml:space="preserve">E rendelet célja a tőkepiaci szervezetek által a jegybanki információs rendszerhez elsődlegesen a Magyar Nemzeti Bank felügyeleti feladatai ellátása érdekében </w:t>
      </w:r>
      <w:r w:rsidR="00111809">
        <w:rPr>
          <w:rFonts w:ascii="Arial" w:eastAsia="Times New Roman" w:hAnsi="Arial" w:cs="Arial"/>
        </w:rPr>
        <w:t>jelentendő</w:t>
      </w:r>
      <w:r>
        <w:rPr>
          <w:rFonts w:ascii="Arial" w:eastAsia="Times New Roman" w:hAnsi="Arial" w:cs="Arial"/>
        </w:rPr>
        <w:t xml:space="preserve"> adat</w:t>
      </w:r>
      <w:r w:rsidR="00111809">
        <w:rPr>
          <w:rFonts w:ascii="Arial" w:eastAsia="Times New Roman" w:hAnsi="Arial" w:cs="Arial"/>
        </w:rPr>
        <w:t xml:space="preserve">ok </w:t>
      </w:r>
      <w:r>
        <w:rPr>
          <w:rFonts w:ascii="Arial" w:eastAsia="Times New Roman" w:hAnsi="Arial" w:cs="Arial"/>
        </w:rPr>
        <w:t>kör</w:t>
      </w:r>
      <w:r w:rsidR="00111809">
        <w:rPr>
          <w:rFonts w:ascii="Arial" w:eastAsia="Times New Roman" w:hAnsi="Arial" w:cs="Arial"/>
        </w:rPr>
        <w:t>ére</w:t>
      </w:r>
      <w:r>
        <w:rPr>
          <w:rFonts w:ascii="Arial" w:eastAsia="Times New Roman" w:hAnsi="Arial" w:cs="Arial"/>
        </w:rPr>
        <w:t xml:space="preserve">, </w:t>
      </w:r>
      <w:r w:rsidR="00111809">
        <w:rPr>
          <w:rFonts w:ascii="Arial" w:eastAsia="Times New Roman" w:hAnsi="Arial" w:cs="Arial"/>
        </w:rPr>
        <w:t>valamint</w:t>
      </w:r>
      <w:r>
        <w:rPr>
          <w:rFonts w:ascii="Arial" w:eastAsia="Times New Roman" w:hAnsi="Arial" w:cs="Arial"/>
        </w:rPr>
        <w:t xml:space="preserve"> az adatszolgálatás teljesítésének módjára </w:t>
      </w:r>
      <w:r w:rsidR="00111809">
        <w:rPr>
          <w:rFonts w:ascii="Arial" w:eastAsia="Times New Roman" w:hAnsi="Arial" w:cs="Arial"/>
        </w:rPr>
        <w:t xml:space="preserve">és határidejére </w:t>
      </w:r>
      <w:r>
        <w:rPr>
          <w:rFonts w:ascii="Arial" w:eastAsia="Times New Roman" w:hAnsi="Arial" w:cs="Arial"/>
        </w:rPr>
        <w:t>vonatkozó szabályok meghatározása.</w:t>
      </w:r>
    </w:p>
    <w:p w14:paraId="4C87B32B" w14:textId="73077E98" w:rsidR="00F53FBA" w:rsidRPr="00F53FBA" w:rsidRDefault="00DD0F4F" w:rsidP="00140078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[2] </w:t>
      </w:r>
      <w:r w:rsidR="00F53FBA" w:rsidRPr="00F53FBA">
        <w:rPr>
          <w:rFonts w:ascii="Arial" w:eastAsia="Times New Roman" w:hAnsi="Arial" w:cs="Arial"/>
        </w:rPr>
        <w:t>A Magyar Nemzeti Bankról szóló 2013. évi CXXXIX. törvény 171. § (1) bekezdés i) pontjában kapott felhatalmazás alapján, a Magyar Nemzeti Bankról szóló 2013. évi CXXXIX. törvény 4. § (6) és (9) bekezdésében meghatározott feladatkörömben eljárva a következőket rendelem el:</w:t>
      </w:r>
    </w:p>
    <w:p w14:paraId="6B876095" w14:textId="77777777" w:rsidR="00053919" w:rsidRDefault="00053919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F68CBD8" w14:textId="6C52F0FC" w:rsidR="00053919" w:rsidRPr="00512892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 hatálya a befektetési vállalkozásokról és az árutőzsdei szolgáltatókról, valamint az általuk végezhető tevékenységek szabályairól szóló </w:t>
      </w:r>
      <w:hyperlink r:id="rId8" w:history="1">
        <w:r w:rsidRPr="00F53FBA">
          <w:rPr>
            <w:rFonts w:ascii="Arial" w:eastAsia="Times New Roman" w:hAnsi="Arial" w:cs="Arial"/>
          </w:rPr>
          <w:t>2007. évi CXXXVIII. törvény (a továbbiakban: Bszt.)</w:t>
        </w:r>
      </w:hyperlink>
      <w:r w:rsidRPr="00F53FBA">
        <w:rPr>
          <w:rFonts w:ascii="Arial" w:eastAsia="Times New Roman" w:hAnsi="Arial" w:cs="Arial"/>
        </w:rPr>
        <w:t xml:space="preserve"> hatálya alá tartozó szervezetre, a befektetési alapra és befektetési alapkezelőre, a központi értéktári, központi szerződő fél és tőzsdei tevékenységet végző szervezetre</w:t>
      </w:r>
      <w:r w:rsidR="00A165DD">
        <w:rPr>
          <w:rFonts w:ascii="Arial" w:eastAsia="Times New Roman" w:hAnsi="Arial" w:cs="Arial"/>
        </w:rPr>
        <w:t xml:space="preserve">, </w:t>
      </w:r>
      <w:r w:rsidR="00A165DD" w:rsidRPr="00A9601F">
        <w:rPr>
          <w:rFonts w:ascii="Arial" w:eastAsia="Times New Roman" w:hAnsi="Arial" w:cs="Arial"/>
        </w:rPr>
        <w:t>a 600/2014/EU európai parlamenti és tanácsi rendelet 2. cikk (3) bekezdésében meghatározottak szerint a</w:t>
      </w:r>
      <w:r w:rsidR="00A165DD" w:rsidRPr="00D77897">
        <w:rPr>
          <w:rFonts w:ascii="Arial" w:eastAsia="Times New Roman" w:hAnsi="Arial" w:cs="Arial"/>
        </w:rPr>
        <w:t xml:space="preserve"> belső piac szempontjából korlátozott jelentőségű </w:t>
      </w:r>
      <w:r w:rsidR="0041082C">
        <w:rPr>
          <w:rFonts w:ascii="Arial" w:eastAsia="Times New Roman" w:hAnsi="Arial" w:cs="Arial"/>
        </w:rPr>
        <w:t>jóváhagyott jelentési és közzétételi mechanizmusra</w:t>
      </w:r>
      <w:r w:rsidR="00A165DD">
        <w:rPr>
          <w:rFonts w:ascii="Arial" w:eastAsia="Times New Roman" w:hAnsi="Arial" w:cs="Arial"/>
        </w:rPr>
        <w:t xml:space="preserve">, </w:t>
      </w:r>
      <w:r w:rsidR="00A165DD" w:rsidRPr="001E0727">
        <w:rPr>
          <w:rFonts w:ascii="Arial" w:eastAsia="Times New Roman" w:hAnsi="Arial" w:cs="Arial"/>
        </w:rPr>
        <w:t>a közösségi finanszírozási szolgáltató</w:t>
      </w:r>
      <w:r w:rsidR="00A165DD">
        <w:rPr>
          <w:rFonts w:ascii="Arial" w:eastAsia="Times New Roman" w:hAnsi="Arial" w:cs="Arial"/>
        </w:rPr>
        <w:t xml:space="preserve">ra, a </w:t>
      </w:r>
      <w:r w:rsidR="00A165DD" w:rsidRPr="001E0727">
        <w:rPr>
          <w:rFonts w:ascii="Arial" w:eastAsia="Times New Roman" w:hAnsi="Arial" w:cs="Arial"/>
        </w:rPr>
        <w:t>kriptoeszköz-szolgáltató</w:t>
      </w:r>
      <w:r w:rsidR="00A165DD">
        <w:rPr>
          <w:rFonts w:ascii="Arial" w:eastAsia="Times New Roman" w:hAnsi="Arial" w:cs="Arial"/>
        </w:rPr>
        <w:t>ra</w:t>
      </w:r>
      <w:r w:rsidR="00A165DD" w:rsidRPr="001E0727">
        <w:rPr>
          <w:rFonts w:ascii="Arial" w:eastAsia="Times New Roman" w:hAnsi="Arial" w:cs="Arial"/>
        </w:rPr>
        <w:t>, v</w:t>
      </w:r>
      <w:r w:rsidR="00A165DD">
        <w:rPr>
          <w:rFonts w:ascii="Arial" w:eastAsia="Times New Roman" w:hAnsi="Arial" w:cs="Arial"/>
        </w:rPr>
        <w:t xml:space="preserve">alamint </w:t>
      </w:r>
      <w:r w:rsidR="00A165DD" w:rsidRPr="001E0727">
        <w:rPr>
          <w:rFonts w:ascii="Arial" w:eastAsia="Times New Roman" w:hAnsi="Arial" w:cs="Arial"/>
        </w:rPr>
        <w:t>az eszközalapú token kibocsátó</w:t>
      </w:r>
      <w:r w:rsidR="00A165DD">
        <w:rPr>
          <w:rFonts w:ascii="Arial" w:eastAsia="Times New Roman" w:hAnsi="Arial" w:cs="Arial"/>
        </w:rPr>
        <w:t xml:space="preserve">ra </w:t>
      </w:r>
      <w:r w:rsidRPr="00F53FBA">
        <w:rPr>
          <w:rFonts w:ascii="Arial" w:eastAsia="Times New Roman" w:hAnsi="Arial" w:cs="Arial"/>
        </w:rPr>
        <w:t>(a továbbiakban együtt: adatszolgáltató) terjed ki.</w:t>
      </w:r>
    </w:p>
    <w:p w14:paraId="66026B07" w14:textId="77777777" w:rsidR="00111809" w:rsidRDefault="00111809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2E3B44C" w14:textId="1D0BBA9A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2.</w:t>
      </w:r>
      <w:r w:rsidR="0005391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az e rendeletben foglaltak szerint rendszeres és eseti adatszolgáltatást (a továbbiakban: felügyeleti jelentés) teljesít a Magyar Nemzeti Bank (a továbbiakban: MNB) részére.</w:t>
      </w:r>
    </w:p>
    <w:p w14:paraId="14888EB8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felügyeleti jelentés elkészítésének alapját az adatszolgáltató által alkalmazott számviteli szabályozás szerint készített főkönyvi, analitikus és egyéb nyilvántartások képezik.</w:t>
      </w:r>
    </w:p>
    <w:p w14:paraId="55D7EAC8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08F7CE22" w14:textId="77777777" w:rsidR="00E91378" w:rsidRDefault="00E91378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756CE80" w14:textId="068CC401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3.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e rendelet szerinti felügyeleti jelentés teljesítésére vonatkozó kötelezettsége – a (2) bekezdésben foglalt kivétellel – az MNB által kiadott tevékenységi engedélyről szóló határozat véglegessé válása napjától a tevékenységi engedély visszavonásáról szóló határozat véglegessé válása napjáig áll fenn.</w:t>
      </w:r>
    </w:p>
    <w:p w14:paraId="383CE828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fióktelep az e rendelet szerinti felügyeleti jelentést a működése megkezdésének napjától a tevékenysége befejezésének napjáig teljesíti.</w:t>
      </w:r>
    </w:p>
    <w:p w14:paraId="74B2F8DD" w14:textId="77777777" w:rsidR="00E91378" w:rsidRDefault="00E91378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3A31057" w14:textId="6148084B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4.</w:t>
      </w:r>
      <w:r w:rsidR="00E91378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 szervezet, valamint a központi értéktári tevékenységet végző szervezet – a (2) és (3) bekezdésben foglalt kivétellel – a 2. mellékletben foglaltaknak megfelelő tartalommal, formában, gyakorisággal és határidőre felügyeleti jelentést teljesít az MNB részére.</w:t>
      </w:r>
    </w:p>
    <w:p w14:paraId="71B689DB" w14:textId="2B302F56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Bszt. 5. § (2) bekezdés a) és b) pontjában meghatározott befektetési szolgáltatási tevékenységet kiegészítő szolgáltatás végzésére nem jogosult adatszolgáltató adatszolgáltatási kötelezettsége a 2. melléklet „ÖSSZEFOGLALÓ TÁBLA” megnevezésű táblázat 2–9., 14., 22., 23. és 31. sorában meghatározott felügyeleti jelentésre nem terjed ki.</w:t>
      </w:r>
    </w:p>
    <w:p w14:paraId="02D395DE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(3) A központi értéktári tevékenységet végző szervezet a központi értékpapír-nyilvántartás adatait – az értékpapír ISIN azonosítójának, fajtájának, egyéb jellemzőinek, valamint a kibocsátó adatainak megnevezésével – elektronikus formában, a tárgyidőszakot követő munkanap 10.00 óráig küldi meg az MNB részére.</w:t>
      </w:r>
    </w:p>
    <w:p w14:paraId="0A290A24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Az (1) bekezdés szerinti felügyeleti jelentés kitöltésére vonatkozó általános előírásokat az 1. melléklet, a kitöltésre vonatkozó részletes előírásokat a 3. melléklet I. és II. pontja tartalmazza.</w:t>
      </w:r>
    </w:p>
    <w:p w14:paraId="6376CC2A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(5) A központi értéktári tevékenységet végző szervezet az (EU) 2018/1229 felhatalmazáson alapuló bizottsági rendelet 14. cikke szerinti jelentést a 3. melléklet III. pontjában foglalt kitöltési előírásokat is figyelembe véve teljesíti.</w:t>
      </w:r>
    </w:p>
    <w:p w14:paraId="2D3F855F" w14:textId="77777777" w:rsidR="0044615E" w:rsidRDefault="0044615E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F8343DC" w14:textId="23730C59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5.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befektetési alap és a befektetési alapkezelő – a (2) és (3) bekezdésben foglalt kivétellel – a 4. mellékletben foglaltaknak megfelelő tartalommal, formában, gyakorisággal és határidőre felügyeleti jelentést teljesít az MNB részére.</w:t>
      </w:r>
    </w:p>
    <w:p w14:paraId="49CF2CF5" w14:textId="523904B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A Bszt. 5. § (2) bekezdés a) és </w:t>
      </w:r>
      <w:hyperlink r:id="rId9" w:history="1">
        <w:r w:rsidRPr="00F53FBA">
          <w:rPr>
            <w:rFonts w:ascii="Arial" w:eastAsia="Times New Roman" w:hAnsi="Arial" w:cs="Arial"/>
          </w:rPr>
          <w:t>b) pont</w:t>
        </w:r>
      </w:hyperlink>
      <w:r w:rsidRPr="00F53FBA">
        <w:rPr>
          <w:rFonts w:ascii="Arial" w:eastAsia="Times New Roman" w:hAnsi="Arial" w:cs="Arial"/>
        </w:rPr>
        <w:t>jában meghatározott befektetési szolgáltatási tevékenységet kiegészítő szolgáltatás végzésére nem jogosult adatszolgáltató adatszolgáltatási kötelezettsége a 4. melléklet „ÖSSZEFOGLALÓ TÁBLA” megnevezésű táblázat 1. és 2. sorában meghatározott felügyeleti jelentésre nem terjed ki.</w:t>
      </w:r>
    </w:p>
    <w:p w14:paraId="2BFC8B45" w14:textId="31EB84AF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lastRenderedPageBreak/>
        <w:t>(3) A kollektív befektetési formákról és kezelőikről, valamint egyes pénzügyi tárgyú törvények módosításáról szóló 2014. évi XVI. törvény (a továbbiakban: Kbftv.) 1. § a) pontjában meghatározott kockázati tőkealap-kezelő és ABAK adatszolgáltatási kötelezettsége a 4. melléklet „ÖSSZEFOGLALÓ TÁBLA” megnevezésű táblázat 2</w:t>
      </w:r>
      <w:r w:rsidR="006E759F">
        <w:rPr>
          <w:rFonts w:ascii="Arial" w:eastAsia="Times New Roman" w:hAnsi="Arial" w:cs="Arial"/>
        </w:rPr>
        <w:t>2</w:t>
      </w:r>
      <w:r w:rsidRPr="00F53FBA">
        <w:rPr>
          <w:rFonts w:ascii="Arial" w:eastAsia="Times New Roman" w:hAnsi="Arial" w:cs="Arial"/>
        </w:rPr>
        <w:t>. sorában meghatározott felügyeleti jelentésre terjed ki.</w:t>
      </w:r>
    </w:p>
    <w:p w14:paraId="1277AEDC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(4) A kitöltésre vonatkozó általános előírásokat az 1. melléklet, a kitöltésre vonatkozó részletes előírásokat az 5. melléklet tartalmazza.</w:t>
      </w:r>
    </w:p>
    <w:p w14:paraId="0E84ADCA" w14:textId="77777777" w:rsidR="0045621A" w:rsidRDefault="0045621A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147BEAC4" w14:textId="78D7EBF9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6.</w:t>
      </w:r>
      <w:r w:rsidR="0044615E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magyarországi székhelyű befektetési vállalkozás a 6. mellékletben foglaltaknak megfelelő tartalommal, formában, gyakorisággal és határidőre felügyeleti jelentést teljesít a tárgyévi javadalmazási adatokról az MNB részére.</w:t>
      </w:r>
    </w:p>
    <w:p w14:paraId="70EA278F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7. melléklet tartalmazza.</w:t>
      </w:r>
    </w:p>
    <w:p w14:paraId="0B068D6F" w14:textId="77777777" w:rsidR="00970FF4" w:rsidRDefault="00970FF4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1FC884A" w14:textId="0F8B49CC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7.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Bszt. hatálya alá tartozó, értékpapírszámla vezetésére engedéllyel rendelkező szervezet, valamint a Kbftv. hatálya alá tartozó, értékpapírszámla vezetésére engedéllyel rendelkező befektetési alapkezelő a 8. mellékletben foglaltaknak megfelelő tartalommal, formában, gyakorisággal és határidőre felügyeleti jelentést teljesít az értékpapírszámla-jóváírások, értékpapírszámla-terhelések adatairól az MNB részére.</w:t>
      </w:r>
    </w:p>
    <w:p w14:paraId="30057C17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9. melléklet tartalmazza.</w:t>
      </w:r>
    </w:p>
    <w:p w14:paraId="43C4B1D1" w14:textId="77777777" w:rsidR="00970FF4" w:rsidRDefault="00970FF4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D7645D6" w14:textId="6D9ADAEB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8.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 tőzsdei tevékenységet végző szervezet a 10. mellékletben foglaltaknak megfelelő tartalommal, formában, gyakorisággal és határidőre felügyeleti jelentést teljesít az MNB részére.</w:t>
      </w:r>
    </w:p>
    <w:p w14:paraId="38C7B334" w14:textId="2BE9CA75" w:rsidR="0080065B" w:rsidRPr="003C46F9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 kitöltésre vonatkozó előírásokat a 11. melléklet tartalmazza.</w:t>
      </w:r>
    </w:p>
    <w:p w14:paraId="6B29BA10" w14:textId="77777777" w:rsidR="00970FF4" w:rsidRDefault="00970FF4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54C75EEB" w14:textId="0796C655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9.</w:t>
      </w:r>
      <w:r w:rsidR="00970FF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ÁÉKBV-alapkezelő, az ABAK és a befektetési vállalkozás az (EU) 2021/897 bizottsági végrehajtási rendelet 3. cikke szerinti éves adatszolgáltatást a tárgyévi mérleg fordulónapját követő 16 héten belül teljesíti az MNB részére.</w:t>
      </w:r>
    </w:p>
    <w:p w14:paraId="7F9142E5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(2) Az ÁÉKBV-alapkezelő, az ABAK és a befektetési vállalkozás az (EU) 2019/1238 európai parlamenti és tanácsi rendelet 40. cikk (1) bekezdése szerinti felügyelet ellátása céljából szükséges információkat tartalmazó szöveges jelentést (a továbbiakban: PEPP szöveges jelentés) a 12. mellékletben foglaltaknak megfelelő tartalommal</w:t>
      </w:r>
    </w:p>
    <w:p w14:paraId="02C0501E" w14:textId="3E435C42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a) évente, a tárgyévi mérleg fordulónapját követő 18 héten belül, valamint</w:t>
      </w:r>
    </w:p>
    <w:p w14:paraId="26CE4B5E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b) a páneurópai egyéni nyugdíjtermék üzletágban (a továbbiakban: PEPP-üzletág) bekövetkezett jelentős változás esetén, a változást követő 6 héten belül</w:t>
      </w:r>
    </w:p>
    <w:p w14:paraId="532E1F07" w14:textId="77777777" w:rsid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teljesíti az MNB részére.</w:t>
      </w:r>
    </w:p>
    <w:p w14:paraId="2483154A" w14:textId="77777777" w:rsidR="003C46F9" w:rsidRDefault="003C46F9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B4AAFBD" w14:textId="4CB38568" w:rsidR="0045621A" w:rsidRDefault="00B80CF2" w:rsidP="00B174CC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</w:rPr>
      </w:pPr>
      <w:r w:rsidRPr="004549D0">
        <w:rPr>
          <w:rFonts w:ascii="Arial" w:hAnsi="Arial" w:cs="Arial"/>
          <w:b/>
          <w:bCs/>
        </w:rPr>
        <w:t>1</w:t>
      </w:r>
      <w:r w:rsidR="00511315">
        <w:rPr>
          <w:rFonts w:ascii="Arial" w:hAnsi="Arial" w:cs="Arial"/>
          <w:b/>
          <w:bCs/>
        </w:rPr>
        <w:t>0</w:t>
      </w:r>
      <w:r w:rsidRPr="004549D0">
        <w:rPr>
          <w:rFonts w:ascii="Arial" w:hAnsi="Arial" w:cs="Arial"/>
          <w:b/>
          <w:bCs/>
        </w:rPr>
        <w:t>. §</w:t>
      </w:r>
      <w:r w:rsidRPr="00C72D51">
        <w:rPr>
          <w:rFonts w:ascii="Arial" w:hAnsi="Arial" w:cs="Arial"/>
        </w:rPr>
        <w:t xml:space="preserve"> </w:t>
      </w:r>
      <w:r w:rsidRPr="0085166F">
        <w:rPr>
          <w:rFonts w:ascii="Arial" w:hAnsi="Arial" w:cs="Arial"/>
        </w:rPr>
        <w:t xml:space="preserve">(1) </w:t>
      </w:r>
      <w:bookmarkStart w:id="0" w:name="_Hlk203472907"/>
      <w:r w:rsidR="00F70EE0">
        <w:rPr>
          <w:rFonts w:ascii="Arial" w:hAnsi="Arial" w:cs="Arial"/>
        </w:rPr>
        <w:t xml:space="preserve">A Kbftv. 2. § (2) bekezdése szerinti ABAK </w:t>
      </w:r>
      <w:bookmarkStart w:id="1" w:name="_Hlk199141215"/>
      <w:r w:rsidR="00F70EE0">
        <w:rPr>
          <w:rFonts w:ascii="Arial" w:hAnsi="Arial" w:cs="Arial"/>
        </w:rPr>
        <w:t xml:space="preserve">kivételével </w:t>
      </w:r>
      <w:r w:rsidR="00F70EE0" w:rsidRPr="00B95A90">
        <w:rPr>
          <w:rFonts w:ascii="Arial" w:hAnsi="Arial" w:cs="Arial"/>
        </w:rPr>
        <w:t>az adatszolgáltató</w:t>
      </w:r>
      <w:r w:rsidR="00F70EE0">
        <w:rPr>
          <w:rFonts w:ascii="Arial" w:hAnsi="Arial" w:cs="Arial"/>
        </w:rPr>
        <w:t xml:space="preserve"> </w:t>
      </w:r>
      <w:bookmarkEnd w:id="0"/>
      <w:bookmarkEnd w:id="1"/>
      <w:r w:rsidR="00F70EE0" w:rsidRPr="0085166F">
        <w:rPr>
          <w:rFonts w:ascii="Arial" w:hAnsi="Arial" w:cs="Arial"/>
        </w:rPr>
        <w:t xml:space="preserve">a </w:t>
      </w:r>
      <w:r w:rsidRPr="0085166F">
        <w:rPr>
          <w:rFonts w:ascii="Arial" w:hAnsi="Arial" w:cs="Arial"/>
        </w:rPr>
        <w:t xml:space="preserve">digitális működési rezilienciájához kapcsolódóan a </w:t>
      </w:r>
      <w:r w:rsidR="00511315" w:rsidRPr="00512892">
        <w:rPr>
          <w:rFonts w:ascii="Arial" w:hAnsi="Arial" w:cs="Arial"/>
        </w:rPr>
        <w:t>13</w:t>
      </w:r>
      <w:r w:rsidR="00F70EE0" w:rsidRPr="00511315">
        <w:rPr>
          <w:rFonts w:ascii="Arial" w:hAnsi="Arial" w:cs="Arial"/>
        </w:rPr>
        <w:t>.</w:t>
      </w:r>
      <w:r w:rsidRPr="0085166F">
        <w:rPr>
          <w:rFonts w:ascii="Arial" w:hAnsi="Arial" w:cs="Arial"/>
        </w:rPr>
        <w:t xml:space="preserve"> mellékletben foglaltatnak megfelelő tartalommal, formában, gyakorisággal és határidőre felügyeleti jelentést teljesít az MNB részére.</w:t>
      </w:r>
      <w:r w:rsidR="00574BC2">
        <w:rPr>
          <w:rFonts w:ascii="Arial" w:hAnsi="Arial" w:cs="Arial"/>
        </w:rPr>
        <w:t xml:space="preserve"> </w:t>
      </w:r>
    </w:p>
    <w:p w14:paraId="68D9BCED" w14:textId="08A03ECD" w:rsidR="00B80CF2" w:rsidRDefault="0045621A" w:rsidP="00140078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="00B80CF2" w:rsidRPr="0085166F">
        <w:rPr>
          <w:rFonts w:ascii="Arial" w:hAnsi="Arial" w:cs="Arial"/>
        </w:rPr>
        <w:t xml:space="preserve">A kitöltésre vonatkozó általános előírásokat az 1. melléklet, a kitöltésre vonatkozó részletes előírásokat a </w:t>
      </w:r>
      <w:r w:rsidR="00511315">
        <w:rPr>
          <w:rFonts w:ascii="Arial" w:hAnsi="Arial" w:cs="Arial"/>
        </w:rPr>
        <w:t>14</w:t>
      </w:r>
      <w:r w:rsidR="00F70EE0" w:rsidRPr="00511315">
        <w:rPr>
          <w:rFonts w:ascii="Arial" w:hAnsi="Arial" w:cs="Arial"/>
        </w:rPr>
        <w:t>.</w:t>
      </w:r>
      <w:r w:rsidR="00B80CF2" w:rsidRPr="0085166F">
        <w:rPr>
          <w:rFonts w:ascii="Arial" w:hAnsi="Arial" w:cs="Arial"/>
        </w:rPr>
        <w:t xml:space="preserve"> melléklet tartalmazza.</w:t>
      </w:r>
    </w:p>
    <w:p w14:paraId="42D1A111" w14:textId="77777777" w:rsidR="005364B4" w:rsidRDefault="005364B4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B694422" w14:textId="12943C63" w:rsid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</w:t>
      </w:r>
      <w:r w:rsidR="002E21EC">
        <w:rPr>
          <w:rFonts w:ascii="Arial" w:eastAsia="Times New Roman" w:hAnsi="Arial" w:cs="Arial"/>
          <w:b/>
          <w:bCs/>
        </w:rPr>
        <w:t>1</w:t>
      </w:r>
      <w:r w:rsidRPr="00F53FBA">
        <w:rPr>
          <w:rFonts w:ascii="Arial" w:eastAsia="Times New Roman" w:hAnsi="Arial" w:cs="Arial"/>
          <w:b/>
          <w:bCs/>
        </w:rPr>
        <w:t>.</w:t>
      </w:r>
      <w:r w:rsidR="005364B4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– a (</w:t>
      </w:r>
      <w:r w:rsidR="00574BC2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>) bekezdésben foglalt kivétel</w:t>
      </w:r>
      <w:r w:rsidR="00A411DC">
        <w:rPr>
          <w:rFonts w:ascii="Arial" w:eastAsia="Times New Roman" w:hAnsi="Arial" w:cs="Arial"/>
        </w:rPr>
        <w:t>l</w:t>
      </w:r>
      <w:r w:rsidRPr="00F53FBA">
        <w:rPr>
          <w:rFonts w:ascii="Arial" w:eastAsia="Times New Roman" w:hAnsi="Arial" w:cs="Arial"/>
        </w:rPr>
        <w:t>el – a felügyeleti jelentést, a 231/2013/EU felhatalmazáson alapuló bizottsági rendelet 110. cikke, az (EU) 2017/393 bizottsági végrehajtási rendelet, az (EU) 2018/708 bizottsági végrehajtási rendelet, az (EU) 2018/1229 felhatalmazáson alapuló bizottsági rendelet 14. cikke, az (EU) 2021/451 bizottsági végrehajtási rendelet, az (EU) 2021/897 bizottsági végrehajtási rendelet</w:t>
      </w:r>
      <w:r w:rsidR="00B80CF2">
        <w:rPr>
          <w:rFonts w:ascii="Arial" w:hAnsi="Arial" w:cs="Arial"/>
        </w:rPr>
        <w:t xml:space="preserve"> </w:t>
      </w:r>
      <w:r w:rsidRPr="00F53FBA">
        <w:rPr>
          <w:rFonts w:ascii="Arial" w:eastAsia="Times New Roman" w:hAnsi="Arial" w:cs="Arial"/>
        </w:rPr>
        <w:t>szerinti adatszolgáltatásokat, valamint a PEPP szöveges jelentést az MNB által meghatározott elektronikus formában, fokozott biztonságú vagy minősített elektronikus aláírással ellátva az MNB „Elektronikus Rendszer Hitelesített Adatok Fogadásához” megnevezésű rendszerén (a továbbiakban: ERA rendszer) keresztül teljesíti.</w:t>
      </w:r>
    </w:p>
    <w:p w14:paraId="5F60E44A" w14:textId="662EC120" w:rsidR="00574BC2" w:rsidRPr="00512892" w:rsidRDefault="00574BC2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574BC2">
        <w:rPr>
          <w:rFonts w:ascii="Arial" w:eastAsia="Times New Roman" w:hAnsi="Arial" w:cs="Arial"/>
        </w:rPr>
        <w:t>(2) A Kbftv. 2. § (2) bekezdése szerinti ABAK kivételével az adatszolgáltató a jelentős IKT-vonatkozású eseményekre és jelentős kiberfenyegetésekre vonatkozó, az (EU) 2025/301 felhatalmazáson alapuló bizottsági rendelet szerinti tartalmú bejelentéseket az ERA rendszer „DORA Incidens bejelentés” szolgáltatása alatt elérhető, az (EU) 2025/302 bizottsági végrehajtási rendelet szerinti űrlapon</w:t>
      </w:r>
      <w:r w:rsidR="00A411DC">
        <w:rPr>
          <w:rFonts w:ascii="Arial" w:eastAsia="Times New Roman" w:hAnsi="Arial" w:cs="Arial"/>
        </w:rPr>
        <w:t>,</w:t>
      </w:r>
      <w:r w:rsidR="00A9601F">
        <w:rPr>
          <w:rFonts w:ascii="Arial" w:eastAsia="Times New Roman" w:hAnsi="Arial" w:cs="Arial"/>
        </w:rPr>
        <w:t xml:space="preserve"> </w:t>
      </w:r>
      <w:r w:rsidR="00A9601F" w:rsidRPr="00FD0EA9">
        <w:rPr>
          <w:rFonts w:ascii="Arial" w:hAnsi="Arial" w:cs="Arial"/>
          <w:bCs/>
        </w:rPr>
        <w:t>fokozott biztonságú vagy minősített elektronikus aláírással ellátva</w:t>
      </w:r>
      <w:r w:rsidRPr="00574BC2">
        <w:rPr>
          <w:rFonts w:ascii="Arial" w:eastAsia="Times New Roman" w:hAnsi="Arial" w:cs="Arial"/>
        </w:rPr>
        <w:t xml:space="preserve"> teljesíti.</w:t>
      </w:r>
    </w:p>
    <w:p w14:paraId="0067981C" w14:textId="6E2581A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8736F"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>) Az adatszolgáltató a 8. § (1) bekezdése szerinti felügyeleti jelentést, valamint a 600/2014/EU európai parlamenti és tanácsi rendelet 26. cikke alapján fennálló adatszolgáltatási kötelezettségét az ERA rendszerben az MNB által erre a célra kiépített elektronikus csatornán (a továbbiakban: webes szolgáltatás) keresztül, az adatszolgáltatást fokozott biztonságú vagy minősített elektronikus aláírással ellátva teljesíti.</w:t>
      </w:r>
    </w:p>
    <w:p w14:paraId="21430FCA" w14:textId="295DD498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(</w:t>
      </w:r>
      <w:r w:rsidR="00E8736F">
        <w:rPr>
          <w:rFonts w:ascii="Arial" w:eastAsia="Times New Roman" w:hAnsi="Arial" w:cs="Arial"/>
        </w:rPr>
        <w:t>4</w:t>
      </w:r>
      <w:r w:rsidRPr="00F53FBA">
        <w:rPr>
          <w:rFonts w:ascii="Arial" w:eastAsia="Times New Roman" w:hAnsi="Arial" w:cs="Arial"/>
        </w:rPr>
        <w:t>) Az adatszolgáltató a felügyeleti jelentés, adatszolgáltatás</w:t>
      </w:r>
      <w:r w:rsidR="0005444D">
        <w:rPr>
          <w:rFonts w:ascii="Arial" w:eastAsia="Times New Roman" w:hAnsi="Arial" w:cs="Arial"/>
        </w:rPr>
        <w:t>, PEPP szöveges jelentés, bejelentés</w:t>
      </w:r>
      <w:r w:rsidRPr="00F53FBA">
        <w:rPr>
          <w:rFonts w:ascii="Arial" w:eastAsia="Times New Roman" w:hAnsi="Arial" w:cs="Arial"/>
        </w:rPr>
        <w:t xml:space="preserve"> teljesítésében való akadályoztatásával kapcsolatos bejelentését elektronikus formában, az ERA rendszeren keresztül nyújtja be az MNB részére.</w:t>
      </w:r>
    </w:p>
    <w:p w14:paraId="24C172E8" w14:textId="069D5ED4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lastRenderedPageBreak/>
        <w:t>(</w:t>
      </w:r>
      <w:r w:rsidR="00E8736F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 xml:space="preserve">) Az ERA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</w:t>
      </w:r>
      <w:r w:rsidRPr="007610D9">
        <w:rPr>
          <w:rFonts w:ascii="Arial" w:eastAsia="Times New Roman" w:hAnsi="Arial" w:cs="Arial"/>
        </w:rPr>
        <w:t xml:space="preserve">szóló </w:t>
      </w:r>
      <w:r w:rsidR="006C59B5">
        <w:rPr>
          <w:rFonts w:ascii="Arial" w:eastAsia="Times New Roman" w:hAnsi="Arial" w:cs="Arial"/>
        </w:rPr>
        <w:t>54</w:t>
      </w:r>
      <w:hyperlink r:id="rId10" w:history="1">
        <w:r w:rsidRPr="007610D9">
          <w:rPr>
            <w:rFonts w:ascii="Arial" w:eastAsia="Times New Roman" w:hAnsi="Arial" w:cs="Arial"/>
          </w:rPr>
          <w:t>/202</w:t>
        </w:r>
        <w:r w:rsidR="007610D9" w:rsidRPr="007610D9">
          <w:rPr>
            <w:rFonts w:ascii="Arial" w:eastAsia="Times New Roman" w:hAnsi="Arial" w:cs="Arial"/>
          </w:rPr>
          <w:t>4</w:t>
        </w:r>
        <w:r w:rsidRPr="007610D9">
          <w:rPr>
            <w:rFonts w:ascii="Arial" w:eastAsia="Times New Roman" w:hAnsi="Arial" w:cs="Arial"/>
          </w:rPr>
          <w:t>. (</w:t>
        </w:r>
        <w:r w:rsidR="006C59B5">
          <w:rPr>
            <w:rFonts w:ascii="Arial" w:eastAsia="Times New Roman" w:hAnsi="Arial" w:cs="Arial"/>
          </w:rPr>
          <w:t>XII. 3.</w:t>
        </w:r>
        <w:r w:rsidRPr="007610D9">
          <w:rPr>
            <w:rFonts w:ascii="Arial" w:eastAsia="Times New Roman" w:hAnsi="Arial" w:cs="Arial"/>
          </w:rPr>
          <w:t>) MNB rendelet (a továbbiakban: alapvető feladatokhoz kapcsolódó adatszolgáltatási MNBr.) 2. melléklet</w:t>
        </w:r>
      </w:hyperlink>
      <w:r w:rsidRPr="00F53FBA">
        <w:rPr>
          <w:rFonts w:ascii="Arial" w:eastAsia="Times New Roman" w:hAnsi="Arial" w:cs="Arial"/>
        </w:rPr>
        <w:t xml:space="preserve"> I. B. 1. pontja, az ERA rendszer használatát segítő részletes útmutatást az </w:t>
      </w:r>
      <w:r w:rsidRPr="007610D9">
        <w:rPr>
          <w:rFonts w:ascii="Arial" w:eastAsia="Times New Roman" w:hAnsi="Arial" w:cs="Arial"/>
        </w:rPr>
        <w:t>alapvető feladatokhoz kapcsolódó adatszolgáltatási MNBr. 3. melléklet 3. pont</w:t>
      </w:r>
      <w:r w:rsidRPr="00F53FBA">
        <w:rPr>
          <w:rFonts w:ascii="Arial" w:eastAsia="Times New Roman" w:hAnsi="Arial" w:cs="Arial"/>
        </w:rPr>
        <w:t>ja szerinti, az MNB honlapján közzétett technikai segédletek tartalmazzák. A webes szolgáltatás használatát segítő útmutatást a 600/2014/EU európai parlamenti és tanácsi rendelet 26. cikke alapján fennálló adatszolgáltatási kötelezettség webes szolgáltatás útján való teljesítéséről szóló, az MNB honlapján közzétett tájékoztató tartalmazza.</w:t>
      </w:r>
    </w:p>
    <w:p w14:paraId="05F62E74" w14:textId="77777777" w:rsidR="00225F45" w:rsidRDefault="00225F45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2C61EAD3" w14:textId="4F292ECC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</w:t>
      </w:r>
      <w:r w:rsidR="001C4425">
        <w:rPr>
          <w:rFonts w:ascii="Arial" w:eastAsia="Times New Roman" w:hAnsi="Arial" w:cs="Arial"/>
          <w:b/>
          <w:bCs/>
        </w:rPr>
        <w:t>2</w:t>
      </w:r>
      <w:r w:rsidRPr="00F53FBA">
        <w:rPr>
          <w:rFonts w:ascii="Arial" w:eastAsia="Times New Roman" w:hAnsi="Arial" w:cs="Arial"/>
          <w:b/>
          <w:bCs/>
        </w:rPr>
        <w:t>.</w:t>
      </w:r>
      <w:r w:rsidR="00225F45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Ha az MNB megállapítja, hogy a felügyeleti jelentés javítást igényel, az adatszolgáltató a javított felügyeleti jelentést az MNB javításra vonatkozó felszólítása kézhezvételétől számított 2 munkanapon belül küldi meg az MNB részére.</w:t>
      </w:r>
    </w:p>
    <w:p w14:paraId="437A7180" w14:textId="4CAFD1DF" w:rsid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(2) Ha az adatszolgáltató a felügyeleti jelentés teljesítését követően olyan, az adatszolgáltató által – számviteli politikájában vagy egyéb módon – meghatározott jelentős mértékű eltérést tár fel, amely a 2. § (2) bekezdése szerinti, a felügyeleti jelentés alapjául szolgáló nyilvántartások javítását teszi szükségessé, akkor a felügyeleti jelentést visszamenőleg is, az eltéréssel érintett teljes időszakra vonatkozóan módosítja. A jelen bekezdés szerint módosított felügyeleti jelentést </w:t>
      </w:r>
      <w:r w:rsidR="003952A4" w:rsidRPr="00F53FBA">
        <w:rPr>
          <w:rFonts w:ascii="Arial" w:eastAsia="Times New Roman" w:hAnsi="Arial" w:cs="Arial"/>
        </w:rPr>
        <w:t xml:space="preserve">az adatszolgáltató </w:t>
      </w:r>
      <w:r w:rsidRPr="00F53FBA">
        <w:rPr>
          <w:rFonts w:ascii="Arial" w:eastAsia="Times New Roman" w:hAnsi="Arial" w:cs="Arial"/>
        </w:rPr>
        <w:t>az eltérés feltárásától számított 15 munkanapon belül küldi meg az MNB részére.</w:t>
      </w:r>
    </w:p>
    <w:p w14:paraId="2B396E70" w14:textId="77777777" w:rsidR="00B77D59" w:rsidRPr="00F53FBA" w:rsidRDefault="00B77D59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</w:p>
    <w:p w14:paraId="5A1C1186" w14:textId="44EB5A96" w:rsidR="007610D9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</w:t>
      </w:r>
      <w:r w:rsidR="001C4425">
        <w:rPr>
          <w:rFonts w:ascii="Arial" w:eastAsia="Times New Roman" w:hAnsi="Arial" w:cs="Arial"/>
          <w:b/>
          <w:bCs/>
        </w:rPr>
        <w:t>3</w:t>
      </w:r>
      <w:r w:rsidRPr="00F53FBA">
        <w:rPr>
          <w:rFonts w:ascii="Arial" w:eastAsia="Times New Roman" w:hAnsi="Arial" w:cs="Arial"/>
          <w:b/>
          <w:bCs/>
        </w:rPr>
        <w:t>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Ez a rendelet </w:t>
      </w:r>
      <w:r w:rsidR="007610D9">
        <w:rPr>
          <w:rFonts w:ascii="Arial" w:hAnsi="Arial" w:cs="Arial"/>
        </w:rPr>
        <w:t>202</w:t>
      </w:r>
      <w:r w:rsidR="00A9601F">
        <w:rPr>
          <w:rFonts w:ascii="Arial" w:hAnsi="Arial" w:cs="Arial"/>
        </w:rPr>
        <w:t>6</w:t>
      </w:r>
      <w:r w:rsidR="007610D9">
        <w:rPr>
          <w:rFonts w:ascii="Arial" w:hAnsi="Arial" w:cs="Arial"/>
        </w:rPr>
        <w:t>. január 1-jén</w:t>
      </w:r>
      <w:r w:rsidR="007610D9" w:rsidRPr="00503DC1">
        <w:rPr>
          <w:rFonts w:ascii="Arial" w:hAnsi="Arial" w:cs="Arial"/>
        </w:rPr>
        <w:t xml:space="preserve"> lép hatályba</w:t>
      </w:r>
      <w:r w:rsidRPr="00F53FBA">
        <w:rPr>
          <w:rFonts w:ascii="Arial" w:eastAsia="Times New Roman" w:hAnsi="Arial" w:cs="Arial"/>
        </w:rPr>
        <w:t>.</w:t>
      </w:r>
    </w:p>
    <w:p w14:paraId="7A1EC5E0" w14:textId="77777777" w:rsidR="00B77D59" w:rsidRDefault="00B77D59" w:rsidP="00B174CC">
      <w:pPr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666E1CEC" w14:textId="52CDAAB4" w:rsid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</w:t>
      </w:r>
      <w:r w:rsidR="001C4425">
        <w:rPr>
          <w:rFonts w:ascii="Arial" w:eastAsia="Times New Roman" w:hAnsi="Arial" w:cs="Arial"/>
          <w:b/>
          <w:bCs/>
        </w:rPr>
        <w:t>4</w:t>
      </w:r>
      <w:r w:rsidRPr="00F53FBA">
        <w:rPr>
          <w:rFonts w:ascii="Arial" w:eastAsia="Times New Roman" w:hAnsi="Arial" w:cs="Arial"/>
          <w:b/>
          <w:bCs/>
        </w:rPr>
        <w:t>.</w:t>
      </w:r>
      <w:r w:rsidR="00B77D59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(1) Az adatszolgáltató a tőkepiaci szervezetek által a jegybanki információs rendszerhez elsődlegesen a Magyar Nemzeti Bank felügyeleti feladatai ellátása érdekében teljesítendő adatszolgáltatási kötelezettségekről szóló </w:t>
      </w:r>
      <w:r w:rsidRPr="00E04069">
        <w:rPr>
          <w:rFonts w:ascii="Arial" w:eastAsia="Times New Roman" w:hAnsi="Arial" w:cs="Arial"/>
        </w:rPr>
        <w:t>5</w:t>
      </w:r>
      <w:r w:rsidR="00B134EA">
        <w:rPr>
          <w:rFonts w:ascii="Arial" w:eastAsia="Times New Roman" w:hAnsi="Arial" w:cs="Arial"/>
        </w:rPr>
        <w:t>6</w:t>
      </w:r>
      <w:r w:rsidRPr="00E04069">
        <w:rPr>
          <w:rFonts w:ascii="Arial" w:eastAsia="Times New Roman" w:hAnsi="Arial" w:cs="Arial"/>
        </w:rPr>
        <w:t>/202</w:t>
      </w:r>
      <w:r w:rsidR="00B134EA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 (XI</w:t>
      </w:r>
      <w:r w:rsidR="00B134EA">
        <w:rPr>
          <w:rFonts w:ascii="Arial" w:eastAsia="Times New Roman" w:hAnsi="Arial" w:cs="Arial"/>
        </w:rPr>
        <w:t>I</w:t>
      </w:r>
      <w:r w:rsidRPr="00E04069">
        <w:rPr>
          <w:rFonts w:ascii="Arial" w:eastAsia="Times New Roman" w:hAnsi="Arial" w:cs="Arial"/>
        </w:rPr>
        <w:t xml:space="preserve">. </w:t>
      </w:r>
      <w:r w:rsidR="00B134EA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.) MNB rendelet [a továbbiakban: 5</w:t>
      </w:r>
      <w:r w:rsidR="00B134EA">
        <w:rPr>
          <w:rFonts w:ascii="Arial" w:eastAsia="Times New Roman" w:hAnsi="Arial" w:cs="Arial"/>
        </w:rPr>
        <w:t>6</w:t>
      </w:r>
      <w:r w:rsidRPr="00E04069">
        <w:rPr>
          <w:rFonts w:ascii="Arial" w:eastAsia="Times New Roman" w:hAnsi="Arial" w:cs="Arial"/>
        </w:rPr>
        <w:t>/202</w:t>
      </w:r>
      <w:r w:rsidR="00B134EA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>. (XI</w:t>
      </w:r>
      <w:r w:rsidR="00B134EA">
        <w:rPr>
          <w:rFonts w:ascii="Arial" w:eastAsia="Times New Roman" w:hAnsi="Arial" w:cs="Arial"/>
        </w:rPr>
        <w:t>I</w:t>
      </w:r>
      <w:r w:rsidRPr="00E04069">
        <w:rPr>
          <w:rFonts w:ascii="Arial" w:eastAsia="Times New Roman" w:hAnsi="Arial" w:cs="Arial"/>
        </w:rPr>
        <w:t xml:space="preserve">. </w:t>
      </w:r>
      <w:r w:rsidR="00B134EA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 xml:space="preserve">.) MNB rendelet] </w:t>
      </w:r>
      <w:r w:rsidRPr="00F53FBA">
        <w:rPr>
          <w:rFonts w:ascii="Arial" w:eastAsia="Times New Roman" w:hAnsi="Arial" w:cs="Arial"/>
        </w:rPr>
        <w:t>szerinti, 202</w:t>
      </w:r>
      <w:r w:rsidR="00B134EA">
        <w:rPr>
          <w:rFonts w:ascii="Arial" w:eastAsia="Times New Roman" w:hAnsi="Arial" w:cs="Arial"/>
        </w:rPr>
        <w:t>6</w:t>
      </w:r>
      <w:r w:rsidRPr="00F53FBA">
        <w:rPr>
          <w:rFonts w:ascii="Arial" w:eastAsia="Times New Roman" w:hAnsi="Arial" w:cs="Arial"/>
        </w:rPr>
        <w:t>. január 1-jét megelőző tárgyidőszakra vonatkozó felügyeleti jelentés, adatszolgáltatás teljesítése során –</w:t>
      </w:r>
      <w:r w:rsidR="00E306FD" w:rsidRP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az 5</w:t>
      </w:r>
      <w:r w:rsidR="00456DFB">
        <w:rPr>
          <w:rFonts w:ascii="Arial" w:eastAsia="Times New Roman" w:hAnsi="Arial" w:cs="Arial"/>
        </w:rPr>
        <w:t>6</w:t>
      </w:r>
      <w:r w:rsidR="00E306FD" w:rsidRPr="00F53FBA">
        <w:rPr>
          <w:rFonts w:ascii="Arial" w:eastAsia="Times New Roman" w:hAnsi="Arial" w:cs="Arial"/>
        </w:rPr>
        <w:t>/202</w:t>
      </w:r>
      <w:r w:rsidR="00456DFB">
        <w:rPr>
          <w:rFonts w:ascii="Arial" w:eastAsia="Times New Roman" w:hAnsi="Arial" w:cs="Arial"/>
        </w:rPr>
        <w:t>4</w:t>
      </w:r>
      <w:r w:rsidR="00E306FD" w:rsidRPr="00F53FBA">
        <w:rPr>
          <w:rFonts w:ascii="Arial" w:eastAsia="Times New Roman" w:hAnsi="Arial" w:cs="Arial"/>
        </w:rPr>
        <w:t>. (XI</w:t>
      </w:r>
      <w:r w:rsidR="00456DFB">
        <w:rPr>
          <w:rFonts w:ascii="Arial" w:eastAsia="Times New Roman" w:hAnsi="Arial" w:cs="Arial"/>
        </w:rPr>
        <w:t>I</w:t>
      </w:r>
      <w:r w:rsidR="00E306FD" w:rsidRPr="00F53FBA">
        <w:rPr>
          <w:rFonts w:ascii="Arial" w:eastAsia="Times New Roman" w:hAnsi="Arial" w:cs="Arial"/>
        </w:rPr>
        <w:t xml:space="preserve">. </w:t>
      </w:r>
      <w:r w:rsidR="00456DFB">
        <w:rPr>
          <w:rFonts w:ascii="Arial" w:eastAsia="Times New Roman" w:hAnsi="Arial" w:cs="Arial"/>
        </w:rPr>
        <w:t>3</w:t>
      </w:r>
      <w:r w:rsidR="00E306FD" w:rsidRPr="00F53FBA">
        <w:rPr>
          <w:rFonts w:ascii="Arial" w:eastAsia="Times New Roman" w:hAnsi="Arial" w:cs="Arial"/>
        </w:rPr>
        <w:t>.)</w:t>
      </w:r>
      <w:r w:rsidR="00E306FD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 xml:space="preserve">MNB </w:t>
      </w:r>
      <w:r w:rsidR="00E306FD" w:rsidRPr="00E04069">
        <w:rPr>
          <w:rFonts w:ascii="Arial" w:eastAsia="Times New Roman" w:hAnsi="Arial" w:cs="Arial"/>
        </w:rPr>
        <w:t xml:space="preserve">rendelet </w:t>
      </w:r>
      <w:r w:rsidR="00E306FD">
        <w:rPr>
          <w:rFonts w:ascii="Arial" w:eastAsia="Times New Roman" w:hAnsi="Arial" w:cs="Arial"/>
        </w:rPr>
        <w:t>2</w:t>
      </w:r>
      <w:r w:rsidR="00E306FD" w:rsidRPr="00E04069">
        <w:rPr>
          <w:rFonts w:ascii="Arial" w:eastAsia="Times New Roman" w:hAnsi="Arial" w:cs="Arial"/>
        </w:rPr>
        <w:t>. melléklet</w:t>
      </w:r>
      <w:r w:rsidR="00E306FD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E306FD">
        <w:rPr>
          <w:rFonts w:ascii="Arial" w:eastAsia="Times New Roman" w:hAnsi="Arial" w:cs="Arial"/>
        </w:rPr>
        <w:t>2</w:t>
      </w:r>
      <w:r w:rsidR="00456DFB">
        <w:rPr>
          <w:rFonts w:ascii="Arial" w:eastAsia="Times New Roman" w:hAnsi="Arial" w:cs="Arial"/>
        </w:rPr>
        <w:t>8</w:t>
      </w:r>
      <w:r w:rsidR="00E306FD" w:rsidRPr="00F53FBA">
        <w:rPr>
          <w:rFonts w:ascii="Arial" w:eastAsia="Times New Roman" w:hAnsi="Arial" w:cs="Arial"/>
        </w:rPr>
        <w:t>.</w:t>
      </w:r>
      <w:r w:rsidR="00456DFB">
        <w:rPr>
          <w:rFonts w:ascii="Arial" w:eastAsia="Times New Roman" w:hAnsi="Arial" w:cs="Arial"/>
        </w:rPr>
        <w:t xml:space="preserve"> </w:t>
      </w:r>
      <w:r w:rsidR="00E306FD" w:rsidRPr="00F53FBA">
        <w:rPr>
          <w:rFonts w:ascii="Arial" w:eastAsia="Times New Roman" w:hAnsi="Arial" w:cs="Arial"/>
        </w:rPr>
        <w:t>sorában</w:t>
      </w:r>
      <w:r w:rsidR="00456DFB">
        <w:rPr>
          <w:rFonts w:ascii="Arial" w:eastAsia="Times New Roman" w:hAnsi="Arial" w:cs="Arial"/>
        </w:rPr>
        <w:t>, továbbá</w:t>
      </w:r>
      <w:r w:rsidR="00C17F0D">
        <w:rPr>
          <w:rFonts w:ascii="Arial" w:eastAsia="Times New Roman" w:hAnsi="Arial" w:cs="Arial"/>
        </w:rPr>
        <w:t xml:space="preserve"> </w:t>
      </w:r>
      <w:r w:rsidR="00E306FD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>az 5</w:t>
      </w:r>
      <w:r w:rsidR="00456DFB">
        <w:rPr>
          <w:rFonts w:ascii="Arial" w:eastAsia="Times New Roman" w:hAnsi="Arial" w:cs="Arial"/>
        </w:rPr>
        <w:t>6</w:t>
      </w:r>
      <w:r w:rsidR="00A0176E" w:rsidRPr="00F53FBA">
        <w:rPr>
          <w:rFonts w:ascii="Arial" w:eastAsia="Times New Roman" w:hAnsi="Arial" w:cs="Arial"/>
        </w:rPr>
        <w:t>/202</w:t>
      </w:r>
      <w:r w:rsidR="00456DFB">
        <w:rPr>
          <w:rFonts w:ascii="Arial" w:eastAsia="Times New Roman" w:hAnsi="Arial" w:cs="Arial"/>
        </w:rPr>
        <w:t>4</w:t>
      </w:r>
      <w:r w:rsidR="00A0176E" w:rsidRPr="00F53FBA">
        <w:rPr>
          <w:rFonts w:ascii="Arial" w:eastAsia="Times New Roman" w:hAnsi="Arial" w:cs="Arial"/>
        </w:rPr>
        <w:t>. (XI</w:t>
      </w:r>
      <w:r w:rsidR="00456DFB">
        <w:rPr>
          <w:rFonts w:ascii="Arial" w:eastAsia="Times New Roman" w:hAnsi="Arial" w:cs="Arial"/>
        </w:rPr>
        <w:t>I</w:t>
      </w:r>
      <w:r w:rsidR="00A0176E" w:rsidRPr="00F53FBA">
        <w:rPr>
          <w:rFonts w:ascii="Arial" w:eastAsia="Times New Roman" w:hAnsi="Arial" w:cs="Arial"/>
        </w:rPr>
        <w:t xml:space="preserve">. </w:t>
      </w:r>
      <w:r w:rsidR="00456DFB">
        <w:rPr>
          <w:rFonts w:ascii="Arial" w:eastAsia="Times New Roman" w:hAnsi="Arial" w:cs="Arial"/>
        </w:rPr>
        <w:t>3</w:t>
      </w:r>
      <w:r w:rsidR="00A0176E" w:rsidRPr="00F53FBA">
        <w:rPr>
          <w:rFonts w:ascii="Arial" w:eastAsia="Times New Roman" w:hAnsi="Arial" w:cs="Arial"/>
        </w:rPr>
        <w:t>.)</w:t>
      </w:r>
      <w:r w:rsidR="00A0176E">
        <w:rPr>
          <w:rFonts w:ascii="Arial" w:eastAsia="Times New Roman" w:hAnsi="Arial" w:cs="Arial"/>
        </w:rPr>
        <w:t xml:space="preserve"> </w:t>
      </w:r>
      <w:r w:rsidR="00A0176E" w:rsidRPr="00F53FBA">
        <w:rPr>
          <w:rFonts w:ascii="Arial" w:eastAsia="Times New Roman" w:hAnsi="Arial" w:cs="Arial"/>
        </w:rPr>
        <w:t xml:space="preserve">MNB </w:t>
      </w:r>
      <w:r w:rsidR="00A0176E" w:rsidRPr="00E04069">
        <w:rPr>
          <w:rFonts w:ascii="Arial" w:eastAsia="Times New Roman" w:hAnsi="Arial" w:cs="Arial"/>
        </w:rPr>
        <w:t xml:space="preserve">rendelet </w:t>
      </w:r>
      <w:r w:rsidR="00A0176E">
        <w:rPr>
          <w:rFonts w:ascii="Arial" w:eastAsia="Times New Roman" w:hAnsi="Arial" w:cs="Arial"/>
        </w:rPr>
        <w:t>4</w:t>
      </w:r>
      <w:r w:rsidR="00A0176E" w:rsidRPr="00E04069">
        <w:rPr>
          <w:rFonts w:ascii="Arial" w:eastAsia="Times New Roman" w:hAnsi="Arial" w:cs="Arial"/>
        </w:rPr>
        <w:t>. melléklet</w:t>
      </w:r>
      <w:r w:rsidR="00A0176E" w:rsidRPr="00F53FBA">
        <w:rPr>
          <w:rFonts w:ascii="Arial" w:eastAsia="Times New Roman" w:hAnsi="Arial" w:cs="Arial"/>
        </w:rPr>
        <w:t xml:space="preserve"> „ÖSSZEFOGLALÓ TÁBLA” megnevezésű táblázat </w:t>
      </w:r>
      <w:r w:rsidR="00A0176E">
        <w:rPr>
          <w:rFonts w:ascii="Arial" w:eastAsia="Times New Roman" w:hAnsi="Arial" w:cs="Arial"/>
        </w:rPr>
        <w:t>1</w:t>
      </w:r>
      <w:r w:rsidR="008A0509">
        <w:rPr>
          <w:rFonts w:ascii="Arial" w:eastAsia="Times New Roman" w:hAnsi="Arial" w:cs="Arial"/>
        </w:rPr>
        <w:t>8</w:t>
      </w:r>
      <w:r w:rsidR="00A0176E" w:rsidRPr="00F53FBA">
        <w:rPr>
          <w:rFonts w:ascii="Arial" w:eastAsia="Times New Roman" w:hAnsi="Arial" w:cs="Arial"/>
        </w:rPr>
        <w:t xml:space="preserve">. sorában </w:t>
      </w:r>
      <w:r w:rsidRPr="00F53FBA">
        <w:rPr>
          <w:rFonts w:ascii="Arial" w:eastAsia="Times New Roman" w:hAnsi="Arial" w:cs="Arial"/>
        </w:rPr>
        <w:t xml:space="preserve">meghatározott felügyeleti jelentés kivételével – az </w:t>
      </w:r>
      <w:r w:rsidRPr="00E04069">
        <w:rPr>
          <w:rFonts w:ascii="Arial" w:eastAsia="Times New Roman" w:hAnsi="Arial" w:cs="Arial"/>
        </w:rPr>
        <w:t>5</w:t>
      </w:r>
      <w:r w:rsidR="00456DFB">
        <w:rPr>
          <w:rFonts w:ascii="Arial" w:eastAsia="Times New Roman" w:hAnsi="Arial" w:cs="Arial"/>
        </w:rPr>
        <w:t>6</w:t>
      </w:r>
      <w:r w:rsidRPr="00E04069">
        <w:rPr>
          <w:rFonts w:ascii="Arial" w:eastAsia="Times New Roman" w:hAnsi="Arial" w:cs="Arial"/>
        </w:rPr>
        <w:t>/202</w:t>
      </w:r>
      <w:r w:rsidR="00456DFB">
        <w:rPr>
          <w:rFonts w:ascii="Arial" w:eastAsia="Times New Roman" w:hAnsi="Arial" w:cs="Arial"/>
        </w:rPr>
        <w:t>4</w:t>
      </w:r>
      <w:r w:rsidRPr="00E04069">
        <w:rPr>
          <w:rFonts w:ascii="Arial" w:eastAsia="Times New Roman" w:hAnsi="Arial" w:cs="Arial"/>
        </w:rPr>
        <w:t xml:space="preserve">. </w:t>
      </w:r>
      <w:r w:rsidR="00B74983">
        <w:rPr>
          <w:rFonts w:ascii="Arial" w:eastAsia="Times New Roman" w:hAnsi="Arial" w:cs="Arial"/>
        </w:rPr>
        <w:br/>
      </w:r>
      <w:r w:rsidRPr="00E04069">
        <w:rPr>
          <w:rFonts w:ascii="Arial" w:eastAsia="Times New Roman" w:hAnsi="Arial" w:cs="Arial"/>
        </w:rPr>
        <w:t>(XI</w:t>
      </w:r>
      <w:r w:rsidR="00456DFB">
        <w:rPr>
          <w:rFonts w:ascii="Arial" w:eastAsia="Times New Roman" w:hAnsi="Arial" w:cs="Arial"/>
        </w:rPr>
        <w:t>I</w:t>
      </w:r>
      <w:r w:rsidRPr="00E04069">
        <w:rPr>
          <w:rFonts w:ascii="Arial" w:eastAsia="Times New Roman" w:hAnsi="Arial" w:cs="Arial"/>
        </w:rPr>
        <w:t xml:space="preserve">. </w:t>
      </w:r>
      <w:r w:rsidR="00456DFB">
        <w:rPr>
          <w:rFonts w:ascii="Arial" w:eastAsia="Times New Roman" w:hAnsi="Arial" w:cs="Arial"/>
        </w:rPr>
        <w:t>3</w:t>
      </w:r>
      <w:r w:rsidRPr="00E04069">
        <w:rPr>
          <w:rFonts w:ascii="Arial" w:eastAsia="Times New Roman" w:hAnsi="Arial" w:cs="Arial"/>
        </w:rPr>
        <w:t>.) MNB rendelet</w:t>
      </w:r>
      <w:r w:rsidRPr="00F53FBA">
        <w:rPr>
          <w:rFonts w:ascii="Arial" w:eastAsia="Times New Roman" w:hAnsi="Arial" w:cs="Arial"/>
        </w:rPr>
        <w:t xml:space="preserve"> szabályait alkalmazza.</w:t>
      </w:r>
    </w:p>
    <w:p w14:paraId="4291E0FE" w14:textId="77777777" w:rsidR="00B74983" w:rsidRDefault="00B34ED2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</w:t>
      </w:r>
    </w:p>
    <w:p w14:paraId="225767EC" w14:textId="7244C8FF" w:rsidR="00B34ED2" w:rsidRPr="00F53FBA" w:rsidRDefault="00B74983" w:rsidP="00B174CC">
      <w:pPr>
        <w:autoSpaceDE w:val="0"/>
        <w:autoSpaceDN w:val="0"/>
        <w:adjustRightInd w:val="0"/>
        <w:spacing w:after="0"/>
        <w:ind w:firstLine="142"/>
        <w:rPr>
          <w:rFonts w:ascii="Arial" w:eastAsia="Times New Roman" w:hAnsi="Arial" w:cs="Arial"/>
        </w:rPr>
      </w:pPr>
      <w:r>
        <w:rPr>
          <w:rFonts w:ascii="Arial" w:hAnsi="Arial" w:cs="Arial"/>
          <w:bCs/>
          <w:kern w:val="36"/>
        </w:rPr>
        <w:t xml:space="preserve">a) </w:t>
      </w:r>
      <w:r w:rsidR="00B34ED2" w:rsidRPr="007B7116">
        <w:rPr>
          <w:rFonts w:ascii="Arial" w:hAnsi="Arial" w:cs="Arial"/>
          <w:bCs/>
          <w:kern w:val="36"/>
        </w:rPr>
        <w:t xml:space="preserve">a 2. melléklet „ÖSSZEFOGLALÓ TÁBLA” megnevezésű táblázat </w:t>
      </w:r>
      <w:r w:rsidR="00B34ED2">
        <w:rPr>
          <w:rFonts w:ascii="Arial" w:hAnsi="Arial" w:cs="Arial"/>
          <w:bCs/>
          <w:kern w:val="36"/>
        </w:rPr>
        <w:t>2</w:t>
      </w:r>
      <w:r w:rsidR="00456DFB">
        <w:rPr>
          <w:rFonts w:ascii="Arial" w:hAnsi="Arial" w:cs="Arial"/>
          <w:bCs/>
          <w:kern w:val="36"/>
        </w:rPr>
        <w:t>8</w:t>
      </w:r>
      <w:r w:rsidR="00B34ED2">
        <w:rPr>
          <w:rFonts w:ascii="Arial" w:hAnsi="Arial" w:cs="Arial"/>
          <w:bCs/>
          <w:kern w:val="36"/>
        </w:rPr>
        <w:t>.</w:t>
      </w:r>
      <w:r w:rsidR="00456DFB">
        <w:rPr>
          <w:rFonts w:ascii="Arial" w:hAnsi="Arial" w:cs="Arial"/>
          <w:bCs/>
          <w:kern w:val="36"/>
        </w:rPr>
        <w:t xml:space="preserve"> és 32.</w:t>
      </w:r>
      <w:r w:rsidR="00B34ED2">
        <w:rPr>
          <w:rFonts w:ascii="Arial" w:hAnsi="Arial" w:cs="Arial"/>
          <w:bCs/>
          <w:kern w:val="36"/>
        </w:rPr>
        <w:t xml:space="preserve"> </w:t>
      </w:r>
      <w:r w:rsidR="00B34ED2" w:rsidRPr="007B7116">
        <w:rPr>
          <w:rFonts w:ascii="Arial" w:hAnsi="Arial" w:cs="Arial"/>
          <w:bCs/>
          <w:kern w:val="36"/>
        </w:rPr>
        <w:t>sor</w:t>
      </w:r>
      <w:r w:rsidR="00B34ED2">
        <w:rPr>
          <w:rFonts w:ascii="Arial" w:hAnsi="Arial" w:cs="Arial"/>
          <w:bCs/>
          <w:kern w:val="36"/>
        </w:rPr>
        <w:t>ában meg</w:t>
      </w:r>
      <w:r w:rsidR="00B34ED2">
        <w:rPr>
          <w:rFonts w:ascii="Arial" w:hAnsi="Arial" w:cs="Arial"/>
          <w:bCs/>
        </w:rPr>
        <w:t>határozott</w:t>
      </w:r>
      <w:r w:rsidR="00B34ED2" w:rsidRPr="007B7116">
        <w:rPr>
          <w:rFonts w:ascii="Arial" w:hAnsi="Arial" w:cs="Arial"/>
          <w:bCs/>
          <w:kern w:val="36"/>
        </w:rPr>
        <w:t xml:space="preserve"> felügyeleti jelentést</w:t>
      </w:r>
      <w:r>
        <w:rPr>
          <w:rFonts w:ascii="Arial" w:hAnsi="Arial" w:cs="Arial"/>
          <w:bCs/>
          <w:kern w:val="36"/>
        </w:rPr>
        <w:t>,</w:t>
      </w:r>
      <w:r w:rsidR="00B34ED2" w:rsidRPr="007B7116">
        <w:rPr>
          <w:rFonts w:ascii="Arial" w:hAnsi="Arial" w:cs="Arial"/>
          <w:bCs/>
          <w:kern w:val="36"/>
        </w:rPr>
        <w:t xml:space="preserve"> </w:t>
      </w:r>
    </w:p>
    <w:p w14:paraId="4912C81D" w14:textId="0556B82E" w:rsidR="00B74983" w:rsidRDefault="00B74983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F53FBA" w:rsidRPr="00F53FBA">
        <w:rPr>
          <w:rFonts w:ascii="Arial" w:eastAsia="Times New Roman" w:hAnsi="Arial" w:cs="Arial"/>
        </w:rPr>
        <w:t xml:space="preserve">) a </w:t>
      </w:r>
      <w:r w:rsidR="00696611">
        <w:rPr>
          <w:rFonts w:ascii="Arial" w:eastAsia="Times New Roman" w:hAnsi="Arial" w:cs="Arial"/>
        </w:rPr>
        <w:t>4</w:t>
      </w:r>
      <w:r w:rsidR="00F53FBA" w:rsidRPr="00F53FBA">
        <w:rPr>
          <w:rFonts w:ascii="Arial" w:eastAsia="Times New Roman" w:hAnsi="Arial" w:cs="Arial"/>
        </w:rPr>
        <w:t xml:space="preserve">. melléklet „ÖSSZEFOGLALÓ TÁBLA” megnevezésű táblázat </w:t>
      </w:r>
      <w:r w:rsidR="00C65B92">
        <w:rPr>
          <w:rFonts w:ascii="Arial" w:eastAsia="Times New Roman" w:hAnsi="Arial" w:cs="Arial"/>
        </w:rPr>
        <w:t>1</w:t>
      </w:r>
      <w:r w:rsidR="00277AE9">
        <w:rPr>
          <w:rFonts w:ascii="Arial" w:eastAsia="Times New Roman" w:hAnsi="Arial" w:cs="Arial"/>
        </w:rPr>
        <w:t>6</w:t>
      </w:r>
      <w:r w:rsidR="00F53FBA" w:rsidRPr="00F53FBA">
        <w:rPr>
          <w:rFonts w:ascii="Arial" w:eastAsia="Times New Roman" w:hAnsi="Arial" w:cs="Arial"/>
        </w:rPr>
        <w:t xml:space="preserve">. sorában meghatározott felügyeleti jelentést </w:t>
      </w:r>
    </w:p>
    <w:p w14:paraId="75A44D61" w14:textId="6AE465D8" w:rsidR="00F53FBA" w:rsidRPr="00F53FBA" w:rsidRDefault="00F53FBA" w:rsidP="00140078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első alkalommal 202</w:t>
      </w:r>
      <w:r w:rsidR="00277AE9"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. évre mint tárgyidőszakra vonatkozóan teljesíti.</w:t>
      </w:r>
    </w:p>
    <w:p w14:paraId="1FF2C873" w14:textId="619C9CAD" w:rsidR="00B74983" w:rsidRDefault="00B74983" w:rsidP="00B174CC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  <w:bCs/>
          <w:kern w:val="36"/>
        </w:rPr>
      </w:pPr>
      <w:r>
        <w:rPr>
          <w:rFonts w:ascii="Arial" w:hAnsi="Arial" w:cs="Arial"/>
        </w:rPr>
        <w:t>(3) A</w:t>
      </w:r>
      <w:r w:rsidRPr="00B749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Kbftv. 2. § (2) bekezdése szerinti ABAK kivételével az adatszolgáltató a 13. melléklet „ÖSSZEFOGLALÓ TÁBLA” megnevezésű táblázat 6</w:t>
      </w:r>
      <w:r w:rsidR="00F81DA3">
        <w:rPr>
          <w:rFonts w:ascii="Arial" w:hAnsi="Arial" w:cs="Arial"/>
        </w:rPr>
        <w:t xml:space="preserve">. és </w:t>
      </w:r>
      <w:r w:rsidR="00F238B5">
        <w:rPr>
          <w:rFonts w:ascii="Arial" w:hAnsi="Arial" w:cs="Arial"/>
        </w:rPr>
        <w:t>7</w:t>
      </w:r>
      <w:r>
        <w:rPr>
          <w:rFonts w:ascii="Arial" w:hAnsi="Arial" w:cs="Arial"/>
        </w:rPr>
        <w:t>. sorában meghatározott felügyleti jelentést első alkalommal 2025. évre mint tárgyidőszakra vonatkozóan teljesíti.</w:t>
      </w:r>
    </w:p>
    <w:p w14:paraId="55921099" w14:textId="572404F5" w:rsidR="00696611" w:rsidRDefault="003F2AC8" w:rsidP="00B174CC">
      <w:pPr>
        <w:autoSpaceDE w:val="0"/>
        <w:autoSpaceDN w:val="0"/>
        <w:adjustRightInd w:val="0"/>
        <w:spacing w:after="0" w:line="240" w:lineRule="auto"/>
        <w:ind w:firstLine="142"/>
        <w:rPr>
          <w:rFonts w:ascii="Arial" w:hAnsi="Arial" w:cs="Arial"/>
        </w:rPr>
      </w:pPr>
      <w:r>
        <w:rPr>
          <w:rFonts w:ascii="Arial" w:hAnsi="Arial" w:cs="Arial"/>
          <w:bCs/>
          <w:kern w:val="36"/>
        </w:rPr>
        <w:t>(</w:t>
      </w:r>
      <w:r w:rsidR="00E306FD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p w14:paraId="30BEAB64" w14:textId="77777777" w:rsidR="003F2AC8" w:rsidRDefault="003F2AC8" w:rsidP="00140078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Times New Roman" w:hAnsi="Arial" w:cs="Arial"/>
          <w:b/>
          <w:bCs/>
        </w:rPr>
      </w:pPr>
    </w:p>
    <w:p w14:paraId="3B5647FC" w14:textId="343DA0C6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  <w:b/>
          <w:bCs/>
        </w:rPr>
        <w:t>1</w:t>
      </w:r>
      <w:r w:rsidR="00D91E8F">
        <w:rPr>
          <w:rFonts w:ascii="Arial" w:eastAsia="Times New Roman" w:hAnsi="Arial" w:cs="Arial"/>
          <w:b/>
          <w:bCs/>
        </w:rPr>
        <w:t>5</w:t>
      </w:r>
      <w:r w:rsidRPr="00F53FBA">
        <w:rPr>
          <w:rFonts w:ascii="Arial" w:eastAsia="Times New Roman" w:hAnsi="Arial" w:cs="Arial"/>
          <w:b/>
          <w:bCs/>
        </w:rPr>
        <w:t>.</w:t>
      </w:r>
      <w:r w:rsidR="00696611">
        <w:rPr>
          <w:rFonts w:ascii="Arial" w:eastAsia="Times New Roman" w:hAnsi="Arial" w:cs="Arial"/>
          <w:b/>
          <w:bCs/>
        </w:rPr>
        <w:t xml:space="preserve"> </w:t>
      </w:r>
      <w:r w:rsidRPr="00F53FBA">
        <w:rPr>
          <w:rFonts w:ascii="Arial" w:eastAsia="Times New Roman" w:hAnsi="Arial" w:cs="Arial"/>
          <w:b/>
          <w:bCs/>
        </w:rPr>
        <w:t>§</w:t>
      </w:r>
      <w:r w:rsidRPr="00F53FBA">
        <w:rPr>
          <w:rFonts w:ascii="Arial" w:eastAsia="Times New Roman" w:hAnsi="Arial" w:cs="Arial"/>
        </w:rPr>
        <w:t xml:space="preserve"> E rendelet</w:t>
      </w:r>
    </w:p>
    <w:p w14:paraId="78145C9F" w14:textId="77777777" w:rsidR="00F53FBA" w:rsidRP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1. 9. § (1) bekezdésében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403231CE" w14:textId="0203AB0E" w:rsidR="00F53FBA" w:rsidRDefault="00F53FBA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 xml:space="preserve">2. 9. § (2) bekezdésében, </w:t>
      </w:r>
      <w:r w:rsidR="001D26C2">
        <w:rPr>
          <w:rFonts w:ascii="Arial" w:eastAsia="Times New Roman" w:hAnsi="Arial" w:cs="Arial"/>
        </w:rPr>
        <w:t xml:space="preserve">14. § (4) bekezdésében, </w:t>
      </w:r>
      <w:r w:rsidRPr="00F53FBA">
        <w:rPr>
          <w:rFonts w:ascii="Arial" w:eastAsia="Times New Roman" w:hAnsi="Arial" w:cs="Arial"/>
        </w:rPr>
        <w:t>valamint 12. mellékletében a páneurópai egyéni nyugdíjtermékről (PEPP) szóló, 2019. június 20-i (EU) 2019/1238 európai parlamenti és tanácsi rendelet 40. cikk (2) bekezdés a) pontja,</w:t>
      </w:r>
    </w:p>
    <w:p w14:paraId="2B0746DA" w14:textId="25E60D9E" w:rsidR="00945AA9" w:rsidRPr="00F53FBA" w:rsidRDefault="00945AA9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 10. §-ában</w:t>
      </w:r>
      <w:r w:rsidRPr="00E8736F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11</w:t>
      </w:r>
      <w:r w:rsidRPr="00E8736F">
        <w:rPr>
          <w:rFonts w:ascii="Arial" w:eastAsia="Times New Roman" w:hAnsi="Arial" w:cs="Arial"/>
        </w:rPr>
        <w:t>. § (1), (4)</w:t>
      </w:r>
      <w:r>
        <w:rPr>
          <w:rFonts w:ascii="Arial" w:eastAsia="Times New Roman" w:hAnsi="Arial" w:cs="Arial"/>
        </w:rPr>
        <w:t xml:space="preserve"> és (5)</w:t>
      </w:r>
      <w:r w:rsidRPr="00E8736F">
        <w:rPr>
          <w:rFonts w:ascii="Arial" w:eastAsia="Times New Roman" w:hAnsi="Arial" w:cs="Arial"/>
        </w:rPr>
        <w:t xml:space="preserve"> bekezdésében, </w:t>
      </w:r>
      <w:r>
        <w:rPr>
          <w:rFonts w:ascii="Arial" w:eastAsia="Times New Roman" w:hAnsi="Arial" w:cs="Arial"/>
        </w:rPr>
        <w:t xml:space="preserve">14. § (3) bekezdésében, </w:t>
      </w:r>
      <w:r w:rsidRPr="00E8736F">
        <w:rPr>
          <w:rFonts w:ascii="Arial" w:eastAsia="Times New Roman" w:hAnsi="Arial" w:cs="Arial"/>
        </w:rPr>
        <w:t xml:space="preserve">1. melléklet </w:t>
      </w:r>
      <w:r>
        <w:rPr>
          <w:rFonts w:ascii="Arial" w:eastAsia="Times New Roman" w:hAnsi="Arial" w:cs="Arial"/>
        </w:rPr>
        <w:t xml:space="preserve">3.31. és 4.11. </w:t>
      </w:r>
      <w:r w:rsidRPr="00E8736F">
        <w:rPr>
          <w:rFonts w:ascii="Arial" w:eastAsia="Times New Roman" w:hAnsi="Arial" w:cs="Arial"/>
        </w:rPr>
        <w:t xml:space="preserve">pontjában, valamint </w:t>
      </w:r>
      <w:r>
        <w:rPr>
          <w:rFonts w:ascii="Arial" w:eastAsia="Times New Roman" w:hAnsi="Arial" w:cs="Arial"/>
        </w:rPr>
        <w:t xml:space="preserve">13. és 14. </w:t>
      </w:r>
      <w:r w:rsidRPr="00E8736F">
        <w:rPr>
          <w:rFonts w:ascii="Arial" w:eastAsia="Times New Roman" w:hAnsi="Arial" w:cs="Arial"/>
        </w:rPr>
        <w:t xml:space="preserve">mellékletében a pénzügyi ágazat digitális működési rezilienciájáról, valamint az 1060/2009/EK, a 648/2012/EU, a 600/2014/EU, a 909/2014/EU és az (EU) 2016/1011 rendelet módosításáról szóló 2022. december 14-i (EU) 2022/2554 európai parlament és tanácsi rendelet </w:t>
      </w:r>
      <w:r>
        <w:rPr>
          <w:rFonts w:ascii="Arial" w:eastAsia="Times New Roman" w:hAnsi="Arial" w:cs="Arial"/>
        </w:rPr>
        <w:t xml:space="preserve">(a továbbiakban: DORA rendelet) </w:t>
      </w:r>
      <w:r w:rsidRPr="00E8736F">
        <w:rPr>
          <w:rFonts w:ascii="Arial" w:eastAsia="Times New Roman" w:hAnsi="Arial" w:cs="Arial"/>
        </w:rPr>
        <w:t xml:space="preserve">6. cikk (5) bekezdése, </w:t>
      </w:r>
      <w:r w:rsidR="00765BF8">
        <w:rPr>
          <w:rFonts w:ascii="Arial" w:eastAsia="Times New Roman" w:hAnsi="Arial" w:cs="Arial"/>
        </w:rPr>
        <w:t xml:space="preserve">11. cikk (9) bekezdése, </w:t>
      </w:r>
      <w:r w:rsidRPr="00E8736F">
        <w:rPr>
          <w:rFonts w:ascii="Arial" w:eastAsia="Times New Roman" w:hAnsi="Arial" w:cs="Arial"/>
        </w:rPr>
        <w:t xml:space="preserve">16. cikk (2) bekezdése, 19. cikk (5) bekezdése, 28. cikk (3) bekezdése, 45. cikk (3) bekezdése, </w:t>
      </w:r>
      <w:r w:rsidRPr="00E8736F">
        <w:rPr>
          <w:rFonts w:ascii="Arial" w:eastAsia="Times New Roman" w:hAnsi="Arial" w:cs="Arial"/>
          <w:bCs/>
        </w:rPr>
        <w:t xml:space="preserve">az (EU) 2022/2554 európai parlamenti és tanácsi rendeletnek az IKT-kockázatkezelési eszközöket, módszereket, folyamatokat és szabályzatokat, valamint az egyszerűsített IKT-kockázatkezelési keretrendszert meghatározó szabályozástechnikai standardok tekintetében történő kiegészítéséről szóló 2024. március 13-i (EU) 2024/1774 felhatalmazáson </w:t>
      </w:r>
      <w:r w:rsidRPr="00E8736F">
        <w:rPr>
          <w:rFonts w:ascii="Arial" w:eastAsia="Times New Roman" w:hAnsi="Arial" w:cs="Arial"/>
          <w:bCs/>
        </w:rPr>
        <w:lastRenderedPageBreak/>
        <w:t>alapuló bizottsági rendelet 27. és 41. cikke,</w:t>
      </w:r>
      <w:r w:rsidRPr="00E8736F">
        <w:rPr>
          <w:rFonts w:ascii="Arial" w:eastAsia="Times New Roman" w:hAnsi="Arial" w:cs="Arial"/>
        </w:rPr>
        <w:t xml:space="preserve"> </w:t>
      </w:r>
      <w:r w:rsidRPr="00E8736F">
        <w:rPr>
          <w:rFonts w:ascii="Arial" w:eastAsia="Times New Roman" w:hAnsi="Arial" w:cs="Arial"/>
          <w:bCs/>
        </w:rPr>
        <w:t>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 6. cikke, valamint az (EU) 2022/2554 európai parlamenti és tanácsi rendeletnek az információ-nyilvántartáshoz kapcsolódó táblák tekintetében történő alkalmazására vonatkozó végrehajtás-technikai standardok megállapításáról szóló 2024. november 29-i (EU) 2024/2956 bizottsági végrehajtási rendelet</w:t>
      </w:r>
      <w:r>
        <w:rPr>
          <w:rFonts w:ascii="Arial" w:eastAsia="Times New Roman" w:hAnsi="Arial" w:cs="Arial"/>
          <w:bCs/>
        </w:rPr>
        <w:t>,</w:t>
      </w:r>
    </w:p>
    <w:p w14:paraId="60AD70FE" w14:textId="6ED8FA07" w:rsidR="00F53FBA" w:rsidRPr="00F53FBA" w:rsidRDefault="00945AA9" w:rsidP="00B174CC">
      <w:pPr>
        <w:spacing w:after="0" w:line="240" w:lineRule="auto"/>
        <w:ind w:firstLine="14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</w:t>
      </w:r>
      <w:r w:rsidR="00F53FBA" w:rsidRPr="00F53FBA">
        <w:rPr>
          <w:rFonts w:ascii="Arial" w:eastAsia="Times New Roman" w:hAnsi="Arial" w:cs="Arial"/>
        </w:rPr>
        <w:t>. 1</w:t>
      </w:r>
      <w:r w:rsidR="00D91E8F">
        <w:rPr>
          <w:rFonts w:ascii="Arial" w:eastAsia="Times New Roman" w:hAnsi="Arial" w:cs="Arial"/>
        </w:rPr>
        <w:t>1</w:t>
      </w:r>
      <w:r w:rsidR="00F53FBA" w:rsidRPr="00F53FBA">
        <w:rPr>
          <w:rFonts w:ascii="Arial" w:eastAsia="Times New Roman" w:hAnsi="Arial" w:cs="Arial"/>
        </w:rPr>
        <w:t>. § (1), (</w:t>
      </w:r>
      <w:r w:rsidR="00D91E8F">
        <w:rPr>
          <w:rFonts w:ascii="Arial" w:eastAsia="Times New Roman" w:hAnsi="Arial" w:cs="Arial"/>
        </w:rPr>
        <w:t>4</w:t>
      </w:r>
      <w:r w:rsidR="00F53FBA" w:rsidRPr="00F53FBA">
        <w:rPr>
          <w:rFonts w:ascii="Arial" w:eastAsia="Times New Roman" w:hAnsi="Arial" w:cs="Arial"/>
        </w:rPr>
        <w:t>) és (</w:t>
      </w:r>
      <w:r w:rsidR="00D91E8F">
        <w:rPr>
          <w:rFonts w:ascii="Arial" w:eastAsia="Times New Roman" w:hAnsi="Arial" w:cs="Arial"/>
        </w:rPr>
        <w:t>5</w:t>
      </w:r>
      <w:r w:rsidR="00F53FBA" w:rsidRPr="00F53FBA">
        <w:rPr>
          <w:rFonts w:ascii="Arial" w:eastAsia="Times New Roman" w:hAnsi="Arial" w:cs="Arial"/>
        </w:rPr>
        <w:t>) bekezdésében, valamint 1. melléklet 4.10. pontjában a 2011/61/EU európai parlamenti és tanácsi irányelvnek a mentességek, az általános működési feltételek, a letétkezelők, a tőkeáttétel, az átláthatóság és a felügyelet tekintetében történő kiegészítéséről szóló, 2012. december 19-i 231/2013/EU felhatalmazáson alapuló bizottsági rendelet 110. cikke, az internalizált kiegyenlítésről szóló információk bejelentéséhez és továbbításához alkalmazandó táblákra és eljárásokra vonatkozó végrehajtás-technikai standardoknak a 909/2014/EU európai parlamenti és tanácsi rendelettel összhangban történő megállapításáról szóló, 2016. november 11-i (EU) 2017/393 bizottsági végrehajtási rendelet, az (EU) 2017/1131 európai parlamenti és tanácsi rendelet 37. cikkében előírt, illetékes hatóságoknak történő jelentéstételkor a pénzpiaci alapok kezelői által használandó űrlapra vonatkozó végrehajtás-technikai standardok megállapításáról szóló, 2018. április 17-i (EU) 2018/708 bizottsági végrehajtási rendelet, a 909/2014/EU európai parlamenti és tanácsi rendeletnek a kiegyenlítési fegyelemre vonatkozó szabályozástechnikai standardok tekintetében történő kiegészítéséről szóló, 2018. május 25-i (EU) 2018/1229 felhatalmazáson alapuló bizottsági rendelet 14. cikke, a páneurópai egyéni nyugdíjtermékről (PEPP) szóló, 2019. június 20-i (EU) 2019/1238 európai parlamenti és tanácsi rendelet 40. cikk (2) bekezdés a) pontja, az 575/2013/EU európai parlamenti és tanácsi rendeletnek az intézmények felügyeleti adatszolgáltatása tekintetében történő alkalmazására vonatkozó végrehajtás-technikai standardok megállapításáról és a 680/2014/EU végrehajtási rendelet hatályon kívül helyezéséről szóló, 2020. december 17-i (EU) 2021/451 bizottsági végrehajtási rendelet 21. cikk (1) bekezdése,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vonatkozó, 2021. március 4-i (EU) 2021/897 bizottsági végrehajtási rendelet 3. cikke,</w:t>
      </w:r>
    </w:p>
    <w:p w14:paraId="14BC99BE" w14:textId="1213ABAC" w:rsidR="00321642" w:rsidRDefault="00945AA9" w:rsidP="00B174CC">
      <w:pPr>
        <w:autoSpaceDE w:val="0"/>
        <w:autoSpaceDN w:val="0"/>
        <w:adjustRightInd w:val="0"/>
        <w:spacing w:after="0" w:line="240" w:lineRule="auto"/>
        <w:ind w:firstLine="142"/>
        <w:rPr>
          <w:rFonts w:ascii="Arial" w:eastAsia="Calibri" w:hAnsi="Arial" w:cs="Arial"/>
          <w:bCs/>
          <w:lang w:eastAsia="en-US"/>
        </w:rPr>
      </w:pPr>
      <w:r>
        <w:rPr>
          <w:rFonts w:ascii="Arial" w:eastAsia="Times New Roman" w:hAnsi="Arial" w:cs="Arial"/>
          <w:bCs/>
        </w:rPr>
        <w:t>5</w:t>
      </w:r>
      <w:r w:rsidR="00E8736F">
        <w:rPr>
          <w:rFonts w:ascii="Arial" w:eastAsia="Times New Roman" w:hAnsi="Arial" w:cs="Arial"/>
          <w:bCs/>
        </w:rPr>
        <w:t xml:space="preserve">. </w:t>
      </w:r>
      <w:bookmarkStart w:id="2" w:name="_Hlk203471864"/>
      <w:r w:rsidR="00E8736F">
        <w:rPr>
          <w:rFonts w:ascii="Arial" w:eastAsia="Calibri" w:hAnsi="Arial" w:cs="Arial"/>
          <w:lang w:eastAsia="en-US"/>
        </w:rPr>
        <w:t>1</w:t>
      </w:r>
      <w:r w:rsidR="001D26C2">
        <w:rPr>
          <w:rFonts w:ascii="Arial" w:eastAsia="Calibri" w:hAnsi="Arial" w:cs="Arial"/>
          <w:lang w:eastAsia="en-US"/>
        </w:rPr>
        <w:t>1</w:t>
      </w:r>
      <w:r w:rsidR="00E8736F" w:rsidRPr="00E8736F">
        <w:rPr>
          <w:rFonts w:ascii="Arial" w:eastAsia="Calibri" w:hAnsi="Arial" w:cs="Arial"/>
          <w:lang w:eastAsia="en-US"/>
        </w:rPr>
        <w:t>. § (2)</w:t>
      </w:r>
      <w:r w:rsidR="00FF109B">
        <w:rPr>
          <w:rFonts w:ascii="Arial" w:eastAsia="Calibri" w:hAnsi="Arial" w:cs="Arial"/>
          <w:lang w:eastAsia="en-US"/>
        </w:rPr>
        <w:t xml:space="preserve">, </w:t>
      </w:r>
      <w:r w:rsidR="00E8736F" w:rsidRPr="00E8736F">
        <w:rPr>
          <w:rFonts w:ascii="Arial" w:eastAsia="Calibri" w:hAnsi="Arial" w:cs="Arial"/>
          <w:lang w:eastAsia="en-US"/>
        </w:rPr>
        <w:t>(4)</w:t>
      </w:r>
      <w:r w:rsidR="00FF109B">
        <w:rPr>
          <w:rFonts w:ascii="Arial" w:eastAsia="Calibri" w:hAnsi="Arial" w:cs="Arial"/>
          <w:lang w:eastAsia="en-US"/>
        </w:rPr>
        <w:t xml:space="preserve"> és (5)</w:t>
      </w:r>
      <w:r w:rsidR="00E8736F" w:rsidRPr="00E8736F">
        <w:rPr>
          <w:rFonts w:ascii="Arial" w:eastAsia="Calibri" w:hAnsi="Arial" w:cs="Arial"/>
          <w:lang w:eastAsia="en-US"/>
        </w:rPr>
        <w:t xml:space="preserve"> bekezdésében </w:t>
      </w:r>
      <w:r w:rsidR="00E8736F" w:rsidRPr="00E8736F">
        <w:rPr>
          <w:rFonts w:ascii="Arial" w:eastAsia="Calibri" w:hAnsi="Arial" w:cs="Arial"/>
          <w:bCs/>
          <w:lang w:eastAsia="en-US"/>
        </w:rPr>
        <w:t>az (EU) 2022/2554 európai parlamenti és tanácsi rendeletnek a jelentős IKT-vonatkozású eseményekről szóló kezdeti értesítés, időközi jelentés és zárójelentés tartalmát és határidejét, valamint a jelentős kiberfenyegetésekről szóló önkéntes értesítés tartalmát meghatározó szabályozástechnikai standardok tekintetében történő kiegészítéséről szóló 2024. október 23-i  (EU) 2025/301 felhatalmazáson alapuló bizottsági rendelet, valamint az (EU) 2022/2554 európai parlamenti és tanácsi rendeletnek a jelentős IKT-vonatkozású esemény pénzügyi szervezetek általi bejelentésére és a jelentős kiberfenyegetésről szóló, pénzügyi szervezetek által benyújtandó értesítésre szolgáló szabványos űrlapok, sablonok és eljárások tekintetében történő alkalmazására vonatkozó végrehajtás-technikai standardok megállapításáról szóló 2024. október 23-i (EU) 2025/302 bizottsági végrehajtási rendelet</w:t>
      </w:r>
      <w:bookmarkEnd w:id="2"/>
      <w:r>
        <w:rPr>
          <w:rFonts w:ascii="Arial" w:eastAsia="Calibri" w:hAnsi="Arial" w:cs="Arial"/>
          <w:bCs/>
          <w:lang w:eastAsia="en-US"/>
        </w:rPr>
        <w:t>,</w:t>
      </w:r>
    </w:p>
    <w:p w14:paraId="535B888E" w14:textId="0A950312" w:rsidR="00945AA9" w:rsidRPr="00E8736F" w:rsidRDefault="00945AA9" w:rsidP="00140078">
      <w:pPr>
        <w:spacing w:after="0" w:line="240" w:lineRule="auto"/>
        <w:ind w:firstLine="142"/>
        <w:rPr>
          <w:rFonts w:ascii="Arial" w:eastAsia="Calibri" w:hAnsi="Arial" w:cs="Arial"/>
          <w:lang w:eastAsia="en-US"/>
        </w:rPr>
      </w:pPr>
      <w:r>
        <w:rPr>
          <w:rFonts w:ascii="Arial" w:eastAsia="Times New Roman" w:hAnsi="Arial" w:cs="Arial"/>
        </w:rPr>
        <w:t>6</w:t>
      </w:r>
      <w:r w:rsidRPr="00F53FBA">
        <w:rPr>
          <w:rFonts w:ascii="Arial" w:eastAsia="Times New Roman" w:hAnsi="Arial" w:cs="Arial"/>
        </w:rPr>
        <w:t>. 1</w:t>
      </w:r>
      <w:r>
        <w:rPr>
          <w:rFonts w:ascii="Arial" w:eastAsia="Times New Roman" w:hAnsi="Arial" w:cs="Arial"/>
        </w:rPr>
        <w:t>1</w:t>
      </w:r>
      <w:r w:rsidRPr="00F53FBA">
        <w:rPr>
          <w:rFonts w:ascii="Arial" w:eastAsia="Times New Roman" w:hAnsi="Arial" w:cs="Arial"/>
        </w:rPr>
        <w:t>. § (</w:t>
      </w:r>
      <w:r>
        <w:rPr>
          <w:rFonts w:ascii="Arial" w:eastAsia="Times New Roman" w:hAnsi="Arial" w:cs="Arial"/>
        </w:rPr>
        <w:t>3</w:t>
      </w:r>
      <w:r w:rsidRPr="00F53FBA">
        <w:rPr>
          <w:rFonts w:ascii="Arial" w:eastAsia="Times New Roman" w:hAnsi="Arial" w:cs="Arial"/>
        </w:rPr>
        <w:t>)–(</w:t>
      </w:r>
      <w:r>
        <w:rPr>
          <w:rFonts w:ascii="Arial" w:eastAsia="Times New Roman" w:hAnsi="Arial" w:cs="Arial"/>
        </w:rPr>
        <w:t>5</w:t>
      </w:r>
      <w:r w:rsidRPr="00F53FBA">
        <w:rPr>
          <w:rFonts w:ascii="Arial" w:eastAsia="Times New Roman" w:hAnsi="Arial" w:cs="Arial"/>
        </w:rPr>
        <w:t>) bekezdésében a pénzügyi eszközök piacairól és a 648/2012/EU rendelet módosításáról szóló, 2014. május 15-i 600/2014/EU európai parlamenti és tanácsi rendelet 26. cikke</w:t>
      </w:r>
    </w:p>
    <w:p w14:paraId="12EC10E3" w14:textId="77777777" w:rsidR="00F53FBA" w:rsidRPr="00F53FBA" w:rsidRDefault="00F53FBA" w:rsidP="00140078">
      <w:pPr>
        <w:spacing w:after="0" w:line="240" w:lineRule="auto"/>
        <w:rPr>
          <w:rFonts w:ascii="Arial" w:eastAsia="Times New Roman" w:hAnsi="Arial" w:cs="Arial"/>
        </w:rPr>
      </w:pPr>
      <w:r w:rsidRPr="00F53FBA">
        <w:rPr>
          <w:rFonts w:ascii="Arial" w:eastAsia="Times New Roman" w:hAnsi="Arial" w:cs="Arial"/>
        </w:rPr>
        <w:t>végrehajtásához szükséges rendelkezéseket állapít meg.</w:t>
      </w:r>
    </w:p>
    <w:p w14:paraId="359E4134" w14:textId="3AB08E00" w:rsidR="002A0538" w:rsidRPr="00B15FE8" w:rsidRDefault="002A0538" w:rsidP="00140078">
      <w:pPr>
        <w:spacing w:after="0" w:line="240" w:lineRule="auto"/>
        <w:jc w:val="left"/>
        <w:rPr>
          <w:rFonts w:ascii="Arial" w:hAnsi="Arial" w:cs="Arial"/>
        </w:rPr>
      </w:pPr>
    </w:p>
    <w:p w14:paraId="2DD0C9CA" w14:textId="4BD49AF7" w:rsidR="00B944EB" w:rsidRDefault="00F030A0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  <w:r w:rsidRPr="00B15FE8">
        <w:rPr>
          <w:rFonts w:ascii="Arial" w:hAnsi="Arial" w:cs="Arial"/>
          <w:b/>
        </w:rPr>
        <w:t>1</w:t>
      </w:r>
      <w:r w:rsidR="001330FA">
        <w:rPr>
          <w:rFonts w:ascii="Arial" w:hAnsi="Arial" w:cs="Arial"/>
          <w:b/>
        </w:rPr>
        <w:t>6</w:t>
      </w:r>
      <w:r w:rsidRPr="00B15FE8">
        <w:rPr>
          <w:rFonts w:ascii="Arial" w:hAnsi="Arial" w:cs="Arial"/>
          <w:b/>
        </w:rPr>
        <w:t xml:space="preserve">. § </w:t>
      </w:r>
      <w:r w:rsidRPr="00B15FE8">
        <w:rPr>
          <w:rFonts w:ascii="Arial" w:hAnsi="Arial" w:cs="Arial"/>
        </w:rPr>
        <w:t>Hatályát veszti az 5</w:t>
      </w:r>
      <w:r w:rsidR="004B70D1">
        <w:rPr>
          <w:rFonts w:ascii="Arial" w:hAnsi="Arial" w:cs="Arial"/>
        </w:rPr>
        <w:t>6</w:t>
      </w:r>
      <w:r w:rsidRPr="00B15FE8">
        <w:rPr>
          <w:rFonts w:ascii="Arial" w:hAnsi="Arial" w:cs="Arial"/>
        </w:rPr>
        <w:t>/202</w:t>
      </w:r>
      <w:r w:rsidR="004B70D1">
        <w:rPr>
          <w:rFonts w:ascii="Arial" w:hAnsi="Arial" w:cs="Arial"/>
        </w:rPr>
        <w:t>4</w:t>
      </w:r>
      <w:r w:rsidRPr="00B15FE8">
        <w:rPr>
          <w:rFonts w:ascii="Arial" w:hAnsi="Arial" w:cs="Arial"/>
        </w:rPr>
        <w:t>. (XI</w:t>
      </w:r>
      <w:r w:rsidR="004B70D1">
        <w:rPr>
          <w:rFonts w:ascii="Arial" w:hAnsi="Arial" w:cs="Arial"/>
        </w:rPr>
        <w:t>I</w:t>
      </w:r>
      <w:r w:rsidRPr="00B15FE8">
        <w:rPr>
          <w:rFonts w:ascii="Arial" w:hAnsi="Arial" w:cs="Arial"/>
        </w:rPr>
        <w:t xml:space="preserve">. </w:t>
      </w:r>
      <w:r w:rsidR="004B70D1">
        <w:rPr>
          <w:rFonts w:ascii="Arial" w:hAnsi="Arial" w:cs="Arial"/>
        </w:rPr>
        <w:t>3</w:t>
      </w:r>
      <w:r w:rsidRPr="00B15FE8">
        <w:rPr>
          <w:rFonts w:ascii="Arial" w:hAnsi="Arial" w:cs="Arial"/>
        </w:rPr>
        <w:t>.) MNB rendelet.</w:t>
      </w:r>
    </w:p>
    <w:p w14:paraId="640D69D8" w14:textId="77777777" w:rsidR="00790560" w:rsidRDefault="00790560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50DD5D1F" w14:textId="77777777" w:rsidR="00790560" w:rsidRDefault="00790560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DAB109D" w14:textId="77777777" w:rsidR="00790560" w:rsidRDefault="00790560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C73985A" w14:textId="77777777" w:rsidR="00CA165E" w:rsidRDefault="00CA165E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368690AB" w14:textId="77777777" w:rsidR="006C04CF" w:rsidRDefault="006C04CF" w:rsidP="00B174CC">
      <w:pPr>
        <w:autoSpaceDE w:val="0"/>
        <w:autoSpaceDN w:val="0"/>
        <w:adjustRightInd w:val="0"/>
        <w:spacing w:after="0"/>
        <w:ind w:firstLine="142"/>
        <w:rPr>
          <w:rFonts w:ascii="Arial" w:hAnsi="Arial" w:cs="Arial"/>
        </w:rPr>
      </w:pPr>
    </w:p>
    <w:p w14:paraId="18B6BA3F" w14:textId="730B3602" w:rsidR="00CA165E" w:rsidRPr="00CA165E" w:rsidRDefault="00CA165E" w:rsidP="00CA165E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/>
          <w:bCs/>
        </w:rPr>
      </w:pPr>
      <w:r w:rsidRPr="00CA165E">
        <w:rPr>
          <w:rFonts w:ascii="Arial" w:hAnsi="Arial" w:cs="Arial"/>
          <w:b/>
          <w:bCs/>
        </w:rPr>
        <w:t>Varga Mihály</w:t>
      </w:r>
    </w:p>
    <w:p w14:paraId="191133FC" w14:textId="543C77F1" w:rsidR="00CA165E" w:rsidRPr="00CA165E" w:rsidRDefault="00CA165E" w:rsidP="00134A5D">
      <w:pPr>
        <w:autoSpaceDE w:val="0"/>
        <w:autoSpaceDN w:val="0"/>
        <w:adjustRightInd w:val="0"/>
        <w:spacing w:after="0"/>
        <w:ind w:firstLine="142"/>
        <w:jc w:val="center"/>
        <w:rPr>
          <w:rFonts w:ascii="Arial" w:hAnsi="Arial" w:cs="Arial"/>
          <w:b/>
          <w:bCs/>
        </w:rPr>
      </w:pPr>
      <w:r w:rsidRPr="00CA165E">
        <w:rPr>
          <w:rFonts w:ascii="Arial" w:hAnsi="Arial" w:cs="Arial"/>
          <w:b/>
          <w:bCs/>
        </w:rPr>
        <w:t>a Magyar Nemzeti Bank elnöke</w:t>
      </w:r>
    </w:p>
    <w:sectPr w:rsidR="00CA165E" w:rsidRPr="00CA165E" w:rsidSect="00CD6E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479C7" w14:textId="77777777" w:rsidR="00DD366A" w:rsidRDefault="00DD366A">
      <w:r>
        <w:separator/>
      </w:r>
    </w:p>
  </w:endnote>
  <w:endnote w:type="continuationSeparator" w:id="0">
    <w:p w14:paraId="0D805ECE" w14:textId="77777777" w:rsidR="00DD366A" w:rsidRDefault="00D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782B0" w14:textId="77777777" w:rsidR="00277088" w:rsidRDefault="0027708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9373327"/>
      <w:docPartObj>
        <w:docPartGallery w:val="Page Numbers (Bottom of Page)"/>
        <w:docPartUnique/>
      </w:docPartObj>
    </w:sdtPr>
    <w:sdtEndPr/>
    <w:sdtContent>
      <w:p w14:paraId="1E7F1EAF" w14:textId="387B3022" w:rsidR="00277088" w:rsidRDefault="00277088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4A9D" w14:textId="77777777" w:rsidR="00277088" w:rsidRDefault="002770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C97B" w14:textId="77777777" w:rsidR="00DD366A" w:rsidRDefault="00DD366A">
      <w:r>
        <w:separator/>
      </w:r>
    </w:p>
  </w:footnote>
  <w:footnote w:type="continuationSeparator" w:id="0">
    <w:p w14:paraId="6AC96E68" w14:textId="77777777" w:rsidR="00DD366A" w:rsidRDefault="00DD3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69C30" w14:textId="77777777" w:rsidR="00277088" w:rsidRDefault="0027708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65B0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62FC5" w14:textId="77777777" w:rsidR="00277088" w:rsidRDefault="002770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739840">
    <w:abstractNumId w:val="4"/>
  </w:num>
  <w:num w:numId="2" w16cid:durableId="892083767">
    <w:abstractNumId w:val="2"/>
  </w:num>
  <w:num w:numId="3" w16cid:durableId="2104840917">
    <w:abstractNumId w:val="5"/>
  </w:num>
  <w:num w:numId="4" w16cid:durableId="324744906">
    <w:abstractNumId w:val="0"/>
  </w:num>
  <w:num w:numId="5" w16cid:durableId="335772198">
    <w:abstractNumId w:val="1"/>
  </w:num>
  <w:num w:numId="6" w16cid:durableId="235209475">
    <w:abstractNumId w:val="7"/>
  </w:num>
  <w:num w:numId="7" w16cid:durableId="1290824123">
    <w:abstractNumId w:val="3"/>
  </w:num>
  <w:num w:numId="8" w16cid:durableId="462239000">
    <w:abstractNumId w:val="9"/>
  </w:num>
  <w:num w:numId="9" w16cid:durableId="1810659922">
    <w:abstractNumId w:val="7"/>
    <w:lvlOverride w:ilvl="0">
      <w:startOverride w:val="1"/>
    </w:lvlOverride>
  </w:num>
  <w:num w:numId="10" w16cid:durableId="245504066">
    <w:abstractNumId w:val="10"/>
  </w:num>
  <w:num w:numId="11" w16cid:durableId="1211646508">
    <w:abstractNumId w:val="8"/>
  </w:num>
  <w:num w:numId="12" w16cid:durableId="173082913">
    <w:abstractNumId w:val="6"/>
  </w:num>
  <w:num w:numId="13" w16cid:durableId="132453087">
    <w:abstractNumId w:val="5"/>
  </w:num>
  <w:num w:numId="14" w16cid:durableId="64450343">
    <w:abstractNumId w:val="5"/>
  </w:num>
  <w:num w:numId="15" w16cid:durableId="1528955452">
    <w:abstractNumId w:val="5"/>
  </w:num>
  <w:num w:numId="16" w16cid:durableId="733085953">
    <w:abstractNumId w:val="5"/>
  </w:num>
  <w:num w:numId="17" w16cid:durableId="1062098231">
    <w:abstractNumId w:val="5"/>
  </w:num>
  <w:num w:numId="18" w16cid:durableId="70490722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BA"/>
    <w:rsid w:val="0000273C"/>
    <w:rsid w:val="00017B1B"/>
    <w:rsid w:val="0002498B"/>
    <w:rsid w:val="000250E6"/>
    <w:rsid w:val="00027695"/>
    <w:rsid w:val="00027B62"/>
    <w:rsid w:val="00033357"/>
    <w:rsid w:val="00035697"/>
    <w:rsid w:val="00053919"/>
    <w:rsid w:val="0005444D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71F3"/>
    <w:rsid w:val="000C2918"/>
    <w:rsid w:val="000C3019"/>
    <w:rsid w:val="000C701E"/>
    <w:rsid w:val="000C701F"/>
    <w:rsid w:val="000C7237"/>
    <w:rsid w:val="000D1C8B"/>
    <w:rsid w:val="000D1E44"/>
    <w:rsid w:val="000D40AE"/>
    <w:rsid w:val="000D4F61"/>
    <w:rsid w:val="000D5F26"/>
    <w:rsid w:val="000E2CBD"/>
    <w:rsid w:val="000E4EE3"/>
    <w:rsid w:val="000F2858"/>
    <w:rsid w:val="000F2AE0"/>
    <w:rsid w:val="000F30B8"/>
    <w:rsid w:val="000F3B2D"/>
    <w:rsid w:val="000F68FE"/>
    <w:rsid w:val="00101654"/>
    <w:rsid w:val="0010447E"/>
    <w:rsid w:val="0010496C"/>
    <w:rsid w:val="00110868"/>
    <w:rsid w:val="00111809"/>
    <w:rsid w:val="00113C88"/>
    <w:rsid w:val="001255A4"/>
    <w:rsid w:val="00127163"/>
    <w:rsid w:val="00132260"/>
    <w:rsid w:val="001330FA"/>
    <w:rsid w:val="00133A51"/>
    <w:rsid w:val="00134A5D"/>
    <w:rsid w:val="001356A6"/>
    <w:rsid w:val="001357D0"/>
    <w:rsid w:val="00136260"/>
    <w:rsid w:val="00140078"/>
    <w:rsid w:val="001421CC"/>
    <w:rsid w:val="00143691"/>
    <w:rsid w:val="00150045"/>
    <w:rsid w:val="00152DBF"/>
    <w:rsid w:val="00157265"/>
    <w:rsid w:val="00166F6C"/>
    <w:rsid w:val="001747F6"/>
    <w:rsid w:val="0018359E"/>
    <w:rsid w:val="0018619A"/>
    <w:rsid w:val="001870A7"/>
    <w:rsid w:val="00197350"/>
    <w:rsid w:val="001A2BAA"/>
    <w:rsid w:val="001B11C0"/>
    <w:rsid w:val="001B3486"/>
    <w:rsid w:val="001B7914"/>
    <w:rsid w:val="001C0FAA"/>
    <w:rsid w:val="001C24F1"/>
    <w:rsid w:val="001C4425"/>
    <w:rsid w:val="001C466F"/>
    <w:rsid w:val="001C5C33"/>
    <w:rsid w:val="001D0A39"/>
    <w:rsid w:val="001D26C2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248E"/>
    <w:rsid w:val="00214230"/>
    <w:rsid w:val="0021484C"/>
    <w:rsid w:val="0022056B"/>
    <w:rsid w:val="0022319D"/>
    <w:rsid w:val="00225F45"/>
    <w:rsid w:val="0022764E"/>
    <w:rsid w:val="00240124"/>
    <w:rsid w:val="00240C97"/>
    <w:rsid w:val="0024525F"/>
    <w:rsid w:val="002522F1"/>
    <w:rsid w:val="002602F5"/>
    <w:rsid w:val="002611AE"/>
    <w:rsid w:val="0026180A"/>
    <w:rsid w:val="00264E39"/>
    <w:rsid w:val="00270724"/>
    <w:rsid w:val="00271371"/>
    <w:rsid w:val="00273052"/>
    <w:rsid w:val="0027402D"/>
    <w:rsid w:val="002751D4"/>
    <w:rsid w:val="00277088"/>
    <w:rsid w:val="00277AE9"/>
    <w:rsid w:val="002866DE"/>
    <w:rsid w:val="00287D15"/>
    <w:rsid w:val="00290D47"/>
    <w:rsid w:val="00292177"/>
    <w:rsid w:val="002A00C8"/>
    <w:rsid w:val="002A0538"/>
    <w:rsid w:val="002A3B0E"/>
    <w:rsid w:val="002B3674"/>
    <w:rsid w:val="002B4D45"/>
    <w:rsid w:val="002B6B78"/>
    <w:rsid w:val="002B6D25"/>
    <w:rsid w:val="002B78E0"/>
    <w:rsid w:val="002C06D4"/>
    <w:rsid w:val="002C728F"/>
    <w:rsid w:val="002C7AB8"/>
    <w:rsid w:val="002C7D4D"/>
    <w:rsid w:val="002C7DD0"/>
    <w:rsid w:val="002D5E55"/>
    <w:rsid w:val="002E21EC"/>
    <w:rsid w:val="002F042B"/>
    <w:rsid w:val="002F34ED"/>
    <w:rsid w:val="002F602F"/>
    <w:rsid w:val="00300E07"/>
    <w:rsid w:val="00300EE3"/>
    <w:rsid w:val="00302136"/>
    <w:rsid w:val="00313246"/>
    <w:rsid w:val="00321642"/>
    <w:rsid w:val="003231ED"/>
    <w:rsid w:val="00323596"/>
    <w:rsid w:val="00327A74"/>
    <w:rsid w:val="00341BB5"/>
    <w:rsid w:val="00343614"/>
    <w:rsid w:val="0035153B"/>
    <w:rsid w:val="003524A6"/>
    <w:rsid w:val="003548F7"/>
    <w:rsid w:val="00366C2D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2A4"/>
    <w:rsid w:val="00395B14"/>
    <w:rsid w:val="00395D13"/>
    <w:rsid w:val="00397F34"/>
    <w:rsid w:val="003B12B2"/>
    <w:rsid w:val="003B46BE"/>
    <w:rsid w:val="003C46F9"/>
    <w:rsid w:val="003C5699"/>
    <w:rsid w:val="003D04DD"/>
    <w:rsid w:val="003D52BC"/>
    <w:rsid w:val="003F021A"/>
    <w:rsid w:val="003F128A"/>
    <w:rsid w:val="003F2AC8"/>
    <w:rsid w:val="0040329D"/>
    <w:rsid w:val="0041082C"/>
    <w:rsid w:val="0041484F"/>
    <w:rsid w:val="004173F3"/>
    <w:rsid w:val="00422530"/>
    <w:rsid w:val="00423D50"/>
    <w:rsid w:val="0043276D"/>
    <w:rsid w:val="004330EA"/>
    <w:rsid w:val="00434DC6"/>
    <w:rsid w:val="004413FF"/>
    <w:rsid w:val="00442ABF"/>
    <w:rsid w:val="004451FE"/>
    <w:rsid w:val="0044615E"/>
    <w:rsid w:val="00453087"/>
    <w:rsid w:val="004558B2"/>
    <w:rsid w:val="00455A38"/>
    <w:rsid w:val="0045621A"/>
    <w:rsid w:val="00456DFB"/>
    <w:rsid w:val="00465939"/>
    <w:rsid w:val="0047029F"/>
    <w:rsid w:val="00470451"/>
    <w:rsid w:val="004729CE"/>
    <w:rsid w:val="00474131"/>
    <w:rsid w:val="00480021"/>
    <w:rsid w:val="0048183A"/>
    <w:rsid w:val="00491483"/>
    <w:rsid w:val="004919C2"/>
    <w:rsid w:val="004924CA"/>
    <w:rsid w:val="00494C89"/>
    <w:rsid w:val="004A4AFB"/>
    <w:rsid w:val="004A534C"/>
    <w:rsid w:val="004A58E3"/>
    <w:rsid w:val="004A5F09"/>
    <w:rsid w:val="004B1A68"/>
    <w:rsid w:val="004B70D1"/>
    <w:rsid w:val="004C2BCD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1315"/>
    <w:rsid w:val="00512892"/>
    <w:rsid w:val="00513B1F"/>
    <w:rsid w:val="0051486A"/>
    <w:rsid w:val="005149CD"/>
    <w:rsid w:val="00516455"/>
    <w:rsid w:val="00517847"/>
    <w:rsid w:val="0052546E"/>
    <w:rsid w:val="0052584F"/>
    <w:rsid w:val="00530B9E"/>
    <w:rsid w:val="005312FD"/>
    <w:rsid w:val="00531B64"/>
    <w:rsid w:val="005364B4"/>
    <w:rsid w:val="00544934"/>
    <w:rsid w:val="00557A68"/>
    <w:rsid w:val="00561175"/>
    <w:rsid w:val="0056266C"/>
    <w:rsid w:val="005648EE"/>
    <w:rsid w:val="00571C3C"/>
    <w:rsid w:val="00574BC2"/>
    <w:rsid w:val="005763C5"/>
    <w:rsid w:val="00581D24"/>
    <w:rsid w:val="0058459E"/>
    <w:rsid w:val="00586D4D"/>
    <w:rsid w:val="00592EF7"/>
    <w:rsid w:val="00593D34"/>
    <w:rsid w:val="005943ED"/>
    <w:rsid w:val="005A011E"/>
    <w:rsid w:val="005A3531"/>
    <w:rsid w:val="005A3DDE"/>
    <w:rsid w:val="005A788E"/>
    <w:rsid w:val="005B0A26"/>
    <w:rsid w:val="005B2677"/>
    <w:rsid w:val="005C3F73"/>
    <w:rsid w:val="005C498A"/>
    <w:rsid w:val="005C5BB7"/>
    <w:rsid w:val="005D1A2C"/>
    <w:rsid w:val="005D7D04"/>
    <w:rsid w:val="005E0909"/>
    <w:rsid w:val="005F3818"/>
    <w:rsid w:val="005F3E3D"/>
    <w:rsid w:val="00602ABB"/>
    <w:rsid w:val="00602F0C"/>
    <w:rsid w:val="00603723"/>
    <w:rsid w:val="00610E45"/>
    <w:rsid w:val="0062171A"/>
    <w:rsid w:val="00627BFA"/>
    <w:rsid w:val="0063408F"/>
    <w:rsid w:val="00642A07"/>
    <w:rsid w:val="00643529"/>
    <w:rsid w:val="00643CB4"/>
    <w:rsid w:val="00644BE4"/>
    <w:rsid w:val="006655BD"/>
    <w:rsid w:val="0067570F"/>
    <w:rsid w:val="00681108"/>
    <w:rsid w:val="00690C97"/>
    <w:rsid w:val="0069441B"/>
    <w:rsid w:val="00696611"/>
    <w:rsid w:val="006A1E15"/>
    <w:rsid w:val="006A1E66"/>
    <w:rsid w:val="006A54BA"/>
    <w:rsid w:val="006A66EB"/>
    <w:rsid w:val="006B0392"/>
    <w:rsid w:val="006B2726"/>
    <w:rsid w:val="006B4271"/>
    <w:rsid w:val="006C04CF"/>
    <w:rsid w:val="006C2C3D"/>
    <w:rsid w:val="006C4871"/>
    <w:rsid w:val="006C59B5"/>
    <w:rsid w:val="006C66F1"/>
    <w:rsid w:val="006C700F"/>
    <w:rsid w:val="006D0881"/>
    <w:rsid w:val="006D3867"/>
    <w:rsid w:val="006E45F8"/>
    <w:rsid w:val="006E5F78"/>
    <w:rsid w:val="006E759F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10D9"/>
    <w:rsid w:val="007638BD"/>
    <w:rsid w:val="00765BF8"/>
    <w:rsid w:val="00767D3F"/>
    <w:rsid w:val="00774306"/>
    <w:rsid w:val="00782236"/>
    <w:rsid w:val="00782B80"/>
    <w:rsid w:val="00786EF4"/>
    <w:rsid w:val="00790560"/>
    <w:rsid w:val="00791092"/>
    <w:rsid w:val="007913EE"/>
    <w:rsid w:val="00792C7B"/>
    <w:rsid w:val="007A0AE5"/>
    <w:rsid w:val="007A2BE7"/>
    <w:rsid w:val="007B0117"/>
    <w:rsid w:val="007B1174"/>
    <w:rsid w:val="007B39B9"/>
    <w:rsid w:val="007B7FC8"/>
    <w:rsid w:val="007D67A3"/>
    <w:rsid w:val="007D7E92"/>
    <w:rsid w:val="007E0286"/>
    <w:rsid w:val="007F197C"/>
    <w:rsid w:val="007F1BD2"/>
    <w:rsid w:val="007F1D57"/>
    <w:rsid w:val="007F7E59"/>
    <w:rsid w:val="0080065B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84DCD"/>
    <w:rsid w:val="008935BD"/>
    <w:rsid w:val="008936DF"/>
    <w:rsid w:val="008A0509"/>
    <w:rsid w:val="008A1C40"/>
    <w:rsid w:val="008B61E3"/>
    <w:rsid w:val="008C0441"/>
    <w:rsid w:val="008C474C"/>
    <w:rsid w:val="008C56D8"/>
    <w:rsid w:val="008D6221"/>
    <w:rsid w:val="008E036C"/>
    <w:rsid w:val="008E26F2"/>
    <w:rsid w:val="008E3579"/>
    <w:rsid w:val="008E79C0"/>
    <w:rsid w:val="008F1529"/>
    <w:rsid w:val="00903AC3"/>
    <w:rsid w:val="009228DF"/>
    <w:rsid w:val="00925712"/>
    <w:rsid w:val="009262CC"/>
    <w:rsid w:val="00926EA9"/>
    <w:rsid w:val="00930F98"/>
    <w:rsid w:val="00933E50"/>
    <w:rsid w:val="00934193"/>
    <w:rsid w:val="00934F6E"/>
    <w:rsid w:val="00937A0B"/>
    <w:rsid w:val="0094233D"/>
    <w:rsid w:val="00945AA9"/>
    <w:rsid w:val="009474C0"/>
    <w:rsid w:val="00950ACA"/>
    <w:rsid w:val="00957F22"/>
    <w:rsid w:val="00961F15"/>
    <w:rsid w:val="00962FE4"/>
    <w:rsid w:val="009665AC"/>
    <w:rsid w:val="00970FF4"/>
    <w:rsid w:val="00990B18"/>
    <w:rsid w:val="009A065B"/>
    <w:rsid w:val="009A4F0C"/>
    <w:rsid w:val="009B2208"/>
    <w:rsid w:val="009B7F1B"/>
    <w:rsid w:val="009C09A6"/>
    <w:rsid w:val="009C6632"/>
    <w:rsid w:val="009C791D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176E"/>
    <w:rsid w:val="00A03212"/>
    <w:rsid w:val="00A12BD5"/>
    <w:rsid w:val="00A165DD"/>
    <w:rsid w:val="00A16867"/>
    <w:rsid w:val="00A17909"/>
    <w:rsid w:val="00A2173F"/>
    <w:rsid w:val="00A244C7"/>
    <w:rsid w:val="00A26654"/>
    <w:rsid w:val="00A26ED3"/>
    <w:rsid w:val="00A3105B"/>
    <w:rsid w:val="00A34F95"/>
    <w:rsid w:val="00A411DC"/>
    <w:rsid w:val="00A43269"/>
    <w:rsid w:val="00A44C60"/>
    <w:rsid w:val="00A5096A"/>
    <w:rsid w:val="00A56BCD"/>
    <w:rsid w:val="00A57D44"/>
    <w:rsid w:val="00A60012"/>
    <w:rsid w:val="00A66407"/>
    <w:rsid w:val="00A77604"/>
    <w:rsid w:val="00A800A3"/>
    <w:rsid w:val="00A8495F"/>
    <w:rsid w:val="00A917E0"/>
    <w:rsid w:val="00A94C01"/>
    <w:rsid w:val="00A9601F"/>
    <w:rsid w:val="00AA410E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4E"/>
    <w:rsid w:val="00B06F8B"/>
    <w:rsid w:val="00B134EA"/>
    <w:rsid w:val="00B15880"/>
    <w:rsid w:val="00B15FE8"/>
    <w:rsid w:val="00B1673D"/>
    <w:rsid w:val="00B174CC"/>
    <w:rsid w:val="00B20B5E"/>
    <w:rsid w:val="00B22185"/>
    <w:rsid w:val="00B250ED"/>
    <w:rsid w:val="00B25C26"/>
    <w:rsid w:val="00B261BA"/>
    <w:rsid w:val="00B3064A"/>
    <w:rsid w:val="00B3473A"/>
    <w:rsid w:val="00B34ED2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4983"/>
    <w:rsid w:val="00B77D59"/>
    <w:rsid w:val="00B800CB"/>
    <w:rsid w:val="00B8074B"/>
    <w:rsid w:val="00B80CF2"/>
    <w:rsid w:val="00B8101A"/>
    <w:rsid w:val="00B83463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766"/>
    <w:rsid w:val="00C06F2F"/>
    <w:rsid w:val="00C07885"/>
    <w:rsid w:val="00C136F8"/>
    <w:rsid w:val="00C146F6"/>
    <w:rsid w:val="00C1563C"/>
    <w:rsid w:val="00C17469"/>
    <w:rsid w:val="00C17F0D"/>
    <w:rsid w:val="00C20799"/>
    <w:rsid w:val="00C22FB8"/>
    <w:rsid w:val="00C31F64"/>
    <w:rsid w:val="00C42C21"/>
    <w:rsid w:val="00C43AC5"/>
    <w:rsid w:val="00C522BD"/>
    <w:rsid w:val="00C63F2A"/>
    <w:rsid w:val="00C64F11"/>
    <w:rsid w:val="00C65B92"/>
    <w:rsid w:val="00C71AE3"/>
    <w:rsid w:val="00C72FB8"/>
    <w:rsid w:val="00C80D10"/>
    <w:rsid w:val="00C907C0"/>
    <w:rsid w:val="00C93837"/>
    <w:rsid w:val="00CA165E"/>
    <w:rsid w:val="00CA398B"/>
    <w:rsid w:val="00CC050F"/>
    <w:rsid w:val="00CC4CB1"/>
    <w:rsid w:val="00CD36BC"/>
    <w:rsid w:val="00CD6E8D"/>
    <w:rsid w:val="00CD724F"/>
    <w:rsid w:val="00CE188C"/>
    <w:rsid w:val="00CE79CA"/>
    <w:rsid w:val="00CF148C"/>
    <w:rsid w:val="00D00D53"/>
    <w:rsid w:val="00D02170"/>
    <w:rsid w:val="00D03058"/>
    <w:rsid w:val="00D04AEF"/>
    <w:rsid w:val="00D0775C"/>
    <w:rsid w:val="00D11D8B"/>
    <w:rsid w:val="00D144FA"/>
    <w:rsid w:val="00D21043"/>
    <w:rsid w:val="00D265EF"/>
    <w:rsid w:val="00D2761D"/>
    <w:rsid w:val="00D463F1"/>
    <w:rsid w:val="00D52479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1E8F"/>
    <w:rsid w:val="00D946B0"/>
    <w:rsid w:val="00DA2679"/>
    <w:rsid w:val="00DA3039"/>
    <w:rsid w:val="00DA5C6D"/>
    <w:rsid w:val="00DA6B88"/>
    <w:rsid w:val="00DA73B6"/>
    <w:rsid w:val="00DB127D"/>
    <w:rsid w:val="00DD0F4F"/>
    <w:rsid w:val="00DD366A"/>
    <w:rsid w:val="00DD62AD"/>
    <w:rsid w:val="00DD7153"/>
    <w:rsid w:val="00DF32C1"/>
    <w:rsid w:val="00DF4F58"/>
    <w:rsid w:val="00DF6579"/>
    <w:rsid w:val="00E04069"/>
    <w:rsid w:val="00E11F2F"/>
    <w:rsid w:val="00E13A3A"/>
    <w:rsid w:val="00E14CD2"/>
    <w:rsid w:val="00E301AE"/>
    <w:rsid w:val="00E306FD"/>
    <w:rsid w:val="00E315BC"/>
    <w:rsid w:val="00E33610"/>
    <w:rsid w:val="00E35139"/>
    <w:rsid w:val="00E4123B"/>
    <w:rsid w:val="00E44555"/>
    <w:rsid w:val="00E4526A"/>
    <w:rsid w:val="00E50608"/>
    <w:rsid w:val="00E5165B"/>
    <w:rsid w:val="00E52ABA"/>
    <w:rsid w:val="00E5314F"/>
    <w:rsid w:val="00E6208F"/>
    <w:rsid w:val="00E653E3"/>
    <w:rsid w:val="00E66AEE"/>
    <w:rsid w:val="00E70FF5"/>
    <w:rsid w:val="00E736A7"/>
    <w:rsid w:val="00E76DA9"/>
    <w:rsid w:val="00E8736F"/>
    <w:rsid w:val="00E87C26"/>
    <w:rsid w:val="00E91378"/>
    <w:rsid w:val="00EA2361"/>
    <w:rsid w:val="00EB11D4"/>
    <w:rsid w:val="00EB2001"/>
    <w:rsid w:val="00EB2886"/>
    <w:rsid w:val="00EB398E"/>
    <w:rsid w:val="00EB7D3C"/>
    <w:rsid w:val="00EC4096"/>
    <w:rsid w:val="00EC429C"/>
    <w:rsid w:val="00EC6A51"/>
    <w:rsid w:val="00ED0199"/>
    <w:rsid w:val="00ED05AC"/>
    <w:rsid w:val="00ED10E2"/>
    <w:rsid w:val="00EE4050"/>
    <w:rsid w:val="00EE4149"/>
    <w:rsid w:val="00F030A0"/>
    <w:rsid w:val="00F04867"/>
    <w:rsid w:val="00F04E3E"/>
    <w:rsid w:val="00F10771"/>
    <w:rsid w:val="00F205E5"/>
    <w:rsid w:val="00F238B5"/>
    <w:rsid w:val="00F512A3"/>
    <w:rsid w:val="00F51AB4"/>
    <w:rsid w:val="00F523A8"/>
    <w:rsid w:val="00F53FBA"/>
    <w:rsid w:val="00F54723"/>
    <w:rsid w:val="00F55179"/>
    <w:rsid w:val="00F57359"/>
    <w:rsid w:val="00F57AF5"/>
    <w:rsid w:val="00F60A86"/>
    <w:rsid w:val="00F62B87"/>
    <w:rsid w:val="00F65208"/>
    <w:rsid w:val="00F67BE6"/>
    <w:rsid w:val="00F702E1"/>
    <w:rsid w:val="00F70EE0"/>
    <w:rsid w:val="00F744F2"/>
    <w:rsid w:val="00F81DA3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  <w:rsid w:val="00FF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0F1E4"/>
  <w15:chartTrackingRefBased/>
  <w15:docId w15:val="{CE1E08B7-D94E-485E-A074-C55B0DAD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1DA3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F81DA3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81DA3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81DA3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81DA3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81DA3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81DA3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81DA3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81DA3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81DA3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81DA3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81DA3"/>
  </w:style>
  <w:style w:type="table" w:customStyle="1" w:styleId="tblzat-mtrix">
    <w:name w:val="táblázat - mátrix"/>
    <w:basedOn w:val="Normltblzat"/>
    <w:uiPriority w:val="2"/>
    <w:qFormat/>
    <w:rsid w:val="00F81DA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81DA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81DA3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F81DA3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81DA3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81DA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1DA3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81DA3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1DA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81DA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81DA3"/>
  </w:style>
  <w:style w:type="paragraph" w:styleId="llb">
    <w:name w:val="footer"/>
    <w:basedOn w:val="Norml"/>
    <w:link w:val="llbChar"/>
    <w:uiPriority w:val="99"/>
    <w:unhideWhenUsed/>
    <w:rsid w:val="00F81DA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81DA3"/>
  </w:style>
  <w:style w:type="paragraph" w:customStyle="1" w:styleId="Szmozs">
    <w:name w:val="Számozás"/>
    <w:basedOn w:val="Norml"/>
    <w:uiPriority w:val="4"/>
    <w:qFormat/>
    <w:rsid w:val="00F81DA3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81DA3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81DA3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81DA3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81DA3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F81DA3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81DA3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81DA3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81DA3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81DA3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81DA3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81DA3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81DA3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81DA3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81DA3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81DA3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81DA3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81DA3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81DA3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81DA3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81DA3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81DA3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81DA3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81DA3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81DA3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81DA3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81DA3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81DA3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81DA3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81DA3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F81DA3"/>
  </w:style>
  <w:style w:type="character" w:styleId="Finomhivatkozs">
    <w:name w:val="Subtle Reference"/>
    <w:basedOn w:val="Bekezdsalapbettpusa"/>
    <w:uiPriority w:val="31"/>
    <w:rsid w:val="00F81DA3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81DA3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81DA3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81DA3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81DA3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81DA3"/>
  </w:style>
  <w:style w:type="paragraph" w:styleId="Alcm">
    <w:name w:val="Subtitle"/>
    <w:basedOn w:val="Norml"/>
    <w:next w:val="Norml"/>
    <w:link w:val="AlcmChar"/>
    <w:uiPriority w:val="11"/>
    <w:rsid w:val="00F81DA3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81DA3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81DA3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81DA3"/>
  </w:style>
  <w:style w:type="paragraph" w:customStyle="1" w:styleId="Erskiemels1">
    <w:name w:val="Erős kiemelés1"/>
    <w:basedOn w:val="Norml"/>
    <w:link w:val="ErskiemelsChar"/>
    <w:uiPriority w:val="5"/>
    <w:qFormat/>
    <w:rsid w:val="00F81DA3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81DA3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F81DA3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81DA3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81DA3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81DA3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81DA3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81DA3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81DA3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81DA3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81DA3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81DA3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81DA3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81DA3"/>
  </w:style>
  <w:style w:type="character" w:styleId="Kiemels2">
    <w:name w:val="Strong"/>
    <w:basedOn w:val="Bekezdsalapbettpusa"/>
    <w:uiPriority w:val="22"/>
    <w:rsid w:val="00F81DA3"/>
    <w:rPr>
      <w:b/>
      <w:bCs/>
    </w:rPr>
  </w:style>
  <w:style w:type="character" w:styleId="Kiemels">
    <w:name w:val="Emphasis"/>
    <w:basedOn w:val="Bekezdsalapbettpusa"/>
    <w:uiPriority w:val="6"/>
    <w:qFormat/>
    <w:rsid w:val="00F81DA3"/>
    <w:rPr>
      <w:i/>
      <w:iCs/>
    </w:rPr>
  </w:style>
  <w:style w:type="paragraph" w:styleId="Nincstrkz">
    <w:name w:val="No Spacing"/>
    <w:basedOn w:val="Norml"/>
    <w:uiPriority w:val="1"/>
    <w:rsid w:val="00F81DA3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81DA3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81DA3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81DA3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81DA3"/>
    <w:rPr>
      <w:b/>
      <w:i/>
    </w:rPr>
  </w:style>
  <w:style w:type="character" w:styleId="Erskiemels">
    <w:name w:val="Intense Emphasis"/>
    <w:basedOn w:val="Bekezdsalapbettpusa"/>
    <w:uiPriority w:val="21"/>
    <w:rsid w:val="00F81DA3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81DA3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81DA3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81DA3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F81DA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81DA3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81DA3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81DA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81DA3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81DA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F81DA3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81DA3"/>
  </w:style>
  <w:style w:type="paragraph" w:customStyle="1" w:styleId="ENNormalBox">
    <w:name w:val="EN_Normal_Box"/>
    <w:basedOn w:val="Norml"/>
    <w:uiPriority w:val="1"/>
    <w:qFormat/>
    <w:rsid w:val="00F81DA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81DA3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81DA3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81DA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81DA3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81DA3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81DA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81DA3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81DA3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81DA3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81DA3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81DA3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81DA3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81DA3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F81DA3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81DA3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81DA3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81DA3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81DA3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81DA3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81DA3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81DA3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81DA3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81DA3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F81DA3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6A1E15"/>
    <w:rPr>
      <w:b/>
      <w:i/>
    </w:rPr>
  </w:style>
  <w:style w:type="paragraph" w:styleId="Vltozat">
    <w:name w:val="Revision"/>
    <w:hidden/>
    <w:uiPriority w:val="99"/>
    <w:semiHidden/>
    <w:rsid w:val="006A1E15"/>
  </w:style>
  <w:style w:type="character" w:styleId="Jegyzethivatkozs">
    <w:name w:val="annotation reference"/>
    <w:basedOn w:val="Bekezdsalapbettpusa"/>
    <w:uiPriority w:val="99"/>
    <w:semiHidden/>
    <w:unhideWhenUsed/>
    <w:rsid w:val="0012716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7163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27163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71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7163"/>
    <w:rPr>
      <w:b/>
      <w:bCs/>
    </w:rPr>
  </w:style>
  <w:style w:type="paragraph" w:customStyle="1" w:styleId="Erskiemels3">
    <w:name w:val="Erős kiemelés3"/>
    <w:basedOn w:val="Norml"/>
    <w:uiPriority w:val="5"/>
    <w:qFormat/>
    <w:rsid w:val="004C2BCD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1248E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5444D"/>
    <w:rPr>
      <w:b/>
      <w:i/>
    </w:rPr>
  </w:style>
  <w:style w:type="paragraph" w:customStyle="1" w:styleId="Erskiemels6">
    <w:name w:val="Erős kiemelés6"/>
    <w:basedOn w:val="Norml"/>
    <w:uiPriority w:val="5"/>
    <w:qFormat/>
    <w:rsid w:val="009C791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5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7-138-00-0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njt.hu/jogszabaly/2021-54-20-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07-138-00-0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2252</Words>
  <Characters>16418</Characters>
  <Application>Microsoft Office Word</Application>
  <DocSecurity>0</DocSecurity>
  <Lines>136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Pál Dr.</dc:creator>
  <cp:keywords/>
  <dc:description/>
  <cp:lastModifiedBy>MNB</cp:lastModifiedBy>
  <cp:revision>7</cp:revision>
  <cp:lastPrinted>2024-07-23T12:05:00Z</cp:lastPrinted>
  <dcterms:created xsi:type="dcterms:W3CDTF">2025-11-03T14:37:00Z</dcterms:created>
  <dcterms:modified xsi:type="dcterms:W3CDTF">2025-11-10T08:13:00Z</dcterms:modified>
</cp:coreProperties>
</file>