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BC17" w14:textId="15605D1F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bookmarkStart w:id="0" w:name="_Hlk168561850"/>
      <w:r w:rsidR="00B15EAA" w:rsidRPr="005A47CF">
        <w:rPr>
          <w:rFonts w:cs="Arial"/>
          <w:szCs w:val="20"/>
        </w:rPr>
        <w:t xml:space="preserve">melléklet </w:t>
      </w:r>
      <w:r w:rsidR="00B15EAA">
        <w:rPr>
          <w:rFonts w:cs="Arial"/>
          <w:szCs w:val="20"/>
        </w:rPr>
        <w:t xml:space="preserve">a </w:t>
      </w:r>
      <w:r w:rsidR="00B15EAA" w:rsidRPr="00CF78E3">
        <w:rPr>
          <w:rFonts w:cs="Arial"/>
          <w:szCs w:val="20"/>
        </w:rPr>
        <w:t>.../2024. (... ...) MNB rendelethez</w:t>
      </w:r>
      <w:bookmarkEnd w:id="0"/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proofErr w:type="spellStart"/>
      <w:r>
        <w:rPr>
          <w:rFonts w:ascii="Arial" w:hAnsi="Arial" w:cs="Arial"/>
          <w:sz w:val="20"/>
          <w:szCs w:val="20"/>
        </w:rPr>
        <w:t>IFR</w:t>
      </w:r>
      <w:proofErr w:type="spellEnd"/>
      <w:r>
        <w:rPr>
          <w:rFonts w:ascii="Arial" w:hAnsi="Arial" w:cs="Arial"/>
          <w:sz w:val="20"/>
          <w:szCs w:val="20"/>
        </w:rPr>
        <w:t>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b</w:t>
      </w:r>
      <w:r w:rsidRPr="00CC503B">
        <w:rPr>
          <w:rFonts w:cs="Arial"/>
          <w:szCs w:val="20"/>
        </w:rPr>
        <w:t>a</w:t>
      </w:r>
      <w:proofErr w:type="spellEnd"/>
      <w:r w:rsidRPr="00CC503B">
        <w:rPr>
          <w:rFonts w:cs="Arial"/>
          <w:szCs w:val="20"/>
        </w:rPr>
        <w:t>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</w:t>
      </w:r>
      <w:proofErr w:type="spellStart"/>
      <w:r w:rsidRPr="00CC503B">
        <w:rPr>
          <w:rFonts w:cs="Arial"/>
          <w:szCs w:val="20"/>
        </w:rPr>
        <w:t>IFR</w:t>
      </w:r>
      <w:proofErr w:type="spellEnd"/>
      <w:r w:rsidRPr="00CC503B">
        <w:rPr>
          <w:rFonts w:cs="Arial"/>
          <w:szCs w:val="20"/>
        </w:rPr>
        <w:t xml:space="preserve">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azonosított munkavállalónak a </w:t>
      </w:r>
      <w:proofErr w:type="spellStart"/>
      <w:r>
        <w:rPr>
          <w:rFonts w:cs="Arial"/>
          <w:szCs w:val="20"/>
        </w:rPr>
        <w:t>bb</w:t>
      </w:r>
      <w:proofErr w:type="spellEnd"/>
      <w:r>
        <w:rPr>
          <w:rFonts w:cs="Arial"/>
          <w:szCs w:val="20"/>
        </w:rPr>
        <w:t>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prudenciális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 xml:space="preserve">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bb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 xml:space="preserve">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4. § (2) bekezdés 82. pontjában meghatározott fogalom.</w:t>
      </w:r>
    </w:p>
    <w:p w14:paraId="042560C7" w14:textId="5E303709" w:rsidR="004727AD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g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4727AD" w:rsidRPr="001412D1">
        <w:rPr>
          <w:rFonts w:cs="Arial"/>
          <w:i/>
          <w:szCs w:val="20"/>
        </w:rPr>
        <w:t>Tárgyévi halasztott teljesítményjavadalmazás</w:t>
      </w:r>
      <w:r w:rsidR="004727AD" w:rsidRPr="00D45813">
        <w:rPr>
          <w:rFonts w:cs="Arial"/>
          <w:iCs/>
          <w:szCs w:val="20"/>
        </w:rPr>
        <w:t>: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 xml:space="preserve">a tárgyévi </w:t>
      </w:r>
      <w:r w:rsidR="004727AD" w:rsidRPr="00752B23">
        <w:rPr>
          <w:rFonts w:cs="Arial"/>
          <w:iCs/>
          <w:szCs w:val="20"/>
        </w:rPr>
        <w:t xml:space="preserve">javadalmazás </w:t>
      </w:r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 xml:space="preserve">) pont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b</w:t>
      </w:r>
      <w:proofErr w:type="spellEnd"/>
      <w:r w:rsidR="004727AD" w:rsidRPr="00752B23">
        <w:rPr>
          <w:rFonts w:cs="Arial"/>
          <w:iCs/>
          <w:szCs w:val="20"/>
        </w:rPr>
        <w:t xml:space="preserve">) és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c</w:t>
      </w:r>
      <w:proofErr w:type="spellEnd"/>
      <w:r w:rsidR="004727AD" w:rsidRPr="00752B23">
        <w:rPr>
          <w:rFonts w:cs="Arial"/>
          <w:iCs/>
          <w:szCs w:val="20"/>
        </w:rPr>
        <w:t>)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>alpontja szerinti eleme.</w:t>
      </w:r>
    </w:p>
    <w:p w14:paraId="1EA8BBA1" w14:textId="7ABC43AF" w:rsidR="00D45813" w:rsidRPr="001412D1" w:rsidRDefault="00C64343" w:rsidP="004727AD">
      <w:pPr>
        <w:spacing w:after="120"/>
        <w:jc w:val="both"/>
        <w:rPr>
          <w:rFonts w:cs="Arial"/>
          <w:i/>
          <w:iCs/>
          <w:szCs w:val="20"/>
        </w:rPr>
      </w:pPr>
      <w:r>
        <w:rPr>
          <w:rFonts w:cs="Arial"/>
          <w:iCs/>
          <w:szCs w:val="20"/>
        </w:rPr>
        <w:t>h</w:t>
      </w:r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23BA8D85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a)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4D82559C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b</w:t>
      </w:r>
      <w:proofErr w:type="spellEnd"/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56D02433" w:rsid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1412D1">
        <w:rPr>
          <w:rFonts w:cs="Arial"/>
          <w:szCs w:val="20"/>
        </w:rPr>
        <w:t>c</w:t>
      </w:r>
      <w:proofErr w:type="spellEnd"/>
      <w:r w:rsidR="00D45813" w:rsidRPr="001412D1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 xml:space="preserve">a tárgyévet megelőző üzleti év, illetve évek teljesítményéért a tárgyévre </w:t>
      </w:r>
      <w:proofErr w:type="gramStart"/>
      <w:r w:rsidR="00D45813" w:rsidRPr="00D45813">
        <w:rPr>
          <w:rFonts w:cs="Arial"/>
          <w:szCs w:val="20"/>
        </w:rPr>
        <w:t>halasztott,</w:t>
      </w:r>
      <w:proofErr w:type="gramEnd"/>
      <w:r w:rsidR="00D45813" w:rsidRPr="00D45813">
        <w:rPr>
          <w:rFonts w:cs="Arial"/>
          <w:szCs w:val="20"/>
        </w:rPr>
        <w:t xml:space="preserve">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D45813">
        <w:rPr>
          <w:rFonts w:cs="Arial"/>
          <w:i/>
          <w:iCs/>
          <w:szCs w:val="20"/>
        </w:rPr>
        <w:t xml:space="preserve">b)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65D16633" w14:textId="0A09A95F" w:rsidR="00D45813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i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 xml:space="preserve">a </w:t>
      </w:r>
      <w:proofErr w:type="spellStart"/>
      <w:r w:rsidR="00D45813" w:rsidRPr="001412D1">
        <w:rPr>
          <w:rFonts w:cs="Arial"/>
          <w:iCs/>
          <w:szCs w:val="20"/>
        </w:rPr>
        <w:t>Bszt</w:t>
      </w:r>
      <w:proofErr w:type="spellEnd"/>
      <w:r w:rsidR="00D45813" w:rsidRPr="001412D1">
        <w:rPr>
          <w:rFonts w:cs="Arial"/>
          <w:iCs/>
          <w:szCs w:val="20"/>
        </w:rPr>
        <w:t>. 4. § (2) bekezdés 83. pontjában meghatározott fogalom.</w:t>
      </w:r>
    </w:p>
    <w:p w14:paraId="42B09808" w14:textId="0C15B210" w:rsidR="00D45813" w:rsidRPr="001412D1" w:rsidRDefault="00D45813" w:rsidP="004727AD">
      <w:pPr>
        <w:spacing w:after="120"/>
        <w:jc w:val="both"/>
        <w:rPr>
          <w:rFonts w:cs="Arial"/>
          <w:iCs/>
          <w:szCs w:val="20"/>
        </w:rPr>
      </w:pPr>
      <w:r w:rsidRPr="001412D1">
        <w:rPr>
          <w:rFonts w:cs="Arial"/>
          <w:iCs/>
          <w:szCs w:val="20"/>
        </w:rPr>
        <w:t xml:space="preserve"> </w:t>
      </w:r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23D05140" w:rsidR="00D45813" w:rsidRPr="0034050B" w:rsidRDefault="0034050B" w:rsidP="0034050B">
      <w:pPr>
        <w:rPr>
          <w:rFonts w:cs="Arial"/>
          <w:szCs w:val="20"/>
        </w:rPr>
      </w:pPr>
      <w:r w:rsidRPr="0034050B">
        <w:rPr>
          <w:rFonts w:cs="Arial"/>
          <w:szCs w:val="20"/>
        </w:rPr>
        <w:t>1.3.</w:t>
      </w:r>
      <w:r w:rsidR="00D45813" w:rsidRPr="0034050B">
        <w:rPr>
          <w:rFonts w:cs="Arial"/>
          <w:szCs w:val="20"/>
        </w:rPr>
        <w:t xml:space="preserve">A </w:t>
      </w:r>
      <w:proofErr w:type="spellStart"/>
      <w:r w:rsidR="00D45813" w:rsidRPr="0034050B">
        <w:rPr>
          <w:rFonts w:cs="Arial"/>
          <w:szCs w:val="20"/>
        </w:rPr>
        <w:t>CRR</w:t>
      </w:r>
      <w:proofErr w:type="spellEnd"/>
      <w:r w:rsidR="00D45813" w:rsidRPr="0034050B">
        <w:rPr>
          <w:rFonts w:cs="Arial"/>
          <w:szCs w:val="20"/>
        </w:rPr>
        <w:t xml:space="preserve">-t alkalmazó befektetési vállalkozások </w:t>
      </w:r>
      <w:r w:rsidR="00DD7615" w:rsidRPr="0034050B">
        <w:rPr>
          <w:rFonts w:cs="Arial"/>
          <w:szCs w:val="20"/>
        </w:rPr>
        <w:t>által teljesítendő</w:t>
      </w:r>
      <w:r w:rsidR="00D45813" w:rsidRPr="0034050B">
        <w:rPr>
          <w:rFonts w:cs="Arial"/>
          <w:szCs w:val="20"/>
        </w:rPr>
        <w:t xml:space="preserve"> táblákban és a</w:t>
      </w:r>
      <w:r w:rsidR="00DD7615" w:rsidRPr="0034050B">
        <w:rPr>
          <w:rFonts w:cs="Arial"/>
          <w:szCs w:val="20"/>
        </w:rPr>
        <w:t xml:space="preserve"> kapcsolódó</w:t>
      </w:r>
      <w:r w:rsidR="00D45813" w:rsidRPr="0034050B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</w:t>
      </w:r>
      <w:proofErr w:type="spellStart"/>
      <w:r w:rsidRPr="00630742">
        <w:rPr>
          <w:rFonts w:cs="Arial"/>
          <w:iCs/>
          <w:szCs w:val="20"/>
        </w:rPr>
        <w:t>CRD</w:t>
      </w:r>
      <w:proofErr w:type="spellEnd"/>
      <w:r w:rsidRPr="00630742">
        <w:rPr>
          <w:rFonts w:cs="Arial"/>
          <w:iCs/>
          <w:szCs w:val="20"/>
        </w:rPr>
        <w:t xml:space="preserve">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227D8E">
        <w:rPr>
          <w:rFonts w:cs="Arial"/>
          <w:iCs/>
          <w:szCs w:val="20"/>
        </w:rPr>
        <w:t>ba</w:t>
      </w:r>
      <w:proofErr w:type="spellEnd"/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 a </w:t>
      </w:r>
      <w:proofErr w:type="spellStart"/>
      <w:r w:rsidRPr="009A6F82">
        <w:rPr>
          <w:rFonts w:cs="Arial"/>
          <w:iCs/>
          <w:szCs w:val="20"/>
        </w:rPr>
        <w:t>prudenciális</w:t>
      </w:r>
      <w:proofErr w:type="spellEnd"/>
      <w:r w:rsidRPr="009A6F82">
        <w:rPr>
          <w:rFonts w:cs="Arial"/>
          <w:iCs/>
          <w:szCs w:val="20"/>
        </w:rPr>
        <w:t xml:space="preserve">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60FD5944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630742">
        <w:rPr>
          <w:rFonts w:cs="Arial"/>
          <w:iCs/>
          <w:szCs w:val="20"/>
        </w:rPr>
        <w:t>bb</w:t>
      </w:r>
      <w:proofErr w:type="spellEnd"/>
      <w:r w:rsidRPr="00630742">
        <w:rPr>
          <w:rFonts w:cs="Arial"/>
          <w:iCs/>
          <w:szCs w:val="20"/>
        </w:rPr>
        <w:t>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(</w:t>
      </w:r>
      <w:proofErr w:type="gramStart"/>
      <w:r w:rsidRPr="009A6F82">
        <w:rPr>
          <w:rFonts w:cs="Arial"/>
          <w:iCs/>
          <w:szCs w:val="20"/>
        </w:rPr>
        <w:t>2)</w:t>
      </w:r>
      <w:r>
        <w:rPr>
          <w:rFonts w:cs="Arial"/>
          <w:iCs/>
          <w:szCs w:val="20"/>
        </w:rPr>
        <w:t>–</w:t>
      </w:r>
      <w:proofErr w:type="gramEnd"/>
      <w:r w:rsidRPr="009A6F82">
        <w:rPr>
          <w:rFonts w:cs="Arial"/>
          <w:iCs/>
          <w:szCs w:val="20"/>
        </w:rPr>
        <w:t>(4), (6) és (7)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>
        <w:rPr>
          <w:rFonts w:cs="Arial"/>
          <w:iCs/>
          <w:szCs w:val="20"/>
        </w:rPr>
        <w:t>bc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proofErr w:type="spellStart"/>
      <w:r>
        <w:rPr>
          <w:rFonts w:cs="Arial"/>
          <w:iCs/>
          <w:szCs w:val="20"/>
        </w:rPr>
        <w:t>CRD</w:t>
      </w:r>
      <w:proofErr w:type="spellEnd"/>
      <w:r>
        <w:rPr>
          <w:rFonts w:cs="Arial"/>
          <w:iCs/>
          <w:szCs w:val="20"/>
        </w:rPr>
        <w:t xml:space="preserve">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proofErr w:type="spellStart"/>
      <w:r>
        <w:rPr>
          <w:rFonts w:cs="Arial"/>
          <w:iCs/>
          <w:szCs w:val="20"/>
        </w:rPr>
        <w:t>bd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37D2A8D3" w14:textId="4D2E4CD8" w:rsidR="00D45813" w:rsidRPr="00B3239B" w:rsidRDefault="00C64343" w:rsidP="00D45813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g</w:t>
      </w:r>
      <w:r w:rsidR="00676861"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43035033" w14:textId="6443D235" w:rsidR="00676861" w:rsidRPr="00AA7866" w:rsidRDefault="00C64343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h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676861"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 xml:space="preserve">a tárgyévi </w:t>
      </w:r>
      <w:r w:rsidR="00676861" w:rsidRPr="00752B23">
        <w:rPr>
          <w:rFonts w:ascii="Arial" w:hAnsi="Arial" w:cs="Arial"/>
          <w:sz w:val="20"/>
          <w:szCs w:val="20"/>
        </w:rPr>
        <w:t>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676861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Pr="00752B23">
        <w:rPr>
          <w:rFonts w:ascii="Arial" w:hAnsi="Arial" w:cs="Arial"/>
          <w:iCs/>
          <w:sz w:val="20"/>
          <w:szCs w:val="20"/>
        </w:rPr>
        <w:t>c</w:t>
      </w:r>
      <w:r w:rsidR="00676861" w:rsidRPr="00752B23">
        <w:rPr>
          <w:rFonts w:ascii="Arial" w:hAnsi="Arial" w:cs="Arial"/>
          <w:iCs/>
          <w:sz w:val="20"/>
          <w:szCs w:val="20"/>
        </w:rPr>
        <w:t>)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18E420DC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lang w:val="hu-HU"/>
        </w:rPr>
        <w:t>i</w:t>
      </w:r>
      <w:r w:rsidR="00676861"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02CD5717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ia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1A92C58E" w:rsidR="00D45813" w:rsidRPr="00676861" w:rsidRDefault="00C64343" w:rsidP="00C64343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</w:t>
      </w:r>
      <w:r w:rsidR="00676861">
        <w:rPr>
          <w:rFonts w:cs="Arial"/>
          <w:bCs/>
          <w:szCs w:val="20"/>
        </w:rPr>
        <w:t>b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0BB194E9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lastRenderedPageBreak/>
        <w:t>i</w:t>
      </w:r>
      <w:r w:rsidR="00676861">
        <w:rPr>
          <w:rFonts w:cs="Arial"/>
          <w:bCs/>
          <w:szCs w:val="20"/>
        </w:rPr>
        <w:t>c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2479845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j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D45813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sz w:val="20"/>
          <w:szCs w:val="20"/>
        </w:rPr>
        <w:t xml:space="preserve">b) és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iCs/>
          <w:sz w:val="20"/>
          <w:szCs w:val="20"/>
        </w:rPr>
        <w:t>c)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64D5BF1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k</w:t>
      </w:r>
      <w:r w:rsidR="00676861" w:rsidRPr="00227D8E">
        <w:rPr>
          <w:rFonts w:ascii="Arial" w:hAnsi="Arial" w:cs="Arial"/>
          <w:sz w:val="20"/>
          <w:szCs w:val="20"/>
          <w:lang w:val="hu-HU"/>
        </w:rPr>
        <w:t>)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Teljesítményjavadalmazás: a 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 xml:space="preserve">z </w:t>
      </w:r>
      <w:proofErr w:type="spellStart"/>
      <w:r w:rsidRPr="00154416">
        <w:rPr>
          <w:rFonts w:cs="Arial"/>
          <w:szCs w:val="20"/>
        </w:rPr>
        <w:t>IFR</w:t>
      </w:r>
      <w:proofErr w:type="spellEnd"/>
      <w:r w:rsidRPr="00154416">
        <w:rPr>
          <w:rFonts w:cs="Arial"/>
          <w:szCs w:val="20"/>
        </w:rPr>
        <w:t>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4CBB178B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 xml:space="preserve">számnak megfelelően kell jelenteni (azaz a pénzügyi év során távozott munkatársak nem számítandók bele, míg a pénzügyi év során felvett munkatársak igen, tekintetbe véve a szerződés szerinti munkaidő-beosztásukat).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154416">
        <w:rPr>
          <w:rFonts w:cs="Arial"/>
          <w:szCs w:val="20"/>
        </w:rPr>
        <w:t>ában</w:t>
      </w:r>
      <w:proofErr w:type="spellEnd"/>
      <w:r w:rsidRPr="00154416">
        <w:rPr>
          <w:rFonts w:cs="Arial"/>
          <w:szCs w:val="20"/>
        </w:rPr>
        <w:t xml:space="preserve">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proofErr w:type="spellStart"/>
      <w:r w:rsidR="007055E0" w:rsidRPr="00154416">
        <w:rPr>
          <w:rFonts w:ascii="Arial" w:hAnsi="Arial" w:cs="Arial"/>
          <w:sz w:val="20"/>
          <w:szCs w:val="20"/>
        </w:rPr>
        <w:t>EBA</w:t>
      </w:r>
      <w:proofErr w:type="spellEnd"/>
      <w:r w:rsidR="007055E0" w:rsidRPr="00154416">
        <w:rPr>
          <w:rFonts w:ascii="Arial" w:hAnsi="Arial" w:cs="Arial"/>
          <w:sz w:val="20"/>
          <w:szCs w:val="20"/>
        </w:rPr>
        <w:t xml:space="preserve"> </w:t>
      </w:r>
      <w:r w:rsidRPr="00154416">
        <w:rPr>
          <w:rFonts w:ascii="Arial" w:hAnsi="Arial" w:cs="Arial"/>
          <w:sz w:val="20"/>
          <w:szCs w:val="20"/>
        </w:rPr>
        <w:t>iránymutatás (</w:t>
      </w:r>
      <w:proofErr w:type="spellStart"/>
      <w:r w:rsidRPr="00154416">
        <w:rPr>
          <w:rFonts w:ascii="Arial" w:hAnsi="Arial" w:cs="Arial"/>
          <w:sz w:val="20"/>
          <w:szCs w:val="20"/>
        </w:rPr>
        <w:t>EBA</w:t>
      </w:r>
      <w:proofErr w:type="spellEnd"/>
      <w:r w:rsidRPr="00154416">
        <w:rPr>
          <w:rFonts w:ascii="Arial" w:hAnsi="Arial" w:cs="Arial"/>
          <w:sz w:val="20"/>
          <w:szCs w:val="20"/>
        </w:rPr>
        <w:t>/</w:t>
      </w:r>
      <w:proofErr w:type="spellStart"/>
      <w:r w:rsidRPr="00154416">
        <w:rPr>
          <w:rFonts w:ascii="Arial" w:hAnsi="Arial" w:cs="Arial"/>
          <w:sz w:val="20"/>
          <w:szCs w:val="20"/>
        </w:rPr>
        <w:t>GL</w:t>
      </w:r>
      <w:proofErr w:type="spellEnd"/>
      <w:r w:rsidRPr="00154416">
        <w:rPr>
          <w:rFonts w:ascii="Arial" w:hAnsi="Arial" w:cs="Arial"/>
          <w:sz w:val="20"/>
          <w:szCs w:val="20"/>
        </w:rPr>
        <w:t xml:space="preserve">/2022/07) és a magas jövedelmű személyekre vonatkozóan a 2013/36/EU irányelv és az (EU) 2019/2034 irányelv szerint végzett adatgyűjtésről szóló </w:t>
      </w:r>
      <w:proofErr w:type="spellStart"/>
      <w:r w:rsidR="009D4CE5" w:rsidRPr="00154416">
        <w:rPr>
          <w:rFonts w:ascii="Arial" w:hAnsi="Arial" w:cs="Arial"/>
          <w:sz w:val="20"/>
          <w:szCs w:val="20"/>
        </w:rPr>
        <w:t>EBA</w:t>
      </w:r>
      <w:proofErr w:type="spellEnd"/>
      <w:r w:rsidR="009D4CE5" w:rsidRPr="00154416">
        <w:rPr>
          <w:rFonts w:ascii="Arial" w:hAnsi="Arial" w:cs="Arial"/>
          <w:sz w:val="20"/>
          <w:szCs w:val="20"/>
        </w:rPr>
        <w:t xml:space="preserve"> </w:t>
      </w:r>
      <w:r w:rsidRPr="00154416">
        <w:rPr>
          <w:rFonts w:ascii="Arial" w:hAnsi="Arial" w:cs="Arial"/>
          <w:sz w:val="20"/>
          <w:szCs w:val="20"/>
        </w:rPr>
        <w:t>iránymutatás (</w:t>
      </w:r>
      <w:proofErr w:type="spellStart"/>
      <w:r w:rsidRPr="00154416">
        <w:rPr>
          <w:rFonts w:ascii="Arial" w:hAnsi="Arial" w:cs="Arial"/>
          <w:sz w:val="20"/>
          <w:szCs w:val="20"/>
        </w:rPr>
        <w:t>EBA</w:t>
      </w:r>
      <w:proofErr w:type="spellEnd"/>
      <w:r w:rsidRPr="00154416">
        <w:rPr>
          <w:rFonts w:ascii="Arial" w:hAnsi="Arial" w:cs="Arial"/>
          <w:sz w:val="20"/>
          <w:szCs w:val="20"/>
        </w:rPr>
        <w:t>/</w:t>
      </w:r>
      <w:proofErr w:type="spellStart"/>
      <w:r w:rsidRPr="00154416">
        <w:rPr>
          <w:rFonts w:ascii="Arial" w:hAnsi="Arial" w:cs="Arial"/>
          <w:sz w:val="20"/>
          <w:szCs w:val="20"/>
        </w:rPr>
        <w:t>GL</w:t>
      </w:r>
      <w:proofErr w:type="spellEnd"/>
      <w:r w:rsidRPr="00154416">
        <w:rPr>
          <w:rFonts w:ascii="Arial" w:hAnsi="Arial" w:cs="Arial"/>
          <w:sz w:val="20"/>
          <w:szCs w:val="20"/>
        </w:rPr>
        <w:t xml:space="preserve">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39A17CA0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lastRenderedPageBreak/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követelményezi a </w:t>
      </w:r>
      <w:proofErr w:type="spellStart"/>
      <w:r w:rsidRPr="000D1FCD">
        <w:rPr>
          <w:rFonts w:cs="Arial"/>
          <w:szCs w:val="20"/>
        </w:rPr>
        <w:t>CRR</w:t>
      </w:r>
      <w:proofErr w:type="spellEnd"/>
      <w:r w:rsidRPr="000D1FCD">
        <w:rPr>
          <w:rFonts w:cs="Arial"/>
          <w:szCs w:val="20"/>
        </w:rPr>
        <w:t>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4D785979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1" w:name="_Hlk114492679"/>
      <w:bookmarkStart w:id="2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számnak megfelelően kell jelenteni </w:t>
      </w:r>
      <w:bookmarkEnd w:id="1"/>
      <w:r w:rsidRPr="000D1FCD">
        <w:rPr>
          <w:rFonts w:ascii="Arial" w:hAnsi="Arial" w:cs="Arial"/>
          <w:sz w:val="20"/>
          <w:szCs w:val="20"/>
        </w:rPr>
        <w:t>(azaz a pénzügyi év során távozott munkatársak nem számítandók bele, míg a pénzügyi év során felvett munkatársak igen, tekintetbe véve a szerződés szerinti munkaidő-beosztásukat).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0D1FCD">
        <w:rPr>
          <w:rFonts w:ascii="Arial" w:hAnsi="Arial" w:cs="Arial"/>
          <w:sz w:val="20"/>
          <w:szCs w:val="20"/>
        </w:rPr>
        <w:t>ában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 dolgozó alkalmazott esetében a megadandó szám 0,5 lesz).</w:t>
      </w:r>
      <w:bookmarkEnd w:id="2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D57C78" w:rsidP="000D1FCD">
      <w:pPr>
        <w:rPr>
          <w:rFonts w:cs="Arial"/>
          <w:szCs w:val="20"/>
        </w:rPr>
      </w:pPr>
      <w:hyperlink r:id="rId9" w:history="1">
        <w:r w:rsidR="00CC503B"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proofErr w:type="spellStart"/>
      <w:r w:rsidR="007910D5" w:rsidRPr="000D1FCD">
        <w:rPr>
          <w:rFonts w:ascii="Arial" w:hAnsi="Arial" w:cs="Arial"/>
          <w:sz w:val="20"/>
          <w:szCs w:val="20"/>
        </w:rPr>
        <w:t>EBA</w:t>
      </w:r>
      <w:proofErr w:type="spellEnd"/>
      <w:r w:rsidR="007910D5" w:rsidRPr="000D1FCD">
        <w:rPr>
          <w:rFonts w:ascii="Arial" w:hAnsi="Arial" w:cs="Arial"/>
          <w:sz w:val="20"/>
          <w:szCs w:val="20"/>
        </w:rPr>
        <w:t xml:space="preserve"> </w:t>
      </w:r>
      <w:r w:rsidRPr="000D1FCD">
        <w:rPr>
          <w:rFonts w:ascii="Arial" w:hAnsi="Arial" w:cs="Arial"/>
          <w:sz w:val="20"/>
          <w:szCs w:val="20"/>
        </w:rPr>
        <w:t>iránymutatás (</w:t>
      </w:r>
      <w:proofErr w:type="spellStart"/>
      <w:r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>/</w:t>
      </w:r>
      <w:proofErr w:type="spellStart"/>
      <w:r w:rsidRPr="000D1FCD">
        <w:rPr>
          <w:rFonts w:ascii="Arial" w:hAnsi="Arial" w:cs="Arial"/>
          <w:sz w:val="20"/>
          <w:szCs w:val="20"/>
        </w:rPr>
        <w:t>GL</w:t>
      </w:r>
      <w:proofErr w:type="spellEnd"/>
      <w:r w:rsidRPr="000D1FCD">
        <w:rPr>
          <w:rFonts w:ascii="Arial" w:hAnsi="Arial" w:cs="Arial"/>
          <w:sz w:val="20"/>
          <w:szCs w:val="20"/>
        </w:rPr>
        <w:t>/2022/06) és a magas jövedelmű személyekre 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910D5"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 iránymutatás (</w:t>
      </w:r>
      <w:proofErr w:type="spellStart"/>
      <w:r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>/</w:t>
      </w:r>
      <w:proofErr w:type="spellStart"/>
      <w:r w:rsidRPr="000D1FCD">
        <w:rPr>
          <w:rFonts w:ascii="Arial" w:hAnsi="Arial" w:cs="Arial"/>
          <w:sz w:val="20"/>
          <w:szCs w:val="20"/>
        </w:rPr>
        <w:t>GL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Pr="00BC3A2F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2CB601B7" w14:textId="6BEDCEB3" w:rsidR="00633E57" w:rsidRPr="0034050B" w:rsidRDefault="0039368C" w:rsidP="0034050B">
      <w:pPr>
        <w:pStyle w:val="Cmsor1"/>
      </w:pPr>
      <w:r w:rsidRPr="00BC3A2F"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</w:t>
      </w:r>
      <w:proofErr w:type="spellStart"/>
      <w:r w:rsidR="00CC503B" w:rsidRPr="001359FD">
        <w:t>IFR</w:t>
      </w:r>
      <w:proofErr w:type="spellEnd"/>
      <w:r w:rsidR="00CC503B" w:rsidRPr="001359FD">
        <w:t xml:space="preserve">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</w:t>
      </w:r>
      <w:proofErr w:type="spellStart"/>
      <w:r w:rsidR="00290AF1">
        <w:rPr>
          <w:rFonts w:cs="Arial"/>
          <w:szCs w:val="20"/>
        </w:rPr>
        <w:t>MiFID</w:t>
      </w:r>
      <w:proofErr w:type="spellEnd"/>
      <w:r w:rsidR="00290AF1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lastRenderedPageBreak/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25F3843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3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3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4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4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5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5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</w:t>
      </w:r>
      <w:proofErr w:type="spellStart"/>
      <w:r w:rsidRPr="00321855">
        <w:rPr>
          <w:rFonts w:ascii="Arial" w:hAnsi="Arial" w:cs="Arial"/>
          <w:sz w:val="20"/>
          <w:szCs w:val="20"/>
        </w:rPr>
        <w:t>ÁÉKBV</w:t>
      </w:r>
      <w:proofErr w:type="spellEnd"/>
      <w:r w:rsidRPr="00321855">
        <w:rPr>
          <w:rFonts w:ascii="Arial" w:hAnsi="Arial" w:cs="Arial"/>
          <w:sz w:val="20"/>
          <w:szCs w:val="20"/>
        </w:rPr>
        <w:t>) vagy alternatívbefektetésialap-kezelőnek (</w:t>
      </w:r>
      <w:proofErr w:type="spellStart"/>
      <w:r w:rsidRPr="00321855">
        <w:rPr>
          <w:rFonts w:ascii="Arial" w:hAnsi="Arial" w:cs="Arial"/>
          <w:sz w:val="20"/>
          <w:szCs w:val="20"/>
        </w:rPr>
        <w:t>ABAK</w:t>
      </w:r>
      <w:proofErr w:type="spellEnd"/>
      <w:r w:rsidRPr="00321855">
        <w:rPr>
          <w:rFonts w:ascii="Arial" w:hAnsi="Arial" w:cs="Arial"/>
          <w:sz w:val="20"/>
          <w:szCs w:val="20"/>
        </w:rPr>
        <w:t>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MTF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)/szervezett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OTF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 rendszerről szóló 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EBA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EBA</w:t>
      </w:r>
      <w:proofErr w:type="spellEnd"/>
      <w:r w:rsidR="00D221B0" w:rsidRPr="00321855">
        <w:rPr>
          <w:rFonts w:ascii="Arial" w:hAnsi="Arial" w:cs="Arial"/>
          <w:sz w:val="20"/>
          <w:szCs w:val="20"/>
          <w:lang w:val="hu-HU"/>
        </w:rPr>
        <w:t>/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GL</w:t>
      </w:r>
      <w:proofErr w:type="spellEnd"/>
      <w:r w:rsidR="00D221B0" w:rsidRPr="00321855">
        <w:rPr>
          <w:rFonts w:ascii="Arial" w:hAnsi="Arial" w:cs="Arial"/>
          <w:sz w:val="20"/>
          <w:szCs w:val="20"/>
          <w:lang w:val="hu-HU"/>
        </w:rPr>
        <w:t>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4974F593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0010-0070 oszlopokba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R_01.010080 Él-e a befektetési vállalkozás intézményi szinten a </w:t>
      </w:r>
      <w:proofErr w:type="spellStart"/>
      <w:r w:rsidRPr="004816D2">
        <w:rPr>
          <w:rFonts w:eastAsia="Times New Roman" w:cs="Arial"/>
          <w:b/>
          <w:szCs w:val="20"/>
        </w:rPr>
        <w:t>Bszt</w:t>
      </w:r>
      <w:proofErr w:type="spellEnd"/>
      <w:r w:rsidRPr="004816D2">
        <w:rPr>
          <w:rFonts w:eastAsia="Times New Roman" w:cs="Arial"/>
          <w:b/>
          <w:szCs w:val="20"/>
        </w:rPr>
        <w:t>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 xml:space="preserve">A befektetési vállalkozás egy, a </w:t>
      </w:r>
      <w:proofErr w:type="spellStart"/>
      <w:r w:rsidRPr="004816D2">
        <w:rPr>
          <w:rFonts w:eastAsia="Times New Roman" w:cs="Arial"/>
          <w:b/>
          <w:szCs w:val="20"/>
        </w:rPr>
        <w:t>CRD</w:t>
      </w:r>
      <w:proofErr w:type="spellEnd"/>
      <w:r w:rsidRPr="004816D2">
        <w:rPr>
          <w:rFonts w:eastAsia="Times New Roman" w:cs="Arial"/>
          <w:b/>
          <w:szCs w:val="20"/>
        </w:rPr>
        <w:t xml:space="preserve">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</w:t>
      </w:r>
      <w:proofErr w:type="spellStart"/>
      <w:r w:rsidR="009C232B">
        <w:rPr>
          <w:rFonts w:cs="Arial"/>
          <w:szCs w:val="20"/>
        </w:rPr>
        <w:t>MiFID</w:t>
      </w:r>
      <w:proofErr w:type="spellEnd"/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 xml:space="preserve">A tábla „Ebből: Jóváhagyott alternatív megoldások” soraiban a </w:t>
      </w:r>
      <w:proofErr w:type="spellStart"/>
      <w:r w:rsidRPr="004816D2">
        <w:rPr>
          <w:rFonts w:cs="Arial"/>
          <w:bCs/>
          <w:szCs w:val="20"/>
        </w:rPr>
        <w:t>Bszt</w:t>
      </w:r>
      <w:proofErr w:type="spellEnd"/>
      <w:r w:rsidRPr="004816D2">
        <w:rPr>
          <w:rFonts w:cs="Arial"/>
          <w:bCs/>
          <w:szCs w:val="20"/>
        </w:rPr>
        <w:t>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lastRenderedPageBreak/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</w:t>
      </w:r>
      <w:proofErr w:type="spellStart"/>
      <w:r w:rsidR="00CD7AF4">
        <w:rPr>
          <w:rFonts w:cs="Arial"/>
          <w:szCs w:val="20"/>
        </w:rPr>
        <w:t>MiFID</w:t>
      </w:r>
      <w:proofErr w:type="spellEnd"/>
      <w:r w:rsidR="00CD7AF4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</w:t>
      </w:r>
      <w:proofErr w:type="spellStart"/>
      <w:r w:rsidRPr="00321855">
        <w:rPr>
          <w:rFonts w:cs="Arial"/>
          <w:szCs w:val="20"/>
        </w:rPr>
        <w:t>IFR</w:t>
      </w:r>
      <w:proofErr w:type="spellEnd"/>
      <w:r w:rsidRPr="00321855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</w:t>
      </w:r>
      <w:proofErr w:type="spellStart"/>
      <w:r w:rsidR="007C283B" w:rsidRPr="00321855">
        <w:rPr>
          <w:rFonts w:cs="Arial"/>
          <w:szCs w:val="20"/>
        </w:rPr>
        <w:t>MiFID</w:t>
      </w:r>
      <w:proofErr w:type="spellEnd"/>
      <w:r w:rsidR="007C283B" w:rsidRPr="00321855">
        <w:rPr>
          <w:rFonts w:cs="Arial"/>
          <w:szCs w:val="20"/>
        </w:rPr>
        <w:t xml:space="preserve">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7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6C86153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 adatokat a befektetési vállalkozásnak </w:t>
      </w:r>
      <w:proofErr w:type="spellStart"/>
      <w:r w:rsidRPr="00321855">
        <w:rPr>
          <w:rFonts w:cs="Arial"/>
          <w:szCs w:val="20"/>
        </w:rPr>
        <w:t>országonkénti</w:t>
      </w:r>
      <w:proofErr w:type="spellEnd"/>
      <w:r w:rsidRPr="00321855">
        <w:rPr>
          <w:rFonts w:cs="Arial"/>
          <w:szCs w:val="20"/>
        </w:rPr>
        <w:t xml:space="preserve">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</w:t>
      </w:r>
      <w:proofErr w:type="spellStart"/>
      <w:r w:rsidRPr="00321855">
        <w:rPr>
          <w:rFonts w:cs="Arial"/>
          <w:szCs w:val="20"/>
        </w:rPr>
        <w:t>EGT</w:t>
      </w:r>
      <w:proofErr w:type="spellEnd"/>
      <w:r w:rsidRPr="00321855">
        <w:rPr>
          <w:rFonts w:cs="Arial"/>
          <w:szCs w:val="20"/>
        </w:rPr>
        <w:t>-állam, valamint minden olyan 1 millió eurós fizetési kategória (1 000 000-1 999 999 euro, 2 000 000-2 999 999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7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lastRenderedPageBreak/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</w:t>
      </w:r>
      <w:proofErr w:type="spellStart"/>
      <w:r w:rsidR="004816D2">
        <w:t>Bszt</w:t>
      </w:r>
      <w:proofErr w:type="spellEnd"/>
      <w:r w:rsidR="004816D2">
        <w:t xml:space="preserve">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</w:t>
      </w:r>
      <w:proofErr w:type="spellStart"/>
      <w:r w:rsidR="00EB32D5">
        <w:rPr>
          <w:rFonts w:cs="Arial"/>
          <w:szCs w:val="20"/>
        </w:rPr>
        <w:t>MiFID</w:t>
      </w:r>
      <w:proofErr w:type="spellEnd"/>
      <w:r w:rsidR="00EB32D5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hogy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 xml:space="preserve">. 4. melléklet 26a. pontja szerinti mentességeket alkalmazottnak kell tekinteni, ha a mentesség hatálya alá tartozó befektetési vállalkozás úgy dönt, hogy nem alkalmazza a halasztva nyújtandó vagy instrumentumokban kifizetendő részre vonatkozó,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ha az ügyvezető igazgató </w:t>
      </w:r>
      <w:r w:rsidRPr="004816D2">
        <w:rPr>
          <w:rFonts w:cs="Arial"/>
          <w:szCs w:val="20"/>
        </w:rPr>
        <w:lastRenderedPageBreak/>
        <w:t>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</w:t>
      </w:r>
      <w:proofErr w:type="spellStart"/>
      <w:r w:rsidR="001359FD" w:rsidRPr="00757E19">
        <w:rPr>
          <w:lang w:val="hu-HU"/>
        </w:rPr>
        <w:t>CRR</w:t>
      </w:r>
      <w:proofErr w:type="spellEnd"/>
      <w:r w:rsidR="001359FD" w:rsidRPr="00757E19">
        <w:rPr>
          <w:lang w:val="hu-HU"/>
        </w:rPr>
        <w:t>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392339F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117-121.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74F7D625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62DF4778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a leányvállalatai irányítási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</w:t>
      </w:r>
      <w:proofErr w:type="spellStart"/>
      <w:r w:rsidRPr="00BC3A2F">
        <w:rPr>
          <w:rFonts w:ascii="Arial" w:hAnsi="Arial" w:cs="Arial"/>
          <w:sz w:val="20"/>
          <w:szCs w:val="20"/>
        </w:rPr>
        <w:t>EBA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</w:t>
      </w:r>
      <w:proofErr w:type="spellStart"/>
      <w:r w:rsidRPr="004A19B0">
        <w:rPr>
          <w:rFonts w:cs="Arial"/>
          <w:szCs w:val="20"/>
        </w:rPr>
        <w:t>ÁÉKBV</w:t>
      </w:r>
      <w:proofErr w:type="spellEnd"/>
      <w:r w:rsidRPr="004A19B0">
        <w:rPr>
          <w:rFonts w:cs="Arial"/>
          <w:szCs w:val="20"/>
        </w:rPr>
        <w:t xml:space="preserve"> vagy </w:t>
      </w:r>
      <w:proofErr w:type="spellStart"/>
      <w:r w:rsidRPr="004A19B0">
        <w:rPr>
          <w:rFonts w:cs="Arial"/>
          <w:szCs w:val="20"/>
        </w:rPr>
        <w:t>ABAK</w:t>
      </w:r>
      <w:proofErr w:type="spellEnd"/>
      <w:r w:rsidRPr="004A19B0">
        <w:rPr>
          <w:rFonts w:cs="Arial"/>
          <w:szCs w:val="20"/>
        </w:rPr>
        <w:t xml:space="preserve">, és nem alkalmazandók rá konszolidált szinten a </w:t>
      </w:r>
      <w:proofErr w:type="spellStart"/>
      <w:r w:rsidRPr="004A19B0">
        <w:rPr>
          <w:rFonts w:cs="Arial"/>
          <w:szCs w:val="20"/>
        </w:rPr>
        <w:t>CRD</w:t>
      </w:r>
      <w:proofErr w:type="spellEnd"/>
      <w:r w:rsidRPr="004A19B0">
        <w:rPr>
          <w:rFonts w:cs="Arial"/>
          <w:szCs w:val="20"/>
        </w:rPr>
        <w:t xml:space="preserve">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proofErr w:type="spellStart"/>
      <w:r w:rsidRPr="00BC3A2F">
        <w:rPr>
          <w:rFonts w:ascii="Arial" w:hAnsi="Arial" w:cs="Arial"/>
          <w:sz w:val="20"/>
          <w:szCs w:val="20"/>
        </w:rPr>
        <w:t>zon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lastRenderedPageBreak/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7A186D5B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38456BDB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117-121.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>nem kezd új többéves teljesítménymérési időszakot minden évben, azt az R 09.00 táblában – illetve halasztás alkalmazása esetén az R 11.00 táblában – teljes egészében 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58676D7E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0C3FA9" w:rsidRPr="00BC3A2F">
        <w:rPr>
          <w:rFonts w:cs="Arial"/>
          <w:szCs w:val="20"/>
        </w:rPr>
        <w:t xml:space="preserve"> </w:t>
      </w:r>
      <w:proofErr w:type="spellStart"/>
      <w:r w:rsidR="000C3FA9" w:rsidRPr="00BC3A2F">
        <w:rPr>
          <w:rFonts w:cs="Arial"/>
          <w:szCs w:val="20"/>
        </w:rPr>
        <w:t>CRR</w:t>
      </w:r>
      <w:proofErr w:type="spellEnd"/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4B15BDBB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 xml:space="preserve">a Hpt. 117-121.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77777777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297687F9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proofErr w:type="spellStart"/>
      <w:r>
        <w:rPr>
          <w:rFonts w:cs="Arial"/>
          <w:szCs w:val="20"/>
        </w:rPr>
        <w:t>országonkénti</w:t>
      </w:r>
      <w:proofErr w:type="spellEnd"/>
      <w:r>
        <w:rPr>
          <w:rFonts w:cs="Arial"/>
          <w:szCs w:val="20"/>
        </w:rPr>
        <w:t xml:space="preserve"> bontásban</w:t>
      </w:r>
      <w:r w:rsidRPr="0046545B">
        <w:rPr>
          <w:rFonts w:cs="Arial"/>
          <w:szCs w:val="20"/>
        </w:rPr>
        <w:t xml:space="preserve"> minden olyan </w:t>
      </w:r>
      <w:proofErr w:type="spellStart"/>
      <w:r w:rsidRPr="0046545B">
        <w:rPr>
          <w:rFonts w:cs="Arial"/>
          <w:szCs w:val="20"/>
        </w:rPr>
        <w:t>EGT</w:t>
      </w:r>
      <w:proofErr w:type="spellEnd"/>
      <w:r w:rsidRPr="0046545B">
        <w:rPr>
          <w:rFonts w:cs="Arial"/>
          <w:szCs w:val="20"/>
        </w:rPr>
        <w:t>-állam, valamint minden olyan 1 millió eurós fizetési kategória (</w:t>
      </w:r>
      <w:bookmarkStart w:id="8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2 999 999 euro</w:t>
      </w:r>
      <w:bookmarkEnd w:id="8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lastRenderedPageBreak/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leányvállalatok azon </w:t>
      </w:r>
      <w:proofErr w:type="spellStart"/>
      <w:r w:rsidRPr="00321855">
        <w:rPr>
          <w:rFonts w:cs="Arial"/>
          <w:szCs w:val="20"/>
        </w:rPr>
        <w:t>alkalmazottai</w:t>
      </w:r>
      <w:r w:rsidR="006C421E" w:rsidRPr="00321855">
        <w:rPr>
          <w:rFonts w:cs="Arial"/>
          <w:szCs w:val="20"/>
        </w:rPr>
        <w:t>t</w:t>
      </w:r>
      <w:proofErr w:type="spellEnd"/>
      <w:r w:rsidRPr="00321855">
        <w:rPr>
          <w:rFonts w:cs="Arial"/>
          <w:szCs w:val="20"/>
        </w:rPr>
        <w:t xml:space="preserve">, akik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(4) bekezdésével összhangban egyedi javadalmazási keretrendszer hatálya alá tartoznak, de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(5) vagy (6) bekezdésével összhangban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4630BF3A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117-121.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lastRenderedPageBreak/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</w:t>
      </w:r>
      <w:proofErr w:type="spellStart"/>
      <w:r w:rsidRPr="00E04360">
        <w:rPr>
          <w:rFonts w:ascii="Arial" w:hAnsi="Arial" w:cs="Arial"/>
          <w:sz w:val="20"/>
          <w:szCs w:val="20"/>
        </w:rPr>
        <w:t>prudenciális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konszolidáció tárgyát képező és a </w:t>
      </w:r>
      <w:proofErr w:type="spellStart"/>
      <w:r w:rsidRPr="00E04360">
        <w:rPr>
          <w:rFonts w:ascii="Arial" w:hAnsi="Arial" w:cs="Arial"/>
          <w:sz w:val="20"/>
          <w:szCs w:val="20"/>
        </w:rPr>
        <w:t>CRD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08CE1C2C" w14:textId="77777777" w:rsidR="00555022" w:rsidRPr="00F30190" w:rsidRDefault="00555022" w:rsidP="00C03808">
      <w:pPr>
        <w:pStyle w:val="numberedparagraph"/>
        <w:numPr>
          <w:ilvl w:val="0"/>
          <w:numId w:val="0"/>
        </w:numPr>
        <w:spacing w:before="0" w:after="0" w:line="240" w:lineRule="auto"/>
        <w:ind w:left="284" w:hanging="284"/>
        <w:rPr>
          <w:rFonts w:cs="Arial"/>
          <w:szCs w:val="20"/>
        </w:rPr>
      </w:pPr>
    </w:p>
    <w:p w14:paraId="3AD0789F" w14:textId="7716E7C4" w:rsidR="00555022" w:rsidRDefault="00555022" w:rsidP="00555022">
      <w:pPr>
        <w:jc w:val="both"/>
        <w:rPr>
          <w:rFonts w:eastAsiaTheme="minorEastAsia" w:cs="Arial"/>
          <w:b/>
          <w:bCs/>
          <w:szCs w:val="20"/>
          <w:lang w:eastAsia="en-US"/>
        </w:rPr>
      </w:pPr>
    </w:p>
    <w:p w14:paraId="6AB037BD" w14:textId="5BCDD666" w:rsidR="00555022" w:rsidRPr="00282B5B" w:rsidRDefault="00F85832" w:rsidP="00757E19">
      <w:pPr>
        <w:pStyle w:val="Cmsor3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2.</w:t>
      </w:r>
      <w:r w:rsidR="00B4535A">
        <w:rPr>
          <w:rFonts w:eastAsiaTheme="minorEastAsia"/>
          <w:lang w:val="hu-HU" w:eastAsia="en-US"/>
        </w:rPr>
        <w:t>6</w:t>
      </w:r>
      <w:r w:rsidR="00555022" w:rsidRPr="00282B5B">
        <w:rPr>
          <w:rFonts w:eastAsiaTheme="minorEastAsia"/>
          <w:lang w:eastAsia="en-US"/>
        </w:rPr>
        <w:t>.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R_12.00.a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079BE6BB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 xml:space="preserve">Hpt. 117-121.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ED04" w14:textId="77777777" w:rsidR="00806002" w:rsidRDefault="00806002" w:rsidP="00B64F83">
      <w:r>
        <w:separator/>
      </w:r>
    </w:p>
  </w:endnote>
  <w:endnote w:type="continuationSeparator" w:id="0">
    <w:p w14:paraId="333B38BE" w14:textId="77777777" w:rsidR="00806002" w:rsidRDefault="00806002" w:rsidP="00B64F83">
      <w:r>
        <w:continuationSeparator/>
      </w:r>
    </w:p>
  </w:endnote>
  <w:endnote w:type="continuationNotice" w:id="1">
    <w:p w14:paraId="513A1FBD" w14:textId="77777777" w:rsidR="00806002" w:rsidRDefault="0080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9FAC" w14:textId="77777777" w:rsidR="00806002" w:rsidRDefault="00806002" w:rsidP="00B64F83">
      <w:r>
        <w:separator/>
      </w:r>
    </w:p>
  </w:footnote>
  <w:footnote w:type="continuationSeparator" w:id="0">
    <w:p w14:paraId="50739768" w14:textId="77777777" w:rsidR="00806002" w:rsidRDefault="00806002" w:rsidP="00B64F83">
      <w:r>
        <w:continuationSeparator/>
      </w:r>
    </w:p>
  </w:footnote>
  <w:footnote w:type="continuationNotice" w:id="1">
    <w:p w14:paraId="568BAECE" w14:textId="77777777" w:rsidR="00806002" w:rsidRDefault="0080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2"/>
    <w:lvlOverride w:ilvl="0">
      <w:startOverride w:val="1"/>
    </w:lvlOverride>
  </w:num>
  <w:num w:numId="2" w16cid:durableId="845435103">
    <w:abstractNumId w:val="25"/>
  </w:num>
  <w:num w:numId="3" w16cid:durableId="606818534">
    <w:abstractNumId w:val="0"/>
  </w:num>
  <w:num w:numId="4" w16cid:durableId="1391806898">
    <w:abstractNumId w:val="16"/>
  </w:num>
  <w:num w:numId="5" w16cid:durableId="918249778">
    <w:abstractNumId w:val="26"/>
  </w:num>
  <w:num w:numId="6" w16cid:durableId="323551257">
    <w:abstractNumId w:val="14"/>
  </w:num>
  <w:num w:numId="7" w16cid:durableId="736053130">
    <w:abstractNumId w:val="15"/>
  </w:num>
  <w:num w:numId="8" w16cid:durableId="702555313">
    <w:abstractNumId w:val="23"/>
  </w:num>
  <w:num w:numId="9" w16cid:durableId="1164711425">
    <w:abstractNumId w:val="20"/>
  </w:num>
  <w:num w:numId="10" w16cid:durableId="1772552757">
    <w:abstractNumId w:val="4"/>
  </w:num>
  <w:num w:numId="11" w16cid:durableId="1539929526">
    <w:abstractNumId w:val="18"/>
  </w:num>
  <w:num w:numId="12" w16cid:durableId="415396180">
    <w:abstractNumId w:val="24"/>
  </w:num>
  <w:num w:numId="13" w16cid:durableId="1997803633">
    <w:abstractNumId w:val="17"/>
  </w:num>
  <w:num w:numId="14" w16cid:durableId="1619264168">
    <w:abstractNumId w:val="1"/>
  </w:num>
  <w:num w:numId="15" w16cid:durableId="140968005">
    <w:abstractNumId w:val="21"/>
  </w:num>
  <w:num w:numId="16" w16cid:durableId="141314701">
    <w:abstractNumId w:val="11"/>
  </w:num>
  <w:num w:numId="17" w16cid:durableId="1378890842">
    <w:abstractNumId w:val="10"/>
  </w:num>
  <w:num w:numId="18" w16cid:durableId="297298395">
    <w:abstractNumId w:val="3"/>
  </w:num>
  <w:num w:numId="19" w16cid:durableId="2137603715">
    <w:abstractNumId w:val="19"/>
  </w:num>
  <w:num w:numId="20" w16cid:durableId="1935356775">
    <w:abstractNumId w:val="8"/>
  </w:num>
  <w:num w:numId="21" w16cid:durableId="1237864276">
    <w:abstractNumId w:val="6"/>
  </w:num>
  <w:num w:numId="22" w16cid:durableId="1157188457">
    <w:abstractNumId w:val="9"/>
  </w:num>
  <w:num w:numId="23" w16cid:durableId="198783948">
    <w:abstractNumId w:val="12"/>
  </w:num>
  <w:num w:numId="24" w16cid:durableId="965356778">
    <w:abstractNumId w:val="22"/>
  </w:num>
  <w:num w:numId="25" w16cid:durableId="1636448863">
    <w:abstractNumId w:val="13"/>
  </w:num>
  <w:num w:numId="26" w16cid:durableId="433327277">
    <w:abstractNumId w:val="2"/>
  </w:num>
  <w:num w:numId="27" w16cid:durableId="880675876">
    <w:abstractNumId w:val="5"/>
  </w:num>
  <w:num w:numId="28" w16cid:durableId="496265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236ED"/>
    <w:rsid w:val="00024E49"/>
    <w:rsid w:val="00032563"/>
    <w:rsid w:val="000502B2"/>
    <w:rsid w:val="00052C0E"/>
    <w:rsid w:val="00065BDC"/>
    <w:rsid w:val="000700A5"/>
    <w:rsid w:val="00076C28"/>
    <w:rsid w:val="000777AE"/>
    <w:rsid w:val="00093DC3"/>
    <w:rsid w:val="000A0DBC"/>
    <w:rsid w:val="000A4898"/>
    <w:rsid w:val="000A5CA5"/>
    <w:rsid w:val="000A794A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1DE1"/>
    <w:rsid w:val="00107C70"/>
    <w:rsid w:val="0011481D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54416"/>
    <w:rsid w:val="0015450A"/>
    <w:rsid w:val="001611B6"/>
    <w:rsid w:val="001661D6"/>
    <w:rsid w:val="0016683D"/>
    <w:rsid w:val="00175441"/>
    <w:rsid w:val="0018366A"/>
    <w:rsid w:val="001875B2"/>
    <w:rsid w:val="001A5287"/>
    <w:rsid w:val="001A6262"/>
    <w:rsid w:val="001A7331"/>
    <w:rsid w:val="001B14EA"/>
    <w:rsid w:val="001B4FE2"/>
    <w:rsid w:val="001C2579"/>
    <w:rsid w:val="001E29B0"/>
    <w:rsid w:val="001F3C59"/>
    <w:rsid w:val="001F5867"/>
    <w:rsid w:val="00203E6A"/>
    <w:rsid w:val="002107A9"/>
    <w:rsid w:val="0021443B"/>
    <w:rsid w:val="0022318B"/>
    <w:rsid w:val="002238A9"/>
    <w:rsid w:val="00227D8E"/>
    <w:rsid w:val="00234927"/>
    <w:rsid w:val="00235858"/>
    <w:rsid w:val="00262205"/>
    <w:rsid w:val="00263DCD"/>
    <w:rsid w:val="002819AA"/>
    <w:rsid w:val="00286904"/>
    <w:rsid w:val="00290AF1"/>
    <w:rsid w:val="002B364F"/>
    <w:rsid w:val="002B588C"/>
    <w:rsid w:val="002C510B"/>
    <w:rsid w:val="002C5D10"/>
    <w:rsid w:val="002E3985"/>
    <w:rsid w:val="002F088A"/>
    <w:rsid w:val="002F5868"/>
    <w:rsid w:val="00301751"/>
    <w:rsid w:val="00304759"/>
    <w:rsid w:val="00321855"/>
    <w:rsid w:val="00337A94"/>
    <w:rsid w:val="00340124"/>
    <w:rsid w:val="0034050B"/>
    <w:rsid w:val="00343952"/>
    <w:rsid w:val="00344530"/>
    <w:rsid w:val="003563CF"/>
    <w:rsid w:val="003628D3"/>
    <w:rsid w:val="00367946"/>
    <w:rsid w:val="00374128"/>
    <w:rsid w:val="0037487F"/>
    <w:rsid w:val="00376BC7"/>
    <w:rsid w:val="00380CEE"/>
    <w:rsid w:val="00387FD7"/>
    <w:rsid w:val="0039040E"/>
    <w:rsid w:val="003925BA"/>
    <w:rsid w:val="0039368C"/>
    <w:rsid w:val="00394D13"/>
    <w:rsid w:val="003A2DE2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3E57"/>
    <w:rsid w:val="00417347"/>
    <w:rsid w:val="004263B6"/>
    <w:rsid w:val="00432DBD"/>
    <w:rsid w:val="00437444"/>
    <w:rsid w:val="0043782E"/>
    <w:rsid w:val="0045245A"/>
    <w:rsid w:val="00464EEA"/>
    <w:rsid w:val="004727AD"/>
    <w:rsid w:val="004816D2"/>
    <w:rsid w:val="00485174"/>
    <w:rsid w:val="00487AA6"/>
    <w:rsid w:val="004948EB"/>
    <w:rsid w:val="004A32EC"/>
    <w:rsid w:val="004B7FA4"/>
    <w:rsid w:val="004C371A"/>
    <w:rsid w:val="004D6516"/>
    <w:rsid w:val="004E0DE1"/>
    <w:rsid w:val="004E3F66"/>
    <w:rsid w:val="004E6F85"/>
    <w:rsid w:val="004F1EAF"/>
    <w:rsid w:val="004F7B01"/>
    <w:rsid w:val="00502CC6"/>
    <w:rsid w:val="00516CF7"/>
    <w:rsid w:val="00522B78"/>
    <w:rsid w:val="00523CF0"/>
    <w:rsid w:val="00540626"/>
    <w:rsid w:val="005438A9"/>
    <w:rsid w:val="00543F32"/>
    <w:rsid w:val="00555022"/>
    <w:rsid w:val="00575154"/>
    <w:rsid w:val="00583B80"/>
    <w:rsid w:val="005A15B2"/>
    <w:rsid w:val="005A6979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3E57"/>
    <w:rsid w:val="00637F34"/>
    <w:rsid w:val="00640236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2B23"/>
    <w:rsid w:val="00757E19"/>
    <w:rsid w:val="00773C53"/>
    <w:rsid w:val="0077417E"/>
    <w:rsid w:val="007744DE"/>
    <w:rsid w:val="00776CDA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586E"/>
    <w:rsid w:val="00803F90"/>
    <w:rsid w:val="008054C5"/>
    <w:rsid w:val="008057F5"/>
    <w:rsid w:val="00806002"/>
    <w:rsid w:val="00812BA6"/>
    <w:rsid w:val="00817FDA"/>
    <w:rsid w:val="00830D54"/>
    <w:rsid w:val="0083289F"/>
    <w:rsid w:val="008474EC"/>
    <w:rsid w:val="00847F08"/>
    <w:rsid w:val="0085576F"/>
    <w:rsid w:val="00861323"/>
    <w:rsid w:val="00866202"/>
    <w:rsid w:val="00881DA5"/>
    <w:rsid w:val="0088710A"/>
    <w:rsid w:val="008937F7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2F48"/>
    <w:rsid w:val="0092771C"/>
    <w:rsid w:val="009325D6"/>
    <w:rsid w:val="00940269"/>
    <w:rsid w:val="00950F6B"/>
    <w:rsid w:val="0096254D"/>
    <w:rsid w:val="00987C97"/>
    <w:rsid w:val="00993801"/>
    <w:rsid w:val="009C232B"/>
    <w:rsid w:val="009C6FE2"/>
    <w:rsid w:val="009D4CE5"/>
    <w:rsid w:val="009E227F"/>
    <w:rsid w:val="009E68E7"/>
    <w:rsid w:val="009F429F"/>
    <w:rsid w:val="009F56F5"/>
    <w:rsid w:val="00A04A61"/>
    <w:rsid w:val="00A06DBE"/>
    <w:rsid w:val="00A17F11"/>
    <w:rsid w:val="00A430FF"/>
    <w:rsid w:val="00A57031"/>
    <w:rsid w:val="00A70246"/>
    <w:rsid w:val="00A70B70"/>
    <w:rsid w:val="00A75269"/>
    <w:rsid w:val="00A7786C"/>
    <w:rsid w:val="00A834C8"/>
    <w:rsid w:val="00A90769"/>
    <w:rsid w:val="00AC0954"/>
    <w:rsid w:val="00AC3987"/>
    <w:rsid w:val="00AC5BAF"/>
    <w:rsid w:val="00AC5F74"/>
    <w:rsid w:val="00AD2476"/>
    <w:rsid w:val="00AE443D"/>
    <w:rsid w:val="00AE6E4D"/>
    <w:rsid w:val="00AF120F"/>
    <w:rsid w:val="00AF1F24"/>
    <w:rsid w:val="00AF3C0A"/>
    <w:rsid w:val="00B06DE0"/>
    <w:rsid w:val="00B15EAA"/>
    <w:rsid w:val="00B21460"/>
    <w:rsid w:val="00B259E2"/>
    <w:rsid w:val="00B372D4"/>
    <w:rsid w:val="00B4022D"/>
    <w:rsid w:val="00B428B1"/>
    <w:rsid w:val="00B4388D"/>
    <w:rsid w:val="00B44ED7"/>
    <w:rsid w:val="00B4535A"/>
    <w:rsid w:val="00B51DCD"/>
    <w:rsid w:val="00B6350F"/>
    <w:rsid w:val="00B64E71"/>
    <w:rsid w:val="00B64F83"/>
    <w:rsid w:val="00BA5A41"/>
    <w:rsid w:val="00BA61E5"/>
    <w:rsid w:val="00BB67DB"/>
    <w:rsid w:val="00BC159B"/>
    <w:rsid w:val="00BC1628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7D0F"/>
    <w:rsid w:val="00C26AC5"/>
    <w:rsid w:val="00C33701"/>
    <w:rsid w:val="00C34331"/>
    <w:rsid w:val="00C3664B"/>
    <w:rsid w:val="00C36D24"/>
    <w:rsid w:val="00C41352"/>
    <w:rsid w:val="00C444FE"/>
    <w:rsid w:val="00C44A06"/>
    <w:rsid w:val="00C44B34"/>
    <w:rsid w:val="00C45EAC"/>
    <w:rsid w:val="00C6384D"/>
    <w:rsid w:val="00C64343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7FEB"/>
    <w:rsid w:val="00D9029A"/>
    <w:rsid w:val="00D9501D"/>
    <w:rsid w:val="00D95719"/>
    <w:rsid w:val="00D97C8B"/>
    <w:rsid w:val="00DA75FE"/>
    <w:rsid w:val="00DB2BE1"/>
    <w:rsid w:val="00DD0332"/>
    <w:rsid w:val="00DD4EB9"/>
    <w:rsid w:val="00DD7615"/>
    <w:rsid w:val="00DF230A"/>
    <w:rsid w:val="00DF3F68"/>
    <w:rsid w:val="00E07ADD"/>
    <w:rsid w:val="00E104DE"/>
    <w:rsid w:val="00E1387E"/>
    <w:rsid w:val="00E1680F"/>
    <w:rsid w:val="00E27CD6"/>
    <w:rsid w:val="00E33B79"/>
    <w:rsid w:val="00E45A70"/>
    <w:rsid w:val="00E50AB5"/>
    <w:rsid w:val="00E52C9D"/>
    <w:rsid w:val="00E543E5"/>
    <w:rsid w:val="00E71338"/>
    <w:rsid w:val="00E95C13"/>
    <w:rsid w:val="00EA0141"/>
    <w:rsid w:val="00EA373B"/>
    <w:rsid w:val="00EB055E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EE"/>
    <w:rsid w:val="00F43C1E"/>
    <w:rsid w:val="00F62C13"/>
    <w:rsid w:val="00F81287"/>
    <w:rsid w:val="00F84A25"/>
    <w:rsid w:val="00F85832"/>
    <w:rsid w:val="00F92CF9"/>
    <w:rsid w:val="00F92F2C"/>
    <w:rsid w:val="00FB17C9"/>
    <w:rsid w:val="00FC4F25"/>
    <w:rsid w:val="00FC677E"/>
    <w:rsid w:val="00FC7AEF"/>
    <w:rsid w:val="00FC7CED"/>
    <w:rsid w:val="00FE356F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5950</Words>
  <Characters>41058</Characters>
  <Application>Microsoft Office Word</Application>
  <DocSecurity>0</DocSecurity>
  <Lines>342</Lines>
  <Paragraphs>93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46915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 MNB - V2</cp:lastModifiedBy>
  <cp:revision>3</cp:revision>
  <dcterms:created xsi:type="dcterms:W3CDTF">2024-10-10T12:44:00Z</dcterms:created>
  <dcterms:modified xsi:type="dcterms:W3CDTF">2024-10-10T12:44:00Z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