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74A51B" w14:textId="77777777" w:rsidR="0030170B" w:rsidRPr="00992D4C" w:rsidRDefault="0030170B" w:rsidP="0030170B">
      <w:pPr>
        <w:spacing w:after="0" w:line="240" w:lineRule="auto"/>
        <w:rPr>
          <w:rFonts w:ascii="Arial" w:eastAsia="Calibri" w:hAnsi="Arial" w:cs="Arial"/>
          <w:b/>
        </w:rPr>
      </w:pPr>
      <w:r w:rsidRPr="00992D4C">
        <w:rPr>
          <w:rFonts w:ascii="Arial" w:eastAsia="Calibri" w:hAnsi="Arial" w:cs="Arial"/>
          <w:b/>
        </w:rPr>
        <w:t>MNB azonosító kód: P67</w:t>
      </w:r>
    </w:p>
    <w:p w14:paraId="4EEEC317" w14:textId="77777777" w:rsidR="0030170B" w:rsidRPr="00992D4C" w:rsidRDefault="0030170B" w:rsidP="0030170B">
      <w:pPr>
        <w:spacing w:after="0" w:line="240" w:lineRule="auto"/>
        <w:rPr>
          <w:rFonts w:ascii="Arial" w:eastAsia="Calibri" w:hAnsi="Arial" w:cs="Arial"/>
          <w:b/>
        </w:rPr>
      </w:pPr>
    </w:p>
    <w:p w14:paraId="38BF31BB" w14:textId="77777777" w:rsidR="0030170B" w:rsidRPr="00992D4C" w:rsidRDefault="0030170B" w:rsidP="0030170B">
      <w:pPr>
        <w:spacing w:after="0" w:line="240" w:lineRule="auto"/>
        <w:jc w:val="center"/>
        <w:rPr>
          <w:rFonts w:ascii="Arial" w:eastAsia="Calibri" w:hAnsi="Arial" w:cs="Arial"/>
          <w:b/>
        </w:rPr>
      </w:pPr>
      <w:r w:rsidRPr="00992D4C">
        <w:rPr>
          <w:rFonts w:ascii="Arial" w:eastAsia="Calibri" w:hAnsi="Arial" w:cs="Arial"/>
          <w:b/>
        </w:rPr>
        <w:t>Kitöltési előírások</w:t>
      </w:r>
    </w:p>
    <w:p w14:paraId="19E3ADC0" w14:textId="77777777" w:rsidR="0030170B" w:rsidRPr="00992D4C" w:rsidRDefault="0030170B" w:rsidP="0030170B">
      <w:pPr>
        <w:spacing w:after="0" w:line="240" w:lineRule="auto"/>
        <w:jc w:val="center"/>
        <w:rPr>
          <w:rFonts w:ascii="Arial" w:eastAsia="Calibri" w:hAnsi="Arial" w:cs="Arial"/>
          <w:b/>
        </w:rPr>
      </w:pPr>
      <w:r w:rsidRPr="00992D4C">
        <w:rPr>
          <w:rFonts w:ascii="Arial" w:eastAsia="Calibri" w:hAnsi="Arial" w:cs="Arial"/>
          <w:b/>
        </w:rPr>
        <w:t>Lényegi fontosság meghatározása</w:t>
      </w:r>
    </w:p>
    <w:p w14:paraId="4E8D57EB" w14:textId="77777777" w:rsidR="0030170B" w:rsidRPr="00992D4C" w:rsidRDefault="0030170B" w:rsidP="0030170B">
      <w:pPr>
        <w:spacing w:after="0" w:line="240" w:lineRule="auto"/>
        <w:jc w:val="center"/>
        <w:rPr>
          <w:rFonts w:ascii="Arial" w:eastAsia="Calibri" w:hAnsi="Arial" w:cs="Arial"/>
          <w:b/>
        </w:rPr>
      </w:pPr>
    </w:p>
    <w:p w14:paraId="1F72C2EA" w14:textId="77777777" w:rsidR="0030170B" w:rsidRPr="00992D4C" w:rsidRDefault="0030170B" w:rsidP="0030170B">
      <w:pPr>
        <w:pStyle w:val="Listaszerbekezds"/>
        <w:keepNext/>
        <w:numPr>
          <w:ilvl w:val="2"/>
          <w:numId w:val="20"/>
        </w:numPr>
        <w:tabs>
          <w:tab w:val="left" w:pos="426"/>
        </w:tabs>
        <w:spacing w:before="240" w:after="240" w:line="240" w:lineRule="auto"/>
        <w:ind w:left="0" w:firstLine="0"/>
        <w:jc w:val="left"/>
        <w:outlineLvl w:val="2"/>
        <w:rPr>
          <w:rFonts w:ascii="Arial" w:eastAsia="Calibri" w:hAnsi="Arial" w:cs="Arial"/>
          <w:b/>
          <w:bCs/>
        </w:rPr>
      </w:pPr>
      <w:r w:rsidRPr="00992D4C">
        <w:rPr>
          <w:rFonts w:ascii="Arial" w:eastAsia="Times New Roman" w:hAnsi="Arial" w:cs="Arial"/>
          <w:b/>
        </w:rPr>
        <w:t>Általános</w:t>
      </w:r>
      <w:r w:rsidRPr="00992D4C">
        <w:rPr>
          <w:rFonts w:ascii="Arial" w:eastAsia="Calibri" w:hAnsi="Arial" w:cs="Arial"/>
          <w:b/>
          <w:bCs/>
        </w:rPr>
        <w:t xml:space="preserve"> előírások</w:t>
      </w:r>
    </w:p>
    <w:p w14:paraId="10AC5E1B" w14:textId="62CCD148" w:rsidR="0030170B" w:rsidRPr="00992D4C" w:rsidRDefault="0030170B" w:rsidP="0030170B">
      <w:pPr>
        <w:numPr>
          <w:ilvl w:val="0"/>
          <w:numId w:val="19"/>
        </w:numPr>
        <w:spacing w:after="0"/>
        <w:ind w:left="426" w:hanging="426"/>
        <w:contextualSpacing/>
        <w:rPr>
          <w:rFonts w:ascii="Arial" w:eastAsia="Calibri" w:hAnsi="Arial" w:cs="Arial"/>
          <w:b/>
        </w:rPr>
      </w:pPr>
      <w:bookmarkStart w:id="0" w:name="_Hlk532555034"/>
      <w:r w:rsidRPr="00992D4C">
        <w:rPr>
          <w:rFonts w:ascii="Arial" w:eastAsia="Calibri" w:hAnsi="Arial" w:cs="Arial"/>
        </w:rPr>
        <w:t xml:space="preserve">A táblákban és a kitöltési előírásokban használt fogalmak </w:t>
      </w:r>
      <w:r w:rsidRPr="00992D4C">
        <w:rPr>
          <w:rFonts w:ascii="Arial" w:hAnsi="Arial" w:cs="Arial"/>
          <w:bCs/>
        </w:rPr>
        <w:t>a</w:t>
      </w:r>
      <w:r w:rsidRPr="00992D4C">
        <w:rPr>
          <w:rFonts w:ascii="Arial" w:hAnsi="Arial" w:cs="Arial"/>
        </w:rPr>
        <w:t xml:space="preserve">z Európai Unión belüli értékpapír-kiegyenlítés javításáról és a központi értéktárakról, valamint 98/26/EK és a 2014/65/EU irányelv, valamint a 236/2012/EU rendelet módosításáról szóló 2014. július 23-ai 909/2014/EU európai parlamenti és tanácsi rendelet </w:t>
      </w:r>
      <w:r w:rsidR="00DB3A95">
        <w:rPr>
          <w:rFonts w:ascii="Arial" w:hAnsi="Arial" w:cs="Arial"/>
        </w:rPr>
        <w:t xml:space="preserve">(a továbbiakban: </w:t>
      </w:r>
      <w:proofErr w:type="spellStart"/>
      <w:r w:rsidR="00DB3A95">
        <w:rPr>
          <w:rFonts w:ascii="Arial" w:hAnsi="Arial" w:cs="Arial"/>
        </w:rPr>
        <w:t>CSDR</w:t>
      </w:r>
      <w:proofErr w:type="spellEnd"/>
      <w:r w:rsidR="00DB3A95">
        <w:rPr>
          <w:rFonts w:ascii="Arial" w:hAnsi="Arial" w:cs="Arial"/>
        </w:rPr>
        <w:t xml:space="preserve">) </w:t>
      </w:r>
      <w:r w:rsidRPr="00992D4C">
        <w:rPr>
          <w:rFonts w:ascii="Arial" w:hAnsi="Arial" w:cs="Arial"/>
        </w:rPr>
        <w:t xml:space="preserve">és </w:t>
      </w:r>
      <w:r w:rsidRPr="00992D4C">
        <w:rPr>
          <w:rFonts w:ascii="Arial" w:eastAsia="Calibri" w:hAnsi="Arial" w:cs="Arial"/>
        </w:rPr>
        <w:t xml:space="preserve">a </w:t>
      </w:r>
      <w:r w:rsidRPr="00992D4C">
        <w:rPr>
          <w:rFonts w:ascii="Arial" w:hAnsi="Arial" w:cs="Arial"/>
        </w:rPr>
        <w:t>909/2014/EU európai parlamenti és tanácsi rendeletnek a kiegyenlítés meghiúsulását sújtó pénzbírságok kiszámításának paraméterei és a központi értéktáraknak a fogadó tagállamokban folytatott tevékenységei tekintetében történő kiegészítéséről szóló 2016. november 11-ei (EU) 2017/389 felhatalmazáson alapuló bizottsági rendelet szerint értelmezendők.</w:t>
      </w:r>
    </w:p>
    <w:p w14:paraId="3FA2F625" w14:textId="77777777" w:rsidR="0030170B" w:rsidRPr="00992D4C" w:rsidRDefault="0030170B" w:rsidP="0030170B">
      <w:pPr>
        <w:spacing w:after="0"/>
        <w:ind w:left="426"/>
        <w:contextualSpacing/>
        <w:rPr>
          <w:rFonts w:ascii="Arial" w:eastAsia="Calibri" w:hAnsi="Arial" w:cs="Arial"/>
          <w:b/>
        </w:rPr>
      </w:pPr>
    </w:p>
    <w:bookmarkEnd w:id="0"/>
    <w:p w14:paraId="69C9B617" w14:textId="77777777" w:rsidR="0030170B" w:rsidRPr="00992D4C" w:rsidRDefault="0030170B" w:rsidP="0030170B">
      <w:pPr>
        <w:numPr>
          <w:ilvl w:val="0"/>
          <w:numId w:val="19"/>
        </w:numPr>
        <w:spacing w:after="0"/>
        <w:ind w:left="426" w:hanging="426"/>
        <w:contextualSpacing/>
        <w:rPr>
          <w:rFonts w:ascii="Arial" w:eastAsia="Calibri" w:hAnsi="Arial" w:cs="Arial"/>
          <w:b/>
        </w:rPr>
      </w:pPr>
      <w:r w:rsidRPr="00992D4C">
        <w:rPr>
          <w:rFonts w:ascii="Arial" w:eastAsia="Calibri" w:hAnsi="Arial" w:cs="Arial"/>
        </w:rPr>
        <w:t xml:space="preserve">Az adatszolgáltatásban az értékeket euróban kell szerepeltetni. Az átváltási árfolyamokat a központi értéktár határozza meg a következők szerint: az alkalmazott átváltási árfolyamok tárgyév utolsó napján érvényes átváltási árfolyamok. Amennyiben rendelkezésre áll, az átváltásához az Európai Központi Bank átváltási árfolyamát kell alkalmazni. </w:t>
      </w:r>
    </w:p>
    <w:p w14:paraId="7A5B8996" w14:textId="77777777" w:rsidR="0030170B" w:rsidRPr="00992D4C" w:rsidRDefault="0030170B" w:rsidP="0030170B">
      <w:pPr>
        <w:pStyle w:val="Listaszerbekezds"/>
        <w:numPr>
          <w:ilvl w:val="0"/>
          <w:numId w:val="0"/>
        </w:numPr>
        <w:spacing w:after="0"/>
        <w:ind w:left="720"/>
        <w:rPr>
          <w:rFonts w:ascii="Arial" w:eastAsia="Calibri" w:hAnsi="Arial" w:cs="Arial"/>
          <w:b/>
        </w:rPr>
      </w:pPr>
    </w:p>
    <w:p w14:paraId="24BA3BA6" w14:textId="77777777" w:rsidR="0030170B" w:rsidRPr="00992D4C" w:rsidRDefault="0030170B" w:rsidP="0030170B">
      <w:pPr>
        <w:numPr>
          <w:ilvl w:val="0"/>
          <w:numId w:val="19"/>
        </w:numPr>
        <w:spacing w:after="0"/>
        <w:ind w:left="426" w:hanging="426"/>
        <w:contextualSpacing/>
        <w:rPr>
          <w:rFonts w:ascii="Arial" w:eastAsia="Calibri" w:hAnsi="Arial" w:cs="Arial"/>
        </w:rPr>
      </w:pPr>
      <w:r w:rsidRPr="00992D4C">
        <w:rPr>
          <w:rFonts w:ascii="Arial" w:eastAsia="Calibri" w:hAnsi="Arial" w:cs="Arial"/>
        </w:rPr>
        <w:t xml:space="preserve">A 01. és a 02. táblában, az (EU) 2017/389 </w:t>
      </w:r>
      <w:r w:rsidRPr="00992D4C">
        <w:rPr>
          <w:rFonts w:ascii="Arial" w:hAnsi="Arial" w:cs="Arial"/>
        </w:rPr>
        <w:t>felhatalmazáson alapuló bizottsági</w:t>
      </w:r>
      <w:r w:rsidRPr="00992D4C">
        <w:rPr>
          <w:rFonts w:ascii="Arial" w:eastAsia="Calibri" w:hAnsi="Arial" w:cs="Arial"/>
        </w:rPr>
        <w:t xml:space="preserve"> rendelet 5. cikk (1) bekezdés a) és b) pontjában szereplő kritériumokat figyelembe véve, a központi értéktárnak az adatokat a következők szerint kell jelentenie:</w:t>
      </w:r>
    </w:p>
    <w:p w14:paraId="178F2866" w14:textId="77777777" w:rsidR="0030170B" w:rsidRPr="00992D4C" w:rsidRDefault="0030170B" w:rsidP="0030170B">
      <w:pPr>
        <w:pStyle w:val="Listaszerbekezds"/>
        <w:numPr>
          <w:ilvl w:val="0"/>
          <w:numId w:val="22"/>
        </w:numPr>
        <w:spacing w:after="0"/>
        <w:ind w:left="851"/>
        <w:rPr>
          <w:rFonts w:ascii="Arial" w:eastAsia="Calibri" w:hAnsi="Arial" w:cs="Arial"/>
        </w:rPr>
      </w:pPr>
      <w:r w:rsidRPr="00992D4C">
        <w:rPr>
          <w:rFonts w:ascii="Arial" w:eastAsia="Calibri" w:hAnsi="Arial" w:cs="Arial"/>
        </w:rPr>
        <w:t xml:space="preserve"> az adatszolgáltatásban a tárgyév december 31-én érvényes értékpapírokra vonatkozó adatokat kell jelenteni, a </w:t>
      </w:r>
      <w:proofErr w:type="spellStart"/>
      <w:r w:rsidRPr="00992D4C">
        <w:rPr>
          <w:rFonts w:ascii="Arial" w:eastAsia="Calibri" w:hAnsi="Arial" w:cs="Arial"/>
        </w:rPr>
        <w:t>törölt</w:t>
      </w:r>
      <w:proofErr w:type="spellEnd"/>
      <w:r w:rsidRPr="00992D4C">
        <w:rPr>
          <w:rFonts w:ascii="Arial" w:eastAsia="Calibri" w:hAnsi="Arial" w:cs="Arial"/>
        </w:rPr>
        <w:t xml:space="preserve"> értékpapírok nélkül, </w:t>
      </w:r>
    </w:p>
    <w:p w14:paraId="6A0D8367" w14:textId="77777777" w:rsidR="0030170B" w:rsidRPr="00992D4C" w:rsidRDefault="0030170B" w:rsidP="0030170B">
      <w:pPr>
        <w:pStyle w:val="Listaszerbekezds"/>
        <w:numPr>
          <w:ilvl w:val="0"/>
          <w:numId w:val="22"/>
        </w:numPr>
        <w:spacing w:after="0"/>
        <w:ind w:left="851"/>
        <w:rPr>
          <w:rFonts w:ascii="Arial" w:eastAsia="Calibri" w:hAnsi="Arial" w:cs="Arial"/>
        </w:rPr>
      </w:pPr>
      <w:r w:rsidRPr="00992D4C">
        <w:rPr>
          <w:rFonts w:ascii="Arial" w:eastAsia="Calibri" w:hAnsi="Arial" w:cs="Arial"/>
        </w:rPr>
        <w:t xml:space="preserve">az egyes ISIN azonosítók tekintetében a tárgyév december 31-én alkalmazott és az (EU) 2017/389 </w:t>
      </w:r>
      <w:r w:rsidRPr="00992D4C">
        <w:rPr>
          <w:rFonts w:ascii="Arial" w:hAnsi="Arial" w:cs="Arial"/>
        </w:rPr>
        <w:t>felhatalmazáson alapuló bizottsági</w:t>
      </w:r>
      <w:r w:rsidRPr="00992D4C">
        <w:rPr>
          <w:rFonts w:ascii="Arial" w:eastAsia="Calibri" w:hAnsi="Arial" w:cs="Arial"/>
        </w:rPr>
        <w:t xml:space="preserve"> rendelet 7. cikkével összhangban azonosított piaci értéket kell használni. </w:t>
      </w:r>
    </w:p>
    <w:p w14:paraId="23770905" w14:textId="77777777" w:rsidR="0030170B" w:rsidRPr="00992D4C" w:rsidRDefault="0030170B" w:rsidP="0030170B">
      <w:pPr>
        <w:ind w:left="720"/>
        <w:contextualSpacing/>
        <w:rPr>
          <w:rFonts w:ascii="Arial" w:eastAsia="Calibri" w:hAnsi="Arial" w:cs="Arial"/>
        </w:rPr>
      </w:pPr>
    </w:p>
    <w:p w14:paraId="28A1CF4C" w14:textId="77777777" w:rsidR="0030170B" w:rsidRPr="00992D4C" w:rsidRDefault="0030170B" w:rsidP="0030170B">
      <w:pPr>
        <w:pStyle w:val="Listaszerbekezds"/>
        <w:numPr>
          <w:ilvl w:val="0"/>
          <w:numId w:val="19"/>
        </w:numPr>
        <w:spacing w:after="0"/>
        <w:ind w:left="426" w:hanging="426"/>
        <w:rPr>
          <w:rFonts w:ascii="Arial" w:eastAsia="Calibri" w:hAnsi="Arial" w:cs="Arial"/>
        </w:rPr>
      </w:pPr>
      <w:r w:rsidRPr="00992D4C">
        <w:rPr>
          <w:rFonts w:ascii="Arial" w:eastAsia="Calibri" w:hAnsi="Arial" w:cs="Arial"/>
        </w:rPr>
        <w:t xml:space="preserve">A 03. és a 04. táblában, az (EU) 2017/389 </w:t>
      </w:r>
      <w:r w:rsidRPr="00992D4C">
        <w:rPr>
          <w:rFonts w:ascii="Arial" w:hAnsi="Arial" w:cs="Arial"/>
        </w:rPr>
        <w:t>felhatalmazáson alapuló bizottsági</w:t>
      </w:r>
      <w:r w:rsidRPr="00992D4C">
        <w:rPr>
          <w:rFonts w:ascii="Arial" w:eastAsia="Calibri" w:hAnsi="Arial" w:cs="Arial"/>
        </w:rPr>
        <w:t xml:space="preserve"> rendelet 6. cikk (1) bekezdés a) és b) pontjában szereplő kritériumokat figyelembe véve, a központi értéktárnak az adatokat a következők szerint kell jelentenie:</w:t>
      </w:r>
    </w:p>
    <w:p w14:paraId="629A5F37" w14:textId="77777777" w:rsidR="0030170B" w:rsidRPr="00992D4C" w:rsidRDefault="0030170B" w:rsidP="0030170B">
      <w:pPr>
        <w:pStyle w:val="Listaszerbekezds"/>
        <w:numPr>
          <w:ilvl w:val="1"/>
          <w:numId w:val="21"/>
        </w:numPr>
        <w:spacing w:after="0"/>
        <w:ind w:left="851"/>
        <w:rPr>
          <w:rFonts w:ascii="Arial" w:eastAsia="Calibri" w:hAnsi="Arial" w:cs="Arial"/>
        </w:rPr>
      </w:pPr>
      <w:r w:rsidRPr="00992D4C">
        <w:rPr>
          <w:rFonts w:ascii="Arial" w:eastAsia="Calibri" w:hAnsi="Arial" w:cs="Arial"/>
        </w:rPr>
        <w:t>az adatoknak tartalmazniuk kell a központi értéktár által teljesített kiegyenlítési megbízások értékeit, a következő szerint:</w:t>
      </w:r>
      <w:r w:rsidRPr="00992D4C">
        <w:rPr>
          <w:rFonts w:ascii="Arial" w:eastAsia="Calibri" w:hAnsi="Arial" w:cs="Arial"/>
          <w:b/>
        </w:rPr>
        <w:t xml:space="preserve"> </w:t>
      </w:r>
    </w:p>
    <w:p w14:paraId="57439B31" w14:textId="77777777" w:rsidR="0030170B" w:rsidRPr="00992D4C" w:rsidRDefault="0030170B" w:rsidP="0030170B">
      <w:pPr>
        <w:autoSpaceDE w:val="0"/>
        <w:autoSpaceDN w:val="0"/>
        <w:adjustRightInd w:val="0"/>
        <w:spacing w:after="120"/>
        <w:ind w:left="1418" w:hanging="284"/>
        <w:rPr>
          <w:rFonts w:ascii="Arial" w:eastAsia="Calibri" w:hAnsi="Arial" w:cs="Arial"/>
        </w:rPr>
      </w:pPr>
      <w:proofErr w:type="spellStart"/>
      <w:r w:rsidRPr="00992D4C">
        <w:rPr>
          <w:rFonts w:ascii="Arial" w:eastAsia="Calibri" w:hAnsi="Arial" w:cs="Arial"/>
        </w:rPr>
        <w:t>aa</w:t>
      </w:r>
      <w:proofErr w:type="spellEnd"/>
      <w:r w:rsidRPr="00992D4C">
        <w:rPr>
          <w:rFonts w:ascii="Arial" w:eastAsia="Calibri" w:hAnsi="Arial" w:cs="Arial"/>
        </w:rPr>
        <w:t>) az adatoknak tartalmazniuk kell a központi értéktár teljesítéseinek abszolút értékét a tárgyév tekintetében;</w:t>
      </w:r>
    </w:p>
    <w:p w14:paraId="57A59B50" w14:textId="77777777" w:rsidR="0030170B" w:rsidRPr="00992D4C" w:rsidRDefault="0030170B" w:rsidP="0030170B">
      <w:pPr>
        <w:autoSpaceDE w:val="0"/>
        <w:autoSpaceDN w:val="0"/>
        <w:adjustRightInd w:val="0"/>
        <w:spacing w:after="120"/>
        <w:ind w:left="1418" w:hanging="284"/>
        <w:rPr>
          <w:rFonts w:ascii="Arial" w:eastAsia="Calibri" w:hAnsi="Arial" w:cs="Arial"/>
        </w:rPr>
      </w:pPr>
      <w:r w:rsidRPr="00992D4C">
        <w:rPr>
          <w:rFonts w:ascii="Arial" w:eastAsia="Calibri" w:hAnsi="Arial" w:cs="Arial"/>
        </w:rPr>
        <w:t>ab) a központi értéktár által teljesített kiegyenlítési megbízások valamennyi kategóriáját fel kell tüntetni attól függetlenül, hogy olyan ügyletekre vonatkoznak, amelyeket a kereskedési helyszínen hajtottak végre vagy olyanokra, amelyekre tőzsdén kívül került sor;</w:t>
      </w:r>
    </w:p>
    <w:p w14:paraId="07443737" w14:textId="77777777" w:rsidR="0030170B" w:rsidRPr="00992D4C" w:rsidRDefault="0030170B" w:rsidP="0030170B">
      <w:pPr>
        <w:autoSpaceDE w:val="0"/>
        <w:autoSpaceDN w:val="0"/>
        <w:adjustRightInd w:val="0"/>
        <w:spacing w:after="120"/>
        <w:ind w:left="1418" w:hanging="284"/>
        <w:rPr>
          <w:rFonts w:ascii="Arial" w:eastAsia="Calibri" w:hAnsi="Arial" w:cs="Arial"/>
        </w:rPr>
      </w:pPr>
      <w:proofErr w:type="spellStart"/>
      <w:r w:rsidRPr="00992D4C">
        <w:rPr>
          <w:rFonts w:ascii="Arial" w:eastAsia="Calibri" w:hAnsi="Arial" w:cs="Arial"/>
        </w:rPr>
        <w:t>ac</w:t>
      </w:r>
      <w:proofErr w:type="spellEnd"/>
      <w:r w:rsidRPr="00992D4C">
        <w:rPr>
          <w:rFonts w:ascii="Arial" w:eastAsia="Calibri" w:hAnsi="Arial" w:cs="Arial"/>
        </w:rPr>
        <w:t>) a több ügyletből álló műveletek esetében, úgymint a repó-, illetve kölcsönzési megállapodásokat is, kiegyenlítéskor mindkét oldalt be kell jelenteni;</w:t>
      </w:r>
    </w:p>
    <w:p w14:paraId="5F06E2B7" w14:textId="77777777" w:rsidR="0030170B" w:rsidRPr="00992D4C" w:rsidRDefault="0030170B" w:rsidP="0030170B">
      <w:pPr>
        <w:autoSpaceDE w:val="0"/>
        <w:autoSpaceDN w:val="0"/>
        <w:adjustRightInd w:val="0"/>
        <w:spacing w:after="120"/>
        <w:ind w:left="1418" w:hanging="284"/>
        <w:rPr>
          <w:rFonts w:ascii="Arial" w:eastAsia="Calibri" w:hAnsi="Arial" w:cs="Arial"/>
        </w:rPr>
      </w:pPr>
      <w:r w:rsidRPr="00992D4C">
        <w:rPr>
          <w:rFonts w:ascii="Arial" w:eastAsia="Calibri" w:hAnsi="Arial" w:cs="Arial"/>
        </w:rPr>
        <w:t>ad) a központi értéktárak közötti kiegyenlítés esetében a központi értéktár [kibocsátó központi értéktár (</w:t>
      </w:r>
      <w:proofErr w:type="spellStart"/>
      <w:r w:rsidRPr="00992D4C">
        <w:rPr>
          <w:rFonts w:ascii="Arial" w:eastAsia="Calibri" w:hAnsi="Arial" w:cs="Arial"/>
        </w:rPr>
        <w:t>issuer</w:t>
      </w:r>
      <w:proofErr w:type="spellEnd"/>
      <w:r w:rsidRPr="00992D4C">
        <w:rPr>
          <w:rFonts w:ascii="Arial" w:eastAsia="Calibri" w:hAnsi="Arial" w:cs="Arial"/>
        </w:rPr>
        <w:t xml:space="preserve"> </w:t>
      </w:r>
      <w:proofErr w:type="spellStart"/>
      <w:r w:rsidRPr="00992D4C">
        <w:rPr>
          <w:rFonts w:ascii="Arial" w:eastAsia="Calibri" w:hAnsi="Arial" w:cs="Arial"/>
        </w:rPr>
        <w:t>CSD</w:t>
      </w:r>
      <w:proofErr w:type="spellEnd"/>
      <w:r w:rsidRPr="00992D4C">
        <w:rPr>
          <w:rFonts w:ascii="Arial" w:eastAsia="Calibri" w:hAnsi="Arial" w:cs="Arial"/>
        </w:rPr>
        <w:t>) vagy befektető központi értéktár (</w:t>
      </w:r>
      <w:proofErr w:type="spellStart"/>
      <w:r w:rsidRPr="00992D4C">
        <w:rPr>
          <w:rFonts w:ascii="Arial" w:eastAsia="Calibri" w:hAnsi="Arial" w:cs="Arial"/>
        </w:rPr>
        <w:t>investor</w:t>
      </w:r>
      <w:proofErr w:type="spellEnd"/>
      <w:r w:rsidRPr="00992D4C">
        <w:rPr>
          <w:rFonts w:ascii="Arial" w:eastAsia="Calibri" w:hAnsi="Arial" w:cs="Arial"/>
        </w:rPr>
        <w:t xml:space="preserve"> </w:t>
      </w:r>
      <w:proofErr w:type="spellStart"/>
      <w:r w:rsidRPr="00992D4C">
        <w:rPr>
          <w:rFonts w:ascii="Arial" w:eastAsia="Calibri" w:hAnsi="Arial" w:cs="Arial"/>
        </w:rPr>
        <w:t>CSD</w:t>
      </w:r>
      <w:proofErr w:type="spellEnd"/>
      <w:r w:rsidRPr="00992D4C">
        <w:rPr>
          <w:rFonts w:ascii="Arial" w:eastAsia="Calibri" w:hAnsi="Arial" w:cs="Arial"/>
        </w:rPr>
        <w:t xml:space="preserve">)] az ügylet mindkét oldalát köteles bejelenteni, vagyis jelentenie kell a kapott két kiegyenlítési megbízást; </w:t>
      </w:r>
    </w:p>
    <w:p w14:paraId="263466FD" w14:textId="77777777" w:rsidR="0030170B" w:rsidRPr="00992D4C" w:rsidRDefault="0030170B" w:rsidP="0030170B">
      <w:pPr>
        <w:autoSpaceDE w:val="0"/>
        <w:autoSpaceDN w:val="0"/>
        <w:adjustRightInd w:val="0"/>
        <w:spacing w:after="120"/>
        <w:ind w:left="1418" w:hanging="284"/>
        <w:rPr>
          <w:rFonts w:ascii="Arial" w:eastAsia="Calibri" w:hAnsi="Arial" w:cs="Arial"/>
        </w:rPr>
      </w:pPr>
      <w:proofErr w:type="spellStart"/>
      <w:r w:rsidRPr="00992D4C">
        <w:rPr>
          <w:rFonts w:ascii="Arial" w:eastAsia="Calibri" w:hAnsi="Arial" w:cs="Arial"/>
        </w:rPr>
        <w:t>ae</w:t>
      </w:r>
      <w:proofErr w:type="spellEnd"/>
      <w:r w:rsidRPr="00992D4C">
        <w:rPr>
          <w:rFonts w:ascii="Arial" w:eastAsia="Calibri" w:hAnsi="Arial" w:cs="Arial"/>
        </w:rPr>
        <w:t xml:space="preserve">) ha valamely ügylet kiegyenlítésében egynél több központi értéktár érintett standard, egyedi kialakítású vagy közvetett kapcsolat útján, akkor csak az ügylet két oldalát kiegyenlítő központi értéktár (kibocsátó központi értéktár vagy befektető központi értéktár) szolgáltat adatokat, és ez a központi értéktár bejelenti a beérkezett két kiegyenlítési megbízást, az ügyletnek csupán egyetlen oldalát „kiegyenlítő” befektető központi értéktár nem szolgáltat adatot; </w:t>
      </w:r>
    </w:p>
    <w:p w14:paraId="435FCFF3" w14:textId="77777777" w:rsidR="0030170B" w:rsidRPr="00992D4C" w:rsidRDefault="0030170B" w:rsidP="0030170B">
      <w:pPr>
        <w:autoSpaceDE w:val="0"/>
        <w:autoSpaceDN w:val="0"/>
        <w:adjustRightInd w:val="0"/>
        <w:spacing w:after="120"/>
        <w:ind w:left="1418" w:hanging="284"/>
        <w:rPr>
          <w:rFonts w:ascii="Arial" w:eastAsia="Calibri" w:hAnsi="Arial" w:cs="Arial"/>
        </w:rPr>
      </w:pPr>
      <w:proofErr w:type="spellStart"/>
      <w:r w:rsidRPr="00992D4C">
        <w:rPr>
          <w:rFonts w:ascii="Arial" w:eastAsia="Calibri" w:hAnsi="Arial" w:cs="Arial"/>
        </w:rPr>
        <w:lastRenderedPageBreak/>
        <w:t>af</w:t>
      </w:r>
      <w:proofErr w:type="spellEnd"/>
      <w:r w:rsidRPr="00992D4C">
        <w:rPr>
          <w:rFonts w:ascii="Arial" w:eastAsia="Calibri" w:hAnsi="Arial" w:cs="Arial"/>
        </w:rPr>
        <w:t xml:space="preserve">) a közös kiegyenlítési infrastruktúrát használó központi értéktárak vagy </w:t>
      </w:r>
      <w:proofErr w:type="spellStart"/>
      <w:r w:rsidRPr="00992D4C">
        <w:rPr>
          <w:rFonts w:ascii="Arial" w:eastAsia="Calibri" w:hAnsi="Arial" w:cs="Arial"/>
        </w:rPr>
        <w:t>interoperábilis</w:t>
      </w:r>
      <w:proofErr w:type="spellEnd"/>
      <w:r w:rsidRPr="00992D4C">
        <w:rPr>
          <w:rFonts w:ascii="Arial" w:eastAsia="Calibri" w:hAnsi="Arial" w:cs="Arial"/>
        </w:rPr>
        <w:t xml:space="preserve"> kapcsolatok útján történő, központi értéktárak közötti kiegyenlítés esetében mindegyik központi értéktár jelenti az ügylettel összefüggésben hozzá beérkezett egyetlen kiegyenlítési megbízást. </w:t>
      </w:r>
    </w:p>
    <w:p w14:paraId="4DB98786" w14:textId="77777777" w:rsidR="0030170B" w:rsidRPr="00992D4C" w:rsidRDefault="0030170B" w:rsidP="0030170B">
      <w:pPr>
        <w:pStyle w:val="Listaszerbekezds"/>
        <w:numPr>
          <w:ilvl w:val="1"/>
          <w:numId w:val="21"/>
        </w:numPr>
        <w:autoSpaceDE w:val="0"/>
        <w:autoSpaceDN w:val="0"/>
        <w:adjustRightInd w:val="0"/>
        <w:spacing w:after="120"/>
        <w:ind w:left="851"/>
        <w:rPr>
          <w:rFonts w:ascii="Arial" w:eastAsia="Calibri" w:hAnsi="Arial" w:cs="Arial"/>
        </w:rPr>
      </w:pPr>
      <w:r w:rsidRPr="00992D4C">
        <w:rPr>
          <w:rFonts w:ascii="Arial" w:eastAsia="Calibri" w:hAnsi="Arial" w:cs="Arial"/>
        </w:rPr>
        <w:t xml:space="preserve">a kiegyenlítési megbízások a következő ügyletfajtákhoz kapcsolódhatnak: </w:t>
      </w:r>
    </w:p>
    <w:p w14:paraId="61910F3F" w14:textId="77777777" w:rsidR="0030170B" w:rsidRPr="00992D4C" w:rsidRDefault="0030170B" w:rsidP="0030170B">
      <w:pPr>
        <w:autoSpaceDE w:val="0"/>
        <w:autoSpaceDN w:val="0"/>
        <w:adjustRightInd w:val="0"/>
        <w:spacing w:after="120"/>
        <w:ind w:left="1418" w:hanging="284"/>
        <w:rPr>
          <w:rFonts w:ascii="Arial" w:eastAsia="Calibri" w:hAnsi="Arial" w:cs="Arial"/>
        </w:rPr>
      </w:pPr>
      <w:r w:rsidRPr="00992D4C">
        <w:rPr>
          <w:rFonts w:ascii="Arial" w:eastAsia="Calibri" w:hAnsi="Arial" w:cs="Arial"/>
        </w:rPr>
        <w:t xml:space="preserve">ba) értékpapírok vétele vagy eladása (ideértve az értékpapírok elsődleges piaci vételét vagy eladását); </w:t>
      </w:r>
    </w:p>
    <w:p w14:paraId="1502CF7D" w14:textId="77777777" w:rsidR="0030170B" w:rsidRPr="00992D4C" w:rsidRDefault="0030170B" w:rsidP="0030170B">
      <w:pPr>
        <w:autoSpaceDE w:val="0"/>
        <w:autoSpaceDN w:val="0"/>
        <w:adjustRightInd w:val="0"/>
        <w:spacing w:after="120"/>
        <w:ind w:left="1418" w:hanging="284"/>
        <w:rPr>
          <w:rFonts w:ascii="Arial" w:eastAsia="Calibri" w:hAnsi="Arial" w:cs="Arial"/>
        </w:rPr>
      </w:pPr>
      <w:proofErr w:type="spellStart"/>
      <w:r w:rsidRPr="00992D4C">
        <w:rPr>
          <w:rFonts w:ascii="Arial" w:eastAsia="Calibri" w:hAnsi="Arial" w:cs="Arial"/>
        </w:rPr>
        <w:t>bb</w:t>
      </w:r>
      <w:proofErr w:type="spellEnd"/>
      <w:r w:rsidRPr="00992D4C">
        <w:rPr>
          <w:rFonts w:ascii="Arial" w:eastAsia="Calibri" w:hAnsi="Arial" w:cs="Arial"/>
        </w:rPr>
        <w:t>) biztosítékkezelési műveletek [ideértve a háromszereplős biztosítékkezelési műveleteket vagy az automatikus biztosítottsági műveleteket (</w:t>
      </w:r>
      <w:proofErr w:type="spellStart"/>
      <w:r w:rsidRPr="00992D4C">
        <w:rPr>
          <w:rFonts w:ascii="Arial" w:hAnsi="Arial" w:cs="Arial"/>
        </w:rPr>
        <w:t>triparty</w:t>
      </w:r>
      <w:proofErr w:type="spellEnd"/>
      <w:r w:rsidRPr="00992D4C">
        <w:rPr>
          <w:rFonts w:ascii="Arial" w:hAnsi="Arial" w:cs="Arial"/>
        </w:rPr>
        <w:t xml:space="preserve"> </w:t>
      </w:r>
      <w:proofErr w:type="spellStart"/>
      <w:r w:rsidRPr="00992D4C">
        <w:rPr>
          <w:rFonts w:ascii="Arial" w:hAnsi="Arial" w:cs="Arial"/>
        </w:rPr>
        <w:t>collateral</w:t>
      </w:r>
      <w:proofErr w:type="spellEnd"/>
      <w:r w:rsidRPr="00992D4C">
        <w:rPr>
          <w:rFonts w:ascii="Arial" w:hAnsi="Arial" w:cs="Arial"/>
        </w:rPr>
        <w:t xml:space="preserve"> management </w:t>
      </w:r>
      <w:proofErr w:type="spellStart"/>
      <w:r w:rsidRPr="00992D4C">
        <w:rPr>
          <w:rFonts w:ascii="Arial" w:hAnsi="Arial" w:cs="Arial"/>
        </w:rPr>
        <w:t>operations</w:t>
      </w:r>
      <w:proofErr w:type="spellEnd"/>
      <w:r w:rsidRPr="00992D4C">
        <w:rPr>
          <w:rFonts w:ascii="Arial" w:hAnsi="Arial" w:cs="Arial"/>
        </w:rPr>
        <w:t xml:space="preserve"> </w:t>
      </w:r>
      <w:proofErr w:type="spellStart"/>
      <w:r w:rsidRPr="00992D4C">
        <w:rPr>
          <w:rFonts w:ascii="Arial" w:hAnsi="Arial" w:cs="Arial"/>
        </w:rPr>
        <w:t>or</w:t>
      </w:r>
      <w:proofErr w:type="spellEnd"/>
      <w:r w:rsidRPr="00992D4C">
        <w:rPr>
          <w:rFonts w:ascii="Arial" w:hAnsi="Arial" w:cs="Arial"/>
        </w:rPr>
        <w:t xml:space="preserve"> </w:t>
      </w:r>
      <w:proofErr w:type="spellStart"/>
      <w:r w:rsidRPr="00992D4C">
        <w:rPr>
          <w:rFonts w:ascii="Arial" w:hAnsi="Arial" w:cs="Arial"/>
        </w:rPr>
        <w:t>auto-collateralisation</w:t>
      </w:r>
      <w:proofErr w:type="spellEnd"/>
      <w:r w:rsidRPr="00992D4C">
        <w:rPr>
          <w:rFonts w:ascii="Arial" w:hAnsi="Arial" w:cs="Arial"/>
        </w:rPr>
        <w:t xml:space="preserve"> </w:t>
      </w:r>
      <w:proofErr w:type="spellStart"/>
      <w:r w:rsidRPr="00992D4C">
        <w:rPr>
          <w:rFonts w:ascii="Arial" w:hAnsi="Arial" w:cs="Arial"/>
        </w:rPr>
        <w:t>operations</w:t>
      </w:r>
      <w:proofErr w:type="spellEnd"/>
      <w:r w:rsidRPr="00992D4C">
        <w:rPr>
          <w:rFonts w:ascii="Arial" w:hAnsi="Arial" w:cs="Arial"/>
        </w:rPr>
        <w:t>)]</w:t>
      </w:r>
      <w:r w:rsidRPr="00992D4C">
        <w:rPr>
          <w:rFonts w:ascii="Arial" w:eastAsia="Calibri" w:hAnsi="Arial" w:cs="Arial"/>
        </w:rPr>
        <w:t xml:space="preserve">; </w:t>
      </w:r>
    </w:p>
    <w:p w14:paraId="27DE9B98" w14:textId="77777777" w:rsidR="0030170B" w:rsidRPr="00992D4C" w:rsidRDefault="0030170B" w:rsidP="0030170B">
      <w:pPr>
        <w:autoSpaceDE w:val="0"/>
        <w:autoSpaceDN w:val="0"/>
        <w:adjustRightInd w:val="0"/>
        <w:spacing w:after="120"/>
        <w:ind w:left="1418" w:hanging="284"/>
        <w:rPr>
          <w:rFonts w:ascii="Arial" w:eastAsia="Calibri" w:hAnsi="Arial" w:cs="Arial"/>
        </w:rPr>
      </w:pPr>
      <w:r w:rsidRPr="00992D4C">
        <w:rPr>
          <w:rFonts w:ascii="Arial" w:eastAsia="Calibri" w:hAnsi="Arial" w:cs="Arial"/>
        </w:rPr>
        <w:t>bc) az értékpapír-kölcsönzéssel és -kölcsönvétellel (</w:t>
      </w:r>
      <w:proofErr w:type="spellStart"/>
      <w:r w:rsidRPr="00992D4C">
        <w:rPr>
          <w:rFonts w:ascii="Arial" w:hAnsi="Arial" w:cs="Arial"/>
        </w:rPr>
        <w:t>securities</w:t>
      </w:r>
      <w:proofErr w:type="spellEnd"/>
      <w:r w:rsidRPr="00992D4C">
        <w:rPr>
          <w:rFonts w:ascii="Arial" w:hAnsi="Arial" w:cs="Arial"/>
        </w:rPr>
        <w:t xml:space="preserve"> </w:t>
      </w:r>
      <w:proofErr w:type="spellStart"/>
      <w:r w:rsidRPr="00992D4C">
        <w:rPr>
          <w:rFonts w:ascii="Arial" w:hAnsi="Arial" w:cs="Arial"/>
        </w:rPr>
        <w:t>lending</w:t>
      </w:r>
      <w:proofErr w:type="spellEnd"/>
      <w:r w:rsidRPr="00992D4C">
        <w:rPr>
          <w:rFonts w:ascii="Arial" w:hAnsi="Arial" w:cs="Arial"/>
        </w:rPr>
        <w:t>/</w:t>
      </w:r>
      <w:proofErr w:type="spellStart"/>
      <w:r w:rsidRPr="00992D4C">
        <w:rPr>
          <w:rFonts w:ascii="Arial" w:hAnsi="Arial" w:cs="Arial"/>
        </w:rPr>
        <w:t>borrowing</w:t>
      </w:r>
      <w:proofErr w:type="spellEnd"/>
      <w:r w:rsidRPr="00992D4C">
        <w:rPr>
          <w:rFonts w:ascii="Arial" w:hAnsi="Arial" w:cs="Arial"/>
        </w:rPr>
        <w:t>)</w:t>
      </w:r>
      <w:r w:rsidRPr="00992D4C">
        <w:rPr>
          <w:rFonts w:ascii="Arial" w:eastAsia="Calibri" w:hAnsi="Arial" w:cs="Arial"/>
        </w:rPr>
        <w:t xml:space="preserve"> összefüggő műveletek; </w:t>
      </w:r>
    </w:p>
    <w:p w14:paraId="2203DE01" w14:textId="77777777" w:rsidR="0030170B" w:rsidRPr="00992D4C" w:rsidRDefault="0030170B" w:rsidP="0030170B">
      <w:pPr>
        <w:autoSpaceDE w:val="0"/>
        <w:autoSpaceDN w:val="0"/>
        <w:adjustRightInd w:val="0"/>
        <w:spacing w:after="120"/>
        <w:ind w:left="1418" w:hanging="284"/>
        <w:rPr>
          <w:rFonts w:ascii="Arial" w:eastAsia="Calibri" w:hAnsi="Arial" w:cs="Arial"/>
        </w:rPr>
      </w:pPr>
      <w:proofErr w:type="spellStart"/>
      <w:r w:rsidRPr="00992D4C">
        <w:rPr>
          <w:rFonts w:ascii="Arial" w:eastAsia="Calibri" w:hAnsi="Arial" w:cs="Arial"/>
        </w:rPr>
        <w:t>bd</w:t>
      </w:r>
      <w:proofErr w:type="spellEnd"/>
      <w:r w:rsidRPr="00992D4C">
        <w:rPr>
          <w:rFonts w:ascii="Arial" w:eastAsia="Calibri" w:hAnsi="Arial" w:cs="Arial"/>
        </w:rPr>
        <w:t xml:space="preserve">) </w:t>
      </w:r>
      <w:proofErr w:type="spellStart"/>
      <w:r w:rsidRPr="00992D4C">
        <w:rPr>
          <w:rFonts w:ascii="Arial" w:eastAsia="Calibri" w:hAnsi="Arial" w:cs="Arial"/>
        </w:rPr>
        <w:t>repóügyletek</w:t>
      </w:r>
      <w:proofErr w:type="spellEnd"/>
      <w:r w:rsidRPr="00992D4C">
        <w:rPr>
          <w:rFonts w:ascii="Arial" w:eastAsia="Calibri" w:hAnsi="Arial" w:cs="Arial"/>
        </w:rPr>
        <w:t xml:space="preserve">; </w:t>
      </w:r>
    </w:p>
    <w:p w14:paraId="0968804B" w14:textId="77777777" w:rsidR="0030170B" w:rsidRPr="00992D4C" w:rsidRDefault="0030170B" w:rsidP="0030170B">
      <w:pPr>
        <w:autoSpaceDE w:val="0"/>
        <w:autoSpaceDN w:val="0"/>
        <w:adjustRightInd w:val="0"/>
        <w:spacing w:after="120"/>
        <w:ind w:left="1418" w:hanging="284"/>
        <w:rPr>
          <w:rFonts w:ascii="Arial" w:eastAsia="Calibri" w:hAnsi="Arial" w:cs="Arial"/>
        </w:rPr>
      </w:pPr>
      <w:r w:rsidRPr="00992D4C">
        <w:rPr>
          <w:rFonts w:ascii="Arial" w:eastAsia="Calibri" w:hAnsi="Arial" w:cs="Arial"/>
        </w:rPr>
        <w:t xml:space="preserve">be) egyéb (ideértve a forgalommal kapcsolatos vállalati eseményeket, vagyis a piaci követeléseket és transzformációkat). </w:t>
      </w:r>
    </w:p>
    <w:p w14:paraId="090E6C01" w14:textId="77777777" w:rsidR="0030170B" w:rsidRPr="00992D4C" w:rsidRDefault="0030170B" w:rsidP="0030170B">
      <w:pPr>
        <w:pStyle w:val="Listaszerbekezds"/>
        <w:numPr>
          <w:ilvl w:val="1"/>
          <w:numId w:val="21"/>
        </w:numPr>
        <w:autoSpaceDE w:val="0"/>
        <w:autoSpaceDN w:val="0"/>
        <w:adjustRightInd w:val="0"/>
        <w:spacing w:after="120"/>
        <w:ind w:left="851"/>
        <w:rPr>
          <w:rFonts w:ascii="Arial" w:eastAsia="Calibri" w:hAnsi="Arial" w:cs="Arial"/>
        </w:rPr>
      </w:pPr>
      <w:r w:rsidRPr="00992D4C">
        <w:rPr>
          <w:rFonts w:ascii="Arial" w:eastAsia="Calibri" w:hAnsi="Arial" w:cs="Arial"/>
        </w:rPr>
        <w:t xml:space="preserve">a következő ügyletfajtákat az adatszolgáltatásban nem kell jelenteni: </w:t>
      </w:r>
    </w:p>
    <w:p w14:paraId="09522308" w14:textId="77777777" w:rsidR="0030170B" w:rsidRPr="00992D4C" w:rsidRDefault="0030170B" w:rsidP="0030170B">
      <w:pPr>
        <w:autoSpaceDE w:val="0"/>
        <w:autoSpaceDN w:val="0"/>
        <w:adjustRightInd w:val="0"/>
        <w:spacing w:after="120"/>
        <w:ind w:left="1418" w:hanging="284"/>
        <w:rPr>
          <w:rFonts w:ascii="Arial" w:eastAsia="Calibri" w:hAnsi="Arial" w:cs="Arial"/>
        </w:rPr>
      </w:pPr>
      <w:proofErr w:type="spellStart"/>
      <w:r w:rsidRPr="00992D4C">
        <w:rPr>
          <w:rFonts w:ascii="Arial" w:eastAsia="Calibri" w:hAnsi="Arial" w:cs="Arial"/>
        </w:rPr>
        <w:t>ca</w:t>
      </w:r>
      <w:proofErr w:type="spellEnd"/>
      <w:r w:rsidRPr="00992D4C">
        <w:rPr>
          <w:rFonts w:ascii="Arial" w:eastAsia="Calibri" w:hAnsi="Arial" w:cs="Arial"/>
        </w:rPr>
        <w:t>) az állományokhoz kapcsolódó vállalati események, például a készpénzes-kifizetések (például készpénzes osztalék, kamatfizetés), értékpapír-felosztások (például tőkeosztalék, bónusz), reorganizációk [például konverzió (conversion), részvényfelosztás (</w:t>
      </w:r>
      <w:proofErr w:type="spellStart"/>
      <w:r w:rsidRPr="00992D4C">
        <w:rPr>
          <w:rFonts w:ascii="Arial" w:eastAsia="Calibri" w:hAnsi="Arial" w:cs="Arial"/>
        </w:rPr>
        <w:t>stock</w:t>
      </w:r>
      <w:proofErr w:type="spellEnd"/>
      <w:r w:rsidRPr="00992D4C">
        <w:rPr>
          <w:rFonts w:ascii="Arial" w:eastAsia="Calibri" w:hAnsi="Arial" w:cs="Arial"/>
        </w:rPr>
        <w:t xml:space="preserve"> </w:t>
      </w:r>
      <w:proofErr w:type="spellStart"/>
      <w:r w:rsidRPr="00992D4C">
        <w:rPr>
          <w:rFonts w:ascii="Arial" w:eastAsia="Calibri" w:hAnsi="Arial" w:cs="Arial"/>
        </w:rPr>
        <w:t>split</w:t>
      </w:r>
      <w:proofErr w:type="spellEnd"/>
      <w:r w:rsidRPr="00992D4C">
        <w:rPr>
          <w:rFonts w:ascii="Arial" w:eastAsia="Calibri" w:hAnsi="Arial" w:cs="Arial"/>
        </w:rPr>
        <w:t>), visszavásárlás (</w:t>
      </w:r>
      <w:proofErr w:type="spellStart"/>
      <w:r w:rsidRPr="00992D4C">
        <w:rPr>
          <w:rFonts w:ascii="Arial" w:eastAsia="Calibri" w:hAnsi="Arial" w:cs="Arial"/>
        </w:rPr>
        <w:t>redemption</w:t>
      </w:r>
      <w:proofErr w:type="spellEnd"/>
      <w:r w:rsidRPr="00992D4C">
        <w:rPr>
          <w:rFonts w:ascii="Arial" w:eastAsia="Calibri" w:hAnsi="Arial" w:cs="Arial"/>
        </w:rPr>
        <w:t xml:space="preserve">), pályázati kiírás (tender </w:t>
      </w:r>
      <w:proofErr w:type="spellStart"/>
      <w:r w:rsidRPr="00992D4C">
        <w:rPr>
          <w:rFonts w:ascii="Arial" w:eastAsia="Calibri" w:hAnsi="Arial" w:cs="Arial"/>
        </w:rPr>
        <w:t>offer</w:t>
      </w:r>
      <w:proofErr w:type="spellEnd"/>
      <w:r w:rsidRPr="00992D4C">
        <w:rPr>
          <w:rFonts w:ascii="Arial" w:eastAsia="Calibri" w:hAnsi="Arial" w:cs="Arial"/>
        </w:rPr>
        <w:t xml:space="preserve">)]; </w:t>
      </w:r>
    </w:p>
    <w:p w14:paraId="2F169404" w14:textId="77777777" w:rsidR="0030170B" w:rsidRPr="00992D4C" w:rsidRDefault="0030170B" w:rsidP="0030170B">
      <w:pPr>
        <w:autoSpaceDE w:val="0"/>
        <w:autoSpaceDN w:val="0"/>
        <w:adjustRightInd w:val="0"/>
        <w:spacing w:after="120"/>
        <w:ind w:left="1418" w:hanging="284"/>
        <w:rPr>
          <w:rFonts w:ascii="Arial" w:eastAsia="Calibri" w:hAnsi="Arial" w:cs="Arial"/>
        </w:rPr>
      </w:pPr>
      <w:r w:rsidRPr="00992D4C">
        <w:rPr>
          <w:rFonts w:ascii="Arial" w:eastAsia="Calibri" w:hAnsi="Arial" w:cs="Arial"/>
        </w:rPr>
        <w:t>cb) elsődleges piaci műveletek, az értékpapírok első ízben történő keletkeztetésének folyamatára (</w:t>
      </w:r>
      <w:proofErr w:type="spellStart"/>
      <w:r w:rsidRPr="00992D4C">
        <w:rPr>
          <w:rFonts w:ascii="Arial" w:eastAsia="Calibri" w:hAnsi="Arial" w:cs="Arial"/>
        </w:rPr>
        <w:t>the</w:t>
      </w:r>
      <w:proofErr w:type="spellEnd"/>
      <w:r w:rsidRPr="00992D4C">
        <w:rPr>
          <w:rFonts w:ascii="Arial" w:eastAsia="Calibri" w:hAnsi="Arial" w:cs="Arial"/>
        </w:rPr>
        <w:t xml:space="preserve"> </w:t>
      </w:r>
      <w:proofErr w:type="spellStart"/>
      <w:r w:rsidRPr="00992D4C">
        <w:rPr>
          <w:rFonts w:ascii="Arial" w:eastAsia="Calibri" w:hAnsi="Arial" w:cs="Arial"/>
        </w:rPr>
        <w:t>process</w:t>
      </w:r>
      <w:proofErr w:type="spellEnd"/>
      <w:r w:rsidRPr="00992D4C">
        <w:rPr>
          <w:rFonts w:ascii="Arial" w:eastAsia="Calibri" w:hAnsi="Arial" w:cs="Arial"/>
        </w:rPr>
        <w:t xml:space="preserve"> of </w:t>
      </w:r>
      <w:proofErr w:type="spellStart"/>
      <w:r w:rsidRPr="00992D4C">
        <w:rPr>
          <w:rFonts w:ascii="Arial" w:eastAsia="Calibri" w:hAnsi="Arial" w:cs="Arial"/>
        </w:rPr>
        <w:t>initial</w:t>
      </w:r>
      <w:proofErr w:type="spellEnd"/>
      <w:r w:rsidRPr="00992D4C">
        <w:rPr>
          <w:rFonts w:ascii="Arial" w:eastAsia="Calibri" w:hAnsi="Arial" w:cs="Arial"/>
        </w:rPr>
        <w:t xml:space="preserve"> </w:t>
      </w:r>
      <w:proofErr w:type="spellStart"/>
      <w:r w:rsidRPr="00992D4C">
        <w:rPr>
          <w:rFonts w:ascii="Arial" w:eastAsia="Calibri" w:hAnsi="Arial" w:cs="Arial"/>
        </w:rPr>
        <w:t>creation</w:t>
      </w:r>
      <w:proofErr w:type="spellEnd"/>
      <w:r w:rsidRPr="00992D4C">
        <w:rPr>
          <w:rFonts w:ascii="Arial" w:eastAsia="Calibri" w:hAnsi="Arial" w:cs="Arial"/>
        </w:rPr>
        <w:t xml:space="preserve"> of </w:t>
      </w:r>
      <w:proofErr w:type="spellStart"/>
      <w:r w:rsidRPr="00992D4C">
        <w:rPr>
          <w:rFonts w:ascii="Arial" w:eastAsia="Calibri" w:hAnsi="Arial" w:cs="Arial"/>
        </w:rPr>
        <w:t>securities</w:t>
      </w:r>
      <w:proofErr w:type="spellEnd"/>
      <w:r w:rsidRPr="00992D4C">
        <w:rPr>
          <w:rFonts w:ascii="Arial" w:eastAsia="Calibri" w:hAnsi="Arial" w:cs="Arial"/>
        </w:rPr>
        <w:t xml:space="preserve">) utalva; </w:t>
      </w:r>
    </w:p>
    <w:p w14:paraId="10393A71" w14:textId="77777777" w:rsidR="0030170B" w:rsidRPr="00992D4C" w:rsidRDefault="0030170B" w:rsidP="0030170B">
      <w:pPr>
        <w:autoSpaceDE w:val="0"/>
        <w:autoSpaceDN w:val="0"/>
        <w:adjustRightInd w:val="0"/>
        <w:spacing w:after="120"/>
        <w:ind w:left="1418" w:hanging="284"/>
        <w:rPr>
          <w:rFonts w:ascii="Arial" w:eastAsia="Calibri" w:hAnsi="Arial" w:cs="Arial"/>
        </w:rPr>
      </w:pPr>
      <w:r w:rsidRPr="00992D4C">
        <w:rPr>
          <w:rFonts w:ascii="Arial" w:eastAsia="Calibri" w:hAnsi="Arial" w:cs="Arial"/>
        </w:rPr>
        <w:t xml:space="preserve">cd) befektetési jegyek értékesítése és visszaváltása, a befektetési jegyek technikai létrehozatalát és visszavásárlását értve ezalatt, kivéve, ha a befektetési jegyek ilyen értékesítése és visszaváltása központi értéktár által működtetett értékpapír-kiegyenlítési rendszer átutalási megbízásain keresztül valósul meg; </w:t>
      </w:r>
    </w:p>
    <w:p w14:paraId="7E83C47C" w14:textId="77777777" w:rsidR="0030170B" w:rsidRPr="00992D4C" w:rsidRDefault="0030170B" w:rsidP="0030170B">
      <w:pPr>
        <w:autoSpaceDE w:val="0"/>
        <w:autoSpaceDN w:val="0"/>
        <w:adjustRightInd w:val="0"/>
        <w:spacing w:after="120"/>
        <w:ind w:left="1418" w:hanging="284"/>
        <w:rPr>
          <w:rFonts w:ascii="Arial" w:eastAsia="Calibri" w:hAnsi="Arial" w:cs="Arial"/>
        </w:rPr>
      </w:pPr>
      <w:proofErr w:type="spellStart"/>
      <w:r w:rsidRPr="00992D4C">
        <w:rPr>
          <w:rFonts w:ascii="Arial" w:eastAsia="Calibri" w:hAnsi="Arial" w:cs="Arial"/>
        </w:rPr>
        <w:t>ce</w:t>
      </w:r>
      <w:proofErr w:type="spellEnd"/>
      <w:r w:rsidRPr="00992D4C">
        <w:rPr>
          <w:rFonts w:ascii="Arial" w:eastAsia="Calibri" w:hAnsi="Arial" w:cs="Arial"/>
        </w:rPr>
        <w:t>) újraértékelési műveletek (</w:t>
      </w:r>
      <w:proofErr w:type="spellStart"/>
      <w:r w:rsidRPr="00992D4C">
        <w:rPr>
          <w:rFonts w:ascii="Arial" w:eastAsia="Calibri" w:hAnsi="Arial" w:cs="Arial"/>
        </w:rPr>
        <w:t>realignment</w:t>
      </w:r>
      <w:proofErr w:type="spellEnd"/>
      <w:r w:rsidRPr="00992D4C">
        <w:rPr>
          <w:rFonts w:ascii="Arial" w:eastAsia="Calibri" w:hAnsi="Arial" w:cs="Arial"/>
        </w:rPr>
        <w:t xml:space="preserve"> </w:t>
      </w:r>
      <w:proofErr w:type="spellStart"/>
      <w:r w:rsidRPr="00992D4C">
        <w:rPr>
          <w:rFonts w:ascii="Arial" w:eastAsia="Calibri" w:hAnsi="Arial" w:cs="Arial"/>
        </w:rPr>
        <w:t>operations</w:t>
      </w:r>
      <w:proofErr w:type="spellEnd"/>
      <w:r w:rsidRPr="00992D4C">
        <w:rPr>
          <w:rFonts w:ascii="Arial" w:eastAsia="Calibri" w:hAnsi="Arial" w:cs="Arial"/>
        </w:rPr>
        <w:t xml:space="preserve">). </w:t>
      </w:r>
    </w:p>
    <w:p w14:paraId="2015B52C" w14:textId="77777777" w:rsidR="0030170B" w:rsidRPr="00992D4C" w:rsidRDefault="0030170B" w:rsidP="0030170B">
      <w:pPr>
        <w:pStyle w:val="Listaszerbekezds"/>
        <w:numPr>
          <w:ilvl w:val="1"/>
          <w:numId w:val="21"/>
        </w:numPr>
        <w:autoSpaceDE w:val="0"/>
        <w:autoSpaceDN w:val="0"/>
        <w:adjustRightInd w:val="0"/>
        <w:spacing w:after="120"/>
        <w:ind w:left="993"/>
        <w:rPr>
          <w:rFonts w:ascii="Arial" w:eastAsia="Calibri" w:hAnsi="Arial" w:cs="Arial"/>
          <w:color w:val="000000"/>
          <w:lang w:val="en-GB"/>
        </w:rPr>
      </w:pPr>
      <w:r w:rsidRPr="00992D4C">
        <w:rPr>
          <w:rFonts w:ascii="Arial" w:eastAsia="Calibri" w:hAnsi="Arial" w:cs="Arial"/>
        </w:rPr>
        <w:t xml:space="preserve">az </w:t>
      </w:r>
      <w:r w:rsidRPr="00992D4C">
        <w:rPr>
          <w:rFonts w:ascii="Arial" w:eastAsia="Calibri" w:hAnsi="Arial" w:cs="Arial"/>
          <w:color w:val="000000"/>
          <w:lang w:val="en-GB"/>
        </w:rPr>
        <w:t>(</w:t>
      </w:r>
      <w:r w:rsidRPr="00992D4C">
        <w:rPr>
          <w:rFonts w:ascii="Arial" w:eastAsia="Calibri" w:hAnsi="Arial" w:cs="Arial"/>
        </w:rPr>
        <w:t xml:space="preserve">EU) 2017/389 </w:t>
      </w:r>
      <w:r w:rsidRPr="00992D4C">
        <w:rPr>
          <w:rFonts w:ascii="Arial" w:hAnsi="Arial" w:cs="Arial"/>
        </w:rPr>
        <w:t>felhatalmazáson alapuló bizottsági</w:t>
      </w:r>
      <w:r w:rsidRPr="00992D4C">
        <w:rPr>
          <w:rFonts w:ascii="Arial" w:eastAsia="Calibri" w:hAnsi="Arial" w:cs="Arial"/>
        </w:rPr>
        <w:t xml:space="preserve"> rendelet 6. cikk (2) bekezdés b) pontjában szereplő fizetés nélküli kiegyenlítési megbízások (</w:t>
      </w:r>
      <w:proofErr w:type="spellStart"/>
      <w:r w:rsidRPr="00992D4C">
        <w:rPr>
          <w:rFonts w:ascii="Arial" w:eastAsia="Calibri" w:hAnsi="Arial" w:cs="Arial"/>
        </w:rPr>
        <w:t>FOP</w:t>
      </w:r>
      <w:proofErr w:type="spellEnd"/>
      <w:r w:rsidRPr="00992D4C">
        <w:rPr>
          <w:rFonts w:ascii="Arial" w:eastAsia="Calibri" w:hAnsi="Arial" w:cs="Arial"/>
        </w:rPr>
        <w:t xml:space="preserve">) esetében a piaci érték meghatározásának az egyes kiegyenlítési megbízások teljesítésének napján érvényes értéken kell alapulnia. </w:t>
      </w:r>
    </w:p>
    <w:p w14:paraId="7BD410A7" w14:textId="77777777" w:rsidR="0030170B" w:rsidRPr="00992D4C" w:rsidRDefault="0030170B" w:rsidP="0030170B">
      <w:pPr>
        <w:pStyle w:val="Listaszerbekezds"/>
        <w:numPr>
          <w:ilvl w:val="0"/>
          <w:numId w:val="0"/>
        </w:numPr>
        <w:autoSpaceDE w:val="0"/>
        <w:autoSpaceDN w:val="0"/>
        <w:adjustRightInd w:val="0"/>
        <w:spacing w:after="120"/>
        <w:ind w:left="993"/>
        <w:rPr>
          <w:rFonts w:ascii="Arial" w:eastAsia="Calibri" w:hAnsi="Arial" w:cs="Arial"/>
          <w:color w:val="000000"/>
          <w:lang w:val="en-GB"/>
        </w:rPr>
      </w:pPr>
    </w:p>
    <w:p w14:paraId="118FD54D" w14:textId="77777777" w:rsidR="0030170B" w:rsidRPr="00992D4C" w:rsidRDefault="0030170B" w:rsidP="0030170B">
      <w:pPr>
        <w:pStyle w:val="Listaszerbekezds"/>
        <w:numPr>
          <w:ilvl w:val="0"/>
          <w:numId w:val="19"/>
        </w:numPr>
        <w:autoSpaceDE w:val="0"/>
        <w:autoSpaceDN w:val="0"/>
        <w:adjustRightInd w:val="0"/>
        <w:spacing w:after="120"/>
        <w:rPr>
          <w:rFonts w:ascii="Arial" w:eastAsia="Calibri" w:hAnsi="Arial" w:cs="Arial"/>
          <w:color w:val="000000"/>
        </w:rPr>
      </w:pPr>
      <w:r w:rsidRPr="00992D4C">
        <w:rPr>
          <w:rFonts w:ascii="Arial" w:eastAsia="Calibri" w:hAnsi="Arial" w:cs="Arial"/>
          <w:color w:val="000000"/>
        </w:rPr>
        <w:t xml:space="preserve">A 01. táblában, a kibocsátó székhelye szerinti országot kell figyelembe venni a (EU) 2017/389 </w:t>
      </w:r>
      <w:r w:rsidRPr="00992D4C">
        <w:rPr>
          <w:rFonts w:ascii="Arial" w:hAnsi="Arial" w:cs="Arial"/>
        </w:rPr>
        <w:t>felhatalmazáson alapuló bizottsági</w:t>
      </w:r>
      <w:r w:rsidRPr="00992D4C">
        <w:rPr>
          <w:rFonts w:ascii="Arial" w:eastAsia="Calibri" w:hAnsi="Arial" w:cs="Arial"/>
          <w:color w:val="000000"/>
        </w:rPr>
        <w:t xml:space="preserve"> rendelet 5. cikk (1) bekezdés a) pontjában szereplő kritériumokat tekintve. </w:t>
      </w:r>
    </w:p>
    <w:p w14:paraId="55F69D8C" w14:textId="77777777" w:rsidR="0030170B" w:rsidRPr="00992D4C" w:rsidRDefault="0030170B" w:rsidP="0030170B">
      <w:pPr>
        <w:numPr>
          <w:ilvl w:val="0"/>
          <w:numId w:val="19"/>
        </w:numPr>
        <w:autoSpaceDE w:val="0"/>
        <w:autoSpaceDN w:val="0"/>
        <w:adjustRightInd w:val="0"/>
        <w:spacing w:after="120"/>
        <w:ind w:left="426" w:hanging="426"/>
        <w:rPr>
          <w:rFonts w:ascii="Arial" w:eastAsia="Calibri" w:hAnsi="Arial" w:cs="Arial"/>
        </w:rPr>
      </w:pPr>
      <w:r w:rsidRPr="00992D4C">
        <w:rPr>
          <w:rFonts w:ascii="Arial" w:eastAsia="Calibri" w:hAnsi="Arial" w:cs="Arial"/>
        </w:rPr>
        <w:t xml:space="preserve">A 02. és a 04. táblában, az </w:t>
      </w:r>
      <w:r w:rsidRPr="00992D4C">
        <w:rPr>
          <w:rFonts w:ascii="Arial" w:eastAsia="Calibri" w:hAnsi="Arial" w:cs="Arial"/>
          <w:color w:val="000000"/>
          <w:lang w:val="en-GB"/>
        </w:rPr>
        <w:t>(</w:t>
      </w:r>
      <w:r w:rsidRPr="00992D4C">
        <w:rPr>
          <w:rFonts w:ascii="Arial" w:eastAsia="Calibri" w:hAnsi="Arial" w:cs="Arial"/>
          <w:color w:val="000000"/>
        </w:rPr>
        <w:t xml:space="preserve">EU) 2017/389 </w:t>
      </w:r>
      <w:r w:rsidRPr="00992D4C">
        <w:rPr>
          <w:rFonts w:ascii="Arial" w:hAnsi="Arial" w:cs="Arial"/>
        </w:rPr>
        <w:t>felhatalmazáson alapuló bizottsági</w:t>
      </w:r>
      <w:r w:rsidRPr="00992D4C">
        <w:rPr>
          <w:rFonts w:ascii="Arial" w:eastAsia="Calibri" w:hAnsi="Arial" w:cs="Arial"/>
          <w:color w:val="000000"/>
        </w:rPr>
        <w:t xml:space="preserve"> rendelet</w:t>
      </w:r>
      <w:r w:rsidRPr="00992D4C">
        <w:rPr>
          <w:rFonts w:ascii="Arial" w:eastAsia="Calibri" w:hAnsi="Arial" w:cs="Arial"/>
        </w:rPr>
        <w:t xml:space="preserve"> 5. cikk (1) bekezdés b) pontjában és 6. cikk (1) bekezdés b) pontjában szereplő kritériumokat figyelembe véve, az anyavállalat székhelye szerinti országot kell figyelembe venni olyan résztvevők és egyéb értékpapírszámla-tulajdonosok esetében, amelyek fióktelepek. </w:t>
      </w:r>
    </w:p>
    <w:p w14:paraId="7106F500" w14:textId="77777777" w:rsidR="0030170B" w:rsidRPr="00992D4C" w:rsidRDefault="0030170B" w:rsidP="0030170B">
      <w:pPr>
        <w:numPr>
          <w:ilvl w:val="0"/>
          <w:numId w:val="19"/>
        </w:numPr>
        <w:spacing w:after="120"/>
        <w:ind w:left="426" w:hanging="426"/>
        <w:rPr>
          <w:rFonts w:ascii="Arial" w:eastAsia="Calibri" w:hAnsi="Arial" w:cs="Arial"/>
          <w:b/>
        </w:rPr>
      </w:pPr>
      <w:r w:rsidRPr="00992D4C">
        <w:rPr>
          <w:rFonts w:ascii="Arial" w:eastAsia="Calibri" w:hAnsi="Arial" w:cs="Arial"/>
        </w:rPr>
        <w:t xml:space="preserve">A központi értéktárnak jelentenie kell továbbá a székhely szerinti tagállam tekintetében nyújtott szolgáltatásokat is (például az (EU) 2017/389 </w:t>
      </w:r>
      <w:r w:rsidRPr="00992D4C">
        <w:rPr>
          <w:rFonts w:ascii="Arial" w:hAnsi="Arial" w:cs="Arial"/>
        </w:rPr>
        <w:t>felhatalmazáson alapuló bizottsági</w:t>
      </w:r>
      <w:r w:rsidRPr="00992D4C">
        <w:rPr>
          <w:rFonts w:ascii="Arial" w:eastAsia="Calibri" w:hAnsi="Arial" w:cs="Arial"/>
        </w:rPr>
        <w:t xml:space="preserve"> rendelet 5. cikk (1) bekezdés a) pontjában szereplő kritérium alkalmazásában a központi értéktár által szolgáltatandó adatnak tartalmaznia kell a központi értéktár székhelye szerinti tagállam kibocsátói által kibocsátott értékpapírokat, nem csupán a fogadó tagállamok kibocsátói által kibocsátott értékpapírokat). </w:t>
      </w:r>
    </w:p>
    <w:p w14:paraId="32F1E57B" w14:textId="77777777" w:rsidR="0030170B" w:rsidRPr="00992D4C" w:rsidRDefault="0030170B" w:rsidP="0030170B">
      <w:pPr>
        <w:spacing w:after="120"/>
        <w:ind w:left="426"/>
        <w:rPr>
          <w:rFonts w:ascii="Arial" w:eastAsia="Calibri" w:hAnsi="Arial" w:cs="Arial"/>
          <w:b/>
        </w:rPr>
      </w:pPr>
    </w:p>
    <w:p w14:paraId="04FD697E" w14:textId="77777777" w:rsidR="0030170B" w:rsidRPr="00992D4C" w:rsidRDefault="0030170B" w:rsidP="00992D4C">
      <w:pPr>
        <w:keepNext/>
        <w:spacing w:after="0" w:line="240" w:lineRule="auto"/>
        <w:jc w:val="left"/>
        <w:rPr>
          <w:rFonts w:ascii="Arial" w:eastAsia="Calibri" w:hAnsi="Arial" w:cs="Arial"/>
          <w:b/>
        </w:rPr>
      </w:pPr>
      <w:r w:rsidRPr="00992D4C">
        <w:rPr>
          <w:rFonts w:ascii="Arial" w:eastAsia="Calibri" w:hAnsi="Arial" w:cs="Arial"/>
          <w:b/>
        </w:rPr>
        <w:lastRenderedPageBreak/>
        <w:t>II.</w:t>
      </w:r>
      <w:r w:rsidRPr="00992D4C">
        <w:rPr>
          <w:rFonts w:ascii="Arial" w:eastAsia="Times New Roman" w:hAnsi="Arial" w:cs="Arial"/>
          <w:b/>
        </w:rPr>
        <w:tab/>
        <w:t>A táblák egyes oszlopaira vonatkozó részletes előírások</w:t>
      </w:r>
    </w:p>
    <w:p w14:paraId="08C4B708" w14:textId="77777777" w:rsidR="0030170B" w:rsidRPr="00992D4C" w:rsidRDefault="0030170B" w:rsidP="00992D4C">
      <w:pPr>
        <w:keepNext/>
        <w:spacing w:after="0"/>
        <w:rPr>
          <w:rFonts w:ascii="Arial" w:eastAsia="Calibri" w:hAnsi="Arial" w:cs="Arial"/>
        </w:rPr>
      </w:pPr>
    </w:p>
    <w:p w14:paraId="7DAE607B" w14:textId="77777777" w:rsidR="0030170B" w:rsidRPr="00992D4C" w:rsidRDefault="0030170B" w:rsidP="0030170B">
      <w:pPr>
        <w:rPr>
          <w:rFonts w:ascii="Arial" w:eastAsia="Calibri" w:hAnsi="Arial" w:cs="Arial"/>
          <w:b/>
        </w:rPr>
      </w:pPr>
      <w:bookmarkStart w:id="1" w:name="_Hlk530574470"/>
      <w:r w:rsidRPr="00992D4C">
        <w:rPr>
          <w:rFonts w:ascii="Arial" w:eastAsia="Calibri" w:hAnsi="Arial" w:cs="Arial"/>
          <w:b/>
        </w:rPr>
        <w:t>01. tábla: az (EU) 2017/389 felhatalmazáson alapuló bizottsági rendelet 5. cikk (1) bekezdés a) pontja szerinti lényegi fontosság</w:t>
      </w:r>
    </w:p>
    <w:p w14:paraId="25B83FD4" w14:textId="73A2778A" w:rsidR="0030170B" w:rsidRPr="00680798" w:rsidRDefault="0030170B" w:rsidP="0030170B">
      <w:pPr>
        <w:contextualSpacing/>
        <w:rPr>
          <w:rFonts w:ascii="Arial" w:eastAsia="Calibri" w:hAnsi="Arial" w:cs="Arial"/>
        </w:rPr>
      </w:pPr>
      <w:bookmarkStart w:id="2" w:name="_Hlk530576070"/>
      <w:bookmarkEnd w:id="1"/>
      <w:r w:rsidRPr="00992D4C">
        <w:rPr>
          <w:rFonts w:ascii="Arial" w:eastAsia="Calibri" w:hAnsi="Arial" w:cs="Arial"/>
        </w:rPr>
        <w:t xml:space="preserve">A </w:t>
      </w:r>
      <w:r w:rsidR="00333FAA">
        <w:rPr>
          <w:rFonts w:ascii="Arial" w:eastAsia="Calibri" w:hAnsi="Arial" w:cs="Arial"/>
        </w:rPr>
        <w:t>táblában fogadó tagállamonként</w:t>
      </w:r>
      <w:r w:rsidRPr="00992D4C">
        <w:rPr>
          <w:rFonts w:ascii="Arial" w:eastAsia="Calibri" w:hAnsi="Arial" w:cs="Arial"/>
        </w:rPr>
        <w:t xml:space="preserve"> kell megjeleníteni </w:t>
      </w:r>
      <w:bookmarkEnd w:id="2"/>
      <w:r w:rsidRPr="00992D4C">
        <w:rPr>
          <w:rFonts w:ascii="Arial" w:eastAsia="Calibri" w:hAnsi="Arial" w:cs="Arial"/>
        </w:rPr>
        <w:t xml:space="preserve">a fogadó tagállam kibocsátói által kibocsátott olyan pénzügyi eszközök összesített piaci értékét, amelyek </w:t>
      </w:r>
      <w:bookmarkStart w:id="3" w:name="_Hlk530574650"/>
      <w:r w:rsidRPr="00992D4C">
        <w:rPr>
          <w:rFonts w:ascii="Arial" w:eastAsia="Calibri" w:hAnsi="Arial" w:cs="Arial"/>
        </w:rPr>
        <w:t>első rögzítését, illetve értékpapírszámlán történő központi számlavezetését a központi értéktár végzi</w:t>
      </w:r>
      <w:bookmarkEnd w:id="3"/>
      <w:r w:rsidRPr="00992D4C">
        <w:rPr>
          <w:rFonts w:ascii="Arial" w:eastAsia="Calibri" w:hAnsi="Arial" w:cs="Arial"/>
        </w:rPr>
        <w:t xml:space="preserve">. Amennyiben valamely fogadó tagállam </w:t>
      </w:r>
      <w:r w:rsidRPr="00680798">
        <w:rPr>
          <w:rFonts w:ascii="Arial" w:eastAsia="Calibri" w:hAnsi="Arial" w:cs="Arial"/>
        </w:rPr>
        <w:t>kibocsátói esetében nem végzett ilyen szolgáltatást a központi értéktár, akkor azon oszlopokat üresen kell hagyni</w:t>
      </w:r>
      <w:r w:rsidR="00490781" w:rsidRPr="00680798">
        <w:rPr>
          <w:rFonts w:ascii="Arial" w:eastAsia="Calibri" w:hAnsi="Arial" w:cs="Arial"/>
        </w:rPr>
        <w:t xml:space="preserve">. </w:t>
      </w:r>
      <w:r w:rsidR="002E0A07" w:rsidRPr="00680798">
        <w:rPr>
          <w:rFonts w:ascii="Arial" w:eastAsia="Calibri" w:hAnsi="Arial" w:cs="Arial"/>
        </w:rPr>
        <w:t xml:space="preserve">Amennyiben </w:t>
      </w:r>
      <w:r w:rsidR="00680798" w:rsidRPr="00680798">
        <w:rPr>
          <w:rFonts w:ascii="Arial" w:eastAsia="Calibri" w:hAnsi="Arial" w:cs="Arial"/>
        </w:rPr>
        <w:t xml:space="preserve">a tábla nem tartalmazza </w:t>
      </w:r>
      <w:r w:rsidR="002E0A07" w:rsidRPr="00680798">
        <w:rPr>
          <w:rFonts w:ascii="Arial" w:eastAsia="Calibri" w:hAnsi="Arial" w:cs="Arial"/>
        </w:rPr>
        <w:t>valamely fogadó tagállam</w:t>
      </w:r>
      <w:r w:rsidR="00680798" w:rsidRPr="00680798">
        <w:rPr>
          <w:rFonts w:ascii="Arial" w:eastAsia="Calibri" w:hAnsi="Arial" w:cs="Arial"/>
        </w:rPr>
        <w:t>ot</w:t>
      </w:r>
      <w:r w:rsidR="002E0A07" w:rsidRPr="00680798">
        <w:rPr>
          <w:rFonts w:ascii="Arial" w:eastAsia="Calibri" w:hAnsi="Arial" w:cs="Arial"/>
        </w:rPr>
        <w:t>, mely esetén a központi értéktár végzett ilyen tevékenységet, akkor a táblát további oszloppal szükséges kiegészíteni, és abban szükséges jelenteni a fogadó tagállam kibocsátói által kibocsátott olyan pénzügyi eszközök összesített piaci értékét, amelyek első rögzítését, illetve értékpapírszámlán történő központi számlavezetését a központi értéktár végzi.</w:t>
      </w:r>
    </w:p>
    <w:p w14:paraId="28756648" w14:textId="77777777" w:rsidR="0030170B" w:rsidRPr="00680798" w:rsidRDefault="0030170B" w:rsidP="0030170B">
      <w:pPr>
        <w:spacing w:before="240"/>
        <w:rPr>
          <w:rFonts w:ascii="Arial" w:eastAsia="Calibri" w:hAnsi="Arial" w:cs="Arial"/>
          <w:b/>
        </w:rPr>
      </w:pPr>
      <w:r w:rsidRPr="00680798">
        <w:rPr>
          <w:rFonts w:ascii="Arial" w:eastAsia="Calibri" w:hAnsi="Arial" w:cs="Arial"/>
          <w:b/>
        </w:rPr>
        <w:t>02. tábla: az (EU) 2017/389 felhatalmazáson alapuló bizottsági rendelet 5. cikk (1) bekezdés b) pontja szerinti lényegi fontosság</w:t>
      </w:r>
    </w:p>
    <w:p w14:paraId="3AE1AFD3" w14:textId="4B4426F2" w:rsidR="00874F90" w:rsidRPr="00680798" w:rsidRDefault="0030170B" w:rsidP="00874F90">
      <w:pPr>
        <w:contextualSpacing/>
        <w:rPr>
          <w:rFonts w:ascii="Arial" w:eastAsia="Calibri" w:hAnsi="Arial" w:cs="Arial"/>
        </w:rPr>
      </w:pPr>
      <w:r w:rsidRPr="00680798">
        <w:rPr>
          <w:rFonts w:ascii="Arial" w:eastAsia="Calibri" w:hAnsi="Arial" w:cs="Arial"/>
        </w:rPr>
        <w:t xml:space="preserve">A </w:t>
      </w:r>
      <w:r w:rsidR="00680798" w:rsidRPr="00680798">
        <w:rPr>
          <w:rFonts w:ascii="Arial" w:eastAsia="Calibri" w:hAnsi="Arial" w:cs="Arial"/>
        </w:rPr>
        <w:t xml:space="preserve">táblában fogadó tagállamonként </w:t>
      </w:r>
      <w:r w:rsidRPr="00680798">
        <w:rPr>
          <w:rFonts w:ascii="Arial" w:eastAsia="Calibri" w:hAnsi="Arial" w:cs="Arial"/>
        </w:rPr>
        <w:t xml:space="preserve">kell megjeleníteni azoknak a pénzügyi eszközöknek az összesített piaci értékét, amelyek értékpapírszámlán történő központi számlavezetését a fogadó tagállambeli </w:t>
      </w:r>
      <w:bookmarkStart w:id="4" w:name="_Hlk530576260"/>
      <w:r w:rsidRPr="00680798">
        <w:rPr>
          <w:rFonts w:ascii="Arial" w:eastAsia="Calibri" w:hAnsi="Arial" w:cs="Arial"/>
        </w:rPr>
        <w:t>résztvevők és egyéb értékpapírszámla-tulajdonosok számára a központi értéktár végzi</w:t>
      </w:r>
      <w:bookmarkEnd w:id="4"/>
      <w:r w:rsidRPr="00680798">
        <w:rPr>
          <w:rFonts w:ascii="Arial" w:eastAsia="Calibri" w:hAnsi="Arial" w:cs="Arial"/>
        </w:rPr>
        <w:t>. Amennyiben az adott fogadó tagállambeli résztvevők és egyéb értékpapírszámla-tulajdonosok számára nem végzett ilyen szolgáltatást a központi értéktár, akkor azon oszlopokat üresen kell hagyni.</w:t>
      </w:r>
      <w:r w:rsidR="002E0A07" w:rsidRPr="00680798">
        <w:rPr>
          <w:rFonts w:ascii="Arial" w:eastAsia="Calibri" w:hAnsi="Arial" w:cs="Arial"/>
        </w:rPr>
        <w:t xml:space="preserve"> Amennyiben </w:t>
      </w:r>
      <w:r w:rsidR="00680798" w:rsidRPr="00680798">
        <w:rPr>
          <w:rFonts w:ascii="Arial" w:eastAsia="Calibri" w:hAnsi="Arial" w:cs="Arial"/>
        </w:rPr>
        <w:t xml:space="preserve">a tábla nem tartalmazza </w:t>
      </w:r>
      <w:r w:rsidR="002E0A07" w:rsidRPr="00680798">
        <w:rPr>
          <w:rFonts w:ascii="Arial" w:eastAsia="Calibri" w:hAnsi="Arial" w:cs="Arial"/>
        </w:rPr>
        <w:t>valamely fogadó tagállam</w:t>
      </w:r>
      <w:r w:rsidR="00680798" w:rsidRPr="00680798">
        <w:rPr>
          <w:rFonts w:ascii="Arial" w:eastAsia="Calibri" w:hAnsi="Arial" w:cs="Arial"/>
        </w:rPr>
        <w:t>ot</w:t>
      </w:r>
      <w:r w:rsidR="002E0A07" w:rsidRPr="00680798">
        <w:rPr>
          <w:rFonts w:ascii="Arial" w:eastAsia="Calibri" w:hAnsi="Arial" w:cs="Arial"/>
        </w:rPr>
        <w:t>, mely esetén a központi értéktár végzett ilyen tevékenységet, akkor a táblát további oszloppal szükséges kiegészíteni, és abban szükséges jelenteni a fogadó tagállam pénzügyi eszközeinek az összesített piaci értékét, amelyek értékpapírszámlán történő központi számlavezetését a fogadó tagállambeli résztvevők és egyéb értékpapírszámla-tulajdonosok számára a központi értéktár végzi.</w:t>
      </w:r>
    </w:p>
    <w:p w14:paraId="7F22F90E" w14:textId="77777777" w:rsidR="0030170B" w:rsidRPr="00680798" w:rsidRDefault="0030170B" w:rsidP="0030170B">
      <w:pPr>
        <w:spacing w:before="240"/>
        <w:rPr>
          <w:rFonts w:ascii="Arial" w:eastAsia="Calibri" w:hAnsi="Arial" w:cs="Arial"/>
          <w:b/>
        </w:rPr>
      </w:pPr>
      <w:r w:rsidRPr="00680798">
        <w:rPr>
          <w:rFonts w:ascii="Arial" w:eastAsia="Calibri" w:hAnsi="Arial" w:cs="Arial"/>
          <w:b/>
        </w:rPr>
        <w:t>03. tábla: az (EU) 2017/389 felhatalmazáson alapuló bizottsági rendelet 6. cikk (1) bekezdés a) pontja szerinti lényegi fontosság</w:t>
      </w:r>
    </w:p>
    <w:p w14:paraId="7BB99242" w14:textId="4CE6F705" w:rsidR="0030170B" w:rsidRPr="00680798" w:rsidRDefault="0030170B" w:rsidP="006E4E63">
      <w:pPr>
        <w:contextualSpacing/>
        <w:rPr>
          <w:rFonts w:ascii="Arial" w:eastAsia="Calibri" w:hAnsi="Arial" w:cs="Arial"/>
        </w:rPr>
      </w:pPr>
      <w:r w:rsidRPr="00680798">
        <w:rPr>
          <w:rFonts w:ascii="Arial" w:eastAsia="Calibri" w:hAnsi="Arial" w:cs="Arial"/>
        </w:rPr>
        <w:t xml:space="preserve">A </w:t>
      </w:r>
      <w:r w:rsidR="00680798" w:rsidRPr="00680798">
        <w:rPr>
          <w:rFonts w:ascii="Arial" w:eastAsia="Calibri" w:hAnsi="Arial" w:cs="Arial"/>
        </w:rPr>
        <w:t xml:space="preserve">táblában fogadó tagállamonként </w:t>
      </w:r>
      <w:r w:rsidRPr="00680798">
        <w:rPr>
          <w:rFonts w:ascii="Arial" w:eastAsia="Calibri" w:hAnsi="Arial" w:cs="Arial"/>
        </w:rPr>
        <w:t>kell megjeleníteni a fogadó tagállam kibocsátói által kibocsátott pénzügyi eszközökre kötött és a központi értéktár által elszámolt ügyletekre vonatkozó kiegyenlítési megbízások éves értékét. Az értékeket euróban kell megjeleníteni. Amennyiben valamely fogadó tagállam kibocsátói esetében nem végzett ilyen szolgáltatást a központi értéktár, akkor azon oszlopokat üresen kell hagyni.</w:t>
      </w:r>
      <w:r w:rsidR="006E4E63" w:rsidRPr="00680798">
        <w:rPr>
          <w:rFonts w:ascii="Arial" w:eastAsia="Calibri" w:hAnsi="Arial" w:cs="Arial"/>
        </w:rPr>
        <w:t xml:space="preserve"> </w:t>
      </w:r>
      <w:r w:rsidR="002E0A07" w:rsidRPr="00680798">
        <w:rPr>
          <w:rFonts w:ascii="Arial" w:eastAsia="Calibri" w:hAnsi="Arial" w:cs="Arial"/>
        </w:rPr>
        <w:t xml:space="preserve">Amennyiben </w:t>
      </w:r>
      <w:r w:rsidR="00680798" w:rsidRPr="00680798">
        <w:rPr>
          <w:rFonts w:ascii="Arial" w:eastAsia="Calibri" w:hAnsi="Arial" w:cs="Arial"/>
        </w:rPr>
        <w:t xml:space="preserve">a tábla nem tartalmazza </w:t>
      </w:r>
      <w:r w:rsidR="002E0A07" w:rsidRPr="00680798">
        <w:rPr>
          <w:rFonts w:ascii="Arial" w:eastAsia="Calibri" w:hAnsi="Arial" w:cs="Arial"/>
        </w:rPr>
        <w:t>valamely fogadó tagállam</w:t>
      </w:r>
      <w:r w:rsidR="00680798" w:rsidRPr="00680798">
        <w:rPr>
          <w:rFonts w:ascii="Arial" w:eastAsia="Calibri" w:hAnsi="Arial" w:cs="Arial"/>
        </w:rPr>
        <w:t>ot</w:t>
      </w:r>
      <w:r w:rsidR="002E0A07" w:rsidRPr="00680798">
        <w:rPr>
          <w:rFonts w:ascii="Arial" w:eastAsia="Calibri" w:hAnsi="Arial" w:cs="Arial"/>
        </w:rPr>
        <w:t>, mely esetén a központi értéktár végzett ilyen tevékenységet, akkor a táblát további oszloppal szükséges kiegészíteni, és abban szükséges jelenteni a fogadó tagállam kibocsátói által kibocsátott pénzügyi eszközökre kötött és a központi értéktár által elszámolt ügyletekre vonatkozó kiegyenlítési megbízások éves értékét.</w:t>
      </w:r>
    </w:p>
    <w:p w14:paraId="192CD7B4" w14:textId="77777777" w:rsidR="0030170B" w:rsidRPr="00680798" w:rsidRDefault="0030170B" w:rsidP="0030170B">
      <w:pPr>
        <w:spacing w:before="240"/>
        <w:rPr>
          <w:rFonts w:ascii="Arial" w:eastAsia="Calibri" w:hAnsi="Arial" w:cs="Arial"/>
          <w:b/>
        </w:rPr>
      </w:pPr>
      <w:r w:rsidRPr="00680798">
        <w:rPr>
          <w:rFonts w:ascii="Arial" w:eastAsia="Calibri" w:hAnsi="Arial" w:cs="Arial"/>
          <w:b/>
        </w:rPr>
        <w:t>04. tábla: az (EU) 2017/389 felhatalmazáson alapuló bizottsági rendelet 6. cikk (1) bekezdés b) pontja szerinti lényegi fontosság</w:t>
      </w:r>
    </w:p>
    <w:p w14:paraId="685BD341" w14:textId="227F82B5" w:rsidR="006E4E63" w:rsidRPr="00680798" w:rsidRDefault="0030170B" w:rsidP="0030170B">
      <w:pPr>
        <w:spacing w:after="120"/>
        <w:rPr>
          <w:rFonts w:ascii="Arial" w:eastAsia="Calibri" w:hAnsi="Arial" w:cs="Arial"/>
        </w:rPr>
      </w:pPr>
      <w:r w:rsidRPr="00680798">
        <w:rPr>
          <w:rFonts w:ascii="Arial" w:eastAsia="Calibri" w:hAnsi="Arial" w:cs="Arial"/>
        </w:rPr>
        <w:t xml:space="preserve">A </w:t>
      </w:r>
      <w:r w:rsidR="00680798" w:rsidRPr="00680798">
        <w:rPr>
          <w:rFonts w:ascii="Arial" w:eastAsia="Calibri" w:hAnsi="Arial" w:cs="Arial"/>
        </w:rPr>
        <w:t xml:space="preserve">táblában fogadó tagállamonként </w:t>
      </w:r>
      <w:r w:rsidRPr="00680798">
        <w:rPr>
          <w:rFonts w:ascii="Arial" w:eastAsia="Calibri" w:hAnsi="Arial" w:cs="Arial"/>
        </w:rPr>
        <w:t>kell megjeleníteni a központi értéktár által a fogadó tagállambeli résztvevők és egyéb értékpapírszámla-tulajdonosok számára teljesített kiegyenlítési megbízások éves értékét. Az értékeket euróban kell megjeleníteni. Amennyiben az adott fogadó tagállambeli résztvevők és egyéb értékpapírszámla-tulajdonosok esetében nem végzett ilyen szolgáltatást a központi értéktár, akkor azon oszlopokat üresen kell hagyni.</w:t>
      </w:r>
      <w:r w:rsidR="006E4E63" w:rsidRPr="00680798">
        <w:rPr>
          <w:rFonts w:ascii="Arial" w:eastAsia="Calibri" w:hAnsi="Arial" w:cs="Arial"/>
        </w:rPr>
        <w:t xml:space="preserve"> </w:t>
      </w:r>
      <w:r w:rsidR="002E0A07" w:rsidRPr="00680798">
        <w:rPr>
          <w:rFonts w:ascii="Arial" w:eastAsia="Calibri" w:hAnsi="Arial" w:cs="Arial"/>
        </w:rPr>
        <w:t xml:space="preserve">Amennyiben </w:t>
      </w:r>
      <w:r w:rsidR="00680798" w:rsidRPr="00680798">
        <w:rPr>
          <w:rFonts w:ascii="Arial" w:eastAsia="Calibri" w:hAnsi="Arial" w:cs="Arial"/>
        </w:rPr>
        <w:t xml:space="preserve">a tábla nem tartalmazza </w:t>
      </w:r>
      <w:r w:rsidR="002E0A07" w:rsidRPr="00680798">
        <w:rPr>
          <w:rFonts w:ascii="Arial" w:eastAsia="Calibri" w:hAnsi="Arial" w:cs="Arial"/>
        </w:rPr>
        <w:t>valamely fogadó tagállam</w:t>
      </w:r>
      <w:r w:rsidR="00680798">
        <w:rPr>
          <w:rFonts w:ascii="Arial" w:eastAsia="Calibri" w:hAnsi="Arial" w:cs="Arial"/>
        </w:rPr>
        <w:t>ot</w:t>
      </w:r>
      <w:r w:rsidR="002E0A07" w:rsidRPr="00680798">
        <w:rPr>
          <w:rFonts w:ascii="Arial" w:eastAsia="Calibri" w:hAnsi="Arial" w:cs="Arial"/>
        </w:rPr>
        <w:t>, mely esetén a központi értéktár végzett ilyen tevékenységet, akkor a táblát további oszloppal szükséges kiegészíteni, és abban szükséges jelenteni a központi értéktár által a fogadó tagállambeli résztvevők és egyéb értékpapírszámla-tulajdonosok számára teljesített kiegyenlítési megbízások éves értékét.</w:t>
      </w:r>
    </w:p>
    <w:p w14:paraId="25C44DAA" w14:textId="77777777" w:rsidR="0030170B" w:rsidRPr="00992D4C" w:rsidRDefault="0030170B" w:rsidP="0030170B">
      <w:pPr>
        <w:spacing w:before="240"/>
        <w:rPr>
          <w:rFonts w:ascii="Arial" w:eastAsia="Calibri" w:hAnsi="Arial" w:cs="Arial"/>
          <w:b/>
        </w:rPr>
      </w:pPr>
      <w:r w:rsidRPr="00680798">
        <w:rPr>
          <w:rFonts w:ascii="Arial" w:eastAsia="Calibri" w:hAnsi="Arial" w:cs="Arial"/>
          <w:b/>
        </w:rPr>
        <w:t>05. tábla: az (EU) 2017/389 felhatalmazáson alapuló bizottsági rendelet 6. cikk (1) bekezdés c) pontja</w:t>
      </w:r>
      <w:r w:rsidRPr="00992D4C">
        <w:rPr>
          <w:rFonts w:ascii="Arial" w:eastAsia="Calibri" w:hAnsi="Arial" w:cs="Arial"/>
          <w:b/>
        </w:rPr>
        <w:t xml:space="preserve"> szerinti lényegi fontosság</w:t>
      </w:r>
      <w:bookmarkStart w:id="5" w:name="_GoBack"/>
      <w:bookmarkEnd w:id="5"/>
    </w:p>
    <w:p w14:paraId="6AECAD06" w14:textId="18E522E2" w:rsidR="00B944EB" w:rsidRPr="00992D4C" w:rsidRDefault="0030170B" w:rsidP="00C3044A">
      <w:pPr>
        <w:spacing w:after="120"/>
        <w:rPr>
          <w:rFonts w:ascii="Arial" w:hAnsi="Arial" w:cs="Arial"/>
        </w:rPr>
      </w:pPr>
      <w:r w:rsidRPr="00992D4C">
        <w:rPr>
          <w:rFonts w:ascii="Arial" w:eastAsia="Calibri" w:hAnsi="Arial" w:cs="Arial"/>
        </w:rPr>
        <w:t>A 3. oszlopban kell megjeleníteni, hogy a központi értéktár mely tagállam jogának hatálya alatt működteti az értékpapírkiegyenlítési rendszert.</w:t>
      </w:r>
    </w:p>
    <w:sectPr w:rsidR="00B944EB" w:rsidRPr="00992D4C" w:rsidSect="00740DDF">
      <w:headerReference w:type="default" r:id="rId8"/>
      <w:pgSz w:w="11906" w:h="16838" w:code="9"/>
      <w:pgMar w:top="1418"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BEC4BE" w14:textId="77777777" w:rsidR="001C67B8" w:rsidRDefault="001C67B8">
      <w:r>
        <w:separator/>
      </w:r>
    </w:p>
  </w:endnote>
  <w:endnote w:type="continuationSeparator" w:id="0">
    <w:p w14:paraId="48CD1E79" w14:textId="77777777" w:rsidR="001C67B8" w:rsidRDefault="001C6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B6BF4F" w14:textId="77777777" w:rsidR="001C67B8" w:rsidRDefault="001C67B8">
      <w:r>
        <w:separator/>
      </w:r>
    </w:p>
  </w:footnote>
  <w:footnote w:type="continuationSeparator" w:id="0">
    <w:p w14:paraId="4A7980AB" w14:textId="77777777" w:rsidR="001C67B8" w:rsidRDefault="001C67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4E04DA"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83628"/>
    <w:multiLevelType w:val="hybridMultilevel"/>
    <w:tmpl w:val="C02279EC"/>
    <w:lvl w:ilvl="0" w:tplc="0809000F">
      <w:start w:val="1"/>
      <w:numFmt w:val="decimal"/>
      <w:lvlText w:val="%1."/>
      <w:lvlJc w:val="left"/>
      <w:pPr>
        <w:ind w:left="720" w:hanging="360"/>
      </w:pPr>
    </w:lvl>
    <w:lvl w:ilvl="1" w:tplc="040E0017">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6"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7"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4D9045D8"/>
    <w:multiLevelType w:val="hybridMultilevel"/>
    <w:tmpl w:val="845079FA"/>
    <w:lvl w:ilvl="0" w:tplc="0809000F">
      <w:start w:val="1"/>
      <w:numFmt w:val="decimal"/>
      <w:lvlText w:val="%1."/>
      <w:lvlJc w:val="left"/>
      <w:pPr>
        <w:ind w:left="720" w:hanging="360"/>
      </w:pPr>
    </w:lvl>
    <w:lvl w:ilvl="1" w:tplc="040E0017">
      <w:start w:val="1"/>
      <w:numFmt w:val="lowerLetter"/>
      <w:lvlText w:val="%2)"/>
      <w:lvlJc w:val="left"/>
      <w:pPr>
        <w:ind w:left="1440" w:hanging="360"/>
      </w:pPr>
    </w:lvl>
    <w:lvl w:ilvl="2" w:tplc="E5EE9A50">
      <w:start w:val="1"/>
      <w:numFmt w:val="upperRoman"/>
      <w:lvlText w:val="%3."/>
      <w:lvlJc w:val="left"/>
      <w:pPr>
        <w:ind w:left="2700" w:hanging="720"/>
      </w:pPr>
      <w:rPr>
        <w:rFonts w:eastAsia="Times New Roman" w:cs="Arial"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2BF02C2"/>
    <w:multiLevelType w:val="multilevel"/>
    <w:tmpl w:val="C8064A20"/>
    <w:lvl w:ilvl="0">
      <w:start w:val="1"/>
      <w:numFmt w:val="decimal"/>
      <w:lvlText w:val="%1."/>
      <w:lvlJc w:val="left"/>
      <w:pPr>
        <w:ind w:left="360" w:hanging="360"/>
      </w:pPr>
      <w:rPr>
        <w:b w:val="0"/>
      </w:rPr>
    </w:lvl>
    <w:lvl w:ilvl="1">
      <w:start w:val="1"/>
      <w:numFmt w:val="lowerRoman"/>
      <w:lvlText w:val="%2."/>
      <w:lvlJc w:val="righ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3"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7B5E26EE"/>
    <w:multiLevelType w:val="hybridMultilevel"/>
    <w:tmpl w:val="C944CD14"/>
    <w:lvl w:ilvl="0" w:tplc="7DDAA56C">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num w:numId="1">
    <w:abstractNumId w:val="5"/>
  </w:num>
  <w:num w:numId="2">
    <w:abstractNumId w:val="3"/>
  </w:num>
  <w:num w:numId="3">
    <w:abstractNumId w:val="6"/>
  </w:num>
  <w:num w:numId="4">
    <w:abstractNumId w:val="1"/>
  </w:num>
  <w:num w:numId="5">
    <w:abstractNumId w:val="2"/>
  </w:num>
  <w:num w:numId="6">
    <w:abstractNumId w:val="8"/>
  </w:num>
  <w:num w:numId="7">
    <w:abstractNumId w:val="4"/>
  </w:num>
  <w:num w:numId="8">
    <w:abstractNumId w:val="12"/>
  </w:num>
  <w:num w:numId="9">
    <w:abstractNumId w:val="8"/>
    <w:lvlOverride w:ilvl="0">
      <w:startOverride w:val="1"/>
    </w:lvlOverride>
  </w:num>
  <w:num w:numId="10">
    <w:abstractNumId w:val="13"/>
  </w:num>
  <w:num w:numId="11">
    <w:abstractNumId w:val="9"/>
  </w:num>
  <w:num w:numId="12">
    <w:abstractNumId w:val="7"/>
  </w:num>
  <w:num w:numId="13">
    <w:abstractNumId w:val="6"/>
  </w:num>
  <w:num w:numId="14">
    <w:abstractNumId w:val="6"/>
  </w:num>
  <w:num w:numId="15">
    <w:abstractNumId w:val="6"/>
  </w:num>
  <w:num w:numId="16">
    <w:abstractNumId w:val="6"/>
  </w:num>
  <w:num w:numId="17">
    <w:abstractNumId w:val="6"/>
  </w:num>
  <w:num w:numId="18">
    <w:abstractNumId w:val="6"/>
  </w:num>
  <w:num w:numId="19">
    <w:abstractNumId w:val="11"/>
  </w:num>
  <w:num w:numId="20">
    <w:abstractNumId w:val="10"/>
  </w:num>
  <w:num w:numId="21">
    <w:abstractNumId w:val="0"/>
  </w:num>
  <w:num w:numId="22">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944"/>
    <w:rsid w:val="0000273C"/>
    <w:rsid w:val="00017B1B"/>
    <w:rsid w:val="0002498B"/>
    <w:rsid w:val="000250E6"/>
    <w:rsid w:val="00027695"/>
    <w:rsid w:val="00027B62"/>
    <w:rsid w:val="00033357"/>
    <w:rsid w:val="00035697"/>
    <w:rsid w:val="0005577F"/>
    <w:rsid w:val="00060148"/>
    <w:rsid w:val="00063216"/>
    <w:rsid w:val="0006374F"/>
    <w:rsid w:val="00064546"/>
    <w:rsid w:val="000674BE"/>
    <w:rsid w:val="00067BE2"/>
    <w:rsid w:val="00067C0C"/>
    <w:rsid w:val="0008131E"/>
    <w:rsid w:val="00081934"/>
    <w:rsid w:val="000831EC"/>
    <w:rsid w:val="00087E97"/>
    <w:rsid w:val="000904C4"/>
    <w:rsid w:val="000A3A63"/>
    <w:rsid w:val="000A71F3"/>
    <w:rsid w:val="000C2918"/>
    <w:rsid w:val="000C3019"/>
    <w:rsid w:val="000C701E"/>
    <w:rsid w:val="000C701F"/>
    <w:rsid w:val="000D1C8B"/>
    <w:rsid w:val="000D1E44"/>
    <w:rsid w:val="000D40AE"/>
    <w:rsid w:val="000D4F61"/>
    <w:rsid w:val="000D5F26"/>
    <w:rsid w:val="000E2CBD"/>
    <w:rsid w:val="000E4EE3"/>
    <w:rsid w:val="000F2858"/>
    <w:rsid w:val="000F2AE0"/>
    <w:rsid w:val="000F30B8"/>
    <w:rsid w:val="000F68FE"/>
    <w:rsid w:val="00101654"/>
    <w:rsid w:val="0010447E"/>
    <w:rsid w:val="0010496C"/>
    <w:rsid w:val="0010576B"/>
    <w:rsid w:val="00110868"/>
    <w:rsid w:val="00113C88"/>
    <w:rsid w:val="001255A4"/>
    <w:rsid w:val="00132260"/>
    <w:rsid w:val="00133A51"/>
    <w:rsid w:val="001356A6"/>
    <w:rsid w:val="001357D0"/>
    <w:rsid w:val="00136260"/>
    <w:rsid w:val="001421CC"/>
    <w:rsid w:val="00143691"/>
    <w:rsid w:val="00150045"/>
    <w:rsid w:val="00152DBF"/>
    <w:rsid w:val="00166F6C"/>
    <w:rsid w:val="001747F6"/>
    <w:rsid w:val="0018359E"/>
    <w:rsid w:val="0018619A"/>
    <w:rsid w:val="001870A7"/>
    <w:rsid w:val="00197350"/>
    <w:rsid w:val="001A2BAA"/>
    <w:rsid w:val="001B3486"/>
    <w:rsid w:val="001C0FAA"/>
    <w:rsid w:val="001C24F1"/>
    <w:rsid w:val="001C466F"/>
    <w:rsid w:val="001C5C33"/>
    <w:rsid w:val="001C67B8"/>
    <w:rsid w:val="001D4211"/>
    <w:rsid w:val="001D5999"/>
    <w:rsid w:val="001D59FD"/>
    <w:rsid w:val="001D60A8"/>
    <w:rsid w:val="001D7401"/>
    <w:rsid w:val="001E34FF"/>
    <w:rsid w:val="001E4231"/>
    <w:rsid w:val="001E621D"/>
    <w:rsid w:val="001F0E5D"/>
    <w:rsid w:val="001F1610"/>
    <w:rsid w:val="002012AD"/>
    <w:rsid w:val="00203D55"/>
    <w:rsid w:val="00206642"/>
    <w:rsid w:val="00214230"/>
    <w:rsid w:val="0021484C"/>
    <w:rsid w:val="0022056B"/>
    <w:rsid w:val="0022764E"/>
    <w:rsid w:val="00240C97"/>
    <w:rsid w:val="0024525F"/>
    <w:rsid w:val="002522F1"/>
    <w:rsid w:val="002602F5"/>
    <w:rsid w:val="002611AE"/>
    <w:rsid w:val="0026180A"/>
    <w:rsid w:val="00270724"/>
    <w:rsid w:val="00271371"/>
    <w:rsid w:val="00273052"/>
    <w:rsid w:val="0027402D"/>
    <w:rsid w:val="002751D4"/>
    <w:rsid w:val="002866DE"/>
    <w:rsid w:val="00287D15"/>
    <w:rsid w:val="00290D47"/>
    <w:rsid w:val="00292177"/>
    <w:rsid w:val="002A3B0E"/>
    <w:rsid w:val="002B3674"/>
    <w:rsid w:val="002B4D45"/>
    <w:rsid w:val="002B6B78"/>
    <w:rsid w:val="002B6D25"/>
    <w:rsid w:val="002B78E0"/>
    <w:rsid w:val="002C728F"/>
    <w:rsid w:val="002C7AB8"/>
    <w:rsid w:val="002C7D4D"/>
    <w:rsid w:val="002C7DD0"/>
    <w:rsid w:val="002D5E55"/>
    <w:rsid w:val="002E0A07"/>
    <w:rsid w:val="002F34ED"/>
    <w:rsid w:val="002F602F"/>
    <w:rsid w:val="00300EE3"/>
    <w:rsid w:val="0030170B"/>
    <w:rsid w:val="00302136"/>
    <w:rsid w:val="00313246"/>
    <w:rsid w:val="003231ED"/>
    <w:rsid w:val="00327A74"/>
    <w:rsid w:val="00333FAA"/>
    <w:rsid w:val="00341BB5"/>
    <w:rsid w:val="00343614"/>
    <w:rsid w:val="0035153B"/>
    <w:rsid w:val="003524A6"/>
    <w:rsid w:val="003548F7"/>
    <w:rsid w:val="003701D4"/>
    <w:rsid w:val="003704B1"/>
    <w:rsid w:val="003728FE"/>
    <w:rsid w:val="00373BD2"/>
    <w:rsid w:val="00375CEA"/>
    <w:rsid w:val="0037696F"/>
    <w:rsid w:val="00380643"/>
    <w:rsid w:val="003824BF"/>
    <w:rsid w:val="003827F0"/>
    <w:rsid w:val="00391B59"/>
    <w:rsid w:val="00395B14"/>
    <w:rsid w:val="00395D13"/>
    <w:rsid w:val="00397F34"/>
    <w:rsid w:val="003B12B2"/>
    <w:rsid w:val="003B46BE"/>
    <w:rsid w:val="003C5699"/>
    <w:rsid w:val="003D04DD"/>
    <w:rsid w:val="003D2391"/>
    <w:rsid w:val="003D52BC"/>
    <w:rsid w:val="003F128A"/>
    <w:rsid w:val="0041484F"/>
    <w:rsid w:val="00423D50"/>
    <w:rsid w:val="0043276D"/>
    <w:rsid w:val="004330EA"/>
    <w:rsid w:val="00434DC6"/>
    <w:rsid w:val="004413FF"/>
    <w:rsid w:val="00442ABF"/>
    <w:rsid w:val="004451FE"/>
    <w:rsid w:val="00453087"/>
    <w:rsid w:val="00455A38"/>
    <w:rsid w:val="00465939"/>
    <w:rsid w:val="0047029F"/>
    <w:rsid w:val="004729CE"/>
    <w:rsid w:val="00474131"/>
    <w:rsid w:val="0048183A"/>
    <w:rsid w:val="00490781"/>
    <w:rsid w:val="00491483"/>
    <w:rsid w:val="004919C2"/>
    <w:rsid w:val="004924CA"/>
    <w:rsid w:val="00494C89"/>
    <w:rsid w:val="004A58E3"/>
    <w:rsid w:val="004A5F09"/>
    <w:rsid w:val="004B1A68"/>
    <w:rsid w:val="004D270F"/>
    <w:rsid w:val="004D455D"/>
    <w:rsid w:val="004D7635"/>
    <w:rsid w:val="004E2BA2"/>
    <w:rsid w:val="004F1BAA"/>
    <w:rsid w:val="004F42D5"/>
    <w:rsid w:val="004F72B9"/>
    <w:rsid w:val="0050045B"/>
    <w:rsid w:val="00501172"/>
    <w:rsid w:val="00503A99"/>
    <w:rsid w:val="0050657B"/>
    <w:rsid w:val="00513B1F"/>
    <w:rsid w:val="0051486A"/>
    <w:rsid w:val="005149CD"/>
    <w:rsid w:val="00516455"/>
    <w:rsid w:val="00517847"/>
    <w:rsid w:val="0052546E"/>
    <w:rsid w:val="0052584F"/>
    <w:rsid w:val="005312FD"/>
    <w:rsid w:val="00544934"/>
    <w:rsid w:val="00557A68"/>
    <w:rsid w:val="00561175"/>
    <w:rsid w:val="005648EE"/>
    <w:rsid w:val="00571C3C"/>
    <w:rsid w:val="005763C5"/>
    <w:rsid w:val="00581D24"/>
    <w:rsid w:val="0058459E"/>
    <w:rsid w:val="00586D4D"/>
    <w:rsid w:val="005A011E"/>
    <w:rsid w:val="005A3531"/>
    <w:rsid w:val="005A3DDE"/>
    <w:rsid w:val="005A788E"/>
    <w:rsid w:val="005B0A26"/>
    <w:rsid w:val="005C3F73"/>
    <w:rsid w:val="005C498A"/>
    <w:rsid w:val="005C5BB7"/>
    <w:rsid w:val="005D1A2C"/>
    <w:rsid w:val="005F3818"/>
    <w:rsid w:val="005F3E3D"/>
    <w:rsid w:val="00602F0C"/>
    <w:rsid w:val="00603723"/>
    <w:rsid w:val="00610E45"/>
    <w:rsid w:val="00627BFA"/>
    <w:rsid w:val="00642A07"/>
    <w:rsid w:val="00643529"/>
    <w:rsid w:val="00643CB4"/>
    <w:rsid w:val="00644BE4"/>
    <w:rsid w:val="0067570F"/>
    <w:rsid w:val="00680798"/>
    <w:rsid w:val="00681108"/>
    <w:rsid w:val="00690C97"/>
    <w:rsid w:val="0069441B"/>
    <w:rsid w:val="006A54BA"/>
    <w:rsid w:val="006A66EB"/>
    <w:rsid w:val="006B0392"/>
    <w:rsid w:val="006B2726"/>
    <w:rsid w:val="006B4271"/>
    <w:rsid w:val="006C2C3D"/>
    <w:rsid w:val="006C4871"/>
    <w:rsid w:val="006C700F"/>
    <w:rsid w:val="006D0881"/>
    <w:rsid w:val="006D3867"/>
    <w:rsid w:val="006E45F8"/>
    <w:rsid w:val="006E4E63"/>
    <w:rsid w:val="006E5F78"/>
    <w:rsid w:val="006F0376"/>
    <w:rsid w:val="006F39C8"/>
    <w:rsid w:val="006F5D02"/>
    <w:rsid w:val="006F6144"/>
    <w:rsid w:val="00702E90"/>
    <w:rsid w:val="00703E97"/>
    <w:rsid w:val="0070653D"/>
    <w:rsid w:val="00707C38"/>
    <w:rsid w:val="00721D21"/>
    <w:rsid w:val="007236B8"/>
    <w:rsid w:val="0072398E"/>
    <w:rsid w:val="00732D87"/>
    <w:rsid w:val="00737660"/>
    <w:rsid w:val="007376E0"/>
    <w:rsid w:val="00740DDF"/>
    <w:rsid w:val="00744A1F"/>
    <w:rsid w:val="00746D82"/>
    <w:rsid w:val="007474DD"/>
    <w:rsid w:val="00754A11"/>
    <w:rsid w:val="00767D3F"/>
    <w:rsid w:val="00774306"/>
    <w:rsid w:val="00782B80"/>
    <w:rsid w:val="00786EF4"/>
    <w:rsid w:val="00791092"/>
    <w:rsid w:val="007913EE"/>
    <w:rsid w:val="00792C7B"/>
    <w:rsid w:val="007A2BE7"/>
    <w:rsid w:val="007B1174"/>
    <w:rsid w:val="007B39B9"/>
    <w:rsid w:val="007B7FC8"/>
    <w:rsid w:val="007D67A3"/>
    <w:rsid w:val="007D7E92"/>
    <w:rsid w:val="007E0286"/>
    <w:rsid w:val="007F197C"/>
    <w:rsid w:val="007F1D57"/>
    <w:rsid w:val="007F7E59"/>
    <w:rsid w:val="00823B7E"/>
    <w:rsid w:val="0083252A"/>
    <w:rsid w:val="008349B3"/>
    <w:rsid w:val="0083670C"/>
    <w:rsid w:val="008370C0"/>
    <w:rsid w:val="00840065"/>
    <w:rsid w:val="00844283"/>
    <w:rsid w:val="0084582F"/>
    <w:rsid w:val="00847C0A"/>
    <w:rsid w:val="008512C4"/>
    <w:rsid w:val="008528A0"/>
    <w:rsid w:val="00860131"/>
    <w:rsid w:val="00860860"/>
    <w:rsid w:val="00864147"/>
    <w:rsid w:val="00864468"/>
    <w:rsid w:val="00866547"/>
    <w:rsid w:val="00866E71"/>
    <w:rsid w:val="00874F90"/>
    <w:rsid w:val="008935BD"/>
    <w:rsid w:val="008936DF"/>
    <w:rsid w:val="008A1C40"/>
    <w:rsid w:val="008B61E3"/>
    <w:rsid w:val="008C474C"/>
    <w:rsid w:val="008C56D8"/>
    <w:rsid w:val="008D6221"/>
    <w:rsid w:val="008E26F2"/>
    <w:rsid w:val="008E3579"/>
    <w:rsid w:val="00903AC3"/>
    <w:rsid w:val="009228DF"/>
    <w:rsid w:val="00925712"/>
    <w:rsid w:val="00926EA9"/>
    <w:rsid w:val="00930F98"/>
    <w:rsid w:val="00933E50"/>
    <w:rsid w:val="00934193"/>
    <w:rsid w:val="00934F6E"/>
    <w:rsid w:val="00937A0B"/>
    <w:rsid w:val="0094233D"/>
    <w:rsid w:val="00950ACA"/>
    <w:rsid w:val="00957F22"/>
    <w:rsid w:val="00961F15"/>
    <w:rsid w:val="00962FE4"/>
    <w:rsid w:val="009665AC"/>
    <w:rsid w:val="00990B18"/>
    <w:rsid w:val="00992D4C"/>
    <w:rsid w:val="009A4F0C"/>
    <w:rsid w:val="009B2208"/>
    <w:rsid w:val="009B7F1B"/>
    <w:rsid w:val="009C09A6"/>
    <w:rsid w:val="009C6632"/>
    <w:rsid w:val="009C69AB"/>
    <w:rsid w:val="009D0800"/>
    <w:rsid w:val="009D1272"/>
    <w:rsid w:val="009D2629"/>
    <w:rsid w:val="009D3B3D"/>
    <w:rsid w:val="009D4156"/>
    <w:rsid w:val="009E3A57"/>
    <w:rsid w:val="009E7AC9"/>
    <w:rsid w:val="009F413A"/>
    <w:rsid w:val="00A00F2A"/>
    <w:rsid w:val="00A03212"/>
    <w:rsid w:val="00A16867"/>
    <w:rsid w:val="00A17909"/>
    <w:rsid w:val="00A2173F"/>
    <w:rsid w:val="00A244C7"/>
    <w:rsid w:val="00A26654"/>
    <w:rsid w:val="00A26ED3"/>
    <w:rsid w:val="00A3105B"/>
    <w:rsid w:val="00A34F95"/>
    <w:rsid w:val="00A44C60"/>
    <w:rsid w:val="00A5096A"/>
    <w:rsid w:val="00A56BCD"/>
    <w:rsid w:val="00A57D44"/>
    <w:rsid w:val="00A60012"/>
    <w:rsid w:val="00A77604"/>
    <w:rsid w:val="00A800A3"/>
    <w:rsid w:val="00A8495F"/>
    <w:rsid w:val="00A917E0"/>
    <w:rsid w:val="00A94C01"/>
    <w:rsid w:val="00AA7D28"/>
    <w:rsid w:val="00AB3E83"/>
    <w:rsid w:val="00AB5B26"/>
    <w:rsid w:val="00AB7DBF"/>
    <w:rsid w:val="00AC6950"/>
    <w:rsid w:val="00AE3CD1"/>
    <w:rsid w:val="00AE41D5"/>
    <w:rsid w:val="00AE4D73"/>
    <w:rsid w:val="00AF1C92"/>
    <w:rsid w:val="00AF7B9B"/>
    <w:rsid w:val="00B06F8B"/>
    <w:rsid w:val="00B15880"/>
    <w:rsid w:val="00B1673D"/>
    <w:rsid w:val="00B250ED"/>
    <w:rsid w:val="00B25C26"/>
    <w:rsid w:val="00B261BA"/>
    <w:rsid w:val="00B3064A"/>
    <w:rsid w:val="00B3473A"/>
    <w:rsid w:val="00B36061"/>
    <w:rsid w:val="00B36A9C"/>
    <w:rsid w:val="00B37787"/>
    <w:rsid w:val="00B4230E"/>
    <w:rsid w:val="00B4506F"/>
    <w:rsid w:val="00B45D0C"/>
    <w:rsid w:val="00B46F92"/>
    <w:rsid w:val="00B4727E"/>
    <w:rsid w:val="00B51E64"/>
    <w:rsid w:val="00B53C3B"/>
    <w:rsid w:val="00B54E70"/>
    <w:rsid w:val="00B55827"/>
    <w:rsid w:val="00B56865"/>
    <w:rsid w:val="00B602C9"/>
    <w:rsid w:val="00B62845"/>
    <w:rsid w:val="00B64835"/>
    <w:rsid w:val="00B66A7E"/>
    <w:rsid w:val="00B702D5"/>
    <w:rsid w:val="00B723C6"/>
    <w:rsid w:val="00B800CB"/>
    <w:rsid w:val="00B8074B"/>
    <w:rsid w:val="00B8101A"/>
    <w:rsid w:val="00B861AB"/>
    <w:rsid w:val="00B944EB"/>
    <w:rsid w:val="00BA2A45"/>
    <w:rsid w:val="00BB27C2"/>
    <w:rsid w:val="00BB7D50"/>
    <w:rsid w:val="00BD0575"/>
    <w:rsid w:val="00BD12AC"/>
    <w:rsid w:val="00BD29BB"/>
    <w:rsid w:val="00BD75B8"/>
    <w:rsid w:val="00BE125E"/>
    <w:rsid w:val="00BE5440"/>
    <w:rsid w:val="00BE5843"/>
    <w:rsid w:val="00BF0359"/>
    <w:rsid w:val="00BF3AF0"/>
    <w:rsid w:val="00C01E8F"/>
    <w:rsid w:val="00C0501F"/>
    <w:rsid w:val="00C06F2F"/>
    <w:rsid w:val="00C07885"/>
    <w:rsid w:val="00C136F8"/>
    <w:rsid w:val="00C146F6"/>
    <w:rsid w:val="00C1563C"/>
    <w:rsid w:val="00C17469"/>
    <w:rsid w:val="00C20799"/>
    <w:rsid w:val="00C22FB8"/>
    <w:rsid w:val="00C3044A"/>
    <w:rsid w:val="00C31F64"/>
    <w:rsid w:val="00C43AC5"/>
    <w:rsid w:val="00C522BD"/>
    <w:rsid w:val="00C63F2A"/>
    <w:rsid w:val="00C64F11"/>
    <w:rsid w:val="00C72FB8"/>
    <w:rsid w:val="00C907C0"/>
    <w:rsid w:val="00C93837"/>
    <w:rsid w:val="00CA398B"/>
    <w:rsid w:val="00CC4CB1"/>
    <w:rsid w:val="00CD36BC"/>
    <w:rsid w:val="00CD6E8D"/>
    <w:rsid w:val="00CD724F"/>
    <w:rsid w:val="00CE188C"/>
    <w:rsid w:val="00CF148C"/>
    <w:rsid w:val="00D00D53"/>
    <w:rsid w:val="00D02170"/>
    <w:rsid w:val="00D03058"/>
    <w:rsid w:val="00D0775C"/>
    <w:rsid w:val="00D11D8B"/>
    <w:rsid w:val="00D144FA"/>
    <w:rsid w:val="00D15F18"/>
    <w:rsid w:val="00D21043"/>
    <w:rsid w:val="00D265EF"/>
    <w:rsid w:val="00D2761D"/>
    <w:rsid w:val="00D463F1"/>
    <w:rsid w:val="00D524BB"/>
    <w:rsid w:val="00D531F1"/>
    <w:rsid w:val="00D561C8"/>
    <w:rsid w:val="00D57CCE"/>
    <w:rsid w:val="00D65E8E"/>
    <w:rsid w:val="00D6703D"/>
    <w:rsid w:val="00D717DA"/>
    <w:rsid w:val="00D7659E"/>
    <w:rsid w:val="00D815CF"/>
    <w:rsid w:val="00D84BA5"/>
    <w:rsid w:val="00D946B0"/>
    <w:rsid w:val="00DA2679"/>
    <w:rsid w:val="00DA3039"/>
    <w:rsid w:val="00DA6B88"/>
    <w:rsid w:val="00DA73B6"/>
    <w:rsid w:val="00DB127D"/>
    <w:rsid w:val="00DB3A95"/>
    <w:rsid w:val="00DD62AD"/>
    <w:rsid w:val="00DD7153"/>
    <w:rsid w:val="00DF4F58"/>
    <w:rsid w:val="00E11F2F"/>
    <w:rsid w:val="00E13A3A"/>
    <w:rsid w:val="00E14CD2"/>
    <w:rsid w:val="00E301AE"/>
    <w:rsid w:val="00E315BC"/>
    <w:rsid w:val="00E33610"/>
    <w:rsid w:val="00E35139"/>
    <w:rsid w:val="00E44555"/>
    <w:rsid w:val="00E4526A"/>
    <w:rsid w:val="00E50608"/>
    <w:rsid w:val="00E5165B"/>
    <w:rsid w:val="00E52ABA"/>
    <w:rsid w:val="00E5314F"/>
    <w:rsid w:val="00E653E3"/>
    <w:rsid w:val="00E66AEE"/>
    <w:rsid w:val="00E70FF5"/>
    <w:rsid w:val="00E736A7"/>
    <w:rsid w:val="00E87C26"/>
    <w:rsid w:val="00EA2361"/>
    <w:rsid w:val="00EB11D4"/>
    <w:rsid w:val="00EB2886"/>
    <w:rsid w:val="00EB398E"/>
    <w:rsid w:val="00EC4096"/>
    <w:rsid w:val="00EC429C"/>
    <w:rsid w:val="00EC6A51"/>
    <w:rsid w:val="00ED0199"/>
    <w:rsid w:val="00ED05AC"/>
    <w:rsid w:val="00ED10E2"/>
    <w:rsid w:val="00EE4050"/>
    <w:rsid w:val="00EE4149"/>
    <w:rsid w:val="00F04867"/>
    <w:rsid w:val="00F04E3E"/>
    <w:rsid w:val="00F10771"/>
    <w:rsid w:val="00F205E5"/>
    <w:rsid w:val="00F20944"/>
    <w:rsid w:val="00F512A3"/>
    <w:rsid w:val="00F51AB4"/>
    <w:rsid w:val="00F523A8"/>
    <w:rsid w:val="00F54723"/>
    <w:rsid w:val="00F57359"/>
    <w:rsid w:val="00F57AF5"/>
    <w:rsid w:val="00F60A86"/>
    <w:rsid w:val="00F62B87"/>
    <w:rsid w:val="00F65208"/>
    <w:rsid w:val="00F67BE6"/>
    <w:rsid w:val="00F702E1"/>
    <w:rsid w:val="00F83726"/>
    <w:rsid w:val="00F8481F"/>
    <w:rsid w:val="00F86B33"/>
    <w:rsid w:val="00F91C17"/>
    <w:rsid w:val="00F949B1"/>
    <w:rsid w:val="00F958EE"/>
    <w:rsid w:val="00F96EEB"/>
    <w:rsid w:val="00F96F8A"/>
    <w:rsid w:val="00F9761F"/>
    <w:rsid w:val="00FA102C"/>
    <w:rsid w:val="00FB3124"/>
    <w:rsid w:val="00FB32EE"/>
    <w:rsid w:val="00FC5616"/>
    <w:rsid w:val="00FD328C"/>
    <w:rsid w:val="00FD7299"/>
    <w:rsid w:val="00FE2094"/>
    <w:rsid w:val="00FE764B"/>
    <w:rsid w:val="00FF0A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9E6CD7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740DDF"/>
    <w:pPr>
      <w:spacing w:after="150" w:line="276" w:lineRule="auto"/>
      <w:jc w:val="both"/>
    </w:pPr>
  </w:style>
  <w:style w:type="paragraph" w:styleId="Cmsor1">
    <w:name w:val="heading 1"/>
    <w:basedOn w:val="Norml"/>
    <w:next w:val="Norml"/>
    <w:link w:val="Cmsor1Char"/>
    <w:qFormat/>
    <w:rsid w:val="00740DDF"/>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740DDF"/>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740DDF"/>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740DDF"/>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740DDF"/>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740DDF"/>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740DDF"/>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740DDF"/>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740DDF"/>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740DDF"/>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740DDF"/>
  </w:style>
  <w:style w:type="table" w:customStyle="1" w:styleId="tblzat-mtrix">
    <w:name w:val="táblázat - mátrix"/>
    <w:basedOn w:val="Normltblzat"/>
    <w:uiPriority w:val="2"/>
    <w:qFormat/>
    <w:rsid w:val="00740DDF"/>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740DDF"/>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740DDF"/>
    <w:pPr>
      <w:numPr>
        <w:numId w:val="9"/>
      </w:numPr>
      <w:contextualSpacing/>
    </w:pPr>
  </w:style>
  <w:style w:type="character" w:styleId="Hiperhivatkozs">
    <w:name w:val="Hyperlink"/>
    <w:basedOn w:val="Vgjegyzet-hivatkozs"/>
    <w:uiPriority w:val="99"/>
    <w:rsid w:val="00740DDF"/>
    <w:rPr>
      <w:rFonts w:ascii="Calibri" w:hAnsi="Calibri"/>
      <w:color w:val="0000FF"/>
      <w:sz w:val="20"/>
      <w:u w:val="single"/>
      <w:vertAlign w:val="superscript"/>
    </w:rPr>
  </w:style>
  <w:style w:type="table" w:customStyle="1" w:styleId="tblzat-oldallces">
    <w:name w:val="táblázat - oldalléces"/>
    <w:basedOn w:val="Normltblzat"/>
    <w:uiPriority w:val="3"/>
    <w:qFormat/>
    <w:rsid w:val="00740DDF"/>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740DDF"/>
    <w:rPr>
      <w:vertAlign w:val="superscript"/>
    </w:rPr>
  </w:style>
  <w:style w:type="paragraph" w:styleId="Buborkszveg">
    <w:name w:val="Balloon Text"/>
    <w:basedOn w:val="Norml"/>
    <w:link w:val="BuborkszvegChar"/>
    <w:uiPriority w:val="99"/>
    <w:semiHidden/>
    <w:unhideWhenUsed/>
    <w:rsid w:val="00740DDF"/>
    <w:rPr>
      <w:rFonts w:ascii="Tahoma" w:hAnsi="Tahoma" w:cs="Tahoma"/>
      <w:sz w:val="16"/>
      <w:szCs w:val="16"/>
    </w:rPr>
  </w:style>
  <w:style w:type="paragraph" w:customStyle="1" w:styleId="Magyarzszveg">
    <w:name w:val="Magyarázó szöveg"/>
    <w:basedOn w:val="Norml"/>
    <w:next w:val="Norml"/>
    <w:uiPriority w:val="7"/>
    <w:rsid w:val="00740DDF"/>
    <w:rPr>
      <w:color w:val="F6A800" w:themeColor="accent5"/>
      <w:sz w:val="18"/>
    </w:rPr>
  </w:style>
  <w:style w:type="character" w:customStyle="1" w:styleId="BuborkszvegChar">
    <w:name w:val="Buborékszöveg Char"/>
    <w:basedOn w:val="Bekezdsalapbettpusa"/>
    <w:link w:val="Buborkszveg"/>
    <w:uiPriority w:val="99"/>
    <w:semiHidden/>
    <w:rsid w:val="00740DDF"/>
    <w:rPr>
      <w:rFonts w:ascii="Tahoma" w:hAnsi="Tahoma" w:cs="Tahoma"/>
      <w:sz w:val="16"/>
      <w:szCs w:val="16"/>
    </w:rPr>
  </w:style>
  <w:style w:type="paragraph" w:styleId="lfej">
    <w:name w:val="header"/>
    <w:basedOn w:val="Norml"/>
    <w:link w:val="lfejChar"/>
    <w:uiPriority w:val="99"/>
    <w:unhideWhenUsed/>
    <w:rsid w:val="00740DDF"/>
    <w:pPr>
      <w:tabs>
        <w:tab w:val="center" w:pos="4536"/>
        <w:tab w:val="right" w:pos="9072"/>
      </w:tabs>
    </w:pPr>
  </w:style>
  <w:style w:type="character" w:customStyle="1" w:styleId="lfejChar">
    <w:name w:val="Élőfej Char"/>
    <w:basedOn w:val="Bekezdsalapbettpusa"/>
    <w:link w:val="lfej"/>
    <w:uiPriority w:val="99"/>
    <w:rsid w:val="00740DDF"/>
  </w:style>
  <w:style w:type="paragraph" w:styleId="llb">
    <w:name w:val="footer"/>
    <w:basedOn w:val="Norml"/>
    <w:link w:val="llbChar"/>
    <w:uiPriority w:val="99"/>
    <w:unhideWhenUsed/>
    <w:rsid w:val="00740DDF"/>
    <w:pPr>
      <w:tabs>
        <w:tab w:val="center" w:pos="4536"/>
        <w:tab w:val="right" w:pos="9072"/>
      </w:tabs>
    </w:pPr>
  </w:style>
  <w:style w:type="character" w:customStyle="1" w:styleId="llbChar">
    <w:name w:val="Élőláb Char"/>
    <w:basedOn w:val="Bekezdsalapbettpusa"/>
    <w:link w:val="llb"/>
    <w:uiPriority w:val="99"/>
    <w:rsid w:val="00740DDF"/>
  </w:style>
  <w:style w:type="paragraph" w:customStyle="1" w:styleId="Szmozs">
    <w:name w:val="Számozás"/>
    <w:basedOn w:val="Norml"/>
    <w:uiPriority w:val="4"/>
    <w:qFormat/>
    <w:rsid w:val="00740DDF"/>
    <w:pPr>
      <w:numPr>
        <w:numId w:val="4"/>
      </w:numPr>
      <w:spacing w:before="120"/>
      <w:contextualSpacing/>
    </w:pPr>
  </w:style>
  <w:style w:type="table" w:styleId="Rcsostblzat">
    <w:name w:val="Table Grid"/>
    <w:aliases w:val="Szegély nélküli"/>
    <w:basedOn w:val="Normltblzat"/>
    <w:uiPriority w:val="59"/>
    <w:rsid w:val="00740DDF"/>
    <w:pPr>
      <w:contextualSpacing/>
    </w:pPr>
    <w:tblPr/>
    <w:tcPr>
      <w:vAlign w:val="center"/>
    </w:tcPr>
  </w:style>
  <w:style w:type="character" w:customStyle="1" w:styleId="Cmsor4Char">
    <w:name w:val="Címsor 4 Char"/>
    <w:basedOn w:val="Bekezdsalapbettpusa"/>
    <w:link w:val="Cmsor4"/>
    <w:rsid w:val="00740DDF"/>
    <w:rPr>
      <w:iCs/>
      <w:color w:val="0C2148" w:themeColor="text2"/>
      <w:szCs w:val="30"/>
    </w:rPr>
  </w:style>
  <w:style w:type="character" w:customStyle="1" w:styleId="Cmsor5Char">
    <w:name w:val="Címsor 5 Char"/>
    <w:basedOn w:val="Bekezdsalapbettpusa"/>
    <w:link w:val="Cmsor5"/>
    <w:rsid w:val="00740DDF"/>
    <w:rPr>
      <w:color w:val="0C2148" w:themeColor="text2"/>
      <w:szCs w:val="26"/>
    </w:rPr>
  </w:style>
  <w:style w:type="character" w:customStyle="1" w:styleId="Cmsor6Char">
    <w:name w:val="Címsor 6 Char"/>
    <w:basedOn w:val="Bekezdsalapbettpusa"/>
    <w:link w:val="Cmsor6"/>
    <w:rsid w:val="00740DDF"/>
    <w:rPr>
      <w:color w:val="0C2148" w:themeColor="text2"/>
    </w:rPr>
  </w:style>
  <w:style w:type="character" w:customStyle="1" w:styleId="Cmsor1Char">
    <w:name w:val="Címsor 1 Char"/>
    <w:basedOn w:val="Bekezdsalapbettpusa"/>
    <w:link w:val="Cmsor1"/>
    <w:rsid w:val="00740DDF"/>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740DDF"/>
    <w:rPr>
      <w:b/>
      <w:color w:val="0C2148" w:themeColor="text2"/>
      <w:sz w:val="24"/>
      <w:szCs w:val="38"/>
    </w:rPr>
  </w:style>
  <w:style w:type="character" w:customStyle="1" w:styleId="Cmsor3Char">
    <w:name w:val="Címsor 3 Char"/>
    <w:basedOn w:val="Bekezdsalapbettpusa"/>
    <w:link w:val="Cmsor3"/>
    <w:rsid w:val="00740DDF"/>
    <w:rPr>
      <w:bCs/>
      <w:color w:val="0C2148" w:themeColor="text2"/>
      <w:szCs w:val="34"/>
    </w:rPr>
  </w:style>
  <w:style w:type="paragraph" w:styleId="Cm">
    <w:name w:val="Title"/>
    <w:basedOn w:val="Norml"/>
    <w:next w:val="Norml"/>
    <w:link w:val="CmChar"/>
    <w:uiPriority w:val="3"/>
    <w:qFormat/>
    <w:rsid w:val="00740DDF"/>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740DDF"/>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740DDF"/>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740DDF"/>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740DDF"/>
    <w:rPr>
      <w:rFonts w:eastAsiaTheme="majorEastAsia" w:cstheme="majorBidi"/>
      <w:i/>
      <w:iCs/>
      <w:color w:val="404040" w:themeColor="text1" w:themeTint="BF"/>
    </w:rPr>
  </w:style>
  <w:style w:type="numbering" w:customStyle="1" w:styleId="Style1">
    <w:name w:val="Style1"/>
    <w:uiPriority w:val="99"/>
    <w:rsid w:val="00740DDF"/>
    <w:pPr>
      <w:numPr>
        <w:numId w:val="1"/>
      </w:numPr>
    </w:pPr>
  </w:style>
  <w:style w:type="paragraph" w:styleId="TJ7">
    <w:name w:val="toc 7"/>
    <w:basedOn w:val="Norml"/>
    <w:next w:val="Norml"/>
    <w:autoRedefine/>
    <w:uiPriority w:val="99"/>
    <w:semiHidden/>
    <w:locked/>
    <w:rsid w:val="00740DDF"/>
    <w:pPr>
      <w:spacing w:after="100"/>
      <w:ind w:left="1200"/>
    </w:pPr>
    <w:rPr>
      <w:color w:val="385623" w:themeColor="accent6" w:themeShade="80"/>
    </w:rPr>
  </w:style>
  <w:style w:type="paragraph" w:styleId="TJ8">
    <w:name w:val="toc 8"/>
    <w:basedOn w:val="Norml"/>
    <w:next w:val="Norml"/>
    <w:autoRedefine/>
    <w:uiPriority w:val="99"/>
    <w:semiHidden/>
    <w:locked/>
    <w:rsid w:val="00740DDF"/>
    <w:pPr>
      <w:spacing w:after="100"/>
      <w:ind w:left="1400"/>
    </w:pPr>
    <w:rPr>
      <w:color w:val="385623" w:themeColor="accent6" w:themeShade="80"/>
    </w:rPr>
  </w:style>
  <w:style w:type="paragraph" w:styleId="TJ9">
    <w:name w:val="toc 9"/>
    <w:basedOn w:val="Norml"/>
    <w:next w:val="Norml"/>
    <w:autoRedefine/>
    <w:uiPriority w:val="99"/>
    <w:semiHidden/>
    <w:locked/>
    <w:rsid w:val="00740DDF"/>
    <w:pPr>
      <w:spacing w:after="100"/>
      <w:ind w:left="1600"/>
    </w:pPr>
    <w:rPr>
      <w:color w:val="385623" w:themeColor="accent6" w:themeShade="80"/>
    </w:rPr>
  </w:style>
  <w:style w:type="table" w:customStyle="1" w:styleId="Calendar2">
    <w:name w:val="Calendar 2"/>
    <w:basedOn w:val="Normltblzat"/>
    <w:uiPriority w:val="99"/>
    <w:qFormat/>
    <w:rsid w:val="00740DDF"/>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740DDF"/>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740DDF"/>
    <w:rPr>
      <w:rFonts w:eastAsiaTheme="minorEastAsia"/>
      <w:color w:val="0C2148" w:themeColor="text2"/>
      <w:sz w:val="16"/>
    </w:rPr>
  </w:style>
  <w:style w:type="character" w:styleId="Finomkiemels">
    <w:name w:val="Subtle Emphasis"/>
    <w:basedOn w:val="Bekezdsalapbettpusa"/>
    <w:uiPriority w:val="19"/>
    <w:qFormat/>
    <w:rsid w:val="00740DDF"/>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740DDF"/>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740DDF"/>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740DDF"/>
    <w:rPr>
      <w:color w:val="385623" w:themeColor="accent6" w:themeShade="80"/>
    </w:rPr>
  </w:style>
  <w:style w:type="character" w:customStyle="1" w:styleId="VgjegyzetszvegeChar">
    <w:name w:val="Végjegyzet szövege Char"/>
    <w:basedOn w:val="Bekezdsalapbettpusa"/>
    <w:link w:val="Vgjegyzetszvege"/>
    <w:uiPriority w:val="99"/>
    <w:semiHidden/>
    <w:rsid w:val="00740DDF"/>
    <w:rPr>
      <w:color w:val="385623" w:themeColor="accent6" w:themeShade="80"/>
    </w:rPr>
  </w:style>
  <w:style w:type="table" w:customStyle="1" w:styleId="Vilgosrnykols1jellszn1">
    <w:name w:val="Világos árnyékolás – 1. jelölőszín1"/>
    <w:basedOn w:val="Normltblzat"/>
    <w:uiPriority w:val="60"/>
    <w:rsid w:val="00740DDF"/>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740DDF"/>
    <w:pPr>
      <w:numPr>
        <w:numId w:val="5"/>
      </w:numPr>
    </w:pPr>
  </w:style>
  <w:style w:type="paragraph" w:customStyle="1" w:styleId="Tblaszvegstlus">
    <w:name w:val="Tábla szöveg stílus"/>
    <w:basedOn w:val="Norml"/>
    <w:link w:val="TblaszvegstlusChar"/>
    <w:uiPriority w:val="8"/>
    <w:qFormat/>
    <w:rsid w:val="00740DDF"/>
  </w:style>
  <w:style w:type="character" w:customStyle="1" w:styleId="ListaszerbekezdsChar">
    <w:name w:val="Listaszerű bekezdés Char"/>
    <w:basedOn w:val="Bekezdsalapbettpusa"/>
    <w:link w:val="Listaszerbekezds"/>
    <w:uiPriority w:val="4"/>
    <w:rsid w:val="00740DDF"/>
  </w:style>
  <w:style w:type="character" w:customStyle="1" w:styleId="Listaszerbekezds2Char">
    <w:name w:val="Listaszerű bekezdés 2 Char"/>
    <w:basedOn w:val="ListaszerbekezdsChar"/>
    <w:link w:val="Listaszerbekezds2"/>
    <w:uiPriority w:val="4"/>
    <w:rsid w:val="00740DDF"/>
  </w:style>
  <w:style w:type="character" w:customStyle="1" w:styleId="TblaszvegstlusChar">
    <w:name w:val="Tábla szöveg stílus Char"/>
    <w:basedOn w:val="Bekezdsalapbettpusa"/>
    <w:link w:val="Tblaszvegstlus"/>
    <w:uiPriority w:val="8"/>
    <w:rsid w:val="00740DDF"/>
  </w:style>
  <w:style w:type="character" w:styleId="Finomhivatkozs">
    <w:name w:val="Subtle Reference"/>
    <w:basedOn w:val="Bekezdsalapbettpusa"/>
    <w:uiPriority w:val="31"/>
    <w:rsid w:val="00740DDF"/>
    <w:rPr>
      <w:sz w:val="24"/>
      <w:szCs w:val="24"/>
      <w:u w:val="single"/>
    </w:rPr>
  </w:style>
  <w:style w:type="character" w:styleId="Ershivatkozs">
    <w:name w:val="Intense Reference"/>
    <w:basedOn w:val="Bekezdsalapbettpusa"/>
    <w:uiPriority w:val="32"/>
    <w:rsid w:val="00740DDF"/>
    <w:rPr>
      <w:b/>
      <w:sz w:val="24"/>
      <w:u w:val="single"/>
    </w:rPr>
  </w:style>
  <w:style w:type="paragraph" w:customStyle="1" w:styleId="Listaszerbekezds2szint">
    <w:name w:val="Listaszerű bekezdés 2. szint"/>
    <w:basedOn w:val="Listaszerbekezds"/>
    <w:link w:val="Listaszerbekezds2szintChar"/>
    <w:uiPriority w:val="4"/>
    <w:qFormat/>
    <w:rsid w:val="00740DDF"/>
    <w:pPr>
      <w:numPr>
        <w:numId w:val="8"/>
      </w:numPr>
    </w:pPr>
  </w:style>
  <w:style w:type="paragraph" w:customStyle="1" w:styleId="Listaszerbekezds3szint">
    <w:name w:val="Listaszerű bekezdés 3. szint"/>
    <w:basedOn w:val="Listaszerbekezds"/>
    <w:link w:val="Listaszerbekezds3szintChar"/>
    <w:uiPriority w:val="4"/>
    <w:qFormat/>
    <w:rsid w:val="00740DDF"/>
    <w:pPr>
      <w:numPr>
        <w:ilvl w:val="2"/>
        <w:numId w:val="10"/>
      </w:numPr>
    </w:pPr>
  </w:style>
  <w:style w:type="character" w:customStyle="1" w:styleId="Listaszerbekezds2szintChar">
    <w:name w:val="Listaszerű bekezdés 2. szint Char"/>
    <w:basedOn w:val="ListaszerbekezdsChar"/>
    <w:link w:val="Listaszerbekezds2szint"/>
    <w:uiPriority w:val="4"/>
    <w:rsid w:val="00740DDF"/>
  </w:style>
  <w:style w:type="character" w:customStyle="1" w:styleId="Listaszerbekezds3szintChar">
    <w:name w:val="Listaszerű bekezdés 3. szint Char"/>
    <w:basedOn w:val="ListaszerbekezdsChar"/>
    <w:link w:val="Listaszerbekezds3szint"/>
    <w:uiPriority w:val="4"/>
    <w:rsid w:val="00740DDF"/>
  </w:style>
  <w:style w:type="paragraph" w:styleId="Alcm">
    <w:name w:val="Subtitle"/>
    <w:basedOn w:val="Norml"/>
    <w:next w:val="Norml"/>
    <w:link w:val="AlcmChar"/>
    <w:uiPriority w:val="11"/>
    <w:rsid w:val="00740DDF"/>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740DDF"/>
    <w:rPr>
      <w:rFonts w:eastAsiaTheme="majorEastAsia" w:cstheme="majorBidi"/>
    </w:rPr>
  </w:style>
  <w:style w:type="paragraph" w:customStyle="1" w:styleId="Listabetvel">
    <w:name w:val="Lista betűvel"/>
    <w:basedOn w:val="Listaszerbekezds"/>
    <w:link w:val="ListabetvelChar"/>
    <w:uiPriority w:val="4"/>
    <w:qFormat/>
    <w:rsid w:val="00740DDF"/>
    <w:pPr>
      <w:numPr>
        <w:numId w:val="7"/>
      </w:numPr>
    </w:pPr>
  </w:style>
  <w:style w:type="character" w:customStyle="1" w:styleId="ListabetvelChar">
    <w:name w:val="Lista betűvel Char"/>
    <w:basedOn w:val="ListaszerbekezdsChar"/>
    <w:link w:val="Listabetvel"/>
    <w:uiPriority w:val="4"/>
    <w:rsid w:val="00740DDF"/>
  </w:style>
  <w:style w:type="paragraph" w:customStyle="1" w:styleId="Erskiemels1">
    <w:name w:val="Erős kiemelés1"/>
    <w:basedOn w:val="Norml"/>
    <w:link w:val="ErskiemelsChar"/>
    <w:uiPriority w:val="5"/>
    <w:qFormat/>
    <w:rsid w:val="00740DDF"/>
    <w:rPr>
      <w:b/>
      <w:i/>
    </w:rPr>
  </w:style>
  <w:style w:type="character" w:customStyle="1" w:styleId="ErskiemelsChar">
    <w:name w:val="Erős kiemelés Char"/>
    <w:basedOn w:val="Bekezdsalapbettpusa"/>
    <w:link w:val="Erskiemels1"/>
    <w:uiPriority w:val="5"/>
    <w:rsid w:val="00740DDF"/>
    <w:rPr>
      <w:b/>
      <w:i/>
    </w:rPr>
  </w:style>
  <w:style w:type="paragraph" w:customStyle="1" w:styleId="Bold">
    <w:name w:val="Bold"/>
    <w:basedOn w:val="Norml"/>
    <w:link w:val="BoldChar"/>
    <w:uiPriority w:val="6"/>
    <w:qFormat/>
    <w:rsid w:val="00740DDF"/>
    <w:rPr>
      <w:b/>
    </w:rPr>
  </w:style>
  <w:style w:type="character" w:customStyle="1" w:styleId="BoldChar">
    <w:name w:val="Bold Char"/>
    <w:basedOn w:val="Bekezdsalapbettpusa"/>
    <w:link w:val="Bold"/>
    <w:uiPriority w:val="6"/>
    <w:rsid w:val="00740DDF"/>
    <w:rPr>
      <w:b/>
    </w:rPr>
  </w:style>
  <w:style w:type="character" w:styleId="Mrltotthiperhivatkozs">
    <w:name w:val="FollowedHyperlink"/>
    <w:basedOn w:val="Bekezdsalapbettpusa"/>
    <w:uiPriority w:val="99"/>
    <w:semiHidden/>
    <w:unhideWhenUsed/>
    <w:rsid w:val="00740DDF"/>
    <w:rPr>
      <w:color w:val="954F72" w:themeColor="followedHyperlink"/>
      <w:u w:val="single"/>
    </w:rPr>
  </w:style>
  <w:style w:type="paragraph" w:styleId="Tartalomjegyzkcmsora">
    <w:name w:val="TOC Heading"/>
    <w:basedOn w:val="Cmsor1"/>
    <w:next w:val="Norml"/>
    <w:uiPriority w:val="39"/>
    <w:unhideWhenUsed/>
    <w:qFormat/>
    <w:rsid w:val="00740DDF"/>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740DDF"/>
    <w:pPr>
      <w:spacing w:after="100"/>
      <w:ind w:left="220"/>
      <w:jc w:val="left"/>
    </w:pPr>
    <w:rPr>
      <w:rFonts w:eastAsiaTheme="minorEastAsia"/>
    </w:rPr>
  </w:style>
  <w:style w:type="paragraph" w:styleId="TJ1">
    <w:name w:val="toc 1"/>
    <w:basedOn w:val="Norml"/>
    <w:next w:val="Norml"/>
    <w:autoRedefine/>
    <w:uiPriority w:val="39"/>
    <w:unhideWhenUsed/>
    <w:qFormat/>
    <w:locked/>
    <w:rsid w:val="00740DDF"/>
    <w:pPr>
      <w:spacing w:after="100"/>
      <w:jc w:val="left"/>
    </w:pPr>
    <w:rPr>
      <w:rFonts w:eastAsiaTheme="minorEastAsia"/>
    </w:rPr>
  </w:style>
  <w:style w:type="paragraph" w:styleId="TJ3">
    <w:name w:val="toc 3"/>
    <w:basedOn w:val="Norml"/>
    <w:next w:val="Norml"/>
    <w:uiPriority w:val="39"/>
    <w:unhideWhenUsed/>
    <w:qFormat/>
    <w:locked/>
    <w:rsid w:val="00740DDF"/>
    <w:pPr>
      <w:spacing w:after="100"/>
      <w:ind w:left="400"/>
    </w:pPr>
  </w:style>
  <w:style w:type="paragraph" w:customStyle="1" w:styleId="StyleTOC2Left015">
    <w:name w:val="Style TOC 2 + Left:  0.15&quot;"/>
    <w:basedOn w:val="TJ2"/>
    <w:rsid w:val="00740DDF"/>
    <w:pPr>
      <w:ind w:left="216"/>
    </w:pPr>
    <w:rPr>
      <w:rFonts w:eastAsia="Times New Roman" w:cs="Times New Roman"/>
    </w:rPr>
  </w:style>
  <w:style w:type="paragraph" w:customStyle="1" w:styleId="StyleTOC3Left031">
    <w:name w:val="Style TOC 3 + Left:  0.31&quot;"/>
    <w:basedOn w:val="TJ3"/>
    <w:rsid w:val="00740DDF"/>
    <w:pPr>
      <w:ind w:left="446"/>
    </w:pPr>
    <w:rPr>
      <w:rFonts w:eastAsia="Times New Roman" w:cs="Times New Roman"/>
    </w:rPr>
  </w:style>
  <w:style w:type="numbering" w:customStyle="1" w:styleId="Hierarchikuslista">
    <w:name w:val="Hierarchikus lista"/>
    <w:uiPriority w:val="99"/>
    <w:rsid w:val="00740DDF"/>
    <w:pPr>
      <w:numPr>
        <w:numId w:val="2"/>
      </w:numPr>
    </w:pPr>
  </w:style>
  <w:style w:type="paragraph" w:customStyle="1" w:styleId="HierarchikusLista0">
    <w:name w:val="Hierarchikus Lista"/>
    <w:basedOn w:val="Listaszerbekezds"/>
    <w:link w:val="HierarchikusListaChar"/>
    <w:qFormat/>
    <w:rsid w:val="00740DDF"/>
    <w:pPr>
      <w:numPr>
        <w:numId w:val="0"/>
      </w:numPr>
    </w:pPr>
  </w:style>
  <w:style w:type="character" w:customStyle="1" w:styleId="HierarchikusListaChar">
    <w:name w:val="Hierarchikus Lista Char"/>
    <w:basedOn w:val="ListaszerbekezdsChar"/>
    <w:link w:val="HierarchikusLista0"/>
    <w:rsid w:val="00740DDF"/>
  </w:style>
  <w:style w:type="character" w:styleId="Kiemels2">
    <w:name w:val="Strong"/>
    <w:basedOn w:val="Bekezdsalapbettpusa"/>
    <w:uiPriority w:val="22"/>
    <w:rsid w:val="00740DDF"/>
    <w:rPr>
      <w:b/>
      <w:bCs/>
    </w:rPr>
  </w:style>
  <w:style w:type="character" w:styleId="Kiemels">
    <w:name w:val="Emphasis"/>
    <w:basedOn w:val="Bekezdsalapbettpusa"/>
    <w:uiPriority w:val="6"/>
    <w:qFormat/>
    <w:rsid w:val="00740DDF"/>
    <w:rPr>
      <w:i/>
      <w:iCs/>
    </w:rPr>
  </w:style>
  <w:style w:type="paragraph" w:styleId="Nincstrkz">
    <w:name w:val="No Spacing"/>
    <w:basedOn w:val="Norml"/>
    <w:uiPriority w:val="1"/>
    <w:rsid w:val="00740DDF"/>
    <w:rPr>
      <w:szCs w:val="32"/>
    </w:rPr>
  </w:style>
  <w:style w:type="paragraph" w:styleId="Idzet">
    <w:name w:val="Quote"/>
    <w:basedOn w:val="Norml"/>
    <w:next w:val="Norml"/>
    <w:link w:val="IdzetChar"/>
    <w:uiPriority w:val="29"/>
    <w:rsid w:val="00740DDF"/>
    <w:rPr>
      <w:i/>
    </w:rPr>
  </w:style>
  <w:style w:type="character" w:customStyle="1" w:styleId="IdzetChar">
    <w:name w:val="Idézet Char"/>
    <w:basedOn w:val="Bekezdsalapbettpusa"/>
    <w:link w:val="Idzet"/>
    <w:uiPriority w:val="29"/>
    <w:rsid w:val="00740DDF"/>
    <w:rPr>
      <w:i/>
    </w:rPr>
  </w:style>
  <w:style w:type="paragraph" w:styleId="Kiemeltidzet">
    <w:name w:val="Intense Quote"/>
    <w:basedOn w:val="Norml"/>
    <w:next w:val="Norml"/>
    <w:link w:val="KiemeltidzetChar"/>
    <w:uiPriority w:val="30"/>
    <w:rsid w:val="00740DDF"/>
    <w:pPr>
      <w:ind w:left="720" w:right="720"/>
    </w:pPr>
    <w:rPr>
      <w:b/>
      <w:i/>
    </w:rPr>
  </w:style>
  <w:style w:type="character" w:customStyle="1" w:styleId="KiemeltidzetChar">
    <w:name w:val="Kiemelt idézet Char"/>
    <w:basedOn w:val="Bekezdsalapbettpusa"/>
    <w:link w:val="Kiemeltidzet"/>
    <w:uiPriority w:val="30"/>
    <w:rsid w:val="00740DDF"/>
    <w:rPr>
      <w:b/>
      <w:i/>
    </w:rPr>
  </w:style>
  <w:style w:type="character" w:styleId="Erskiemels">
    <w:name w:val="Intense Emphasis"/>
    <w:basedOn w:val="Bekezdsalapbettpusa"/>
    <w:uiPriority w:val="21"/>
    <w:rsid w:val="00740DDF"/>
    <w:rPr>
      <w:b/>
      <w:i/>
      <w:sz w:val="24"/>
      <w:szCs w:val="24"/>
      <w:u w:val="single"/>
    </w:rPr>
  </w:style>
  <w:style w:type="character" w:styleId="Knyvcme">
    <w:name w:val="Book Title"/>
    <w:basedOn w:val="Bekezdsalapbettpusa"/>
    <w:uiPriority w:val="33"/>
    <w:rsid w:val="00740DDF"/>
    <w:rPr>
      <w:rFonts w:ascii="Calibri" w:eastAsiaTheme="majorEastAsia" w:hAnsi="Calibri"/>
      <w:b/>
      <w:i/>
      <w:sz w:val="24"/>
      <w:szCs w:val="24"/>
    </w:rPr>
  </w:style>
  <w:style w:type="paragraph" w:customStyle="1" w:styleId="Szvegdobozstlus">
    <w:name w:val="Szövegdoboz stílus"/>
    <w:basedOn w:val="HierarchikusLista0"/>
    <w:qFormat/>
    <w:rsid w:val="00740DDF"/>
    <w:rPr>
      <w:b/>
      <w:i/>
      <w:color w:val="009EE0"/>
    </w:rPr>
  </w:style>
  <w:style w:type="table" w:customStyle="1" w:styleId="Rcsos">
    <w:name w:val="Rácsos"/>
    <w:basedOn w:val="Normltblzat"/>
    <w:uiPriority w:val="99"/>
    <w:rsid w:val="00740DDF"/>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740DDF"/>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740DDF"/>
    <w:pPr>
      <w:keepNext/>
      <w:spacing w:after="40"/>
      <w:jc w:val="center"/>
    </w:pPr>
    <w:rPr>
      <w:b/>
      <w:bCs/>
      <w:color w:val="808080"/>
      <w:szCs w:val="18"/>
    </w:rPr>
  </w:style>
  <w:style w:type="paragraph" w:customStyle="1" w:styleId="ENCaption2Col">
    <w:name w:val="EN_Caption_2Col"/>
    <w:basedOn w:val="Norml"/>
    <w:next w:val="Norml"/>
    <w:uiPriority w:val="1"/>
    <w:qFormat/>
    <w:rsid w:val="00740DDF"/>
    <w:pPr>
      <w:keepNext/>
      <w:spacing w:after="40"/>
      <w:jc w:val="left"/>
    </w:pPr>
    <w:rPr>
      <w:b/>
      <w:bCs/>
      <w:color w:val="808080"/>
      <w:szCs w:val="18"/>
    </w:rPr>
  </w:style>
  <w:style w:type="paragraph" w:customStyle="1" w:styleId="ENCaptionBox">
    <w:name w:val="EN_Caption_Box"/>
    <w:basedOn w:val="Norml"/>
    <w:next w:val="Norml"/>
    <w:uiPriority w:val="1"/>
    <w:qFormat/>
    <w:rsid w:val="00740DDF"/>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740DDF"/>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740DDF"/>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740DDF"/>
    <w:rPr>
      <w:rFonts w:eastAsiaTheme="minorEastAsia"/>
      <w:color w:val="808080"/>
      <w:sz w:val="18"/>
    </w:rPr>
  </w:style>
  <w:style w:type="paragraph" w:customStyle="1" w:styleId="ENNormal">
    <w:name w:val="EN_Normal"/>
    <w:basedOn w:val="Norml"/>
    <w:uiPriority w:val="1"/>
    <w:qFormat/>
    <w:rsid w:val="00740DDF"/>
  </w:style>
  <w:style w:type="paragraph" w:customStyle="1" w:styleId="ENNormalBox">
    <w:name w:val="EN_Normal_Box"/>
    <w:basedOn w:val="Norml"/>
    <w:uiPriority w:val="1"/>
    <w:qFormat/>
    <w:rsid w:val="00740DDF"/>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740DDF"/>
    <w:pPr>
      <w:keepLines/>
      <w:jc w:val="center"/>
    </w:pPr>
    <w:rPr>
      <w:color w:val="808080"/>
      <w:sz w:val="18"/>
    </w:rPr>
  </w:style>
  <w:style w:type="paragraph" w:customStyle="1" w:styleId="ENNote2Col">
    <w:name w:val="EN_Note_2Col"/>
    <w:basedOn w:val="Norml"/>
    <w:next w:val="ENNormal"/>
    <w:uiPriority w:val="1"/>
    <w:qFormat/>
    <w:rsid w:val="00740DDF"/>
    <w:pPr>
      <w:keepLines/>
    </w:pPr>
    <w:rPr>
      <w:color w:val="808080"/>
      <w:sz w:val="18"/>
    </w:rPr>
  </w:style>
  <w:style w:type="paragraph" w:customStyle="1" w:styleId="ENNoteBox">
    <w:name w:val="EN_Note_Box"/>
    <w:basedOn w:val="Norml"/>
    <w:next w:val="ENNormalBox"/>
    <w:uiPriority w:val="1"/>
    <w:qFormat/>
    <w:rsid w:val="00740DDF"/>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740DDF"/>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740DDF"/>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740DDF"/>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740DDF"/>
    <w:pPr>
      <w:keepNext/>
      <w:spacing w:after="40"/>
      <w:jc w:val="center"/>
    </w:pPr>
    <w:rPr>
      <w:sz w:val="20"/>
    </w:rPr>
  </w:style>
  <w:style w:type="paragraph" w:customStyle="1" w:styleId="HUCaption2Col">
    <w:name w:val="HU_Caption_2Col"/>
    <w:basedOn w:val="Kpalrs"/>
    <w:next w:val="Norml"/>
    <w:uiPriority w:val="1"/>
    <w:qFormat/>
    <w:rsid w:val="00740DDF"/>
    <w:pPr>
      <w:keepNext/>
      <w:spacing w:after="40"/>
    </w:pPr>
    <w:rPr>
      <w:sz w:val="20"/>
    </w:rPr>
  </w:style>
  <w:style w:type="paragraph" w:customStyle="1" w:styleId="HUCaptionBox">
    <w:name w:val="HU_Caption_Box"/>
    <w:basedOn w:val="Kpalrs"/>
    <w:next w:val="Norml"/>
    <w:uiPriority w:val="1"/>
    <w:qFormat/>
    <w:rsid w:val="00740DDF"/>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740DDF"/>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740DDF"/>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740DDF"/>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740DDF"/>
    <w:rPr>
      <w:caps/>
      <w:color w:val="0C2148" w:themeColor="text2"/>
    </w:rPr>
  </w:style>
  <w:style w:type="paragraph" w:customStyle="1" w:styleId="HUFootnote">
    <w:name w:val="HU_Footnote"/>
    <w:basedOn w:val="Lbjegyzetszveg"/>
    <w:uiPriority w:val="1"/>
    <w:qFormat/>
    <w:rsid w:val="00740DDF"/>
    <w:rPr>
      <w:color w:val="808080"/>
      <w:sz w:val="18"/>
    </w:rPr>
  </w:style>
  <w:style w:type="paragraph" w:customStyle="1" w:styleId="HUNormalBox">
    <w:name w:val="HU_Normal_Box"/>
    <w:basedOn w:val="Norml"/>
    <w:uiPriority w:val="1"/>
    <w:qFormat/>
    <w:rsid w:val="00740DDF"/>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740DDF"/>
    <w:pPr>
      <w:keepLines/>
      <w:jc w:val="center"/>
    </w:pPr>
    <w:rPr>
      <w:color w:val="808080"/>
      <w:sz w:val="18"/>
    </w:rPr>
  </w:style>
  <w:style w:type="paragraph" w:customStyle="1" w:styleId="HUNote2Col">
    <w:name w:val="HU_Note_2Col"/>
    <w:basedOn w:val="Norml"/>
    <w:next w:val="Norml"/>
    <w:uiPriority w:val="1"/>
    <w:qFormat/>
    <w:rsid w:val="00740DDF"/>
    <w:pPr>
      <w:keepLines/>
    </w:pPr>
    <w:rPr>
      <w:color w:val="808080"/>
      <w:sz w:val="18"/>
    </w:rPr>
  </w:style>
  <w:style w:type="paragraph" w:customStyle="1" w:styleId="HUNoteBox">
    <w:name w:val="HU_Note_Box"/>
    <w:basedOn w:val="Norml"/>
    <w:next w:val="HUNormalBox"/>
    <w:link w:val="HUNoteBoxChar"/>
    <w:uiPriority w:val="1"/>
    <w:qFormat/>
    <w:rsid w:val="00740DDF"/>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740DDF"/>
    <w:rPr>
      <w:color w:val="808080"/>
      <w:sz w:val="18"/>
      <w:shd w:val="clear" w:color="auto" w:fill="C6EEFF"/>
    </w:rPr>
  </w:style>
  <w:style w:type="paragraph" w:customStyle="1" w:styleId="HUSectionTitle">
    <w:name w:val="HU_Section_Title"/>
    <w:basedOn w:val="Cmsor2"/>
    <w:next w:val="Norml"/>
    <w:link w:val="HUSectionTitleChar"/>
    <w:uiPriority w:val="1"/>
    <w:rsid w:val="00740DDF"/>
    <w:pPr>
      <w:keepNext/>
    </w:pPr>
  </w:style>
  <w:style w:type="character" w:customStyle="1" w:styleId="HUSectionTitleChar">
    <w:name w:val="HU_Section_Title Char"/>
    <w:basedOn w:val="Cmsor2Char"/>
    <w:link w:val="HUSectionTitle"/>
    <w:uiPriority w:val="1"/>
    <w:rsid w:val="00740DDF"/>
    <w:rPr>
      <w:b/>
      <w:color w:val="0C2148" w:themeColor="text2"/>
      <w:sz w:val="24"/>
      <w:szCs w:val="38"/>
    </w:rPr>
  </w:style>
  <w:style w:type="paragraph" w:customStyle="1" w:styleId="HUSubsectionTitle">
    <w:name w:val="HU_Subsection_Title"/>
    <w:basedOn w:val="Cmsor3"/>
    <w:next w:val="Norml"/>
    <w:link w:val="HUSubsectionTitleChar"/>
    <w:uiPriority w:val="1"/>
    <w:rsid w:val="00740DDF"/>
    <w:pPr>
      <w:keepNext/>
      <w:ind w:left="595" w:hanging="595"/>
    </w:pPr>
  </w:style>
  <w:style w:type="character" w:customStyle="1" w:styleId="HUSubsectionTitleChar">
    <w:name w:val="HU_Subsection_Title Char"/>
    <w:basedOn w:val="Cmsor3Char"/>
    <w:link w:val="HUSubsectionTitle"/>
    <w:uiPriority w:val="1"/>
    <w:rsid w:val="00740DDF"/>
    <w:rPr>
      <w:bCs/>
      <w:color w:val="0C2148" w:themeColor="text2"/>
      <w:szCs w:val="34"/>
    </w:rPr>
  </w:style>
  <w:style w:type="paragraph" w:customStyle="1" w:styleId="Heading1Kiadvny">
    <w:name w:val="Heading 1 Kiadvány"/>
    <w:basedOn w:val="Cmsor1"/>
    <w:qFormat/>
    <w:rsid w:val="00740DDF"/>
    <w:rPr>
      <w:b w:val="0"/>
      <w:caps w:val="0"/>
      <w:sz w:val="52"/>
    </w:rPr>
  </w:style>
  <w:style w:type="paragraph" w:customStyle="1" w:styleId="Erskiemels2">
    <w:name w:val="Erős kiemelés2"/>
    <w:basedOn w:val="Norml"/>
    <w:uiPriority w:val="5"/>
    <w:qFormat/>
    <w:rsid w:val="002E0A07"/>
    <w:rPr>
      <w:b/>
      <w:i/>
    </w:rPr>
  </w:style>
  <w:style w:type="paragraph" w:customStyle="1" w:styleId="Erskiemels3">
    <w:name w:val="Erős kiemelés3"/>
    <w:basedOn w:val="Norml"/>
    <w:uiPriority w:val="5"/>
    <w:qFormat/>
    <w:rsid w:val="009C69AB"/>
    <w:rPr>
      <w:b/>
      <w:i/>
    </w:rPr>
  </w:style>
  <w:style w:type="paragraph" w:customStyle="1" w:styleId="Erskiemels4">
    <w:name w:val="Erős kiemelés4"/>
    <w:basedOn w:val="Norml"/>
    <w:uiPriority w:val="5"/>
    <w:qFormat/>
    <w:rsid w:val="00DB3A95"/>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928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FD3AA0F0-1B6F-4561-9D9D-F5D086AE5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1307</Words>
  <Characters>9468</Characters>
  <Application>Microsoft Office Word</Application>
  <DocSecurity>0</DocSecurity>
  <Lines>78</Lines>
  <Paragraphs>21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2021-10-08T12:18:00Z</dcterms:created>
  <dcterms:modified xsi:type="dcterms:W3CDTF">2021-10-20T12:24:00Z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2025-10-15T15:22:37Z</vt:filetime>
  </property>
  <property fmtid="{D5CDD505-2E9C-101B-9397-08002B2CF9AE}" pid="3" name="Érvényességet beállító">
    <vt:lpwstr>szenthelyid</vt:lpwstr>
  </property>
  <property fmtid="{D5CDD505-2E9C-101B-9397-08002B2CF9AE}" pid="4" name="Érvényességi idő első beállítása">
    <vt:filetime>2020-10-15T15:22:37Z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gubeknei@mnb.hu</vt:lpwstr>
  </property>
  <property fmtid="{D5CDD505-2E9C-101B-9397-08002B2CF9AE}" pid="8" name="MSIP_Label_b0d11092-50c9-4e74-84b5-b1af078dc3d0_SetDate">
    <vt:lpwstr>2021-10-08T12:18:11.9508800Z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db639ae1-7f5a-4318-9c56-e38d81507a63</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