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33AA" w14:textId="1964B963" w:rsidR="00CF1213" w:rsidRDefault="00793CB6" w:rsidP="00403D7C">
      <w:pPr>
        <w:keepLines w:val="0"/>
        <w:widowControl w:val="0"/>
        <w:spacing w:after="240"/>
        <w:jc w:val="left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MNB azonosító</w:t>
      </w:r>
      <w:r w:rsidR="00F4492C">
        <w:rPr>
          <w:rFonts w:ascii="Arial" w:hAnsi="Arial" w:cs="Arial"/>
          <w:b/>
          <w:sz w:val="20"/>
        </w:rPr>
        <w:t xml:space="preserve"> kód</w:t>
      </w:r>
      <w:r w:rsidRPr="00793CB6">
        <w:rPr>
          <w:rFonts w:ascii="Arial" w:hAnsi="Arial" w:cs="Arial"/>
          <w:b/>
          <w:sz w:val="20"/>
        </w:rPr>
        <w:t xml:space="preserve">: K02, </w:t>
      </w:r>
      <w:r w:rsidR="00AC52E6">
        <w:rPr>
          <w:rFonts w:ascii="Arial" w:hAnsi="Arial" w:cs="Arial"/>
          <w:b/>
          <w:sz w:val="20"/>
        </w:rPr>
        <w:t xml:space="preserve">K10, </w:t>
      </w:r>
      <w:r w:rsidRPr="00793CB6">
        <w:rPr>
          <w:rFonts w:ascii="Arial" w:hAnsi="Arial" w:cs="Arial"/>
          <w:b/>
          <w:sz w:val="20"/>
        </w:rPr>
        <w:t>K12</w:t>
      </w:r>
    </w:p>
    <w:p w14:paraId="4660CADD" w14:textId="77777777" w:rsidR="00CF1213" w:rsidRDefault="00793CB6" w:rsidP="00403D7C">
      <w:pPr>
        <w:keepLines w:val="0"/>
        <w:widowControl w:val="0"/>
        <w:spacing w:before="24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Kitöltési előírások</w:t>
      </w:r>
    </w:p>
    <w:p w14:paraId="0A534C6A" w14:textId="77777777" w:rsidR="00F56BC3" w:rsidRDefault="00793CB6" w:rsidP="00403D7C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Napi jelentés a bankközi forinthitelek és forintbetétek kamatlábáról</w:t>
      </w:r>
    </w:p>
    <w:p w14:paraId="0A40127A" w14:textId="4322C425" w:rsidR="00AC52E6" w:rsidRPr="00437208" w:rsidRDefault="00AC52E6" w:rsidP="00403D7C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 xml:space="preserve">Napi jelentés </w:t>
      </w:r>
      <w:r w:rsidR="0002648C">
        <w:rPr>
          <w:rFonts w:ascii="Arial" w:hAnsi="Arial" w:cs="Arial"/>
          <w:b/>
          <w:sz w:val="20"/>
        </w:rPr>
        <w:t>a nem bankközi</w:t>
      </w:r>
      <w:r>
        <w:rPr>
          <w:rFonts w:ascii="Arial" w:hAnsi="Arial" w:cs="Arial"/>
          <w:b/>
          <w:sz w:val="20"/>
        </w:rPr>
        <w:t xml:space="preserve"> overnight </w:t>
      </w:r>
      <w:r w:rsidRPr="00793CB6">
        <w:rPr>
          <w:rFonts w:ascii="Arial" w:hAnsi="Arial" w:cs="Arial"/>
          <w:b/>
          <w:sz w:val="20"/>
        </w:rPr>
        <w:t>forinthitelek és forintbetétek kamatlábáról</w:t>
      </w:r>
    </w:p>
    <w:p w14:paraId="38A746F7" w14:textId="77777777" w:rsidR="00CF1213" w:rsidRDefault="00793CB6" w:rsidP="00403D7C">
      <w:pPr>
        <w:keepLines w:val="0"/>
        <w:widowControl w:val="0"/>
        <w:spacing w:after="24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Napi jelentés a bankközi overnight forinthitelek és forintbetétek kamatlábáról</w:t>
      </w:r>
    </w:p>
    <w:p w14:paraId="045A3E03" w14:textId="77777777" w:rsidR="00F56BC3" w:rsidRPr="00437208" w:rsidRDefault="00FD533D" w:rsidP="00403D7C">
      <w:pPr>
        <w:keepLines w:val="0"/>
        <w:widowControl w:val="0"/>
        <w:spacing w:before="240" w:after="24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 </w:t>
      </w:r>
      <w:r w:rsidR="00793CB6" w:rsidRPr="00793CB6">
        <w:rPr>
          <w:rFonts w:ascii="Arial" w:hAnsi="Arial" w:cs="Arial"/>
          <w:b/>
          <w:sz w:val="20"/>
        </w:rPr>
        <w:t>Általános előírások</w:t>
      </w:r>
    </w:p>
    <w:p w14:paraId="1509A91F" w14:textId="77777777" w:rsidR="00F56BC3" w:rsidRDefault="00793CB6" w:rsidP="00403D7C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r w:rsidRPr="00793CB6">
        <w:rPr>
          <w:rFonts w:ascii="Arial" w:hAnsi="Arial" w:cs="Arial"/>
          <w:snapToGrid w:val="0"/>
          <w:sz w:val="20"/>
          <w:lang w:eastAsia="en-US"/>
        </w:rPr>
        <w:t>1. A K02</w:t>
      </w:r>
      <w:r w:rsidR="00437208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85671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437208">
        <w:rPr>
          <w:rFonts w:ascii="Arial" w:hAnsi="Arial" w:cs="Arial"/>
          <w:snapToGrid w:val="0"/>
          <w:sz w:val="20"/>
          <w:lang w:eastAsia="en-US"/>
        </w:rPr>
        <w:t>azonosító kódú adatszolgáltatás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 egymással, a tárgynapon kötött piaci kamatozású</w:t>
      </w:r>
      <w:r w:rsidR="00437208">
        <w:rPr>
          <w:rFonts w:ascii="Arial" w:hAnsi="Arial" w:cs="Arial"/>
          <w:snapToGrid w:val="0"/>
          <w:sz w:val="20"/>
          <w:lang w:eastAsia="en-US"/>
        </w:rPr>
        <w:t>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overnight kötéseken kívüli fedezetlen bankközi pénzpiaci ügyleteinek adatait tartalmazza. </w:t>
      </w:r>
    </w:p>
    <w:p w14:paraId="2B8CE0D0" w14:textId="6C5A80C1" w:rsidR="00AC52E6" w:rsidRPr="00437208" w:rsidRDefault="00AC52E6" w:rsidP="00403D7C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r w:rsidRPr="00793CB6">
        <w:rPr>
          <w:rFonts w:ascii="Arial" w:hAnsi="Arial" w:cs="Arial"/>
          <w:snapToGrid w:val="0"/>
          <w:sz w:val="20"/>
          <w:lang w:eastAsia="en-US"/>
        </w:rPr>
        <w:t>2. A K1</w:t>
      </w:r>
      <w:r w:rsidR="00D06EF8">
        <w:rPr>
          <w:rFonts w:ascii="Arial" w:hAnsi="Arial" w:cs="Arial"/>
          <w:snapToGrid w:val="0"/>
          <w:sz w:val="20"/>
          <w:lang w:eastAsia="en-US"/>
        </w:rPr>
        <w:t>0</w:t>
      </w:r>
      <w:r>
        <w:rPr>
          <w:rFonts w:ascii="Arial" w:hAnsi="Arial" w:cs="Arial"/>
          <w:snapToGrid w:val="0"/>
          <w:sz w:val="20"/>
          <w:lang w:eastAsia="en-US"/>
        </w:rPr>
        <w:t xml:space="preserve"> MNB azonosító kódú adatszolgáltatás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</w:t>
      </w:r>
      <w:r>
        <w:rPr>
          <w:rFonts w:ascii="Arial" w:hAnsi="Arial" w:cs="Arial"/>
          <w:snapToGrid w:val="0"/>
          <w:sz w:val="20"/>
          <w:lang w:eastAsia="en-US"/>
        </w:rPr>
        <w:t xml:space="preserve"> 100 millió forint feletti összegben,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tárgynapon</w:t>
      </w:r>
      <w:r>
        <w:rPr>
          <w:rFonts w:ascii="Arial" w:hAnsi="Arial" w:cs="Arial"/>
          <w:snapToGrid w:val="0"/>
          <w:sz w:val="20"/>
          <w:lang w:eastAsia="en-US"/>
        </w:rPr>
        <w:t>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piaci feltételekkel kötött fedezetlen pénzpiaci</w:t>
      </w:r>
      <w:r w:rsidR="0002648C">
        <w:rPr>
          <w:rFonts w:ascii="Arial" w:hAnsi="Arial" w:cs="Arial"/>
          <w:snapToGrid w:val="0"/>
          <w:sz w:val="20"/>
          <w:lang w:eastAsia="en-US"/>
        </w:rPr>
        <w:t>, nem bankközi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overnight (o/n) ügyleteinek adatait tartalmazza. </w:t>
      </w:r>
      <w:r w:rsidR="00B2610C">
        <w:rPr>
          <w:rFonts w:ascii="Arial" w:hAnsi="Arial" w:cs="Arial"/>
          <w:snapToGrid w:val="0"/>
          <w:sz w:val="20"/>
          <w:lang w:eastAsia="en-US"/>
        </w:rPr>
        <w:t>A szerződések összegét a kerekítés szabályai alapján millióban, tizedesjegyek nélkül kell feltüntetni.</w:t>
      </w:r>
    </w:p>
    <w:p w14:paraId="2EA9CE4C" w14:textId="63B725B8" w:rsidR="00F56BC3" w:rsidRPr="00437208" w:rsidRDefault="00ED6D0E" w:rsidP="00403D7C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3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>. A K12</w:t>
      </w:r>
      <w:r w:rsidR="00437208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85671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437208">
        <w:rPr>
          <w:rFonts w:ascii="Arial" w:hAnsi="Arial" w:cs="Arial"/>
          <w:snapToGrid w:val="0"/>
          <w:sz w:val="20"/>
          <w:lang w:eastAsia="en-US"/>
        </w:rPr>
        <w:t>azonosító kódú adatszolgáltatás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 egymással, a tárgynapon piaci feltételekkel kötött fedezetlen bankközi pénzpiaci overnight (o/n) ügyleteinek adatait tartalmazza. </w:t>
      </w:r>
    </w:p>
    <w:p w14:paraId="435C10C0" w14:textId="14DE958B" w:rsidR="00F56BC3" w:rsidRPr="00437208" w:rsidRDefault="00ED6D0E" w:rsidP="00403D7C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4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>. A hitelkeret-szerződés alapján lehívott összegeket és a lehíváskor érvényes kamatlábat is jelenteni kell mind</w:t>
      </w:r>
      <w:r w:rsidR="00D06EF8">
        <w:rPr>
          <w:rFonts w:ascii="Arial" w:hAnsi="Arial" w:cs="Arial"/>
          <w:snapToGrid w:val="0"/>
          <w:sz w:val="20"/>
          <w:lang w:eastAsia="en-US"/>
        </w:rPr>
        <w:t>három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 adatszolgáltatás esetében.</w:t>
      </w:r>
    </w:p>
    <w:p w14:paraId="3DFB791B" w14:textId="528A25FD" w:rsidR="00F56BC3" w:rsidRPr="00437208" w:rsidRDefault="00ED6D0E" w:rsidP="00403D7C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5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. Tárgynap: a tárgynapi ügyletek közé az adott napon a VIBER zárási időpontjáig kötött ügyletek sorolandók. </w:t>
      </w:r>
    </w:p>
    <w:p w14:paraId="7361D51A" w14:textId="5E972700" w:rsidR="00F56BC3" w:rsidRDefault="00ED6D0E" w:rsidP="00403D7C">
      <w:pPr>
        <w:keepLines w:val="0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793CB6" w:rsidRPr="00793CB6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r w:rsidR="00AF5612">
        <w:rPr>
          <w:rFonts w:ascii="Arial" w:hAnsi="Arial" w:cs="Arial"/>
          <w:sz w:val="20"/>
        </w:rPr>
        <w:t>E</w:t>
      </w:r>
      <w:r w:rsidR="00793CB6" w:rsidRPr="00793CB6">
        <w:rPr>
          <w:rFonts w:ascii="Arial" w:hAnsi="Arial" w:cs="Arial"/>
          <w:sz w:val="20"/>
        </w:rPr>
        <w:t>. 3. pontja tartalmazza.</w:t>
      </w:r>
    </w:p>
    <w:p w14:paraId="0B392D8D" w14:textId="4828C915" w:rsidR="00474C8B" w:rsidRDefault="00ED6D0E" w:rsidP="00403D7C">
      <w:pPr>
        <w:keepLines w:val="0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E31CC8">
        <w:rPr>
          <w:rFonts w:ascii="Arial" w:hAnsi="Arial" w:cs="Arial"/>
          <w:sz w:val="20"/>
        </w:rPr>
        <w:t xml:space="preserve">. </w:t>
      </w:r>
      <w:r w:rsidR="00474C8B">
        <w:rPr>
          <w:rFonts w:ascii="Arial" w:hAnsi="Arial" w:cs="Arial"/>
          <w:sz w:val="20"/>
        </w:rPr>
        <w:t>A táblák kitöltésé</w:t>
      </w:r>
      <w:r w:rsidR="00E31CC8">
        <w:rPr>
          <w:rFonts w:ascii="Arial" w:hAnsi="Arial" w:cs="Arial"/>
          <w:sz w:val="20"/>
        </w:rPr>
        <w:t>t segítő módszertani útmutatást</w:t>
      </w:r>
      <w:r w:rsidR="00474C8B">
        <w:rPr>
          <w:rFonts w:ascii="Arial" w:hAnsi="Arial" w:cs="Arial"/>
          <w:sz w:val="20"/>
        </w:rPr>
        <w:t xml:space="preserve"> a 3. melléklet 9. pontja szerinti, MNB honlapján közzétett technikai segédlet tartalmazza.</w:t>
      </w:r>
    </w:p>
    <w:p w14:paraId="2B952B4D" w14:textId="77777777" w:rsidR="009369F2" w:rsidRDefault="009369F2" w:rsidP="00403D7C">
      <w:pPr>
        <w:keepLines w:val="0"/>
        <w:widowControl w:val="0"/>
        <w:rPr>
          <w:rFonts w:ascii="Arial" w:hAnsi="Arial" w:cs="Arial"/>
          <w:sz w:val="20"/>
        </w:rPr>
      </w:pPr>
    </w:p>
    <w:p w14:paraId="556C6F7B" w14:textId="77777777" w:rsidR="00CD7B2C" w:rsidRDefault="00CD7B2C" w:rsidP="00403D7C">
      <w:pPr>
        <w:keepLines w:val="0"/>
        <w:widowControl w:val="0"/>
        <w:rPr>
          <w:rFonts w:ascii="Arial" w:hAnsi="Arial" w:cs="Arial"/>
          <w:sz w:val="20"/>
        </w:rPr>
      </w:pPr>
    </w:p>
    <w:sectPr w:rsidR="00CD7B2C" w:rsidSect="00793CB6">
      <w:headerReference w:type="default" r:id="rId7"/>
      <w:footerReference w:type="default" r:id="rId8"/>
      <w:pgSz w:w="11907" w:h="16840" w:code="9"/>
      <w:pgMar w:top="1134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B7EB" w14:textId="77777777" w:rsidR="00462CA5" w:rsidRDefault="00462CA5">
      <w:r>
        <w:separator/>
      </w:r>
    </w:p>
  </w:endnote>
  <w:endnote w:type="continuationSeparator" w:id="0">
    <w:p w14:paraId="72201510" w14:textId="77777777" w:rsidR="00462CA5" w:rsidRDefault="00462CA5">
      <w:r>
        <w:continuationSeparator/>
      </w:r>
    </w:p>
  </w:endnote>
  <w:endnote w:type="continuationNotice" w:id="1">
    <w:p w14:paraId="73B7A86F" w14:textId="77777777" w:rsidR="00462CA5" w:rsidRDefault="00462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D210" w14:textId="77777777" w:rsidR="00F56BC3" w:rsidRDefault="00F56BC3">
    <w:pPr>
      <w:pStyle w:val="llb"/>
    </w:pPr>
  </w:p>
  <w:p w14:paraId="08575D13" w14:textId="77777777" w:rsidR="00F56BC3" w:rsidRDefault="00F56B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45CF" w14:textId="77777777" w:rsidR="00462CA5" w:rsidRDefault="00462CA5">
      <w:r>
        <w:separator/>
      </w:r>
    </w:p>
  </w:footnote>
  <w:footnote w:type="continuationSeparator" w:id="0">
    <w:p w14:paraId="13D4B871" w14:textId="77777777" w:rsidR="00462CA5" w:rsidRDefault="00462CA5">
      <w:r>
        <w:continuationSeparator/>
      </w:r>
    </w:p>
  </w:footnote>
  <w:footnote w:type="continuationNotice" w:id="1">
    <w:p w14:paraId="08D4830D" w14:textId="77777777" w:rsidR="00462CA5" w:rsidRDefault="00462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CE67" w14:textId="77777777" w:rsidR="00462CA5" w:rsidRDefault="00462CA5" w:rsidP="00403D7C">
    <w:pPr>
      <w:pStyle w:val="lfej"/>
      <w:keepLines w:val="0"/>
      <w:widowContro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91798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2648C"/>
    <w:rsid w:val="00053479"/>
    <w:rsid w:val="000D1486"/>
    <w:rsid w:val="000D73C5"/>
    <w:rsid w:val="00127192"/>
    <w:rsid w:val="00164AAC"/>
    <w:rsid w:val="001906B6"/>
    <w:rsid w:val="00194597"/>
    <w:rsid w:val="00203CBE"/>
    <w:rsid w:val="00403D7C"/>
    <w:rsid w:val="00437208"/>
    <w:rsid w:val="004566F7"/>
    <w:rsid w:val="00462CA5"/>
    <w:rsid w:val="00474C8B"/>
    <w:rsid w:val="00485B1E"/>
    <w:rsid w:val="005558D2"/>
    <w:rsid w:val="005A4A57"/>
    <w:rsid w:val="005A58D8"/>
    <w:rsid w:val="006C59A9"/>
    <w:rsid w:val="00723C4C"/>
    <w:rsid w:val="00745CA7"/>
    <w:rsid w:val="00777E7A"/>
    <w:rsid w:val="00782DA6"/>
    <w:rsid w:val="00793CB6"/>
    <w:rsid w:val="007B586A"/>
    <w:rsid w:val="008161DF"/>
    <w:rsid w:val="00821712"/>
    <w:rsid w:val="008652A6"/>
    <w:rsid w:val="00885671"/>
    <w:rsid w:val="00911F62"/>
    <w:rsid w:val="009369F2"/>
    <w:rsid w:val="009D6BE6"/>
    <w:rsid w:val="00A06861"/>
    <w:rsid w:val="00A11DDE"/>
    <w:rsid w:val="00AC52E6"/>
    <w:rsid w:val="00AF5612"/>
    <w:rsid w:val="00B226F7"/>
    <w:rsid w:val="00B2610C"/>
    <w:rsid w:val="00B418F2"/>
    <w:rsid w:val="00B754A7"/>
    <w:rsid w:val="00CB73C0"/>
    <w:rsid w:val="00CD7B2C"/>
    <w:rsid w:val="00CF1213"/>
    <w:rsid w:val="00D06EF8"/>
    <w:rsid w:val="00D56030"/>
    <w:rsid w:val="00E31CC8"/>
    <w:rsid w:val="00E947CC"/>
    <w:rsid w:val="00ED6D0E"/>
    <w:rsid w:val="00F4492C"/>
    <w:rsid w:val="00F5294D"/>
    <w:rsid w:val="00F56BC3"/>
    <w:rsid w:val="00FB1D2B"/>
    <w:rsid w:val="00FD533D"/>
    <w:rsid w:val="00FF7866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9507C"/>
  <w15:chartTrackingRefBased/>
  <w15:docId w15:val="{F551923A-654E-4FC7-B43F-2FEB5AC3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3CB6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793CB6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793CB6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793CB6"/>
    <w:pPr>
      <w:ind w:left="284" w:hanging="284"/>
    </w:pPr>
  </w:style>
  <w:style w:type="paragraph" w:styleId="Szvegtrzs3">
    <w:name w:val="Body Text 3"/>
    <w:basedOn w:val="Norml"/>
    <w:rsid w:val="00793CB6"/>
    <w:pPr>
      <w:keepLines w:val="0"/>
    </w:pPr>
  </w:style>
  <w:style w:type="paragraph" w:styleId="lfej">
    <w:name w:val="header"/>
    <w:basedOn w:val="Norml"/>
    <w:rsid w:val="00793CB6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793CB6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793CB6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793CB6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793CB6"/>
    <w:rPr>
      <w:sz w:val="16"/>
      <w:szCs w:val="16"/>
    </w:rPr>
  </w:style>
  <w:style w:type="paragraph" w:styleId="Jegyzetszveg">
    <w:name w:val="annotation text"/>
    <w:basedOn w:val="Norml"/>
    <w:semiHidden/>
    <w:rsid w:val="00793CB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93CB6"/>
    <w:rPr>
      <w:b/>
      <w:bCs/>
    </w:rPr>
  </w:style>
  <w:style w:type="paragraph" w:styleId="Vltozat">
    <w:name w:val="Revision"/>
    <w:hidden/>
    <w:uiPriority w:val="99"/>
    <w:semiHidden/>
    <w:rsid w:val="00474C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195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7</cp:revision>
  <cp:lastPrinted>2002-07-29T07:16:00Z</cp:lastPrinted>
  <dcterms:created xsi:type="dcterms:W3CDTF">2023-06-09T12:53:00Z</dcterms:created>
  <dcterms:modified xsi:type="dcterms:W3CDTF">2024-10-10T13:40:00Z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2028-06-09T12:53:26Z</vt:filetime>
  </property>
  <property fmtid="{D5CDD505-2E9C-101B-9397-08002B2CF9AE}" pid="3" name="Érvényességet beállító">
    <vt:lpwstr>babosd</vt:lpwstr>
  </property>
  <property fmtid="{D5CDD505-2E9C-101B-9397-08002B2CF9AE}" pid="4" name="Érvényességi idő első beállítása">
    <vt:filetime>2023-06-09T12:53:26Z</vt:filetime>
  </property>
</Properties>
</file>