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1A45C33A"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r w:rsidR="006476B0">
        <w:rPr>
          <w:rFonts w:ascii="Arial" w:hAnsi="Arial" w:cs="Arial"/>
          <w:snapToGrid w:val="0"/>
          <w:sz w:val="20"/>
          <w:lang w:eastAsia="en-US"/>
        </w:rPr>
        <w:t>54</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6476B0">
        <w:rPr>
          <w:rFonts w:ascii="Arial" w:hAnsi="Arial" w:cs="Arial"/>
          <w:snapToGrid w:val="0"/>
          <w:sz w:val="20"/>
          <w:lang w:eastAsia="en-US"/>
        </w:rPr>
        <w:t>XII. 3.</w:t>
      </w:r>
      <w:r w:rsidR="00DA62FC" w:rsidRPr="00A61F3D">
        <w:rPr>
          <w:rFonts w:ascii="Arial" w:hAnsi="Arial" w:cs="Arial"/>
          <w:snapToGrid w:val="0"/>
          <w:sz w:val="20"/>
          <w:lang w:eastAsia="en-US"/>
        </w:rPr>
        <w:t>)</w:t>
      </w:r>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08A5DD7D"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r w:rsidR="00781979" w:rsidRPr="00686DAB">
        <w:rPr>
          <w:rFonts w:ascii="Arial" w:hAnsi="Arial" w:cs="Arial"/>
          <w:sz w:val="20"/>
        </w:rPr>
        <w:t>202</w:t>
      </w:r>
      <w:r w:rsidR="007A2CC2">
        <w:rPr>
          <w:rFonts w:ascii="Arial" w:hAnsi="Arial" w:cs="Arial"/>
          <w:sz w:val="20"/>
        </w:rPr>
        <w:t>5</w:t>
      </w:r>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tartózkodó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7FE6AC25"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w:t>
      </w:r>
      <w:r w:rsidRPr="00A61F3D">
        <w:rPr>
          <w:rFonts w:ascii="Arial" w:hAnsi="Arial" w:cs="Arial"/>
          <w:sz w:val="20"/>
        </w:rPr>
        <w:lastRenderedPageBreak/>
        <w:t>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 xml:space="preserve">pt. szerint hitelintézetnek minősülő valamennyi intézmény, függetlenül a statisztikai számjele részét képező szakágazati (TEÁOR)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különböztethető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(D-EPK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3C5C543"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viszontbiztosítók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r w:rsidR="008416B0">
        <w:rPr>
          <w:rFonts w:ascii="Arial" w:hAnsi="Arial" w:cs="Arial"/>
          <w:sz w:val="20"/>
        </w:rPr>
        <w:t>–</w:t>
      </w:r>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lastRenderedPageBreak/>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4DDEFBF5"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Munkavállalói Résztulajdonosi Program szervezete</w:t>
      </w:r>
      <w:r w:rsidR="00D819EE">
        <w:rPr>
          <w:rFonts w:ascii="Arial" w:hAnsi="Arial" w:cs="Arial"/>
          <w:sz w:val="20"/>
        </w:rPr>
        <w:t>k</w:t>
      </w:r>
      <w:r w:rsidRPr="00686DAB">
        <w:rPr>
          <w:rFonts w:ascii="Arial" w:hAnsi="Arial" w:cs="Arial"/>
          <w:sz w:val="20"/>
        </w:rPr>
        <w:t xml:space="preserve"> (a továbbiakban: </w:t>
      </w:r>
      <w:proofErr w:type="spellStart"/>
      <w:r w:rsidRPr="00686DAB">
        <w:rPr>
          <w:rFonts w:ascii="Arial" w:hAnsi="Arial" w:cs="Arial"/>
          <w:sz w:val="20"/>
        </w:rPr>
        <w:t>MRP</w:t>
      </w:r>
      <w:proofErr w:type="spellEnd"/>
      <w:r w:rsidRPr="00686DAB">
        <w:rPr>
          <w:rFonts w:ascii="Arial" w:hAnsi="Arial" w:cs="Arial"/>
          <w:sz w:val="20"/>
        </w:rPr>
        <w:t xml:space="preserve"> 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MRP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A nonprofit intézmények közül csak a háztartásokat segítő nonprofit intézmények alkotnak külön szektort a nemzetközi makrostatisztikai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392E567B" w14:textId="1C9B9386" w:rsidR="001A288F" w:rsidRPr="00A61F3D" w:rsidRDefault="00C17011" w:rsidP="00D3125B">
      <w:pPr>
        <w:spacing w:before="120"/>
        <w:rPr>
          <w:rFonts w:ascii="Arial" w:hAnsi="Arial" w:cs="Arial"/>
          <w:b/>
          <w:sz w:val="20"/>
        </w:rPr>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D-EPK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D3125B">
      <w:pPr>
        <w:widowControl w:val="0"/>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D3125B">
      <w:pPr>
        <w:widowControl w:val="0"/>
        <w:rPr>
          <w:rFonts w:ascii="Arial" w:hAnsi="Arial" w:cs="Arial"/>
          <w:sz w:val="20"/>
        </w:rPr>
      </w:pPr>
    </w:p>
    <w:p w14:paraId="02679B81" w14:textId="6BB38EF6" w:rsidR="00246BBE" w:rsidRPr="00246BBE" w:rsidRDefault="0070314C" w:rsidP="00D3125B">
      <w:pPr>
        <w:widowControl w:val="0"/>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xml:space="preserve">, partnereit a statisztikai számjelük alapján köteles nyilvántartani és azonosítani. Különösen fontos szerepet játszik az ügyfelek azonosításában a </w:t>
      </w:r>
      <w:r w:rsidR="00246BBE" w:rsidRPr="00246BBE">
        <w:rPr>
          <w:rFonts w:ascii="Arial" w:hAnsi="Arial" w:cs="Arial"/>
          <w:sz w:val="20"/>
        </w:rPr>
        <w:lastRenderedPageBreak/>
        <w:t>statisztikai számjel első nyolc karaktere, az ügyfél törzsszáma. A rezidens befektetési alapokat az MNB által közzétett technikai törzsszámmal (FB azonosító) kell azonosítani az adatszolgáltatások céljából.</w:t>
      </w:r>
    </w:p>
    <w:p w14:paraId="34366C6E" w14:textId="6BE21A85" w:rsidR="006805CF" w:rsidRPr="00A61F3D" w:rsidRDefault="00994396" w:rsidP="00D3125B">
      <w:pPr>
        <w:widowControl w:val="0"/>
        <w:spacing w:before="120"/>
        <w:rPr>
          <w:rFonts w:ascii="Arial" w:hAnsi="Arial" w:cs="Arial"/>
          <w:sz w:val="20"/>
        </w:rPr>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B1769D1"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r w:rsidR="00E91E7B">
        <w:rPr>
          <w:rFonts w:ascii="Arial" w:hAnsi="Arial" w:cs="Arial"/>
          <w:sz w:val="20"/>
        </w:rPr>
        <w:t>.</w:t>
      </w:r>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7C436A63"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 xml:space="preserve">szerinti (GFO)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r w:rsidR="008416B0">
        <w:rPr>
          <w:rFonts w:ascii="Arial" w:hAnsi="Arial" w:cs="Arial"/>
          <w:sz w:val="20"/>
        </w:rPr>
        <w:t>–</w:t>
      </w:r>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0E3B956B" w14:textId="09AEF9D4" w:rsidR="006805CF" w:rsidRPr="00A61F3D" w:rsidRDefault="006805CF" w:rsidP="00D3125B">
      <w:pPr>
        <w:spacing w:before="120"/>
        <w:rPr>
          <w:rFonts w:ascii="Arial" w:hAnsi="Arial" w:cs="Arial"/>
          <w:strike/>
          <w:sz w:val="20"/>
        </w:rPr>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konszolidálanó leányvállalatok).</w:t>
      </w:r>
      <w:r w:rsidR="00266CD8" w:rsidRPr="004F671E">
        <w:rPr>
          <w:rFonts w:ascii="Arial" w:hAnsi="Arial" w:cs="Arial"/>
          <w:sz w:val="20"/>
        </w:rPr>
        <w:t xml:space="preserve"> A D3)  Befektetési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0D6A1F64" w14:textId="706B9E2C" w:rsidR="00667E2E" w:rsidRPr="00686DAB" w:rsidRDefault="006805CF" w:rsidP="00D3125B">
      <w:pPr>
        <w:spacing w:before="120"/>
        <w:rPr>
          <w:rFonts w:ascii="Arial" w:hAnsi="Arial" w:cs="Arial"/>
          <w:sz w:val="20"/>
        </w:rPr>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frissíti és újraközli.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6476B0">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41178A54"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lastRenderedPageBreak/>
        <w:t>9</w:t>
      </w:r>
      <w:r w:rsidR="002E034B">
        <w:rPr>
          <w:rFonts w:ascii="Arial" w:hAnsi="Arial" w:cs="Arial"/>
          <w:sz w:val="20"/>
        </w:rPr>
        <w:t>–</w:t>
      </w:r>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TEÁOR besorolásával. A TEÁOR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r w:rsidR="008416B0">
        <w:rPr>
          <w:rFonts w:ascii="Arial" w:hAnsi="Arial" w:cs="Arial"/>
          <w:sz w:val="20"/>
        </w:rPr>
        <w:t>–</w:t>
      </w:r>
      <w:r w:rsidRPr="00A61F3D">
        <w:rPr>
          <w:rFonts w:ascii="Arial" w:hAnsi="Arial" w:cs="Arial"/>
          <w:sz w:val="20"/>
        </w:rPr>
        <w:t xml:space="preserve">15. számjegye a gazdálkodási forma szerinti </w:t>
      </w:r>
      <w:r w:rsidR="001A0A62" w:rsidRPr="00A61F3D">
        <w:rPr>
          <w:rFonts w:ascii="Arial" w:hAnsi="Arial" w:cs="Arial"/>
          <w:sz w:val="20"/>
        </w:rPr>
        <w:t xml:space="preserve">(GFO) </w:t>
      </w:r>
      <w:r w:rsidRPr="00A61F3D">
        <w:rPr>
          <w:rFonts w:ascii="Arial" w:hAnsi="Arial" w:cs="Arial"/>
          <w:sz w:val="20"/>
        </w:rPr>
        <w:t>kód. Ennek a kódnak van szerepe a megfelelő szektor meghatározásában.</w:t>
      </w:r>
    </w:p>
    <w:p w14:paraId="4D7096DA" w14:textId="3F2286AB"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r w:rsidR="008416B0">
        <w:rPr>
          <w:rFonts w:ascii="Arial" w:hAnsi="Arial" w:cs="Arial"/>
          <w:sz w:val="20"/>
        </w:rPr>
        <w:t xml:space="preserve">. és </w:t>
      </w:r>
      <w:r w:rsidRPr="00A61F3D">
        <w:rPr>
          <w:rFonts w:ascii="Arial" w:hAnsi="Arial" w:cs="Arial"/>
          <w:sz w:val="20"/>
        </w:rPr>
        <w:t>17. számjegye a területi (megye) kód. Nincs szerepe a szektorizációban.</w:t>
      </w:r>
    </w:p>
    <w:p w14:paraId="73580475" w14:textId="77777777" w:rsidR="006805CF" w:rsidRPr="00A61F3D" w:rsidRDefault="006805CF" w:rsidP="00D3125B">
      <w:pPr>
        <w:widowControl w:val="0"/>
        <w:rPr>
          <w:rFonts w:ascii="Arial" w:hAnsi="Arial" w:cs="Arial"/>
          <w:sz w:val="20"/>
        </w:rPr>
      </w:pPr>
    </w:p>
    <w:p w14:paraId="12AFEAF4" w14:textId="3A075133" w:rsidR="00074442" w:rsidRPr="00A61F3D" w:rsidRDefault="00B36504" w:rsidP="00D3125B">
      <w:pPr>
        <w:pStyle w:val="Szvegtrzs3"/>
        <w:widowControl w:val="0"/>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D3125B">
      <w:pPr>
        <w:spacing w:before="120"/>
        <w:outlineLvl w:val="0"/>
        <w:rPr>
          <w:rFonts w:ascii="Arial" w:hAnsi="Arial" w:cs="Arial"/>
          <w:sz w:val="20"/>
        </w:rPr>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A9512E8"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r w:rsidR="002E034B">
        <w:rPr>
          <w:rFonts w:ascii="Arial" w:hAnsi="Arial" w:cs="Arial"/>
          <w:sz w:val="20"/>
        </w:rPr>
        <w:t xml:space="preserve">. és </w:t>
      </w:r>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34031E61"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r w:rsidR="002E034B">
        <w:rPr>
          <w:rFonts w:ascii="Arial" w:hAnsi="Arial" w:cs="Arial"/>
          <w:sz w:val="20"/>
        </w:rPr>
        <w:t>–</w:t>
      </w:r>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76B14FB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31, 34, 35</w:t>
      </w:r>
      <w:r w:rsidR="00CF2F1A" w:rsidRPr="000621CA">
        <w:rPr>
          <w:rFonts w:ascii="Arial" w:hAnsi="Arial" w:cs="Arial"/>
          <w:sz w:val="20"/>
        </w:rPr>
        <w:t>,</w:t>
      </w:r>
    </w:p>
    <w:p w14:paraId="5F6663B6" w14:textId="0B4D2A6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2A6181E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32, 36, 37</w:t>
      </w:r>
      <w:r w:rsidR="00CF2F1A" w:rsidRPr="000621CA">
        <w:rPr>
          <w:rFonts w:ascii="Arial" w:hAnsi="Arial" w:cs="Arial"/>
          <w:sz w:val="20"/>
        </w:rPr>
        <w:t>,</w:t>
      </w:r>
    </w:p>
    <w:p w14:paraId="54178CBC" w14:textId="79C20AE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24294DC2"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r w:rsidR="002E034B">
        <w:rPr>
          <w:rFonts w:ascii="Arial" w:hAnsi="Arial" w:cs="Arial"/>
          <w:sz w:val="20"/>
        </w:rPr>
        <w:t>–</w:t>
      </w:r>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5F98DF78"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23</w:t>
      </w:r>
      <w:r w:rsidR="00CF2F1A" w:rsidRPr="000621CA">
        <w:rPr>
          <w:rFonts w:ascii="Arial" w:hAnsi="Arial" w:cs="Arial"/>
          <w:sz w:val="20"/>
        </w:rPr>
        <w:t>,</w:t>
      </w:r>
    </w:p>
    <w:p w14:paraId="380F203B" w14:textId="06C1F03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59282300"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52, 55</w:t>
      </w:r>
      <w:r w:rsidR="00C852EF" w:rsidRPr="000621CA">
        <w:rPr>
          <w:rFonts w:ascii="Arial" w:hAnsi="Arial" w:cs="Arial"/>
          <w:sz w:val="20"/>
        </w:rPr>
        <w:t xml:space="preserve">, </w:t>
      </w:r>
    </w:p>
    <w:p w14:paraId="7AB4942C" w14:textId="73D38E5D"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113EB5F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r w:rsidR="002E034B">
        <w:rPr>
          <w:rFonts w:ascii="Arial" w:hAnsi="Arial" w:cs="Arial"/>
          <w:sz w:val="20"/>
        </w:rPr>
        <w:t>–</w:t>
      </w:r>
      <w:r w:rsidR="00B36504" w:rsidRPr="000621CA">
        <w:rPr>
          <w:rFonts w:ascii="Arial" w:hAnsi="Arial" w:cs="Arial"/>
          <w:sz w:val="20"/>
        </w:rPr>
        <w:t xml:space="preserve">15. számjegye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04F8780B" w14:textId="77777777" w:rsidR="006805CF" w:rsidRPr="00A61F3D" w:rsidRDefault="006805CF">
      <w:pPr>
        <w:rPr>
          <w:rFonts w:ascii="Arial" w:hAnsi="Arial" w:cs="Arial"/>
          <w:b/>
          <w:sz w:val="20"/>
        </w:rPr>
      </w:pPr>
    </w:p>
    <w:p w14:paraId="7158F3B2" w14:textId="31F82684" w:rsidR="008E281B" w:rsidRPr="00A61F3D" w:rsidRDefault="001B0E31" w:rsidP="00D3125B">
      <w:pPr>
        <w:widowControl w:val="0"/>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D3125B">
      <w:pPr>
        <w:widowControl w:val="0"/>
        <w:rPr>
          <w:rFonts w:ascii="Arial" w:hAnsi="Arial" w:cs="Arial"/>
          <w:b/>
          <w:sz w:val="20"/>
        </w:rPr>
      </w:pPr>
    </w:p>
    <w:p w14:paraId="4F07CF50" w14:textId="48B38792" w:rsidR="008E281B" w:rsidRPr="00A61F3D" w:rsidRDefault="000341F8" w:rsidP="00D3125B">
      <w:pPr>
        <w:widowControl w:val="0"/>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D3125B">
      <w:pPr>
        <w:widowControl w:val="0"/>
        <w:rPr>
          <w:rFonts w:ascii="Arial" w:hAnsi="Arial" w:cs="Arial"/>
          <w:b/>
          <w:sz w:val="20"/>
        </w:rPr>
      </w:pPr>
    </w:p>
    <w:p w14:paraId="6896CA6D" w14:textId="77777777" w:rsidR="008E281B" w:rsidRPr="00A61F3D" w:rsidRDefault="008E281B" w:rsidP="00D3125B">
      <w:pPr>
        <w:widowControl w:val="0"/>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0" w:name="_Hlk7536571"/>
      <w:r w:rsidRPr="00A61F3D">
        <w:rPr>
          <w:rFonts w:ascii="Arial" w:hAnsi="Arial" w:cs="Arial"/>
          <w:sz w:val="20"/>
        </w:rPr>
        <w:t xml:space="preserve"> és</w:t>
      </w:r>
    </w:p>
    <w:p w14:paraId="3660B72D"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7C318594" w14:textId="77777777" w:rsidR="008E281B" w:rsidRPr="00A61F3D" w:rsidRDefault="008E281B" w:rsidP="00D3125B">
      <w:pPr>
        <w:widowControl w:val="0"/>
        <w:spacing w:before="120"/>
        <w:rPr>
          <w:rFonts w:ascii="Arial" w:hAnsi="Arial" w:cs="Arial"/>
          <w:sz w:val="20"/>
        </w:rPr>
      </w:pPr>
      <w:bookmarkStart w:id="1" w:name="_Hlk7535991"/>
      <w:bookmarkEnd w:id="0"/>
      <w:r w:rsidRPr="00A61F3D">
        <w:rPr>
          <w:rFonts w:ascii="Arial" w:hAnsi="Arial" w:cs="Arial"/>
          <w:sz w:val="20"/>
        </w:rPr>
        <w:t>1.2. A regisztráció módja</w:t>
      </w:r>
    </w:p>
    <w:p w14:paraId="7E0A12A2" w14:textId="360B85B3" w:rsidR="008E281B" w:rsidRPr="00A61F3D" w:rsidRDefault="008E281B" w:rsidP="00D3125B">
      <w:pPr>
        <w:widowControl w:val="0"/>
        <w:spacing w:before="120"/>
        <w:ind w:left="709" w:hanging="709"/>
        <w:rPr>
          <w:rFonts w:ascii="Arial" w:hAnsi="Arial" w:cs="Arial"/>
          <w:sz w:val="20"/>
        </w:rPr>
      </w:pPr>
      <w:r w:rsidRPr="00A61F3D">
        <w:rPr>
          <w:rFonts w:ascii="Arial" w:hAnsi="Arial" w:cs="Arial"/>
          <w:bCs/>
          <w:sz w:val="20"/>
        </w:rPr>
        <w:t>1.2.1.</w:t>
      </w:r>
      <w:r w:rsidRPr="00A61F3D">
        <w:rPr>
          <w:rFonts w:ascii="Arial" w:hAnsi="Arial" w:cs="Arial"/>
          <w:bCs/>
          <w:sz w:val="20"/>
        </w:rPr>
        <w:tab/>
      </w:r>
      <w:bookmarkStart w:id="2"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2"/>
    </w:p>
    <w:p w14:paraId="6379BACC" w14:textId="77777777" w:rsidR="008E281B" w:rsidRPr="00A61F3D" w:rsidRDefault="008E281B" w:rsidP="00D3125B">
      <w:pPr>
        <w:widowControl w:val="0"/>
        <w:spacing w:before="120"/>
        <w:ind w:left="709" w:hanging="709"/>
        <w:rPr>
          <w:rFonts w:ascii="Arial" w:hAnsi="Arial" w:cs="Arial"/>
          <w:bCs/>
          <w:sz w:val="20"/>
        </w:rPr>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1"/>
    <w:p w14:paraId="2F97ED1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1.3. A regisztráció típusai</w:t>
      </w:r>
    </w:p>
    <w:p w14:paraId="28A360F1" w14:textId="77777777" w:rsidR="008E281B" w:rsidRPr="00A61F3D" w:rsidRDefault="008E281B" w:rsidP="00D3125B">
      <w:pPr>
        <w:spacing w:before="120"/>
        <w:rPr>
          <w:rFonts w:ascii="Arial" w:hAnsi="Arial" w:cs="Arial"/>
          <w:sz w:val="20"/>
        </w:rPr>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D3125B" w:rsidRDefault="008E281B" w:rsidP="00D3125B">
      <w:pPr>
        <w:spacing w:before="120"/>
        <w:rPr>
          <w:rFonts w:ascii="Arial" w:hAnsi="Arial" w:cs="Arial"/>
          <w:sz w:val="20"/>
        </w:rPr>
      </w:pPr>
      <w:r w:rsidRPr="00D3125B">
        <w:rPr>
          <w:rFonts w:ascii="Arial" w:hAnsi="Arial" w:cs="Arial"/>
          <w:sz w:val="20"/>
        </w:rPr>
        <w:lastRenderedPageBreak/>
        <w:t>1.3.2.</w:t>
      </w:r>
      <w:r w:rsidRPr="00D3125B">
        <w:rPr>
          <w:rFonts w:ascii="Arial" w:hAnsi="Arial" w:cs="Arial"/>
          <w:sz w:val="20"/>
        </w:rPr>
        <w:tab/>
        <w:t>Az 1.3.1. alpontban foglaltakon kívüli esetben, az adatszolgáltató döntésétől függően az ERA rendszerhez történő regisztráció történhet</w:t>
      </w:r>
    </w:p>
    <w:p w14:paraId="7841CE1E" w14:textId="77777777" w:rsidR="008E281B" w:rsidRPr="00D3125B" w:rsidRDefault="008E281B" w:rsidP="00D3125B">
      <w:pPr>
        <w:ind w:left="993" w:hanging="284"/>
        <w:rPr>
          <w:rFonts w:ascii="Arial" w:hAnsi="Arial" w:cs="Arial"/>
          <w:sz w:val="20"/>
        </w:rPr>
      </w:pPr>
      <w:r w:rsidRPr="00D3125B">
        <w:rPr>
          <w:rFonts w:ascii="Arial" w:hAnsi="Arial" w:cs="Arial"/>
          <w:sz w:val="20"/>
        </w:rPr>
        <w:t>a)</w:t>
      </w:r>
      <w:r w:rsidRPr="00D3125B">
        <w:rPr>
          <w:rFonts w:ascii="Arial" w:hAnsi="Arial" w:cs="Arial"/>
          <w:sz w:val="20"/>
        </w:rPr>
        <w:tab/>
        <w:t>tanúsítvány alapú regisztráció vagy</w:t>
      </w:r>
    </w:p>
    <w:p w14:paraId="0F8D4AEA" w14:textId="77777777" w:rsidR="008E281B" w:rsidRPr="00D3125B" w:rsidRDefault="008E281B" w:rsidP="00D3125B">
      <w:pPr>
        <w:ind w:left="993" w:hanging="284"/>
        <w:rPr>
          <w:rFonts w:ascii="Arial" w:hAnsi="Arial" w:cs="Arial"/>
          <w:sz w:val="20"/>
        </w:rPr>
      </w:pPr>
      <w:r w:rsidRPr="00D3125B">
        <w:rPr>
          <w:rFonts w:ascii="Arial" w:hAnsi="Arial" w:cs="Arial"/>
          <w:sz w:val="20"/>
        </w:rPr>
        <w:t>b)</w:t>
      </w:r>
      <w:r w:rsidRPr="00D3125B">
        <w:rPr>
          <w:rFonts w:ascii="Arial" w:hAnsi="Arial" w:cs="Arial"/>
          <w:sz w:val="20"/>
        </w:rPr>
        <w:tab/>
        <w:t>felhasználónév-jelszó alapú regisztráció</w:t>
      </w:r>
    </w:p>
    <w:p w14:paraId="3A7FA9C8" w14:textId="77777777" w:rsidR="008E281B" w:rsidRPr="00A61F3D" w:rsidRDefault="008E281B" w:rsidP="00D3125B">
      <w:pPr>
        <w:widowControl w:val="0"/>
        <w:tabs>
          <w:tab w:val="left" w:pos="709"/>
        </w:tabs>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3" w:name="_Hlk76049847"/>
    </w:p>
    <w:bookmarkEnd w:id="3"/>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59A7A5AF" w14:textId="77777777" w:rsidR="008E281B" w:rsidRPr="00A61F3D" w:rsidRDefault="008E281B" w:rsidP="00D3125B">
      <w:pPr>
        <w:spacing w:before="120"/>
        <w:rPr>
          <w:rFonts w:ascii="Arial" w:hAnsi="Arial" w:cs="Arial"/>
          <w:sz w:val="20"/>
        </w:rPr>
      </w:pPr>
      <w:r w:rsidRPr="00A61F3D">
        <w:rPr>
          <w:rFonts w:ascii="Arial" w:hAnsi="Arial" w:cs="Arial"/>
          <w:sz w:val="20"/>
        </w:rPr>
        <w:t>1.4. Bejelentkezés</w:t>
      </w: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D3125B">
      <w:pPr>
        <w:ind w:left="709" w:hanging="709"/>
        <w:rPr>
          <w:rFonts w:ascii="Arial" w:hAnsi="Arial" w:cs="Arial"/>
          <w:bCs/>
          <w:sz w:val="20"/>
        </w:rPr>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1DFFF8ED" w:rsidR="008E281B" w:rsidRPr="00A61F3D" w:rsidRDefault="008E281B" w:rsidP="00D3125B">
      <w:pPr>
        <w:ind w:left="709" w:hanging="709"/>
        <w:rPr>
          <w:rFonts w:ascii="Arial" w:hAnsi="Arial" w:cs="Arial"/>
          <w:bCs/>
          <w:sz w:val="20"/>
        </w:rPr>
      </w:pPr>
      <w:r w:rsidRPr="00A61F3D">
        <w:rPr>
          <w:rFonts w:ascii="Arial" w:hAnsi="Arial" w:cs="Arial"/>
          <w:bCs/>
          <w:sz w:val="20"/>
        </w:rPr>
        <w:t>1.5.2.</w:t>
      </w:r>
      <w:r w:rsidR="00C544B2">
        <w:rPr>
          <w:rFonts w:ascii="Arial" w:hAnsi="Arial" w:cs="Arial"/>
          <w:bCs/>
          <w:sz w:val="20"/>
        </w:rPr>
        <w:tab/>
      </w:r>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4" w:name="_Hlk12002137"/>
      <w:r w:rsidRPr="00A61F3D">
        <w:rPr>
          <w:rFonts w:ascii="Arial" w:hAnsi="Arial" w:cs="Arial"/>
          <w:sz w:val="20"/>
        </w:rPr>
        <w:t>az üzenet jelentése, hogy az adott adatszolgáltatást az üzenetben jelzett időpontban az adatszolgáltató teljesítette, de nem jelenti azt, hogy az adatszolgáltatás tartalmilag hibátlannak minősül. Az ellenőrzést követően az MNB módosító adatszolgáltatás beküldését kérheti.</w:t>
      </w:r>
      <w:bookmarkEnd w:id="4"/>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FFD5DCE" w:rsidR="008E281B" w:rsidRPr="00A61F3D" w:rsidRDefault="008E281B" w:rsidP="00D3125B">
      <w:pPr>
        <w:ind w:left="709" w:hanging="709"/>
        <w:rPr>
          <w:rFonts w:ascii="Arial" w:hAnsi="Arial" w:cs="Arial"/>
          <w:bCs/>
          <w:sz w:val="20"/>
        </w:rPr>
      </w:pPr>
      <w:r w:rsidRPr="00A61F3D">
        <w:rPr>
          <w:rFonts w:ascii="Arial" w:hAnsi="Arial" w:cs="Arial"/>
          <w:bCs/>
          <w:sz w:val="20"/>
        </w:rPr>
        <w:t>1.5.3.</w:t>
      </w:r>
      <w:r w:rsidR="00C544B2">
        <w:rPr>
          <w:rFonts w:ascii="Arial" w:hAnsi="Arial" w:cs="Arial"/>
          <w:bCs/>
          <w:sz w:val="20"/>
        </w:rPr>
        <w:tab/>
      </w:r>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6D672584" w:rsidR="008E281B" w:rsidRPr="00A61F3D" w:rsidRDefault="008E281B" w:rsidP="00D3125B">
      <w:pPr>
        <w:ind w:left="709" w:hanging="709"/>
        <w:rPr>
          <w:rFonts w:ascii="Arial" w:hAnsi="Arial" w:cs="Arial"/>
          <w:bCs/>
          <w:sz w:val="20"/>
        </w:rPr>
      </w:pPr>
      <w:r w:rsidRPr="00A61F3D">
        <w:rPr>
          <w:rFonts w:ascii="Arial" w:hAnsi="Arial" w:cs="Arial"/>
          <w:bCs/>
          <w:sz w:val="20"/>
        </w:rPr>
        <w:t>1.5.4.</w:t>
      </w:r>
      <w:r w:rsidR="00C544B2">
        <w:rPr>
          <w:rFonts w:ascii="Arial" w:hAnsi="Arial" w:cs="Arial"/>
          <w:bCs/>
          <w:sz w:val="20"/>
        </w:rPr>
        <w:tab/>
      </w:r>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r w:rsidR="00DF5C50">
        <w:rPr>
          <w:rFonts w:ascii="Arial" w:hAnsi="Arial" w:cs="Arial"/>
          <w:sz w:val="20"/>
        </w:rPr>
        <w:t xml:space="preserve"> </w:t>
      </w:r>
      <w:r w:rsidRPr="00DF5C50">
        <w:rPr>
          <w:rFonts w:ascii="Arial" w:hAnsi="Arial" w:cs="Arial"/>
          <w:sz w:val="20"/>
        </w:rPr>
        <w:t>státuszról szóló elektronikus levél üzenetet kapott.</w:t>
      </w:r>
    </w:p>
    <w:p w14:paraId="53337986" w14:textId="77777777" w:rsidR="008E281B" w:rsidRPr="00A61F3D" w:rsidRDefault="008E281B" w:rsidP="00D3125B">
      <w:pPr>
        <w:spacing w:before="120" w:after="120"/>
        <w:rPr>
          <w:rFonts w:ascii="Arial" w:hAnsi="Arial" w:cs="Arial"/>
          <w:sz w:val="20"/>
        </w:rPr>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0DFA525D"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1.7. Az adatszolgáltatás teljesítésében való technikai akadályoztatással kapcsolatos bejelentés szabályai</w:t>
      </w:r>
    </w:p>
    <w:p w14:paraId="7C618A01" w14:textId="22DEBDAE" w:rsidR="00FB06FC" w:rsidRPr="00AE5AE2" w:rsidRDefault="008E281B">
      <w:pPr>
        <w:autoSpaceDE w:val="0"/>
        <w:autoSpaceDN w:val="0"/>
        <w:adjustRightInd w:val="0"/>
        <w:spacing w:before="120" w:after="120"/>
        <w:ind w:left="567" w:hanging="567"/>
        <w:rPr>
          <w:rFonts w:ascii="Arial" w:hAnsi="Arial" w:cs="Arial"/>
          <w:sz w:val="20"/>
        </w:rPr>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p>
    <w:p w14:paraId="5C16D67C" w14:textId="1B79B9CF" w:rsidR="00072F85" w:rsidRPr="00AE5AE2" w:rsidRDefault="00FB06FC" w:rsidP="00072F85">
      <w:pPr>
        <w:autoSpaceDE w:val="0"/>
        <w:autoSpaceDN w:val="0"/>
        <w:adjustRightInd w:val="0"/>
        <w:ind w:left="851" w:hanging="284"/>
        <w:rPr>
          <w:rFonts w:ascii="Arial" w:hAnsi="Arial" w:cs="Arial"/>
          <w:sz w:val="20"/>
        </w:rPr>
      </w:pPr>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p>
    <w:p w14:paraId="6608F73B" w14:textId="40FA55D8" w:rsidR="00072F85" w:rsidRPr="00AE5AE2" w:rsidRDefault="00072F85" w:rsidP="00072F85">
      <w:pPr>
        <w:autoSpaceDE w:val="0"/>
        <w:autoSpaceDN w:val="0"/>
        <w:adjustRightInd w:val="0"/>
        <w:ind w:left="851" w:hanging="284"/>
        <w:rPr>
          <w:rFonts w:ascii="Arial" w:hAnsi="Arial" w:cs="Arial"/>
          <w:sz w:val="20"/>
        </w:rPr>
      </w:pPr>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hyperlink r:id="rId12" w:history="1">
        <w:r w:rsidRPr="00AE5AE2">
          <w:rPr>
            <w:rStyle w:val="Hiperhivatkozs"/>
            <w:rFonts w:ascii="Arial" w:hAnsi="Arial" w:cs="Arial"/>
            <w:sz w:val="20"/>
          </w:rPr>
          <w:t>statadatszolg@mnb.hu</w:t>
        </w:r>
      </w:hyperlink>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p>
    <w:p w14:paraId="5F66455D" w14:textId="6EAE39B1" w:rsidR="008E281B" w:rsidRPr="00AE5AE2" w:rsidRDefault="00072F85" w:rsidP="00D3125B">
      <w:pPr>
        <w:autoSpaceDE w:val="0"/>
        <w:autoSpaceDN w:val="0"/>
        <w:adjustRightInd w:val="0"/>
        <w:spacing w:before="120" w:after="120"/>
        <w:ind w:left="1134" w:hanging="567"/>
        <w:rPr>
          <w:rFonts w:ascii="Arial" w:hAnsi="Arial" w:cs="Arial"/>
          <w:sz w:val="20"/>
        </w:rPr>
      </w:pPr>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p>
    <w:p w14:paraId="717FDA3F" w14:textId="2CE828D9"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lastRenderedPageBreak/>
        <w:t xml:space="preserve">1.7.2. Az akadályoztatás technikai oka lehet </w:t>
      </w:r>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6173D5E3"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r w:rsidR="00D02756" w:rsidRPr="00AE5AE2">
        <w:rPr>
          <w:rFonts w:ascii="Arial" w:hAnsi="Arial" w:cs="Arial"/>
          <w:sz w:val="20"/>
        </w:rPr>
        <w:t xml:space="preserve">szükséges </w:t>
      </w:r>
      <w:r w:rsidRPr="00AE5AE2">
        <w:rPr>
          <w:rFonts w:ascii="Arial" w:hAnsi="Arial" w:cs="Arial"/>
          <w:sz w:val="20"/>
        </w:rPr>
        <w:t xml:space="preserve">hozzáférési jogosultság </w:t>
      </w:r>
      <w:r w:rsidR="00D02756" w:rsidRPr="00AE5AE2">
        <w:rPr>
          <w:rFonts w:ascii="Arial" w:hAnsi="Arial" w:cs="Arial"/>
          <w:sz w:val="20"/>
        </w:rPr>
        <w:t>hiánya</w:t>
      </w:r>
      <w:r w:rsidR="00624974" w:rsidRPr="00AE5AE2">
        <w:rPr>
          <w:rFonts w:ascii="Arial" w:hAnsi="Arial" w:cs="Arial"/>
          <w:sz w:val="20"/>
        </w:rPr>
        <w:t>,</w:t>
      </w:r>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63D8FE69" w:rsidR="008E281B" w:rsidRPr="00AE5AE2" w:rsidRDefault="008E281B" w:rsidP="00D3125B">
      <w:pPr>
        <w:autoSpaceDE w:val="0"/>
        <w:autoSpaceDN w:val="0"/>
        <w:adjustRightInd w:val="0"/>
        <w:spacing w:before="120"/>
        <w:ind w:left="567" w:hanging="567"/>
        <w:rPr>
          <w:rFonts w:ascii="Arial" w:hAnsi="Arial" w:cs="Arial"/>
          <w:sz w:val="20"/>
        </w:rPr>
      </w:pPr>
      <w:bookmarkStart w:id="5" w:name="_Hlk175565908"/>
      <w:r w:rsidRPr="00AE5AE2">
        <w:rPr>
          <w:rFonts w:ascii="Arial" w:hAnsi="Arial" w:cs="Arial"/>
          <w:sz w:val="20"/>
        </w:rPr>
        <w:t>1.7.3. A bejelentés</w:t>
      </w:r>
      <w:r w:rsidR="009D30E0" w:rsidRPr="00AE5AE2">
        <w:rPr>
          <w:rFonts w:ascii="Arial" w:hAnsi="Arial" w:cs="Arial"/>
          <w:sz w:val="20"/>
        </w:rPr>
        <w:t>hez</w:t>
      </w:r>
      <w:r w:rsidRPr="00AE5AE2">
        <w:rPr>
          <w:rFonts w:ascii="Arial" w:hAnsi="Arial" w:cs="Arial"/>
          <w:sz w:val="20"/>
        </w:rPr>
        <w:t xml:space="preserve"> az adatszolgáltató</w:t>
      </w:r>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5"/>
    <w:p w14:paraId="2753DCCD" w14:textId="76544A01"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 xml:space="preserve">1.7.4. A </w:t>
      </w:r>
      <w:r w:rsidR="00083C9F" w:rsidRPr="00AE5AE2">
        <w:rPr>
          <w:rFonts w:ascii="Arial" w:hAnsi="Arial" w:cs="Arial"/>
          <w:sz w:val="20"/>
        </w:rPr>
        <w:t>be</w:t>
      </w:r>
      <w:r w:rsidR="009D30E0" w:rsidRPr="00AE5AE2">
        <w:rPr>
          <w:rFonts w:ascii="Arial" w:hAnsi="Arial" w:cs="Arial"/>
          <w:sz w:val="20"/>
        </w:rPr>
        <w:t>jelentést nem kell</w:t>
      </w:r>
      <w:r w:rsidRPr="00AE5AE2">
        <w:rPr>
          <w:rFonts w:ascii="Arial" w:hAnsi="Arial" w:cs="Arial"/>
          <w:sz w:val="20"/>
        </w:rPr>
        <w:t xml:space="preserve"> elektronikus aláír</w:t>
      </w:r>
      <w:r w:rsidR="009D30E0" w:rsidRPr="00AE5AE2">
        <w:rPr>
          <w:rFonts w:ascii="Arial" w:hAnsi="Arial" w:cs="Arial"/>
          <w:sz w:val="20"/>
        </w:rPr>
        <w:t xml:space="preserve">ással ellátni. </w:t>
      </w:r>
    </w:p>
    <w:p w14:paraId="5EFC5ED2" w14:textId="3EFFBA94"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r w:rsidR="00C44126" w:rsidRPr="00AE5AE2">
        <w:rPr>
          <w:rFonts w:ascii="Arial" w:hAnsi="Arial" w:cs="Arial"/>
          <w:sz w:val="20"/>
        </w:rPr>
        <w:t>2600/2013</w:t>
      </w:r>
      <w:r w:rsidRPr="00AE5AE2">
        <w:rPr>
          <w:rFonts w:ascii="Arial" w:hAnsi="Arial" w:cs="Arial"/>
          <w:sz w:val="20"/>
        </w:rPr>
        <w:t>) teheti meg az MNB részére.</w:t>
      </w:r>
    </w:p>
    <w:p w14:paraId="12CE8638" w14:textId="352D6806" w:rsidR="008E281B" w:rsidRPr="00AE5AE2" w:rsidRDefault="008E281B" w:rsidP="00D3125B">
      <w:pPr>
        <w:widowControl w:val="0"/>
        <w:autoSpaceDE w:val="0"/>
        <w:autoSpaceDN w:val="0"/>
        <w:adjustRightInd w:val="0"/>
        <w:spacing w:before="120"/>
        <w:rPr>
          <w:rFonts w:ascii="Arial" w:hAnsi="Arial" w:cs="Arial"/>
          <w:bCs/>
          <w:sz w:val="20"/>
        </w:rPr>
      </w:pPr>
      <w:r w:rsidRPr="00AE5AE2">
        <w:rPr>
          <w:rFonts w:ascii="Arial" w:hAnsi="Arial" w:cs="Arial"/>
          <w:bCs/>
          <w:sz w:val="20"/>
        </w:rPr>
        <w:t>1.7.</w:t>
      </w:r>
      <w:r w:rsidR="009D30E0" w:rsidRPr="00AE5AE2">
        <w:rPr>
          <w:rFonts w:ascii="Arial" w:hAnsi="Arial" w:cs="Arial"/>
          <w:bCs/>
          <w:sz w:val="20"/>
        </w:rPr>
        <w:t>6</w:t>
      </w:r>
      <w:r w:rsidRPr="00AE5AE2">
        <w:rPr>
          <w:rFonts w:ascii="Arial" w:hAnsi="Arial" w:cs="Arial"/>
          <w:bCs/>
          <w:sz w:val="20"/>
        </w:rPr>
        <w:t xml:space="preserve">. Az 1.7. </w:t>
      </w:r>
      <w:r w:rsidR="00A40CBC" w:rsidRPr="00AE5AE2">
        <w:rPr>
          <w:rFonts w:ascii="Arial" w:hAnsi="Arial" w:cs="Arial"/>
          <w:bCs/>
          <w:sz w:val="20"/>
        </w:rPr>
        <w:t>al</w:t>
      </w:r>
      <w:r w:rsidRPr="00AE5AE2">
        <w:rPr>
          <w:rFonts w:ascii="Arial" w:hAnsi="Arial" w:cs="Arial"/>
          <w:bCs/>
          <w:sz w:val="20"/>
        </w:rPr>
        <w:t>pont alkalmazásában:</w:t>
      </w:r>
    </w:p>
    <w:p w14:paraId="17FFC35A" w14:textId="77777777" w:rsidR="008E281B" w:rsidRPr="00AE5AE2" w:rsidRDefault="008E281B" w:rsidP="00D3125B">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7D4D425D" w14:textId="6537BEA5"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b</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felhasználó:</w:t>
      </w:r>
      <w:r w:rsidR="008E281B" w:rsidRPr="00A61F3D">
        <w:rPr>
          <w:rFonts w:ascii="Arial" w:hAnsi="Arial" w:cs="Arial"/>
          <w:bCs/>
          <w:sz w:val="20"/>
        </w:rPr>
        <w:t xml:space="preserve"> az adatszolgáltató nevében eljáró természetes személy;</w:t>
      </w:r>
    </w:p>
    <w:p w14:paraId="17F7D203" w14:textId="1DDC321D" w:rsidR="008E281B" w:rsidRPr="00A61F3D" w:rsidRDefault="00C44126" w:rsidP="00D3125B">
      <w:pPr>
        <w:widowControl w:val="0"/>
        <w:autoSpaceDE w:val="0"/>
        <w:autoSpaceDN w:val="0"/>
        <w:adjustRightInd w:val="0"/>
        <w:ind w:left="851" w:hanging="284"/>
        <w:rPr>
          <w:rFonts w:ascii="Arial" w:hAnsi="Arial" w:cs="Arial"/>
          <w:sz w:val="20"/>
        </w:rPr>
      </w:pPr>
      <w:r>
        <w:rPr>
          <w:rFonts w:ascii="Arial" w:hAnsi="Arial" w:cs="Arial"/>
          <w:sz w:val="20"/>
        </w:rPr>
        <w:t>c</w:t>
      </w:r>
      <w:r w:rsidR="008E281B" w:rsidRPr="00A61F3D">
        <w:rPr>
          <w:rFonts w:ascii="Arial" w:hAnsi="Arial" w:cs="Arial"/>
          <w:sz w:val="20"/>
        </w:rPr>
        <w:t>)</w:t>
      </w:r>
      <w:r w:rsidR="008E281B" w:rsidRPr="00A61F3D">
        <w:rPr>
          <w:rFonts w:ascii="Arial" w:hAnsi="Arial" w:cs="Arial"/>
          <w:sz w:val="20"/>
        </w:rPr>
        <w:tab/>
      </w:r>
      <w:r w:rsidR="008E281B" w:rsidRPr="00A61F3D">
        <w:rPr>
          <w:rFonts w:ascii="Arial" w:hAnsi="Arial" w:cs="Arial"/>
          <w:bCs/>
          <w:i/>
          <w:sz w:val="20"/>
        </w:rPr>
        <w:t>üzemszünet</w:t>
      </w:r>
      <w:r w:rsidR="008E281B" w:rsidRPr="00A61F3D">
        <w:rPr>
          <w:rFonts w:ascii="Arial" w:hAnsi="Arial" w:cs="Arial"/>
          <w:sz w:val="20"/>
        </w:rPr>
        <w:t xml:space="preserve">: az </w:t>
      </w:r>
      <w:r w:rsidR="00BE0FF9">
        <w:rPr>
          <w:rFonts w:ascii="Arial" w:hAnsi="Arial" w:cs="Arial"/>
          <w:sz w:val="20"/>
        </w:rPr>
        <w:t>MNB olyan előre tervezett technikai tevékenysége, amely az ERA rendszer szünetelését vagy korlátozott működőképességét eredményezi</w:t>
      </w:r>
      <w:r w:rsidR="008E281B" w:rsidRPr="00A61F3D">
        <w:rPr>
          <w:rFonts w:ascii="Arial" w:hAnsi="Arial" w:cs="Arial"/>
          <w:sz w:val="20"/>
        </w:rPr>
        <w:t>;</w:t>
      </w:r>
    </w:p>
    <w:p w14:paraId="19408A0B" w14:textId="60B78F57"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r w:rsidR="00653E59">
        <w:rPr>
          <w:rFonts w:ascii="Arial" w:hAnsi="Arial" w:cs="Arial"/>
          <w:bCs/>
          <w:sz w:val="20"/>
        </w:rPr>
        <w:t>elektronikus ügyintézés korlátozott működőképességét okozó</w:t>
      </w:r>
      <w:r w:rsidR="008E281B" w:rsidRPr="00A61F3D">
        <w:rPr>
          <w:rFonts w:ascii="Arial" w:hAnsi="Arial" w:cs="Arial"/>
          <w:bCs/>
          <w:sz w:val="20"/>
        </w:rPr>
        <w:t xml:space="preserve"> esemény.</w:t>
      </w:r>
    </w:p>
    <w:p w14:paraId="033B9E8D" w14:textId="323FB9A2" w:rsidR="008E281B" w:rsidRPr="00A61F3D" w:rsidRDefault="008E281B" w:rsidP="00D3125B">
      <w:pPr>
        <w:widowControl w:val="0"/>
        <w:spacing w:before="120"/>
        <w:ind w:left="567" w:hanging="567"/>
        <w:rPr>
          <w:rFonts w:ascii="Arial" w:hAnsi="Arial" w:cs="Arial"/>
          <w:bCs/>
          <w:sz w:val="20"/>
        </w:rPr>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773D9217" w14:textId="77777777" w:rsidR="006805CF" w:rsidRPr="00A61F3D" w:rsidRDefault="006805CF"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b/>
          <w:sz w:val="20"/>
        </w:rPr>
      </w:pPr>
    </w:p>
    <w:p w14:paraId="101A7717" w14:textId="1D4E4FB8" w:rsidR="00AC13E5" w:rsidRPr="00A61F3D" w:rsidRDefault="000341F8">
      <w:pPr>
        <w:tabs>
          <w:tab w:val="left" w:pos="426"/>
        </w:tabs>
        <w:rPr>
          <w:rFonts w:ascii="Arial" w:hAnsi="Arial" w:cs="Arial"/>
          <w:b/>
          <w:sz w:val="20"/>
        </w:rPr>
      </w:pPr>
      <w:r>
        <w:rPr>
          <w:rFonts w:ascii="Arial" w:hAnsi="Arial" w:cs="Arial"/>
          <w:b/>
          <w:sz w:val="20"/>
        </w:rPr>
        <w:t xml:space="preserve">I. </w:t>
      </w:r>
      <w:r w:rsidR="00474AB4">
        <w:rPr>
          <w:rFonts w:ascii="Arial" w:hAnsi="Arial" w:cs="Arial"/>
          <w:b/>
          <w:sz w:val="20"/>
        </w:rPr>
        <w:t>C</w:t>
      </w:r>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lastRenderedPageBreak/>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19FF1C47" w:rsidR="006805CF" w:rsidRPr="00A61F3D" w:rsidRDefault="00D60897">
      <w:pPr>
        <w:rPr>
          <w:rFonts w:ascii="Arial" w:hAnsi="Arial" w:cs="Arial"/>
          <w:b/>
          <w:sz w:val="20"/>
        </w:rPr>
      </w:pPr>
      <w:r>
        <w:rPr>
          <w:rFonts w:ascii="Arial" w:hAnsi="Arial" w:cs="Arial"/>
          <w:b/>
          <w:sz w:val="20"/>
        </w:rPr>
        <w:t xml:space="preserve">I. </w:t>
      </w:r>
      <w:r w:rsidR="00474AB4">
        <w:rPr>
          <w:rFonts w:ascii="Arial" w:hAnsi="Arial" w:cs="Arial"/>
          <w:b/>
          <w:sz w:val="20"/>
        </w:rPr>
        <w:t>D</w:t>
      </w:r>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6AEC885D" w:rsidR="00AC13E5" w:rsidRPr="00A61F3D" w:rsidRDefault="00FF5BEA">
      <w:pPr>
        <w:spacing w:before="120"/>
        <w:outlineLvl w:val="0"/>
        <w:rPr>
          <w:rFonts w:ascii="Arial" w:hAnsi="Arial" w:cs="Arial"/>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jelű adatszolgáltatások esetében a becslés alkalmazásáról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0F3836F3" w:rsidR="00155878"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7AA0AFC3" w:rsidR="00AC13E5" w:rsidRPr="00A61F3D" w:rsidRDefault="00FF5BEA" w:rsidP="004C4E70">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r w:rsidR="006037CA">
        <w:rPr>
          <w:rFonts w:ascii="Arial" w:hAnsi="Arial" w:cs="Arial"/>
          <w:sz w:val="20"/>
        </w:rPr>
        <w:t xml:space="preserve">adott éven belül </w:t>
      </w:r>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r w:rsidR="006037CA">
        <w:rPr>
          <w:rFonts w:ascii="Arial" w:hAnsi="Arial" w:cs="Arial"/>
          <w:sz w:val="20"/>
        </w:rPr>
        <w:t xml:space="preserve">az adott évben </w:t>
      </w:r>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0183C17B" w:rsidR="00AC13E5"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36A2460E" w:rsidR="0095584B" w:rsidRPr="00A61F3D" w:rsidRDefault="00FF5BEA" w:rsidP="00B4375E">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lastRenderedPageBreak/>
        <w:t xml:space="preserve">az irányadók. </w:t>
      </w:r>
    </w:p>
    <w:p w14:paraId="729A46B1" w14:textId="77777777" w:rsidR="00AC13E5" w:rsidRPr="00A61F3D" w:rsidRDefault="000E7B86" w:rsidP="00D3125B">
      <w:pPr>
        <w:spacing w:before="120"/>
        <w:rPr>
          <w:rFonts w:ascii="Arial" w:hAnsi="Arial" w:cs="Arial"/>
          <w:b/>
          <w:sz w:val="20"/>
        </w:rPr>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0A664DAC" w:rsidR="00AC13E5" w:rsidRPr="00A61F3D" w:rsidRDefault="00FF5BEA" w:rsidP="00FC468F">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6. Országonkénti bontás</w:t>
      </w:r>
    </w:p>
    <w:p w14:paraId="6F79DE44" w14:textId="77777777" w:rsidR="006805CF" w:rsidRPr="00A61F3D" w:rsidRDefault="000E7B86">
      <w:pPr>
        <w:rPr>
          <w:rFonts w:ascii="Arial" w:hAnsi="Arial" w:cs="Arial"/>
          <w:sz w:val="20"/>
        </w:rPr>
      </w:pPr>
      <w:r w:rsidRPr="00A61F3D">
        <w:rPr>
          <w:rFonts w:ascii="Arial" w:hAnsi="Arial" w:cs="Arial"/>
          <w:sz w:val="20"/>
        </w:rPr>
        <w:t>Az országonkénti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676402DE" w14:textId="11BE8279" w:rsidR="005A30AA" w:rsidRPr="00A61F3D" w:rsidRDefault="00FF5BEA" w:rsidP="00D3125B">
      <w:pPr>
        <w:tabs>
          <w:tab w:val="left" w:pos="426"/>
        </w:tabs>
        <w:spacing w:before="120"/>
        <w:jc w:val="left"/>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60267196" w14:textId="54A01E45" w:rsidR="005A30AA" w:rsidRPr="00A61F3D" w:rsidRDefault="0025328B" w:rsidP="00D3125B">
      <w:pPr>
        <w:spacing w:before="120"/>
        <w:ind w:left="284" w:hanging="284"/>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1DB60D64"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r w:rsidR="008E645E">
        <w:rPr>
          <w:rFonts w:ascii="Arial" w:hAnsi="Arial" w:cs="Arial"/>
          <w:sz w:val="20"/>
        </w:rPr>
        <w:t>al</w:t>
      </w:r>
      <w:r w:rsidRPr="00A61F3D">
        <w:rPr>
          <w:rFonts w:ascii="Arial" w:hAnsi="Arial" w:cs="Arial"/>
          <w:sz w:val="20"/>
        </w:rPr>
        <w:t>pontban, továbbá a 3. melléklet 3. pontja szerinti, az MNB honlapján közzétett technikai segédletben foglaltaknak megfelelően köteles beküldeni.</w:t>
      </w:r>
    </w:p>
    <w:p w14:paraId="6572D7C8" w14:textId="6C2C8460" w:rsidR="00341E74" w:rsidRPr="00A61F3D" w:rsidRDefault="0025328B" w:rsidP="00D3125B">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3"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02DF48EC" w:rsidR="006805CF" w:rsidRPr="00A61F3D" w:rsidRDefault="0025328B" w:rsidP="000F7232">
      <w:pPr>
        <w:keepNext/>
        <w:rPr>
          <w:rFonts w:ascii="Arial" w:hAnsi="Arial" w:cs="Arial"/>
          <w:b/>
          <w:sz w:val="20"/>
        </w:rPr>
      </w:pPr>
      <w:r>
        <w:rPr>
          <w:rFonts w:ascii="Arial" w:hAnsi="Arial" w:cs="Arial"/>
          <w:b/>
          <w:sz w:val="20"/>
        </w:rPr>
        <w:lastRenderedPageBreak/>
        <w:t xml:space="preserve">I. </w:t>
      </w:r>
      <w:r w:rsidR="00474AB4">
        <w:rPr>
          <w:rFonts w:ascii="Arial" w:hAnsi="Arial" w:cs="Arial"/>
          <w:b/>
          <w:sz w:val="20"/>
        </w:rPr>
        <w:t>E</w:t>
      </w:r>
      <w:r w:rsidR="00C61057" w:rsidRPr="00A61F3D">
        <w:rPr>
          <w:rFonts w:ascii="Arial" w:hAnsi="Arial" w:cs="Arial"/>
          <w:b/>
          <w:sz w:val="20"/>
        </w:rPr>
        <w:t>.</w:t>
      </w:r>
      <w:r w:rsidR="00AC13E5" w:rsidRPr="00A61F3D">
        <w:rPr>
          <w:rFonts w:ascii="Arial" w:hAnsi="Arial" w:cs="Arial"/>
          <w:b/>
          <w:sz w:val="20"/>
        </w:rPr>
        <w:t xml:space="preserve"> Fogalmak</w:t>
      </w:r>
    </w:p>
    <w:p w14:paraId="2D0665FE" w14:textId="4AFD2488" w:rsidR="00AC13E5" w:rsidRPr="00A61F3D" w:rsidRDefault="0025328B" w:rsidP="000F7232">
      <w:pPr>
        <w:keepNext/>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D01) és a „Napi jelentés a kamatderivatíva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az adatszolgáltatók spot konverziói által generált pozíciók, beleértve a swap ügyletek spot illetve termin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az eladott deviza ISO kódja, swap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az eladott deviza összege, swap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Értéknap:</w:t>
      </w:r>
      <w:r w:rsidR="000B0BED" w:rsidRPr="00A61F3D">
        <w:rPr>
          <w:rFonts w:ascii="Arial" w:hAnsi="Arial" w:cs="Arial"/>
          <w:sz w:val="20"/>
        </w:rPr>
        <w:t xml:space="preserve">az a munkanap, amelyen egy adott </w:t>
      </w:r>
      <w:hyperlink r:id="rId14" w:tooltip="A bank központi forráselosztó egysége. Feladata a bank belső - forrásgyűjt" w:history="1">
        <w:r w:rsidR="000B0BED" w:rsidRPr="00A61F3D">
          <w:rPr>
            <w:rFonts w:ascii="Arial" w:hAnsi="Arial" w:cs="Arial"/>
            <w:sz w:val="20"/>
          </w:rPr>
          <w:t>treasury</w:t>
        </w:r>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5"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6"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t</w:t>
      </w:r>
      <w:r w:rsidR="00CA3DE6" w:rsidRPr="00A61F3D">
        <w:rPr>
          <w:rFonts w:ascii="Arial" w:hAnsi="Arial" w:cs="Arial"/>
          <w:sz w:val="20"/>
        </w:rPr>
        <w:t>om/next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6C6F41FC"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r w:rsidR="00F97FC6">
        <w:rPr>
          <w:rFonts w:ascii="Arial" w:hAnsi="Arial" w:cs="Arial"/>
          <w:sz w:val="20"/>
        </w:rPr>
        <w:t>E</w:t>
      </w:r>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a fixing napok eltérése miatti kockázat. Az FRA és IRS ügyletek OTC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date)</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a CRR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proofErr w:type="spellStart"/>
      <w:r w:rsidR="004D647C" w:rsidRPr="00A61F3D">
        <w:rPr>
          <w:rFonts w:ascii="Arial" w:hAnsi="Arial" w:cs="Arial"/>
          <w:sz w:val="20"/>
        </w:rPr>
        <w:t>CRR</w:t>
      </w:r>
      <w:proofErr w:type="spellEnd"/>
      <w:r w:rsidR="004D647C" w:rsidRPr="00A61F3D">
        <w:rPr>
          <w:rFonts w:ascii="Arial" w:hAnsi="Arial" w:cs="Arial"/>
          <w:sz w:val="20"/>
        </w:rPr>
        <w:t xml:space="preserve">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olyan ügylet, amelynél a névérték (ténylegesen vagy névlegesen elcserélt tőke) csökken a futamidő során (pl. amortizálódó kamatswap,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Határidős kamatláb megállapodás (FRA, forward rate agreement):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(vevőjét) feljogosítja, de nem kötelezi arra, hogy megvásároljon (vételi opció, call opció), vagy eladjon (eladási opció, put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long és a short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long call).</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Kamatswap (IRS, Interest Rate Swap):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w:t>
      </w:r>
      <w:r w:rsidRPr="00A61F3D">
        <w:rPr>
          <w:rFonts w:ascii="Arial" w:hAnsi="Arial" w:cs="Arial"/>
          <w:sz w:val="20"/>
        </w:rPr>
        <w:lastRenderedPageBreak/>
        <w:t xml:space="preserve">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 xml:space="preserve">Határidős deviza ügylet (foreign currency forward): </w:t>
      </w:r>
      <w:r w:rsidR="001474C6" w:rsidRPr="00A61F3D">
        <w:rPr>
          <w:rFonts w:ascii="Arial" w:hAnsi="Arial" w:cs="Arial"/>
          <w:sz w:val="20"/>
        </w:rPr>
        <w:t>k</w:t>
      </w:r>
      <w:r w:rsidRPr="00A61F3D">
        <w:rPr>
          <w:rFonts w:ascii="Arial" w:hAnsi="Arial" w:cs="Arial"/>
          <w:sz w:val="20"/>
        </w:rPr>
        <w:t>ét fél között meghatározott mennyiségű deviza megvásárlására és eladására megkötött szerződés, ahol az árat a szerződés létrehozásakor határozzák meg, a szállításra és a pénzügyi rendezésre pedig meghatározott jövőbeni időpontban kerül sor. A forward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swap ügylet (Currency swap): </w:t>
      </w:r>
      <w:r w:rsidRPr="00A61F3D">
        <w:rPr>
          <w:rFonts w:ascii="Arial" w:hAnsi="Arial" w:cs="Arial"/>
          <w:sz w:val="20"/>
        </w:rPr>
        <w:t>azokat a származékos ügyleteket foglalja magában, amelyek devizák cseréjére vonatkoznak. Deviza swap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Egyszerű devizacsere ügylet (simple currency swap vagy FX swap):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(forward) = devizacsere-ügylet (swap).</w:t>
      </w:r>
    </w:p>
    <w:p w14:paraId="017CF783" w14:textId="03434375"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interest </w:t>
      </w:r>
      <w:proofErr w:type="spellStart"/>
      <w:r w:rsidRPr="00A61F3D">
        <w:rPr>
          <w:rStyle w:val="Kiemels2"/>
          <w:rFonts w:ascii="Arial" w:hAnsi="Arial" w:cs="Arial"/>
          <w:sz w:val="20"/>
        </w:rPr>
        <w:t>rate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r w:rsidR="00575E56">
        <w:rPr>
          <w:rStyle w:val="Kiemels2"/>
          <w:rFonts w:ascii="Arial" w:hAnsi="Arial" w:cs="Arial"/>
          <w:sz w:val="20"/>
        </w:rPr>
        <w:t>–</w:t>
      </w:r>
      <w:r w:rsidRPr="00A61F3D">
        <w:rPr>
          <w:rStyle w:val="Kiemels2"/>
          <w:rFonts w:ascii="Arial" w:hAnsi="Arial" w:cs="Arial"/>
          <w:sz w:val="20"/>
        </w:rPr>
        <w:t xml:space="preserve"> </w:t>
      </w:r>
      <w:proofErr w:type="spellStart"/>
      <w:r w:rsidRPr="00A61F3D">
        <w:rPr>
          <w:rStyle w:val="Kiemels2"/>
          <w:rFonts w:ascii="Arial" w:hAnsi="Arial" w:cs="Arial"/>
          <w:sz w:val="20"/>
        </w:rPr>
        <w:t>CCIRS</w:t>
      </w:r>
      <w:proofErr w:type="spellEnd"/>
      <w:r w:rsidRPr="00A61F3D">
        <w:rPr>
          <w:rStyle w:val="Kiemels2"/>
          <w:rFonts w:ascii="Arial" w:hAnsi="Arial" w:cs="Arial"/>
          <w:sz w:val="20"/>
        </w:rPr>
        <w:t xml:space="preserve">): </w:t>
      </w:r>
      <w:r w:rsidR="001474C6" w:rsidRPr="00A61F3D">
        <w:rPr>
          <w:rFonts w:ascii="Arial" w:hAnsi="Arial" w:cs="Arial"/>
          <w:sz w:val="20"/>
        </w:rPr>
        <w:t>a</w:t>
      </w:r>
      <w:r w:rsidRPr="00A61F3D">
        <w:rPr>
          <w:rFonts w:ascii="Arial" w:hAnsi="Arial" w:cs="Arial"/>
          <w:sz w:val="20"/>
        </w:rPr>
        <w:t>z ügyletet kötő felek kamatfizetések és tőkeösszegek cseréjéről állapodnak meg, meghatározott tőkeösszegekre és meghatározott periódusra vonatkozóan. A csere eltérő devizájú tőke és kamatösszegre vonatkozik. A kicserélt kamatok lehetnek fixek (fix to fix), változók (floating to floating - basis swap), illetve a megállapodás vonatkozhat fix kamatok változóra (fix to floating) illetve változó kamatok fixre történő cseréjére (floating to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Bázis swap,</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Mark-to-market swap</w:t>
      </w:r>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 xml:space="preserve">Deviza kamatcsere ügylet (Only interest strip cross currency interest rate swap):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r w:rsidRPr="00A61F3D">
        <w:rPr>
          <w:rFonts w:ascii="Arial" w:hAnsi="Arial" w:cs="Arial"/>
          <w:b/>
          <w:bCs/>
          <w:sz w:val="20"/>
        </w:rPr>
        <w:t>Terminálás:</w:t>
      </w:r>
      <w:r w:rsidRPr="00A61F3D">
        <w:rPr>
          <w:rFonts w:ascii="Arial" w:hAnsi="Arial" w:cs="Arial"/>
          <w:bCs/>
          <w:sz w:val="20"/>
        </w:rPr>
        <w:t xml:space="preserve"> </w:t>
      </w:r>
      <w:r w:rsidRPr="00A61F3D">
        <w:rPr>
          <w:rFonts w:ascii="Arial" w:hAnsi="Arial" w:cs="Arial"/>
          <w:sz w:val="20"/>
        </w:rPr>
        <w:t>a két fél együttes döntése alapján egy kamatcsere ügylet lejárat előtt  történő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a vásárolt deviza ISO kódja, swap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a vásárolt deviza összege, swap ügylet esetén az induló láb megvásárolt összege.</w:t>
      </w:r>
    </w:p>
    <w:p w14:paraId="29637346" w14:textId="467F89FD"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date)</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lastRenderedPageBreak/>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ISMA konvenció:</w:t>
      </w:r>
      <w:r w:rsidRPr="00A61F3D">
        <w:rPr>
          <w:rFonts w:ascii="Arial" w:hAnsi="Arial" w:cs="Arial"/>
          <w:sz w:val="20"/>
        </w:rPr>
        <w:t xml:space="preserve"> a nemzetközi értékpapír-piaci szövetség (ISMA)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„equity” típusú értékpapíroknak minősülnek a részvények, a befektetési alapok által kibocsátott befektetési jegyek, a certifikátok, valamint a warrantok.</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„debt”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E462512" w14:textId="25DD8861"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 xml:space="preserve">3. A kamatstatisztikai (az 1. pontban érintett </w:t>
      </w:r>
      <w:r w:rsidR="00DF5C50">
        <w:rPr>
          <w:rFonts w:ascii="Arial" w:hAnsi="Arial" w:cs="Arial"/>
          <w:b/>
          <w:sz w:val="20"/>
        </w:rPr>
        <w:t xml:space="preserve">K04, K05 és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cash-flow-inak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különböztethető meg. </w:t>
      </w:r>
    </w:p>
    <w:p w14:paraId="78F2643B"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aa)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ac)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(a</w:t>
      </w:r>
      <w:r w:rsidR="00C27C23" w:rsidRPr="00A61F3D">
        <w:rPr>
          <w:rFonts w:ascii="Arial" w:hAnsi="Arial" w:cs="Arial"/>
          <w:sz w:val="20"/>
        </w:rPr>
        <w:t>a)</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lastRenderedPageBreak/>
        <w:t>Az a</w:t>
      </w:r>
      <w:r w:rsidR="00C27C23" w:rsidRPr="00A61F3D">
        <w:rPr>
          <w:rFonts w:ascii="Arial" w:hAnsi="Arial" w:cs="Arial"/>
          <w:sz w:val="20"/>
        </w:rPr>
        <w:t>c)</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kamattámogatásos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xml:space="preserve">: a k sorszámú hitelrészlet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lastRenderedPageBreak/>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EC5B712"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a hitel fedezettségét a CRR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r w:rsidR="00704E10">
        <w:rPr>
          <w:rFonts w:ascii="Arial" w:hAnsi="Arial" w:cs="Arial"/>
          <w:sz w:val="20"/>
        </w:rPr>
        <w:t>–</w:t>
      </w:r>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ig terjedő időszakra kell a hitelköltség mutató értékét újraszámolni</w:t>
      </w:r>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6"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TAKARNET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6"/>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treasury-n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 xml:space="preserve">A lekötési idő függvényében sávosan kamatozó betétek esetében, ha már a szerződéskötéskor is egyértelmű a lekötés futamideje, akkor a szerződéses kamatláb </w:t>
      </w:r>
      <w:r w:rsidRPr="00A61F3D">
        <w:rPr>
          <w:rFonts w:ascii="Arial" w:hAnsi="Arial" w:cs="Arial"/>
          <w:sz w:val="20"/>
        </w:rPr>
        <w:lastRenderedPageBreak/>
        <w:t>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futamidejét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kamatozásúvá,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illetve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jelentendő rulírozó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Az ún. multicurrency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Újratárgyaltnak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w:t>
      </w:r>
      <w:r w:rsidRPr="00A61F3D">
        <w:rPr>
          <w:rFonts w:ascii="Arial" w:hAnsi="Arial" w:cs="Arial"/>
          <w:snapToGrid w:val="0"/>
          <w:sz w:val="20"/>
          <w:lang w:eastAsia="en-US"/>
        </w:rPr>
        <w:lastRenderedPageBreak/>
        <w:t xml:space="preserve">az eredeti szerződéskötéskor lehetőséget kap az ügyfél, akkor a futamidő alatti devizanemváltás nem minősül újratárgyaltnak.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újratárgyalják,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Ha egy hónapon belül történik meg egy új hitel szerződéskötése, amelyet még az adott hónapon belül újratárgyalnak, az is újratárgyaltnak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1BF793E5" w14:textId="420D1278" w:rsidR="00B92EB4"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0A8A52C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Deviza swap ügylet (Currency swap)</w:t>
      </w:r>
      <w:r w:rsidR="00B92EB4" w:rsidRPr="00A61F3D">
        <w:rPr>
          <w:rFonts w:ascii="Arial" w:hAnsi="Arial" w:cs="Arial"/>
          <w:sz w:val="20"/>
        </w:rPr>
        <w:t xml:space="preserve">: az 1.13.6. </w:t>
      </w:r>
      <w:r w:rsidR="00AF483F">
        <w:rPr>
          <w:rFonts w:ascii="Arial" w:hAnsi="Arial" w:cs="Arial"/>
          <w:sz w:val="20"/>
        </w:rPr>
        <w:t>al</w:t>
      </w:r>
      <w:r w:rsidR="00B92EB4" w:rsidRPr="00A61F3D">
        <w:rPr>
          <w:rFonts w:ascii="Arial" w:hAnsi="Arial" w:cs="Arial"/>
          <w:sz w:val="20"/>
        </w:rPr>
        <w:t>pont szerinti fogalom.</w:t>
      </w:r>
    </w:p>
    <w:p w14:paraId="33FD3BA2" w14:textId="77962CD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(simple currency swap vagy FX swap)</w:t>
      </w:r>
      <w:r w:rsidR="00B92EB4" w:rsidRPr="00A61F3D">
        <w:rPr>
          <w:rFonts w:ascii="Arial" w:hAnsi="Arial" w:cs="Arial"/>
          <w:sz w:val="20"/>
        </w:rPr>
        <w:t xml:space="preserve">: az 1.13.6.1. </w:t>
      </w:r>
      <w:r w:rsidR="00AF483F">
        <w:rPr>
          <w:rFonts w:ascii="Arial" w:hAnsi="Arial" w:cs="Arial"/>
          <w:sz w:val="20"/>
        </w:rPr>
        <w:t>al</w:t>
      </w:r>
      <w:r w:rsidR="00B92EB4" w:rsidRPr="00A61F3D">
        <w:rPr>
          <w:rFonts w:ascii="Arial" w:hAnsi="Arial" w:cs="Arial"/>
          <w:sz w:val="20"/>
        </w:rPr>
        <w:t>pont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(put)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Eladott hitelderivatíva</w:t>
      </w:r>
      <w:r w:rsidR="00B92EB4" w:rsidRPr="00A61F3D">
        <w:rPr>
          <w:rFonts w:ascii="Arial" w:hAnsi="Arial" w:cs="Arial"/>
          <w:sz w:val="20"/>
        </w:rPr>
        <w:t>: azon hitelderivatívák,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r w:rsidR="00B92EB4" w:rsidRPr="00A61F3D">
        <w:rPr>
          <w:rFonts w:ascii="Arial" w:hAnsi="Arial" w:cs="Arial"/>
          <w:b/>
          <w:sz w:val="20"/>
        </w:rPr>
        <w:t>Értékpapírosítás</w:t>
      </w:r>
      <w:r w:rsidR="00B92EB4" w:rsidRPr="00A61F3D">
        <w:rPr>
          <w:rFonts w:ascii="Arial" w:hAnsi="Arial" w:cs="Arial"/>
          <w:sz w:val="20"/>
        </w:rPr>
        <w:t>: a CRR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hitelderivatívákkal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Hagyományos értékpapírosítás</w:t>
      </w:r>
      <w:r w:rsidR="00B92EB4" w:rsidRPr="00A61F3D">
        <w:rPr>
          <w:rFonts w:ascii="Arial" w:hAnsi="Arial" w:cs="Arial"/>
          <w:sz w:val="20"/>
        </w:rPr>
        <w:t>: olyan értékpapírosítás, amelynél az értékpapírosítás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Szintetikus értékpapírosítás</w:t>
      </w:r>
      <w:r w:rsidR="00B92EB4" w:rsidRPr="00A61F3D">
        <w:rPr>
          <w:rFonts w:ascii="Arial" w:hAnsi="Arial" w:cs="Arial"/>
          <w:sz w:val="20"/>
        </w:rPr>
        <w:t>: olyan értékpapírosítás, amelynél az értékpapírosítás tárgyát képező követelésekkel kapcsolatos kockázatok áthárítása hitelderivatívákkal vagy garanciákkal valósul meg, és a követelés állománya továbbra is az értékpapírosítást kezdeményező hitelintézet mérlegében marad.</w:t>
      </w:r>
    </w:p>
    <w:p w14:paraId="74DAB5A9" w14:textId="574386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r w:rsidR="00AF483F">
        <w:rPr>
          <w:rFonts w:ascii="Arial" w:hAnsi="Arial" w:cs="Arial"/>
          <w:sz w:val="20"/>
        </w:rPr>
        <w:t>al</w:t>
      </w:r>
      <w:r w:rsidR="00B92EB4" w:rsidRPr="00A61F3D">
        <w:rPr>
          <w:rFonts w:ascii="Arial" w:hAnsi="Arial" w:cs="Arial"/>
          <w:sz w:val="20"/>
        </w:rPr>
        <w:t>pont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548BDE8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7"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(overdraft). Folyószámlahitelnek minősül az a kártyahitel is, amelynél a hitelintézet kamatmentes periódust biztosít.</w:t>
      </w:r>
      <w:bookmarkEnd w:id="7"/>
      <w:r w:rsidR="00B92EB4" w:rsidRPr="00A61F3D">
        <w:rPr>
          <w:rFonts w:ascii="Arial" w:hAnsi="Arial" w:cs="Arial"/>
          <w:sz w:val="20"/>
        </w:rPr>
        <w:t xml:space="preserve"> </w:t>
      </w:r>
      <w:bookmarkStart w:id="8" w:name="_Hlk14093503"/>
      <w:r w:rsidR="00E86356" w:rsidRPr="00A61F3D">
        <w:rPr>
          <w:rFonts w:ascii="Arial" w:hAnsi="Arial" w:cs="Arial"/>
          <w:sz w:val="20"/>
        </w:rPr>
        <w:t xml:space="preserve">Folyószámlahitelként kezelendők azok az 5.36. </w:t>
      </w:r>
      <w:r w:rsidR="00AF483F">
        <w:rPr>
          <w:rFonts w:ascii="Arial" w:hAnsi="Arial" w:cs="Arial"/>
          <w:sz w:val="20"/>
        </w:rPr>
        <w:t>al</w:t>
      </w:r>
      <w:r w:rsidR="00E86356" w:rsidRPr="00A61F3D">
        <w:rPr>
          <w:rFonts w:ascii="Arial" w:hAnsi="Arial" w:cs="Arial"/>
          <w:sz w:val="20"/>
        </w:rPr>
        <w:t xml:space="preserve">pont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8"/>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lastRenderedPageBreak/>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r w:rsidR="00B92EB4" w:rsidRPr="00A61F3D">
        <w:rPr>
          <w:rFonts w:ascii="Arial" w:hAnsi="Arial" w:cs="Arial"/>
          <w:b/>
          <w:sz w:val="20"/>
        </w:rPr>
        <w:t>Forward (tőzsdén kívüli határidős ügylet)</w:t>
      </w:r>
      <w:r w:rsidR="00B92EB4" w:rsidRPr="00A61F3D">
        <w:rPr>
          <w:rFonts w:ascii="Arial" w:hAnsi="Arial" w:cs="Arial"/>
          <w:sz w:val="20"/>
        </w:rPr>
        <w:t>: olyan, szervezett piacon kívül (OTC-n)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r w:rsidR="00B92EB4" w:rsidRPr="00A61F3D">
        <w:rPr>
          <w:rFonts w:ascii="Arial" w:hAnsi="Arial" w:cs="Arial"/>
          <w:b/>
          <w:sz w:val="20"/>
        </w:rPr>
        <w:t>Futures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BE41A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(FRA, forward rate agreement)</w:t>
      </w:r>
      <w:r w:rsidR="00B92EB4" w:rsidRPr="00A61F3D">
        <w:rPr>
          <w:rFonts w:ascii="Arial" w:hAnsi="Arial" w:cs="Arial"/>
          <w:sz w:val="20"/>
        </w:rPr>
        <w:t xml:space="preserve">: az 1.13.2. </w:t>
      </w:r>
      <w:r w:rsidR="00AF483F">
        <w:rPr>
          <w:rFonts w:ascii="Arial" w:hAnsi="Arial" w:cs="Arial"/>
          <w:sz w:val="20"/>
        </w:rPr>
        <w:t>al</w:t>
      </w:r>
      <w:r w:rsidR="00B92EB4" w:rsidRPr="00A61F3D">
        <w:rPr>
          <w:rFonts w:ascii="Arial" w:hAnsi="Arial" w:cs="Arial"/>
          <w:sz w:val="20"/>
        </w:rPr>
        <w:t>pont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9"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(CDS)</w:t>
      </w:r>
      <w:r w:rsidR="00B92EB4" w:rsidRPr="00A61F3D">
        <w:rPr>
          <w:rFonts w:ascii="Arial" w:hAnsi="Arial" w:cs="Arial"/>
          <w:sz w:val="20"/>
        </w:rPr>
        <w:t>: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(swap prémium vagy swap spread)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58D9BD6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(Cross currency interest rate swap - CCIRS)</w:t>
      </w:r>
      <w:r w:rsidR="00B92EB4" w:rsidRPr="00A61F3D">
        <w:rPr>
          <w:rFonts w:ascii="Arial" w:hAnsi="Arial" w:cs="Arial"/>
          <w:sz w:val="20"/>
        </w:rPr>
        <w:t xml:space="preserve">: az 1.13.6.2. </w:t>
      </w:r>
      <w:r w:rsidR="00AF483F">
        <w:rPr>
          <w:rFonts w:ascii="Arial" w:hAnsi="Arial" w:cs="Arial"/>
          <w:sz w:val="20"/>
        </w:rPr>
        <w:t>al</w:t>
      </w:r>
      <w:r w:rsidR="00B92EB4" w:rsidRPr="00A61F3D">
        <w:rPr>
          <w:rFonts w:ascii="Arial" w:hAnsi="Arial" w:cs="Arial"/>
          <w:sz w:val="20"/>
        </w:rPr>
        <w:t>pont szerinti fogalom.</w:t>
      </w:r>
    </w:p>
    <w:p w14:paraId="6F956AB5" w14:textId="3443D98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r w:rsidR="00B92EB4" w:rsidRPr="00A61F3D">
        <w:rPr>
          <w:rFonts w:ascii="Arial" w:hAnsi="Arial" w:cs="Arial"/>
          <w:b/>
          <w:sz w:val="20"/>
        </w:rPr>
        <w:t>Kamatswap (IRS, Interest Rate Swap)</w:t>
      </w:r>
      <w:r w:rsidR="00B92EB4" w:rsidRPr="00A61F3D">
        <w:rPr>
          <w:rFonts w:ascii="Arial" w:hAnsi="Arial" w:cs="Arial"/>
          <w:sz w:val="20"/>
        </w:rPr>
        <w:t xml:space="preserve">: az 1.13.4. </w:t>
      </w:r>
      <w:r w:rsidR="00AF483F">
        <w:rPr>
          <w:rFonts w:ascii="Arial" w:hAnsi="Arial" w:cs="Arial"/>
          <w:sz w:val="20"/>
        </w:rPr>
        <w:t>al</w:t>
      </w:r>
      <w:r w:rsidR="00B92EB4" w:rsidRPr="00A61F3D">
        <w:rPr>
          <w:rFonts w:ascii="Arial" w:hAnsi="Arial" w:cs="Arial"/>
          <w:sz w:val="20"/>
        </w:rPr>
        <w:t>pont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Különleges célú gazdasági egység (Financial Vehicle Corporation; FVC)</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9"/>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74CB23F9"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r w:rsidR="00AF483F">
        <w:rPr>
          <w:rFonts w:ascii="Arial" w:hAnsi="Arial" w:cs="Arial"/>
          <w:sz w:val="20"/>
        </w:rPr>
        <w:t>al</w:t>
      </w:r>
      <w:r w:rsidR="00B92EB4" w:rsidRPr="00A61F3D">
        <w:rPr>
          <w:rFonts w:ascii="Arial" w:hAnsi="Arial" w:cs="Arial"/>
          <w:sz w:val="20"/>
        </w:rPr>
        <w:t>pont szerinti fogalom.</w:t>
      </w:r>
    </w:p>
    <w:p w14:paraId="046A0E4D" w14:textId="303004F7" w:rsidR="00901C3D" w:rsidRPr="00A61F3D" w:rsidRDefault="00901C3D" w:rsidP="00895429">
      <w:pPr>
        <w:tabs>
          <w:tab w:val="left" w:pos="993"/>
        </w:tabs>
        <w:ind w:left="993" w:hanging="567"/>
        <w:rPr>
          <w:rFonts w:ascii="Arial" w:hAnsi="Arial" w:cs="Arial"/>
          <w:sz w:val="20"/>
        </w:rPr>
      </w:pPr>
      <w:bookmarkStart w:id="10" w:name="_Hlk140225164"/>
      <w:r>
        <w:rPr>
          <w:rFonts w:ascii="Arial" w:hAnsi="Arial" w:cs="Arial"/>
          <w:sz w:val="20"/>
        </w:rPr>
        <w:t>4.2</w:t>
      </w:r>
      <w:r w:rsidR="00AF483F">
        <w:rPr>
          <w:rFonts w:ascii="Arial" w:hAnsi="Arial" w:cs="Arial"/>
          <w:sz w:val="20"/>
        </w:rPr>
        <w:t>3</w:t>
      </w:r>
      <w:r>
        <w:rPr>
          <w:rFonts w:ascii="Arial" w:hAnsi="Arial" w:cs="Arial"/>
          <w:sz w:val="20"/>
        </w:rPr>
        <w:t>.</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10"/>
    <w:p w14:paraId="0ED9C58A" w14:textId="00EF8C7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4</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3590973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5</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Rulírozó (revolving) hitel</w:t>
      </w:r>
      <w:r w:rsidR="00B92EB4" w:rsidRPr="00A61F3D">
        <w:rPr>
          <w:rFonts w:ascii="Arial" w:hAnsi="Arial" w:cs="Arial"/>
          <w:sz w:val="20"/>
        </w:rPr>
        <w:t xml:space="preserve">: az 5.36. </w:t>
      </w:r>
      <w:r w:rsidR="00596861">
        <w:rPr>
          <w:rFonts w:ascii="Arial" w:hAnsi="Arial" w:cs="Arial"/>
          <w:sz w:val="20"/>
        </w:rPr>
        <w:t>al</w:t>
      </w:r>
      <w:r w:rsidR="00B92EB4" w:rsidRPr="00A61F3D">
        <w:rPr>
          <w:rFonts w:ascii="Arial" w:hAnsi="Arial" w:cs="Arial"/>
          <w:sz w:val="20"/>
        </w:rPr>
        <w:t>pont szerinti fogalom.</w:t>
      </w:r>
    </w:p>
    <w:p w14:paraId="54791A75" w14:textId="0705609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6</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7457895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7</w:t>
      </w:r>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xml:space="preserve">: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w:t>
      </w:r>
      <w:r w:rsidR="00B92EB4" w:rsidRPr="00A61F3D">
        <w:rPr>
          <w:rFonts w:ascii="Arial" w:hAnsi="Arial" w:cs="Arial"/>
          <w:sz w:val="20"/>
        </w:rPr>
        <w:lastRenderedPageBreak/>
        <w:t>kamatjövedelem pénzügyileg még nem rendezett része, amely mérlegállományként jelenik meg az időszak végén.</w:t>
      </w:r>
    </w:p>
    <w:p w14:paraId="44456D69" w14:textId="2E89DE97" w:rsidR="00B92EB4" w:rsidRPr="00D3125B" w:rsidRDefault="00895429" w:rsidP="00596861">
      <w:pPr>
        <w:tabs>
          <w:tab w:val="left" w:pos="993"/>
        </w:tabs>
        <w:ind w:left="1560" w:hanging="1134"/>
        <w:rPr>
          <w:rFonts w:ascii="Arial" w:hAnsi="Arial"/>
          <w:sz w:val="20"/>
        </w:rPr>
      </w:pPr>
      <w:bookmarkStart w:id="11" w:name="_Hlk480898648"/>
      <w:r w:rsidRPr="00A61F3D">
        <w:rPr>
          <w:rFonts w:ascii="Arial" w:hAnsi="Arial" w:cs="Arial"/>
          <w:sz w:val="20"/>
        </w:rPr>
        <w:t>4.28.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36834098" w14:textId="16EA0B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(multicurreny) hitel</w:t>
      </w:r>
      <w:bookmarkEnd w:id="11"/>
      <w:r w:rsidR="00B92EB4" w:rsidRPr="00A61F3D">
        <w:rPr>
          <w:rFonts w:ascii="Arial" w:hAnsi="Arial" w:cs="Arial"/>
          <w:sz w:val="20"/>
        </w:rPr>
        <w:t xml:space="preserve">: az 5.41. </w:t>
      </w:r>
      <w:r w:rsidR="00596861">
        <w:rPr>
          <w:rFonts w:ascii="Arial" w:hAnsi="Arial" w:cs="Arial"/>
          <w:sz w:val="20"/>
        </w:rPr>
        <w:t>al</w:t>
      </w:r>
      <w:r w:rsidR="00B92EB4" w:rsidRPr="00A61F3D">
        <w:rPr>
          <w:rFonts w:ascii="Arial" w:hAnsi="Arial" w:cs="Arial"/>
          <w:sz w:val="20"/>
        </w:rPr>
        <w:t>pont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(OTC) piacon került sor.</w:t>
      </w:r>
    </w:p>
    <w:p w14:paraId="312BB10A" w14:textId="2BD74AC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Vásárolt hitelderivatíva</w:t>
      </w:r>
      <w:r w:rsidR="00B92EB4" w:rsidRPr="00A61F3D">
        <w:rPr>
          <w:rFonts w:ascii="Arial" w:hAnsi="Arial" w:cs="Arial"/>
          <w:sz w:val="20"/>
        </w:rPr>
        <w:t>: azon hitelderivatívák,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(call)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49CD82F8" w14:textId="7D5C6E0F" w:rsidR="00AC13E5"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(a derivatíva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(stand-by)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(szindikált)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w:t>
      </w:r>
      <w:r w:rsidRPr="00A61F3D">
        <w:rPr>
          <w:rFonts w:ascii="Arial" w:hAnsi="Arial" w:cs="Arial"/>
          <w:sz w:val="20"/>
        </w:rPr>
        <w:lastRenderedPageBreak/>
        <w:t>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pozíció:</w:t>
      </w:r>
      <w:r w:rsidRPr="00A61F3D">
        <w:rPr>
          <w:rFonts w:ascii="Arial" w:hAnsi="Arial" w:cs="Arial"/>
          <w:sz w:val="20"/>
        </w:rPr>
        <w:t xml:space="preserve"> a tárgyidőszak kezdetén vagy végén nyitott pénzügyi derivatíva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r w:rsidRPr="00A61F3D">
        <w:rPr>
          <w:rFonts w:ascii="Arial" w:hAnsi="Arial" w:cs="Arial"/>
          <w:b/>
          <w:sz w:val="20"/>
        </w:rPr>
        <w:t>Rulírozó (revolving)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(commitment)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(multicurreny)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37B7397D" w14:textId="70143683" w:rsidR="004520CB" w:rsidRPr="00F67C45" w:rsidRDefault="00BC531B" w:rsidP="00D3125B">
      <w:pPr>
        <w:widowControl w:val="0"/>
        <w:spacing w:before="120"/>
        <w:ind w:left="992" w:hanging="567"/>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7B165D96" w14:textId="77777777" w:rsidR="00A61F3D" w:rsidRPr="00A61F3D" w:rsidRDefault="00A61F3D" w:rsidP="00D3125B">
      <w:pPr>
        <w:spacing w:before="120"/>
        <w:ind w:firstLine="425"/>
        <w:rPr>
          <w:rFonts w:ascii="Arial" w:hAnsi="Arial" w:cs="Arial"/>
          <w:b/>
          <w:sz w:val="20"/>
        </w:rPr>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Business, illetve corporate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Co-branded kártya</w:t>
      </w:r>
      <w:r w:rsidRPr="00A61F3D">
        <w:rPr>
          <w:rFonts w:ascii="Arial" w:hAnsi="Arial" w:cs="Arial"/>
          <w:sz w:val="20"/>
        </w:rPr>
        <w:t>: a kártya arculatán a kibocsátó védjegye mellett szerepel a partner védjegye is, és a kibocsátás mögött gazdasági érdekközösség húzódik meg. Nemzetközi védjeggyel ellátott kártyák esetében az is feltétel, hogy a nemzetközi kártyatársaság co-branded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delayed debit funkcióval is rendelkezik, akkor külön sorokban, a credit és a delayed debit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t>Debit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debit funkcióval rendelkezik (függetlenül attól, hogy ezen kívül hány egyéb funkciója van még), ebben a kategóriában kell jelenteni. Amennyiben a kártya delayed debit funkcióval is rendelkezik, akkor külön sorokban, a debit és a delayed debit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r w:rsidRPr="00A61F3D">
        <w:rPr>
          <w:rFonts w:ascii="Arial" w:hAnsi="Arial" w:cs="Arial"/>
          <w:b/>
          <w:sz w:val="20"/>
        </w:rPr>
        <w:t>Delayed debit (terhelési)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delayed debit funkcióval rendelkezik (függetlenül attól, hogy ezen kívül hány egyéb funkciója van még), ebben a kategóriában kell jelenteni. Amennyiben a kártya credit funkcióval is rendelkezik, akkor külön sorokban, a credit és a delayed debit funkcióval rendelkező kártyák között egyaránt jelenteni kell. Ugyanígy kell eljárni abban az esetben is, amikor a kártya debit funkcióval is rendelkezik, azaz ilyen esetekben a kártyát a debit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xml:space="preserve">: egy előre kifizetett összeghez kapcsolódó kártya, amelyet a kibocsátó egy fizetési számlán tart nyilván. A kártya birtokosa a fizetési számlán lévő összeg erejéig használhatja a kártyáját készpénz felvételére, illetve áru, </w:t>
      </w:r>
      <w:r w:rsidRPr="00A61F3D">
        <w:rPr>
          <w:rFonts w:ascii="Arial" w:hAnsi="Arial" w:cs="Arial"/>
          <w:sz w:val="20"/>
        </w:rPr>
        <w:lastRenderedPageBreak/>
        <w:t>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áru, illetve szolgáltatás ellenértékének a kifizetésére alkalmas kártya, amely minimum a következő funkciók valamelyikével rendelkezik: debit (betéti) funkció, delayed debit (terhelési) funkció, credit (hitel) funkció, előrefizetett funkció. Ugyanaz a kártya rendelkezhet a felsoroltak közül több funkcióval is. Ennek alapján a következő kategóriák különböztethetők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debit (betéti) funkcióval rendelkező kártya, ezen belül hitelkerethez kapcsolódó debit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delayed debit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debit, illetve delayed debit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credit, illetve delayed debit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e)-g) alpont szerinti alkategóriát csak abban az esetben kell jelenteni, ha a forgalmi adatokat nem lehet szétválasztani aszerint, hogy mikor használjuk a kártyát debit, credit, delayed debit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A fizikailag egyetlen, többféle funkcióval is rendelkező kártyát az egyes funkciók szerint külön sorokban kell jelenteni, azaz például a debit és a delayed debit funkciókkal egyaránt rendelkező kártyát mind a debit funkcióval rendelkező kártyáknál, mind pedig a delayed debit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Hitelkerethez kapcsolódó debit (betéti) funkcióval rendelkező kártya</w:t>
      </w:r>
      <w:r w:rsidRPr="00A61F3D">
        <w:rPr>
          <w:rFonts w:ascii="Arial" w:hAnsi="Arial" w:cs="Arial"/>
          <w:sz w:val="20"/>
        </w:rPr>
        <w:t xml:space="preserve">: a debit funkcióval rendelkező kártyákon belül egy alkategória; egy olyan debit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a kártyakibocsátó pénzforgalmi szolgáltató vagy vele szerződésben álló szolgáltató által nyújtott, fizikai elfogadóhelyen történt fizetésnél (pl. NFC vagy QR-kód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az adott vagy egy korábbi tárgyidőszakban az adatszolgáltató kibocsátói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lastRenderedPageBreak/>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r w:rsidRPr="00A61F3D">
        <w:rPr>
          <w:rFonts w:ascii="Arial" w:hAnsi="Arial" w:cs="Arial"/>
          <w:b/>
          <w:sz w:val="20"/>
        </w:rPr>
        <w:t>On-us forgalomban felmerült kár</w:t>
      </w:r>
      <w:r w:rsidRPr="00A61F3D">
        <w:rPr>
          <w:rFonts w:ascii="Arial" w:hAnsi="Arial" w:cs="Arial"/>
          <w:sz w:val="20"/>
        </w:rPr>
        <w:t>: az adatszolgáltató saját hálózatában, a saját kártyái használatához kapcsolódó kár.</w:t>
      </w: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02F8C876"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(Other</w:t>
      </w:r>
      <w:r w:rsidRPr="00A61F3D">
        <w:rPr>
          <w:rFonts w:ascii="Arial" w:hAnsi="Arial" w:cs="Arial"/>
          <w:sz w:val="20"/>
        </w:rPr>
        <w:t xml:space="preserve">): mindazon visszaélések, amelyek a </w:t>
      </w:r>
      <w:r w:rsidR="00D804EB">
        <w:rPr>
          <w:rFonts w:ascii="Arial" w:hAnsi="Arial" w:cs="Arial"/>
          <w:sz w:val="20"/>
        </w:rPr>
        <w:t>6.23</w:t>
      </w:r>
      <w:r w:rsidR="008F56CA">
        <w:rPr>
          <w:rFonts w:ascii="Arial" w:hAnsi="Arial" w:cs="Arial"/>
          <w:sz w:val="20"/>
        </w:rPr>
        <w:t>–</w:t>
      </w:r>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r w:rsidR="008F56CA">
        <w:rPr>
          <w:rFonts w:ascii="Arial" w:hAnsi="Arial" w:cs="Arial"/>
          <w:sz w:val="20"/>
        </w:rPr>
        <w:t>al</w:t>
      </w:r>
      <w:r w:rsidRPr="00A61F3D">
        <w:rPr>
          <w:rFonts w:ascii="Arial" w:hAnsi="Arial" w:cs="Arial"/>
          <w:sz w:val="20"/>
        </w:rPr>
        <w:t xml:space="preserve">pont szerinti kárkategóriák egyikébe sem sorolhatók. Nem tartozik azonban ide a kártyabirtokos ügyfél számlaegyenleg túllépéséből eredő kár, valamint amikor a kártyabirtokos saját maga él vissza a saját kártyájával. </w:t>
      </w:r>
      <w:bookmarkStart w:id="12" w:name="_Hlk10640505"/>
      <w:r w:rsidRPr="00A61F3D">
        <w:rPr>
          <w:rFonts w:ascii="Arial" w:hAnsi="Arial" w:cs="Arial"/>
          <w:sz w:val="20"/>
        </w:rPr>
        <w:t>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fizetési kártyás veszteségek közé tartoznak.</w:t>
      </w:r>
      <w:bookmarkEnd w:id="12"/>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(Lost/Stolen)</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(Fraudulent application</w:t>
      </w:r>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(Counterfeit</w:t>
      </w:r>
      <w:r w:rsidR="00A61F3D" w:rsidRPr="00A61F3D">
        <w:rPr>
          <w:rFonts w:ascii="Arial" w:hAnsi="Arial" w:cs="Arial"/>
          <w:sz w:val="20"/>
        </w:rPr>
        <w:t>): a kártyahamisítás minden formája ideértendő (pl. duplikált – skimming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(Cross-border)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(Card Skimming</w:t>
      </w:r>
      <w:r w:rsidR="00A61F3D" w:rsidRPr="00A61F3D">
        <w:rPr>
          <w:rFonts w:ascii="Arial" w:hAnsi="Arial" w:cs="Arial"/>
          <w:sz w:val="20"/>
        </w:rPr>
        <w:t>): a  fizetési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(Card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az ATM-művelet során a kártyabirtokos nem jut hozzá a készpénzhez annak ellenére, hogy a bizonylat szerint az ATM kiadta azt. Miután a kártyabirtokos a berendezés meghibásodását feltételezve távozik, a csaló megszerzi az általa „manipulált” ATM-be ragadt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(Card not present</w:t>
      </w:r>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(Card not received</w:t>
      </w:r>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Tranzakció reverzálás (Transaction reversal fraud</w:t>
      </w:r>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3935D3A5" w14:textId="21C0CFEA" w:rsidR="004520CB" w:rsidRPr="00A61F3D" w:rsidRDefault="004520CB" w:rsidP="00D3125B">
      <w:pPr>
        <w:spacing w:before="120"/>
        <w:ind w:left="425"/>
        <w:rPr>
          <w:rFonts w:ascii="Arial" w:hAnsi="Arial" w:cs="Arial"/>
          <w:b/>
          <w:sz w:val="20"/>
        </w:rPr>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lastRenderedPageBreak/>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20"/>
      <w:headerReference w:type="default" r:id="rId21"/>
      <w:footerReference w:type="even" r:id="rId22"/>
      <w:footerReference w:type="default" r:id="rId23"/>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BF70E" w14:textId="77777777" w:rsidR="00DC637B" w:rsidRDefault="00DC637B">
      <w:r>
        <w:separator/>
      </w:r>
    </w:p>
  </w:endnote>
  <w:endnote w:type="continuationSeparator" w:id="0">
    <w:p w14:paraId="3B647348" w14:textId="77777777" w:rsidR="00DC637B" w:rsidRDefault="00DC637B">
      <w:r>
        <w:continuationSeparator/>
      </w:r>
    </w:p>
  </w:endnote>
  <w:endnote w:type="continuationNotice" w:id="1">
    <w:p w14:paraId="0A4DE681" w14:textId="77777777" w:rsidR="00DC637B" w:rsidRDefault="00DC6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1D2A6" w14:textId="77777777" w:rsidR="00DC637B" w:rsidRDefault="00DC637B">
      <w:r>
        <w:separator/>
      </w:r>
    </w:p>
  </w:footnote>
  <w:footnote w:type="continuationSeparator" w:id="0">
    <w:p w14:paraId="54EB93F5" w14:textId="77777777" w:rsidR="00DC637B" w:rsidRDefault="00DC637B">
      <w:r>
        <w:continuationSeparator/>
      </w:r>
    </w:p>
  </w:footnote>
  <w:footnote w:type="continuationNotice" w:id="1">
    <w:p w14:paraId="1F1153DD" w14:textId="77777777" w:rsidR="00DC637B" w:rsidRDefault="00DC63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37CA"/>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476B0"/>
    <w:rsid w:val="00651D3F"/>
    <w:rsid w:val="00653C87"/>
    <w:rsid w:val="00653E59"/>
    <w:rsid w:val="00656D29"/>
    <w:rsid w:val="00657350"/>
    <w:rsid w:val="0066051F"/>
    <w:rsid w:val="00660EDC"/>
    <w:rsid w:val="00661F75"/>
    <w:rsid w:val="0066215E"/>
    <w:rsid w:val="006630A1"/>
    <w:rsid w:val="006643DA"/>
    <w:rsid w:val="00666153"/>
    <w:rsid w:val="00667E2E"/>
    <w:rsid w:val="00670C9B"/>
    <w:rsid w:val="00671DD3"/>
    <w:rsid w:val="00672175"/>
    <w:rsid w:val="006722A9"/>
    <w:rsid w:val="0067378C"/>
    <w:rsid w:val="00675C97"/>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4E10"/>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25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tadatszolg@mnb.h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nkihitel.hu/?us=fogalomtar&amp;id=45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nkihitel.hu/?us=fogalomtar&amp;id=349"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211"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26</Pages>
  <Words>12513</Words>
  <Characters>89491</Characters>
  <Application>Microsoft Office Word</Application>
  <DocSecurity>0</DocSecurity>
  <Lines>745</Lines>
  <Paragraphs>203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101801</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STA</cp:lastModifiedBy>
  <cp:revision>6</cp:revision>
  <cp:lastPrinted>2019-07-12T05:34:00Z</cp:lastPrinted>
  <dcterms:created xsi:type="dcterms:W3CDTF">2024-10-11T13:09:00Z</dcterms:created>
  <dcterms:modified xsi:type="dcterms:W3CDTF">2024-12-04T10:42:00Z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