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F60E2" w14:textId="77777777" w:rsidR="00A963C5" w:rsidRPr="00171DBE" w:rsidRDefault="00722942" w:rsidP="00171DBE">
      <w:pPr>
        <w:pStyle w:val="Cmsor4"/>
        <w:spacing w:after="240"/>
        <w:rPr>
          <w:rFonts w:ascii="Arial" w:hAnsi="Arial" w:cs="Arial"/>
          <w:sz w:val="20"/>
          <w:szCs w:val="20"/>
        </w:rPr>
      </w:pPr>
      <w:bookmarkStart w:id="0" w:name="_Toc122489421"/>
      <w:bookmarkStart w:id="1" w:name="_Toc122489789"/>
      <w:bookmarkStart w:id="2" w:name="_Toc122850672"/>
      <w:bookmarkStart w:id="3" w:name="_Toc125788686"/>
      <w:bookmarkStart w:id="4" w:name="_Toc494530912"/>
      <w:bookmarkStart w:id="5" w:name="_Toc494534298"/>
      <w:bookmarkStart w:id="6" w:name="_Toc494534626"/>
      <w:bookmarkStart w:id="7" w:name="_Toc494534867"/>
      <w:bookmarkStart w:id="8" w:name="_Toc494535029"/>
      <w:bookmarkStart w:id="9" w:name="_Toc494535098"/>
      <w:bookmarkStart w:id="10" w:name="_Toc494535245"/>
      <w:bookmarkStart w:id="11" w:name="_Toc494535710"/>
      <w:bookmarkStart w:id="12" w:name="_Toc494536507"/>
      <w:bookmarkStart w:id="13" w:name="_Toc494536876"/>
      <w:bookmarkStart w:id="14" w:name="_Toc494537100"/>
      <w:bookmarkStart w:id="15" w:name="_Toc494537194"/>
      <w:bookmarkStart w:id="16" w:name="_Toc494542640"/>
      <w:bookmarkStart w:id="17" w:name="_Toc494544118"/>
      <w:bookmarkStart w:id="18" w:name="_Toc494550718"/>
      <w:bookmarkStart w:id="19" w:name="_Toc494597449"/>
      <w:bookmarkStart w:id="20" w:name="_Toc494607512"/>
      <w:bookmarkStart w:id="21" w:name="_Toc494623843"/>
      <w:bookmarkStart w:id="22" w:name="_Toc494624575"/>
      <w:r w:rsidRPr="00171DBE">
        <w:rPr>
          <w:rFonts w:ascii="Arial" w:hAnsi="Arial" w:cs="Arial"/>
          <w:sz w:val="20"/>
          <w:szCs w:val="20"/>
        </w:rPr>
        <w:t>MNB azonosító</w:t>
      </w:r>
      <w:r w:rsidR="002D0FF7">
        <w:rPr>
          <w:rFonts w:ascii="Arial" w:hAnsi="Arial" w:cs="Arial"/>
          <w:sz w:val="20"/>
          <w:szCs w:val="20"/>
        </w:rPr>
        <w:t xml:space="preserve"> kód</w:t>
      </w:r>
      <w:r w:rsidRPr="00171DBE">
        <w:rPr>
          <w:rFonts w:ascii="Arial" w:hAnsi="Arial" w:cs="Arial"/>
          <w:sz w:val="20"/>
          <w:szCs w:val="20"/>
        </w:rPr>
        <w:t>:</w:t>
      </w:r>
      <w:r w:rsidRPr="00171DBE">
        <w:rPr>
          <w:rFonts w:ascii="Arial" w:hAnsi="Arial" w:cs="Arial"/>
          <w:b w:val="0"/>
          <w:sz w:val="20"/>
          <w:szCs w:val="20"/>
        </w:rPr>
        <w:t xml:space="preserve"> </w:t>
      </w:r>
      <w:r w:rsidRPr="00171DBE">
        <w:rPr>
          <w:rFonts w:ascii="Arial" w:hAnsi="Arial" w:cs="Arial"/>
          <w:sz w:val="20"/>
          <w:szCs w:val="20"/>
        </w:rPr>
        <w:t xml:space="preserve">R04 </w:t>
      </w:r>
    </w:p>
    <w:p w14:paraId="33947819" w14:textId="77777777" w:rsidR="00A963C5" w:rsidRPr="00171DBE" w:rsidRDefault="00722942" w:rsidP="00171DBE">
      <w:pPr>
        <w:spacing w:before="240"/>
        <w:jc w:val="center"/>
        <w:rPr>
          <w:rFonts w:ascii="Arial" w:hAnsi="Arial" w:cs="Arial"/>
          <w:b/>
        </w:rPr>
      </w:pPr>
      <w:r w:rsidRPr="00171DBE">
        <w:rPr>
          <w:rFonts w:ascii="Arial" w:hAnsi="Arial" w:cs="Arial"/>
          <w:b/>
        </w:rPr>
        <w:t>Kitöltési előírások</w:t>
      </w:r>
    </w:p>
    <w:p w14:paraId="61D0212F" w14:textId="77777777" w:rsidR="008D38D2" w:rsidRPr="00171DBE" w:rsidRDefault="00722942" w:rsidP="00171DBE">
      <w:pPr>
        <w:spacing w:after="240"/>
        <w:jc w:val="center"/>
        <w:rPr>
          <w:rFonts w:ascii="Arial" w:hAnsi="Arial" w:cs="Arial"/>
          <w:b/>
        </w:rPr>
      </w:pPr>
      <w:r w:rsidRPr="00171DBE">
        <w:rPr>
          <w:rFonts w:ascii="Arial" w:hAnsi="Arial" w:cs="Arial"/>
          <w:b/>
        </w:rPr>
        <w:t xml:space="preserve">Értékpapír befektetések </w:t>
      </w:r>
    </w:p>
    <w:p w14:paraId="0895FA91" w14:textId="77777777" w:rsidR="007B6FBA" w:rsidRPr="00171DBE" w:rsidRDefault="00722942" w:rsidP="00171DBE">
      <w:pPr>
        <w:numPr>
          <w:ilvl w:val="0"/>
          <w:numId w:val="1"/>
        </w:numPr>
        <w:tabs>
          <w:tab w:val="clear" w:pos="720"/>
          <w:tab w:val="num" w:pos="426"/>
        </w:tabs>
        <w:spacing w:before="240" w:after="240"/>
        <w:jc w:val="both"/>
        <w:rPr>
          <w:rFonts w:ascii="Arial" w:hAnsi="Arial" w:cs="Arial"/>
          <w:b/>
        </w:rPr>
      </w:pPr>
      <w:bookmarkStart w:id="23" w:name="_Toc125788687"/>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171DBE">
        <w:rPr>
          <w:rFonts w:ascii="Arial" w:hAnsi="Arial" w:cs="Arial"/>
          <w:b/>
        </w:rPr>
        <w:t>Általános előírások</w:t>
      </w:r>
    </w:p>
    <w:p w14:paraId="7CBA5521" w14:textId="77777777" w:rsidR="002971AE" w:rsidRPr="00171DBE" w:rsidRDefault="00723307" w:rsidP="00B139FE">
      <w:pPr>
        <w:pStyle w:val="Szvegtrzs3"/>
        <w:jc w:val="both"/>
        <w:rPr>
          <w:rFonts w:ascii="Arial" w:hAnsi="Arial" w:cs="Arial"/>
          <w:sz w:val="20"/>
          <w:szCs w:val="20"/>
        </w:rPr>
      </w:pPr>
      <w:bookmarkStart w:id="24" w:name="_I._A_pénzügyi_derivatívák_fogalma,_"/>
      <w:bookmarkStart w:id="25" w:name="_Toc116974022"/>
      <w:bookmarkStart w:id="26" w:name="_Toc116974360"/>
      <w:bookmarkStart w:id="27" w:name="_Toc117055434"/>
      <w:bookmarkStart w:id="28" w:name="_Toc117306262"/>
      <w:bookmarkStart w:id="29" w:name="_Toc116974020"/>
      <w:bookmarkStart w:id="30" w:name="_Toc116974353"/>
      <w:bookmarkStart w:id="31" w:name="_Toc117055427"/>
      <w:bookmarkStart w:id="32" w:name="_Toc117306255"/>
      <w:bookmarkEnd w:id="23"/>
      <w:bookmarkEnd w:id="24"/>
      <w:r w:rsidRPr="00171DBE">
        <w:rPr>
          <w:rFonts w:ascii="Arial" w:hAnsi="Arial" w:cs="Arial"/>
          <w:bCs/>
          <w:sz w:val="20"/>
          <w:szCs w:val="20"/>
        </w:rPr>
        <w:t xml:space="preserve">1. </w:t>
      </w:r>
      <w:r w:rsidR="00722942" w:rsidRPr="00171DBE">
        <w:rPr>
          <w:rFonts w:ascii="Arial" w:hAnsi="Arial" w:cs="Arial"/>
          <w:bCs/>
          <w:sz w:val="20"/>
          <w:szCs w:val="20"/>
        </w:rPr>
        <w:t>Az adatszolgáltatásban valamennyi, az adatszolgáltató által birtokolt és nem belföldi letétkezelőknél elhelyezett, rezidens vagy nem</w:t>
      </w:r>
      <w:r w:rsidRPr="00171DBE">
        <w:rPr>
          <w:rFonts w:ascii="Arial" w:hAnsi="Arial" w:cs="Arial"/>
          <w:bCs/>
          <w:sz w:val="20"/>
          <w:szCs w:val="20"/>
        </w:rPr>
        <w:t>-</w:t>
      </w:r>
      <w:r w:rsidR="00722942" w:rsidRPr="00171DBE">
        <w:rPr>
          <w:rFonts w:ascii="Arial" w:hAnsi="Arial" w:cs="Arial"/>
          <w:bCs/>
          <w:sz w:val="20"/>
          <w:szCs w:val="20"/>
        </w:rPr>
        <w:t xml:space="preserve">rezidens kibocsátású értékpapírt (ERT1 tábla), továbbá minden, általa kibocsátott saját értékpapírt (ERT2 tábla) szerepeltetni kell függetlenül attól, hogy az nyilvános vagy zárt körben, külföldön vagy belföldön került kibocsátásra, tőzsdei, tőzsdén kívül forgalmazott vagy nem forgalmazott értékpapír. </w:t>
      </w:r>
      <w:r w:rsidR="00722942" w:rsidRPr="00171DBE">
        <w:rPr>
          <w:rFonts w:ascii="Arial" w:hAnsi="Arial" w:cs="Arial"/>
          <w:sz w:val="20"/>
          <w:szCs w:val="20"/>
        </w:rPr>
        <w:t>A külföldi közvetlentőke</w:t>
      </w:r>
      <w:r w:rsidR="00206999">
        <w:rPr>
          <w:rFonts w:ascii="Arial" w:hAnsi="Arial" w:cs="Arial"/>
          <w:sz w:val="20"/>
          <w:szCs w:val="20"/>
        </w:rPr>
        <w:t>-</w:t>
      </w:r>
      <w:r w:rsidR="00722942" w:rsidRPr="00171DBE">
        <w:rPr>
          <w:rFonts w:ascii="Arial" w:hAnsi="Arial" w:cs="Arial"/>
          <w:sz w:val="20"/>
          <w:szCs w:val="20"/>
        </w:rPr>
        <w:t>befektetőkkel, külföldi közvetlentőke</w:t>
      </w:r>
      <w:r w:rsidR="00206999">
        <w:rPr>
          <w:rFonts w:ascii="Arial" w:hAnsi="Arial" w:cs="Arial"/>
          <w:sz w:val="20"/>
          <w:szCs w:val="20"/>
        </w:rPr>
        <w:t>-</w:t>
      </w:r>
      <w:r w:rsidR="00722942" w:rsidRPr="00171DBE">
        <w:rPr>
          <w:rFonts w:ascii="Arial" w:hAnsi="Arial" w:cs="Arial"/>
          <w:sz w:val="20"/>
          <w:szCs w:val="20"/>
        </w:rPr>
        <w:t>befektetésekkel és egyéb nem</w:t>
      </w:r>
      <w:r w:rsidR="00B04691" w:rsidRPr="00171DBE">
        <w:rPr>
          <w:rFonts w:ascii="Arial" w:hAnsi="Arial" w:cs="Arial"/>
          <w:sz w:val="20"/>
          <w:szCs w:val="20"/>
        </w:rPr>
        <w:t>-</w:t>
      </w:r>
      <w:r w:rsidR="00722942" w:rsidRPr="00171DBE">
        <w:rPr>
          <w:rFonts w:ascii="Arial" w:hAnsi="Arial" w:cs="Arial"/>
          <w:sz w:val="20"/>
          <w:szCs w:val="20"/>
        </w:rPr>
        <w:t>rezidens vállalatcsoporttagokkal szemben fennálló, tulajdonviszonyt, illetve hitelviszonyt megtestesítő értékpapírokat, amennyiben azok a jelen kitöltési előírások szerint e táblákban jelentéskötelesek, jelenteni kell függetlenül attól, hogy azok a közvetlentőke</w:t>
      </w:r>
      <w:r w:rsidR="00206999">
        <w:rPr>
          <w:rFonts w:ascii="Arial" w:hAnsi="Arial" w:cs="Arial"/>
          <w:sz w:val="20"/>
          <w:szCs w:val="20"/>
        </w:rPr>
        <w:t>-</w:t>
      </w:r>
      <w:r w:rsidR="00722942" w:rsidRPr="00171DBE">
        <w:rPr>
          <w:rFonts w:ascii="Arial" w:hAnsi="Arial" w:cs="Arial"/>
          <w:sz w:val="20"/>
          <w:szCs w:val="20"/>
        </w:rPr>
        <w:t>befektetések</w:t>
      </w:r>
      <w:r w:rsidR="00D25035" w:rsidRPr="00171DBE">
        <w:rPr>
          <w:rFonts w:ascii="Arial" w:hAnsi="Arial" w:cs="Arial"/>
          <w:sz w:val="20"/>
          <w:szCs w:val="20"/>
        </w:rPr>
        <w:t>re vonatkozó</w:t>
      </w:r>
      <w:r w:rsidR="00722942" w:rsidRPr="00171DBE">
        <w:rPr>
          <w:rFonts w:ascii="Arial" w:hAnsi="Arial" w:cs="Arial"/>
          <w:sz w:val="20"/>
          <w:szCs w:val="20"/>
        </w:rPr>
        <w:t xml:space="preserve"> </w:t>
      </w:r>
      <w:r w:rsidR="00D25035" w:rsidRPr="00171DBE">
        <w:rPr>
          <w:rFonts w:ascii="Arial" w:hAnsi="Arial" w:cs="Arial"/>
          <w:sz w:val="20"/>
          <w:szCs w:val="20"/>
        </w:rPr>
        <w:t xml:space="preserve">(R02, R03, R12, vagy R13 </w:t>
      </w:r>
      <w:r w:rsidR="00943343">
        <w:rPr>
          <w:rFonts w:ascii="Arial" w:hAnsi="Arial" w:cs="Arial"/>
          <w:sz w:val="20"/>
          <w:szCs w:val="20"/>
        </w:rPr>
        <w:t>MNB azonosító kódú</w:t>
      </w:r>
      <w:r w:rsidR="00D25035" w:rsidRPr="00171DBE">
        <w:rPr>
          <w:rFonts w:ascii="Arial" w:hAnsi="Arial" w:cs="Arial"/>
          <w:sz w:val="20"/>
          <w:szCs w:val="20"/>
        </w:rPr>
        <w:t xml:space="preserve">) </w:t>
      </w:r>
      <w:r w:rsidR="00722942" w:rsidRPr="00171DBE">
        <w:rPr>
          <w:rFonts w:ascii="Arial" w:hAnsi="Arial" w:cs="Arial"/>
          <w:sz w:val="20"/>
          <w:szCs w:val="20"/>
        </w:rPr>
        <w:t xml:space="preserve">adatszolgáltatásokban szintén szerepelnek. </w:t>
      </w:r>
    </w:p>
    <w:p w14:paraId="1360C5A2" w14:textId="77777777" w:rsidR="00F90ABD" w:rsidRPr="00171DBE" w:rsidRDefault="00723307" w:rsidP="00F90ABD">
      <w:pPr>
        <w:autoSpaceDE w:val="0"/>
        <w:autoSpaceDN w:val="0"/>
        <w:adjustRightInd w:val="0"/>
        <w:jc w:val="both"/>
        <w:rPr>
          <w:rFonts w:ascii="Arial" w:hAnsi="Arial" w:cs="Arial"/>
        </w:rPr>
      </w:pPr>
      <w:r w:rsidRPr="00171DBE">
        <w:rPr>
          <w:rFonts w:ascii="Arial" w:hAnsi="Arial" w:cs="Arial"/>
        </w:rPr>
        <w:t xml:space="preserve">2. </w:t>
      </w:r>
      <w:r w:rsidR="00722942" w:rsidRPr="00171DBE">
        <w:rPr>
          <w:rFonts w:ascii="Arial" w:hAnsi="Arial" w:cs="Arial"/>
        </w:rPr>
        <w:t xml:space="preserve">Az R04 </w:t>
      </w:r>
      <w:r w:rsidR="00B923DC">
        <w:rPr>
          <w:rFonts w:ascii="Arial" w:hAnsi="Arial" w:cs="Arial"/>
        </w:rPr>
        <w:t xml:space="preserve">MNB azonosító kódú </w:t>
      </w:r>
      <w:r w:rsidR="00722942" w:rsidRPr="00171DBE">
        <w:rPr>
          <w:rFonts w:ascii="Arial" w:hAnsi="Arial" w:cs="Arial"/>
        </w:rPr>
        <w:t>adatszolgáltatásban nem kell jelenteni a váltókat és a lejárt értékpapírokat, mivel azokat az egyéb befektetések</w:t>
      </w:r>
      <w:r w:rsidR="00D25035" w:rsidRPr="00171DBE">
        <w:rPr>
          <w:rFonts w:ascii="Arial" w:hAnsi="Arial" w:cs="Arial"/>
        </w:rPr>
        <w:t>re vonatkozó</w:t>
      </w:r>
      <w:r w:rsidR="00722942" w:rsidRPr="00171DBE">
        <w:rPr>
          <w:rFonts w:ascii="Arial" w:hAnsi="Arial" w:cs="Arial"/>
        </w:rPr>
        <w:t xml:space="preserve"> (R06, R08, R09, R15, R17</w:t>
      </w:r>
      <w:r w:rsidR="00551527">
        <w:rPr>
          <w:rFonts w:ascii="Arial" w:hAnsi="Arial" w:cs="Arial"/>
        </w:rPr>
        <w:t xml:space="preserve">, </w:t>
      </w:r>
      <w:r w:rsidR="00DE7DB5">
        <w:rPr>
          <w:rFonts w:ascii="Arial" w:hAnsi="Arial" w:cs="Arial"/>
        </w:rPr>
        <w:t>M02, M03 és M04</w:t>
      </w:r>
      <w:r w:rsidR="00D25035" w:rsidRPr="00171DBE">
        <w:rPr>
          <w:rFonts w:ascii="Arial" w:hAnsi="Arial" w:cs="Arial"/>
        </w:rPr>
        <w:t xml:space="preserve"> </w:t>
      </w:r>
      <w:r w:rsidR="00943343">
        <w:rPr>
          <w:rFonts w:ascii="Arial" w:hAnsi="Arial" w:cs="Arial"/>
        </w:rPr>
        <w:t>MNB azonosító kódú</w:t>
      </w:r>
      <w:r w:rsidR="00722942" w:rsidRPr="00171DBE">
        <w:rPr>
          <w:rFonts w:ascii="Arial" w:hAnsi="Arial" w:cs="Arial"/>
        </w:rPr>
        <w:t>), vagy a közvetlentőke</w:t>
      </w:r>
      <w:r w:rsidR="00206999">
        <w:rPr>
          <w:rFonts w:ascii="Arial" w:hAnsi="Arial" w:cs="Arial"/>
        </w:rPr>
        <w:t>-</w:t>
      </w:r>
      <w:r w:rsidR="00722942" w:rsidRPr="00171DBE">
        <w:rPr>
          <w:rFonts w:ascii="Arial" w:hAnsi="Arial" w:cs="Arial"/>
        </w:rPr>
        <w:t>befektetések</w:t>
      </w:r>
      <w:r w:rsidR="00D25035" w:rsidRPr="00171DBE">
        <w:rPr>
          <w:rFonts w:ascii="Arial" w:hAnsi="Arial" w:cs="Arial"/>
        </w:rPr>
        <w:t>re vonatkozó</w:t>
      </w:r>
      <w:r w:rsidR="00722942" w:rsidRPr="00171DBE">
        <w:rPr>
          <w:rFonts w:ascii="Arial" w:hAnsi="Arial" w:cs="Arial"/>
        </w:rPr>
        <w:t xml:space="preserve"> (R02 és R12</w:t>
      </w:r>
      <w:r w:rsidR="00D25035" w:rsidRPr="00171DBE">
        <w:rPr>
          <w:rFonts w:ascii="Arial" w:hAnsi="Arial" w:cs="Arial"/>
        </w:rPr>
        <w:t xml:space="preserve"> </w:t>
      </w:r>
      <w:r w:rsidR="00943343">
        <w:rPr>
          <w:rFonts w:ascii="Arial" w:hAnsi="Arial" w:cs="Arial"/>
        </w:rPr>
        <w:t>MNB azonosító kódú</w:t>
      </w:r>
      <w:r w:rsidR="00722942" w:rsidRPr="00171DBE">
        <w:rPr>
          <w:rFonts w:ascii="Arial" w:hAnsi="Arial" w:cs="Arial"/>
        </w:rPr>
        <w:t>) adatszolgáltatás tábláiban kell szerepeltetni.</w:t>
      </w:r>
    </w:p>
    <w:p w14:paraId="028A8809" w14:textId="77777777" w:rsidR="009A4C23" w:rsidRPr="00171DBE" w:rsidRDefault="00723307">
      <w:pPr>
        <w:spacing w:before="120"/>
        <w:jc w:val="both"/>
        <w:rPr>
          <w:rFonts w:ascii="Arial" w:hAnsi="Arial" w:cs="Arial"/>
        </w:rPr>
      </w:pPr>
      <w:r w:rsidRPr="00171DBE">
        <w:rPr>
          <w:rFonts w:ascii="Arial" w:hAnsi="Arial" w:cs="Arial"/>
        </w:rPr>
        <w:t xml:space="preserve">3. </w:t>
      </w:r>
      <w:r w:rsidR="00722942" w:rsidRPr="00171DBE">
        <w:rPr>
          <w:rFonts w:ascii="Arial" w:hAnsi="Arial" w:cs="Arial"/>
        </w:rPr>
        <w:t>Az értékpapírok állományi adatait mindig az adott hónap utolsó napjára vonatkozóan (mint záró állományt) kell megadni.</w:t>
      </w:r>
    </w:p>
    <w:p w14:paraId="17916CE1" w14:textId="77777777" w:rsidR="009229E3" w:rsidRPr="00171DBE" w:rsidRDefault="00722942" w:rsidP="00B8057B">
      <w:pPr>
        <w:numPr>
          <w:ilvl w:val="0"/>
          <w:numId w:val="2"/>
        </w:numPr>
        <w:jc w:val="both"/>
        <w:rPr>
          <w:rFonts w:ascii="Arial" w:hAnsi="Arial" w:cs="Arial"/>
        </w:rPr>
      </w:pPr>
      <w:r w:rsidRPr="00171DBE">
        <w:rPr>
          <w:rFonts w:ascii="Arial" w:hAnsi="Arial" w:cs="Arial"/>
        </w:rPr>
        <w:t>A tulajdonviszonyt megtestesítő értékpapírok állományát darabszám szerint kell szerepeltetni.</w:t>
      </w:r>
    </w:p>
    <w:p w14:paraId="410AC2A4" w14:textId="77777777" w:rsidR="00034FC0" w:rsidRPr="00171DBE" w:rsidRDefault="00722942" w:rsidP="00B8057B">
      <w:pPr>
        <w:numPr>
          <w:ilvl w:val="0"/>
          <w:numId w:val="2"/>
        </w:numPr>
        <w:jc w:val="both"/>
        <w:rPr>
          <w:rFonts w:ascii="Arial" w:hAnsi="Arial" w:cs="Arial"/>
        </w:rPr>
      </w:pPr>
      <w:r w:rsidRPr="00171DBE">
        <w:rPr>
          <w:rFonts w:ascii="Arial" w:hAnsi="Arial" w:cs="Arial"/>
        </w:rPr>
        <w:t xml:space="preserve">A hitelviszonyt megtestesítő értékpapírokat névértéken, az értékpapír eredeti denominációjában, egész devizában kifejezve kell jelenteni. A már nem létező devizanemek (pl. DEM, ATS) esetében az értékpapírok névértékét át kell számítani a megfelelő, jelenleg érvényben lévő devizanemre (pl. EUR). A futamidő alatt is törlesztő kötvényeknél a táblákban a törlesztéssel korrigált névértéket kell jelenteni. A törlesztés napján már a csökkentett tőkeértéket kell megadni. Amennyiben a hónap utolsó napja munkaszüneti napra esik, a tőke csökkentését akkor is erre az időpontra kell elvégezni, vagyis az adatszolgáltatásban a korrigált értéknek kell szerepelnie. </w:t>
      </w:r>
    </w:p>
    <w:p w14:paraId="54D9E252" w14:textId="77777777" w:rsidR="009A4C23" w:rsidRPr="00171DBE" w:rsidRDefault="00723307">
      <w:pPr>
        <w:spacing w:before="120"/>
        <w:jc w:val="both"/>
        <w:rPr>
          <w:rFonts w:ascii="Arial" w:hAnsi="Arial" w:cs="Arial"/>
        </w:rPr>
      </w:pPr>
      <w:smartTag w:uri="urn:schemas-microsoft-com:office:smarttags" w:element="metricconverter">
        <w:smartTagPr>
          <w:attr w:name="ProductID" w:val="4. A"/>
        </w:smartTagPr>
        <w:r w:rsidRPr="00171DBE">
          <w:rPr>
            <w:rFonts w:ascii="Arial" w:hAnsi="Arial" w:cs="Arial"/>
          </w:rPr>
          <w:t xml:space="preserve">4. </w:t>
        </w:r>
        <w:bookmarkStart w:id="33" w:name="Diff_1_E_leteti_2003"/>
        <w:bookmarkEnd w:id="25"/>
        <w:bookmarkEnd w:id="26"/>
        <w:bookmarkEnd w:id="27"/>
        <w:bookmarkEnd w:id="28"/>
        <w:bookmarkEnd w:id="33"/>
        <w:r w:rsidR="00722942" w:rsidRPr="00171DBE">
          <w:rPr>
            <w:rFonts w:ascii="Arial" w:hAnsi="Arial" w:cs="Arial"/>
          </w:rPr>
          <w:t>A</w:t>
        </w:r>
      </w:smartTag>
      <w:r w:rsidR="00722942" w:rsidRPr="00171DBE">
        <w:rPr>
          <w:rFonts w:ascii="Arial" w:hAnsi="Arial" w:cs="Arial"/>
        </w:rPr>
        <w:t xml:space="preserve"> táblákban az értékpapírokat egyedi azonosítónként külön-külön soron kell szerepeltetni.</w:t>
      </w:r>
    </w:p>
    <w:p w14:paraId="45CC4E56" w14:textId="6D32123C" w:rsidR="009A4C23" w:rsidRPr="00171DBE" w:rsidRDefault="00723307">
      <w:pPr>
        <w:spacing w:before="120"/>
        <w:jc w:val="both"/>
        <w:rPr>
          <w:rFonts w:ascii="Arial" w:hAnsi="Arial" w:cs="Arial"/>
        </w:rPr>
      </w:pPr>
      <w:smartTag w:uri="urn:schemas-microsoft-com:office:smarttags" w:element="metricconverter">
        <w:smartTagPr>
          <w:attr w:name="ProductID" w:val="5. A"/>
        </w:smartTagPr>
        <w:r w:rsidRPr="00171DBE">
          <w:rPr>
            <w:rFonts w:ascii="Arial" w:hAnsi="Arial" w:cs="Arial"/>
          </w:rPr>
          <w:t xml:space="preserve">5. </w:t>
        </w:r>
        <w:r w:rsidR="00722942" w:rsidRPr="00171DBE">
          <w:rPr>
            <w:rFonts w:ascii="Arial" w:hAnsi="Arial" w:cs="Arial"/>
          </w:rPr>
          <w:t>A</w:t>
        </w:r>
      </w:smartTag>
      <w:r w:rsidR="00722942" w:rsidRPr="00171DBE">
        <w:rPr>
          <w:rFonts w:ascii="Arial" w:hAnsi="Arial" w:cs="Arial"/>
        </w:rPr>
        <w:t xml:space="preserve"> táblákban és a jelen kitöltési előírásokban használt fogalmak magyarázatát e melléklet I. </w:t>
      </w:r>
      <w:r w:rsidR="00724605">
        <w:rPr>
          <w:rFonts w:ascii="Arial" w:hAnsi="Arial" w:cs="Arial"/>
        </w:rPr>
        <w:t>E</w:t>
      </w:r>
      <w:r w:rsidRPr="00171DBE">
        <w:rPr>
          <w:rFonts w:ascii="Arial" w:hAnsi="Arial" w:cs="Arial"/>
        </w:rPr>
        <w:t>.</w:t>
      </w:r>
      <w:r w:rsidR="00722942" w:rsidRPr="00171DBE">
        <w:rPr>
          <w:rFonts w:ascii="Arial" w:hAnsi="Arial" w:cs="Arial"/>
        </w:rPr>
        <w:t xml:space="preserve"> 2. pontja (értékpapír </w:t>
      </w:r>
      <w:r w:rsidRPr="00171DBE">
        <w:rPr>
          <w:rFonts w:ascii="Arial" w:hAnsi="Arial" w:cs="Arial"/>
        </w:rPr>
        <w:t>–</w:t>
      </w:r>
      <w:r w:rsidR="00722942" w:rsidRPr="00171DBE">
        <w:rPr>
          <w:rFonts w:ascii="Arial" w:hAnsi="Arial" w:cs="Arial"/>
        </w:rPr>
        <w:t xml:space="preserve"> E jelű </w:t>
      </w:r>
      <w:r w:rsidRPr="00171DBE">
        <w:rPr>
          <w:rFonts w:ascii="Arial" w:hAnsi="Arial" w:cs="Arial"/>
        </w:rPr>
        <w:t>–</w:t>
      </w:r>
      <w:r w:rsidR="00722942" w:rsidRPr="00171DBE">
        <w:rPr>
          <w:rFonts w:ascii="Arial" w:hAnsi="Arial" w:cs="Arial"/>
        </w:rPr>
        <w:t xml:space="preserve"> adatszolgáltatásokban használt fogalmak) tartalmazza.</w:t>
      </w:r>
    </w:p>
    <w:p w14:paraId="49E61E52" w14:textId="77777777" w:rsidR="007B6FBA" w:rsidRPr="00171DBE" w:rsidRDefault="00722942" w:rsidP="00171DBE">
      <w:pPr>
        <w:numPr>
          <w:ilvl w:val="0"/>
          <w:numId w:val="1"/>
        </w:numPr>
        <w:tabs>
          <w:tab w:val="clear" w:pos="720"/>
          <w:tab w:val="num" w:pos="426"/>
        </w:tabs>
        <w:spacing w:before="240" w:after="240"/>
        <w:jc w:val="both"/>
        <w:rPr>
          <w:rFonts w:ascii="Arial" w:hAnsi="Arial" w:cs="Arial"/>
          <w:b/>
        </w:rPr>
      </w:pPr>
      <w:bookmarkStart w:id="34" w:name="_II._Általános_tudnivalók"/>
      <w:bookmarkStart w:id="35" w:name="_Toc120672909"/>
      <w:bookmarkStart w:id="36" w:name="_Toc120672996"/>
      <w:bookmarkStart w:id="37" w:name="_Toc120673288"/>
      <w:bookmarkEnd w:id="29"/>
      <w:bookmarkEnd w:id="30"/>
      <w:bookmarkEnd w:id="31"/>
      <w:bookmarkEnd w:id="32"/>
      <w:bookmarkEnd w:id="34"/>
      <w:r w:rsidRPr="00171DBE">
        <w:rPr>
          <w:rFonts w:ascii="Arial" w:hAnsi="Arial" w:cs="Arial"/>
          <w:b/>
        </w:rPr>
        <w:t>A táblák kitöltésével kapcsolatos részletes előírások</w:t>
      </w:r>
    </w:p>
    <w:bookmarkEnd w:id="35"/>
    <w:bookmarkEnd w:id="36"/>
    <w:bookmarkEnd w:id="37"/>
    <w:p w14:paraId="1C260AE8" w14:textId="77777777" w:rsidR="00276AB3" w:rsidRPr="00171DBE" w:rsidRDefault="00723307">
      <w:pPr>
        <w:spacing w:before="120"/>
        <w:jc w:val="both"/>
        <w:rPr>
          <w:rFonts w:ascii="Arial" w:hAnsi="Arial" w:cs="Arial"/>
        </w:rPr>
      </w:pPr>
      <w:r w:rsidRPr="00171DBE">
        <w:rPr>
          <w:rFonts w:ascii="Arial" w:hAnsi="Arial" w:cs="Arial"/>
        </w:rPr>
        <w:t xml:space="preserve">1. </w:t>
      </w:r>
      <w:r w:rsidR="00722942" w:rsidRPr="00171DBE">
        <w:rPr>
          <w:rFonts w:ascii="Arial" w:hAnsi="Arial" w:cs="Arial"/>
        </w:rPr>
        <w:t xml:space="preserve">„Az értékpapír azonosítója” oszlopban az ISIN kódot (letéti igazolások, ADR, EDR, GDR stb. esetében a letéti igazolás saját ISIN kódját), ennek hiányában (és csakis akkor) a 111 kódot kell szerepeltetni. </w:t>
      </w:r>
    </w:p>
    <w:p w14:paraId="7A7D14F5" w14:textId="77777777" w:rsidR="009A4C23" w:rsidRPr="00171DBE" w:rsidRDefault="00723307">
      <w:pPr>
        <w:spacing w:before="120"/>
        <w:jc w:val="both"/>
        <w:rPr>
          <w:rFonts w:ascii="Arial" w:hAnsi="Arial" w:cs="Arial"/>
        </w:rPr>
      </w:pPr>
      <w:r w:rsidRPr="00171DBE">
        <w:rPr>
          <w:rFonts w:ascii="Arial" w:hAnsi="Arial" w:cs="Arial"/>
        </w:rPr>
        <w:t xml:space="preserve">2. </w:t>
      </w:r>
      <w:r w:rsidR="00722942" w:rsidRPr="00171DBE">
        <w:rPr>
          <w:rFonts w:ascii="Arial" w:hAnsi="Arial" w:cs="Arial"/>
        </w:rPr>
        <w:t xml:space="preserve">Az </w:t>
      </w:r>
      <w:r w:rsidR="00541923">
        <w:rPr>
          <w:rFonts w:ascii="Arial" w:hAnsi="Arial" w:cs="Arial"/>
        </w:rPr>
        <w:t>„</w:t>
      </w:r>
      <w:r w:rsidR="00722942" w:rsidRPr="00171DBE">
        <w:rPr>
          <w:rFonts w:ascii="Arial" w:hAnsi="Arial" w:cs="Arial"/>
        </w:rPr>
        <w:t xml:space="preserve">Értékpapír (rövid) neve” az adatszolgáltatásban szintén egyedi azonosítóként szolgál, ezért ugyanarra az értékpapírra mindig ugyanazt a rövid nevet kell használni (az R02, R03, R12 és R13 </w:t>
      </w:r>
      <w:r w:rsidR="00943343">
        <w:rPr>
          <w:rFonts w:ascii="Arial" w:hAnsi="Arial" w:cs="Arial"/>
        </w:rPr>
        <w:t>MNB azonosító kódú</w:t>
      </w:r>
      <w:r w:rsidRPr="00171DBE">
        <w:rPr>
          <w:rFonts w:ascii="Arial" w:hAnsi="Arial" w:cs="Arial"/>
        </w:rPr>
        <w:t xml:space="preserve"> </w:t>
      </w:r>
      <w:r w:rsidR="00722942" w:rsidRPr="00171DBE">
        <w:rPr>
          <w:rFonts w:ascii="Arial" w:hAnsi="Arial" w:cs="Arial"/>
        </w:rPr>
        <w:t>adatszolgáltatásban is). A 111-es kód alatt megjelenő egyes értékpapír</w:t>
      </w:r>
      <w:r w:rsidR="00722942" w:rsidRPr="00171DBE">
        <w:rPr>
          <w:rFonts w:ascii="Arial" w:hAnsi="Arial" w:cs="Arial"/>
        </w:rPr>
        <w:noBreakHyphen/>
        <w:t xml:space="preserve">sorozatoknál egymástól eltérő nevet kell alkalmazni, </w:t>
      </w:r>
      <w:r w:rsidR="00F43C19" w:rsidRPr="00171DBE">
        <w:rPr>
          <w:rFonts w:ascii="Arial" w:hAnsi="Arial" w:cs="Arial"/>
        </w:rPr>
        <w:t>é</w:t>
      </w:r>
      <w:r w:rsidR="00722942" w:rsidRPr="00171DBE">
        <w:rPr>
          <w:rFonts w:ascii="Arial" w:hAnsi="Arial" w:cs="Arial"/>
        </w:rPr>
        <w:t>s ugyanannak a sorozatnak minden táblában (s az esetlegesen más, R jelű adatszolgáltatásokban is) teljesen azonos néven kell szerepelnie.</w:t>
      </w:r>
    </w:p>
    <w:p w14:paraId="2B9A016D" w14:textId="77777777" w:rsidR="009A4C23" w:rsidRPr="00171DBE" w:rsidRDefault="000C59EB">
      <w:pPr>
        <w:spacing w:before="120"/>
        <w:jc w:val="both"/>
        <w:rPr>
          <w:rFonts w:ascii="Arial" w:hAnsi="Arial" w:cs="Arial"/>
        </w:rPr>
      </w:pPr>
      <w:r w:rsidRPr="00171DBE">
        <w:rPr>
          <w:rFonts w:ascii="Arial" w:hAnsi="Arial" w:cs="Arial"/>
        </w:rPr>
        <w:t xml:space="preserve">3. </w:t>
      </w:r>
      <w:r w:rsidR="00722942" w:rsidRPr="00171DBE">
        <w:rPr>
          <w:rFonts w:ascii="Arial" w:hAnsi="Arial" w:cs="Arial"/>
        </w:rPr>
        <w:t xml:space="preserve">„Az állomány megfigyelési egységének kódja” oszlopban kell megjelölni, hogy az adott sorban tulajdonviszonyt megtestesítő papírról van-e szó, amely esetben a </w:t>
      </w:r>
      <w:r w:rsidR="00CE262B" w:rsidRPr="00171DBE">
        <w:rPr>
          <w:rFonts w:ascii="Arial" w:hAnsi="Arial" w:cs="Arial"/>
        </w:rPr>
        <w:t>„</w:t>
      </w:r>
      <w:r w:rsidR="00722942" w:rsidRPr="00171DBE">
        <w:rPr>
          <w:rFonts w:ascii="Arial" w:hAnsi="Arial" w:cs="Arial"/>
        </w:rPr>
        <w:t>DB</w:t>
      </w:r>
      <w:r w:rsidR="00CE262B" w:rsidRPr="00171DBE">
        <w:rPr>
          <w:rFonts w:ascii="Arial" w:hAnsi="Arial" w:cs="Arial"/>
        </w:rPr>
        <w:t>”</w:t>
      </w:r>
      <w:r w:rsidR="00722942" w:rsidRPr="00171DBE">
        <w:rPr>
          <w:rFonts w:ascii="Arial" w:hAnsi="Arial" w:cs="Arial"/>
        </w:rPr>
        <w:t xml:space="preserve"> kódot, vagy pedig hitelviszonyt megtestesítő értékpapírok kerülnek-e jelentésre, amikor pedig a papír denominációjának megfelelő devizanem ISO kódját kell szerepeltetni. A letéti igazolásokat a mögöttes értékpapír mennyiségi egységében kell megadni. </w:t>
      </w:r>
    </w:p>
    <w:p w14:paraId="4E358757" w14:textId="77777777" w:rsidR="009A4C23" w:rsidRPr="00171DBE" w:rsidRDefault="00CE262B">
      <w:pPr>
        <w:spacing w:before="120"/>
        <w:jc w:val="both"/>
        <w:rPr>
          <w:rFonts w:ascii="Arial" w:hAnsi="Arial" w:cs="Arial"/>
        </w:rPr>
      </w:pPr>
      <w:smartTag w:uri="urn:schemas-microsoft-com:office:smarttags" w:element="metricconverter">
        <w:smartTagPr>
          <w:attr w:name="ProductID" w:val="4. A"/>
        </w:smartTagPr>
        <w:r w:rsidRPr="00171DBE">
          <w:rPr>
            <w:rFonts w:ascii="Arial" w:hAnsi="Arial" w:cs="Arial"/>
          </w:rPr>
          <w:t xml:space="preserve">4. </w:t>
        </w:r>
        <w:r w:rsidR="00722942" w:rsidRPr="00171DBE">
          <w:rPr>
            <w:rFonts w:ascii="Arial" w:hAnsi="Arial" w:cs="Arial"/>
          </w:rPr>
          <w:t>A</w:t>
        </w:r>
      </w:smartTag>
      <w:r w:rsidR="00722942" w:rsidRPr="00171DBE">
        <w:rPr>
          <w:rFonts w:ascii="Arial" w:hAnsi="Arial" w:cs="Arial"/>
        </w:rPr>
        <w:t xml:space="preserve"> nem</w:t>
      </w:r>
      <w:r w:rsidR="00B04691" w:rsidRPr="00171DBE">
        <w:rPr>
          <w:rFonts w:ascii="Arial" w:hAnsi="Arial" w:cs="Arial"/>
        </w:rPr>
        <w:t>-</w:t>
      </w:r>
      <w:r w:rsidR="00722942" w:rsidRPr="00171DBE">
        <w:rPr>
          <w:rFonts w:ascii="Arial" w:hAnsi="Arial" w:cs="Arial"/>
        </w:rPr>
        <w:t>rezidens letétkezelőnél elhelyezett értékpapírok esetében az állományi adat mellett a vonatkozó oszlopokban fel kell tüntetni a letétkezelő nevét, illetve a székhelye szerinti ország ISO kódját.</w:t>
      </w:r>
    </w:p>
    <w:p w14:paraId="7695FF27" w14:textId="77777777" w:rsidR="009A4C23" w:rsidRPr="00171DBE" w:rsidRDefault="00CE262B">
      <w:pPr>
        <w:pStyle w:val="Szvegtrzs3"/>
        <w:spacing w:before="120" w:after="0"/>
        <w:jc w:val="both"/>
        <w:rPr>
          <w:rFonts w:ascii="Arial" w:hAnsi="Arial" w:cs="Arial"/>
          <w:sz w:val="20"/>
          <w:szCs w:val="20"/>
        </w:rPr>
      </w:pPr>
      <w:r w:rsidRPr="00171DBE">
        <w:rPr>
          <w:rFonts w:ascii="Arial" w:hAnsi="Arial" w:cs="Arial"/>
          <w:sz w:val="20"/>
          <w:szCs w:val="20"/>
        </w:rPr>
        <w:lastRenderedPageBreak/>
        <w:t xml:space="preserve">5. </w:t>
      </w:r>
      <w:r w:rsidR="00722942" w:rsidRPr="00171DBE">
        <w:rPr>
          <w:rFonts w:ascii="Arial" w:hAnsi="Arial" w:cs="Arial"/>
          <w:sz w:val="20"/>
          <w:szCs w:val="20"/>
        </w:rPr>
        <w:t>Az osztalékot a pénzügyi rendezés (osztalékfizetés, osztalék előleg fizetése, visszafizetése) hónapjára vonatkozó adatszolgáltatásban kell jelenteni. A vonatkozó oszlopban a tulajdonviszonyt megtestesítő értékpapír 1 d</w:t>
      </w:r>
      <w:r w:rsidR="00206999">
        <w:rPr>
          <w:rFonts w:ascii="Arial" w:hAnsi="Arial" w:cs="Arial"/>
          <w:sz w:val="20"/>
          <w:szCs w:val="20"/>
        </w:rPr>
        <w:t>arab</w:t>
      </w:r>
      <w:r w:rsidR="00722942" w:rsidRPr="00171DBE">
        <w:rPr>
          <w:rFonts w:ascii="Arial" w:hAnsi="Arial" w:cs="Arial"/>
          <w:sz w:val="20"/>
          <w:szCs w:val="20"/>
        </w:rPr>
        <w:t>jára jutó, abban a hónapban kifizetett (kapott) osztalék összegét kell szerepeltetni – tehát az adott hónapban teljesített összeget el kell osztani a részvények darabszámával –, lehetőség szerint az adótartalommal együtt, a részesedés denominációjának megfelelő devizanemben, két tizedes</w:t>
      </w:r>
      <w:r w:rsidR="00541923">
        <w:rPr>
          <w:rFonts w:ascii="Arial" w:hAnsi="Arial" w:cs="Arial"/>
          <w:sz w:val="20"/>
          <w:szCs w:val="20"/>
        </w:rPr>
        <w:t>jegy</w:t>
      </w:r>
      <w:r w:rsidR="00722942" w:rsidRPr="00171DBE">
        <w:rPr>
          <w:rFonts w:ascii="Arial" w:hAnsi="Arial" w:cs="Arial"/>
          <w:sz w:val="20"/>
          <w:szCs w:val="20"/>
        </w:rPr>
        <w:t xml:space="preserve">re kerekítve. Az esetlegesen más devizanemben folyósított osztalék összegét a részesedés denominációjának megfelelő devizanemre kell átszámítani. </w:t>
      </w:r>
    </w:p>
    <w:p w14:paraId="736A603E" w14:textId="77777777" w:rsidR="00EC746B" w:rsidRPr="00171DBE" w:rsidRDefault="00722942" w:rsidP="00CE262B">
      <w:pPr>
        <w:jc w:val="both"/>
        <w:rPr>
          <w:rFonts w:ascii="Arial" w:hAnsi="Arial" w:cs="Arial"/>
        </w:rPr>
      </w:pPr>
      <w:r w:rsidRPr="00171DBE">
        <w:rPr>
          <w:rFonts w:ascii="Arial" w:hAnsi="Arial" w:cs="Arial"/>
        </w:rPr>
        <w:t>Osztalék előleg visszafizetése jogcímen is történhet fizetés, amely így értelemszerűen negatív előjellel szerepel az adatszolgáltatásban, más negatív előjelű adat azonban nem jelenthető.</w:t>
      </w:r>
    </w:p>
    <w:p w14:paraId="52FB2C13" w14:textId="77777777" w:rsidR="009A4C23" w:rsidRPr="00171DBE" w:rsidRDefault="00CE262B">
      <w:pPr>
        <w:spacing w:before="120"/>
        <w:jc w:val="both"/>
        <w:rPr>
          <w:rFonts w:ascii="Arial" w:hAnsi="Arial" w:cs="Arial"/>
        </w:rPr>
      </w:pPr>
      <w:smartTag w:uri="urn:schemas-microsoft-com:office:smarttags" w:element="metricconverter">
        <w:smartTagPr>
          <w:attr w:name="ProductID" w:val="6. A"/>
        </w:smartTagPr>
        <w:r w:rsidRPr="00171DBE">
          <w:rPr>
            <w:rFonts w:ascii="Arial" w:hAnsi="Arial" w:cs="Arial"/>
          </w:rPr>
          <w:t xml:space="preserve">6. </w:t>
        </w:r>
        <w:r w:rsidR="00722942" w:rsidRPr="00171DBE">
          <w:rPr>
            <w:rFonts w:ascii="Arial" w:hAnsi="Arial" w:cs="Arial"/>
          </w:rPr>
          <w:t>A</w:t>
        </w:r>
      </w:smartTag>
      <w:r w:rsidR="00722942" w:rsidRPr="00171DBE">
        <w:rPr>
          <w:rFonts w:ascii="Arial" w:hAnsi="Arial" w:cs="Arial"/>
        </w:rPr>
        <w:t xml:space="preserve"> partner, a letétkezelő, illetve a kibocsátó ISO országkódja oszlopban a 3. melléklet 4.2. pontja szerinti, az MNB honlapján közzétett technikai segédletben megadott ISO kódok alkalmazandók. </w:t>
      </w:r>
    </w:p>
    <w:p w14:paraId="08D6B0FE" w14:textId="77777777" w:rsidR="009A4C23" w:rsidRPr="00171DBE" w:rsidRDefault="00CE262B">
      <w:pPr>
        <w:spacing w:before="120"/>
        <w:jc w:val="both"/>
        <w:rPr>
          <w:rFonts w:ascii="Arial" w:hAnsi="Arial" w:cs="Arial"/>
        </w:rPr>
      </w:pPr>
      <w:smartTag w:uri="urn:schemas-microsoft-com:office:smarttags" w:element="metricconverter">
        <w:smartTagPr>
          <w:attr w:name="ProductID" w:val="7. A"/>
        </w:smartTagPr>
        <w:r w:rsidRPr="00171DBE">
          <w:rPr>
            <w:rFonts w:ascii="Arial" w:hAnsi="Arial" w:cs="Arial"/>
          </w:rPr>
          <w:t xml:space="preserve">7. </w:t>
        </w:r>
        <w:r w:rsidR="00722942" w:rsidRPr="00171DBE">
          <w:rPr>
            <w:rFonts w:ascii="Arial" w:hAnsi="Arial" w:cs="Arial"/>
          </w:rPr>
          <w:t>A</w:t>
        </w:r>
      </w:smartTag>
      <w:r w:rsidR="00722942" w:rsidRPr="00171DBE">
        <w:rPr>
          <w:rFonts w:ascii="Arial" w:hAnsi="Arial" w:cs="Arial"/>
        </w:rPr>
        <w:t xml:space="preserve"> devizanem, illetve a denomináció ISO kódját a 3. melléklet 4.1. pontja szerinti, az MNB honlapján közzétett technikai segédlet tartalmazza.</w:t>
      </w:r>
    </w:p>
    <w:p w14:paraId="2F50BCD1" w14:textId="77777777" w:rsidR="009A4C23" w:rsidRPr="00171DBE" w:rsidRDefault="00CE262B">
      <w:pPr>
        <w:spacing w:before="120"/>
        <w:jc w:val="both"/>
        <w:rPr>
          <w:rFonts w:ascii="Arial" w:hAnsi="Arial" w:cs="Arial"/>
        </w:rPr>
      </w:pPr>
      <w:smartTag w:uri="urn:schemas-microsoft-com:office:smarttags" w:element="metricconverter">
        <w:smartTagPr>
          <w:attr w:name="ProductID" w:val="8. A"/>
        </w:smartTagPr>
        <w:r w:rsidRPr="00171DBE">
          <w:rPr>
            <w:rFonts w:ascii="Arial" w:hAnsi="Arial" w:cs="Arial"/>
          </w:rPr>
          <w:t xml:space="preserve">8. </w:t>
        </w:r>
        <w:r w:rsidR="00722942" w:rsidRPr="00171DBE">
          <w:rPr>
            <w:rFonts w:ascii="Arial" w:hAnsi="Arial" w:cs="Arial"/>
          </w:rPr>
          <w:t>A</w:t>
        </w:r>
      </w:smartTag>
      <w:r w:rsidR="00722942" w:rsidRPr="00171DBE">
        <w:rPr>
          <w:rFonts w:ascii="Arial" w:hAnsi="Arial" w:cs="Arial"/>
        </w:rPr>
        <w:t xml:space="preserve"> táblák kitöltését segítő módszertani útmutatást, illetve a hibátlan beküldést elősegítő ellenőrzési szabályokat a 3. melléklet 9., illetve 5. pontja szerinti, az MNB honlapján közzétett technikai segédlet tartalmazza.</w:t>
      </w:r>
    </w:p>
    <w:p w14:paraId="47686EC6" w14:textId="77777777" w:rsidR="007B6FBA" w:rsidRPr="00171DBE" w:rsidRDefault="00722942" w:rsidP="00171DBE">
      <w:pPr>
        <w:spacing w:before="120" w:after="120"/>
        <w:jc w:val="both"/>
        <w:rPr>
          <w:rFonts w:ascii="Arial" w:hAnsi="Arial" w:cs="Arial"/>
          <w:b/>
        </w:rPr>
      </w:pPr>
      <w:r w:rsidRPr="00171DBE">
        <w:rPr>
          <w:rFonts w:ascii="Arial" w:hAnsi="Arial" w:cs="Arial"/>
          <w:b/>
        </w:rPr>
        <w:t>ERT1 tábla: Az adatszolgáltató befektetései rezidens és nem</w:t>
      </w:r>
      <w:r w:rsidR="00B04691" w:rsidRPr="00171DBE">
        <w:rPr>
          <w:rFonts w:ascii="Arial" w:hAnsi="Arial" w:cs="Arial"/>
          <w:b/>
        </w:rPr>
        <w:t>-</w:t>
      </w:r>
      <w:r w:rsidRPr="00171DBE">
        <w:rPr>
          <w:rFonts w:ascii="Arial" w:hAnsi="Arial" w:cs="Arial"/>
          <w:b/>
        </w:rPr>
        <w:t>rezidens értékpapírokba</w:t>
      </w:r>
    </w:p>
    <w:p w14:paraId="0C6E7B66" w14:textId="77777777" w:rsidR="007B6FBA" w:rsidRPr="00171DBE" w:rsidRDefault="00722942">
      <w:pPr>
        <w:pStyle w:val="Szvegtrzs3"/>
        <w:spacing w:after="0"/>
        <w:jc w:val="both"/>
        <w:rPr>
          <w:rFonts w:ascii="Arial" w:hAnsi="Arial" w:cs="Arial"/>
          <w:sz w:val="20"/>
          <w:szCs w:val="20"/>
        </w:rPr>
      </w:pPr>
      <w:r w:rsidRPr="00171DBE">
        <w:rPr>
          <w:rFonts w:ascii="Arial" w:hAnsi="Arial" w:cs="Arial"/>
          <w:sz w:val="20"/>
          <w:szCs w:val="20"/>
        </w:rPr>
        <w:t>A tábla az adatszolgáltató tulajdonában lévő, rezidensek és nem</w:t>
      </w:r>
      <w:r w:rsidR="00B04691" w:rsidRPr="00171DBE">
        <w:rPr>
          <w:rFonts w:ascii="Arial" w:hAnsi="Arial" w:cs="Arial"/>
          <w:sz w:val="20"/>
          <w:szCs w:val="20"/>
        </w:rPr>
        <w:t>-</w:t>
      </w:r>
      <w:r w:rsidRPr="00171DBE">
        <w:rPr>
          <w:rFonts w:ascii="Arial" w:hAnsi="Arial" w:cs="Arial"/>
          <w:sz w:val="20"/>
          <w:szCs w:val="20"/>
        </w:rPr>
        <w:t>rezidensek által (belföldön vagy külföldön) kibocsátott, nem letétkezelt, valamint külföldi (nem</w:t>
      </w:r>
      <w:r w:rsidR="00B04691" w:rsidRPr="00171DBE">
        <w:rPr>
          <w:rFonts w:ascii="Arial" w:hAnsi="Arial" w:cs="Arial"/>
          <w:sz w:val="20"/>
          <w:szCs w:val="20"/>
        </w:rPr>
        <w:t>-</w:t>
      </w:r>
      <w:r w:rsidRPr="00171DBE">
        <w:rPr>
          <w:rFonts w:ascii="Arial" w:hAnsi="Arial" w:cs="Arial"/>
          <w:sz w:val="20"/>
          <w:szCs w:val="20"/>
        </w:rPr>
        <w:t>rezidens) letétkezelőnél elhelyezett értékpapírok tárgyidőszak végi záró állományát tartalmazza. Nem jelentendők a rezidens letétkezelőknél akár letéti őrzésben, akár letétkezelésben, akár más célból elhelyezett értékpapírok.</w:t>
      </w:r>
    </w:p>
    <w:p w14:paraId="0580A6E4" w14:textId="77777777" w:rsidR="009A4C23" w:rsidRPr="00171DBE" w:rsidRDefault="00722942">
      <w:pPr>
        <w:pStyle w:val="Szvegtrzs3"/>
        <w:spacing w:before="120" w:after="0"/>
        <w:jc w:val="both"/>
        <w:rPr>
          <w:rFonts w:ascii="Arial" w:hAnsi="Arial" w:cs="Arial"/>
          <w:sz w:val="20"/>
          <w:szCs w:val="20"/>
        </w:rPr>
      </w:pPr>
      <w:r w:rsidRPr="00171DBE">
        <w:rPr>
          <w:rFonts w:ascii="Arial" w:hAnsi="Arial" w:cs="Arial"/>
          <w:sz w:val="20"/>
          <w:szCs w:val="20"/>
        </w:rPr>
        <w:t>Az adatszolgáltatóknak az általuk kibocsátott, saját tulajdonban lévő értékpapírjaikat nem ebben, hanem az ERT2 táblában kell jelenteniük.</w:t>
      </w:r>
    </w:p>
    <w:p w14:paraId="338F1A19" w14:textId="77777777" w:rsidR="007B6FBA" w:rsidRPr="00171DBE" w:rsidRDefault="00722942" w:rsidP="00171DBE">
      <w:pPr>
        <w:spacing w:before="120" w:after="120"/>
        <w:jc w:val="both"/>
        <w:rPr>
          <w:rFonts w:ascii="Arial" w:hAnsi="Arial" w:cs="Arial"/>
          <w:b/>
        </w:rPr>
      </w:pPr>
      <w:r w:rsidRPr="00171DBE">
        <w:rPr>
          <w:rFonts w:ascii="Arial" w:hAnsi="Arial" w:cs="Arial"/>
          <w:b/>
        </w:rPr>
        <w:t xml:space="preserve">ERT2 tábla: Az adatszolgáltató által kibocsátott értékpapírok </w:t>
      </w:r>
    </w:p>
    <w:p w14:paraId="13E8FD70" w14:textId="77777777" w:rsidR="007B6FBA" w:rsidRPr="00171DBE" w:rsidRDefault="00722942">
      <w:pPr>
        <w:jc w:val="both"/>
        <w:rPr>
          <w:rFonts w:ascii="Arial" w:hAnsi="Arial" w:cs="Arial"/>
          <w:b/>
        </w:rPr>
      </w:pPr>
      <w:r w:rsidRPr="00171DBE">
        <w:rPr>
          <w:rFonts w:ascii="Arial" w:hAnsi="Arial" w:cs="Arial"/>
        </w:rPr>
        <w:t>A táblában az adatszolgáltató által belföldi</w:t>
      </w:r>
      <w:r w:rsidR="00A33307">
        <w:rPr>
          <w:rFonts w:ascii="Arial" w:hAnsi="Arial" w:cs="Arial"/>
        </w:rPr>
        <w:t>,</w:t>
      </w:r>
      <w:r w:rsidRPr="00171DBE">
        <w:rPr>
          <w:rFonts w:ascii="Arial" w:hAnsi="Arial" w:cs="Arial"/>
        </w:rPr>
        <w:t xml:space="preserve"> illetve külföldi piacon kibocsátott valamennyi, még le nem járt (hitelviszonyt megtestesítő értékpapírok esetében), vagy véglegesen vissza nem vont (pl. tőkecsökkentés útján részvény esetében) értékpapírjának tárgyidőszak végi záró állományát kell jelenteni. </w:t>
      </w:r>
    </w:p>
    <w:p w14:paraId="6C4F68AF" w14:textId="77777777" w:rsidR="009A4C23" w:rsidRPr="00171DBE" w:rsidRDefault="00722942">
      <w:pPr>
        <w:spacing w:before="120"/>
        <w:jc w:val="both"/>
        <w:rPr>
          <w:rFonts w:ascii="Arial" w:hAnsi="Arial" w:cs="Arial"/>
        </w:rPr>
      </w:pPr>
      <w:r w:rsidRPr="00171DBE">
        <w:rPr>
          <w:rFonts w:ascii="Arial" w:hAnsi="Arial" w:cs="Arial"/>
        </w:rPr>
        <w:t xml:space="preserve">Az </w:t>
      </w:r>
      <w:r w:rsidRPr="00171DBE">
        <w:rPr>
          <w:rFonts w:ascii="Arial" w:hAnsi="Arial" w:cs="Arial"/>
          <w:b/>
        </w:rPr>
        <w:t>„</w:t>
      </w:r>
      <w:r w:rsidRPr="00171DBE">
        <w:rPr>
          <w:rFonts w:ascii="Arial" w:hAnsi="Arial" w:cs="Arial"/>
        </w:rPr>
        <w:t xml:space="preserve">Ebből saját tulajdonban lévő állomány” (e-h) oszlopokban kizárólag a kibocsátott mennyiség azon része jelentendő, amelyet a tárgyidőszak utolsó napján az adatszolgáltató birtokolt, mint visszavásárolt, esetleg még el nem adott, forgalomba nem hozott mennyiséget, </w:t>
      </w:r>
      <w:r w:rsidR="00F43C19" w:rsidRPr="00171DBE">
        <w:rPr>
          <w:rFonts w:ascii="Arial" w:hAnsi="Arial" w:cs="Arial"/>
        </w:rPr>
        <w:t>é</w:t>
      </w:r>
      <w:r w:rsidRPr="00171DBE">
        <w:rPr>
          <w:rFonts w:ascii="Arial" w:hAnsi="Arial" w:cs="Arial"/>
        </w:rPr>
        <w:t xml:space="preserve">s az nem letétkezelt, illetve külföldi letétkezelőnél található. </w:t>
      </w:r>
    </w:p>
    <w:p w14:paraId="3D6FE7DA" w14:textId="77777777" w:rsidR="007B6FBA" w:rsidRPr="00171DBE" w:rsidRDefault="007B6FBA">
      <w:pPr>
        <w:jc w:val="both"/>
        <w:rPr>
          <w:rFonts w:ascii="Arial" w:hAnsi="Arial" w:cs="Arial"/>
        </w:rPr>
      </w:pPr>
    </w:p>
    <w:sectPr w:rsidR="007B6FBA" w:rsidRPr="00171DBE" w:rsidSect="004C3774">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8DC0A" w14:textId="77777777" w:rsidR="00020D8C" w:rsidRDefault="00020D8C">
      <w:r>
        <w:separator/>
      </w:r>
    </w:p>
  </w:endnote>
  <w:endnote w:type="continuationSeparator" w:id="0">
    <w:p w14:paraId="2E4CB8D2" w14:textId="77777777" w:rsidR="00020D8C" w:rsidRDefault="00020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8FDEE" w14:textId="77777777" w:rsidR="00551527" w:rsidRDefault="00551527">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45927C83" w14:textId="77777777" w:rsidR="00551527" w:rsidRDefault="00551527">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72F24" w14:textId="77777777" w:rsidR="00551527" w:rsidRDefault="00551527">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69ED2" w14:textId="77777777" w:rsidR="00020D8C" w:rsidRDefault="00020D8C">
      <w:r>
        <w:separator/>
      </w:r>
    </w:p>
  </w:footnote>
  <w:footnote w:type="continuationSeparator" w:id="0">
    <w:p w14:paraId="2BC60DC5" w14:textId="77777777" w:rsidR="00020D8C" w:rsidRDefault="00020D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62AF6" w14:textId="77777777" w:rsidR="00551527" w:rsidRPr="00AB3DD9" w:rsidRDefault="00551527">
    <w:pPr>
      <w:pStyle w:val="lfej"/>
      <w:tabs>
        <w:tab w:val="left" w:pos="7905"/>
      </w:tabs>
      <w:rPr>
        <w:u w:val="single"/>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363CAE"/>
    <w:multiLevelType w:val="hybridMultilevel"/>
    <w:tmpl w:val="FF16A4A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E6B23FA"/>
    <w:multiLevelType w:val="multilevel"/>
    <w:tmpl w:val="B7ACBCCC"/>
    <w:lvl w:ilvl="0">
      <w:start w:val="1"/>
      <w:numFmt w:val="upperRoman"/>
      <w:lvlText w:val="%1."/>
      <w:lvlJc w:val="left"/>
      <w:pPr>
        <w:tabs>
          <w:tab w:val="num" w:pos="720"/>
        </w:tabs>
        <w:ind w:left="720" w:hanging="720"/>
      </w:pPr>
      <w:rPr>
        <w:rFonts w:hint="default"/>
        <w:b/>
      </w:rPr>
    </w:lvl>
    <w:lvl w:ilvl="1">
      <w:start w:val="5"/>
      <w:numFmt w:val="decimal"/>
      <w:isLgl/>
      <w:lvlText w:val="%1.%2."/>
      <w:lvlJc w:val="left"/>
      <w:pPr>
        <w:tabs>
          <w:tab w:val="num" w:pos="780"/>
        </w:tabs>
        <w:ind w:left="780" w:hanging="720"/>
      </w:pPr>
      <w:rPr>
        <w:rFonts w:hint="default"/>
      </w:rPr>
    </w:lvl>
    <w:lvl w:ilvl="2">
      <w:start w:val="1"/>
      <w:numFmt w:val="decimal"/>
      <w:isLgl/>
      <w:lvlText w:val="%1.%2.%3."/>
      <w:lvlJc w:val="left"/>
      <w:pPr>
        <w:tabs>
          <w:tab w:val="num" w:pos="840"/>
        </w:tabs>
        <w:ind w:left="84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320"/>
        </w:tabs>
        <w:ind w:left="1320" w:hanging="1080"/>
      </w:pPr>
      <w:rPr>
        <w:rFonts w:hint="default"/>
      </w:rPr>
    </w:lvl>
    <w:lvl w:ilvl="5">
      <w:start w:val="1"/>
      <w:numFmt w:val="decimal"/>
      <w:isLgl/>
      <w:lvlText w:val="%1.%2.%3.%4.%5.%6."/>
      <w:lvlJc w:val="left"/>
      <w:pPr>
        <w:tabs>
          <w:tab w:val="num" w:pos="1740"/>
        </w:tabs>
        <w:ind w:left="174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220"/>
        </w:tabs>
        <w:ind w:left="2220" w:hanging="1800"/>
      </w:pPr>
      <w:rPr>
        <w:rFonts w:hint="default"/>
      </w:rPr>
    </w:lvl>
    <w:lvl w:ilvl="8">
      <w:start w:val="1"/>
      <w:numFmt w:val="decimal"/>
      <w:isLgl/>
      <w:lvlText w:val="%1.%2.%3.%4.%5.%6.%7.%8.%9."/>
      <w:lvlJc w:val="left"/>
      <w:pPr>
        <w:tabs>
          <w:tab w:val="num" w:pos="2640"/>
        </w:tabs>
        <w:ind w:left="2640" w:hanging="2160"/>
      </w:pPr>
      <w:rPr>
        <w:rFonts w:hint="default"/>
      </w:rPr>
    </w:lvl>
  </w:abstractNum>
  <w:num w:numId="1" w16cid:durableId="776369867">
    <w:abstractNumId w:val="1"/>
  </w:num>
  <w:num w:numId="2" w16cid:durableId="194996640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77B50"/>
    <w:rsid w:val="00020D8C"/>
    <w:rsid w:val="00032724"/>
    <w:rsid w:val="00034FC0"/>
    <w:rsid w:val="000366A0"/>
    <w:rsid w:val="000501D6"/>
    <w:rsid w:val="000729C3"/>
    <w:rsid w:val="000815E2"/>
    <w:rsid w:val="000969C4"/>
    <w:rsid w:val="0009791F"/>
    <w:rsid w:val="000B50E9"/>
    <w:rsid w:val="000C59EB"/>
    <w:rsid w:val="000D07F8"/>
    <w:rsid w:val="000E38F6"/>
    <w:rsid w:val="000E54FB"/>
    <w:rsid w:val="000F53EC"/>
    <w:rsid w:val="00113D11"/>
    <w:rsid w:val="001179A8"/>
    <w:rsid w:val="00146F50"/>
    <w:rsid w:val="001608FF"/>
    <w:rsid w:val="001618F6"/>
    <w:rsid w:val="0017187E"/>
    <w:rsid w:val="00171DBE"/>
    <w:rsid w:val="00176DE8"/>
    <w:rsid w:val="00182386"/>
    <w:rsid w:val="00187B62"/>
    <w:rsid w:val="00192852"/>
    <w:rsid w:val="00194375"/>
    <w:rsid w:val="001B08D0"/>
    <w:rsid w:val="001B3830"/>
    <w:rsid w:val="001C7A5A"/>
    <w:rsid w:val="002050A1"/>
    <w:rsid w:val="00206999"/>
    <w:rsid w:val="00247782"/>
    <w:rsid w:val="00253668"/>
    <w:rsid w:val="0025772A"/>
    <w:rsid w:val="00262CB9"/>
    <w:rsid w:val="00276AB3"/>
    <w:rsid w:val="00290263"/>
    <w:rsid w:val="002971AE"/>
    <w:rsid w:val="002B5C36"/>
    <w:rsid w:val="002D07D9"/>
    <w:rsid w:val="002D0FF7"/>
    <w:rsid w:val="002E0A2F"/>
    <w:rsid w:val="003174F7"/>
    <w:rsid w:val="0032052C"/>
    <w:rsid w:val="003427D2"/>
    <w:rsid w:val="003643DD"/>
    <w:rsid w:val="00372284"/>
    <w:rsid w:val="00375EE9"/>
    <w:rsid w:val="00381AD9"/>
    <w:rsid w:val="003A7F96"/>
    <w:rsid w:val="003B10BA"/>
    <w:rsid w:val="003C6AED"/>
    <w:rsid w:val="003D0BE1"/>
    <w:rsid w:val="003D2E0C"/>
    <w:rsid w:val="003F3E40"/>
    <w:rsid w:val="00400DDE"/>
    <w:rsid w:val="00405A1F"/>
    <w:rsid w:val="004339DF"/>
    <w:rsid w:val="00433C75"/>
    <w:rsid w:val="00485986"/>
    <w:rsid w:val="00490B72"/>
    <w:rsid w:val="004A0C99"/>
    <w:rsid w:val="004B4A75"/>
    <w:rsid w:val="004C104F"/>
    <w:rsid w:val="004C3774"/>
    <w:rsid w:val="004E085C"/>
    <w:rsid w:val="004E55A5"/>
    <w:rsid w:val="004F307F"/>
    <w:rsid w:val="00512B08"/>
    <w:rsid w:val="00533EA2"/>
    <w:rsid w:val="00534F8E"/>
    <w:rsid w:val="00536DA3"/>
    <w:rsid w:val="0054056D"/>
    <w:rsid w:val="00541923"/>
    <w:rsid w:val="00551527"/>
    <w:rsid w:val="0056691A"/>
    <w:rsid w:val="005932F3"/>
    <w:rsid w:val="00594187"/>
    <w:rsid w:val="005964A5"/>
    <w:rsid w:val="00597AD9"/>
    <w:rsid w:val="005B4A82"/>
    <w:rsid w:val="005D12CE"/>
    <w:rsid w:val="005E5356"/>
    <w:rsid w:val="006104C5"/>
    <w:rsid w:val="00616A37"/>
    <w:rsid w:val="0062678E"/>
    <w:rsid w:val="0062781A"/>
    <w:rsid w:val="00636476"/>
    <w:rsid w:val="00641B42"/>
    <w:rsid w:val="00661A47"/>
    <w:rsid w:val="00664AD8"/>
    <w:rsid w:val="00671985"/>
    <w:rsid w:val="006C457F"/>
    <w:rsid w:val="007221E1"/>
    <w:rsid w:val="00722942"/>
    <w:rsid w:val="00723307"/>
    <w:rsid w:val="00724605"/>
    <w:rsid w:val="00735E16"/>
    <w:rsid w:val="00736809"/>
    <w:rsid w:val="007433AE"/>
    <w:rsid w:val="00754469"/>
    <w:rsid w:val="007555FE"/>
    <w:rsid w:val="007602BB"/>
    <w:rsid w:val="00765072"/>
    <w:rsid w:val="0079046B"/>
    <w:rsid w:val="00795112"/>
    <w:rsid w:val="007B6FBA"/>
    <w:rsid w:val="007D6545"/>
    <w:rsid w:val="007D7DE7"/>
    <w:rsid w:val="007F0FE3"/>
    <w:rsid w:val="007F2DFE"/>
    <w:rsid w:val="00800879"/>
    <w:rsid w:val="00832FFB"/>
    <w:rsid w:val="00853A1C"/>
    <w:rsid w:val="008705C2"/>
    <w:rsid w:val="00870D85"/>
    <w:rsid w:val="00877B50"/>
    <w:rsid w:val="00883855"/>
    <w:rsid w:val="008B55CC"/>
    <w:rsid w:val="008D38D2"/>
    <w:rsid w:val="009229E3"/>
    <w:rsid w:val="009252D5"/>
    <w:rsid w:val="00943343"/>
    <w:rsid w:val="0098381A"/>
    <w:rsid w:val="00985533"/>
    <w:rsid w:val="00990EAE"/>
    <w:rsid w:val="009942A8"/>
    <w:rsid w:val="009A4C23"/>
    <w:rsid w:val="009D3CE3"/>
    <w:rsid w:val="009D4D2C"/>
    <w:rsid w:val="009E5CB9"/>
    <w:rsid w:val="009F6E11"/>
    <w:rsid w:val="00A07D8B"/>
    <w:rsid w:val="00A132E8"/>
    <w:rsid w:val="00A33307"/>
    <w:rsid w:val="00A352B5"/>
    <w:rsid w:val="00A41548"/>
    <w:rsid w:val="00A963C5"/>
    <w:rsid w:val="00AE5420"/>
    <w:rsid w:val="00AF3FAD"/>
    <w:rsid w:val="00B04691"/>
    <w:rsid w:val="00B139FE"/>
    <w:rsid w:val="00B2664B"/>
    <w:rsid w:val="00B31923"/>
    <w:rsid w:val="00B45D01"/>
    <w:rsid w:val="00B60488"/>
    <w:rsid w:val="00B8057B"/>
    <w:rsid w:val="00B923DC"/>
    <w:rsid w:val="00BA4168"/>
    <w:rsid w:val="00BB5044"/>
    <w:rsid w:val="00BB5A97"/>
    <w:rsid w:val="00BC6422"/>
    <w:rsid w:val="00BD5CC8"/>
    <w:rsid w:val="00BE16D1"/>
    <w:rsid w:val="00BE4F74"/>
    <w:rsid w:val="00BF6B54"/>
    <w:rsid w:val="00C05099"/>
    <w:rsid w:val="00C4117B"/>
    <w:rsid w:val="00C77874"/>
    <w:rsid w:val="00C94E8C"/>
    <w:rsid w:val="00CB66ED"/>
    <w:rsid w:val="00CC53B4"/>
    <w:rsid w:val="00CC5BE8"/>
    <w:rsid w:val="00CD0658"/>
    <w:rsid w:val="00CD0B58"/>
    <w:rsid w:val="00CE262B"/>
    <w:rsid w:val="00CE68BF"/>
    <w:rsid w:val="00CF465A"/>
    <w:rsid w:val="00CF53E7"/>
    <w:rsid w:val="00D02848"/>
    <w:rsid w:val="00D25035"/>
    <w:rsid w:val="00D42359"/>
    <w:rsid w:val="00D56EFD"/>
    <w:rsid w:val="00D7741C"/>
    <w:rsid w:val="00D83E08"/>
    <w:rsid w:val="00D95671"/>
    <w:rsid w:val="00D95926"/>
    <w:rsid w:val="00DB31FE"/>
    <w:rsid w:val="00DC7883"/>
    <w:rsid w:val="00DE0D9D"/>
    <w:rsid w:val="00DE7DB5"/>
    <w:rsid w:val="00DF5E60"/>
    <w:rsid w:val="00E077DD"/>
    <w:rsid w:val="00E13FC3"/>
    <w:rsid w:val="00E2078B"/>
    <w:rsid w:val="00E47FEC"/>
    <w:rsid w:val="00E70050"/>
    <w:rsid w:val="00E827E3"/>
    <w:rsid w:val="00E83481"/>
    <w:rsid w:val="00E8649F"/>
    <w:rsid w:val="00EC746B"/>
    <w:rsid w:val="00F00375"/>
    <w:rsid w:val="00F16692"/>
    <w:rsid w:val="00F3359F"/>
    <w:rsid w:val="00F341B4"/>
    <w:rsid w:val="00F41429"/>
    <w:rsid w:val="00F43C19"/>
    <w:rsid w:val="00F466CC"/>
    <w:rsid w:val="00F545F1"/>
    <w:rsid w:val="00F659A8"/>
    <w:rsid w:val="00F90ABD"/>
    <w:rsid w:val="00F97846"/>
    <w:rsid w:val="00FE04F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E63A41F"/>
  <w15:chartTrackingRefBased/>
  <w15:docId w15:val="{9F647956-E69F-4506-B163-AA4B6070C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C3774"/>
  </w:style>
  <w:style w:type="paragraph" w:styleId="Cmsor1">
    <w:name w:val="heading 1"/>
    <w:basedOn w:val="Norml"/>
    <w:next w:val="Norml"/>
    <w:qFormat/>
    <w:rsid w:val="004C3774"/>
    <w:pPr>
      <w:keepNext/>
      <w:spacing w:before="240" w:after="60"/>
      <w:outlineLvl w:val="0"/>
    </w:pPr>
    <w:rPr>
      <w:rFonts w:ascii="Arial" w:hAnsi="Arial" w:cs="Arial"/>
      <w:b/>
      <w:bCs/>
      <w:kern w:val="32"/>
      <w:sz w:val="32"/>
      <w:szCs w:val="32"/>
    </w:rPr>
  </w:style>
  <w:style w:type="paragraph" w:styleId="Cmsor2">
    <w:name w:val="heading 2"/>
    <w:basedOn w:val="Norml"/>
    <w:next w:val="Norml"/>
    <w:qFormat/>
    <w:rsid w:val="004C3774"/>
    <w:pPr>
      <w:keepNext/>
      <w:spacing w:before="240" w:after="60"/>
      <w:outlineLvl w:val="1"/>
    </w:pPr>
    <w:rPr>
      <w:rFonts w:ascii="Arial" w:hAnsi="Arial" w:cs="Arial"/>
      <w:b/>
      <w:bCs/>
      <w:i/>
      <w:iCs/>
      <w:sz w:val="28"/>
      <w:szCs w:val="28"/>
    </w:rPr>
  </w:style>
  <w:style w:type="paragraph" w:styleId="Cmsor3">
    <w:name w:val="heading 3"/>
    <w:basedOn w:val="Norml"/>
    <w:next w:val="Norml"/>
    <w:qFormat/>
    <w:rsid w:val="004C3774"/>
    <w:pPr>
      <w:keepNext/>
      <w:spacing w:before="240" w:after="60"/>
      <w:outlineLvl w:val="2"/>
    </w:pPr>
    <w:rPr>
      <w:rFonts w:ascii="Arial" w:hAnsi="Arial" w:cs="Arial"/>
      <w:b/>
      <w:bCs/>
      <w:sz w:val="26"/>
      <w:szCs w:val="26"/>
    </w:rPr>
  </w:style>
  <w:style w:type="paragraph" w:styleId="Cmsor4">
    <w:name w:val="heading 4"/>
    <w:basedOn w:val="Norml"/>
    <w:next w:val="Norml"/>
    <w:qFormat/>
    <w:rsid w:val="004C3774"/>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semiHidden/>
    <w:rsid w:val="004C3774"/>
    <w:rPr>
      <w:vertAlign w:val="superscript"/>
    </w:rPr>
  </w:style>
  <w:style w:type="paragraph" w:styleId="Szvegblokk">
    <w:name w:val="Block Text"/>
    <w:basedOn w:val="Norml"/>
    <w:rsid w:val="004C3774"/>
    <w:pPr>
      <w:spacing w:before="120"/>
      <w:ind w:left="283" w:right="562"/>
      <w:jc w:val="both"/>
    </w:pPr>
    <w:rPr>
      <w:sz w:val="24"/>
    </w:rPr>
  </w:style>
  <w:style w:type="paragraph" w:styleId="Lbjegyzetszveg">
    <w:name w:val="footnote text"/>
    <w:basedOn w:val="Norml"/>
    <w:semiHidden/>
    <w:rsid w:val="004C3774"/>
  </w:style>
  <w:style w:type="paragraph" w:styleId="Buborkszveg">
    <w:name w:val="Balloon Text"/>
    <w:basedOn w:val="Norml"/>
    <w:semiHidden/>
    <w:rsid w:val="004C3774"/>
    <w:rPr>
      <w:rFonts w:ascii="Tahoma" w:hAnsi="Tahoma" w:cs="Tahoma"/>
      <w:sz w:val="16"/>
      <w:szCs w:val="16"/>
    </w:rPr>
  </w:style>
  <w:style w:type="paragraph" w:styleId="llb">
    <w:name w:val="footer"/>
    <w:basedOn w:val="Norml"/>
    <w:rsid w:val="004C3774"/>
    <w:pPr>
      <w:tabs>
        <w:tab w:val="center" w:pos="4536"/>
        <w:tab w:val="right" w:pos="9072"/>
      </w:tabs>
    </w:pPr>
  </w:style>
  <w:style w:type="character" w:styleId="Oldalszm">
    <w:name w:val="page number"/>
    <w:basedOn w:val="Bekezdsalapbettpusa"/>
    <w:rsid w:val="004C3774"/>
  </w:style>
  <w:style w:type="paragraph" w:styleId="Szvegtrzs">
    <w:name w:val="Body Text"/>
    <w:basedOn w:val="Norml"/>
    <w:rsid w:val="004C3774"/>
    <w:pPr>
      <w:spacing w:before="60"/>
      <w:jc w:val="both"/>
    </w:pPr>
    <w:rPr>
      <w:sz w:val="24"/>
    </w:rPr>
  </w:style>
  <w:style w:type="paragraph" w:styleId="Szvegtrzs2">
    <w:name w:val="Body Text 2"/>
    <w:basedOn w:val="Norml"/>
    <w:rsid w:val="004C3774"/>
    <w:pPr>
      <w:spacing w:after="120" w:line="480" w:lineRule="auto"/>
    </w:pPr>
  </w:style>
  <w:style w:type="paragraph" w:styleId="TJ1">
    <w:name w:val="toc 1"/>
    <w:basedOn w:val="Norml"/>
    <w:next w:val="Norml"/>
    <w:autoRedefine/>
    <w:semiHidden/>
    <w:rsid w:val="004C3774"/>
    <w:pPr>
      <w:spacing w:before="120" w:after="120"/>
    </w:pPr>
    <w:rPr>
      <w:b/>
      <w:bCs/>
      <w:caps/>
    </w:rPr>
  </w:style>
  <w:style w:type="paragraph" w:styleId="TJ2">
    <w:name w:val="toc 2"/>
    <w:basedOn w:val="Norml"/>
    <w:next w:val="Norml"/>
    <w:autoRedefine/>
    <w:semiHidden/>
    <w:rsid w:val="004C3774"/>
    <w:pPr>
      <w:ind w:left="200"/>
    </w:pPr>
    <w:rPr>
      <w:smallCaps/>
    </w:rPr>
  </w:style>
  <w:style w:type="character" w:styleId="Hiperhivatkozs">
    <w:name w:val="Hyperlink"/>
    <w:rsid w:val="004C3774"/>
    <w:rPr>
      <w:color w:val="0000FF"/>
      <w:u w:val="single"/>
    </w:rPr>
  </w:style>
  <w:style w:type="paragraph" w:customStyle="1" w:styleId="Hivatkozs">
    <w:name w:val="Hivatkozás"/>
    <w:basedOn w:val="Norml"/>
    <w:rsid w:val="004C3774"/>
    <w:pPr>
      <w:spacing w:before="120"/>
      <w:jc w:val="both"/>
    </w:pPr>
    <w:rPr>
      <w:sz w:val="24"/>
    </w:rPr>
  </w:style>
  <w:style w:type="paragraph" w:styleId="TJ3">
    <w:name w:val="toc 3"/>
    <w:basedOn w:val="Norml"/>
    <w:next w:val="Norml"/>
    <w:autoRedefine/>
    <w:semiHidden/>
    <w:rsid w:val="004C3774"/>
    <w:pPr>
      <w:ind w:left="400"/>
    </w:pPr>
    <w:rPr>
      <w:i/>
      <w:iCs/>
    </w:rPr>
  </w:style>
  <w:style w:type="paragraph" w:styleId="lfej">
    <w:name w:val="header"/>
    <w:basedOn w:val="Norml"/>
    <w:rsid w:val="004C3774"/>
    <w:pPr>
      <w:tabs>
        <w:tab w:val="center" w:pos="4536"/>
        <w:tab w:val="right" w:pos="9072"/>
      </w:tabs>
    </w:pPr>
  </w:style>
  <w:style w:type="paragraph" w:styleId="Szvegtrzs3">
    <w:name w:val="Body Text 3"/>
    <w:basedOn w:val="Norml"/>
    <w:rsid w:val="004C3774"/>
    <w:pPr>
      <w:spacing w:after="120"/>
    </w:pPr>
    <w:rPr>
      <w:sz w:val="16"/>
      <w:szCs w:val="16"/>
    </w:rPr>
  </w:style>
  <w:style w:type="table" w:styleId="Rcsostblzat">
    <w:name w:val="Table Grid"/>
    <w:basedOn w:val="Normltblzat"/>
    <w:rsid w:val="004C37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rsid w:val="004C3774"/>
    <w:rPr>
      <w:color w:val="800080"/>
      <w:u w:val="single"/>
    </w:rPr>
  </w:style>
  <w:style w:type="character" w:styleId="Jegyzethivatkozs">
    <w:name w:val="annotation reference"/>
    <w:semiHidden/>
    <w:rsid w:val="004C3774"/>
    <w:rPr>
      <w:sz w:val="16"/>
      <w:szCs w:val="16"/>
    </w:rPr>
  </w:style>
  <w:style w:type="paragraph" w:styleId="Jegyzetszveg">
    <w:name w:val="annotation text"/>
    <w:basedOn w:val="Norml"/>
    <w:semiHidden/>
    <w:rsid w:val="004C3774"/>
  </w:style>
  <w:style w:type="paragraph" w:styleId="Megjegyzstrgya">
    <w:name w:val="annotation subject"/>
    <w:basedOn w:val="Jegyzetszveg"/>
    <w:next w:val="Jegyzetszveg"/>
    <w:semiHidden/>
    <w:rsid w:val="004C3774"/>
    <w:rPr>
      <w:b/>
      <w:bCs/>
    </w:rPr>
  </w:style>
  <w:style w:type="paragraph" w:styleId="Vltozat">
    <w:name w:val="Revision"/>
    <w:hidden/>
    <w:uiPriority w:val="99"/>
    <w:semiHidden/>
    <w:rsid w:val="007246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84643">
      <w:bodyDiv w:val="1"/>
      <w:marLeft w:val="0"/>
      <w:marRight w:val="0"/>
      <w:marTop w:val="0"/>
      <w:marBottom w:val="0"/>
      <w:divBdr>
        <w:top w:val="none" w:sz="0" w:space="0" w:color="auto"/>
        <w:left w:val="none" w:sz="0" w:space="0" w:color="auto"/>
        <w:bottom w:val="none" w:sz="0" w:space="0" w:color="auto"/>
        <w:right w:val="none" w:sz="0" w:space="0" w:color="auto"/>
      </w:divBdr>
    </w:div>
    <w:div w:id="755518823">
      <w:bodyDiv w:val="1"/>
      <w:marLeft w:val="0"/>
      <w:marRight w:val="0"/>
      <w:marTop w:val="0"/>
      <w:marBottom w:val="0"/>
      <w:divBdr>
        <w:top w:val="none" w:sz="0" w:space="0" w:color="auto"/>
        <w:left w:val="none" w:sz="0" w:space="0" w:color="auto"/>
        <w:bottom w:val="none" w:sz="0" w:space="0" w:color="auto"/>
        <w:right w:val="none" w:sz="0" w:space="0" w:color="auto"/>
      </w:divBdr>
    </w:div>
    <w:div w:id="186432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832</Words>
  <Characters>5747</Characters>
  <Application>Microsoft Office Word</Application>
  <DocSecurity>0</DocSecurity>
  <Lines>47</Lines>
  <Paragraphs>13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adatgyűjtés azonosító:…</vt:lpstr>
      <vt:lpstr>MNB adatgyűjtés azonosító:…</vt:lpstr>
    </vt:vector>
  </TitlesOfParts>
  <Company>Magyar Nemzeti Bank</Company>
  <LinksUpToDate>false</LinksUpToDate>
  <CharactersWithSpaces>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dc:title>
  <dc:subject/>
  <dc:creator>Uriné Müller Veronika</dc:creator>
  <cp:keywords/>
  <cp:lastModifiedBy>STA</cp:lastModifiedBy>
  <cp:revision>4</cp:revision>
  <cp:lastPrinted>2006-01-23T13:09:00Z</cp:lastPrinted>
  <dcterms:created xsi:type="dcterms:W3CDTF">2018-09-26T14:07:00Z</dcterms:created>
  <dcterms:modified xsi:type="dcterms:W3CDTF">2024-10-13T15:01:00Z</dcterms:modified>
</cp:coreProperties>
</file>