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7E644BFD" w:rsidR="003C0157" w:rsidRPr="00E93DDD" w:rsidRDefault="0044612A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20</w:t>
      </w:r>
      <w:r w:rsidR="003C0157">
        <w:rPr>
          <w:rFonts w:ascii="Arial" w:eastAsia="Times New Roman" w:hAnsi="Arial" w:cs="Arial"/>
        </w:rPr>
        <w:t>. melléklet a</w:t>
      </w:r>
      <w:r w:rsidR="003334B7">
        <w:rPr>
          <w:rFonts w:ascii="Arial" w:eastAsia="Times New Roman" w:hAnsi="Arial" w:cs="Arial"/>
        </w:rPr>
        <w:t>z 55</w:t>
      </w:r>
      <w:r w:rsidR="003C0157">
        <w:rPr>
          <w:rFonts w:ascii="Arial" w:hAnsi="Arial" w:cs="Arial"/>
        </w:rPr>
        <w:t>/202</w:t>
      </w:r>
      <w:r w:rsidR="00501E55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</w:t>
      </w:r>
      <w:r w:rsidR="003334B7">
        <w:rPr>
          <w:rFonts w:ascii="Arial" w:hAnsi="Arial" w:cs="Arial"/>
        </w:rPr>
        <w:t>XII. 3.</w:t>
      </w:r>
      <w:r w:rsidR="003C0157">
        <w:rPr>
          <w:rFonts w:ascii="Arial" w:hAnsi="Arial" w:cs="Arial"/>
        </w:rPr>
        <w:t>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111DEE1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0" w:name="_Hlk76379156"/>
      <w:r w:rsidR="005E59E5">
        <w:rPr>
          <w:rFonts w:ascii="Arial" w:eastAsia="Times New Roman" w:hAnsi="Arial" w:cs="Arial"/>
          <w:b/>
        </w:rPr>
        <w:t>hitelintézet</w:t>
      </w:r>
      <w:bookmarkEnd w:id="0"/>
      <w:r w:rsidR="007A3CF5">
        <w:rPr>
          <w:rFonts w:ascii="Arial" w:eastAsia="Times New Roman" w:hAnsi="Arial" w:cs="Arial"/>
          <w:b/>
        </w:rPr>
        <w:t xml:space="preserve"> PEPP</w:t>
      </w:r>
      <w:r w:rsidRPr="006249CC">
        <w:rPr>
          <w:rFonts w:ascii="Arial" w:eastAsia="Times New Roman" w:hAnsi="Arial" w:cs="Arial"/>
          <w:b/>
        </w:rPr>
        <w:t xml:space="preserve"> szöveges </w:t>
      </w:r>
      <w:r>
        <w:rPr>
          <w:rFonts w:ascii="Arial" w:eastAsia="Times New Roman" w:hAnsi="Arial" w:cs="Arial"/>
          <w:b/>
        </w:rPr>
        <w:t xml:space="preserve">felügyeleti </w:t>
      </w:r>
      <w:r w:rsidRPr="006249CC">
        <w:rPr>
          <w:rFonts w:ascii="Arial" w:eastAsia="Times New Roman" w:hAnsi="Arial" w:cs="Arial"/>
          <w:b/>
        </w:rPr>
        <w:t>jelentés</w:t>
      </w:r>
      <w:r w:rsidR="007A3CF5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6C697D7C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7A3CF5">
        <w:rPr>
          <w:rFonts w:ascii="Arial" w:hAnsi="Arial" w:cs="Arial"/>
          <w:b/>
        </w:rPr>
        <w:t xml:space="preserve">PEPP szöveges </w:t>
      </w:r>
      <w:r w:rsidRPr="00E93DDD">
        <w:rPr>
          <w:rFonts w:ascii="Arial" w:hAnsi="Arial" w:cs="Arial"/>
          <w:b/>
        </w:rPr>
        <w:t>jelentésre vonatkozó általános szabályok</w:t>
      </w:r>
    </w:p>
    <w:p w14:paraId="5B86FE15" w14:textId="77777777" w:rsidR="003C0157" w:rsidRPr="00022098" w:rsidRDefault="003C0157" w:rsidP="00022098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77777777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00EACFBB" w14:textId="1F97EF1A" w:rsidR="00341F27" w:rsidRPr="00341F27" w:rsidRDefault="00341F27" w:rsidP="00341F27">
      <w:pPr>
        <w:spacing w:before="120" w:after="0" w:line="240" w:lineRule="auto"/>
        <w:rPr>
          <w:rFonts w:ascii="Arial" w:eastAsia="Times New Roman" w:hAnsi="Arial" w:cs="Arial"/>
        </w:rPr>
      </w:pPr>
      <w:r w:rsidRPr="00341F27">
        <w:rPr>
          <w:rFonts w:ascii="Arial" w:eastAsia="Times New Roman" w:hAnsi="Arial" w:cs="Arial"/>
        </w:rPr>
        <w:t xml:space="preserve">A </w:t>
      </w:r>
      <w:r w:rsidR="007A3CF5">
        <w:rPr>
          <w:rFonts w:ascii="Arial" w:eastAsia="Times New Roman" w:hAnsi="Arial" w:cs="Arial"/>
        </w:rPr>
        <w:t xml:space="preserve">PEPP szöveges </w:t>
      </w:r>
      <w:r w:rsidRPr="00341F27">
        <w:rPr>
          <w:rFonts w:ascii="Arial" w:eastAsia="Times New Roman" w:hAnsi="Arial" w:cs="Arial"/>
        </w:rPr>
        <w:t>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1085658C" w14:textId="017A81A1" w:rsidR="003C0157" w:rsidRPr="00E93DDD" w:rsidRDefault="003C0157" w:rsidP="00341F2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r w:rsidR="007A3CF5">
        <w:rPr>
          <w:rFonts w:ascii="Arial" w:eastAsia="Times New Roman" w:hAnsi="Arial" w:cs="Arial"/>
          <w:b/>
        </w:rPr>
        <w:t xml:space="preserve">PEPP szöveges </w:t>
      </w:r>
      <w:r w:rsidRPr="00E93DDD">
        <w:rPr>
          <w:rFonts w:ascii="Arial" w:eastAsia="Times New Roman" w:hAnsi="Arial" w:cs="Arial"/>
          <w:b/>
        </w:rPr>
        <w:t>jelentés formai követelményei</w:t>
      </w:r>
    </w:p>
    <w:p w14:paraId="68955704" w14:textId="1CCB0EC8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r w:rsidR="007A3CF5">
        <w:rPr>
          <w:rFonts w:ascii="Arial" w:eastAsia="Times New Roman" w:hAnsi="Arial" w:cs="Arial"/>
          <w:snapToGrid w:val="0"/>
        </w:rPr>
        <w:t xml:space="preserve">PEPP szöveges </w:t>
      </w:r>
      <w:r w:rsidRPr="00E93DDD">
        <w:rPr>
          <w:rFonts w:ascii="Arial" w:eastAsia="Times New Roman" w:hAnsi="Arial" w:cs="Arial"/>
          <w:snapToGrid w:val="0"/>
        </w:rPr>
        <w:t xml:space="preserve">jelentés formai követelményeit az 1. melléklet </w:t>
      </w:r>
      <w:r w:rsidR="00AC21CE" w:rsidRPr="00E93DDD">
        <w:rPr>
          <w:rFonts w:ascii="Arial" w:eastAsia="Times New Roman" w:hAnsi="Arial" w:cs="Arial"/>
        </w:rPr>
        <w:t>4. pontja határozza meg</w:t>
      </w:r>
      <w:r w:rsidRPr="00E93DDD">
        <w:rPr>
          <w:rFonts w:ascii="Arial" w:eastAsia="Times New Roman" w:hAnsi="Arial" w:cs="Arial"/>
          <w:snapToGrid w:val="0"/>
        </w:rPr>
        <w:t>.</w:t>
      </w:r>
    </w:p>
    <w:p w14:paraId="44382645" w14:textId="6817A620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r w:rsidR="007A3CF5">
        <w:rPr>
          <w:rFonts w:ascii="Arial" w:eastAsia="Times New Roman" w:hAnsi="Arial" w:cs="Arial"/>
          <w:b/>
        </w:rPr>
        <w:t xml:space="preserve">PEPP szöveges </w:t>
      </w:r>
      <w:r w:rsidRPr="00E93DDD">
        <w:rPr>
          <w:rFonts w:ascii="Arial" w:eastAsia="Times New Roman" w:hAnsi="Arial" w:cs="Arial"/>
          <w:b/>
        </w:rPr>
        <w:t>jelentés tartalmi követelményei</w:t>
      </w:r>
    </w:p>
    <w:p w14:paraId="3920FB89" w14:textId="676FC4DF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7A3CF5">
        <w:rPr>
          <w:rFonts w:ascii="Arial" w:eastAsia="Times New Roman" w:hAnsi="Arial" w:cs="Arial"/>
        </w:rPr>
        <w:t xml:space="preserve">PEPP szöveges </w:t>
      </w:r>
      <w:r w:rsidRPr="00E93DDD">
        <w:rPr>
          <w:rFonts w:ascii="Arial" w:eastAsia="Times New Roman" w:hAnsi="Arial" w:cs="Arial"/>
        </w:rPr>
        <w:t xml:space="preserve">jelentés tartalmi követelményeit az 1. melléklet </w:t>
      </w:r>
      <w:r w:rsidR="00A03391">
        <w:rPr>
          <w:rFonts w:ascii="Arial" w:eastAsia="Times New Roman" w:hAnsi="Arial" w:cs="Arial"/>
        </w:rPr>
        <w:t>5</w:t>
      </w:r>
      <w:r w:rsidRPr="00E93DDD">
        <w:rPr>
          <w:rFonts w:ascii="Arial" w:eastAsia="Times New Roman" w:hAnsi="Arial" w:cs="Arial"/>
        </w:rPr>
        <w:t>. pontja határozza meg.</w:t>
      </w:r>
    </w:p>
    <w:p w14:paraId="0DD77C96" w14:textId="77777777" w:rsidR="00022098" w:rsidRPr="006249CC" w:rsidRDefault="00022098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A1AB4BB" w14:textId="77777777" w:rsidR="007A3CF5" w:rsidRDefault="007A3CF5" w:rsidP="007A3CF5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7D943CA7" w14:textId="77777777" w:rsidR="007A3CF5" w:rsidRDefault="007A3CF5" w:rsidP="007A3CF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PEPP szöveges jelentés tartalma</w:t>
      </w:r>
    </w:p>
    <w:p w14:paraId="3AE7C0E3" w14:textId="77777777" w:rsidR="007A3CF5" w:rsidRDefault="007A3CF5" w:rsidP="007A3CF5">
      <w:pPr>
        <w:spacing w:after="0" w:line="240" w:lineRule="auto"/>
        <w:rPr>
          <w:rFonts w:ascii="Arial" w:hAnsi="Arial" w:cs="Arial"/>
          <w:b/>
          <w:bCs/>
        </w:rPr>
      </w:pPr>
    </w:p>
    <w:p w14:paraId="67DFA5CB" w14:textId="42A5259A" w:rsidR="007A3CF5" w:rsidRPr="007A3CF5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7A3CF5">
        <w:rPr>
          <w:rFonts w:ascii="Arial" w:hAnsi="Arial" w:cs="Arial"/>
        </w:rPr>
        <w:t>PEPP-üzletág</w:t>
      </w:r>
    </w:p>
    <w:p w14:paraId="09E85B14" w14:textId="12EE2E2E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PEPP-üzletág jellegé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Pr="00D40906">
        <w:rPr>
          <w:rFonts w:ascii="Arial" w:hAnsi="Arial" w:cs="Arial"/>
        </w:rPr>
        <w:t>, a következőkre kiterjedően:</w:t>
      </w:r>
    </w:p>
    <w:p w14:paraId="31FACB2F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0130A1">
        <w:rPr>
          <w:rFonts w:ascii="Arial" w:hAnsi="Arial" w:cs="Arial"/>
        </w:rPr>
        <w:t>az adatszolgáltató páneurópai egyéni nyugdíjtermék (a továbbiakban: PEPP) regisztrációs száma;</w:t>
      </w:r>
    </w:p>
    <w:p w14:paraId="7D519766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0130A1">
        <w:rPr>
          <w:rFonts w:ascii="Arial" w:hAnsi="Arial" w:cs="Arial"/>
        </w:rPr>
        <w:t>az adatszolgáltató könyvvizsgálójának neve és címe;</w:t>
      </w:r>
    </w:p>
    <w:p w14:paraId="3E2A0F47" w14:textId="097F02AD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8EDEF" w14:textId="68965081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célpiac és a tényleges PEPP-megtakarítók bemutatása, ennek keretében a potenciális PEPP-megtakarítók életkor szerinti összetételének, valamint annak ismer</w:t>
      </w:r>
      <w:r>
        <w:rPr>
          <w:rFonts w:ascii="Arial" w:hAnsi="Arial" w:cs="Arial"/>
        </w:rPr>
        <w:t>t</w:t>
      </w:r>
      <w:r w:rsidRPr="00491B14">
        <w:rPr>
          <w:rFonts w:ascii="Arial" w:hAnsi="Arial" w:cs="Arial"/>
        </w:rPr>
        <w:t>etés</w:t>
      </w:r>
      <w:r>
        <w:rPr>
          <w:rFonts w:ascii="Arial" w:hAnsi="Arial" w:cs="Arial"/>
        </w:rPr>
        <w:t>e</w:t>
      </w:r>
      <w:r w:rsidRPr="00491B14">
        <w:rPr>
          <w:rFonts w:ascii="Arial" w:hAnsi="Arial" w:cs="Arial"/>
        </w:rPr>
        <w:t>, hogy a PEPP-megtakarítók pénzügyi helyzetét, pénzügyi ismereteit és veszteségviselő képességét az adatszolgáltató miként veszi figyelembe a befektetési profil kialakítása szempontjából;</w:t>
      </w:r>
    </w:p>
    <w:p w14:paraId="7BECCD2D" w14:textId="4401F739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minden olyan</w:t>
      </w:r>
      <w:r w:rsidR="00623599">
        <w:rPr>
          <w:rFonts w:ascii="Arial" w:hAnsi="Arial" w:cs="Arial"/>
        </w:rPr>
        <w:t>, a</w:t>
      </w:r>
      <w:r w:rsidRPr="00491B14">
        <w:rPr>
          <w:rFonts w:ascii="Arial" w:hAnsi="Arial" w:cs="Arial"/>
        </w:rPr>
        <w:t xml:space="preserve"> tárgyidőszakban történt, a PEPP-megtakarító célkitűzéseire, az adatszolgálatóra vagy annak PEPP-üzletági modelljeire és PEPP-stratégiájára lényeges hatást gyakorló bármely jelentős esemény, amennyiben erről </w:t>
      </w:r>
      <w:r w:rsidR="00623599">
        <w:rPr>
          <w:rFonts w:ascii="Arial" w:hAnsi="Arial" w:cs="Arial"/>
        </w:rPr>
        <w:t xml:space="preserve">az adatszolgáltató </w:t>
      </w:r>
      <w:r w:rsidRPr="00491B14">
        <w:rPr>
          <w:rFonts w:ascii="Arial" w:hAnsi="Arial" w:cs="Arial"/>
        </w:rPr>
        <w:t>korábban nem számolt be;</w:t>
      </w:r>
    </w:p>
    <w:p w14:paraId="4688322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>a tárgyidőszakban a PEPP fejlődésére, teljesítményére és pozíciójára pozitív vagy negatív hatást gyakorló főbb trendek és tényezők;</w:t>
      </w:r>
    </w:p>
    <w:p w14:paraId="71F8F747" w14:textId="699B64C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g) </w:t>
      </w:r>
      <w:r w:rsidRPr="00491B14">
        <w:rPr>
          <w:rFonts w:ascii="Arial" w:hAnsi="Arial" w:cs="Arial"/>
        </w:rPr>
        <w:t>a PEPP forgalmazásához használt értékesítési csatornák és a megfelelő értékesítést biztosító ellenőrzések bemutatása;</w:t>
      </w:r>
    </w:p>
    <w:p w14:paraId="77335B52" w14:textId="06175BCE" w:rsidR="007A3CF5" w:rsidRPr="00491B14" w:rsidRDefault="007A3CF5" w:rsidP="007A3CF5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 xml:space="preserve">h) </w:t>
      </w:r>
      <w:r w:rsidR="00623599">
        <w:rPr>
          <w:rFonts w:ascii="Arial" w:hAnsi="Arial" w:cs="Arial"/>
        </w:rPr>
        <w:t xml:space="preserve">a </w:t>
      </w:r>
      <w:r w:rsidRPr="00491B14">
        <w:rPr>
          <w:rFonts w:ascii="Arial" w:hAnsi="Arial" w:cs="Arial"/>
        </w:rPr>
        <w:t>PEPP-üzletágban a tárgyidőszak alatt végrehajtott, váltásra irányuló eljárások;</w:t>
      </w:r>
    </w:p>
    <w:p w14:paraId="084354CD" w14:textId="09758F5E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Pr="000130A1">
        <w:rPr>
          <w:rFonts w:ascii="Arial" w:hAnsi="Arial" w:cs="Arial"/>
        </w:rPr>
        <w:t>beérkezett panaszok ismertetése, beleértve a panaszkezelés eredményét</w:t>
      </w:r>
      <w:r w:rsidR="00623599">
        <w:rPr>
          <w:rFonts w:ascii="Arial" w:hAnsi="Arial" w:cs="Arial"/>
        </w:rPr>
        <w:t>,</w:t>
      </w:r>
      <w:r w:rsidRPr="000130A1">
        <w:rPr>
          <w:rFonts w:ascii="Arial" w:hAnsi="Arial" w:cs="Arial"/>
        </w:rPr>
        <w:t xml:space="preserve"> a panaszokkal érintett szerződések átlagos </w:t>
      </w:r>
      <w:proofErr w:type="spellStart"/>
      <w:r w:rsidRPr="000130A1">
        <w:rPr>
          <w:rFonts w:ascii="Arial" w:hAnsi="Arial" w:cs="Arial"/>
        </w:rPr>
        <w:t>futamidejét</w:t>
      </w:r>
      <w:proofErr w:type="spellEnd"/>
      <w:r w:rsidRPr="000130A1">
        <w:rPr>
          <w:rFonts w:ascii="Arial" w:hAnsi="Arial" w:cs="Arial"/>
        </w:rPr>
        <w:t>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4786A84C" w14:textId="566E65DD" w:rsidR="007A3CF5" w:rsidRPr="00D40906" w:rsidRDefault="007A3CF5" w:rsidP="007A3CF5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1.2</w:t>
      </w:r>
      <w:r w:rsidR="0007184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</w:t>
      </w:r>
      <w:r w:rsidRPr="00D40906">
        <w:rPr>
          <w:rFonts w:ascii="Arial" w:hAnsi="Arial" w:cs="Arial"/>
        </w:rPr>
        <w:t xml:space="preserve"> PEPP-üzletágra vonatkozó irányítási struktúr</w:t>
      </w:r>
      <w:r>
        <w:rPr>
          <w:rFonts w:ascii="Arial" w:hAnsi="Arial" w:cs="Arial"/>
        </w:rPr>
        <w:t>a bemutatása</w:t>
      </w:r>
      <w:r w:rsidRPr="00D40906">
        <w:rPr>
          <w:rFonts w:ascii="Arial" w:hAnsi="Arial" w:cs="Arial"/>
        </w:rPr>
        <w:t>, legalább az alábbiakra kitérve:</w:t>
      </w:r>
    </w:p>
    <w:p w14:paraId="13F3471A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 meglévő igazgatási és elszámolási eljárások, amelyek a PEPP-</w:t>
      </w:r>
      <w:proofErr w:type="spellStart"/>
      <w:r w:rsidRPr="00491B14">
        <w:rPr>
          <w:rFonts w:ascii="Arial" w:hAnsi="Arial" w:cs="Arial"/>
        </w:rPr>
        <w:t>pel</w:t>
      </w:r>
      <w:proofErr w:type="spellEnd"/>
      <w:r w:rsidRPr="00491B14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76FB5B9A" w14:textId="22EF586E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972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PEPP-üzletág tekintetében bevezetett megfelelés funkció főbb feladataira vonatkozó információ;</w:t>
      </w:r>
    </w:p>
    <w:p w14:paraId="23F614C3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3287536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 xml:space="preserve">annak bemutatása, hogy az </w:t>
      </w:r>
      <w:proofErr w:type="spellStart"/>
      <w:r w:rsidRPr="00491B14">
        <w:rPr>
          <w:rFonts w:ascii="Arial" w:hAnsi="Arial" w:cs="Arial"/>
        </w:rPr>
        <w:t>aktuáriusi</w:t>
      </w:r>
      <w:proofErr w:type="spellEnd"/>
      <w:r w:rsidRPr="00491B14">
        <w:rPr>
          <w:rFonts w:ascii="Arial" w:hAnsi="Arial" w:cs="Arial"/>
        </w:rPr>
        <w:t xml:space="preserve"> feladatkör főbb feladatait miként végzik el a PEPP-üzletág esetében;</w:t>
      </w:r>
    </w:p>
    <w:p w14:paraId="0C96A894" w14:textId="7E09CCA8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PEPP-</w:t>
      </w:r>
      <w:proofErr w:type="spellStart"/>
      <w:r w:rsidRPr="00491B14">
        <w:rPr>
          <w:rFonts w:ascii="Arial" w:hAnsi="Arial" w:cs="Arial"/>
        </w:rPr>
        <w:t>pel</w:t>
      </w:r>
      <w:proofErr w:type="spellEnd"/>
      <w:r w:rsidRPr="00491B14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</w:t>
      </w:r>
      <w:r w:rsidRPr="000130A1">
        <w:rPr>
          <w:rFonts w:ascii="Arial" w:hAnsi="Arial" w:cs="Arial"/>
        </w:rPr>
        <w:t>.</w:t>
      </w:r>
    </w:p>
    <w:p w14:paraId="16D61414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0130A1">
        <w:rPr>
          <w:rFonts w:ascii="Arial" w:hAnsi="Arial" w:cs="Arial"/>
        </w:rPr>
        <w:t>Befektetési stratégia és teljesítmény</w:t>
      </w:r>
    </w:p>
    <w:p w14:paraId="2DCD1085" w14:textId="6446B03E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07184D">
        <w:rPr>
          <w:rFonts w:ascii="Arial" w:hAnsi="Arial" w:cs="Arial"/>
        </w:rPr>
        <w:t>.</w:t>
      </w:r>
      <w:r w:rsidRPr="00491B14">
        <w:rPr>
          <w:rFonts w:ascii="Arial" w:hAnsi="Arial" w:cs="Arial"/>
        </w:rPr>
        <w:t xml:space="preserve"> Az alkalmazott befektetési stratégia ismertetése a PEPP valamennyi befektetési lehetősége vonatkozásában, legalább a következőkre kiterjedően:</w:t>
      </w:r>
    </w:p>
    <w:p w14:paraId="2EFF7C35" w14:textId="77777777" w:rsidR="007A3CF5" w:rsidRPr="00C5005D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Pr="00C5005D">
        <w:rPr>
          <w:rFonts w:ascii="Arial" w:hAnsi="Arial" w:cs="Arial"/>
        </w:rPr>
        <w:t xml:space="preserve"> az (EU) 2019/1238 európai parlamenti és tanácsi rendelet 41. cikkének való megfelelés érdekében létrehozott rendszerek bemutatása;</w:t>
      </w:r>
    </w:p>
    <w:p w14:paraId="1A4CD872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befektetési stratégia kockázati tényezőinek és hozamforrásainak beazonosítása;</w:t>
      </w:r>
    </w:p>
    <w:p w14:paraId="11184311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</w:t>
      </w:r>
      <w:proofErr w:type="spellStart"/>
      <w:r w:rsidRPr="00491B14">
        <w:rPr>
          <w:rFonts w:ascii="Arial" w:hAnsi="Arial" w:cs="Arial"/>
        </w:rPr>
        <w:t>ESG</w:t>
      </w:r>
      <w:proofErr w:type="spellEnd"/>
      <w:r w:rsidRPr="00491B14">
        <w:rPr>
          <w:rFonts w:ascii="Arial" w:hAnsi="Arial" w:cs="Arial"/>
        </w:rPr>
        <w:t>) tényezőket;</w:t>
      </w:r>
    </w:p>
    <w:p w14:paraId="6AD198B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05DDD2B9" w14:textId="427D83D3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likviditáskezelési terv és azon lépések bemutatása, amelyeket ilyen esemény bekövetkezése esetén az adatszolgáltató megtehet.</w:t>
      </w:r>
    </w:p>
    <w:p w14:paraId="29E9B616" w14:textId="35525F61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7611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</w:t>
      </w:r>
      <w:proofErr w:type="spellStart"/>
      <w:r w:rsidRPr="00491B14">
        <w:rPr>
          <w:rFonts w:ascii="Arial" w:hAnsi="Arial" w:cs="Arial"/>
        </w:rPr>
        <w:t>pel</w:t>
      </w:r>
      <w:proofErr w:type="spellEnd"/>
      <w:r w:rsidRPr="00491B14">
        <w:rPr>
          <w:rFonts w:ascii="Arial" w:hAnsi="Arial" w:cs="Arial"/>
        </w:rPr>
        <w:t xml:space="preserve"> kapcsolatos befektetések pénzügyi teljesítményével kapcsolatos részletes információk bemutatása, beleértve az alábbiakat:</w:t>
      </w:r>
    </w:p>
    <w:p w14:paraId="05FB2A4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az igazgatási vagy irányítótestület elemzése a PEPP-</w:t>
      </w:r>
      <w:proofErr w:type="spellStart"/>
      <w:r w:rsidRPr="00491B14">
        <w:rPr>
          <w:rFonts w:ascii="Arial" w:hAnsi="Arial" w:cs="Arial"/>
        </w:rPr>
        <w:t>pel</w:t>
      </w:r>
      <w:proofErr w:type="spellEnd"/>
      <w:r w:rsidRPr="00491B14">
        <w:rPr>
          <w:rFonts w:ascii="Arial" w:hAnsi="Arial" w:cs="Arial"/>
        </w:rPr>
        <w:t xml:space="preserve"> kapcsolatos befektetések általános teljesítményéről;</w:t>
      </w:r>
    </w:p>
    <w:p w14:paraId="0F91E027" w14:textId="58FD3C1F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PEPP-</w:t>
      </w:r>
      <w:proofErr w:type="spellStart"/>
      <w:r w:rsidRPr="00491B14">
        <w:rPr>
          <w:rFonts w:ascii="Arial" w:hAnsi="Arial" w:cs="Arial"/>
        </w:rPr>
        <w:t>pel</w:t>
      </w:r>
      <w:proofErr w:type="spellEnd"/>
      <w:r w:rsidRPr="00491B14">
        <w:rPr>
          <w:rFonts w:ascii="Arial" w:hAnsi="Arial" w:cs="Arial"/>
        </w:rPr>
        <w:t xml:space="preserve"> kapcsolatos befektetések nyeresége</w:t>
      </w:r>
      <w:r w:rsidR="00761120">
        <w:rPr>
          <w:rFonts w:ascii="Arial" w:hAnsi="Arial" w:cs="Arial"/>
        </w:rPr>
        <w:t>,</w:t>
      </w:r>
      <w:r w:rsidRPr="00491B14">
        <w:rPr>
          <w:rFonts w:ascii="Arial" w:hAnsi="Arial" w:cs="Arial"/>
        </w:rPr>
        <w:t xml:space="preserve"> vesztesége és </w:t>
      </w:r>
      <w:r w:rsidRPr="000130A1">
        <w:rPr>
          <w:rFonts w:ascii="Arial" w:hAnsi="Arial" w:cs="Arial"/>
        </w:rPr>
        <w:t>az ezen bevételek összetétele a befektetési kategóriák megfelelő alcsoportjai szerint;</w:t>
      </w:r>
    </w:p>
    <w:p w14:paraId="6A510365" w14:textId="22AAF10C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07184D"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származtatott termékek hatása a PEPP befektetési teljesítményére;</w:t>
      </w:r>
    </w:p>
    <w:p w14:paraId="40FC219E" w14:textId="05F84B1B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 tárgyidőszak alatti PEPP befektetési kiadások és a korábbi évekhez viszonyított lényeg</w:t>
      </w:r>
      <w:r>
        <w:rPr>
          <w:rFonts w:ascii="Arial" w:hAnsi="Arial" w:cs="Arial"/>
        </w:rPr>
        <w:t xml:space="preserve">es </w:t>
      </w:r>
      <w:r w:rsidRPr="00491B14">
        <w:rPr>
          <w:rFonts w:ascii="Arial" w:hAnsi="Arial" w:cs="Arial"/>
        </w:rPr>
        <w:t>változások okai.</w:t>
      </w:r>
    </w:p>
    <w:p w14:paraId="23A281C4" w14:textId="2165F61F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130A1">
        <w:rPr>
          <w:rFonts w:ascii="Arial" w:hAnsi="Arial" w:cs="Arial"/>
        </w:rPr>
        <w:t>Kockázatkezelés és kockázatcsökkentési technikák</w:t>
      </w:r>
    </w:p>
    <w:p w14:paraId="2C590E1A" w14:textId="5F6708FD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6F7EC360" w14:textId="0ED0C394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6D1A2219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a) </w:t>
      </w:r>
      <w:r w:rsidRPr="00491B14">
        <w:rPr>
          <w:rFonts w:ascii="Arial" w:hAnsi="Arial" w:cs="Arial"/>
        </w:rPr>
        <w:t>a PEPP-üzletág kockázatkezelési keretrendszere, a kockázatok kezelésére vonatkozó szabályzatok alapján, az ajánlott PEPP jellegére, volumenére és összetettségére tekintettel;</w:t>
      </w:r>
    </w:p>
    <w:p w14:paraId="1E9B0C66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az (EU) 2019/1238 európai parlamenti és tanácsi rendelet követelményeinek való megfelelés érdekében létrehozott rendszerek;</w:t>
      </w:r>
    </w:p>
    <w:p w14:paraId="3D376D83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491B14">
        <w:rPr>
          <w:rFonts w:ascii="Arial" w:hAnsi="Arial" w:cs="Arial"/>
        </w:rPr>
        <w:t xml:space="preserve">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</w:t>
      </w:r>
      <w:r>
        <w:rPr>
          <w:rFonts w:ascii="Arial" w:hAnsi="Arial" w:cs="Arial"/>
        </w:rPr>
        <w:t xml:space="preserve">hogy a PEPP adatszolgáltató </w:t>
      </w:r>
      <w:r w:rsidRPr="00491B14">
        <w:rPr>
          <w:rFonts w:ascii="Arial" w:hAnsi="Arial" w:cs="Arial"/>
        </w:rPr>
        <w:t xml:space="preserve">hogyan közelíti meg </w:t>
      </w:r>
      <w:r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</w:t>
      </w:r>
      <w:proofErr w:type="spellStart"/>
      <w:r w:rsidRPr="000130A1">
        <w:rPr>
          <w:rFonts w:ascii="Arial" w:hAnsi="Arial" w:cs="Arial"/>
        </w:rPr>
        <w:t>ESG</w:t>
      </w:r>
      <w:proofErr w:type="spellEnd"/>
      <w:r w:rsidRPr="000130A1">
        <w:rPr>
          <w:rFonts w:ascii="Arial" w:hAnsi="Arial" w:cs="Arial"/>
        </w:rPr>
        <w:t>) kockázatok kezelését;</w:t>
      </w:r>
    </w:p>
    <w:p w14:paraId="127106DF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Pr="00491B14">
        <w:rPr>
          <w:rFonts w:ascii="Arial" w:hAnsi="Arial" w:cs="Arial"/>
        </w:rPr>
        <w:t>a kockázatkezelési és belső ellenőrzési rendszerek hatékonysága, tekintettel a PEPP-</w:t>
      </w:r>
      <w:proofErr w:type="spellStart"/>
      <w:r w:rsidRPr="00491B14">
        <w:rPr>
          <w:rFonts w:ascii="Arial" w:hAnsi="Arial" w:cs="Arial"/>
        </w:rPr>
        <w:t>pel</w:t>
      </w:r>
      <w:proofErr w:type="spellEnd"/>
      <w:r w:rsidRPr="00491B14">
        <w:rPr>
          <w:rFonts w:ascii="Arial" w:hAnsi="Arial" w:cs="Arial"/>
        </w:rPr>
        <w:t xml:space="preserve"> kapcsolatos kockázatokra, amelyeket ellenőrizni hivatottak;</w:t>
      </w:r>
    </w:p>
    <w:p w14:paraId="1521490B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491B14">
        <w:rPr>
          <w:rFonts w:ascii="Arial" w:hAnsi="Arial" w:cs="Arial"/>
        </w:rPr>
        <w:t>az igazgatási vagy irányítótestület elé benyújtott, PEPP-</w:t>
      </w:r>
      <w:proofErr w:type="spellStart"/>
      <w:r w:rsidRPr="00491B14">
        <w:rPr>
          <w:rFonts w:ascii="Arial" w:hAnsi="Arial" w:cs="Arial"/>
        </w:rPr>
        <w:t>pel</w:t>
      </w:r>
      <w:proofErr w:type="spellEnd"/>
      <w:r w:rsidRPr="00491B14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38FBEF08" w14:textId="77777777" w:rsidR="007A3CF5" w:rsidRPr="000130A1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Pr="000130A1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340DDD0D" w14:textId="79EBCD4B" w:rsidR="007A3CF5" w:rsidRPr="00491B14" w:rsidRDefault="007A3CF5" w:rsidP="007A3CF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58468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91B14">
        <w:rPr>
          <w:rFonts w:ascii="Arial" w:hAnsi="Arial" w:cs="Arial"/>
        </w:rPr>
        <w:t>Az alkalmazott kockázatcsökkentési technikákra vonatkozó részletes információk, legalább az alábbiakra kiterjedően:</w:t>
      </w:r>
    </w:p>
    <w:p w14:paraId="12E5F8B8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491B14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B8358C7" w14:textId="77777777" w:rsidR="007A3CF5" w:rsidRPr="00491B1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8F18B09" w14:textId="77777777" w:rsidR="007A3CF5" w:rsidRPr="000130A1" w:rsidRDefault="007A3CF5" w:rsidP="007A3CF5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0130A1">
        <w:rPr>
          <w:rFonts w:ascii="Arial" w:hAnsi="Arial" w:cs="Arial"/>
        </w:rPr>
        <w:t>Az adatszolgáltató prudenciális keretrendszerével kapcsolatos szempontok bemutatása</w:t>
      </w:r>
    </w:p>
    <w:p w14:paraId="056F895A" w14:textId="77777777" w:rsidR="007A3CF5" w:rsidRDefault="007A3CF5" w:rsidP="007A3CF5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2F4F433" w14:textId="77777777" w:rsidR="007A3CF5" w:rsidRPr="002761B4" w:rsidRDefault="007A3CF5" w:rsidP="007A3CF5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tőkeszerkezet, a tőkehányadosok és a tőkeáttétel szintje.</w:t>
      </w:r>
    </w:p>
    <w:p w14:paraId="2C89DB6C" w14:textId="3401F1CF" w:rsidR="00575313" w:rsidRPr="0084733E" w:rsidRDefault="00575313" w:rsidP="0084733E">
      <w:pPr>
        <w:ind w:left="1980"/>
        <w:rPr>
          <w:rFonts w:ascii="Arial" w:hAnsi="Arial" w:cs="Arial"/>
        </w:rPr>
      </w:pPr>
    </w:p>
    <w:sectPr w:rsidR="00575313" w:rsidRPr="0084733E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42214880">
    <w:abstractNumId w:val="9"/>
  </w:num>
  <w:num w:numId="2" w16cid:durableId="1608610443">
    <w:abstractNumId w:val="5"/>
  </w:num>
  <w:num w:numId="3" w16cid:durableId="959074582">
    <w:abstractNumId w:val="10"/>
  </w:num>
  <w:num w:numId="4" w16cid:durableId="1361979679">
    <w:abstractNumId w:val="2"/>
  </w:num>
  <w:num w:numId="5" w16cid:durableId="1311400286">
    <w:abstractNumId w:val="4"/>
  </w:num>
  <w:num w:numId="6" w16cid:durableId="1328948059">
    <w:abstractNumId w:val="18"/>
  </w:num>
  <w:num w:numId="7" w16cid:durableId="63723670">
    <w:abstractNumId w:val="7"/>
  </w:num>
  <w:num w:numId="8" w16cid:durableId="1544757216">
    <w:abstractNumId w:val="30"/>
  </w:num>
  <w:num w:numId="9" w16cid:durableId="610557017">
    <w:abstractNumId w:val="13"/>
  </w:num>
  <w:num w:numId="10" w16cid:durableId="2142729100">
    <w:abstractNumId w:val="18"/>
    <w:lvlOverride w:ilvl="0">
      <w:startOverride w:val="1"/>
    </w:lvlOverride>
  </w:num>
  <w:num w:numId="11" w16cid:durableId="1370105205">
    <w:abstractNumId w:val="6"/>
  </w:num>
  <w:num w:numId="12" w16cid:durableId="1330133334">
    <w:abstractNumId w:val="27"/>
  </w:num>
  <w:num w:numId="13" w16cid:durableId="1899364749">
    <w:abstractNumId w:val="32"/>
  </w:num>
  <w:num w:numId="14" w16cid:durableId="334573493">
    <w:abstractNumId w:val="14"/>
  </w:num>
  <w:num w:numId="15" w16cid:durableId="1536574430">
    <w:abstractNumId w:val="19"/>
  </w:num>
  <w:num w:numId="16" w16cid:durableId="1841384411">
    <w:abstractNumId w:val="28"/>
  </w:num>
  <w:num w:numId="17" w16cid:durableId="913201474">
    <w:abstractNumId w:val="1"/>
  </w:num>
  <w:num w:numId="18" w16cid:durableId="1286935309">
    <w:abstractNumId w:val="31"/>
  </w:num>
  <w:num w:numId="19" w16cid:durableId="1780375741">
    <w:abstractNumId w:val="21"/>
  </w:num>
  <w:num w:numId="20" w16cid:durableId="537816067">
    <w:abstractNumId w:val="12"/>
  </w:num>
  <w:num w:numId="21" w16cid:durableId="1066564744">
    <w:abstractNumId w:val="8"/>
  </w:num>
  <w:num w:numId="22" w16cid:durableId="1049762746">
    <w:abstractNumId w:val="15"/>
  </w:num>
  <w:num w:numId="23" w16cid:durableId="714086502">
    <w:abstractNumId w:val="17"/>
  </w:num>
  <w:num w:numId="24" w16cid:durableId="1260872769">
    <w:abstractNumId w:val="0"/>
  </w:num>
  <w:num w:numId="25" w16cid:durableId="1137802695">
    <w:abstractNumId w:val="24"/>
  </w:num>
  <w:num w:numId="26" w16cid:durableId="437992944">
    <w:abstractNumId w:val="18"/>
    <w:lvlOverride w:ilvl="0">
      <w:startOverride w:val="1"/>
    </w:lvlOverride>
  </w:num>
  <w:num w:numId="27" w16cid:durableId="1097942931">
    <w:abstractNumId w:val="16"/>
  </w:num>
  <w:num w:numId="28" w16cid:durableId="188841102">
    <w:abstractNumId w:val="26"/>
  </w:num>
  <w:num w:numId="29" w16cid:durableId="1474525279">
    <w:abstractNumId w:val="22"/>
  </w:num>
  <w:num w:numId="30" w16cid:durableId="1836800968">
    <w:abstractNumId w:val="18"/>
    <w:lvlOverride w:ilvl="0">
      <w:startOverride w:val="1"/>
    </w:lvlOverride>
  </w:num>
  <w:num w:numId="31" w16cid:durableId="1139152639">
    <w:abstractNumId w:val="25"/>
  </w:num>
  <w:num w:numId="32" w16cid:durableId="1924414548">
    <w:abstractNumId w:val="18"/>
    <w:lvlOverride w:ilvl="0">
      <w:startOverride w:val="1"/>
    </w:lvlOverride>
  </w:num>
  <w:num w:numId="33" w16cid:durableId="1404373173">
    <w:abstractNumId w:val="18"/>
    <w:lvlOverride w:ilvl="0">
      <w:startOverride w:val="1"/>
    </w:lvlOverride>
  </w:num>
  <w:num w:numId="34" w16cid:durableId="1840540274">
    <w:abstractNumId w:val="18"/>
    <w:lvlOverride w:ilvl="0">
      <w:startOverride w:val="1"/>
    </w:lvlOverride>
  </w:num>
  <w:num w:numId="35" w16cid:durableId="1808160608">
    <w:abstractNumId w:val="18"/>
    <w:lvlOverride w:ilvl="0">
      <w:startOverride w:val="1"/>
    </w:lvlOverride>
  </w:num>
  <w:num w:numId="36" w16cid:durableId="2100522895">
    <w:abstractNumId w:val="20"/>
  </w:num>
  <w:num w:numId="37" w16cid:durableId="1320497269">
    <w:abstractNumId w:val="18"/>
    <w:lvlOverride w:ilvl="0">
      <w:startOverride w:val="1"/>
    </w:lvlOverride>
  </w:num>
  <w:num w:numId="38" w16cid:durableId="165830940">
    <w:abstractNumId w:val="18"/>
    <w:lvlOverride w:ilvl="0">
      <w:startOverride w:val="1"/>
    </w:lvlOverride>
  </w:num>
  <w:num w:numId="39" w16cid:durableId="1567377048">
    <w:abstractNumId w:val="18"/>
    <w:lvlOverride w:ilvl="0">
      <w:startOverride w:val="1"/>
    </w:lvlOverride>
  </w:num>
  <w:num w:numId="40" w16cid:durableId="1819375229">
    <w:abstractNumId w:val="18"/>
    <w:lvlOverride w:ilvl="0">
      <w:startOverride w:val="1"/>
    </w:lvlOverride>
  </w:num>
  <w:num w:numId="41" w16cid:durableId="115100870">
    <w:abstractNumId w:val="11"/>
  </w:num>
  <w:num w:numId="42" w16cid:durableId="459306138">
    <w:abstractNumId w:val="18"/>
    <w:lvlOverride w:ilvl="0">
      <w:startOverride w:val="1"/>
    </w:lvlOverride>
  </w:num>
  <w:num w:numId="43" w16cid:durableId="332683304">
    <w:abstractNumId w:val="33"/>
  </w:num>
  <w:num w:numId="44" w16cid:durableId="550120337">
    <w:abstractNumId w:val="18"/>
    <w:lvlOverride w:ilvl="0">
      <w:startOverride w:val="1"/>
    </w:lvlOverride>
  </w:num>
  <w:num w:numId="45" w16cid:durableId="752892635">
    <w:abstractNumId w:val="18"/>
    <w:lvlOverride w:ilvl="0">
      <w:startOverride w:val="1"/>
    </w:lvlOverride>
  </w:num>
  <w:num w:numId="46" w16cid:durableId="90702985">
    <w:abstractNumId w:val="3"/>
  </w:num>
  <w:num w:numId="47" w16cid:durableId="724523512">
    <w:abstractNumId w:val="23"/>
  </w:num>
  <w:num w:numId="48" w16cid:durableId="264968684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098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84D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5B7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4B7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612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1E55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4689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24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6C2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599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40063"/>
    <w:rsid w:val="00640929"/>
    <w:rsid w:val="00640E7E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1120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CF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33E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12F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A2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EDF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863"/>
    <w:rsid w:val="00DE6FAC"/>
    <w:rsid w:val="00DE706E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34B7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3334B7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3334B7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3334B7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3334B7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3334B7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3334B7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3334B7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334B7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334B7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3334B7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3334B7"/>
  </w:style>
  <w:style w:type="table" w:customStyle="1" w:styleId="tblzat-mtrix">
    <w:name w:val="táblázat - mátrix"/>
    <w:basedOn w:val="Normltblzat"/>
    <w:uiPriority w:val="2"/>
    <w:qFormat/>
    <w:rsid w:val="003334B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3334B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3334B7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3334B7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3334B7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3334B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34B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3334B7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34B7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334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334B7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3334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334B7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3334B7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3334B7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3334B7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3334B7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3334B7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3334B7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3334B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3334B7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3334B7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3334B7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3334B7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334B7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334B7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3334B7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3334B7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3334B7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3334B7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3334B7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3334B7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334B7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3334B7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3334B7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3334B7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3334B7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3334B7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3334B7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3334B7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3334B7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3334B7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3334B7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3334B7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3334B7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3334B7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3334B7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3334B7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3334B7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3334B7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3334B7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3334B7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3334B7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3334B7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3334B7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3334B7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3334B7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3334B7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3334B7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334B7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3334B7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3334B7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3334B7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3334B7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3334B7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3334B7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3334B7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3334B7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3334B7"/>
    <w:rPr>
      <w:b/>
      <w:bCs/>
    </w:rPr>
  </w:style>
  <w:style w:type="character" w:styleId="Kiemels">
    <w:name w:val="Emphasis"/>
    <w:basedOn w:val="Bekezdsalapbettpusa"/>
    <w:uiPriority w:val="6"/>
    <w:qFormat/>
    <w:rsid w:val="003334B7"/>
    <w:rPr>
      <w:i/>
      <w:iCs/>
    </w:rPr>
  </w:style>
  <w:style w:type="paragraph" w:styleId="Nincstrkz">
    <w:name w:val="No Spacing"/>
    <w:basedOn w:val="Norml"/>
    <w:uiPriority w:val="1"/>
    <w:rsid w:val="003334B7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3334B7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3334B7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3334B7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334B7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3334B7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3334B7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3334B7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3334B7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3334B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3334B7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3334B7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3334B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3334B7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3334B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3334B7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3334B7"/>
  </w:style>
  <w:style w:type="paragraph" w:customStyle="1" w:styleId="ENNormalBox">
    <w:name w:val="EN_Normal_Box"/>
    <w:basedOn w:val="Norml"/>
    <w:uiPriority w:val="1"/>
    <w:qFormat/>
    <w:rsid w:val="003334B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3334B7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3334B7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3334B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3334B7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3334B7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3334B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3334B7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3334B7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3334B7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3334B7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3334B7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3334B7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3334B7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3334B7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3334B7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3334B7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3334B7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3334B7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3334B7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3334B7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3334B7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3334B7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3334B7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3334B7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CE5ED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890</Words>
  <Characters>6772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7647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10</cp:revision>
  <cp:lastPrinted>2019-09-11T12:40:00Z</cp:lastPrinted>
  <dcterms:created xsi:type="dcterms:W3CDTF">2021-09-30T15:16:00Z</dcterms:created>
  <dcterms:modified xsi:type="dcterms:W3CDTF">2024-12-04T11:23:00Z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