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BC0FB" w14:textId="139563E4" w:rsidR="0063361F" w:rsidRPr="006A7D8E" w:rsidRDefault="0063361F" w:rsidP="0063361F">
      <w:pPr>
        <w:rPr>
          <w:rFonts w:ascii="Arial" w:hAnsi="Arial" w:cs="Arial"/>
        </w:rPr>
      </w:pPr>
      <w:r w:rsidRPr="006A7D8E">
        <w:rPr>
          <w:rFonts w:ascii="Arial" w:hAnsi="Arial" w:cs="Arial"/>
        </w:rPr>
        <w:t>12. melléklet a</w:t>
      </w:r>
      <w:r w:rsidR="00A411E8">
        <w:rPr>
          <w:rFonts w:ascii="Arial" w:hAnsi="Arial" w:cs="Arial"/>
        </w:rPr>
        <w:t>z</w:t>
      </w:r>
      <w:r w:rsidRPr="006A7D8E">
        <w:rPr>
          <w:rFonts w:ascii="Arial" w:hAnsi="Arial" w:cs="Arial"/>
        </w:rPr>
        <w:t xml:space="preserve"> </w:t>
      </w:r>
      <w:r w:rsidR="00713ACC">
        <w:rPr>
          <w:rFonts w:ascii="Arial" w:hAnsi="Arial" w:cs="Arial"/>
        </w:rPr>
        <w:t>56</w:t>
      </w:r>
      <w:r w:rsidR="00A411E8">
        <w:rPr>
          <w:rFonts w:ascii="Arial" w:hAnsi="Arial" w:cs="Arial"/>
        </w:rPr>
        <w:t>/</w:t>
      </w:r>
      <w:r w:rsidRPr="006A7D8E">
        <w:rPr>
          <w:rFonts w:ascii="Arial" w:hAnsi="Arial" w:cs="Arial"/>
        </w:rPr>
        <w:t>202</w:t>
      </w:r>
      <w:r w:rsidR="00A32E14">
        <w:rPr>
          <w:rFonts w:ascii="Arial" w:hAnsi="Arial" w:cs="Arial"/>
        </w:rPr>
        <w:t>4</w:t>
      </w:r>
      <w:r w:rsidRPr="006A7D8E">
        <w:rPr>
          <w:rFonts w:ascii="Arial" w:hAnsi="Arial" w:cs="Arial"/>
        </w:rPr>
        <w:t>. (</w:t>
      </w:r>
      <w:r w:rsidR="00713ACC">
        <w:rPr>
          <w:rFonts w:ascii="Arial" w:hAnsi="Arial" w:cs="Arial"/>
        </w:rPr>
        <w:t>XII. 3.)</w:t>
      </w:r>
      <w:r w:rsidRPr="006A7D8E">
        <w:rPr>
          <w:rFonts w:ascii="Arial" w:hAnsi="Arial" w:cs="Arial"/>
        </w:rPr>
        <w:t xml:space="preserve"> MNB rendelethez</w:t>
      </w:r>
    </w:p>
    <w:p w14:paraId="49AC6C86" w14:textId="77777777" w:rsidR="0063361F" w:rsidRPr="006A7D8E" w:rsidRDefault="0063361F" w:rsidP="0063361F">
      <w:pPr>
        <w:rPr>
          <w:rFonts w:ascii="Arial" w:hAnsi="Arial" w:cs="Arial"/>
        </w:rPr>
      </w:pPr>
    </w:p>
    <w:p w14:paraId="0CA71B87" w14:textId="59C3F232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 xml:space="preserve">Az </w:t>
      </w:r>
      <w:proofErr w:type="spellStart"/>
      <w:r w:rsidRPr="006A7D8E">
        <w:rPr>
          <w:rFonts w:ascii="Arial" w:hAnsi="Arial" w:cs="Arial"/>
          <w:b/>
          <w:bCs/>
        </w:rPr>
        <w:t>ÁÉKBV</w:t>
      </w:r>
      <w:proofErr w:type="spellEnd"/>
      <w:r w:rsidRPr="006A7D8E">
        <w:rPr>
          <w:rFonts w:ascii="Arial" w:hAnsi="Arial" w:cs="Arial"/>
          <w:b/>
          <w:bCs/>
        </w:rPr>
        <w:t xml:space="preserve">-alapkezelő, az </w:t>
      </w:r>
      <w:proofErr w:type="spellStart"/>
      <w:r w:rsidRPr="006A7D8E">
        <w:rPr>
          <w:rFonts w:ascii="Arial" w:hAnsi="Arial" w:cs="Arial"/>
          <w:b/>
          <w:bCs/>
        </w:rPr>
        <w:t>ABAK</w:t>
      </w:r>
      <w:proofErr w:type="spellEnd"/>
      <w:r w:rsidRPr="006A7D8E">
        <w:rPr>
          <w:rFonts w:ascii="Arial" w:hAnsi="Arial" w:cs="Arial"/>
          <w:b/>
          <w:bCs/>
        </w:rPr>
        <w:t xml:space="preserve"> és a befektetési vállalkozás PEPP szöveges jelentése kitöltésére vonatkozó részletes előírások</w:t>
      </w:r>
    </w:p>
    <w:p w14:paraId="4D4660B6" w14:textId="77777777" w:rsidR="0063361F" w:rsidRPr="006A7D8E" w:rsidRDefault="0063361F" w:rsidP="006A7D8E">
      <w:pPr>
        <w:rPr>
          <w:rFonts w:ascii="Arial" w:hAnsi="Arial" w:cs="Arial"/>
        </w:rPr>
      </w:pPr>
    </w:p>
    <w:p w14:paraId="057EDB32" w14:textId="063FB4C7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I.</w:t>
      </w:r>
      <w:r w:rsidRPr="006A7D8E">
        <w:rPr>
          <w:rFonts w:ascii="Arial" w:hAnsi="Arial" w:cs="Arial"/>
          <w:b/>
          <w:bCs/>
        </w:rPr>
        <w:br/>
      </w:r>
      <w:r w:rsidR="000F0E91" w:rsidRPr="006A7D8E">
        <w:rPr>
          <w:rFonts w:ascii="Arial" w:hAnsi="Arial" w:cs="Arial"/>
          <w:b/>
          <w:bCs/>
        </w:rPr>
        <w:t xml:space="preserve">A </w:t>
      </w:r>
      <w:r w:rsidRPr="006A7D8E">
        <w:rPr>
          <w:rFonts w:ascii="Arial" w:hAnsi="Arial" w:cs="Arial"/>
          <w:b/>
          <w:bCs/>
        </w:rPr>
        <w:t>PEPP szöveges jelentésre vonatkozó általános szabályok</w:t>
      </w:r>
    </w:p>
    <w:p w14:paraId="6EABCB94" w14:textId="6B0B6F92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1. Kapcsolódó jogszabályok, rövidítések</w:t>
      </w:r>
    </w:p>
    <w:p w14:paraId="4FADD25E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teljesítése során alkalmazandó jogszabályok körét az 1. melléklet 1. pontja tartalmazza.</w:t>
      </w:r>
    </w:p>
    <w:p w14:paraId="5A6C45AD" w14:textId="30C412D3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2. A PEPP szöveges jelentés formai követelményei</w:t>
      </w:r>
    </w:p>
    <w:p w14:paraId="06B9DC69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formai követelményeit az 1. melléklet 4. pontja határozza meg.</w:t>
      </w:r>
    </w:p>
    <w:p w14:paraId="23496477" w14:textId="6D12F9F2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3. A PEPP szöveges jelentés tartalmi követelményei</w:t>
      </w:r>
    </w:p>
    <w:p w14:paraId="519FE52C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tartalmi követelményeit az 1. melléklet 5. pontja határozza meg.</w:t>
      </w:r>
    </w:p>
    <w:p w14:paraId="7E27AECF" w14:textId="77777777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</w:p>
    <w:p w14:paraId="2C985A33" w14:textId="3A87491A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II.</w:t>
      </w:r>
      <w:r w:rsidRPr="006A7D8E">
        <w:rPr>
          <w:rFonts w:ascii="Arial" w:hAnsi="Arial" w:cs="Arial"/>
          <w:b/>
          <w:bCs/>
        </w:rPr>
        <w:br/>
        <w:t xml:space="preserve">A </w:t>
      </w:r>
      <w:r w:rsidR="000F0E91" w:rsidRPr="006A7D8E">
        <w:rPr>
          <w:rFonts w:ascii="Arial" w:hAnsi="Arial" w:cs="Arial"/>
          <w:b/>
          <w:bCs/>
        </w:rPr>
        <w:t>PEPP</w:t>
      </w:r>
      <w:r w:rsidRPr="006A7D8E">
        <w:rPr>
          <w:rFonts w:ascii="Arial" w:hAnsi="Arial" w:cs="Arial"/>
          <w:b/>
          <w:bCs/>
        </w:rPr>
        <w:t xml:space="preserve"> szöveges jelentés tartalma</w:t>
      </w:r>
    </w:p>
    <w:p w14:paraId="6BC921E7" w14:textId="77777777" w:rsidR="0063361F" w:rsidRPr="006A7D8E" w:rsidRDefault="0063361F" w:rsidP="006A7D8E">
      <w:pPr>
        <w:rPr>
          <w:rFonts w:ascii="Arial" w:hAnsi="Arial" w:cs="Arial"/>
        </w:rPr>
      </w:pPr>
    </w:p>
    <w:p w14:paraId="1E2690C8" w14:textId="30B35BDC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1. PEPP-üzletág</w:t>
      </w:r>
    </w:p>
    <w:p w14:paraId="488D17DB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1.1. A PEPP-üzletág jellegének, a befektetési lehetőségeknek, valamint a referencia-időszakban történt minden jelentős változást kiváltó eseménynek az ismertetése, a következőkre kiterjedően:</w:t>
      </w:r>
    </w:p>
    <w:p w14:paraId="67D9062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adatszolgáltató páneurópai egyéni nyugdíjtermék (a továbbiakban: PEPP) regisztrációs száma;</w:t>
      </w:r>
    </w:p>
    <w:p w14:paraId="0BCEA91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az adatszolgáltató könyvvizsgálójának neve és címe;</w:t>
      </w:r>
    </w:p>
    <w:p w14:paraId="123AA34A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az adatszolgáltató által nyújtott befektetési lehetőségek, a nyújtott garanciák – beleérve a garanciák árazásának ismertetését – és az érintett országok köre, ahol ezek a befektetési lehetőségek elérhetők, kiemelve a tárgyidőszak alatt történt változásokat;</w:t>
      </w:r>
    </w:p>
    <w:p w14:paraId="6E971AFB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célpiac és a tényleges PEPP-megtakarítók bemutatása, ennek keretében a potenciális PEPP-megtakarítók életkor szerinti összetételének, valamint annak ismertetése, hogy a PEPP-megtakarítók pénzügyi helyzetét, pénzügyi ismereteit és veszteségviselő képességét az adatszolgáltató miként veszi figyelembe a befektetési profil kialakítása szempontjából;</w:t>
      </w:r>
    </w:p>
    <w:p w14:paraId="35F30BD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minden olyan, a tárgyidőszakban történt, a PEPP-megtakarító célkitűzéseire, az adatszolgáltatóra vagy annak PEPP-üzletági modelljeire és PEPP-stratégiájára lényeges hatást gyakorló bármely jelentős esemény, amennyiben erről korábban nem számolt be;</w:t>
      </w:r>
    </w:p>
    <w:p w14:paraId="481B00B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f) a tárgyidőszakban a PEPP fejlődésére, teljesítményére és pozíciójára pozitív vagy negatív hatást gyakorló főbb trendek és tényezők;</w:t>
      </w:r>
    </w:p>
    <w:p w14:paraId="4EF747B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g) a PEPP forgalmazásához használt értékesítési csatornák, és a megfelelő értékesítést biztosító ellenőrzések bemutatása;</w:t>
      </w:r>
    </w:p>
    <w:p w14:paraId="7F88270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h) a PEPP-üzletágban a tárgyidőszak alatt végrehajtott, váltásra irányuló eljárások;</w:t>
      </w:r>
    </w:p>
    <w:p w14:paraId="1C319F0F" w14:textId="3B12CBAE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lastRenderedPageBreak/>
        <w:t xml:space="preserve">i) beérkezett panaszok ismertetése, beleértve a panaszkezelés eredményét, a panaszokkal érintett szerződések átlagos </w:t>
      </w:r>
      <w:proofErr w:type="spellStart"/>
      <w:r w:rsidRPr="006A7D8E">
        <w:rPr>
          <w:rFonts w:ascii="Arial" w:hAnsi="Arial" w:cs="Arial"/>
        </w:rPr>
        <w:t>futamidejét</w:t>
      </w:r>
      <w:proofErr w:type="spellEnd"/>
      <w:r w:rsidRPr="006A7D8E">
        <w:rPr>
          <w:rFonts w:ascii="Arial" w:hAnsi="Arial" w:cs="Arial"/>
        </w:rPr>
        <w:t>, a panaszok témáját, továbbá arra vonatkozó információkat, hogy az adatszolgáltató milyen lépéseket tett a konkrét panaszok kezelésére, illetve milyen általánosabb intézkedéseket hozott a PEPP kialakításával és forgalmazásával kapcsolatos esetleges kérdések kezelésére.</w:t>
      </w:r>
    </w:p>
    <w:p w14:paraId="36AFB1A8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1.2. A PEPP-üzletágra vonatkozó irányítási struktúra bemutatása, legalább az alábbiakra kitérve:</w:t>
      </w:r>
    </w:p>
    <w:p w14:paraId="0D3F3E25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meglévő igazgatási és elszámolási eljárások, amelyek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befektetésekről és kötelezettségekről megbízható és valós képet adó jelentések elkészítését teszik lehetővé, és megfelelnek az összes alkalmazandó számviteli standardnak;</w:t>
      </w:r>
    </w:p>
    <w:p w14:paraId="4E3FC93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PEPP-üzletág tekintetében bevezetett megfelelés funkció főbb feladataira vonatkozó információ;</w:t>
      </w:r>
    </w:p>
    <w:p w14:paraId="001615A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termékfelügyeleti és irányítási politikának való megfelelés biztosítására szolgáló rendszerekkel és ellenőrzésekkel kapcsolatos információk;</w:t>
      </w:r>
    </w:p>
    <w:p w14:paraId="6A4A3C2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d) annak bemutatása, hogy az </w:t>
      </w:r>
      <w:proofErr w:type="spellStart"/>
      <w:r w:rsidRPr="006A7D8E">
        <w:rPr>
          <w:rFonts w:ascii="Arial" w:hAnsi="Arial" w:cs="Arial"/>
        </w:rPr>
        <w:t>aktuáriusi</w:t>
      </w:r>
      <w:proofErr w:type="spellEnd"/>
      <w:r w:rsidRPr="006A7D8E">
        <w:rPr>
          <w:rFonts w:ascii="Arial" w:hAnsi="Arial" w:cs="Arial"/>
        </w:rPr>
        <w:t xml:space="preserve"> feladatkör főbb feladatait miként végzik el a PEPP-üzletág esetében;</w:t>
      </w:r>
    </w:p>
    <w:p w14:paraId="3CF287C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kapcsolatosan külső partnerekkel kötött együttműködések és szerződések, ezen együttműködések és szerződések működése, feltételei és teljesítménye az érintett PEPP-szerződések vonatkozásában.</w:t>
      </w:r>
    </w:p>
    <w:p w14:paraId="3F4EA139" w14:textId="77777777" w:rsidR="0063361F" w:rsidRPr="006A7D8E" w:rsidRDefault="0063361F" w:rsidP="006A7D8E">
      <w:pPr>
        <w:rPr>
          <w:rFonts w:ascii="Arial" w:hAnsi="Arial" w:cs="Arial"/>
        </w:rPr>
      </w:pPr>
    </w:p>
    <w:p w14:paraId="468BE4B1" w14:textId="6BD7E674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2. Befektetési stratégia és teljesítmény</w:t>
      </w:r>
    </w:p>
    <w:p w14:paraId="7FD14419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2.1. Az alkalmazott befektetési stratégia ismertetése a PEPP valamennyi befektetési lehetősége vonatkozásában, legalább a következőkre kiterjedően:</w:t>
      </w:r>
    </w:p>
    <w:p w14:paraId="1A2E5F35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(EU) 2019/1238 európai parlamenti és tanácsi rendelet 41. cikkének való megfelelés érdekében létrehozott rendszerek bemutatása;</w:t>
      </w:r>
    </w:p>
    <w:p w14:paraId="00072BE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befektetési stratégia kockázati tényezőinek és hozamforrásainak beazonosítása;</w:t>
      </w:r>
    </w:p>
    <w:p w14:paraId="2E2CFB5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annak bemutatása, hogy a befektetési stratégia hogyan veszi figyelembe a PEPP-megtakarítók érdekeit, figyelembe véve azok konkrét profilját és a fenntarthatósági (</w:t>
      </w:r>
      <w:proofErr w:type="spellStart"/>
      <w:r w:rsidRPr="006A7D8E">
        <w:rPr>
          <w:rFonts w:ascii="Arial" w:hAnsi="Arial" w:cs="Arial"/>
        </w:rPr>
        <w:t>ESG</w:t>
      </w:r>
      <w:proofErr w:type="spellEnd"/>
      <w:r w:rsidRPr="006A7D8E">
        <w:rPr>
          <w:rFonts w:ascii="Arial" w:hAnsi="Arial" w:cs="Arial"/>
        </w:rPr>
        <w:t>) tényezőket;</w:t>
      </w:r>
    </w:p>
    <w:p w14:paraId="0EB3F794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PEPP befektetési stratégia ellenőrzésére létrehozott rendszerek, valamint a stratégia szükség szerinti módosítására vonatkozó politika;</w:t>
      </w:r>
    </w:p>
    <w:p w14:paraId="292DB33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likviditáskezelési terv és azon lépések bemutatása, amelyeket ilyen esemény bekövetkezése esetén az adatszolgáltató megtehet.</w:t>
      </w:r>
    </w:p>
    <w:p w14:paraId="5942407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2.2.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 pénzügyi teljesítményével kapcsolatos részletes információk bemutatása, beleértve az alábbiakat:</w:t>
      </w:r>
    </w:p>
    <w:p w14:paraId="5DB0FBF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igazgatási vagy irányítótestület elemzése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 általános teljesítményéről;</w:t>
      </w:r>
    </w:p>
    <w:p w14:paraId="69BFE70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 nyeresége és vesztesége, és az ezen bevételek összetétele a befektetési kategóriák megfelelő alcsoportjai szerint;</w:t>
      </w:r>
    </w:p>
    <w:p w14:paraId="0210159A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származtatott termékek hatása a PEPP befektetési teljesítményére;</w:t>
      </w:r>
    </w:p>
    <w:p w14:paraId="3E195EAE" w14:textId="77777777" w:rsidR="0063361F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tárgyidőszak alatti PEPP befektetési kiadások, és a korábbi évekhez viszonyított lényeges változások okai.</w:t>
      </w:r>
    </w:p>
    <w:p w14:paraId="741B763F" w14:textId="77777777" w:rsidR="006A7D8E" w:rsidRPr="006A7D8E" w:rsidRDefault="006A7D8E" w:rsidP="006A7D8E">
      <w:pPr>
        <w:ind w:left="709"/>
        <w:rPr>
          <w:rFonts w:ascii="Arial" w:hAnsi="Arial" w:cs="Arial"/>
        </w:rPr>
      </w:pPr>
    </w:p>
    <w:p w14:paraId="71A0AE48" w14:textId="77777777" w:rsidR="008B63DC" w:rsidRPr="006A7D8E" w:rsidRDefault="008B63DC" w:rsidP="006A7D8E">
      <w:pPr>
        <w:rPr>
          <w:rFonts w:ascii="Arial" w:hAnsi="Arial" w:cs="Arial"/>
        </w:rPr>
      </w:pPr>
    </w:p>
    <w:p w14:paraId="6E5219B8" w14:textId="660FC1EC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lastRenderedPageBreak/>
        <w:t>3. Kockázatkezelés, és kockázatcsökkentési technikák</w:t>
      </w:r>
    </w:p>
    <w:p w14:paraId="5EB196E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3.1. A PEPP-szolgáltatással kapcsolatos kockázatok, a PEPP-szolgáltatással kapcsolatos kockázatkezelési rendszer ismertetése, beleértve az adatszolgáltató kockázatkezelési stratégiáját és a stratégiának való megfelelés biztosítására szolgáló szabályzatokat.</w:t>
      </w:r>
    </w:p>
    <w:p w14:paraId="5DF663C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3.2. Annak bemutatása, hogy a kockázatkezelési rendszer hogyan képes folyamatosan beazonosítani, mérni, ellenőrizni, kezelni és jelenteni azokat a kockázatokat és kockázati kölcsönhatásokat, amelyeknek a PEPP-megtakarítók ki vannak vagy ki lehetnek téve. E körben a PEPP szöveges jelentésnek a következőkre kell kiterjednie:</w:t>
      </w:r>
    </w:p>
    <w:p w14:paraId="505F611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PEPP-üzletág kockázatkezelési keretrendszere, a kockázatok kezelésére vonatkozó szabályzatok alapján, az ajánlott PEPP jellegére, volumenére és összetettségére tekintettel;</w:t>
      </w:r>
    </w:p>
    <w:p w14:paraId="761BF92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az (EU) 2019/1238 európai parlamenti és tanácsi rendelet követelményeinek való megfelelés érdekében létrehozott rendszerek;</w:t>
      </w:r>
    </w:p>
    <w:p w14:paraId="2A334D6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hogy a PEPP adatszolgáltató hogyan közelíti meg a pénzügyi és a likviditási kockázatok, a piaci kockázatok, a kamatkockázatok, a reputációs kockázatok, valamint a környezeti, társadalmi és irányítási (</w:t>
      </w:r>
      <w:proofErr w:type="spellStart"/>
      <w:r w:rsidRPr="006A7D8E">
        <w:rPr>
          <w:rFonts w:ascii="Arial" w:hAnsi="Arial" w:cs="Arial"/>
        </w:rPr>
        <w:t>ESG</w:t>
      </w:r>
      <w:proofErr w:type="spellEnd"/>
      <w:r w:rsidRPr="006A7D8E">
        <w:rPr>
          <w:rFonts w:ascii="Arial" w:hAnsi="Arial" w:cs="Arial"/>
        </w:rPr>
        <w:t>) kockázatok kezelését;</w:t>
      </w:r>
    </w:p>
    <w:p w14:paraId="0D2D2D48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kockázatkezelési és belső ellenőrzési rendszerek hatékonysága, tekintettel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kockázatokra, amelyeket ellenőrizni hivatottak;</w:t>
      </w:r>
    </w:p>
    <w:p w14:paraId="192ED3D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az igazgatási vagy irányítótestület elé benyújtott,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34827B4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f) annak részletes ismertetése, ahogyan a PEPP-szolgáltató a származtatott pozíciókból eredő esetleges kockázatokat ellenőrzi.</w:t>
      </w:r>
    </w:p>
    <w:p w14:paraId="0CC15E1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3.3. Az alkalmazott kockázatcsökkentési technikákra vonatkozó részletes információk, legalább az alábbiakra kiterjedően:</w:t>
      </w:r>
    </w:p>
    <w:p w14:paraId="71446542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allokációs mechanizmusok és megközelítések részletei, a PEPP befektetési lehetőségek esetén alkalmazott kockázatcsökkentési technikák módszertanai és tényleges teljesítménye;</w:t>
      </w:r>
    </w:p>
    <w:p w14:paraId="67ED964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kockázatcsökkentési gyakorlatok folyamatos hatékonyságának ellenőrzésére szolgáló eljárások.</w:t>
      </w:r>
    </w:p>
    <w:p w14:paraId="20ABF598" w14:textId="058F79D1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4. Az adatszolgáltató prudenciális keretrendszerével kapcsolatos szempontok bemutatása</w:t>
      </w:r>
    </w:p>
    <w:p w14:paraId="7FF9981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fizetőképesség céljából alkalmazott értékelési elvek;</w:t>
      </w:r>
    </w:p>
    <w:p w14:paraId="254C9C5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tőkeszerkezet, a tőkehányadosok és a tőkeáttétel szintje.</w:t>
      </w:r>
    </w:p>
    <w:p w14:paraId="09C32E17" w14:textId="77777777" w:rsidR="00B944EB" w:rsidRPr="006A7D8E" w:rsidRDefault="00B944EB" w:rsidP="006A7D8E">
      <w:pPr>
        <w:rPr>
          <w:rFonts w:ascii="Arial" w:hAnsi="Arial" w:cs="Arial"/>
        </w:rPr>
      </w:pPr>
    </w:p>
    <w:sectPr w:rsidR="00B944EB" w:rsidRPr="006A7D8E" w:rsidSect="00CD6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E38B" w14:textId="77777777" w:rsidR="0063361F" w:rsidRDefault="0063361F">
      <w:r>
        <w:separator/>
      </w:r>
    </w:p>
  </w:endnote>
  <w:endnote w:type="continuationSeparator" w:id="0">
    <w:p w14:paraId="4B7F3466" w14:textId="77777777" w:rsidR="0063361F" w:rsidRDefault="0063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0A7B" w14:textId="77777777" w:rsidR="00336125" w:rsidRDefault="0033612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681A" w14:textId="13774867" w:rsidR="009E3A57" w:rsidRPr="00336125" w:rsidRDefault="009E3A57" w:rsidP="0033612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E3D8" w14:textId="77777777" w:rsidR="00336125" w:rsidRDefault="003361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CE6C" w14:textId="77777777" w:rsidR="0063361F" w:rsidRDefault="0063361F">
      <w:r>
        <w:separator/>
      </w:r>
    </w:p>
  </w:footnote>
  <w:footnote w:type="continuationSeparator" w:id="0">
    <w:p w14:paraId="5FDF5DAF" w14:textId="77777777" w:rsidR="0063361F" w:rsidRDefault="00633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D804" w14:textId="77777777" w:rsidR="00336125" w:rsidRDefault="0033612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0F93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A43B2" w14:textId="77777777" w:rsidR="00336125" w:rsidRDefault="0033612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533409">
    <w:abstractNumId w:val="4"/>
  </w:num>
  <w:num w:numId="2" w16cid:durableId="403185012">
    <w:abstractNumId w:val="2"/>
  </w:num>
  <w:num w:numId="3" w16cid:durableId="308943260">
    <w:abstractNumId w:val="5"/>
  </w:num>
  <w:num w:numId="4" w16cid:durableId="289676100">
    <w:abstractNumId w:val="0"/>
  </w:num>
  <w:num w:numId="5" w16cid:durableId="1331979075">
    <w:abstractNumId w:val="1"/>
  </w:num>
  <w:num w:numId="6" w16cid:durableId="777140968">
    <w:abstractNumId w:val="7"/>
  </w:num>
  <w:num w:numId="7" w16cid:durableId="494079526">
    <w:abstractNumId w:val="3"/>
  </w:num>
  <w:num w:numId="8" w16cid:durableId="505099254">
    <w:abstractNumId w:val="9"/>
  </w:num>
  <w:num w:numId="9" w16cid:durableId="1877159376">
    <w:abstractNumId w:val="7"/>
    <w:lvlOverride w:ilvl="0">
      <w:startOverride w:val="1"/>
    </w:lvlOverride>
  </w:num>
  <w:num w:numId="10" w16cid:durableId="260379739">
    <w:abstractNumId w:val="10"/>
  </w:num>
  <w:num w:numId="11" w16cid:durableId="1306664042">
    <w:abstractNumId w:val="8"/>
  </w:num>
  <w:num w:numId="12" w16cid:durableId="938294805">
    <w:abstractNumId w:val="6"/>
  </w:num>
  <w:num w:numId="13" w16cid:durableId="76024765">
    <w:abstractNumId w:val="5"/>
  </w:num>
  <w:num w:numId="14" w16cid:durableId="1978413013">
    <w:abstractNumId w:val="5"/>
  </w:num>
  <w:num w:numId="15" w16cid:durableId="130875876">
    <w:abstractNumId w:val="5"/>
  </w:num>
  <w:num w:numId="16" w16cid:durableId="1708918751">
    <w:abstractNumId w:val="5"/>
  </w:num>
  <w:num w:numId="17" w16cid:durableId="1115949529">
    <w:abstractNumId w:val="5"/>
  </w:num>
  <w:num w:numId="18" w16cid:durableId="151356437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1F"/>
    <w:rsid w:val="0000273C"/>
    <w:rsid w:val="00017B1B"/>
    <w:rsid w:val="0002498B"/>
    <w:rsid w:val="000250E6"/>
    <w:rsid w:val="00027695"/>
    <w:rsid w:val="00027B62"/>
    <w:rsid w:val="00033357"/>
    <w:rsid w:val="00035697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0E91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764E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66DE"/>
    <w:rsid w:val="00287D15"/>
    <w:rsid w:val="00290D47"/>
    <w:rsid w:val="00292177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13246"/>
    <w:rsid w:val="003231ED"/>
    <w:rsid w:val="00327A74"/>
    <w:rsid w:val="00336125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41484F"/>
    <w:rsid w:val="00423D50"/>
    <w:rsid w:val="0043276D"/>
    <w:rsid w:val="004330EA"/>
    <w:rsid w:val="00434DC6"/>
    <w:rsid w:val="004413FF"/>
    <w:rsid w:val="00442ABF"/>
    <w:rsid w:val="004451FE"/>
    <w:rsid w:val="00453087"/>
    <w:rsid w:val="00455A38"/>
    <w:rsid w:val="00465939"/>
    <w:rsid w:val="0047029F"/>
    <w:rsid w:val="004729CE"/>
    <w:rsid w:val="00474131"/>
    <w:rsid w:val="0048183A"/>
    <w:rsid w:val="00491483"/>
    <w:rsid w:val="004919C2"/>
    <w:rsid w:val="004924CA"/>
    <w:rsid w:val="00494C89"/>
    <w:rsid w:val="004A58E3"/>
    <w:rsid w:val="004A5F09"/>
    <w:rsid w:val="004B1A68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F3818"/>
    <w:rsid w:val="005F3E3D"/>
    <w:rsid w:val="00602F0C"/>
    <w:rsid w:val="00603723"/>
    <w:rsid w:val="00610E45"/>
    <w:rsid w:val="00627BFA"/>
    <w:rsid w:val="0063361F"/>
    <w:rsid w:val="00642A07"/>
    <w:rsid w:val="00643529"/>
    <w:rsid w:val="00643CB4"/>
    <w:rsid w:val="00644BE4"/>
    <w:rsid w:val="0067570F"/>
    <w:rsid w:val="00681108"/>
    <w:rsid w:val="00690C97"/>
    <w:rsid w:val="0069441B"/>
    <w:rsid w:val="006A54BA"/>
    <w:rsid w:val="006A66EB"/>
    <w:rsid w:val="006A7D8E"/>
    <w:rsid w:val="006B0392"/>
    <w:rsid w:val="006B2726"/>
    <w:rsid w:val="006B4271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13ACC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D67A3"/>
    <w:rsid w:val="007D7E92"/>
    <w:rsid w:val="007E0286"/>
    <w:rsid w:val="007F197C"/>
    <w:rsid w:val="007F1D57"/>
    <w:rsid w:val="007F7E59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5BD"/>
    <w:rsid w:val="008936DF"/>
    <w:rsid w:val="008A1C40"/>
    <w:rsid w:val="008B61E3"/>
    <w:rsid w:val="008B63DC"/>
    <w:rsid w:val="008C474C"/>
    <w:rsid w:val="008C56D8"/>
    <w:rsid w:val="008D6221"/>
    <w:rsid w:val="008E26F2"/>
    <w:rsid w:val="008E357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2E14"/>
    <w:rsid w:val="00A34F95"/>
    <w:rsid w:val="00A411E8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8B"/>
    <w:rsid w:val="00B15880"/>
    <w:rsid w:val="00B1673D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43AC5"/>
    <w:rsid w:val="00C522BD"/>
    <w:rsid w:val="00C63F2A"/>
    <w:rsid w:val="00C64F11"/>
    <w:rsid w:val="00C72FB8"/>
    <w:rsid w:val="00C907C0"/>
    <w:rsid w:val="00C93837"/>
    <w:rsid w:val="00CA398B"/>
    <w:rsid w:val="00CC4CB1"/>
    <w:rsid w:val="00CD36BC"/>
    <w:rsid w:val="00CD6E8D"/>
    <w:rsid w:val="00CD724F"/>
    <w:rsid w:val="00CE188C"/>
    <w:rsid w:val="00CF148C"/>
    <w:rsid w:val="00D00B21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11F2F"/>
    <w:rsid w:val="00E13A3A"/>
    <w:rsid w:val="00E14CD2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87C26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4867"/>
    <w:rsid w:val="00F04E3E"/>
    <w:rsid w:val="00F10771"/>
    <w:rsid w:val="00F205E5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8CAD4"/>
  <w15:chartTrackingRefBased/>
  <w15:docId w15:val="{C9B4A837-3429-4E7F-84DB-EF6E2AE2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3ACC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713ACC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713ACC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713ACC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713ACC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713ACC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713ACC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13ACC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13ACC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13ACC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713ACC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713ACC"/>
  </w:style>
  <w:style w:type="table" w:customStyle="1" w:styleId="tblzat-mtrix">
    <w:name w:val="táblázat - mátrix"/>
    <w:basedOn w:val="Normltblzat"/>
    <w:uiPriority w:val="2"/>
    <w:qFormat/>
    <w:rsid w:val="00713ACC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713ACC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713ACC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713ACC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713ACC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713ACC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3ACC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713ACC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3AC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713A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13ACC"/>
  </w:style>
  <w:style w:type="paragraph" w:styleId="llb">
    <w:name w:val="footer"/>
    <w:basedOn w:val="Norml"/>
    <w:link w:val="llbChar"/>
    <w:uiPriority w:val="99"/>
    <w:unhideWhenUsed/>
    <w:rsid w:val="00713A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13ACC"/>
  </w:style>
  <w:style w:type="paragraph" w:customStyle="1" w:styleId="Szmozs">
    <w:name w:val="Számozás"/>
    <w:basedOn w:val="Norml"/>
    <w:uiPriority w:val="4"/>
    <w:qFormat/>
    <w:rsid w:val="00713ACC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713ACC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713ACC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713ACC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713ACC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713ACC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713ACC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713ACC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713ACC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713ACC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13ACC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13ACC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13ACC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713ACC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713ACC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713ACC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713ACC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713ACC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713ACC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13ACC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713ACC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713ACC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713ACC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713ACC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713ACC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713ACC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713ACC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713ACC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713ACC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713ACC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713ACC"/>
  </w:style>
  <w:style w:type="character" w:styleId="Finomhivatkozs">
    <w:name w:val="Subtle Reference"/>
    <w:basedOn w:val="Bekezdsalapbettpusa"/>
    <w:uiPriority w:val="31"/>
    <w:rsid w:val="00713ACC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713ACC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713ACC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713ACC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713ACC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713ACC"/>
  </w:style>
  <w:style w:type="paragraph" w:styleId="Alcm">
    <w:name w:val="Subtitle"/>
    <w:basedOn w:val="Norml"/>
    <w:next w:val="Norml"/>
    <w:link w:val="AlcmChar"/>
    <w:uiPriority w:val="11"/>
    <w:rsid w:val="00713ACC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713ACC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713ACC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713ACC"/>
  </w:style>
  <w:style w:type="paragraph" w:customStyle="1" w:styleId="Erskiemels1">
    <w:name w:val="Erős kiemelés1"/>
    <w:basedOn w:val="Norml"/>
    <w:link w:val="ErskiemelsChar"/>
    <w:uiPriority w:val="5"/>
    <w:qFormat/>
    <w:rsid w:val="00713ACC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713ACC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713ACC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713ACC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713ACC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13ACC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713ACC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713ACC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713ACC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713ACC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713ACC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713ACC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713ACC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713ACC"/>
  </w:style>
  <w:style w:type="character" w:styleId="Kiemels2">
    <w:name w:val="Strong"/>
    <w:basedOn w:val="Bekezdsalapbettpusa"/>
    <w:uiPriority w:val="22"/>
    <w:rsid w:val="00713ACC"/>
    <w:rPr>
      <w:b/>
      <w:bCs/>
    </w:rPr>
  </w:style>
  <w:style w:type="character" w:styleId="Kiemels">
    <w:name w:val="Emphasis"/>
    <w:basedOn w:val="Bekezdsalapbettpusa"/>
    <w:uiPriority w:val="6"/>
    <w:qFormat/>
    <w:rsid w:val="00713ACC"/>
    <w:rPr>
      <w:i/>
      <w:iCs/>
    </w:rPr>
  </w:style>
  <w:style w:type="paragraph" w:styleId="Nincstrkz">
    <w:name w:val="No Spacing"/>
    <w:basedOn w:val="Norml"/>
    <w:uiPriority w:val="1"/>
    <w:rsid w:val="00713ACC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713ACC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713ACC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713ACC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13ACC"/>
    <w:rPr>
      <w:b/>
      <w:i/>
    </w:rPr>
  </w:style>
  <w:style w:type="character" w:styleId="Erskiemels">
    <w:name w:val="Intense Emphasis"/>
    <w:basedOn w:val="Bekezdsalapbettpusa"/>
    <w:uiPriority w:val="21"/>
    <w:rsid w:val="00713ACC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713ACC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713ACC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713ACC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713AC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713ACC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713ACC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713AC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713ACC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713ACC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713ACC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713ACC"/>
  </w:style>
  <w:style w:type="paragraph" w:customStyle="1" w:styleId="ENNormalBox">
    <w:name w:val="EN_Normal_Box"/>
    <w:basedOn w:val="Norml"/>
    <w:uiPriority w:val="1"/>
    <w:qFormat/>
    <w:rsid w:val="00713ACC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713ACC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713ACC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713ACC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713ACC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713ACC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713AC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713ACC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713ACC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713AC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713ACC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713ACC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713ACC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713ACC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713ACC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713ACC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713ACC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713ACC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713ACC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713ACC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713ACC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713ACC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713ACC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713ACC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713ACC"/>
    <w:rPr>
      <w:b w:val="0"/>
      <w:caps w:val="0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874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Vámosi Anikó</dc:creator>
  <cp:keywords/>
  <dc:description/>
  <cp:lastModifiedBy>MNB</cp:lastModifiedBy>
  <cp:revision>6</cp:revision>
  <cp:lastPrinted>1900-12-31T23:00:00Z</cp:lastPrinted>
  <dcterms:created xsi:type="dcterms:W3CDTF">2023-10-11T07:57:00Z</dcterms:created>
  <dcterms:modified xsi:type="dcterms:W3CDTF">2024-12-04T11:39:00Z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2028-10-11T07:57:35Z</vt:filetime>
  </property>
  <property fmtid="{D5CDD505-2E9C-101B-9397-08002B2CF9AE}" pid="3" name="Érvényességet beállító">
    <vt:lpwstr>vamosia</vt:lpwstr>
  </property>
  <property fmtid="{D5CDD505-2E9C-101B-9397-08002B2CF9AE}" pid="4" name="Érvényességi idő első beállítása">
    <vt:filetime>2023-10-11T07:57:35Z</vt:filetime>
  </property>
</Properties>
</file>