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0129D" w14:textId="77777777" w:rsidR="00B15FE8" w:rsidRPr="00693977" w:rsidRDefault="00B15FE8" w:rsidP="0005391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693977">
        <w:rPr>
          <w:rFonts w:ascii="Arial" w:hAnsi="Arial" w:cs="Arial"/>
          <w:b/>
          <w:bCs/>
        </w:rPr>
        <w:t xml:space="preserve">A Magyar Nemzeti Bank elnökének </w:t>
      </w:r>
    </w:p>
    <w:p w14:paraId="3156E8A1" w14:textId="28ABF22C" w:rsidR="00B15FE8" w:rsidRPr="00693977" w:rsidRDefault="006C59B5" w:rsidP="0005391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56/</w:t>
      </w:r>
      <w:r w:rsidR="00B15FE8" w:rsidRPr="00693977">
        <w:rPr>
          <w:rFonts w:ascii="Arial" w:hAnsi="Arial" w:cs="Arial"/>
          <w:b/>
          <w:bCs/>
        </w:rPr>
        <w:t>20</w:t>
      </w:r>
      <w:r w:rsidR="00B15FE8">
        <w:rPr>
          <w:rFonts w:ascii="Arial" w:hAnsi="Arial" w:cs="Arial"/>
          <w:b/>
          <w:bCs/>
        </w:rPr>
        <w:t>24</w:t>
      </w:r>
      <w:r w:rsidR="00B15FE8" w:rsidRPr="00693977">
        <w:rPr>
          <w:rFonts w:ascii="Arial" w:hAnsi="Arial" w:cs="Arial"/>
          <w:b/>
          <w:bCs/>
        </w:rPr>
        <w:t>. (</w:t>
      </w:r>
      <w:r>
        <w:rPr>
          <w:rFonts w:ascii="Arial" w:hAnsi="Arial" w:cs="Arial"/>
          <w:b/>
          <w:bCs/>
        </w:rPr>
        <w:t>XII. 3</w:t>
      </w:r>
      <w:r w:rsidR="00B15FE8">
        <w:rPr>
          <w:rFonts w:ascii="Arial" w:hAnsi="Arial" w:cs="Arial"/>
          <w:b/>
          <w:bCs/>
        </w:rPr>
        <w:t>.</w:t>
      </w:r>
      <w:r w:rsidR="00B15FE8" w:rsidRPr="00693977">
        <w:rPr>
          <w:rFonts w:ascii="Arial" w:hAnsi="Arial" w:cs="Arial"/>
          <w:b/>
          <w:bCs/>
        </w:rPr>
        <w:t>) MNB rendelete</w:t>
      </w:r>
    </w:p>
    <w:p w14:paraId="6E2728ED" w14:textId="77777777" w:rsidR="00B15FE8" w:rsidRPr="00693977" w:rsidRDefault="00B15FE8" w:rsidP="0005391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693977">
        <w:rPr>
          <w:rFonts w:ascii="Arial" w:hAnsi="Arial" w:cs="Arial"/>
          <w:b/>
          <w:bCs/>
        </w:rPr>
        <w:t>a tőkepiaci szervezetek által a jegybanki információs rendszerhez elsődlegesen a Magyar Nemzeti Bank felügyeleti feladatai ellátása érdekében teljesítendő adatszolgáltatási kötelezettségekről</w:t>
      </w:r>
    </w:p>
    <w:p w14:paraId="400CF7B5" w14:textId="3A2E9E6A" w:rsidR="00F53FBA" w:rsidRDefault="00F53FBA" w:rsidP="00053919">
      <w:pPr>
        <w:spacing w:after="0" w:line="240" w:lineRule="auto"/>
        <w:outlineLvl w:val="0"/>
        <w:rPr>
          <w:rFonts w:ascii="Arial" w:eastAsia="Times New Roman" w:hAnsi="Arial" w:cs="Arial"/>
          <w:b/>
          <w:bCs/>
        </w:rPr>
      </w:pPr>
    </w:p>
    <w:p w14:paraId="2B4C793E" w14:textId="77777777" w:rsidR="00790560" w:rsidRPr="002A00C8" w:rsidRDefault="00790560" w:rsidP="00053919">
      <w:pPr>
        <w:spacing w:after="0" w:line="240" w:lineRule="auto"/>
        <w:outlineLvl w:val="0"/>
        <w:rPr>
          <w:rFonts w:ascii="Arial" w:eastAsia="Times New Roman" w:hAnsi="Arial" w:cs="Arial"/>
          <w:b/>
          <w:bCs/>
        </w:rPr>
      </w:pPr>
    </w:p>
    <w:p w14:paraId="7F19CD0A" w14:textId="77777777" w:rsidR="00053919" w:rsidRPr="002A00C8" w:rsidRDefault="00053919" w:rsidP="002A00C8">
      <w:pPr>
        <w:spacing w:after="0" w:line="240" w:lineRule="auto"/>
        <w:outlineLvl w:val="0"/>
        <w:rPr>
          <w:rFonts w:ascii="Arial" w:eastAsia="Times New Roman" w:hAnsi="Arial" w:cs="Arial"/>
          <w:b/>
          <w:bCs/>
        </w:rPr>
      </w:pPr>
    </w:p>
    <w:p w14:paraId="4C87B32B" w14:textId="788D0FE9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A Magyar Nemzeti Bankról szóló 2013. évi CXXXIX. törvény 171. § (1) bekezdés i) pontjában kapott felhatalmazás alapján, a Magyar Nemzeti Bankról szóló 2013. évi CXXXIX. törvény 4. § (6) és (9) bekezdésében meghatározott feladatkörömben eljárva a következőket rendelem el:</w:t>
      </w:r>
    </w:p>
    <w:p w14:paraId="6B876095" w14:textId="77777777" w:rsidR="00053919" w:rsidRDefault="00053919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0CF15F5A" w14:textId="56C8817F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1.</w:t>
      </w:r>
      <w:r w:rsidR="0005391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E rendelet hatálya a befektetési vállalkozásokról és az árutőzsdei szolgáltatókról, valamint az általuk végezhető tevékenységek szabályairól szóló </w:t>
      </w:r>
      <w:hyperlink r:id="rId8" w:history="1">
        <w:r w:rsidRPr="00F53FBA">
          <w:rPr>
            <w:rFonts w:ascii="Arial" w:eastAsia="Times New Roman" w:hAnsi="Arial" w:cs="Arial"/>
          </w:rPr>
          <w:t>2007. évi CXXXVIII. törvény (a továbbiakban: Bszt.)</w:t>
        </w:r>
      </w:hyperlink>
      <w:r w:rsidRPr="00F53FBA">
        <w:rPr>
          <w:rFonts w:ascii="Arial" w:eastAsia="Times New Roman" w:hAnsi="Arial" w:cs="Arial"/>
        </w:rPr>
        <w:t xml:space="preserve"> hatálya alá tartozó szervezetre, a befektetési alapra és befektetési alapkezelőre, valamint a központi értéktári, központi szerződő fél és tőzsdei tevékenységet végző szervezetre (a továbbiakban együtt: adatszolgáltató) terjed ki.</w:t>
      </w:r>
    </w:p>
    <w:p w14:paraId="1F68CBD8" w14:textId="77777777" w:rsidR="00053919" w:rsidRDefault="00053919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2E3B44C" w14:textId="7ABEFD02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2.</w:t>
      </w:r>
      <w:r w:rsidR="0005391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az e rendeletben foglaltak szerint rendszeres és eseti adatszolgáltatást (a továbbiakban: felügyeleti jelentés) teljesít a Magyar Nemzeti Bank (a továbbiakban: MNB) részére.</w:t>
      </w:r>
    </w:p>
    <w:p w14:paraId="14888EB8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felügyeleti jelentés elkészítésének alapját az adatszolgáltató által alkalmazott számviteli szabályozás szerint készített főkönyvi, analitikus és egyéb nyilvántartások képezik.</w:t>
      </w:r>
    </w:p>
    <w:p w14:paraId="55D7EAC8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 felügyeleti jelentés alapjául szolgáló dokumentumokat, a számviteli, nyilvántartási, informatikai rendszerekben tárolt információkat a felügyeleti jelentés esedékessége naptári évének utolsó napjától számított öt évig kell megőrizni.</w:t>
      </w:r>
    </w:p>
    <w:p w14:paraId="08F7CE22" w14:textId="77777777" w:rsidR="00E91378" w:rsidRDefault="00E91378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756CE80" w14:textId="068CC401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3.</w:t>
      </w:r>
      <w:r w:rsidR="00E91378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e rendelet szerinti felügyeleti jelentés teljesítésére vonatkozó kötelezettsége – a (2) bekezdésben foglalt kivétellel – az MNB által kiadott tevékenységi engedélyről szóló határozat véglegessé válása napjától a tevékenységi engedély visszavonásáról szóló határozat véglegessé válása napjáig áll fenn.</w:t>
      </w:r>
    </w:p>
    <w:p w14:paraId="383CE828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fióktelep az e rendelet szerinti felügyeleti jelentést a működése megkezdésének napjától a tevékenysége befejezésének napjáig teljesíti.</w:t>
      </w:r>
    </w:p>
    <w:p w14:paraId="74B2F8DD" w14:textId="77777777" w:rsidR="00E91378" w:rsidRDefault="00E91378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13A31057" w14:textId="6148084B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4.</w:t>
      </w:r>
      <w:r w:rsidR="00E91378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Bszt. hatálya alá tartozó szervezet, valamint a központi értéktári tevékenységet végző szervezet – a (2) és (3) bekezdésben foglalt kivétellel – a 2. mellékletben foglaltaknak megfelelő tartalommal, formában, gyakorisággal és határidőre felügyeleti jelentést teljesít az MNB részére.</w:t>
      </w:r>
    </w:p>
    <w:p w14:paraId="71B689DB" w14:textId="2B302F56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Bszt. 5. § (2) bekezdés a) és b) pontjában meghatározott befektetési szolgáltatási tevékenységet kiegészítő szolgáltatás végzésére nem jogosult adatszolgáltató adatszolgáltatási kötelezettsége a 2. melléklet „ÖSSZEFOGLALÓ TÁBLA” megnevezésű táblázat 2–9., 14., 22., 23. és 31. sorában meghatározott felügyeleti jelentésre nem terjed ki.</w:t>
      </w:r>
    </w:p>
    <w:p w14:paraId="02D395D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 központi értéktári tevékenységet végző szervezet a központi értékpapír-nyilvántartás adatait – az értékpapír ISIN azonosítójának, fajtájának, egyéb jellemzőinek, valamint a kibocsátó adatainak megnevezésével – elektronikus formában, a tárgyidőszakot követő munkanap 10.00 óráig küldi meg az MNB részére.</w:t>
      </w:r>
    </w:p>
    <w:p w14:paraId="0A290A24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(4) Az (1) bekezdés szerinti felügyeleti jelentés kitöltésére vonatkozó általános előírásokat az 1. melléklet, a kitöltésre vonatkozó részletes előírásokat a 3. melléklet I. és II. pontja tartalmazza.</w:t>
      </w:r>
    </w:p>
    <w:p w14:paraId="6376CC2A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(5) A központi értéktári tevékenységet végző szervezet az (EU) 2018/1229 felhatalmazáson alapuló bizottsági rendelet 14. cikke szerinti jelentést a 3. melléklet III. pontjában foglalt kitöltési előírásokat is figyelembe véve teljesíti.</w:t>
      </w:r>
    </w:p>
    <w:p w14:paraId="2D3F855F" w14:textId="77777777" w:rsidR="0044615E" w:rsidRDefault="0044615E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F8343DC" w14:textId="23730C59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5.</w:t>
      </w:r>
      <w:r w:rsidR="0044615E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befektetési alap és a befektetési alapkezelő – a (2) és (3) bekezdésben foglalt kivétellel – a 4. mellékletben foglaltaknak megfelelő tartalommal, formában, gyakorisággal és határidőre felügyeleti jelentést teljesít az MNB részére.</w:t>
      </w:r>
    </w:p>
    <w:p w14:paraId="49CF2CF5" w14:textId="523904B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(2) A Bszt. 5. § (2) bekezdés a) és </w:t>
      </w:r>
      <w:hyperlink r:id="rId9" w:history="1">
        <w:r w:rsidRPr="00F53FBA">
          <w:rPr>
            <w:rFonts w:ascii="Arial" w:eastAsia="Times New Roman" w:hAnsi="Arial" w:cs="Arial"/>
          </w:rPr>
          <w:t>b) pont</w:t>
        </w:r>
      </w:hyperlink>
      <w:r w:rsidRPr="00F53FBA">
        <w:rPr>
          <w:rFonts w:ascii="Arial" w:eastAsia="Times New Roman" w:hAnsi="Arial" w:cs="Arial"/>
        </w:rPr>
        <w:t>jában meghatározott befektetési szolgáltatási tevékenységet kiegészítő szolgáltatás végzésére nem jogosult adatszolgáltató adatszolgáltatási kötelezettsége a 4. melléklet „ÖSSZEFOGLALÓ TÁBLA” megnevezésű táblázat 1. és 2. sorában meghatározott felügyeleti jelentésre nem terjed ki.</w:t>
      </w:r>
    </w:p>
    <w:p w14:paraId="2BFC8B45" w14:textId="14F0B7CF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 kollektív befektetési formákról és kezelőikről, valamint egyes pénzügyi tárgyú törvények módosításáról szóló 2014. évi XVI. törvény (a továbbiakban: Kbftv.) 1. § a) pontjában meghatározott kockázati tőkealap-kezelő és ABAK adatszolgáltatási kötelezettsége a 4. melléklet „ÖSSZEFOGLALÓ TÁBLA” megnevezésű táblázat 24. sorában meghatározott felügyeleti jelentésre terjed ki.</w:t>
      </w:r>
    </w:p>
    <w:p w14:paraId="1277AEDC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(4) A kitöltésre vonatkozó általános előírásokat az 1. melléklet, a kitöltésre vonatkozó részletes előírásokat az 5. melléklet tartalmazza.</w:t>
      </w:r>
    </w:p>
    <w:p w14:paraId="147BEAC4" w14:textId="0FAD89C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lastRenderedPageBreak/>
        <w:t>6.</w:t>
      </w:r>
      <w:r w:rsidR="0044615E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Bszt. hatálya alá tartozó, magyarországi székhelyű befektetési vállalkozás a 6. mellékletben foglaltaknak megfelelő tartalommal, formában, gyakorisággal és határidőre felügyeleti jelentést teljesít a tárgyévi javadalmazási adatokról az MNB részére.</w:t>
      </w:r>
    </w:p>
    <w:p w14:paraId="70EA278F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7. melléklet tartalmazza.</w:t>
      </w:r>
    </w:p>
    <w:p w14:paraId="0B068D6F" w14:textId="77777777" w:rsidR="00970FF4" w:rsidRDefault="00970FF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61FC884A" w14:textId="0F8B49CC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7.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Bszt. hatálya alá tartozó, értékpapírszámla vezetésére engedéllyel rendelkező szervezet, valamint a Kbftv. hatálya alá tartozó, értékpapírszámla vezetésére engedéllyel rendelkező befektetési alapkezelő a 8. mellékletben foglaltaknak megfelelő tartalommal, formában, gyakorisággal és határidőre felügyeleti jelentést teljesít az értékpapírszámla-jóváírások, értékpapírszámla-terhelések adatairól az MNB részére.</w:t>
      </w:r>
    </w:p>
    <w:p w14:paraId="30057C17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9. melléklet tartalmazza.</w:t>
      </w:r>
    </w:p>
    <w:p w14:paraId="43C4B1D1" w14:textId="77777777" w:rsidR="00970FF4" w:rsidRDefault="00970FF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D7645D6" w14:textId="6D9ADAEB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8.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tőzsdei tevékenységet végző szervezet a 10. mellékletben foglaltaknak megfelelő tartalommal, formában, gyakorisággal és határidőre felügyeleti jelentést teljesít az MNB részére.</w:t>
      </w:r>
    </w:p>
    <w:p w14:paraId="1D620786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11. melléklet tartalmazza.</w:t>
      </w:r>
    </w:p>
    <w:p w14:paraId="6B29BA10" w14:textId="77777777" w:rsidR="00970FF4" w:rsidRDefault="00970FF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4C75EEB" w14:textId="68CD51F8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9.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ÁÉKBV-alapkezelő, az ABAK és a befektetési vállalkozás az (EU) 2021/897 bizottsági végrehajtási rendelet 3. cikke szerinti éves adatszolgáltatást a tárgyévi mérleg fordulónapját követő 16. héten belül teljesíti az MNB részére.</w:t>
      </w:r>
    </w:p>
    <w:p w14:paraId="7F9142E5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Az ÁÉKBV-alapkezelő, az ABAK és a befektetési vállalkozás az (EU) 2019/1238 európai parlamenti és tanácsi rendelet 40. cikk (1) bekezdése szerinti felügyelet ellátása céljából szükséges információkat tartalmazó szöveges jelentést (a továbbiakban: PEPP szöveges jelentés) a 12. mellékletben foglaltaknak megfelelő tartalommal</w:t>
      </w:r>
    </w:p>
    <w:p w14:paraId="02C0501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a) évente, a tárgyévi mérleg fordulónapját követő 18. héten belül, valamint</w:t>
      </w:r>
    </w:p>
    <w:p w14:paraId="26CE4B5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b) a páneurópai egyéni nyugdíjtermék üzletágban (a továbbiakban: PEPP-üzletág) bekövetkezett jelentős változás esetén, a változást követő 6 héten belül</w:t>
      </w:r>
    </w:p>
    <w:p w14:paraId="532E1F07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teljesíti az MNB részére.</w:t>
      </w:r>
    </w:p>
    <w:p w14:paraId="42D1A111" w14:textId="77777777" w:rsidR="005364B4" w:rsidRDefault="005364B4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B694422" w14:textId="27CE86D0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10.</w:t>
      </w:r>
      <w:r w:rsidR="005364B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– a (2) bekezdésben foglaltak kivételével – a felügyeleti jelentést, a 231/2013/EU felhatalmazáson alapuló bizottsági rendelet 110. cikke, az (EU) 2017/393 bizottsági végrehajtási rendelet, az (EU) 2018/708 bizottsági végrehajtási rendelet, az (EU) 2018/1229 felhatalmazáson alapuló bizottsági rendelet 14. cikke, az (EU) 2021/451 bizottsági végrehajtási rendelet, illetve az (EU) 2021/897 bizottsági végrehajtási rendelet szerinti adatszolgáltatásokat, valamint a PEPP szöveges jelentést az MNB által meghatározott elektronikus formában, fokozott biztonságú vagy minősített elektronikus aláírással ellátva az MNB „Elektronikus Rendszer Hitelesített Adatok Fogadásához” megnevezésű rendszerén (a továbbiakban: ERA rendszer) keresztül teljesíti.</w:t>
      </w:r>
    </w:p>
    <w:p w14:paraId="0067981C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Az adatszolgáltató a 8. § (1) bekezdése szerinti felügyeleti jelentést, valamint a 600/2014/EU európai parlamenti és tanácsi rendelet 26. cikke alapján fennálló adatszolgáltatási kötelezettségét az ERA rendszerben az MNB által erre a célra kiépített elektronikus csatornán (a továbbiakban: webes szolgáltatás) keresztül, az adatszolgáltatást fokozott biztonságú vagy minősített elektronikus aláírással ellátva teljesíti.</w:t>
      </w:r>
    </w:p>
    <w:p w14:paraId="21430FCA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Az adatszolgáltató a felügyeleti jelentés, adatszolgáltatás teljesítésében való akadályoztatásával kapcsolatos bejelentését elektronikus formában, az ERA rendszeren keresztül nyújtja be az MNB részére.</w:t>
      </w:r>
    </w:p>
    <w:p w14:paraId="24C172E8" w14:textId="29D35871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(4) Az ERA rendszer használatára, valamint a felügyeleti jelentés, adatszolgáltatás teljesítésében való akadályoztatás bejelentésére vonatkozó szabályokat a jegybanki információs rendszerhez elsődlegesen a Magyar Nemzeti Bank alapvető feladatai ellátása érdekében teljesítendő adatszolgáltatási kötelezettségekről </w:t>
      </w:r>
      <w:r w:rsidRPr="007610D9">
        <w:rPr>
          <w:rFonts w:ascii="Arial" w:eastAsia="Times New Roman" w:hAnsi="Arial" w:cs="Arial"/>
        </w:rPr>
        <w:t xml:space="preserve">szóló </w:t>
      </w:r>
      <w:r w:rsidR="006C59B5">
        <w:rPr>
          <w:rFonts w:ascii="Arial" w:eastAsia="Times New Roman" w:hAnsi="Arial" w:cs="Arial"/>
        </w:rPr>
        <w:t>54</w:t>
      </w:r>
      <w:hyperlink r:id="rId10" w:history="1">
        <w:r w:rsidRPr="007610D9">
          <w:rPr>
            <w:rFonts w:ascii="Arial" w:eastAsia="Times New Roman" w:hAnsi="Arial" w:cs="Arial"/>
          </w:rPr>
          <w:t>/202</w:t>
        </w:r>
        <w:r w:rsidR="007610D9" w:rsidRPr="007610D9">
          <w:rPr>
            <w:rFonts w:ascii="Arial" w:eastAsia="Times New Roman" w:hAnsi="Arial" w:cs="Arial"/>
          </w:rPr>
          <w:t>4</w:t>
        </w:r>
        <w:r w:rsidRPr="007610D9">
          <w:rPr>
            <w:rFonts w:ascii="Arial" w:eastAsia="Times New Roman" w:hAnsi="Arial" w:cs="Arial"/>
          </w:rPr>
          <w:t>. (</w:t>
        </w:r>
        <w:r w:rsidR="006C59B5">
          <w:rPr>
            <w:rFonts w:ascii="Arial" w:eastAsia="Times New Roman" w:hAnsi="Arial" w:cs="Arial"/>
          </w:rPr>
          <w:t>XII. 3.</w:t>
        </w:r>
        <w:r w:rsidRPr="007610D9">
          <w:rPr>
            <w:rFonts w:ascii="Arial" w:eastAsia="Times New Roman" w:hAnsi="Arial" w:cs="Arial"/>
          </w:rPr>
          <w:t>) MNB rendelet (a továbbiakban: alapvető feladatokhoz kapcsolódó adatszolgáltatási MNBr.) 2. melléklet</w:t>
        </w:r>
      </w:hyperlink>
      <w:r w:rsidRPr="00F53FBA">
        <w:rPr>
          <w:rFonts w:ascii="Arial" w:eastAsia="Times New Roman" w:hAnsi="Arial" w:cs="Arial"/>
        </w:rPr>
        <w:t xml:space="preserve"> I. B. 1. pontja, az ERA rendszer használatát segítő részletes útmutatást az </w:t>
      </w:r>
      <w:r w:rsidRPr="007610D9">
        <w:rPr>
          <w:rFonts w:ascii="Arial" w:eastAsia="Times New Roman" w:hAnsi="Arial" w:cs="Arial"/>
        </w:rPr>
        <w:t>alapvető feladatokhoz kapcsolódó adatszolgáltatási MNBr. 3. melléklet 3. pont</w:t>
      </w:r>
      <w:r w:rsidRPr="00F53FBA">
        <w:rPr>
          <w:rFonts w:ascii="Arial" w:eastAsia="Times New Roman" w:hAnsi="Arial" w:cs="Arial"/>
        </w:rPr>
        <w:t>ja szerinti, az MNB honlapján közzétett technikai segédletek tartalmazzák. A webes szolgáltatás használatát segítő útmutatást a 600/2014/EU európai parlamenti és tanácsi rendelet 26. cikke alapján fennálló adatszolgáltatási kötelezettség webes szolgáltatás útján való teljesítéséről szóló, az MNB honlapján közzétett tájékoztató tartalmazza.</w:t>
      </w:r>
    </w:p>
    <w:p w14:paraId="05F62E74" w14:textId="77777777" w:rsidR="00225F45" w:rsidRDefault="00225F45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C61EAD3" w14:textId="3916ACBC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11.</w:t>
      </w:r>
      <w:r w:rsidR="00225F45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Ha az MNB megállapítja, hogy a felügyeleti jelentés javítást igényel, az adatszolgáltató a javított felügyeleti jelentést az MNB javításra vonatkozó felszólítása kézhezvételétől számított 2 munkanapon belül küldi meg az MNB részére.</w:t>
      </w:r>
    </w:p>
    <w:p w14:paraId="437A7180" w14:textId="486F49E4" w:rsidR="00F53FBA" w:rsidRDefault="00F53FBA" w:rsidP="00053919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Ha az adatszolgáltató a felügyeleti jelentés teljesítését követően olyan, az adatszolgáltató által – számviteli politikájában vagy egyéb módon – meghatározott jelentős mértékű eltérést tár fel, amely a 2. § (2) bekezdése szerinti, a felügyeleti jelentés alapjául szolgáló nyilvántartások javítását teszi szükségessé, akkor a felügyeleti jelentést visszamenőleg is, az eltéréssel érintett teljes időszakra vonatkozóan módosítja. A jelen bekezdés szerint módosított felügyeleti jelentést az eltérés feltárásától számított 15 munkanapon belül küldi meg az adat</w:t>
      </w:r>
      <w:r w:rsidR="007610D9">
        <w:rPr>
          <w:rFonts w:ascii="Arial" w:eastAsia="Times New Roman" w:hAnsi="Arial" w:cs="Arial"/>
        </w:rPr>
        <w:t xml:space="preserve"> </w:t>
      </w:r>
      <w:r w:rsidRPr="00F53FBA">
        <w:rPr>
          <w:rFonts w:ascii="Arial" w:eastAsia="Times New Roman" w:hAnsi="Arial" w:cs="Arial"/>
        </w:rPr>
        <w:t>szolgáltató az MNB részére.</w:t>
      </w:r>
    </w:p>
    <w:p w14:paraId="2B396E70" w14:textId="77777777" w:rsidR="00B77D59" w:rsidRPr="00F53FBA" w:rsidRDefault="00B77D59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</w:p>
    <w:p w14:paraId="5A1C1186" w14:textId="6BA95A7E" w:rsidR="007610D9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12.</w:t>
      </w:r>
      <w:r w:rsidR="00B77D5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</w:t>
      </w:r>
      <w:r w:rsidR="007610D9">
        <w:rPr>
          <w:rFonts w:ascii="Arial" w:eastAsia="Times New Roman" w:hAnsi="Arial" w:cs="Arial"/>
        </w:rPr>
        <w:t xml:space="preserve">(1) </w:t>
      </w:r>
      <w:r w:rsidRPr="00F53FBA">
        <w:rPr>
          <w:rFonts w:ascii="Arial" w:eastAsia="Times New Roman" w:hAnsi="Arial" w:cs="Arial"/>
        </w:rPr>
        <w:t xml:space="preserve">Ez a rendelet </w:t>
      </w:r>
      <w:r w:rsidR="007610D9">
        <w:rPr>
          <w:rFonts w:ascii="Arial" w:hAnsi="Arial" w:cs="Arial"/>
        </w:rPr>
        <w:t xml:space="preserve">– </w:t>
      </w:r>
      <w:r w:rsidR="007610D9" w:rsidRPr="005966A6">
        <w:rPr>
          <w:rFonts w:ascii="Arial" w:hAnsi="Arial" w:cs="Arial"/>
        </w:rPr>
        <w:t xml:space="preserve">a </w:t>
      </w:r>
      <w:r w:rsidR="007610D9" w:rsidRPr="00E56548">
        <w:rPr>
          <w:rFonts w:ascii="Arial" w:hAnsi="Arial" w:cs="Arial"/>
        </w:rPr>
        <w:t>(2)</w:t>
      </w:r>
      <w:r w:rsidR="007610D9">
        <w:rPr>
          <w:rFonts w:ascii="Arial" w:hAnsi="Arial" w:cs="Arial"/>
        </w:rPr>
        <w:t xml:space="preserve"> </w:t>
      </w:r>
      <w:r w:rsidR="007610D9" w:rsidRPr="005966A6">
        <w:rPr>
          <w:rFonts w:ascii="Arial" w:hAnsi="Arial" w:cs="Arial"/>
        </w:rPr>
        <w:t>bekezdésben</w:t>
      </w:r>
      <w:r w:rsidR="007610D9">
        <w:rPr>
          <w:rFonts w:ascii="Arial" w:hAnsi="Arial" w:cs="Arial"/>
        </w:rPr>
        <w:t xml:space="preserve"> foglaltak kivételével – 2025. január 1-jén</w:t>
      </w:r>
      <w:r w:rsidR="007610D9" w:rsidRPr="00503DC1">
        <w:rPr>
          <w:rFonts w:ascii="Arial" w:hAnsi="Arial" w:cs="Arial"/>
        </w:rPr>
        <w:t xml:space="preserve"> lép hatályba</w:t>
      </w:r>
      <w:r w:rsidRPr="00F53FBA">
        <w:rPr>
          <w:rFonts w:ascii="Arial" w:eastAsia="Times New Roman" w:hAnsi="Arial" w:cs="Arial"/>
        </w:rPr>
        <w:t>.</w:t>
      </w:r>
    </w:p>
    <w:p w14:paraId="23D951B7" w14:textId="193C9A9E" w:rsidR="007610D9" w:rsidRPr="00F53FBA" w:rsidRDefault="007610D9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(2) A </w:t>
      </w:r>
      <w:r w:rsidR="002A0538" w:rsidRPr="002A0538">
        <w:rPr>
          <w:rFonts w:ascii="Arial" w:hAnsi="Arial"/>
        </w:rPr>
        <w:t>1</w:t>
      </w:r>
      <w:r w:rsidR="00F55179">
        <w:rPr>
          <w:rFonts w:ascii="Arial" w:hAnsi="Arial"/>
        </w:rPr>
        <w:t>5</w:t>
      </w:r>
      <w:r w:rsidRPr="002A0538">
        <w:rPr>
          <w:rFonts w:ascii="Arial" w:hAnsi="Arial"/>
        </w:rPr>
        <w:t xml:space="preserve">. §, valamint </w:t>
      </w:r>
      <w:r w:rsidRPr="00E04069">
        <w:rPr>
          <w:rFonts w:ascii="Arial" w:hAnsi="Arial"/>
        </w:rPr>
        <w:t xml:space="preserve">a </w:t>
      </w:r>
      <w:r w:rsidR="00B06F4E" w:rsidRPr="00E04069">
        <w:rPr>
          <w:rFonts w:ascii="Arial" w:hAnsi="Arial"/>
        </w:rPr>
        <w:t>13</w:t>
      </w:r>
      <w:r w:rsidR="00E6208F">
        <w:rPr>
          <w:rFonts w:ascii="Arial" w:hAnsi="Arial"/>
        </w:rPr>
        <w:t xml:space="preserve">. és </w:t>
      </w:r>
      <w:r w:rsidR="00B06F4E" w:rsidRPr="00E04069">
        <w:rPr>
          <w:rFonts w:ascii="Arial" w:hAnsi="Arial"/>
        </w:rPr>
        <w:t>14</w:t>
      </w:r>
      <w:r w:rsidRPr="00E04069">
        <w:rPr>
          <w:rFonts w:ascii="Arial" w:hAnsi="Arial"/>
        </w:rPr>
        <w:t>. melléklet</w:t>
      </w:r>
      <w:r>
        <w:rPr>
          <w:rFonts w:ascii="Arial" w:hAnsi="Arial"/>
        </w:rPr>
        <w:t xml:space="preserve"> </w:t>
      </w:r>
      <w:r>
        <w:rPr>
          <w:rFonts w:ascii="Arial" w:hAnsi="Arial" w:cs="Arial"/>
          <w:bCs/>
          <w:color w:val="000000"/>
        </w:rPr>
        <w:t>2025. április 1-jén lép hatályba.</w:t>
      </w:r>
    </w:p>
    <w:p w14:paraId="7A1EC5E0" w14:textId="77777777" w:rsidR="00B77D59" w:rsidRDefault="00B77D59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666E1CEC" w14:textId="4E17CC4C" w:rsid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13.</w:t>
      </w:r>
      <w:r w:rsidR="00B77D5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a tőkepiaci szervezetek által a jegybanki információs rendszerhez elsődlegesen a Magyar Nemzeti Bank felügyeleti feladatai ellátása érdekében teljesítendő adatszolgáltatási kötelezettségekről szóló </w:t>
      </w:r>
      <w:r w:rsidRPr="00E04069">
        <w:rPr>
          <w:rFonts w:ascii="Arial" w:eastAsia="Times New Roman" w:hAnsi="Arial" w:cs="Arial"/>
        </w:rPr>
        <w:t>5</w:t>
      </w:r>
      <w:r w:rsidR="00592EF7" w:rsidRPr="00E04069">
        <w:rPr>
          <w:rFonts w:ascii="Arial" w:eastAsia="Times New Roman" w:hAnsi="Arial" w:cs="Arial"/>
        </w:rPr>
        <w:t>8</w:t>
      </w:r>
      <w:r w:rsidRPr="00E04069">
        <w:rPr>
          <w:rFonts w:ascii="Arial" w:eastAsia="Times New Roman" w:hAnsi="Arial" w:cs="Arial"/>
        </w:rPr>
        <w:t>/202</w:t>
      </w:r>
      <w:r w:rsidR="00592EF7" w:rsidRPr="00E04069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 (XI. 2</w:t>
      </w:r>
      <w:r w:rsidR="00592EF7" w:rsidRPr="00E04069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>.) MNB rendelet [a továbbiakban: 5</w:t>
      </w:r>
      <w:r w:rsidR="00592EF7" w:rsidRPr="00E04069">
        <w:rPr>
          <w:rFonts w:ascii="Arial" w:eastAsia="Times New Roman" w:hAnsi="Arial" w:cs="Arial"/>
        </w:rPr>
        <w:t>8</w:t>
      </w:r>
      <w:r w:rsidRPr="00E04069">
        <w:rPr>
          <w:rFonts w:ascii="Arial" w:eastAsia="Times New Roman" w:hAnsi="Arial" w:cs="Arial"/>
        </w:rPr>
        <w:t>/202</w:t>
      </w:r>
      <w:r w:rsidR="00592EF7" w:rsidRPr="00E04069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 (XI. 2</w:t>
      </w:r>
      <w:r w:rsidR="00592EF7" w:rsidRPr="00E04069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 xml:space="preserve">.) MNB rendelet] </w:t>
      </w:r>
      <w:r w:rsidRPr="00F53FBA">
        <w:rPr>
          <w:rFonts w:ascii="Arial" w:eastAsia="Times New Roman" w:hAnsi="Arial" w:cs="Arial"/>
        </w:rPr>
        <w:t>szerinti, 202</w:t>
      </w:r>
      <w:r w:rsidR="00592EF7">
        <w:rPr>
          <w:rFonts w:ascii="Arial" w:eastAsia="Times New Roman" w:hAnsi="Arial" w:cs="Arial"/>
        </w:rPr>
        <w:t>5</w:t>
      </w:r>
      <w:r w:rsidRPr="00F53FBA">
        <w:rPr>
          <w:rFonts w:ascii="Arial" w:eastAsia="Times New Roman" w:hAnsi="Arial" w:cs="Arial"/>
        </w:rPr>
        <w:t>. január 1-jét megelőző tárgyidőszakra vonatkozó felügyeleti jelentés, adatszolgáltatás teljesítése során –</w:t>
      </w:r>
      <w:r w:rsidR="00E306FD" w:rsidRPr="00E306FD">
        <w:rPr>
          <w:rFonts w:ascii="Arial" w:eastAsia="Times New Roman" w:hAnsi="Arial" w:cs="Arial"/>
        </w:rPr>
        <w:t xml:space="preserve"> </w:t>
      </w:r>
      <w:r w:rsidR="00E306FD" w:rsidRPr="00F53FBA">
        <w:rPr>
          <w:rFonts w:ascii="Arial" w:eastAsia="Times New Roman" w:hAnsi="Arial" w:cs="Arial"/>
        </w:rPr>
        <w:t>az 5</w:t>
      </w:r>
      <w:r w:rsidR="00E306FD">
        <w:rPr>
          <w:rFonts w:ascii="Arial" w:eastAsia="Times New Roman" w:hAnsi="Arial" w:cs="Arial"/>
        </w:rPr>
        <w:t>8</w:t>
      </w:r>
      <w:r w:rsidR="00E306FD" w:rsidRPr="00F53FBA">
        <w:rPr>
          <w:rFonts w:ascii="Arial" w:eastAsia="Times New Roman" w:hAnsi="Arial" w:cs="Arial"/>
        </w:rPr>
        <w:t>/202</w:t>
      </w:r>
      <w:r w:rsidR="00E306FD">
        <w:rPr>
          <w:rFonts w:ascii="Arial" w:eastAsia="Times New Roman" w:hAnsi="Arial" w:cs="Arial"/>
        </w:rPr>
        <w:t>3</w:t>
      </w:r>
      <w:r w:rsidR="00E306FD" w:rsidRPr="00F53FBA">
        <w:rPr>
          <w:rFonts w:ascii="Arial" w:eastAsia="Times New Roman" w:hAnsi="Arial" w:cs="Arial"/>
        </w:rPr>
        <w:t>. (XI. 2</w:t>
      </w:r>
      <w:r w:rsidR="00E306FD">
        <w:rPr>
          <w:rFonts w:ascii="Arial" w:eastAsia="Times New Roman" w:hAnsi="Arial" w:cs="Arial"/>
        </w:rPr>
        <w:t>4</w:t>
      </w:r>
      <w:r w:rsidR="00E306FD" w:rsidRPr="00F53FBA">
        <w:rPr>
          <w:rFonts w:ascii="Arial" w:eastAsia="Times New Roman" w:hAnsi="Arial" w:cs="Arial"/>
        </w:rPr>
        <w:t>.)</w:t>
      </w:r>
      <w:r w:rsidR="00E306FD">
        <w:rPr>
          <w:rFonts w:ascii="Arial" w:eastAsia="Times New Roman" w:hAnsi="Arial" w:cs="Arial"/>
        </w:rPr>
        <w:t xml:space="preserve"> </w:t>
      </w:r>
      <w:r w:rsidR="00E306FD" w:rsidRPr="00F53FBA">
        <w:rPr>
          <w:rFonts w:ascii="Arial" w:eastAsia="Times New Roman" w:hAnsi="Arial" w:cs="Arial"/>
        </w:rPr>
        <w:t xml:space="preserve">MNB </w:t>
      </w:r>
      <w:r w:rsidR="00E306FD" w:rsidRPr="00E04069">
        <w:rPr>
          <w:rFonts w:ascii="Arial" w:eastAsia="Times New Roman" w:hAnsi="Arial" w:cs="Arial"/>
        </w:rPr>
        <w:t xml:space="preserve">rendelet </w:t>
      </w:r>
      <w:r w:rsidR="00E306FD">
        <w:rPr>
          <w:rFonts w:ascii="Arial" w:eastAsia="Times New Roman" w:hAnsi="Arial" w:cs="Arial"/>
        </w:rPr>
        <w:t>2</w:t>
      </w:r>
      <w:r w:rsidR="00E306FD" w:rsidRPr="00E04069">
        <w:rPr>
          <w:rFonts w:ascii="Arial" w:eastAsia="Times New Roman" w:hAnsi="Arial" w:cs="Arial"/>
        </w:rPr>
        <w:t>. melléklet</w:t>
      </w:r>
      <w:r w:rsidR="00E306FD" w:rsidRPr="00F53FBA">
        <w:rPr>
          <w:rFonts w:ascii="Arial" w:eastAsia="Times New Roman" w:hAnsi="Arial" w:cs="Arial"/>
        </w:rPr>
        <w:t xml:space="preserve"> „ÖSSZEFOGLALÓ TÁBLA” megnevezésű táblázat </w:t>
      </w:r>
      <w:r w:rsidR="00E306FD">
        <w:rPr>
          <w:rFonts w:ascii="Arial" w:eastAsia="Times New Roman" w:hAnsi="Arial" w:cs="Arial"/>
        </w:rPr>
        <w:t>27</w:t>
      </w:r>
      <w:r w:rsidR="00E306FD" w:rsidRPr="00F53FBA">
        <w:rPr>
          <w:rFonts w:ascii="Arial" w:eastAsia="Times New Roman" w:hAnsi="Arial" w:cs="Arial"/>
        </w:rPr>
        <w:t>. sorában</w:t>
      </w:r>
      <w:r w:rsidR="00C17F0D">
        <w:rPr>
          <w:rFonts w:ascii="Arial" w:eastAsia="Times New Roman" w:hAnsi="Arial" w:cs="Arial"/>
        </w:rPr>
        <w:t xml:space="preserve"> </w:t>
      </w:r>
      <w:r w:rsidR="00E306FD">
        <w:rPr>
          <w:rFonts w:ascii="Arial" w:eastAsia="Times New Roman" w:hAnsi="Arial" w:cs="Arial"/>
        </w:rPr>
        <w:t xml:space="preserve">és </w:t>
      </w:r>
      <w:r w:rsidR="00A0176E" w:rsidRPr="00F53FBA">
        <w:rPr>
          <w:rFonts w:ascii="Arial" w:eastAsia="Times New Roman" w:hAnsi="Arial" w:cs="Arial"/>
        </w:rPr>
        <w:t>az 5</w:t>
      </w:r>
      <w:r w:rsidR="00A0176E">
        <w:rPr>
          <w:rFonts w:ascii="Arial" w:eastAsia="Times New Roman" w:hAnsi="Arial" w:cs="Arial"/>
        </w:rPr>
        <w:t>8</w:t>
      </w:r>
      <w:r w:rsidR="00A0176E" w:rsidRPr="00F53FBA">
        <w:rPr>
          <w:rFonts w:ascii="Arial" w:eastAsia="Times New Roman" w:hAnsi="Arial" w:cs="Arial"/>
        </w:rPr>
        <w:t>/202</w:t>
      </w:r>
      <w:r w:rsidR="00A0176E">
        <w:rPr>
          <w:rFonts w:ascii="Arial" w:eastAsia="Times New Roman" w:hAnsi="Arial" w:cs="Arial"/>
        </w:rPr>
        <w:t>3</w:t>
      </w:r>
      <w:r w:rsidR="00A0176E" w:rsidRPr="00F53FBA">
        <w:rPr>
          <w:rFonts w:ascii="Arial" w:eastAsia="Times New Roman" w:hAnsi="Arial" w:cs="Arial"/>
        </w:rPr>
        <w:t>. (XI. 2</w:t>
      </w:r>
      <w:r w:rsidR="00A0176E">
        <w:rPr>
          <w:rFonts w:ascii="Arial" w:eastAsia="Times New Roman" w:hAnsi="Arial" w:cs="Arial"/>
        </w:rPr>
        <w:t>4</w:t>
      </w:r>
      <w:r w:rsidR="00A0176E" w:rsidRPr="00F53FBA">
        <w:rPr>
          <w:rFonts w:ascii="Arial" w:eastAsia="Times New Roman" w:hAnsi="Arial" w:cs="Arial"/>
        </w:rPr>
        <w:t>.)</w:t>
      </w:r>
      <w:r w:rsidR="00A0176E">
        <w:rPr>
          <w:rFonts w:ascii="Arial" w:eastAsia="Times New Roman" w:hAnsi="Arial" w:cs="Arial"/>
        </w:rPr>
        <w:t xml:space="preserve"> </w:t>
      </w:r>
      <w:r w:rsidR="00A0176E" w:rsidRPr="00F53FBA">
        <w:rPr>
          <w:rFonts w:ascii="Arial" w:eastAsia="Times New Roman" w:hAnsi="Arial" w:cs="Arial"/>
        </w:rPr>
        <w:t xml:space="preserve">MNB </w:t>
      </w:r>
      <w:r w:rsidR="00A0176E" w:rsidRPr="00E04069">
        <w:rPr>
          <w:rFonts w:ascii="Arial" w:eastAsia="Times New Roman" w:hAnsi="Arial" w:cs="Arial"/>
        </w:rPr>
        <w:t xml:space="preserve">rendelet </w:t>
      </w:r>
      <w:r w:rsidR="00A0176E">
        <w:rPr>
          <w:rFonts w:ascii="Arial" w:eastAsia="Times New Roman" w:hAnsi="Arial" w:cs="Arial"/>
        </w:rPr>
        <w:t>4</w:t>
      </w:r>
      <w:r w:rsidR="00A0176E" w:rsidRPr="00E04069">
        <w:rPr>
          <w:rFonts w:ascii="Arial" w:eastAsia="Times New Roman" w:hAnsi="Arial" w:cs="Arial"/>
        </w:rPr>
        <w:t>. melléklet</w:t>
      </w:r>
      <w:r w:rsidR="00A0176E" w:rsidRPr="00F53FBA">
        <w:rPr>
          <w:rFonts w:ascii="Arial" w:eastAsia="Times New Roman" w:hAnsi="Arial" w:cs="Arial"/>
        </w:rPr>
        <w:t xml:space="preserve"> „ÖSSZEFOGLALÓ TÁBLA” megnevezésű táblázat </w:t>
      </w:r>
      <w:r w:rsidR="00A0176E">
        <w:rPr>
          <w:rFonts w:ascii="Arial" w:eastAsia="Times New Roman" w:hAnsi="Arial" w:cs="Arial"/>
        </w:rPr>
        <w:t>12</w:t>
      </w:r>
      <w:r w:rsidR="00A0176E" w:rsidRPr="00F53FBA">
        <w:rPr>
          <w:rFonts w:ascii="Arial" w:eastAsia="Times New Roman" w:hAnsi="Arial" w:cs="Arial"/>
        </w:rPr>
        <w:t xml:space="preserve">. sorában </w:t>
      </w:r>
      <w:r w:rsidRPr="00F53FBA">
        <w:rPr>
          <w:rFonts w:ascii="Arial" w:eastAsia="Times New Roman" w:hAnsi="Arial" w:cs="Arial"/>
        </w:rPr>
        <w:t xml:space="preserve">meghatározott felügyeleti jelentés kivételével – az </w:t>
      </w:r>
      <w:r w:rsidRPr="00E04069">
        <w:rPr>
          <w:rFonts w:ascii="Arial" w:eastAsia="Times New Roman" w:hAnsi="Arial" w:cs="Arial"/>
        </w:rPr>
        <w:t>5</w:t>
      </w:r>
      <w:r w:rsidR="00E04069" w:rsidRPr="00E04069">
        <w:rPr>
          <w:rFonts w:ascii="Arial" w:eastAsia="Times New Roman" w:hAnsi="Arial" w:cs="Arial"/>
        </w:rPr>
        <w:t>8</w:t>
      </w:r>
      <w:r w:rsidRPr="00E04069">
        <w:rPr>
          <w:rFonts w:ascii="Arial" w:eastAsia="Times New Roman" w:hAnsi="Arial" w:cs="Arial"/>
        </w:rPr>
        <w:t>/202</w:t>
      </w:r>
      <w:r w:rsidR="00E04069" w:rsidRPr="00E04069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 (XI. 2</w:t>
      </w:r>
      <w:r w:rsidR="00E04069" w:rsidRPr="00E04069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>.) MNB rendelet</w:t>
      </w:r>
      <w:r w:rsidRPr="00F53FBA">
        <w:rPr>
          <w:rFonts w:ascii="Arial" w:eastAsia="Times New Roman" w:hAnsi="Arial" w:cs="Arial"/>
        </w:rPr>
        <w:t xml:space="preserve"> szabályait alkalmazza.</w:t>
      </w:r>
    </w:p>
    <w:p w14:paraId="225767EC" w14:textId="0C6A1390" w:rsidR="00B34ED2" w:rsidRPr="00F53FBA" w:rsidRDefault="00B34ED2" w:rsidP="005E0909">
      <w:pPr>
        <w:autoSpaceDE w:val="0"/>
        <w:autoSpaceDN w:val="0"/>
        <w:adjustRightInd w:val="0"/>
        <w:spacing w:after="0"/>
        <w:ind w:firstLine="142"/>
        <w:rPr>
          <w:rFonts w:ascii="Arial" w:eastAsia="Times New Roman" w:hAnsi="Arial" w:cs="Arial"/>
        </w:rPr>
      </w:pPr>
      <w:r>
        <w:rPr>
          <w:rFonts w:ascii="Arial" w:hAnsi="Arial" w:cs="Arial"/>
          <w:bCs/>
          <w:kern w:val="36"/>
        </w:rPr>
        <w:t xml:space="preserve">(2) </w:t>
      </w:r>
      <w:r w:rsidRPr="007B7116">
        <w:rPr>
          <w:rFonts w:ascii="Arial" w:hAnsi="Arial" w:cs="Arial"/>
          <w:bCs/>
          <w:kern w:val="36"/>
        </w:rPr>
        <w:t xml:space="preserve">Az adatszolgáltató a 2. melléklet „ÖSSZEFOGLALÓ TÁBLA” megnevezésű táblázat </w:t>
      </w:r>
      <w:r>
        <w:rPr>
          <w:rFonts w:ascii="Arial" w:hAnsi="Arial" w:cs="Arial"/>
          <w:bCs/>
          <w:kern w:val="36"/>
        </w:rPr>
        <w:t xml:space="preserve">27. </w:t>
      </w:r>
      <w:r w:rsidRPr="007B7116">
        <w:rPr>
          <w:rFonts w:ascii="Arial" w:hAnsi="Arial" w:cs="Arial"/>
          <w:bCs/>
          <w:kern w:val="36"/>
        </w:rPr>
        <w:t>sor</w:t>
      </w:r>
      <w:r>
        <w:rPr>
          <w:rFonts w:ascii="Arial" w:hAnsi="Arial" w:cs="Arial"/>
          <w:bCs/>
          <w:kern w:val="36"/>
        </w:rPr>
        <w:t>ában meg</w:t>
      </w:r>
      <w:r>
        <w:rPr>
          <w:rFonts w:ascii="Arial" w:hAnsi="Arial" w:cs="Arial"/>
          <w:bCs/>
        </w:rPr>
        <w:t>határozott</w:t>
      </w:r>
      <w:r w:rsidRPr="007B7116">
        <w:rPr>
          <w:rFonts w:ascii="Arial" w:hAnsi="Arial" w:cs="Arial"/>
          <w:bCs/>
          <w:kern w:val="36"/>
        </w:rPr>
        <w:t xml:space="preserve"> felügyeleti jelentést első alkalommal </w:t>
      </w:r>
      <w:r>
        <w:rPr>
          <w:rFonts w:ascii="Arial" w:hAnsi="Arial" w:cs="Arial"/>
          <w:bCs/>
          <w:kern w:val="36"/>
        </w:rPr>
        <w:t>2024</w:t>
      </w:r>
      <w:r w:rsidRPr="007B7116">
        <w:rPr>
          <w:rFonts w:ascii="Arial" w:hAnsi="Arial" w:cs="Arial"/>
          <w:bCs/>
          <w:kern w:val="36"/>
        </w:rPr>
        <w:t xml:space="preserve">. </w:t>
      </w:r>
      <w:r>
        <w:rPr>
          <w:rFonts w:ascii="Arial" w:hAnsi="Arial" w:cs="Arial"/>
          <w:bCs/>
          <w:kern w:val="36"/>
        </w:rPr>
        <w:t>IV. negyedévre</w:t>
      </w:r>
      <w:r w:rsidRPr="007B7116">
        <w:rPr>
          <w:rFonts w:ascii="Arial" w:hAnsi="Arial" w:cs="Arial"/>
          <w:bCs/>
          <w:kern w:val="36"/>
        </w:rPr>
        <w:t xml:space="preserve"> mint tárgyidőszakra vonatkozóan teljesíti.</w:t>
      </w:r>
    </w:p>
    <w:p w14:paraId="75A44D61" w14:textId="31E2452C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</w:t>
      </w:r>
      <w:r w:rsidR="00E306FD">
        <w:rPr>
          <w:rFonts w:ascii="Arial" w:eastAsia="Times New Roman" w:hAnsi="Arial" w:cs="Arial"/>
        </w:rPr>
        <w:t>3</w:t>
      </w:r>
      <w:r w:rsidRPr="00F53FBA">
        <w:rPr>
          <w:rFonts w:ascii="Arial" w:eastAsia="Times New Roman" w:hAnsi="Arial" w:cs="Arial"/>
        </w:rPr>
        <w:t xml:space="preserve">) Az adatszolgáltató a </w:t>
      </w:r>
      <w:r w:rsidR="00696611">
        <w:rPr>
          <w:rFonts w:ascii="Arial" w:eastAsia="Times New Roman" w:hAnsi="Arial" w:cs="Arial"/>
        </w:rPr>
        <w:t>4</w:t>
      </w:r>
      <w:r w:rsidRPr="00F53FBA">
        <w:rPr>
          <w:rFonts w:ascii="Arial" w:eastAsia="Times New Roman" w:hAnsi="Arial" w:cs="Arial"/>
        </w:rPr>
        <w:t xml:space="preserve">. melléklet „ÖSSZEFOGLALÓ TÁBLA” megnevezésű táblázat </w:t>
      </w:r>
      <w:r w:rsidR="00C65B92">
        <w:rPr>
          <w:rFonts w:ascii="Arial" w:eastAsia="Times New Roman" w:hAnsi="Arial" w:cs="Arial"/>
        </w:rPr>
        <w:t>12</w:t>
      </w:r>
      <w:r w:rsidRPr="00F53FBA">
        <w:rPr>
          <w:rFonts w:ascii="Arial" w:eastAsia="Times New Roman" w:hAnsi="Arial" w:cs="Arial"/>
        </w:rPr>
        <w:t>. sorában meghatározott felügyeleti jelentést első alkalommal 202</w:t>
      </w:r>
      <w:r w:rsidR="00D52479">
        <w:rPr>
          <w:rFonts w:ascii="Arial" w:eastAsia="Times New Roman" w:hAnsi="Arial" w:cs="Arial"/>
        </w:rPr>
        <w:t>4</w:t>
      </w:r>
      <w:r w:rsidRPr="00F53FBA">
        <w:rPr>
          <w:rFonts w:ascii="Arial" w:eastAsia="Times New Roman" w:hAnsi="Arial" w:cs="Arial"/>
        </w:rPr>
        <w:t>. évre mint tárgyidőszakra vonatkozóan teljesíti.</w:t>
      </w:r>
    </w:p>
    <w:p w14:paraId="55921099" w14:textId="508464ED" w:rsidR="00696611" w:rsidRDefault="003F2AC8" w:rsidP="002A00C8">
      <w:pPr>
        <w:autoSpaceDE w:val="0"/>
        <w:autoSpaceDN w:val="0"/>
        <w:adjustRightInd w:val="0"/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  <w:r>
        <w:rPr>
          <w:rFonts w:ascii="Arial" w:hAnsi="Arial" w:cs="Arial"/>
          <w:bCs/>
          <w:kern w:val="36"/>
        </w:rPr>
        <w:t>(</w:t>
      </w:r>
      <w:r w:rsidR="00E306FD">
        <w:rPr>
          <w:rFonts w:ascii="Arial" w:hAnsi="Arial" w:cs="Arial"/>
          <w:bCs/>
          <w:kern w:val="36"/>
        </w:rPr>
        <w:t>4</w:t>
      </w:r>
      <w:r>
        <w:rPr>
          <w:rFonts w:ascii="Arial" w:hAnsi="Arial" w:cs="Arial"/>
          <w:bCs/>
          <w:kern w:val="36"/>
        </w:rPr>
        <w:t xml:space="preserve">) </w:t>
      </w:r>
      <w:r w:rsidRPr="00301097">
        <w:rPr>
          <w:rFonts w:ascii="Arial" w:hAnsi="Arial" w:cs="Arial"/>
        </w:rPr>
        <w:t xml:space="preserve">Az adatszolgáltató a </w:t>
      </w:r>
      <w:r>
        <w:rPr>
          <w:rFonts w:ascii="Arial" w:hAnsi="Arial" w:cs="Arial"/>
        </w:rPr>
        <w:t xml:space="preserve">PEPP </w:t>
      </w:r>
      <w:r w:rsidRPr="00301097">
        <w:rPr>
          <w:rFonts w:ascii="Arial" w:hAnsi="Arial" w:cs="Arial"/>
        </w:rPr>
        <w:t>szöveges jelentést első alkalommal a PEPP regisztrációja évére mint tárgyidőszakra vonatkozóan teljesíti.</w:t>
      </w:r>
    </w:p>
    <w:p w14:paraId="30BEAB64" w14:textId="77777777" w:rsidR="003F2AC8" w:rsidRDefault="003F2AC8" w:rsidP="00053919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3B5647FC" w14:textId="1C1DA055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14.</w:t>
      </w:r>
      <w:r w:rsidR="00696611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E rendelet</w:t>
      </w:r>
    </w:p>
    <w:p w14:paraId="78145C9F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1. 9. § (1) bekezdésében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vonatkozó, 2021. március 4-i (EU) 2021/897 bizottsági végrehajtási rendelet 3. cikke,</w:t>
      </w:r>
    </w:p>
    <w:p w14:paraId="403231C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2. 9. § (2) bekezdésében, valamint 12. mellékletében a páneurópai egyéni nyugdíjtermékről (PEPP) szóló, 2019. június 20-i (EU) 2019/1238 európai parlamenti és tanácsi rendelet 40. cikk (2) bekezdés a) pontja,</w:t>
      </w:r>
    </w:p>
    <w:p w14:paraId="60AD70FE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3. 10. § (1), (3) és (4) bekezdésében, valamint 1. melléklet 4.10. pontjában a 2011/61/EU európai parlamenti és tanácsi irányelvnek a mentességek, az általános működési feltételek, a letétkezelők, a tőkeáttétel, az átláthatóság és a felügyelet tekintetében történő kiegészítéséről szóló, 2012. december 19-i 231/2013/EU felhatalmazáson alapuló bizottsági rendelet 110. cikke, az internalizált kiegyenlítésről szóló információk bejelentéséhez és továbbításához alkalmazandó táblákra és eljárásokra vonatkozó végrehajtás-technikai standardoknak a 909/2014/EU európai parlamenti és tanácsi rendelettel összhangban történő megállapításáról szóló, 2016. november 11-i (EU) 2017/393 bizottsági végrehajtási rendelet, az (EU) 2017/1131 európai parlamenti és tanácsi rendelet 37. cikkében előírt, illetékes hatóságoknak történő jelentéstételkor a pénzpiaci alapok kezelői által használandó űrlapra vonatkozó végrehajtás-technikai standardok megállapításáról szóló, 2018. április 17-i (EU) 2018/708 bizottsági végrehajtási rendelet, a 909/2014/EU európai parlamenti és tanácsi rendeletnek a kiegyenlítési fegyelemre vonatkozó szabályozástechnikai standardok tekintetében történő kiegészítéséről szóló, 2018. május 25-i (EU) 2018/1229 felhatalmazáson alapuló bizottsági rendelet 14. cikke, a páneurópai egyéni nyugdíjtermékről (PEPP) szóló, 2019. június 20-i (EU) 2019/1238 európai parlamenti és tanácsi rendelet 40. cikk (2) bekezdés a) pontja, az 575/2013/EU európai parlamenti és tanácsi rendeletnek az intézmények felügyeleti adatszolgáltatása tekintetében történő alkalmazására vonatkozó végrehajtás-technikai standardok megállapításáról és a 680/2014/EU végrehajtási rendelet hatályon kívül helyezéséről szóló, 2020. december 17-i (EU) 2021/451 bizottsági végrehajtási rendelet 21. cikk (1) bekezdése, valamint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vonatkozó, 2021. március 4-i (EU) 2021/897 bizottsági végrehajtási rendelet 3. cikke,</w:t>
      </w:r>
    </w:p>
    <w:p w14:paraId="78D4B336" w14:textId="77777777" w:rsidR="00F53FBA" w:rsidRPr="00F53FBA" w:rsidRDefault="00F53FBA" w:rsidP="002A00C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4. 10. § (2)–(4) bekezdésében a pénzügyi eszközök piacairól és a 648/2012/EU rendelet módosításáról szóló, 2014. május 15-i 600/2014/EU európai parlamenti és tanácsi rendelet 26. cikke</w:t>
      </w:r>
    </w:p>
    <w:p w14:paraId="12EC10E3" w14:textId="77777777" w:rsidR="00F53FBA" w:rsidRPr="00F53FBA" w:rsidRDefault="00F53FBA" w:rsidP="002A00C8">
      <w:pPr>
        <w:spacing w:after="0" w:line="240" w:lineRule="auto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végrehajtásához szükséges rendelkezéseket állapít meg.</w:t>
      </w:r>
    </w:p>
    <w:p w14:paraId="75BD866A" w14:textId="467555A9" w:rsidR="00790560" w:rsidRDefault="00790560">
      <w:pPr>
        <w:spacing w:after="0" w:line="240" w:lineRule="auto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D69B0CD" w14:textId="38963E13" w:rsidR="002A0538" w:rsidRDefault="00F030A0" w:rsidP="002A00C8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lastRenderedPageBreak/>
        <w:t>15</w:t>
      </w:r>
      <w:r w:rsidR="002A0538" w:rsidRPr="002A0538">
        <w:rPr>
          <w:rFonts w:ascii="Arial" w:hAnsi="Arial" w:cs="Arial"/>
          <w:b/>
          <w:bCs/>
        </w:rPr>
        <w:t>. §</w:t>
      </w:r>
      <w:r w:rsidR="002A0538">
        <w:rPr>
          <w:rFonts w:ascii="Arial" w:hAnsi="Arial" w:cs="Arial"/>
        </w:rPr>
        <w:t xml:space="preserve"> </w:t>
      </w:r>
      <w:r w:rsidR="002A0538">
        <w:rPr>
          <w:rFonts w:ascii="Arial" w:hAnsi="Arial" w:cs="Arial"/>
          <w:bCs/>
        </w:rPr>
        <w:t>A 2</w:t>
      </w:r>
      <w:r w:rsidR="002F042B">
        <w:rPr>
          <w:rFonts w:ascii="Arial" w:hAnsi="Arial" w:cs="Arial"/>
          <w:bCs/>
        </w:rPr>
        <w:t xml:space="preserve">. és </w:t>
      </w:r>
      <w:r w:rsidR="002A0538">
        <w:rPr>
          <w:rFonts w:ascii="Arial" w:hAnsi="Arial" w:cs="Arial"/>
          <w:bCs/>
        </w:rPr>
        <w:t>3. melléklet a 13</w:t>
      </w:r>
      <w:r w:rsidR="002F042B">
        <w:rPr>
          <w:rFonts w:ascii="Arial" w:hAnsi="Arial" w:cs="Arial"/>
          <w:bCs/>
        </w:rPr>
        <w:t xml:space="preserve">. és </w:t>
      </w:r>
      <w:r w:rsidR="002A0538">
        <w:rPr>
          <w:rFonts w:ascii="Arial" w:hAnsi="Arial" w:cs="Arial"/>
          <w:bCs/>
        </w:rPr>
        <w:t>14. melléklet szerint módosul.</w:t>
      </w:r>
    </w:p>
    <w:p w14:paraId="359E4134" w14:textId="3AB08E00" w:rsidR="002A0538" w:rsidRPr="00B15FE8" w:rsidRDefault="002A0538" w:rsidP="002A00C8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2DD0C9CA" w14:textId="5EFD2E97" w:rsidR="00B944EB" w:rsidRDefault="00F030A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  <w:r w:rsidRPr="00B15FE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6</w:t>
      </w:r>
      <w:r w:rsidRPr="00B15FE8">
        <w:rPr>
          <w:rFonts w:ascii="Arial" w:hAnsi="Arial" w:cs="Arial"/>
          <w:b/>
        </w:rPr>
        <w:t xml:space="preserve">. § </w:t>
      </w:r>
      <w:r w:rsidRPr="00B15FE8">
        <w:rPr>
          <w:rFonts w:ascii="Arial" w:hAnsi="Arial" w:cs="Arial"/>
        </w:rPr>
        <w:t>Hatályát veszti az 5</w:t>
      </w:r>
      <w:r>
        <w:rPr>
          <w:rFonts w:ascii="Arial" w:hAnsi="Arial" w:cs="Arial"/>
        </w:rPr>
        <w:t>8</w:t>
      </w:r>
      <w:r w:rsidRPr="00B15FE8">
        <w:rPr>
          <w:rFonts w:ascii="Arial" w:hAnsi="Arial" w:cs="Arial"/>
        </w:rPr>
        <w:t>/202</w:t>
      </w:r>
      <w:r>
        <w:rPr>
          <w:rFonts w:ascii="Arial" w:hAnsi="Arial" w:cs="Arial"/>
        </w:rPr>
        <w:t>3</w:t>
      </w:r>
      <w:r w:rsidRPr="00B15FE8">
        <w:rPr>
          <w:rFonts w:ascii="Arial" w:hAnsi="Arial" w:cs="Arial"/>
        </w:rPr>
        <w:t>. (XI. 2</w:t>
      </w:r>
      <w:r>
        <w:rPr>
          <w:rFonts w:ascii="Arial" w:hAnsi="Arial" w:cs="Arial"/>
        </w:rPr>
        <w:t>4</w:t>
      </w:r>
      <w:r w:rsidRPr="00B15FE8">
        <w:rPr>
          <w:rFonts w:ascii="Arial" w:hAnsi="Arial" w:cs="Arial"/>
        </w:rPr>
        <w:t>.) MNB rendelet.</w:t>
      </w:r>
    </w:p>
    <w:p w14:paraId="640D69D8" w14:textId="77777777" w:rsidR="00790560" w:rsidRDefault="0079056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50DD5D1F" w14:textId="77777777" w:rsidR="00790560" w:rsidRDefault="0079056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1DAB109D" w14:textId="77777777" w:rsidR="00790560" w:rsidRDefault="0079056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6CA794D4" w14:textId="77777777" w:rsidR="00790560" w:rsidRDefault="00790560" w:rsidP="00F030A0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7F8CAF3F" w14:textId="66D0CAA5" w:rsidR="00790560" w:rsidRDefault="00790560" w:rsidP="00790560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</w:rPr>
      </w:pPr>
      <w:r>
        <w:rPr>
          <w:rFonts w:ascii="Arial" w:hAnsi="Arial" w:cs="Arial"/>
        </w:rPr>
        <w:t>Dr. Matolcsy György</w:t>
      </w:r>
    </w:p>
    <w:p w14:paraId="18070A1A" w14:textId="4E0F481E" w:rsidR="00790560" w:rsidRPr="00F030A0" w:rsidRDefault="00790560" w:rsidP="00790560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</w:rPr>
      </w:pPr>
      <w:r>
        <w:rPr>
          <w:rFonts w:ascii="Arial" w:hAnsi="Arial" w:cs="Arial"/>
        </w:rPr>
        <w:t>a Magyar Nemzeti Bank elnöke</w:t>
      </w:r>
    </w:p>
    <w:sectPr w:rsidR="00790560" w:rsidRPr="00F030A0" w:rsidSect="00CD6E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33CED" w14:textId="77777777" w:rsidR="00F53FBA" w:rsidRDefault="00F53FBA">
      <w:r>
        <w:separator/>
      </w:r>
    </w:p>
  </w:endnote>
  <w:endnote w:type="continuationSeparator" w:id="0">
    <w:p w14:paraId="3503F980" w14:textId="77777777" w:rsidR="00F53FBA" w:rsidRDefault="00F53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782B0" w14:textId="77777777" w:rsidR="00277088" w:rsidRDefault="0027708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9373327"/>
      <w:docPartObj>
        <w:docPartGallery w:val="Page Numbers (Bottom of Page)"/>
        <w:docPartUnique/>
      </w:docPartObj>
    </w:sdtPr>
    <w:sdtEndPr/>
    <w:sdtContent>
      <w:p w14:paraId="1E7F1EAF" w14:textId="387B3022" w:rsidR="00277088" w:rsidRDefault="0027708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24A9D" w14:textId="77777777" w:rsidR="00277088" w:rsidRDefault="0027708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10AA" w14:textId="77777777" w:rsidR="00F53FBA" w:rsidRDefault="00F53FBA">
      <w:r>
        <w:separator/>
      </w:r>
    </w:p>
  </w:footnote>
  <w:footnote w:type="continuationSeparator" w:id="0">
    <w:p w14:paraId="28961D2B" w14:textId="77777777" w:rsidR="00F53FBA" w:rsidRDefault="00F53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69C30" w14:textId="77777777" w:rsidR="00277088" w:rsidRDefault="0027708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5B0B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2FC5" w14:textId="77777777" w:rsidR="00277088" w:rsidRDefault="0027708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739840">
    <w:abstractNumId w:val="4"/>
  </w:num>
  <w:num w:numId="2" w16cid:durableId="892083767">
    <w:abstractNumId w:val="2"/>
  </w:num>
  <w:num w:numId="3" w16cid:durableId="2104840917">
    <w:abstractNumId w:val="5"/>
  </w:num>
  <w:num w:numId="4" w16cid:durableId="324744906">
    <w:abstractNumId w:val="0"/>
  </w:num>
  <w:num w:numId="5" w16cid:durableId="335772198">
    <w:abstractNumId w:val="1"/>
  </w:num>
  <w:num w:numId="6" w16cid:durableId="235209475">
    <w:abstractNumId w:val="7"/>
  </w:num>
  <w:num w:numId="7" w16cid:durableId="1290824123">
    <w:abstractNumId w:val="3"/>
  </w:num>
  <w:num w:numId="8" w16cid:durableId="462239000">
    <w:abstractNumId w:val="9"/>
  </w:num>
  <w:num w:numId="9" w16cid:durableId="1810659922">
    <w:abstractNumId w:val="7"/>
    <w:lvlOverride w:ilvl="0">
      <w:startOverride w:val="1"/>
    </w:lvlOverride>
  </w:num>
  <w:num w:numId="10" w16cid:durableId="245504066">
    <w:abstractNumId w:val="10"/>
  </w:num>
  <w:num w:numId="11" w16cid:durableId="1211646508">
    <w:abstractNumId w:val="8"/>
  </w:num>
  <w:num w:numId="12" w16cid:durableId="173082913">
    <w:abstractNumId w:val="6"/>
  </w:num>
  <w:num w:numId="13" w16cid:durableId="132453087">
    <w:abstractNumId w:val="5"/>
  </w:num>
  <w:num w:numId="14" w16cid:durableId="64450343">
    <w:abstractNumId w:val="5"/>
  </w:num>
  <w:num w:numId="15" w16cid:durableId="1528955452">
    <w:abstractNumId w:val="5"/>
  </w:num>
  <w:num w:numId="16" w16cid:durableId="733085953">
    <w:abstractNumId w:val="5"/>
  </w:num>
  <w:num w:numId="17" w16cid:durableId="1062098231">
    <w:abstractNumId w:val="5"/>
  </w:num>
  <w:num w:numId="18" w16cid:durableId="70490722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FBA"/>
    <w:rsid w:val="0000273C"/>
    <w:rsid w:val="00017B1B"/>
    <w:rsid w:val="0002498B"/>
    <w:rsid w:val="000250E6"/>
    <w:rsid w:val="00027695"/>
    <w:rsid w:val="00027B62"/>
    <w:rsid w:val="00033357"/>
    <w:rsid w:val="00035697"/>
    <w:rsid w:val="00053919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2858"/>
    <w:rsid w:val="000F2AE0"/>
    <w:rsid w:val="000F30B8"/>
    <w:rsid w:val="000F3B2D"/>
    <w:rsid w:val="000F68FE"/>
    <w:rsid w:val="00101654"/>
    <w:rsid w:val="0010447E"/>
    <w:rsid w:val="0010496C"/>
    <w:rsid w:val="00110868"/>
    <w:rsid w:val="00113C88"/>
    <w:rsid w:val="001255A4"/>
    <w:rsid w:val="00127163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6F6C"/>
    <w:rsid w:val="001747F6"/>
    <w:rsid w:val="0018359E"/>
    <w:rsid w:val="0018619A"/>
    <w:rsid w:val="001870A7"/>
    <w:rsid w:val="00197350"/>
    <w:rsid w:val="001A2BAA"/>
    <w:rsid w:val="001B3486"/>
    <w:rsid w:val="001B7914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248E"/>
    <w:rsid w:val="00214230"/>
    <w:rsid w:val="0021484C"/>
    <w:rsid w:val="0022056B"/>
    <w:rsid w:val="0022319D"/>
    <w:rsid w:val="00225F45"/>
    <w:rsid w:val="0022764E"/>
    <w:rsid w:val="00240124"/>
    <w:rsid w:val="00240C97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751D4"/>
    <w:rsid w:val="00277088"/>
    <w:rsid w:val="002866DE"/>
    <w:rsid w:val="00287D15"/>
    <w:rsid w:val="00290D47"/>
    <w:rsid w:val="00292177"/>
    <w:rsid w:val="002A00C8"/>
    <w:rsid w:val="002A0538"/>
    <w:rsid w:val="002A3B0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E55"/>
    <w:rsid w:val="002F042B"/>
    <w:rsid w:val="002F34ED"/>
    <w:rsid w:val="002F602F"/>
    <w:rsid w:val="00300EE3"/>
    <w:rsid w:val="00302136"/>
    <w:rsid w:val="00313246"/>
    <w:rsid w:val="003231ED"/>
    <w:rsid w:val="00323596"/>
    <w:rsid w:val="00327A74"/>
    <w:rsid w:val="00341BB5"/>
    <w:rsid w:val="00343614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B12B2"/>
    <w:rsid w:val="003B46BE"/>
    <w:rsid w:val="003C5699"/>
    <w:rsid w:val="003D04DD"/>
    <w:rsid w:val="003D52BC"/>
    <w:rsid w:val="003F128A"/>
    <w:rsid w:val="003F2AC8"/>
    <w:rsid w:val="0041484F"/>
    <w:rsid w:val="00423D50"/>
    <w:rsid w:val="0043276D"/>
    <w:rsid w:val="004330EA"/>
    <w:rsid w:val="00434DC6"/>
    <w:rsid w:val="004413FF"/>
    <w:rsid w:val="00442ABF"/>
    <w:rsid w:val="004451FE"/>
    <w:rsid w:val="0044615E"/>
    <w:rsid w:val="00453087"/>
    <w:rsid w:val="00455A38"/>
    <w:rsid w:val="00465939"/>
    <w:rsid w:val="0047029F"/>
    <w:rsid w:val="004729CE"/>
    <w:rsid w:val="00474131"/>
    <w:rsid w:val="00480021"/>
    <w:rsid w:val="0048183A"/>
    <w:rsid w:val="00491483"/>
    <w:rsid w:val="004919C2"/>
    <w:rsid w:val="004924CA"/>
    <w:rsid w:val="00494C89"/>
    <w:rsid w:val="004A534C"/>
    <w:rsid w:val="004A58E3"/>
    <w:rsid w:val="004A5F09"/>
    <w:rsid w:val="004B1A68"/>
    <w:rsid w:val="004C2BCD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312FD"/>
    <w:rsid w:val="005364B4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92EF7"/>
    <w:rsid w:val="005A011E"/>
    <w:rsid w:val="005A3531"/>
    <w:rsid w:val="005A3DDE"/>
    <w:rsid w:val="005A788E"/>
    <w:rsid w:val="005B0A26"/>
    <w:rsid w:val="005C3F73"/>
    <w:rsid w:val="005C498A"/>
    <w:rsid w:val="005C5BB7"/>
    <w:rsid w:val="005D1A2C"/>
    <w:rsid w:val="005D7D04"/>
    <w:rsid w:val="005E0909"/>
    <w:rsid w:val="005F3818"/>
    <w:rsid w:val="005F3E3D"/>
    <w:rsid w:val="00602F0C"/>
    <w:rsid w:val="00603723"/>
    <w:rsid w:val="00610E45"/>
    <w:rsid w:val="0062171A"/>
    <w:rsid w:val="00627BFA"/>
    <w:rsid w:val="00642A07"/>
    <w:rsid w:val="00643529"/>
    <w:rsid w:val="00643CB4"/>
    <w:rsid w:val="00644BE4"/>
    <w:rsid w:val="0067570F"/>
    <w:rsid w:val="00681108"/>
    <w:rsid w:val="00690C97"/>
    <w:rsid w:val="0069441B"/>
    <w:rsid w:val="00696611"/>
    <w:rsid w:val="006A1E15"/>
    <w:rsid w:val="006A54BA"/>
    <w:rsid w:val="006A66EB"/>
    <w:rsid w:val="006B0392"/>
    <w:rsid w:val="006B2726"/>
    <w:rsid w:val="006B4271"/>
    <w:rsid w:val="006C2C3D"/>
    <w:rsid w:val="006C4871"/>
    <w:rsid w:val="006C59B5"/>
    <w:rsid w:val="006C700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32D87"/>
    <w:rsid w:val="00737660"/>
    <w:rsid w:val="007376E0"/>
    <w:rsid w:val="00744A1F"/>
    <w:rsid w:val="00746D82"/>
    <w:rsid w:val="007474DD"/>
    <w:rsid w:val="00754A11"/>
    <w:rsid w:val="007610D9"/>
    <w:rsid w:val="00767D3F"/>
    <w:rsid w:val="00774306"/>
    <w:rsid w:val="00782B80"/>
    <w:rsid w:val="00786EF4"/>
    <w:rsid w:val="00790560"/>
    <w:rsid w:val="00791092"/>
    <w:rsid w:val="007913EE"/>
    <w:rsid w:val="00792C7B"/>
    <w:rsid w:val="007A2BE7"/>
    <w:rsid w:val="007B0117"/>
    <w:rsid w:val="007B1174"/>
    <w:rsid w:val="007B39B9"/>
    <w:rsid w:val="007B7FC8"/>
    <w:rsid w:val="007D67A3"/>
    <w:rsid w:val="007D7E92"/>
    <w:rsid w:val="007E0286"/>
    <w:rsid w:val="007F197C"/>
    <w:rsid w:val="007F1BD2"/>
    <w:rsid w:val="007F1D57"/>
    <w:rsid w:val="007F7E59"/>
    <w:rsid w:val="00823B7E"/>
    <w:rsid w:val="0083252A"/>
    <w:rsid w:val="008349B3"/>
    <w:rsid w:val="0083670C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935BD"/>
    <w:rsid w:val="008936DF"/>
    <w:rsid w:val="008A1C40"/>
    <w:rsid w:val="008B61E3"/>
    <w:rsid w:val="008C474C"/>
    <w:rsid w:val="008C56D8"/>
    <w:rsid w:val="008D6221"/>
    <w:rsid w:val="008E036C"/>
    <w:rsid w:val="008E26F2"/>
    <w:rsid w:val="008E3579"/>
    <w:rsid w:val="008F1529"/>
    <w:rsid w:val="00903AC3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7F22"/>
    <w:rsid w:val="00961F15"/>
    <w:rsid w:val="00962FE4"/>
    <w:rsid w:val="009665AC"/>
    <w:rsid w:val="00970FF4"/>
    <w:rsid w:val="00990B18"/>
    <w:rsid w:val="009A4F0C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F413A"/>
    <w:rsid w:val="00A00F2A"/>
    <w:rsid w:val="00A0176E"/>
    <w:rsid w:val="00A03212"/>
    <w:rsid w:val="00A12BD5"/>
    <w:rsid w:val="00A16867"/>
    <w:rsid w:val="00A17909"/>
    <w:rsid w:val="00A2173F"/>
    <w:rsid w:val="00A244C7"/>
    <w:rsid w:val="00A26654"/>
    <w:rsid w:val="00A26ED3"/>
    <w:rsid w:val="00A3105B"/>
    <w:rsid w:val="00A34F95"/>
    <w:rsid w:val="00A44C60"/>
    <w:rsid w:val="00A5096A"/>
    <w:rsid w:val="00A56BCD"/>
    <w:rsid w:val="00A57D44"/>
    <w:rsid w:val="00A60012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6F4E"/>
    <w:rsid w:val="00B06F8B"/>
    <w:rsid w:val="00B15880"/>
    <w:rsid w:val="00B15FE8"/>
    <w:rsid w:val="00B1673D"/>
    <w:rsid w:val="00B250ED"/>
    <w:rsid w:val="00B25C26"/>
    <w:rsid w:val="00B261BA"/>
    <w:rsid w:val="00B3064A"/>
    <w:rsid w:val="00B3473A"/>
    <w:rsid w:val="00B34ED2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77D59"/>
    <w:rsid w:val="00B800CB"/>
    <w:rsid w:val="00B8074B"/>
    <w:rsid w:val="00B8101A"/>
    <w:rsid w:val="00B83463"/>
    <w:rsid w:val="00B861AB"/>
    <w:rsid w:val="00B944EB"/>
    <w:rsid w:val="00BA2A45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17F0D"/>
    <w:rsid w:val="00C20799"/>
    <w:rsid w:val="00C22FB8"/>
    <w:rsid w:val="00C31F64"/>
    <w:rsid w:val="00C42C21"/>
    <w:rsid w:val="00C43AC5"/>
    <w:rsid w:val="00C522BD"/>
    <w:rsid w:val="00C63F2A"/>
    <w:rsid w:val="00C64F11"/>
    <w:rsid w:val="00C65B92"/>
    <w:rsid w:val="00C72FB8"/>
    <w:rsid w:val="00C80D10"/>
    <w:rsid w:val="00C907C0"/>
    <w:rsid w:val="00C93837"/>
    <w:rsid w:val="00CA398B"/>
    <w:rsid w:val="00CC4CB1"/>
    <w:rsid w:val="00CD36BC"/>
    <w:rsid w:val="00CD6E8D"/>
    <w:rsid w:val="00CD724F"/>
    <w:rsid w:val="00CE188C"/>
    <w:rsid w:val="00CF148C"/>
    <w:rsid w:val="00D00D53"/>
    <w:rsid w:val="00D02170"/>
    <w:rsid w:val="00D03058"/>
    <w:rsid w:val="00D04AEF"/>
    <w:rsid w:val="00D0775C"/>
    <w:rsid w:val="00D11D8B"/>
    <w:rsid w:val="00D144FA"/>
    <w:rsid w:val="00D21043"/>
    <w:rsid w:val="00D265EF"/>
    <w:rsid w:val="00D2761D"/>
    <w:rsid w:val="00D463F1"/>
    <w:rsid w:val="00D52479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62AD"/>
    <w:rsid w:val="00DD7153"/>
    <w:rsid w:val="00DF4F58"/>
    <w:rsid w:val="00E04069"/>
    <w:rsid w:val="00E11F2F"/>
    <w:rsid w:val="00E13A3A"/>
    <w:rsid w:val="00E14CD2"/>
    <w:rsid w:val="00E301AE"/>
    <w:rsid w:val="00E306FD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208F"/>
    <w:rsid w:val="00E653E3"/>
    <w:rsid w:val="00E66AEE"/>
    <w:rsid w:val="00E70FF5"/>
    <w:rsid w:val="00E736A7"/>
    <w:rsid w:val="00E87C26"/>
    <w:rsid w:val="00E91378"/>
    <w:rsid w:val="00EA2361"/>
    <w:rsid w:val="00EB11D4"/>
    <w:rsid w:val="00EB2886"/>
    <w:rsid w:val="00EB398E"/>
    <w:rsid w:val="00EC4096"/>
    <w:rsid w:val="00EC429C"/>
    <w:rsid w:val="00EC6A51"/>
    <w:rsid w:val="00ED0199"/>
    <w:rsid w:val="00ED05AC"/>
    <w:rsid w:val="00ED10E2"/>
    <w:rsid w:val="00EE4050"/>
    <w:rsid w:val="00EE4149"/>
    <w:rsid w:val="00F030A0"/>
    <w:rsid w:val="00F04867"/>
    <w:rsid w:val="00F04E3E"/>
    <w:rsid w:val="00F10771"/>
    <w:rsid w:val="00F205E5"/>
    <w:rsid w:val="00F512A3"/>
    <w:rsid w:val="00F51AB4"/>
    <w:rsid w:val="00F523A8"/>
    <w:rsid w:val="00F53FBA"/>
    <w:rsid w:val="00F54723"/>
    <w:rsid w:val="00F55179"/>
    <w:rsid w:val="00F57359"/>
    <w:rsid w:val="00F57AF5"/>
    <w:rsid w:val="00F60A86"/>
    <w:rsid w:val="00F62B87"/>
    <w:rsid w:val="00F65208"/>
    <w:rsid w:val="00F67BE6"/>
    <w:rsid w:val="00F702E1"/>
    <w:rsid w:val="00F744F2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0F1E4"/>
  <w15:chartTrackingRefBased/>
  <w15:docId w15:val="{CE1E08B7-D94E-485E-A074-C55B0DAD9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C59B5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6C59B5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6C59B5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6C59B5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6C59B5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6C59B5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6C59B5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C59B5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C59B5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C59B5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6C59B5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6C59B5"/>
  </w:style>
  <w:style w:type="table" w:customStyle="1" w:styleId="tblzat-mtrix">
    <w:name w:val="táblázat - mátrix"/>
    <w:basedOn w:val="Normltblzat"/>
    <w:uiPriority w:val="2"/>
    <w:qFormat/>
    <w:rsid w:val="006C59B5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6C59B5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6C59B5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6C59B5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6C59B5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6C59B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C59B5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6C59B5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59B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C59B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C59B5"/>
  </w:style>
  <w:style w:type="paragraph" w:styleId="llb">
    <w:name w:val="footer"/>
    <w:basedOn w:val="Norml"/>
    <w:link w:val="llbChar"/>
    <w:uiPriority w:val="99"/>
    <w:unhideWhenUsed/>
    <w:rsid w:val="006C59B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C59B5"/>
  </w:style>
  <w:style w:type="paragraph" w:customStyle="1" w:styleId="Szmozs">
    <w:name w:val="Számozás"/>
    <w:basedOn w:val="Norml"/>
    <w:uiPriority w:val="4"/>
    <w:qFormat/>
    <w:rsid w:val="006C59B5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6C59B5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6C59B5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6C59B5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6C59B5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6C59B5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6C59B5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6C59B5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6C59B5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6C59B5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C59B5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C59B5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C59B5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6C59B5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6C59B5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6C59B5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6C59B5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6C59B5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6C59B5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6C59B5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6C59B5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6C59B5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6C59B5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6C59B5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6C59B5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6C59B5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6C59B5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6C59B5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6C59B5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6C59B5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6C59B5"/>
  </w:style>
  <w:style w:type="character" w:styleId="Finomhivatkozs">
    <w:name w:val="Subtle Reference"/>
    <w:basedOn w:val="Bekezdsalapbettpusa"/>
    <w:uiPriority w:val="31"/>
    <w:rsid w:val="006C59B5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6C59B5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6C59B5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6C59B5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6C59B5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6C59B5"/>
  </w:style>
  <w:style w:type="paragraph" w:styleId="Alcm">
    <w:name w:val="Subtitle"/>
    <w:basedOn w:val="Norml"/>
    <w:next w:val="Norml"/>
    <w:link w:val="AlcmChar"/>
    <w:uiPriority w:val="11"/>
    <w:rsid w:val="006C59B5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6C59B5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6C59B5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6C59B5"/>
  </w:style>
  <w:style w:type="paragraph" w:customStyle="1" w:styleId="Erskiemels1">
    <w:name w:val="Erős kiemelés1"/>
    <w:basedOn w:val="Norml"/>
    <w:link w:val="ErskiemelsChar"/>
    <w:uiPriority w:val="5"/>
    <w:qFormat/>
    <w:rsid w:val="006C59B5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6C59B5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6C59B5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6C59B5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6C59B5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C59B5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6C59B5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6C59B5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6C59B5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6C59B5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6C59B5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6C59B5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6C59B5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6C59B5"/>
  </w:style>
  <w:style w:type="character" w:styleId="Kiemels2">
    <w:name w:val="Strong"/>
    <w:basedOn w:val="Bekezdsalapbettpusa"/>
    <w:uiPriority w:val="22"/>
    <w:rsid w:val="006C59B5"/>
    <w:rPr>
      <w:b/>
      <w:bCs/>
    </w:rPr>
  </w:style>
  <w:style w:type="character" w:styleId="Kiemels">
    <w:name w:val="Emphasis"/>
    <w:basedOn w:val="Bekezdsalapbettpusa"/>
    <w:uiPriority w:val="6"/>
    <w:qFormat/>
    <w:rsid w:val="006C59B5"/>
    <w:rPr>
      <w:i/>
      <w:iCs/>
    </w:rPr>
  </w:style>
  <w:style w:type="paragraph" w:styleId="Nincstrkz">
    <w:name w:val="No Spacing"/>
    <w:basedOn w:val="Norml"/>
    <w:uiPriority w:val="1"/>
    <w:rsid w:val="006C59B5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6C59B5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6C59B5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6C59B5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C59B5"/>
    <w:rPr>
      <w:b/>
      <w:i/>
    </w:rPr>
  </w:style>
  <w:style w:type="character" w:styleId="Erskiemels">
    <w:name w:val="Intense Emphasis"/>
    <w:basedOn w:val="Bekezdsalapbettpusa"/>
    <w:uiPriority w:val="21"/>
    <w:rsid w:val="006C59B5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6C59B5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6C59B5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6C59B5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6C59B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6C59B5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6C59B5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6C59B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6C59B5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6C59B5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6C59B5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6C59B5"/>
  </w:style>
  <w:style w:type="paragraph" w:customStyle="1" w:styleId="ENNormalBox">
    <w:name w:val="EN_Normal_Box"/>
    <w:basedOn w:val="Norml"/>
    <w:uiPriority w:val="1"/>
    <w:qFormat/>
    <w:rsid w:val="006C59B5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6C59B5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6C59B5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6C59B5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6C59B5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6C59B5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6C59B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6C59B5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6C59B5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6C59B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6C59B5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6C59B5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6C59B5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6C59B5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6C59B5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6C59B5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6C59B5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6C59B5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6C59B5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6C59B5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6C59B5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6C59B5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6C59B5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6C59B5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6C59B5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6A1E15"/>
    <w:rPr>
      <w:b/>
      <w:i/>
    </w:rPr>
  </w:style>
  <w:style w:type="paragraph" w:styleId="Vltozat">
    <w:name w:val="Revision"/>
    <w:hidden/>
    <w:uiPriority w:val="99"/>
    <w:semiHidden/>
    <w:rsid w:val="006A1E15"/>
  </w:style>
  <w:style w:type="character" w:styleId="Jegyzethivatkozs">
    <w:name w:val="annotation reference"/>
    <w:basedOn w:val="Bekezdsalapbettpusa"/>
    <w:uiPriority w:val="99"/>
    <w:semiHidden/>
    <w:unhideWhenUsed/>
    <w:rsid w:val="0012716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27163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127163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71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7163"/>
    <w:rPr>
      <w:b/>
      <w:bCs/>
    </w:rPr>
  </w:style>
  <w:style w:type="paragraph" w:customStyle="1" w:styleId="Erskiemels3">
    <w:name w:val="Erős kiemelés3"/>
    <w:basedOn w:val="Norml"/>
    <w:uiPriority w:val="5"/>
    <w:qFormat/>
    <w:rsid w:val="004C2BCD"/>
    <w:rPr>
      <w:b/>
      <w:i/>
    </w:rPr>
  </w:style>
  <w:style w:type="paragraph" w:customStyle="1" w:styleId="Erskiemels4">
    <w:name w:val="Erős kiemelés4"/>
    <w:basedOn w:val="Norml"/>
    <w:uiPriority w:val="5"/>
    <w:qFormat/>
    <w:rsid w:val="0021248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07-138-00-0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jt.hu/jogszabaly/2021-54-20-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jt.hu/jogszabaly/2007-138-00-0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1772</Words>
  <Characters>12762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Pál Dr.</dc:creator>
  <cp:keywords/>
  <dc:description/>
  <cp:lastModifiedBy>MNB</cp:lastModifiedBy>
  <cp:revision>6</cp:revision>
  <cp:lastPrinted>2024-07-23T12:05:00Z</cp:lastPrinted>
  <dcterms:created xsi:type="dcterms:W3CDTF">2024-10-11T08:33:00Z</dcterms:created>
  <dcterms:modified xsi:type="dcterms:W3CDTF">2024-12-04T11:49:00Z</dcterms:modified>
</cp:coreProperties>
</file>