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3D425EC9"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65568C">
        <w:rPr>
          <w:rFonts w:cs="Arial"/>
          <w:sz w:val="20"/>
        </w:rPr>
        <w:t>z 56/</w:t>
      </w:r>
      <w:r w:rsidR="0068023F" w:rsidRPr="00C31F0B">
        <w:rPr>
          <w:rFonts w:cs="Arial"/>
          <w:bCs/>
          <w:sz w:val="20"/>
        </w:rPr>
        <w:t>202</w:t>
      </w:r>
      <w:r w:rsidR="0068023F">
        <w:rPr>
          <w:rFonts w:cs="Arial"/>
          <w:bCs/>
          <w:sz w:val="20"/>
          <w:lang w:val="hu-HU"/>
        </w:rPr>
        <w:t>4</w:t>
      </w:r>
      <w:r w:rsidR="008614D8" w:rsidRPr="00C31F0B">
        <w:rPr>
          <w:rFonts w:cs="Arial"/>
          <w:bCs/>
          <w:sz w:val="20"/>
        </w:rPr>
        <w:t>. (</w:t>
      </w:r>
      <w:r w:rsidR="0065568C">
        <w:rPr>
          <w:rFonts w:cs="Arial"/>
          <w:bCs/>
          <w:sz w:val="20"/>
        </w:rPr>
        <w:t>XII. 3.</w:t>
      </w:r>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w:t>
      </w:r>
      <w:proofErr w:type="spellStart"/>
      <w:r>
        <w:rPr>
          <w:rFonts w:cs="Arial"/>
          <w:szCs w:val="20"/>
        </w:rPr>
        <w:t>Öpt</w:t>
      </w:r>
      <w:proofErr w:type="spellEnd"/>
      <w:r>
        <w:rPr>
          <w:rFonts w:cs="Arial"/>
          <w:szCs w:val="20"/>
        </w:rPr>
        <w: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w:t>
      </w:r>
      <w:proofErr w:type="spellStart"/>
      <w:r w:rsidDel="00BD4F21">
        <w:rPr>
          <w:rFonts w:cs="Arial"/>
          <w:bCs/>
          <w:szCs w:val="20"/>
        </w:rPr>
        <w:t>Mpt</w:t>
      </w:r>
      <w:proofErr w:type="spellEnd"/>
      <w:r w:rsidDel="00BD4F21">
        <w:rPr>
          <w:rFonts w:cs="Arial"/>
          <w:bCs/>
          <w:szCs w:val="20"/>
        </w:rPr>
        <w: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proofErr w:type="spellStart"/>
      <w:r w:rsidRPr="0078462A">
        <w:rPr>
          <w:rFonts w:cs="Arial"/>
          <w:bCs/>
          <w:szCs w:val="20"/>
        </w:rPr>
        <w:t>Bszt</w:t>
      </w:r>
      <w:proofErr w:type="spellEnd"/>
      <w:r w:rsidRPr="0078462A">
        <w:rPr>
          <w:rFonts w:cs="Arial"/>
          <w:bCs/>
          <w:szCs w:val="20"/>
        </w:rPr>
        <w: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proofErr w:type="spellStart"/>
      <w:r w:rsidRPr="00BF79B2">
        <w:rPr>
          <w:rFonts w:cs="Arial"/>
          <w:szCs w:val="20"/>
        </w:rPr>
        <w:t>Kbftv</w:t>
      </w:r>
      <w:proofErr w:type="spellEnd"/>
      <w:r w:rsidRPr="00BF79B2">
        <w:rPr>
          <w:rFonts w:cs="Arial"/>
          <w:szCs w:val="20"/>
        </w:rPr>
        <w:t>.</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bookmarkStart w:id="2" w:name="_Hlk172023544"/>
      <w:r w:rsidR="00FD783E">
        <w:rPr>
          <w:rFonts w:cs="Arial"/>
          <w:szCs w:val="20"/>
        </w:rPr>
        <w:t xml:space="preserve">(a továbbiakban: </w:t>
      </w:r>
      <w:proofErr w:type="spellStart"/>
      <w:r w:rsidR="00FD783E">
        <w:rPr>
          <w:rFonts w:cs="Arial"/>
          <w:szCs w:val="20"/>
        </w:rPr>
        <w:t>Pmt</w:t>
      </w:r>
      <w:proofErr w:type="spellEnd"/>
      <w:r w:rsidRPr="00EA070B">
        <w:rPr>
          <w:rFonts w:cs="Arial"/>
          <w:szCs w:val="20"/>
        </w:rPr>
        <w:t>.);</w:t>
      </w:r>
      <w:bookmarkEnd w:id="2"/>
    </w:p>
    <w:p w14:paraId="5C95D7C6" w14:textId="6A969314" w:rsidR="00002FC1" w:rsidRPr="00EA070B" w:rsidRDefault="00251411" w:rsidP="00FD57CD">
      <w:pPr>
        <w:numPr>
          <w:ilvl w:val="0"/>
          <w:numId w:val="5"/>
        </w:numPr>
        <w:autoSpaceDE w:val="0"/>
        <w:autoSpaceDN w:val="0"/>
        <w:adjustRightInd w:val="0"/>
        <w:spacing w:after="120"/>
        <w:ind w:left="567" w:hanging="567"/>
        <w:outlineLvl w:val="0"/>
        <w:rPr>
          <w:rFonts w:cs="Arial"/>
          <w:szCs w:val="20"/>
        </w:rPr>
      </w:pPr>
      <w:r w:rsidRPr="0095010B">
        <w:rPr>
          <w:rFonts w:cs="Arial"/>
        </w:rPr>
        <w:t>a harmadik országbeli állampolgárok beutazására és tartózkodására vonatkozó általános szabályokról </w:t>
      </w:r>
      <w:r>
        <w:rPr>
          <w:rFonts w:cs="Arial"/>
        </w:rPr>
        <w:t xml:space="preserve">szóló </w:t>
      </w:r>
      <w:r w:rsidRPr="0095010B">
        <w:rPr>
          <w:rFonts w:cs="Arial"/>
        </w:rPr>
        <w:t>2023. évi XC. törvény </w:t>
      </w:r>
      <w:r w:rsidRPr="0095010B">
        <w:rPr>
          <w:rFonts w:cs="Arial"/>
          <w:szCs w:val="20"/>
        </w:rPr>
        <w:t xml:space="preserve">(a továbbiakban: </w:t>
      </w:r>
      <w:proofErr w:type="spellStart"/>
      <w:r>
        <w:rPr>
          <w:rFonts w:cs="Arial"/>
        </w:rPr>
        <w:t>Btátv</w:t>
      </w:r>
      <w:proofErr w:type="spellEnd"/>
      <w:r>
        <w:rPr>
          <w:rFonts w:cs="Arial"/>
        </w:rPr>
        <w:t>.</w:t>
      </w:r>
      <w:r w:rsidRPr="0095010B">
        <w:rPr>
          <w:rFonts w:cs="Arial"/>
          <w:szCs w:val="20"/>
        </w:rPr>
        <w:t>);</w:t>
      </w:r>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 xml:space="preserve">a hitelintézetek és a pénzügyi vállalkozások éves beszámoló készítési és könyvvezetési kötelezettségének sajátosságairól szóló 250/2000. (XII. 24.) Korm. rendelet (a továbbiakban: </w:t>
      </w:r>
      <w:proofErr w:type="spellStart"/>
      <w:r w:rsidRPr="001C75C1">
        <w:rPr>
          <w:rFonts w:cs="Arial"/>
          <w:bCs/>
          <w:szCs w:val="20"/>
        </w:rPr>
        <w:t>Hitkr</w:t>
      </w:r>
      <w:proofErr w:type="spellEnd"/>
      <w:r w:rsidRPr="001C75C1">
        <w:rPr>
          <w:rFonts w:cs="Arial"/>
          <w:bCs/>
          <w:szCs w:val="20"/>
        </w:rPr>
        <w:t>.)</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befektetési vállalkozások éves beszámoló készítési és könyvvezetési kötelezettségének sajátosságairól szóló 251/2000. (XII. 24.) Korm. rendelet (a továbbiakban: </w:t>
      </w:r>
      <w:proofErr w:type="spellStart"/>
      <w:r w:rsidRPr="0078462A">
        <w:rPr>
          <w:rFonts w:cs="Arial"/>
          <w:szCs w:val="20"/>
        </w:rPr>
        <w:t>Bkr</w:t>
      </w:r>
      <w:proofErr w:type="spellEnd"/>
      <w:r w:rsidRPr="0078462A">
        <w:rPr>
          <w:rFonts w:cs="Arial"/>
          <w:szCs w:val="20"/>
        </w:rPr>
        <w:t>.);</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w:t>
      </w:r>
      <w:proofErr w:type="spellStart"/>
      <w:r w:rsidRPr="0078172A">
        <w:rPr>
          <w:rFonts w:cs="Arial"/>
          <w:szCs w:val="20"/>
        </w:rPr>
        <w:t>ÁÉKBV</w:t>
      </w:r>
      <w:proofErr w:type="spellEnd"/>
      <w:r w:rsidRPr="0078172A">
        <w:rPr>
          <w:rFonts w:cs="Arial"/>
          <w:szCs w:val="20"/>
        </w:rPr>
        <w:t xml:space="preserve">-alapkezelőre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0E1B811B"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 </w:t>
      </w:r>
      <w:r w:rsidR="00CB20BB">
        <w:rPr>
          <w:rFonts w:cs="Arial"/>
          <w:szCs w:val="20"/>
        </w:rPr>
        <w:t xml:space="preserve">Magyar Nemzeti Bank által felügyelt szolgáltatóknak a </w:t>
      </w:r>
      <w:r w:rsidRPr="0078172A">
        <w:rPr>
          <w:rFonts w:cs="Arial"/>
          <w:szCs w:val="20"/>
        </w:rPr>
        <w:t>pénzmosás és a terrorizmus finanszírozása megelőzéséről és megakadályozásáról szóló törvény</w:t>
      </w:r>
      <w:r w:rsidR="00CB20BB">
        <w:rPr>
          <w:rFonts w:cs="Arial"/>
          <w:szCs w:val="20"/>
        </w:rPr>
        <w:t>ben foglalt egyes kötelezettségei végrehajtásának részletszabályairól</w:t>
      </w:r>
      <w:r w:rsidRPr="0078172A">
        <w:rPr>
          <w:rFonts w:cs="Arial"/>
          <w:szCs w:val="20"/>
        </w:rPr>
        <w:t xml:space="preserve">, valamint </w:t>
      </w:r>
      <w:r w:rsidR="00CB20BB">
        <w:rPr>
          <w:rFonts w:cs="Arial"/>
          <w:szCs w:val="20"/>
        </w:rPr>
        <w:t xml:space="preserve">e szolgáltatóknak </w:t>
      </w:r>
      <w:r w:rsidRPr="0078172A">
        <w:rPr>
          <w:rFonts w:cs="Arial"/>
          <w:szCs w:val="20"/>
        </w:rPr>
        <w:t xml:space="preserve">az Európai Unió </w:t>
      </w:r>
      <w:r w:rsidRPr="0078172A">
        <w:rPr>
          <w:rFonts w:cs="Arial"/>
          <w:szCs w:val="20"/>
        </w:rPr>
        <w:lastRenderedPageBreak/>
        <w:t>és az ENSZ Biztonsági Tanácsa által elrendelt pénzügyi és vagyoni korlátozó intézkedések végrehajtásáról szóló törvény szerinti szűrőrendszer</w:t>
      </w:r>
      <w:r w:rsidR="00CB20BB">
        <w:rPr>
          <w:rFonts w:cs="Arial"/>
          <w:szCs w:val="20"/>
        </w:rPr>
        <w:t>e</w:t>
      </w:r>
      <w:r w:rsidRPr="0078172A">
        <w:rPr>
          <w:rFonts w:cs="Arial"/>
          <w:szCs w:val="20"/>
        </w:rPr>
        <w:t xml:space="preserve"> kidolgozásának és működtetés</w:t>
      </w:r>
      <w:r w:rsidR="00CB20BB">
        <w:rPr>
          <w:rFonts w:cs="Arial"/>
          <w:szCs w:val="20"/>
        </w:rPr>
        <w:t>én</w:t>
      </w:r>
      <w:r w:rsidRPr="0078172A">
        <w:rPr>
          <w:rFonts w:cs="Arial"/>
          <w:szCs w:val="20"/>
        </w:rPr>
        <w:t>e</w:t>
      </w:r>
      <w:r w:rsidR="00CB20BB">
        <w:rPr>
          <w:rFonts w:cs="Arial"/>
          <w:szCs w:val="20"/>
        </w:rPr>
        <w:t>k</w:t>
      </w:r>
      <w:r w:rsidRPr="0078172A">
        <w:rPr>
          <w:rFonts w:cs="Arial"/>
          <w:szCs w:val="20"/>
        </w:rPr>
        <w:t xml:space="preserve"> minimumkövetelménye</w:t>
      </w:r>
      <w:r w:rsidR="007600BD">
        <w:rPr>
          <w:rFonts w:cs="Arial"/>
          <w:szCs w:val="20"/>
        </w:rPr>
        <w:t>i</w:t>
      </w:r>
      <w:r w:rsidR="00CB20BB">
        <w:rPr>
          <w:rFonts w:cs="Arial"/>
          <w:szCs w:val="20"/>
        </w:rPr>
        <w:t>ről</w:t>
      </w:r>
      <w:r w:rsidRPr="0078172A">
        <w:rPr>
          <w:rFonts w:cs="Arial"/>
          <w:szCs w:val="20"/>
        </w:rPr>
        <w:t xml:space="preserve"> szóló </w:t>
      </w:r>
      <w:r w:rsidR="00CB20BB">
        <w:rPr>
          <w:rFonts w:cs="Arial"/>
          <w:szCs w:val="20"/>
        </w:rPr>
        <w:t>30</w:t>
      </w:r>
      <w:r w:rsidR="00A271B1" w:rsidRPr="0078172A">
        <w:rPr>
          <w:rFonts w:cs="Arial"/>
          <w:szCs w:val="20"/>
        </w:rPr>
        <w:t>/202</w:t>
      </w:r>
      <w:r w:rsidR="00CB20BB">
        <w:rPr>
          <w:rFonts w:cs="Arial"/>
          <w:szCs w:val="20"/>
        </w:rPr>
        <w:t>4</w:t>
      </w:r>
      <w:r w:rsidR="00A271B1" w:rsidRPr="0078172A">
        <w:rPr>
          <w:rFonts w:cs="Arial"/>
          <w:szCs w:val="20"/>
        </w:rPr>
        <w:t>. (VI. 2</w:t>
      </w:r>
      <w:r w:rsidR="00CB20BB">
        <w:rPr>
          <w:rFonts w:cs="Arial"/>
          <w:szCs w:val="20"/>
        </w:rPr>
        <w:t>4</w:t>
      </w:r>
      <w:r w:rsidR="00A271B1" w:rsidRPr="0078172A">
        <w:rPr>
          <w:rFonts w:cs="Arial"/>
          <w:szCs w:val="20"/>
        </w:rPr>
        <w:t>.)</w:t>
      </w:r>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r w:rsidR="00677C28">
        <w:rPr>
          <w:rFonts w:cs="Arial"/>
          <w:szCs w:val="20"/>
        </w:rPr>
        <w:t>30</w:t>
      </w:r>
      <w:r w:rsidR="00A271B1" w:rsidRPr="0078172A">
        <w:rPr>
          <w:rFonts w:cs="Arial"/>
          <w:szCs w:val="20"/>
        </w:rPr>
        <w:t>/202</w:t>
      </w:r>
      <w:r w:rsidR="00677C28">
        <w:rPr>
          <w:rFonts w:cs="Arial"/>
          <w:szCs w:val="20"/>
        </w:rPr>
        <w:t>4</w:t>
      </w:r>
      <w:r w:rsidR="00A271B1" w:rsidRPr="0078172A">
        <w:rPr>
          <w:rFonts w:cs="Arial"/>
          <w:szCs w:val="20"/>
        </w:rPr>
        <w:t xml:space="preserve">. </w:t>
      </w:r>
      <w:r w:rsidR="00677C28">
        <w:rPr>
          <w:rFonts w:cs="Arial"/>
          <w:szCs w:val="20"/>
        </w:rPr>
        <w:br/>
      </w:r>
      <w:r w:rsidR="00A271B1" w:rsidRPr="0078172A">
        <w:rPr>
          <w:rFonts w:cs="Arial"/>
          <w:szCs w:val="20"/>
        </w:rPr>
        <w:t>(VI. 2</w:t>
      </w:r>
      <w:r w:rsidR="00677C28">
        <w:rPr>
          <w:rFonts w:cs="Arial"/>
          <w:szCs w:val="20"/>
        </w:rPr>
        <w:t>4</w:t>
      </w:r>
      <w:r w:rsidR="00A271B1" w:rsidRPr="0078172A">
        <w:rPr>
          <w:rFonts w:cs="Arial"/>
          <w:szCs w:val="20"/>
        </w:rPr>
        <w:t>.)</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t>alapvető feladatokhoz kapcsolódó adatszolgáltatási MNBr.;</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 xml:space="preserve">30.) </w:t>
      </w:r>
      <w:proofErr w:type="spellStart"/>
      <w:r w:rsidRPr="00606CB2">
        <w:rPr>
          <w:rFonts w:cs="Arial"/>
          <w:szCs w:val="20"/>
        </w:rPr>
        <w:t>NGM</w:t>
      </w:r>
      <w:proofErr w:type="spellEnd"/>
      <w:r w:rsidRPr="00606CB2">
        <w:rPr>
          <w:rFonts w:cs="Arial"/>
          <w:szCs w:val="20"/>
        </w:rPr>
        <w:t xml:space="preserve"> rendelet [a továbbiakban: 15/201</w:t>
      </w:r>
      <w:r w:rsidRPr="00663EA1">
        <w:rPr>
          <w:rFonts w:cs="Arial"/>
          <w:szCs w:val="20"/>
        </w:rPr>
        <w:t xml:space="preserve">7. (VI. 30.) </w:t>
      </w:r>
      <w:proofErr w:type="spellStart"/>
      <w:r w:rsidRPr="00663EA1">
        <w:rPr>
          <w:rFonts w:cs="Arial"/>
          <w:szCs w:val="20"/>
        </w:rPr>
        <w:t>NGM</w:t>
      </w:r>
      <w:proofErr w:type="spellEnd"/>
      <w:r w:rsidRPr="00663EA1">
        <w:rPr>
          <w:rFonts w:cs="Arial"/>
          <w:szCs w:val="20"/>
        </w:rPr>
        <w:t xml:space="preserve">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 xml:space="preserve">3.) </w:t>
      </w:r>
      <w:proofErr w:type="spellStart"/>
      <w:r w:rsidRPr="0014683A">
        <w:rPr>
          <w:rFonts w:cs="Arial"/>
          <w:szCs w:val="20"/>
        </w:rPr>
        <w:t>NGM</w:t>
      </w:r>
      <w:proofErr w:type="spellEnd"/>
      <w:r w:rsidRPr="0014683A">
        <w:rPr>
          <w:rFonts w:cs="Arial"/>
          <w:szCs w:val="20"/>
        </w:rPr>
        <w:t xml:space="preserve">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xml:space="preserve">. 3.) </w:t>
      </w:r>
      <w:proofErr w:type="spellStart"/>
      <w:r w:rsidRPr="00663EA1">
        <w:rPr>
          <w:rFonts w:cs="Arial"/>
          <w:szCs w:val="20"/>
        </w:rPr>
        <w:t>NGM</w:t>
      </w:r>
      <w:proofErr w:type="spellEnd"/>
      <w:r w:rsidRPr="00663EA1">
        <w:rPr>
          <w:rFonts w:cs="Arial"/>
          <w:szCs w:val="20"/>
        </w:rPr>
        <w:t xml:space="preserve">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4D16A85A" w14:textId="6E10D8E4"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w:t>
      </w:r>
      <w:proofErr w:type="spellStart"/>
      <w:r w:rsidRPr="00BD4F21">
        <w:rPr>
          <w:rFonts w:cs="Arial"/>
          <w:szCs w:val="20"/>
        </w:rPr>
        <w:t>ABAK</w:t>
      </w:r>
      <w:proofErr w:type="spellEnd"/>
      <w:r w:rsidRPr="00BD4F21">
        <w:rPr>
          <w:rFonts w:cs="Arial"/>
          <w:szCs w:val="20"/>
        </w:rPr>
        <w:t>-rendelet);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hitelintézetekre vonatkozó prudenciális követelményekről és a 648/2012/EU rendelet módosításáról szóló 2013. június 26-i 575/2013/EU európai parlamenti és tanácsi rendelet (a továbbiakban: </w:t>
      </w:r>
      <w:proofErr w:type="spellStart"/>
      <w:r w:rsidRPr="00BD4F21">
        <w:rPr>
          <w:rFonts w:cs="Arial"/>
          <w:szCs w:val="20"/>
        </w:rPr>
        <w:t>CRR</w:t>
      </w:r>
      <w:proofErr w:type="spellEnd"/>
      <w:r w:rsidRPr="00BD4F21">
        <w:rPr>
          <w:rFonts w:cs="Arial"/>
          <w:szCs w:val="20"/>
        </w:rPr>
        <w:t>);</w:t>
      </w:r>
    </w:p>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 xml:space="preserve">(a továbbiakban: </w:t>
      </w:r>
      <w:proofErr w:type="spellStart"/>
      <w:r>
        <w:rPr>
          <w:rFonts w:cs="Arial"/>
          <w:szCs w:val="20"/>
        </w:rPr>
        <w:t>M</w:t>
      </w:r>
      <w:r w:rsidRPr="00C76C33">
        <w:rPr>
          <w:rFonts w:cs="Arial"/>
          <w:szCs w:val="20"/>
        </w:rPr>
        <w:t>i</w:t>
      </w:r>
      <w:r>
        <w:rPr>
          <w:rFonts w:cs="Arial"/>
          <w:szCs w:val="20"/>
        </w:rPr>
        <w:t>FI</w:t>
      </w:r>
      <w:r w:rsidRPr="00C76C33">
        <w:rPr>
          <w:rFonts w:cs="Arial"/>
          <w:szCs w:val="20"/>
        </w:rPr>
        <w:t>R</w:t>
      </w:r>
      <w:proofErr w:type="spellEnd"/>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CSDR);</w:t>
      </w:r>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5E8662C5" w:rsidR="00816DAE" w:rsidRDefault="007B0330" w:rsidP="00B73346">
      <w:pPr>
        <w:numPr>
          <w:ilvl w:val="0"/>
          <w:numId w:val="5"/>
        </w:numPr>
        <w:autoSpaceDE w:val="0"/>
        <w:autoSpaceDN w:val="0"/>
        <w:adjustRightInd w:val="0"/>
        <w:spacing w:after="120"/>
        <w:ind w:left="567" w:hanging="567"/>
        <w:outlineLvl w:val="0"/>
        <w:rPr>
          <w:rFonts w:cs="Arial"/>
          <w:szCs w:val="20"/>
        </w:rPr>
      </w:pPr>
      <w:r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vállalkozásokra vonatkozó prudenciális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w:t>
      </w:r>
      <w:proofErr w:type="spellStart"/>
      <w:r w:rsidR="005739F6" w:rsidRPr="00BD4F21">
        <w:rPr>
          <w:rFonts w:cs="Arial"/>
          <w:szCs w:val="20"/>
        </w:rPr>
        <w:t>IFR</w:t>
      </w:r>
      <w:proofErr w:type="spellEnd"/>
      <w:r w:rsidR="005739F6" w:rsidRPr="00BD4F21">
        <w:rPr>
          <w:rFonts w:cs="Arial"/>
          <w:szCs w:val="20"/>
        </w:rPr>
        <w:t>)</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lastRenderedPageBreak/>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a továbbiakban: SFDR</w:t>
      </w:r>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64880D69"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szól</w:t>
      </w:r>
      <w:r w:rsidR="00404605">
        <w:rPr>
          <w:rFonts w:cs="Arial"/>
          <w:szCs w:val="20"/>
        </w:rPr>
        <w:t>ó</w:t>
      </w:r>
      <w:r w:rsidR="00CE1C3B">
        <w:rPr>
          <w:rFonts w:cs="Arial"/>
          <w:szCs w:val="20"/>
        </w:rPr>
        <w:t xml:space="preserve"> 2021. július 6-i (EU) 2021/2178 felhatalmazáson alapuló bizottsági rendelet;</w:t>
      </w:r>
    </w:p>
    <w:p w14:paraId="415FCB8D" w14:textId="7AF05365" w:rsidR="00AB714D"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SFDR RTS)</w:t>
      </w:r>
      <w:r w:rsidR="000728D9" w:rsidRPr="00291373">
        <w:rPr>
          <w:rFonts w:cs="Arial"/>
          <w:szCs w:val="20"/>
        </w:rPr>
        <w:t>;</w:t>
      </w:r>
    </w:p>
    <w:p w14:paraId="49E6DB76" w14:textId="7867B11F" w:rsidR="008638D7" w:rsidRPr="008638D7" w:rsidRDefault="008638D7" w:rsidP="008638D7">
      <w:pPr>
        <w:numPr>
          <w:ilvl w:val="0"/>
          <w:numId w:val="5"/>
        </w:numPr>
        <w:autoSpaceDE w:val="0"/>
        <w:autoSpaceDN w:val="0"/>
        <w:adjustRightInd w:val="0"/>
        <w:spacing w:after="120"/>
        <w:ind w:left="567" w:hanging="567"/>
        <w:outlineLvl w:val="0"/>
        <w:rPr>
          <w:rFonts w:cs="Arial"/>
          <w:szCs w:val="20"/>
        </w:rPr>
      </w:pPr>
      <w:r w:rsidRPr="008638D7">
        <w:rPr>
          <w:rFonts w:cs="Arial"/>
          <w:snapToGrid w:val="0"/>
        </w:rPr>
        <w:t>az 1606/2002/EK európai parlamenti és tanácsi rendelettel összhangban egyes nemzetközi számviteli standardok elfogadásáról szóló 2023. augusztus 13-i (EU) 2023/1803 bizottsági rendelet;</w:t>
      </w:r>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w:t>
      </w:r>
      <w:proofErr w:type="spellStart"/>
      <w:r w:rsidRPr="0078172A">
        <w:rPr>
          <w:rFonts w:cs="Arial"/>
          <w:szCs w:val="20"/>
        </w:rPr>
        <w:t>ÁÉKBV</w:t>
      </w:r>
      <w:proofErr w:type="spellEnd"/>
      <w:r w:rsidRPr="0078172A">
        <w:rPr>
          <w:rFonts w:cs="Arial"/>
          <w:szCs w:val="20"/>
        </w:rPr>
        <w:t>)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w:t>
      </w:r>
      <w:proofErr w:type="spellStart"/>
      <w:r w:rsidRPr="0078172A">
        <w:rPr>
          <w:rFonts w:cs="Arial"/>
          <w:szCs w:val="20"/>
        </w:rPr>
        <w:t>ÁÉKBV</w:t>
      </w:r>
      <w:proofErr w:type="spellEnd"/>
      <w:r w:rsidRPr="0078172A">
        <w:rPr>
          <w:rFonts w:cs="Arial"/>
          <w:szCs w:val="20"/>
        </w:rPr>
        <w:t xml:space="preserve">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w:t>
      </w:r>
      <w:proofErr w:type="spellStart"/>
      <w:r w:rsidR="006264AF" w:rsidRPr="0078172A">
        <w:rPr>
          <w:rFonts w:cs="Arial"/>
          <w:szCs w:val="20"/>
        </w:rPr>
        <w:t>ABAK</w:t>
      </w:r>
      <w:proofErr w:type="spellEnd"/>
      <w:r w:rsidR="006264AF" w:rsidRPr="0078172A">
        <w:rPr>
          <w:rFonts w:cs="Arial"/>
          <w:szCs w:val="20"/>
        </w:rPr>
        <w:t xml:space="preserve"> irányelv);</w:t>
      </w:r>
    </w:p>
    <w:p w14:paraId="7E77B7E4" w14:textId="77777777" w:rsidR="00C91B17" w:rsidRPr="00BD4F21" w:rsidRDefault="00C91B17" w:rsidP="00C91B17">
      <w:pPr>
        <w:numPr>
          <w:ilvl w:val="0"/>
          <w:numId w:val="5"/>
        </w:numPr>
        <w:autoSpaceDE w:val="0"/>
        <w:autoSpaceDN w:val="0"/>
        <w:adjustRightInd w:val="0"/>
        <w:spacing w:after="120"/>
        <w:ind w:left="567" w:hanging="567"/>
        <w:outlineLvl w:val="0"/>
        <w:rPr>
          <w:rFonts w:cs="Arial"/>
          <w:szCs w:val="20"/>
        </w:rPr>
      </w:pPr>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1DA091A4" w14:textId="68FE00C5"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hitelintézetek tevékenységéhez való hozzáférésről és a hitelintézetek prudenciális felügyeletéről, a 2002/87/EK irányelv módosításáról, a 2006/48/EK és a 2006/49/EK irányelv hatályon kívül helyezéséről szóló 2013. június 26-i 2013/36/E</w:t>
      </w:r>
      <w:r w:rsidR="001238D6">
        <w:rPr>
          <w:rFonts w:cs="Arial"/>
          <w:szCs w:val="20"/>
        </w:rPr>
        <w:t>U</w:t>
      </w:r>
      <w:r w:rsidRPr="00BD4F21">
        <w:rPr>
          <w:rFonts w:cs="Arial"/>
          <w:szCs w:val="20"/>
        </w:rPr>
        <w:t xml:space="preserve"> </w:t>
      </w:r>
      <w:r w:rsidRPr="00DF3919">
        <w:rPr>
          <w:rFonts w:cs="Arial"/>
          <w:szCs w:val="20"/>
        </w:rPr>
        <w:t>európai parlamenti és tanácsi</w:t>
      </w:r>
      <w:r w:rsidR="009B2047">
        <w:rPr>
          <w:rFonts w:cs="Arial"/>
          <w:szCs w:val="20"/>
        </w:rPr>
        <w:t xml:space="preserve"> irányelv (a továbbiakban: </w:t>
      </w:r>
      <w:proofErr w:type="spellStart"/>
      <w:r w:rsidR="009B2047">
        <w:rPr>
          <w:rFonts w:cs="Arial"/>
          <w:szCs w:val="20"/>
        </w:rPr>
        <w:t>CRD</w:t>
      </w:r>
      <w:proofErr w:type="spellEnd"/>
      <w:r w:rsidR="009B2047">
        <w:rPr>
          <w:rFonts w:cs="Arial"/>
          <w:szCs w:val="20"/>
        </w:rPr>
        <w:t>)</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3" w:name="OLE_LINK1"/>
      <w:r w:rsidRPr="00C07B1B">
        <w:rPr>
          <w:rFonts w:cs="Arial"/>
          <w:szCs w:val="20"/>
        </w:rPr>
        <w:t>2014/65/E</w:t>
      </w:r>
      <w:r w:rsidR="00C56CB3" w:rsidRPr="00C07B1B">
        <w:rPr>
          <w:rFonts w:cs="Arial"/>
          <w:szCs w:val="20"/>
        </w:rPr>
        <w:t>U</w:t>
      </w:r>
      <w:r w:rsidRPr="00C07B1B">
        <w:rPr>
          <w:rFonts w:cs="Arial"/>
          <w:szCs w:val="20"/>
        </w:rPr>
        <w:t xml:space="preserve"> </w:t>
      </w:r>
      <w:bookmarkEnd w:id="3"/>
      <w:r w:rsidRPr="00C07B1B">
        <w:rPr>
          <w:rFonts w:cs="Arial"/>
          <w:szCs w:val="20"/>
        </w:rPr>
        <w:t xml:space="preserve">európai parlamenti és tanácsi irányelv (a továbbiakban: </w:t>
      </w:r>
      <w:proofErr w:type="spellStart"/>
      <w:r w:rsidRPr="00C07B1B">
        <w:rPr>
          <w:rFonts w:cs="Arial"/>
          <w:szCs w:val="20"/>
        </w:rPr>
        <w:t>M</w:t>
      </w:r>
      <w:r w:rsidR="004B5E01" w:rsidRPr="00C07B1B">
        <w:rPr>
          <w:rFonts w:cs="Arial"/>
          <w:szCs w:val="20"/>
        </w:rPr>
        <w:t>i</w:t>
      </w:r>
      <w:r w:rsidRPr="00C07B1B">
        <w:rPr>
          <w:rFonts w:cs="Arial"/>
          <w:szCs w:val="20"/>
        </w:rPr>
        <w:t>FID</w:t>
      </w:r>
      <w:proofErr w:type="spellEnd"/>
      <w:r w:rsidRPr="00C07B1B">
        <w:rPr>
          <w:rFonts w:cs="Arial"/>
          <w:szCs w:val="20"/>
        </w:rPr>
        <w:t xml:space="preserve">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 prudenciális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4" w:name="_Hlk77084596"/>
      <w:r w:rsidRPr="007B0330">
        <w:rPr>
          <w:rFonts w:cs="Arial"/>
          <w:szCs w:val="20"/>
        </w:rPr>
        <w:lastRenderedPageBreak/>
        <w:t xml:space="preserve">a monetáris pénzügyi intézmények ágazati mérlegének mérlegtételeiről szóló 2021. január 22-i (EU) 2021/379 európai központi banki rendelet (EKB/2021/2) (átdolgozás) (a továbbiakban: EKB </w:t>
      </w:r>
      <w:proofErr w:type="spellStart"/>
      <w:r w:rsidRPr="007B0330">
        <w:rPr>
          <w:rFonts w:cs="Arial"/>
          <w:szCs w:val="20"/>
        </w:rPr>
        <w:t>BSI</w:t>
      </w:r>
      <w:proofErr w:type="spellEnd"/>
      <w:r w:rsidRPr="007B0330">
        <w:rPr>
          <w:rFonts w:cs="Arial"/>
          <w:szCs w:val="20"/>
        </w:rPr>
        <w:t xml:space="preserve"> rendelet)</w:t>
      </w:r>
      <w:bookmarkEnd w:id="4"/>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proofErr w:type="spellStart"/>
      <w:r w:rsidR="00ED5FF7" w:rsidRPr="0078172A">
        <w:rPr>
          <w:rFonts w:cs="Arial"/>
          <w:iCs/>
          <w:szCs w:val="20"/>
        </w:rPr>
        <w:t>BAMOSZ</w:t>
      </w:r>
      <w:proofErr w:type="spellEnd"/>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r w:rsidR="005147C8" w:rsidRPr="0078172A">
        <w:rPr>
          <w:rFonts w:cs="Arial"/>
          <w:iCs/>
          <w:szCs w:val="20"/>
        </w:rPr>
        <w:t>EBA:</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proofErr w:type="spellStart"/>
      <w:r w:rsidR="00C07B1B" w:rsidRPr="0078172A">
        <w:rPr>
          <w:rFonts w:cs="Arial"/>
          <w:iCs/>
          <w:szCs w:val="20"/>
        </w:rPr>
        <w:t>ESMA</w:t>
      </w:r>
      <w:proofErr w:type="spellEnd"/>
      <w:r w:rsidR="00C07B1B" w:rsidRPr="0078172A">
        <w:rPr>
          <w:rFonts w:cs="Arial"/>
          <w:iCs/>
          <w:szCs w:val="20"/>
        </w:rPr>
        <w:t>:</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KELER </w:t>
      </w:r>
      <w:proofErr w:type="spellStart"/>
      <w:r w:rsidR="00DC026D" w:rsidRPr="00DC026D">
        <w:rPr>
          <w:rFonts w:cs="Arial"/>
          <w:szCs w:val="20"/>
        </w:rPr>
        <w:t>KSZF</w:t>
      </w:r>
      <w:proofErr w:type="spellEnd"/>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proofErr w:type="spellStart"/>
      <w:r w:rsidRPr="00E4058D">
        <w:rPr>
          <w:rFonts w:cs="Arial"/>
          <w:i/>
          <w:iCs/>
          <w:sz w:val="20"/>
        </w:rPr>
        <w:t>CFI</w:t>
      </w:r>
      <w:proofErr w:type="spellEnd"/>
      <w:r w:rsidRPr="00E4058D">
        <w:rPr>
          <w:rFonts w:cs="Arial"/>
          <w:i/>
          <w:iCs/>
          <w:sz w:val="20"/>
        </w:rPr>
        <w:t>-kód: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r w:rsidRPr="005B52B8">
        <w:rPr>
          <w:rFonts w:cs="Arial"/>
          <w:i/>
          <w:szCs w:val="20"/>
        </w:rPr>
        <w:t>EGT</w:t>
      </w:r>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dematerializált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a jegyzett és befizetett részvények közül azok az osztalékelsőbbségi részvények, amelyek a nyereséges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a korábbi (esetleg) veszteséges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r w:rsidR="00170A14" w:rsidRPr="00B50AB3">
        <w:rPr>
          <w:rFonts w:cs="Arial"/>
          <w:szCs w:val="20"/>
        </w:rPr>
        <w:t>EGT</w:t>
      </w:r>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73706420"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proofErr w:type="spellStart"/>
      <w:r w:rsidR="0045779D" w:rsidRPr="0045779D">
        <w:rPr>
          <w:rFonts w:cs="Arial"/>
          <w:i/>
          <w:color w:val="000000"/>
        </w:rPr>
        <w:t>IAS</w:t>
      </w:r>
      <w:proofErr w:type="spellEnd"/>
      <w:r w:rsidR="0045779D" w:rsidRPr="0045779D">
        <w:rPr>
          <w:rFonts w:cs="Arial"/>
          <w:i/>
          <w:color w:val="000000"/>
        </w:rPr>
        <w:t>:</w:t>
      </w:r>
      <w:r w:rsidR="0045779D" w:rsidRPr="0045779D">
        <w:rPr>
          <w:rFonts w:cs="Arial"/>
          <w:color w:val="000000"/>
        </w:rPr>
        <w:t xml:space="preserve"> az </w:t>
      </w:r>
      <w:r w:rsidR="00167EFB">
        <w:rPr>
          <w:rFonts w:cs="Arial"/>
          <w:color w:val="000000"/>
        </w:rPr>
        <w:t>(EU) 2023/1803</w:t>
      </w:r>
      <w:r w:rsidR="0045779D" w:rsidRPr="0045779D">
        <w:rPr>
          <w:rFonts w:cs="Arial"/>
          <w:color w:val="000000"/>
        </w:rPr>
        <w:t xml:space="preserve">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39BE024E"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r w:rsidRPr="00F04629">
        <w:rPr>
          <w:rFonts w:cs="Arial"/>
          <w:i/>
          <w:color w:val="000000"/>
          <w:szCs w:val="20"/>
        </w:rPr>
        <w:t xml:space="preserve">IFRS-ek: </w:t>
      </w:r>
      <w:r w:rsidR="001A6EB3" w:rsidRPr="005545A8">
        <w:rPr>
          <w:rFonts w:cs="Arial"/>
          <w:color w:val="000000"/>
          <w:szCs w:val="20"/>
          <w:lang w:val="x-none"/>
        </w:rPr>
        <w:t>az</w:t>
      </w:r>
      <w:r w:rsidR="00167EFB" w:rsidRPr="00B73346">
        <w:rPr>
          <w:color w:val="000000"/>
        </w:rPr>
        <w:t xml:space="preserve"> </w:t>
      </w:r>
      <w:r w:rsidR="00167EFB">
        <w:rPr>
          <w:rFonts w:cs="Arial"/>
          <w:color w:val="000000"/>
          <w:szCs w:val="20"/>
        </w:rPr>
        <w:t>(EU)</w:t>
      </w:r>
      <w:r w:rsidR="001A6EB3" w:rsidRPr="005545A8">
        <w:rPr>
          <w:rFonts w:cs="Arial"/>
          <w:color w:val="000000"/>
          <w:szCs w:val="20"/>
          <w:lang w:val="x-none"/>
        </w:rPr>
        <w:t xml:space="preserve"> </w:t>
      </w:r>
      <w:r w:rsidR="00167EFB">
        <w:rPr>
          <w:rFonts w:cs="Arial"/>
          <w:color w:val="000000"/>
          <w:szCs w:val="20"/>
        </w:rPr>
        <w:t>2023/1803</w:t>
      </w:r>
      <w:r w:rsidR="001A6EB3" w:rsidRPr="005545A8">
        <w:rPr>
          <w:rFonts w:cs="Arial"/>
          <w:color w:val="000000"/>
          <w:szCs w:val="20"/>
          <w:lang w:val="x-none"/>
        </w:rPr>
        <w:t xml:space="preserve">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lastRenderedPageBreak/>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w:t>
      </w:r>
      <w:proofErr w:type="spellStart"/>
      <w:r w:rsidR="00ED5FF7" w:rsidRPr="00104058">
        <w:rPr>
          <w:rFonts w:cs="Arial"/>
          <w:bCs/>
          <w:szCs w:val="20"/>
        </w:rPr>
        <w:t>Bszt</w:t>
      </w:r>
      <w:proofErr w:type="spellEnd"/>
      <w:r w:rsidR="00ED5FF7" w:rsidRPr="00104058">
        <w:rPr>
          <w:rFonts w:cs="Arial"/>
          <w:bCs/>
          <w:szCs w:val="20"/>
        </w:rPr>
        <w: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 xml:space="preserve">z a személy, aki a KELER </w:t>
      </w:r>
      <w:proofErr w:type="spellStart"/>
      <w:r w:rsidR="00DC026D" w:rsidRPr="00DC026D">
        <w:rPr>
          <w:rFonts w:cs="Arial"/>
          <w:szCs w:val="20"/>
        </w:rPr>
        <w:t>KSZF</w:t>
      </w:r>
      <w:proofErr w:type="spellEnd"/>
      <w:r w:rsidR="00BF68FE">
        <w:rPr>
          <w:rFonts w:cs="Arial"/>
          <w:szCs w:val="20"/>
        </w:rPr>
        <w:t xml:space="preserve"> Központi Szerződő Fél Zrt.-v</w:t>
      </w:r>
      <w:r w:rsidR="00DC026D" w:rsidRPr="00DC026D">
        <w:rPr>
          <w:rFonts w:cs="Arial"/>
          <w:szCs w:val="20"/>
        </w:rPr>
        <w:t>el klíringtagsági szerződést, és a KELER</w:t>
      </w:r>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5"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5"/>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proofErr w:type="spellStart"/>
      <w:r w:rsidR="00540B40">
        <w:rPr>
          <w:rFonts w:cs="Arial"/>
          <w:szCs w:val="20"/>
        </w:rPr>
        <w:t>CRR</w:t>
      </w:r>
      <w:proofErr w:type="spellEnd"/>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B73346">
      <w:pPr>
        <w:spacing w:after="120"/>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proofErr w:type="spellStart"/>
      <w:r w:rsidRPr="004B222C">
        <w:rPr>
          <w:rFonts w:cs="Arial"/>
          <w:bCs/>
          <w:i/>
          <w:iCs/>
          <w:szCs w:val="20"/>
        </w:rPr>
        <w:t>MIC</w:t>
      </w:r>
      <w:proofErr w:type="spellEnd"/>
      <w:r w:rsidRPr="004B222C">
        <w:rPr>
          <w:rFonts w:cs="Arial"/>
          <w:bCs/>
          <w:i/>
          <w:iCs/>
          <w:szCs w:val="20"/>
        </w:rPr>
        <w:t>-kód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proofErr w:type="spellStart"/>
      <w:r w:rsidR="00ED5FF7" w:rsidRPr="000A3368">
        <w:rPr>
          <w:rFonts w:cs="Arial"/>
          <w:bCs/>
          <w:i/>
          <w:szCs w:val="20"/>
        </w:rPr>
        <w:t>MiFI</w:t>
      </w:r>
      <w:r w:rsidR="00C76C33">
        <w:rPr>
          <w:rFonts w:cs="Arial"/>
          <w:bCs/>
          <w:i/>
          <w:szCs w:val="20"/>
        </w:rPr>
        <w:t>R</w:t>
      </w:r>
      <w:proofErr w:type="spellEnd"/>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 xml:space="preserve">a </w:t>
      </w:r>
      <w:proofErr w:type="spellStart"/>
      <w:r w:rsidR="00B80E27">
        <w:rPr>
          <w:rFonts w:cs="Arial"/>
          <w:szCs w:val="20"/>
        </w:rPr>
        <w:t>MiFIR</w:t>
      </w:r>
      <w:proofErr w:type="spellEnd"/>
      <w:r w:rsidR="00B80E27">
        <w:rPr>
          <w:rFonts w:cs="Arial"/>
          <w:szCs w:val="20"/>
        </w:rPr>
        <w:t xml:space="preserve">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proofErr w:type="spellStart"/>
      <w:r w:rsidRPr="005B52B8">
        <w:rPr>
          <w:rFonts w:cs="Arial"/>
          <w:i/>
          <w:szCs w:val="20"/>
        </w:rPr>
        <w:t>PIBB</w:t>
      </w:r>
      <w:proofErr w:type="spellEnd"/>
      <w:r w:rsidRPr="005B52B8">
        <w:rPr>
          <w:rFonts w:cs="Arial"/>
          <w:i/>
          <w:szCs w:val="20"/>
        </w:rPr>
        <w:t>:</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w:t>
      </w:r>
      <w:proofErr w:type="spellStart"/>
      <w:r w:rsidRPr="00C95229">
        <w:rPr>
          <w:rFonts w:cs="Arial"/>
          <w:szCs w:val="20"/>
        </w:rPr>
        <w:t>viszontbiztosítókat</w:t>
      </w:r>
      <w:proofErr w:type="spellEnd"/>
      <w:r w:rsidRPr="00C95229">
        <w:rPr>
          <w:rFonts w:cs="Arial"/>
          <w:szCs w:val="20"/>
        </w:rPr>
        <w:t xml:space="preserve">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496B4CB7"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r w:rsidR="00ED5FF7" w:rsidRPr="00A22AC8">
        <w:rPr>
          <w:rFonts w:cs="Arial"/>
          <w:bCs/>
          <w:i/>
          <w:szCs w:val="20"/>
        </w:rPr>
        <w:t xml:space="preserve">Ügyfélazonosító: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w:t>
      </w:r>
      <w:proofErr w:type="spellStart"/>
      <w:r w:rsidR="00191238" w:rsidRPr="00B50AB3">
        <w:rPr>
          <w:rFonts w:cs="Arial"/>
          <w:szCs w:val="20"/>
        </w:rPr>
        <w:t>Bszt</w:t>
      </w:r>
      <w:proofErr w:type="spellEnd"/>
      <w:r w:rsidR="00191238" w:rsidRPr="00B50AB3">
        <w:rPr>
          <w:rFonts w:cs="Arial"/>
          <w:szCs w:val="20"/>
        </w:rPr>
        <w: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w:t>
      </w:r>
      <w:proofErr w:type="spellStart"/>
      <w:r w:rsidR="00810E4A" w:rsidRPr="006618EA">
        <w:t>okat</w:t>
      </w:r>
      <w:proofErr w:type="spellEnd"/>
      <w:r w:rsidR="00810E4A" w:rsidRPr="006618EA">
        <w:t xml:space="preserve">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 xml:space="preserve">a file név felépítése: </w:t>
      </w:r>
      <w:proofErr w:type="spellStart"/>
      <w:r w:rsidRPr="006618EA">
        <w:t>törzsszám_vonatkozás</w:t>
      </w:r>
      <w:proofErr w:type="spellEnd"/>
      <w:r w:rsidRPr="006618EA">
        <w:t xml:space="preserve"> </w:t>
      </w:r>
      <w:proofErr w:type="spellStart"/>
      <w:r w:rsidRPr="006618EA">
        <w:t>vége_melléklet</w:t>
      </w:r>
      <w:proofErr w:type="spellEnd"/>
      <w:r w:rsidRPr="006618EA">
        <w:t xml:space="preserve"> típusa.pdf</w:t>
      </w:r>
    </w:p>
    <w:p w14:paraId="1FD490B7" w14:textId="77777777" w:rsidR="00810E4A" w:rsidRPr="006618EA" w:rsidRDefault="00810E4A" w:rsidP="0078172A">
      <w:pPr>
        <w:rPr>
          <w:bCs/>
        </w:rPr>
      </w:pPr>
      <w:r w:rsidRPr="006618EA">
        <w:lastRenderedPageBreak/>
        <w:t xml:space="preserve">A </w:t>
      </w:r>
      <w:r w:rsidRPr="006618EA">
        <w:rPr>
          <w:i/>
        </w:rPr>
        <w:t>törzsszám</w:t>
      </w:r>
      <w:r w:rsidRPr="006618EA">
        <w:t xml:space="preserve"> az adatszolgáltató adószámának első nyolc karaktere. </w:t>
      </w:r>
    </w:p>
    <w:p w14:paraId="38C08A7B" w14:textId="3241B4D5"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r w:rsidR="00002FC1" w:rsidRPr="006618EA">
        <w:t>20</w:t>
      </w:r>
      <w:r w:rsidR="00002FC1">
        <w:t>25</w:t>
      </w:r>
      <w:r w:rsidRPr="006618EA">
        <w:t>. évre vonatkozóan: „</w:t>
      </w:r>
      <w:r w:rsidR="00002FC1" w:rsidRPr="006618EA">
        <w:t>20</w:t>
      </w:r>
      <w:r w:rsidR="00002FC1">
        <w:t>25</w:t>
      </w:r>
      <w:r w:rsidR="00002FC1" w:rsidRPr="006618EA">
        <w:t>1231</w:t>
      </w:r>
      <w:r w:rsidRPr="006618EA">
        <w:t>”.</w:t>
      </w:r>
    </w:p>
    <w:p w14:paraId="4D8D6DE5" w14:textId="072E0E35" w:rsidR="00810E4A" w:rsidRPr="006618EA" w:rsidRDefault="00810E4A" w:rsidP="0078172A">
      <w:pPr>
        <w:rPr>
          <w:bCs/>
        </w:rPr>
      </w:pPr>
      <w:r w:rsidRPr="006618EA">
        <w:rPr>
          <w:snapToGrid w:val="0"/>
        </w:rPr>
        <w:t>A fentiek alapján pl. az éves beszámoló mellékletét képező kiegészítő melléklet file neve: xxxxxxxx_</w:t>
      </w:r>
      <w:r w:rsidR="00002FC1" w:rsidRPr="006618EA">
        <w:rPr>
          <w:snapToGrid w:val="0"/>
        </w:rPr>
        <w:t>20</w:t>
      </w:r>
      <w:r w:rsidR="00002FC1">
        <w:rPr>
          <w:snapToGrid w:val="0"/>
        </w:rPr>
        <w:t>25</w:t>
      </w:r>
      <w:r w:rsidR="00002FC1" w:rsidRPr="006618EA">
        <w:rPr>
          <w:snapToGrid w:val="0"/>
        </w:rPr>
        <w:t>1231</w:t>
      </w:r>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ERA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w:t>
      </w:r>
      <w:proofErr w:type="gramStart"/>
      <w:r w:rsidRPr="00C95229">
        <w:rPr>
          <w:rFonts w:cs="Arial"/>
          <w:szCs w:val="20"/>
        </w:rPr>
        <w:t>M”-</w:t>
      </w:r>
      <w:proofErr w:type="spellStart"/>
      <w:proofErr w:type="gramEnd"/>
      <w:r w:rsidRPr="00C95229">
        <w:rPr>
          <w:rFonts w:cs="Arial"/>
          <w:szCs w:val="20"/>
        </w:rPr>
        <w:t>mel</w:t>
      </w:r>
      <w:proofErr w:type="spellEnd"/>
      <w:r w:rsidRPr="00C95229">
        <w:rPr>
          <w:rFonts w:cs="Arial"/>
          <w:szCs w:val="20"/>
        </w:rPr>
        <w:t xml:space="preserve">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6" w:name="OLE_LINK7"/>
      <w:r w:rsidR="00EC6E2D" w:rsidRPr="00C91047">
        <w:rPr>
          <w:rFonts w:cs="Arial"/>
          <w:szCs w:val="20"/>
        </w:rPr>
        <w:t>az (EU) 2018/708 bizottsági végrehajtási rendelet</w:t>
      </w:r>
      <w:bookmarkEnd w:id="6"/>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valamint a PEPP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ERA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ERA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r w:rsidR="00DD669F" w:rsidRPr="00522F34">
        <w:rPr>
          <w:rFonts w:cs="Arial"/>
          <w:szCs w:val="20"/>
        </w:rPr>
        <w:t>CSDR 9 űrlapja (</w:t>
      </w:r>
      <w:proofErr w:type="spellStart"/>
      <w:r w:rsidR="00DD669F" w:rsidRPr="00522F34">
        <w:rPr>
          <w:rFonts w:cs="Arial"/>
          <w:szCs w:val="20"/>
        </w:rPr>
        <w:t>TFF</w:t>
      </w:r>
      <w:proofErr w:type="spellEnd"/>
      <w:r w:rsidR="00DD669F" w:rsidRPr="00522F34">
        <w:rPr>
          <w:rFonts w:cs="Arial"/>
          <w:szCs w:val="20"/>
        </w:rPr>
        <w:t xml:space="preserve">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ERA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proofErr w:type="spellStart"/>
      <w:r>
        <w:rPr>
          <w:rFonts w:cs="Arial"/>
          <w:szCs w:val="20"/>
        </w:rPr>
        <w:t>MOFUN</w:t>
      </w:r>
      <w:proofErr w:type="spellEnd"/>
      <w:r>
        <w:rPr>
          <w:rFonts w:cs="Arial"/>
          <w:szCs w:val="20"/>
        </w:rPr>
        <w:t xml:space="preserve"> </w:t>
      </w:r>
      <w:proofErr w:type="spellStart"/>
      <w:r>
        <w:rPr>
          <w:rFonts w:cs="Arial"/>
          <w:szCs w:val="20"/>
        </w:rPr>
        <w:t>PPA</w:t>
      </w:r>
      <w:proofErr w:type="spellEnd"/>
      <w:r>
        <w:rPr>
          <w:rFonts w:cs="Arial"/>
          <w:szCs w:val="20"/>
        </w:rPr>
        <w:t xml:space="preserve">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C7A3A" w14:textId="77777777" w:rsidR="00C33514" w:rsidRDefault="00C33514" w:rsidP="005F1AB5">
      <w:r>
        <w:separator/>
      </w:r>
    </w:p>
  </w:endnote>
  <w:endnote w:type="continuationSeparator" w:id="0">
    <w:p w14:paraId="4F625DA8" w14:textId="77777777" w:rsidR="00C33514" w:rsidRDefault="00C33514" w:rsidP="005F1AB5">
      <w:r>
        <w:continuationSeparator/>
      </w:r>
    </w:p>
  </w:endnote>
  <w:endnote w:type="continuationNotice" w:id="1">
    <w:p w14:paraId="711FE2B1" w14:textId="77777777" w:rsidR="00C33514" w:rsidRDefault="00C33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1E88" w14:textId="77777777" w:rsidR="00C33514" w:rsidRDefault="00C33514" w:rsidP="005F1AB5">
      <w:r>
        <w:separator/>
      </w:r>
    </w:p>
  </w:footnote>
  <w:footnote w:type="continuationSeparator" w:id="0">
    <w:p w14:paraId="15852D03" w14:textId="77777777" w:rsidR="00C33514" w:rsidRDefault="00C33514" w:rsidP="005F1AB5">
      <w:r>
        <w:continuationSeparator/>
      </w:r>
    </w:p>
  </w:footnote>
  <w:footnote w:type="continuationNotice" w:id="1">
    <w:p w14:paraId="315EA0EC" w14:textId="77777777" w:rsidR="00C33514" w:rsidRDefault="00C33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5039"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2FC1"/>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38D6"/>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67EFB"/>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1411"/>
    <w:rsid w:val="00254279"/>
    <w:rsid w:val="00257DFA"/>
    <w:rsid w:val="00264C07"/>
    <w:rsid w:val="002722FB"/>
    <w:rsid w:val="002811E9"/>
    <w:rsid w:val="0028182D"/>
    <w:rsid w:val="002861AB"/>
    <w:rsid w:val="00291373"/>
    <w:rsid w:val="002A1847"/>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4605"/>
    <w:rsid w:val="004066B0"/>
    <w:rsid w:val="0040798A"/>
    <w:rsid w:val="00417115"/>
    <w:rsid w:val="004251C8"/>
    <w:rsid w:val="00437393"/>
    <w:rsid w:val="00454A60"/>
    <w:rsid w:val="0045779D"/>
    <w:rsid w:val="00457FE3"/>
    <w:rsid w:val="0046125C"/>
    <w:rsid w:val="00465290"/>
    <w:rsid w:val="00466C50"/>
    <w:rsid w:val="004835DB"/>
    <w:rsid w:val="00492B51"/>
    <w:rsid w:val="0049393D"/>
    <w:rsid w:val="00495C30"/>
    <w:rsid w:val="004A0014"/>
    <w:rsid w:val="004A2620"/>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C7578"/>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5568C"/>
    <w:rsid w:val="006618EA"/>
    <w:rsid w:val="00663EA1"/>
    <w:rsid w:val="00665CAC"/>
    <w:rsid w:val="0067242D"/>
    <w:rsid w:val="00675A9D"/>
    <w:rsid w:val="00677C28"/>
    <w:rsid w:val="0068023F"/>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18B8"/>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00BD"/>
    <w:rsid w:val="0076228E"/>
    <w:rsid w:val="00780198"/>
    <w:rsid w:val="0078172A"/>
    <w:rsid w:val="0078462A"/>
    <w:rsid w:val="00784B64"/>
    <w:rsid w:val="00786742"/>
    <w:rsid w:val="00786B10"/>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38D7"/>
    <w:rsid w:val="0086528A"/>
    <w:rsid w:val="00865DBD"/>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562A6"/>
    <w:rsid w:val="00A62139"/>
    <w:rsid w:val="00A63587"/>
    <w:rsid w:val="00A64478"/>
    <w:rsid w:val="00A7290A"/>
    <w:rsid w:val="00A75BD6"/>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463C5"/>
    <w:rsid w:val="00B5100B"/>
    <w:rsid w:val="00B550EE"/>
    <w:rsid w:val="00B5729B"/>
    <w:rsid w:val="00B651D5"/>
    <w:rsid w:val="00B71916"/>
    <w:rsid w:val="00B71CAE"/>
    <w:rsid w:val="00B7231F"/>
    <w:rsid w:val="00B73259"/>
    <w:rsid w:val="00B73346"/>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33514"/>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1B17"/>
    <w:rsid w:val="00C92891"/>
    <w:rsid w:val="00CA273B"/>
    <w:rsid w:val="00CA63DA"/>
    <w:rsid w:val="00CA71B3"/>
    <w:rsid w:val="00CB06EB"/>
    <w:rsid w:val="00CB20B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65DF5"/>
    <w:rsid w:val="00D75C09"/>
    <w:rsid w:val="00D774C4"/>
    <w:rsid w:val="00D84D5E"/>
    <w:rsid w:val="00D85414"/>
    <w:rsid w:val="00D92353"/>
    <w:rsid w:val="00D95E0A"/>
    <w:rsid w:val="00DA2CBC"/>
    <w:rsid w:val="00DA46EA"/>
    <w:rsid w:val="00DA4AA2"/>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4B7"/>
    <w:rsid w:val="00ED5FF7"/>
    <w:rsid w:val="00EE6B9D"/>
    <w:rsid w:val="00EF039B"/>
    <w:rsid w:val="00EF2AC0"/>
    <w:rsid w:val="00EF4800"/>
    <w:rsid w:val="00F00F5E"/>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3D50"/>
    <w:rsid w:val="00F95825"/>
    <w:rsid w:val="00FA1732"/>
    <w:rsid w:val="00FA3F46"/>
    <w:rsid w:val="00FB2B13"/>
    <w:rsid w:val="00FB5661"/>
    <w:rsid w:val="00FC6855"/>
    <w:rsid w:val="00FD2DDC"/>
    <w:rsid w:val="00FD3C32"/>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3054</Words>
  <Characters>21073</Characters>
  <Application>Microsoft Office Word</Application>
  <DocSecurity>0</DocSecurity>
  <Lines>175</Lines>
  <Paragraphs>48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4</cp:revision>
  <cp:lastPrinted>2024-07-16T13:30:00Z</cp:lastPrinted>
  <dcterms:created xsi:type="dcterms:W3CDTF">2024-10-10T12:06:00Z</dcterms:created>
  <dcterms:modified xsi:type="dcterms:W3CDTF">2024-12-04T11:43:00Z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