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60D5" w14:textId="77777777" w:rsidR="009A60A0" w:rsidRPr="00930DE0" w:rsidRDefault="00C43285" w:rsidP="009A60A0">
      <w:pPr>
        <w:spacing w:before="12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MNB azonosító</w:t>
      </w:r>
      <w:r w:rsidR="00110A52" w:rsidRPr="00930DE0">
        <w:rPr>
          <w:rFonts w:ascii="Arial" w:hAnsi="Arial" w:cs="Arial"/>
          <w:b/>
          <w:sz w:val="20"/>
          <w:lang w:val="hu-HU"/>
        </w:rPr>
        <w:t xml:space="preserve"> kód</w:t>
      </w:r>
      <w:r w:rsidRPr="00930DE0">
        <w:rPr>
          <w:rFonts w:ascii="Arial" w:hAnsi="Arial" w:cs="Arial"/>
          <w:b/>
          <w:sz w:val="20"/>
          <w:lang w:val="hu-HU"/>
        </w:rPr>
        <w:t>: E53</w:t>
      </w:r>
    </w:p>
    <w:p w14:paraId="59958A05" w14:textId="77777777" w:rsidR="002B1EAD" w:rsidRPr="00930DE0" w:rsidRDefault="00C43285" w:rsidP="002B1EAD">
      <w:pPr>
        <w:spacing w:before="12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Kitöltési előírások</w:t>
      </w:r>
    </w:p>
    <w:p w14:paraId="58DCB5F6" w14:textId="77777777" w:rsidR="006A3976" w:rsidRPr="00930DE0" w:rsidRDefault="00C43285" w:rsidP="002B1EAD">
      <w:pPr>
        <w:spacing w:after="24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A magyar állam értékpapír-kibocsátásai</w:t>
      </w:r>
    </w:p>
    <w:p w14:paraId="263D778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I. Általános előírások</w:t>
      </w:r>
    </w:p>
    <w:p w14:paraId="1F1F7C18" w14:textId="14D79A41" w:rsidR="006A3976" w:rsidRPr="00930DE0" w:rsidRDefault="00C43285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Az adatszolgáltatás a </w:t>
      </w:r>
      <w:r w:rsidR="00A818DD">
        <w:rPr>
          <w:rFonts w:ascii="Arial" w:hAnsi="Arial" w:cs="Arial"/>
          <w:noProof w:val="0"/>
          <w:sz w:val="20"/>
          <w:lang w:val="hu-HU"/>
        </w:rPr>
        <w:t>m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A818DD">
        <w:rPr>
          <w:rFonts w:ascii="Arial" w:hAnsi="Arial" w:cs="Arial"/>
          <w:noProof w:val="0"/>
          <w:sz w:val="20"/>
          <w:lang w:val="hu-HU"/>
        </w:rPr>
        <w:t>á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llam Magyarországon vagy külföldön történő, hitelviszonyt megtestesítő értékpapír-kibocsátásaira vonatkozik. </w:t>
      </w:r>
    </w:p>
    <w:p w14:paraId="15E8567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II. A táblák kitöltésével kapcsolatos részletes előírások</w:t>
      </w:r>
    </w:p>
    <w:p w14:paraId="0D4A2AD0" w14:textId="77777777" w:rsidR="00554E71" w:rsidRPr="00930DE0" w:rsidRDefault="002A574B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1. </w:t>
      </w:r>
      <w:r w:rsidR="00C43285" w:rsidRPr="00930DE0">
        <w:rPr>
          <w:rFonts w:ascii="Arial" w:hAnsi="Arial" w:cs="Arial"/>
          <w:noProof w:val="0"/>
          <w:sz w:val="20"/>
          <w:lang w:val="hu-HU"/>
        </w:rPr>
        <w:t>Minden egyes kibocsátást külön sorban kell jelenteni.</w:t>
      </w:r>
    </w:p>
    <w:p w14:paraId="715932A5" w14:textId="77777777" w:rsidR="00345EDB" w:rsidRPr="00930DE0" w:rsidRDefault="002A574B" w:rsidP="00554E71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2. </w:t>
      </w:r>
      <w:r w:rsidR="00C43285" w:rsidRPr="00930DE0">
        <w:rPr>
          <w:rFonts w:ascii="Arial" w:hAnsi="Arial" w:cs="Arial"/>
          <w:noProof/>
          <w:sz w:val="20"/>
          <w:lang w:val="hu-HU"/>
        </w:rPr>
        <w:t>A dátumot minden esetben éééé.hh.nn formátumban, előnullázva kell megadni.</w:t>
      </w:r>
    </w:p>
    <w:p w14:paraId="05F8CFEB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01.1. tábla: Az államkötvény-aukciók eredményei</w:t>
      </w:r>
    </w:p>
    <w:p w14:paraId="354D141B" w14:textId="77777777" w:rsidR="006A3976" w:rsidRPr="00930DE0" w:rsidRDefault="00C43285" w:rsidP="00DE52A2">
      <w:pPr>
        <w:pStyle w:val="Szvegtrzs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9093050" w14:textId="16C172BA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 xml:space="preserve">a/ </w:t>
      </w:r>
      <w:r w:rsidRPr="00930DE0">
        <w:rPr>
          <w:rFonts w:ascii="Arial" w:hAnsi="Arial" w:cs="Arial"/>
          <w:sz w:val="20"/>
          <w:lang w:val="hu-HU"/>
        </w:rPr>
        <w:t xml:space="preserve">és </w:t>
      </w:r>
      <w:r w:rsidRPr="00930DE0">
        <w:rPr>
          <w:rFonts w:ascii="Arial" w:hAnsi="Arial" w:cs="Arial"/>
          <w:b/>
          <w:sz w:val="20"/>
          <w:lang w:val="hu-HU"/>
        </w:rPr>
        <w:t xml:space="preserve">d/ </w:t>
      </w:r>
      <w:r w:rsidRPr="00930DE0">
        <w:rPr>
          <w:rFonts w:ascii="Arial" w:hAnsi="Arial" w:cs="Arial"/>
          <w:sz w:val="20"/>
          <w:lang w:val="hu-HU"/>
        </w:rPr>
        <w:t>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0" w:author="MNB" w:date="2024-05-24T12:39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1" w:author="MNB" w:date="2024-05-24T12:39:00Z">
        <w:r w:rsidR="00194BBF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08F6B78" w14:textId="77777777" w:rsidR="00B65D06" w:rsidRPr="00930DE0" w:rsidRDefault="00C43285" w:rsidP="00B65D06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391A9E7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Aukció sorszáma: az adott államkötvényből kibocsátásra kerülő aktuális tranche sorszámát mutatja meg.</w:t>
      </w:r>
    </w:p>
    <w:p w14:paraId="4D3E9DE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hozam, százalékban megadva.</w:t>
      </w:r>
    </w:p>
    <w:p w14:paraId="763BF90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hozam, százalékban megadva. </w:t>
      </w:r>
    </w:p>
    <w:p w14:paraId="75CEAE5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hozam, százalékban megadva.</w:t>
      </w:r>
    </w:p>
    <w:p w14:paraId="1503C74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aukción még elfogadott legkisebb ár, százalékban megadva.</w:t>
      </w:r>
    </w:p>
    <w:p w14:paraId="4D00D020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aukción elfogadott legnagyobb ár, százalékban megadva. </w:t>
      </w:r>
    </w:p>
    <w:p w14:paraId="333D339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aukción kialakult átlagos eladási ár, százalékban megadva. </w:t>
      </w:r>
    </w:p>
    <w:p w14:paraId="4DF10B2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450B0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7AC569DA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027ACDA1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3C2F4FA9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7E0FECB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43FA50E0" w14:textId="77777777" w:rsidR="00345EDB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74FD7405" w14:textId="77777777" w:rsidR="006A3976" w:rsidRPr="00930DE0" w:rsidRDefault="00345EDB" w:rsidP="006B45B1">
      <w:pPr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>A kibocsátási adatoknak tartalmaznia kell a nem kompetitív értékesítési eredményeket is (n/</w:t>
      </w:r>
      <w:r w:rsidR="005708AC" w:rsidRPr="00930DE0">
        <w:rPr>
          <w:rFonts w:ascii="Arial" w:hAnsi="Arial" w:cs="Arial"/>
          <w:noProof/>
          <w:sz w:val="20"/>
          <w:lang w:val="hu-HU"/>
        </w:rPr>
        <w:t>-</w:t>
      </w:r>
      <w:r w:rsidRPr="00930DE0">
        <w:rPr>
          <w:rFonts w:ascii="Arial" w:hAnsi="Arial" w:cs="Arial"/>
          <w:noProof/>
          <w:sz w:val="20"/>
          <w:lang w:val="hu-HU"/>
        </w:rPr>
        <w:t>s/ oszlop).</w:t>
      </w:r>
    </w:p>
    <w:p w14:paraId="3A58CB11" w14:textId="77777777" w:rsidR="00345EDB" w:rsidRPr="00930DE0" w:rsidRDefault="00345EDB" w:rsidP="006B45B1">
      <w:pPr>
        <w:jc w:val="both"/>
        <w:rPr>
          <w:rFonts w:ascii="Arial" w:hAnsi="Arial" w:cs="Arial"/>
          <w:sz w:val="20"/>
          <w:lang w:val="hu-HU"/>
        </w:rPr>
      </w:pPr>
    </w:p>
    <w:p w14:paraId="7B7330B3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01.2. tábla: Diszkontkincstárjegy-aukciók eredményei</w:t>
      </w:r>
    </w:p>
    <w:p w14:paraId="0D2047F4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A75181C" w14:textId="46B92B67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2" w:author="MNB" w:date="2024-05-24T12:39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3" w:author="MNB" w:date="2024-05-24T12:39:00Z">
        <w:r w:rsidR="00155259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692AB40D" w14:textId="483A14E0" w:rsidR="00B65D06" w:rsidRPr="00930DE0" w:rsidRDefault="00C43285" w:rsidP="00B65D06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</w:t>
      </w:r>
      <w:r w:rsidR="003C3F9D">
        <w:rPr>
          <w:rFonts w:ascii="Arial" w:hAnsi="Arial" w:cs="Arial"/>
          <w:noProof/>
          <w:sz w:val="20"/>
          <w:lang w:val="hu-HU"/>
        </w:rPr>
        <w:t>oszlop</w:t>
      </w:r>
      <w:r w:rsidRPr="00930DE0">
        <w:rPr>
          <w:rFonts w:ascii="Arial" w:hAnsi="Arial" w:cs="Arial"/>
          <w:noProof/>
          <w:sz w:val="20"/>
          <w:lang w:val="hu-HU"/>
        </w:rPr>
        <w:t xml:space="preserve">ban felhasználható kódokat a 3. melléklet 4.5. pontja szerinti, az MNB honlapján közzétett technikai segédlet tartalmazza. </w:t>
      </w:r>
    </w:p>
    <w:p w14:paraId="264A344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kincstárjegy futamideje napokban.</w:t>
      </w:r>
    </w:p>
    <w:p w14:paraId="07C58F86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ISMA konvenciók szerinti hozam, százalékban megadva. </w:t>
      </w:r>
    </w:p>
    <w:p w14:paraId="411FAC7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ISMA konvenciók szerinti hozam, százalékban megadva. </w:t>
      </w:r>
    </w:p>
    <w:p w14:paraId="772858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ISMA konvenciók szerinti hozam, százalékban megadva. </w:t>
      </w:r>
    </w:p>
    <w:p w14:paraId="61D9F4B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diszkontláb, százalékban megadva. </w:t>
      </w:r>
    </w:p>
    <w:p w14:paraId="018DBBB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diszkontláb, százalékban megadva. </w:t>
      </w:r>
    </w:p>
    <w:p w14:paraId="35672DE7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diszkontláb, százalékban megadva. </w:t>
      </w:r>
    </w:p>
    <w:p w14:paraId="5258C944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2E0C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08A41E5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1B2CD46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21DC993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26EE456C" w14:textId="77777777" w:rsidR="009A60A0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1DE9F86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lastRenderedPageBreak/>
        <w:t>u/</w:t>
      </w:r>
      <w:r w:rsidRPr="00930DE0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33EC76A4" w14:textId="19B733FA" w:rsidR="00432171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01.3. tábla: </w:t>
      </w:r>
      <w:r w:rsidR="007F68AD">
        <w:rPr>
          <w:rFonts w:ascii="Arial" w:hAnsi="Arial" w:cs="Arial"/>
          <w:b/>
          <w:sz w:val="20"/>
          <w:lang w:val="hu-HU"/>
        </w:rPr>
        <w:t xml:space="preserve">Egyéves Magyar Állampapír és Magyar Állampapír Plusz </w:t>
      </w:r>
      <w:r w:rsidRPr="00930DE0">
        <w:rPr>
          <w:rFonts w:ascii="Arial" w:hAnsi="Arial" w:cs="Arial"/>
          <w:b/>
          <w:sz w:val="20"/>
          <w:lang w:val="hu-HU"/>
        </w:rPr>
        <w:t>kibocsátási adatok</w:t>
      </w:r>
    </w:p>
    <w:p w14:paraId="119053E3" w14:textId="77777777" w:rsidR="00930DE0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8EEEAED" w14:textId="159D83E9" w:rsidR="00C22910" w:rsidRPr="00930DE0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4" w:author="MNB" w:date="2024-05-24T12:39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5" w:author="MNB" w:date="2024-05-24T12:39:00Z">
        <w:r w:rsidR="005C22E1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30B78088" w14:textId="77777777" w:rsidR="00432171" w:rsidRPr="00930DE0" w:rsidRDefault="00C43285" w:rsidP="00207D60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f/ </w:t>
      </w:r>
      <w:r w:rsidRPr="00930DE0">
        <w:rPr>
          <w:rFonts w:ascii="Arial" w:hAnsi="Arial" w:cs="Arial"/>
          <w:sz w:val="20"/>
          <w:lang w:val="hu-HU"/>
        </w:rPr>
        <w:t>A kincstárjegy futamideje napokban kifejezve.</w:t>
      </w:r>
    </w:p>
    <w:p w14:paraId="0ACAB39B" w14:textId="77777777" w:rsidR="00432171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g/ </w:t>
      </w:r>
      <w:r w:rsidRPr="00930DE0">
        <w:rPr>
          <w:rFonts w:ascii="Arial" w:hAnsi="Arial" w:cs="Arial"/>
          <w:sz w:val="20"/>
          <w:lang w:val="hu-HU"/>
        </w:rPr>
        <w:t>Kibocsátott összes mennyiség: a piaci értékesítés és az ÁKK számlájára történt kibocsátás összege, millió forintban megadva.</w:t>
      </w:r>
    </w:p>
    <w:p w14:paraId="1D58FEC1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piaci értékesítés mennyisége, millió forintban megadva. </w:t>
      </w:r>
    </w:p>
    <w:p w14:paraId="7A31E37D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i/ </w:t>
      </w:r>
      <w:r w:rsidRPr="00930DE0">
        <w:rPr>
          <w:rFonts w:ascii="Arial" w:hAnsi="Arial" w:cs="Arial"/>
          <w:sz w:val="20"/>
          <w:lang w:val="hu-HU"/>
        </w:rPr>
        <w:t>A piaci értékesítésen túl az ÁKK számlájára történt kibocsátás mennyisége, millió forintban megadva.</w:t>
      </w:r>
    </w:p>
    <w:p w14:paraId="66F12725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02.1. és a 02.2. tábla: Államkötvény/Diszkontkincstárjegy visszavásárlási aukciók eredményei</w:t>
      </w:r>
    </w:p>
    <w:p w14:paraId="4C77B6A5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7A6A99D" w14:textId="02F12D69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6" w:author="MNB" w:date="2024-05-24T12:39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7" w:author="MNB" w:date="2024-05-24T12:39:00Z">
        <w:r w:rsidR="005C22E1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3FC5C56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összege, millió forintban megadva.</w:t>
      </w:r>
    </w:p>
    <w:p w14:paraId="2133B4D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száma, darabban megadva.</w:t>
      </w:r>
    </w:p>
    <w:p w14:paraId="57ACCE67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összege, millió forintban megadva.</w:t>
      </w:r>
    </w:p>
    <w:p w14:paraId="1B7737C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mennyisége, darabban megadva.</w:t>
      </w:r>
    </w:p>
    <w:p w14:paraId="47A2EE5C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minimális éves hozam, százalékban megadva.</w:t>
      </w:r>
    </w:p>
    <w:p w14:paraId="509F13F1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maximális éves hozam, százalékban megadva.</w:t>
      </w:r>
    </w:p>
    <w:p w14:paraId="01CCDA3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átlagos éves hozam, százalékban megadva. </w:t>
      </w:r>
    </w:p>
    <w:p w14:paraId="2ADB7B3E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még elfogadott legkisebb ár, százalékban megadva.</w:t>
      </w:r>
    </w:p>
    <w:p w14:paraId="4113D38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elfogadott legnagyobb ár, százalékban megadva.</w:t>
      </w:r>
    </w:p>
    <w:p w14:paraId="30A63F3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kialakult átlagos eladási ár, százalékban megadva.</w:t>
      </w:r>
    </w:p>
    <w:p w14:paraId="74D375F8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03. tábla: A magyar állam által zárt körben (Magyarországon és külföldön) kibocsátott, forintban denominált államkötvények adatai</w:t>
      </w:r>
    </w:p>
    <w:p w14:paraId="6F61A141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0F7425B0" w14:textId="6D5012E9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8" w:author="MNB" w:date="2024-05-24T12:40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9" w:author="MNB" w:date="2024-05-24T12:40:00Z">
        <w:r w:rsidR="005C22E1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75D69A24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44E442A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névértéken, millió forintban megadva.</w:t>
      </w:r>
    </w:p>
    <w:p w14:paraId="03DEBA66" w14:textId="6D992B3B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(p</w:t>
      </w:r>
      <w:r w:rsidRPr="00930DE0">
        <w:rPr>
          <w:rFonts w:ascii="Arial" w:hAnsi="Arial" w:cs="Arial"/>
          <w:sz w:val="20"/>
          <w:lang w:val="hu-HU"/>
        </w:rPr>
        <w:t>l.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p w14:paraId="12A17C7A" w14:textId="77777777" w:rsidR="006A3976" w:rsidRPr="00930DE0" w:rsidRDefault="00C43285" w:rsidP="009A60A0">
      <w:pPr>
        <w:spacing w:before="24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04. tábla: A magyar állam által devizában</w:t>
      </w:r>
      <w:r w:rsidR="00735BAE" w:rsidRPr="00930DE0">
        <w:rPr>
          <w:rFonts w:ascii="Arial" w:hAnsi="Arial" w:cs="Arial"/>
          <w:b/>
          <w:sz w:val="20"/>
          <w:lang w:val="hu-HU"/>
        </w:rPr>
        <w:t>, szindikálással</w:t>
      </w:r>
      <w:r w:rsidRPr="00930DE0">
        <w:rPr>
          <w:rFonts w:ascii="Arial" w:hAnsi="Arial" w:cs="Arial"/>
          <w:b/>
          <w:sz w:val="20"/>
          <w:lang w:val="hu-HU"/>
        </w:rPr>
        <w:t xml:space="preserve"> kibocsátott államkötvények adatai (Magyarországon és külföldön)</w:t>
      </w:r>
    </w:p>
    <w:p w14:paraId="5831083F" w14:textId="77777777" w:rsidR="006A3976" w:rsidRPr="00930DE0" w:rsidRDefault="00C43285" w:rsidP="00DE52A2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C162E01" w14:textId="6125E83B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ins w:id="10" w:author="MNB" w:date="2024-05-24T12:40:00Z">
        <w:r w:rsidR="00DA091F">
          <w:rPr>
            <w:rFonts w:ascii="Arial" w:hAnsi="Arial" w:cs="Arial"/>
            <w:sz w:val="20"/>
            <w:lang w:val="hu-HU"/>
          </w:rPr>
          <w:t>E</w:t>
        </w:r>
      </w:ins>
      <w:del w:id="11" w:author="MNB" w:date="2024-05-24T12:40:00Z">
        <w:r w:rsidR="005C22E1" w:rsidRPr="00930DE0" w:rsidDel="00DA091F">
          <w:rPr>
            <w:rFonts w:ascii="Arial" w:hAnsi="Arial" w:cs="Arial"/>
            <w:sz w:val="20"/>
            <w:lang w:val="hu-HU"/>
          </w:rPr>
          <w:delText>F</w:delText>
        </w:r>
      </w:del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9EFC364" w14:textId="77777777" w:rsidR="006579B5" w:rsidRPr="00930DE0" w:rsidRDefault="00C43285" w:rsidP="006579B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6E27A3E0" w14:textId="77777777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4.1. pontja szerinti, az MNBhonlapján közzétett technikai segédlet (Devizakódok) tartalmazza.</w:t>
      </w:r>
    </w:p>
    <w:p w14:paraId="01C6AC55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3DCDF858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 ezer devizában, a denomináció devizanemében megadva.</w:t>
      </w:r>
    </w:p>
    <w:p w14:paraId="21BD1C0B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 kibocsátott összes mennyiség névértéken, a teljesítés napján érvényes</w:t>
      </w:r>
      <w:r w:rsidR="00710891" w:rsidRPr="00930DE0">
        <w:rPr>
          <w:rFonts w:ascii="Arial" w:hAnsi="Arial" w:cs="Arial"/>
          <w:sz w:val="20"/>
          <w:lang w:val="hu-HU"/>
        </w:rPr>
        <w:t>,</w:t>
      </w:r>
      <w:r w:rsidRPr="00930DE0">
        <w:rPr>
          <w:rFonts w:ascii="Arial" w:hAnsi="Arial" w:cs="Arial"/>
          <w:sz w:val="20"/>
          <w:lang w:val="hu-HU"/>
        </w:rPr>
        <w:t xml:space="preserve"> </w:t>
      </w:r>
      <w:r w:rsidR="00710891"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sz w:val="20"/>
          <w:lang w:val="hu-HU"/>
        </w:rPr>
        <w:t>MNB</w:t>
      </w:r>
      <w:r w:rsidR="00710891" w:rsidRPr="00930DE0">
        <w:rPr>
          <w:rFonts w:ascii="Arial" w:hAnsi="Arial" w:cs="Arial"/>
          <w:sz w:val="20"/>
          <w:lang w:val="hu-HU"/>
        </w:rPr>
        <w:t xml:space="preserve"> által közzétett hivatalos</w:t>
      </w:r>
      <w:r w:rsidRPr="00930DE0">
        <w:rPr>
          <w:rFonts w:ascii="Arial" w:hAnsi="Arial" w:cs="Arial"/>
          <w:sz w:val="20"/>
          <w:lang w:val="hu-HU"/>
        </w:rPr>
        <w:t xml:space="preserve"> devizaárfolyamon átszámolva, millió forintban megadva.</w:t>
      </w:r>
    </w:p>
    <w:p w14:paraId="6EE994D4" w14:textId="6F24FF6C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(p</w:t>
      </w:r>
      <w:r w:rsidRPr="00930DE0">
        <w:rPr>
          <w:rFonts w:ascii="Arial" w:hAnsi="Arial" w:cs="Arial"/>
          <w:sz w:val="20"/>
          <w:lang w:val="hu-HU"/>
        </w:rPr>
        <w:t>l.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sectPr w:rsidR="006A3976" w:rsidRPr="00930DE0" w:rsidSect="00C43285">
      <w:pgSz w:w="11906" w:h="16838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2721A" w14:textId="77777777" w:rsidR="00ED50D0" w:rsidRDefault="00ED50D0" w:rsidP="00ED50D0">
      <w:r>
        <w:separator/>
      </w:r>
    </w:p>
  </w:endnote>
  <w:endnote w:type="continuationSeparator" w:id="0">
    <w:p w14:paraId="42BC60BA" w14:textId="77777777" w:rsidR="00ED50D0" w:rsidRDefault="00ED50D0" w:rsidP="00ED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D605" w14:textId="77777777" w:rsidR="00ED50D0" w:rsidRDefault="00ED50D0" w:rsidP="00ED50D0">
      <w:r>
        <w:separator/>
      </w:r>
    </w:p>
  </w:footnote>
  <w:footnote w:type="continuationSeparator" w:id="0">
    <w:p w14:paraId="172F1819" w14:textId="77777777" w:rsidR="00ED50D0" w:rsidRDefault="00ED50D0" w:rsidP="00ED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27C0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5E41F5D"/>
    <w:multiLevelType w:val="singleLevel"/>
    <w:tmpl w:val="F37C7008"/>
    <w:lvl w:ilvl="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" w15:restartNumberingAfterBreak="0">
    <w:nsid w:val="3B946AB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436957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1810EB7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5B365FE1"/>
    <w:multiLevelType w:val="singleLevel"/>
    <w:tmpl w:val="BD5E79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6" w15:restartNumberingAfterBreak="0">
    <w:nsid w:val="6C0120C9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49A1C20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38380995">
    <w:abstractNumId w:val="5"/>
  </w:num>
  <w:num w:numId="2" w16cid:durableId="1424303695">
    <w:abstractNumId w:val="2"/>
  </w:num>
  <w:num w:numId="3" w16cid:durableId="283073411">
    <w:abstractNumId w:val="4"/>
  </w:num>
  <w:num w:numId="4" w16cid:durableId="1060831250">
    <w:abstractNumId w:val="3"/>
  </w:num>
  <w:num w:numId="5" w16cid:durableId="1191409437">
    <w:abstractNumId w:val="6"/>
  </w:num>
  <w:num w:numId="6" w16cid:durableId="1305694388">
    <w:abstractNumId w:val="7"/>
  </w:num>
  <w:num w:numId="7" w16cid:durableId="1867595043">
    <w:abstractNumId w:val="1"/>
  </w:num>
  <w:num w:numId="8" w16cid:durableId="150412145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213"/>
    <w:rsid w:val="00003A65"/>
    <w:rsid w:val="00036C26"/>
    <w:rsid w:val="000921BE"/>
    <w:rsid w:val="000A5953"/>
    <w:rsid w:val="000A6C94"/>
    <w:rsid w:val="000C6F72"/>
    <w:rsid w:val="00110A52"/>
    <w:rsid w:val="00155259"/>
    <w:rsid w:val="00194BBF"/>
    <w:rsid w:val="00205E75"/>
    <w:rsid w:val="00207D60"/>
    <w:rsid w:val="00232CFE"/>
    <w:rsid w:val="0023653B"/>
    <w:rsid w:val="002622C4"/>
    <w:rsid w:val="00276AC6"/>
    <w:rsid w:val="002A574B"/>
    <w:rsid w:val="002B1EAD"/>
    <w:rsid w:val="00323988"/>
    <w:rsid w:val="00345EDB"/>
    <w:rsid w:val="00347893"/>
    <w:rsid w:val="003503A9"/>
    <w:rsid w:val="00354C43"/>
    <w:rsid w:val="003C3F9D"/>
    <w:rsid w:val="003E1D69"/>
    <w:rsid w:val="00405B37"/>
    <w:rsid w:val="004152DA"/>
    <w:rsid w:val="00432171"/>
    <w:rsid w:val="00492385"/>
    <w:rsid w:val="004D38D6"/>
    <w:rsid w:val="004E2898"/>
    <w:rsid w:val="005050F3"/>
    <w:rsid w:val="00554E71"/>
    <w:rsid w:val="005708AC"/>
    <w:rsid w:val="0059202E"/>
    <w:rsid w:val="005C22E1"/>
    <w:rsid w:val="0060010B"/>
    <w:rsid w:val="006579B5"/>
    <w:rsid w:val="006A3976"/>
    <w:rsid w:val="006B45B1"/>
    <w:rsid w:val="006C011C"/>
    <w:rsid w:val="006C06D9"/>
    <w:rsid w:val="006C76A5"/>
    <w:rsid w:val="00710891"/>
    <w:rsid w:val="00735BAE"/>
    <w:rsid w:val="007B2213"/>
    <w:rsid w:val="007C5217"/>
    <w:rsid w:val="007E4EAC"/>
    <w:rsid w:val="007F68AD"/>
    <w:rsid w:val="008170E2"/>
    <w:rsid w:val="008A70BF"/>
    <w:rsid w:val="008E6FFC"/>
    <w:rsid w:val="00930DE0"/>
    <w:rsid w:val="009A45B1"/>
    <w:rsid w:val="009A60A0"/>
    <w:rsid w:val="009D1282"/>
    <w:rsid w:val="00A4193D"/>
    <w:rsid w:val="00A818DD"/>
    <w:rsid w:val="00AB4C51"/>
    <w:rsid w:val="00AE1FE6"/>
    <w:rsid w:val="00B0735A"/>
    <w:rsid w:val="00B40973"/>
    <w:rsid w:val="00B46939"/>
    <w:rsid w:val="00B65D06"/>
    <w:rsid w:val="00BC3E15"/>
    <w:rsid w:val="00BE5174"/>
    <w:rsid w:val="00C0395A"/>
    <w:rsid w:val="00C04723"/>
    <w:rsid w:val="00C22910"/>
    <w:rsid w:val="00C43285"/>
    <w:rsid w:val="00D268B9"/>
    <w:rsid w:val="00D903A8"/>
    <w:rsid w:val="00D94673"/>
    <w:rsid w:val="00DA091F"/>
    <w:rsid w:val="00DA5152"/>
    <w:rsid w:val="00DE52A2"/>
    <w:rsid w:val="00E0345E"/>
    <w:rsid w:val="00E60508"/>
    <w:rsid w:val="00EC6E44"/>
    <w:rsid w:val="00ED50D0"/>
    <w:rsid w:val="00F377B7"/>
    <w:rsid w:val="00F7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C5ADAE9"/>
  <w15:chartTrackingRefBased/>
  <w15:docId w15:val="{0305D955-B300-4F33-AEE1-5DD7A812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3285"/>
    <w:rPr>
      <w:sz w:val="24"/>
      <w:lang w:val="en-AU"/>
    </w:rPr>
  </w:style>
  <w:style w:type="paragraph" w:styleId="Cmsor1">
    <w:name w:val="heading 1"/>
    <w:basedOn w:val="Norml"/>
    <w:next w:val="Norml"/>
    <w:qFormat/>
    <w:rsid w:val="00C43285"/>
    <w:pPr>
      <w:keepNext/>
      <w:jc w:val="center"/>
      <w:outlineLvl w:val="0"/>
    </w:pPr>
    <w:rPr>
      <w:b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C43285"/>
    <w:pPr>
      <w:jc w:val="both"/>
    </w:pPr>
  </w:style>
  <w:style w:type="paragraph" w:styleId="Szvegtrzs3">
    <w:name w:val="Body Text 3"/>
    <w:basedOn w:val="Norml"/>
    <w:rsid w:val="00C43285"/>
    <w:pPr>
      <w:tabs>
        <w:tab w:val="left" w:pos="8222"/>
      </w:tabs>
      <w:spacing w:after="120"/>
      <w:jc w:val="both"/>
    </w:pPr>
    <w:rPr>
      <w:noProof/>
    </w:rPr>
  </w:style>
  <w:style w:type="paragraph" w:styleId="Szvegtrzs2">
    <w:name w:val="Body Text 2"/>
    <w:basedOn w:val="Norml"/>
    <w:rsid w:val="00C43285"/>
    <w:pPr>
      <w:jc w:val="both"/>
    </w:pPr>
    <w:rPr>
      <w:b/>
      <w:lang w:val="hu-HU"/>
    </w:rPr>
  </w:style>
  <w:style w:type="character" w:styleId="Hiperhivatkozs">
    <w:name w:val="Hyperlink"/>
    <w:rsid w:val="00C43285"/>
    <w:rPr>
      <w:color w:val="0000FF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409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554E7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03A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3A6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3A65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3A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A65"/>
    <w:rPr>
      <w:b/>
      <w:bCs/>
      <w:lang w:val="en-AU"/>
    </w:rPr>
  </w:style>
  <w:style w:type="paragraph" w:styleId="Vltozat">
    <w:name w:val="Revision"/>
    <w:hidden/>
    <w:uiPriority w:val="99"/>
    <w:semiHidden/>
    <w:rsid w:val="00DA091F"/>
    <w:rPr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927</Words>
  <Characters>6244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</vt:lpstr>
      <vt:lpstr>MNB adatgyűjtés azonosító: E</vt:lpstr>
    </vt:vector>
  </TitlesOfParts>
  <Company>Magyar Nemzeti Bank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</dc:title>
  <dc:subject/>
  <dc:creator>Gyetvainé Horváth mária</dc:creator>
  <cp:keywords/>
  <cp:lastModifiedBy>MNB</cp:lastModifiedBy>
  <cp:revision>5</cp:revision>
  <cp:lastPrinted>2004-07-15T11:09:00Z</cp:lastPrinted>
  <dcterms:created xsi:type="dcterms:W3CDTF">2020-09-25T09:46:00Z</dcterms:created>
  <dcterms:modified xsi:type="dcterms:W3CDTF">2024-05-24T10:40:00Z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2024-09-18T09:52:05Z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2019-09-18T09:52:08Z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2019-09-18T11:52:11.9953061+02:00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