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1DD" w:rsidRPr="00BB57F5" w:rsidRDefault="006C41DD" w:rsidP="00BB57F5">
      <w:pPr>
        <w:spacing w:after="240"/>
        <w:rPr>
          <w:rFonts w:ascii="Arial" w:hAnsi="Arial" w:cs="Arial"/>
          <w:b/>
        </w:rPr>
      </w:pPr>
      <w:bookmarkStart w:id="0" w:name="_Toc122850703"/>
      <w:bookmarkStart w:id="1" w:name="_Toc125788700"/>
      <w:bookmarkStart w:id="2" w:name="_GoBack"/>
      <w:bookmarkEnd w:id="2"/>
      <w:r w:rsidRPr="00BB57F5">
        <w:rPr>
          <w:rFonts w:ascii="Arial" w:hAnsi="Arial" w:cs="Arial"/>
          <w:b/>
        </w:rPr>
        <w:t>MNB azonosító</w:t>
      </w:r>
      <w:r w:rsidR="00EA4C30">
        <w:rPr>
          <w:rFonts w:ascii="Arial" w:hAnsi="Arial" w:cs="Arial"/>
          <w:b/>
        </w:rPr>
        <w:t xml:space="preserve"> kód</w:t>
      </w:r>
      <w:r w:rsidRPr="00BB57F5">
        <w:rPr>
          <w:rFonts w:ascii="Arial" w:hAnsi="Arial" w:cs="Arial"/>
          <w:b/>
        </w:rPr>
        <w:t>: SL2, SL3, SL4, SL5</w:t>
      </w:r>
      <w:r w:rsidR="00EA7164" w:rsidRPr="00BB57F5">
        <w:rPr>
          <w:rFonts w:ascii="Arial" w:hAnsi="Arial" w:cs="Arial"/>
          <w:b/>
        </w:rPr>
        <w:t>, SL6</w:t>
      </w:r>
    </w:p>
    <w:p w:rsidR="006C41DD" w:rsidRPr="00BB57F5" w:rsidRDefault="006C41DD" w:rsidP="00BB57F5">
      <w:pPr>
        <w:spacing w:before="240"/>
        <w:jc w:val="center"/>
        <w:rPr>
          <w:rFonts w:ascii="Arial" w:hAnsi="Arial" w:cs="Arial"/>
          <w:b/>
        </w:rPr>
      </w:pPr>
      <w:r w:rsidRPr="00BB57F5">
        <w:rPr>
          <w:rFonts w:ascii="Arial" w:hAnsi="Arial" w:cs="Arial"/>
          <w:b/>
        </w:rPr>
        <w:t>Kitöltési előírások</w:t>
      </w:r>
    </w:p>
    <w:p w:rsidR="006C41DD" w:rsidRPr="00BB57F5" w:rsidRDefault="006C41DD" w:rsidP="005F1EDD">
      <w:pPr>
        <w:spacing w:after="600"/>
        <w:jc w:val="center"/>
        <w:rPr>
          <w:rFonts w:ascii="Arial" w:hAnsi="Arial" w:cs="Arial"/>
          <w:b/>
        </w:rPr>
      </w:pPr>
      <w:r w:rsidRPr="00BB57F5">
        <w:rPr>
          <w:rFonts w:ascii="Arial" w:hAnsi="Arial" w:cs="Arial"/>
          <w:b/>
        </w:rPr>
        <w:t xml:space="preserve">Fogyasztási hitelezés; Vállalati hitelezés; Üzleti célú </w:t>
      </w:r>
      <w:r w:rsidR="0078675A" w:rsidRPr="00BB57F5">
        <w:rPr>
          <w:rFonts w:ascii="Arial" w:hAnsi="Arial" w:cs="Arial"/>
          <w:b/>
        </w:rPr>
        <w:t>ingatlanhitelezés</w:t>
      </w:r>
      <w:r w:rsidRPr="00BB57F5">
        <w:rPr>
          <w:rFonts w:ascii="Arial" w:hAnsi="Arial" w:cs="Arial"/>
          <w:b/>
        </w:rPr>
        <w:t>; Lakáscélú hitelezés</w:t>
      </w:r>
      <w:r w:rsidR="00EA7164" w:rsidRPr="00BB57F5">
        <w:rPr>
          <w:rFonts w:ascii="Arial" w:hAnsi="Arial" w:cs="Arial"/>
          <w:b/>
        </w:rPr>
        <w:t>, Gépjárműfinanszírozás</w:t>
      </w:r>
    </w:p>
    <w:p w:rsidR="006C41DD" w:rsidRPr="00BB57F5" w:rsidRDefault="006C41DD" w:rsidP="00BB57F5">
      <w:pPr>
        <w:pStyle w:val="Cmsor1"/>
        <w:spacing w:after="240"/>
        <w:rPr>
          <w:sz w:val="20"/>
          <w:szCs w:val="20"/>
        </w:rPr>
      </w:pPr>
      <w:bookmarkStart w:id="3" w:name="_Toc125943045"/>
      <w:r w:rsidRPr="00BB57F5">
        <w:rPr>
          <w:sz w:val="20"/>
          <w:szCs w:val="20"/>
        </w:rPr>
        <w:t>I. Általános</w:t>
      </w:r>
      <w:bookmarkEnd w:id="3"/>
      <w:r w:rsidRPr="00BB57F5">
        <w:rPr>
          <w:sz w:val="20"/>
          <w:szCs w:val="20"/>
        </w:rPr>
        <w:t xml:space="preserve"> előírások</w:t>
      </w:r>
    </w:p>
    <w:p w:rsidR="006C41DD" w:rsidRPr="00BB57F5" w:rsidRDefault="006C41DD">
      <w:pPr>
        <w:pStyle w:val="Cm"/>
        <w:spacing w:after="120"/>
        <w:ind w:left="360" w:hanging="360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 xml:space="preserve">1. </w:t>
      </w:r>
      <w:r w:rsidRPr="00BB57F5">
        <w:rPr>
          <w:rFonts w:ascii="Arial" w:hAnsi="Arial" w:cs="Arial"/>
          <w:u w:val="none"/>
        </w:rPr>
        <w:tab/>
      </w:r>
      <w:r w:rsidRPr="00BB57F5">
        <w:rPr>
          <w:rFonts w:ascii="Arial" w:hAnsi="Arial" w:cs="Arial"/>
          <w:b w:val="0"/>
          <w:u w:val="none"/>
        </w:rPr>
        <w:t xml:space="preserve">Az adatszolgáltatásokban </w:t>
      </w:r>
    </w:p>
    <w:p w:rsidR="006C41DD" w:rsidRPr="00BB57F5" w:rsidRDefault="006C41DD" w:rsidP="00745FCC">
      <w:pPr>
        <w:pStyle w:val="Cm"/>
        <w:ind w:left="709" w:hanging="283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>a)</w:t>
      </w:r>
      <w:r w:rsidR="00745FCC">
        <w:rPr>
          <w:rFonts w:ascii="Arial" w:hAnsi="Arial" w:cs="Arial"/>
          <w:b w:val="0"/>
          <w:u w:val="none"/>
        </w:rPr>
        <w:tab/>
      </w:r>
      <w:r w:rsidRPr="00BB57F5">
        <w:rPr>
          <w:rFonts w:ascii="Arial" w:hAnsi="Arial" w:cs="Arial"/>
          <w:b w:val="0"/>
          <w:u w:val="none"/>
        </w:rPr>
        <w:t xml:space="preserve">a hitelezési hajlandóságról (kihelyezni kívánt hitelmennyiség, amely az adatszolgáltató adott szegmensben meglévő terjeszkedési, állománynövelési szándékát tükrözi), </w:t>
      </w:r>
    </w:p>
    <w:p w:rsidR="006C41DD" w:rsidRPr="00BB57F5" w:rsidRDefault="006C41DD" w:rsidP="00745FCC">
      <w:pPr>
        <w:pStyle w:val="Cm"/>
        <w:ind w:left="709" w:hanging="283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>b)</w:t>
      </w:r>
      <w:r w:rsidR="00745FCC">
        <w:rPr>
          <w:rFonts w:ascii="Arial" w:hAnsi="Arial" w:cs="Arial"/>
          <w:b w:val="0"/>
          <w:u w:val="none"/>
        </w:rPr>
        <w:tab/>
      </w:r>
      <w:r w:rsidRPr="00BB57F5">
        <w:rPr>
          <w:rFonts w:ascii="Arial" w:hAnsi="Arial" w:cs="Arial"/>
          <w:b w:val="0"/>
          <w:u w:val="none"/>
        </w:rPr>
        <w:t>a hitelezési standardok (belső szabályok, alapelvek, amelyek meghatározzák, hogy az adatszolgáltató milyen ügyfeleknek, ügyfélcsoportoknak – ágazat, terület, méret, pénzügyi mutatók stb. szerinti besorolás alapján</w:t>
      </w:r>
      <w:r w:rsidR="00745FCC">
        <w:rPr>
          <w:rFonts w:ascii="Arial" w:hAnsi="Arial" w:cs="Arial"/>
          <w:b w:val="0"/>
          <w:u w:val="none"/>
        </w:rPr>
        <w:t xml:space="preserve"> </w:t>
      </w:r>
      <w:r w:rsidRPr="00BB57F5">
        <w:rPr>
          <w:rFonts w:ascii="Arial" w:hAnsi="Arial" w:cs="Arial"/>
          <w:b w:val="0"/>
          <w:u w:val="none"/>
        </w:rPr>
        <w:t>–, milyen típusú hitelt – csak fedezett,</w:t>
      </w:r>
      <w:r w:rsidR="0043753D" w:rsidRPr="00BB57F5">
        <w:rPr>
          <w:rFonts w:ascii="Arial" w:hAnsi="Arial" w:cs="Arial"/>
          <w:b w:val="0"/>
          <w:u w:val="none"/>
        </w:rPr>
        <w:t xml:space="preserve"> beruházási, folyószámla stb. –</w:t>
      </w:r>
      <w:r w:rsidRPr="00BB57F5">
        <w:rPr>
          <w:rFonts w:ascii="Arial" w:hAnsi="Arial" w:cs="Arial"/>
          <w:b w:val="0"/>
          <w:u w:val="none"/>
        </w:rPr>
        <w:t xml:space="preserve"> nyújt) változásairól,</w:t>
      </w:r>
    </w:p>
    <w:p w:rsidR="006C41DD" w:rsidRPr="00BB57F5" w:rsidRDefault="006C41DD" w:rsidP="00745FCC">
      <w:pPr>
        <w:pStyle w:val="Cm"/>
        <w:ind w:left="709" w:hanging="283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>c)</w:t>
      </w:r>
      <w:r w:rsidR="00745FCC">
        <w:rPr>
          <w:rFonts w:ascii="Arial" w:hAnsi="Arial" w:cs="Arial"/>
          <w:b w:val="0"/>
          <w:u w:val="none"/>
        </w:rPr>
        <w:tab/>
      </w:r>
      <w:r w:rsidRPr="00BB57F5">
        <w:rPr>
          <w:rFonts w:ascii="Arial" w:hAnsi="Arial" w:cs="Arial"/>
          <w:b w:val="0"/>
          <w:u w:val="none"/>
        </w:rPr>
        <w:t>a hitelezési/ folyósítási feltételek (nem árjellegű tényezők – pl. fedezeti követelmények, adós kötelezettségvállalásai, hitel/hitelkeret maximális nagysága –, és árjellegű tényezők</w:t>
      </w:r>
      <w:r w:rsidR="00745FCC">
        <w:rPr>
          <w:rFonts w:ascii="Arial" w:hAnsi="Arial" w:cs="Arial"/>
          <w:b w:val="0"/>
          <w:u w:val="none"/>
        </w:rPr>
        <w:t>, így</w:t>
      </w:r>
      <w:r w:rsidRPr="00BB57F5">
        <w:rPr>
          <w:rFonts w:ascii="Arial" w:hAnsi="Arial" w:cs="Arial"/>
          <w:b w:val="0"/>
          <w:u w:val="none"/>
        </w:rPr>
        <w:t xml:space="preserve"> pl</w:t>
      </w:r>
      <w:r w:rsidR="00EA4C30">
        <w:rPr>
          <w:rFonts w:ascii="Arial" w:hAnsi="Arial" w:cs="Arial"/>
          <w:b w:val="0"/>
          <w:u w:val="none"/>
        </w:rPr>
        <w:t xml:space="preserve">. forrásköltség feletti felár, </w:t>
      </w:r>
      <w:r w:rsidRPr="00BB57F5">
        <w:rPr>
          <w:rFonts w:ascii="Arial" w:hAnsi="Arial" w:cs="Arial"/>
          <w:b w:val="0"/>
          <w:u w:val="none"/>
        </w:rPr>
        <w:t xml:space="preserve">kockázati prémium) változtatásairól, </w:t>
      </w:r>
    </w:p>
    <w:p w:rsidR="006C41DD" w:rsidRPr="00BB57F5" w:rsidRDefault="006C41DD" w:rsidP="00745FCC">
      <w:pPr>
        <w:pStyle w:val="Cm"/>
        <w:ind w:left="709" w:hanging="283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>d)</w:t>
      </w:r>
      <w:r w:rsidR="00745FCC">
        <w:rPr>
          <w:rFonts w:ascii="Arial" w:hAnsi="Arial" w:cs="Arial"/>
          <w:b w:val="0"/>
          <w:u w:val="none"/>
        </w:rPr>
        <w:tab/>
      </w:r>
      <w:r w:rsidRPr="00BB57F5">
        <w:rPr>
          <w:rFonts w:ascii="Arial" w:hAnsi="Arial" w:cs="Arial"/>
          <w:b w:val="0"/>
          <w:u w:val="none"/>
        </w:rPr>
        <w:t>az adatszolgáltató által érzékelt kereslet (a tárgyidőszakban megfigyelt, és következő félévre várt) változásáról, valamint</w:t>
      </w:r>
    </w:p>
    <w:p w:rsidR="006C41DD" w:rsidRPr="00BB57F5" w:rsidRDefault="006C41DD" w:rsidP="00745FCC">
      <w:pPr>
        <w:pStyle w:val="Cm"/>
        <w:ind w:left="709" w:hanging="283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>e)</w:t>
      </w:r>
      <w:r w:rsidR="00745FCC">
        <w:rPr>
          <w:rFonts w:ascii="Arial" w:hAnsi="Arial" w:cs="Arial"/>
          <w:b w:val="0"/>
          <w:u w:val="none"/>
        </w:rPr>
        <w:tab/>
      </w:r>
      <w:r w:rsidRPr="00BB57F5">
        <w:rPr>
          <w:rFonts w:ascii="Arial" w:hAnsi="Arial" w:cs="Arial"/>
          <w:b w:val="0"/>
          <w:u w:val="none"/>
        </w:rPr>
        <w:t xml:space="preserve">a portfólió minőségének változásáról, illetve – a vállalati hitelezésre vonatkozó adtaszolgáltatás esetében – a szektorok kockázati megítélésének alakulásáról </w:t>
      </w:r>
    </w:p>
    <w:p w:rsidR="006C41DD" w:rsidRPr="00BB57F5" w:rsidRDefault="006C41DD" w:rsidP="00BB57F5">
      <w:pPr>
        <w:pStyle w:val="Cm"/>
        <w:ind w:left="709" w:hanging="425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 xml:space="preserve">kell információt adni.  </w:t>
      </w:r>
    </w:p>
    <w:p w:rsidR="006C41DD" w:rsidRPr="00BB57F5" w:rsidRDefault="006C41DD" w:rsidP="005F1EDD">
      <w:pPr>
        <w:pStyle w:val="Cm"/>
        <w:spacing w:before="240" w:after="120"/>
        <w:ind w:left="357" w:hanging="357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>2.</w:t>
      </w:r>
      <w:r w:rsidRPr="00BB57F5">
        <w:rPr>
          <w:rFonts w:ascii="Arial" w:hAnsi="Arial" w:cs="Arial"/>
          <w:b w:val="0"/>
          <w:u w:val="none"/>
        </w:rPr>
        <w:tab/>
        <w:t>A hitelezési standardok és hitelezési feltételek összefüggő fogalmak, így az adatszolgáltatások kérdőívei együttesen kérdeznek rá a hitelezési standardok és feltételek összességében mért változására, majd egyesével az egyes hitelezési standardokra, illetve feltételekre.</w:t>
      </w:r>
    </w:p>
    <w:bookmarkEnd w:id="0"/>
    <w:bookmarkEnd w:id="1"/>
    <w:p w:rsidR="006C41DD" w:rsidRPr="00BB57F5" w:rsidRDefault="006C41DD" w:rsidP="00BB57F5">
      <w:pPr>
        <w:pStyle w:val="Cmsor1"/>
        <w:spacing w:after="240"/>
        <w:rPr>
          <w:sz w:val="20"/>
          <w:szCs w:val="20"/>
        </w:rPr>
      </w:pPr>
      <w:r w:rsidRPr="00BB57F5">
        <w:rPr>
          <w:sz w:val="20"/>
          <w:szCs w:val="20"/>
        </w:rPr>
        <w:t>II. A táblák kitöltésével kapcsolatos részletes előírások</w:t>
      </w:r>
    </w:p>
    <w:p w:rsidR="006C41DD" w:rsidRPr="00BB57F5" w:rsidRDefault="006C41DD">
      <w:pPr>
        <w:pStyle w:val="Cm"/>
        <w:spacing w:after="60"/>
        <w:ind w:left="360" w:hanging="360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>1.</w:t>
      </w:r>
      <w:r w:rsidRPr="00BB57F5">
        <w:rPr>
          <w:rFonts w:ascii="Arial" w:hAnsi="Arial" w:cs="Arial"/>
          <w:b w:val="0"/>
          <w:u w:val="none"/>
        </w:rPr>
        <w:tab/>
        <w:t>Az egyes kérdéseknél ötfokozatú skálán kell megadni a választ, ahol az egyes válaszlehetőségek a következők:</w:t>
      </w:r>
    </w:p>
    <w:p w:rsidR="006C41DD" w:rsidRPr="00BB57F5" w:rsidRDefault="00745FCC" w:rsidP="00745FCC">
      <w:pPr>
        <w:pStyle w:val="Cm"/>
        <w:numPr>
          <w:ilvl w:val="0"/>
          <w:numId w:val="27"/>
        </w:numPr>
        <w:tabs>
          <w:tab w:val="clear" w:pos="1440"/>
          <w:tab w:val="num" w:pos="709"/>
        </w:tabs>
        <w:spacing w:after="60"/>
        <w:ind w:left="709" w:hanging="283"/>
        <w:jc w:val="both"/>
        <w:rPr>
          <w:rFonts w:ascii="Arial" w:hAnsi="Arial" w:cs="Arial"/>
          <w:b w:val="0"/>
          <w:u w:val="none"/>
        </w:rPr>
      </w:pPr>
      <w:r>
        <w:rPr>
          <w:rFonts w:ascii="Arial" w:hAnsi="Arial" w:cs="Arial"/>
          <w:b w:val="0"/>
          <w:u w:val="none"/>
        </w:rPr>
        <w:t xml:space="preserve">az </w:t>
      </w:r>
      <w:r w:rsidR="006C41DD" w:rsidRPr="00BB57F5">
        <w:rPr>
          <w:rFonts w:ascii="Arial" w:hAnsi="Arial" w:cs="Arial"/>
          <w:b w:val="0"/>
          <w:u w:val="none"/>
        </w:rPr>
        <w:t>1-es értékelés jelenti a jelentős erősödést a keresletben, a hitelezési hajlandóság növekedését, jelentős szigorítást a hitelezési standardokban, illetve feltételekben, a kockázati paraméterek jelentős növekedését, továbbá a szektorok kockázati megítélésénél a jelentősen kockázatosabbá válást a felmérést megelőző félévhez képest, illetve a következő félévre vonatkozó előrejelzés esetében a megelőző negyedévhez képest</w:t>
      </w:r>
      <w:r>
        <w:rPr>
          <w:rFonts w:ascii="Arial" w:hAnsi="Arial" w:cs="Arial"/>
          <w:b w:val="0"/>
          <w:u w:val="none"/>
        </w:rPr>
        <w:t>;</w:t>
      </w:r>
    </w:p>
    <w:p w:rsidR="006C41DD" w:rsidRPr="00BB57F5" w:rsidRDefault="00745FCC" w:rsidP="00745FCC">
      <w:pPr>
        <w:pStyle w:val="Cm"/>
        <w:numPr>
          <w:ilvl w:val="0"/>
          <w:numId w:val="27"/>
        </w:numPr>
        <w:tabs>
          <w:tab w:val="clear" w:pos="1440"/>
          <w:tab w:val="num" w:pos="709"/>
        </w:tabs>
        <w:spacing w:after="60"/>
        <w:ind w:left="709" w:hanging="283"/>
        <w:jc w:val="both"/>
        <w:rPr>
          <w:rFonts w:ascii="Arial" w:hAnsi="Arial" w:cs="Arial"/>
          <w:b w:val="0"/>
          <w:u w:val="none"/>
        </w:rPr>
      </w:pPr>
      <w:r>
        <w:rPr>
          <w:rFonts w:ascii="Arial" w:hAnsi="Arial" w:cs="Arial"/>
          <w:b w:val="0"/>
          <w:u w:val="none"/>
        </w:rPr>
        <w:t xml:space="preserve">a </w:t>
      </w:r>
      <w:r w:rsidR="006C41DD" w:rsidRPr="00BB57F5">
        <w:rPr>
          <w:rFonts w:ascii="Arial" w:hAnsi="Arial" w:cs="Arial"/>
          <w:b w:val="0"/>
          <w:u w:val="none"/>
        </w:rPr>
        <w:t>3-as értékelés változatlanságot jelent mind a tárgynegyedév értékelésében, mind a következő félévre vonatkozó előrejelzésben</w:t>
      </w:r>
      <w:r>
        <w:rPr>
          <w:rFonts w:ascii="Arial" w:hAnsi="Arial" w:cs="Arial"/>
          <w:b w:val="0"/>
          <w:u w:val="none"/>
        </w:rPr>
        <w:t>;</w:t>
      </w:r>
    </w:p>
    <w:p w:rsidR="006C41DD" w:rsidRPr="00BB57F5" w:rsidRDefault="00745FCC" w:rsidP="00745FCC">
      <w:pPr>
        <w:pStyle w:val="Cm"/>
        <w:numPr>
          <w:ilvl w:val="0"/>
          <w:numId w:val="27"/>
        </w:numPr>
        <w:tabs>
          <w:tab w:val="clear" w:pos="1440"/>
          <w:tab w:val="num" w:pos="709"/>
        </w:tabs>
        <w:spacing w:after="60"/>
        <w:ind w:left="709" w:hanging="283"/>
        <w:jc w:val="both"/>
        <w:rPr>
          <w:rFonts w:ascii="Arial" w:hAnsi="Arial" w:cs="Arial"/>
          <w:b w:val="0"/>
          <w:u w:val="none"/>
        </w:rPr>
      </w:pPr>
      <w:r>
        <w:rPr>
          <w:rFonts w:ascii="Arial" w:hAnsi="Arial" w:cs="Arial"/>
          <w:b w:val="0"/>
          <w:u w:val="none"/>
        </w:rPr>
        <w:t xml:space="preserve">az </w:t>
      </w:r>
      <w:r w:rsidR="006C41DD" w:rsidRPr="00BB57F5">
        <w:rPr>
          <w:rFonts w:ascii="Arial" w:hAnsi="Arial" w:cs="Arial"/>
          <w:b w:val="0"/>
          <w:u w:val="none"/>
        </w:rPr>
        <w:t>5-ös értékelés jelenti a jelentős gyengülést a keresletben, a hitelezési hajlandóság jelentős csökkenését, jelentős enyhítést a hitelezési standardokban, illetve feltételekben, a kockázati paraméterek jelentős csökkenését, továbbá a szektorok kockázati megítélésénél a jelentősen biztonságosabbá válást a felmérést megelőző félévhez képest, illetve a következő félévre vonatkozó előrejelzés esetében a jelenlegi negyedévhez képest</w:t>
      </w:r>
      <w:r>
        <w:rPr>
          <w:rFonts w:ascii="Arial" w:hAnsi="Arial" w:cs="Arial"/>
          <w:b w:val="0"/>
          <w:u w:val="none"/>
        </w:rPr>
        <w:t>;</w:t>
      </w:r>
    </w:p>
    <w:p w:rsidR="006C41DD" w:rsidRPr="00BB57F5" w:rsidRDefault="00745FCC" w:rsidP="00745FCC">
      <w:pPr>
        <w:pStyle w:val="Cm"/>
        <w:numPr>
          <w:ilvl w:val="0"/>
          <w:numId w:val="27"/>
        </w:numPr>
        <w:tabs>
          <w:tab w:val="clear" w:pos="1440"/>
          <w:tab w:val="num" w:pos="709"/>
        </w:tabs>
        <w:spacing w:after="60"/>
        <w:ind w:left="709" w:hanging="283"/>
        <w:jc w:val="both"/>
        <w:rPr>
          <w:rFonts w:ascii="Arial" w:hAnsi="Arial" w:cs="Arial"/>
          <w:b w:val="0"/>
          <w:u w:val="none"/>
        </w:rPr>
      </w:pPr>
      <w:r>
        <w:rPr>
          <w:rFonts w:ascii="Arial" w:hAnsi="Arial" w:cs="Arial"/>
          <w:b w:val="0"/>
          <w:u w:val="none"/>
        </w:rPr>
        <w:t>a</w:t>
      </w:r>
      <w:r w:rsidR="006C41DD" w:rsidRPr="00BB57F5">
        <w:rPr>
          <w:rFonts w:ascii="Arial" w:hAnsi="Arial" w:cs="Arial"/>
          <w:b w:val="0"/>
          <w:u w:val="none"/>
        </w:rPr>
        <w:t xml:space="preserve"> 2-es, illetve 4-es értékelés a szélsőséges válaszok közötti köztes helyzetértékelést (pl. valamelyest erősödő kereslet) teszik lehetővé</w:t>
      </w:r>
      <w:r>
        <w:rPr>
          <w:rFonts w:ascii="Arial" w:hAnsi="Arial" w:cs="Arial"/>
          <w:b w:val="0"/>
          <w:u w:val="none"/>
        </w:rPr>
        <w:t>;</w:t>
      </w:r>
    </w:p>
    <w:p w:rsidR="006C41DD" w:rsidRPr="00BB57F5" w:rsidRDefault="00745FCC" w:rsidP="00745FCC">
      <w:pPr>
        <w:numPr>
          <w:ilvl w:val="0"/>
          <w:numId w:val="27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6C41DD" w:rsidRPr="00BB57F5">
        <w:rPr>
          <w:rFonts w:ascii="Arial" w:hAnsi="Arial" w:cs="Arial"/>
        </w:rPr>
        <w:t>zoknál a kérdéseknél, ahol az egyes tényezők változásához való hozzájárulásra kérdez rá a kérdőív, az 1-es értékelés a szigorításhoz/növekedéshez való erős hozzájárulást, az 5-ös értékelés az enyhítéshez/csökkenéshez való erős hozzájárulást, a 3-as értékelés pedig a változatlansághoz való hozzájárulást jelzi.</w:t>
      </w:r>
    </w:p>
    <w:p w:rsidR="006C41DD" w:rsidRPr="00BB57F5" w:rsidRDefault="006C41DD" w:rsidP="005F1EDD">
      <w:pPr>
        <w:spacing w:before="240"/>
        <w:ind w:left="357" w:hanging="357"/>
        <w:jc w:val="both"/>
        <w:rPr>
          <w:rFonts w:ascii="Arial" w:hAnsi="Arial" w:cs="Arial"/>
          <w:snapToGrid w:val="0"/>
          <w:lang w:eastAsia="en-US"/>
        </w:rPr>
      </w:pPr>
      <w:r w:rsidRPr="00BB57F5">
        <w:rPr>
          <w:rFonts w:ascii="Arial" w:hAnsi="Arial" w:cs="Arial"/>
        </w:rPr>
        <w:t>2.</w:t>
      </w:r>
      <w:r w:rsidRPr="00BB57F5">
        <w:rPr>
          <w:rFonts w:ascii="Arial" w:hAnsi="Arial" w:cs="Arial"/>
        </w:rPr>
        <w:tab/>
        <w:t xml:space="preserve">A kitöltés során a kérdőív-formában kell megadni a konkrét válaszokat, a megfelelőnek ítélt válaszlehetőség megjelölésével. A válaszok megadását követően a kérdőívet tartalmazó makróprogram elvégzi azt az átkódolást, amelynek eredményeképpen a megadott információk az </w:t>
      </w:r>
      <w:r w:rsidR="00690B15">
        <w:rPr>
          <w:rFonts w:ascii="Arial" w:hAnsi="Arial" w:cs="Arial"/>
        </w:rPr>
        <w:t>adatszolgáltatás teljesítésére szolgáló</w:t>
      </w:r>
      <w:r w:rsidR="00745C77" w:rsidRPr="00BB57F5">
        <w:rPr>
          <w:rFonts w:ascii="Arial" w:hAnsi="Arial" w:cs="Arial"/>
        </w:rPr>
        <w:t xml:space="preserve"> </w:t>
      </w:r>
      <w:r w:rsidRPr="00BB57F5">
        <w:rPr>
          <w:rFonts w:ascii="Arial" w:hAnsi="Arial" w:cs="Arial"/>
        </w:rPr>
        <w:t>rendszerbe bejuttathatók.</w:t>
      </w:r>
    </w:p>
    <w:sectPr w:rsidR="006C41DD" w:rsidRPr="00BB57F5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A57" w:rsidRDefault="001D5A57">
      <w:r>
        <w:separator/>
      </w:r>
    </w:p>
  </w:endnote>
  <w:endnote w:type="continuationSeparator" w:id="0">
    <w:p w:rsidR="001D5A57" w:rsidRDefault="001D5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B15" w:rsidRDefault="00690B1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90B15" w:rsidRDefault="00690B1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B15" w:rsidRDefault="00690B15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A57" w:rsidRDefault="001D5A57">
      <w:r>
        <w:separator/>
      </w:r>
    </w:p>
  </w:footnote>
  <w:footnote w:type="continuationSeparator" w:id="0">
    <w:p w:rsidR="001D5A57" w:rsidRDefault="001D5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C5A44"/>
    <w:multiLevelType w:val="hybridMultilevel"/>
    <w:tmpl w:val="BB1A4B88"/>
    <w:lvl w:ilvl="0" w:tplc="F00A44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5C20A3"/>
    <w:multiLevelType w:val="multilevel"/>
    <w:tmpl w:val="51603048"/>
    <w:lvl w:ilvl="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55E80"/>
    <w:multiLevelType w:val="hybridMultilevel"/>
    <w:tmpl w:val="49B6531E"/>
    <w:lvl w:ilvl="0" w:tplc="7EF4EC30">
      <w:start w:val="2"/>
      <w:numFmt w:val="bullet"/>
      <w:lvlText w:val="-"/>
      <w:lvlJc w:val="left"/>
      <w:pPr>
        <w:tabs>
          <w:tab w:val="num" w:pos="1904"/>
        </w:tabs>
        <w:ind w:left="19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0743498B"/>
    <w:multiLevelType w:val="hybridMultilevel"/>
    <w:tmpl w:val="22C2DCA2"/>
    <w:lvl w:ilvl="0" w:tplc="FF02B8DC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D29AC"/>
    <w:multiLevelType w:val="hybridMultilevel"/>
    <w:tmpl w:val="BE70821E"/>
    <w:lvl w:ilvl="0" w:tplc="7EF4EC3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435B4"/>
    <w:multiLevelType w:val="hybridMultilevel"/>
    <w:tmpl w:val="D86A15D6"/>
    <w:lvl w:ilvl="0" w:tplc="040E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6" w15:restartNumberingAfterBreak="0">
    <w:nsid w:val="0CED0E87"/>
    <w:multiLevelType w:val="hybridMultilevel"/>
    <w:tmpl w:val="F528860E"/>
    <w:lvl w:ilvl="0" w:tplc="7B34FC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411210"/>
    <w:multiLevelType w:val="hybridMultilevel"/>
    <w:tmpl w:val="51603048"/>
    <w:lvl w:ilvl="0" w:tplc="FF02B8DC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516"/>
        </w:tabs>
        <w:ind w:left="15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16"/>
        </w:tabs>
        <w:ind w:left="24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36"/>
        </w:tabs>
        <w:ind w:left="31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56"/>
        </w:tabs>
        <w:ind w:left="38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76"/>
        </w:tabs>
        <w:ind w:left="45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96"/>
        </w:tabs>
        <w:ind w:left="52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16"/>
        </w:tabs>
        <w:ind w:left="60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36"/>
        </w:tabs>
        <w:ind w:left="6736" w:hanging="360"/>
      </w:pPr>
      <w:rPr>
        <w:rFonts w:ascii="Wingdings" w:hAnsi="Wingdings" w:hint="default"/>
      </w:rPr>
    </w:lvl>
  </w:abstractNum>
  <w:abstractNum w:abstractNumId="8" w15:restartNumberingAfterBreak="0">
    <w:nsid w:val="11C27F8B"/>
    <w:multiLevelType w:val="multilevel"/>
    <w:tmpl w:val="D86A15D6"/>
    <w:lvl w:ilvl="0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9" w15:restartNumberingAfterBreak="0">
    <w:nsid w:val="17567AF2"/>
    <w:multiLevelType w:val="hybridMultilevel"/>
    <w:tmpl w:val="D9844DA4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9DF01B9"/>
    <w:multiLevelType w:val="multilevel"/>
    <w:tmpl w:val="51603048"/>
    <w:lvl w:ilvl="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16"/>
        </w:tabs>
        <w:ind w:left="15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16"/>
        </w:tabs>
        <w:ind w:left="24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36"/>
        </w:tabs>
        <w:ind w:left="31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56"/>
        </w:tabs>
        <w:ind w:left="38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76"/>
        </w:tabs>
        <w:ind w:left="45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96"/>
        </w:tabs>
        <w:ind w:left="52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16"/>
        </w:tabs>
        <w:ind w:left="60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36"/>
        </w:tabs>
        <w:ind w:left="6736" w:hanging="360"/>
      </w:pPr>
      <w:rPr>
        <w:rFonts w:ascii="Wingdings" w:hAnsi="Wingdings" w:hint="default"/>
      </w:rPr>
    </w:lvl>
  </w:abstractNum>
  <w:abstractNum w:abstractNumId="11" w15:restartNumberingAfterBreak="0">
    <w:nsid w:val="2E8E3576"/>
    <w:multiLevelType w:val="hybridMultilevel"/>
    <w:tmpl w:val="CE621336"/>
    <w:lvl w:ilvl="0" w:tplc="040E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3D400B0"/>
    <w:multiLevelType w:val="hybridMultilevel"/>
    <w:tmpl w:val="2CAE54F6"/>
    <w:lvl w:ilvl="0" w:tplc="7EF4EC3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3" w15:restartNumberingAfterBreak="0">
    <w:nsid w:val="376A137E"/>
    <w:multiLevelType w:val="multilevel"/>
    <w:tmpl w:val="BE70821E"/>
    <w:lvl w:ilvl="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26FE5"/>
    <w:multiLevelType w:val="multilevel"/>
    <w:tmpl w:val="40F6AF76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64C1AFA"/>
    <w:multiLevelType w:val="hybridMultilevel"/>
    <w:tmpl w:val="40F6AF76"/>
    <w:lvl w:ilvl="0" w:tplc="040E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8E77FA9"/>
    <w:multiLevelType w:val="hybridMultilevel"/>
    <w:tmpl w:val="7BACFCEC"/>
    <w:lvl w:ilvl="0" w:tplc="FF02B8DC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4FC6F032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16"/>
        </w:tabs>
        <w:ind w:left="24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36"/>
        </w:tabs>
        <w:ind w:left="31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56"/>
        </w:tabs>
        <w:ind w:left="38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76"/>
        </w:tabs>
        <w:ind w:left="45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96"/>
        </w:tabs>
        <w:ind w:left="52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16"/>
        </w:tabs>
        <w:ind w:left="60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36"/>
        </w:tabs>
        <w:ind w:left="6736" w:hanging="360"/>
      </w:pPr>
      <w:rPr>
        <w:rFonts w:ascii="Wingdings" w:hAnsi="Wingdings" w:hint="default"/>
      </w:rPr>
    </w:lvl>
  </w:abstractNum>
  <w:abstractNum w:abstractNumId="17" w15:restartNumberingAfterBreak="0">
    <w:nsid w:val="4DD52309"/>
    <w:multiLevelType w:val="hybridMultilevel"/>
    <w:tmpl w:val="728E540C"/>
    <w:lvl w:ilvl="0" w:tplc="FF02B8DC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1E2A15E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E27064"/>
    <w:multiLevelType w:val="hybridMultilevel"/>
    <w:tmpl w:val="03507044"/>
    <w:lvl w:ilvl="0" w:tplc="7EF4EC30">
      <w:start w:val="2"/>
      <w:numFmt w:val="bullet"/>
      <w:lvlText w:val="-"/>
      <w:lvlJc w:val="left"/>
      <w:pPr>
        <w:tabs>
          <w:tab w:val="num" w:pos="1904"/>
        </w:tabs>
        <w:ind w:left="19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9" w15:restartNumberingAfterBreak="0">
    <w:nsid w:val="512414A1"/>
    <w:multiLevelType w:val="hybridMultilevel"/>
    <w:tmpl w:val="44F6DCA6"/>
    <w:lvl w:ilvl="0" w:tplc="655031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1FD2FAF"/>
    <w:multiLevelType w:val="multilevel"/>
    <w:tmpl w:val="22C2DCA2"/>
    <w:lvl w:ilvl="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9407AB"/>
    <w:multiLevelType w:val="hybridMultilevel"/>
    <w:tmpl w:val="AEFEB688"/>
    <w:lvl w:ilvl="0" w:tplc="7EF4EC3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881194"/>
    <w:multiLevelType w:val="multilevel"/>
    <w:tmpl w:val="BB1A4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CF00D82"/>
    <w:multiLevelType w:val="hybridMultilevel"/>
    <w:tmpl w:val="ADCABA12"/>
    <w:lvl w:ilvl="0" w:tplc="7EF4EC3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D313FB1"/>
    <w:multiLevelType w:val="multilevel"/>
    <w:tmpl w:val="CD2A47F0"/>
    <w:lvl w:ilvl="0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5" w15:restartNumberingAfterBreak="0">
    <w:nsid w:val="6E1445D2"/>
    <w:multiLevelType w:val="hybridMultilevel"/>
    <w:tmpl w:val="5BAEA3FE"/>
    <w:lvl w:ilvl="0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ECB31DF"/>
    <w:multiLevelType w:val="hybridMultilevel"/>
    <w:tmpl w:val="CD2A47F0"/>
    <w:lvl w:ilvl="0" w:tplc="040E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26"/>
  </w:num>
  <w:num w:numId="4">
    <w:abstractNumId w:val="9"/>
  </w:num>
  <w:num w:numId="5">
    <w:abstractNumId w:val="15"/>
  </w:num>
  <w:num w:numId="6">
    <w:abstractNumId w:val="0"/>
  </w:num>
  <w:num w:numId="7">
    <w:abstractNumId w:val="14"/>
  </w:num>
  <w:num w:numId="8">
    <w:abstractNumId w:val="23"/>
  </w:num>
  <w:num w:numId="9">
    <w:abstractNumId w:val="21"/>
  </w:num>
  <w:num w:numId="10">
    <w:abstractNumId w:val="24"/>
  </w:num>
  <w:num w:numId="11">
    <w:abstractNumId w:val="12"/>
  </w:num>
  <w:num w:numId="12">
    <w:abstractNumId w:val="2"/>
  </w:num>
  <w:num w:numId="13">
    <w:abstractNumId w:val="8"/>
  </w:num>
  <w:num w:numId="14">
    <w:abstractNumId w:val="18"/>
  </w:num>
  <w:num w:numId="15">
    <w:abstractNumId w:val="4"/>
  </w:num>
  <w:num w:numId="16">
    <w:abstractNumId w:val="13"/>
  </w:num>
  <w:num w:numId="17">
    <w:abstractNumId w:val="3"/>
  </w:num>
  <w:num w:numId="18">
    <w:abstractNumId w:val="20"/>
  </w:num>
  <w:num w:numId="19">
    <w:abstractNumId w:val="7"/>
  </w:num>
  <w:num w:numId="20">
    <w:abstractNumId w:val="1"/>
  </w:num>
  <w:num w:numId="21">
    <w:abstractNumId w:val="17"/>
  </w:num>
  <w:num w:numId="22">
    <w:abstractNumId w:val="10"/>
  </w:num>
  <w:num w:numId="23">
    <w:abstractNumId w:val="16"/>
  </w:num>
  <w:num w:numId="24">
    <w:abstractNumId w:val="22"/>
  </w:num>
  <w:num w:numId="25">
    <w:abstractNumId w:val="6"/>
  </w:num>
  <w:num w:numId="26">
    <w:abstractNumId w:val="25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1EDD"/>
    <w:rsid w:val="00026C5B"/>
    <w:rsid w:val="000920E7"/>
    <w:rsid w:val="000C7312"/>
    <w:rsid w:val="00140358"/>
    <w:rsid w:val="001D5A57"/>
    <w:rsid w:val="001F392F"/>
    <w:rsid w:val="002272A2"/>
    <w:rsid w:val="0043753D"/>
    <w:rsid w:val="00472BDE"/>
    <w:rsid w:val="004861A2"/>
    <w:rsid w:val="00502B0D"/>
    <w:rsid w:val="005A16FB"/>
    <w:rsid w:val="005D66B7"/>
    <w:rsid w:val="005F1EDD"/>
    <w:rsid w:val="00631E1D"/>
    <w:rsid w:val="00690B15"/>
    <w:rsid w:val="006C41DD"/>
    <w:rsid w:val="007042A6"/>
    <w:rsid w:val="00745C77"/>
    <w:rsid w:val="00745FCC"/>
    <w:rsid w:val="00772BF5"/>
    <w:rsid w:val="0078675A"/>
    <w:rsid w:val="00790B7B"/>
    <w:rsid w:val="00821BCE"/>
    <w:rsid w:val="008A23DF"/>
    <w:rsid w:val="009112B4"/>
    <w:rsid w:val="00970FEF"/>
    <w:rsid w:val="00995F0F"/>
    <w:rsid w:val="00A1292D"/>
    <w:rsid w:val="00A721CF"/>
    <w:rsid w:val="00AC2B04"/>
    <w:rsid w:val="00B67ED8"/>
    <w:rsid w:val="00BB57F5"/>
    <w:rsid w:val="00BB749D"/>
    <w:rsid w:val="00BF725A"/>
    <w:rsid w:val="00D470F8"/>
    <w:rsid w:val="00D91295"/>
    <w:rsid w:val="00E93CE2"/>
    <w:rsid w:val="00EA4C30"/>
    <w:rsid w:val="00EA7164"/>
    <w:rsid w:val="00F56CAE"/>
    <w:rsid w:val="00FB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E2F5665-6351-41B6-9221-726B2011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Jegyzetszveg">
    <w:name w:val="annotation text"/>
    <w:basedOn w:val="Norml"/>
    <w:semiHidden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Lista">
    <w:name w:val="List"/>
    <w:basedOn w:val="Norml"/>
    <w:pPr>
      <w:ind w:left="283" w:hanging="283"/>
    </w:pPr>
    <w:rPr>
      <w:sz w:val="24"/>
    </w:rPr>
  </w:style>
  <w:style w:type="paragraph" w:styleId="Lista2">
    <w:name w:val="List 2"/>
    <w:basedOn w:val="Norml"/>
    <w:pPr>
      <w:ind w:left="709" w:hanging="709"/>
    </w:pPr>
    <w:rPr>
      <w:sz w:val="24"/>
    </w:rPr>
  </w:style>
  <w:style w:type="paragraph" w:styleId="Lista3">
    <w:name w:val="List 3"/>
    <w:basedOn w:val="Norml"/>
    <w:pPr>
      <w:ind w:left="993" w:hanging="284"/>
    </w:pPr>
    <w:rPr>
      <w:sz w:val="24"/>
    </w:rPr>
  </w:style>
  <w:style w:type="paragraph" w:styleId="Listafolytatsa">
    <w:name w:val="List Continue"/>
    <w:basedOn w:val="Norml"/>
    <w:pPr>
      <w:spacing w:after="120"/>
      <w:ind w:left="283"/>
    </w:pPr>
    <w:rPr>
      <w:sz w:val="24"/>
    </w:rPr>
  </w:style>
  <w:style w:type="paragraph" w:customStyle="1" w:styleId="cmsor3g">
    <w:name w:val="címsor3g"/>
    <w:basedOn w:val="Cmsor3"/>
    <w:autoRedefine/>
    <w:pPr>
      <w:spacing w:before="280" w:after="0"/>
      <w:ind w:left="540"/>
      <w:jc w:val="both"/>
    </w:pPr>
    <w:rPr>
      <w:rFonts w:ascii="Garamond" w:hAnsi="Garamond"/>
      <w:b w:val="0"/>
      <w:bCs w:val="0"/>
      <w:sz w:val="24"/>
      <w:szCs w:val="24"/>
    </w:rPr>
  </w:style>
  <w:style w:type="paragraph" w:customStyle="1" w:styleId="cmsor4g">
    <w:name w:val="címsor4g"/>
    <w:basedOn w:val="Cmsor4"/>
    <w:autoRedefine/>
    <w:pPr>
      <w:spacing w:before="120" w:after="0"/>
      <w:ind w:left="540"/>
      <w:jc w:val="both"/>
    </w:pPr>
    <w:rPr>
      <w:b w:val="0"/>
      <w:bCs w:val="0"/>
      <w:sz w:val="24"/>
      <w:szCs w:val="20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Pr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character" w:styleId="Oldalszm">
    <w:name w:val="page number"/>
    <w:basedOn w:val="Bekezdsalapbettpusa"/>
  </w:style>
  <w:style w:type="paragraph" w:customStyle="1" w:styleId="CharChar">
    <w:name w:val=" Char Char"/>
    <w:basedOn w:val="Norml"/>
    <w:pPr>
      <w:spacing w:after="160" w:line="240" w:lineRule="exact"/>
    </w:pPr>
    <w:rPr>
      <w:rFonts w:ascii="Garamond" w:hAnsi="Garamond"/>
      <w:sz w:val="24"/>
      <w:lang w:val="en-US" w:eastAsia="en-US"/>
    </w:rPr>
  </w:style>
  <w:style w:type="paragraph" w:styleId="Cm">
    <w:name w:val="Title"/>
    <w:basedOn w:val="Norml"/>
    <w:qFormat/>
    <w:pPr>
      <w:jc w:val="center"/>
    </w:pPr>
    <w:rPr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3067</Characters>
  <Application>Microsoft Office Word</Application>
  <DocSecurity>0</DocSecurity>
  <Lines>25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Magyar Nemzeti Bank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Uriné Müller Veronika</dc:creator>
  <cp:keywords/>
  <cp:lastModifiedBy>Szenthelyi Dávid</cp:lastModifiedBy>
  <cp:revision>2</cp:revision>
  <dcterms:created xsi:type="dcterms:W3CDTF">2018-09-21T13:26:00Z</dcterms:created>
  <dcterms:modified xsi:type="dcterms:W3CDTF">2018-09-21T13:26:00Z</dcterms:modified>
</cp:coreProperties>
</file>