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240"/>
        <w:tblW w:w="8675" w:type="dxa"/>
        <w:tblLayout w:type="fixed"/>
        <w:tblLook w:val="0000" w:firstRow="0" w:lastRow="0" w:firstColumn="0" w:lastColumn="0" w:noHBand="0" w:noVBand="0"/>
      </w:tblPr>
      <w:tblGrid>
        <w:gridCol w:w="2984"/>
        <w:gridCol w:w="236"/>
        <w:gridCol w:w="4884"/>
        <w:gridCol w:w="571"/>
      </w:tblGrid>
      <w:tr w:rsidR="00261842" w:rsidRPr="005377E5" w14:paraId="45B2624E" w14:textId="77777777" w:rsidTr="00AD4FE0">
        <w:trPr>
          <w:cantSplit/>
          <w:trHeight w:hRule="exact" w:val="1513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34F1BAA2" w14:textId="77777777" w:rsidR="00261842" w:rsidRPr="005377E5" w:rsidRDefault="00261842" w:rsidP="00AD4FE0">
            <w:pPr>
              <w:pStyle w:val="Paragraph"/>
              <w:ind w:left="-851"/>
              <w:jc w:val="both"/>
            </w:pPr>
            <w:r>
              <w:rPr>
                <w:lang w:val="hu"/>
              </w:rPr>
              <w:t>F</w:t>
            </w:r>
            <w:r>
              <w:rPr>
                <w:lang w:val="hu"/>
              </w:rPr>
              <w:tab/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19FF6" w14:textId="61157683" w:rsidR="00261842" w:rsidRPr="005377E5" w:rsidRDefault="00261842" w:rsidP="00AD4FE0">
            <w:pPr>
              <w:jc w:val="both"/>
            </w:pPr>
          </w:p>
        </w:tc>
      </w:tr>
      <w:tr w:rsidR="00261842" w:rsidRPr="00AD4FE0" w14:paraId="1FFCAE5E" w14:textId="77777777" w:rsidTr="00AD4FE0">
        <w:trPr>
          <w:cantSplit/>
          <w:trHeight w:hRule="exact" w:val="2420"/>
        </w:trPr>
        <w:tc>
          <w:tcPr>
            <w:tcW w:w="8675" w:type="dxa"/>
            <w:gridSpan w:val="4"/>
            <w:tcBorders>
              <w:top w:val="nil"/>
              <w:left w:val="nil"/>
              <w:bottom w:val="nil"/>
            </w:tcBorders>
          </w:tcPr>
          <w:p w14:paraId="7721A264" w14:textId="77777777" w:rsidR="00AD4FE0" w:rsidRPr="00AD4FE0" w:rsidRDefault="00AD4FE0" w:rsidP="00AD4FE0">
            <w:pPr>
              <w:ind w:right="270"/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D4FE0">
              <w:rPr>
                <w:rFonts w:ascii="Arial" w:hAnsi="Arial" w:cs="Arial"/>
                <w:b/>
                <w:sz w:val="22"/>
                <w:szCs w:val="22"/>
                <w:lang w:val="hu-HU"/>
              </w:rPr>
              <w:t>Módszertani segédlet</w:t>
            </w:r>
          </w:p>
          <w:p w14:paraId="605FDF85" w14:textId="77777777" w:rsidR="00AD4FE0" w:rsidRDefault="00AD4FE0" w:rsidP="00AD4FE0">
            <w:pPr>
              <w:ind w:right="270"/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D4FE0">
              <w:rPr>
                <w:rFonts w:ascii="Arial" w:hAnsi="Arial" w:cs="Arial"/>
                <w:b/>
                <w:sz w:val="22"/>
                <w:szCs w:val="22"/>
                <w:lang w:val="hu-HU"/>
              </w:rPr>
              <w:t>az</w:t>
            </w:r>
          </w:p>
          <w:p w14:paraId="19E9A743" w14:textId="77777777" w:rsidR="00AD4FE0" w:rsidRPr="00AD4FE0" w:rsidRDefault="00AD4FE0" w:rsidP="00AD4FE0">
            <w:pPr>
              <w:ind w:right="270"/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14:paraId="6132B1EC" w14:textId="77777777" w:rsidR="00AD4FE0" w:rsidRPr="00AD4FE0" w:rsidRDefault="00AD4FE0" w:rsidP="00AD4F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</w:pPr>
            <w:r w:rsidRPr="00AD4FE0">
              <w:rPr>
                <w:rFonts w:ascii="Arial" w:hAnsi="Arial" w:cs="Arial"/>
                <w:b/>
                <w:bCs/>
                <w:sz w:val="22"/>
                <w:szCs w:val="22"/>
                <w:lang w:val="hu-HU"/>
              </w:rPr>
              <w:t>Jegybanki felmérés a devizapiac és a származékos ügyletek piacának aktivitásáról (elszámolási adatok)</w:t>
            </w:r>
          </w:p>
          <w:p w14:paraId="67721E2E" w14:textId="77777777" w:rsidR="00261842" w:rsidRPr="00AD4FE0" w:rsidRDefault="00261842" w:rsidP="00AD4FE0">
            <w:pPr>
              <w:pStyle w:val="Paragraph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261842" w:rsidRPr="001864DC" w14:paraId="56635847" w14:textId="77777777" w:rsidTr="00AD4FE0">
        <w:trPr>
          <w:gridAfter w:val="1"/>
          <w:wAfter w:w="572" w:type="dxa"/>
          <w:cantSplit/>
          <w:trHeight w:val="591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5487EBC7" w14:textId="6B00E61A" w:rsidR="00261842" w:rsidRPr="001864DC" w:rsidRDefault="00261842" w:rsidP="00AD4FE0">
            <w:pPr>
              <w:pStyle w:val="Paragraph"/>
              <w:spacing w:before="120" w:after="0"/>
              <w:ind w:right="-391"/>
              <w:jc w:val="both"/>
              <w:rPr>
                <w:szCs w:val="56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14:paraId="7D6D0BF4" w14:textId="77777777" w:rsidR="00261842" w:rsidRPr="001864DC" w:rsidRDefault="00261842" w:rsidP="00AD4FE0">
            <w:pPr>
              <w:pStyle w:val="Paragraph"/>
              <w:jc w:val="both"/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084190F9" w14:textId="77777777" w:rsidR="00261842" w:rsidRPr="001864DC" w:rsidRDefault="00261842" w:rsidP="00AD4FE0">
            <w:pPr>
              <w:pStyle w:val="CoverDate"/>
            </w:pPr>
          </w:p>
        </w:tc>
      </w:tr>
    </w:tbl>
    <w:p w14:paraId="450DE42F" w14:textId="77777777" w:rsidR="00261842" w:rsidRDefault="00261842" w:rsidP="004E2A75">
      <w:pPr>
        <w:pStyle w:val="Paragraph"/>
        <w:jc w:val="both"/>
      </w:pPr>
    </w:p>
    <w:p w14:paraId="40F7C307" w14:textId="77777777" w:rsidR="00261842" w:rsidRPr="005377E5" w:rsidRDefault="00261842" w:rsidP="004E2A75">
      <w:pPr>
        <w:pStyle w:val="Paragraph"/>
        <w:jc w:val="both"/>
        <w:sectPr w:rsidR="00261842" w:rsidRPr="005377E5" w:rsidSect="00F21ED2">
          <w:headerReference w:type="default" r:id="rId11"/>
          <w:footerReference w:type="even" r:id="rId12"/>
          <w:footerReference w:type="default" r:id="rId13"/>
          <w:pgSz w:w="11907" w:h="16840" w:code="9"/>
          <w:pgMar w:top="1418" w:right="1134" w:bottom="1418" w:left="1134" w:header="720" w:footer="720" w:gutter="567"/>
          <w:cols w:space="720"/>
        </w:sectPr>
      </w:pPr>
    </w:p>
    <w:sdt>
      <w:sdtPr>
        <w:rPr>
          <w:rFonts w:ascii="Arial" w:eastAsia="Times New Roman" w:hAnsi="Arial" w:cs="Arial"/>
          <w:color w:val="auto"/>
          <w:sz w:val="22"/>
          <w:szCs w:val="22"/>
          <w:lang w:val="en-GB" w:eastAsia="en-GB"/>
        </w:rPr>
        <w:id w:val="174784899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C01C938" w14:textId="77777777" w:rsidR="00145374" w:rsidRPr="00AD4FE0" w:rsidRDefault="00145374" w:rsidP="004E2A75">
          <w:pPr>
            <w:pStyle w:val="TOCHeading"/>
            <w:jc w:val="both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AD4FE0">
            <w:rPr>
              <w:rFonts w:ascii="Arial" w:hAnsi="Arial" w:cs="Arial"/>
              <w:b/>
              <w:bCs/>
              <w:color w:val="auto"/>
              <w:sz w:val="22"/>
              <w:szCs w:val="22"/>
              <w:lang w:val="hu"/>
            </w:rPr>
            <w:t>Tartalomjegyzék</w:t>
          </w:r>
        </w:p>
        <w:p w14:paraId="6B9155D6" w14:textId="77777777" w:rsidR="00592AAE" w:rsidRPr="00AD4FE0" w:rsidRDefault="00145374">
          <w:pPr>
            <w:pStyle w:val="TOC1"/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r w:rsidRPr="00AD4FE0">
            <w:rPr>
              <w:rFonts w:ascii="Arial" w:hAnsi="Arial" w:cs="Arial"/>
              <w:sz w:val="22"/>
              <w:szCs w:val="22"/>
              <w:lang w:val="hu"/>
            </w:rPr>
            <w:fldChar w:fldCharType="begin"/>
          </w:r>
          <w:r w:rsidRPr="00AD4FE0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AD4FE0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170990759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Bevezetés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_Toc170990759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96F38B" w14:textId="77777777" w:rsidR="00592AAE" w:rsidRPr="00AD4FE0" w:rsidRDefault="00D23CDE">
          <w:pPr>
            <w:pStyle w:val="TOC1"/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60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A jelentéstétel határideje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_Toc170990760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3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709FEA0" w14:textId="77777777" w:rsidR="00592AAE" w:rsidRPr="00AD4FE0" w:rsidRDefault="00D23CDE">
          <w:pPr>
            <w:pStyle w:val="TOC2"/>
            <w:tabs>
              <w:tab w:val="left" w:pos="794"/>
            </w:tabs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61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1</w:t>
            </w:r>
            <w:r w:rsidR="00592AAE" w:rsidRPr="00AD4FE0">
              <w:rPr>
                <w:rFonts w:ascii="Arial" w:eastAsiaTheme="minorEastAsia" w:hAnsi="Arial" w:cs="Arial"/>
                <w:noProof/>
                <w:sz w:val="22"/>
                <w:szCs w:val="22"/>
                <w:lang w:val="hu-HU" w:eastAsia="hu-HU"/>
              </w:rPr>
              <w:tab/>
            </w:r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Szerződő felek szerinti bontás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_Toc170990761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57A25E1" w14:textId="1BA1A4AC" w:rsidR="00592AAE" w:rsidRPr="00AD4FE0" w:rsidRDefault="00D23CDE">
          <w:pPr>
            <w:pStyle w:val="TOC3"/>
            <w:tabs>
              <w:tab w:val="left" w:pos="1588"/>
            </w:tabs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62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1.1</w:t>
            </w:r>
            <w:r w:rsidR="00592AAE" w:rsidRPr="00AD4FE0">
              <w:rPr>
                <w:rFonts w:ascii="Arial" w:eastAsiaTheme="minorEastAsia" w:hAnsi="Arial" w:cs="Arial"/>
                <w:noProof/>
                <w:sz w:val="22"/>
                <w:szCs w:val="22"/>
                <w:lang w:val="hu-HU" w:eastAsia="hu-HU"/>
              </w:rPr>
              <w:tab/>
            </w:r>
            <w:r w:rsidR="0095619F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Jelentő dealere</w:t>
            </w:r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k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_Toc170990762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0BF5D7" w14:textId="77777777" w:rsidR="00592AAE" w:rsidRPr="00AD4FE0" w:rsidRDefault="00D23CDE">
          <w:pPr>
            <w:pStyle w:val="TOC2"/>
            <w:tabs>
              <w:tab w:val="left" w:pos="794"/>
            </w:tabs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63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2</w:t>
            </w:r>
            <w:r w:rsidR="00592AAE" w:rsidRPr="00AD4FE0">
              <w:rPr>
                <w:rFonts w:ascii="Arial" w:eastAsiaTheme="minorEastAsia" w:hAnsi="Arial" w:cs="Arial"/>
                <w:noProof/>
                <w:sz w:val="22"/>
                <w:szCs w:val="22"/>
                <w:lang w:val="hu-HU" w:eastAsia="hu-HU"/>
              </w:rPr>
              <w:tab/>
            </w:r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A devizaelszámolási adatok meghatározása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_Toc170990763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E30F6D" w14:textId="77777777" w:rsidR="00592AAE" w:rsidRPr="00AD4FE0" w:rsidRDefault="00D23CDE">
          <w:pPr>
            <w:pStyle w:val="TOC3"/>
            <w:tabs>
              <w:tab w:val="left" w:pos="1588"/>
            </w:tabs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64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2.1</w:t>
            </w:r>
            <w:r w:rsidR="00592AAE" w:rsidRPr="00AD4FE0">
              <w:rPr>
                <w:rFonts w:ascii="Arial" w:eastAsiaTheme="minorEastAsia" w:hAnsi="Arial" w:cs="Arial"/>
                <w:noProof/>
                <w:sz w:val="22"/>
                <w:szCs w:val="22"/>
                <w:lang w:val="hu-HU" w:eastAsia="hu-HU"/>
              </w:rPr>
              <w:tab/>
            </w:r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A jelentéstétel alapja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_Toc170990764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D385AA" w14:textId="77777777" w:rsidR="00592AAE" w:rsidRPr="00AD4FE0" w:rsidRDefault="00D23CDE">
          <w:pPr>
            <w:pStyle w:val="TOC3"/>
            <w:tabs>
              <w:tab w:val="left" w:pos="1588"/>
            </w:tabs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65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2.2</w:t>
            </w:r>
            <w:r w:rsidR="00592AAE" w:rsidRPr="00AD4FE0">
              <w:rPr>
                <w:rFonts w:ascii="Arial" w:eastAsiaTheme="minorEastAsia" w:hAnsi="Arial" w:cs="Arial"/>
                <w:noProof/>
                <w:sz w:val="22"/>
                <w:szCs w:val="22"/>
                <w:lang w:val="hu-HU" w:eastAsia="hu-HU"/>
              </w:rPr>
              <w:tab/>
            </w:r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Sikertelen kereskedések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_Toc170990765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9BBA605" w14:textId="77777777" w:rsidR="00592AAE" w:rsidRPr="00AD4FE0" w:rsidRDefault="00D23CDE">
          <w:pPr>
            <w:pStyle w:val="TOC2"/>
            <w:tabs>
              <w:tab w:val="left" w:pos="794"/>
            </w:tabs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66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3</w:t>
            </w:r>
            <w:r w:rsidR="00592AAE" w:rsidRPr="00AD4FE0">
              <w:rPr>
                <w:rFonts w:ascii="Arial" w:eastAsiaTheme="minorEastAsia" w:hAnsi="Arial" w:cs="Arial"/>
                <w:noProof/>
                <w:sz w:val="22"/>
                <w:szCs w:val="22"/>
                <w:lang w:val="hu-HU" w:eastAsia="hu-HU"/>
              </w:rPr>
              <w:tab/>
            </w:r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Instrumentumok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_Toc170990766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8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DCF0CC" w14:textId="77777777" w:rsidR="00592AAE" w:rsidRPr="00AD4FE0" w:rsidRDefault="00D23CDE">
          <w:pPr>
            <w:pStyle w:val="TOC2"/>
            <w:tabs>
              <w:tab w:val="left" w:pos="794"/>
            </w:tabs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67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4</w:t>
            </w:r>
            <w:r w:rsidR="00592AAE" w:rsidRPr="00AD4FE0">
              <w:rPr>
                <w:rFonts w:ascii="Arial" w:eastAsiaTheme="minorEastAsia" w:hAnsi="Arial" w:cs="Arial"/>
                <w:noProof/>
                <w:sz w:val="22"/>
                <w:szCs w:val="22"/>
                <w:lang w:val="hu-HU" w:eastAsia="hu-HU"/>
              </w:rPr>
              <w:tab/>
            </w:r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Adatszolgáltatás az ügyletlábról és a pénznemről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_Toc170990767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8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0E99ED" w14:textId="77777777" w:rsidR="00592AAE" w:rsidRPr="00AD4FE0" w:rsidRDefault="00D23CDE">
          <w:pPr>
            <w:pStyle w:val="TOC2"/>
            <w:tabs>
              <w:tab w:val="left" w:pos="794"/>
            </w:tabs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68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5</w:t>
            </w:r>
            <w:r w:rsidR="00592AAE" w:rsidRPr="00AD4FE0">
              <w:rPr>
                <w:rFonts w:ascii="Arial" w:eastAsiaTheme="minorEastAsia" w:hAnsi="Arial" w:cs="Arial"/>
                <w:noProof/>
                <w:sz w:val="22"/>
                <w:szCs w:val="22"/>
                <w:lang w:val="hu-HU" w:eastAsia="hu-HU"/>
              </w:rPr>
              <w:tab/>
            </w:r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Pénznemek (devizák) szerinti bontás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_Toc170990768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9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33EE72" w14:textId="77777777" w:rsidR="00592AAE" w:rsidRPr="00AD4FE0" w:rsidRDefault="00D23CDE">
          <w:pPr>
            <w:pStyle w:val="TOC2"/>
            <w:tabs>
              <w:tab w:val="left" w:pos="794"/>
            </w:tabs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69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6</w:t>
            </w:r>
            <w:r w:rsidR="00592AAE" w:rsidRPr="00AD4FE0">
              <w:rPr>
                <w:rFonts w:ascii="Arial" w:eastAsiaTheme="minorEastAsia" w:hAnsi="Arial" w:cs="Arial"/>
                <w:noProof/>
                <w:sz w:val="22"/>
                <w:szCs w:val="22"/>
                <w:lang w:val="hu-HU" w:eastAsia="hu-HU"/>
              </w:rPr>
              <w:tab/>
            </w:r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Speciális kereskedési kapcsolatok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_Toc170990769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9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4F3A9F" w14:textId="77777777" w:rsidR="00592AAE" w:rsidRPr="00AD4FE0" w:rsidRDefault="00D23CDE">
          <w:pPr>
            <w:pStyle w:val="TOC3"/>
            <w:tabs>
              <w:tab w:val="left" w:pos="1588"/>
            </w:tabs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70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6.1</w:t>
            </w:r>
            <w:r w:rsidR="00592AAE" w:rsidRPr="00AD4FE0">
              <w:rPr>
                <w:rFonts w:ascii="Arial" w:eastAsiaTheme="minorEastAsia" w:hAnsi="Arial" w:cs="Arial"/>
                <w:noProof/>
                <w:sz w:val="22"/>
                <w:szCs w:val="22"/>
                <w:lang w:val="hu-HU" w:eastAsia="hu-HU"/>
              </w:rPr>
              <w:tab/>
            </w:r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Back-to-back ügyletek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_Toc170990770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9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88A9E0" w14:textId="77777777" w:rsidR="00592AAE" w:rsidRPr="00AD4FE0" w:rsidRDefault="00D23CDE">
          <w:pPr>
            <w:pStyle w:val="TOC3"/>
            <w:tabs>
              <w:tab w:val="left" w:pos="1588"/>
            </w:tabs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71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6.2</w:t>
            </w:r>
            <w:r w:rsidR="00592AAE" w:rsidRPr="00AD4FE0">
              <w:rPr>
                <w:rFonts w:ascii="Arial" w:eastAsiaTheme="minorEastAsia" w:hAnsi="Arial" w:cs="Arial"/>
                <w:noProof/>
                <w:sz w:val="22"/>
                <w:szCs w:val="22"/>
                <w:lang w:val="hu-HU" w:eastAsia="hu-HU"/>
              </w:rPr>
              <w:tab/>
            </w:r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Tömörítéses ügyletek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_Toc170990771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10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6E9AE20" w14:textId="77777777" w:rsidR="00592AAE" w:rsidRPr="00AD4FE0" w:rsidRDefault="00D23CDE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72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6.3 Novált kereskedések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_Toc170990772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10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C9BA7F" w14:textId="77777777" w:rsidR="00592AAE" w:rsidRPr="00AD4FE0" w:rsidRDefault="00D23CDE">
          <w:pPr>
            <w:pStyle w:val="TOC3"/>
            <w:tabs>
              <w:tab w:val="left" w:pos="1588"/>
            </w:tabs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73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6.4</w:t>
            </w:r>
            <w:r w:rsidR="00592AAE" w:rsidRPr="00AD4FE0">
              <w:rPr>
                <w:rFonts w:ascii="Arial" w:eastAsiaTheme="minorEastAsia" w:hAnsi="Arial" w:cs="Arial"/>
                <w:noProof/>
                <w:sz w:val="22"/>
                <w:szCs w:val="22"/>
                <w:lang w:val="hu-HU" w:eastAsia="hu-HU"/>
              </w:rPr>
              <w:tab/>
            </w:r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Deviza prime brókeri szolgáltatás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_Toc170990773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10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046ECE" w14:textId="77777777" w:rsidR="00592AAE" w:rsidRPr="00AD4FE0" w:rsidRDefault="00D23CDE">
          <w:pPr>
            <w:pStyle w:val="TOC3"/>
            <w:tabs>
              <w:tab w:val="left" w:pos="1588"/>
            </w:tabs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74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6.5</w:t>
            </w:r>
            <w:r w:rsidR="00592AAE" w:rsidRPr="00AD4FE0">
              <w:rPr>
                <w:rFonts w:ascii="Arial" w:eastAsiaTheme="minorEastAsia" w:hAnsi="Arial" w:cs="Arial"/>
                <w:noProof/>
                <w:sz w:val="22"/>
                <w:szCs w:val="22"/>
                <w:lang w:val="hu-HU" w:eastAsia="hu-HU"/>
              </w:rPr>
              <w:tab/>
            </w:r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CLS in/out csereügyletek elszámolása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_Toc170990774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10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81BB86A" w14:textId="77777777" w:rsidR="00592AAE" w:rsidRPr="00AD4FE0" w:rsidRDefault="00D23CDE">
          <w:pPr>
            <w:pStyle w:val="TOC3"/>
            <w:tabs>
              <w:tab w:val="left" w:pos="1588"/>
            </w:tabs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75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6.6</w:t>
            </w:r>
            <w:r w:rsidR="00592AAE" w:rsidRPr="00AD4FE0">
              <w:rPr>
                <w:rFonts w:ascii="Arial" w:eastAsiaTheme="minorEastAsia" w:hAnsi="Arial" w:cs="Arial"/>
                <w:noProof/>
                <w:sz w:val="22"/>
                <w:szCs w:val="22"/>
                <w:lang w:val="hu-HU" w:eastAsia="hu-HU"/>
              </w:rPr>
              <w:tab/>
            </w:r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Külső elszámolási módszer alá eső ügyletek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_Toc170990775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11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7EA3B5" w14:textId="77777777" w:rsidR="00592AAE" w:rsidRPr="00AD4FE0" w:rsidRDefault="00D23CDE">
          <w:pPr>
            <w:pStyle w:val="TOC3"/>
            <w:tabs>
              <w:tab w:val="left" w:pos="1588"/>
            </w:tabs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76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6.7</w:t>
            </w:r>
            <w:r w:rsidR="00592AAE" w:rsidRPr="00AD4FE0">
              <w:rPr>
                <w:rFonts w:ascii="Arial" w:eastAsiaTheme="minorEastAsia" w:hAnsi="Arial" w:cs="Arial"/>
                <w:noProof/>
                <w:sz w:val="22"/>
                <w:szCs w:val="22"/>
                <w:lang w:val="hu-HU" w:eastAsia="hu-HU"/>
              </w:rPr>
              <w:tab/>
            </w:r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Belső elszámolási módszer alá eső ügyletek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_Toc170990776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11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5B317E" w14:textId="77777777" w:rsidR="00592AAE" w:rsidRPr="00AD4FE0" w:rsidRDefault="00D23CDE">
          <w:pPr>
            <w:pStyle w:val="TOC3"/>
            <w:tabs>
              <w:tab w:val="left" w:pos="1588"/>
            </w:tabs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77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6.8</w:t>
            </w:r>
            <w:r w:rsidR="00592AAE" w:rsidRPr="00AD4FE0">
              <w:rPr>
                <w:rFonts w:ascii="Arial" w:eastAsiaTheme="minorEastAsia" w:hAnsi="Arial" w:cs="Arial"/>
                <w:noProof/>
                <w:sz w:val="22"/>
                <w:szCs w:val="22"/>
                <w:lang w:val="hu-HU" w:eastAsia="hu-HU"/>
              </w:rPr>
              <w:tab/>
            </w:r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Többszörös kétirányú kereskedést tartalmazó ügyletek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_Toc170990777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11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868758" w14:textId="77777777" w:rsidR="00592AAE" w:rsidRPr="00AD4FE0" w:rsidRDefault="00D23CDE">
          <w:pPr>
            <w:pStyle w:val="TOC1"/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78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Jelentéstételi sablon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_Toc170990778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13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02E2E9" w14:textId="77777777" w:rsidR="00592AAE" w:rsidRPr="00AD4FE0" w:rsidRDefault="00D23CDE">
          <w:pPr>
            <w:pStyle w:val="TOC2"/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79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1. táblázat Devizaelszámolás áprilisban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_Toc170990779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13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C7B100" w14:textId="77777777" w:rsidR="00592AAE" w:rsidRPr="00AD4FE0" w:rsidRDefault="00D23CDE">
          <w:pPr>
            <w:pStyle w:val="TOC2"/>
            <w:rPr>
              <w:rFonts w:ascii="Arial" w:eastAsiaTheme="minorEastAsia" w:hAnsi="Arial" w:cs="Arial"/>
              <w:noProof/>
              <w:sz w:val="22"/>
              <w:szCs w:val="22"/>
              <w:lang w:val="hu-HU" w:eastAsia="hu-HU"/>
            </w:rPr>
          </w:pPr>
          <w:hyperlink w:anchor="_Toc170990780" w:history="1">
            <w:r w:rsidR="00592AAE" w:rsidRPr="00AD4FE0">
              <w:rPr>
                <w:rStyle w:val="Hyperlink"/>
                <w:rFonts w:ascii="Arial" w:hAnsi="Arial" w:cs="Arial"/>
                <w:noProof/>
                <w:sz w:val="22"/>
                <w:szCs w:val="22"/>
                <w:lang w:val="hu"/>
              </w:rPr>
              <w:t>2. táblázat: Sikertelen kereskedések áprilisban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_Toc170990780 \h </w:instrTex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t>16</w:t>
            </w:r>
            <w:r w:rsidR="00592AAE" w:rsidRPr="00AD4FE0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0DE3B39" w14:textId="77777777" w:rsidR="00D17573" w:rsidRPr="00AD4FE0" w:rsidRDefault="00145374" w:rsidP="00D17573">
          <w:pPr>
            <w:pStyle w:val="TOC2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 w:rsidRPr="00AD4FE0">
            <w:rPr>
              <w:rFonts w:ascii="Arial" w:hAnsi="Arial" w:cs="Arial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bookmarkStart w:id="0" w:name="_Toc156811081" w:displacedByCustomXml="prev"/>
    <w:p w14:paraId="6892B499" w14:textId="77777777" w:rsidR="00996D8E" w:rsidRPr="00AD4FE0" w:rsidRDefault="00996D8E" w:rsidP="0002287E">
      <w:pPr>
        <w:pStyle w:val="IndentedHeading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1" w:name="_Toc170990759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lastRenderedPageBreak/>
        <w:t>Bevezetés</w:t>
      </w:r>
      <w:bookmarkEnd w:id="1"/>
      <w:bookmarkEnd w:id="0"/>
    </w:p>
    <w:p w14:paraId="5F2748F1" w14:textId="77777777" w:rsidR="00996D8E" w:rsidRPr="00AD4FE0" w:rsidRDefault="00996D8E" w:rsidP="0002287E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A deviza- és a tőzsdén kívüli (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OTC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) származékos piacok </w:t>
      </w:r>
      <w:bookmarkStart w:id="2" w:name="_Hlk150178355"/>
      <w:r w:rsidRPr="00AD4FE0">
        <w:rPr>
          <w:rFonts w:ascii="Arial" w:hAnsi="Arial" w:cs="Arial"/>
          <w:sz w:val="22"/>
          <w:szCs w:val="22"/>
          <w:lang w:val="hu"/>
        </w:rPr>
        <w:t>14.</w:t>
      </w:r>
      <w:bookmarkEnd w:id="2"/>
      <w:r w:rsidRPr="00AD4FE0">
        <w:rPr>
          <w:rFonts w:ascii="Arial" w:hAnsi="Arial" w:cs="Arial"/>
          <w:sz w:val="22"/>
          <w:szCs w:val="22"/>
          <w:lang w:val="hu"/>
        </w:rPr>
        <w:t xml:space="preserve"> háromévenkénti jegybanki felmérésére</w:t>
      </w:r>
      <w:bookmarkStart w:id="3" w:name="_Hlk150178364"/>
      <w:r w:rsidRPr="00AD4FE0">
        <w:rPr>
          <w:rFonts w:ascii="Arial" w:hAnsi="Arial" w:cs="Arial"/>
          <w:sz w:val="22"/>
          <w:szCs w:val="22"/>
          <w:lang w:val="hu"/>
        </w:rPr>
        <w:t xml:space="preserve"> 2025-ben kerül sor</w:t>
      </w:r>
      <w:bookmarkEnd w:id="3"/>
      <w:r w:rsidRPr="00AD4FE0">
        <w:rPr>
          <w:rFonts w:ascii="Arial" w:hAnsi="Arial" w:cs="Arial"/>
          <w:sz w:val="22"/>
          <w:szCs w:val="22"/>
          <w:lang w:val="hu"/>
        </w:rPr>
        <w:t>.</w:t>
      </w:r>
      <w:r w:rsidRPr="00AD4FE0">
        <w:rPr>
          <w:rStyle w:val="FootnoteReference"/>
          <w:rFonts w:ascii="Arial" w:hAnsi="Arial" w:cs="Arial"/>
          <w:sz w:val="22"/>
          <w:szCs w:val="22"/>
          <w:lang w:val="hu"/>
        </w:rPr>
        <w:footnoteReference w:id="1"/>
      </w:r>
      <w:r w:rsidRPr="00AD4FE0">
        <w:rPr>
          <w:rFonts w:ascii="Arial" w:hAnsi="Arial" w:cs="Arial"/>
          <w:sz w:val="22"/>
          <w:szCs w:val="22"/>
          <w:lang w:val="hu"/>
        </w:rPr>
        <w:t xml:space="preserve"> A Háromévenkénti felmérést a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BIS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(Nemzetközi Fizetések Bankja) koordinálja a Piaci Bizottság és a Globális Pénzügyi Rendszer Bizottság égisze alatt, és a G20-ak által jóváhagyott Data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Gaps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Initiative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(Adathiány-kezelési kezdeményezés) támogatja.</w:t>
      </w:r>
    </w:p>
    <w:p w14:paraId="0126386C" w14:textId="4D013265" w:rsidR="00D8312C" w:rsidRPr="00AD4FE0" w:rsidRDefault="00996D8E" w:rsidP="0002287E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Ezek az iránymutatások a Devizaelszámolási felmérésre vonatkoznak, és a Globális Devizabizottsággal (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GFXC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), a Fizetési és piaci infrastruktúrákkal kapcsolatos témákért felelős bizottsággal (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CPMI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), a nemzeti devizabizottságokkal és a jegybankokkal együttműködésben készültek. </w:t>
      </w:r>
    </w:p>
    <w:p w14:paraId="324F25CE" w14:textId="77777777" w:rsidR="00996D8E" w:rsidRPr="00AD4FE0" w:rsidRDefault="00D8312C" w:rsidP="0002287E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 2025-ös felmérésre vonatkozó iránymutatások két fő szempontból különböznek a 2019-es és 2022-es iránymutatásoktól: </w:t>
      </w:r>
    </w:p>
    <w:p w14:paraId="216A2DE0" w14:textId="633335F2" w:rsidR="00D8312C" w:rsidRPr="00AD4FE0" w:rsidRDefault="00FC05CE" w:rsidP="004E2A75">
      <w:pPr>
        <w:pStyle w:val="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A felmérés jelentéstevői nagy kereskedelmi és befektetési bankok, valamint értékpapír-kereskedők (a továbbiakban: „Jel</w:t>
      </w:r>
      <w:r w:rsidR="0095619F">
        <w:rPr>
          <w:rFonts w:ascii="Arial" w:hAnsi="Arial" w:cs="Arial"/>
          <w:sz w:val="22"/>
          <w:szCs w:val="22"/>
          <w:lang w:val="hu"/>
        </w:rPr>
        <w:t xml:space="preserve">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”). A devizaelszámolásra vonatkozó adatoknak, amelyeket </w:t>
      </w:r>
      <w:r w:rsidRPr="00AD4FE0">
        <w:rPr>
          <w:rFonts w:ascii="Arial" w:hAnsi="Arial" w:cs="Arial"/>
          <w:i/>
          <w:iCs/>
          <w:sz w:val="22"/>
          <w:szCs w:val="22"/>
          <w:lang w:val="hu"/>
        </w:rPr>
        <w:t>globáliscsoport</w:t>
      </w:r>
      <w:r w:rsidRPr="00AD4FE0">
        <w:rPr>
          <w:rFonts w:ascii="Arial" w:hAnsi="Arial" w:cs="Arial"/>
          <w:sz w:val="22"/>
          <w:szCs w:val="22"/>
          <w:lang w:val="hu"/>
        </w:rPr>
        <w:t xml:space="preserve">-alapon kell jelenteni, az összes olyan szállításos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kétirányú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ügylet értékét tartalmazniuk kell, amelyet 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r w:rsidRPr="00AD4FE0">
        <w:rPr>
          <w:rFonts w:ascii="Arial" w:hAnsi="Arial" w:cs="Arial"/>
          <w:sz w:val="22"/>
          <w:szCs w:val="22"/>
          <w:lang w:val="hu"/>
        </w:rPr>
        <w:t>h</w:t>
      </w:r>
      <w:r w:rsidR="0095619F">
        <w:rPr>
          <w:rFonts w:ascii="Arial" w:hAnsi="Arial" w:cs="Arial"/>
          <w:sz w:val="22"/>
          <w:szCs w:val="22"/>
          <w:lang w:val="hu"/>
        </w:rPr>
        <w:t>e</w:t>
      </w:r>
      <w:r w:rsidRPr="00AD4FE0">
        <w:rPr>
          <w:rFonts w:ascii="Arial" w:hAnsi="Arial" w:cs="Arial"/>
          <w:sz w:val="22"/>
          <w:szCs w:val="22"/>
          <w:lang w:val="hu"/>
        </w:rPr>
        <w:t>z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tartozó, nagy ügyfelekkel aktív üzleti tevékenységet folytató jogi személyek elszámolnak. Közéjük tartoznak a többségi tulajdonban álló leányvállalatok és a fióktelepek itthon és külföldön egyaránt. A devizaelszámolásra vonatkozó adatok globáliscsoport-alapú adatszolgáltatása eltér a forgalmi adatok értékesítésiüzletág-alapú gyűjtésétől.</w:t>
      </w:r>
    </w:p>
    <w:p w14:paraId="016EA7C8" w14:textId="77777777" w:rsidR="00FC05CE" w:rsidRPr="00AD4FE0" w:rsidRDefault="004A6CD7" w:rsidP="004E2A75">
      <w:pPr>
        <w:pStyle w:val="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Az áprilisban el nem számolt áprilisi ügyletek várható jövőbeni elszámolásaira vonatkozó adatok </w:t>
      </w:r>
      <w:r w:rsidRPr="00AD4FE0">
        <w:rPr>
          <w:rFonts w:ascii="Arial" w:hAnsi="Arial" w:cs="Arial"/>
          <w:i/>
          <w:iCs/>
          <w:sz w:val="22"/>
          <w:szCs w:val="22"/>
          <w:lang w:val="hu"/>
        </w:rPr>
        <w:t>nem</w:t>
      </w:r>
      <w:r w:rsidRPr="00AD4FE0">
        <w:rPr>
          <w:rFonts w:ascii="Arial" w:hAnsi="Arial" w:cs="Arial"/>
          <w:sz w:val="22"/>
          <w:szCs w:val="22"/>
          <w:lang w:val="hu"/>
        </w:rPr>
        <w:t xml:space="preserve"> szerepelhetnek a Felmérésben. A korábbi felmérések ezeket az adatokat a „legnagyobb gondosság elve” alapján tartalmazták.</w:t>
      </w:r>
    </w:p>
    <w:p w14:paraId="0D2764BC" w14:textId="0DA6A0E2" w:rsidR="006041ED" w:rsidRPr="00AD4FE0" w:rsidRDefault="004F1AB6" w:rsidP="0002287E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r w:rsidRPr="00AD4FE0">
        <w:rPr>
          <w:rFonts w:ascii="Arial" w:hAnsi="Arial" w:cs="Arial"/>
          <w:sz w:val="22"/>
          <w:szCs w:val="22"/>
          <w:lang w:val="hu"/>
        </w:rPr>
        <w:t>nek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a sablonban kért összes adatot szolgáltatnia kell. Ha 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ezen adatok közlését akadályozó technikai nehézségekkel szembesül, a joghatósága alá tartozó jegybank dönt arról, hogy ad-e mentességet egyes tételek bejelentése alól technikai kapacitása miatt. A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BIS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szoros együttműködésben dolgozik majd a jegybankokkal, hogy globálisan egységes iránymutatást adjon a mentesség megadásának mikéntjére vonatkozóan, ha erre szükség lesz.</w:t>
      </w:r>
    </w:p>
    <w:p w14:paraId="3B503D8D" w14:textId="77777777" w:rsidR="00C725AF" w:rsidRPr="00AD4FE0" w:rsidRDefault="00C725AF" w:rsidP="0002287E">
      <w:pPr>
        <w:pStyle w:val="Heading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4" w:name="_Toc149652733"/>
      <w:bookmarkStart w:id="5" w:name="_Toc156811082"/>
      <w:bookmarkStart w:id="6" w:name="_Toc170990760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A jelentéstétel határideje</w:t>
      </w:r>
      <w:bookmarkEnd w:id="4"/>
      <w:bookmarkEnd w:id="5"/>
      <w:bookmarkEnd w:id="6"/>
    </w:p>
    <w:p w14:paraId="10562F3B" w14:textId="0D3A99AA" w:rsidR="00C725AF" w:rsidRPr="0073063B" w:rsidDel="00C56194" w:rsidRDefault="00330235" w:rsidP="0002287E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73063B">
        <w:rPr>
          <w:rFonts w:ascii="Arial" w:hAnsi="Arial" w:cs="Arial"/>
          <w:sz w:val="22"/>
          <w:szCs w:val="22"/>
          <w:lang w:val="hu-HU"/>
        </w:rPr>
        <w:t xml:space="preserve">A nemzeti központi bankoknak szolgáltatandó adatok határideje </w:t>
      </w:r>
      <w:r w:rsidRPr="0073063B">
        <w:rPr>
          <w:rFonts w:ascii="Arial" w:hAnsi="Arial" w:cs="Arial"/>
          <w:b/>
          <w:sz w:val="22"/>
          <w:szCs w:val="22"/>
          <w:lang w:val="hu-HU"/>
        </w:rPr>
        <w:t>2025. május 16.</w:t>
      </w:r>
      <w:r w:rsidRPr="0073063B">
        <w:rPr>
          <w:rFonts w:ascii="Arial" w:hAnsi="Arial" w:cs="Arial"/>
          <w:sz w:val="22"/>
          <w:szCs w:val="22"/>
          <w:lang w:val="hu-HU"/>
        </w:rPr>
        <w:t xml:space="preserve"> </w:t>
      </w:r>
      <w:r w:rsidR="00C725AF" w:rsidRPr="0073063B">
        <w:rPr>
          <w:rFonts w:ascii="Arial" w:hAnsi="Arial" w:cs="Arial"/>
          <w:sz w:val="22"/>
          <w:szCs w:val="22"/>
          <w:lang w:val="hu"/>
        </w:rPr>
        <w:t xml:space="preserve">Minden jelentéstevő jegybank vagy monetáris hatóság összesíti a saját joghatósága alá tartozó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dealerek</w:t>
      </w:r>
      <w:r w:rsidR="00C725AF" w:rsidRPr="0073063B">
        <w:rPr>
          <w:rFonts w:ascii="Arial" w:hAnsi="Arial" w:cs="Arial"/>
          <w:sz w:val="22"/>
          <w:szCs w:val="22"/>
          <w:lang w:val="hu"/>
        </w:rPr>
        <w:t>től</w:t>
      </w:r>
      <w:proofErr w:type="spellEnd"/>
      <w:r w:rsidR="00C725AF" w:rsidRPr="0073063B">
        <w:rPr>
          <w:rFonts w:ascii="Arial" w:hAnsi="Arial" w:cs="Arial"/>
          <w:sz w:val="22"/>
          <w:szCs w:val="22"/>
          <w:lang w:val="hu"/>
        </w:rPr>
        <w:t xml:space="preserve"> származó adatokat, és az összesített adatokat továbbítja a </w:t>
      </w:r>
      <w:proofErr w:type="spellStart"/>
      <w:r w:rsidR="00C725AF" w:rsidRPr="0073063B">
        <w:rPr>
          <w:rFonts w:ascii="Arial" w:hAnsi="Arial" w:cs="Arial"/>
          <w:sz w:val="22"/>
          <w:szCs w:val="22"/>
          <w:lang w:val="hu"/>
        </w:rPr>
        <w:t>BIS-nek</w:t>
      </w:r>
      <w:proofErr w:type="spellEnd"/>
      <w:r w:rsidR="00C725AF" w:rsidRPr="0073063B">
        <w:rPr>
          <w:rFonts w:ascii="Arial" w:hAnsi="Arial" w:cs="Arial"/>
          <w:sz w:val="22"/>
          <w:szCs w:val="22"/>
          <w:lang w:val="hu"/>
        </w:rPr>
        <w:t xml:space="preserve">. A </w:t>
      </w:r>
      <w:r w:rsidR="00C725AF" w:rsidRPr="0073063B">
        <w:rPr>
          <w:rFonts w:ascii="Arial" w:hAnsi="Arial" w:cs="Arial"/>
          <w:sz w:val="22"/>
          <w:szCs w:val="22"/>
          <w:lang w:val="hu"/>
        </w:rPr>
        <w:lastRenderedPageBreak/>
        <w:t xml:space="preserve">jelentéstevő hatóságoknak duplikált jelentéstétel miatti kiigazítás nélkül kell összesíteniük 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dealerek</w:t>
      </w:r>
      <w:proofErr w:type="spellEnd"/>
      <w:r w:rsidR="00C725AF" w:rsidRPr="0073063B">
        <w:rPr>
          <w:rFonts w:ascii="Arial" w:hAnsi="Arial" w:cs="Arial"/>
          <w:sz w:val="22"/>
          <w:szCs w:val="22"/>
          <w:lang w:val="hu"/>
        </w:rPr>
        <w:t xml:space="preserve"> adatait.</w:t>
      </w:r>
      <w:r w:rsidR="00C725AF" w:rsidRPr="0073063B">
        <w:rPr>
          <w:rStyle w:val="FootnoteReference"/>
          <w:rFonts w:ascii="Arial" w:hAnsi="Arial" w:cs="Arial"/>
          <w:sz w:val="22"/>
          <w:szCs w:val="22"/>
          <w:lang w:val="hu"/>
        </w:rPr>
        <w:footnoteReference w:id="2"/>
      </w:r>
    </w:p>
    <w:p w14:paraId="29024F26" w14:textId="77777777" w:rsidR="00C91A3F" w:rsidRPr="00AD4FE0" w:rsidRDefault="00C91A3F" w:rsidP="004E2A75">
      <w:pPr>
        <w:widowControl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br w:type="page"/>
      </w:r>
    </w:p>
    <w:p w14:paraId="58A31E20" w14:textId="77777777" w:rsidR="00AE2CB5" w:rsidRPr="00AD4FE0" w:rsidRDefault="00AE2CB5" w:rsidP="0002287E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bookmarkStart w:id="7" w:name="_Toc170990761"/>
      <w:r w:rsidRPr="00AD4FE0">
        <w:rPr>
          <w:rFonts w:ascii="Arial" w:hAnsi="Arial" w:cs="Arial"/>
          <w:color w:val="auto"/>
          <w:sz w:val="22"/>
          <w:szCs w:val="22"/>
          <w:lang w:val="hu"/>
        </w:rPr>
        <w:lastRenderedPageBreak/>
        <w:t>1</w:t>
      </w:r>
      <w:r w:rsidRPr="00AD4FE0">
        <w:rPr>
          <w:rFonts w:ascii="Arial" w:hAnsi="Arial" w:cs="Arial"/>
          <w:color w:val="auto"/>
          <w:sz w:val="22"/>
          <w:szCs w:val="22"/>
          <w:lang w:val="hu"/>
        </w:rPr>
        <w:tab/>
      </w:r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Szerződő felek szerinti bontás</w:t>
      </w:r>
      <w:bookmarkEnd w:id="7"/>
    </w:p>
    <w:p w14:paraId="04C789BF" w14:textId="0E96DF4B" w:rsidR="00AE2CB5" w:rsidRPr="00AD4FE0" w:rsidRDefault="0089452D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dealereknek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meg kell adniuk a szerződések szerződő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felenkénti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bontását az alábbiak szerint: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, egyéb pénzügyi intézmények és nem pénzügyi ügyfelek (a meghatározásokat lásd az 1. táblázatban).</w:t>
      </w:r>
    </w:p>
    <w:p w14:paraId="75FC08E0" w14:textId="77777777" w:rsidR="0089452D" w:rsidRPr="00AD4FE0" w:rsidRDefault="0089452D" w:rsidP="0002287E">
      <w:pPr>
        <w:pStyle w:val="TableTitle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bCs/>
          <w:sz w:val="22"/>
          <w:szCs w:val="22"/>
          <w:lang w:val="hu"/>
        </w:rPr>
        <w:t>A szerződő felek kategóriái és meghatározások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312"/>
      </w:tblGrid>
      <w:tr w:rsidR="008C55EB" w:rsidRPr="00AD4FE0" w14:paraId="31C2471B" w14:textId="77777777" w:rsidTr="00456986">
        <w:tc>
          <w:tcPr>
            <w:tcW w:w="2802" w:type="dxa"/>
            <w:shd w:val="clear" w:color="auto" w:fill="auto"/>
          </w:tcPr>
          <w:p w14:paraId="60ED64D2" w14:textId="70235A41" w:rsidR="0089452D" w:rsidRPr="00AD4FE0" w:rsidRDefault="0095619F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u"/>
              </w:rPr>
              <w:t xml:space="preserve">Jelentő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u"/>
              </w:rPr>
              <w:t>dealerek</w:t>
            </w:r>
            <w:proofErr w:type="spellEnd"/>
          </w:p>
        </w:tc>
        <w:tc>
          <w:tcPr>
            <w:tcW w:w="6486" w:type="dxa"/>
            <w:shd w:val="clear" w:color="auto" w:fill="auto"/>
          </w:tcPr>
          <w:p w14:paraId="0E41B86A" w14:textId="28E8EDF9" w:rsidR="001A4D9E" w:rsidRPr="00AD4FE0" w:rsidRDefault="0089452D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A Devizaelszámolási felmérésben részt vevő pénzügyi intézmények. </w:t>
            </w:r>
          </w:p>
          <w:p w14:paraId="0A4C721C" w14:textId="38145792" w:rsidR="0089452D" w:rsidRPr="00AD4FE0" w:rsidRDefault="0089452D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Ezek főként nagy kereskedelmi és befektetési bankok és értékpapír-forgalmazók, amelyek (i) az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inter-dealer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piacok résztvevői és/vagy (ii) nagy ügyfelekkel, például nagyvállalatokkal, kormányokkal és nem jelentéstevő pénzügyi intézményekkel állnak aktív üzleti kapcsolatban; más szóval, a </w:t>
            </w:r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 xml:space="preserve">Jelentő </w:t>
            </w:r>
            <w:proofErr w:type="spellStart"/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>dealere</w:t>
            </w: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k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olyan intézmények, amelyek aktívan vásárolnak és adnak el devizát saját számlájukra és/vagy az ügyfelek igényeinek kielégítésére.</w:t>
            </w:r>
          </w:p>
        </w:tc>
      </w:tr>
      <w:tr w:rsidR="008C55EB" w:rsidRPr="00AD4FE0" w14:paraId="5223374E" w14:textId="77777777" w:rsidTr="00456986">
        <w:tc>
          <w:tcPr>
            <w:tcW w:w="2802" w:type="dxa"/>
            <w:shd w:val="clear" w:color="auto" w:fill="auto"/>
          </w:tcPr>
          <w:p w14:paraId="052EB3B9" w14:textId="77777777" w:rsidR="0089452D" w:rsidRPr="00AD4FE0" w:rsidRDefault="0089452D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Egyéb pénzügyi intézmények</w:t>
            </w:r>
          </w:p>
        </w:tc>
        <w:tc>
          <w:tcPr>
            <w:tcW w:w="6486" w:type="dxa"/>
            <w:shd w:val="clear" w:color="auto" w:fill="auto"/>
          </w:tcPr>
          <w:p w14:paraId="6BB17CAC" w14:textId="02CAB649" w:rsidR="001A4D9E" w:rsidRPr="00AD4FE0" w:rsidRDefault="0089452D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Azok a pénzügyi intézmények, amelyek a Devizaelszámolási felmérésben nem minősülnek „</w:t>
            </w:r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 xml:space="preserve">Jelentő </w:t>
            </w:r>
            <w:proofErr w:type="spellStart"/>
            <w:proofErr w:type="gramStart"/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>dealerek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”-</w:t>
            </w:r>
            <w:proofErr w:type="spellStart"/>
            <w:proofErr w:type="gram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nek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. </w:t>
            </w:r>
          </w:p>
          <w:p w14:paraId="1308C2BB" w14:textId="77777777" w:rsidR="0089452D" w:rsidRPr="00AD4FE0" w:rsidRDefault="0089452D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Ezeket rendszerint végfelhasználóknak tekintik a devizapiacon. Közéjük főleg az összes többi pénzügyi intézmény tartozik, például a nem jelentéstevő kereskedelmi bankok, befektetési bankok és értékpapír-forgalmazók, valamint befektetési alapok, nyugdíjalapok, fedezeti alapok, devizaalapok, pénzpiaci alapok, lakástakarékok, lízingtársaságok, biztosítók, vállalatok pénzügyi leányvállalatai, egyéb vagyonkezelők és jegybankok.</w:t>
            </w:r>
          </w:p>
        </w:tc>
      </w:tr>
      <w:tr w:rsidR="008C55EB" w:rsidRPr="00AD4FE0" w14:paraId="2B0C459C" w14:textId="77777777" w:rsidTr="00456986">
        <w:tc>
          <w:tcPr>
            <w:tcW w:w="2802" w:type="dxa"/>
            <w:shd w:val="clear" w:color="auto" w:fill="auto"/>
          </w:tcPr>
          <w:p w14:paraId="2C0D8E18" w14:textId="77777777" w:rsidR="0089452D" w:rsidRPr="00AD4FE0" w:rsidRDefault="0089452D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Nem pénzügyi ügyfelek</w:t>
            </w:r>
          </w:p>
        </w:tc>
        <w:tc>
          <w:tcPr>
            <w:tcW w:w="6486" w:type="dxa"/>
            <w:shd w:val="clear" w:color="auto" w:fill="auto"/>
          </w:tcPr>
          <w:p w14:paraId="1F10F1A2" w14:textId="7F704AEF" w:rsidR="001A4D9E" w:rsidRPr="00AD4FE0" w:rsidRDefault="0089452D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A „</w:t>
            </w:r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 xml:space="preserve">Jelentő </w:t>
            </w:r>
            <w:proofErr w:type="spellStart"/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>dealere</w:t>
            </w: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k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” és az „egyéb pénzügyi intézmények” címszó alatt felsoroltaktól különböző bármely szerződő fél, azaz főként nem pénzügyi végfelhasználók, például vállalatok és nem pénzügyi kormányzati szervek. </w:t>
            </w:r>
          </w:p>
          <w:p w14:paraId="68128F31" w14:textId="4238D895" w:rsidR="0089452D" w:rsidRPr="00AD4FE0" w:rsidRDefault="0089452D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Ide tartozhatnak azok a magánszemélyek is, akik befektetési célból közvetlenül bonyolítanak le ügyletet </w:t>
            </w:r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 xml:space="preserve">a Jelentő </w:t>
            </w:r>
            <w:proofErr w:type="spellStart"/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>dealere</w:t>
            </w: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kkel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.</w:t>
            </w:r>
          </w:p>
        </w:tc>
      </w:tr>
      <w:tr w:rsidR="00AD4FE0" w:rsidRPr="00AD4FE0" w14:paraId="2CCC6588" w14:textId="77777777" w:rsidTr="00456986">
        <w:tc>
          <w:tcPr>
            <w:tcW w:w="9288" w:type="dxa"/>
            <w:gridSpan w:val="2"/>
            <w:shd w:val="clear" w:color="auto" w:fill="auto"/>
          </w:tcPr>
          <w:p w14:paraId="10D7405A" w14:textId="77777777" w:rsidR="0089452D" w:rsidRPr="00AD4FE0" w:rsidRDefault="0089452D" w:rsidP="004E2A75">
            <w:pPr>
              <w:pStyle w:val="Paragraph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1. Táblázat</w:t>
            </w:r>
          </w:p>
        </w:tc>
      </w:tr>
    </w:tbl>
    <w:p w14:paraId="385FEC05" w14:textId="77777777" w:rsidR="009B7820" w:rsidRPr="00AD4FE0" w:rsidRDefault="009B7820" w:rsidP="009B7820">
      <w:pPr>
        <w:pStyle w:val="Paragraph"/>
        <w:jc w:val="both"/>
        <w:rPr>
          <w:rFonts w:ascii="Arial" w:hAnsi="Arial" w:cs="Arial"/>
          <w:sz w:val="22"/>
          <w:szCs w:val="22"/>
        </w:rPr>
      </w:pPr>
    </w:p>
    <w:p w14:paraId="52EE5EF2" w14:textId="0D0889F8" w:rsidR="00421C81" w:rsidRPr="00AD4FE0" w:rsidRDefault="00421C81" w:rsidP="00421C81">
      <w:pPr>
        <w:pStyle w:val="Heading3"/>
        <w:jc w:val="both"/>
        <w:rPr>
          <w:rFonts w:ascii="Arial" w:hAnsi="Arial" w:cs="Arial"/>
          <w:color w:val="auto"/>
          <w:sz w:val="22"/>
          <w:szCs w:val="22"/>
        </w:rPr>
      </w:pPr>
      <w:bookmarkStart w:id="8" w:name="_Toc170990762"/>
      <w:bookmarkStart w:id="9" w:name="_Hlk167781474"/>
      <w:r w:rsidRPr="00AD4FE0">
        <w:rPr>
          <w:rFonts w:ascii="Arial" w:hAnsi="Arial" w:cs="Arial"/>
          <w:color w:val="auto"/>
          <w:sz w:val="22"/>
          <w:szCs w:val="22"/>
          <w:lang w:val="hu"/>
        </w:rPr>
        <w:lastRenderedPageBreak/>
        <w:t>1</w:t>
      </w:r>
      <w:r w:rsidRPr="00307B41">
        <w:rPr>
          <w:rFonts w:ascii="Arial" w:hAnsi="Arial" w:cs="Arial"/>
          <w:color w:val="auto"/>
          <w:sz w:val="22"/>
          <w:szCs w:val="22"/>
          <w:lang w:val="hu"/>
        </w:rPr>
        <w:t>.1</w:t>
      </w:r>
      <w:r w:rsidRPr="00307B41">
        <w:rPr>
          <w:rFonts w:ascii="Arial" w:hAnsi="Arial" w:cs="Arial"/>
          <w:color w:val="auto"/>
          <w:sz w:val="22"/>
          <w:szCs w:val="22"/>
          <w:lang w:val="hu"/>
        </w:rPr>
        <w:tab/>
      </w:r>
      <w:r w:rsidR="0095619F" w:rsidRPr="00307B41">
        <w:rPr>
          <w:rFonts w:ascii="Arial" w:hAnsi="Arial" w:cs="Arial"/>
          <w:b/>
          <w:bCs/>
          <w:color w:val="auto"/>
          <w:sz w:val="22"/>
          <w:szCs w:val="22"/>
          <w:lang w:val="hu"/>
        </w:rPr>
        <w:t xml:space="preserve">Jelentő </w:t>
      </w:r>
      <w:proofErr w:type="spellStart"/>
      <w:r w:rsidR="0095619F" w:rsidRPr="00307B41">
        <w:rPr>
          <w:rFonts w:ascii="Arial" w:hAnsi="Arial" w:cs="Arial"/>
          <w:b/>
          <w:bCs/>
          <w:color w:val="auto"/>
          <w:sz w:val="22"/>
          <w:szCs w:val="22"/>
          <w:lang w:val="hu"/>
        </w:rPr>
        <w:t>dealere</w:t>
      </w:r>
      <w:r w:rsidRPr="00307B41">
        <w:rPr>
          <w:rFonts w:ascii="Arial" w:hAnsi="Arial" w:cs="Arial"/>
          <w:b/>
          <w:bCs/>
          <w:color w:val="auto"/>
          <w:sz w:val="22"/>
          <w:szCs w:val="22"/>
          <w:lang w:val="hu"/>
        </w:rPr>
        <w:t>k</w:t>
      </w:r>
      <w:bookmarkEnd w:id="8"/>
      <w:proofErr w:type="spellEnd"/>
    </w:p>
    <w:p w14:paraId="1DBD4FAB" w14:textId="40D4E517" w:rsidR="00D755ED" w:rsidRPr="00AD4FE0" w:rsidRDefault="00D755ED" w:rsidP="00421C81">
      <w:pPr>
        <w:pStyle w:val="Paragraph"/>
        <w:jc w:val="both"/>
        <w:rPr>
          <w:rFonts w:ascii="Arial" w:hAnsi="Arial" w:cs="Arial"/>
          <w:sz w:val="22"/>
          <w:szCs w:val="22"/>
        </w:rPr>
      </w:pPr>
      <w:bookmarkStart w:id="10" w:name="_Hlk167784023"/>
      <w:r w:rsidRPr="00AD4FE0">
        <w:rPr>
          <w:rFonts w:ascii="Arial" w:hAnsi="Arial" w:cs="Arial"/>
          <w:sz w:val="22"/>
          <w:szCs w:val="22"/>
          <w:lang w:val="hu"/>
        </w:rPr>
        <w:t xml:space="preserve">A Devizaelszámolási felméréshez az adatokat globáliscsoport-alapon kell jelenteni; azoknak tartalmazniuk kell az összes olyan szállításos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kétirányú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ügylet értékét, amelyet 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részét képező, nagy ügyfelekkel aktív üzleti tevékenységet folytató jogi személyek teljesítenek (lásd 2.1. szakaszt).</w:t>
      </w:r>
    </w:p>
    <w:p w14:paraId="02A6203A" w14:textId="76D18CD3" w:rsidR="00421C81" w:rsidRPr="00AD4FE0" w:rsidRDefault="00421C81" w:rsidP="00421C81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 felmérés jelentéstevői közé nagy kereskedelmi és befektetési bankok, valamint értékpapír-kereskedők (együttesen: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) tartoznak. A nemzeti hatóságok határozzák meg az adatszolgáltató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listáját. A lista célja, hogy lehetővé tegye a szerződő felek helyes besorolását annak érdekében, hogy a devizaelszámolás (duplikált jelentéstételből eredő) duplikált számbavétele a globális aggregátumokban kiigazítható legyen.</w:t>
      </w:r>
    </w:p>
    <w:p w14:paraId="3A2F0106" w14:textId="6C9367EE" w:rsidR="00BC7917" w:rsidRPr="00AD4FE0" w:rsidRDefault="00142174" w:rsidP="00421C81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listáján a jelentéstevő országban székhellyel rendelkező globális csoportok szerepelnek. A lista tartalmazza a (1) székhelyüket és (2) kapcsolt feleiket is. E felmérés alkalmazásában a kapcsolt fél többségi tulajdonban álló, devizaelszámolás szempontjából releváns hazai és külföldi leányvállalat és fióktelep.</w:t>
      </w:r>
      <w:bookmarkEnd w:id="10"/>
    </w:p>
    <w:p w14:paraId="3847269D" w14:textId="77777777" w:rsidR="00BD4D57" w:rsidRPr="00AD4FE0" w:rsidRDefault="00BD4D57" w:rsidP="0002287E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bookmarkStart w:id="11" w:name="_Toc170990763"/>
      <w:bookmarkEnd w:id="9"/>
      <w:r w:rsidRPr="00AD4FE0">
        <w:rPr>
          <w:rFonts w:ascii="Arial" w:hAnsi="Arial" w:cs="Arial"/>
          <w:color w:val="auto"/>
          <w:sz w:val="22"/>
          <w:szCs w:val="22"/>
          <w:lang w:val="hu"/>
        </w:rPr>
        <w:t>2</w:t>
      </w:r>
      <w:r w:rsidRPr="00AD4FE0">
        <w:rPr>
          <w:rFonts w:ascii="Arial" w:hAnsi="Arial" w:cs="Arial"/>
          <w:color w:val="auto"/>
          <w:sz w:val="22"/>
          <w:szCs w:val="22"/>
          <w:lang w:val="hu"/>
        </w:rPr>
        <w:tab/>
      </w:r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A devizaelszámolási adatok meghatározása</w:t>
      </w:r>
      <w:bookmarkEnd w:id="11"/>
    </w:p>
    <w:p w14:paraId="1CA120F1" w14:textId="205A1F9E" w:rsidR="00847CF3" w:rsidRPr="00AD4FE0" w:rsidRDefault="00847CF3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 Devizaelszámolási felmérés azoknak a szállításos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kétirányú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ügyleteknek az értékét méri, amelyeknél az értéknap</w:t>
      </w:r>
      <w:r w:rsidR="0095619F">
        <w:rPr>
          <w:rFonts w:ascii="Arial" w:hAnsi="Arial" w:cs="Arial"/>
          <w:sz w:val="22"/>
          <w:szCs w:val="22"/>
          <w:lang w:val="hu"/>
        </w:rPr>
        <w:t>ja</w:t>
      </w:r>
      <w:r w:rsidRPr="00AD4FE0">
        <w:rPr>
          <w:rFonts w:ascii="Arial" w:hAnsi="Arial" w:cs="Arial"/>
          <w:sz w:val="22"/>
          <w:szCs w:val="22"/>
          <w:lang w:val="hu"/>
        </w:rPr>
        <w:t xml:space="preserve"> (az elszámolás</w:t>
      </w:r>
      <w:r w:rsidR="0095619F">
        <w:rPr>
          <w:rFonts w:ascii="Arial" w:hAnsi="Arial" w:cs="Arial"/>
          <w:sz w:val="22"/>
          <w:szCs w:val="22"/>
          <w:lang w:val="hu"/>
        </w:rPr>
        <w:t>a</w:t>
      </w:r>
      <w:r w:rsidRPr="00AD4FE0">
        <w:rPr>
          <w:rFonts w:ascii="Arial" w:hAnsi="Arial" w:cs="Arial"/>
          <w:sz w:val="22"/>
          <w:szCs w:val="22"/>
          <w:lang w:val="hu"/>
        </w:rPr>
        <w:t>) a jelentéstételi időszakon belül (2025. április) volt. Ez nem a devizaforgalom értéke (pl. a jelentéstételi időszakban kötött új ügyletek bruttó értéke).</w:t>
      </w:r>
    </w:p>
    <w:p w14:paraId="6C797119" w14:textId="77777777" w:rsidR="00286519" w:rsidRPr="00AD4FE0" w:rsidRDefault="00286519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Az adatokat egy hónapon keresztül gyűjtik, hogy az elszámolási tevékenység rövid távú változásainak valószínűsége csökkenjen. Az összegyűjtött adatoknak tükrözniük kell a 2025. áprilisi naptári hónapban elszámolt összes tranzakciót.</w:t>
      </w:r>
    </w:p>
    <w:p w14:paraId="09F4CB17" w14:textId="77777777" w:rsidR="00261842" w:rsidRPr="00AD4FE0" w:rsidRDefault="00AE2CB5" w:rsidP="004E2A75">
      <w:pPr>
        <w:pStyle w:val="Heading3"/>
        <w:jc w:val="both"/>
        <w:rPr>
          <w:rFonts w:ascii="Arial" w:hAnsi="Arial" w:cs="Arial"/>
          <w:color w:val="auto"/>
          <w:sz w:val="22"/>
          <w:szCs w:val="22"/>
        </w:rPr>
      </w:pPr>
      <w:bookmarkStart w:id="12" w:name="_Toc170990764"/>
      <w:r w:rsidRPr="00AD4FE0">
        <w:rPr>
          <w:rFonts w:ascii="Arial" w:hAnsi="Arial" w:cs="Arial"/>
          <w:color w:val="auto"/>
          <w:sz w:val="22"/>
          <w:szCs w:val="22"/>
          <w:lang w:val="hu"/>
        </w:rPr>
        <w:t>2.1</w:t>
      </w:r>
      <w:r w:rsidRPr="00AD4FE0">
        <w:rPr>
          <w:rFonts w:ascii="Arial" w:hAnsi="Arial" w:cs="Arial"/>
          <w:color w:val="auto"/>
          <w:sz w:val="22"/>
          <w:szCs w:val="22"/>
          <w:lang w:val="hu"/>
        </w:rPr>
        <w:tab/>
        <w:t>A jelentéstétel alapja</w:t>
      </w:r>
      <w:bookmarkEnd w:id="12"/>
    </w:p>
    <w:p w14:paraId="0F1FE057" w14:textId="6EEE72AC" w:rsidR="006727C9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Az devizaelszámolás adatait globáliscsoport-alapon kell jelenteni; azoknak tartalmazniuk kell az összes olyan szállításos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kétirányú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ügylet értékét, amelyet 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részét képező, nagy ügyfelekkel aktív üzleti tevékenységet folytató jogi személyek számolnak el. Ezek közé a többségi tulajdonban álló leányvállalatokat és fióktelepeket kell sorolni. </w:t>
      </w:r>
    </w:p>
    <w:p w14:paraId="54EE18CF" w14:textId="394FEC14" w:rsidR="00261842" w:rsidRPr="00AD4FE0" w:rsidRDefault="001A4D9E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által globálisan elszámolt összes ügyletet rögzíteni kell, függetlenül attól, hogy az ügyletet melyik joghatóságban hajtották végre, beleértve (pl. a nem konszolidált alapon jelentett) csoporton belüli ügyletek elszámolását is, ha mindkét szerződő fél ugyanahhoz a bankcsoporthoz tartozik. Az adatszolgáltatásban szereplő jogi személyeknek nem kell a „fizetés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fizetés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ellenében” (angol rövidítéssel: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PvP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-) rendszer közvetlen vagy közvetett tagjainak lenniük.</w:t>
      </w:r>
    </w:p>
    <w:p w14:paraId="4D3AA7AC" w14:textId="5B75D660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Megjegyzendő, hogy a jelentéstétel alapja eltér a forgalomról készült felmérésekben alkalmazott megközelítéstől, ahol az adatokat értékesítésiüzletág-alapon gyűjtik (azaz az ügyletet lebonyolító értékesítési üzletág helye alapján). A jegybankoknak 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</w:t>
      </w:r>
      <w:r w:rsidRPr="00AD4FE0">
        <w:rPr>
          <w:rFonts w:ascii="Arial" w:hAnsi="Arial" w:cs="Arial"/>
          <w:sz w:val="22"/>
          <w:szCs w:val="22"/>
          <w:lang w:val="hu"/>
        </w:rPr>
        <w:lastRenderedPageBreak/>
        <w:t xml:space="preserve">adatait a duplikált elszámolás miatti kiigazítások nélkül kell összesíteniük, és nemzeti aggregátumokat kell szolgáltatniuk a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BIS-nek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.</w:t>
      </w:r>
    </w:p>
    <w:p w14:paraId="5E3F4F98" w14:textId="77777777" w:rsidR="00847CF3" w:rsidRPr="00AD4FE0" w:rsidRDefault="00847CF3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Példák a jelentéstételi időszakban lebonyolított ügyletekre:</w:t>
      </w:r>
    </w:p>
    <w:p w14:paraId="3DDD5974" w14:textId="6095D4A1" w:rsidR="00847CF3" w:rsidRPr="00AD4FE0" w:rsidRDefault="00847CF3" w:rsidP="004E2A75">
      <w:pPr>
        <w:pStyle w:val="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1. példa: A jelentéstételi időszakot (2025. áprilist) megelőző hónapban egy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15 millió USD értékben azonnali devizaügyletet hajt végre egy ugyanazon bankcsoporthoz tartozó gazdálkodó szervezettel. Az értéknap (elszámolás) két munkanappal későbbi (T+2), a jelentéstételi időszakon belüli nap. Ez a kereskedés szerepelne a felmérésben (pl. összesen 15 millió USD elszámolt érték), mivel az elszámolás a jelentéstételi időszakon belüli napra esik. </w:t>
      </w:r>
    </w:p>
    <w:p w14:paraId="6FBD8BCF" w14:textId="15277E8B" w:rsidR="00847CF3" w:rsidRPr="00AD4FE0" w:rsidRDefault="00847CF3" w:rsidP="004E2A75">
      <w:pPr>
        <w:pStyle w:val="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2. példa: A jelentéstételi időszak során egy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egy egyhónapos (1 H) határidős devizaügyletet köt egy olyan gazdasági szervezettel, amely nem ugyanannak a bankcsoportnak a tagja. Az érintett azonnali ügylet értéknapja két munkanappal későbbi, és ugyancsak a jelentéstételi időszakba esik. Az ügylet szállítási napja (elszámolása) a jelentéstételi időszakot követő hónapban van. Ez nem jelenne meg az adatszolgáltatásban, mivel az elszámolásra a jelentéstételi időszakon kívül kerül sor. </w:t>
      </w:r>
    </w:p>
    <w:p w14:paraId="55A967C7" w14:textId="36669BA6" w:rsidR="00847CF3" w:rsidRPr="00AD4FE0" w:rsidRDefault="00847CF3" w:rsidP="004E2A75">
      <w:pPr>
        <w:pStyle w:val="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3. példa: A jelentéstételi időszakban egy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3 hónapos devizacsere-ügyletet hajt végre egy olyan gazdasági szervezettel, amely nem ugyanannak a bankcsoportnak a tagja. A rövid láb esedékessége (elszámolása) ugyancsak a jelentéstételi időszakban van. A hosszú láb szállítási napja (elszámolása) a jelentéstételi időszakot követő három hónap. Csak az első lábat kell jelenteni, amelynek az elszámolása a jelentéstételi időszakon belül történt.</w:t>
      </w:r>
    </w:p>
    <w:p w14:paraId="5EFF2691" w14:textId="2A0908A7" w:rsidR="00847CF3" w:rsidRPr="00AD4FE0" w:rsidRDefault="00847CF3" w:rsidP="004E2A75">
      <w:pPr>
        <w:pStyle w:val="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4. példa: A jelentéstételi időszak alatt egy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5 millió USD értékű </w:t>
      </w:r>
      <w:proofErr w:type="gramStart"/>
      <w:r w:rsidRPr="00AD4FE0">
        <w:rPr>
          <w:rFonts w:ascii="Arial" w:hAnsi="Arial" w:cs="Arial"/>
          <w:sz w:val="22"/>
          <w:szCs w:val="22"/>
          <w:lang w:val="hu"/>
        </w:rPr>
        <w:t>tom</w:t>
      </w:r>
      <w:proofErr w:type="gramEnd"/>
      <w:r w:rsidRPr="00AD4FE0">
        <w:rPr>
          <w:rFonts w:ascii="Arial" w:hAnsi="Arial" w:cs="Arial"/>
          <w:sz w:val="22"/>
          <w:szCs w:val="22"/>
          <w:lang w:val="hu"/>
        </w:rPr>
        <w:t>/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next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devizacsere-ügyletet hajt végre egy olyan gazdasági szervezettel, amely ugyanannak a bankcsoportnak a tagja. A rövid láb esedékessége (elszámolása) egy munkanappal későbbi, a hosszú lábé az azt követő munkanap. Az ügylet mindkét lába a jelentéstételi időszakon belüli, így mindkét lábat jelenteni kell (pl. összesen 10 millió USD elszámolt érték). </w:t>
      </w:r>
    </w:p>
    <w:p w14:paraId="7D776A61" w14:textId="3B21F4E6" w:rsidR="00847CF3" w:rsidRPr="00AD4FE0" w:rsidRDefault="00847CF3" w:rsidP="004E2A75">
      <w:pPr>
        <w:pStyle w:val="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5. példa: A jelentéstételi időszak alatt egy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10 millió USD értékű egynapos devizacsere-ügyletet hajt végre egy olyan gazdasági szervezettel, amely nem ugyanannak a bankcsoportnak a tagja. A rövid láb elszámolása ugyanazon a napon történik egy megfelelő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PvP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-rendszeren kívül. A hosszú láb elszámolására egy megfelelő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PvP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-rendszerben a következő munkanapon kerül sor, amely munkanap is a jelentéstételi időszakon belül van. Ezért a tranzakció mindkét lábát külön jelentenék a Jelentéstételi Sablon megfelelő szakaszaiban (azaz az elszámolt 10 millió USD érték mindegyik szakaszban). </w:t>
      </w:r>
    </w:p>
    <w:p w14:paraId="6939060B" w14:textId="77777777" w:rsidR="00BD4D57" w:rsidRPr="00AD4FE0" w:rsidRDefault="00BD4D57" w:rsidP="0002287E">
      <w:pPr>
        <w:pStyle w:val="Heading3"/>
        <w:jc w:val="both"/>
        <w:rPr>
          <w:rFonts w:ascii="Arial" w:hAnsi="Arial" w:cs="Arial"/>
          <w:color w:val="auto"/>
          <w:sz w:val="22"/>
          <w:szCs w:val="22"/>
        </w:rPr>
      </w:pPr>
      <w:bookmarkStart w:id="13" w:name="_Toc156811088"/>
      <w:bookmarkStart w:id="14" w:name="_Toc149652739"/>
      <w:bookmarkStart w:id="15" w:name="_Toc170990765"/>
      <w:r w:rsidRPr="00AD4FE0">
        <w:rPr>
          <w:rFonts w:ascii="Arial" w:hAnsi="Arial" w:cs="Arial"/>
          <w:color w:val="auto"/>
          <w:sz w:val="22"/>
          <w:szCs w:val="22"/>
          <w:lang w:val="hu"/>
        </w:rPr>
        <w:t>2.2</w:t>
      </w:r>
      <w:r w:rsidRPr="00AD4FE0">
        <w:rPr>
          <w:rFonts w:ascii="Arial" w:hAnsi="Arial" w:cs="Arial"/>
          <w:color w:val="auto"/>
          <w:sz w:val="22"/>
          <w:szCs w:val="22"/>
          <w:lang w:val="hu"/>
        </w:rPr>
        <w:tab/>
      </w:r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Sikertelen kereskedések</w:t>
      </w:r>
      <w:bookmarkEnd w:id="13"/>
      <w:bookmarkEnd w:id="14"/>
      <w:bookmarkEnd w:id="15"/>
    </w:p>
    <w:p w14:paraId="4BA9C91C" w14:textId="77777777" w:rsidR="00261842" w:rsidRPr="00AD4FE0" w:rsidRDefault="00BD4D57" w:rsidP="0002287E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Az áprilisban elszámolt ügyletek tényleges elszámolásait kell jelenteni. Azokat a kereskedéseket azonban, amelyek elszámolásának eredeti dátuma 2025 áprilisában volt, de amelyeket nem sikerült kiegyenlíteni, külön kell jelenteni (lásd a jelentéstételi sablon 2. </w:t>
      </w:r>
      <w:r w:rsidRPr="00AD4FE0">
        <w:rPr>
          <w:rFonts w:ascii="Arial" w:hAnsi="Arial" w:cs="Arial"/>
          <w:sz w:val="22"/>
          <w:szCs w:val="22"/>
          <w:lang w:val="hu"/>
        </w:rPr>
        <w:lastRenderedPageBreak/>
        <w:t>táblázatát). Kizárólag a jelentéstételi időszak végén még nyitott kötésállományokat kell idesorolni.</w:t>
      </w:r>
    </w:p>
    <w:p w14:paraId="4B950D57" w14:textId="77777777" w:rsidR="00BF0027" w:rsidRPr="00AD4FE0" w:rsidRDefault="00BF0027">
      <w:pPr>
        <w:widowControl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br w:type="page"/>
      </w:r>
    </w:p>
    <w:p w14:paraId="302D981A" w14:textId="77777777" w:rsidR="00261842" w:rsidRPr="00AD4FE0" w:rsidRDefault="00E17031" w:rsidP="0002287E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bookmarkStart w:id="16" w:name="_Toc170990766"/>
      <w:r w:rsidRPr="00AD4FE0">
        <w:rPr>
          <w:rFonts w:ascii="Arial" w:hAnsi="Arial" w:cs="Arial"/>
          <w:color w:val="auto"/>
          <w:sz w:val="22"/>
          <w:szCs w:val="22"/>
          <w:lang w:val="hu"/>
        </w:rPr>
        <w:lastRenderedPageBreak/>
        <w:t>3</w:t>
      </w:r>
      <w:r w:rsidRPr="00AD4FE0">
        <w:rPr>
          <w:rFonts w:ascii="Arial" w:hAnsi="Arial" w:cs="Arial"/>
          <w:color w:val="auto"/>
          <w:sz w:val="22"/>
          <w:szCs w:val="22"/>
          <w:lang w:val="hu"/>
        </w:rPr>
        <w:tab/>
      </w:r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Instrumentumok</w:t>
      </w:r>
      <w:bookmarkEnd w:id="16"/>
    </w:p>
    <w:p w14:paraId="6030DA96" w14:textId="77777777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Az Elszámolási felmérés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kétirányú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fizetést magukban foglaló ügyletekre terjed ki (pl. azonnali devizaügyletekre, devizacsere-ügyletekre, határidős deviza- és keresztdevizacsere-ügyletekre, illetve devizaopciókra, amelyeket nem készpénzben egyenlítenek ki). Az egyetlen fizetési tranzakciót képező fizetéseket vagy instrumentumokat (pl.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NDF-eket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és opciós prémiumokat) nem kell jelenteni. Nem kötelező az elszámolást instrumentumok szerinti bontásban szerepeltetni a felmérésben. </w:t>
      </w:r>
    </w:p>
    <w:p w14:paraId="4D3E8EB9" w14:textId="77777777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A deviza nemesfém- (pl. arany- vagy ezüst-) tranzakciókat ki kell zárni a jelentésből.</w:t>
      </w:r>
    </w:p>
    <w:p w14:paraId="73F62E10" w14:textId="77777777" w:rsidR="00261842" w:rsidRPr="00AD4FE0" w:rsidRDefault="00E17031" w:rsidP="0002287E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bookmarkStart w:id="17" w:name="_Toc170990767"/>
      <w:r w:rsidRPr="00AD4FE0">
        <w:rPr>
          <w:rFonts w:ascii="Arial" w:hAnsi="Arial" w:cs="Arial"/>
          <w:color w:val="auto"/>
          <w:sz w:val="22"/>
          <w:szCs w:val="22"/>
          <w:lang w:val="hu"/>
        </w:rPr>
        <w:t>4</w:t>
      </w:r>
      <w:r w:rsidRPr="00AD4FE0">
        <w:rPr>
          <w:rFonts w:ascii="Arial" w:hAnsi="Arial" w:cs="Arial"/>
          <w:color w:val="auto"/>
          <w:sz w:val="22"/>
          <w:szCs w:val="22"/>
          <w:lang w:val="hu"/>
        </w:rPr>
        <w:tab/>
      </w:r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Adatszolgáltatás az ügyletlábról és a pénznemről</w:t>
      </w:r>
      <w:bookmarkEnd w:id="17"/>
      <w:r w:rsidRPr="00AD4FE0">
        <w:rPr>
          <w:rFonts w:ascii="Arial" w:hAnsi="Arial" w:cs="Arial"/>
          <w:color w:val="auto"/>
          <w:sz w:val="22"/>
          <w:szCs w:val="22"/>
          <w:lang w:val="hu"/>
        </w:rPr>
        <w:t xml:space="preserve"> </w:t>
      </w:r>
    </w:p>
    <w:p w14:paraId="46521A5E" w14:textId="77777777" w:rsidR="00261842" w:rsidRPr="00AD4FE0" w:rsidRDefault="00A66F6E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Az ügyletnek kizárólag a fizetés- (szállítás-)lábát kell jelenteni. </w:t>
      </w:r>
    </w:p>
    <w:p w14:paraId="56CA5A0B" w14:textId="77777777" w:rsidR="00261842" w:rsidRPr="00AD4FE0" w:rsidRDefault="00A66F6E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Az összegeket millió dollár (USD) egyenértékben kell megadni. Az USD közvetlen cseréjét magában foglaló tranzakcióknál USD-ban kifejezett összeget kell használni. Azokat a tranzakciókat, amelyek két, az USD-től eltérő deviza közvetlen cseréjét foglalják magukban, USD-ben kell kiszámítani és nyilvántartásba venni a tranzakció fizetés- (szállítás-)lábának alkalmazásával. Az USD-től eltérő pénznemben megadott összegeket az elszámolás napján érvényes árfolyamok használatával kell USD-re átszámítani. Ha azonban ez nem kivitelezhető vagy nem lehetséges, az adatokat az átlagos vagy az időszak végi devizaátváltási árfolyamok alkalmazásával lehet jelenteni. </w:t>
      </w:r>
    </w:p>
    <w:p w14:paraId="2BED464B" w14:textId="6E07124A" w:rsidR="00261842" w:rsidRPr="00AD4FE0" w:rsidRDefault="005F7B46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Az USA-dollártól eltérő pénznemekben kötött ügyletek átváltásához, továbbá</w:t>
      </w:r>
      <w:r w:rsidR="00A37249">
        <w:rPr>
          <w:rFonts w:ascii="Arial" w:hAnsi="Arial" w:cs="Arial"/>
          <w:sz w:val="22"/>
          <w:szCs w:val="22"/>
          <w:lang w:val="hu"/>
        </w:rPr>
        <w:t>,</w:t>
      </w:r>
      <w:r w:rsidRPr="00AD4FE0">
        <w:rPr>
          <w:rFonts w:ascii="Arial" w:hAnsi="Arial" w:cs="Arial"/>
          <w:sz w:val="22"/>
          <w:szCs w:val="22"/>
          <w:lang w:val="hu"/>
        </w:rPr>
        <w:t xml:space="preserve"> ha az ügylet napján érvényes árfolyamtól eltérő árfolyamot használnak, a pénznemek USD-árfolyamának elsőbbségi sorrendje a következő: EUR,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JPY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GBP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CHF,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CAD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AUD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SEK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AED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ARS,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BGN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BHD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BRL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CLP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CNY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COP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CZK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DKK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HKD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HUF,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IDR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ILS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INR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KRW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MXN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MYR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NOK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NZD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PEN, PHP,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PLN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RON,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RUB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SAR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SGD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THB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TRY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TWD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és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ZAR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. </w:t>
      </w:r>
    </w:p>
    <w:p w14:paraId="48AE6D1C" w14:textId="77777777" w:rsidR="00D855F0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Ha az ügyletet olyan pénznemben kötötték meg, amely nem szerepel az itt felsoroltak között, kérjük, hogy azt az Önöknek leginkább megfelelő pénznemet alkalmazva konvertálják USD-re, megőrizve az egységességet az említett pénznemeket érintő összes kereskedésben. Az alábbiakban bemutatunk néhány példát a jelentéstételi időszakban végrehajtott ilyen tranzakciókra:</w:t>
      </w:r>
    </w:p>
    <w:p w14:paraId="669C980C" w14:textId="2DC1BE12" w:rsidR="00261842" w:rsidRPr="00AD4FE0" w:rsidRDefault="00261842" w:rsidP="004E2A75">
      <w:pPr>
        <w:pStyle w:val="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6. példa: Egy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a jelentéstételi időszakban (2025. április) USD/EUR [vétel/eladás] azonnali ügyletet egyenlít ki. 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USD-t vásárol (kap) és EUR-t fizet (szállít). 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r w:rsidRPr="00AD4FE0">
        <w:rPr>
          <w:rFonts w:ascii="Arial" w:hAnsi="Arial" w:cs="Arial"/>
          <w:sz w:val="22"/>
          <w:szCs w:val="22"/>
          <w:lang w:val="hu"/>
        </w:rPr>
        <w:t>nek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az euróban történő fizetést (szállítást) kell jelentenie, a tranzakció összege USD-megfelelőjének felhasználásával.</w:t>
      </w:r>
    </w:p>
    <w:p w14:paraId="2081EC23" w14:textId="1794FC37" w:rsidR="00261842" w:rsidRPr="00AD4FE0" w:rsidRDefault="00261842" w:rsidP="004E2A75">
      <w:pPr>
        <w:pStyle w:val="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7. példa: Egy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a jelentéstételi időszakban egy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GBP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/EUR [vétel/eladás] azonnali ügyletet számol el. 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GBP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-t vásárol (kap) és EUR-t fizet (szállít). 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r w:rsidRPr="00AD4FE0">
        <w:rPr>
          <w:rFonts w:ascii="Arial" w:hAnsi="Arial" w:cs="Arial"/>
          <w:sz w:val="22"/>
          <w:szCs w:val="22"/>
          <w:lang w:val="hu"/>
        </w:rPr>
        <w:t>nek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az átváltáshoz az EUR/USD-árfolyamot alkalmazva kell jelentenie az EUR-ban történt fizetést (szállítást).</w:t>
      </w:r>
    </w:p>
    <w:p w14:paraId="334CC425" w14:textId="77777777" w:rsidR="00261842" w:rsidRPr="00AD4FE0" w:rsidRDefault="00452D9D" w:rsidP="0002287E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bookmarkStart w:id="18" w:name="_Toc170990768"/>
      <w:r w:rsidRPr="00AD4FE0">
        <w:rPr>
          <w:rFonts w:ascii="Arial" w:hAnsi="Arial" w:cs="Arial"/>
          <w:color w:val="auto"/>
          <w:sz w:val="22"/>
          <w:szCs w:val="22"/>
          <w:lang w:val="hu"/>
        </w:rPr>
        <w:lastRenderedPageBreak/>
        <w:t>5</w:t>
      </w:r>
      <w:r w:rsidRPr="00AD4FE0">
        <w:rPr>
          <w:rFonts w:ascii="Arial" w:hAnsi="Arial" w:cs="Arial"/>
          <w:color w:val="auto"/>
          <w:sz w:val="22"/>
          <w:szCs w:val="22"/>
          <w:lang w:val="hu"/>
        </w:rPr>
        <w:tab/>
      </w:r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Pénznemek (devizák) szerinti bontás</w:t>
      </w:r>
      <w:bookmarkEnd w:id="18"/>
    </w:p>
    <w:p w14:paraId="230D9995" w14:textId="77777777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 Jelentéstételi Sablon bontásban ismerteti azokat az elszámolt összegeket, amelyek „of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which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” (o/w)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CLS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-képes devizapárok. Az összes deviza teljes összegét is meg kell adni (lásd a 2. táblázatot).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317"/>
      </w:tblGrid>
      <w:tr w:rsidR="008C55EB" w:rsidRPr="00AD4FE0" w14:paraId="68BABAD1" w14:textId="77777777" w:rsidTr="00941D2A">
        <w:tc>
          <w:tcPr>
            <w:tcW w:w="2743" w:type="dxa"/>
            <w:shd w:val="clear" w:color="auto" w:fill="auto"/>
          </w:tcPr>
          <w:p w14:paraId="5BC9B04F" w14:textId="77777777" w:rsidR="00941D2A" w:rsidRPr="00AD4FE0" w:rsidRDefault="00941D2A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Összes deviza</w:t>
            </w:r>
          </w:p>
        </w:tc>
        <w:tc>
          <w:tcPr>
            <w:tcW w:w="6317" w:type="dxa"/>
            <w:shd w:val="clear" w:color="auto" w:fill="auto"/>
          </w:tcPr>
          <w:p w14:paraId="637DB5F7" w14:textId="77777777" w:rsidR="00941D2A" w:rsidRPr="00AD4FE0" w:rsidRDefault="004807F0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Minden ügyletet, függetlenül a devizapártól, kiegyenlítettek áprilisban.</w:t>
            </w:r>
          </w:p>
        </w:tc>
      </w:tr>
      <w:tr w:rsidR="008C55EB" w:rsidRPr="00AD4FE0" w14:paraId="4499AC01" w14:textId="77777777" w:rsidTr="00941D2A">
        <w:tc>
          <w:tcPr>
            <w:tcW w:w="2743" w:type="dxa"/>
            <w:shd w:val="clear" w:color="auto" w:fill="auto"/>
          </w:tcPr>
          <w:p w14:paraId="5E9DC7F4" w14:textId="77777777" w:rsidR="00941D2A" w:rsidRPr="00AD4FE0" w:rsidRDefault="00941D2A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o/w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CLS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-képes devizapár</w:t>
            </w:r>
          </w:p>
        </w:tc>
        <w:tc>
          <w:tcPr>
            <w:tcW w:w="6317" w:type="dxa"/>
            <w:shd w:val="clear" w:color="auto" w:fill="auto"/>
          </w:tcPr>
          <w:p w14:paraId="660CC849" w14:textId="77777777" w:rsidR="00941D2A" w:rsidRPr="00AD4FE0" w:rsidRDefault="00941D2A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Az „o/w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CLS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-képes devizapár” státushoz az ügylet mindkét lábának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CLS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-képes devizában kell lennie. Például egy USD/EUR-ügylet szerepelne az „o/w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CLS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-képes devizapár” oszlopban, míg az USD/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CNY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-ügylet nem.</w:t>
            </w:r>
          </w:p>
          <w:p w14:paraId="136C80E6" w14:textId="77777777" w:rsidR="00941D2A" w:rsidRPr="00AD4FE0" w:rsidRDefault="00941D2A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A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CLS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-képes devizák a következők: ausztrál dollár (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AUD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), kanadai dollár (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CAD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), dán korona (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DKK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), euró (EUR), hongkongi dollár (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HKD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), magyar forint (HUF), izraeli új sékel (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ILS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), japán jen (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JPY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), mexikói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peso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(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MXN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), új-zélandi dollár (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NZD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), norvég korona (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NOK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), szingapúri dollár (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SGD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), dél-afrikai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rand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(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ZAR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), dél-koreai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won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(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KRW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), svéd korona (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SEK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), svájci frank (CHF), font sterling (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GBP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), amerikai dollár (USD).</w:t>
            </w:r>
          </w:p>
        </w:tc>
      </w:tr>
      <w:tr w:rsidR="008C55EB" w:rsidRPr="00AD4FE0" w14:paraId="024C1EBD" w14:textId="77777777" w:rsidTr="00941D2A">
        <w:tc>
          <w:tcPr>
            <w:tcW w:w="9060" w:type="dxa"/>
            <w:gridSpan w:val="2"/>
            <w:shd w:val="clear" w:color="auto" w:fill="auto"/>
          </w:tcPr>
          <w:p w14:paraId="566881E5" w14:textId="77777777" w:rsidR="00941D2A" w:rsidRPr="00AD4FE0" w:rsidRDefault="00941D2A" w:rsidP="004E2A75">
            <w:pPr>
              <w:pStyle w:val="Paragraph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2. Táblázat</w:t>
            </w:r>
          </w:p>
        </w:tc>
      </w:tr>
    </w:tbl>
    <w:p w14:paraId="3D43E565" w14:textId="77777777" w:rsidR="00261842" w:rsidRPr="00AD4FE0" w:rsidRDefault="00452D9D" w:rsidP="0002287E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bookmarkStart w:id="19" w:name="_Toc170990769"/>
      <w:r w:rsidRPr="00AD4FE0">
        <w:rPr>
          <w:rFonts w:ascii="Arial" w:hAnsi="Arial" w:cs="Arial"/>
          <w:color w:val="auto"/>
          <w:sz w:val="22"/>
          <w:szCs w:val="22"/>
          <w:lang w:val="hu"/>
        </w:rPr>
        <w:t>6</w:t>
      </w:r>
      <w:r w:rsidRPr="00AD4FE0">
        <w:rPr>
          <w:rFonts w:ascii="Arial" w:hAnsi="Arial" w:cs="Arial"/>
          <w:color w:val="auto"/>
          <w:sz w:val="22"/>
          <w:szCs w:val="22"/>
          <w:lang w:val="hu"/>
        </w:rPr>
        <w:tab/>
      </w:r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Speciális kereskedési kapcsolatok</w:t>
      </w:r>
      <w:bookmarkEnd w:id="19"/>
    </w:p>
    <w:p w14:paraId="70C41807" w14:textId="77777777" w:rsidR="00261842" w:rsidRPr="00AD4FE0" w:rsidRDefault="00452D9D" w:rsidP="0002287E">
      <w:pPr>
        <w:pStyle w:val="Heading3"/>
        <w:jc w:val="both"/>
        <w:rPr>
          <w:rFonts w:ascii="Arial" w:hAnsi="Arial" w:cs="Arial"/>
          <w:color w:val="auto"/>
          <w:sz w:val="22"/>
          <w:szCs w:val="22"/>
        </w:rPr>
      </w:pPr>
      <w:bookmarkStart w:id="20" w:name="_Toc170990770"/>
      <w:r w:rsidRPr="00AD4FE0">
        <w:rPr>
          <w:rFonts w:ascii="Arial" w:hAnsi="Arial" w:cs="Arial"/>
          <w:color w:val="auto"/>
          <w:sz w:val="22"/>
          <w:szCs w:val="22"/>
          <w:lang w:val="hu"/>
        </w:rPr>
        <w:t>6.1</w:t>
      </w:r>
      <w:r w:rsidRPr="00AD4FE0">
        <w:rPr>
          <w:rFonts w:ascii="Arial" w:hAnsi="Arial" w:cs="Arial"/>
          <w:color w:val="auto"/>
          <w:sz w:val="22"/>
          <w:szCs w:val="22"/>
          <w:lang w:val="hu"/>
        </w:rPr>
        <w:tab/>
      </w:r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Back-</w:t>
      </w:r>
      <w:proofErr w:type="spellStart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to</w:t>
      </w:r>
      <w:proofErr w:type="spellEnd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-back ügyletek</w:t>
      </w:r>
      <w:bookmarkEnd w:id="20"/>
    </w:p>
    <w:p w14:paraId="2DDAA833" w14:textId="77777777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A back-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to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-back ügyletek olyan összekapcsolt ügyletek, ahol a második ügyletre vonatkozó jogok, kötelességek és fizetési kötelezettségek pontosan megegyeznek az eredeti ügyletre vagy ügyletsorra vonatkozó jogokkal, kötelességekkel és fizetési kötelezettségekkel. A back-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to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-back ügylet kapcsolódhat (i) egyetlen eredeti ügylethez kockázatátruházási céllal, vagy (ii) olyan ügyletsorhoz, amelyekkel rendszeresen, ütemezett időközönként nagy mennyiségben ruháznak át kockázatot (pl. automatikus kockázatátruházás (ART)). </w:t>
      </w:r>
    </w:p>
    <w:p w14:paraId="3873767B" w14:textId="77777777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A back-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to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-back ügyletek nem szerepelhetnek az Elszámolási felmérésben, kivéve, ha azokban feltételként szerepel a fizikai készpénzes elszámolás/kétoldalú készpénzcsere. </w:t>
      </w:r>
    </w:p>
    <w:p w14:paraId="4095313D" w14:textId="77777777" w:rsidR="00227784" w:rsidRPr="00AD4FE0" w:rsidRDefault="00227784" w:rsidP="004E2A75">
      <w:pPr>
        <w:pStyle w:val="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8. példa: Az „A” csoporttag gazdálkodó szervezet „back-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to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-back” kereskedést hajtott végre a „B” csoporttag gazdálkodó szervezettel, hogy „B” gazdálkodó szervezet kezelje a kockázatot. Az értéknapon A és B gazdálkodó szervezet közötti belső elszámolású készpénzcserére került sor. Ha az elszámolás a jelentéstételi időszakon belül történik, akkor ezt a kereskedést a Jelentéstételi Sablon D szakaszában kell jelenteni.</w:t>
      </w:r>
    </w:p>
    <w:p w14:paraId="368EC1DC" w14:textId="77777777" w:rsidR="00261842" w:rsidRPr="00AD4FE0" w:rsidRDefault="003062E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lastRenderedPageBreak/>
        <w:t>Szerepeltetni kell az eredeti kereskedést vagy kereskedéssort, amely(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) a back-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to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-back kereskedés(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)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hez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vezetett(/vezettek).</w:t>
      </w:r>
    </w:p>
    <w:p w14:paraId="1DAFE074" w14:textId="53979181" w:rsidR="00261842" w:rsidRPr="00AD4FE0" w:rsidRDefault="00452D9D" w:rsidP="0002287E">
      <w:pPr>
        <w:pStyle w:val="Heading3"/>
        <w:jc w:val="both"/>
        <w:rPr>
          <w:rFonts w:ascii="Arial" w:hAnsi="Arial" w:cs="Arial"/>
          <w:color w:val="auto"/>
          <w:sz w:val="22"/>
          <w:szCs w:val="22"/>
        </w:rPr>
      </w:pPr>
      <w:bookmarkStart w:id="21" w:name="_Toc170990771"/>
      <w:r w:rsidRPr="00AD4FE0">
        <w:rPr>
          <w:rFonts w:ascii="Arial" w:hAnsi="Arial" w:cs="Arial"/>
          <w:color w:val="auto"/>
          <w:sz w:val="22"/>
          <w:szCs w:val="22"/>
          <w:lang w:val="hu"/>
        </w:rPr>
        <w:t>6.2</w:t>
      </w:r>
      <w:r w:rsidRPr="00AD4FE0">
        <w:rPr>
          <w:rFonts w:ascii="Arial" w:hAnsi="Arial" w:cs="Arial"/>
          <w:color w:val="auto"/>
          <w:sz w:val="22"/>
          <w:szCs w:val="22"/>
          <w:lang w:val="hu"/>
        </w:rPr>
        <w:tab/>
      </w:r>
      <w:bookmarkEnd w:id="21"/>
      <w:r w:rsidR="009135CE">
        <w:rPr>
          <w:rFonts w:ascii="Arial" w:hAnsi="Arial" w:cs="Arial"/>
          <w:b/>
          <w:bCs/>
          <w:color w:val="auto"/>
          <w:sz w:val="22"/>
          <w:szCs w:val="22"/>
          <w:lang w:val="hu"/>
        </w:rPr>
        <w:t>Portfolió kompresszió</w:t>
      </w:r>
    </w:p>
    <w:p w14:paraId="7F427936" w14:textId="6ED614C0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A portfólió</w:t>
      </w:r>
      <w:r w:rsidR="009135CE">
        <w:rPr>
          <w:rFonts w:ascii="Arial" w:hAnsi="Arial" w:cs="Arial"/>
          <w:sz w:val="22"/>
          <w:szCs w:val="22"/>
          <w:lang w:val="hu"/>
        </w:rPr>
        <w:t xml:space="preserve"> kompressziós eljárás a</w:t>
      </w:r>
      <w:r w:rsidRPr="00AD4FE0">
        <w:rPr>
          <w:rFonts w:ascii="Arial" w:hAnsi="Arial" w:cs="Arial"/>
          <w:sz w:val="22"/>
          <w:szCs w:val="22"/>
          <w:lang w:val="hu"/>
        </w:rPr>
        <w:t xml:space="preserve"> kereskedés utáni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kockázatkezelési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eszköz, amelynek segítségével a szerződő felek csökkenthetik a nyitott kötésállományuk méretét anélkül, hogy alapvetően megváltoztatnák piaci pozícióikat. A</w:t>
      </w:r>
      <w:r w:rsidR="009135CE">
        <w:rPr>
          <w:rFonts w:ascii="Arial" w:hAnsi="Arial" w:cs="Arial"/>
          <w:sz w:val="22"/>
          <w:szCs w:val="22"/>
          <w:lang w:val="hu"/>
        </w:rPr>
        <w:t xml:space="preserve"> kompresszió</w:t>
      </w:r>
      <w:r w:rsidRPr="00AD4FE0">
        <w:rPr>
          <w:rFonts w:ascii="Arial" w:hAnsi="Arial" w:cs="Arial"/>
          <w:sz w:val="22"/>
          <w:szCs w:val="22"/>
          <w:lang w:val="hu"/>
        </w:rPr>
        <w:t xml:space="preserve"> a többszörös</w:t>
      </w:r>
      <w:r w:rsidR="009135CE">
        <w:rPr>
          <w:rFonts w:ascii="Arial" w:hAnsi="Arial" w:cs="Arial"/>
          <w:sz w:val="22"/>
          <w:szCs w:val="22"/>
          <w:lang w:val="hu"/>
        </w:rPr>
        <w:t>en</w:t>
      </w:r>
      <w:r w:rsidRPr="00AD4FE0">
        <w:rPr>
          <w:rFonts w:ascii="Arial" w:hAnsi="Arial" w:cs="Arial"/>
          <w:sz w:val="22"/>
          <w:szCs w:val="22"/>
          <w:lang w:val="hu"/>
        </w:rPr>
        <w:t xml:space="preserve"> beszámító ügyleteket kevesebb kereskedéssel helyettesíti. </w:t>
      </w:r>
    </w:p>
    <w:p w14:paraId="3430F9DD" w14:textId="2A800ED1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Csak a </w:t>
      </w:r>
      <w:r w:rsidR="009135CE">
        <w:rPr>
          <w:rFonts w:ascii="Arial" w:hAnsi="Arial" w:cs="Arial"/>
          <w:sz w:val="22"/>
          <w:szCs w:val="22"/>
          <w:lang w:val="hu"/>
        </w:rPr>
        <w:t>kompresszió</w:t>
      </w:r>
      <w:r w:rsidRPr="00AD4FE0">
        <w:rPr>
          <w:rFonts w:ascii="Arial" w:hAnsi="Arial" w:cs="Arial"/>
          <w:sz w:val="22"/>
          <w:szCs w:val="22"/>
          <w:lang w:val="hu"/>
        </w:rPr>
        <w:t xml:space="preserve"> után megmaradó ügyleteket kell jelenteni, azaz kizárólag azokat az ügyleteket, amelyeket a jelentéstételi időszakban ténylegesen elszámoltak; azokat</w:t>
      </w:r>
      <w:r w:rsidR="009135CE">
        <w:rPr>
          <w:rFonts w:ascii="Arial" w:hAnsi="Arial" w:cs="Arial"/>
          <w:sz w:val="22"/>
          <w:szCs w:val="22"/>
          <w:lang w:val="hu"/>
        </w:rPr>
        <w:t xml:space="preserve"> nem kell jelenteni</w:t>
      </w:r>
      <w:r w:rsidRPr="00AD4FE0">
        <w:rPr>
          <w:rFonts w:ascii="Arial" w:hAnsi="Arial" w:cs="Arial"/>
          <w:sz w:val="22"/>
          <w:szCs w:val="22"/>
          <w:lang w:val="hu"/>
        </w:rPr>
        <w:t xml:space="preserve">, amelyeket az elszámolás megtörténte előtt töröltek </w:t>
      </w:r>
      <w:r w:rsidR="009135CE">
        <w:rPr>
          <w:rFonts w:ascii="Arial" w:hAnsi="Arial" w:cs="Arial"/>
          <w:sz w:val="22"/>
          <w:szCs w:val="22"/>
          <w:lang w:val="hu"/>
        </w:rPr>
        <w:t xml:space="preserve">vagy </w:t>
      </w:r>
      <w:proofErr w:type="spellStart"/>
      <w:r w:rsidR="009135CE">
        <w:rPr>
          <w:rFonts w:ascii="Arial" w:hAnsi="Arial" w:cs="Arial"/>
          <w:sz w:val="22"/>
          <w:szCs w:val="22"/>
          <w:lang w:val="hu"/>
        </w:rPr>
        <w:t>kompresszáltak</w:t>
      </w:r>
      <w:proofErr w:type="spellEnd"/>
      <w:r w:rsidR="009135CE">
        <w:rPr>
          <w:rFonts w:ascii="Arial" w:hAnsi="Arial" w:cs="Arial"/>
          <w:sz w:val="22"/>
          <w:szCs w:val="22"/>
          <w:lang w:val="hu"/>
        </w:rPr>
        <w:t>.</w:t>
      </w:r>
    </w:p>
    <w:p w14:paraId="55EE66D4" w14:textId="176F2E3A" w:rsidR="003F48AD" w:rsidRPr="00AD4FE0" w:rsidRDefault="004C0929" w:rsidP="00B13464">
      <w:pPr>
        <w:pStyle w:val="Heading3"/>
        <w:jc w:val="both"/>
        <w:rPr>
          <w:rFonts w:ascii="Arial" w:hAnsi="Arial" w:cs="Arial"/>
          <w:color w:val="auto"/>
          <w:sz w:val="22"/>
          <w:szCs w:val="22"/>
        </w:rPr>
      </w:pPr>
      <w:bookmarkStart w:id="22" w:name="_Toc170990772"/>
      <w:r w:rsidRPr="00AD4FE0">
        <w:rPr>
          <w:rFonts w:ascii="Arial" w:hAnsi="Arial" w:cs="Arial"/>
          <w:color w:val="auto"/>
          <w:sz w:val="22"/>
          <w:szCs w:val="22"/>
          <w:lang w:val="hu"/>
        </w:rPr>
        <w:t xml:space="preserve">6.3 </w:t>
      </w:r>
      <w:proofErr w:type="spellStart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Novált</w:t>
      </w:r>
      <w:proofErr w:type="spellEnd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 xml:space="preserve"> kereskedések</w:t>
      </w:r>
      <w:bookmarkEnd w:id="22"/>
    </w:p>
    <w:p w14:paraId="35EBC129" w14:textId="77777777" w:rsidR="00316285" w:rsidRPr="00AD4FE0" w:rsidRDefault="00316285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Kereskedés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noválásakor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az ügylet egyik fele helyére harmadik személy lép. </w:t>
      </w:r>
    </w:p>
    <w:p w14:paraId="305E1C2F" w14:textId="0DE9A8BB" w:rsidR="0052675A" w:rsidRPr="00AD4FE0" w:rsidRDefault="00830B6C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Azokról az ügyletekről, amelyeket – az elszámolás megtörténtét megelőzően – az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r w:rsidRPr="00AD4FE0">
        <w:rPr>
          <w:rFonts w:ascii="Arial" w:hAnsi="Arial" w:cs="Arial"/>
          <w:sz w:val="22"/>
          <w:szCs w:val="22"/>
          <w:lang w:val="hu"/>
        </w:rPr>
        <w:t>ről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külső harmadik személyre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nováltak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nem kell adatot szolgáltatni. Például, ha 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az elszámolás előtt kilépett egy ügyletből, az ügyletet nem kell jelenteni. </w:t>
      </w:r>
    </w:p>
    <w:p w14:paraId="256C0C32" w14:textId="4D0B0616" w:rsidR="009A7AA7" w:rsidRPr="00AD4FE0" w:rsidRDefault="0052675A" w:rsidP="00AC0652">
      <w:pPr>
        <w:pStyle w:val="Paragrap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Ha egy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az elszámolás előtt belépett egy kereskedésbe, az ügylet fizetési lábát (ha azt a jelentéstételi időszak alatt rendezték) jelenteni kell.</w:t>
      </w:r>
    </w:p>
    <w:p w14:paraId="3D1C9AD4" w14:textId="77777777" w:rsidR="00261842" w:rsidRPr="00AD4FE0" w:rsidRDefault="00452D9D" w:rsidP="0002287E">
      <w:pPr>
        <w:pStyle w:val="Heading3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23" w:name="_Toc170990773"/>
      <w:r w:rsidRPr="00AD4FE0">
        <w:rPr>
          <w:rFonts w:ascii="Arial" w:hAnsi="Arial" w:cs="Arial"/>
          <w:color w:val="auto"/>
          <w:sz w:val="22"/>
          <w:szCs w:val="22"/>
          <w:lang w:val="hu"/>
        </w:rPr>
        <w:t>6.4</w:t>
      </w:r>
      <w:r w:rsidRPr="00AD4FE0">
        <w:rPr>
          <w:rFonts w:ascii="Arial" w:hAnsi="Arial" w:cs="Arial"/>
          <w:color w:val="auto"/>
          <w:sz w:val="22"/>
          <w:szCs w:val="22"/>
          <w:lang w:val="hu"/>
        </w:rPr>
        <w:tab/>
      </w:r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 xml:space="preserve">Deviza </w:t>
      </w:r>
      <w:proofErr w:type="spellStart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prime</w:t>
      </w:r>
      <w:proofErr w:type="spellEnd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 xml:space="preserve"> brókeri szolgáltatás</w:t>
      </w:r>
      <w:bookmarkEnd w:id="23"/>
    </w:p>
    <w:p w14:paraId="0D6C877E" w14:textId="77777777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 deviza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prime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brókeri kapcsolatban az ügyfél kereskedését rendszerint „átadják”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prime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brókernek, aki a harmadik személy bank és az ügyfél között helyezkedik el, és így a kereskedés mindkét lábának szerződéses partnere lesz.</w:t>
      </w:r>
    </w:p>
    <w:p w14:paraId="1796A366" w14:textId="5F769C0B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prime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brókerként eljáró </w:t>
      </w:r>
      <w:r w:rsidR="009135CE">
        <w:rPr>
          <w:rFonts w:ascii="Arial" w:hAnsi="Arial" w:cs="Arial"/>
          <w:sz w:val="22"/>
          <w:szCs w:val="22"/>
          <w:lang w:val="hu"/>
        </w:rPr>
        <w:t>j</w:t>
      </w:r>
      <w:r w:rsidR="0095619F">
        <w:rPr>
          <w:rFonts w:ascii="Arial" w:hAnsi="Arial" w:cs="Arial"/>
          <w:sz w:val="22"/>
          <w:szCs w:val="22"/>
          <w:lang w:val="hu"/>
        </w:rPr>
        <w:t xml:space="preserve">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dealerek</w:t>
      </w:r>
      <w:r w:rsidRPr="00AD4FE0">
        <w:rPr>
          <w:rFonts w:ascii="Arial" w:hAnsi="Arial" w:cs="Arial"/>
          <w:sz w:val="22"/>
          <w:szCs w:val="22"/>
          <w:lang w:val="hu"/>
        </w:rPr>
        <w:t>nek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olyan mértékben kell jelenteniük a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prime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brókerügylet fizetési lábát, amilyen mértékben a devizaelszámolás megtörtént.</w:t>
      </w:r>
    </w:p>
    <w:p w14:paraId="0907437E" w14:textId="77777777" w:rsidR="00261842" w:rsidRPr="00AD4FE0" w:rsidRDefault="00503A6E" w:rsidP="0002287E">
      <w:pPr>
        <w:pStyle w:val="Heading3"/>
        <w:jc w:val="both"/>
        <w:rPr>
          <w:rFonts w:ascii="Arial" w:hAnsi="Arial" w:cs="Arial"/>
          <w:color w:val="auto"/>
          <w:sz w:val="22"/>
          <w:szCs w:val="22"/>
        </w:rPr>
      </w:pPr>
      <w:bookmarkStart w:id="24" w:name="_Toc170990774"/>
      <w:r w:rsidRPr="00AD4FE0">
        <w:rPr>
          <w:rFonts w:ascii="Arial" w:hAnsi="Arial" w:cs="Arial"/>
          <w:color w:val="auto"/>
          <w:sz w:val="22"/>
          <w:szCs w:val="22"/>
          <w:lang w:val="hu"/>
        </w:rPr>
        <w:t>6.5</w:t>
      </w:r>
      <w:r w:rsidRPr="00AD4FE0">
        <w:rPr>
          <w:rFonts w:ascii="Arial" w:hAnsi="Arial" w:cs="Arial"/>
          <w:color w:val="auto"/>
          <w:sz w:val="22"/>
          <w:szCs w:val="22"/>
          <w:lang w:val="hu"/>
        </w:rPr>
        <w:tab/>
      </w:r>
      <w:proofErr w:type="spellStart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CLS</w:t>
      </w:r>
      <w:proofErr w:type="spellEnd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 xml:space="preserve"> in/out csereügyletek elszámolása</w:t>
      </w:r>
      <w:bookmarkEnd w:id="24"/>
    </w:p>
    <w:p w14:paraId="76B4FE87" w14:textId="77777777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CLS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in/out csereügylet olyan csereügylet, amely kizárólag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CLS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-tagok között jön létre annak érdekében, hogy csökkentsék a befizetések (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pay-ins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) nagyságát a devizaügyletek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CLS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-en keresztüli elszámolása során. Ezeket a tranzakciókat kizárólag likviditáskezelési célból hajtják végre. A csereügylet két lábból áll, amelyeket ugyanazon az értéknapon számolnak el. Az első lábat a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CLS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-rendszerben, a másodikat a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CLS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-rendszeren kívül számolják el. </w:t>
      </w:r>
    </w:p>
    <w:p w14:paraId="1895855E" w14:textId="77777777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CLS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in/out ügylet rögzítése az Elszámolási felmérésben: </w:t>
      </w:r>
    </w:p>
    <w:p w14:paraId="3B2A3899" w14:textId="77777777" w:rsidR="00261842" w:rsidRPr="00AD4FE0" w:rsidRDefault="00686744" w:rsidP="004E2A75">
      <w:pPr>
        <w:pStyle w:val="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 csereügylet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CLS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-ben elszámolt lábát („in-leg”) a B szakasz – (2) – „Elszámolás az megfelelő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PvP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-rendszerekben” alatt kell rögzíteni.</w:t>
      </w:r>
    </w:p>
    <w:p w14:paraId="5DCA0A11" w14:textId="77777777" w:rsidR="00261842" w:rsidRPr="00AD4FE0" w:rsidRDefault="00686744" w:rsidP="004E2A75">
      <w:pPr>
        <w:pStyle w:val="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 csereügylet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CLS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-en kívül elszámolt lábát („out-leg”),</w:t>
      </w:r>
    </w:p>
    <w:p w14:paraId="2AF108C4" w14:textId="77777777" w:rsidR="009A38FA" w:rsidRPr="00AD4FE0" w:rsidRDefault="00261842" w:rsidP="004E2A75">
      <w:pPr>
        <w:pStyle w:val="Paragraph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lastRenderedPageBreak/>
        <w:t xml:space="preserve">ha a kereskedő a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CLSNow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résztvevője, és abban számolja el az „out-</w:t>
      </w:r>
      <w:proofErr w:type="gramStart"/>
      <w:r w:rsidRPr="00AD4FE0">
        <w:rPr>
          <w:rFonts w:ascii="Arial" w:hAnsi="Arial" w:cs="Arial"/>
          <w:sz w:val="22"/>
          <w:szCs w:val="22"/>
          <w:lang w:val="hu"/>
        </w:rPr>
        <w:t>leg”-</w:t>
      </w:r>
      <w:proofErr w:type="spellStart"/>
      <w:proofErr w:type="gramEnd"/>
      <w:r w:rsidRPr="00AD4FE0">
        <w:rPr>
          <w:rFonts w:ascii="Arial" w:hAnsi="Arial" w:cs="Arial"/>
          <w:sz w:val="22"/>
          <w:szCs w:val="22"/>
          <w:lang w:val="hu"/>
        </w:rPr>
        <w:t>et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, a B szakasz – (2) – „Elszámolás a megfelelő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PvP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-rendszerekben” alatt kell rögzíteni.</w:t>
      </w:r>
    </w:p>
    <w:p w14:paraId="7BEA11D4" w14:textId="77777777" w:rsidR="009A38FA" w:rsidRPr="00AD4FE0" w:rsidRDefault="00261842" w:rsidP="004E2A75">
      <w:pPr>
        <w:pStyle w:val="Paragraph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kétoldalú nettósítással történő elszámolás esetén, a C szakasz – (3) – „Nettósításhoz kötött elszámolás” alatt kell rögzíteni.</w:t>
      </w:r>
    </w:p>
    <w:p w14:paraId="5DBAEEEB" w14:textId="77777777" w:rsidR="00261842" w:rsidRPr="00AD4FE0" w:rsidRDefault="00261842" w:rsidP="004E2A75">
      <w:pPr>
        <w:pStyle w:val="Paragraph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bruttó kétoldalú kiegyenlítés esetén az E szakasz 5(b) és 5(b) ii) pontja szerint kell nyilvántartásba venni – „nem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PvP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-s bruttó elszámolás: o/w kereskedési típus nem alkalmas a megfelelő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PvP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-rendszerben történő elszámolásra”.</w:t>
      </w:r>
    </w:p>
    <w:p w14:paraId="676CA5C7" w14:textId="77777777" w:rsidR="00261842" w:rsidRPr="00AD4FE0" w:rsidRDefault="00503A6E" w:rsidP="0002287E">
      <w:pPr>
        <w:pStyle w:val="Heading3"/>
        <w:jc w:val="both"/>
        <w:rPr>
          <w:rFonts w:ascii="Arial" w:hAnsi="Arial" w:cs="Arial"/>
          <w:color w:val="auto"/>
          <w:sz w:val="22"/>
          <w:szCs w:val="22"/>
        </w:rPr>
      </w:pPr>
      <w:bookmarkStart w:id="25" w:name="_Toc170990775"/>
      <w:r w:rsidRPr="00AD4FE0">
        <w:rPr>
          <w:rFonts w:ascii="Arial" w:hAnsi="Arial" w:cs="Arial"/>
          <w:color w:val="auto"/>
          <w:sz w:val="22"/>
          <w:szCs w:val="22"/>
          <w:lang w:val="hu"/>
        </w:rPr>
        <w:t>6.6</w:t>
      </w:r>
      <w:r w:rsidRPr="00AD4FE0">
        <w:rPr>
          <w:rFonts w:ascii="Arial" w:hAnsi="Arial" w:cs="Arial"/>
          <w:color w:val="auto"/>
          <w:sz w:val="22"/>
          <w:szCs w:val="22"/>
          <w:lang w:val="hu"/>
        </w:rPr>
        <w:tab/>
      </w:r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Külső elszámolási módszer alá eső ügyletek</w:t>
      </w:r>
      <w:bookmarkEnd w:id="25"/>
    </w:p>
    <w:p w14:paraId="4E20BF86" w14:textId="77777777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 sablon C szakasza a nettósítás előtti elszámolási értéket (bruttó értékben kifejezve) tartalmazza minden kétoldalúan kiegyenlített és kétoldalú nettósítás alá eső ügylet esetében. Ezt bruttó alapon kell rögzíteni a nettósítás megtörténte előtt. </w:t>
      </w:r>
    </w:p>
    <w:p w14:paraId="596057A9" w14:textId="77777777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Ebben a szakaszban az „o/w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CLS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-képes devizapár” olyan ügylet, amelyben a devizapár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CLS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-képes annak ellenére, hogy az ügylet elszámolása nem egy megfelelő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PvP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-rendszerben, hanem kétoldalú nettósítással történt.</w:t>
      </w:r>
    </w:p>
    <w:p w14:paraId="600FE262" w14:textId="77777777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 (3a) sor a (3) alatti o/w szakasz, ahol a (3) bekezdés szerinti ügyletek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nettósítása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utáni nettó fizetendő összeg jelenik meg. Ez a szám nem lehet negatív, és szigorúan a szállítandó (fizetendő) összeghez kapcsolódik. A számbavétel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duplikációjának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elkerülése érdekében a fennmaradó fizetendő összeget nem szabad a sablonban máshol szerepeltetni.</w:t>
      </w:r>
    </w:p>
    <w:p w14:paraId="5C6CAA55" w14:textId="77777777" w:rsidR="00261842" w:rsidRPr="00AD4FE0" w:rsidRDefault="00503A6E" w:rsidP="0002287E">
      <w:pPr>
        <w:pStyle w:val="Heading3"/>
        <w:jc w:val="both"/>
        <w:rPr>
          <w:rFonts w:ascii="Arial" w:hAnsi="Arial" w:cs="Arial"/>
          <w:color w:val="auto"/>
          <w:sz w:val="22"/>
          <w:szCs w:val="22"/>
        </w:rPr>
      </w:pPr>
      <w:bookmarkStart w:id="26" w:name="_Toc170990776"/>
      <w:r w:rsidRPr="00AD4FE0">
        <w:rPr>
          <w:rFonts w:ascii="Arial" w:hAnsi="Arial" w:cs="Arial"/>
          <w:color w:val="auto"/>
          <w:sz w:val="22"/>
          <w:szCs w:val="22"/>
          <w:lang w:val="hu"/>
        </w:rPr>
        <w:t>6.7</w:t>
      </w:r>
      <w:r w:rsidRPr="00AD4FE0">
        <w:rPr>
          <w:rFonts w:ascii="Arial" w:hAnsi="Arial" w:cs="Arial"/>
          <w:color w:val="auto"/>
          <w:sz w:val="22"/>
          <w:szCs w:val="22"/>
          <w:lang w:val="hu"/>
        </w:rPr>
        <w:tab/>
      </w:r>
      <w:bookmarkStart w:id="27" w:name="_Hlk167781768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Belső elszámolási módszer alá eső ügyletek</w:t>
      </w:r>
      <w:bookmarkEnd w:id="27"/>
      <w:bookmarkEnd w:id="26"/>
    </w:p>
    <w:p w14:paraId="4FCF6BD3" w14:textId="77777777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A sablon D szakasza a csoporton belüli ügyletek elszámolását tartalmazza, ha az ügyletben részt vevő mindkét fél ugyanannak a bankcsoportnak a tagja.</w:t>
      </w:r>
    </w:p>
    <w:p w14:paraId="63685B89" w14:textId="665A58B7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 D szakasz azokat a külső szerződő felekkel folytatott ügyleteket is tartalmazza, ahol 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közvetlen (belső) ellenőrzést gyakorol az elszámolás időpontjának meghatározása felett.</w:t>
      </w:r>
    </w:p>
    <w:p w14:paraId="358C8776" w14:textId="77777777" w:rsidR="00261842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Ebben a szakaszban az „o/w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CLS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-képes devizapár” olyan ügyleteket jelent, amelyekben a devizapár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CLS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-képes, még akkor is, ha az ügyleteket nem egy megfelelő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PvP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-rendszerben, hanem belső elszámolással egyenlítették ki.</w:t>
      </w:r>
    </w:p>
    <w:p w14:paraId="6B359AE6" w14:textId="77777777" w:rsidR="00515AFD" w:rsidRPr="00AD4FE0" w:rsidRDefault="00515AFD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bookmarkStart w:id="28" w:name="_Hlk167781782"/>
      <w:r w:rsidRPr="00AD4FE0">
        <w:rPr>
          <w:rFonts w:ascii="Arial" w:hAnsi="Arial" w:cs="Arial"/>
          <w:sz w:val="22"/>
          <w:szCs w:val="22"/>
          <w:lang w:val="hu"/>
        </w:rPr>
        <w:t xml:space="preserve">A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PvP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rendszereken keresztül lebonyolított belső elszámolások nem szerepelhetnek a D szakaszban, bár úgy tűnhet, hogy mindkét szakaszba beleillenek: minden (külső, leány- és fiókvállalatok közötti) </w:t>
      </w:r>
      <w:proofErr w:type="spellStart"/>
      <w:r w:rsidRPr="00AD4FE0">
        <w:rPr>
          <w:rFonts w:ascii="Arial" w:hAnsi="Arial" w:cs="Arial"/>
          <w:sz w:val="22"/>
          <w:szCs w:val="22"/>
          <w:lang w:val="hu"/>
        </w:rPr>
        <w:t>PVP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>-n keresztüli elszámolást a B szakaszban kell feltüntetni.</w:t>
      </w:r>
    </w:p>
    <w:p w14:paraId="02844C04" w14:textId="77777777" w:rsidR="00261842" w:rsidRPr="00AD4FE0" w:rsidRDefault="00503A6E" w:rsidP="0002287E">
      <w:pPr>
        <w:pStyle w:val="Heading3"/>
        <w:jc w:val="both"/>
        <w:rPr>
          <w:rFonts w:ascii="Arial" w:hAnsi="Arial" w:cs="Arial"/>
          <w:color w:val="auto"/>
          <w:sz w:val="22"/>
          <w:szCs w:val="22"/>
        </w:rPr>
      </w:pPr>
      <w:bookmarkStart w:id="29" w:name="_Toc170990777"/>
      <w:bookmarkEnd w:id="28"/>
      <w:r w:rsidRPr="00AD4FE0">
        <w:rPr>
          <w:rFonts w:ascii="Arial" w:hAnsi="Arial" w:cs="Arial"/>
          <w:color w:val="auto"/>
          <w:sz w:val="22"/>
          <w:szCs w:val="22"/>
          <w:lang w:val="hu"/>
        </w:rPr>
        <w:t>6.8</w:t>
      </w:r>
      <w:r w:rsidRPr="00AD4FE0">
        <w:rPr>
          <w:rFonts w:ascii="Arial" w:hAnsi="Arial" w:cs="Arial"/>
          <w:color w:val="auto"/>
          <w:sz w:val="22"/>
          <w:szCs w:val="22"/>
          <w:lang w:val="hu"/>
        </w:rPr>
        <w:tab/>
      </w:r>
      <w:bookmarkStart w:id="30" w:name="_Hlk167783289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 xml:space="preserve">Többszörös </w:t>
      </w:r>
      <w:proofErr w:type="spellStart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kétirányú</w:t>
      </w:r>
      <w:proofErr w:type="spellEnd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 xml:space="preserve"> kereskedést tartalmazó ügyletek</w:t>
      </w:r>
      <w:bookmarkEnd w:id="30"/>
      <w:bookmarkEnd w:id="29"/>
    </w:p>
    <w:p w14:paraId="2864DCA4" w14:textId="0E6228B8" w:rsidR="00FF2C97" w:rsidRPr="00AD4FE0" w:rsidRDefault="00261842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 xml:space="preserve">Az Elszámolási felmérés a 2025 áprilisában kiegyenlített ügyletek értékét méri. A </w:t>
      </w:r>
      <w:r w:rsidR="0095619F">
        <w:rPr>
          <w:rFonts w:ascii="Arial" w:hAnsi="Arial" w:cs="Arial"/>
          <w:sz w:val="22"/>
          <w:szCs w:val="22"/>
          <w:lang w:val="hu"/>
        </w:rPr>
        <w:t xml:space="preserve">jelentő </w:t>
      </w:r>
      <w:proofErr w:type="spellStart"/>
      <w:r w:rsidR="0095619F">
        <w:rPr>
          <w:rFonts w:ascii="Arial" w:hAnsi="Arial" w:cs="Arial"/>
          <w:sz w:val="22"/>
          <w:szCs w:val="22"/>
          <w:lang w:val="hu"/>
        </w:rPr>
        <w:t>dealerek</w:t>
      </w:r>
      <w:r w:rsidRPr="00AD4FE0">
        <w:rPr>
          <w:rFonts w:ascii="Arial" w:hAnsi="Arial" w:cs="Arial"/>
          <w:sz w:val="22"/>
          <w:szCs w:val="22"/>
          <w:lang w:val="hu"/>
        </w:rPr>
        <w:t>nek</w:t>
      </w:r>
      <w:proofErr w:type="spellEnd"/>
      <w:r w:rsidRPr="00AD4FE0">
        <w:rPr>
          <w:rFonts w:ascii="Arial" w:hAnsi="Arial" w:cs="Arial"/>
          <w:sz w:val="22"/>
          <w:szCs w:val="22"/>
          <w:lang w:val="hu"/>
        </w:rPr>
        <w:t xml:space="preserve"> adatot kell szolgáltatniuk az adott hónap során rendezett ügylet minden egyes </w:t>
      </w:r>
      <w:r w:rsidRPr="00AD4FE0">
        <w:rPr>
          <w:rFonts w:ascii="Arial" w:hAnsi="Arial" w:cs="Arial"/>
          <w:sz w:val="22"/>
          <w:szCs w:val="22"/>
          <w:lang w:val="hu"/>
        </w:rPr>
        <w:lastRenderedPageBreak/>
        <w:t xml:space="preserve">kereskedésének fizetési lábáról (pl. egy többszörös csereügylet rövid és hosszú fizetési lábáról is, feltéve, hogy mindkettőt 2025 áprilisában rendezik). </w:t>
      </w:r>
      <w:bookmarkStart w:id="31" w:name="_Hlk167783240"/>
      <w:r w:rsidRPr="00AD4FE0">
        <w:rPr>
          <w:rFonts w:ascii="Arial" w:hAnsi="Arial" w:cs="Arial"/>
          <w:sz w:val="22"/>
          <w:szCs w:val="22"/>
          <w:lang w:val="hu"/>
        </w:rPr>
        <w:t>Ez azt is jelenti, hogy ha 2025 áprilisában csak az egyik lábat számolják el, akkor csak azt a lábat kell rögzíteni jelentésben.</w:t>
      </w:r>
      <w:bookmarkEnd w:id="31"/>
    </w:p>
    <w:p w14:paraId="40715958" w14:textId="77777777" w:rsidR="00295A71" w:rsidRPr="00AD4FE0" w:rsidRDefault="00295A71" w:rsidP="004E2A75">
      <w:pPr>
        <w:widowControl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br w:type="page"/>
      </w:r>
    </w:p>
    <w:p w14:paraId="577D66AD" w14:textId="77777777" w:rsidR="0043358A" w:rsidRPr="00A37249" w:rsidRDefault="0043358A" w:rsidP="0002287E">
      <w:pPr>
        <w:pStyle w:val="IndentedHeading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32" w:name="_Toc170990778"/>
      <w:r w:rsidRPr="00A37249">
        <w:rPr>
          <w:rFonts w:ascii="Arial" w:hAnsi="Arial" w:cs="Arial"/>
          <w:b/>
          <w:bCs/>
          <w:color w:val="auto"/>
          <w:sz w:val="22"/>
          <w:szCs w:val="22"/>
          <w:lang w:val="hu"/>
        </w:rPr>
        <w:lastRenderedPageBreak/>
        <w:t>Jelentéstételi sablon</w:t>
      </w:r>
      <w:bookmarkEnd w:id="32"/>
    </w:p>
    <w:p w14:paraId="00D8CF4C" w14:textId="77777777" w:rsidR="004E7A74" w:rsidRPr="00AD4FE0" w:rsidRDefault="004E7A74" w:rsidP="0002287E">
      <w:pPr>
        <w:pStyle w:val="Paragraph"/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A jelentéstételi sablon egy Excel-munkafüzet. Az (alábbi) 1. és 2. sablontáblázatban meghatározott minden kategóriához a következőket szükséges megadni:</w:t>
      </w:r>
    </w:p>
    <w:p w14:paraId="18953EEC" w14:textId="77777777" w:rsidR="00AB551F" w:rsidRPr="00AD4FE0" w:rsidRDefault="00AB551F" w:rsidP="0002287E">
      <w:pPr>
        <w:pStyle w:val="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Az 1. szakaszban meghatározott szerződőfél-kategória</w:t>
      </w:r>
    </w:p>
    <w:p w14:paraId="309BB2F0" w14:textId="77777777" w:rsidR="00AB551F" w:rsidRPr="00AD4FE0" w:rsidRDefault="00AB551F" w:rsidP="0002287E">
      <w:pPr>
        <w:pStyle w:val="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D4FE0">
        <w:rPr>
          <w:rFonts w:ascii="Arial" w:hAnsi="Arial" w:cs="Arial"/>
          <w:sz w:val="22"/>
          <w:szCs w:val="22"/>
          <w:lang w:val="hu"/>
        </w:rPr>
        <w:t>A devizák 5. szakaszban meghatározott bontása</w:t>
      </w:r>
    </w:p>
    <w:p w14:paraId="602C5FF0" w14:textId="77777777" w:rsidR="0043358A" w:rsidRPr="00AD4FE0" w:rsidRDefault="0043358A" w:rsidP="0002287E">
      <w:pPr>
        <w:pStyle w:val="Heading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33" w:name="_Toc170990779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1. táblázat Devizaelszámolás áprilisban</w:t>
      </w:r>
      <w:bookmarkEnd w:id="33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312"/>
      </w:tblGrid>
      <w:tr w:rsidR="008C55EB" w:rsidRPr="00AD4FE0" w14:paraId="49AC495F" w14:textId="77777777" w:rsidTr="00BF0027">
        <w:trPr>
          <w:trHeight w:val="87"/>
        </w:trPr>
        <w:tc>
          <w:tcPr>
            <w:tcW w:w="2748" w:type="dxa"/>
            <w:shd w:val="clear" w:color="auto" w:fill="auto"/>
          </w:tcPr>
          <w:p w14:paraId="21696BF8" w14:textId="77777777" w:rsidR="00295A71" w:rsidRPr="00AD4FE0" w:rsidRDefault="00992661" w:rsidP="004E2A75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Tétel</w:t>
            </w:r>
          </w:p>
        </w:tc>
        <w:tc>
          <w:tcPr>
            <w:tcW w:w="6312" w:type="dxa"/>
            <w:shd w:val="clear" w:color="auto" w:fill="auto"/>
          </w:tcPr>
          <w:p w14:paraId="645FC8EE" w14:textId="77777777" w:rsidR="00295A71" w:rsidRPr="00AD4FE0" w:rsidRDefault="00992661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Megnevezés</w:t>
            </w:r>
          </w:p>
        </w:tc>
      </w:tr>
      <w:tr w:rsidR="008C55EB" w:rsidRPr="00AD4FE0" w14:paraId="7BE3ABE8" w14:textId="77777777" w:rsidTr="00FE50DD">
        <w:tc>
          <w:tcPr>
            <w:tcW w:w="9060" w:type="dxa"/>
            <w:gridSpan w:val="2"/>
            <w:shd w:val="clear" w:color="auto" w:fill="auto"/>
          </w:tcPr>
          <w:p w14:paraId="7187A577" w14:textId="77777777" w:rsidR="00992661" w:rsidRPr="00AD4FE0" w:rsidRDefault="00992661" w:rsidP="004E2A75">
            <w:pPr>
              <w:pStyle w:val="Paragraph"/>
              <w:spacing w:before="12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FE0">
              <w:rPr>
                <w:rFonts w:ascii="Arial" w:hAnsi="Arial" w:cs="Arial"/>
                <w:b/>
                <w:bCs/>
                <w:sz w:val="22"/>
                <w:szCs w:val="22"/>
                <w:lang w:val="hu"/>
              </w:rPr>
              <w:t>A szakasz – Kiegyenlített bruttó pénzügyi kötelezettségek (A = B + C + D + E)</w:t>
            </w:r>
          </w:p>
        </w:tc>
      </w:tr>
      <w:tr w:rsidR="008C55EB" w:rsidRPr="00AD4FE0" w14:paraId="4FEAD075" w14:textId="77777777" w:rsidTr="00992661">
        <w:tc>
          <w:tcPr>
            <w:tcW w:w="2748" w:type="dxa"/>
            <w:shd w:val="clear" w:color="auto" w:fill="auto"/>
          </w:tcPr>
          <w:p w14:paraId="6846CFDA" w14:textId="657FE159" w:rsidR="00295A71" w:rsidRPr="00AD4FE0" w:rsidRDefault="00295A71" w:rsidP="004E2A75">
            <w:pPr>
              <w:pStyle w:val="Paragraph"/>
              <w:spacing w:before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1) Az összes </w:t>
            </w:r>
            <w:r w:rsidR="00D23CDE">
              <w:rPr>
                <w:rFonts w:ascii="Arial" w:hAnsi="Arial" w:cs="Arial"/>
                <w:sz w:val="22"/>
                <w:szCs w:val="22"/>
                <w:lang w:val="hu"/>
              </w:rPr>
              <w:t xml:space="preserve">elszámolt </w:t>
            </w: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bruttó pénzügyi kötelezettség</w:t>
            </w:r>
          </w:p>
        </w:tc>
        <w:tc>
          <w:tcPr>
            <w:tcW w:w="6312" w:type="dxa"/>
            <w:shd w:val="clear" w:color="auto" w:fill="auto"/>
          </w:tcPr>
          <w:p w14:paraId="7FA0BFAC" w14:textId="176C1B89" w:rsidR="00295A71" w:rsidRPr="00AD4FE0" w:rsidRDefault="00295A71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Minden bruttó összeg, amelyet a </w:t>
            </w:r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 xml:space="preserve">Jelentő </w:t>
            </w:r>
            <w:proofErr w:type="spellStart"/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>dealer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a jelentéstételi időszakban számol el.</w:t>
            </w:r>
          </w:p>
          <w:p w14:paraId="54E635C0" w14:textId="77777777" w:rsidR="00295A71" w:rsidRPr="00AD4FE0" w:rsidRDefault="00295A71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Ez az összeg adott műveletet (pl. fizetés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fizetés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ellenében (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), elszámolási módszerek alkalmazását) megelőző összeg. </w:t>
            </w:r>
          </w:p>
          <w:p w14:paraId="1EA8E1CA" w14:textId="77777777" w:rsidR="00295A71" w:rsidRPr="00AD4FE0" w:rsidRDefault="00295A71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Megjegyzés: Az (1) bruttó értékének várhatóan egyenlőnek kell lennie a rákövetkező bruttó szakaszok összegével (1 = 2 + 3 + 4 +5).</w:t>
            </w:r>
          </w:p>
        </w:tc>
      </w:tr>
      <w:tr w:rsidR="008C55EB" w:rsidRPr="00AD4FE0" w14:paraId="442999CB" w14:textId="77777777" w:rsidTr="00EA2079">
        <w:tc>
          <w:tcPr>
            <w:tcW w:w="9060" w:type="dxa"/>
            <w:gridSpan w:val="2"/>
            <w:shd w:val="clear" w:color="auto" w:fill="auto"/>
          </w:tcPr>
          <w:p w14:paraId="7E4BFCAE" w14:textId="0102FE20" w:rsidR="00992661" w:rsidRPr="00AD4FE0" w:rsidRDefault="00992661" w:rsidP="004E2A75">
            <w:pPr>
              <w:pStyle w:val="Paragraph"/>
              <w:spacing w:before="12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FE0">
              <w:rPr>
                <w:rFonts w:ascii="Arial" w:hAnsi="Arial" w:cs="Arial"/>
                <w:b/>
                <w:bCs/>
                <w:sz w:val="22"/>
                <w:szCs w:val="22"/>
                <w:lang w:val="hu"/>
              </w:rPr>
              <w:t xml:space="preserve">B szakasz – </w:t>
            </w:r>
            <w:proofErr w:type="spellStart"/>
            <w:r w:rsidRPr="00AD4FE0">
              <w:rPr>
                <w:rFonts w:ascii="Arial" w:hAnsi="Arial" w:cs="Arial"/>
                <w:b/>
                <w:bCs/>
                <w:sz w:val="22"/>
                <w:szCs w:val="22"/>
                <w:lang w:val="hu"/>
              </w:rPr>
              <w:t>PvP</w:t>
            </w:r>
            <w:proofErr w:type="spellEnd"/>
            <w:r w:rsidR="00D23CDE">
              <w:rPr>
                <w:rFonts w:ascii="Arial" w:hAnsi="Arial" w:cs="Arial"/>
                <w:b/>
                <w:bCs/>
                <w:sz w:val="22"/>
                <w:szCs w:val="22"/>
                <w:lang w:val="hu"/>
              </w:rPr>
              <w:t xml:space="preserve"> típusú </w:t>
            </w:r>
            <w:r w:rsidRPr="00AD4FE0">
              <w:rPr>
                <w:rFonts w:ascii="Arial" w:hAnsi="Arial" w:cs="Arial"/>
                <w:b/>
                <w:bCs/>
                <w:sz w:val="22"/>
                <w:szCs w:val="22"/>
                <w:lang w:val="hu"/>
              </w:rPr>
              <w:t>rendszerek</w:t>
            </w:r>
          </w:p>
        </w:tc>
      </w:tr>
      <w:tr w:rsidR="008C55EB" w:rsidRPr="00AD4FE0" w14:paraId="26940190" w14:textId="77777777" w:rsidTr="00992661">
        <w:tc>
          <w:tcPr>
            <w:tcW w:w="2748" w:type="dxa"/>
            <w:shd w:val="clear" w:color="auto" w:fill="auto"/>
          </w:tcPr>
          <w:p w14:paraId="0AFDE0E2" w14:textId="77777777" w:rsidR="00992661" w:rsidRPr="00AD4FE0" w:rsidRDefault="00992661" w:rsidP="004E2A75">
            <w:pPr>
              <w:pStyle w:val="Paragraph"/>
              <w:spacing w:before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2) Elszámolás a megfelelő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-rendszerekben (bruttó)</w:t>
            </w:r>
          </w:p>
        </w:tc>
        <w:tc>
          <w:tcPr>
            <w:tcW w:w="6312" w:type="dxa"/>
            <w:shd w:val="clear" w:color="auto" w:fill="auto"/>
          </w:tcPr>
          <w:p w14:paraId="48A8F34D" w14:textId="77777777" w:rsidR="00992661" w:rsidRPr="00AD4FE0" w:rsidRDefault="00992661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Azok az összegek, amelyeket bruttó alapon számolnak el a megfelelő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-rendszerekben (pl.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CLS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-elszámolás). Az érték nettósítás előtti érték.</w:t>
            </w:r>
          </w:p>
          <w:p w14:paraId="148AA977" w14:textId="41473BB1" w:rsidR="00992661" w:rsidRPr="00AD4FE0" w:rsidRDefault="00992661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Megjegyzés: A „megfelelő”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-rendszer az a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-rendszer, amelynek az Ön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cége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(mint a </w:t>
            </w:r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 xml:space="preserve">Jelentő </w:t>
            </w:r>
            <w:proofErr w:type="spellStart"/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>dealer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) közvetett vagy közvetlen tagja.</w:t>
            </w:r>
          </w:p>
        </w:tc>
      </w:tr>
      <w:tr w:rsidR="008C55EB" w:rsidRPr="00AD4FE0" w14:paraId="60676E03" w14:textId="77777777" w:rsidTr="00AA002B">
        <w:tc>
          <w:tcPr>
            <w:tcW w:w="9060" w:type="dxa"/>
            <w:gridSpan w:val="2"/>
            <w:shd w:val="clear" w:color="auto" w:fill="auto"/>
          </w:tcPr>
          <w:p w14:paraId="170CC828" w14:textId="77777777" w:rsidR="00C612A5" w:rsidRPr="00AD4FE0" w:rsidRDefault="00C612A5" w:rsidP="004E2A75">
            <w:pPr>
              <w:pStyle w:val="Paragraph"/>
              <w:spacing w:before="12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FE0">
              <w:rPr>
                <w:rFonts w:ascii="Arial" w:hAnsi="Arial" w:cs="Arial"/>
                <w:b/>
                <w:bCs/>
                <w:sz w:val="22"/>
                <w:szCs w:val="22"/>
                <w:lang w:val="hu"/>
              </w:rPr>
              <w:t>C szakasz – Külső elszámolási módszerek</w:t>
            </w:r>
          </w:p>
        </w:tc>
      </w:tr>
      <w:tr w:rsidR="008C55EB" w:rsidRPr="00AD4FE0" w14:paraId="44EC37DA" w14:textId="77777777" w:rsidTr="00992661">
        <w:tc>
          <w:tcPr>
            <w:tcW w:w="2748" w:type="dxa"/>
            <w:shd w:val="clear" w:color="auto" w:fill="auto"/>
          </w:tcPr>
          <w:p w14:paraId="7AF44DDD" w14:textId="77777777" w:rsidR="00992661" w:rsidRPr="00AD4FE0" w:rsidRDefault="00C612A5" w:rsidP="004E2A75">
            <w:pPr>
              <w:pStyle w:val="Paragraph"/>
              <w:spacing w:before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3) Nettósításhoz kötött elszámolás (bruttó)</w:t>
            </w:r>
          </w:p>
        </w:tc>
        <w:tc>
          <w:tcPr>
            <w:tcW w:w="6312" w:type="dxa"/>
            <w:shd w:val="clear" w:color="auto" w:fill="auto"/>
          </w:tcPr>
          <w:p w14:paraId="095C2341" w14:textId="77777777" w:rsidR="00C612A5" w:rsidRPr="00AD4FE0" w:rsidRDefault="00C612A5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Bruttó érték, amelyet legalább kétszeri fizetéssel kell kiegyenlíteni, és amelyet, ezt követően, külső kétoldalú nettósításnak vetnek alá, mielőtt nettósításra kerülne sor.</w:t>
            </w:r>
          </w:p>
          <w:p w14:paraId="2EC133C7" w14:textId="77777777" w:rsidR="00992661" w:rsidRPr="00AD4FE0" w:rsidRDefault="00C612A5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Megjegyzés: Ez a kategória csak azokat a kereskedéseket tartalmazza, amelyekre külső kétoldalú nettósítás vonatkozik. </w:t>
            </w: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lastRenderedPageBreak/>
              <w:t>A bruttó alapon elszámolt tranzakciókat a D vagy az E szakaszban kell jelenteni.</w:t>
            </w:r>
          </w:p>
        </w:tc>
      </w:tr>
      <w:tr w:rsidR="008C55EB" w:rsidRPr="00AD4FE0" w14:paraId="3491BBB4" w14:textId="77777777" w:rsidTr="00992661">
        <w:tc>
          <w:tcPr>
            <w:tcW w:w="2748" w:type="dxa"/>
            <w:shd w:val="clear" w:color="auto" w:fill="auto"/>
          </w:tcPr>
          <w:p w14:paraId="352788E0" w14:textId="77777777" w:rsidR="00992661" w:rsidRPr="00AD4FE0" w:rsidRDefault="00323128" w:rsidP="004E2A75">
            <w:pPr>
              <w:pStyle w:val="Paragraph"/>
              <w:spacing w:before="120"/>
              <w:ind w:left="454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lastRenderedPageBreak/>
              <w:t>a) o/w nettó összeg (nettósítás utáni érték)</w:t>
            </w:r>
          </w:p>
        </w:tc>
        <w:tc>
          <w:tcPr>
            <w:tcW w:w="6312" w:type="dxa"/>
            <w:shd w:val="clear" w:color="auto" w:fill="auto"/>
          </w:tcPr>
          <w:p w14:paraId="48BADBAE" w14:textId="77777777" w:rsidR="00323128" w:rsidRPr="00AD4FE0" w:rsidRDefault="00323128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A (3) pont szerint jelentett, kétoldalúan nettósított szerződések értéke, amelyet nettósítás után kell elszámolni.</w:t>
            </w:r>
          </w:p>
          <w:p w14:paraId="438A880A" w14:textId="77777777" w:rsidR="00992661" w:rsidRPr="00AD4FE0" w:rsidRDefault="00B05E6A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Megjegyzés: Csak a teljes nettó fizetendő összeget kell megadni minden szerződő félre vonatkozóan.</w:t>
            </w:r>
          </w:p>
        </w:tc>
      </w:tr>
      <w:tr w:rsidR="008C55EB" w:rsidRPr="00AD4FE0" w14:paraId="4334F04C" w14:textId="77777777" w:rsidTr="006513C8">
        <w:tc>
          <w:tcPr>
            <w:tcW w:w="9060" w:type="dxa"/>
            <w:gridSpan w:val="2"/>
            <w:shd w:val="clear" w:color="auto" w:fill="auto"/>
          </w:tcPr>
          <w:p w14:paraId="55DABA96" w14:textId="77777777" w:rsidR="00400A22" w:rsidRPr="00AD4FE0" w:rsidRDefault="00400A22" w:rsidP="004E2A75">
            <w:pPr>
              <w:pStyle w:val="Paragraph"/>
              <w:spacing w:before="12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FE0">
              <w:rPr>
                <w:rFonts w:ascii="Arial" w:hAnsi="Arial" w:cs="Arial"/>
                <w:b/>
                <w:bCs/>
                <w:sz w:val="22"/>
                <w:szCs w:val="22"/>
                <w:lang w:val="hu"/>
              </w:rPr>
              <w:t>D szakasz – Belső elszámolási módszerek</w:t>
            </w:r>
          </w:p>
        </w:tc>
      </w:tr>
      <w:tr w:rsidR="008C55EB" w:rsidRPr="00AD4FE0" w14:paraId="25E0713F" w14:textId="77777777" w:rsidTr="00992661">
        <w:tc>
          <w:tcPr>
            <w:tcW w:w="2748" w:type="dxa"/>
            <w:shd w:val="clear" w:color="auto" w:fill="auto"/>
          </w:tcPr>
          <w:p w14:paraId="60F36B59" w14:textId="77777777" w:rsidR="00992661" w:rsidRPr="00AD4FE0" w:rsidRDefault="00400A22" w:rsidP="004E2A75">
            <w:pPr>
              <w:pStyle w:val="Paragraph"/>
              <w:spacing w:before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4) Belső elszámolású bruttó összegek</w:t>
            </w:r>
          </w:p>
        </w:tc>
        <w:tc>
          <w:tcPr>
            <w:tcW w:w="6312" w:type="dxa"/>
            <w:shd w:val="clear" w:color="auto" w:fill="auto"/>
          </w:tcPr>
          <w:p w14:paraId="756A2A11" w14:textId="77777777" w:rsidR="00400A22" w:rsidRPr="00AD4FE0" w:rsidRDefault="00400A22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Két, egymással megegyező fizetési kötelezettség, amelyeket belső elszámolással rendeznek. </w:t>
            </w:r>
          </w:p>
          <w:p w14:paraId="04DCCE3B" w14:textId="77777777" w:rsidR="00992661" w:rsidRPr="00AD4FE0" w:rsidRDefault="00400A22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Megjegyzés: A belső elszámolással rendezett összegek (4) bruttó értékének várhatóan meg kell egyeznie a későbbi o/w szakaszok összegével (4 = 4a + 4b + 4c).</w:t>
            </w:r>
          </w:p>
        </w:tc>
      </w:tr>
      <w:tr w:rsidR="008C55EB" w:rsidRPr="00AD4FE0" w14:paraId="7A4C745A" w14:textId="77777777" w:rsidTr="00992661">
        <w:tc>
          <w:tcPr>
            <w:tcW w:w="2748" w:type="dxa"/>
            <w:shd w:val="clear" w:color="auto" w:fill="auto"/>
          </w:tcPr>
          <w:p w14:paraId="2E654020" w14:textId="77777777" w:rsidR="00992661" w:rsidRPr="00AD4FE0" w:rsidRDefault="00400A22" w:rsidP="004E2A75">
            <w:pPr>
              <w:pStyle w:val="Paragraph"/>
              <w:spacing w:before="120"/>
              <w:ind w:left="454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a) o/w bankfiókok közötti elszámolás (bruttó)</w:t>
            </w:r>
          </w:p>
        </w:tc>
        <w:tc>
          <w:tcPr>
            <w:tcW w:w="6312" w:type="dxa"/>
            <w:shd w:val="clear" w:color="auto" w:fill="auto"/>
          </w:tcPr>
          <w:p w14:paraId="7D59D4FA" w14:textId="77777777" w:rsidR="00992661" w:rsidRPr="00AD4FE0" w:rsidRDefault="00A123AF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Ugyanazon jogi személy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fióktelepei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között átruházott fizetési kötelezettségek</w:t>
            </w:r>
          </w:p>
        </w:tc>
      </w:tr>
      <w:tr w:rsidR="008C55EB" w:rsidRPr="00AD4FE0" w14:paraId="5EC22452" w14:textId="77777777" w:rsidTr="00992661">
        <w:tc>
          <w:tcPr>
            <w:tcW w:w="2748" w:type="dxa"/>
            <w:shd w:val="clear" w:color="auto" w:fill="auto"/>
          </w:tcPr>
          <w:p w14:paraId="62189282" w14:textId="77777777" w:rsidR="00A123AF" w:rsidRPr="00AD4FE0" w:rsidRDefault="00A123AF" w:rsidP="004E2A75">
            <w:pPr>
              <w:pStyle w:val="Paragraph"/>
              <w:spacing w:before="120"/>
              <w:ind w:left="454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b) o/w kapcsolt vállalkozások közötti elszámolás (bruttó)</w:t>
            </w:r>
          </w:p>
        </w:tc>
        <w:tc>
          <w:tcPr>
            <w:tcW w:w="6312" w:type="dxa"/>
            <w:shd w:val="clear" w:color="auto" w:fill="auto"/>
          </w:tcPr>
          <w:p w14:paraId="63B98221" w14:textId="2D5BA6E8" w:rsidR="00A123AF" w:rsidRPr="00AD4FE0" w:rsidRDefault="00A123AF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A </w:t>
            </w:r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 xml:space="preserve">jelentő </w:t>
            </w:r>
            <w:proofErr w:type="spellStart"/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>dealer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két leányvállalata vagy kapcsolt vállalkozása között (azaz ugyanazon bankcsoporton belül) rendezett fizetési kötelezettségek.</w:t>
            </w:r>
          </w:p>
        </w:tc>
      </w:tr>
      <w:tr w:rsidR="008C55EB" w:rsidRPr="00AD4FE0" w14:paraId="1B49C3F6" w14:textId="77777777" w:rsidTr="00992661">
        <w:tc>
          <w:tcPr>
            <w:tcW w:w="2748" w:type="dxa"/>
            <w:shd w:val="clear" w:color="auto" w:fill="auto"/>
          </w:tcPr>
          <w:p w14:paraId="58F8530D" w14:textId="2B2D4BC4" w:rsidR="00A123AF" w:rsidRPr="00AD4FE0" w:rsidRDefault="00A123AF" w:rsidP="004E2A75">
            <w:pPr>
              <w:pStyle w:val="Paragraph"/>
              <w:spacing w:before="120"/>
              <w:ind w:left="454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c) o/w összegek, amelyeket olyan bankszámlákon egyenlítenek ki, ahol a </w:t>
            </w:r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 xml:space="preserve">jelentő </w:t>
            </w:r>
            <w:proofErr w:type="spellStart"/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>dealer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közvetlen ellenőrzést gyakorol a (bruttó) elszámolás időpontjának meghatározása felett</w:t>
            </w:r>
          </w:p>
        </w:tc>
        <w:tc>
          <w:tcPr>
            <w:tcW w:w="6312" w:type="dxa"/>
            <w:shd w:val="clear" w:color="auto" w:fill="auto"/>
          </w:tcPr>
          <w:p w14:paraId="4996FDD4" w14:textId="2EC323AB" w:rsidR="00D01A0C" w:rsidRPr="00AD4FE0" w:rsidRDefault="00A123AF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Olyan, nem kapcsolt vállalkozások vagy nem fióktársaságok közötti ügyletek, ahol a bankszámlákon történő elszámolásra teljes mértékben a </w:t>
            </w:r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 xml:space="preserve">jelentő </w:t>
            </w:r>
            <w:proofErr w:type="spellStart"/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>dealer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ellenőrzése szerinti időpontban kerül sor. Ezek olyan ügyletek egy külső szerződő féllel, ahol a </w:t>
            </w:r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 xml:space="preserve">jelentő </w:t>
            </w:r>
            <w:proofErr w:type="spellStart"/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>dealer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belső kockázatcsökkentő mechanizmusokat alkalmaz annak biztosítására, hogy a fizetések </w:t>
            </w:r>
            <w:proofErr w:type="gram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egyidejűleg</w:t>
            </w:r>
            <w:proofErr w:type="gram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vagy csak az ügylet bejövő lábának beérkezése után történjenek.</w:t>
            </w:r>
          </w:p>
          <w:p w14:paraId="40947B44" w14:textId="4825AC89" w:rsidR="00A123AF" w:rsidRPr="00AD4FE0" w:rsidRDefault="00D01A0C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Ilyenek például azok az esetek, amikor </w:t>
            </w:r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 xml:space="preserve">jelentő </w:t>
            </w:r>
            <w:proofErr w:type="spellStart"/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>dealer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a szerződő fél kifizetője, és közvetlen ellenőrzést gyakorol a szerződő fél számlája felett; vagy amikor a </w:t>
            </w:r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 xml:space="preserve">jelentő </w:t>
            </w:r>
            <w:proofErr w:type="spellStart"/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>dealer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úgy csökkenti a devizaelszámolási kockázatot, hogy mindaddig visszatartja a kimenő kifizetést, amíg a neki járó pénzösszeg meg nem érkezik.</w:t>
            </w:r>
          </w:p>
        </w:tc>
      </w:tr>
      <w:tr w:rsidR="008C55EB" w:rsidRPr="00AD4FE0" w14:paraId="36A358D0" w14:textId="77777777" w:rsidTr="00714A7D">
        <w:tc>
          <w:tcPr>
            <w:tcW w:w="9060" w:type="dxa"/>
            <w:gridSpan w:val="2"/>
            <w:shd w:val="clear" w:color="auto" w:fill="auto"/>
          </w:tcPr>
          <w:p w14:paraId="77EF6930" w14:textId="77777777" w:rsidR="00A123AF" w:rsidRPr="00AD4FE0" w:rsidRDefault="00A123AF" w:rsidP="004E2A75">
            <w:pPr>
              <w:pStyle w:val="Paragraph"/>
              <w:spacing w:before="12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FE0">
              <w:rPr>
                <w:rFonts w:ascii="Arial" w:hAnsi="Arial" w:cs="Arial"/>
                <w:b/>
                <w:bCs/>
                <w:sz w:val="22"/>
                <w:szCs w:val="22"/>
                <w:lang w:val="hu"/>
              </w:rPr>
              <w:t>E szakasz – Bruttó elszámolás</w:t>
            </w:r>
          </w:p>
        </w:tc>
      </w:tr>
      <w:tr w:rsidR="008C55EB" w:rsidRPr="00AD4FE0" w14:paraId="21412F1F" w14:textId="77777777" w:rsidTr="00992661">
        <w:tc>
          <w:tcPr>
            <w:tcW w:w="2748" w:type="dxa"/>
            <w:shd w:val="clear" w:color="auto" w:fill="auto"/>
          </w:tcPr>
          <w:p w14:paraId="3392FF80" w14:textId="77777777" w:rsidR="00A123AF" w:rsidRPr="00AD4FE0" w:rsidRDefault="00A123AF" w:rsidP="004E2A75">
            <w:pPr>
              <w:pStyle w:val="Paragraph"/>
              <w:spacing w:before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lastRenderedPageBreak/>
              <w:t>5) Bruttó, kétoldalú alapon elszámolt ügyletek [bruttó]</w:t>
            </w:r>
          </w:p>
        </w:tc>
        <w:tc>
          <w:tcPr>
            <w:tcW w:w="6312" w:type="dxa"/>
            <w:shd w:val="clear" w:color="auto" w:fill="auto"/>
          </w:tcPr>
          <w:p w14:paraId="2960A678" w14:textId="77777777" w:rsidR="00A123AF" w:rsidRPr="00AD4FE0" w:rsidRDefault="00A123AF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Teljes bruttó összeg, amelyet egy megfelelő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-rendszeren kívül (B szakasz), és nem valamely elszámolási módszerrel (C vagy D szakasz) teljesítettek.</w:t>
            </w:r>
          </w:p>
          <w:p w14:paraId="7BDF22AE" w14:textId="77777777" w:rsidR="00A123AF" w:rsidRPr="00AD4FE0" w:rsidRDefault="00A123AF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Az (5) bruttó értékének várhatóan meg kell egyeznie a rákövetkező bruttó szakaszok összegével (5 = 5a + 5b).</w:t>
            </w:r>
          </w:p>
          <w:p w14:paraId="3A426C4A" w14:textId="321853EB" w:rsidR="00A123AF" w:rsidRPr="00AD4FE0" w:rsidRDefault="00A123AF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Megjegyzés: A megfelelő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-rendszer az a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-rendszer, amelyben az Ön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cége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(mint a </w:t>
            </w:r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 xml:space="preserve">Jelentő </w:t>
            </w:r>
            <w:proofErr w:type="spellStart"/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>dealer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) közvetett vagy közvetlen tag.</w:t>
            </w:r>
          </w:p>
        </w:tc>
      </w:tr>
      <w:tr w:rsidR="008C55EB" w:rsidRPr="00AD4FE0" w14:paraId="5968A9B3" w14:textId="77777777" w:rsidTr="00992661">
        <w:tc>
          <w:tcPr>
            <w:tcW w:w="2748" w:type="dxa"/>
            <w:shd w:val="clear" w:color="auto" w:fill="auto"/>
          </w:tcPr>
          <w:p w14:paraId="5CB982BD" w14:textId="77777777" w:rsidR="00A123AF" w:rsidRPr="00AD4FE0" w:rsidRDefault="005F1DD7" w:rsidP="004E2A75">
            <w:pPr>
              <w:pStyle w:val="Paragraph"/>
              <w:spacing w:before="120"/>
              <w:ind w:left="454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a) o/w ügyletek, amelyek alkalmasak a megfelelő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-rendszerekben történő kiegyenlítésre, amelyeket azonban bruttó, kétoldalú alapon (bruttó) számolnak el.</w:t>
            </w:r>
          </w:p>
        </w:tc>
        <w:tc>
          <w:tcPr>
            <w:tcW w:w="6312" w:type="dxa"/>
            <w:shd w:val="clear" w:color="auto" w:fill="auto"/>
          </w:tcPr>
          <w:p w14:paraId="53D97BA1" w14:textId="77777777" w:rsidR="00A123AF" w:rsidRPr="00AD4FE0" w:rsidRDefault="005F1DD7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Az ügyleteket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-képes devizapárban, vagy termékben, és olyan szerződő féllel kell megkötni, aki közvetlen vagy közvetett tagja a megfelelő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-rendszernek.</w:t>
            </w:r>
          </w:p>
        </w:tc>
      </w:tr>
      <w:tr w:rsidR="008C55EB" w:rsidRPr="00AD4FE0" w14:paraId="2EF1FC1D" w14:textId="77777777" w:rsidTr="00992661">
        <w:tc>
          <w:tcPr>
            <w:tcW w:w="2748" w:type="dxa"/>
            <w:shd w:val="clear" w:color="auto" w:fill="auto"/>
          </w:tcPr>
          <w:p w14:paraId="1F432C8B" w14:textId="77777777" w:rsidR="005F1DD7" w:rsidRPr="00AD4FE0" w:rsidRDefault="005F1DD7" w:rsidP="004E2A75">
            <w:pPr>
              <w:pStyle w:val="Paragraph"/>
              <w:spacing w:before="120"/>
              <w:ind w:left="454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b) o/w ügyletek, amelyek nem alkalmasak egy megfelelő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-rendszerben történő elszámolásra, és amelyeket bruttó, kétoldalú alapon (bruttó) számolnak el.</w:t>
            </w:r>
          </w:p>
        </w:tc>
        <w:tc>
          <w:tcPr>
            <w:tcW w:w="6312" w:type="dxa"/>
            <w:shd w:val="clear" w:color="auto" w:fill="auto"/>
          </w:tcPr>
          <w:p w14:paraId="6F109547" w14:textId="77777777" w:rsidR="005F1DD7" w:rsidRPr="00AD4FE0" w:rsidRDefault="005F1DD7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Bruttó összeg, amely nem számolható el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-rendszerben. </w:t>
            </w:r>
          </w:p>
          <w:p w14:paraId="6A3BBB41" w14:textId="77777777" w:rsidR="005F1DD7" w:rsidRPr="00AD4FE0" w:rsidRDefault="005F1DD7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Megjegyzés: Az 5(b) pontnak azoknak az elszámolt ügyleteknek a valós értékét kell tükröznie, amelyek nem alkalmasak a megfelelő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-rendszerekben történő elszámolásra. </w:t>
            </w:r>
          </w:p>
          <w:p w14:paraId="108B8D33" w14:textId="77777777" w:rsidR="005F1DD7" w:rsidRPr="00AD4FE0" w:rsidRDefault="005F1DD7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Az 5. szakasz b) (i-iii) pontjai nem zárják ki kölcsönösen egymást. Az ügyleteket ezért, adott esetben, külön-külön, az (i–iii) szakaszokban lehet és kell jelenteni úgy, hogy az 5b(i) + 5b(ii) + 5b(iii) ne legyen egyenlő az 5b-vel.</w:t>
            </w:r>
          </w:p>
          <w:p w14:paraId="54B4962C" w14:textId="77777777" w:rsidR="005F1DD7" w:rsidRPr="00AD4FE0" w:rsidRDefault="005F1DD7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Például egy olyan szerződő féllel kötött, napon belüli USD/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CNH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kereskedést az 5bi és az 5bii alatt kell rögzíteni, aki a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CLS-nek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közvetlen tagja.</w:t>
            </w:r>
          </w:p>
        </w:tc>
      </w:tr>
      <w:tr w:rsidR="008C55EB" w:rsidRPr="00AD4FE0" w14:paraId="3640F77A" w14:textId="77777777" w:rsidTr="00992661">
        <w:tc>
          <w:tcPr>
            <w:tcW w:w="2748" w:type="dxa"/>
            <w:shd w:val="clear" w:color="auto" w:fill="auto"/>
          </w:tcPr>
          <w:p w14:paraId="1461AE1E" w14:textId="77777777" w:rsidR="005F1DD7" w:rsidRPr="00AD4FE0" w:rsidRDefault="005F1DD7" w:rsidP="004E2A75">
            <w:pPr>
              <w:pStyle w:val="Paragraph"/>
              <w:spacing w:before="120"/>
              <w:ind w:left="738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i) o/w devizapár, amely nem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-képes (bruttó)</w:t>
            </w:r>
          </w:p>
        </w:tc>
        <w:tc>
          <w:tcPr>
            <w:tcW w:w="6312" w:type="dxa"/>
            <w:shd w:val="clear" w:color="auto" w:fill="auto"/>
          </w:tcPr>
          <w:p w14:paraId="0261769D" w14:textId="77777777" w:rsidR="005F1DD7" w:rsidRPr="00AD4FE0" w:rsidRDefault="005F1DD7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A tranzakcióban olyan devizapár szerepelt, amely nem volt kiegyenlíthető a megfelelő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-rendszerekben (azaz olyan rendszerekben, amelyeknek az Ön intézménye is tagja)</w:t>
            </w:r>
          </w:p>
          <w:p w14:paraId="701023F9" w14:textId="77777777" w:rsidR="005F1DD7" w:rsidRPr="00AD4FE0" w:rsidRDefault="005F1DD7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Megjegyzés: Az 5. szakasz b) (i-iii) pontjai nem zárják ki kölcsönösen egymást. Az ügyleteket ezért, adott esetben, </w:t>
            </w: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lastRenderedPageBreak/>
              <w:t>külön-külön, az (i–iii) szakaszokban lehet és kell jelenteni úgy, hogy az 5b(i) + 5b(ii) + 5b(iii) ne legyen egyenlő az 5b-vel.</w:t>
            </w:r>
          </w:p>
        </w:tc>
      </w:tr>
      <w:tr w:rsidR="008C55EB" w:rsidRPr="00AD4FE0" w14:paraId="13EF054B" w14:textId="77777777" w:rsidTr="00992661">
        <w:tc>
          <w:tcPr>
            <w:tcW w:w="2748" w:type="dxa"/>
            <w:shd w:val="clear" w:color="auto" w:fill="auto"/>
          </w:tcPr>
          <w:p w14:paraId="7562E300" w14:textId="77777777" w:rsidR="005F1DD7" w:rsidRPr="00AD4FE0" w:rsidRDefault="005F1DD7" w:rsidP="004E2A75">
            <w:pPr>
              <w:pStyle w:val="Paragraph"/>
              <w:spacing w:before="120"/>
              <w:ind w:left="738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lastRenderedPageBreak/>
              <w:t>ii)</w:t>
            </w: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ab/>
              <w:t xml:space="preserve">o/w kereskedéstípus, amelyik nem alkalmas a megfelelő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-rendszerekben történő elszámolásra (bruttó)</w:t>
            </w:r>
          </w:p>
        </w:tc>
        <w:tc>
          <w:tcPr>
            <w:tcW w:w="6312" w:type="dxa"/>
            <w:shd w:val="clear" w:color="auto" w:fill="auto"/>
          </w:tcPr>
          <w:p w14:paraId="6DAB757A" w14:textId="77777777" w:rsidR="005F1DD7" w:rsidRPr="00AD4FE0" w:rsidRDefault="005F1DD7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A szakasz azokat a napon belüli elszámolású ügyleteket tartalmazza, amelyek nem alkalmasak a megfelelő rendszerekben történő elszámolásra. Nem tartozik ide a devizapárok rendszeralkalmatlansága, amellyel az 5b(i) foglalkozik.</w:t>
            </w:r>
          </w:p>
          <w:p w14:paraId="65C6BA89" w14:textId="77777777" w:rsidR="005F1DD7" w:rsidRPr="00AD4FE0" w:rsidRDefault="005F1DD7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Megjegyzés: Az 5. szakasz b) (i-iii) pontjai nem zárják ki kölcsönösen egymást. Az ügyleteket ezért, adott esetben, külön-külön, az (i–iii) szakaszokban lehet és kell jelenteni úgy, hogy az 5b(i) + 5b(ii) + 5b(iii) ne legyen egyenlő az 5b-vel.</w:t>
            </w:r>
          </w:p>
        </w:tc>
      </w:tr>
      <w:tr w:rsidR="00AD4FE0" w:rsidRPr="00AD4FE0" w14:paraId="3AC7BA59" w14:textId="77777777" w:rsidTr="00992661">
        <w:tc>
          <w:tcPr>
            <w:tcW w:w="2748" w:type="dxa"/>
            <w:shd w:val="clear" w:color="auto" w:fill="auto"/>
          </w:tcPr>
          <w:p w14:paraId="53AADAD2" w14:textId="77777777" w:rsidR="005F1DD7" w:rsidRPr="00AD4FE0" w:rsidRDefault="005F1DD7" w:rsidP="004E2A75">
            <w:pPr>
              <w:pStyle w:val="Paragraph"/>
              <w:spacing w:before="120"/>
              <w:ind w:left="738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iii) o/w szerződő fél nem tagja (sem közvetve, sem közvetlenül) a megfelelő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-rendszereknek (bruttó)</w:t>
            </w:r>
          </w:p>
        </w:tc>
        <w:tc>
          <w:tcPr>
            <w:tcW w:w="6312" w:type="dxa"/>
            <w:shd w:val="clear" w:color="auto" w:fill="auto"/>
          </w:tcPr>
          <w:p w14:paraId="5C999C8E" w14:textId="51FBE91F" w:rsidR="005F1DD7" w:rsidRPr="00AD4FE0" w:rsidRDefault="005F1DD7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A szerződő fél nem tagja annak a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-rendszereknek, amelyekben az Ön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cége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(mint a </w:t>
            </w:r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 xml:space="preserve">Jelentő </w:t>
            </w:r>
            <w:proofErr w:type="spellStart"/>
            <w:r w:rsidR="0095619F">
              <w:rPr>
                <w:rFonts w:ascii="Arial" w:hAnsi="Arial" w:cs="Arial"/>
                <w:sz w:val="22"/>
                <w:szCs w:val="22"/>
                <w:lang w:val="hu"/>
              </w:rPr>
              <w:t>dealer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) – közvetve vagy közvetlenül – elszámolási tag.</w:t>
            </w:r>
          </w:p>
          <w:p w14:paraId="0C17CD81" w14:textId="77777777" w:rsidR="005F1DD7" w:rsidRPr="00AD4FE0" w:rsidRDefault="005F1DD7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Megjegyzés: Az 5. szakasz b) (i-iii) pontjai nem zárják ki kölcsönösen egymást. Az ügyleteket ezért, adott esetben, külön-külön, az (i–iii) szakaszokban lehet és kell jelenteni úgy, hogy az 5b(i) + 5b(ii) + 5b(iii) ne legyen egyenlő az 5b-vel.</w:t>
            </w:r>
          </w:p>
          <w:p w14:paraId="08338025" w14:textId="77777777" w:rsidR="005F1DD7" w:rsidRPr="00AD4FE0" w:rsidRDefault="005F1DD7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Megjegyzés: Kérjük, a lehető legpontosabban töltsék ki ezt a részt. Tüntessék fel azokat a kereskedéseket, amelyek esetében: i) tudják, hogy a szerződő fél nem tagja a vonatkozó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-rendszereknek, és/vagy ii) az Önök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cége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 nem kötött megállapodást a szerződő féllel a vonatkozó </w:t>
            </w:r>
            <w:proofErr w:type="spellStart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PvP</w:t>
            </w:r>
            <w:proofErr w:type="spellEnd"/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-rendszerben történő elszámolásra.</w:t>
            </w:r>
          </w:p>
        </w:tc>
      </w:tr>
    </w:tbl>
    <w:p w14:paraId="1B44B6EF" w14:textId="77777777" w:rsidR="00D23FBD" w:rsidRPr="00AD4FE0" w:rsidRDefault="00D23FBD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</w:p>
    <w:p w14:paraId="362AB70E" w14:textId="77777777" w:rsidR="0043358A" w:rsidRPr="00AD4FE0" w:rsidRDefault="0043358A" w:rsidP="0002287E">
      <w:pPr>
        <w:pStyle w:val="Heading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34" w:name="_Toc170990780"/>
      <w:r w:rsidRPr="00AD4FE0">
        <w:rPr>
          <w:rFonts w:ascii="Arial" w:hAnsi="Arial" w:cs="Arial"/>
          <w:b/>
          <w:bCs/>
          <w:color w:val="auto"/>
          <w:sz w:val="22"/>
          <w:szCs w:val="22"/>
          <w:lang w:val="hu"/>
        </w:rPr>
        <w:t>2. táblázat: Sikertelen kereskedések áprilisban</w:t>
      </w:r>
      <w:bookmarkEnd w:id="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312"/>
      </w:tblGrid>
      <w:tr w:rsidR="008C55EB" w:rsidRPr="00AD4FE0" w14:paraId="26D85746" w14:textId="77777777" w:rsidTr="00D23FBD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71D3" w14:textId="77777777" w:rsidR="00D23FBD" w:rsidRPr="00AD4FE0" w:rsidRDefault="00D23FBD" w:rsidP="004E2A75">
            <w:pPr>
              <w:pStyle w:val="Paragraph"/>
              <w:spacing w:before="120"/>
              <w:ind w:left="738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Tétel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680B" w14:textId="77777777" w:rsidR="00D23FBD" w:rsidRPr="00AD4FE0" w:rsidRDefault="00D23FBD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>Megnevezés</w:t>
            </w:r>
          </w:p>
        </w:tc>
      </w:tr>
      <w:tr w:rsidR="008C55EB" w:rsidRPr="00AD4FE0" w14:paraId="06012761" w14:textId="77777777" w:rsidTr="00456986">
        <w:tc>
          <w:tcPr>
            <w:tcW w:w="9060" w:type="dxa"/>
            <w:gridSpan w:val="2"/>
            <w:shd w:val="clear" w:color="auto" w:fill="auto"/>
          </w:tcPr>
          <w:p w14:paraId="5498D3C6" w14:textId="2068246C" w:rsidR="00D23FBD" w:rsidRPr="00AD4FE0" w:rsidRDefault="00D23FBD" w:rsidP="004E2A75">
            <w:pPr>
              <w:pStyle w:val="Paragraph"/>
              <w:spacing w:before="12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FE0">
              <w:rPr>
                <w:rFonts w:ascii="Arial" w:hAnsi="Arial" w:cs="Arial"/>
                <w:b/>
                <w:bCs/>
                <w:sz w:val="22"/>
                <w:szCs w:val="22"/>
                <w:lang w:val="hu"/>
              </w:rPr>
              <w:t xml:space="preserve">F szakasz – Sikertelen </w:t>
            </w:r>
            <w:r w:rsidR="00D23CDE">
              <w:rPr>
                <w:rFonts w:ascii="Arial" w:hAnsi="Arial" w:cs="Arial"/>
                <w:b/>
                <w:bCs/>
                <w:sz w:val="22"/>
                <w:szCs w:val="22"/>
                <w:lang w:val="hu"/>
              </w:rPr>
              <w:t xml:space="preserve">(meghiúsult) </w:t>
            </w:r>
            <w:r w:rsidRPr="00AD4FE0">
              <w:rPr>
                <w:rFonts w:ascii="Arial" w:hAnsi="Arial" w:cs="Arial"/>
                <w:b/>
                <w:bCs/>
                <w:sz w:val="22"/>
                <w:szCs w:val="22"/>
                <w:lang w:val="hu"/>
              </w:rPr>
              <w:t>kereskedések</w:t>
            </w:r>
          </w:p>
        </w:tc>
      </w:tr>
      <w:tr w:rsidR="00AD4FE0" w:rsidRPr="00AD4FE0" w14:paraId="141574ED" w14:textId="77777777" w:rsidTr="00456986">
        <w:tc>
          <w:tcPr>
            <w:tcW w:w="2748" w:type="dxa"/>
            <w:shd w:val="clear" w:color="auto" w:fill="auto"/>
          </w:tcPr>
          <w:p w14:paraId="75505C8C" w14:textId="77777777" w:rsidR="00D23FBD" w:rsidRPr="00AD4FE0" w:rsidRDefault="0043358A" w:rsidP="004E2A75">
            <w:pPr>
              <w:pStyle w:val="Paragraph"/>
              <w:spacing w:before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t xml:space="preserve">1) Azok a kereskedések, amelyek elszámolásának eredeti dátuma a jelentéstételi időszakban volt, de amelyeket nem sikerült kiegyenlíteni a </w:t>
            </w: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lastRenderedPageBreak/>
              <w:t>jelentéstételi időszakban (bruttó)</w:t>
            </w:r>
          </w:p>
        </w:tc>
        <w:tc>
          <w:tcPr>
            <w:tcW w:w="6312" w:type="dxa"/>
            <w:shd w:val="clear" w:color="auto" w:fill="auto"/>
          </w:tcPr>
          <w:p w14:paraId="26FB5C6C" w14:textId="77777777" w:rsidR="00D23FBD" w:rsidRPr="00AD4FE0" w:rsidRDefault="00D23FBD" w:rsidP="0002287E">
            <w:pPr>
              <w:pStyle w:val="Paragraph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FE0">
              <w:rPr>
                <w:rFonts w:ascii="Arial" w:hAnsi="Arial" w:cs="Arial"/>
                <w:sz w:val="22"/>
                <w:szCs w:val="22"/>
                <w:lang w:val="hu"/>
              </w:rPr>
              <w:lastRenderedPageBreak/>
              <w:t>Bármely olyan ügylet, amelyet eredetileg a jelentéstételi időszak alatt kellett volna elszámolni, de ez nem sikerült (például működési problémák miatt). Kizárólag a jelentéstételi időszak végén még nyitott kötésállományokat kell idesorolni.</w:t>
            </w:r>
          </w:p>
        </w:tc>
      </w:tr>
    </w:tbl>
    <w:p w14:paraId="16336BD6" w14:textId="77777777" w:rsidR="00F00DA3" w:rsidRPr="00AD4FE0" w:rsidRDefault="00F00DA3" w:rsidP="004E2A75">
      <w:pPr>
        <w:pStyle w:val="Paragraph"/>
        <w:jc w:val="both"/>
        <w:rPr>
          <w:rFonts w:ascii="Arial" w:hAnsi="Arial" w:cs="Arial"/>
          <w:sz w:val="22"/>
          <w:szCs w:val="22"/>
        </w:rPr>
      </w:pPr>
    </w:p>
    <w:sectPr w:rsidR="00F00DA3" w:rsidRPr="00AD4FE0" w:rsidSect="00FF2C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126" w:right="1418" w:bottom="1418" w:left="1418" w:header="765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D576" w14:textId="77777777" w:rsidR="00121F25" w:rsidRDefault="00121F25" w:rsidP="00C77B29">
      <w:r>
        <w:separator/>
      </w:r>
    </w:p>
    <w:p w14:paraId="44FFF672" w14:textId="77777777" w:rsidR="00121F25" w:rsidRDefault="00121F25"/>
  </w:endnote>
  <w:endnote w:type="continuationSeparator" w:id="0">
    <w:p w14:paraId="141AFE67" w14:textId="77777777" w:rsidR="00121F25" w:rsidRDefault="00121F25" w:rsidP="00C77B29">
      <w:r>
        <w:continuationSeparator/>
      </w:r>
    </w:p>
    <w:p w14:paraId="6A9E769A" w14:textId="77777777" w:rsidR="00121F25" w:rsidRDefault="00121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LT Pro 57 Condensed"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261842" w14:paraId="41313972" w14:textId="77777777">
      <w:trPr>
        <w:cantSplit/>
        <w:trHeight w:val="160"/>
      </w:trPr>
      <w:tc>
        <w:tcPr>
          <w:tcW w:w="853" w:type="dxa"/>
          <w:vAlign w:val="bottom"/>
        </w:tcPr>
        <w:p w14:paraId="4153B2E0" w14:textId="77777777" w:rsidR="00261842" w:rsidRDefault="00261842">
          <w:pPr>
            <w:pStyle w:val="PageNumbereven"/>
          </w:pPr>
        </w:p>
      </w:tc>
      <w:tc>
        <w:tcPr>
          <w:tcW w:w="8219" w:type="dxa"/>
          <w:tcBorders>
            <w:left w:val="nil"/>
          </w:tcBorders>
          <w:vAlign w:val="bottom"/>
        </w:tcPr>
        <w:p w14:paraId="4302101E" w14:textId="77777777" w:rsidR="00261842" w:rsidRDefault="00261842">
          <w:pPr>
            <w:pStyle w:val="FootertextEven"/>
          </w:pPr>
        </w:p>
      </w:tc>
    </w:tr>
  </w:tbl>
  <w:p w14:paraId="1875AF7F" w14:textId="77777777" w:rsidR="00261842" w:rsidRDefault="00261842">
    <w:pPr>
      <w:pStyle w:val="Footerempty"/>
    </w:pPr>
  </w:p>
  <w:p w14:paraId="75DA4FE2" w14:textId="77777777" w:rsidR="00261842" w:rsidRDefault="00261842" w:rsidP="00CD01BB">
    <w:pPr>
      <w:pStyle w:val="Footerempt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9"/>
      <w:gridCol w:w="843"/>
    </w:tblGrid>
    <w:tr w:rsidR="00261842" w14:paraId="66445F09" w14:textId="77777777">
      <w:trPr>
        <w:cantSplit/>
        <w:trHeight w:val="160"/>
      </w:trPr>
      <w:tc>
        <w:tcPr>
          <w:tcW w:w="8229" w:type="dxa"/>
          <w:vAlign w:val="bottom"/>
        </w:tcPr>
        <w:p w14:paraId="1516375D" w14:textId="77777777" w:rsidR="00261842" w:rsidRDefault="00261842" w:rsidP="00E84ABB">
          <w:pPr>
            <w:pStyle w:val="FootertextOdd"/>
          </w:pPr>
        </w:p>
      </w:tc>
      <w:tc>
        <w:tcPr>
          <w:tcW w:w="843" w:type="dxa"/>
          <w:tcBorders>
            <w:left w:val="nil"/>
          </w:tcBorders>
          <w:vAlign w:val="bottom"/>
        </w:tcPr>
        <w:p w14:paraId="10569FFD" w14:textId="77777777" w:rsidR="00261842" w:rsidRDefault="00261842">
          <w:pPr>
            <w:pStyle w:val="FooterPageNumber"/>
          </w:pPr>
        </w:p>
      </w:tc>
    </w:tr>
  </w:tbl>
  <w:p w14:paraId="67FEC9F6" w14:textId="77777777" w:rsidR="00261842" w:rsidRDefault="00261842">
    <w:pPr>
      <w:pStyle w:val="Footerempty"/>
    </w:pPr>
  </w:p>
  <w:p w14:paraId="3496DF93" w14:textId="77777777" w:rsidR="00261842" w:rsidRDefault="00261842" w:rsidP="00CD01BB">
    <w:pPr>
      <w:pStyle w:val="Footerempt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4B82" w14:textId="77777777" w:rsidR="00AC334C" w:rsidRDefault="00AC33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Borders>
        <w:top w:val="single" w:sz="4" w:space="0" w:color="706F6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103"/>
    </w:tblGrid>
    <w:tr w:rsidR="00F131FA" w14:paraId="72EC1C3F" w14:textId="77777777" w:rsidTr="002501EE">
      <w:trPr>
        <w:cantSplit/>
        <w:trHeight w:hRule="exact" w:val="340"/>
      </w:trPr>
      <w:tc>
        <w:tcPr>
          <w:tcW w:w="3969" w:type="dxa"/>
          <w:vAlign w:val="bottom"/>
        </w:tcPr>
        <w:p w14:paraId="099D7A3A" w14:textId="77777777" w:rsidR="00F131FA" w:rsidRDefault="00F131FA" w:rsidP="00C14EE0">
          <w:pPr>
            <w:pStyle w:val="Footertext"/>
          </w:pPr>
        </w:p>
      </w:tc>
      <w:tc>
        <w:tcPr>
          <w:tcW w:w="5103" w:type="dxa"/>
        </w:tcPr>
        <w:p w14:paraId="7966AC47" w14:textId="77777777" w:rsidR="00F131FA" w:rsidRDefault="00F131FA" w:rsidP="00F131FA">
          <w:pPr>
            <w:tabs>
              <w:tab w:val="center" w:pos="567"/>
            </w:tabs>
            <w:spacing w:before="120"/>
            <w:rPr>
              <w:rStyle w:val="PageNumber"/>
            </w:rPr>
          </w:pPr>
          <w:r>
            <w:rPr>
              <w:lang w:val="hu"/>
            </w:rPr>
            <w:tab/>
          </w:r>
          <w:r>
            <w:rPr>
              <w:rStyle w:val="PageNumber"/>
              <w:lang w:val="hu"/>
            </w:rPr>
            <w:fldChar w:fldCharType="begin"/>
          </w:r>
          <w:r>
            <w:rPr>
              <w:rStyle w:val="PageNumber"/>
              <w:lang w:val="hu"/>
            </w:rPr>
            <w:instrText xml:space="preserve"> PAGE  \* Arabic  \* MERGEFORMAT </w:instrText>
          </w:r>
          <w:r>
            <w:rPr>
              <w:rStyle w:val="PageNumber"/>
              <w:lang w:val="hu"/>
            </w:rPr>
            <w:fldChar w:fldCharType="separate"/>
          </w:r>
          <w:r w:rsidR="00592AAE">
            <w:rPr>
              <w:rStyle w:val="PageNumber"/>
              <w:noProof/>
              <w:lang w:val="hu"/>
            </w:rPr>
            <w:t>1</w:t>
          </w:r>
          <w:r>
            <w:rPr>
              <w:rStyle w:val="PageNumber"/>
              <w:lang w:val="hu"/>
            </w:rPr>
            <w:fldChar w:fldCharType="end"/>
          </w:r>
          <w:r>
            <w:rPr>
              <w:rStyle w:val="PageNumber"/>
              <w:lang w:val="hu"/>
            </w:rPr>
            <w:t>/</w:t>
          </w:r>
          <w:r>
            <w:rPr>
              <w:rStyle w:val="PageNumber"/>
              <w:lang w:val="hu"/>
            </w:rPr>
            <w:fldChar w:fldCharType="begin"/>
          </w:r>
          <w:r>
            <w:rPr>
              <w:rStyle w:val="PageNumber"/>
              <w:lang w:val="hu"/>
            </w:rPr>
            <w:instrText xml:space="preserve"> NUMPAGES  \* Arabic  \* MERGEFORMAT </w:instrText>
          </w:r>
          <w:r>
            <w:rPr>
              <w:rStyle w:val="PageNumber"/>
              <w:lang w:val="hu"/>
            </w:rPr>
            <w:fldChar w:fldCharType="separate"/>
          </w:r>
          <w:r w:rsidR="00592AAE">
            <w:rPr>
              <w:rStyle w:val="PageNumber"/>
              <w:noProof/>
              <w:lang w:val="hu"/>
            </w:rPr>
            <w:t>18</w:t>
          </w:r>
          <w:r>
            <w:rPr>
              <w:rStyle w:val="PageNumber"/>
              <w:lang w:val="hu"/>
            </w:rPr>
            <w:fldChar w:fldCharType="end"/>
          </w:r>
        </w:p>
      </w:tc>
    </w:tr>
  </w:tbl>
  <w:p w14:paraId="670491D9" w14:textId="77777777" w:rsidR="007E7DD5" w:rsidRPr="002F7AED" w:rsidRDefault="007E7DD5" w:rsidP="005C4A25">
    <w:pPr>
      <w:pStyle w:val="Footerempty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Borders>
        <w:top w:val="single" w:sz="4" w:space="0" w:color="706F6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103"/>
    </w:tblGrid>
    <w:tr w:rsidR="0081537F" w14:paraId="18E00EBD" w14:textId="77777777" w:rsidTr="0006775C">
      <w:trPr>
        <w:cantSplit/>
        <w:trHeight w:hRule="exact" w:val="340"/>
      </w:trPr>
      <w:tc>
        <w:tcPr>
          <w:tcW w:w="3969" w:type="dxa"/>
          <w:vAlign w:val="bottom"/>
        </w:tcPr>
        <w:p w14:paraId="26540D6C" w14:textId="77777777" w:rsidR="0081537F" w:rsidRDefault="0081537F" w:rsidP="00C14EE0">
          <w:pPr>
            <w:pStyle w:val="Footertext"/>
          </w:pPr>
        </w:p>
      </w:tc>
      <w:tc>
        <w:tcPr>
          <w:tcW w:w="5103" w:type="dxa"/>
        </w:tcPr>
        <w:p w14:paraId="0193A9A7" w14:textId="77777777" w:rsidR="0081537F" w:rsidRDefault="0081537F" w:rsidP="00474E01">
          <w:pPr>
            <w:tabs>
              <w:tab w:val="center" w:pos="567"/>
            </w:tabs>
            <w:spacing w:before="120"/>
            <w:rPr>
              <w:rStyle w:val="PageNumber"/>
            </w:rPr>
          </w:pPr>
          <w:r>
            <w:rPr>
              <w:lang w:val="hu"/>
            </w:rPr>
            <w:tab/>
          </w:r>
          <w:r>
            <w:rPr>
              <w:rStyle w:val="PageNumber"/>
              <w:lang w:val="hu"/>
            </w:rPr>
            <w:fldChar w:fldCharType="begin"/>
          </w:r>
          <w:r>
            <w:rPr>
              <w:rStyle w:val="PageNumber"/>
              <w:lang w:val="hu"/>
            </w:rPr>
            <w:instrText xml:space="preserve"> PAGE  \* Arabic  \* MERGEFORMAT </w:instrText>
          </w:r>
          <w:r>
            <w:rPr>
              <w:rStyle w:val="PageNumber"/>
              <w:lang w:val="hu"/>
            </w:rPr>
            <w:fldChar w:fldCharType="separate"/>
          </w:r>
          <w:r>
            <w:rPr>
              <w:rStyle w:val="PageNumber"/>
              <w:noProof/>
              <w:lang w:val="hu"/>
            </w:rPr>
            <w:t>2</w:t>
          </w:r>
          <w:r>
            <w:rPr>
              <w:rStyle w:val="PageNumber"/>
              <w:lang w:val="hu"/>
            </w:rPr>
            <w:fldChar w:fldCharType="end"/>
          </w:r>
          <w:r>
            <w:rPr>
              <w:rStyle w:val="PageNumber"/>
              <w:lang w:val="hu"/>
            </w:rPr>
            <w:t>/</w:t>
          </w:r>
          <w:r>
            <w:rPr>
              <w:rStyle w:val="PageNumber"/>
              <w:lang w:val="hu"/>
            </w:rPr>
            <w:fldChar w:fldCharType="begin"/>
          </w:r>
          <w:r>
            <w:rPr>
              <w:rStyle w:val="PageNumber"/>
              <w:lang w:val="hu"/>
            </w:rPr>
            <w:instrText xml:space="preserve"> NUMPAGES  \* Arabic  \* MERGEFORMAT </w:instrText>
          </w:r>
          <w:r>
            <w:rPr>
              <w:rStyle w:val="PageNumber"/>
              <w:lang w:val="hu"/>
            </w:rPr>
            <w:fldChar w:fldCharType="separate"/>
          </w:r>
          <w:r>
            <w:rPr>
              <w:rStyle w:val="PageNumber"/>
              <w:noProof/>
              <w:lang w:val="hu"/>
            </w:rPr>
            <w:t>13</w:t>
          </w:r>
          <w:r>
            <w:rPr>
              <w:rStyle w:val="PageNumber"/>
              <w:lang w:val="hu"/>
            </w:rPr>
            <w:fldChar w:fldCharType="end"/>
          </w:r>
        </w:p>
      </w:tc>
    </w:tr>
  </w:tbl>
  <w:p w14:paraId="66A21C6F" w14:textId="77777777" w:rsidR="0081537F" w:rsidRDefault="0081537F" w:rsidP="00474E01">
    <w:pPr>
      <w:pStyle w:val="empty"/>
    </w:pPr>
  </w:p>
  <w:p w14:paraId="7429C75E" w14:textId="77777777" w:rsidR="005F489F" w:rsidRDefault="005F489F" w:rsidP="005C4A25">
    <w:pPr>
      <w:pStyle w:val="Footeremp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66CC" w14:textId="77777777" w:rsidR="00121F25" w:rsidRDefault="00121F25" w:rsidP="00F76619">
      <w:pPr>
        <w:pStyle w:val="FootnoteSeparator"/>
      </w:pPr>
      <w:r>
        <w:separator/>
      </w:r>
    </w:p>
  </w:footnote>
  <w:footnote w:type="continuationSeparator" w:id="0">
    <w:p w14:paraId="7A32A1C6" w14:textId="77777777" w:rsidR="00121F25" w:rsidRDefault="00121F25" w:rsidP="00C77B29">
      <w:r>
        <w:continuationSeparator/>
      </w:r>
    </w:p>
    <w:p w14:paraId="03752E02" w14:textId="77777777" w:rsidR="00121F25" w:rsidRDefault="00121F25"/>
  </w:footnote>
  <w:footnote w:id="1">
    <w:p w14:paraId="7B965937" w14:textId="77777777" w:rsidR="00996D8E" w:rsidRPr="00DB481D" w:rsidRDefault="00996D8E" w:rsidP="00996D8E">
      <w:pPr>
        <w:pStyle w:val="FootnoteText"/>
      </w:pPr>
      <w:r>
        <w:rPr>
          <w:rStyle w:val="FootnoteReference"/>
          <w:lang w:val="hu"/>
        </w:rPr>
        <w:footnoteRef/>
      </w:r>
      <w:r>
        <w:rPr>
          <w:lang w:val="hu"/>
        </w:rPr>
        <w:t xml:space="preserve"> </w:t>
      </w:r>
      <w:r>
        <w:rPr>
          <w:lang w:val="hu"/>
        </w:rPr>
        <w:tab/>
      </w:r>
      <w:r>
        <w:rPr>
          <w:szCs w:val="16"/>
          <w:lang w:val="hu"/>
        </w:rPr>
        <w:t>A korábbi háromévenkénti felmérések eredményei itt találhatók:</w:t>
      </w:r>
      <w:r>
        <w:rPr>
          <w:lang w:val="hu"/>
        </w:rPr>
        <w:t xml:space="preserve"> </w:t>
      </w:r>
      <w:hyperlink r:id="rId1" w:history="1">
        <w:r>
          <w:rPr>
            <w:rStyle w:val="Hyperlink"/>
            <w:color w:val="0070C0"/>
            <w:szCs w:val="16"/>
            <w:lang w:val="hu"/>
          </w:rPr>
          <w:t>https://www.bis.org/stats_triennial_surveys/index.htm</w:t>
        </w:r>
      </w:hyperlink>
      <w:r>
        <w:rPr>
          <w:rStyle w:val="Hyperlink"/>
          <w:color w:val="auto"/>
          <w:szCs w:val="16"/>
          <w:u w:val="none"/>
          <w:lang w:val="hu"/>
        </w:rPr>
        <w:t>.</w:t>
      </w:r>
    </w:p>
  </w:footnote>
  <w:footnote w:id="2">
    <w:p w14:paraId="64CF62DC" w14:textId="77777777" w:rsidR="00C725AF" w:rsidRPr="008868B6" w:rsidRDefault="00C725AF" w:rsidP="00C725AF">
      <w:pPr>
        <w:pStyle w:val="FootnoteText"/>
      </w:pPr>
      <w:r>
        <w:rPr>
          <w:rStyle w:val="FootnoteReference"/>
          <w:lang w:val="hu"/>
        </w:rPr>
        <w:footnoteRef/>
      </w:r>
      <w:r>
        <w:rPr>
          <w:lang w:val="hu"/>
        </w:rPr>
        <w:t xml:space="preserve"> </w:t>
      </w:r>
      <w:r>
        <w:rPr>
          <w:lang w:val="hu"/>
        </w:rPr>
        <w:tab/>
        <w:t xml:space="preserve">A </w:t>
      </w:r>
      <w:proofErr w:type="spellStart"/>
      <w:r>
        <w:rPr>
          <w:lang w:val="hu"/>
        </w:rPr>
        <w:t>BIS</w:t>
      </w:r>
      <w:proofErr w:type="spellEnd"/>
      <w:r>
        <w:rPr>
          <w:lang w:val="hu"/>
        </w:rPr>
        <w:t xml:space="preserve"> végzi el az </w:t>
      </w:r>
      <w:proofErr w:type="spellStart"/>
      <w:r>
        <w:rPr>
          <w:lang w:val="hu"/>
        </w:rPr>
        <w:t>inter-dealer</w:t>
      </w:r>
      <w:proofErr w:type="spellEnd"/>
      <w:r>
        <w:rPr>
          <w:lang w:val="hu"/>
        </w:rPr>
        <w:t xml:space="preserve"> ügyletek duplikált jelentése miatti kiigazítást.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092F" w14:textId="77777777" w:rsidR="00261842" w:rsidRDefault="00261842">
    <w:pPr>
      <w:pStyle w:val="Head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819BEF" wp14:editId="4A47D32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3" name="Text Box 13" descr="{&quot;HashCode&quot;:-1550291131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E55311" w14:textId="77777777" w:rsidR="00261842" w:rsidRPr="000D6217" w:rsidRDefault="00261842" w:rsidP="000D6217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19BE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{&quot;HashCode&quot;:-1550291131,&quot;Height&quot;:9999999.0,&quot;Width&quot;:9999999.0,&quot;Placement&quot;:&quot;Header&quot;,&quot;Index&quot;:&quot;Primary&quot;,&quot;Section&quot;:1,&quot;Top&quot;:0.0,&quot;Left&quot;:0.0}" style="position:absolute;left:0;text-align:left;margin-left:560.8pt;margin-top:0;width:612pt;height:36.5pt;z-index:251657216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5S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" o:allowincell="f" filled="f" stroked="f" strokeweight=".5pt">
              <v:textbox inset=",0,20pt,0">
                <w:txbxContent>
                  <w:p w14:paraId="0FE55311" w14:textId="77777777" w:rsidR="00261842" w:rsidRPr="000D6217" w:rsidRDefault="00261842" w:rsidP="000D6217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C253" w14:textId="77777777" w:rsidR="00AC334C" w:rsidRDefault="00AC3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E69F" w14:textId="77777777" w:rsidR="00A93950" w:rsidRDefault="00A93950" w:rsidP="00FF2C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4" w:type="dxa"/>
      <w:tblInd w:w="-284" w:type="dxa"/>
      <w:tblBorders>
        <w:top w:val="none" w:sz="0" w:space="0" w:color="auto"/>
        <w:left w:val="none" w:sz="0" w:space="0" w:color="auto"/>
        <w:bottom w:val="single" w:sz="4" w:space="0" w:color="ADAFA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0"/>
      <w:gridCol w:w="6820"/>
      <w:gridCol w:w="2284"/>
    </w:tblGrid>
    <w:tr w:rsidR="00A22FE4" w14:paraId="5755EAB3" w14:textId="77777777" w:rsidTr="00472D6D">
      <w:trPr>
        <w:cantSplit/>
        <w:trHeight w:hRule="exact" w:val="859"/>
      </w:trPr>
      <w:tc>
        <w:tcPr>
          <w:tcW w:w="391" w:type="dxa"/>
          <w:tcBorders>
            <w:bottom w:val="nil"/>
          </w:tcBorders>
          <w:shd w:val="clear" w:color="auto" w:fill="auto"/>
        </w:tcPr>
        <w:p w14:paraId="2A57B335" w14:textId="77777777" w:rsidR="00A22FE4" w:rsidRDefault="00A22FE4" w:rsidP="00C77B29">
          <w:pPr>
            <w:pStyle w:val="Confidentiality"/>
          </w:pPr>
        </w:p>
      </w:tc>
      <w:tc>
        <w:tcPr>
          <w:tcW w:w="6804" w:type="dxa"/>
          <w:tcBorders>
            <w:bottom w:val="single" w:sz="4" w:space="0" w:color="706F6F"/>
          </w:tcBorders>
          <w:shd w:val="clear" w:color="auto" w:fill="auto"/>
          <w:noWrap/>
          <w:tcMar>
            <w:right w:w="0" w:type="dxa"/>
          </w:tcMar>
          <w:vAlign w:val="bottom"/>
        </w:tcPr>
        <w:p w14:paraId="0182B087" w14:textId="77777777" w:rsidR="00A22FE4" w:rsidRPr="00C77B29" w:rsidRDefault="00A22FE4" w:rsidP="00FF2C97">
          <w:pPr>
            <w:pStyle w:val="Header"/>
          </w:pPr>
          <w:r>
            <w:rPr>
              <w:lang w:val="hu-HU" w:eastAsia="hu-HU"/>
            </w:rPr>
            <w:drawing>
              <wp:inline distT="0" distB="0" distL="0" distR="0" wp14:anchorId="2486E3B3" wp14:editId="65DA1CF9">
                <wp:extent cx="1361510" cy="396000"/>
                <wp:effectExtent l="0" t="0" r="0" b="4445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BIS_RGB S3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510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Borders>
            <w:bottom w:val="single" w:sz="4" w:space="0" w:color="706F6F"/>
          </w:tcBorders>
          <w:shd w:val="clear" w:color="auto" w:fill="auto"/>
          <w:noWrap/>
          <w:tcMar>
            <w:left w:w="0" w:type="dxa"/>
            <w:bottom w:w="25" w:type="dxa"/>
            <w:right w:w="0" w:type="dxa"/>
          </w:tcMar>
          <w:vAlign w:val="bottom"/>
        </w:tcPr>
        <w:p w14:paraId="0DBAEE55" w14:textId="77777777" w:rsidR="00A22FE4" w:rsidRPr="00750602" w:rsidRDefault="00A22FE4" w:rsidP="00D00980">
          <w:pPr>
            <w:pStyle w:val="Confidentiality"/>
          </w:pPr>
          <w:r>
            <w:rPr>
              <w:lang w:val="hu"/>
            </w:rPr>
            <w:t>Korlátozott felhasználásra</w:t>
          </w:r>
        </w:p>
      </w:tc>
    </w:tr>
  </w:tbl>
  <w:p w14:paraId="1619C6BC" w14:textId="77777777" w:rsidR="005F489F" w:rsidRDefault="005F489F" w:rsidP="00A22FE4">
    <w:pPr>
      <w:pStyle w:val="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B80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23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04A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4601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58D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66E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64C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B07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2C7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666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50B40"/>
    <w:multiLevelType w:val="hybridMultilevel"/>
    <w:tmpl w:val="3ED8578C"/>
    <w:lvl w:ilvl="0" w:tplc="3F7E403A">
      <w:start w:val="1"/>
      <w:numFmt w:val="bullet"/>
      <w:pStyle w:val="BulletsL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DD014E"/>
    <w:multiLevelType w:val="hybridMultilevel"/>
    <w:tmpl w:val="9A54FC50"/>
    <w:lvl w:ilvl="0" w:tplc="D0BAE63E">
      <w:start w:val="1"/>
      <w:numFmt w:val="bullet"/>
      <w:lvlText w:val="•"/>
      <w:lvlJc w:val="left"/>
      <w:pPr>
        <w:ind w:left="720" w:hanging="360"/>
      </w:pPr>
      <w:rPr>
        <w:rFonts w:ascii="Univers LT Pro 57 Condensed" w:hAnsi="Univers LT Pro 57 Condense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D3A67"/>
    <w:multiLevelType w:val="multilevel"/>
    <w:tmpl w:val="1CF2E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E6906"/>
    <w:multiLevelType w:val="hybridMultilevel"/>
    <w:tmpl w:val="AAA4F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F2765"/>
    <w:multiLevelType w:val="hybridMultilevel"/>
    <w:tmpl w:val="24A05934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560F9"/>
    <w:multiLevelType w:val="hybridMultilevel"/>
    <w:tmpl w:val="003AF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F4333"/>
    <w:multiLevelType w:val="hybridMultilevel"/>
    <w:tmpl w:val="53B0F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6FB3"/>
    <w:multiLevelType w:val="hybridMultilevel"/>
    <w:tmpl w:val="576680D0"/>
    <w:lvl w:ilvl="0" w:tplc="08A0411C">
      <w:start w:val="1"/>
      <w:numFmt w:val="bullet"/>
      <w:pStyle w:val="Bulletpoin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olor w:val="auto"/>
      </w:rPr>
    </w:lvl>
    <w:lvl w:ilvl="1" w:tplc="B5AC37FC">
      <w:start w:val="1"/>
      <w:numFmt w:val="bullet"/>
      <w:lvlText w:val="–"/>
      <w:lvlJc w:val="left"/>
      <w:pPr>
        <w:tabs>
          <w:tab w:val="num" w:pos="1931"/>
        </w:tabs>
        <w:ind w:left="1931" w:hanging="851"/>
      </w:pPr>
      <w:rPr>
        <w:rFonts w:ascii="Arial" w:hAnsi="Aria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30E8A"/>
    <w:multiLevelType w:val="hybridMultilevel"/>
    <w:tmpl w:val="22101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54E82"/>
    <w:multiLevelType w:val="hybridMultilevel"/>
    <w:tmpl w:val="2244C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32D84"/>
    <w:multiLevelType w:val="hybridMultilevel"/>
    <w:tmpl w:val="A3A0C9B6"/>
    <w:lvl w:ilvl="0" w:tplc="08A4EB18">
      <w:start w:val="1"/>
      <w:numFmt w:val="lowerLetter"/>
      <w:pStyle w:val="List2letter"/>
      <w:lvlText w:val="%1."/>
      <w:lvlJc w:val="left"/>
      <w:pPr>
        <w:ind w:left="1117" w:hanging="360"/>
      </w:p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552E1376"/>
    <w:multiLevelType w:val="hybridMultilevel"/>
    <w:tmpl w:val="BCD02334"/>
    <w:lvl w:ilvl="0" w:tplc="745417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A18DA"/>
    <w:multiLevelType w:val="hybridMultilevel"/>
    <w:tmpl w:val="2B20C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3320B"/>
    <w:multiLevelType w:val="hybridMultilevel"/>
    <w:tmpl w:val="BD12F3D0"/>
    <w:lvl w:ilvl="0" w:tplc="DB4CAB36">
      <w:start w:val="1"/>
      <w:numFmt w:val="decimal"/>
      <w:pStyle w:val="List1"/>
      <w:lvlText w:val="%1."/>
      <w:lvlJc w:val="left"/>
      <w:pPr>
        <w:ind w:left="360" w:hanging="360"/>
      </w:pPr>
      <w:rPr>
        <w:rFonts w:ascii="Segoe UI" w:hAnsi="Segoe U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E7F5B"/>
    <w:multiLevelType w:val="hybridMultilevel"/>
    <w:tmpl w:val="E3BAEEA8"/>
    <w:lvl w:ilvl="0" w:tplc="642EC91E">
      <w:start w:val="1"/>
      <w:numFmt w:val="decimal"/>
      <w:pStyle w:val="List2number"/>
      <w:lvlText w:val="%1.1.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5E943027"/>
    <w:multiLevelType w:val="hybridMultilevel"/>
    <w:tmpl w:val="79B474E6"/>
    <w:lvl w:ilvl="0" w:tplc="0F28ED7A">
      <w:start w:val="1"/>
      <w:numFmt w:val="decimal"/>
      <w:lvlText w:val="%1."/>
      <w:lvlJc w:val="left"/>
      <w:pPr>
        <w:ind w:left="115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B6008"/>
    <w:multiLevelType w:val="hybridMultilevel"/>
    <w:tmpl w:val="4954B28A"/>
    <w:lvl w:ilvl="0" w:tplc="0D4A13EE">
      <w:start w:val="1"/>
      <w:numFmt w:val="bullet"/>
      <w:pStyle w:val="BulletsL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olor w:val="auto"/>
      </w:rPr>
    </w:lvl>
    <w:lvl w:ilvl="1" w:tplc="353EE486">
      <w:start w:val="1"/>
      <w:numFmt w:val="bullet"/>
      <w:lvlText w:val="–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00FED"/>
    <w:multiLevelType w:val="hybridMultilevel"/>
    <w:tmpl w:val="D7A45322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800C4"/>
    <w:multiLevelType w:val="hybridMultilevel"/>
    <w:tmpl w:val="25BC2964"/>
    <w:lvl w:ilvl="0" w:tplc="67B88C42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8844105">
    <w:abstractNumId w:val="10"/>
  </w:num>
  <w:num w:numId="2" w16cid:durableId="755832632">
    <w:abstractNumId w:val="28"/>
  </w:num>
  <w:num w:numId="3" w16cid:durableId="895242491">
    <w:abstractNumId w:val="26"/>
  </w:num>
  <w:num w:numId="4" w16cid:durableId="196936660">
    <w:abstractNumId w:val="25"/>
  </w:num>
  <w:num w:numId="5" w16cid:durableId="1155417537">
    <w:abstractNumId w:val="23"/>
  </w:num>
  <w:num w:numId="6" w16cid:durableId="1307510385">
    <w:abstractNumId w:val="12"/>
  </w:num>
  <w:num w:numId="7" w16cid:durableId="2074965288">
    <w:abstractNumId w:val="24"/>
  </w:num>
  <w:num w:numId="8" w16cid:durableId="683553428">
    <w:abstractNumId w:val="20"/>
  </w:num>
  <w:num w:numId="9" w16cid:durableId="108941480">
    <w:abstractNumId w:val="22"/>
  </w:num>
  <w:num w:numId="10" w16cid:durableId="1206984306">
    <w:abstractNumId w:val="18"/>
  </w:num>
  <w:num w:numId="11" w16cid:durableId="1945070474">
    <w:abstractNumId w:val="23"/>
    <w:lvlOverride w:ilvl="0">
      <w:startOverride w:val="1"/>
    </w:lvlOverride>
  </w:num>
  <w:num w:numId="12" w16cid:durableId="1577741689">
    <w:abstractNumId w:val="23"/>
    <w:lvlOverride w:ilvl="0">
      <w:startOverride w:val="1"/>
    </w:lvlOverride>
  </w:num>
  <w:num w:numId="13" w16cid:durableId="109856805">
    <w:abstractNumId w:val="23"/>
    <w:lvlOverride w:ilvl="0">
      <w:startOverride w:val="1"/>
    </w:lvlOverride>
  </w:num>
  <w:num w:numId="14" w16cid:durableId="405568251">
    <w:abstractNumId w:val="11"/>
  </w:num>
  <w:num w:numId="15" w16cid:durableId="351996906">
    <w:abstractNumId w:val="9"/>
  </w:num>
  <w:num w:numId="16" w16cid:durableId="220408196">
    <w:abstractNumId w:val="8"/>
  </w:num>
  <w:num w:numId="17" w16cid:durableId="1359352721">
    <w:abstractNumId w:val="7"/>
  </w:num>
  <w:num w:numId="18" w16cid:durableId="1999458963">
    <w:abstractNumId w:val="6"/>
  </w:num>
  <w:num w:numId="19" w16cid:durableId="493303279">
    <w:abstractNumId w:val="5"/>
  </w:num>
  <w:num w:numId="20" w16cid:durableId="337587107">
    <w:abstractNumId w:val="4"/>
  </w:num>
  <w:num w:numId="21" w16cid:durableId="1629165133">
    <w:abstractNumId w:val="3"/>
  </w:num>
  <w:num w:numId="22" w16cid:durableId="618608845">
    <w:abstractNumId w:val="2"/>
  </w:num>
  <w:num w:numId="23" w16cid:durableId="1931041137">
    <w:abstractNumId w:val="1"/>
  </w:num>
  <w:num w:numId="24" w16cid:durableId="1895776621">
    <w:abstractNumId w:val="0"/>
  </w:num>
  <w:num w:numId="25" w16cid:durableId="105779618">
    <w:abstractNumId w:val="19"/>
  </w:num>
  <w:num w:numId="26" w16cid:durableId="229771329">
    <w:abstractNumId w:val="15"/>
  </w:num>
  <w:num w:numId="27" w16cid:durableId="566263310">
    <w:abstractNumId w:val="17"/>
  </w:num>
  <w:num w:numId="28" w16cid:durableId="1239510772">
    <w:abstractNumId w:val="27"/>
  </w:num>
  <w:num w:numId="29" w16cid:durableId="2064869708">
    <w:abstractNumId w:val="13"/>
  </w:num>
  <w:num w:numId="30" w16cid:durableId="1427849213">
    <w:abstractNumId w:val="16"/>
  </w:num>
  <w:num w:numId="31" w16cid:durableId="2077430490">
    <w:abstractNumId w:val="21"/>
  </w:num>
  <w:num w:numId="32" w16cid:durableId="14406431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94"/>
  <w:hyphenationZone w:val="425"/>
  <w:clickAndTypeStyle w:val="Paragraph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suppressBottomSpacing/>
    <w:suppressTop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42"/>
    <w:rsid w:val="0000395E"/>
    <w:rsid w:val="000042FB"/>
    <w:rsid w:val="000071DC"/>
    <w:rsid w:val="00011ACD"/>
    <w:rsid w:val="00017182"/>
    <w:rsid w:val="00017B32"/>
    <w:rsid w:val="00022597"/>
    <w:rsid w:val="000225C1"/>
    <w:rsid w:val="0002287E"/>
    <w:rsid w:val="000240D2"/>
    <w:rsid w:val="00024B7A"/>
    <w:rsid w:val="0002784E"/>
    <w:rsid w:val="00027B2B"/>
    <w:rsid w:val="00032BCF"/>
    <w:rsid w:val="00032D10"/>
    <w:rsid w:val="000338D8"/>
    <w:rsid w:val="000348B5"/>
    <w:rsid w:val="00036C22"/>
    <w:rsid w:val="000378D0"/>
    <w:rsid w:val="00041F92"/>
    <w:rsid w:val="00045676"/>
    <w:rsid w:val="00051E7B"/>
    <w:rsid w:val="00053D50"/>
    <w:rsid w:val="00055B3A"/>
    <w:rsid w:val="00061BCE"/>
    <w:rsid w:val="000628BF"/>
    <w:rsid w:val="00062A0F"/>
    <w:rsid w:val="0006522F"/>
    <w:rsid w:val="00066AB2"/>
    <w:rsid w:val="0006775C"/>
    <w:rsid w:val="000750D5"/>
    <w:rsid w:val="00077742"/>
    <w:rsid w:val="00082EA9"/>
    <w:rsid w:val="00084C42"/>
    <w:rsid w:val="000857C1"/>
    <w:rsid w:val="00091E5D"/>
    <w:rsid w:val="00095427"/>
    <w:rsid w:val="000958FD"/>
    <w:rsid w:val="000A0B83"/>
    <w:rsid w:val="000A7782"/>
    <w:rsid w:val="000B72B6"/>
    <w:rsid w:val="000C11C7"/>
    <w:rsid w:val="000C261E"/>
    <w:rsid w:val="000C526C"/>
    <w:rsid w:val="000D0E7C"/>
    <w:rsid w:val="000D1912"/>
    <w:rsid w:val="000D1CA5"/>
    <w:rsid w:val="000D5F5E"/>
    <w:rsid w:val="000D7F22"/>
    <w:rsid w:val="000E067A"/>
    <w:rsid w:val="000E06CD"/>
    <w:rsid w:val="000E0F8E"/>
    <w:rsid w:val="000E2339"/>
    <w:rsid w:val="000E2773"/>
    <w:rsid w:val="000E49C8"/>
    <w:rsid w:val="000E60B5"/>
    <w:rsid w:val="000F31C9"/>
    <w:rsid w:val="000F6257"/>
    <w:rsid w:val="001019F5"/>
    <w:rsid w:val="001073BD"/>
    <w:rsid w:val="0011022E"/>
    <w:rsid w:val="0011068A"/>
    <w:rsid w:val="00116842"/>
    <w:rsid w:val="00121F25"/>
    <w:rsid w:val="00122033"/>
    <w:rsid w:val="001232C4"/>
    <w:rsid w:val="0012450A"/>
    <w:rsid w:val="00126471"/>
    <w:rsid w:val="00126504"/>
    <w:rsid w:val="001269F1"/>
    <w:rsid w:val="00135080"/>
    <w:rsid w:val="00136C33"/>
    <w:rsid w:val="00142174"/>
    <w:rsid w:val="00142691"/>
    <w:rsid w:val="00143DB4"/>
    <w:rsid w:val="00144056"/>
    <w:rsid w:val="00145374"/>
    <w:rsid w:val="00146526"/>
    <w:rsid w:val="00146A77"/>
    <w:rsid w:val="00146CD8"/>
    <w:rsid w:val="00152BB2"/>
    <w:rsid w:val="00153ADF"/>
    <w:rsid w:val="001608C4"/>
    <w:rsid w:val="001611BB"/>
    <w:rsid w:val="001630B4"/>
    <w:rsid w:val="00164F70"/>
    <w:rsid w:val="001658A6"/>
    <w:rsid w:val="00170DCE"/>
    <w:rsid w:val="00172841"/>
    <w:rsid w:val="001761C5"/>
    <w:rsid w:val="00176729"/>
    <w:rsid w:val="00176FF9"/>
    <w:rsid w:val="001801FD"/>
    <w:rsid w:val="00182B25"/>
    <w:rsid w:val="0018334A"/>
    <w:rsid w:val="00184AC1"/>
    <w:rsid w:val="001864DC"/>
    <w:rsid w:val="00196430"/>
    <w:rsid w:val="00196A4B"/>
    <w:rsid w:val="00196C18"/>
    <w:rsid w:val="00197E52"/>
    <w:rsid w:val="001A1679"/>
    <w:rsid w:val="001A4D9E"/>
    <w:rsid w:val="001A4E32"/>
    <w:rsid w:val="001B172F"/>
    <w:rsid w:val="001B19E0"/>
    <w:rsid w:val="001B2405"/>
    <w:rsid w:val="001B6461"/>
    <w:rsid w:val="001B6780"/>
    <w:rsid w:val="001C3622"/>
    <w:rsid w:val="001D0528"/>
    <w:rsid w:val="001D250D"/>
    <w:rsid w:val="001D3EEB"/>
    <w:rsid w:val="001D48A1"/>
    <w:rsid w:val="001D5248"/>
    <w:rsid w:val="001D5320"/>
    <w:rsid w:val="001D7F84"/>
    <w:rsid w:val="001E1155"/>
    <w:rsid w:val="001F0CE3"/>
    <w:rsid w:val="001F22F3"/>
    <w:rsid w:val="001F43F7"/>
    <w:rsid w:val="001F5274"/>
    <w:rsid w:val="001F70B1"/>
    <w:rsid w:val="0020122D"/>
    <w:rsid w:val="00201F80"/>
    <w:rsid w:val="00204D35"/>
    <w:rsid w:val="00205B4B"/>
    <w:rsid w:val="00205F9E"/>
    <w:rsid w:val="00212B1D"/>
    <w:rsid w:val="00214161"/>
    <w:rsid w:val="0021454C"/>
    <w:rsid w:val="00216076"/>
    <w:rsid w:val="002242F6"/>
    <w:rsid w:val="002258EF"/>
    <w:rsid w:val="00227784"/>
    <w:rsid w:val="002314CD"/>
    <w:rsid w:val="00231C01"/>
    <w:rsid w:val="002324A6"/>
    <w:rsid w:val="00234B89"/>
    <w:rsid w:val="00236083"/>
    <w:rsid w:val="0023767B"/>
    <w:rsid w:val="00246C02"/>
    <w:rsid w:val="00247449"/>
    <w:rsid w:val="00253F6B"/>
    <w:rsid w:val="00256BC3"/>
    <w:rsid w:val="00256D59"/>
    <w:rsid w:val="0025702B"/>
    <w:rsid w:val="00261842"/>
    <w:rsid w:val="00266228"/>
    <w:rsid w:val="00267F8E"/>
    <w:rsid w:val="00273A5D"/>
    <w:rsid w:val="00273ADF"/>
    <w:rsid w:val="00277564"/>
    <w:rsid w:val="00280333"/>
    <w:rsid w:val="00286519"/>
    <w:rsid w:val="00293A0F"/>
    <w:rsid w:val="00295A71"/>
    <w:rsid w:val="002A59B2"/>
    <w:rsid w:val="002C03CC"/>
    <w:rsid w:val="002C4CC5"/>
    <w:rsid w:val="002C6883"/>
    <w:rsid w:val="002C6F7A"/>
    <w:rsid w:val="002C7296"/>
    <w:rsid w:val="002C7385"/>
    <w:rsid w:val="002D065A"/>
    <w:rsid w:val="002D5538"/>
    <w:rsid w:val="002D5636"/>
    <w:rsid w:val="002D5B99"/>
    <w:rsid w:val="002E2E73"/>
    <w:rsid w:val="002E3825"/>
    <w:rsid w:val="002E6E44"/>
    <w:rsid w:val="002E6EC8"/>
    <w:rsid w:val="002E734F"/>
    <w:rsid w:val="002E7F27"/>
    <w:rsid w:val="002F1AED"/>
    <w:rsid w:val="002F23BD"/>
    <w:rsid w:val="002F5255"/>
    <w:rsid w:val="002F5EDA"/>
    <w:rsid w:val="002F7AED"/>
    <w:rsid w:val="00300CD3"/>
    <w:rsid w:val="00302D40"/>
    <w:rsid w:val="003062E2"/>
    <w:rsid w:val="00307B41"/>
    <w:rsid w:val="00310729"/>
    <w:rsid w:val="00316285"/>
    <w:rsid w:val="00323128"/>
    <w:rsid w:val="00330235"/>
    <w:rsid w:val="00333CDB"/>
    <w:rsid w:val="003372FC"/>
    <w:rsid w:val="00337B8E"/>
    <w:rsid w:val="003418DD"/>
    <w:rsid w:val="0034473E"/>
    <w:rsid w:val="003543B7"/>
    <w:rsid w:val="00354C99"/>
    <w:rsid w:val="003550F9"/>
    <w:rsid w:val="00355BD3"/>
    <w:rsid w:val="0035787D"/>
    <w:rsid w:val="003609F3"/>
    <w:rsid w:val="003610F3"/>
    <w:rsid w:val="00362598"/>
    <w:rsid w:val="00363D82"/>
    <w:rsid w:val="003667D9"/>
    <w:rsid w:val="00377DCD"/>
    <w:rsid w:val="00382104"/>
    <w:rsid w:val="003923EB"/>
    <w:rsid w:val="0039314C"/>
    <w:rsid w:val="0039350E"/>
    <w:rsid w:val="00395B7D"/>
    <w:rsid w:val="00395C3F"/>
    <w:rsid w:val="003A0177"/>
    <w:rsid w:val="003A3469"/>
    <w:rsid w:val="003B0A82"/>
    <w:rsid w:val="003B4D35"/>
    <w:rsid w:val="003C32E6"/>
    <w:rsid w:val="003C4282"/>
    <w:rsid w:val="003D0F53"/>
    <w:rsid w:val="003D1884"/>
    <w:rsid w:val="003D5F1E"/>
    <w:rsid w:val="003D6427"/>
    <w:rsid w:val="003F0D35"/>
    <w:rsid w:val="003F298D"/>
    <w:rsid w:val="003F48AD"/>
    <w:rsid w:val="003F523A"/>
    <w:rsid w:val="00400334"/>
    <w:rsid w:val="00400A22"/>
    <w:rsid w:val="004018EB"/>
    <w:rsid w:val="0040288C"/>
    <w:rsid w:val="004041EB"/>
    <w:rsid w:val="004070DA"/>
    <w:rsid w:val="00407A73"/>
    <w:rsid w:val="004110BF"/>
    <w:rsid w:val="00411BD0"/>
    <w:rsid w:val="0041323C"/>
    <w:rsid w:val="00414D4C"/>
    <w:rsid w:val="00416A67"/>
    <w:rsid w:val="00421C81"/>
    <w:rsid w:val="004225A3"/>
    <w:rsid w:val="00422755"/>
    <w:rsid w:val="00425DA1"/>
    <w:rsid w:val="004305A1"/>
    <w:rsid w:val="0043358A"/>
    <w:rsid w:val="00435918"/>
    <w:rsid w:val="00436DFA"/>
    <w:rsid w:val="004409E9"/>
    <w:rsid w:val="004459F0"/>
    <w:rsid w:val="00447CBD"/>
    <w:rsid w:val="004517F3"/>
    <w:rsid w:val="00452D9D"/>
    <w:rsid w:val="0045798C"/>
    <w:rsid w:val="00464384"/>
    <w:rsid w:val="00465490"/>
    <w:rsid w:val="00465D06"/>
    <w:rsid w:val="00470563"/>
    <w:rsid w:val="004712C9"/>
    <w:rsid w:val="00472D6D"/>
    <w:rsid w:val="00474E01"/>
    <w:rsid w:val="00476041"/>
    <w:rsid w:val="00476F6B"/>
    <w:rsid w:val="004807F0"/>
    <w:rsid w:val="00490478"/>
    <w:rsid w:val="00492479"/>
    <w:rsid w:val="004A02DF"/>
    <w:rsid w:val="004A1BEC"/>
    <w:rsid w:val="004A67E2"/>
    <w:rsid w:val="004A6CD7"/>
    <w:rsid w:val="004B450B"/>
    <w:rsid w:val="004B7A3F"/>
    <w:rsid w:val="004C0929"/>
    <w:rsid w:val="004D6EB3"/>
    <w:rsid w:val="004E1B98"/>
    <w:rsid w:val="004E2A75"/>
    <w:rsid w:val="004E7A74"/>
    <w:rsid w:val="004F002E"/>
    <w:rsid w:val="004F1AB6"/>
    <w:rsid w:val="004F3871"/>
    <w:rsid w:val="004F3D20"/>
    <w:rsid w:val="004F7311"/>
    <w:rsid w:val="005006E4"/>
    <w:rsid w:val="00503A6E"/>
    <w:rsid w:val="00504F44"/>
    <w:rsid w:val="00511A84"/>
    <w:rsid w:val="00515AFD"/>
    <w:rsid w:val="00517E99"/>
    <w:rsid w:val="005227D7"/>
    <w:rsid w:val="00523EF1"/>
    <w:rsid w:val="00524531"/>
    <w:rsid w:val="00526063"/>
    <w:rsid w:val="0052675A"/>
    <w:rsid w:val="00526EF6"/>
    <w:rsid w:val="005314E5"/>
    <w:rsid w:val="00531536"/>
    <w:rsid w:val="00533D24"/>
    <w:rsid w:val="00542AAF"/>
    <w:rsid w:val="00543797"/>
    <w:rsid w:val="00547A1D"/>
    <w:rsid w:val="00547BF0"/>
    <w:rsid w:val="00550D64"/>
    <w:rsid w:val="0056408C"/>
    <w:rsid w:val="00571C1A"/>
    <w:rsid w:val="00575C71"/>
    <w:rsid w:val="00580363"/>
    <w:rsid w:val="00583592"/>
    <w:rsid w:val="00587F5A"/>
    <w:rsid w:val="00592281"/>
    <w:rsid w:val="00592AAE"/>
    <w:rsid w:val="005A2759"/>
    <w:rsid w:val="005A4903"/>
    <w:rsid w:val="005A51EE"/>
    <w:rsid w:val="005B0192"/>
    <w:rsid w:val="005B43F4"/>
    <w:rsid w:val="005B6AFC"/>
    <w:rsid w:val="005C1DB2"/>
    <w:rsid w:val="005C246A"/>
    <w:rsid w:val="005C4A25"/>
    <w:rsid w:val="005D13DD"/>
    <w:rsid w:val="005D16F8"/>
    <w:rsid w:val="005D2F1F"/>
    <w:rsid w:val="005E5137"/>
    <w:rsid w:val="005E6352"/>
    <w:rsid w:val="005E6FE6"/>
    <w:rsid w:val="005F1DD7"/>
    <w:rsid w:val="005F33AE"/>
    <w:rsid w:val="005F489F"/>
    <w:rsid w:val="005F7B46"/>
    <w:rsid w:val="00602353"/>
    <w:rsid w:val="006041ED"/>
    <w:rsid w:val="00611EB3"/>
    <w:rsid w:val="00621FD6"/>
    <w:rsid w:val="006247CC"/>
    <w:rsid w:val="00630924"/>
    <w:rsid w:val="006364E0"/>
    <w:rsid w:val="0063736C"/>
    <w:rsid w:val="006458D8"/>
    <w:rsid w:val="006465D0"/>
    <w:rsid w:val="00651F58"/>
    <w:rsid w:val="006524CB"/>
    <w:rsid w:val="00662B99"/>
    <w:rsid w:val="00662CAC"/>
    <w:rsid w:val="00664593"/>
    <w:rsid w:val="006645D3"/>
    <w:rsid w:val="00665305"/>
    <w:rsid w:val="00667C1B"/>
    <w:rsid w:val="00670DDA"/>
    <w:rsid w:val="006727C9"/>
    <w:rsid w:val="00675D47"/>
    <w:rsid w:val="00680919"/>
    <w:rsid w:val="0068364D"/>
    <w:rsid w:val="00685AA9"/>
    <w:rsid w:val="00686744"/>
    <w:rsid w:val="00687EBC"/>
    <w:rsid w:val="00693884"/>
    <w:rsid w:val="00694917"/>
    <w:rsid w:val="00694D23"/>
    <w:rsid w:val="00694E7F"/>
    <w:rsid w:val="00695FE1"/>
    <w:rsid w:val="006A083B"/>
    <w:rsid w:val="006A0F60"/>
    <w:rsid w:val="006A2D4A"/>
    <w:rsid w:val="006A3192"/>
    <w:rsid w:val="006B0848"/>
    <w:rsid w:val="006B18F0"/>
    <w:rsid w:val="006B3032"/>
    <w:rsid w:val="006B4C8E"/>
    <w:rsid w:val="006B6917"/>
    <w:rsid w:val="006C30F4"/>
    <w:rsid w:val="006C3285"/>
    <w:rsid w:val="006C4BBE"/>
    <w:rsid w:val="006C6218"/>
    <w:rsid w:val="006C6D14"/>
    <w:rsid w:val="006D3B75"/>
    <w:rsid w:val="006D4596"/>
    <w:rsid w:val="006D7A59"/>
    <w:rsid w:val="006E1539"/>
    <w:rsid w:val="006F064E"/>
    <w:rsid w:val="006F261C"/>
    <w:rsid w:val="006F4907"/>
    <w:rsid w:val="006F7911"/>
    <w:rsid w:val="00701DC5"/>
    <w:rsid w:val="00717774"/>
    <w:rsid w:val="00717B19"/>
    <w:rsid w:val="00720EFE"/>
    <w:rsid w:val="00724DF1"/>
    <w:rsid w:val="0073063B"/>
    <w:rsid w:val="007308A5"/>
    <w:rsid w:val="007313B9"/>
    <w:rsid w:val="00732BAB"/>
    <w:rsid w:val="007359CE"/>
    <w:rsid w:val="00735B07"/>
    <w:rsid w:val="007412AE"/>
    <w:rsid w:val="0075475B"/>
    <w:rsid w:val="00755ECF"/>
    <w:rsid w:val="00757AA7"/>
    <w:rsid w:val="00757B76"/>
    <w:rsid w:val="007613EE"/>
    <w:rsid w:val="0076251E"/>
    <w:rsid w:val="007632ED"/>
    <w:rsid w:val="00763BD3"/>
    <w:rsid w:val="0076406B"/>
    <w:rsid w:val="00766D01"/>
    <w:rsid w:val="00767BD7"/>
    <w:rsid w:val="007707AA"/>
    <w:rsid w:val="00770CD2"/>
    <w:rsid w:val="00771EE1"/>
    <w:rsid w:val="0077788D"/>
    <w:rsid w:val="00780676"/>
    <w:rsid w:val="007807F9"/>
    <w:rsid w:val="00780DB9"/>
    <w:rsid w:val="00782030"/>
    <w:rsid w:val="00790835"/>
    <w:rsid w:val="00792723"/>
    <w:rsid w:val="00793091"/>
    <w:rsid w:val="00797DBC"/>
    <w:rsid w:val="007A096F"/>
    <w:rsid w:val="007A21A0"/>
    <w:rsid w:val="007B256E"/>
    <w:rsid w:val="007B4326"/>
    <w:rsid w:val="007B71C5"/>
    <w:rsid w:val="007C604E"/>
    <w:rsid w:val="007C7AAA"/>
    <w:rsid w:val="007D64C4"/>
    <w:rsid w:val="007D682E"/>
    <w:rsid w:val="007E7DD5"/>
    <w:rsid w:val="007F0430"/>
    <w:rsid w:val="007F0B63"/>
    <w:rsid w:val="007F1A4A"/>
    <w:rsid w:val="007F2381"/>
    <w:rsid w:val="007F3775"/>
    <w:rsid w:val="007F41A8"/>
    <w:rsid w:val="007F593D"/>
    <w:rsid w:val="008103BD"/>
    <w:rsid w:val="00813F77"/>
    <w:rsid w:val="0081537F"/>
    <w:rsid w:val="008161E2"/>
    <w:rsid w:val="00816CCF"/>
    <w:rsid w:val="00825B32"/>
    <w:rsid w:val="00825BF8"/>
    <w:rsid w:val="00826ED7"/>
    <w:rsid w:val="00827754"/>
    <w:rsid w:val="00827F7C"/>
    <w:rsid w:val="00830B6C"/>
    <w:rsid w:val="00832224"/>
    <w:rsid w:val="008336A9"/>
    <w:rsid w:val="00833E1D"/>
    <w:rsid w:val="00844CF7"/>
    <w:rsid w:val="00847CF3"/>
    <w:rsid w:val="00851D17"/>
    <w:rsid w:val="00853A5F"/>
    <w:rsid w:val="008603A0"/>
    <w:rsid w:val="00865DD9"/>
    <w:rsid w:val="00873849"/>
    <w:rsid w:val="00882377"/>
    <w:rsid w:val="008830E1"/>
    <w:rsid w:val="0088761D"/>
    <w:rsid w:val="00892876"/>
    <w:rsid w:val="0089452D"/>
    <w:rsid w:val="00897E4D"/>
    <w:rsid w:val="008A0971"/>
    <w:rsid w:val="008A3188"/>
    <w:rsid w:val="008A376D"/>
    <w:rsid w:val="008A5B7A"/>
    <w:rsid w:val="008A648C"/>
    <w:rsid w:val="008B123D"/>
    <w:rsid w:val="008B1C23"/>
    <w:rsid w:val="008B2572"/>
    <w:rsid w:val="008B346B"/>
    <w:rsid w:val="008B3880"/>
    <w:rsid w:val="008B4328"/>
    <w:rsid w:val="008C26FF"/>
    <w:rsid w:val="008C363E"/>
    <w:rsid w:val="008C3F37"/>
    <w:rsid w:val="008C55EB"/>
    <w:rsid w:val="008C59B7"/>
    <w:rsid w:val="008C6982"/>
    <w:rsid w:val="008D0771"/>
    <w:rsid w:val="008D3397"/>
    <w:rsid w:val="008D615B"/>
    <w:rsid w:val="008D6EBD"/>
    <w:rsid w:val="008E0761"/>
    <w:rsid w:val="008E1BD0"/>
    <w:rsid w:val="008E4CC7"/>
    <w:rsid w:val="008E52C2"/>
    <w:rsid w:val="008F1E30"/>
    <w:rsid w:val="008F2ACE"/>
    <w:rsid w:val="009073B6"/>
    <w:rsid w:val="009128E2"/>
    <w:rsid w:val="009135CE"/>
    <w:rsid w:val="009157C5"/>
    <w:rsid w:val="009270B6"/>
    <w:rsid w:val="009272F3"/>
    <w:rsid w:val="009310B0"/>
    <w:rsid w:val="0093245A"/>
    <w:rsid w:val="00932B59"/>
    <w:rsid w:val="009353D5"/>
    <w:rsid w:val="009412DE"/>
    <w:rsid w:val="00941D2A"/>
    <w:rsid w:val="00942881"/>
    <w:rsid w:val="00945685"/>
    <w:rsid w:val="009471C0"/>
    <w:rsid w:val="009475E7"/>
    <w:rsid w:val="00953BAB"/>
    <w:rsid w:val="0095619F"/>
    <w:rsid w:val="0096305B"/>
    <w:rsid w:val="00963F1C"/>
    <w:rsid w:val="0096423E"/>
    <w:rsid w:val="00965767"/>
    <w:rsid w:val="00965B9E"/>
    <w:rsid w:val="00965C7E"/>
    <w:rsid w:val="00980E51"/>
    <w:rsid w:val="00983445"/>
    <w:rsid w:val="009834C2"/>
    <w:rsid w:val="00990C44"/>
    <w:rsid w:val="0099265C"/>
    <w:rsid w:val="00992661"/>
    <w:rsid w:val="0099680E"/>
    <w:rsid w:val="00996CF7"/>
    <w:rsid w:val="00996D8E"/>
    <w:rsid w:val="00997E6B"/>
    <w:rsid w:val="009A2614"/>
    <w:rsid w:val="009A38FA"/>
    <w:rsid w:val="009A4B1E"/>
    <w:rsid w:val="009A7449"/>
    <w:rsid w:val="009A7AA7"/>
    <w:rsid w:val="009B00AB"/>
    <w:rsid w:val="009B0DE4"/>
    <w:rsid w:val="009B7347"/>
    <w:rsid w:val="009B7820"/>
    <w:rsid w:val="009C304A"/>
    <w:rsid w:val="009C36C9"/>
    <w:rsid w:val="009C7150"/>
    <w:rsid w:val="009D327F"/>
    <w:rsid w:val="009D6D93"/>
    <w:rsid w:val="009E0034"/>
    <w:rsid w:val="009E1FA8"/>
    <w:rsid w:val="009E3ADC"/>
    <w:rsid w:val="009E4EC3"/>
    <w:rsid w:val="009E717D"/>
    <w:rsid w:val="009F1670"/>
    <w:rsid w:val="009F2ABC"/>
    <w:rsid w:val="009F753A"/>
    <w:rsid w:val="00A007E9"/>
    <w:rsid w:val="00A04E95"/>
    <w:rsid w:val="00A051A8"/>
    <w:rsid w:val="00A0636D"/>
    <w:rsid w:val="00A0656D"/>
    <w:rsid w:val="00A068A8"/>
    <w:rsid w:val="00A107A2"/>
    <w:rsid w:val="00A11AD3"/>
    <w:rsid w:val="00A123AF"/>
    <w:rsid w:val="00A14DA9"/>
    <w:rsid w:val="00A156CF"/>
    <w:rsid w:val="00A210F6"/>
    <w:rsid w:val="00A22FE4"/>
    <w:rsid w:val="00A242B0"/>
    <w:rsid w:val="00A25E4F"/>
    <w:rsid w:val="00A26C9E"/>
    <w:rsid w:val="00A310D1"/>
    <w:rsid w:val="00A333B4"/>
    <w:rsid w:val="00A36215"/>
    <w:rsid w:val="00A37249"/>
    <w:rsid w:val="00A3771A"/>
    <w:rsid w:val="00A37D91"/>
    <w:rsid w:val="00A455FB"/>
    <w:rsid w:val="00A459C8"/>
    <w:rsid w:val="00A45C0D"/>
    <w:rsid w:val="00A565D2"/>
    <w:rsid w:val="00A5765C"/>
    <w:rsid w:val="00A64A49"/>
    <w:rsid w:val="00A66BE7"/>
    <w:rsid w:val="00A66F6E"/>
    <w:rsid w:val="00A67EBA"/>
    <w:rsid w:val="00A72E39"/>
    <w:rsid w:val="00A73FF2"/>
    <w:rsid w:val="00A743C8"/>
    <w:rsid w:val="00A77C2B"/>
    <w:rsid w:val="00A81F34"/>
    <w:rsid w:val="00A83C77"/>
    <w:rsid w:val="00A8619C"/>
    <w:rsid w:val="00A93950"/>
    <w:rsid w:val="00A949EC"/>
    <w:rsid w:val="00A94FBD"/>
    <w:rsid w:val="00A95AAF"/>
    <w:rsid w:val="00A95C95"/>
    <w:rsid w:val="00AA0922"/>
    <w:rsid w:val="00AA147A"/>
    <w:rsid w:val="00AA3745"/>
    <w:rsid w:val="00AA48E2"/>
    <w:rsid w:val="00AA72C7"/>
    <w:rsid w:val="00AB0275"/>
    <w:rsid w:val="00AB261B"/>
    <w:rsid w:val="00AB551F"/>
    <w:rsid w:val="00AB6CB4"/>
    <w:rsid w:val="00AB712D"/>
    <w:rsid w:val="00AC0652"/>
    <w:rsid w:val="00AC1137"/>
    <w:rsid w:val="00AC2416"/>
    <w:rsid w:val="00AC334C"/>
    <w:rsid w:val="00AC5F10"/>
    <w:rsid w:val="00AC6575"/>
    <w:rsid w:val="00AD0494"/>
    <w:rsid w:val="00AD2FC1"/>
    <w:rsid w:val="00AD329B"/>
    <w:rsid w:val="00AD4DFA"/>
    <w:rsid w:val="00AD4FE0"/>
    <w:rsid w:val="00AD7EDF"/>
    <w:rsid w:val="00AE2CB5"/>
    <w:rsid w:val="00AE2EFC"/>
    <w:rsid w:val="00AE337E"/>
    <w:rsid w:val="00AF563E"/>
    <w:rsid w:val="00AF740F"/>
    <w:rsid w:val="00AF7992"/>
    <w:rsid w:val="00B05783"/>
    <w:rsid w:val="00B05E6A"/>
    <w:rsid w:val="00B13464"/>
    <w:rsid w:val="00B144F6"/>
    <w:rsid w:val="00B2011E"/>
    <w:rsid w:val="00B24866"/>
    <w:rsid w:val="00B25C15"/>
    <w:rsid w:val="00B34A32"/>
    <w:rsid w:val="00B351AA"/>
    <w:rsid w:val="00B51137"/>
    <w:rsid w:val="00B55AD7"/>
    <w:rsid w:val="00B62D3E"/>
    <w:rsid w:val="00B6338A"/>
    <w:rsid w:val="00B66072"/>
    <w:rsid w:val="00B7107E"/>
    <w:rsid w:val="00B71A65"/>
    <w:rsid w:val="00B734BF"/>
    <w:rsid w:val="00B74F1C"/>
    <w:rsid w:val="00B76316"/>
    <w:rsid w:val="00B7745F"/>
    <w:rsid w:val="00B779F5"/>
    <w:rsid w:val="00B77ABB"/>
    <w:rsid w:val="00B822D8"/>
    <w:rsid w:val="00B90144"/>
    <w:rsid w:val="00B91C44"/>
    <w:rsid w:val="00B92525"/>
    <w:rsid w:val="00B92EDC"/>
    <w:rsid w:val="00B93CBA"/>
    <w:rsid w:val="00BA09B2"/>
    <w:rsid w:val="00BA0C43"/>
    <w:rsid w:val="00BA5A21"/>
    <w:rsid w:val="00BB0384"/>
    <w:rsid w:val="00BB228B"/>
    <w:rsid w:val="00BB2416"/>
    <w:rsid w:val="00BB3169"/>
    <w:rsid w:val="00BB6A2F"/>
    <w:rsid w:val="00BC7917"/>
    <w:rsid w:val="00BC7993"/>
    <w:rsid w:val="00BD4D57"/>
    <w:rsid w:val="00BD6E33"/>
    <w:rsid w:val="00BE1217"/>
    <w:rsid w:val="00BE16EB"/>
    <w:rsid w:val="00BE3DD2"/>
    <w:rsid w:val="00BF0027"/>
    <w:rsid w:val="00C06C18"/>
    <w:rsid w:val="00C12B3E"/>
    <w:rsid w:val="00C145B0"/>
    <w:rsid w:val="00C14EE0"/>
    <w:rsid w:val="00C31A0D"/>
    <w:rsid w:val="00C36FE1"/>
    <w:rsid w:val="00C434E0"/>
    <w:rsid w:val="00C47EDC"/>
    <w:rsid w:val="00C54099"/>
    <w:rsid w:val="00C54899"/>
    <w:rsid w:val="00C57547"/>
    <w:rsid w:val="00C605EB"/>
    <w:rsid w:val="00C612A5"/>
    <w:rsid w:val="00C61A73"/>
    <w:rsid w:val="00C63E78"/>
    <w:rsid w:val="00C71E89"/>
    <w:rsid w:val="00C725AF"/>
    <w:rsid w:val="00C73B31"/>
    <w:rsid w:val="00C76135"/>
    <w:rsid w:val="00C77B29"/>
    <w:rsid w:val="00C85BAC"/>
    <w:rsid w:val="00C91A3F"/>
    <w:rsid w:val="00C91C78"/>
    <w:rsid w:val="00C92E77"/>
    <w:rsid w:val="00C97C94"/>
    <w:rsid w:val="00CA7056"/>
    <w:rsid w:val="00CA7D72"/>
    <w:rsid w:val="00CB2741"/>
    <w:rsid w:val="00CB6610"/>
    <w:rsid w:val="00CC3F56"/>
    <w:rsid w:val="00CD13DC"/>
    <w:rsid w:val="00CD2C3B"/>
    <w:rsid w:val="00CD3BAF"/>
    <w:rsid w:val="00CE2DC1"/>
    <w:rsid w:val="00CF4A72"/>
    <w:rsid w:val="00CF6BCE"/>
    <w:rsid w:val="00CF7172"/>
    <w:rsid w:val="00D00980"/>
    <w:rsid w:val="00D01A0C"/>
    <w:rsid w:val="00D03BD7"/>
    <w:rsid w:val="00D068EE"/>
    <w:rsid w:val="00D12B33"/>
    <w:rsid w:val="00D1325C"/>
    <w:rsid w:val="00D167CE"/>
    <w:rsid w:val="00D17573"/>
    <w:rsid w:val="00D22570"/>
    <w:rsid w:val="00D23CDE"/>
    <w:rsid w:val="00D23FBD"/>
    <w:rsid w:val="00D24C4D"/>
    <w:rsid w:val="00D26B36"/>
    <w:rsid w:val="00D270DA"/>
    <w:rsid w:val="00D303EA"/>
    <w:rsid w:val="00D31ACF"/>
    <w:rsid w:val="00D31C83"/>
    <w:rsid w:val="00D347DF"/>
    <w:rsid w:val="00D35392"/>
    <w:rsid w:val="00D35AFB"/>
    <w:rsid w:val="00D360DE"/>
    <w:rsid w:val="00D41577"/>
    <w:rsid w:val="00D41DDA"/>
    <w:rsid w:val="00D44A88"/>
    <w:rsid w:val="00D44CA4"/>
    <w:rsid w:val="00D45D0F"/>
    <w:rsid w:val="00D47242"/>
    <w:rsid w:val="00D52C7F"/>
    <w:rsid w:val="00D56A66"/>
    <w:rsid w:val="00D6115C"/>
    <w:rsid w:val="00D62DC4"/>
    <w:rsid w:val="00D63751"/>
    <w:rsid w:val="00D66DAB"/>
    <w:rsid w:val="00D67986"/>
    <w:rsid w:val="00D67B5C"/>
    <w:rsid w:val="00D67DB0"/>
    <w:rsid w:val="00D71915"/>
    <w:rsid w:val="00D755ED"/>
    <w:rsid w:val="00D7594F"/>
    <w:rsid w:val="00D81A19"/>
    <w:rsid w:val="00D8312C"/>
    <w:rsid w:val="00D83FCF"/>
    <w:rsid w:val="00D855F0"/>
    <w:rsid w:val="00D865F5"/>
    <w:rsid w:val="00D86780"/>
    <w:rsid w:val="00DA6926"/>
    <w:rsid w:val="00DB3B27"/>
    <w:rsid w:val="00DB4AB5"/>
    <w:rsid w:val="00DE0F9F"/>
    <w:rsid w:val="00DE1BAF"/>
    <w:rsid w:val="00DE4059"/>
    <w:rsid w:val="00DE7061"/>
    <w:rsid w:val="00DF07A0"/>
    <w:rsid w:val="00E0198E"/>
    <w:rsid w:val="00E0578C"/>
    <w:rsid w:val="00E05EA5"/>
    <w:rsid w:val="00E070EC"/>
    <w:rsid w:val="00E118BF"/>
    <w:rsid w:val="00E14AE7"/>
    <w:rsid w:val="00E17031"/>
    <w:rsid w:val="00E27143"/>
    <w:rsid w:val="00E27AB4"/>
    <w:rsid w:val="00E3041E"/>
    <w:rsid w:val="00E31551"/>
    <w:rsid w:val="00E34B29"/>
    <w:rsid w:val="00E44F11"/>
    <w:rsid w:val="00E46156"/>
    <w:rsid w:val="00E525FD"/>
    <w:rsid w:val="00E52682"/>
    <w:rsid w:val="00E55168"/>
    <w:rsid w:val="00E71435"/>
    <w:rsid w:val="00E746C0"/>
    <w:rsid w:val="00E80F02"/>
    <w:rsid w:val="00E84768"/>
    <w:rsid w:val="00E86F96"/>
    <w:rsid w:val="00E9602E"/>
    <w:rsid w:val="00E965FF"/>
    <w:rsid w:val="00E9757A"/>
    <w:rsid w:val="00EA0911"/>
    <w:rsid w:val="00EA72D0"/>
    <w:rsid w:val="00EB2DCD"/>
    <w:rsid w:val="00EB313A"/>
    <w:rsid w:val="00EB3E1A"/>
    <w:rsid w:val="00EC17A2"/>
    <w:rsid w:val="00EC2469"/>
    <w:rsid w:val="00EC3D75"/>
    <w:rsid w:val="00EC4361"/>
    <w:rsid w:val="00EC4C65"/>
    <w:rsid w:val="00ED4F6F"/>
    <w:rsid w:val="00EF0466"/>
    <w:rsid w:val="00EF1CD1"/>
    <w:rsid w:val="00EF58E7"/>
    <w:rsid w:val="00F00DA3"/>
    <w:rsid w:val="00F02937"/>
    <w:rsid w:val="00F03678"/>
    <w:rsid w:val="00F07D56"/>
    <w:rsid w:val="00F121E2"/>
    <w:rsid w:val="00F131FA"/>
    <w:rsid w:val="00F13B68"/>
    <w:rsid w:val="00F16564"/>
    <w:rsid w:val="00F2270B"/>
    <w:rsid w:val="00F24DF1"/>
    <w:rsid w:val="00F2602E"/>
    <w:rsid w:val="00F26B5F"/>
    <w:rsid w:val="00F35E34"/>
    <w:rsid w:val="00F421B2"/>
    <w:rsid w:val="00F43235"/>
    <w:rsid w:val="00F44972"/>
    <w:rsid w:val="00F607B5"/>
    <w:rsid w:val="00F60B37"/>
    <w:rsid w:val="00F61F11"/>
    <w:rsid w:val="00F63DFB"/>
    <w:rsid w:val="00F65971"/>
    <w:rsid w:val="00F7431C"/>
    <w:rsid w:val="00F759DC"/>
    <w:rsid w:val="00F76619"/>
    <w:rsid w:val="00F802C0"/>
    <w:rsid w:val="00F877B4"/>
    <w:rsid w:val="00FA1445"/>
    <w:rsid w:val="00FA1C80"/>
    <w:rsid w:val="00FA7B55"/>
    <w:rsid w:val="00FB1C9F"/>
    <w:rsid w:val="00FB29CD"/>
    <w:rsid w:val="00FB6CCC"/>
    <w:rsid w:val="00FC05CE"/>
    <w:rsid w:val="00FC2CA7"/>
    <w:rsid w:val="00FC441F"/>
    <w:rsid w:val="00FC4CF7"/>
    <w:rsid w:val="00FD0489"/>
    <w:rsid w:val="00FD18C9"/>
    <w:rsid w:val="00FD3D17"/>
    <w:rsid w:val="00FD4C32"/>
    <w:rsid w:val="00FE3B42"/>
    <w:rsid w:val="00FE448F"/>
    <w:rsid w:val="00FE7966"/>
    <w:rsid w:val="00FF2C97"/>
    <w:rsid w:val="00FF5B20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103709"/>
  <w15:chartTrackingRefBased/>
  <w15:docId w15:val="{D5330C4B-F852-4854-830B-4E26FC5D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1842"/>
    <w:pPr>
      <w:widowControl w:val="0"/>
    </w:pPr>
    <w:rPr>
      <w:rFonts w:ascii="Segoe UI" w:eastAsia="Times New Roman" w:hAnsi="Segoe UI" w:cs="Times New Roman"/>
      <w:sz w:val="21"/>
    </w:rPr>
  </w:style>
  <w:style w:type="paragraph" w:styleId="Heading1">
    <w:name w:val="heading 1"/>
    <w:aliases w:val="HD 1"/>
    <w:basedOn w:val="Normal"/>
    <w:next w:val="Paragraph"/>
    <w:link w:val="Heading1Char"/>
    <w:qFormat/>
    <w:rsid w:val="00126471"/>
    <w:pPr>
      <w:keepNext/>
      <w:keepLines/>
      <w:spacing w:before="560" w:after="280"/>
      <w:outlineLvl w:val="0"/>
    </w:pPr>
    <w:rPr>
      <w:rFonts w:ascii="Segoe UI Semibold" w:hAnsi="Segoe UI Semibold"/>
      <w:color w:val="AA322F"/>
      <w:sz w:val="28"/>
      <w:lang w:eastAsia="en-GB"/>
    </w:rPr>
  </w:style>
  <w:style w:type="paragraph" w:styleId="Heading2">
    <w:name w:val="heading 2"/>
    <w:aliases w:val="HD 2"/>
    <w:basedOn w:val="Heading1"/>
    <w:next w:val="Paragraph"/>
    <w:link w:val="Heading2Char"/>
    <w:uiPriority w:val="2"/>
    <w:qFormat/>
    <w:rsid w:val="00273A5D"/>
    <w:pPr>
      <w:widowControl/>
      <w:outlineLvl w:val="1"/>
    </w:pPr>
    <w:rPr>
      <w:sz w:val="24"/>
      <w:szCs w:val="24"/>
    </w:rPr>
  </w:style>
  <w:style w:type="paragraph" w:styleId="Heading3">
    <w:name w:val="heading 3"/>
    <w:aliases w:val="HD 3"/>
    <w:basedOn w:val="Heading2"/>
    <w:next w:val="Paragraph"/>
    <w:link w:val="Heading3Char"/>
    <w:uiPriority w:val="2"/>
    <w:qFormat/>
    <w:rsid w:val="00273A5D"/>
    <w:pPr>
      <w:spacing w:before="280"/>
      <w:outlineLvl w:val="2"/>
    </w:pPr>
    <w:rPr>
      <w:color w:val="706F6F"/>
      <w:sz w:val="21"/>
    </w:rPr>
  </w:style>
  <w:style w:type="paragraph" w:styleId="Heading4">
    <w:name w:val="heading 4"/>
    <w:aliases w:val="HD 4"/>
    <w:basedOn w:val="Heading3"/>
    <w:next w:val="Paragraph"/>
    <w:link w:val="Heading4Char"/>
    <w:uiPriority w:val="2"/>
    <w:qFormat/>
    <w:rsid w:val="00273A5D"/>
    <w:pPr>
      <w:outlineLvl w:val="3"/>
    </w:pPr>
    <w:rPr>
      <w:color w:val="auto"/>
    </w:rPr>
  </w:style>
  <w:style w:type="paragraph" w:styleId="Heading5">
    <w:name w:val="heading 5"/>
    <w:aliases w:val="HD 5"/>
    <w:basedOn w:val="Heading4"/>
    <w:next w:val="Paragraph"/>
    <w:link w:val="Heading5Char"/>
    <w:uiPriority w:val="2"/>
    <w:rsid w:val="00273A5D"/>
    <w:pPr>
      <w:outlineLvl w:val="4"/>
    </w:pPr>
    <w:rPr>
      <w:i/>
    </w:rPr>
  </w:style>
  <w:style w:type="paragraph" w:styleId="Heading6">
    <w:name w:val="heading 6"/>
    <w:basedOn w:val="Heading4"/>
    <w:next w:val="Normal"/>
    <w:link w:val="Heading6Char"/>
    <w:uiPriority w:val="9"/>
    <w:semiHidden/>
    <w:rsid w:val="00E3041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rsid w:val="00E3041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semiHidden/>
    <w:rsid w:val="00E3041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semiHidden/>
    <w:rsid w:val="00E3041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ame">
    <w:name w:val="AuthorName"/>
    <w:basedOn w:val="Paragraph"/>
    <w:next w:val="Paragraph"/>
    <w:rsid w:val="002258EF"/>
    <w:pPr>
      <w:jc w:val="right"/>
    </w:pPr>
  </w:style>
  <w:style w:type="paragraph" w:customStyle="1" w:styleId="StyleBoxFootnoteSuperscript">
    <w:name w:val="Style BoxFootnote + Superscript"/>
    <w:basedOn w:val="BoxFootnote"/>
    <w:rsid w:val="00C76135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C76135"/>
    <w:pPr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BoxAuthorName">
    <w:name w:val="Box_Author_Name"/>
    <w:basedOn w:val="Paragraph"/>
    <w:next w:val="Normal"/>
    <w:rsid w:val="00792723"/>
    <w:rPr>
      <w:rFonts w:ascii="Segoe UI Semibold" w:hAnsi="Segoe UI Semibold" w:cs="Segoe UI Semibold"/>
    </w:rPr>
  </w:style>
  <w:style w:type="paragraph" w:customStyle="1" w:styleId="BoxFootnote">
    <w:name w:val="BoxFootnote"/>
    <w:basedOn w:val="Paragraph"/>
    <w:uiPriority w:val="5"/>
    <w:rsid w:val="00C76135"/>
    <w:rPr>
      <w:sz w:val="15"/>
    </w:rPr>
  </w:style>
  <w:style w:type="paragraph" w:customStyle="1" w:styleId="BoxFootnoteText">
    <w:name w:val="BoxFootnoteText"/>
    <w:basedOn w:val="BoxFootnote"/>
    <w:rsid w:val="009270B6"/>
    <w:pPr>
      <w:spacing w:after="120"/>
    </w:pPr>
  </w:style>
  <w:style w:type="paragraph" w:customStyle="1" w:styleId="CoverTitle">
    <w:name w:val="CoverTitle"/>
    <w:basedOn w:val="Normal"/>
    <w:next w:val="Normal"/>
    <w:rsid w:val="00126471"/>
    <w:pPr>
      <w:spacing w:after="600"/>
    </w:pPr>
    <w:rPr>
      <w:rFonts w:ascii="Segoe UI Semibold" w:hAnsi="Segoe UI Semibold"/>
      <w:color w:val="AA322F"/>
      <w:sz w:val="70"/>
      <w:lang w:eastAsia="en-GB"/>
    </w:rPr>
  </w:style>
  <w:style w:type="paragraph" w:customStyle="1" w:styleId="CoverSubTitle">
    <w:name w:val="CoverSubTitle"/>
    <w:basedOn w:val="CoverTitle"/>
    <w:next w:val="Normal"/>
    <w:rsid w:val="004F7311"/>
    <w:rPr>
      <w:rFonts w:ascii="Segoe UI" w:hAnsi="Segoe UI"/>
      <w:color w:val="auto"/>
      <w:sz w:val="36"/>
    </w:rPr>
  </w:style>
  <w:style w:type="paragraph" w:customStyle="1" w:styleId="BulletsL2">
    <w:name w:val="BulletsL2"/>
    <w:basedOn w:val="Paragraph"/>
    <w:qFormat/>
    <w:rsid w:val="007F3775"/>
    <w:pPr>
      <w:numPr>
        <w:numId w:val="1"/>
      </w:numPr>
      <w:spacing w:after="140"/>
      <w:ind w:left="794" w:hanging="397"/>
    </w:pPr>
    <w:rPr>
      <w:lang w:eastAsia="en-GB"/>
    </w:rPr>
  </w:style>
  <w:style w:type="paragraph" w:styleId="NoSpacing">
    <w:name w:val="No Spacing"/>
    <w:uiPriority w:val="1"/>
    <w:rsid w:val="00680919"/>
    <w:pPr>
      <w:widowControl w:val="0"/>
    </w:pPr>
    <w:rPr>
      <w:rFonts w:ascii="Segoe UI" w:eastAsia="Times New Roman" w:hAnsi="Segoe UI" w:cs="Times New Roman"/>
      <w:sz w:val="21"/>
    </w:rPr>
  </w:style>
  <w:style w:type="paragraph" w:customStyle="1" w:styleId="BulletsL1">
    <w:name w:val="BulletsL1"/>
    <w:basedOn w:val="Paragraph"/>
    <w:qFormat/>
    <w:rsid w:val="007F3775"/>
    <w:pPr>
      <w:numPr>
        <w:numId w:val="3"/>
      </w:numPr>
      <w:tabs>
        <w:tab w:val="clear" w:pos="851"/>
      </w:tabs>
      <w:spacing w:after="140"/>
      <w:ind w:left="397" w:hanging="397"/>
    </w:pPr>
    <w:rPr>
      <w:lang w:eastAsia="en-GB"/>
    </w:rPr>
  </w:style>
  <w:style w:type="paragraph" w:customStyle="1" w:styleId="ContentSubTitle">
    <w:name w:val="Content_SubTitle"/>
    <w:basedOn w:val="ContentTitle"/>
    <w:next w:val="Normal"/>
    <w:qFormat/>
    <w:rsid w:val="00E14AE7"/>
    <w:rPr>
      <w:color w:val="706F6F"/>
      <w:sz w:val="28"/>
    </w:rPr>
  </w:style>
  <w:style w:type="paragraph" w:customStyle="1" w:styleId="SectionTitleBlack">
    <w:name w:val="SectionTitleBlack"/>
    <w:basedOn w:val="Normal"/>
    <w:next w:val="Paragraph"/>
    <w:qFormat/>
    <w:rsid w:val="00670DDA"/>
    <w:pPr>
      <w:keepNext/>
      <w:keepLines/>
      <w:spacing w:after="560"/>
    </w:pPr>
    <w:rPr>
      <w:rFonts w:ascii="Segoe UI Light" w:hAnsi="Segoe UI Light"/>
      <w:sz w:val="48"/>
      <w:lang w:eastAsia="en-GB"/>
    </w:rPr>
  </w:style>
  <w:style w:type="table" w:customStyle="1" w:styleId="TableGrid3">
    <w:name w:val="Table Grid3"/>
    <w:basedOn w:val="TableNormal"/>
    <w:next w:val="TableGrid"/>
    <w:uiPriority w:val="39"/>
    <w:rsid w:val="00D35392"/>
    <w:pPr>
      <w:spacing w:line="596" w:lineRule="atLeast"/>
    </w:pPr>
    <w:rPr>
      <w:rFonts w:ascii="Segoe UI" w:eastAsia="Times New Roman" w:hAnsi="Segoe U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Red">
    <w:name w:val="SectionTitleRed"/>
    <w:basedOn w:val="SectionTitleBlack"/>
    <w:next w:val="Normal"/>
    <w:qFormat/>
    <w:rsid w:val="007F3775"/>
    <w:rPr>
      <w:color w:val="AA322F"/>
    </w:rPr>
  </w:style>
  <w:style w:type="paragraph" w:customStyle="1" w:styleId="SectionTitleWhite">
    <w:name w:val="SectionTitleWhite"/>
    <w:basedOn w:val="SectionTitleRed"/>
    <w:next w:val="Normal"/>
    <w:qFormat/>
    <w:rsid w:val="00670DDA"/>
    <w:rPr>
      <w:color w:val="FFFFFF" w:themeColor="background1"/>
    </w:rPr>
  </w:style>
  <w:style w:type="paragraph" w:customStyle="1" w:styleId="ToCTitle">
    <w:name w:val="ToC_Title"/>
    <w:basedOn w:val="CoverTitle"/>
    <w:next w:val="Paragraph"/>
    <w:rsid w:val="00126471"/>
    <w:pPr>
      <w:spacing w:after="360"/>
    </w:pPr>
    <w:rPr>
      <w:sz w:val="28"/>
    </w:rPr>
  </w:style>
  <w:style w:type="paragraph" w:customStyle="1" w:styleId="empty">
    <w:name w:val="empty"/>
    <w:basedOn w:val="Normal"/>
    <w:rsid w:val="00A22FE4"/>
    <w:rPr>
      <w:color w:val="FFFFFF"/>
      <w:sz w:val="2"/>
    </w:rPr>
  </w:style>
  <w:style w:type="paragraph" w:styleId="Footer">
    <w:name w:val="footer"/>
    <w:basedOn w:val="Normal"/>
    <w:link w:val="FooterChar"/>
    <w:rsid w:val="0076251E"/>
    <w:pPr>
      <w:widowControl/>
      <w:tabs>
        <w:tab w:val="center" w:pos="4513"/>
        <w:tab w:val="right" w:pos="9026"/>
      </w:tabs>
    </w:pPr>
    <w:rPr>
      <w:lang w:eastAsia="en-GB"/>
    </w:rPr>
  </w:style>
  <w:style w:type="character" w:customStyle="1" w:styleId="FooterChar">
    <w:name w:val="Footer Char"/>
    <w:basedOn w:val="DefaultParagraphFont"/>
    <w:link w:val="Footer"/>
    <w:rsid w:val="0076251E"/>
    <w:rPr>
      <w:rFonts w:ascii="Segoe UI" w:eastAsia="Times New Roman" w:hAnsi="Segoe UI" w:cs="Times New Roman"/>
      <w:sz w:val="21"/>
      <w:lang w:eastAsia="en-GB"/>
    </w:rPr>
  </w:style>
  <w:style w:type="paragraph" w:customStyle="1" w:styleId="Footerempty">
    <w:name w:val="Footerempty"/>
    <w:basedOn w:val="Normal"/>
    <w:rsid w:val="00A22FE4"/>
    <w:rPr>
      <w:color w:val="FFFFFF"/>
      <w:sz w:val="2"/>
    </w:rPr>
  </w:style>
  <w:style w:type="paragraph" w:customStyle="1" w:styleId="Footertext">
    <w:name w:val="Footertext"/>
    <w:basedOn w:val="Normal"/>
    <w:rsid w:val="0076251E"/>
    <w:pPr>
      <w:widowControl/>
      <w:spacing w:before="120"/>
    </w:pPr>
    <w:rPr>
      <w:sz w:val="14"/>
    </w:rPr>
  </w:style>
  <w:style w:type="character" w:styleId="FootnoteReference">
    <w:name w:val="footnote reference"/>
    <w:basedOn w:val="DefaultParagraphFont"/>
    <w:rsid w:val="00A22FE4"/>
    <w:rPr>
      <w:rFonts w:ascii="Segoe UI" w:hAnsi="Segoe UI"/>
      <w:color w:val="auto"/>
      <w:vertAlign w:val="superscript"/>
    </w:rPr>
  </w:style>
  <w:style w:type="paragraph" w:styleId="FootnoteText">
    <w:name w:val="footnote text"/>
    <w:basedOn w:val="Normal"/>
    <w:link w:val="FootnoteTextChar"/>
    <w:rsid w:val="001073BD"/>
    <w:pPr>
      <w:tabs>
        <w:tab w:val="left" w:pos="397"/>
      </w:tabs>
      <w:spacing w:after="120"/>
      <w:ind w:left="397" w:hanging="397"/>
      <w:jc w:val="both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073BD"/>
    <w:rPr>
      <w:rFonts w:ascii="Segoe UI" w:eastAsia="Times New Roman" w:hAnsi="Segoe UI" w:cs="Times New Roman"/>
      <w:sz w:val="16"/>
    </w:rPr>
  </w:style>
  <w:style w:type="paragraph" w:customStyle="1" w:styleId="FootnoteSeparator">
    <w:name w:val="FootnoteSeparator"/>
    <w:basedOn w:val="Normal"/>
    <w:rsid w:val="001073BD"/>
    <w:pPr>
      <w:spacing w:before="240" w:after="120"/>
    </w:pPr>
  </w:style>
  <w:style w:type="paragraph" w:customStyle="1" w:styleId="GraphFootnote">
    <w:name w:val="GraphFootnote"/>
    <w:basedOn w:val="TableFootnote"/>
    <w:rsid w:val="008103BD"/>
  </w:style>
  <w:style w:type="paragraph" w:customStyle="1" w:styleId="TableMainHeading">
    <w:name w:val="TableMainHeading"/>
    <w:basedOn w:val="Paragraph"/>
    <w:next w:val="TableMainSubHeading"/>
    <w:qFormat/>
    <w:rsid w:val="00D35392"/>
    <w:pPr>
      <w:spacing w:before="120" w:after="120"/>
    </w:pPr>
    <w:rPr>
      <w:color w:val="AA322F"/>
    </w:rPr>
  </w:style>
  <w:style w:type="paragraph" w:customStyle="1" w:styleId="GraphMainHeading">
    <w:name w:val="GraphMainHeading"/>
    <w:basedOn w:val="TableMainHeading"/>
    <w:next w:val="GraphMainSubHeading"/>
    <w:uiPriority w:val="4"/>
    <w:qFormat/>
    <w:rsid w:val="00302D40"/>
    <w:rPr>
      <w:rFonts w:cs="Segoe UI"/>
      <w:lang w:eastAsia="en-GB"/>
    </w:rPr>
  </w:style>
  <w:style w:type="paragraph" w:customStyle="1" w:styleId="GraphMainSubHeading">
    <w:name w:val="GraphMainSubHeading"/>
    <w:basedOn w:val="TableMainSubHeading"/>
    <w:uiPriority w:val="4"/>
    <w:rsid w:val="00302D40"/>
    <w:pPr>
      <w:keepNext/>
    </w:pPr>
    <w:rPr>
      <w:rFonts w:cstheme="minorHAnsi"/>
    </w:rPr>
  </w:style>
  <w:style w:type="paragraph" w:customStyle="1" w:styleId="GraphNumber">
    <w:name w:val="GraphNumber"/>
    <w:basedOn w:val="TableNumber"/>
    <w:link w:val="GraphNumberChar"/>
    <w:rsid w:val="00302D40"/>
    <w:rPr>
      <w:rFonts w:cs="Segoe UI"/>
    </w:rPr>
  </w:style>
  <w:style w:type="character" w:customStyle="1" w:styleId="GraphNumberChar">
    <w:name w:val="GraphNumber Char"/>
    <w:link w:val="GraphNumber"/>
    <w:locked/>
    <w:rsid w:val="00302D40"/>
    <w:rPr>
      <w:rFonts w:ascii="Segoe UI" w:eastAsia="Times New Roman" w:hAnsi="Segoe UI" w:cs="Segoe UI"/>
      <w:sz w:val="18"/>
    </w:rPr>
  </w:style>
  <w:style w:type="paragraph" w:customStyle="1" w:styleId="GraphPanelHeading">
    <w:name w:val="GraphPanelHeading"/>
    <w:basedOn w:val="GraphMainSubHeading"/>
    <w:link w:val="GraphPanelHeadingChar"/>
    <w:rsid w:val="008103BD"/>
    <w:pPr>
      <w:spacing w:before="60" w:after="40"/>
    </w:pPr>
  </w:style>
  <w:style w:type="character" w:customStyle="1" w:styleId="GraphPanelHeadingChar">
    <w:name w:val="GraphPanelHeading Char"/>
    <w:link w:val="GraphPanelHeading"/>
    <w:locked/>
    <w:rsid w:val="008103BD"/>
    <w:rPr>
      <w:rFonts w:ascii="Segoe UI" w:eastAsia="Times New Roman" w:hAnsi="Segoe UI" w:cstheme="minorHAnsi"/>
      <w:sz w:val="18"/>
    </w:rPr>
  </w:style>
  <w:style w:type="paragraph" w:customStyle="1" w:styleId="TableMainSubHeading">
    <w:name w:val="TableMainSubHeading"/>
    <w:basedOn w:val="TableMainHeading"/>
    <w:rsid w:val="00302D40"/>
    <w:pPr>
      <w:spacing w:before="0"/>
    </w:pPr>
    <w:rPr>
      <w:color w:val="auto"/>
      <w:sz w:val="18"/>
    </w:rPr>
  </w:style>
  <w:style w:type="paragraph" w:customStyle="1" w:styleId="GraphUnitDescriptionLeft">
    <w:name w:val="GraphUnitDescriptionLeft"/>
    <w:basedOn w:val="Normal"/>
    <w:rsid w:val="00E3041E"/>
    <w:pPr>
      <w:tabs>
        <w:tab w:val="right" w:pos="2954"/>
        <w:tab w:val="right" w:pos="5222"/>
      </w:tabs>
      <w:spacing w:before="40"/>
    </w:pPr>
    <w:rPr>
      <w:color w:val="706F6F"/>
      <w:sz w:val="15"/>
    </w:rPr>
  </w:style>
  <w:style w:type="paragraph" w:customStyle="1" w:styleId="GraphUnitDescriptionRight">
    <w:name w:val="GraphUnitDescriptionRight"/>
    <w:basedOn w:val="Normal"/>
    <w:rsid w:val="00E3041E"/>
    <w:pPr>
      <w:spacing w:before="40"/>
      <w:jc w:val="right"/>
    </w:pPr>
    <w:rPr>
      <w:color w:val="706F6F"/>
      <w:sz w:val="15"/>
    </w:rPr>
  </w:style>
  <w:style w:type="character" w:customStyle="1" w:styleId="Heading1Char">
    <w:name w:val="Heading 1 Char"/>
    <w:aliases w:val="HD 1 Char"/>
    <w:basedOn w:val="DefaultParagraphFont"/>
    <w:link w:val="Heading1"/>
    <w:rsid w:val="00126471"/>
    <w:rPr>
      <w:rFonts w:ascii="Segoe UI Semibold" w:eastAsia="Times New Roman" w:hAnsi="Segoe UI Semibold" w:cs="Times New Roman"/>
      <w:color w:val="AA322F"/>
      <w:sz w:val="28"/>
      <w:lang w:eastAsia="en-GB"/>
    </w:rPr>
  </w:style>
  <w:style w:type="character" w:customStyle="1" w:styleId="Heading2Char">
    <w:name w:val="Heading 2 Char"/>
    <w:aliases w:val="HD 2 Char"/>
    <w:basedOn w:val="DefaultParagraphFont"/>
    <w:link w:val="Heading2"/>
    <w:uiPriority w:val="2"/>
    <w:rsid w:val="00273A5D"/>
    <w:rPr>
      <w:rFonts w:ascii="Segoe UI Semibold" w:eastAsia="Times New Roman" w:hAnsi="Segoe UI Semibold" w:cs="Times New Roman"/>
      <w:color w:val="AA322F"/>
      <w:sz w:val="24"/>
      <w:szCs w:val="24"/>
      <w:lang w:eastAsia="en-GB"/>
    </w:rPr>
  </w:style>
  <w:style w:type="character" w:customStyle="1" w:styleId="Heading3Char">
    <w:name w:val="Heading 3 Char"/>
    <w:aliases w:val="HD 3 Char"/>
    <w:basedOn w:val="DefaultParagraphFont"/>
    <w:link w:val="Heading3"/>
    <w:uiPriority w:val="2"/>
    <w:rsid w:val="00273A5D"/>
    <w:rPr>
      <w:rFonts w:ascii="Segoe UI Semibold" w:eastAsia="Times New Roman" w:hAnsi="Segoe UI Semibold" w:cs="Times New Roman"/>
      <w:color w:val="706F6F"/>
      <w:sz w:val="21"/>
      <w:szCs w:val="24"/>
      <w:lang w:eastAsia="en-GB"/>
    </w:rPr>
  </w:style>
  <w:style w:type="character" w:customStyle="1" w:styleId="Heading4Char">
    <w:name w:val="Heading 4 Char"/>
    <w:aliases w:val="HD 4 Char"/>
    <w:basedOn w:val="DefaultParagraphFont"/>
    <w:link w:val="Heading4"/>
    <w:uiPriority w:val="2"/>
    <w:rsid w:val="00273A5D"/>
    <w:rPr>
      <w:rFonts w:ascii="Segoe UI Semibold" w:eastAsia="Times New Roman" w:hAnsi="Segoe UI Semibold" w:cs="Times New Roman"/>
      <w:sz w:val="21"/>
      <w:szCs w:val="24"/>
      <w:lang w:eastAsia="en-GB"/>
    </w:rPr>
  </w:style>
  <w:style w:type="character" w:customStyle="1" w:styleId="Heading5Char">
    <w:name w:val="Heading 5 Char"/>
    <w:aliases w:val="HD 5 Char"/>
    <w:basedOn w:val="DefaultParagraphFont"/>
    <w:link w:val="Heading5"/>
    <w:uiPriority w:val="2"/>
    <w:rsid w:val="00273A5D"/>
    <w:rPr>
      <w:rFonts w:ascii="Segoe UI Semibold" w:eastAsia="Times New Roman" w:hAnsi="Segoe UI Semibold" w:cs="Times New Roman"/>
      <w:i/>
      <w:sz w:val="21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EE0"/>
    <w:rPr>
      <w:rFonts w:ascii="Segoe UI Semibold" w:eastAsia="Times New Roman" w:hAnsi="Segoe UI Semibold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EE0"/>
    <w:rPr>
      <w:rFonts w:ascii="Segoe UI Semibold" w:eastAsia="Times New Roman" w:hAnsi="Segoe UI Semibold" w:cs="Times New Roman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EE0"/>
    <w:rPr>
      <w:rFonts w:ascii="Segoe UI Semibold" w:eastAsia="Times New Roman" w:hAnsi="Segoe UI Semibold" w:cs="Times New Roman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EE0"/>
    <w:rPr>
      <w:rFonts w:ascii="Segoe UI Semibold" w:eastAsia="Times New Roman" w:hAnsi="Segoe UI Semibold" w:cs="Times New Roman"/>
      <w:lang w:eastAsia="en-GB"/>
    </w:rPr>
  </w:style>
  <w:style w:type="character" w:customStyle="1" w:styleId="HyperlinkBIS">
    <w:name w:val="HyperlinkBIS"/>
    <w:basedOn w:val="DefaultParagraphFont"/>
    <w:qFormat/>
    <w:rsid w:val="00B90144"/>
    <w:rPr>
      <w:rFonts w:asciiTheme="minorHAnsi" w:hAnsiTheme="minorHAnsi" w:cs="Segoe UI"/>
      <w:sz w:val="21"/>
      <w:u w:val="single" w:color="ADAFAF"/>
      <w:bdr w:val="none" w:sz="0" w:space="0" w:color="auto"/>
    </w:rPr>
  </w:style>
  <w:style w:type="paragraph" w:customStyle="1" w:styleId="IndentedHeading1">
    <w:name w:val="Indented Heading 1"/>
    <w:basedOn w:val="Heading1"/>
    <w:next w:val="Paragraph"/>
    <w:qFormat/>
    <w:rsid w:val="00E3041E"/>
    <w:pPr>
      <w:tabs>
        <w:tab w:val="left" w:pos="794"/>
      </w:tabs>
      <w:ind w:left="794" w:hanging="794"/>
    </w:pPr>
  </w:style>
  <w:style w:type="paragraph" w:customStyle="1" w:styleId="IndentedHeading2">
    <w:name w:val="Indented Heading 2"/>
    <w:basedOn w:val="Heading2"/>
    <w:next w:val="Paragraph"/>
    <w:qFormat/>
    <w:rsid w:val="00E3041E"/>
    <w:pPr>
      <w:tabs>
        <w:tab w:val="left" w:pos="794"/>
      </w:tabs>
      <w:ind w:left="794" w:hanging="794"/>
    </w:pPr>
  </w:style>
  <w:style w:type="paragraph" w:customStyle="1" w:styleId="IndentedHeading3">
    <w:name w:val="Indented Heading 3"/>
    <w:basedOn w:val="Heading3"/>
    <w:next w:val="Paragraph"/>
    <w:qFormat/>
    <w:rsid w:val="000348B5"/>
    <w:pPr>
      <w:tabs>
        <w:tab w:val="left" w:pos="794"/>
      </w:tabs>
      <w:ind w:left="794" w:hanging="794"/>
    </w:pPr>
  </w:style>
  <w:style w:type="paragraph" w:customStyle="1" w:styleId="IndentedHeading4">
    <w:name w:val="Indented Heading 4"/>
    <w:basedOn w:val="Heading4"/>
    <w:next w:val="Paragraph"/>
    <w:rsid w:val="003D5F1E"/>
    <w:pPr>
      <w:tabs>
        <w:tab w:val="left" w:pos="794"/>
      </w:tabs>
      <w:ind w:left="794" w:hanging="794"/>
    </w:pPr>
  </w:style>
  <w:style w:type="paragraph" w:customStyle="1" w:styleId="IndentedParagraph">
    <w:name w:val="Indented Paragraph"/>
    <w:basedOn w:val="Paragraph"/>
    <w:rsid w:val="00942881"/>
    <w:pPr>
      <w:tabs>
        <w:tab w:val="left" w:pos="794"/>
      </w:tabs>
      <w:ind w:left="794" w:hanging="794"/>
    </w:pPr>
    <w:rPr>
      <w:lang w:eastAsia="en-GB"/>
    </w:rPr>
  </w:style>
  <w:style w:type="paragraph" w:customStyle="1" w:styleId="GraphSources">
    <w:name w:val="GraphSources"/>
    <w:basedOn w:val="TableSources"/>
    <w:rsid w:val="008103BD"/>
  </w:style>
  <w:style w:type="paragraph" w:customStyle="1" w:styleId="NTHeading1">
    <w:name w:val="NT Heading 1"/>
    <w:basedOn w:val="Heading1"/>
    <w:next w:val="Paragraph"/>
    <w:rsid w:val="00E3041E"/>
  </w:style>
  <w:style w:type="paragraph" w:customStyle="1" w:styleId="NTHeading2">
    <w:name w:val="NT Heading 2"/>
    <w:basedOn w:val="Heading2"/>
    <w:next w:val="Normal"/>
    <w:uiPriority w:val="7"/>
    <w:unhideWhenUsed/>
    <w:rsid w:val="00DA6926"/>
  </w:style>
  <w:style w:type="paragraph" w:customStyle="1" w:styleId="NTHeading3">
    <w:name w:val="NT Heading 3"/>
    <w:basedOn w:val="Heading3"/>
    <w:next w:val="Normal"/>
    <w:uiPriority w:val="7"/>
    <w:unhideWhenUsed/>
    <w:rsid w:val="00DA6926"/>
  </w:style>
  <w:style w:type="paragraph" w:customStyle="1" w:styleId="NTHeading4">
    <w:name w:val="NT Heading 4"/>
    <w:basedOn w:val="Heading4"/>
    <w:next w:val="Normal"/>
    <w:uiPriority w:val="7"/>
    <w:unhideWhenUsed/>
    <w:rsid w:val="00DA6926"/>
  </w:style>
  <w:style w:type="paragraph" w:customStyle="1" w:styleId="NTIndentedHeading1">
    <w:name w:val="NT Indented Heading 1"/>
    <w:basedOn w:val="IndentedHeading1"/>
    <w:next w:val="Paragraph"/>
    <w:rsid w:val="003D5F1E"/>
  </w:style>
  <w:style w:type="paragraph" w:customStyle="1" w:styleId="NTIndentedHeading2">
    <w:name w:val="NT Indented Heading 2"/>
    <w:basedOn w:val="IndentedHeading2"/>
    <w:next w:val="Paragraph"/>
    <w:uiPriority w:val="7"/>
    <w:unhideWhenUsed/>
    <w:rsid w:val="003D5F1E"/>
  </w:style>
  <w:style w:type="paragraph" w:customStyle="1" w:styleId="NTIndentedHeading3">
    <w:name w:val="NT Indented Heading 3"/>
    <w:basedOn w:val="IndentedHeading3"/>
    <w:next w:val="Paragraph"/>
    <w:uiPriority w:val="7"/>
    <w:unhideWhenUsed/>
    <w:rsid w:val="003D5F1E"/>
    <w:rPr>
      <w:lang w:val="fr-CH"/>
    </w:rPr>
  </w:style>
  <w:style w:type="paragraph" w:customStyle="1" w:styleId="NTIndentedHeading4">
    <w:name w:val="NT Indented Heading 4"/>
    <w:basedOn w:val="IndentedHeading4"/>
    <w:next w:val="Paragraph"/>
    <w:uiPriority w:val="7"/>
    <w:unhideWhenUsed/>
    <w:rsid w:val="003D5F1E"/>
    <w:pPr>
      <w:spacing w:after="0"/>
    </w:pPr>
  </w:style>
  <w:style w:type="paragraph" w:customStyle="1" w:styleId="NumberedParagraph">
    <w:name w:val="Numbered Paragraph"/>
    <w:basedOn w:val="Paragraph"/>
    <w:qFormat/>
    <w:rsid w:val="00942881"/>
    <w:pPr>
      <w:ind w:left="794" w:hanging="794"/>
    </w:pPr>
    <w:rPr>
      <w:lang w:eastAsia="en-GB"/>
    </w:rPr>
  </w:style>
  <w:style w:type="paragraph" w:customStyle="1" w:styleId="List1">
    <w:name w:val="List1"/>
    <w:basedOn w:val="Paragraph"/>
    <w:qFormat/>
    <w:rsid w:val="007F3775"/>
    <w:pPr>
      <w:numPr>
        <w:numId w:val="5"/>
      </w:numPr>
      <w:spacing w:after="140"/>
      <w:ind w:left="397" w:hanging="397"/>
    </w:pPr>
  </w:style>
  <w:style w:type="paragraph" w:customStyle="1" w:styleId="List2number">
    <w:name w:val="List2number"/>
    <w:basedOn w:val="Paragraph"/>
    <w:qFormat/>
    <w:rsid w:val="007F3775"/>
    <w:pPr>
      <w:numPr>
        <w:numId w:val="7"/>
      </w:numPr>
      <w:spacing w:after="140"/>
      <w:ind w:left="754" w:hanging="357"/>
    </w:pPr>
  </w:style>
  <w:style w:type="paragraph" w:customStyle="1" w:styleId="ContentTitle">
    <w:name w:val="Content_Title"/>
    <w:basedOn w:val="Normal"/>
    <w:next w:val="Normal"/>
    <w:rsid w:val="00126471"/>
    <w:pPr>
      <w:keepNext/>
      <w:spacing w:after="560"/>
      <w:outlineLvl w:val="0"/>
    </w:pPr>
    <w:rPr>
      <w:rFonts w:ascii="Segoe UI Semibold" w:hAnsi="Segoe UI Semibold"/>
      <w:color w:val="AA322F"/>
      <w:sz w:val="32"/>
      <w:lang w:eastAsia="en-GB"/>
    </w:rPr>
  </w:style>
  <w:style w:type="table" w:styleId="TableGrid">
    <w:name w:val="Table Grid"/>
    <w:basedOn w:val="TableNormal"/>
    <w:rsid w:val="00E3041E"/>
    <w:pPr>
      <w:spacing w:line="596" w:lineRule="atLeast"/>
    </w:pPr>
    <w:rPr>
      <w:rFonts w:ascii="Segoe UI" w:eastAsia="Times New Roman" w:hAnsi="Segoe U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">
    <w:name w:val="TableCell"/>
    <w:basedOn w:val="Paragraph"/>
    <w:rsid w:val="00302D40"/>
    <w:pPr>
      <w:tabs>
        <w:tab w:val="decimal" w:pos="428"/>
      </w:tabs>
      <w:spacing w:before="40" w:after="40"/>
    </w:pPr>
    <w:rPr>
      <w:sz w:val="18"/>
    </w:rPr>
  </w:style>
  <w:style w:type="paragraph" w:customStyle="1" w:styleId="TableColumnHeadingFirstcolumn">
    <w:name w:val="TableColumnHeadingFirstcolumn"/>
    <w:basedOn w:val="Paragraph"/>
    <w:rsid w:val="00302D40"/>
    <w:pPr>
      <w:spacing w:before="120" w:after="120"/>
    </w:pPr>
    <w:rPr>
      <w:rFonts w:cs="Segoe UI"/>
      <w:color w:val="D5D6D2"/>
      <w:sz w:val="18"/>
      <w:lang w:eastAsia="en-GB"/>
    </w:rPr>
  </w:style>
  <w:style w:type="paragraph" w:customStyle="1" w:styleId="TableFootnote">
    <w:name w:val="TableFootnote"/>
    <w:basedOn w:val="Paragraph"/>
    <w:rsid w:val="00792723"/>
    <w:pPr>
      <w:spacing w:before="60" w:after="60" w:line="240" w:lineRule="auto"/>
      <w:jc w:val="both"/>
    </w:pPr>
    <w:rPr>
      <w:sz w:val="15"/>
    </w:rPr>
  </w:style>
  <w:style w:type="paragraph" w:customStyle="1" w:styleId="TableNumber">
    <w:name w:val="TableNumber"/>
    <w:basedOn w:val="Paragraph"/>
    <w:link w:val="TableNumberChar"/>
    <w:rsid w:val="00D35392"/>
    <w:pPr>
      <w:spacing w:after="120"/>
      <w:jc w:val="right"/>
    </w:pPr>
    <w:rPr>
      <w:sz w:val="18"/>
    </w:rPr>
  </w:style>
  <w:style w:type="character" w:customStyle="1" w:styleId="TableNumberChar">
    <w:name w:val="TableNumber Char"/>
    <w:link w:val="TableNumber"/>
    <w:locked/>
    <w:rsid w:val="00464384"/>
    <w:rPr>
      <w:rFonts w:ascii="Segoe UI" w:eastAsia="Times New Roman" w:hAnsi="Segoe UI" w:cs="Times New Roman"/>
      <w:sz w:val="18"/>
    </w:rPr>
  </w:style>
  <w:style w:type="paragraph" w:customStyle="1" w:styleId="TableRowHeading">
    <w:name w:val="TableRowHeading"/>
    <w:basedOn w:val="Paragraph"/>
    <w:rsid w:val="00464384"/>
    <w:pPr>
      <w:tabs>
        <w:tab w:val="left" w:pos="397"/>
        <w:tab w:val="left" w:pos="794"/>
        <w:tab w:val="left" w:pos="1191"/>
      </w:tabs>
      <w:spacing w:before="60" w:after="60"/>
      <w:ind w:left="170"/>
    </w:pPr>
    <w:rPr>
      <w:sz w:val="18"/>
    </w:rPr>
  </w:style>
  <w:style w:type="paragraph" w:customStyle="1" w:styleId="TableSources">
    <w:name w:val="TableSources"/>
    <w:basedOn w:val="TableFootnote"/>
    <w:rsid w:val="00792723"/>
    <w:pPr>
      <w:tabs>
        <w:tab w:val="right" w:pos="7314"/>
        <w:tab w:val="right" w:pos="9129"/>
      </w:tabs>
      <w:spacing w:after="120"/>
      <w:ind w:right="113"/>
    </w:pPr>
    <w:rPr>
      <w:szCs w:val="15"/>
    </w:rPr>
  </w:style>
  <w:style w:type="paragraph" w:customStyle="1" w:styleId="TableText">
    <w:name w:val="TableText"/>
    <w:basedOn w:val="TableCell"/>
    <w:qFormat/>
    <w:rsid w:val="00302D40"/>
    <w:pPr>
      <w:tabs>
        <w:tab w:val="clear" w:pos="428"/>
      </w:tabs>
    </w:pPr>
  </w:style>
  <w:style w:type="paragraph" w:styleId="TOC1">
    <w:name w:val="toc 1"/>
    <w:basedOn w:val="Paragraph"/>
    <w:next w:val="TOC2"/>
    <w:uiPriority w:val="39"/>
    <w:rsid w:val="000348B5"/>
    <w:pPr>
      <w:tabs>
        <w:tab w:val="right" w:leader="dot" w:pos="9242"/>
      </w:tabs>
      <w:spacing w:before="240"/>
      <w:ind w:left="397" w:hanging="397"/>
      <w:jc w:val="both"/>
      <w:outlineLvl w:val="0"/>
    </w:pPr>
    <w:rPr>
      <w:lang w:eastAsia="en-GB"/>
    </w:rPr>
  </w:style>
  <w:style w:type="paragraph" w:styleId="TOC2">
    <w:name w:val="toc 2"/>
    <w:basedOn w:val="Paragraph"/>
    <w:next w:val="TOC3"/>
    <w:uiPriority w:val="39"/>
    <w:rsid w:val="000348B5"/>
    <w:pPr>
      <w:tabs>
        <w:tab w:val="right" w:leader="dot" w:pos="9242"/>
      </w:tabs>
      <w:ind w:left="794" w:hanging="397"/>
      <w:jc w:val="both"/>
      <w:outlineLvl w:val="1"/>
    </w:pPr>
    <w:rPr>
      <w:lang w:eastAsia="en-GB"/>
    </w:rPr>
  </w:style>
  <w:style w:type="paragraph" w:styleId="TOC3">
    <w:name w:val="toc 3"/>
    <w:basedOn w:val="Paragraph"/>
    <w:next w:val="TOC4"/>
    <w:uiPriority w:val="39"/>
    <w:rsid w:val="000348B5"/>
    <w:pPr>
      <w:tabs>
        <w:tab w:val="right" w:leader="dot" w:pos="9242"/>
      </w:tabs>
      <w:ind w:left="1191" w:hanging="397"/>
      <w:jc w:val="both"/>
      <w:outlineLvl w:val="2"/>
    </w:pPr>
  </w:style>
  <w:style w:type="paragraph" w:styleId="TOC4">
    <w:name w:val="toc 4"/>
    <w:basedOn w:val="TOC3"/>
    <w:next w:val="Normal"/>
    <w:uiPriority w:val="39"/>
    <w:rsid w:val="000348B5"/>
    <w:pPr>
      <w:spacing w:after="0"/>
      <w:ind w:left="1588"/>
      <w:outlineLvl w:val="3"/>
    </w:pPr>
  </w:style>
  <w:style w:type="paragraph" w:styleId="TOC5">
    <w:name w:val="toc 5"/>
    <w:basedOn w:val="TOC4"/>
    <w:next w:val="Normal"/>
    <w:autoRedefine/>
    <w:uiPriority w:val="39"/>
    <w:semiHidden/>
    <w:rsid w:val="00E3041E"/>
  </w:style>
  <w:style w:type="paragraph" w:styleId="TOC6">
    <w:name w:val="toc 6"/>
    <w:basedOn w:val="TOC5"/>
    <w:next w:val="Normal"/>
    <w:autoRedefine/>
    <w:uiPriority w:val="39"/>
    <w:semiHidden/>
    <w:rsid w:val="00E3041E"/>
  </w:style>
  <w:style w:type="paragraph" w:styleId="TOC7">
    <w:name w:val="toc 7"/>
    <w:basedOn w:val="TOC6"/>
    <w:next w:val="Normal"/>
    <w:autoRedefine/>
    <w:uiPriority w:val="39"/>
    <w:semiHidden/>
    <w:rsid w:val="00E3041E"/>
  </w:style>
  <w:style w:type="paragraph" w:styleId="TOC8">
    <w:name w:val="toc 8"/>
    <w:basedOn w:val="TOC7"/>
    <w:next w:val="Normal"/>
    <w:autoRedefine/>
    <w:uiPriority w:val="39"/>
    <w:semiHidden/>
    <w:rsid w:val="00E3041E"/>
  </w:style>
  <w:style w:type="paragraph" w:styleId="TOC9">
    <w:name w:val="toc 9"/>
    <w:basedOn w:val="TOC8"/>
    <w:next w:val="Normal"/>
    <w:autoRedefine/>
    <w:uiPriority w:val="39"/>
    <w:semiHidden/>
    <w:rsid w:val="00E3041E"/>
  </w:style>
  <w:style w:type="paragraph" w:customStyle="1" w:styleId="List2letter">
    <w:name w:val="List2letter"/>
    <w:basedOn w:val="Paragraph"/>
    <w:qFormat/>
    <w:rsid w:val="007F3775"/>
    <w:pPr>
      <w:numPr>
        <w:numId w:val="8"/>
      </w:numPr>
      <w:spacing w:after="140"/>
      <w:ind w:left="794" w:hanging="397"/>
    </w:pPr>
  </w:style>
  <w:style w:type="paragraph" w:customStyle="1" w:styleId="Confidentiality">
    <w:name w:val="Confidentiality"/>
    <w:basedOn w:val="Normal"/>
    <w:link w:val="ConfidentialityChar"/>
    <w:qFormat/>
    <w:rsid w:val="00701DC5"/>
    <w:pPr>
      <w:spacing w:line="280" w:lineRule="exact"/>
      <w:jc w:val="right"/>
    </w:pPr>
    <w:rPr>
      <w:rFonts w:ascii="Segoe UI Semibold" w:hAnsi="Segoe UI Semibold"/>
      <w:color w:val="706F6F"/>
      <w:sz w:val="18"/>
      <w:lang w:eastAsia="en-GB"/>
    </w:rPr>
  </w:style>
  <w:style w:type="character" w:styleId="PageNumber">
    <w:name w:val="page number"/>
    <w:basedOn w:val="DefaultParagraphFont"/>
    <w:rsid w:val="007F0B63"/>
    <w:rPr>
      <w:rFonts w:ascii="Segoe UI" w:hAnsi="Segoe UI"/>
      <w:sz w:val="18"/>
    </w:rPr>
  </w:style>
  <w:style w:type="paragraph" w:customStyle="1" w:styleId="BoxheadingblackLine">
    <w:name w:val="Box_heading black Line"/>
    <w:basedOn w:val="Paragraph"/>
    <w:uiPriority w:val="2"/>
    <w:qFormat/>
    <w:rsid w:val="00BD6E33"/>
    <w:pPr>
      <w:pBdr>
        <w:bottom w:val="single" w:sz="4" w:space="4" w:color="000000" w:themeColor="text1"/>
      </w:pBdr>
    </w:pPr>
    <w:rPr>
      <w:rFonts w:ascii="Segoe UI Semibold" w:hAnsi="Segoe UI Semibold"/>
      <w:color w:val="AA322F"/>
      <w:szCs w:val="21"/>
      <w:lang w:eastAsia="en-GB"/>
    </w:rPr>
  </w:style>
  <w:style w:type="paragraph" w:customStyle="1" w:styleId="CoverDate">
    <w:name w:val="CoverDate"/>
    <w:basedOn w:val="Normal"/>
    <w:rsid w:val="00C36FE1"/>
    <w:pPr>
      <w:jc w:val="both"/>
    </w:pPr>
    <w:rPr>
      <w:sz w:val="36"/>
      <w:szCs w:val="32"/>
      <w:lang w:eastAsia="en-GB"/>
    </w:rPr>
  </w:style>
  <w:style w:type="paragraph" w:customStyle="1" w:styleId="TableColumnHeading">
    <w:name w:val="TableColumnHeading"/>
    <w:basedOn w:val="TableColumnHeadingFirstcolumn"/>
    <w:qFormat/>
    <w:rsid w:val="00464384"/>
    <w:pPr>
      <w:jc w:val="center"/>
    </w:pPr>
  </w:style>
  <w:style w:type="paragraph" w:customStyle="1" w:styleId="TableRowHeadingFirstRow">
    <w:name w:val="TableRowHeadingFirstRow"/>
    <w:basedOn w:val="TableRowHeading"/>
    <w:next w:val="TableRowHeading"/>
    <w:qFormat/>
    <w:rsid w:val="00464384"/>
    <w:pPr>
      <w:ind w:left="0"/>
    </w:pPr>
  </w:style>
  <w:style w:type="paragraph" w:customStyle="1" w:styleId="QuoteAuthorName">
    <w:name w:val="Quote_Author_Name"/>
    <w:basedOn w:val="Paragraph"/>
    <w:next w:val="QuoteAuthortitle"/>
    <w:rsid w:val="00FD3D17"/>
    <w:pPr>
      <w:spacing w:after="0"/>
      <w:ind w:left="113"/>
    </w:pPr>
    <w:rPr>
      <w:rFonts w:ascii="Segoe UI Semibold" w:hAnsi="Segoe UI Semibold" w:cs="Segoe UI"/>
      <w:lang w:eastAsia="en-GB"/>
    </w:rPr>
  </w:style>
  <w:style w:type="paragraph" w:customStyle="1" w:styleId="Quotetext">
    <w:name w:val="Quote_text"/>
    <w:basedOn w:val="Normal"/>
    <w:qFormat/>
    <w:rsid w:val="00720EFE"/>
    <w:pPr>
      <w:spacing w:before="280" w:after="280" w:line="280" w:lineRule="atLeast"/>
      <w:ind w:left="113" w:right="170"/>
    </w:pPr>
    <w:rPr>
      <w:rFonts w:cs="Segoe UI"/>
      <w:color w:val="AA322F"/>
      <w:sz w:val="24"/>
      <w:szCs w:val="28"/>
      <w:u w:color="929993"/>
      <w:lang w:eastAsia="en-GB"/>
    </w:rPr>
  </w:style>
  <w:style w:type="paragraph" w:customStyle="1" w:styleId="QuoteAuthortitle">
    <w:name w:val="Quote_Author_title"/>
    <w:basedOn w:val="QuoteAuthorName"/>
    <w:rsid w:val="00720EFE"/>
    <w:rPr>
      <w:rFonts w:ascii="Segoe UI" w:hAnsi="Segoe UI"/>
    </w:rPr>
  </w:style>
  <w:style w:type="paragraph" w:customStyle="1" w:styleId="Paragraph">
    <w:name w:val="Paragraph"/>
    <w:basedOn w:val="Normal"/>
    <w:link w:val="ParagraphChar1"/>
    <w:qFormat/>
    <w:rsid w:val="007F3775"/>
    <w:pPr>
      <w:widowControl/>
      <w:spacing w:after="280" w:line="280" w:lineRule="exact"/>
    </w:pPr>
  </w:style>
  <w:style w:type="character" w:styleId="PlaceholderText">
    <w:name w:val="Placeholder Text"/>
    <w:basedOn w:val="DefaultParagraphFont"/>
    <w:uiPriority w:val="99"/>
    <w:semiHidden/>
    <w:rsid w:val="00FD18C9"/>
    <w:rPr>
      <w:color w:val="808080"/>
    </w:rPr>
  </w:style>
  <w:style w:type="paragraph" w:customStyle="1" w:styleId="ParagraphCentered">
    <w:name w:val="Paragraph Centered"/>
    <w:basedOn w:val="Paragraph"/>
    <w:rsid w:val="00022597"/>
    <w:pPr>
      <w:jc w:val="center"/>
    </w:pPr>
    <w:rPr>
      <w:lang w:eastAsia="en-GB"/>
    </w:rPr>
  </w:style>
  <w:style w:type="paragraph" w:customStyle="1" w:styleId="Heading1MainTitle">
    <w:name w:val="Heading_1_Main_Title"/>
    <w:basedOn w:val="Normal"/>
    <w:next w:val="Paragraph"/>
    <w:qFormat/>
    <w:rsid w:val="00126471"/>
    <w:pPr>
      <w:keepNext/>
      <w:keepLines/>
      <w:pBdr>
        <w:bottom w:val="single" w:sz="4" w:space="3" w:color="AA322F"/>
      </w:pBdr>
      <w:spacing w:after="560"/>
    </w:pPr>
    <w:rPr>
      <w:rFonts w:ascii="Segoe UI Semibold" w:hAnsi="Segoe UI Semibold"/>
      <w:b/>
      <w:color w:val="AA322F"/>
      <w:sz w:val="28"/>
    </w:rPr>
  </w:style>
  <w:style w:type="paragraph" w:customStyle="1" w:styleId="ParagraphHighlight">
    <w:name w:val="ParagraphHighlight"/>
    <w:basedOn w:val="Paragraph"/>
    <w:qFormat/>
    <w:rsid w:val="00152BB2"/>
    <w:pPr>
      <w:pBdr>
        <w:left w:val="single" w:sz="36" w:space="10" w:color="E6E6E6" w:themeColor="background1" w:themeShade="E6"/>
      </w:pBdr>
      <w:spacing w:after="0"/>
      <w:ind w:left="340"/>
    </w:pPr>
    <w:rPr>
      <w:color w:val="AA322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3D6427"/>
    <w:rPr>
      <w:rFonts w:ascii="Segoe UI" w:hAnsi="Segoe UI" w:cs="Segoe U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72E39"/>
    <w:rPr>
      <w:rFonts w:ascii="Segoe UI" w:hAnsi="Segoe UI" w:cs="Segoe U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48B5"/>
    <w:rPr>
      <w:color w:val="A5A5A5" w:themeColor="hyperlink"/>
      <w:u w:val="single"/>
    </w:rPr>
  </w:style>
  <w:style w:type="paragraph" w:styleId="Header">
    <w:name w:val="header"/>
    <w:basedOn w:val="Normal"/>
    <w:link w:val="HeaderChar"/>
    <w:rsid w:val="00FF2C97"/>
    <w:pPr>
      <w:tabs>
        <w:tab w:val="right" w:pos="9072"/>
      </w:tabs>
      <w:spacing w:line="200" w:lineRule="atLeast"/>
      <w:jc w:val="right"/>
    </w:pPr>
    <w:rPr>
      <w:noProof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F2C97"/>
    <w:rPr>
      <w:rFonts w:ascii="Segoe UI" w:eastAsia="Times New Roman" w:hAnsi="Segoe UI" w:cs="Times New Roman"/>
      <w:noProof/>
      <w:sz w:val="18"/>
      <w:szCs w:val="18"/>
    </w:rPr>
  </w:style>
  <w:style w:type="character" w:customStyle="1" w:styleId="ConfidentialityChar">
    <w:name w:val="Confidentiality Char"/>
    <w:basedOn w:val="DefaultParagraphFont"/>
    <w:link w:val="Confidentiality"/>
    <w:rsid w:val="009A4B1E"/>
    <w:rPr>
      <w:rFonts w:ascii="Segoe UI Semibold" w:eastAsia="Times New Roman" w:hAnsi="Segoe UI Semibold" w:cs="Times New Roman"/>
      <w:color w:val="706F6F"/>
      <w:sz w:val="18"/>
      <w:lang w:eastAsia="en-GB"/>
    </w:rPr>
  </w:style>
  <w:style w:type="paragraph" w:customStyle="1" w:styleId="ParagraphforPics">
    <w:name w:val="Paragraph for Pics"/>
    <w:basedOn w:val="Paragraph"/>
    <w:uiPriority w:val="99"/>
    <w:rsid w:val="00670DDA"/>
    <w:pPr>
      <w:spacing w:after="0" w:line="240" w:lineRule="auto"/>
    </w:pPr>
  </w:style>
  <w:style w:type="paragraph" w:customStyle="1" w:styleId="GraphPanelMain">
    <w:name w:val="GraphPanelMain"/>
    <w:basedOn w:val="GraphPanelHeading"/>
    <w:rsid w:val="00694917"/>
    <w:pPr>
      <w:ind w:left="-11"/>
    </w:pPr>
    <w:rPr>
      <w:rFonts w:eastAsia="Calibri"/>
      <w:sz w:val="20"/>
      <w:szCs w:val="22"/>
      <w:lang w:eastAsia="en-GB"/>
    </w:rPr>
  </w:style>
  <w:style w:type="character" w:customStyle="1" w:styleId="FootnoteRefGrey">
    <w:name w:val="FootnoteRefGrey"/>
    <w:basedOn w:val="FootnoteReference"/>
    <w:uiPriority w:val="1"/>
    <w:rsid w:val="009834C2"/>
    <w:rPr>
      <w:rFonts w:ascii="Segoe UI" w:hAnsi="Segoe UI"/>
      <w:color w:val="706F6F"/>
      <w:vertAlign w:val="superscript"/>
    </w:rPr>
  </w:style>
  <w:style w:type="character" w:customStyle="1" w:styleId="FootnoteRefRed">
    <w:name w:val="FootnoteRefRed"/>
    <w:basedOn w:val="FootnoteReference"/>
    <w:uiPriority w:val="1"/>
    <w:rsid w:val="009834C2"/>
    <w:rPr>
      <w:rFonts w:ascii="Segoe UI" w:hAnsi="Segoe UI"/>
      <w:color w:val="AA322F"/>
      <w:vertAlign w:val="superscript"/>
    </w:rPr>
  </w:style>
  <w:style w:type="paragraph" w:customStyle="1" w:styleId="FooterPageNumber">
    <w:name w:val="FooterPageNumber"/>
    <w:basedOn w:val="FootertextOdd"/>
    <w:rsid w:val="00261842"/>
    <w:pPr>
      <w:jc w:val="right"/>
    </w:pPr>
    <w:rPr>
      <w:sz w:val="18"/>
    </w:rPr>
  </w:style>
  <w:style w:type="paragraph" w:customStyle="1" w:styleId="FootertextOdd">
    <w:name w:val="FootertextOdd"/>
    <w:basedOn w:val="Normal"/>
    <w:link w:val="FootertextOddChar"/>
    <w:rsid w:val="00261842"/>
    <w:pPr>
      <w:spacing w:before="120"/>
    </w:pPr>
    <w:rPr>
      <w:sz w:val="14"/>
    </w:rPr>
  </w:style>
  <w:style w:type="paragraph" w:customStyle="1" w:styleId="FootertextEven">
    <w:name w:val="FootertextEven"/>
    <w:basedOn w:val="FootertextOdd"/>
    <w:link w:val="FootertextEvenChar"/>
    <w:rsid w:val="00261842"/>
    <w:pPr>
      <w:jc w:val="right"/>
    </w:pPr>
  </w:style>
  <w:style w:type="paragraph" w:customStyle="1" w:styleId="PageNumbereven">
    <w:name w:val="Page Numbereven"/>
    <w:basedOn w:val="FooterPageNumber"/>
    <w:rsid w:val="00261842"/>
    <w:pPr>
      <w:jc w:val="left"/>
    </w:pPr>
  </w:style>
  <w:style w:type="paragraph" w:customStyle="1" w:styleId="CoverMED">
    <w:name w:val="CoverMED"/>
    <w:basedOn w:val="Normal"/>
    <w:next w:val="Normal"/>
    <w:rsid w:val="00261842"/>
    <w:pPr>
      <w:spacing w:line="400" w:lineRule="exact"/>
      <w:ind w:right="113"/>
    </w:pPr>
    <w:rPr>
      <w:rFonts w:ascii="Arial Narrow" w:hAnsi="Arial Narrow"/>
      <w:sz w:val="40"/>
    </w:rPr>
  </w:style>
  <w:style w:type="character" w:customStyle="1" w:styleId="ParagraphChar1">
    <w:name w:val="Paragraph Char1"/>
    <w:link w:val="Paragraph"/>
    <w:rsid w:val="00261842"/>
    <w:rPr>
      <w:rFonts w:ascii="Segoe UI" w:eastAsia="Times New Roman" w:hAnsi="Segoe UI" w:cs="Times New Roman"/>
      <w:sz w:val="21"/>
    </w:rPr>
  </w:style>
  <w:style w:type="character" w:customStyle="1" w:styleId="FootertextEvenChar">
    <w:name w:val="FootertextEven Char"/>
    <w:link w:val="FootertextEven"/>
    <w:rsid w:val="00261842"/>
    <w:rPr>
      <w:rFonts w:ascii="Segoe UI" w:eastAsia="Times New Roman" w:hAnsi="Segoe UI" w:cs="Times New Roman"/>
      <w:sz w:val="14"/>
    </w:rPr>
  </w:style>
  <w:style w:type="character" w:customStyle="1" w:styleId="FootertextOddChar">
    <w:name w:val="FootertextOdd Char"/>
    <w:link w:val="FootertextOdd"/>
    <w:rsid w:val="00261842"/>
    <w:rPr>
      <w:rFonts w:ascii="Segoe UI" w:eastAsia="Times New Roman" w:hAnsi="Segoe UI" w:cs="Times New Roman"/>
      <w:sz w:val="14"/>
    </w:rPr>
  </w:style>
  <w:style w:type="paragraph" w:styleId="TOCHeading">
    <w:name w:val="TOC Heading"/>
    <w:basedOn w:val="Heading1"/>
    <w:next w:val="Normal"/>
    <w:uiPriority w:val="39"/>
    <w:unhideWhenUsed/>
    <w:qFormat/>
    <w:rsid w:val="00261842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A24F63" w:themeColor="accent1" w:themeShade="BF"/>
      <w:sz w:val="32"/>
      <w:szCs w:val="3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D8E"/>
    <w:rPr>
      <w:color w:val="605E5C"/>
      <w:shd w:val="clear" w:color="auto" w:fill="E1DFDD"/>
    </w:rPr>
  </w:style>
  <w:style w:type="paragraph" w:customStyle="1" w:styleId="Bulletpoint">
    <w:name w:val="Bullet point"/>
    <w:basedOn w:val="Paragraph"/>
    <w:qFormat/>
    <w:rsid w:val="00C725AF"/>
    <w:pPr>
      <w:numPr>
        <w:numId w:val="27"/>
      </w:numPr>
    </w:pPr>
  </w:style>
  <w:style w:type="paragraph" w:customStyle="1" w:styleId="TableTitle">
    <w:name w:val="TableTitle"/>
    <w:basedOn w:val="Paragraph"/>
    <w:next w:val="Normal"/>
    <w:rsid w:val="0089452D"/>
    <w:pPr>
      <w:keepNext/>
      <w:spacing w:before="120"/>
      <w:jc w:val="center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EC1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17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7A2"/>
    <w:rPr>
      <w:rFonts w:ascii="Segoe UI" w:eastAsia="Times New Roman" w:hAnsi="Segoe U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7A2"/>
    <w:rPr>
      <w:rFonts w:ascii="Segoe UI" w:eastAsia="Times New Roman" w:hAnsi="Segoe UI" w:cs="Times New Roman"/>
      <w:b/>
      <w:bCs/>
    </w:rPr>
  </w:style>
  <w:style w:type="paragraph" w:styleId="Revision">
    <w:name w:val="Revision"/>
    <w:hidden/>
    <w:uiPriority w:val="99"/>
    <w:semiHidden/>
    <w:rsid w:val="00227784"/>
    <w:rPr>
      <w:rFonts w:ascii="Segoe UI" w:eastAsia="Times New Roman" w:hAnsi="Segoe UI" w:cs="Times New Roman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AAE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A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s.org/stats_triennial_surveys/index.htm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D2D2D2"/>
      </a:lt2>
      <a:accent1>
        <a:srgbClr val="C28191"/>
      </a:accent1>
      <a:accent2>
        <a:srgbClr val="6CADE1"/>
      </a:accent2>
      <a:accent3>
        <a:srgbClr val="FFEC72"/>
      </a:accent3>
      <a:accent4>
        <a:srgbClr val="828FC6"/>
      </a:accent4>
      <a:accent5>
        <a:srgbClr val="E3C291"/>
      </a:accent5>
      <a:accent6>
        <a:srgbClr val="929993"/>
      </a:accent6>
      <a:hlink>
        <a:srgbClr val="A5A5A5"/>
      </a:hlink>
      <a:folHlink>
        <a:srgbClr val="7030A0"/>
      </a:folHlink>
    </a:clrScheme>
    <a:fontScheme name="Custom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3E859439894A9CBB74A0EC59E78B" ma:contentTypeVersion="6" ma:contentTypeDescription="Create a new document." ma:contentTypeScope="" ma:versionID="1f882ee9fb70fbabdd060c1095dae3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cef8d55e446d204bdf67599e9143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BAFF5-BCE6-4C2B-A80C-5167F1234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6EBAF-8E4C-4EBF-AB8A-1AF438E3D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4DEBF5-8BD6-4A67-9D9C-E69C84E117A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C93781-7C18-4A24-BDE9-A6C6630C5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3788</Words>
  <Characters>26143</Characters>
  <Application>Microsoft Office Word</Application>
  <DocSecurity>0</DocSecurity>
  <Lines>217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BIS</Company>
  <LinksUpToDate>false</LinksUpToDate>
  <CharactersWithSpaces>29872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nemethneed</dc:creator>
  <cp:keywords>Triennial Survey</cp:keywords>
  <dc:description>Draft BIS</dc:description>
  <cp:lastModifiedBy>Némethné Székely Edina</cp:lastModifiedBy>
  <cp:revision>10</cp:revision>
  <cp:lastPrinted>2024-05-31T06:44:00Z</cp:lastPrinted>
  <dcterms:created xsi:type="dcterms:W3CDTF">2024-11-14T14:27:00Z</dcterms:created>
  <dcterms:modified xsi:type="dcterms:W3CDTF">2024-11-18T08:47:00Z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0x0101008BCB3E859439894A9CBB74A0EC59E78B</vt:lpwstr>
  </property>
  <property fmtid="{D5CDD505-2E9C-101B-9397-08002B2CF9AE}" pid="3" name="TaxKeyword">
    <vt:lpwstr>431;#Triennial Survey|498cb51a-3375-4a01-9ecd-bf14a4123c0b</vt:lpwstr>
  </property>
  <property fmtid="{D5CDD505-2E9C-101B-9397-08002B2CF9AE}" pid="4" name="_dlc_DocIdItemGuid">
    <vt:lpwstr>d5923631-da34-4f2a-b971-547d9ac2ce89</vt:lpwstr>
  </property>
  <property fmtid="{D5CDD505-2E9C-101B-9397-08002B2CF9AE}" pid="5" name="BisDocumentType">
    <vt:lpwstr/>
  </property>
  <property fmtid="{D5CDD505-2E9C-101B-9397-08002B2CF9AE}" pid="6" name="BisAuthors">
    <vt:lpwstr/>
  </property>
  <property fmtid="{D5CDD505-2E9C-101B-9397-08002B2CF9AE}" pid="7" name="BisInstitution">
    <vt:lpwstr/>
  </property>
  <property fmtid="{D5CDD505-2E9C-101B-9397-08002B2CF9AE}" pid="8" name="BisRecipients">
    <vt:lpwstr/>
  </property>
  <property fmtid="{D5CDD505-2E9C-101B-9397-08002B2CF9AE}" pid="9" name="_NewReviewCycle">
    <vt:lpwstr/>
  </property>
  <property fmtid="{D5CDD505-2E9C-101B-9397-08002B2CF9AE}" pid="10" name="MSIP_Label_e7a1acbe-6272-4d33-b02f-c84f260ca2ac_Enabled">
    <vt:lpwstr>true</vt:lpwstr>
  </property>
  <property fmtid="{D5CDD505-2E9C-101B-9397-08002B2CF9AE}" pid="11" name="MSIP_Label_e7a1acbe-6272-4d33-b02f-c84f260ca2ac_SetDate">
    <vt:lpwstr>2024-06-14T07:03:52Z</vt:lpwstr>
  </property>
  <property fmtid="{D5CDD505-2E9C-101B-9397-08002B2CF9AE}" pid="12" name="MSIP_Label_e7a1acbe-6272-4d33-b02f-c84f260ca2ac_Method">
    <vt:lpwstr>Privileged</vt:lpwstr>
  </property>
  <property fmtid="{D5CDD505-2E9C-101B-9397-08002B2CF9AE}" pid="13" name="MSIP_Label_e7a1acbe-6272-4d33-b02f-c84f260ca2ac_Name">
    <vt:lpwstr>Unrestricted - No Marking</vt:lpwstr>
  </property>
  <property fmtid="{D5CDD505-2E9C-101B-9397-08002B2CF9AE}" pid="14" name="MSIP_Label_e7a1acbe-6272-4d33-b02f-c84f260ca2ac_SiteId">
    <vt:lpwstr>03e82858-fc14-4f12-b078-aac6d25c87da</vt:lpwstr>
  </property>
  <property fmtid="{D5CDD505-2E9C-101B-9397-08002B2CF9AE}" pid="15" name="MSIP_Label_e7a1acbe-6272-4d33-b02f-c84f260ca2ac_ActionId">
    <vt:lpwstr>d8c9324c-5901-44b7-b33b-f5d73b9be1b4</vt:lpwstr>
  </property>
  <property fmtid="{D5CDD505-2E9C-101B-9397-08002B2CF9AE}" pid="16" name="MSIP_Label_e7a1acbe-6272-4d33-b02f-c84f260ca2ac_ContentBits">
    <vt:lpwstr>0</vt:lpwstr>
  </property>
  <property fmtid="{D5CDD505-2E9C-101B-9397-08002B2CF9AE}" pid="17" name="PubDBInstance">
    <vt:lpwstr>Prod</vt:lpwstr>
  </property>
  <property fmtid="{D5CDD505-2E9C-101B-9397-08002B2CF9AE}" pid="18" name="Medcs2PyInstance">
    <vt:lpwstr>Prod</vt:lpwstr>
  </property>
</Properties>
</file>